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516337AA" w:rsidR="008D2539" w:rsidRPr="0032234A"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Start w:id="1" w:name="_GoBack"/>
      <w:bookmarkEnd w:id="0"/>
      <w:bookmarkEnd w:id="1"/>
      <w:r w:rsidRPr="0032234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32234A">
        <w:rPr>
          <w:rFonts w:ascii="Palatino Linotype" w:eastAsia="Palatino Linotype" w:hAnsi="Palatino Linotype" w:cs="Palatino Linotype"/>
          <w:b/>
          <w:sz w:val="22"/>
          <w:szCs w:val="22"/>
        </w:rPr>
        <w:t>a</w:t>
      </w:r>
      <w:r w:rsidR="00A3044A" w:rsidRPr="0032234A">
        <w:rPr>
          <w:rFonts w:ascii="Palatino Linotype" w:eastAsia="Palatino Linotype" w:hAnsi="Palatino Linotype" w:cs="Palatino Linotype"/>
          <w:b/>
          <w:sz w:val="22"/>
          <w:szCs w:val="22"/>
        </w:rPr>
        <w:t xml:space="preserve"> </w:t>
      </w:r>
      <w:r w:rsidR="00A531E5" w:rsidRPr="0032234A">
        <w:rPr>
          <w:rFonts w:ascii="Palatino Linotype" w:eastAsia="Palatino Linotype" w:hAnsi="Palatino Linotype" w:cs="Palatino Linotype"/>
          <w:b/>
          <w:sz w:val="22"/>
          <w:szCs w:val="22"/>
        </w:rPr>
        <w:t>tres de diciembre</w:t>
      </w:r>
      <w:r w:rsidR="00A3044A" w:rsidRPr="0032234A">
        <w:rPr>
          <w:rFonts w:ascii="Palatino Linotype" w:eastAsia="Palatino Linotype" w:hAnsi="Palatino Linotype" w:cs="Palatino Linotype"/>
          <w:b/>
          <w:sz w:val="22"/>
          <w:szCs w:val="22"/>
        </w:rPr>
        <w:t xml:space="preserve"> </w:t>
      </w:r>
      <w:r w:rsidRPr="0032234A">
        <w:rPr>
          <w:rFonts w:ascii="Palatino Linotype" w:eastAsia="Palatino Linotype" w:hAnsi="Palatino Linotype" w:cs="Palatino Linotype"/>
          <w:b/>
          <w:sz w:val="22"/>
          <w:szCs w:val="22"/>
        </w:rPr>
        <w:t>de dos mil veinticinco</w:t>
      </w:r>
      <w:r w:rsidRPr="0032234A">
        <w:rPr>
          <w:rFonts w:ascii="Palatino Linotype" w:eastAsia="Palatino Linotype" w:hAnsi="Palatino Linotype" w:cs="Palatino Linotype"/>
          <w:sz w:val="22"/>
          <w:szCs w:val="22"/>
        </w:rPr>
        <w:t xml:space="preserve">. </w:t>
      </w:r>
    </w:p>
    <w:p w14:paraId="23131C29" w14:textId="1CAAD137" w:rsidR="008D2539" w:rsidRPr="0032234A" w:rsidRDefault="0064634F">
      <w:pPr>
        <w:spacing w:before="240" w:after="240" w:line="360" w:lineRule="auto"/>
        <w:jc w:val="both"/>
        <w:rPr>
          <w:rFonts w:ascii="Palatino Linotype" w:eastAsia="Palatino Linotype" w:hAnsi="Palatino Linotype" w:cs="Palatino Linotype"/>
          <w:sz w:val="22"/>
          <w:szCs w:val="22"/>
        </w:rPr>
      </w:pPr>
      <w:bookmarkStart w:id="2" w:name="_heading=h.4d34og8" w:colFirst="0" w:colLast="0"/>
      <w:bookmarkEnd w:id="2"/>
      <w:r w:rsidRPr="0032234A">
        <w:rPr>
          <w:rFonts w:ascii="Palatino Linotype" w:eastAsia="Palatino Linotype" w:hAnsi="Palatino Linotype" w:cs="Palatino Linotype"/>
          <w:b/>
          <w:sz w:val="22"/>
          <w:szCs w:val="22"/>
        </w:rPr>
        <w:t>Visto</w:t>
      </w:r>
      <w:r w:rsidRPr="0032234A">
        <w:rPr>
          <w:rFonts w:ascii="Palatino Linotype" w:eastAsia="Palatino Linotype" w:hAnsi="Palatino Linotype" w:cs="Palatino Linotype"/>
          <w:sz w:val="22"/>
          <w:szCs w:val="22"/>
        </w:rPr>
        <w:t xml:space="preserve"> el expediente formado con motivo del recurso de revisión </w:t>
      </w:r>
      <w:r w:rsidRPr="0032234A">
        <w:rPr>
          <w:rFonts w:ascii="Palatino Linotype" w:eastAsia="Palatino Linotype" w:hAnsi="Palatino Linotype" w:cs="Palatino Linotype"/>
          <w:b/>
          <w:sz w:val="22"/>
          <w:szCs w:val="22"/>
        </w:rPr>
        <w:t>1</w:t>
      </w:r>
      <w:r w:rsidR="006F4553" w:rsidRPr="0032234A">
        <w:rPr>
          <w:rFonts w:ascii="Palatino Linotype" w:eastAsia="Palatino Linotype" w:hAnsi="Palatino Linotype" w:cs="Palatino Linotype"/>
          <w:b/>
          <w:sz w:val="22"/>
          <w:szCs w:val="22"/>
        </w:rPr>
        <w:t>2734</w:t>
      </w:r>
      <w:r w:rsidRPr="0032234A">
        <w:rPr>
          <w:rFonts w:ascii="Palatino Linotype" w:eastAsia="Palatino Linotype" w:hAnsi="Palatino Linotype" w:cs="Palatino Linotype"/>
          <w:b/>
          <w:sz w:val="22"/>
          <w:szCs w:val="22"/>
        </w:rPr>
        <w:t>/INFOEM/IP/RR/2025</w:t>
      </w:r>
      <w:r w:rsidRPr="0032234A">
        <w:rPr>
          <w:rFonts w:ascii="Palatino Linotype" w:eastAsia="Palatino Linotype" w:hAnsi="Palatino Linotype" w:cs="Palatino Linotype"/>
          <w:sz w:val="22"/>
          <w:szCs w:val="22"/>
        </w:rPr>
        <w:t>, interpuesto por</w:t>
      </w:r>
      <w:r w:rsidRPr="0032234A">
        <w:t xml:space="preserve"> </w:t>
      </w:r>
      <w:r w:rsidR="00BC42F0" w:rsidRPr="0032234A">
        <w:rPr>
          <w:rFonts w:ascii="Palatino Linotype" w:eastAsia="Palatino Linotype" w:hAnsi="Palatino Linotype" w:cs="Palatino Linotype"/>
          <w:b/>
          <w:sz w:val="22"/>
          <w:szCs w:val="22"/>
        </w:rPr>
        <w:t>una persona usuaria del Sistema de Acceso a la Información Mexiquense que no proporcionó nombre</w:t>
      </w:r>
      <w:r w:rsidRPr="0032234A">
        <w:rPr>
          <w:rFonts w:ascii="Palatino Linotype" w:eastAsia="Palatino Linotype" w:hAnsi="Palatino Linotype" w:cs="Palatino Linotype"/>
          <w:b/>
          <w:sz w:val="22"/>
          <w:szCs w:val="22"/>
        </w:rPr>
        <w:t>,</w:t>
      </w:r>
      <w:r w:rsidRPr="0032234A">
        <w:rPr>
          <w:rFonts w:ascii="Palatino Linotype" w:eastAsia="Palatino Linotype" w:hAnsi="Palatino Linotype" w:cs="Palatino Linotype"/>
          <w:sz w:val="22"/>
          <w:szCs w:val="22"/>
        </w:rPr>
        <w:t xml:space="preserve"> en lo sucesivo</w:t>
      </w:r>
      <w:r w:rsidRPr="0032234A">
        <w:rPr>
          <w:rFonts w:ascii="Palatino Linotype" w:eastAsia="Palatino Linotype" w:hAnsi="Palatino Linotype" w:cs="Palatino Linotype"/>
          <w:b/>
          <w:sz w:val="22"/>
          <w:szCs w:val="22"/>
        </w:rPr>
        <w:t xml:space="preserve"> la parte</w:t>
      </w:r>
      <w:r w:rsidRPr="0032234A">
        <w:rPr>
          <w:rFonts w:ascii="Palatino Linotype" w:eastAsia="Palatino Linotype" w:hAnsi="Palatino Linotype" w:cs="Palatino Linotype"/>
          <w:sz w:val="22"/>
          <w:szCs w:val="22"/>
        </w:rPr>
        <w:t xml:space="preserve"> </w:t>
      </w:r>
      <w:r w:rsidRPr="0032234A">
        <w:rPr>
          <w:rFonts w:ascii="Palatino Linotype" w:eastAsia="Palatino Linotype" w:hAnsi="Palatino Linotype" w:cs="Palatino Linotype"/>
          <w:b/>
          <w:sz w:val="22"/>
          <w:szCs w:val="22"/>
        </w:rPr>
        <w:t>Recurrente,</w:t>
      </w:r>
      <w:r w:rsidRPr="0032234A">
        <w:rPr>
          <w:rFonts w:ascii="Palatino Linotype" w:eastAsia="Palatino Linotype" w:hAnsi="Palatino Linotype" w:cs="Palatino Linotype"/>
          <w:sz w:val="22"/>
          <w:szCs w:val="22"/>
        </w:rPr>
        <w:t xml:space="preserve"> en contra de la respue</w:t>
      </w:r>
      <w:r w:rsidR="00E70AFA" w:rsidRPr="0032234A">
        <w:rPr>
          <w:rFonts w:ascii="Palatino Linotype" w:eastAsia="Palatino Linotype" w:hAnsi="Palatino Linotype" w:cs="Palatino Linotype"/>
          <w:sz w:val="22"/>
          <w:szCs w:val="22"/>
        </w:rPr>
        <w:t>sta a su solicitud por parte de</w:t>
      </w:r>
      <w:r w:rsidR="00BC42F0" w:rsidRPr="0032234A">
        <w:rPr>
          <w:rFonts w:ascii="Palatino Linotype" w:eastAsia="Palatino Linotype" w:hAnsi="Palatino Linotype" w:cs="Palatino Linotype"/>
          <w:sz w:val="22"/>
          <w:szCs w:val="22"/>
        </w:rPr>
        <w:t>l</w:t>
      </w:r>
      <w:r w:rsidR="007A43F7" w:rsidRPr="0032234A">
        <w:rPr>
          <w:rFonts w:ascii="Verdana" w:hAnsi="Verdana"/>
          <w:b/>
          <w:bCs/>
          <w:sz w:val="14"/>
          <w:szCs w:val="14"/>
        </w:rPr>
        <w:t xml:space="preserve"> </w:t>
      </w:r>
      <w:r w:rsidR="00BC42F0" w:rsidRPr="0032234A">
        <w:rPr>
          <w:rFonts w:ascii="Palatino Linotype" w:eastAsia="Palatino Linotype" w:hAnsi="Palatino Linotype" w:cs="Palatino Linotype"/>
          <w:b/>
          <w:bCs/>
          <w:sz w:val="22"/>
          <w:szCs w:val="22"/>
        </w:rPr>
        <w:t>Sistema Municipal para el Desarrollo Integral de la Familia Municipio de Atenco</w:t>
      </w:r>
      <w:r w:rsidRPr="0032234A">
        <w:rPr>
          <w:rFonts w:ascii="Palatino Linotype" w:eastAsia="Palatino Linotype" w:hAnsi="Palatino Linotype" w:cs="Palatino Linotype"/>
          <w:b/>
          <w:sz w:val="22"/>
          <w:szCs w:val="22"/>
        </w:rPr>
        <w:t xml:space="preserve">, </w:t>
      </w:r>
      <w:r w:rsidRPr="0032234A">
        <w:rPr>
          <w:rFonts w:ascii="Palatino Linotype" w:eastAsia="Palatino Linotype" w:hAnsi="Palatino Linotype" w:cs="Palatino Linotype"/>
          <w:sz w:val="22"/>
          <w:szCs w:val="22"/>
        </w:rPr>
        <w:t xml:space="preserve">en lo sucesivo el </w:t>
      </w:r>
      <w:r w:rsidRPr="0032234A">
        <w:rPr>
          <w:rFonts w:ascii="Palatino Linotype" w:eastAsia="Palatino Linotype" w:hAnsi="Palatino Linotype" w:cs="Palatino Linotype"/>
          <w:b/>
          <w:sz w:val="22"/>
          <w:szCs w:val="22"/>
        </w:rPr>
        <w:t xml:space="preserve">Sujeto Obligado, </w:t>
      </w:r>
      <w:r w:rsidRPr="0032234A">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32234A" w:rsidRDefault="0064634F">
      <w:pPr>
        <w:spacing w:before="240" w:after="240" w:line="360" w:lineRule="auto"/>
        <w:jc w:val="center"/>
        <w:rPr>
          <w:rFonts w:ascii="Palatino Linotype" w:eastAsia="Palatino Linotype" w:hAnsi="Palatino Linotype" w:cs="Palatino Linotype"/>
          <w:b/>
          <w:sz w:val="22"/>
          <w:szCs w:val="22"/>
        </w:rPr>
      </w:pPr>
      <w:r w:rsidRPr="0032234A">
        <w:rPr>
          <w:rFonts w:ascii="Palatino Linotype" w:eastAsia="Palatino Linotype" w:hAnsi="Palatino Linotype" w:cs="Palatino Linotype"/>
          <w:b/>
          <w:sz w:val="22"/>
          <w:szCs w:val="22"/>
        </w:rPr>
        <w:t>I. A N T E C E D E N T E S</w:t>
      </w:r>
    </w:p>
    <w:p w14:paraId="47F55392" w14:textId="511F67C6" w:rsidR="008D2539" w:rsidRPr="0032234A" w:rsidRDefault="0064634F">
      <w:pPr>
        <w:spacing w:before="240" w:after="240"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b/>
          <w:sz w:val="22"/>
          <w:szCs w:val="22"/>
        </w:rPr>
        <w:t>1. Solicitud de acceso a la información.</w:t>
      </w:r>
      <w:r w:rsidRPr="0032234A">
        <w:rPr>
          <w:rFonts w:ascii="Palatino Linotype" w:eastAsia="Palatino Linotype" w:hAnsi="Palatino Linotype" w:cs="Palatino Linotype"/>
          <w:sz w:val="22"/>
          <w:szCs w:val="22"/>
        </w:rPr>
        <w:t xml:space="preserve"> El </w:t>
      </w:r>
      <w:r w:rsidR="006F4553" w:rsidRPr="0032234A">
        <w:rPr>
          <w:rFonts w:ascii="Palatino Linotype" w:eastAsia="Palatino Linotype" w:hAnsi="Palatino Linotype" w:cs="Palatino Linotype"/>
          <w:b/>
          <w:sz w:val="22"/>
          <w:szCs w:val="22"/>
        </w:rPr>
        <w:t>veinti</w:t>
      </w:r>
      <w:r w:rsidR="00D93C15" w:rsidRPr="0032234A">
        <w:rPr>
          <w:rFonts w:ascii="Palatino Linotype" w:eastAsia="Palatino Linotype" w:hAnsi="Palatino Linotype" w:cs="Palatino Linotype"/>
          <w:b/>
          <w:sz w:val="22"/>
          <w:szCs w:val="22"/>
        </w:rPr>
        <w:t>ocho</w:t>
      </w:r>
      <w:r w:rsidR="00BC42F0" w:rsidRPr="0032234A">
        <w:rPr>
          <w:rFonts w:ascii="Palatino Linotype" w:eastAsia="Palatino Linotype" w:hAnsi="Palatino Linotype" w:cs="Palatino Linotype"/>
          <w:b/>
          <w:sz w:val="22"/>
          <w:szCs w:val="22"/>
        </w:rPr>
        <w:t xml:space="preserve"> </w:t>
      </w:r>
      <w:r w:rsidRPr="0032234A">
        <w:rPr>
          <w:rFonts w:ascii="Palatino Linotype" w:eastAsia="Palatino Linotype" w:hAnsi="Palatino Linotype" w:cs="Palatino Linotype"/>
          <w:b/>
          <w:sz w:val="22"/>
          <w:szCs w:val="22"/>
        </w:rPr>
        <w:t xml:space="preserve">de </w:t>
      </w:r>
      <w:r w:rsidR="00E2006C" w:rsidRPr="0032234A">
        <w:rPr>
          <w:rFonts w:ascii="Palatino Linotype" w:eastAsia="Palatino Linotype" w:hAnsi="Palatino Linotype" w:cs="Palatino Linotype"/>
          <w:b/>
          <w:sz w:val="22"/>
          <w:szCs w:val="22"/>
        </w:rPr>
        <w:t>septiembre</w:t>
      </w:r>
      <w:r w:rsidRPr="0032234A">
        <w:rPr>
          <w:rFonts w:ascii="Palatino Linotype" w:eastAsia="Palatino Linotype" w:hAnsi="Palatino Linotype" w:cs="Palatino Linotype"/>
          <w:b/>
          <w:sz w:val="22"/>
          <w:szCs w:val="22"/>
        </w:rPr>
        <w:t xml:space="preserve"> de dos mil veinticinco,</w:t>
      </w:r>
      <w:r w:rsidRPr="0032234A">
        <w:rPr>
          <w:rFonts w:ascii="Palatino Linotype" w:eastAsia="Palatino Linotype" w:hAnsi="Palatino Linotype" w:cs="Palatino Linotype"/>
          <w:sz w:val="22"/>
          <w:szCs w:val="22"/>
        </w:rPr>
        <w:t xml:space="preserve"> </w:t>
      </w:r>
      <w:r w:rsidRPr="0032234A">
        <w:rPr>
          <w:rFonts w:ascii="Palatino Linotype" w:eastAsia="Palatino Linotype" w:hAnsi="Palatino Linotype" w:cs="Palatino Linotype"/>
          <w:b/>
          <w:sz w:val="22"/>
          <w:szCs w:val="22"/>
        </w:rPr>
        <w:t>la parte</w:t>
      </w:r>
      <w:r w:rsidRPr="0032234A">
        <w:rPr>
          <w:rFonts w:ascii="Palatino Linotype" w:eastAsia="Palatino Linotype" w:hAnsi="Palatino Linotype" w:cs="Palatino Linotype"/>
          <w:sz w:val="22"/>
          <w:szCs w:val="22"/>
        </w:rPr>
        <w:t xml:space="preserve"> </w:t>
      </w:r>
      <w:r w:rsidRPr="0032234A">
        <w:rPr>
          <w:rFonts w:ascii="Palatino Linotype" w:eastAsia="Palatino Linotype" w:hAnsi="Palatino Linotype" w:cs="Palatino Linotype"/>
          <w:b/>
          <w:sz w:val="22"/>
          <w:szCs w:val="22"/>
        </w:rPr>
        <w:t xml:space="preserve">Recurrente </w:t>
      </w:r>
      <w:r w:rsidRPr="0032234A">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32234A">
        <w:rPr>
          <w:rFonts w:ascii="Palatino Linotype" w:eastAsia="Palatino Linotype" w:hAnsi="Palatino Linotype" w:cs="Palatino Linotype"/>
          <w:b/>
          <w:sz w:val="22"/>
          <w:szCs w:val="22"/>
        </w:rPr>
        <w:t>Sujeto Obligado</w:t>
      </w:r>
      <w:r w:rsidRPr="0032234A">
        <w:rPr>
          <w:rFonts w:ascii="Palatino Linotype" w:eastAsia="Palatino Linotype" w:hAnsi="Palatino Linotype" w:cs="Palatino Linotype"/>
          <w:sz w:val="22"/>
          <w:szCs w:val="22"/>
        </w:rPr>
        <w:t>, la solicitud de acceso a la información pública a la que se le asignó el número</w:t>
      </w:r>
      <w:r w:rsidRPr="0032234A">
        <w:t xml:space="preserve"> </w:t>
      </w:r>
      <w:r w:rsidR="00BC42F0" w:rsidRPr="0032234A">
        <w:rPr>
          <w:rFonts w:ascii="Palatino Linotype" w:eastAsia="Palatino Linotype" w:hAnsi="Palatino Linotype" w:cs="Palatino Linotype"/>
          <w:b/>
          <w:bCs/>
          <w:sz w:val="22"/>
          <w:szCs w:val="22"/>
        </w:rPr>
        <w:t>000</w:t>
      </w:r>
      <w:r w:rsidR="006F4553" w:rsidRPr="0032234A">
        <w:rPr>
          <w:rFonts w:ascii="Palatino Linotype" w:eastAsia="Palatino Linotype" w:hAnsi="Palatino Linotype" w:cs="Palatino Linotype"/>
          <w:b/>
          <w:bCs/>
          <w:sz w:val="22"/>
          <w:szCs w:val="22"/>
        </w:rPr>
        <w:t>69</w:t>
      </w:r>
      <w:r w:rsidR="00BC42F0" w:rsidRPr="0032234A">
        <w:rPr>
          <w:rFonts w:ascii="Palatino Linotype" w:eastAsia="Palatino Linotype" w:hAnsi="Palatino Linotype" w:cs="Palatino Linotype"/>
          <w:b/>
          <w:bCs/>
          <w:sz w:val="22"/>
          <w:szCs w:val="22"/>
        </w:rPr>
        <w:t>/DIFATENCO/IP/2025</w:t>
      </w:r>
      <w:r w:rsidRPr="0032234A">
        <w:rPr>
          <w:rFonts w:ascii="Palatino Linotype" w:eastAsia="Palatino Linotype" w:hAnsi="Palatino Linotype" w:cs="Palatino Linotype"/>
          <w:b/>
          <w:sz w:val="22"/>
          <w:szCs w:val="22"/>
        </w:rPr>
        <w:t>;</w:t>
      </w:r>
      <w:r w:rsidRPr="0032234A">
        <w:rPr>
          <w:rFonts w:ascii="Palatino Linotype" w:eastAsia="Palatino Linotype" w:hAnsi="Palatino Linotype" w:cs="Palatino Linotype"/>
          <w:sz w:val="22"/>
          <w:szCs w:val="22"/>
        </w:rPr>
        <w:t xml:space="preserve"> </w:t>
      </w:r>
      <w:r w:rsidR="00D93C15" w:rsidRPr="0032234A">
        <w:rPr>
          <w:rFonts w:ascii="Palatino Linotype" w:eastAsia="Palatino Linotype" w:hAnsi="Palatino Linotype" w:cs="Palatino Linotype"/>
          <w:sz w:val="22"/>
          <w:szCs w:val="22"/>
        </w:rPr>
        <w:t xml:space="preserve">sin embargo al corresponder con un día inhábil, se tuvo por presentada el veintinueve de septiembre de dos mil veinticinco, </w:t>
      </w:r>
      <w:r w:rsidRPr="0032234A">
        <w:rPr>
          <w:rFonts w:ascii="Palatino Linotype" w:eastAsia="Palatino Linotype" w:hAnsi="Palatino Linotype" w:cs="Palatino Linotype"/>
          <w:sz w:val="22"/>
          <w:szCs w:val="22"/>
        </w:rPr>
        <w:t xml:space="preserve">mediante la cual requirió la información siguiente: </w:t>
      </w:r>
    </w:p>
    <w:p w14:paraId="2993DC1C" w14:textId="32A0556C" w:rsidR="008D2539" w:rsidRPr="0032234A" w:rsidRDefault="0064634F" w:rsidP="009C62BA">
      <w:pPr>
        <w:spacing w:before="240" w:after="240"/>
        <w:ind w:left="567" w:right="474"/>
        <w:jc w:val="both"/>
        <w:rPr>
          <w:rFonts w:ascii="Palatino Linotype" w:eastAsia="Palatino Linotype" w:hAnsi="Palatino Linotype" w:cs="Palatino Linotype"/>
          <w:i/>
          <w:sz w:val="22"/>
          <w:szCs w:val="22"/>
        </w:rPr>
      </w:pPr>
      <w:bookmarkStart w:id="3" w:name="_heading=h.gjdgxs" w:colFirst="0" w:colLast="0"/>
      <w:bookmarkEnd w:id="3"/>
      <w:r w:rsidRPr="0032234A">
        <w:rPr>
          <w:rFonts w:ascii="Palatino Linotype" w:eastAsia="Palatino Linotype" w:hAnsi="Palatino Linotype" w:cs="Palatino Linotype"/>
          <w:i/>
          <w:sz w:val="22"/>
          <w:szCs w:val="22"/>
        </w:rPr>
        <w:t>“</w:t>
      </w:r>
      <w:r w:rsidR="006F4553" w:rsidRPr="0032234A">
        <w:rPr>
          <w:rFonts w:ascii="Palatino Linotype" w:eastAsia="Palatino Linotype" w:hAnsi="Palatino Linotype" w:cs="Palatino Linotype"/>
          <w:i/>
          <w:sz w:val="22"/>
          <w:szCs w:val="22"/>
        </w:rPr>
        <w:t>solicito el Diario General de Pólizas del periodo del 01 de enero al 31 de enero 2025, 01 de febrero al 28 de febrero 2025, 01 de marzo al 31 de marzo 2025, 01 abril al 30 de abril 2025, 01 mayo al 31 de mayo 2025, 01 junio al 30 de junio 2025, 01 julio al 31de julio 2025, 01 agosto al 31 agosto 2025.</w:t>
      </w:r>
      <w:r w:rsidRPr="0032234A">
        <w:rPr>
          <w:rFonts w:ascii="Palatino Linotype" w:eastAsia="Palatino Linotype" w:hAnsi="Palatino Linotype" w:cs="Palatino Linotype"/>
          <w:i/>
          <w:sz w:val="22"/>
          <w:szCs w:val="22"/>
        </w:rPr>
        <w:t xml:space="preserve">” (Sic) </w:t>
      </w:r>
    </w:p>
    <w:p w14:paraId="286FF05F" w14:textId="77777777" w:rsidR="008D2539" w:rsidRPr="0032234A" w:rsidRDefault="0064634F">
      <w:pPr>
        <w:spacing w:before="240" w:after="240" w:line="360" w:lineRule="auto"/>
        <w:ind w:right="49"/>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b/>
          <w:sz w:val="22"/>
          <w:szCs w:val="22"/>
        </w:rPr>
        <w:t>Modalidad de Entrega:</w:t>
      </w:r>
      <w:r w:rsidRPr="0032234A">
        <w:rPr>
          <w:rFonts w:ascii="Palatino Linotype" w:eastAsia="Palatino Linotype" w:hAnsi="Palatino Linotype" w:cs="Palatino Linotype"/>
          <w:sz w:val="22"/>
          <w:szCs w:val="22"/>
        </w:rPr>
        <w:t xml:space="preserve"> a través del Sistema de Acceso a la Información Mexiquense (SAIMEX).</w:t>
      </w:r>
    </w:p>
    <w:p w14:paraId="696529F3" w14:textId="28EDEACC" w:rsidR="008D2539" w:rsidRPr="0032234A" w:rsidRDefault="0064634F" w:rsidP="00257BB6">
      <w:pPr>
        <w:spacing w:line="360" w:lineRule="auto"/>
        <w:jc w:val="both"/>
        <w:rPr>
          <w:rFonts w:ascii="Palatino Linotype" w:eastAsia="Palatino Linotype" w:hAnsi="Palatino Linotype" w:cs="Palatino Linotype"/>
          <w:b/>
          <w:sz w:val="22"/>
          <w:szCs w:val="22"/>
        </w:rPr>
      </w:pPr>
      <w:bookmarkStart w:id="4" w:name="_heading=h.3dy6vkm" w:colFirst="0" w:colLast="0"/>
      <w:bookmarkEnd w:id="4"/>
      <w:r w:rsidRPr="0032234A">
        <w:rPr>
          <w:rFonts w:ascii="Palatino Linotype" w:eastAsia="Palatino Linotype" w:hAnsi="Palatino Linotype" w:cs="Palatino Linotype"/>
          <w:b/>
          <w:sz w:val="22"/>
          <w:szCs w:val="22"/>
        </w:rPr>
        <w:lastRenderedPageBreak/>
        <w:t>2.</w:t>
      </w:r>
      <w:r w:rsidRPr="0032234A">
        <w:t xml:space="preserve"> </w:t>
      </w:r>
      <w:r w:rsidR="00E70AFA" w:rsidRPr="0032234A">
        <w:rPr>
          <w:rFonts w:ascii="Palatino Linotype" w:eastAsia="Palatino Linotype" w:hAnsi="Palatino Linotype" w:cs="Palatino Linotype"/>
          <w:b/>
          <w:sz w:val="22"/>
          <w:szCs w:val="22"/>
        </w:rPr>
        <w:t>R</w:t>
      </w:r>
      <w:r w:rsidRPr="0032234A">
        <w:rPr>
          <w:rFonts w:ascii="Palatino Linotype" w:eastAsia="Palatino Linotype" w:hAnsi="Palatino Linotype" w:cs="Palatino Linotype"/>
          <w:b/>
          <w:sz w:val="22"/>
          <w:szCs w:val="22"/>
        </w:rPr>
        <w:t xml:space="preserve">espuesta. </w:t>
      </w:r>
      <w:r w:rsidRPr="0032234A">
        <w:rPr>
          <w:rFonts w:ascii="Palatino Linotype" w:eastAsia="Palatino Linotype" w:hAnsi="Palatino Linotype" w:cs="Palatino Linotype"/>
          <w:sz w:val="22"/>
          <w:szCs w:val="22"/>
        </w:rPr>
        <w:t xml:space="preserve">El </w:t>
      </w:r>
      <w:r w:rsidR="006F4553" w:rsidRPr="0032234A">
        <w:rPr>
          <w:rFonts w:ascii="Palatino Linotype" w:eastAsia="Palatino Linotype" w:hAnsi="Palatino Linotype" w:cs="Palatino Linotype"/>
          <w:b/>
          <w:sz w:val="22"/>
          <w:szCs w:val="22"/>
        </w:rPr>
        <w:t>veinte</w:t>
      </w:r>
      <w:r w:rsidR="00257BB6" w:rsidRPr="0032234A">
        <w:rPr>
          <w:rFonts w:ascii="Palatino Linotype" w:eastAsia="Palatino Linotype" w:hAnsi="Palatino Linotype" w:cs="Palatino Linotype"/>
          <w:b/>
          <w:sz w:val="22"/>
          <w:szCs w:val="22"/>
        </w:rPr>
        <w:t xml:space="preserve"> de octubre</w:t>
      </w:r>
      <w:r w:rsidRPr="0032234A">
        <w:rPr>
          <w:rFonts w:ascii="Palatino Linotype" w:eastAsia="Palatino Linotype" w:hAnsi="Palatino Linotype" w:cs="Palatino Linotype"/>
          <w:b/>
          <w:sz w:val="22"/>
          <w:szCs w:val="22"/>
        </w:rPr>
        <w:t xml:space="preserve"> de dos mil veinticinco</w:t>
      </w:r>
      <w:r w:rsidRPr="0032234A">
        <w:rPr>
          <w:rFonts w:ascii="Palatino Linotype" w:eastAsia="Palatino Linotype" w:hAnsi="Palatino Linotype" w:cs="Palatino Linotype"/>
          <w:sz w:val="22"/>
          <w:szCs w:val="22"/>
        </w:rPr>
        <w:t xml:space="preserve">, el </w:t>
      </w:r>
      <w:r w:rsidRPr="0032234A">
        <w:rPr>
          <w:rFonts w:ascii="Palatino Linotype" w:eastAsia="Palatino Linotype" w:hAnsi="Palatino Linotype" w:cs="Palatino Linotype"/>
          <w:b/>
          <w:sz w:val="22"/>
          <w:szCs w:val="22"/>
        </w:rPr>
        <w:t xml:space="preserve">Sujeto Obligado </w:t>
      </w:r>
      <w:r w:rsidRPr="0032234A">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9074D61" w14:textId="1C7A0CE7" w:rsidR="008D2539" w:rsidRPr="0032234A" w:rsidRDefault="0064634F">
      <w:pPr>
        <w:spacing w:before="240" w:after="240"/>
        <w:ind w:left="567" w:right="902"/>
        <w:jc w:val="both"/>
        <w:rPr>
          <w:rFonts w:ascii="Palatino Linotype" w:eastAsia="Palatino Linotype" w:hAnsi="Palatino Linotype" w:cs="Palatino Linotype"/>
          <w:i/>
          <w:sz w:val="22"/>
          <w:szCs w:val="22"/>
        </w:rPr>
      </w:pPr>
      <w:r w:rsidRPr="0032234A">
        <w:rPr>
          <w:rFonts w:ascii="Palatino Linotype" w:eastAsia="Palatino Linotype" w:hAnsi="Palatino Linotype" w:cs="Palatino Linotype"/>
          <w:i/>
          <w:sz w:val="22"/>
          <w:szCs w:val="22"/>
        </w:rPr>
        <w:t>“</w:t>
      </w:r>
      <w:r w:rsidR="006F4553" w:rsidRPr="0032234A">
        <w:rPr>
          <w:rFonts w:ascii="Palatino Linotype" w:eastAsia="Palatino Linotype" w:hAnsi="Palatino Linotype" w:cs="Palatino Linotype"/>
          <w:i/>
          <w:sz w:val="22"/>
          <w:szCs w:val="22"/>
        </w:rPr>
        <w:t>C.SOLICITANTE PRESENTE En virtud de lo dispuesto por los artículos 1, 2, 3 fracción XLIV, 4, 12, 16, 23 fracción IV, 24 fracción XI y último párrafo, 50, 51, 53 fracciones II, IV, V y VI y 160 de la Ley de Transparencia y Acceso a la Información Pública del Estado de México y Municipios; en atención a su solicitud con número de folio 00069/DIFATENCO/IP/2025, generada a través de la plataforma digital denominada SAIMEX (Sistema De Acceso a la Información Mexiquense) donde requiere: “solicito el Diario General de Pólizas del periodo del 01 de enero al 31 de enero 2025, 01 de febrero al 28 de febrero 2025, 01 de marzo al 31 de marzo 2025, 01 abril al 30 de abril 2025, 01 mayo al 31 de mayo 2025, 01 junio al 30 de junio 2025, 01 julio al 31de julio 2025, 01 agosto al 31 agosto 2025" (Sic) Al respecto me permito hacerle de su conocimiento que dentro del presente se encuentra adjunta la respuesta otorgada por el L.E Joel Velázquez Alpuche, Tesorero del Sistema Municipal para el Desarrollo Integral de la Familia de Atenco, a través del oficio numero SMDIFA/TES/067/2025 de fecha Diez de Octubre del año en curso, con la información respecto a su solicitud. Esperando que la información proporcionada por este Sujeto Obligado sea de conformidad, se le informa que el Sistema de Acceso a la Información Mexiquense "SAIMEX" es para proporcionar información pública contenida en los documentos que los sujetos obligados posean, archiven, generen o administren, esto de conformidad con el arábigo 12 párrafo segundo de la Ley de Transparencia y Acceso a la Información Pública del Estado de México y Municipios</w:t>
      </w:r>
      <w:r w:rsidRPr="0032234A">
        <w:rPr>
          <w:rFonts w:ascii="Palatino Linotype" w:eastAsia="Palatino Linotype" w:hAnsi="Palatino Linotype" w:cs="Palatino Linotype"/>
          <w:i/>
          <w:sz w:val="22"/>
          <w:szCs w:val="22"/>
        </w:rPr>
        <w:t>” (Sic)</w:t>
      </w:r>
    </w:p>
    <w:p w14:paraId="583076FA" w14:textId="77777777" w:rsidR="008D2539" w:rsidRPr="0032234A"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 xml:space="preserve">Adjunto a la respuesta, el </w:t>
      </w:r>
      <w:r w:rsidRPr="0032234A">
        <w:rPr>
          <w:rFonts w:ascii="Palatino Linotype" w:eastAsia="Palatino Linotype" w:hAnsi="Palatino Linotype" w:cs="Palatino Linotype"/>
          <w:b/>
          <w:sz w:val="22"/>
          <w:szCs w:val="22"/>
        </w:rPr>
        <w:t xml:space="preserve">Sujeto Obligado </w:t>
      </w:r>
      <w:r w:rsidRPr="0032234A">
        <w:rPr>
          <w:rFonts w:ascii="Palatino Linotype" w:eastAsia="Palatino Linotype" w:hAnsi="Palatino Linotype" w:cs="Palatino Linotype"/>
          <w:sz w:val="22"/>
          <w:szCs w:val="22"/>
        </w:rPr>
        <w:t>hizo entrega de la siguiente información:</w:t>
      </w:r>
    </w:p>
    <w:p w14:paraId="56512E82" w14:textId="77777777" w:rsidR="008D2539" w:rsidRPr="0032234A" w:rsidRDefault="008D2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944A183" w14:textId="4E708B2F" w:rsidR="00546E0D" w:rsidRPr="0032234A" w:rsidRDefault="00546E0D" w:rsidP="006F4553">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Oficio del 06 de octubre de 2025, a través del cual el Titular de la Unidad de Transparencia turna la solicitud de información al Tesorero del Organismo.</w:t>
      </w:r>
    </w:p>
    <w:p w14:paraId="26BEE6EC" w14:textId="37EB970F" w:rsidR="006F4553" w:rsidRPr="0032234A" w:rsidRDefault="006F4553" w:rsidP="006F4553">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Oficio del 10 de octubre de 2025, a través del cual el Tesorero del Organismo indica que remite lo solicitado.</w:t>
      </w:r>
    </w:p>
    <w:p w14:paraId="4F8F5DC3" w14:textId="1D49794B" w:rsidR="00DB1F52" w:rsidRPr="0032234A" w:rsidRDefault="006F4553" w:rsidP="006F4553">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Diario General de Pólizas del 01 al 31 de enero de 2025;</w:t>
      </w:r>
    </w:p>
    <w:p w14:paraId="2B7FCADF" w14:textId="75F9D264" w:rsidR="00546E0D" w:rsidRPr="0032234A" w:rsidRDefault="00546E0D" w:rsidP="00546E0D">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lastRenderedPageBreak/>
        <w:t>Diario General de Pólizas del 01 al 28 de febrero de 2025;</w:t>
      </w:r>
    </w:p>
    <w:p w14:paraId="104ADBAC" w14:textId="51B70D0E" w:rsidR="00546E0D" w:rsidRPr="0032234A" w:rsidRDefault="00546E0D" w:rsidP="00546E0D">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Diario General de Pólizas del 01 al 31 de marzo de 2025;</w:t>
      </w:r>
    </w:p>
    <w:p w14:paraId="0C09415D" w14:textId="06ECF1B4" w:rsidR="00546E0D" w:rsidRPr="0032234A" w:rsidRDefault="00546E0D" w:rsidP="00546E0D">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Diario</w:t>
      </w:r>
      <w:r w:rsidR="006555BF" w:rsidRPr="0032234A">
        <w:rPr>
          <w:rFonts w:ascii="Palatino Linotype" w:eastAsia="Palatino Linotype" w:hAnsi="Palatino Linotype" w:cs="Palatino Linotype"/>
          <w:sz w:val="22"/>
          <w:szCs w:val="22"/>
        </w:rPr>
        <w:t xml:space="preserve"> General de Pólizas del 01 al 30</w:t>
      </w:r>
      <w:r w:rsidRPr="0032234A">
        <w:rPr>
          <w:rFonts w:ascii="Palatino Linotype" w:eastAsia="Palatino Linotype" w:hAnsi="Palatino Linotype" w:cs="Palatino Linotype"/>
          <w:sz w:val="22"/>
          <w:szCs w:val="22"/>
        </w:rPr>
        <w:t xml:space="preserve"> de abril de 2025;</w:t>
      </w:r>
    </w:p>
    <w:p w14:paraId="14B08775" w14:textId="37C44450" w:rsidR="006555BF" w:rsidRPr="0032234A" w:rsidRDefault="006555BF" w:rsidP="006555BF">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Diario General de Pólizas del 01 al 31 de mayo de 2025;</w:t>
      </w:r>
    </w:p>
    <w:p w14:paraId="6A04EC25" w14:textId="4B30D08D" w:rsidR="006555BF" w:rsidRPr="0032234A" w:rsidRDefault="006555BF" w:rsidP="006555BF">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Diario General de Pólizas del 01 al 30 de junio de 2025;</w:t>
      </w:r>
    </w:p>
    <w:p w14:paraId="1BA777B1" w14:textId="4FBEBD16" w:rsidR="006F4553" w:rsidRPr="0032234A" w:rsidRDefault="006F4553" w:rsidP="006F4553">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Diario General de Pólizas del 01 al 31 de julio de 2025;</w:t>
      </w:r>
      <w:r w:rsidR="006555BF" w:rsidRPr="0032234A">
        <w:rPr>
          <w:rFonts w:ascii="Palatino Linotype" w:eastAsia="Palatino Linotype" w:hAnsi="Palatino Linotype" w:cs="Palatino Linotype"/>
          <w:sz w:val="22"/>
          <w:szCs w:val="22"/>
        </w:rPr>
        <w:t xml:space="preserve"> y,</w:t>
      </w:r>
    </w:p>
    <w:p w14:paraId="4A48D6A2" w14:textId="197BA523" w:rsidR="00546E0D" w:rsidRPr="0032234A" w:rsidRDefault="00546E0D" w:rsidP="00546E0D">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Diario General de Pólizas</w:t>
      </w:r>
      <w:r w:rsidR="006555BF" w:rsidRPr="0032234A">
        <w:rPr>
          <w:rFonts w:ascii="Palatino Linotype" w:eastAsia="Palatino Linotype" w:hAnsi="Palatino Linotype" w:cs="Palatino Linotype"/>
          <w:sz w:val="22"/>
          <w:szCs w:val="22"/>
        </w:rPr>
        <w:t xml:space="preserve"> del 01 al 30 de agosto de 2025.</w:t>
      </w:r>
    </w:p>
    <w:p w14:paraId="75CD82E9" w14:textId="77777777" w:rsidR="006F4553" w:rsidRPr="0032234A" w:rsidRDefault="006F4553" w:rsidP="005D6CD8">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4F085D23" w14:textId="38C2EB7F" w:rsidR="008D2539" w:rsidRPr="0032234A" w:rsidRDefault="005B51FB" w:rsidP="00DB1F52">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32234A">
        <w:rPr>
          <w:rFonts w:ascii="Palatino Linotype" w:eastAsia="Palatino Linotype" w:hAnsi="Palatino Linotype" w:cs="Palatino Linotype"/>
          <w:b/>
          <w:sz w:val="22"/>
          <w:szCs w:val="22"/>
        </w:rPr>
        <w:t>4</w:t>
      </w:r>
      <w:r w:rsidR="0064634F" w:rsidRPr="0032234A">
        <w:rPr>
          <w:rFonts w:ascii="Palatino Linotype" w:eastAsia="Palatino Linotype" w:hAnsi="Palatino Linotype" w:cs="Palatino Linotype"/>
          <w:b/>
          <w:sz w:val="22"/>
          <w:szCs w:val="22"/>
        </w:rPr>
        <w:t xml:space="preserve">. Interposición del recurso de revisión. </w:t>
      </w:r>
      <w:r w:rsidR="0064634F" w:rsidRPr="0032234A">
        <w:rPr>
          <w:rFonts w:ascii="Palatino Linotype" w:eastAsia="Palatino Linotype" w:hAnsi="Palatino Linotype" w:cs="Palatino Linotype"/>
          <w:sz w:val="22"/>
          <w:szCs w:val="22"/>
        </w:rPr>
        <w:t xml:space="preserve">Inconforme con los términos de la respuesta emitida por parte del </w:t>
      </w:r>
      <w:r w:rsidR="0064634F" w:rsidRPr="0032234A">
        <w:rPr>
          <w:rFonts w:ascii="Palatino Linotype" w:eastAsia="Palatino Linotype" w:hAnsi="Palatino Linotype" w:cs="Palatino Linotype"/>
          <w:b/>
          <w:sz w:val="22"/>
          <w:szCs w:val="22"/>
        </w:rPr>
        <w:t>Sujeto Obligado</w:t>
      </w:r>
      <w:r w:rsidR="0064634F" w:rsidRPr="0032234A">
        <w:rPr>
          <w:rFonts w:ascii="Palatino Linotype" w:eastAsia="Palatino Linotype" w:hAnsi="Palatino Linotype" w:cs="Palatino Linotype"/>
          <w:sz w:val="22"/>
          <w:szCs w:val="22"/>
        </w:rPr>
        <w:t>, el</w:t>
      </w:r>
      <w:r w:rsidR="0064634F" w:rsidRPr="0032234A">
        <w:rPr>
          <w:rFonts w:ascii="Palatino Linotype" w:eastAsia="Palatino Linotype" w:hAnsi="Palatino Linotype" w:cs="Palatino Linotype"/>
          <w:b/>
          <w:sz w:val="22"/>
          <w:szCs w:val="22"/>
        </w:rPr>
        <w:t xml:space="preserve"> </w:t>
      </w:r>
      <w:r w:rsidR="00876B8F" w:rsidRPr="0032234A">
        <w:rPr>
          <w:rFonts w:ascii="Palatino Linotype" w:eastAsia="Palatino Linotype" w:hAnsi="Palatino Linotype" w:cs="Palatino Linotype"/>
          <w:b/>
          <w:sz w:val="22"/>
          <w:szCs w:val="22"/>
        </w:rPr>
        <w:t>cuatro de noviembre</w:t>
      </w:r>
      <w:r w:rsidR="00404314" w:rsidRPr="0032234A">
        <w:rPr>
          <w:rFonts w:ascii="Palatino Linotype" w:eastAsia="Palatino Linotype" w:hAnsi="Palatino Linotype" w:cs="Palatino Linotype"/>
          <w:b/>
          <w:sz w:val="22"/>
          <w:szCs w:val="22"/>
        </w:rPr>
        <w:t xml:space="preserve"> de dos mil veinticinco</w:t>
      </w:r>
      <w:r w:rsidR="0064634F" w:rsidRPr="0032234A">
        <w:rPr>
          <w:rFonts w:ascii="Palatino Linotype" w:eastAsia="Palatino Linotype" w:hAnsi="Palatino Linotype" w:cs="Palatino Linotype"/>
          <w:b/>
          <w:sz w:val="22"/>
          <w:szCs w:val="22"/>
        </w:rPr>
        <w:t>,</w:t>
      </w:r>
      <w:r w:rsidR="0064634F" w:rsidRPr="0032234A">
        <w:rPr>
          <w:rFonts w:ascii="Palatino Linotype" w:eastAsia="Palatino Linotype" w:hAnsi="Palatino Linotype" w:cs="Palatino Linotype"/>
          <w:sz w:val="22"/>
          <w:szCs w:val="22"/>
        </w:rPr>
        <w:t xml:space="preserve"> </w:t>
      </w:r>
      <w:r w:rsidR="0064634F" w:rsidRPr="0032234A">
        <w:rPr>
          <w:rFonts w:ascii="Palatino Linotype" w:eastAsia="Palatino Linotype" w:hAnsi="Palatino Linotype" w:cs="Palatino Linotype"/>
          <w:b/>
          <w:sz w:val="22"/>
          <w:szCs w:val="22"/>
        </w:rPr>
        <w:t>la parte</w:t>
      </w:r>
      <w:r w:rsidR="0064634F" w:rsidRPr="0032234A">
        <w:rPr>
          <w:rFonts w:ascii="Palatino Linotype" w:eastAsia="Palatino Linotype" w:hAnsi="Palatino Linotype" w:cs="Palatino Linotype"/>
          <w:sz w:val="22"/>
          <w:szCs w:val="22"/>
        </w:rPr>
        <w:t xml:space="preserve"> </w:t>
      </w:r>
      <w:r w:rsidR="0064634F" w:rsidRPr="0032234A">
        <w:rPr>
          <w:rFonts w:ascii="Palatino Linotype" w:eastAsia="Palatino Linotype" w:hAnsi="Palatino Linotype" w:cs="Palatino Linotype"/>
          <w:b/>
          <w:sz w:val="22"/>
          <w:szCs w:val="22"/>
        </w:rPr>
        <w:t>Recurrente</w:t>
      </w:r>
      <w:r w:rsidR="0064634F" w:rsidRPr="0032234A">
        <w:rPr>
          <w:rFonts w:ascii="Palatino Linotype" w:eastAsia="Palatino Linotype" w:hAnsi="Palatino Linotype" w:cs="Palatino Linotype"/>
          <w:sz w:val="22"/>
          <w:szCs w:val="22"/>
        </w:rPr>
        <w:t xml:space="preserve"> interpuso el recurso de revisión a través de </w:t>
      </w:r>
      <w:r w:rsidR="0064634F" w:rsidRPr="0032234A">
        <w:rPr>
          <w:rFonts w:ascii="Palatino Linotype" w:eastAsia="Palatino Linotype" w:hAnsi="Palatino Linotype" w:cs="Palatino Linotype"/>
          <w:b/>
          <w:sz w:val="22"/>
          <w:szCs w:val="22"/>
        </w:rPr>
        <w:t xml:space="preserve">SAIMEX; </w:t>
      </w:r>
      <w:r w:rsidR="0064634F" w:rsidRPr="0032234A">
        <w:rPr>
          <w:rFonts w:ascii="Palatino Linotype" w:eastAsia="Palatino Linotype" w:hAnsi="Palatino Linotype" w:cs="Palatino Linotype"/>
          <w:sz w:val="22"/>
          <w:szCs w:val="22"/>
        </w:rPr>
        <w:t>en donde se manifestó de la siguiente manera:</w:t>
      </w:r>
    </w:p>
    <w:p w14:paraId="0EE9EFA5" w14:textId="0C80B608" w:rsidR="008D2539" w:rsidRPr="0032234A"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32234A">
        <w:rPr>
          <w:rFonts w:ascii="Palatino Linotype" w:eastAsia="Palatino Linotype" w:hAnsi="Palatino Linotype" w:cs="Palatino Linotype"/>
          <w:b/>
          <w:sz w:val="22"/>
          <w:szCs w:val="22"/>
        </w:rPr>
        <w:t xml:space="preserve">a) Acto impugnado: </w:t>
      </w:r>
      <w:r w:rsidRPr="0032234A">
        <w:rPr>
          <w:rFonts w:ascii="Palatino Linotype" w:eastAsia="Palatino Linotype" w:hAnsi="Palatino Linotype" w:cs="Palatino Linotype"/>
          <w:i/>
          <w:sz w:val="22"/>
          <w:szCs w:val="22"/>
        </w:rPr>
        <w:t>“</w:t>
      </w:r>
      <w:r w:rsidR="00876B8F" w:rsidRPr="0032234A">
        <w:rPr>
          <w:rFonts w:ascii="Palatino Linotype" w:eastAsia="Palatino Linotype" w:hAnsi="Palatino Linotype" w:cs="Palatino Linotype"/>
          <w:i/>
          <w:sz w:val="22"/>
          <w:szCs w:val="22"/>
        </w:rPr>
        <w:t>INFORMACION INCOMPLETA</w:t>
      </w:r>
      <w:r w:rsidRPr="0032234A">
        <w:rPr>
          <w:rFonts w:ascii="Palatino Linotype" w:eastAsia="Palatino Linotype" w:hAnsi="Palatino Linotype" w:cs="Palatino Linotype"/>
          <w:i/>
          <w:sz w:val="22"/>
          <w:szCs w:val="22"/>
        </w:rPr>
        <w:t>” (Sic)</w:t>
      </w:r>
    </w:p>
    <w:p w14:paraId="3F9B3DF2" w14:textId="0E7CAFAD" w:rsidR="008D2539" w:rsidRPr="0032234A" w:rsidRDefault="0064634F">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32234A">
        <w:rPr>
          <w:rFonts w:ascii="Palatino Linotype" w:eastAsia="Palatino Linotype" w:hAnsi="Palatino Linotype" w:cs="Palatino Linotype"/>
          <w:b/>
          <w:sz w:val="22"/>
          <w:szCs w:val="22"/>
        </w:rPr>
        <w:t>b) Razones o motivos de inconformidad</w:t>
      </w:r>
      <w:r w:rsidRPr="0032234A">
        <w:rPr>
          <w:rFonts w:ascii="Palatino Linotype" w:eastAsia="Palatino Linotype" w:hAnsi="Palatino Linotype" w:cs="Palatino Linotype"/>
          <w:sz w:val="22"/>
          <w:szCs w:val="22"/>
        </w:rPr>
        <w:t xml:space="preserve">: </w:t>
      </w:r>
      <w:r w:rsidRPr="0032234A">
        <w:rPr>
          <w:rFonts w:ascii="Palatino Linotype" w:eastAsia="Palatino Linotype" w:hAnsi="Palatino Linotype" w:cs="Palatino Linotype"/>
          <w:i/>
          <w:sz w:val="22"/>
          <w:szCs w:val="22"/>
        </w:rPr>
        <w:t>“</w:t>
      </w:r>
      <w:r w:rsidR="00876B8F" w:rsidRPr="0032234A">
        <w:rPr>
          <w:rFonts w:ascii="Palatino Linotype" w:eastAsia="Palatino Linotype" w:hAnsi="Palatino Linotype" w:cs="Palatino Linotype"/>
          <w:b/>
          <w:i/>
          <w:sz w:val="22"/>
          <w:szCs w:val="22"/>
          <w:u w:val="single"/>
        </w:rPr>
        <w:t>NO ENTREGAN LA INFORMACION COMPROBATORIA</w:t>
      </w:r>
      <w:r w:rsidR="00876B8F" w:rsidRPr="0032234A">
        <w:rPr>
          <w:rFonts w:ascii="Palatino Linotype" w:eastAsia="Palatino Linotype" w:hAnsi="Palatino Linotype" w:cs="Palatino Linotype"/>
          <w:b/>
          <w:i/>
          <w:sz w:val="22"/>
          <w:szCs w:val="22"/>
        </w:rPr>
        <w:t xml:space="preserve"> QUE SOPORTA LA INFORMACION ENTREGADA</w:t>
      </w:r>
      <w:r w:rsidRPr="0032234A">
        <w:rPr>
          <w:rFonts w:ascii="Palatino Linotype" w:eastAsia="Palatino Linotype" w:hAnsi="Palatino Linotype" w:cs="Palatino Linotype"/>
          <w:i/>
          <w:sz w:val="22"/>
          <w:szCs w:val="22"/>
        </w:rPr>
        <w:t>” (Sic)</w:t>
      </w:r>
    </w:p>
    <w:p w14:paraId="2A442BFF" w14:textId="1458A524" w:rsidR="00A3044A" w:rsidRPr="0032234A" w:rsidRDefault="00A3044A">
      <w:pPr>
        <w:spacing w:line="276" w:lineRule="auto"/>
        <w:ind w:left="567" w:right="900"/>
        <w:jc w:val="both"/>
        <w:rPr>
          <w:rFonts w:ascii="Palatino Linotype" w:eastAsia="Palatino Linotype" w:hAnsi="Palatino Linotype" w:cs="Palatino Linotype"/>
          <w:i/>
          <w:sz w:val="22"/>
          <w:szCs w:val="22"/>
        </w:rPr>
      </w:pPr>
    </w:p>
    <w:p w14:paraId="41A43ED0" w14:textId="77777777" w:rsidR="008D2539" w:rsidRPr="0032234A" w:rsidRDefault="008D2539">
      <w:pPr>
        <w:spacing w:line="276" w:lineRule="auto"/>
        <w:ind w:left="567" w:right="900"/>
        <w:jc w:val="both"/>
        <w:rPr>
          <w:rFonts w:ascii="Palatino Linotype" w:eastAsia="Palatino Linotype" w:hAnsi="Palatino Linotype" w:cs="Palatino Linotype"/>
          <w:i/>
          <w:sz w:val="22"/>
          <w:szCs w:val="22"/>
        </w:rPr>
      </w:pPr>
    </w:p>
    <w:p w14:paraId="550A797E" w14:textId="22B98EC4" w:rsidR="008D2539" w:rsidRPr="0032234A" w:rsidRDefault="005B51FB">
      <w:pPr>
        <w:spacing w:line="360" w:lineRule="auto"/>
        <w:ind w:right="51"/>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b/>
          <w:sz w:val="22"/>
          <w:szCs w:val="22"/>
        </w:rPr>
        <w:t>5</w:t>
      </w:r>
      <w:r w:rsidR="0064634F" w:rsidRPr="0032234A">
        <w:rPr>
          <w:rFonts w:ascii="Palatino Linotype" w:eastAsia="Palatino Linotype" w:hAnsi="Palatino Linotype" w:cs="Palatino Linotype"/>
          <w:b/>
          <w:sz w:val="22"/>
          <w:szCs w:val="22"/>
        </w:rPr>
        <w:t xml:space="preserve">. Turno. </w:t>
      </w:r>
      <w:r w:rsidR="0064634F" w:rsidRPr="0032234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4634F" w:rsidRPr="0032234A">
        <w:rPr>
          <w:rFonts w:ascii="Palatino Linotype" w:eastAsia="Palatino Linotype" w:hAnsi="Palatino Linotype" w:cs="Palatino Linotype"/>
          <w:b/>
          <w:sz w:val="22"/>
          <w:szCs w:val="22"/>
        </w:rPr>
        <w:t xml:space="preserve">Guadalupe Ramírez Peña, </w:t>
      </w:r>
      <w:r w:rsidR="0064634F" w:rsidRPr="0032234A">
        <w:rPr>
          <w:rFonts w:ascii="Palatino Linotype" w:eastAsia="Palatino Linotype" w:hAnsi="Palatino Linotype" w:cs="Palatino Linotype"/>
          <w:sz w:val="22"/>
          <w:szCs w:val="22"/>
        </w:rPr>
        <w:t>a efecto de que analizara sobre su admisión o su desechamiento.</w:t>
      </w:r>
    </w:p>
    <w:p w14:paraId="0DE3BF01" w14:textId="77777777" w:rsidR="008D2539" w:rsidRPr="0032234A" w:rsidRDefault="008D2539">
      <w:pPr>
        <w:spacing w:line="360" w:lineRule="auto"/>
        <w:ind w:right="51"/>
        <w:jc w:val="both"/>
        <w:rPr>
          <w:rFonts w:ascii="Palatino Linotype" w:eastAsia="Palatino Linotype" w:hAnsi="Palatino Linotype" w:cs="Palatino Linotype"/>
          <w:sz w:val="22"/>
          <w:szCs w:val="22"/>
        </w:rPr>
      </w:pPr>
    </w:p>
    <w:p w14:paraId="75232FE0" w14:textId="36753653" w:rsidR="008D2539" w:rsidRPr="0032234A" w:rsidRDefault="005B51FB">
      <w:pP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b/>
          <w:sz w:val="22"/>
          <w:szCs w:val="22"/>
        </w:rPr>
        <w:t>6.</w:t>
      </w:r>
      <w:r w:rsidR="0064634F" w:rsidRPr="0032234A">
        <w:rPr>
          <w:rFonts w:ascii="Palatino Linotype" w:eastAsia="Palatino Linotype" w:hAnsi="Palatino Linotype" w:cs="Palatino Linotype"/>
          <w:b/>
          <w:sz w:val="22"/>
          <w:szCs w:val="22"/>
        </w:rPr>
        <w:t xml:space="preserve"> Admisión del Recurso de revisión.</w:t>
      </w:r>
      <w:r w:rsidR="0064634F" w:rsidRPr="0032234A">
        <w:rPr>
          <w:rFonts w:ascii="Palatino Linotype" w:eastAsia="Palatino Linotype" w:hAnsi="Palatino Linotype" w:cs="Palatino Linotype"/>
          <w:sz w:val="22"/>
          <w:szCs w:val="22"/>
        </w:rPr>
        <w:t xml:space="preserve"> El </w:t>
      </w:r>
      <w:r w:rsidR="005D6CD8" w:rsidRPr="0032234A">
        <w:rPr>
          <w:rFonts w:ascii="Palatino Linotype" w:eastAsia="Palatino Linotype" w:hAnsi="Palatino Linotype" w:cs="Palatino Linotype"/>
          <w:b/>
          <w:sz w:val="22"/>
          <w:szCs w:val="22"/>
        </w:rPr>
        <w:t>siete</w:t>
      </w:r>
      <w:r w:rsidR="007D2F3C" w:rsidRPr="0032234A">
        <w:rPr>
          <w:rFonts w:ascii="Palatino Linotype" w:eastAsia="Palatino Linotype" w:hAnsi="Palatino Linotype" w:cs="Palatino Linotype"/>
          <w:b/>
          <w:sz w:val="22"/>
          <w:szCs w:val="22"/>
        </w:rPr>
        <w:t xml:space="preserve"> de </w:t>
      </w:r>
      <w:r w:rsidR="005D6CD8" w:rsidRPr="0032234A">
        <w:rPr>
          <w:rFonts w:ascii="Palatino Linotype" w:eastAsia="Palatino Linotype" w:hAnsi="Palatino Linotype" w:cs="Palatino Linotype"/>
          <w:b/>
          <w:sz w:val="22"/>
          <w:szCs w:val="22"/>
        </w:rPr>
        <w:t>noviembre</w:t>
      </w:r>
      <w:r w:rsidR="0064634F" w:rsidRPr="0032234A">
        <w:rPr>
          <w:rFonts w:ascii="Palatino Linotype" w:eastAsia="Palatino Linotype" w:hAnsi="Palatino Linotype" w:cs="Palatino Linotype"/>
          <w:b/>
          <w:sz w:val="22"/>
          <w:szCs w:val="22"/>
        </w:rPr>
        <w:t xml:space="preserve"> de dos mil veinticinco, </w:t>
      </w:r>
      <w:r w:rsidR="0064634F" w:rsidRPr="0032234A">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32234A">
        <w:rPr>
          <w:rFonts w:ascii="Palatino Linotype" w:eastAsia="Palatino Linotype" w:hAnsi="Palatino Linotype" w:cs="Palatino Linotype"/>
          <w:b/>
          <w:sz w:val="22"/>
          <w:szCs w:val="22"/>
        </w:rPr>
        <w:t xml:space="preserve">Sujeto Obligado </w:t>
      </w:r>
      <w:r w:rsidR="0064634F" w:rsidRPr="0032234A">
        <w:rPr>
          <w:rFonts w:ascii="Palatino Linotype" w:eastAsia="Palatino Linotype" w:hAnsi="Palatino Linotype" w:cs="Palatino Linotype"/>
          <w:sz w:val="22"/>
          <w:szCs w:val="22"/>
        </w:rPr>
        <w:t>presentara su informe justificado.</w:t>
      </w:r>
    </w:p>
    <w:p w14:paraId="61F08C26" w14:textId="77777777" w:rsidR="008D2539" w:rsidRPr="0032234A" w:rsidRDefault="008D2539">
      <w:pPr>
        <w:spacing w:line="360" w:lineRule="auto"/>
        <w:jc w:val="both"/>
        <w:rPr>
          <w:rFonts w:ascii="Palatino Linotype" w:eastAsia="Palatino Linotype" w:hAnsi="Palatino Linotype" w:cs="Palatino Linotype"/>
          <w:sz w:val="22"/>
          <w:szCs w:val="22"/>
        </w:rPr>
      </w:pPr>
    </w:p>
    <w:p w14:paraId="643D7DAC" w14:textId="133D7445" w:rsidR="008D2539" w:rsidRPr="0032234A" w:rsidRDefault="005B51F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32234A">
        <w:rPr>
          <w:rFonts w:ascii="Palatino Linotype" w:eastAsia="Palatino Linotype" w:hAnsi="Palatino Linotype" w:cs="Palatino Linotype"/>
          <w:b/>
          <w:sz w:val="22"/>
          <w:szCs w:val="22"/>
        </w:rPr>
        <w:t>7</w:t>
      </w:r>
      <w:r w:rsidR="0064634F" w:rsidRPr="0032234A">
        <w:rPr>
          <w:rFonts w:ascii="Palatino Linotype" w:eastAsia="Palatino Linotype" w:hAnsi="Palatino Linotype" w:cs="Palatino Linotype"/>
          <w:b/>
          <w:sz w:val="22"/>
          <w:szCs w:val="22"/>
        </w:rPr>
        <w:t>. Manifestaciones</w:t>
      </w:r>
      <w:r w:rsidR="0064634F" w:rsidRPr="0032234A">
        <w:rPr>
          <w:rFonts w:ascii="Palatino Linotype" w:eastAsia="Palatino Linotype" w:hAnsi="Palatino Linotype" w:cs="Palatino Linotype"/>
          <w:sz w:val="22"/>
          <w:szCs w:val="22"/>
        </w:rPr>
        <w:t xml:space="preserve">. De las constancias que integran el expediente en que se actúa se advierte que </w:t>
      </w:r>
      <w:r w:rsidR="00782574" w:rsidRPr="0032234A">
        <w:rPr>
          <w:rFonts w:ascii="Palatino Linotype" w:eastAsia="Palatino Linotype" w:hAnsi="Palatino Linotype" w:cs="Palatino Linotype"/>
          <w:sz w:val="22"/>
          <w:szCs w:val="22"/>
        </w:rPr>
        <w:t>las partes fueron omisas en hacer valer manifestaciones como se muestra</w:t>
      </w:r>
      <w:r w:rsidR="00E70AFA" w:rsidRPr="0032234A">
        <w:rPr>
          <w:rFonts w:ascii="Palatino Linotype" w:eastAsia="Palatino Linotype" w:hAnsi="Palatino Linotype" w:cs="Palatino Linotype"/>
          <w:sz w:val="22"/>
          <w:szCs w:val="22"/>
        </w:rPr>
        <w:t>:</w:t>
      </w:r>
    </w:p>
    <w:p w14:paraId="11BEAA95" w14:textId="77777777" w:rsidR="005D6CD8" w:rsidRPr="0032234A" w:rsidRDefault="005D6CD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3D30D73" w14:textId="2133D934" w:rsidR="00E70AFA" w:rsidRPr="0032234A" w:rsidRDefault="005D6CD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noProof/>
          <w:sz w:val="22"/>
          <w:szCs w:val="22"/>
        </w:rPr>
        <w:drawing>
          <wp:inline distT="0" distB="0" distL="0" distR="0" wp14:anchorId="5D205C6E" wp14:editId="3608FC2A">
            <wp:extent cx="5612130" cy="138366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383665"/>
                    </a:xfrm>
                    <a:prstGeom prst="rect">
                      <a:avLst/>
                    </a:prstGeom>
                  </pic:spPr>
                </pic:pic>
              </a:graphicData>
            </a:graphic>
          </wp:inline>
        </w:drawing>
      </w:r>
    </w:p>
    <w:p w14:paraId="111AE505" w14:textId="77777777" w:rsidR="00315E8D" w:rsidRPr="0032234A" w:rsidRDefault="00315E8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1FB93E51" w14:textId="2DEDF773" w:rsidR="00717D13" w:rsidRPr="0032234A" w:rsidRDefault="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b/>
          <w:sz w:val="22"/>
          <w:szCs w:val="22"/>
        </w:rPr>
        <w:t xml:space="preserve">8. </w:t>
      </w:r>
      <w:r w:rsidR="0064634F" w:rsidRPr="0032234A">
        <w:rPr>
          <w:rFonts w:ascii="Palatino Linotype" w:eastAsia="Palatino Linotype" w:hAnsi="Palatino Linotype" w:cs="Palatino Linotype"/>
          <w:b/>
          <w:sz w:val="22"/>
          <w:szCs w:val="22"/>
        </w:rPr>
        <w:t xml:space="preserve">Cierre de instrucción. </w:t>
      </w:r>
      <w:r w:rsidR="0064634F" w:rsidRPr="0032234A">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9C62BA" w:rsidRPr="0032234A">
        <w:rPr>
          <w:rFonts w:ascii="Palatino Linotype" w:eastAsia="Palatino Linotype" w:hAnsi="Palatino Linotype" w:cs="Palatino Linotype"/>
          <w:b/>
          <w:sz w:val="22"/>
          <w:szCs w:val="22"/>
        </w:rPr>
        <w:t>veinti</w:t>
      </w:r>
      <w:r w:rsidR="00315E8D" w:rsidRPr="0032234A">
        <w:rPr>
          <w:rFonts w:ascii="Palatino Linotype" w:eastAsia="Palatino Linotype" w:hAnsi="Palatino Linotype" w:cs="Palatino Linotype"/>
          <w:b/>
          <w:sz w:val="22"/>
          <w:szCs w:val="22"/>
        </w:rPr>
        <w:t>cuatro</w:t>
      </w:r>
      <w:r w:rsidR="000C3A11" w:rsidRPr="0032234A">
        <w:rPr>
          <w:rFonts w:ascii="Palatino Linotype" w:eastAsia="Palatino Linotype" w:hAnsi="Palatino Linotype" w:cs="Palatino Linotype"/>
          <w:b/>
          <w:sz w:val="22"/>
          <w:szCs w:val="22"/>
        </w:rPr>
        <w:t xml:space="preserve"> de noviembre</w:t>
      </w:r>
      <w:r w:rsidR="0064634F" w:rsidRPr="0032234A">
        <w:rPr>
          <w:rFonts w:ascii="Palatino Linotype" w:eastAsia="Palatino Linotype" w:hAnsi="Palatino Linotype" w:cs="Palatino Linotype"/>
          <w:b/>
          <w:sz w:val="22"/>
          <w:szCs w:val="22"/>
        </w:rPr>
        <w:t xml:space="preserve"> de dos mil veinticinco,</w:t>
      </w:r>
      <w:r w:rsidR="0064634F" w:rsidRPr="0032234A">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D3AC202" w14:textId="77777777" w:rsidR="005D6CD8" w:rsidRPr="0032234A" w:rsidRDefault="005D6CD8">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30E7BC17" w14:textId="77777777" w:rsidR="008D2539" w:rsidRPr="0032234A"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278430" w14:textId="77777777" w:rsidR="008D2539" w:rsidRPr="0032234A" w:rsidRDefault="0064634F">
      <w:pPr>
        <w:widowControl w:val="0"/>
        <w:spacing w:before="240" w:after="240" w:line="360" w:lineRule="auto"/>
        <w:jc w:val="center"/>
        <w:rPr>
          <w:rFonts w:ascii="Palatino Linotype" w:eastAsia="Palatino Linotype" w:hAnsi="Palatino Linotype" w:cs="Palatino Linotype"/>
          <w:b/>
          <w:sz w:val="22"/>
          <w:szCs w:val="22"/>
        </w:rPr>
      </w:pPr>
      <w:r w:rsidRPr="0032234A">
        <w:rPr>
          <w:rFonts w:ascii="Palatino Linotype" w:eastAsia="Palatino Linotype" w:hAnsi="Palatino Linotype" w:cs="Palatino Linotype"/>
          <w:b/>
          <w:sz w:val="22"/>
          <w:szCs w:val="22"/>
        </w:rPr>
        <w:t>II. C O N S I D E R A N D O S</w:t>
      </w:r>
    </w:p>
    <w:p w14:paraId="18070A5E" w14:textId="511FF835" w:rsidR="008D2539" w:rsidRPr="0032234A" w:rsidRDefault="0064634F">
      <w:pP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b/>
          <w:sz w:val="22"/>
          <w:szCs w:val="22"/>
        </w:rPr>
        <w:t>Primero. Competencia.</w:t>
      </w:r>
      <w:r w:rsidRPr="0032234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32234A">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32234A">
        <w:rPr>
          <w:rFonts w:ascii="Palatino Linotype" w:eastAsia="Palatino Linotype" w:hAnsi="Palatino Linotype" w:cs="Palatino Linotype"/>
          <w:sz w:val="22"/>
          <w:szCs w:val="22"/>
        </w:rPr>
        <w:t xml:space="preserve">; </w:t>
      </w:r>
      <w:r w:rsidRPr="0032234A">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32234A"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32234A" w:rsidRDefault="0064634F">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32234A">
        <w:rPr>
          <w:rFonts w:ascii="Palatino Linotype" w:eastAsia="Palatino Linotype" w:hAnsi="Palatino Linotype" w:cs="Palatino Linotype"/>
          <w:b/>
          <w:sz w:val="22"/>
          <w:szCs w:val="22"/>
        </w:rPr>
        <w:t>Segundo. Oportunidad y Procedibilidad del Recurso de Revisión</w:t>
      </w:r>
      <w:r w:rsidRPr="0032234A">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630DFE" w14:textId="77777777" w:rsidR="008D2539" w:rsidRPr="0032234A" w:rsidRDefault="008D2539">
      <w:pPr>
        <w:spacing w:line="360" w:lineRule="auto"/>
        <w:jc w:val="both"/>
        <w:rPr>
          <w:rFonts w:ascii="Palatino Linotype" w:eastAsia="Palatino Linotype" w:hAnsi="Palatino Linotype" w:cs="Palatino Linotype"/>
          <w:sz w:val="22"/>
          <w:szCs w:val="22"/>
        </w:rPr>
      </w:pPr>
    </w:p>
    <w:p w14:paraId="181CCB47" w14:textId="79122459" w:rsidR="008D2539" w:rsidRPr="0032234A" w:rsidRDefault="0064634F">
      <w:pP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32234A">
        <w:rPr>
          <w:rFonts w:ascii="Palatino Linotype" w:eastAsia="Palatino Linotype" w:hAnsi="Palatino Linotype" w:cs="Palatino Linotype"/>
          <w:b/>
          <w:sz w:val="22"/>
          <w:szCs w:val="22"/>
        </w:rPr>
        <w:t xml:space="preserve">Sujeto Obligado </w:t>
      </w:r>
      <w:r w:rsidRPr="0032234A">
        <w:rPr>
          <w:rFonts w:ascii="Palatino Linotype" w:eastAsia="Palatino Linotype" w:hAnsi="Palatino Linotype" w:cs="Palatino Linotype"/>
          <w:sz w:val="22"/>
          <w:szCs w:val="22"/>
        </w:rPr>
        <w:t>remitió la respuesta a la solicitud de información el</w:t>
      </w:r>
      <w:r w:rsidRPr="0032234A">
        <w:t xml:space="preserve"> </w:t>
      </w:r>
      <w:r w:rsidR="005D6CD8" w:rsidRPr="0032234A">
        <w:rPr>
          <w:rFonts w:ascii="Palatino Linotype" w:eastAsia="Palatino Linotype" w:hAnsi="Palatino Linotype" w:cs="Palatino Linotype"/>
          <w:b/>
          <w:sz w:val="22"/>
          <w:szCs w:val="22"/>
        </w:rPr>
        <w:t>veinte de octubre de dos mil veinticinco</w:t>
      </w:r>
      <w:r w:rsidRPr="0032234A">
        <w:rPr>
          <w:rFonts w:ascii="Palatino Linotype" w:eastAsia="Palatino Linotype" w:hAnsi="Palatino Linotype" w:cs="Palatino Linotype"/>
          <w:b/>
          <w:sz w:val="22"/>
          <w:szCs w:val="22"/>
        </w:rPr>
        <w:t xml:space="preserve">, </w:t>
      </w:r>
      <w:r w:rsidRPr="0032234A">
        <w:rPr>
          <w:rFonts w:ascii="Palatino Linotype" w:eastAsia="Palatino Linotype" w:hAnsi="Palatino Linotype" w:cs="Palatino Linotype"/>
          <w:sz w:val="22"/>
          <w:szCs w:val="22"/>
        </w:rPr>
        <w:t xml:space="preserve">mientras que el recurso de revisión interpuesto por </w:t>
      </w:r>
      <w:r w:rsidRPr="0032234A">
        <w:rPr>
          <w:rFonts w:ascii="Palatino Linotype" w:eastAsia="Palatino Linotype" w:hAnsi="Palatino Linotype" w:cs="Palatino Linotype"/>
          <w:b/>
          <w:sz w:val="22"/>
          <w:szCs w:val="22"/>
        </w:rPr>
        <w:t>la parte</w:t>
      </w:r>
      <w:r w:rsidRPr="0032234A">
        <w:rPr>
          <w:rFonts w:ascii="Palatino Linotype" w:eastAsia="Palatino Linotype" w:hAnsi="Palatino Linotype" w:cs="Palatino Linotype"/>
          <w:sz w:val="22"/>
          <w:szCs w:val="22"/>
        </w:rPr>
        <w:t xml:space="preserve"> </w:t>
      </w:r>
      <w:r w:rsidRPr="0032234A">
        <w:rPr>
          <w:rFonts w:ascii="Palatino Linotype" w:eastAsia="Palatino Linotype" w:hAnsi="Palatino Linotype" w:cs="Palatino Linotype"/>
          <w:b/>
          <w:sz w:val="22"/>
          <w:szCs w:val="22"/>
        </w:rPr>
        <w:t>Recurrente</w:t>
      </w:r>
      <w:r w:rsidRPr="0032234A">
        <w:rPr>
          <w:rFonts w:ascii="Palatino Linotype" w:eastAsia="Palatino Linotype" w:hAnsi="Palatino Linotype" w:cs="Palatino Linotype"/>
          <w:sz w:val="22"/>
          <w:szCs w:val="22"/>
        </w:rPr>
        <w:t xml:space="preserve">, se tuvo por presentado el </w:t>
      </w:r>
      <w:r w:rsidR="005D6CD8" w:rsidRPr="0032234A">
        <w:rPr>
          <w:rFonts w:ascii="Palatino Linotype" w:eastAsia="Palatino Linotype" w:hAnsi="Palatino Linotype" w:cs="Palatino Linotype"/>
          <w:b/>
          <w:sz w:val="22"/>
          <w:szCs w:val="22"/>
        </w:rPr>
        <w:t>cuatro de noviembre de dos mil veinticinco</w:t>
      </w:r>
      <w:r w:rsidRPr="0032234A">
        <w:rPr>
          <w:rFonts w:ascii="Palatino Linotype" w:eastAsia="Palatino Linotype" w:hAnsi="Palatino Linotype" w:cs="Palatino Linotype"/>
          <w:sz w:val="22"/>
          <w:szCs w:val="22"/>
        </w:rPr>
        <w:t xml:space="preserve"> esto es, </w:t>
      </w:r>
      <w:r w:rsidR="008A3CCD" w:rsidRPr="0032234A">
        <w:rPr>
          <w:rFonts w:ascii="Palatino Linotype" w:eastAsia="Palatino Linotype" w:hAnsi="Palatino Linotype" w:cs="Palatino Linotype"/>
          <w:sz w:val="22"/>
          <w:szCs w:val="22"/>
        </w:rPr>
        <w:t xml:space="preserve">al </w:t>
      </w:r>
      <w:r w:rsidR="005D6CD8" w:rsidRPr="0032234A">
        <w:rPr>
          <w:rFonts w:ascii="Palatino Linotype" w:eastAsia="Palatino Linotype" w:hAnsi="Palatino Linotype" w:cs="Palatino Linotype"/>
          <w:b/>
          <w:sz w:val="22"/>
          <w:szCs w:val="22"/>
        </w:rPr>
        <w:t xml:space="preserve">décimo </w:t>
      </w:r>
      <w:r w:rsidR="005227B7" w:rsidRPr="0032234A">
        <w:rPr>
          <w:rFonts w:ascii="Palatino Linotype" w:eastAsia="Palatino Linotype" w:hAnsi="Palatino Linotype" w:cs="Palatino Linotype"/>
          <w:b/>
          <w:sz w:val="22"/>
          <w:szCs w:val="22"/>
        </w:rPr>
        <w:t>primer</w:t>
      </w:r>
      <w:r w:rsidR="005B51FB" w:rsidRPr="0032234A">
        <w:rPr>
          <w:rFonts w:ascii="Palatino Linotype" w:eastAsia="Palatino Linotype" w:hAnsi="Palatino Linotype" w:cs="Palatino Linotype"/>
          <w:sz w:val="22"/>
          <w:szCs w:val="22"/>
        </w:rPr>
        <w:t xml:space="preserve"> día</w:t>
      </w:r>
      <w:r w:rsidR="008A3CCD" w:rsidRPr="0032234A">
        <w:rPr>
          <w:rFonts w:ascii="Palatino Linotype" w:eastAsia="Palatino Linotype" w:hAnsi="Palatino Linotype" w:cs="Palatino Linotype"/>
          <w:sz w:val="22"/>
          <w:szCs w:val="22"/>
        </w:rPr>
        <w:t xml:space="preserve"> hábil siguiente a aquel</w:t>
      </w:r>
      <w:r w:rsidRPr="0032234A">
        <w:rPr>
          <w:rFonts w:ascii="Palatino Linotype" w:eastAsia="Palatino Linotype" w:hAnsi="Palatino Linotype" w:cs="Palatino Linotype"/>
          <w:sz w:val="22"/>
          <w:szCs w:val="22"/>
        </w:rPr>
        <w:t xml:space="preserve"> en que </w:t>
      </w:r>
      <w:r w:rsidRPr="0032234A">
        <w:rPr>
          <w:rFonts w:ascii="Palatino Linotype" w:eastAsia="Palatino Linotype" w:hAnsi="Palatino Linotype" w:cs="Palatino Linotype"/>
          <w:b/>
          <w:sz w:val="22"/>
          <w:szCs w:val="22"/>
        </w:rPr>
        <w:t>se tuvo conocimiento de la respuesta impugnada</w:t>
      </w:r>
      <w:r w:rsidRPr="0032234A">
        <w:rPr>
          <w:rFonts w:ascii="Palatino Linotype" w:eastAsia="Palatino Linotype" w:hAnsi="Palatino Linotype" w:cs="Palatino Linotype"/>
          <w:sz w:val="22"/>
          <w:szCs w:val="22"/>
        </w:rPr>
        <w:t xml:space="preserve">. </w:t>
      </w:r>
    </w:p>
    <w:p w14:paraId="23AF1BE4" w14:textId="77777777" w:rsidR="008D2539" w:rsidRPr="0032234A"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32234A" w:rsidRDefault="0064634F">
      <w:pP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2D9FFD9" w14:textId="77777777" w:rsidR="008D2539" w:rsidRPr="0032234A" w:rsidRDefault="008D2539">
      <w:pPr>
        <w:spacing w:line="360" w:lineRule="auto"/>
        <w:jc w:val="both"/>
        <w:rPr>
          <w:rFonts w:ascii="Palatino Linotype" w:eastAsia="Palatino Linotype" w:hAnsi="Palatino Linotype" w:cs="Palatino Linotype"/>
          <w:sz w:val="22"/>
          <w:szCs w:val="22"/>
        </w:rPr>
      </w:pPr>
    </w:p>
    <w:p w14:paraId="437947B0" w14:textId="77777777" w:rsidR="005227B7" w:rsidRPr="0032234A" w:rsidRDefault="005227B7" w:rsidP="005227B7">
      <w:pPr>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32234A">
        <w:rPr>
          <w:rFonts w:ascii="Palatino Linotype" w:eastAsia="Palatino Linotype" w:hAnsi="Palatino Linotype" w:cs="Palatino Linotype"/>
          <w:sz w:val="22"/>
          <w:szCs w:val="22"/>
        </w:rPr>
        <w:t>Por otro lado, es de suma importancia mencionar que, si bien la parte</w:t>
      </w:r>
      <w:r w:rsidRPr="0032234A">
        <w:rPr>
          <w:rFonts w:ascii="Palatino Linotype" w:eastAsia="Palatino Linotype" w:hAnsi="Palatino Linotype" w:cs="Palatino Linotype"/>
          <w:b/>
          <w:sz w:val="22"/>
          <w:szCs w:val="22"/>
        </w:rPr>
        <w:t xml:space="preserve"> Recurrente</w:t>
      </w:r>
      <w:r w:rsidRPr="0032234A">
        <w:rPr>
          <w:rFonts w:ascii="Palatino Linotype" w:eastAsia="Palatino Linotype" w:hAnsi="Palatino Linotype" w:cs="Palatino Linotype"/>
          <w:sz w:val="22"/>
          <w:szCs w:val="22"/>
        </w:rPr>
        <w:t xml:space="preserve"> no </w:t>
      </w:r>
      <w:r w:rsidRPr="0032234A">
        <w:rPr>
          <w:rFonts w:ascii="Palatino Linotype" w:eastAsia="Palatino Linotype" w:hAnsi="Palatino Linotype" w:cs="Palatino Linotype"/>
          <w:b/>
          <w:sz w:val="22"/>
          <w:szCs w:val="22"/>
        </w:rPr>
        <w:t>proporcionó nombre,</w:t>
      </w:r>
      <w:r w:rsidRPr="0032234A">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EBFFB30" w14:textId="77777777" w:rsidR="005227B7" w:rsidRPr="0032234A" w:rsidRDefault="005227B7" w:rsidP="005227B7">
      <w:pPr>
        <w:spacing w:line="360" w:lineRule="auto"/>
        <w:jc w:val="both"/>
        <w:rPr>
          <w:rFonts w:ascii="Palatino Linotype" w:eastAsia="Palatino Linotype" w:hAnsi="Palatino Linotype" w:cs="Palatino Linotype"/>
          <w:sz w:val="22"/>
          <w:szCs w:val="22"/>
        </w:rPr>
      </w:pPr>
    </w:p>
    <w:p w14:paraId="46142885" w14:textId="77777777" w:rsidR="005227B7" w:rsidRPr="0032234A" w:rsidRDefault="005227B7" w:rsidP="005227B7">
      <w:pPr>
        <w:spacing w:line="276" w:lineRule="auto"/>
        <w:ind w:left="851" w:right="902"/>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i/>
          <w:sz w:val="22"/>
          <w:szCs w:val="22"/>
        </w:rPr>
        <w:t>"</w:t>
      </w:r>
      <w:r w:rsidRPr="0032234A">
        <w:rPr>
          <w:rFonts w:ascii="Palatino Linotype" w:eastAsia="Palatino Linotype" w:hAnsi="Palatino Linotype" w:cs="Palatino Linotype"/>
          <w:b/>
          <w:i/>
          <w:sz w:val="22"/>
          <w:szCs w:val="22"/>
        </w:rPr>
        <w:t>Las solicitudes anónimas</w:t>
      </w:r>
      <w:r w:rsidRPr="0032234A">
        <w:rPr>
          <w:rFonts w:ascii="Palatino Linotype" w:eastAsia="Palatino Linotype" w:hAnsi="Palatino Linotype" w:cs="Palatino Linotype"/>
          <w:i/>
          <w:sz w:val="22"/>
          <w:szCs w:val="22"/>
        </w:rPr>
        <w:t>, con nombre incompleto o seudónimo</w:t>
      </w:r>
      <w:r w:rsidRPr="0032234A">
        <w:rPr>
          <w:rFonts w:ascii="Palatino Linotype" w:eastAsia="Palatino Linotype" w:hAnsi="Palatino Linotype" w:cs="Palatino Linotype"/>
          <w:b/>
          <w:i/>
          <w:sz w:val="22"/>
          <w:szCs w:val="22"/>
        </w:rPr>
        <w:t> serán procedentes para su trámite por parte del sujeto obligado ante quien se presente</w:t>
      </w:r>
      <w:r w:rsidRPr="0032234A">
        <w:rPr>
          <w:rFonts w:ascii="Palatino Linotype" w:eastAsia="Palatino Linotype" w:hAnsi="Palatino Linotype" w:cs="Palatino Linotype"/>
          <w:i/>
          <w:sz w:val="22"/>
          <w:szCs w:val="22"/>
        </w:rPr>
        <w:t>. No podrá requerirse información adicional con motivo del nombre proporcionado por el solicitante."</w:t>
      </w:r>
    </w:p>
    <w:p w14:paraId="3E9E19CC" w14:textId="77777777" w:rsidR="005227B7" w:rsidRPr="0032234A" w:rsidRDefault="005227B7">
      <w:pPr>
        <w:tabs>
          <w:tab w:val="left" w:pos="7938"/>
        </w:tabs>
        <w:spacing w:line="360" w:lineRule="auto"/>
        <w:jc w:val="both"/>
        <w:rPr>
          <w:rFonts w:ascii="Palatino Linotype" w:eastAsia="Palatino Linotype" w:hAnsi="Palatino Linotype" w:cs="Palatino Linotype"/>
          <w:sz w:val="22"/>
          <w:szCs w:val="22"/>
        </w:rPr>
      </w:pPr>
    </w:p>
    <w:p w14:paraId="7C43F54C" w14:textId="77777777" w:rsidR="008D2539" w:rsidRPr="0032234A" w:rsidRDefault="0064634F">
      <w:pPr>
        <w:tabs>
          <w:tab w:val="left" w:pos="7938"/>
        </w:tabs>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32234A"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5EF42E5F" w:rsidR="008D2539" w:rsidRPr="0032234A" w:rsidRDefault="0064634F">
      <w:pP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 xml:space="preserve">Finalmente, se advierte que resulta procedente la interposición del recurso, según lo manifestado por </w:t>
      </w:r>
      <w:r w:rsidRPr="0032234A">
        <w:rPr>
          <w:rFonts w:ascii="Palatino Linotype" w:eastAsia="Palatino Linotype" w:hAnsi="Palatino Linotype" w:cs="Palatino Linotype"/>
          <w:b/>
          <w:sz w:val="22"/>
          <w:szCs w:val="22"/>
        </w:rPr>
        <w:t>la parte</w:t>
      </w:r>
      <w:r w:rsidRPr="0032234A">
        <w:rPr>
          <w:rFonts w:ascii="Palatino Linotype" w:eastAsia="Palatino Linotype" w:hAnsi="Palatino Linotype" w:cs="Palatino Linotype"/>
          <w:sz w:val="22"/>
          <w:szCs w:val="22"/>
        </w:rPr>
        <w:t xml:space="preserve"> </w:t>
      </w:r>
      <w:r w:rsidRPr="0032234A">
        <w:rPr>
          <w:rFonts w:ascii="Palatino Linotype" w:eastAsia="Palatino Linotype" w:hAnsi="Palatino Linotype" w:cs="Palatino Linotype"/>
          <w:b/>
          <w:sz w:val="22"/>
          <w:szCs w:val="22"/>
        </w:rPr>
        <w:t>Recurrente</w:t>
      </w:r>
      <w:r w:rsidRPr="0032234A">
        <w:rPr>
          <w:rFonts w:ascii="Palatino Linotype" w:eastAsia="Palatino Linotype" w:hAnsi="Palatino Linotype" w:cs="Palatino Linotype"/>
          <w:sz w:val="22"/>
          <w:szCs w:val="22"/>
        </w:rPr>
        <w:t xml:space="preserve"> en sus motivos de inconformidad, de acuerdo al artículo 179, fracción </w:t>
      </w:r>
      <w:r w:rsidR="0098429E" w:rsidRPr="0032234A">
        <w:rPr>
          <w:rFonts w:ascii="Palatino Linotype" w:eastAsia="Palatino Linotype" w:hAnsi="Palatino Linotype" w:cs="Palatino Linotype"/>
          <w:sz w:val="22"/>
          <w:szCs w:val="22"/>
        </w:rPr>
        <w:t>V</w:t>
      </w:r>
      <w:r w:rsidRPr="0032234A">
        <w:rPr>
          <w:rFonts w:ascii="Palatino Linotype" w:eastAsia="Palatino Linotype" w:hAnsi="Palatino Linotype" w:cs="Palatino Linotype"/>
          <w:sz w:val="22"/>
          <w:szCs w:val="22"/>
        </w:rPr>
        <w:t xml:space="preserve"> del ordenamiento legal citado, que a la letra dice: </w:t>
      </w:r>
    </w:p>
    <w:p w14:paraId="238A7CE6" w14:textId="77777777" w:rsidR="008D2539" w:rsidRPr="0032234A"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32234A" w:rsidRDefault="0064634F">
      <w:pPr>
        <w:ind w:left="567" w:right="902"/>
        <w:jc w:val="both"/>
        <w:rPr>
          <w:rFonts w:ascii="Palatino Linotype" w:eastAsia="Palatino Linotype" w:hAnsi="Palatino Linotype" w:cs="Palatino Linotype"/>
          <w:i/>
          <w:sz w:val="22"/>
          <w:szCs w:val="22"/>
        </w:rPr>
      </w:pPr>
      <w:r w:rsidRPr="0032234A">
        <w:rPr>
          <w:rFonts w:ascii="Palatino Linotype" w:eastAsia="Palatino Linotype" w:hAnsi="Palatino Linotype" w:cs="Palatino Linotype"/>
          <w:i/>
          <w:sz w:val="22"/>
          <w:szCs w:val="22"/>
        </w:rPr>
        <w:t>“</w:t>
      </w:r>
      <w:r w:rsidRPr="0032234A">
        <w:rPr>
          <w:rFonts w:ascii="Palatino Linotype" w:eastAsia="Palatino Linotype" w:hAnsi="Palatino Linotype" w:cs="Palatino Linotype"/>
          <w:b/>
          <w:i/>
          <w:sz w:val="22"/>
          <w:szCs w:val="22"/>
        </w:rPr>
        <w:t>Artículo 179.</w:t>
      </w:r>
      <w:r w:rsidRPr="0032234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396A27B" w14:textId="7BFC19F1" w:rsidR="0030410D" w:rsidRPr="0032234A" w:rsidRDefault="0098429E" w:rsidP="002B44BC">
      <w:pPr>
        <w:ind w:left="567" w:right="902"/>
        <w:jc w:val="both"/>
        <w:rPr>
          <w:rFonts w:ascii="Palatino Linotype" w:eastAsia="Palatino Linotype" w:hAnsi="Palatino Linotype" w:cs="Palatino Linotype"/>
          <w:b/>
          <w:i/>
          <w:sz w:val="22"/>
          <w:szCs w:val="22"/>
        </w:rPr>
      </w:pPr>
      <w:r w:rsidRPr="0032234A">
        <w:rPr>
          <w:rFonts w:ascii="Palatino Linotype" w:eastAsia="Palatino Linotype" w:hAnsi="Palatino Linotype" w:cs="Palatino Linotype"/>
          <w:b/>
          <w:i/>
          <w:sz w:val="22"/>
          <w:szCs w:val="22"/>
        </w:rPr>
        <w:t>[…]</w:t>
      </w:r>
    </w:p>
    <w:p w14:paraId="42917B03" w14:textId="77777777" w:rsidR="00F7349A" w:rsidRPr="0032234A" w:rsidRDefault="00F7349A" w:rsidP="00F7349A">
      <w:pPr>
        <w:ind w:left="567" w:right="902"/>
        <w:jc w:val="both"/>
        <w:rPr>
          <w:rFonts w:ascii="Palatino Linotype" w:eastAsia="Palatino Linotype" w:hAnsi="Palatino Linotype" w:cs="Palatino Linotype"/>
          <w:i/>
          <w:sz w:val="22"/>
          <w:szCs w:val="22"/>
        </w:rPr>
      </w:pPr>
      <w:r w:rsidRPr="0032234A">
        <w:rPr>
          <w:rFonts w:ascii="Palatino Linotype" w:eastAsia="Palatino Linotype" w:hAnsi="Palatino Linotype" w:cs="Palatino Linotype"/>
          <w:i/>
          <w:sz w:val="22"/>
          <w:szCs w:val="22"/>
        </w:rPr>
        <w:t xml:space="preserve">V. La entrega de información incompleta; </w:t>
      </w:r>
    </w:p>
    <w:p w14:paraId="51B94E27" w14:textId="6228F75B" w:rsidR="008D2539" w:rsidRPr="0032234A" w:rsidRDefault="00B71D80" w:rsidP="00F7349A">
      <w:pPr>
        <w:ind w:left="567" w:right="902"/>
        <w:jc w:val="both"/>
        <w:rPr>
          <w:rFonts w:ascii="Palatino Linotype" w:eastAsia="Palatino Linotype" w:hAnsi="Palatino Linotype" w:cs="Palatino Linotype"/>
          <w:i/>
          <w:sz w:val="22"/>
          <w:szCs w:val="22"/>
        </w:rPr>
      </w:pPr>
      <w:r w:rsidRPr="0032234A">
        <w:rPr>
          <w:rFonts w:ascii="Palatino Linotype" w:eastAsia="Palatino Linotype" w:hAnsi="Palatino Linotype" w:cs="Palatino Linotype"/>
          <w:i/>
          <w:sz w:val="22"/>
          <w:szCs w:val="22"/>
        </w:rPr>
        <w:t>[….]</w:t>
      </w:r>
      <w:r w:rsidR="0064634F" w:rsidRPr="0032234A">
        <w:rPr>
          <w:rFonts w:ascii="Palatino Linotype" w:eastAsia="Palatino Linotype" w:hAnsi="Palatino Linotype" w:cs="Palatino Linotype"/>
          <w:i/>
          <w:sz w:val="22"/>
          <w:szCs w:val="22"/>
        </w:rPr>
        <w:t>”</w:t>
      </w:r>
    </w:p>
    <w:p w14:paraId="4CF7FDD1" w14:textId="77777777" w:rsidR="008D2539" w:rsidRPr="0032234A" w:rsidRDefault="008D2539">
      <w:pPr>
        <w:ind w:left="567"/>
        <w:rPr>
          <w:rFonts w:ascii="Palatino Linotype" w:eastAsia="Palatino Linotype" w:hAnsi="Palatino Linotype" w:cs="Palatino Linotype"/>
          <w:b/>
          <w:i/>
          <w:sz w:val="22"/>
          <w:szCs w:val="22"/>
        </w:rPr>
      </w:pPr>
    </w:p>
    <w:p w14:paraId="60D117FC" w14:textId="77777777" w:rsidR="008D2539" w:rsidRPr="0032234A" w:rsidRDefault="0064634F">
      <w:pPr>
        <w:ind w:left="567" w:right="900"/>
        <w:jc w:val="right"/>
        <w:rPr>
          <w:rFonts w:ascii="Palatino Linotype" w:eastAsia="Palatino Linotype" w:hAnsi="Palatino Linotype" w:cs="Palatino Linotype"/>
          <w:i/>
          <w:sz w:val="22"/>
          <w:szCs w:val="22"/>
        </w:rPr>
      </w:pPr>
      <w:r w:rsidRPr="0032234A">
        <w:rPr>
          <w:rFonts w:ascii="Palatino Linotype" w:eastAsia="Palatino Linotype" w:hAnsi="Palatino Linotype" w:cs="Palatino Linotype"/>
          <w:b/>
          <w:i/>
          <w:sz w:val="22"/>
          <w:szCs w:val="22"/>
        </w:rPr>
        <w:t xml:space="preserve"> </w:t>
      </w:r>
      <w:r w:rsidRPr="0032234A">
        <w:rPr>
          <w:rFonts w:ascii="Palatino Linotype" w:eastAsia="Palatino Linotype" w:hAnsi="Palatino Linotype" w:cs="Palatino Linotype"/>
          <w:i/>
          <w:sz w:val="22"/>
          <w:szCs w:val="22"/>
        </w:rPr>
        <w:t>(Énfasis añadido)</w:t>
      </w:r>
    </w:p>
    <w:p w14:paraId="50920F50" w14:textId="77777777" w:rsidR="008D2539" w:rsidRPr="0032234A" w:rsidRDefault="008D2539">
      <w:pPr>
        <w:ind w:left="567" w:right="900"/>
        <w:jc w:val="right"/>
        <w:rPr>
          <w:rFonts w:ascii="Palatino Linotype" w:eastAsia="Palatino Linotype" w:hAnsi="Palatino Linotype" w:cs="Palatino Linotype"/>
          <w:b/>
          <w:i/>
          <w:sz w:val="22"/>
          <w:szCs w:val="22"/>
        </w:rPr>
      </w:pPr>
    </w:p>
    <w:p w14:paraId="53E1468D" w14:textId="77777777" w:rsidR="00876B8F" w:rsidRPr="0032234A" w:rsidRDefault="00876B8F" w:rsidP="00876B8F">
      <w:pP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b/>
          <w:sz w:val="22"/>
          <w:szCs w:val="22"/>
        </w:rPr>
        <w:t>Tercero. Análisis de las causales de improcedencia y sobreseimiento del recurso de revisión.</w:t>
      </w:r>
      <w:r w:rsidRPr="0032234A">
        <w:rPr>
          <w:sz w:val="22"/>
          <w:szCs w:val="22"/>
        </w:rPr>
        <w:t xml:space="preserve"> </w:t>
      </w:r>
      <w:r w:rsidRPr="0032234A">
        <w:rPr>
          <w:rFonts w:ascii="Palatino Linotype" w:eastAsia="Palatino Linotype" w:hAnsi="Palatino Linotype" w:cs="Palatino Linotype"/>
          <w:sz w:val="22"/>
          <w:szCs w:val="22"/>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45C79B3" w14:textId="77777777" w:rsidR="00876B8F" w:rsidRPr="0032234A" w:rsidRDefault="00876B8F" w:rsidP="00876B8F">
      <w:pPr>
        <w:spacing w:line="360" w:lineRule="auto"/>
        <w:jc w:val="both"/>
        <w:rPr>
          <w:sz w:val="22"/>
          <w:szCs w:val="22"/>
        </w:rPr>
      </w:pPr>
    </w:p>
    <w:p w14:paraId="6AB57FC6" w14:textId="77777777" w:rsidR="00876B8F" w:rsidRPr="0032234A" w:rsidRDefault="00876B8F" w:rsidP="00876B8F">
      <w:pP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4FF3AE2A" w14:textId="77777777" w:rsidR="00876B8F" w:rsidRPr="0032234A" w:rsidRDefault="00876B8F" w:rsidP="00876B8F">
      <w:pPr>
        <w:spacing w:line="360" w:lineRule="auto"/>
        <w:jc w:val="both"/>
        <w:rPr>
          <w:sz w:val="22"/>
          <w:szCs w:val="22"/>
        </w:rPr>
      </w:pPr>
    </w:p>
    <w:p w14:paraId="526D55ED" w14:textId="77777777" w:rsidR="00876B8F" w:rsidRPr="0032234A" w:rsidRDefault="00876B8F" w:rsidP="00876B8F">
      <w:pPr>
        <w:spacing w:line="360" w:lineRule="auto"/>
        <w:ind w:right="51"/>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De manera preliminar en el caso concreto conviene analizar si se actualiza alguna de las causales de sobreseimiento del recurso de revisión.</w:t>
      </w:r>
    </w:p>
    <w:p w14:paraId="7E12E993" w14:textId="77777777" w:rsidR="008D2539" w:rsidRPr="0032234A"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97B4FF" w14:textId="49DADF8B" w:rsidR="008D2539" w:rsidRPr="0032234A"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32234A">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32234A">
        <w:rPr>
          <w:rFonts w:ascii="Palatino Linotype" w:eastAsia="Palatino Linotype" w:hAnsi="Palatino Linotype" w:cs="Palatino Linotype"/>
          <w:b/>
          <w:sz w:val="22"/>
          <w:szCs w:val="22"/>
        </w:rPr>
        <w:t>Sujeto Obligado,</w:t>
      </w:r>
      <w:r w:rsidR="00B71D80" w:rsidRPr="0032234A">
        <w:rPr>
          <w:rFonts w:ascii="Palatino Linotype" w:eastAsia="Palatino Linotype" w:hAnsi="Palatino Linotype" w:cs="Palatino Linotype"/>
          <w:b/>
          <w:sz w:val="22"/>
          <w:szCs w:val="22"/>
        </w:rPr>
        <w:t xml:space="preserve"> </w:t>
      </w:r>
      <w:r w:rsidR="00B71D80" w:rsidRPr="0032234A">
        <w:rPr>
          <w:rFonts w:ascii="Palatino Linotype" w:eastAsia="Palatino Linotype" w:hAnsi="Palatino Linotype" w:cs="Palatino Linotype"/>
          <w:sz w:val="22"/>
          <w:szCs w:val="22"/>
        </w:rPr>
        <w:t>medularmente</w:t>
      </w:r>
      <w:r w:rsidR="00782574" w:rsidRPr="0032234A">
        <w:rPr>
          <w:rFonts w:ascii="Palatino Linotype" w:eastAsia="Palatino Linotype" w:hAnsi="Palatino Linotype" w:cs="Palatino Linotype"/>
          <w:sz w:val="22"/>
          <w:szCs w:val="22"/>
        </w:rPr>
        <w:t xml:space="preserve">, </w:t>
      </w:r>
      <w:r w:rsidRPr="0032234A">
        <w:rPr>
          <w:rFonts w:ascii="Palatino Linotype" w:eastAsia="Palatino Linotype" w:hAnsi="Palatino Linotype" w:cs="Palatino Linotype"/>
          <w:sz w:val="22"/>
          <w:szCs w:val="22"/>
        </w:rPr>
        <w:t>lo siguiente:</w:t>
      </w:r>
    </w:p>
    <w:p w14:paraId="0B2ADF84" w14:textId="77777777" w:rsidR="008D2539" w:rsidRPr="0032234A"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lang w:val="es-ES"/>
        </w:rPr>
      </w:pPr>
    </w:p>
    <w:p w14:paraId="35B274A8" w14:textId="4A68ED12" w:rsidR="00024341" w:rsidRPr="0032234A" w:rsidRDefault="00F7349A" w:rsidP="00F027D8">
      <w:pPr>
        <w:pStyle w:val="Prrafodelista"/>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32234A">
        <w:rPr>
          <w:rFonts w:ascii="Palatino Linotype" w:eastAsia="Palatino Linotype" w:hAnsi="Palatino Linotype" w:cs="Palatino Linotype"/>
          <w:b/>
          <w:sz w:val="22"/>
          <w:szCs w:val="22"/>
        </w:rPr>
        <w:t>Los Diarios General de Pólizas del periodo comprendido del 01 de enero al 31 de agosto de 2025.</w:t>
      </w:r>
    </w:p>
    <w:p w14:paraId="1A321C7D" w14:textId="77777777" w:rsidR="00024341" w:rsidRPr="0032234A" w:rsidRDefault="0002434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B6D5052" w14:textId="3DC53CA7" w:rsidR="00782574" w:rsidRPr="0032234A" w:rsidRDefault="00F312D9" w:rsidP="0078257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 xml:space="preserve">En respuesta, </w:t>
      </w:r>
      <w:r w:rsidR="00782574" w:rsidRPr="0032234A">
        <w:rPr>
          <w:rFonts w:ascii="Palatino Linotype" w:eastAsia="Palatino Linotype" w:hAnsi="Palatino Linotype" w:cs="Palatino Linotype"/>
          <w:sz w:val="22"/>
          <w:szCs w:val="22"/>
        </w:rPr>
        <w:t xml:space="preserve">el </w:t>
      </w:r>
      <w:r w:rsidR="00AE2B6D" w:rsidRPr="0032234A">
        <w:rPr>
          <w:rFonts w:ascii="Palatino Linotype" w:eastAsia="Palatino Linotype" w:hAnsi="Palatino Linotype" w:cs="Palatino Linotype"/>
          <w:b/>
          <w:sz w:val="22"/>
          <w:szCs w:val="22"/>
        </w:rPr>
        <w:t>Sujeto Obligado</w:t>
      </w:r>
      <w:r w:rsidR="00AE2B6D" w:rsidRPr="0032234A">
        <w:rPr>
          <w:rFonts w:ascii="Palatino Linotype" w:eastAsia="Palatino Linotype" w:hAnsi="Palatino Linotype" w:cs="Palatino Linotype"/>
          <w:sz w:val="22"/>
          <w:szCs w:val="22"/>
        </w:rPr>
        <w:t xml:space="preserve"> por conducto d</w:t>
      </w:r>
      <w:r w:rsidR="00F7349A" w:rsidRPr="0032234A">
        <w:rPr>
          <w:rFonts w:ascii="Palatino Linotype" w:eastAsia="Palatino Linotype" w:hAnsi="Palatino Linotype" w:cs="Palatino Linotype"/>
          <w:sz w:val="22"/>
          <w:szCs w:val="22"/>
        </w:rPr>
        <w:t>l Tesorero del Organismo hizo entrega de los Diarios General de Pólizas del periodo requerido.</w:t>
      </w:r>
    </w:p>
    <w:p w14:paraId="0595BD18" w14:textId="77777777" w:rsidR="00AE2B6D" w:rsidRPr="0032234A" w:rsidRDefault="00AE2B6D" w:rsidP="002840BE">
      <w:pPr>
        <w:spacing w:line="360" w:lineRule="auto"/>
        <w:ind w:right="49"/>
        <w:jc w:val="both"/>
        <w:rPr>
          <w:rFonts w:ascii="Palatino Linotype" w:eastAsia="Palatino Linotype" w:hAnsi="Palatino Linotype" w:cs="Palatino Linotype"/>
          <w:sz w:val="22"/>
          <w:szCs w:val="22"/>
        </w:rPr>
      </w:pPr>
    </w:p>
    <w:p w14:paraId="569D5E45" w14:textId="758BD172" w:rsidR="002840BE" w:rsidRPr="0032234A" w:rsidRDefault="002840BE" w:rsidP="002840BE">
      <w:pPr>
        <w:spacing w:line="360" w:lineRule="auto"/>
        <w:ind w:right="49"/>
        <w:jc w:val="both"/>
        <w:rPr>
          <w:rFonts w:ascii="Palatino Linotype" w:eastAsia="Palatino Linotype" w:hAnsi="Palatino Linotype" w:cs="Palatino Linotype"/>
          <w:b/>
          <w:sz w:val="22"/>
          <w:szCs w:val="22"/>
        </w:rPr>
      </w:pPr>
      <w:r w:rsidRPr="0032234A">
        <w:rPr>
          <w:rFonts w:ascii="Palatino Linotype" w:eastAsia="Palatino Linotype" w:hAnsi="Palatino Linotype" w:cs="Palatino Linotype"/>
          <w:sz w:val="22"/>
          <w:szCs w:val="22"/>
        </w:rPr>
        <w:t xml:space="preserve">Inconforme con la respuesta, la parte </w:t>
      </w:r>
      <w:r w:rsidRPr="0032234A">
        <w:rPr>
          <w:rFonts w:ascii="Palatino Linotype" w:eastAsia="Palatino Linotype" w:hAnsi="Palatino Linotype" w:cs="Palatino Linotype"/>
          <w:b/>
          <w:sz w:val="22"/>
          <w:szCs w:val="22"/>
        </w:rPr>
        <w:t xml:space="preserve">Recurrente </w:t>
      </w:r>
      <w:r w:rsidRPr="0032234A">
        <w:rPr>
          <w:rFonts w:ascii="Palatino Linotype" w:eastAsia="Palatino Linotype" w:hAnsi="Palatino Linotype" w:cs="Palatino Linotype"/>
          <w:sz w:val="22"/>
          <w:szCs w:val="22"/>
        </w:rPr>
        <w:t xml:space="preserve">promovió el presente recurso de revisión en el que a manera de motivos de inconformidad </w:t>
      </w:r>
      <w:r w:rsidRPr="0032234A">
        <w:rPr>
          <w:rFonts w:ascii="Palatino Linotype" w:eastAsia="Palatino Linotype" w:hAnsi="Palatino Linotype" w:cs="Palatino Linotype"/>
          <w:b/>
          <w:sz w:val="22"/>
          <w:szCs w:val="22"/>
        </w:rPr>
        <w:t xml:space="preserve">se adolece medularmente de </w:t>
      </w:r>
      <w:r w:rsidR="00AE2B6D" w:rsidRPr="0032234A">
        <w:rPr>
          <w:rFonts w:ascii="Palatino Linotype" w:eastAsia="Palatino Linotype" w:hAnsi="Palatino Linotype" w:cs="Palatino Linotype"/>
          <w:b/>
          <w:sz w:val="22"/>
          <w:szCs w:val="22"/>
        </w:rPr>
        <w:t xml:space="preserve">que la entrega de la información se realizó </w:t>
      </w:r>
      <w:r w:rsidR="00F7349A" w:rsidRPr="0032234A">
        <w:rPr>
          <w:rFonts w:ascii="Palatino Linotype" w:eastAsia="Palatino Linotype" w:hAnsi="Palatino Linotype" w:cs="Palatino Linotype"/>
          <w:b/>
          <w:sz w:val="22"/>
          <w:szCs w:val="22"/>
        </w:rPr>
        <w:t>de manera incompleta, ya que a su consideración no se hizo entrega de la documentación comprobatoria que soporta la información entregada.</w:t>
      </w:r>
    </w:p>
    <w:p w14:paraId="6E366B22" w14:textId="77777777" w:rsidR="002840BE" w:rsidRPr="0032234A" w:rsidRDefault="002840BE" w:rsidP="002840BE">
      <w:pPr>
        <w:spacing w:line="360" w:lineRule="auto"/>
        <w:ind w:right="49"/>
        <w:jc w:val="both"/>
        <w:rPr>
          <w:rFonts w:ascii="Palatino Linotype" w:eastAsia="Palatino Linotype" w:hAnsi="Palatino Linotype" w:cs="Palatino Linotype"/>
          <w:sz w:val="22"/>
          <w:szCs w:val="22"/>
        </w:rPr>
      </w:pPr>
    </w:p>
    <w:p w14:paraId="38B8F109" w14:textId="77777777" w:rsidR="002840BE" w:rsidRPr="0032234A" w:rsidRDefault="002840BE" w:rsidP="002840BE">
      <w:pP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Admitido el presente recurso de revisión, en términos del artículo 185 fracción II</w:t>
      </w:r>
      <w:r w:rsidRPr="0032234A">
        <w:rPr>
          <w:rFonts w:ascii="Palatino Linotype" w:eastAsia="Palatino Linotype" w:hAnsi="Palatino Linotype" w:cs="Palatino Linotype"/>
          <w:sz w:val="22"/>
          <w:szCs w:val="22"/>
          <w:vertAlign w:val="superscript"/>
        </w:rPr>
        <w:footnoteReference w:id="1"/>
      </w:r>
      <w:r w:rsidRPr="0032234A">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32234A" w:rsidRDefault="002840BE" w:rsidP="002840BE">
      <w:pPr>
        <w:spacing w:line="360" w:lineRule="auto"/>
        <w:jc w:val="both"/>
        <w:rPr>
          <w:rFonts w:ascii="Palatino Linotype" w:eastAsia="Palatino Linotype" w:hAnsi="Palatino Linotype" w:cs="Palatino Linotype"/>
          <w:sz w:val="22"/>
          <w:szCs w:val="22"/>
        </w:rPr>
      </w:pPr>
    </w:p>
    <w:p w14:paraId="6C2B8E79" w14:textId="00DC2E57" w:rsidR="002840BE" w:rsidRPr="0032234A" w:rsidRDefault="002840BE" w:rsidP="002840BE">
      <w:pP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 xml:space="preserve">Cabe resaltar que, de las constancias que obran en el expediente electrónico en que se actúa, se advierte que </w:t>
      </w:r>
      <w:r w:rsidR="00AE2B6D" w:rsidRPr="0032234A">
        <w:rPr>
          <w:rFonts w:ascii="Palatino Linotype" w:eastAsia="Palatino Linotype" w:hAnsi="Palatino Linotype" w:cs="Palatino Linotype"/>
          <w:sz w:val="22"/>
          <w:szCs w:val="22"/>
        </w:rPr>
        <w:t>las partes fueron omisas en hacer valer manifestaciones o rendir alegatos que conforme a derecho resulten procedentes.</w:t>
      </w:r>
    </w:p>
    <w:p w14:paraId="3BAA2D88" w14:textId="77777777" w:rsidR="00CD2381" w:rsidRPr="0032234A" w:rsidRDefault="00CD2381" w:rsidP="002840BE">
      <w:pPr>
        <w:spacing w:line="360" w:lineRule="auto"/>
        <w:jc w:val="both"/>
        <w:rPr>
          <w:rFonts w:ascii="Palatino Linotype" w:eastAsia="Palatino Linotype" w:hAnsi="Palatino Linotype" w:cs="Palatino Linotype"/>
          <w:sz w:val="22"/>
          <w:szCs w:val="22"/>
        </w:rPr>
      </w:pPr>
    </w:p>
    <w:p w14:paraId="25B7DC30" w14:textId="4C4B6FA9" w:rsidR="00445A72" w:rsidRPr="0032234A" w:rsidRDefault="00445A72" w:rsidP="00445A72">
      <w:pPr>
        <w:spacing w:line="360" w:lineRule="auto"/>
        <w:jc w:val="both"/>
        <w:rPr>
          <w:rFonts w:ascii="Palatino Linotype" w:eastAsia="Palatino Linotype" w:hAnsi="Palatino Linotype" w:cs="Palatino Linotype"/>
          <w:b/>
          <w:sz w:val="22"/>
          <w:szCs w:val="22"/>
        </w:rPr>
      </w:pPr>
      <w:r w:rsidRPr="0032234A">
        <w:rPr>
          <w:rFonts w:ascii="Palatino Linotype" w:eastAsia="Palatino Linotype" w:hAnsi="Palatino Linotype" w:cs="Palatino Linotype"/>
          <w:sz w:val="22"/>
          <w:szCs w:val="22"/>
        </w:rPr>
        <w:t xml:space="preserve">Una vez establecidas las posturas de las partes, es de indicar que, en el caso </w:t>
      </w:r>
      <w:r w:rsidRPr="0032234A">
        <w:rPr>
          <w:rFonts w:ascii="Palatino Linotype" w:eastAsia="Palatino Linotype" w:hAnsi="Palatino Linotype" w:cs="Palatino Linotype"/>
          <w:b/>
          <w:sz w:val="22"/>
          <w:szCs w:val="22"/>
        </w:rPr>
        <w:t xml:space="preserve">los motivos de inconformidad no versan sobre </w:t>
      </w:r>
      <w:r w:rsidR="00B047CC" w:rsidRPr="0032234A">
        <w:rPr>
          <w:rFonts w:ascii="Palatino Linotype" w:eastAsia="Palatino Linotype" w:hAnsi="Palatino Linotype" w:cs="Palatino Linotype"/>
          <w:b/>
          <w:sz w:val="22"/>
          <w:szCs w:val="22"/>
        </w:rPr>
        <w:t>la</w:t>
      </w:r>
      <w:r w:rsidRPr="0032234A">
        <w:rPr>
          <w:rFonts w:ascii="Palatino Linotype" w:eastAsia="Palatino Linotype" w:hAnsi="Palatino Linotype" w:cs="Palatino Linotype"/>
          <w:b/>
          <w:sz w:val="22"/>
          <w:szCs w:val="22"/>
        </w:rPr>
        <w:t xml:space="preserve"> información que le fue remitida en respuesta </w:t>
      </w:r>
      <w:r w:rsidR="00CD2381" w:rsidRPr="0032234A">
        <w:rPr>
          <w:rFonts w:ascii="Palatino Linotype" w:eastAsia="Palatino Linotype" w:hAnsi="Palatino Linotype" w:cs="Palatino Linotype"/>
          <w:b/>
          <w:sz w:val="22"/>
          <w:szCs w:val="22"/>
        </w:rPr>
        <w:t>al particular esto es a los Diarios Generales de Pólizas del periodo solicitado</w:t>
      </w:r>
      <w:r w:rsidRPr="0032234A">
        <w:rPr>
          <w:rFonts w:ascii="Palatino Linotype" w:eastAsia="Palatino Linotype" w:hAnsi="Palatino Linotype" w:cs="Palatino Linotype"/>
          <w:b/>
          <w:sz w:val="22"/>
          <w:szCs w:val="22"/>
        </w:rPr>
        <w:t xml:space="preserve">; </w:t>
      </w:r>
      <w:r w:rsidRPr="0032234A">
        <w:rPr>
          <w:rFonts w:ascii="Palatino Linotype" w:eastAsia="Palatino Linotype" w:hAnsi="Palatino Linotype" w:cs="Palatino Linotype"/>
          <w:sz w:val="22"/>
          <w:szCs w:val="22"/>
        </w:rPr>
        <w:t xml:space="preserve">sino </w:t>
      </w:r>
      <w:r w:rsidR="00CD2381" w:rsidRPr="0032234A">
        <w:rPr>
          <w:rFonts w:ascii="Palatino Linotype" w:eastAsia="Palatino Linotype" w:hAnsi="Palatino Linotype" w:cs="Palatino Linotype"/>
          <w:sz w:val="22"/>
          <w:szCs w:val="22"/>
        </w:rPr>
        <w:t>de la documentación comprobatoria que soportara esa información entregada</w:t>
      </w:r>
      <w:r w:rsidRPr="0032234A">
        <w:rPr>
          <w:rFonts w:ascii="Palatino Linotype" w:eastAsia="Palatino Linotype" w:hAnsi="Palatino Linotype" w:cs="Palatino Linotype"/>
          <w:sz w:val="22"/>
          <w:szCs w:val="22"/>
        </w:rPr>
        <w:t>.</w:t>
      </w:r>
    </w:p>
    <w:p w14:paraId="1986E4FF" w14:textId="77777777" w:rsidR="00445A72" w:rsidRPr="0032234A" w:rsidRDefault="00445A72" w:rsidP="00445A72">
      <w:pPr>
        <w:spacing w:line="360" w:lineRule="auto"/>
        <w:jc w:val="both"/>
        <w:rPr>
          <w:rFonts w:ascii="Palatino Linotype" w:eastAsia="Palatino Linotype" w:hAnsi="Palatino Linotype" w:cs="Palatino Linotype"/>
          <w:sz w:val="22"/>
          <w:szCs w:val="22"/>
        </w:rPr>
      </w:pPr>
    </w:p>
    <w:p w14:paraId="670BD005" w14:textId="48126B6D" w:rsidR="00445A72" w:rsidRPr="0032234A" w:rsidRDefault="00445A72" w:rsidP="00445A72">
      <w:pPr>
        <w:spacing w:line="360" w:lineRule="auto"/>
        <w:jc w:val="both"/>
        <w:rPr>
          <w:rFonts w:ascii="Palatino Linotype" w:eastAsia="Palatino Linotype" w:hAnsi="Palatino Linotype" w:cs="Palatino Linotype"/>
          <w:b/>
          <w:sz w:val="22"/>
          <w:szCs w:val="22"/>
        </w:rPr>
      </w:pPr>
      <w:r w:rsidRPr="0032234A">
        <w:rPr>
          <w:rFonts w:ascii="Palatino Linotype" w:eastAsia="Palatino Linotype" w:hAnsi="Palatino Linotype" w:cs="Palatino Linotype"/>
          <w:sz w:val="22"/>
          <w:szCs w:val="22"/>
        </w:rPr>
        <w:t xml:space="preserve">Por tanto, </w:t>
      </w:r>
      <w:r w:rsidRPr="0032234A">
        <w:rPr>
          <w:rFonts w:ascii="Palatino Linotype" w:eastAsia="Palatino Linotype" w:hAnsi="Palatino Linotype" w:cs="Palatino Linotype"/>
          <w:b/>
          <w:sz w:val="22"/>
          <w:szCs w:val="22"/>
        </w:rPr>
        <w:t xml:space="preserve">al no haberse impugnado lo relativo </w:t>
      </w:r>
      <w:r w:rsidR="00B047CC" w:rsidRPr="0032234A">
        <w:rPr>
          <w:rFonts w:ascii="Palatino Linotype" w:eastAsia="Palatino Linotype" w:hAnsi="Palatino Linotype" w:cs="Palatino Linotype"/>
          <w:b/>
          <w:sz w:val="22"/>
          <w:szCs w:val="22"/>
        </w:rPr>
        <w:t xml:space="preserve">a </w:t>
      </w:r>
      <w:r w:rsidR="00CD2381" w:rsidRPr="0032234A">
        <w:rPr>
          <w:rFonts w:ascii="Palatino Linotype" w:eastAsia="Palatino Linotype" w:hAnsi="Palatino Linotype" w:cs="Palatino Linotype"/>
          <w:b/>
          <w:sz w:val="22"/>
          <w:szCs w:val="22"/>
        </w:rPr>
        <w:t>los Diarios Generales de Pólizas del periodo solicitado</w:t>
      </w:r>
      <w:r w:rsidRPr="0032234A">
        <w:rPr>
          <w:rFonts w:ascii="Palatino Linotype" w:eastAsia="Palatino Linotype" w:hAnsi="Palatino Linotype" w:cs="Palatino Linotype"/>
          <w:sz w:val="22"/>
          <w:szCs w:val="22"/>
        </w:rPr>
        <w:t xml:space="preserve">, por ende, no pueden producirse efectos jurídicos tendentes a revocar, confirmar o modificar el acto reclamado, ya que, sobre dicha parte de la solicitud, se colige que la misma se encuentra satisfecha por la parte </w:t>
      </w:r>
      <w:r w:rsidRPr="0032234A">
        <w:rPr>
          <w:rFonts w:ascii="Palatino Linotype" w:eastAsia="Palatino Linotype" w:hAnsi="Palatino Linotype" w:cs="Palatino Linotype"/>
          <w:b/>
          <w:sz w:val="22"/>
          <w:szCs w:val="22"/>
        </w:rPr>
        <w:t>Recurrente.</w:t>
      </w:r>
    </w:p>
    <w:p w14:paraId="4B38314C" w14:textId="77777777" w:rsidR="00445A72" w:rsidRPr="0032234A" w:rsidRDefault="00445A72" w:rsidP="00445A72">
      <w:pPr>
        <w:spacing w:line="360" w:lineRule="auto"/>
        <w:jc w:val="both"/>
        <w:rPr>
          <w:rFonts w:ascii="Palatino Linotype" w:eastAsia="Palatino Linotype" w:hAnsi="Palatino Linotype" w:cs="Palatino Linotype"/>
          <w:b/>
          <w:sz w:val="22"/>
          <w:szCs w:val="22"/>
        </w:rPr>
      </w:pPr>
    </w:p>
    <w:p w14:paraId="45C81683" w14:textId="77777777" w:rsidR="00445A72" w:rsidRPr="0032234A" w:rsidRDefault="00445A72" w:rsidP="00445A72">
      <w:pP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 xml:space="preserve">Lo anterior es así, debido a que cuando la parte </w:t>
      </w:r>
      <w:r w:rsidRPr="0032234A">
        <w:rPr>
          <w:rFonts w:ascii="Palatino Linotype" w:eastAsia="Palatino Linotype" w:hAnsi="Palatino Linotype" w:cs="Palatino Linotype"/>
          <w:b/>
          <w:sz w:val="22"/>
          <w:szCs w:val="22"/>
        </w:rPr>
        <w:t xml:space="preserve">Recurrente </w:t>
      </w:r>
      <w:r w:rsidRPr="0032234A">
        <w:rPr>
          <w:rFonts w:ascii="Palatino Linotype" w:eastAsia="Palatino Linotype" w:hAnsi="Palatino Linotype" w:cs="Palatino Linotype"/>
          <w:sz w:val="22"/>
          <w:szCs w:val="22"/>
        </w:rPr>
        <w:t xml:space="preserve">impugna la respuesta del </w:t>
      </w:r>
      <w:r w:rsidRPr="0032234A">
        <w:rPr>
          <w:rFonts w:ascii="Palatino Linotype" w:eastAsia="Palatino Linotype" w:hAnsi="Palatino Linotype" w:cs="Palatino Linotype"/>
          <w:b/>
          <w:sz w:val="22"/>
          <w:szCs w:val="22"/>
        </w:rPr>
        <w:t>Sujeto Obligado</w:t>
      </w:r>
      <w:r w:rsidRPr="0032234A">
        <w:rPr>
          <w:rFonts w:ascii="Palatino Linotype" w:eastAsia="Palatino Linotype" w:hAnsi="Palatino Linotype" w:cs="Palatino Linotype"/>
          <w:sz w:val="22"/>
          <w:szCs w:val="22"/>
        </w:rPr>
        <w:t xml:space="preserve">, y este no expresa Razón o Motivo de Inconformidad en contra de todos los rubros solicitados, dichos rubros deben declararse atendidos, pues se entiende que la parte </w:t>
      </w:r>
      <w:r w:rsidRPr="0032234A">
        <w:rPr>
          <w:rFonts w:ascii="Palatino Linotype" w:eastAsia="Palatino Linotype" w:hAnsi="Palatino Linotype" w:cs="Palatino Linotype"/>
          <w:b/>
          <w:sz w:val="22"/>
          <w:szCs w:val="22"/>
        </w:rPr>
        <w:t>Recurrente</w:t>
      </w:r>
      <w:r w:rsidRPr="0032234A">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8147AA1" w14:textId="77777777" w:rsidR="00445A72" w:rsidRPr="0032234A" w:rsidRDefault="00445A72" w:rsidP="00445A72">
      <w:pPr>
        <w:spacing w:line="360" w:lineRule="auto"/>
        <w:jc w:val="both"/>
        <w:rPr>
          <w:rFonts w:ascii="Palatino Linotype" w:eastAsia="Palatino Linotype" w:hAnsi="Palatino Linotype" w:cs="Palatino Linotype"/>
          <w:sz w:val="22"/>
          <w:szCs w:val="22"/>
        </w:rPr>
      </w:pPr>
    </w:p>
    <w:p w14:paraId="34B14091" w14:textId="77777777" w:rsidR="00445A72" w:rsidRPr="0032234A" w:rsidRDefault="00445A72" w:rsidP="00445A72">
      <w:pPr>
        <w:spacing w:line="276" w:lineRule="auto"/>
        <w:ind w:left="567" w:right="616"/>
        <w:jc w:val="both"/>
        <w:rPr>
          <w:rFonts w:ascii="Palatino Linotype" w:eastAsia="Palatino Linotype" w:hAnsi="Palatino Linotype" w:cs="Palatino Linotype"/>
          <w:i/>
          <w:sz w:val="22"/>
          <w:szCs w:val="22"/>
        </w:rPr>
      </w:pPr>
      <w:r w:rsidRPr="0032234A">
        <w:rPr>
          <w:rFonts w:ascii="Palatino Linotype" w:eastAsia="Palatino Linotype" w:hAnsi="Palatino Linotype" w:cs="Palatino Linotype"/>
          <w:b/>
          <w:i/>
          <w:sz w:val="22"/>
          <w:szCs w:val="22"/>
        </w:rPr>
        <w:t xml:space="preserve">“REVISIÓN EN AMPARO. LOS RESOLUTIVOS NO COMBATIDOS DEBEN DECLARARSE FIRMES. </w:t>
      </w:r>
      <w:r w:rsidRPr="0032234A">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F06B87F" w14:textId="77777777" w:rsidR="00445A72" w:rsidRPr="0032234A" w:rsidRDefault="00445A72" w:rsidP="00445A72">
      <w:pPr>
        <w:spacing w:line="276" w:lineRule="auto"/>
        <w:ind w:left="567" w:right="616"/>
        <w:jc w:val="both"/>
        <w:rPr>
          <w:rFonts w:ascii="Palatino Linotype" w:eastAsia="Palatino Linotype" w:hAnsi="Palatino Linotype" w:cs="Palatino Linotype"/>
          <w:i/>
          <w:sz w:val="22"/>
          <w:szCs w:val="22"/>
        </w:rPr>
      </w:pPr>
    </w:p>
    <w:p w14:paraId="0FE08DFF" w14:textId="732688C2" w:rsidR="00445A72" w:rsidRPr="0032234A" w:rsidRDefault="00445A72" w:rsidP="00445A72">
      <w:pP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Consecuentemente, se insiste, ante la falta de impugnación en contra</w:t>
      </w:r>
      <w:r w:rsidR="00BD2FF0" w:rsidRPr="0032234A">
        <w:rPr>
          <w:rFonts w:ascii="Palatino Linotype" w:eastAsia="Palatino Linotype" w:hAnsi="Palatino Linotype" w:cs="Palatino Linotype"/>
          <w:sz w:val="22"/>
          <w:szCs w:val="22"/>
        </w:rPr>
        <w:t xml:space="preserve"> de</w:t>
      </w:r>
      <w:r w:rsidRPr="0032234A">
        <w:rPr>
          <w:rFonts w:ascii="Palatino Linotype" w:eastAsia="Palatino Linotype" w:hAnsi="Palatino Linotype" w:cs="Palatino Linotype"/>
          <w:sz w:val="22"/>
          <w:szCs w:val="22"/>
        </w:rPr>
        <w:t xml:space="preserve"> </w:t>
      </w:r>
      <w:r w:rsidR="00CD2381" w:rsidRPr="0032234A">
        <w:rPr>
          <w:rFonts w:ascii="Palatino Linotype" w:eastAsia="Palatino Linotype" w:hAnsi="Palatino Linotype" w:cs="Palatino Linotype"/>
          <w:b/>
          <w:sz w:val="22"/>
          <w:szCs w:val="22"/>
        </w:rPr>
        <w:t>los Diarios Generales de Pólizas del periodo solicitado</w:t>
      </w:r>
      <w:r w:rsidR="00BD2FF0" w:rsidRPr="0032234A">
        <w:rPr>
          <w:rFonts w:ascii="Palatino Linotype" w:eastAsia="Palatino Linotype" w:hAnsi="Palatino Linotype" w:cs="Palatino Linotype"/>
          <w:b/>
          <w:sz w:val="22"/>
          <w:szCs w:val="22"/>
        </w:rPr>
        <w:t xml:space="preserve">, </w:t>
      </w:r>
      <w:r w:rsidR="00CD2381" w:rsidRPr="0032234A">
        <w:rPr>
          <w:rFonts w:ascii="Palatino Linotype" w:eastAsia="Palatino Linotype" w:hAnsi="Palatino Linotype" w:cs="Palatino Linotype"/>
          <w:sz w:val="22"/>
          <w:szCs w:val="22"/>
        </w:rPr>
        <w:t>estos</w:t>
      </w:r>
      <w:r w:rsidR="00BD2FF0" w:rsidRPr="0032234A">
        <w:rPr>
          <w:rFonts w:ascii="Palatino Linotype" w:eastAsia="Palatino Linotype" w:hAnsi="Palatino Linotype" w:cs="Palatino Linotype"/>
          <w:sz w:val="22"/>
          <w:szCs w:val="22"/>
        </w:rPr>
        <w:t xml:space="preserve"> debe</w:t>
      </w:r>
      <w:r w:rsidR="00CD2381" w:rsidRPr="0032234A">
        <w:rPr>
          <w:rFonts w:ascii="Palatino Linotype" w:eastAsia="Palatino Linotype" w:hAnsi="Palatino Linotype" w:cs="Palatino Linotype"/>
          <w:sz w:val="22"/>
          <w:szCs w:val="22"/>
        </w:rPr>
        <w:t>n declararse consentidos</w:t>
      </w:r>
      <w:r w:rsidRPr="0032234A">
        <w:rPr>
          <w:rFonts w:ascii="Palatino Linotype" w:eastAsia="Palatino Linotype" w:hAnsi="Palatino Linotype" w:cs="Palatino Linotype"/>
          <w:sz w:val="22"/>
          <w:szCs w:val="22"/>
        </w:rPr>
        <w:t>.</w:t>
      </w:r>
    </w:p>
    <w:p w14:paraId="34B42968" w14:textId="77777777" w:rsidR="00445A72" w:rsidRPr="0032234A" w:rsidRDefault="00445A72" w:rsidP="00445A72">
      <w:pPr>
        <w:spacing w:line="360" w:lineRule="auto"/>
        <w:jc w:val="both"/>
        <w:rPr>
          <w:rFonts w:ascii="Palatino Linotype" w:eastAsia="Palatino Linotype" w:hAnsi="Palatino Linotype" w:cs="Palatino Linotype"/>
          <w:sz w:val="22"/>
          <w:szCs w:val="22"/>
        </w:rPr>
      </w:pPr>
    </w:p>
    <w:p w14:paraId="7EA55657" w14:textId="77777777" w:rsidR="00445A72" w:rsidRPr="0032234A" w:rsidRDefault="00445A72" w:rsidP="00445A72">
      <w:pP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 xml:space="preserve">Lo anterior se sustenta con lo plasmado en el criterio 01/20 emitido por el entonces Instituto Nacional de Transparencia, Acceso a la Información, y Protección de Datos Personales, INAI, que lleva por rubro y texto los siguientes: </w:t>
      </w:r>
    </w:p>
    <w:p w14:paraId="27EE4676" w14:textId="77777777" w:rsidR="00445A72" w:rsidRPr="0032234A" w:rsidRDefault="00445A72" w:rsidP="00445A72">
      <w:pPr>
        <w:spacing w:line="360" w:lineRule="auto"/>
        <w:jc w:val="both"/>
        <w:rPr>
          <w:rFonts w:ascii="Palatino Linotype" w:eastAsia="Palatino Linotype" w:hAnsi="Palatino Linotype" w:cs="Palatino Linotype"/>
          <w:sz w:val="22"/>
          <w:szCs w:val="22"/>
        </w:rPr>
      </w:pPr>
    </w:p>
    <w:p w14:paraId="7B11E445" w14:textId="77777777" w:rsidR="00445A72" w:rsidRPr="0032234A" w:rsidRDefault="00445A72" w:rsidP="00445A72">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32234A">
        <w:rPr>
          <w:rFonts w:ascii="Palatino Linotype" w:eastAsia="Palatino Linotype" w:hAnsi="Palatino Linotype" w:cs="Palatino Linotype"/>
          <w:i/>
          <w:sz w:val="22"/>
          <w:szCs w:val="22"/>
        </w:rPr>
        <w:t>“</w:t>
      </w:r>
      <w:r w:rsidRPr="0032234A">
        <w:rPr>
          <w:rFonts w:ascii="Palatino Linotype" w:eastAsia="Palatino Linotype" w:hAnsi="Palatino Linotype" w:cs="Palatino Linotype"/>
          <w:b/>
          <w:i/>
          <w:sz w:val="22"/>
          <w:szCs w:val="22"/>
        </w:rPr>
        <w:t xml:space="preserve">Actos consentidos tácitamente. Improcedencia de su análisis. </w:t>
      </w:r>
      <w:r w:rsidRPr="0032234A">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86F2F3D" w14:textId="77777777" w:rsidR="00445A72" w:rsidRPr="0032234A" w:rsidRDefault="00445A72" w:rsidP="00445A72">
      <w:pPr>
        <w:pBdr>
          <w:top w:val="nil"/>
          <w:left w:val="nil"/>
          <w:bottom w:val="nil"/>
          <w:right w:val="nil"/>
          <w:between w:val="nil"/>
        </w:pBdr>
        <w:spacing w:line="360" w:lineRule="auto"/>
        <w:ind w:left="567" w:right="902"/>
        <w:jc w:val="both"/>
        <w:rPr>
          <w:rFonts w:ascii="Palatino Linotype" w:eastAsia="Palatino Linotype" w:hAnsi="Palatino Linotype" w:cs="Palatino Linotype"/>
          <w:i/>
          <w:sz w:val="22"/>
          <w:szCs w:val="22"/>
        </w:rPr>
      </w:pPr>
    </w:p>
    <w:p w14:paraId="5C7420E2" w14:textId="77777777" w:rsidR="00445A72" w:rsidRPr="0032234A" w:rsidRDefault="00445A72" w:rsidP="00445A72">
      <w:pP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6E1E6354" w14:textId="77777777" w:rsidR="00445A72" w:rsidRPr="0032234A" w:rsidRDefault="00445A72" w:rsidP="00445A72">
      <w:pPr>
        <w:spacing w:line="360" w:lineRule="auto"/>
        <w:ind w:left="851" w:right="900"/>
        <w:jc w:val="both"/>
        <w:rPr>
          <w:rFonts w:ascii="Palatino Linotype" w:eastAsia="Palatino Linotype" w:hAnsi="Palatino Linotype" w:cs="Palatino Linotype"/>
          <w:b/>
          <w:i/>
          <w:smallCaps/>
          <w:sz w:val="22"/>
          <w:szCs w:val="22"/>
        </w:rPr>
      </w:pPr>
    </w:p>
    <w:p w14:paraId="1ED57691" w14:textId="77777777" w:rsidR="00445A72" w:rsidRPr="0032234A" w:rsidRDefault="00445A72" w:rsidP="00445A72">
      <w:pPr>
        <w:tabs>
          <w:tab w:val="left" w:pos="851"/>
          <w:tab w:val="left" w:pos="1276"/>
        </w:tabs>
        <w:spacing w:line="276" w:lineRule="auto"/>
        <w:ind w:left="567" w:right="709"/>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b/>
          <w:i/>
          <w:smallCaps/>
          <w:sz w:val="22"/>
          <w:szCs w:val="22"/>
        </w:rPr>
        <w:t xml:space="preserve">“ACTOS CONSENTIDOS. SON LOS QUE NO SE IMPUGNAN MEDIANTE EL RECURSO IDÓNEO. </w:t>
      </w:r>
      <w:r w:rsidRPr="0032234A">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E3265A0" w14:textId="77777777" w:rsidR="00445A72" w:rsidRPr="0032234A" w:rsidRDefault="00445A72" w:rsidP="006D6304">
      <w:pPr>
        <w:spacing w:line="360" w:lineRule="auto"/>
        <w:jc w:val="both"/>
        <w:rPr>
          <w:rFonts w:ascii="Palatino Linotype" w:eastAsia="Calibri" w:hAnsi="Palatino Linotype"/>
          <w:sz w:val="22"/>
          <w:szCs w:val="22"/>
          <w:lang w:val="es-ES_tradnl" w:eastAsia="en-US"/>
        </w:rPr>
      </w:pPr>
    </w:p>
    <w:p w14:paraId="0B5F5D94" w14:textId="20CE6C90" w:rsidR="003C0BCE" w:rsidRPr="0032234A" w:rsidRDefault="003C0BCE" w:rsidP="002C4D4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Por tanto, el análisis del medio de impugnación que nos ocupa versará sobre</w:t>
      </w:r>
      <w:r w:rsidR="00B6094D" w:rsidRPr="0032234A">
        <w:rPr>
          <w:rFonts w:ascii="Palatino Linotype" w:eastAsia="Palatino Linotype" w:hAnsi="Palatino Linotype" w:cs="Palatino Linotype"/>
          <w:sz w:val="22"/>
          <w:szCs w:val="22"/>
        </w:rPr>
        <w:t xml:space="preserve"> </w:t>
      </w:r>
      <w:r w:rsidR="00CD2381" w:rsidRPr="0032234A">
        <w:rPr>
          <w:rFonts w:ascii="Palatino Linotype" w:eastAsia="Palatino Linotype" w:hAnsi="Palatino Linotype" w:cs="Palatino Linotype"/>
          <w:sz w:val="22"/>
          <w:szCs w:val="22"/>
        </w:rPr>
        <w:t>la documentación comprobatoria que soportara los Diarios Generales de Pólizas del periodo requerido.</w:t>
      </w:r>
    </w:p>
    <w:p w14:paraId="72B0F201" w14:textId="77777777" w:rsidR="003C0BCE" w:rsidRPr="0032234A" w:rsidRDefault="003C0BCE" w:rsidP="002C4D4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399C9A0" w14:textId="5B40D833" w:rsidR="002C4D40" w:rsidRPr="0032234A" w:rsidRDefault="00CD2381"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Precisado lo anterior,</w:t>
      </w:r>
      <w:r w:rsidR="002C4D40" w:rsidRPr="0032234A">
        <w:rPr>
          <w:rFonts w:ascii="Palatino Linotype" w:eastAsia="Palatino Linotype" w:hAnsi="Palatino Linotype" w:cs="Palatino Linotype"/>
          <w:sz w:val="22"/>
          <w:szCs w:val="22"/>
        </w:rPr>
        <w:t xml:space="preserve"> resulta necesario iniciar el presente análisis, recordando que la unidad administrativa que se pronunció </w:t>
      </w:r>
      <w:r w:rsidR="00B6094D" w:rsidRPr="0032234A">
        <w:rPr>
          <w:rFonts w:ascii="Palatino Linotype" w:eastAsia="Palatino Linotype" w:hAnsi="Palatino Linotype" w:cs="Palatino Linotype"/>
          <w:sz w:val="22"/>
          <w:szCs w:val="22"/>
        </w:rPr>
        <w:t xml:space="preserve">fue la </w:t>
      </w:r>
      <w:r w:rsidRPr="0032234A">
        <w:rPr>
          <w:rFonts w:ascii="Palatino Linotype" w:eastAsia="Palatino Linotype" w:hAnsi="Palatino Linotype" w:cs="Palatino Linotype"/>
          <w:sz w:val="22"/>
          <w:szCs w:val="22"/>
        </w:rPr>
        <w:t>Tesorería del Organismo</w:t>
      </w:r>
      <w:r w:rsidR="002C4D40" w:rsidRPr="0032234A">
        <w:rPr>
          <w:rFonts w:ascii="Palatino Linotype" w:eastAsia="Palatino Linotype" w:hAnsi="Palatino Linotype" w:cs="Palatino Linotype"/>
          <w:sz w:val="22"/>
          <w:szCs w:val="22"/>
        </w:rPr>
        <w:t xml:space="preserve">, la cual </w:t>
      </w:r>
      <w:r w:rsidR="007346B9" w:rsidRPr="0032234A">
        <w:rPr>
          <w:rFonts w:ascii="Palatino Linotype" w:eastAsia="Palatino Linotype" w:hAnsi="Palatino Linotype" w:cs="Palatino Linotype"/>
          <w:sz w:val="22"/>
          <w:szCs w:val="22"/>
        </w:rPr>
        <w:t xml:space="preserve">se presume el área competente para conocer de la información requerida en virtud de que </w:t>
      </w:r>
      <w:r w:rsidRPr="0032234A">
        <w:rPr>
          <w:rFonts w:ascii="Palatino Linotype" w:eastAsia="Palatino Linotype" w:hAnsi="Palatino Linotype" w:cs="Palatino Linotype"/>
          <w:sz w:val="22"/>
          <w:szCs w:val="22"/>
        </w:rPr>
        <w:t>es la encargada de administrar los recursos que conforman el patrimonio del organismo, así como de llevar los libros y registros contables, financieros y administrativos de los ingresos, egresos e inventarios, conforme el artículo 15 fracciones I y II de la Ley que crea los Organismos Públicos Descentralizados de Asistencia Social, de carácter Municipal, denominados “Sistemas Municipales para el Desarrollo Integral de la Familia”</w:t>
      </w:r>
      <w:r w:rsidR="009F3739" w:rsidRPr="0032234A">
        <w:rPr>
          <w:rFonts w:ascii="Palatino Linotype" w:eastAsia="Palatino Linotype" w:hAnsi="Palatino Linotype" w:cs="Palatino Linotype"/>
          <w:sz w:val="22"/>
          <w:szCs w:val="22"/>
        </w:rPr>
        <w:t>, a saber:</w:t>
      </w:r>
    </w:p>
    <w:p w14:paraId="61B2FBD6" w14:textId="77777777" w:rsidR="009F3739" w:rsidRPr="0032234A" w:rsidRDefault="009F3739"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01C7E46" w14:textId="39276518" w:rsidR="009F3739" w:rsidRPr="0032234A" w:rsidRDefault="009F3739" w:rsidP="009F373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32234A">
        <w:rPr>
          <w:rFonts w:ascii="Palatino Linotype" w:eastAsia="Palatino Linotype" w:hAnsi="Palatino Linotype" w:cs="Palatino Linotype"/>
          <w:i/>
          <w:sz w:val="22"/>
          <w:szCs w:val="22"/>
        </w:rPr>
        <w:t xml:space="preserve">“Artículo 15.- 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 </w:t>
      </w:r>
    </w:p>
    <w:p w14:paraId="6B458396" w14:textId="77777777" w:rsidR="009F3739" w:rsidRPr="0032234A" w:rsidRDefault="009F3739" w:rsidP="009F3739">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r w:rsidRPr="0032234A">
        <w:rPr>
          <w:rFonts w:ascii="Palatino Linotype" w:eastAsia="Palatino Linotype" w:hAnsi="Palatino Linotype" w:cs="Palatino Linotype"/>
          <w:b/>
          <w:i/>
          <w:sz w:val="22"/>
          <w:szCs w:val="22"/>
        </w:rPr>
        <w:t xml:space="preserve">I. Administrar los recursos que conforman el patrimonio del organismo de conformidad con lo establecido en las disposiciones legales aplicables; </w:t>
      </w:r>
    </w:p>
    <w:p w14:paraId="2A741C62" w14:textId="3A75CDCD" w:rsidR="009F3739" w:rsidRPr="0032234A" w:rsidRDefault="009F3739" w:rsidP="009F3739">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r w:rsidRPr="0032234A">
        <w:rPr>
          <w:rFonts w:ascii="Palatino Linotype" w:eastAsia="Palatino Linotype" w:hAnsi="Palatino Linotype" w:cs="Palatino Linotype"/>
          <w:b/>
          <w:i/>
          <w:sz w:val="22"/>
          <w:szCs w:val="22"/>
        </w:rPr>
        <w:t>II. Llevar los libros y registros contables, financieros y administrativos de los ingresos, egresos e inventarios;[…]”</w:t>
      </w:r>
    </w:p>
    <w:p w14:paraId="2E8D38E5" w14:textId="77777777" w:rsidR="009F3739" w:rsidRPr="0032234A" w:rsidRDefault="009F3739" w:rsidP="009F3739">
      <w:pPr>
        <w:pBdr>
          <w:top w:val="nil"/>
          <w:left w:val="nil"/>
          <w:bottom w:val="nil"/>
          <w:right w:val="nil"/>
          <w:between w:val="nil"/>
        </w:pBdr>
        <w:spacing w:line="276" w:lineRule="auto"/>
        <w:ind w:left="567" w:right="616"/>
        <w:jc w:val="both"/>
        <w:rPr>
          <w:rFonts w:ascii="Palatino Linotype" w:eastAsia="Palatino Linotype" w:hAnsi="Palatino Linotype" w:cs="Palatino Linotype"/>
          <w:b/>
          <w:i/>
          <w:sz w:val="22"/>
          <w:szCs w:val="22"/>
        </w:rPr>
      </w:pPr>
    </w:p>
    <w:p w14:paraId="7ACC6E1F" w14:textId="622F0126" w:rsidR="009F3739" w:rsidRPr="0032234A" w:rsidRDefault="009F3739" w:rsidP="009F3739">
      <w:pPr>
        <w:pBdr>
          <w:top w:val="nil"/>
          <w:left w:val="nil"/>
          <w:bottom w:val="nil"/>
          <w:right w:val="nil"/>
          <w:between w:val="nil"/>
        </w:pBdr>
        <w:spacing w:line="276" w:lineRule="auto"/>
        <w:ind w:left="567" w:right="616"/>
        <w:jc w:val="right"/>
        <w:rPr>
          <w:rFonts w:ascii="Palatino Linotype" w:eastAsia="Palatino Linotype" w:hAnsi="Palatino Linotype" w:cs="Palatino Linotype"/>
          <w:i/>
          <w:sz w:val="22"/>
          <w:szCs w:val="22"/>
        </w:rPr>
      </w:pPr>
      <w:r w:rsidRPr="0032234A">
        <w:rPr>
          <w:rFonts w:ascii="Palatino Linotype" w:eastAsia="Palatino Linotype" w:hAnsi="Palatino Linotype" w:cs="Palatino Linotype"/>
          <w:i/>
          <w:sz w:val="22"/>
          <w:szCs w:val="22"/>
        </w:rPr>
        <w:t>(Énfasis añadido)</w:t>
      </w:r>
    </w:p>
    <w:p w14:paraId="1CDA84ED" w14:textId="77777777" w:rsidR="007346B9" w:rsidRPr="0032234A" w:rsidRDefault="007346B9"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62A37FA" w14:textId="76C04ED1" w:rsidR="007346B9" w:rsidRPr="0032234A" w:rsidRDefault="007346B9" w:rsidP="007346B9">
      <w:pPr>
        <w:pBdr>
          <w:top w:val="nil"/>
          <w:left w:val="nil"/>
          <w:bottom w:val="nil"/>
          <w:right w:val="nil"/>
          <w:between w:val="nil"/>
        </w:pBdr>
        <w:spacing w:line="360" w:lineRule="auto"/>
        <w:jc w:val="both"/>
        <w:rPr>
          <w:rFonts w:ascii="Palatino Linotype" w:eastAsia="Palatino Linotype" w:hAnsi="Palatino Linotype" w:cs="Palatino Linotype"/>
          <w:b/>
          <w:i/>
          <w:sz w:val="22"/>
          <w:szCs w:val="22"/>
        </w:rPr>
      </w:pPr>
      <w:r w:rsidRPr="0032234A">
        <w:rPr>
          <w:rFonts w:ascii="Palatino Linotype" w:eastAsia="Palatino Linotype" w:hAnsi="Palatino Linotype" w:cs="Palatino Linotype"/>
          <w:sz w:val="22"/>
          <w:szCs w:val="22"/>
        </w:rPr>
        <w:t>Máxime que, en el presente asunto el servidor público de la referida unidad administrativa asumió contar con la información requerida, tan es así que se pronunció respecto de la misma vía respuesta.</w:t>
      </w:r>
    </w:p>
    <w:p w14:paraId="5DD8BD9D" w14:textId="77777777" w:rsidR="002C4D40" w:rsidRPr="0032234A" w:rsidRDefault="002C4D40" w:rsidP="002C4D40">
      <w:pPr>
        <w:pBdr>
          <w:top w:val="nil"/>
          <w:left w:val="nil"/>
          <w:bottom w:val="nil"/>
          <w:right w:val="nil"/>
          <w:between w:val="nil"/>
        </w:pBdr>
        <w:spacing w:line="276" w:lineRule="auto"/>
        <w:ind w:right="900"/>
        <w:jc w:val="both"/>
        <w:rPr>
          <w:rFonts w:ascii="Palatino Linotype" w:eastAsia="Palatino Linotype" w:hAnsi="Palatino Linotype" w:cs="Palatino Linotype"/>
          <w:sz w:val="22"/>
          <w:szCs w:val="22"/>
        </w:rPr>
      </w:pPr>
    </w:p>
    <w:p w14:paraId="5EEF1C9B" w14:textId="64463D86" w:rsidR="002C4D40" w:rsidRPr="0032234A" w:rsidRDefault="002C4D40" w:rsidP="002C4D40">
      <w:pPr>
        <w:spacing w:line="360" w:lineRule="auto"/>
        <w:ind w:right="141"/>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 xml:space="preserve">En tal tesitura, se tiene que obra un pronunciamiento de la unidad administrativa encargada de intervenir en la elaboración del inventario general de los bienes muebles e inmuebles </w:t>
      </w:r>
      <w:r w:rsidR="007346B9" w:rsidRPr="0032234A">
        <w:rPr>
          <w:rFonts w:ascii="Palatino Linotype" w:eastAsia="Palatino Linotype" w:hAnsi="Palatino Linotype" w:cs="Palatino Linotype"/>
          <w:sz w:val="22"/>
          <w:szCs w:val="22"/>
        </w:rPr>
        <w:t>del organismo</w:t>
      </w:r>
      <w:r w:rsidRPr="0032234A">
        <w:rPr>
          <w:rFonts w:ascii="Palatino Linotype" w:eastAsia="Palatino Linotype" w:hAnsi="Palatino Linotype" w:cs="Palatino Linotype"/>
          <w:sz w:val="22"/>
          <w:szCs w:val="22"/>
        </w:rPr>
        <w:t xml:space="preserve">, por consiguiente, es dable afirmar que en el presente asunto obra un pronunciamiento de la unidad administrativa competente, por lo que se determina que el </w:t>
      </w:r>
      <w:r w:rsidRPr="0032234A">
        <w:rPr>
          <w:rFonts w:ascii="Palatino Linotype" w:eastAsia="Palatino Linotype" w:hAnsi="Palatino Linotype" w:cs="Palatino Linotype"/>
          <w:b/>
          <w:sz w:val="22"/>
          <w:szCs w:val="22"/>
        </w:rPr>
        <w:t>Sujeto Obligado</w:t>
      </w:r>
      <w:r w:rsidRPr="0032234A">
        <w:rPr>
          <w:rFonts w:ascii="Palatino Linotype" w:eastAsia="Palatino Linotype" w:hAnsi="Palatino Linotype" w:cs="Palatino Linotype"/>
          <w:sz w:val="22"/>
          <w:szCs w:val="22"/>
        </w:rPr>
        <w:t xml:space="preserve">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162947B8" w14:textId="77777777" w:rsidR="002C4D40" w:rsidRPr="0032234A" w:rsidRDefault="002C4D40" w:rsidP="002C4D40">
      <w:pPr>
        <w:spacing w:line="360" w:lineRule="auto"/>
        <w:ind w:right="141"/>
        <w:jc w:val="both"/>
        <w:rPr>
          <w:rFonts w:ascii="Palatino Linotype" w:eastAsia="Palatino Linotype" w:hAnsi="Palatino Linotype" w:cs="Palatino Linotype"/>
          <w:sz w:val="22"/>
          <w:szCs w:val="22"/>
        </w:rPr>
      </w:pPr>
    </w:p>
    <w:p w14:paraId="48B1166A" w14:textId="77777777" w:rsidR="002C4D40" w:rsidRPr="0032234A" w:rsidRDefault="002C4D40" w:rsidP="002C4D40">
      <w:pPr>
        <w:pBdr>
          <w:top w:val="nil"/>
          <w:left w:val="nil"/>
          <w:bottom w:val="nil"/>
          <w:right w:val="nil"/>
          <w:between w:val="nil"/>
        </w:pBdr>
        <w:ind w:left="864" w:right="864"/>
        <w:jc w:val="both"/>
      </w:pPr>
      <w:r w:rsidRPr="0032234A">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4EE3840A" w14:textId="77777777" w:rsidR="00483812" w:rsidRPr="0032234A" w:rsidRDefault="00483812" w:rsidP="00483812">
      <w:pPr>
        <w:pBdr>
          <w:top w:val="nil"/>
          <w:left w:val="nil"/>
          <w:bottom w:val="nil"/>
          <w:right w:val="nil"/>
          <w:between w:val="nil"/>
        </w:pBdr>
        <w:spacing w:line="360" w:lineRule="auto"/>
        <w:jc w:val="both"/>
        <w:rPr>
          <w:sz w:val="22"/>
          <w:szCs w:val="22"/>
        </w:rPr>
      </w:pPr>
      <w:r w:rsidRPr="0032234A">
        <w:rPr>
          <w:rFonts w:ascii="Palatino Linotype" w:eastAsia="Palatino Linotype" w:hAnsi="Palatino Linotype" w:cs="Palatino Linotype"/>
          <w:sz w:val="22"/>
          <w:szCs w:val="22"/>
        </w:rPr>
        <w:t xml:space="preserve">Establecido lo anterior, por cuanto hace a los motivos de inconformidad, </w:t>
      </w:r>
      <w:r w:rsidRPr="0032234A">
        <w:rPr>
          <w:rFonts w:ascii="Palatino Linotype" w:eastAsia="Palatino Linotype" w:hAnsi="Palatino Linotype" w:cs="Palatino Linotype"/>
          <w:b/>
          <w:sz w:val="22"/>
          <w:szCs w:val="22"/>
        </w:rPr>
        <w:t>la parte</w:t>
      </w:r>
      <w:r w:rsidRPr="0032234A">
        <w:rPr>
          <w:rFonts w:ascii="Palatino Linotype" w:eastAsia="Palatino Linotype" w:hAnsi="Palatino Linotype" w:cs="Palatino Linotype"/>
          <w:sz w:val="22"/>
          <w:szCs w:val="22"/>
        </w:rPr>
        <w:t xml:space="preserve"> </w:t>
      </w:r>
      <w:r w:rsidRPr="0032234A">
        <w:rPr>
          <w:rFonts w:ascii="Palatino Linotype" w:eastAsia="Palatino Linotype" w:hAnsi="Palatino Linotype" w:cs="Palatino Linotype"/>
          <w:b/>
          <w:sz w:val="22"/>
          <w:szCs w:val="22"/>
        </w:rPr>
        <w:t>Recurrente</w:t>
      </w:r>
      <w:r w:rsidRPr="0032234A">
        <w:rPr>
          <w:rFonts w:ascii="Palatino Linotype" w:eastAsia="Palatino Linotype" w:hAnsi="Palatino Linotype" w:cs="Palatino Linotype"/>
          <w:sz w:val="22"/>
          <w:szCs w:val="22"/>
        </w:rPr>
        <w:t>, señaló lo siguiente:</w:t>
      </w:r>
    </w:p>
    <w:p w14:paraId="094D61B5" w14:textId="77777777" w:rsidR="00483812" w:rsidRPr="0032234A" w:rsidRDefault="00483812" w:rsidP="00483812"/>
    <w:p w14:paraId="78AA09B5" w14:textId="011C7A19" w:rsidR="00483812" w:rsidRPr="0032234A" w:rsidRDefault="00483812" w:rsidP="00483812">
      <w:pPr>
        <w:pBdr>
          <w:top w:val="nil"/>
          <w:left w:val="nil"/>
          <w:bottom w:val="nil"/>
          <w:right w:val="nil"/>
          <w:between w:val="nil"/>
        </w:pBdr>
        <w:ind w:left="567" w:right="567"/>
        <w:jc w:val="both"/>
      </w:pPr>
      <w:r w:rsidRPr="0032234A">
        <w:rPr>
          <w:rFonts w:ascii="Palatino Linotype" w:eastAsia="Palatino Linotype" w:hAnsi="Palatino Linotype" w:cs="Palatino Linotype"/>
          <w:i/>
          <w:sz w:val="22"/>
          <w:szCs w:val="22"/>
        </w:rPr>
        <w:t>“</w:t>
      </w:r>
      <w:r w:rsidRPr="0032234A">
        <w:rPr>
          <w:rFonts w:ascii="Palatino Linotype" w:eastAsia="Palatino Linotype" w:hAnsi="Palatino Linotype" w:cs="Palatino Linotype"/>
          <w:b/>
          <w:i/>
          <w:sz w:val="22"/>
          <w:szCs w:val="22"/>
          <w:u w:val="single"/>
        </w:rPr>
        <w:t>NO ENTREGAN LA INFORMACION COMPROBATORIA QUE SOPORTA LA INFORMACION ENTREGADA</w:t>
      </w:r>
      <w:r w:rsidRPr="0032234A">
        <w:rPr>
          <w:rFonts w:ascii="Palatino Linotype" w:eastAsia="Palatino Linotype" w:hAnsi="Palatino Linotype" w:cs="Palatino Linotype"/>
          <w:i/>
          <w:sz w:val="22"/>
          <w:szCs w:val="22"/>
        </w:rPr>
        <w:t>” (Sic).</w:t>
      </w:r>
    </w:p>
    <w:p w14:paraId="2E43645C" w14:textId="77777777" w:rsidR="00483812" w:rsidRPr="0032234A" w:rsidRDefault="00483812" w:rsidP="00483812">
      <w:pPr>
        <w:pBdr>
          <w:top w:val="nil"/>
          <w:left w:val="nil"/>
          <w:bottom w:val="nil"/>
          <w:right w:val="nil"/>
          <w:between w:val="nil"/>
        </w:pBdr>
        <w:spacing w:after="240"/>
        <w:ind w:right="49"/>
        <w:jc w:val="both"/>
        <w:rPr>
          <w:rFonts w:ascii="Palatino Linotype" w:eastAsia="Palatino Linotype" w:hAnsi="Palatino Linotype" w:cs="Palatino Linotype"/>
        </w:rPr>
      </w:pPr>
    </w:p>
    <w:p w14:paraId="6A6DDDC8" w14:textId="77777777" w:rsidR="00483812" w:rsidRPr="0032234A" w:rsidRDefault="00483812" w:rsidP="00483812">
      <w:pPr>
        <w:pBdr>
          <w:top w:val="nil"/>
          <w:left w:val="nil"/>
          <w:bottom w:val="nil"/>
          <w:right w:val="nil"/>
          <w:between w:val="nil"/>
        </w:pBdr>
        <w:spacing w:after="240" w:line="360" w:lineRule="auto"/>
        <w:ind w:right="49"/>
        <w:jc w:val="both"/>
        <w:rPr>
          <w:sz w:val="22"/>
          <w:szCs w:val="22"/>
        </w:rPr>
      </w:pPr>
      <w:r w:rsidRPr="0032234A">
        <w:rPr>
          <w:rFonts w:ascii="Palatino Linotype" w:eastAsia="Palatino Linotype" w:hAnsi="Palatino Linotype" w:cs="Palatino Linotype"/>
          <w:sz w:val="22"/>
          <w:szCs w:val="22"/>
        </w:rPr>
        <w:t xml:space="preserve">Es de precisar que esta circunstancia constituye para este Organismo Garante un nuevo requerimiento de información, configurándose así lo que se conoce como </w:t>
      </w:r>
      <w:r w:rsidRPr="0032234A">
        <w:rPr>
          <w:rFonts w:ascii="Palatino Linotype" w:eastAsia="Palatino Linotype" w:hAnsi="Palatino Linotype" w:cs="Palatino Linotype"/>
          <w:i/>
          <w:sz w:val="22"/>
          <w:szCs w:val="22"/>
        </w:rPr>
        <w:t>plus petitio</w:t>
      </w:r>
      <w:r w:rsidRPr="0032234A">
        <w:rPr>
          <w:rFonts w:ascii="Palatino Linotype" w:eastAsia="Palatino Linotype" w:hAnsi="Palatino Linotype" w:cs="Palatino Linotype"/>
          <w:b/>
          <w:i/>
          <w:sz w:val="22"/>
          <w:szCs w:val="22"/>
        </w:rPr>
        <w:t xml:space="preserve">, </w:t>
      </w:r>
      <w:r w:rsidRPr="0032234A">
        <w:rPr>
          <w:rFonts w:ascii="Palatino Linotype" w:eastAsia="Palatino Linotype" w:hAnsi="Palatino Linotype" w:cs="Palatino Linotype"/>
          <w:sz w:val="22"/>
          <w:szCs w:val="22"/>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w:t>
      </w:r>
      <w:r w:rsidRPr="0032234A">
        <w:rPr>
          <w:rFonts w:ascii="Palatino Linotype" w:eastAsia="Palatino Linotype" w:hAnsi="Palatino Linotype" w:cs="Palatino Linotype"/>
          <w:b/>
          <w:sz w:val="22"/>
          <w:szCs w:val="22"/>
        </w:rPr>
        <w:t>la parte Recurrente</w:t>
      </w:r>
      <w:r w:rsidRPr="0032234A">
        <w:rPr>
          <w:rFonts w:ascii="Palatino Linotype" w:eastAsia="Palatino Linotype" w:hAnsi="Palatino Linotype" w:cs="Palatino Linotype"/>
          <w:sz w:val="22"/>
          <w:szCs w:val="22"/>
        </w:rPr>
        <w:t xml:space="preserve"> amplíe su solicitud en el Recurso de Revisión, </w:t>
      </w:r>
      <w:r w:rsidRPr="0032234A">
        <w:rPr>
          <w:rFonts w:ascii="Palatino Linotype" w:eastAsia="Palatino Linotype" w:hAnsi="Palatino Linotype" w:cs="Palatino Linotype"/>
          <w:b/>
          <w:sz w:val="22"/>
          <w:szCs w:val="22"/>
          <w:u w:val="single"/>
        </w:rPr>
        <w:t xml:space="preserve">únicamente respecto de los nuevos contenidos; </w:t>
      </w:r>
      <w:r w:rsidRPr="0032234A">
        <w:rPr>
          <w:rFonts w:ascii="Palatino Linotype" w:eastAsia="Palatino Linotype" w:hAnsi="Palatino Linotype" w:cs="Palatino Linotype"/>
          <w:sz w:val="22"/>
          <w:szCs w:val="22"/>
        </w:rPr>
        <w:t xml:space="preserve">cuestión que tuvo lugar en el presente caso, pues </w:t>
      </w:r>
      <w:r w:rsidRPr="0032234A">
        <w:rPr>
          <w:rFonts w:ascii="Palatino Linotype" w:eastAsia="Palatino Linotype" w:hAnsi="Palatino Linotype" w:cs="Palatino Linotype"/>
          <w:b/>
          <w:sz w:val="22"/>
          <w:szCs w:val="22"/>
        </w:rPr>
        <w:t>la parte</w:t>
      </w:r>
      <w:r w:rsidRPr="0032234A">
        <w:rPr>
          <w:rFonts w:ascii="Palatino Linotype" w:eastAsia="Palatino Linotype" w:hAnsi="Palatino Linotype" w:cs="Palatino Linotype"/>
          <w:sz w:val="22"/>
          <w:szCs w:val="22"/>
        </w:rPr>
        <w:t xml:space="preserve"> </w:t>
      </w:r>
      <w:r w:rsidRPr="0032234A">
        <w:rPr>
          <w:rFonts w:ascii="Palatino Linotype" w:eastAsia="Palatino Linotype" w:hAnsi="Palatino Linotype" w:cs="Palatino Linotype"/>
          <w:b/>
          <w:sz w:val="22"/>
          <w:szCs w:val="22"/>
        </w:rPr>
        <w:t>Recurrente</w:t>
      </w:r>
      <w:r w:rsidRPr="0032234A">
        <w:rPr>
          <w:rFonts w:ascii="Palatino Linotype" w:eastAsia="Palatino Linotype" w:hAnsi="Palatino Linotype" w:cs="Palatino Linotype"/>
          <w:sz w:val="22"/>
          <w:szCs w:val="22"/>
        </w:rPr>
        <w:t xml:space="preserve"> formuló un nuevo requerimiento, en los que solicitó información que no formó parte de su solicitud inicial y por lo tanto son inatendibles a través del recurso de revisión.</w:t>
      </w:r>
    </w:p>
    <w:p w14:paraId="13E242FC" w14:textId="7A5AD9F7" w:rsidR="00483812" w:rsidRPr="0032234A" w:rsidRDefault="00483812" w:rsidP="00483812">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 xml:space="preserve">Es pertinente aclarar, que de las constancias del SAIMEX se advierte que inicialmente la persona solicitante de información requiere concretamente los Diarios Generales de Polizas del periodo comprendido del 01 de enero al 30 de agosto de 2025; sin que de la lectura a la solicitud se advierta que </w:t>
      </w:r>
      <w:r w:rsidRPr="0032234A">
        <w:rPr>
          <w:rFonts w:ascii="Palatino Linotype" w:eastAsia="Palatino Linotype" w:hAnsi="Palatino Linotype" w:cs="Palatino Linotype"/>
          <w:b/>
          <w:sz w:val="22"/>
          <w:szCs w:val="22"/>
        </w:rPr>
        <w:t>la parte Recurrente</w:t>
      </w:r>
      <w:r w:rsidRPr="0032234A">
        <w:rPr>
          <w:rFonts w:ascii="Palatino Linotype" w:eastAsia="Palatino Linotype" w:hAnsi="Palatino Linotype" w:cs="Palatino Linotype"/>
          <w:sz w:val="22"/>
          <w:szCs w:val="22"/>
        </w:rPr>
        <w:t xml:space="preserve"> requiera los documentos comprobatorios de dichos diarios.</w:t>
      </w:r>
    </w:p>
    <w:p w14:paraId="6A3084A7" w14:textId="72BFBBFE" w:rsidR="00483812" w:rsidRPr="0032234A" w:rsidRDefault="00483812" w:rsidP="00483812">
      <w:pPr>
        <w:pBdr>
          <w:top w:val="nil"/>
          <w:left w:val="nil"/>
          <w:bottom w:val="nil"/>
          <w:right w:val="nil"/>
          <w:between w:val="nil"/>
        </w:pBdr>
        <w:spacing w:line="360" w:lineRule="auto"/>
        <w:ind w:right="51"/>
        <w:jc w:val="both"/>
        <w:rPr>
          <w:rFonts w:ascii="Palatino Linotype" w:eastAsia="Palatino Linotype" w:hAnsi="Palatino Linotype" w:cs="Palatino Linotype"/>
          <w:b/>
          <w:sz w:val="22"/>
          <w:szCs w:val="22"/>
        </w:rPr>
      </w:pPr>
      <w:r w:rsidRPr="0032234A">
        <w:rPr>
          <w:rFonts w:ascii="Palatino Linotype" w:eastAsia="Palatino Linotype" w:hAnsi="Palatino Linotype" w:cs="Palatino Linotype"/>
          <w:sz w:val="22"/>
          <w:szCs w:val="22"/>
        </w:rPr>
        <w:t xml:space="preserve">Por ello, es posible determinar que el argumento formulado como motivos de inconformidad, antes señalado, es una ampliación a la solicitud inicial y corresponde a un nuevo requerimiento de información, que no se encuentran relacionados con lo solicitado en un primer momento; en razón de que </w:t>
      </w:r>
      <w:r w:rsidRPr="0032234A">
        <w:rPr>
          <w:rFonts w:ascii="Palatino Linotype" w:eastAsia="Palatino Linotype" w:hAnsi="Palatino Linotype" w:cs="Palatino Linotype"/>
          <w:b/>
          <w:sz w:val="22"/>
          <w:szCs w:val="22"/>
        </w:rPr>
        <w:t>la parte</w:t>
      </w:r>
      <w:r w:rsidRPr="0032234A">
        <w:rPr>
          <w:rFonts w:ascii="Palatino Linotype" w:eastAsia="Palatino Linotype" w:hAnsi="Palatino Linotype" w:cs="Palatino Linotype"/>
          <w:sz w:val="22"/>
          <w:szCs w:val="22"/>
        </w:rPr>
        <w:t xml:space="preserve"> </w:t>
      </w:r>
      <w:r w:rsidRPr="0032234A">
        <w:rPr>
          <w:rFonts w:ascii="Palatino Linotype" w:eastAsia="Palatino Linotype" w:hAnsi="Palatino Linotype" w:cs="Palatino Linotype"/>
          <w:b/>
          <w:sz w:val="22"/>
          <w:szCs w:val="22"/>
        </w:rPr>
        <w:t>Recurrente</w:t>
      </w:r>
      <w:r w:rsidRPr="0032234A">
        <w:rPr>
          <w:rFonts w:ascii="Palatino Linotype" w:eastAsia="Palatino Linotype" w:hAnsi="Palatino Linotype" w:cs="Palatino Linotype"/>
          <w:sz w:val="22"/>
          <w:szCs w:val="22"/>
        </w:rPr>
        <w:t xml:space="preserve"> fue claro en solicitar inicialmente los Diarios Generales de Polizas del periodo comprendido del 01 de enero al 30 de agosto de 2025; no obstante </w:t>
      </w:r>
      <w:r w:rsidRPr="0032234A">
        <w:rPr>
          <w:rFonts w:ascii="Palatino Linotype" w:eastAsia="Palatino Linotype" w:hAnsi="Palatino Linotype" w:cs="Palatino Linotype"/>
          <w:b/>
          <w:sz w:val="22"/>
          <w:szCs w:val="22"/>
        </w:rPr>
        <w:t xml:space="preserve">mediante el escrito del recurso de revisión, solicita le proporcionen los documentos comprobatorios de la información entregada en respuesta. </w:t>
      </w:r>
    </w:p>
    <w:p w14:paraId="625DE2F7" w14:textId="77777777" w:rsidR="00483812" w:rsidRPr="0032234A" w:rsidRDefault="00483812" w:rsidP="00483812">
      <w:pPr>
        <w:pBdr>
          <w:top w:val="nil"/>
          <w:left w:val="nil"/>
          <w:bottom w:val="nil"/>
          <w:right w:val="nil"/>
          <w:between w:val="nil"/>
        </w:pBdr>
        <w:spacing w:line="360" w:lineRule="auto"/>
        <w:ind w:right="51"/>
        <w:jc w:val="both"/>
        <w:rPr>
          <w:rFonts w:ascii="Palatino Linotype" w:eastAsia="Palatino Linotype" w:hAnsi="Palatino Linotype" w:cs="Palatino Linotype"/>
          <w:b/>
          <w:sz w:val="22"/>
          <w:szCs w:val="22"/>
        </w:rPr>
      </w:pPr>
    </w:p>
    <w:p w14:paraId="4BB66946" w14:textId="07175487" w:rsidR="00483812" w:rsidRPr="0032234A" w:rsidRDefault="00483812" w:rsidP="00483812">
      <w:pPr>
        <w:pBdr>
          <w:top w:val="nil"/>
          <w:left w:val="nil"/>
          <w:bottom w:val="nil"/>
          <w:right w:val="nil"/>
          <w:between w:val="nil"/>
        </w:pBdr>
        <w:spacing w:line="360" w:lineRule="auto"/>
        <w:ind w:right="51"/>
        <w:jc w:val="both"/>
        <w:rPr>
          <w:rFonts w:ascii="Palatino Linotype" w:eastAsia="Palatino Linotype" w:hAnsi="Palatino Linotype" w:cs="Palatino Linotype"/>
          <w:b/>
          <w:sz w:val="22"/>
          <w:szCs w:val="22"/>
        </w:rPr>
      </w:pPr>
      <w:r w:rsidRPr="0032234A">
        <w:rPr>
          <w:rFonts w:ascii="Palatino Linotype" w:eastAsia="Palatino Linotype" w:hAnsi="Palatino Linotype" w:cs="Palatino Linotype"/>
          <w:sz w:val="22"/>
          <w:szCs w:val="22"/>
        </w:rPr>
        <w:t xml:space="preserve">De esta manera, atendiendo que </w:t>
      </w:r>
      <w:r w:rsidRPr="0032234A">
        <w:rPr>
          <w:rFonts w:ascii="Palatino Linotype" w:eastAsia="Palatino Linotype" w:hAnsi="Palatino Linotype" w:cs="Palatino Linotype"/>
          <w:b/>
          <w:sz w:val="22"/>
          <w:szCs w:val="22"/>
        </w:rPr>
        <w:t>los documentos comprobatorios de la información entregada en respuesta</w:t>
      </w:r>
      <w:r w:rsidRPr="0032234A">
        <w:rPr>
          <w:rFonts w:ascii="Palatino Linotype" w:eastAsia="Palatino Linotype" w:hAnsi="Palatino Linotype" w:cs="Palatino Linotype"/>
          <w:sz w:val="22"/>
          <w:szCs w:val="22"/>
        </w:rPr>
        <w:t xml:space="preserve"> no fueron requeridos inicialmente,</w:t>
      </w:r>
      <w:r w:rsidRPr="0032234A">
        <w:rPr>
          <w:rFonts w:ascii="Palatino Linotype" w:eastAsia="Palatino Linotype" w:hAnsi="Palatino Linotype" w:cs="Palatino Linotype"/>
          <w:b/>
          <w:sz w:val="22"/>
          <w:szCs w:val="22"/>
        </w:rPr>
        <w:t xml:space="preserve"> </w:t>
      </w:r>
      <w:r w:rsidRPr="0032234A">
        <w:rPr>
          <w:rFonts w:ascii="Palatino Linotype" w:eastAsia="Palatino Linotype" w:hAnsi="Palatino Linotype" w:cs="Palatino Linotype"/>
          <w:sz w:val="22"/>
          <w:szCs w:val="22"/>
        </w:rPr>
        <w:t>es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14:paraId="2FF1790C" w14:textId="77777777" w:rsidR="00483812" w:rsidRPr="0032234A" w:rsidRDefault="00483812" w:rsidP="00483812">
      <w:pPr>
        <w:spacing w:line="360" w:lineRule="auto"/>
        <w:rPr>
          <w:sz w:val="22"/>
          <w:szCs w:val="22"/>
        </w:rPr>
      </w:pPr>
    </w:p>
    <w:p w14:paraId="5DBD9A4C" w14:textId="77777777" w:rsidR="00483812" w:rsidRPr="0032234A" w:rsidRDefault="00483812" w:rsidP="00483812">
      <w:pPr>
        <w:pBdr>
          <w:top w:val="nil"/>
          <w:left w:val="nil"/>
          <w:bottom w:val="nil"/>
          <w:right w:val="nil"/>
          <w:between w:val="nil"/>
        </w:pBdr>
        <w:spacing w:after="240" w:line="360" w:lineRule="auto"/>
        <w:jc w:val="both"/>
        <w:rPr>
          <w:sz w:val="22"/>
          <w:szCs w:val="22"/>
        </w:rPr>
      </w:pPr>
      <w:r w:rsidRPr="0032234A">
        <w:rPr>
          <w:rFonts w:ascii="Palatino Linotype" w:eastAsia="Palatino Linotype" w:hAnsi="Palatino Linotype" w:cs="Palatino Linotype"/>
          <w:sz w:val="22"/>
          <w:szCs w:val="22"/>
        </w:rPr>
        <w:t>En este orden de ideas, una vez formulada su solicitud inicial,</w:t>
      </w:r>
      <w:r w:rsidRPr="0032234A">
        <w:rPr>
          <w:rFonts w:ascii="Palatino Linotype" w:eastAsia="Palatino Linotype" w:hAnsi="Palatino Linotype" w:cs="Palatino Linotype"/>
          <w:i/>
          <w:sz w:val="22"/>
          <w:szCs w:val="22"/>
        </w:rPr>
        <w:t xml:space="preserve"> </w:t>
      </w:r>
      <w:r w:rsidRPr="0032234A">
        <w:rPr>
          <w:rFonts w:ascii="Palatino Linotype" w:eastAsia="Palatino Linotype" w:hAnsi="Palatino Linotype" w:cs="Palatino Linotype"/>
          <w:sz w:val="22"/>
          <w:szCs w:val="22"/>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4DD546C0" w14:textId="77777777" w:rsidR="00483812" w:rsidRPr="0032234A" w:rsidRDefault="00483812" w:rsidP="00483812">
      <w:pPr>
        <w:pBdr>
          <w:top w:val="nil"/>
          <w:left w:val="nil"/>
          <w:bottom w:val="nil"/>
          <w:right w:val="nil"/>
          <w:between w:val="nil"/>
        </w:pBdr>
        <w:spacing w:before="240" w:after="240" w:line="360" w:lineRule="auto"/>
        <w:jc w:val="both"/>
        <w:rPr>
          <w:sz w:val="22"/>
          <w:szCs w:val="22"/>
        </w:rPr>
      </w:pPr>
      <w:r w:rsidRPr="0032234A">
        <w:rPr>
          <w:rFonts w:ascii="Palatino Linotype" w:eastAsia="Palatino Linotype" w:hAnsi="Palatino Linotype" w:cs="Palatino Linotype"/>
          <w:sz w:val="22"/>
          <w:szCs w:val="22"/>
        </w:rPr>
        <w:t>Robustece lo anterior lo plasmado en el criterio orientador número 01/17 emitido por el entonces Instituto Nacional de Transparencia, Acceso a la Información y Protección de Datos Personales, INAI, que lleva por rubro y texto lo que a continuación se transcribe:</w:t>
      </w:r>
    </w:p>
    <w:p w14:paraId="0A08183C" w14:textId="77777777" w:rsidR="00483812" w:rsidRPr="0032234A" w:rsidRDefault="00483812" w:rsidP="00483812">
      <w:pPr>
        <w:pBdr>
          <w:top w:val="nil"/>
          <w:left w:val="nil"/>
          <w:bottom w:val="nil"/>
          <w:right w:val="nil"/>
          <w:between w:val="nil"/>
        </w:pBdr>
        <w:spacing w:before="240" w:after="240"/>
        <w:ind w:left="851" w:right="900"/>
        <w:jc w:val="both"/>
      </w:pPr>
      <w:r w:rsidRPr="0032234A">
        <w:rPr>
          <w:rFonts w:ascii="Palatino Linotype" w:eastAsia="Palatino Linotype" w:hAnsi="Palatino Linotype" w:cs="Palatino Linotype"/>
          <w:i/>
          <w:sz w:val="22"/>
          <w:szCs w:val="22"/>
        </w:rPr>
        <w:t>“</w:t>
      </w:r>
      <w:r w:rsidRPr="0032234A">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32234A">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32234A">
        <w:rPr>
          <w:rFonts w:ascii="Palatino Linotype" w:eastAsia="Palatino Linotype" w:hAnsi="Palatino Linotype" w:cs="Palatino Linotype"/>
          <w:b/>
          <w:i/>
          <w:sz w:val="22"/>
          <w:szCs w:val="22"/>
        </w:rPr>
        <w:t>.</w:t>
      </w:r>
      <w:r w:rsidRPr="0032234A">
        <w:rPr>
          <w:rFonts w:ascii="Palatino Linotype" w:eastAsia="Palatino Linotype" w:hAnsi="Palatino Linotype" w:cs="Palatino Linotype"/>
          <w:i/>
          <w:sz w:val="22"/>
          <w:szCs w:val="22"/>
        </w:rPr>
        <w:t>”</w:t>
      </w:r>
    </w:p>
    <w:p w14:paraId="73965929" w14:textId="77777777" w:rsidR="00483812" w:rsidRPr="0032234A" w:rsidRDefault="00483812" w:rsidP="00483812">
      <w:pPr>
        <w:pBdr>
          <w:top w:val="nil"/>
          <w:left w:val="nil"/>
          <w:bottom w:val="nil"/>
          <w:right w:val="nil"/>
          <w:between w:val="nil"/>
        </w:pBdr>
        <w:spacing w:line="360" w:lineRule="auto"/>
        <w:ind w:right="49"/>
        <w:jc w:val="both"/>
        <w:rPr>
          <w:sz w:val="22"/>
          <w:szCs w:val="22"/>
        </w:rPr>
      </w:pPr>
      <w:r w:rsidRPr="0032234A">
        <w:rPr>
          <w:rFonts w:ascii="Palatino Linotype" w:eastAsia="Palatino Linotype" w:hAnsi="Palatino Linotype" w:cs="Palatino Linotype"/>
          <w:sz w:val="22"/>
          <w:szCs w:val="22"/>
        </w:rPr>
        <w:t>Conforme a todo lo anteriormente expuesto, se actualiza lo dispuesto en el artículo 191 fracción VII de la Ley de Transparencia y Acceso a la Información Pública del Estado de México y Municipios, por al haber ampliado su requerimiento primigenio a través del recurso de revisión y no actualice algún supuesto de la ley de la Materia, las cuales disponen lo siguiente:</w:t>
      </w:r>
    </w:p>
    <w:p w14:paraId="69E76FE8" w14:textId="77777777" w:rsidR="00483812" w:rsidRPr="0032234A" w:rsidRDefault="00483812" w:rsidP="00483812"/>
    <w:p w14:paraId="6EBCF46A" w14:textId="77777777" w:rsidR="00483812" w:rsidRPr="0032234A" w:rsidRDefault="00483812" w:rsidP="00483812">
      <w:pPr>
        <w:pBdr>
          <w:top w:val="nil"/>
          <w:left w:val="nil"/>
          <w:bottom w:val="nil"/>
          <w:right w:val="nil"/>
          <w:between w:val="nil"/>
        </w:pBdr>
        <w:ind w:left="851" w:right="822"/>
        <w:jc w:val="both"/>
      </w:pPr>
      <w:r w:rsidRPr="0032234A">
        <w:rPr>
          <w:rFonts w:ascii="Palatino Linotype" w:eastAsia="Palatino Linotype" w:hAnsi="Palatino Linotype" w:cs="Palatino Linotype"/>
          <w:i/>
          <w:sz w:val="22"/>
          <w:szCs w:val="22"/>
        </w:rPr>
        <w:t>“Artículo 191. El recurso será desechado por improcedente cuando:</w:t>
      </w:r>
    </w:p>
    <w:p w14:paraId="61F97E3E" w14:textId="77777777" w:rsidR="00483812" w:rsidRPr="0032234A" w:rsidRDefault="00483812" w:rsidP="00483812">
      <w:pPr>
        <w:pBdr>
          <w:top w:val="nil"/>
          <w:left w:val="nil"/>
          <w:bottom w:val="nil"/>
          <w:right w:val="nil"/>
          <w:between w:val="nil"/>
        </w:pBdr>
        <w:ind w:left="851" w:right="822"/>
        <w:jc w:val="both"/>
      </w:pPr>
      <w:r w:rsidRPr="0032234A">
        <w:rPr>
          <w:rFonts w:ascii="Palatino Linotype" w:eastAsia="Palatino Linotype" w:hAnsi="Palatino Linotype" w:cs="Palatino Linotype"/>
          <w:i/>
          <w:sz w:val="22"/>
          <w:szCs w:val="22"/>
        </w:rPr>
        <w:t>I. Sea extemporáneo por haber transcurrido el plazo establecido en la presente Ley, a partir de la respuesta; </w:t>
      </w:r>
    </w:p>
    <w:p w14:paraId="3B6CF48E" w14:textId="77777777" w:rsidR="00483812" w:rsidRPr="0032234A" w:rsidRDefault="00483812" w:rsidP="00483812">
      <w:pPr>
        <w:pBdr>
          <w:top w:val="nil"/>
          <w:left w:val="nil"/>
          <w:bottom w:val="nil"/>
          <w:right w:val="nil"/>
          <w:between w:val="nil"/>
        </w:pBdr>
        <w:ind w:left="851" w:right="822"/>
        <w:jc w:val="both"/>
      </w:pPr>
      <w:r w:rsidRPr="0032234A">
        <w:rPr>
          <w:rFonts w:ascii="Palatino Linotype" w:eastAsia="Palatino Linotype" w:hAnsi="Palatino Linotype" w:cs="Palatino Linotype"/>
          <w:i/>
          <w:sz w:val="22"/>
          <w:szCs w:val="22"/>
        </w:rPr>
        <w:t>II. Se esté tramitando ante el Poder Judicial de la Federación algún recurso o medio de defensa interpuesto por el recurrente; </w:t>
      </w:r>
    </w:p>
    <w:p w14:paraId="5DEEB1DE" w14:textId="77777777" w:rsidR="00483812" w:rsidRPr="0032234A" w:rsidRDefault="00483812" w:rsidP="00483812">
      <w:pPr>
        <w:pBdr>
          <w:top w:val="nil"/>
          <w:left w:val="nil"/>
          <w:bottom w:val="nil"/>
          <w:right w:val="nil"/>
          <w:between w:val="nil"/>
        </w:pBdr>
        <w:ind w:left="851" w:right="822"/>
        <w:jc w:val="both"/>
      </w:pPr>
      <w:r w:rsidRPr="0032234A">
        <w:rPr>
          <w:rFonts w:ascii="Palatino Linotype" w:eastAsia="Palatino Linotype" w:hAnsi="Palatino Linotype" w:cs="Palatino Linotype"/>
          <w:i/>
          <w:sz w:val="22"/>
          <w:szCs w:val="22"/>
        </w:rPr>
        <w:t>III. No actualice alguno de los supuestos previstos en la presente Ley; </w:t>
      </w:r>
    </w:p>
    <w:p w14:paraId="292A7A06" w14:textId="77777777" w:rsidR="00483812" w:rsidRPr="0032234A" w:rsidRDefault="00483812" w:rsidP="00483812">
      <w:pPr>
        <w:pBdr>
          <w:top w:val="nil"/>
          <w:left w:val="nil"/>
          <w:bottom w:val="nil"/>
          <w:right w:val="nil"/>
          <w:between w:val="nil"/>
        </w:pBdr>
        <w:ind w:left="851" w:right="822"/>
        <w:jc w:val="both"/>
      </w:pPr>
      <w:r w:rsidRPr="0032234A">
        <w:rPr>
          <w:rFonts w:ascii="Palatino Linotype" w:eastAsia="Palatino Linotype" w:hAnsi="Palatino Linotype" w:cs="Palatino Linotype"/>
          <w:i/>
          <w:sz w:val="22"/>
          <w:szCs w:val="22"/>
        </w:rPr>
        <w:t>IV. No se haya desahogado la prevención en los términos establecidos en la presente Ley; </w:t>
      </w:r>
    </w:p>
    <w:p w14:paraId="5D9812FE" w14:textId="77777777" w:rsidR="00483812" w:rsidRPr="0032234A" w:rsidRDefault="00483812" w:rsidP="00483812">
      <w:pPr>
        <w:pBdr>
          <w:top w:val="nil"/>
          <w:left w:val="nil"/>
          <w:bottom w:val="nil"/>
          <w:right w:val="nil"/>
          <w:between w:val="nil"/>
        </w:pBdr>
        <w:ind w:left="851" w:right="822"/>
        <w:jc w:val="both"/>
      </w:pPr>
      <w:r w:rsidRPr="0032234A">
        <w:rPr>
          <w:rFonts w:ascii="Palatino Linotype" w:eastAsia="Palatino Linotype" w:hAnsi="Palatino Linotype" w:cs="Palatino Linotype"/>
          <w:i/>
          <w:sz w:val="22"/>
          <w:szCs w:val="22"/>
        </w:rPr>
        <w:t>V. Se impugne la veracidad de la información proporcionada; </w:t>
      </w:r>
    </w:p>
    <w:p w14:paraId="2E1D79CF" w14:textId="77777777" w:rsidR="00483812" w:rsidRPr="0032234A" w:rsidRDefault="00483812" w:rsidP="00483812">
      <w:pPr>
        <w:pBdr>
          <w:top w:val="nil"/>
          <w:left w:val="nil"/>
          <w:bottom w:val="nil"/>
          <w:right w:val="nil"/>
          <w:between w:val="nil"/>
        </w:pBdr>
        <w:ind w:left="851" w:right="822"/>
        <w:jc w:val="both"/>
      </w:pPr>
      <w:r w:rsidRPr="0032234A">
        <w:rPr>
          <w:rFonts w:ascii="Palatino Linotype" w:eastAsia="Palatino Linotype" w:hAnsi="Palatino Linotype" w:cs="Palatino Linotype"/>
          <w:i/>
          <w:sz w:val="22"/>
          <w:szCs w:val="22"/>
        </w:rPr>
        <w:t>VI. Se trate de una consulta, o trámite en específico; y </w:t>
      </w:r>
    </w:p>
    <w:p w14:paraId="3BD6C461" w14:textId="77777777" w:rsidR="00483812" w:rsidRPr="0032234A" w:rsidRDefault="00483812" w:rsidP="00483812">
      <w:pPr>
        <w:pBdr>
          <w:top w:val="nil"/>
          <w:left w:val="nil"/>
          <w:bottom w:val="nil"/>
          <w:right w:val="nil"/>
          <w:between w:val="nil"/>
        </w:pBdr>
        <w:ind w:left="851" w:right="822"/>
        <w:jc w:val="both"/>
      </w:pPr>
      <w:r w:rsidRPr="0032234A">
        <w:rPr>
          <w:rFonts w:ascii="Palatino Linotype" w:eastAsia="Palatino Linotype" w:hAnsi="Palatino Linotype" w:cs="Palatino Linotype"/>
          <w:b/>
          <w:i/>
          <w:sz w:val="22"/>
          <w:szCs w:val="22"/>
        </w:rPr>
        <w:t xml:space="preserve">VII. El recurrente amplíe su solicitud en el recurso de revisión, únicamente respecto de los nuevos contenidos.” </w:t>
      </w:r>
    </w:p>
    <w:p w14:paraId="39389056" w14:textId="77777777" w:rsidR="00483812" w:rsidRPr="0032234A" w:rsidRDefault="00483812" w:rsidP="00483812"/>
    <w:p w14:paraId="4A05F794" w14:textId="77777777" w:rsidR="00483812" w:rsidRPr="0032234A" w:rsidRDefault="00483812" w:rsidP="00483812">
      <w:pPr>
        <w:pBdr>
          <w:top w:val="nil"/>
          <w:left w:val="nil"/>
          <w:bottom w:val="nil"/>
          <w:right w:val="nil"/>
          <w:between w:val="nil"/>
        </w:pBdr>
        <w:spacing w:line="360" w:lineRule="auto"/>
        <w:jc w:val="both"/>
        <w:rPr>
          <w:sz w:val="22"/>
          <w:szCs w:val="22"/>
        </w:rPr>
      </w:pPr>
      <w:r w:rsidRPr="0032234A">
        <w:rPr>
          <w:rFonts w:ascii="Palatino Linotype" w:eastAsia="Palatino Linotype" w:hAnsi="Palatino Linotype" w:cs="Palatino Linotype"/>
          <w:sz w:val="22"/>
          <w:szCs w:val="22"/>
        </w:rPr>
        <w:t>La fracción VII del citado precepto legal, contempla la improcedencia del recurso cuando se amplíe la solicitud en el recurso de revisión.</w:t>
      </w:r>
    </w:p>
    <w:p w14:paraId="61F7B56A" w14:textId="77777777" w:rsidR="00483812" w:rsidRPr="0032234A" w:rsidRDefault="00483812" w:rsidP="00483812">
      <w:pPr>
        <w:spacing w:line="360" w:lineRule="auto"/>
        <w:rPr>
          <w:sz w:val="22"/>
          <w:szCs w:val="22"/>
        </w:rPr>
      </w:pPr>
    </w:p>
    <w:p w14:paraId="76F79CBD" w14:textId="77777777" w:rsidR="00483812" w:rsidRPr="0032234A" w:rsidRDefault="00483812" w:rsidP="00483812">
      <w:pPr>
        <w:pBdr>
          <w:top w:val="nil"/>
          <w:left w:val="nil"/>
          <w:bottom w:val="nil"/>
          <w:right w:val="nil"/>
          <w:between w:val="nil"/>
        </w:pBdr>
        <w:spacing w:line="360" w:lineRule="auto"/>
        <w:jc w:val="both"/>
        <w:rPr>
          <w:sz w:val="22"/>
          <w:szCs w:val="22"/>
        </w:rPr>
      </w:pPr>
      <w:r w:rsidRPr="0032234A">
        <w:rPr>
          <w:rFonts w:ascii="Palatino Linotype" w:eastAsia="Palatino Linotype" w:hAnsi="Palatino Linotype" w:cs="Palatino Linotype"/>
          <w:sz w:val="22"/>
          <w:szCs w:val="22"/>
        </w:rPr>
        <w:t>Sin embargo, al haber sido admitido el recurso de revisión, aún y cuando actualiza una causal de improcedencia, es necesario traer a contexto el artículo 192 fracción IV, de la multicitada Ley de Transparencia:</w:t>
      </w:r>
    </w:p>
    <w:p w14:paraId="1444FAD2" w14:textId="77777777" w:rsidR="00483812" w:rsidRPr="0032234A" w:rsidRDefault="00483812" w:rsidP="00483812">
      <w:pPr>
        <w:rPr>
          <w:sz w:val="22"/>
          <w:szCs w:val="22"/>
        </w:rPr>
      </w:pPr>
    </w:p>
    <w:p w14:paraId="3556FD04" w14:textId="77777777" w:rsidR="00483812" w:rsidRPr="0032234A" w:rsidRDefault="00483812" w:rsidP="00483812">
      <w:pPr>
        <w:pBdr>
          <w:top w:val="nil"/>
          <w:left w:val="nil"/>
          <w:bottom w:val="nil"/>
          <w:right w:val="nil"/>
          <w:between w:val="nil"/>
        </w:pBdr>
        <w:ind w:left="851" w:right="822"/>
        <w:jc w:val="both"/>
      </w:pPr>
      <w:r w:rsidRPr="0032234A">
        <w:rPr>
          <w:rFonts w:ascii="Palatino Linotype" w:eastAsia="Palatino Linotype" w:hAnsi="Palatino Linotype" w:cs="Palatino Linotype"/>
          <w:i/>
          <w:sz w:val="22"/>
          <w:szCs w:val="22"/>
        </w:rPr>
        <w:t>“Artículo 192. El recurso será sobreseído, en todo o en parte, cuando una vez admitido, se actualicen alguno de los siguientes supuestos:</w:t>
      </w:r>
    </w:p>
    <w:p w14:paraId="65355B2B" w14:textId="77777777" w:rsidR="00483812" w:rsidRPr="0032234A" w:rsidRDefault="00483812" w:rsidP="00483812">
      <w:pPr>
        <w:pBdr>
          <w:top w:val="nil"/>
          <w:left w:val="nil"/>
          <w:bottom w:val="nil"/>
          <w:right w:val="nil"/>
          <w:between w:val="nil"/>
        </w:pBdr>
        <w:ind w:left="851" w:right="822"/>
        <w:jc w:val="both"/>
      </w:pPr>
      <w:r w:rsidRPr="0032234A">
        <w:rPr>
          <w:rFonts w:ascii="Palatino Linotype" w:eastAsia="Palatino Linotype" w:hAnsi="Palatino Linotype" w:cs="Palatino Linotype"/>
          <w:i/>
          <w:sz w:val="22"/>
          <w:szCs w:val="22"/>
        </w:rPr>
        <w:t>I. El recurrente se desista expresamente del recurso; </w:t>
      </w:r>
    </w:p>
    <w:p w14:paraId="4AF75CDC" w14:textId="77777777" w:rsidR="00483812" w:rsidRPr="0032234A" w:rsidRDefault="00483812" w:rsidP="00483812">
      <w:pPr>
        <w:pBdr>
          <w:top w:val="nil"/>
          <w:left w:val="nil"/>
          <w:bottom w:val="nil"/>
          <w:right w:val="nil"/>
          <w:between w:val="nil"/>
        </w:pBdr>
        <w:ind w:left="851" w:right="822"/>
        <w:jc w:val="both"/>
      </w:pPr>
      <w:r w:rsidRPr="0032234A">
        <w:rPr>
          <w:rFonts w:ascii="Palatino Linotype" w:eastAsia="Palatino Linotype" w:hAnsi="Palatino Linotype" w:cs="Palatino Linotype"/>
          <w:i/>
          <w:sz w:val="22"/>
          <w:szCs w:val="22"/>
        </w:rPr>
        <w:t>II. El recurrente fallezca o, tratándose de personas jurídicas colectivas, se disuelva; </w:t>
      </w:r>
    </w:p>
    <w:p w14:paraId="0EB22E67" w14:textId="77777777" w:rsidR="00483812" w:rsidRPr="0032234A" w:rsidRDefault="00483812" w:rsidP="00483812">
      <w:pPr>
        <w:pBdr>
          <w:top w:val="nil"/>
          <w:left w:val="nil"/>
          <w:bottom w:val="nil"/>
          <w:right w:val="nil"/>
          <w:between w:val="nil"/>
        </w:pBdr>
        <w:ind w:left="851" w:right="822"/>
        <w:jc w:val="both"/>
      </w:pPr>
      <w:r w:rsidRPr="0032234A">
        <w:rPr>
          <w:rFonts w:ascii="Palatino Linotype" w:eastAsia="Palatino Linotype" w:hAnsi="Palatino Linotype" w:cs="Palatino Linotype"/>
          <w:i/>
          <w:sz w:val="22"/>
          <w:szCs w:val="22"/>
        </w:rPr>
        <w:t>III. El sujeto obligado responsable del acto lo modifique o revoque de tal manera que el recurso de revisión quede sin materia; </w:t>
      </w:r>
    </w:p>
    <w:p w14:paraId="64AAEE06" w14:textId="77777777" w:rsidR="00483812" w:rsidRPr="0032234A" w:rsidRDefault="00483812" w:rsidP="00483812">
      <w:pPr>
        <w:pBdr>
          <w:top w:val="nil"/>
          <w:left w:val="nil"/>
          <w:bottom w:val="nil"/>
          <w:right w:val="nil"/>
          <w:between w:val="nil"/>
        </w:pBdr>
        <w:ind w:left="851" w:right="822"/>
        <w:jc w:val="both"/>
      </w:pPr>
      <w:r w:rsidRPr="0032234A">
        <w:rPr>
          <w:rFonts w:ascii="Palatino Linotype" w:eastAsia="Palatino Linotype" w:hAnsi="Palatino Linotype" w:cs="Palatino Linotype"/>
          <w:b/>
          <w:i/>
          <w:sz w:val="22"/>
          <w:szCs w:val="22"/>
        </w:rPr>
        <w:t>IV. Admitido el recurso de revisión, aparezca alguna causal de improcedencia en los términos de la presente Ley; y </w:t>
      </w:r>
    </w:p>
    <w:p w14:paraId="0C7A3666" w14:textId="77777777" w:rsidR="00483812" w:rsidRPr="0032234A" w:rsidRDefault="00483812" w:rsidP="00483812">
      <w:pPr>
        <w:pBdr>
          <w:top w:val="nil"/>
          <w:left w:val="nil"/>
          <w:bottom w:val="nil"/>
          <w:right w:val="nil"/>
          <w:between w:val="nil"/>
        </w:pBdr>
        <w:ind w:left="851" w:right="822"/>
        <w:jc w:val="both"/>
      </w:pPr>
      <w:r w:rsidRPr="0032234A">
        <w:rPr>
          <w:rFonts w:ascii="Palatino Linotype" w:eastAsia="Palatino Linotype" w:hAnsi="Palatino Linotype" w:cs="Palatino Linotype"/>
          <w:i/>
          <w:sz w:val="22"/>
          <w:szCs w:val="22"/>
        </w:rPr>
        <w:t xml:space="preserve">V. Cuando por cualquier motivo quede sin materia el recurso.” </w:t>
      </w:r>
    </w:p>
    <w:p w14:paraId="47858ED7" w14:textId="77777777" w:rsidR="00483812" w:rsidRPr="0032234A" w:rsidRDefault="00483812" w:rsidP="00483812"/>
    <w:p w14:paraId="69C5B940" w14:textId="77777777" w:rsidR="00483812" w:rsidRPr="0032234A" w:rsidRDefault="00483812" w:rsidP="0048381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Es así que, el recurso de revisión actualiza la causal de sobreseimiento establecida en la fracción IV del artículo 192, en relación a la fracción VII del artículo 191, ambos de la Ley de Transparencia y Acceso a la Información Pública del Estado de México y Municipios.</w:t>
      </w:r>
    </w:p>
    <w:p w14:paraId="2913D6AE" w14:textId="77777777" w:rsidR="00483812" w:rsidRPr="0032234A" w:rsidRDefault="00483812" w:rsidP="002C4D40">
      <w:pPr>
        <w:spacing w:line="360" w:lineRule="auto"/>
        <w:ind w:right="51"/>
        <w:jc w:val="both"/>
        <w:rPr>
          <w:rFonts w:ascii="Palatino Linotype" w:eastAsia="Palatino Linotype" w:hAnsi="Palatino Linotype" w:cs="Palatino Linotype"/>
          <w:sz w:val="22"/>
          <w:szCs w:val="22"/>
        </w:rPr>
      </w:pPr>
    </w:p>
    <w:p w14:paraId="548C154F" w14:textId="6725AC37" w:rsidR="00483812" w:rsidRPr="0032234A" w:rsidRDefault="00483812" w:rsidP="002C4D40">
      <w:pPr>
        <w:spacing w:line="360" w:lineRule="auto"/>
        <w:ind w:right="51"/>
        <w:jc w:val="both"/>
        <w:rPr>
          <w:rFonts w:ascii="Palatino Linotype" w:eastAsia="Palatino Linotype" w:hAnsi="Palatino Linotype" w:cs="Palatino Linotype"/>
          <w:b/>
          <w:sz w:val="22"/>
          <w:szCs w:val="22"/>
        </w:rPr>
      </w:pPr>
      <w:r w:rsidRPr="0032234A">
        <w:rPr>
          <w:rFonts w:ascii="Palatino Linotype" w:eastAsia="Palatino Linotype" w:hAnsi="Palatino Linotype" w:cs="Palatino Linotype"/>
          <w:sz w:val="22"/>
          <w:szCs w:val="22"/>
        </w:rPr>
        <w:t xml:space="preserve">No obstante, lo anterior, resulta necesario hacer del conocimiento del particular, que de la normatividad que rige al </w:t>
      </w:r>
      <w:r w:rsidRPr="0032234A">
        <w:rPr>
          <w:rFonts w:ascii="Palatino Linotype" w:eastAsia="Palatino Linotype" w:hAnsi="Palatino Linotype" w:cs="Palatino Linotype"/>
          <w:b/>
          <w:sz w:val="22"/>
          <w:szCs w:val="22"/>
        </w:rPr>
        <w:t>Sujeto Obligado no se advierte que los Diarios Generales de Pólizas deban generarse y entregarse al OSFEM con documentación comprobatoria como a la que se pretende acceder el particular.</w:t>
      </w:r>
    </w:p>
    <w:p w14:paraId="16778425" w14:textId="77777777" w:rsidR="00483812" w:rsidRPr="0032234A" w:rsidRDefault="00483812" w:rsidP="002C4D40">
      <w:pPr>
        <w:spacing w:line="360" w:lineRule="auto"/>
        <w:ind w:right="51"/>
        <w:jc w:val="both"/>
        <w:rPr>
          <w:rFonts w:ascii="Palatino Linotype" w:eastAsia="Palatino Linotype" w:hAnsi="Palatino Linotype" w:cs="Palatino Linotype"/>
          <w:sz w:val="22"/>
          <w:szCs w:val="22"/>
        </w:rPr>
      </w:pPr>
    </w:p>
    <w:p w14:paraId="54BFB707" w14:textId="7F47CB00" w:rsidR="002C4D40" w:rsidRPr="0032234A" w:rsidRDefault="00483812" w:rsidP="002C4D40">
      <w:pPr>
        <w:spacing w:line="360" w:lineRule="auto"/>
        <w:ind w:right="51"/>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Para precisar lo anterior,</w:t>
      </w:r>
      <w:r w:rsidR="00C649B5" w:rsidRPr="0032234A">
        <w:rPr>
          <w:rFonts w:ascii="Palatino Linotype" w:eastAsia="Palatino Linotype" w:hAnsi="Palatino Linotype" w:cs="Palatino Linotype"/>
          <w:sz w:val="22"/>
          <w:szCs w:val="22"/>
        </w:rPr>
        <w:t xml:space="preserve"> </w:t>
      </w:r>
      <w:r w:rsidR="002C4D40" w:rsidRPr="0032234A">
        <w:rPr>
          <w:rFonts w:ascii="Palatino Linotype" w:eastAsia="Palatino Linotype" w:hAnsi="Palatino Linotype" w:cs="Palatino Linotype"/>
          <w:sz w:val="22"/>
          <w:szCs w:val="22"/>
        </w:rPr>
        <w:t xml:space="preserve">resulta importante observar el contenido de los Lineamientos para la entrega de los Informes Trimestrales, emitidos por el Órgano Superior de Fiscalización del Estado de México (OSFEM), en cuyo Módulo </w:t>
      </w:r>
      <w:r w:rsidR="00C649B5" w:rsidRPr="0032234A">
        <w:rPr>
          <w:rFonts w:ascii="Palatino Linotype" w:eastAsia="Palatino Linotype" w:hAnsi="Palatino Linotype" w:cs="Palatino Linotype"/>
          <w:sz w:val="22"/>
          <w:szCs w:val="22"/>
        </w:rPr>
        <w:t>1</w:t>
      </w:r>
      <w:r w:rsidR="002C4D40" w:rsidRPr="0032234A">
        <w:rPr>
          <w:rFonts w:ascii="Palatino Linotype" w:eastAsia="Palatino Linotype" w:hAnsi="Palatino Linotype" w:cs="Palatino Linotype"/>
          <w:sz w:val="22"/>
          <w:szCs w:val="22"/>
        </w:rPr>
        <w:t xml:space="preserve">, disponen </w:t>
      </w:r>
      <w:r w:rsidR="00C649B5" w:rsidRPr="0032234A">
        <w:rPr>
          <w:rFonts w:ascii="Palatino Linotype" w:eastAsia="Palatino Linotype" w:hAnsi="Palatino Linotype" w:cs="Palatino Linotype"/>
          <w:sz w:val="22"/>
          <w:szCs w:val="22"/>
        </w:rPr>
        <w:t>la información contable y financiera que se debe entregar en los informes trimestrales municipales</w:t>
      </w:r>
      <w:r w:rsidRPr="0032234A">
        <w:rPr>
          <w:rFonts w:ascii="Palatino Linotype" w:eastAsia="Palatino Linotype" w:hAnsi="Palatino Linotype" w:cs="Palatino Linotype"/>
          <w:sz w:val="22"/>
          <w:szCs w:val="22"/>
        </w:rPr>
        <w:t xml:space="preserve"> y de los organismos descentralizados como el sujeto obligado de nuestra atención</w:t>
      </w:r>
      <w:r w:rsidR="002C4D40" w:rsidRPr="0032234A">
        <w:rPr>
          <w:rFonts w:ascii="Palatino Linotype" w:eastAsia="Palatino Linotype" w:hAnsi="Palatino Linotype" w:cs="Palatino Linotype"/>
          <w:sz w:val="22"/>
          <w:szCs w:val="22"/>
        </w:rPr>
        <w:t xml:space="preserve">, </w:t>
      </w:r>
      <w:r w:rsidR="00C649B5" w:rsidRPr="0032234A">
        <w:rPr>
          <w:rFonts w:ascii="Palatino Linotype" w:eastAsia="Palatino Linotype" w:hAnsi="Palatino Linotype" w:cs="Palatino Linotype"/>
          <w:sz w:val="22"/>
          <w:szCs w:val="22"/>
        </w:rPr>
        <w:t xml:space="preserve">entre ella “El Diario General de </w:t>
      </w:r>
      <w:r w:rsidRPr="0032234A">
        <w:rPr>
          <w:rFonts w:ascii="Palatino Linotype" w:eastAsia="Palatino Linotype" w:hAnsi="Palatino Linotype" w:cs="Palatino Linotype"/>
          <w:sz w:val="22"/>
          <w:szCs w:val="22"/>
        </w:rPr>
        <w:t>Pólizas</w:t>
      </w:r>
      <w:r w:rsidR="00C649B5" w:rsidRPr="0032234A">
        <w:rPr>
          <w:rFonts w:ascii="Palatino Linotype" w:eastAsia="Palatino Linotype" w:hAnsi="Palatino Linotype" w:cs="Palatino Linotype"/>
          <w:sz w:val="22"/>
          <w:szCs w:val="22"/>
        </w:rPr>
        <w:t xml:space="preserve">” </w:t>
      </w:r>
      <w:r w:rsidR="002C4D40" w:rsidRPr="0032234A">
        <w:rPr>
          <w:rFonts w:ascii="Palatino Linotype" w:eastAsia="Palatino Linotype" w:hAnsi="Palatino Linotype" w:cs="Palatino Linotype"/>
          <w:sz w:val="22"/>
          <w:szCs w:val="22"/>
        </w:rPr>
        <w:t>tal como se acredita en la siguiente ilustración:</w:t>
      </w:r>
    </w:p>
    <w:p w14:paraId="59DD6A72" w14:textId="77777777" w:rsidR="002C4D40" w:rsidRPr="0032234A" w:rsidRDefault="002C4D40" w:rsidP="002C4D40">
      <w:pPr>
        <w:spacing w:line="360" w:lineRule="auto"/>
        <w:ind w:right="51"/>
        <w:jc w:val="both"/>
        <w:rPr>
          <w:rFonts w:ascii="Palatino Linotype" w:eastAsia="Palatino Linotype" w:hAnsi="Palatino Linotype" w:cs="Palatino Linotype"/>
          <w:sz w:val="22"/>
          <w:szCs w:val="22"/>
        </w:rPr>
      </w:pPr>
    </w:p>
    <w:p w14:paraId="1E498EA1" w14:textId="6796270D" w:rsidR="002C4D40" w:rsidRPr="0032234A" w:rsidRDefault="00C649B5" w:rsidP="002C4D40">
      <w:pPr>
        <w:spacing w:line="360" w:lineRule="auto"/>
        <w:ind w:right="51"/>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noProof/>
          <w:sz w:val="22"/>
          <w:szCs w:val="22"/>
        </w:rPr>
        <w:drawing>
          <wp:inline distT="0" distB="0" distL="0" distR="0" wp14:anchorId="5D6F758A" wp14:editId="6E8AB22A">
            <wp:extent cx="5600700" cy="4029075"/>
            <wp:effectExtent l="19050" t="19050" r="19050"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4029075"/>
                    </a:xfrm>
                    <a:prstGeom prst="rect">
                      <a:avLst/>
                    </a:prstGeom>
                    <a:noFill/>
                    <a:ln>
                      <a:solidFill>
                        <a:schemeClr val="accent1"/>
                      </a:solidFill>
                    </a:ln>
                  </pic:spPr>
                </pic:pic>
              </a:graphicData>
            </a:graphic>
          </wp:inline>
        </w:drawing>
      </w:r>
    </w:p>
    <w:p w14:paraId="766C9B0C" w14:textId="2B4CAA60" w:rsidR="002C4D40" w:rsidRPr="0032234A" w:rsidRDefault="002C4D40" w:rsidP="00483812">
      <w:pPr>
        <w:spacing w:line="360" w:lineRule="auto"/>
        <w:ind w:right="51"/>
        <w:jc w:val="center"/>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w:t>
      </w:r>
    </w:p>
    <w:p w14:paraId="116E6E34" w14:textId="77777777" w:rsidR="00363CCC" w:rsidRPr="0032234A" w:rsidRDefault="00363CCC" w:rsidP="002C4D40">
      <w:pPr>
        <w:spacing w:line="360" w:lineRule="auto"/>
        <w:ind w:right="51"/>
        <w:jc w:val="both"/>
        <w:rPr>
          <w:rFonts w:ascii="Palatino Linotype" w:eastAsia="Palatino Linotype" w:hAnsi="Palatino Linotype" w:cs="Palatino Linotype"/>
          <w:sz w:val="22"/>
          <w:szCs w:val="22"/>
        </w:rPr>
      </w:pPr>
    </w:p>
    <w:p w14:paraId="4D27FAE3" w14:textId="2EB8DB9F" w:rsidR="00C649B5" w:rsidRPr="0032234A" w:rsidRDefault="00C649B5" w:rsidP="002C4D40">
      <w:pPr>
        <w:spacing w:line="360" w:lineRule="auto"/>
        <w:ind w:right="51"/>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Como se desprende de lo anterior, el Diario General de Pólizas se genera de manera mensual y el mismo es remitido de manera trimestral al OSFEM mediante los formatos pdf y excel.</w:t>
      </w:r>
    </w:p>
    <w:p w14:paraId="04CE200F" w14:textId="77777777" w:rsidR="00C649B5" w:rsidRPr="0032234A" w:rsidRDefault="00C649B5" w:rsidP="002C4D40">
      <w:pPr>
        <w:spacing w:line="360" w:lineRule="auto"/>
        <w:ind w:right="51"/>
        <w:jc w:val="both"/>
        <w:rPr>
          <w:rFonts w:ascii="Palatino Linotype" w:eastAsia="Palatino Linotype" w:hAnsi="Palatino Linotype" w:cs="Palatino Linotype"/>
          <w:sz w:val="22"/>
          <w:szCs w:val="22"/>
        </w:rPr>
      </w:pPr>
    </w:p>
    <w:p w14:paraId="6DC4B468" w14:textId="4A2AECCD" w:rsidR="002C4D40" w:rsidRPr="0032234A" w:rsidRDefault="002C4D40" w:rsidP="002C4D40">
      <w:pPr>
        <w:spacing w:line="360" w:lineRule="auto"/>
        <w:ind w:right="51"/>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Consecuentemente, conforme el instructivo de llenado, d</w:t>
      </w:r>
      <w:r w:rsidR="00C649B5" w:rsidRPr="0032234A">
        <w:rPr>
          <w:rFonts w:ascii="Palatino Linotype" w:eastAsia="Palatino Linotype" w:hAnsi="Palatino Linotype" w:cs="Palatino Linotype"/>
          <w:sz w:val="22"/>
          <w:szCs w:val="22"/>
        </w:rPr>
        <w:t>icho Diario General de Pólizas se integra de la siguiente manera</w:t>
      </w:r>
      <w:r w:rsidRPr="0032234A">
        <w:rPr>
          <w:rFonts w:ascii="Palatino Linotype" w:eastAsia="Palatino Linotype" w:hAnsi="Palatino Linotype" w:cs="Palatino Linotype"/>
          <w:sz w:val="22"/>
          <w:szCs w:val="22"/>
        </w:rPr>
        <w:t>:</w:t>
      </w:r>
    </w:p>
    <w:p w14:paraId="6BCB50B5" w14:textId="77777777" w:rsidR="00C649B5" w:rsidRPr="0032234A" w:rsidRDefault="00C649B5" w:rsidP="002C4D40">
      <w:pPr>
        <w:spacing w:line="360" w:lineRule="auto"/>
        <w:ind w:right="51"/>
        <w:jc w:val="both"/>
        <w:rPr>
          <w:rFonts w:ascii="Palatino Linotype" w:eastAsia="Palatino Linotype" w:hAnsi="Palatino Linotype" w:cs="Palatino Linotype"/>
          <w:sz w:val="22"/>
          <w:szCs w:val="22"/>
        </w:rPr>
      </w:pPr>
    </w:p>
    <w:p w14:paraId="678F244A" w14:textId="6F4E74C2" w:rsidR="002C4D40" w:rsidRPr="0032234A" w:rsidRDefault="00C649B5" w:rsidP="002C4D40">
      <w:pPr>
        <w:spacing w:line="360" w:lineRule="auto"/>
        <w:ind w:right="51"/>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noProof/>
          <w:sz w:val="22"/>
          <w:szCs w:val="22"/>
        </w:rPr>
        <w:drawing>
          <wp:inline distT="0" distB="0" distL="0" distR="0" wp14:anchorId="2FE22C1E" wp14:editId="7C1C6F45">
            <wp:extent cx="5612130" cy="4740910"/>
            <wp:effectExtent l="19050" t="19050" r="26670" b="215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740910"/>
                    </a:xfrm>
                    <a:prstGeom prst="rect">
                      <a:avLst/>
                    </a:prstGeom>
                    <a:ln>
                      <a:solidFill>
                        <a:schemeClr val="accent1"/>
                      </a:solidFill>
                    </a:ln>
                  </pic:spPr>
                </pic:pic>
              </a:graphicData>
            </a:graphic>
          </wp:inline>
        </w:drawing>
      </w:r>
    </w:p>
    <w:p w14:paraId="69E59DD4" w14:textId="502C5CAA" w:rsidR="00C649B5" w:rsidRPr="0032234A" w:rsidRDefault="00C649B5" w:rsidP="002C4D40">
      <w:pPr>
        <w:spacing w:line="360" w:lineRule="auto"/>
        <w:ind w:right="51"/>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noProof/>
          <w:sz w:val="22"/>
          <w:szCs w:val="22"/>
        </w:rPr>
        <w:drawing>
          <wp:inline distT="0" distB="0" distL="0" distR="0" wp14:anchorId="50EBB482" wp14:editId="704F4787">
            <wp:extent cx="5612130" cy="1701165"/>
            <wp:effectExtent l="19050" t="19050" r="26670" b="133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701165"/>
                    </a:xfrm>
                    <a:prstGeom prst="rect">
                      <a:avLst/>
                    </a:prstGeom>
                    <a:ln>
                      <a:solidFill>
                        <a:schemeClr val="accent1"/>
                      </a:solidFill>
                    </a:ln>
                  </pic:spPr>
                </pic:pic>
              </a:graphicData>
            </a:graphic>
          </wp:inline>
        </w:drawing>
      </w:r>
    </w:p>
    <w:p w14:paraId="5B2F8AD5" w14:textId="65EBE404" w:rsidR="002C4D40" w:rsidRPr="0032234A" w:rsidRDefault="00CD7CDC" w:rsidP="002C4D40">
      <w:pPr>
        <w:spacing w:line="360" w:lineRule="auto"/>
        <w:ind w:right="51"/>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noProof/>
          <w:sz w:val="22"/>
          <w:szCs w:val="22"/>
        </w:rPr>
        <w:drawing>
          <wp:inline distT="0" distB="0" distL="0" distR="0" wp14:anchorId="25975D8D" wp14:editId="27420A8F">
            <wp:extent cx="5612130" cy="1694815"/>
            <wp:effectExtent l="19050" t="19050" r="26670" b="196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694815"/>
                    </a:xfrm>
                    <a:prstGeom prst="rect">
                      <a:avLst/>
                    </a:prstGeom>
                    <a:ln>
                      <a:solidFill>
                        <a:schemeClr val="accent1"/>
                      </a:solidFill>
                    </a:ln>
                  </pic:spPr>
                </pic:pic>
              </a:graphicData>
            </a:graphic>
          </wp:inline>
        </w:drawing>
      </w:r>
    </w:p>
    <w:p w14:paraId="49EDF441" w14:textId="6A56240C" w:rsidR="002C4D40" w:rsidRPr="0032234A" w:rsidRDefault="002C4D40" w:rsidP="002C4D40">
      <w:pPr>
        <w:spacing w:line="360" w:lineRule="auto"/>
        <w:ind w:right="51"/>
        <w:jc w:val="both"/>
        <w:rPr>
          <w:rFonts w:ascii="Palatino Linotype" w:eastAsia="Palatino Linotype" w:hAnsi="Palatino Linotype" w:cs="Palatino Linotype"/>
          <w:sz w:val="22"/>
          <w:szCs w:val="22"/>
        </w:rPr>
      </w:pPr>
    </w:p>
    <w:p w14:paraId="6C2EE5C5" w14:textId="2E4BD415" w:rsidR="003B1E84" w:rsidRPr="0032234A" w:rsidRDefault="003B1E84" w:rsidP="000E0B45">
      <w:pP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De lo anterior, se desprende que el Diario General de Pólizas es un documento cuya finalidad es llevar un control detallado y preciso de todos los registros contables que la entidad realizó en un determinado periodo de tiempo</w:t>
      </w:r>
      <w:r w:rsidR="00483812" w:rsidRPr="0032234A">
        <w:rPr>
          <w:rFonts w:ascii="Palatino Linotype" w:eastAsia="Palatino Linotype" w:hAnsi="Palatino Linotype" w:cs="Palatino Linotype"/>
          <w:sz w:val="22"/>
          <w:szCs w:val="22"/>
        </w:rPr>
        <w:t xml:space="preserve">; </w:t>
      </w:r>
      <w:r w:rsidR="00483812" w:rsidRPr="0032234A">
        <w:rPr>
          <w:rFonts w:ascii="Palatino Linotype" w:eastAsia="Palatino Linotype" w:hAnsi="Palatino Linotype" w:cs="Palatino Linotype"/>
          <w:b/>
          <w:sz w:val="22"/>
          <w:szCs w:val="22"/>
          <w:u w:val="single"/>
        </w:rPr>
        <w:t>aunado a que su entrega no comprende anexos o documentación comprobatoria como la refiere el particular en sus motivos de inconformidad.</w:t>
      </w:r>
    </w:p>
    <w:p w14:paraId="2E13E31A" w14:textId="77777777" w:rsidR="00483812" w:rsidRPr="0032234A" w:rsidRDefault="00483812" w:rsidP="000E0B45">
      <w:pPr>
        <w:spacing w:line="360" w:lineRule="auto"/>
        <w:jc w:val="both"/>
        <w:rPr>
          <w:rFonts w:ascii="Palatino Linotype" w:eastAsia="Palatino Linotype" w:hAnsi="Palatino Linotype" w:cs="Palatino Linotype"/>
          <w:sz w:val="22"/>
          <w:szCs w:val="22"/>
        </w:rPr>
      </w:pPr>
    </w:p>
    <w:p w14:paraId="4BFC1C22" w14:textId="371603D9" w:rsidR="00483812" w:rsidRPr="0032234A" w:rsidRDefault="00483812" w:rsidP="000E0B45">
      <w:pP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 xml:space="preserve">Caso contrario que sucede con </w:t>
      </w:r>
      <w:r w:rsidRPr="0032234A">
        <w:rPr>
          <w:rFonts w:ascii="Palatino Linotype" w:eastAsia="Palatino Linotype" w:hAnsi="Palatino Linotype" w:cs="Palatino Linotype"/>
          <w:b/>
          <w:bCs/>
          <w:sz w:val="22"/>
          <w:szCs w:val="22"/>
        </w:rPr>
        <w:t>las pólizas de diario, cheque, ingresos y egresos,</w:t>
      </w:r>
      <w:r w:rsidRPr="0032234A">
        <w:rPr>
          <w:rFonts w:ascii="Palatino Linotype" w:eastAsia="Palatino Linotype" w:hAnsi="Palatino Linotype" w:cs="Palatino Linotype"/>
          <w:sz w:val="22"/>
          <w:szCs w:val="22"/>
        </w:rPr>
        <w:t xml:space="preserve"> de las que se desprende que estas </w:t>
      </w:r>
      <w:r w:rsidRPr="0032234A">
        <w:rPr>
          <w:rFonts w:ascii="Palatino Linotype" w:eastAsia="Palatino Linotype" w:hAnsi="Palatino Linotype" w:cs="Palatino Linotype"/>
          <w:b/>
          <w:bCs/>
          <w:sz w:val="22"/>
          <w:szCs w:val="22"/>
        </w:rPr>
        <w:t xml:space="preserve">deben ser entregadas mediante los informes trimestrales municipales al OSFEM, </w:t>
      </w:r>
      <w:r w:rsidRPr="0032234A">
        <w:rPr>
          <w:rFonts w:ascii="Palatino Linotype" w:eastAsia="Palatino Linotype" w:hAnsi="Palatino Linotype" w:cs="Palatino Linotype"/>
          <w:b/>
          <w:bCs/>
          <w:sz w:val="22"/>
          <w:szCs w:val="22"/>
          <w:u w:val="single"/>
        </w:rPr>
        <w:t>con su respectiva documentación comprobatoria</w:t>
      </w:r>
      <w:r w:rsidRPr="0032234A">
        <w:rPr>
          <w:rFonts w:ascii="Palatino Linotype" w:eastAsia="Palatino Linotype" w:hAnsi="Palatino Linotype" w:cs="Palatino Linotype"/>
          <w:sz w:val="22"/>
          <w:szCs w:val="22"/>
        </w:rPr>
        <w:t>, como se muestra</w:t>
      </w:r>
      <w:r w:rsidR="00D93C15" w:rsidRPr="0032234A">
        <w:rPr>
          <w:rFonts w:ascii="Palatino Linotype" w:eastAsia="Palatino Linotype" w:hAnsi="Palatino Linotype" w:cs="Palatino Linotype"/>
          <w:sz w:val="22"/>
          <w:szCs w:val="22"/>
        </w:rPr>
        <w:t xml:space="preserve"> a continuación</w:t>
      </w:r>
      <w:r w:rsidRPr="0032234A">
        <w:rPr>
          <w:rFonts w:ascii="Palatino Linotype" w:eastAsia="Palatino Linotype" w:hAnsi="Palatino Linotype" w:cs="Palatino Linotype"/>
          <w:sz w:val="22"/>
          <w:szCs w:val="22"/>
        </w:rPr>
        <w:t>:</w:t>
      </w:r>
    </w:p>
    <w:p w14:paraId="38046FED" w14:textId="77777777" w:rsidR="00483812" w:rsidRPr="0032234A" w:rsidRDefault="00483812" w:rsidP="000E0B45">
      <w:pPr>
        <w:spacing w:line="360" w:lineRule="auto"/>
        <w:jc w:val="both"/>
        <w:rPr>
          <w:rFonts w:ascii="Palatino Linotype" w:eastAsia="Palatino Linotype" w:hAnsi="Palatino Linotype" w:cs="Palatino Linotype"/>
          <w:sz w:val="22"/>
          <w:szCs w:val="22"/>
        </w:rPr>
      </w:pPr>
    </w:p>
    <w:p w14:paraId="1D46A733" w14:textId="20241FFD" w:rsidR="00483812" w:rsidRPr="0032234A" w:rsidRDefault="00483812" w:rsidP="000E0B45">
      <w:pP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noProof/>
          <w:sz w:val="22"/>
          <w:szCs w:val="22"/>
        </w:rPr>
        <w:drawing>
          <wp:inline distT="0" distB="0" distL="0" distR="0" wp14:anchorId="24EBEFAC" wp14:editId="79248192">
            <wp:extent cx="5612130" cy="963295"/>
            <wp:effectExtent l="19050" t="19050" r="26670" b="273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963295"/>
                    </a:xfrm>
                    <a:prstGeom prst="rect">
                      <a:avLst/>
                    </a:prstGeom>
                    <a:ln>
                      <a:solidFill>
                        <a:schemeClr val="accent1"/>
                      </a:solidFill>
                    </a:ln>
                  </pic:spPr>
                </pic:pic>
              </a:graphicData>
            </a:graphic>
          </wp:inline>
        </w:drawing>
      </w:r>
    </w:p>
    <w:p w14:paraId="5E31B9D7" w14:textId="77777777" w:rsidR="003B1E84" w:rsidRPr="0032234A" w:rsidRDefault="003B1E84" w:rsidP="000E0B45">
      <w:pPr>
        <w:spacing w:line="360" w:lineRule="auto"/>
        <w:jc w:val="both"/>
        <w:rPr>
          <w:rFonts w:ascii="Palatino Linotype" w:eastAsia="Palatino Linotype" w:hAnsi="Palatino Linotype" w:cs="Palatino Linotype"/>
          <w:sz w:val="22"/>
          <w:szCs w:val="22"/>
        </w:rPr>
      </w:pPr>
    </w:p>
    <w:p w14:paraId="3730EA09" w14:textId="6BD1E4E3" w:rsidR="00483812" w:rsidRPr="0032234A" w:rsidRDefault="00483812" w:rsidP="000E0B45">
      <w:pP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Por lo tanto, de ser el caso que la pretensión del particular sea obtener la documentación comprobatoria de las pólizas de tipo diario, cheques, ingresos y egresos</w:t>
      </w:r>
      <w:r w:rsidR="002E7152" w:rsidRPr="0032234A">
        <w:rPr>
          <w:rFonts w:ascii="Palatino Linotype" w:eastAsia="Palatino Linotype" w:hAnsi="Palatino Linotype" w:cs="Palatino Linotype"/>
          <w:sz w:val="22"/>
          <w:szCs w:val="22"/>
        </w:rPr>
        <w:t>, se dejan a salvo sus derechos para que mediante una nueva solicitud de información requiera la información que es de su interés.</w:t>
      </w:r>
    </w:p>
    <w:p w14:paraId="13D0C619" w14:textId="77777777" w:rsidR="002E7152" w:rsidRPr="0032234A" w:rsidRDefault="002E7152" w:rsidP="000E0B45">
      <w:pPr>
        <w:spacing w:line="360" w:lineRule="auto"/>
        <w:jc w:val="both"/>
        <w:rPr>
          <w:rFonts w:ascii="Palatino Linotype" w:eastAsia="Palatino Linotype" w:hAnsi="Palatino Linotype" w:cs="Palatino Linotype"/>
          <w:sz w:val="22"/>
          <w:szCs w:val="22"/>
        </w:rPr>
      </w:pPr>
    </w:p>
    <w:p w14:paraId="4B4C7217" w14:textId="12BE6AEF" w:rsidR="002E7152" w:rsidRPr="0032234A" w:rsidRDefault="002E7152" w:rsidP="000E0B45">
      <w:pP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En consecuencia, el recurso de revisión actualiza la causal de sobreseimiento establecida en la fracción IV del artículo 192, en relación a la fracción VII del artículo 191, ambos de la Ley de Transparencia y Acceso a la Información Pública del Estado de México y Municipios.</w:t>
      </w:r>
    </w:p>
    <w:p w14:paraId="2BF4BEBF" w14:textId="77777777" w:rsidR="00876B8F" w:rsidRPr="0032234A" w:rsidRDefault="00876B8F" w:rsidP="00876B8F">
      <w:pPr>
        <w:pBdr>
          <w:top w:val="nil"/>
          <w:left w:val="nil"/>
          <w:bottom w:val="nil"/>
          <w:right w:val="nil"/>
          <w:between w:val="nil"/>
        </w:pBdr>
        <w:spacing w:line="360" w:lineRule="auto"/>
        <w:jc w:val="both"/>
        <w:rPr>
          <w:sz w:val="22"/>
          <w:szCs w:val="22"/>
        </w:rPr>
      </w:pPr>
    </w:p>
    <w:p w14:paraId="67466BD1" w14:textId="77777777" w:rsidR="00876B8F" w:rsidRPr="0032234A" w:rsidRDefault="00876B8F" w:rsidP="00876B8F">
      <w:pPr>
        <w:pBdr>
          <w:top w:val="nil"/>
          <w:left w:val="nil"/>
          <w:bottom w:val="nil"/>
          <w:right w:val="nil"/>
          <w:between w:val="nil"/>
        </w:pBdr>
        <w:spacing w:line="360" w:lineRule="auto"/>
        <w:jc w:val="both"/>
        <w:rPr>
          <w:sz w:val="22"/>
          <w:szCs w:val="22"/>
        </w:rPr>
      </w:pPr>
      <w:r w:rsidRPr="0032234A">
        <w:rPr>
          <w:rFonts w:ascii="Palatino Linotype" w:eastAsia="Palatino Linotype" w:hAnsi="Palatino Linotype" w:cs="Palatino Linotype"/>
          <w:sz w:val="22"/>
          <w:szCs w:val="22"/>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13A3273E" w14:textId="77777777" w:rsidR="00876B8F" w:rsidRPr="0032234A" w:rsidRDefault="00876B8F" w:rsidP="00876B8F"/>
    <w:p w14:paraId="752521BA" w14:textId="77777777" w:rsidR="00876B8F" w:rsidRPr="0032234A" w:rsidRDefault="00876B8F" w:rsidP="00876B8F">
      <w:pPr>
        <w:pBdr>
          <w:top w:val="nil"/>
          <w:left w:val="nil"/>
          <w:bottom w:val="nil"/>
          <w:right w:val="nil"/>
          <w:between w:val="nil"/>
        </w:pBdr>
        <w:ind w:left="567" w:right="567"/>
        <w:jc w:val="both"/>
      </w:pPr>
      <w:r w:rsidRPr="0032234A">
        <w:rPr>
          <w:rFonts w:ascii="Palatino Linotype" w:eastAsia="Palatino Linotype" w:hAnsi="Palatino Linotype" w:cs="Palatino Linotype"/>
          <w:i/>
          <w:sz w:val="22"/>
          <w:szCs w:val="22"/>
        </w:rPr>
        <w:t>“</w:t>
      </w:r>
      <w:r w:rsidRPr="0032234A">
        <w:rPr>
          <w:rFonts w:ascii="Palatino Linotype" w:eastAsia="Palatino Linotype" w:hAnsi="Palatino Linotype" w:cs="Palatino Linotype"/>
          <w:b/>
          <w:i/>
          <w:sz w:val="22"/>
          <w:szCs w:val="22"/>
        </w:rPr>
        <w:t>SOBRESEIMIENTO EN EL JUICIO DE AMPARO DIRECTO. IMPIDE EL ESTUDIO DE LAS VIOLACIONES PROCESALES PLANTEADAS EN LOS CONCEPTOS DE VIOLACIÓN.</w:t>
      </w:r>
      <w:r w:rsidRPr="0032234A">
        <w:rPr>
          <w:rFonts w:ascii="Palatino Linotype" w:eastAsia="Palatino Linotype" w:hAnsi="Palatino Linotype" w:cs="Palatino Linotype"/>
          <w:i/>
          <w:sz w:val="22"/>
          <w:szCs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2C8BE338" w14:textId="77777777" w:rsidR="00876B8F" w:rsidRPr="0032234A" w:rsidRDefault="00876B8F" w:rsidP="00876B8F">
      <w:pPr>
        <w:pBdr>
          <w:top w:val="nil"/>
          <w:left w:val="nil"/>
          <w:bottom w:val="nil"/>
          <w:right w:val="nil"/>
          <w:between w:val="nil"/>
        </w:pBdr>
        <w:ind w:left="567" w:right="567"/>
        <w:jc w:val="both"/>
      </w:pPr>
      <w:r w:rsidRPr="0032234A">
        <w:rPr>
          <w:rFonts w:ascii="Palatino Linotype" w:eastAsia="Palatino Linotype" w:hAnsi="Palatino Linotype" w:cs="Palatino Linotype"/>
          <w:i/>
          <w:sz w:val="22"/>
          <w:szCs w:val="22"/>
        </w:rPr>
        <w:t>SEPTIMO TRIBUNAL COLEGIADO EN MATERIA CIVIL DEL PRIMER CIRCUITO</w:t>
      </w:r>
    </w:p>
    <w:p w14:paraId="0D989E8F" w14:textId="77777777" w:rsidR="00876B8F" w:rsidRPr="0032234A" w:rsidRDefault="00876B8F" w:rsidP="00876B8F">
      <w:pPr>
        <w:pBdr>
          <w:top w:val="nil"/>
          <w:left w:val="nil"/>
          <w:bottom w:val="nil"/>
          <w:right w:val="nil"/>
          <w:between w:val="nil"/>
        </w:pBdr>
        <w:ind w:left="567" w:right="567"/>
        <w:jc w:val="both"/>
      </w:pPr>
      <w:r w:rsidRPr="0032234A">
        <w:rPr>
          <w:rFonts w:ascii="Palatino Linotype" w:eastAsia="Palatino Linotype" w:hAnsi="Palatino Linotype" w:cs="Palatino Linotype"/>
          <w:i/>
          <w:sz w:val="22"/>
          <w:szCs w:val="22"/>
        </w:rPr>
        <w:t>Amparo directo 699/2008. Mariana Leticia González Steele. 13 de noviembre de 2008. Unanimidad de votos. Ponente: Sara Judith Montalvo Trejo. Secretario: Arnulfo Mateos García.”</w:t>
      </w:r>
    </w:p>
    <w:p w14:paraId="330784CE" w14:textId="77777777" w:rsidR="00876B8F" w:rsidRPr="0032234A" w:rsidRDefault="00876B8F" w:rsidP="00876B8F"/>
    <w:p w14:paraId="427E96CC" w14:textId="77777777" w:rsidR="00876B8F" w:rsidRPr="0032234A" w:rsidRDefault="00876B8F" w:rsidP="00876B8F">
      <w:pPr>
        <w:pBdr>
          <w:top w:val="nil"/>
          <w:left w:val="nil"/>
          <w:bottom w:val="nil"/>
          <w:right w:val="nil"/>
          <w:between w:val="nil"/>
        </w:pBdr>
        <w:spacing w:line="360" w:lineRule="auto"/>
        <w:jc w:val="both"/>
        <w:rPr>
          <w:sz w:val="22"/>
          <w:szCs w:val="22"/>
        </w:rPr>
      </w:pPr>
      <w:r w:rsidRPr="0032234A">
        <w:rPr>
          <w:rFonts w:ascii="Palatino Linotype" w:eastAsia="Palatino Linotype" w:hAnsi="Palatino Linotype" w:cs="Palatino Linotype"/>
          <w:sz w:val="22"/>
          <w:szCs w:val="22"/>
        </w:rPr>
        <w:t xml:space="preserve">Siendo el </w:t>
      </w:r>
      <w:r w:rsidRPr="0032234A">
        <w:rPr>
          <w:rFonts w:ascii="Palatino Linotype" w:eastAsia="Palatino Linotype" w:hAnsi="Palatino Linotype" w:cs="Palatino Linotype"/>
          <w:i/>
          <w:sz w:val="22"/>
          <w:szCs w:val="22"/>
        </w:rPr>
        <w:t>sobreseimiento</w:t>
      </w:r>
      <w:r w:rsidRPr="0032234A">
        <w:rPr>
          <w:rFonts w:ascii="Palatino Linotype" w:eastAsia="Palatino Linotype" w:hAnsi="Palatino Linotype" w:cs="Palatino Linotype"/>
          <w:sz w:val="22"/>
          <w:szCs w:val="22"/>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0D6BE049" w14:textId="77777777" w:rsidR="00876B8F" w:rsidRPr="0032234A" w:rsidRDefault="00876B8F" w:rsidP="00876B8F"/>
    <w:p w14:paraId="7E8811A1" w14:textId="77777777" w:rsidR="00876B8F" w:rsidRPr="0032234A" w:rsidRDefault="00876B8F" w:rsidP="00876B8F">
      <w:pPr>
        <w:pBdr>
          <w:top w:val="nil"/>
          <w:left w:val="nil"/>
          <w:bottom w:val="nil"/>
          <w:right w:val="nil"/>
          <w:between w:val="nil"/>
        </w:pBdr>
        <w:spacing w:after="120"/>
        <w:ind w:left="851" w:right="902"/>
        <w:jc w:val="both"/>
      </w:pPr>
      <w:r w:rsidRPr="0032234A">
        <w:rPr>
          <w:rFonts w:ascii="Palatino Linotype" w:eastAsia="Palatino Linotype" w:hAnsi="Palatino Linotype" w:cs="Palatino Linotype"/>
          <w:i/>
          <w:sz w:val="22"/>
          <w:szCs w:val="22"/>
        </w:rPr>
        <w:t>“</w:t>
      </w:r>
      <w:r w:rsidRPr="0032234A">
        <w:rPr>
          <w:rFonts w:ascii="Palatino Linotype" w:eastAsia="Palatino Linotype" w:hAnsi="Palatino Linotype" w:cs="Palatino Linotype"/>
          <w:b/>
          <w:i/>
          <w:sz w:val="22"/>
          <w:szCs w:val="22"/>
        </w:rPr>
        <w:t>SOBRESEIMIENTO, NO PERMITE ENTRAR AL ESTUDIO DE LAS CUESTIONES DE FONDO</w:t>
      </w:r>
    </w:p>
    <w:p w14:paraId="451947C5" w14:textId="77777777" w:rsidR="00876B8F" w:rsidRPr="0032234A" w:rsidRDefault="00876B8F" w:rsidP="00876B8F">
      <w:pPr>
        <w:pBdr>
          <w:top w:val="nil"/>
          <w:left w:val="nil"/>
          <w:bottom w:val="nil"/>
          <w:right w:val="nil"/>
          <w:between w:val="nil"/>
        </w:pBdr>
        <w:spacing w:before="120" w:after="120"/>
        <w:ind w:left="851" w:right="902"/>
        <w:jc w:val="both"/>
      </w:pPr>
      <w:r w:rsidRPr="0032234A">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75E33B30" w14:textId="77777777" w:rsidR="00876B8F" w:rsidRPr="0032234A" w:rsidRDefault="00876B8F" w:rsidP="00876B8F">
      <w:pPr>
        <w:pBdr>
          <w:top w:val="nil"/>
          <w:left w:val="nil"/>
          <w:bottom w:val="nil"/>
          <w:right w:val="nil"/>
          <w:between w:val="nil"/>
        </w:pBdr>
        <w:spacing w:before="120" w:after="120"/>
        <w:ind w:left="851" w:right="902"/>
        <w:jc w:val="both"/>
      </w:pPr>
      <w:r w:rsidRPr="0032234A">
        <w:rPr>
          <w:rFonts w:ascii="Palatino Linotype" w:eastAsia="Palatino Linotype" w:hAnsi="Palatino Linotype" w:cs="Palatino Linotype"/>
          <w:i/>
          <w:sz w:val="22"/>
          <w:szCs w:val="22"/>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w:t>
      </w:r>
    </w:p>
    <w:p w14:paraId="4D4AE08B" w14:textId="77777777" w:rsidR="002C4D40" w:rsidRPr="0032234A" w:rsidRDefault="002C4D40" w:rsidP="006D6304">
      <w:pPr>
        <w:spacing w:line="360" w:lineRule="auto"/>
        <w:jc w:val="both"/>
        <w:rPr>
          <w:rFonts w:ascii="Palatino Linotype" w:eastAsia="Calibri" w:hAnsi="Palatino Linotype"/>
          <w:sz w:val="22"/>
          <w:szCs w:val="22"/>
          <w:lang w:val="es-ES_tradnl" w:eastAsia="en-US"/>
        </w:rPr>
      </w:pPr>
    </w:p>
    <w:p w14:paraId="45DAEF70" w14:textId="0CD9DFA6" w:rsidR="008D2539" w:rsidRPr="0032234A" w:rsidRDefault="0064634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 xml:space="preserve">Así, con fundamento en lo prescrito en los artículos </w:t>
      </w:r>
      <w:r w:rsidR="000C3A11" w:rsidRPr="0032234A">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32234A">
        <w:rPr>
          <w:rFonts w:ascii="Palatino Linotype" w:eastAsia="Palatino Linotype" w:hAnsi="Palatino Linotype" w:cs="Palatino Linotype"/>
          <w:sz w:val="22"/>
          <w:szCs w:val="22"/>
        </w:rPr>
        <w:t xml:space="preserve"> 2, fracción II; 29, 36 fracciones I y II; 176, 178, 181, 185, fracción I, 186, fracción I, así como 188 de la Ley de Transparencia y Acceso a la Información Pública del Estado de México y Municipios, este Pleno:</w:t>
      </w:r>
    </w:p>
    <w:p w14:paraId="734062B9" w14:textId="77777777" w:rsidR="00D93C15" w:rsidRPr="0032234A" w:rsidRDefault="00D93C1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7E8B908" w14:textId="77777777" w:rsidR="00D93C15" w:rsidRPr="0032234A" w:rsidRDefault="00D93C1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018480E" w14:textId="77777777" w:rsidR="00D93C15" w:rsidRPr="0032234A" w:rsidRDefault="00D93C1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B2077C5" w14:textId="77777777" w:rsidR="008D2539" w:rsidRPr="0032234A" w:rsidRDefault="008D2539">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279FC9D6" w14:textId="77777777" w:rsidR="008D2539" w:rsidRPr="0032234A" w:rsidRDefault="0064634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0" w:name="_heading=h.ijv98pntcd5s" w:colFirst="0" w:colLast="0"/>
      <w:bookmarkEnd w:id="10"/>
      <w:r w:rsidRPr="0032234A">
        <w:rPr>
          <w:rFonts w:ascii="Palatino Linotype" w:eastAsia="Palatino Linotype" w:hAnsi="Palatino Linotype" w:cs="Palatino Linotype"/>
          <w:b/>
          <w:sz w:val="22"/>
          <w:szCs w:val="22"/>
        </w:rPr>
        <w:t>III. R E S U E L V E</w:t>
      </w:r>
    </w:p>
    <w:p w14:paraId="380EE797" w14:textId="77777777" w:rsidR="008D2539" w:rsidRPr="0032234A" w:rsidRDefault="008D2539">
      <w:pPr>
        <w:spacing w:line="360" w:lineRule="auto"/>
        <w:jc w:val="both"/>
        <w:rPr>
          <w:rFonts w:ascii="Palatino Linotype" w:eastAsia="Palatino Linotype" w:hAnsi="Palatino Linotype" w:cs="Palatino Linotype"/>
          <w:b/>
          <w:sz w:val="22"/>
          <w:szCs w:val="22"/>
        </w:rPr>
      </w:pPr>
      <w:bookmarkStart w:id="11" w:name="_heading=h.26in1rg" w:colFirst="0" w:colLast="0"/>
      <w:bookmarkEnd w:id="11"/>
    </w:p>
    <w:p w14:paraId="14D11EEC" w14:textId="75E3FDB7" w:rsidR="00876B8F" w:rsidRPr="0032234A" w:rsidRDefault="00876B8F" w:rsidP="00876B8F">
      <w:pPr>
        <w:pBdr>
          <w:top w:val="nil"/>
          <w:left w:val="nil"/>
          <w:bottom w:val="nil"/>
          <w:right w:val="nil"/>
          <w:between w:val="nil"/>
        </w:pBdr>
        <w:spacing w:line="360" w:lineRule="auto"/>
        <w:jc w:val="both"/>
        <w:rPr>
          <w:sz w:val="22"/>
          <w:szCs w:val="22"/>
        </w:rPr>
      </w:pPr>
      <w:bookmarkStart w:id="12" w:name="_heading=h.h7nzb79wlra" w:colFirst="0" w:colLast="0"/>
      <w:bookmarkEnd w:id="12"/>
      <w:r w:rsidRPr="0032234A">
        <w:rPr>
          <w:rFonts w:ascii="Palatino Linotype" w:eastAsia="Palatino Linotype" w:hAnsi="Palatino Linotype" w:cs="Palatino Linotype"/>
          <w:b/>
          <w:sz w:val="22"/>
          <w:szCs w:val="22"/>
        </w:rPr>
        <w:t xml:space="preserve">Primero. </w:t>
      </w:r>
      <w:r w:rsidRPr="0032234A">
        <w:rPr>
          <w:rFonts w:ascii="Palatino Linotype" w:eastAsia="Palatino Linotype" w:hAnsi="Palatino Linotype" w:cs="Palatino Linotype"/>
          <w:sz w:val="22"/>
          <w:szCs w:val="22"/>
        </w:rPr>
        <w:t>Se</w:t>
      </w:r>
      <w:r w:rsidRPr="0032234A">
        <w:rPr>
          <w:rFonts w:ascii="Palatino Linotype" w:eastAsia="Palatino Linotype" w:hAnsi="Palatino Linotype" w:cs="Palatino Linotype"/>
          <w:b/>
          <w:sz w:val="22"/>
          <w:szCs w:val="22"/>
        </w:rPr>
        <w:t xml:space="preserve"> Sobresee </w:t>
      </w:r>
      <w:r w:rsidRPr="0032234A">
        <w:rPr>
          <w:rFonts w:ascii="Palatino Linotype" w:eastAsia="Palatino Linotype" w:hAnsi="Palatino Linotype" w:cs="Palatino Linotype"/>
          <w:sz w:val="22"/>
          <w:szCs w:val="22"/>
        </w:rPr>
        <w:t xml:space="preserve">el recurso de revisión número </w:t>
      </w:r>
      <w:r w:rsidRPr="0032234A">
        <w:rPr>
          <w:rFonts w:ascii="Palatino Linotype" w:eastAsia="Palatino Linotype" w:hAnsi="Palatino Linotype" w:cs="Palatino Linotype"/>
          <w:b/>
          <w:sz w:val="22"/>
          <w:szCs w:val="22"/>
        </w:rPr>
        <w:t>12734/INFOEM/IP/RR/2025</w:t>
      </w:r>
      <w:r w:rsidRPr="0032234A">
        <w:rPr>
          <w:rFonts w:ascii="Palatino Linotype" w:eastAsia="Palatino Linotype" w:hAnsi="Palatino Linotype" w:cs="Palatino Linotype"/>
          <w:sz w:val="22"/>
          <w:szCs w:val="22"/>
        </w:rPr>
        <w:t xml:space="preserve">, porque una vez admitido se actualizó la causal de improcedencia prevista en artículo 192 fracción IV, en relación con la fracción VII del artículo 191, de la Ley de Transparencia y Acceso a la Información Pública del Estado de México y Municipios, que lo dejó sin materia en términos del </w:t>
      </w:r>
      <w:r w:rsidRPr="0032234A">
        <w:rPr>
          <w:rFonts w:ascii="Palatino Linotype" w:eastAsia="Palatino Linotype" w:hAnsi="Palatino Linotype" w:cs="Palatino Linotype"/>
          <w:b/>
          <w:sz w:val="22"/>
          <w:szCs w:val="22"/>
        </w:rPr>
        <w:t xml:space="preserve">Considerando Tercero </w:t>
      </w:r>
      <w:r w:rsidRPr="0032234A">
        <w:rPr>
          <w:rFonts w:ascii="Palatino Linotype" w:eastAsia="Palatino Linotype" w:hAnsi="Palatino Linotype" w:cs="Palatino Linotype"/>
          <w:sz w:val="22"/>
          <w:szCs w:val="22"/>
        </w:rPr>
        <w:t>de la presente resolución.</w:t>
      </w:r>
    </w:p>
    <w:p w14:paraId="359C0C57" w14:textId="77777777" w:rsidR="00876B8F" w:rsidRPr="0032234A" w:rsidRDefault="00876B8F" w:rsidP="00876B8F">
      <w:pPr>
        <w:spacing w:line="360" w:lineRule="auto"/>
        <w:rPr>
          <w:sz w:val="22"/>
          <w:szCs w:val="22"/>
        </w:rPr>
      </w:pPr>
    </w:p>
    <w:p w14:paraId="3E923FD2" w14:textId="77777777" w:rsidR="00876B8F" w:rsidRPr="0032234A" w:rsidRDefault="00876B8F" w:rsidP="00876B8F">
      <w:pPr>
        <w:pBdr>
          <w:top w:val="nil"/>
          <w:left w:val="nil"/>
          <w:bottom w:val="nil"/>
          <w:right w:val="nil"/>
          <w:between w:val="nil"/>
        </w:pBdr>
        <w:spacing w:line="360" w:lineRule="auto"/>
        <w:jc w:val="both"/>
        <w:rPr>
          <w:sz w:val="22"/>
          <w:szCs w:val="22"/>
        </w:rPr>
      </w:pPr>
      <w:r w:rsidRPr="0032234A">
        <w:rPr>
          <w:rFonts w:ascii="Palatino Linotype" w:eastAsia="Palatino Linotype" w:hAnsi="Palatino Linotype" w:cs="Palatino Linotype"/>
          <w:b/>
          <w:sz w:val="22"/>
          <w:szCs w:val="22"/>
        </w:rPr>
        <w:t xml:space="preserve">Segundo. Notifíquese, </w:t>
      </w:r>
      <w:r w:rsidRPr="0032234A">
        <w:rPr>
          <w:rFonts w:ascii="Palatino Linotype" w:eastAsia="Palatino Linotype" w:hAnsi="Palatino Linotype" w:cs="Palatino Linotype"/>
          <w:sz w:val="22"/>
          <w:szCs w:val="22"/>
        </w:rPr>
        <w:t>vía</w:t>
      </w:r>
      <w:r w:rsidRPr="0032234A">
        <w:rPr>
          <w:rFonts w:ascii="Palatino Linotype" w:eastAsia="Palatino Linotype" w:hAnsi="Palatino Linotype" w:cs="Palatino Linotype"/>
          <w:b/>
          <w:sz w:val="22"/>
          <w:szCs w:val="22"/>
        </w:rPr>
        <w:t xml:space="preserve"> SAIMEX,</w:t>
      </w:r>
      <w:r w:rsidRPr="0032234A">
        <w:rPr>
          <w:rFonts w:ascii="Palatino Linotype" w:eastAsia="Palatino Linotype" w:hAnsi="Palatino Linotype" w:cs="Palatino Linotype"/>
          <w:sz w:val="22"/>
          <w:szCs w:val="22"/>
        </w:rPr>
        <w:t xml:space="preserve"> al Titular de la Unidad de Transparencia del </w:t>
      </w:r>
      <w:r w:rsidRPr="0032234A">
        <w:rPr>
          <w:rFonts w:ascii="Palatino Linotype" w:eastAsia="Palatino Linotype" w:hAnsi="Palatino Linotype" w:cs="Palatino Linotype"/>
          <w:b/>
          <w:sz w:val="22"/>
          <w:szCs w:val="22"/>
        </w:rPr>
        <w:t>Sujeto Obligado</w:t>
      </w:r>
      <w:r w:rsidRPr="0032234A">
        <w:rPr>
          <w:rFonts w:ascii="Palatino Linotype" w:eastAsia="Palatino Linotype" w:hAnsi="Palatino Linotype" w:cs="Palatino Linotype"/>
          <w:sz w:val="22"/>
          <w:szCs w:val="22"/>
        </w:rPr>
        <w:t xml:space="preserve"> la presente resolución, para su conocimiento.</w:t>
      </w:r>
    </w:p>
    <w:p w14:paraId="0BA72971" w14:textId="77777777" w:rsidR="00876B8F" w:rsidRPr="0032234A" w:rsidRDefault="00876B8F" w:rsidP="00876B8F">
      <w:pPr>
        <w:spacing w:line="360" w:lineRule="auto"/>
        <w:rPr>
          <w:sz w:val="22"/>
          <w:szCs w:val="22"/>
        </w:rPr>
      </w:pPr>
    </w:p>
    <w:p w14:paraId="26ED98D6" w14:textId="77777777" w:rsidR="00876B8F" w:rsidRPr="0032234A" w:rsidRDefault="00876B8F" w:rsidP="00876B8F">
      <w:pPr>
        <w:pBdr>
          <w:top w:val="nil"/>
          <w:left w:val="nil"/>
          <w:bottom w:val="nil"/>
          <w:right w:val="nil"/>
          <w:between w:val="nil"/>
        </w:pBdr>
        <w:spacing w:line="360" w:lineRule="auto"/>
        <w:jc w:val="both"/>
        <w:rPr>
          <w:sz w:val="22"/>
          <w:szCs w:val="22"/>
        </w:rPr>
      </w:pPr>
      <w:r w:rsidRPr="0032234A">
        <w:rPr>
          <w:rFonts w:ascii="Palatino Linotype" w:eastAsia="Palatino Linotype" w:hAnsi="Palatino Linotype" w:cs="Palatino Linotype"/>
          <w:b/>
          <w:sz w:val="22"/>
          <w:szCs w:val="22"/>
        </w:rPr>
        <w:t xml:space="preserve">Tercero. Notifíquese, </w:t>
      </w:r>
      <w:r w:rsidRPr="0032234A">
        <w:rPr>
          <w:rFonts w:ascii="Palatino Linotype" w:eastAsia="Palatino Linotype" w:hAnsi="Palatino Linotype" w:cs="Palatino Linotype"/>
          <w:sz w:val="22"/>
          <w:szCs w:val="22"/>
        </w:rPr>
        <w:t>vía</w:t>
      </w:r>
      <w:r w:rsidRPr="0032234A">
        <w:rPr>
          <w:rFonts w:ascii="Palatino Linotype" w:eastAsia="Palatino Linotype" w:hAnsi="Palatino Linotype" w:cs="Palatino Linotype"/>
          <w:b/>
          <w:sz w:val="22"/>
          <w:szCs w:val="22"/>
        </w:rPr>
        <w:t xml:space="preserve"> SAIMEX</w:t>
      </w:r>
      <w:r w:rsidRPr="0032234A">
        <w:rPr>
          <w:rFonts w:ascii="Palatino Linotype" w:eastAsia="Palatino Linotype" w:hAnsi="Palatino Linotype" w:cs="Palatino Linotype"/>
          <w:sz w:val="22"/>
          <w:szCs w:val="22"/>
        </w:rPr>
        <w:t>, a</w:t>
      </w:r>
      <w:r w:rsidRPr="0032234A">
        <w:rPr>
          <w:rFonts w:ascii="Palatino Linotype" w:eastAsia="Palatino Linotype" w:hAnsi="Palatino Linotype" w:cs="Palatino Linotype"/>
          <w:b/>
          <w:sz w:val="22"/>
          <w:szCs w:val="22"/>
        </w:rPr>
        <w:t xml:space="preserve"> la parte</w:t>
      </w:r>
      <w:r w:rsidRPr="0032234A">
        <w:rPr>
          <w:rFonts w:ascii="Palatino Linotype" w:eastAsia="Palatino Linotype" w:hAnsi="Palatino Linotype" w:cs="Palatino Linotype"/>
          <w:sz w:val="22"/>
          <w:szCs w:val="22"/>
        </w:rPr>
        <w:t xml:space="preserve"> </w:t>
      </w:r>
      <w:r w:rsidRPr="0032234A">
        <w:rPr>
          <w:rFonts w:ascii="Palatino Linotype" w:eastAsia="Palatino Linotype" w:hAnsi="Palatino Linotype" w:cs="Palatino Linotype"/>
          <w:b/>
          <w:sz w:val="22"/>
          <w:szCs w:val="22"/>
        </w:rPr>
        <w:t>Recurrente</w:t>
      </w:r>
      <w:r w:rsidRPr="0032234A">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040D19D8" w14:textId="77777777" w:rsidR="00876B8F" w:rsidRPr="0032234A" w:rsidRDefault="00876B8F">
      <w:pPr>
        <w:spacing w:line="360" w:lineRule="auto"/>
        <w:jc w:val="both"/>
        <w:rPr>
          <w:rFonts w:ascii="Palatino Linotype" w:eastAsia="Palatino Linotype" w:hAnsi="Palatino Linotype" w:cs="Palatino Linotype"/>
          <w:sz w:val="22"/>
          <w:szCs w:val="22"/>
        </w:rPr>
      </w:pPr>
    </w:p>
    <w:p w14:paraId="7C05B59E" w14:textId="262AB71F" w:rsidR="008D2539" w:rsidRPr="009771F0" w:rsidRDefault="0064634F">
      <w:pPr>
        <w:spacing w:line="360" w:lineRule="auto"/>
        <w:jc w:val="both"/>
        <w:rPr>
          <w:rFonts w:ascii="Palatino Linotype" w:eastAsia="Palatino Linotype" w:hAnsi="Palatino Linotype" w:cs="Palatino Linotype"/>
          <w:sz w:val="22"/>
          <w:szCs w:val="22"/>
        </w:rPr>
      </w:pPr>
      <w:r w:rsidRPr="0032234A">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E1477" w:rsidRPr="0032234A">
        <w:rPr>
          <w:rFonts w:ascii="Palatino Linotype" w:eastAsia="Palatino Linotype" w:hAnsi="Palatino Linotype" w:cs="Palatino Linotype"/>
          <w:sz w:val="22"/>
          <w:szCs w:val="22"/>
        </w:rPr>
        <w:t>CUADRAGÉSIMA</w:t>
      </w:r>
      <w:r w:rsidRPr="0032234A">
        <w:rPr>
          <w:rFonts w:ascii="Palatino Linotype" w:eastAsia="Palatino Linotype" w:hAnsi="Palatino Linotype" w:cs="Palatino Linotype"/>
          <w:sz w:val="22"/>
          <w:szCs w:val="22"/>
        </w:rPr>
        <w:t xml:space="preserve"> </w:t>
      </w:r>
      <w:r w:rsidR="00770CB1" w:rsidRPr="0032234A">
        <w:rPr>
          <w:rFonts w:ascii="Palatino Linotype" w:eastAsia="Palatino Linotype" w:hAnsi="Palatino Linotype" w:cs="Palatino Linotype"/>
          <w:sz w:val="22"/>
          <w:szCs w:val="22"/>
        </w:rPr>
        <w:t>TERCERA</w:t>
      </w:r>
      <w:r w:rsidR="00606896" w:rsidRPr="0032234A">
        <w:rPr>
          <w:rFonts w:ascii="Palatino Linotype" w:eastAsia="Palatino Linotype" w:hAnsi="Palatino Linotype" w:cs="Palatino Linotype"/>
          <w:sz w:val="22"/>
          <w:szCs w:val="22"/>
        </w:rPr>
        <w:t xml:space="preserve"> </w:t>
      </w:r>
      <w:r w:rsidRPr="0032234A">
        <w:rPr>
          <w:rFonts w:ascii="Palatino Linotype" w:eastAsia="Palatino Linotype" w:hAnsi="Palatino Linotype" w:cs="Palatino Linotype"/>
          <w:sz w:val="22"/>
          <w:szCs w:val="22"/>
        </w:rPr>
        <w:t xml:space="preserve">SESIÓN ORDINARIA, CELEBRADA EL </w:t>
      </w:r>
      <w:r w:rsidR="00DA08F2" w:rsidRPr="0032234A">
        <w:rPr>
          <w:rFonts w:ascii="Palatino Linotype" w:eastAsia="Palatino Linotype" w:hAnsi="Palatino Linotype" w:cs="Palatino Linotype"/>
          <w:sz w:val="22"/>
          <w:szCs w:val="22"/>
        </w:rPr>
        <w:t>TRES DE DICIEMBRE</w:t>
      </w:r>
      <w:r w:rsidRPr="0032234A">
        <w:rPr>
          <w:rFonts w:ascii="Palatino Linotype" w:eastAsia="Palatino Linotype" w:hAnsi="Palatino Linotype" w:cs="Palatino Linotype"/>
          <w:sz w:val="22"/>
          <w:szCs w:val="22"/>
        </w:rPr>
        <w:t xml:space="preserve"> DE DOS MIL VEINTICINCO, ANTE EL SECRETARIO TÉCNICO DEL PLENO ALEXIS TAPIA RAMÍREZ.</w:t>
      </w:r>
      <w:r w:rsidRPr="009771F0">
        <w:rPr>
          <w:rFonts w:ascii="Palatino Linotype" w:eastAsia="Palatino Linotype" w:hAnsi="Palatino Linotype" w:cs="Palatino Linotype"/>
          <w:sz w:val="22"/>
          <w:szCs w:val="22"/>
        </w:rPr>
        <w:t xml:space="preserve"> </w:t>
      </w:r>
    </w:p>
    <w:p w14:paraId="02157067" w14:textId="77777777" w:rsidR="008D2539" w:rsidRPr="009771F0"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9771F0" w:rsidRDefault="008D2539">
      <w:pPr>
        <w:rPr>
          <w:rFonts w:ascii="Palatino Linotype" w:eastAsia="Palatino Linotype" w:hAnsi="Palatino Linotype" w:cs="Palatino Linotype"/>
          <w:sz w:val="22"/>
          <w:szCs w:val="22"/>
        </w:rPr>
      </w:pPr>
      <w:bookmarkStart w:id="13" w:name="_heading=h.17dp8vu" w:colFirst="0" w:colLast="0"/>
      <w:bookmarkEnd w:id="13"/>
    </w:p>
    <w:p w14:paraId="28D2E30A" w14:textId="77777777" w:rsidR="008D2539" w:rsidRPr="009771F0" w:rsidRDefault="008D2539">
      <w:pPr>
        <w:rPr>
          <w:rFonts w:ascii="Palatino Linotype" w:eastAsia="Palatino Linotype" w:hAnsi="Palatino Linotype" w:cs="Palatino Linotype"/>
          <w:sz w:val="22"/>
          <w:szCs w:val="22"/>
        </w:rPr>
      </w:pPr>
    </w:p>
    <w:p w14:paraId="3D5CBA5C" w14:textId="77777777" w:rsidR="008D2539" w:rsidRPr="009771F0" w:rsidRDefault="008D2539">
      <w:pPr>
        <w:spacing w:line="360" w:lineRule="auto"/>
        <w:jc w:val="both"/>
        <w:rPr>
          <w:rFonts w:ascii="Palatino Linotype" w:eastAsia="Palatino Linotype" w:hAnsi="Palatino Linotype" w:cs="Palatino Linotype"/>
          <w:sz w:val="22"/>
          <w:szCs w:val="22"/>
        </w:rPr>
      </w:pPr>
      <w:bookmarkStart w:id="14" w:name="_heading=h.3rdcrjn" w:colFirst="0" w:colLast="0"/>
      <w:bookmarkEnd w:id="14"/>
    </w:p>
    <w:p w14:paraId="29662DCF" w14:textId="77777777" w:rsidR="008D2539" w:rsidRPr="009771F0"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9771F0"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9771F0" w:rsidRDefault="008D2539">
      <w:pPr>
        <w:spacing w:line="360" w:lineRule="auto"/>
        <w:jc w:val="both"/>
        <w:rPr>
          <w:rFonts w:ascii="Palatino Linotype" w:eastAsia="Palatino Linotype" w:hAnsi="Palatino Linotype" w:cs="Palatino Linotype"/>
          <w:sz w:val="22"/>
          <w:szCs w:val="22"/>
        </w:rPr>
      </w:pPr>
      <w:bookmarkStart w:id="15" w:name="_heading=h.1t3h5sf" w:colFirst="0" w:colLast="0"/>
      <w:bookmarkEnd w:id="15"/>
    </w:p>
    <w:p w14:paraId="49B53CCA" w14:textId="77777777" w:rsidR="008D2539" w:rsidRPr="009771F0"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9771F0"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9771F0"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9771F0"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9771F0"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9771F0"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9771F0"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9771F0"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9771F0"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9771F0"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9771F0"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9771F0"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9771F0"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9771F0"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9771F0"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9771F0"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9771F0" w:rsidRDefault="008D2539">
      <w:pPr>
        <w:spacing w:line="360" w:lineRule="auto"/>
        <w:jc w:val="both"/>
        <w:rPr>
          <w:rFonts w:ascii="Palatino Linotype" w:eastAsia="Palatino Linotype" w:hAnsi="Palatino Linotype" w:cs="Palatino Linotype"/>
          <w:sz w:val="22"/>
          <w:szCs w:val="22"/>
        </w:rPr>
      </w:pPr>
    </w:p>
    <w:sectPr w:rsidR="008D2539" w:rsidRPr="009771F0">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AD7188" w14:textId="77777777" w:rsidR="00CE5983" w:rsidRDefault="00CE5983">
      <w:r>
        <w:separator/>
      </w:r>
    </w:p>
  </w:endnote>
  <w:endnote w:type="continuationSeparator" w:id="0">
    <w:p w14:paraId="40308A85" w14:textId="77777777" w:rsidR="00CE5983" w:rsidRDefault="00CE5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43691646-0058-4E8A-9D67-D9D8AA0A028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5673BF3F-96C5-4BFF-9783-EDBC21933FA2}"/>
    <w:embedBold r:id="rId3" w:fontKey="{1FE72A35-3735-452C-BCE6-FBB4B199B808}"/>
    <w:embedItalic r:id="rId4" w:fontKey="{78766DA7-9308-4F98-865F-3CB80771BD39}"/>
    <w:embedBoldItalic r:id="rId5" w:fontKey="{27599207-E26F-4364-ABC3-4C452DB907DF}"/>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DCB12D40-F07A-4078-8B83-AC0EEE30B789}"/>
    <w:embedBold r:id="rId7" w:fontKey="{337BAE66-AC46-4CF6-AD1B-7065F136ED0D}"/>
  </w:font>
  <w:font w:name="Cambria">
    <w:panose1 w:val="02040503050406030204"/>
    <w:charset w:val="00"/>
    <w:family w:val="roman"/>
    <w:pitch w:val="variable"/>
    <w:sig w:usb0="E00006FF" w:usb1="420024FF" w:usb2="02000000" w:usb3="00000000" w:csb0="0000019F" w:csb1="00000000"/>
    <w:embedRegular r:id="rId8" w:fontKey="{776FC9BF-6D75-4764-BB6C-528205D29EE1}"/>
    <w:embedBold r:id="rId9" w:fontKey="{59F519C4-3EA2-423B-8947-C60D0F26CB9A}"/>
    <w:embedBoldItalic r:id="rId10" w:fontKey="{8AF07F0C-A598-469A-82FB-95CDC1E88BC7}"/>
  </w:font>
  <w:font w:name="Segoe UI">
    <w:panose1 w:val="020B0502040204020203"/>
    <w:charset w:val="00"/>
    <w:family w:val="swiss"/>
    <w:pitch w:val="variable"/>
    <w:sig w:usb0="E4002EFF" w:usb1="C000E47F" w:usb2="00000009" w:usb3="00000000" w:csb0="000001FF" w:csb1="00000000"/>
    <w:embedRegular r:id="rId11" w:fontKey="{C196BD9C-CD28-45DE-AEBD-9A0D7DBE8F87}"/>
  </w:font>
  <w:font w:name="Georgia">
    <w:panose1 w:val="02040502050405020303"/>
    <w:charset w:val="00"/>
    <w:family w:val="roman"/>
    <w:pitch w:val="variable"/>
    <w:sig w:usb0="00000287" w:usb1="00000000" w:usb2="00000000" w:usb3="00000000" w:csb0="0000009F" w:csb1="00000000"/>
    <w:embedRegular r:id="rId12" w:fontKey="{8C3C6BDD-7860-4FCA-80E9-2C3510B489A3}"/>
    <w:embedItalic r:id="rId13" w:fontKey="{586054F8-8390-4EC0-B29D-2EF2396BA545}"/>
  </w:font>
  <w:font w:name="Verdana">
    <w:panose1 w:val="020B0604030504040204"/>
    <w:charset w:val="00"/>
    <w:family w:val="swiss"/>
    <w:pitch w:val="variable"/>
    <w:sig w:usb0="A00006FF" w:usb1="4000205B" w:usb2="00000010" w:usb3="00000000" w:csb0="0000019F" w:csb1="00000000"/>
    <w:embedBold r:id="rId14" w:fontKey="{FF26D9C4-1AFB-4B5E-970C-0122288D9A3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6874D922" w:rsidR="00483812" w:rsidRDefault="0048381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B4626">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B4626">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14:paraId="40531802" w14:textId="77777777" w:rsidR="00483812" w:rsidRDefault="0048381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15B636B0" w:rsidR="00483812" w:rsidRDefault="0048381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B462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B4626">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14:paraId="5F4A5043" w14:textId="77777777" w:rsidR="00483812" w:rsidRDefault="0048381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9F3F1" w14:textId="77777777" w:rsidR="00CE5983" w:rsidRDefault="00CE5983">
      <w:r>
        <w:separator/>
      </w:r>
    </w:p>
  </w:footnote>
  <w:footnote w:type="continuationSeparator" w:id="0">
    <w:p w14:paraId="1819954C" w14:textId="77777777" w:rsidR="00CE5983" w:rsidRDefault="00CE5983">
      <w:r>
        <w:continuationSeparator/>
      </w:r>
    </w:p>
  </w:footnote>
  <w:footnote w:id="1">
    <w:p w14:paraId="5E05B190" w14:textId="77777777" w:rsidR="00483812" w:rsidRDefault="00483812"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483812" w:rsidRDefault="00483812"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483812" w:rsidRDefault="00483812">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483812" w14:paraId="5D801E11" w14:textId="77777777">
      <w:tc>
        <w:tcPr>
          <w:tcW w:w="2489" w:type="dxa"/>
        </w:tcPr>
        <w:p w14:paraId="0E6A80E3" w14:textId="77777777" w:rsidR="00483812" w:rsidRDefault="004838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vAlign w:val="center"/>
        </w:tcPr>
        <w:p w14:paraId="26DF3EFC" w14:textId="37DD54ED" w:rsidR="00483812" w:rsidRDefault="00483812" w:rsidP="006F455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12734/INFOEM/IP/RR/2025</w:t>
          </w:r>
          <w:r>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483812" w14:paraId="29C20624" w14:textId="77777777">
      <w:trPr>
        <w:trHeight w:val="228"/>
      </w:trPr>
      <w:tc>
        <w:tcPr>
          <w:tcW w:w="2489" w:type="dxa"/>
          <w:vAlign w:val="center"/>
        </w:tcPr>
        <w:p w14:paraId="170E47D2" w14:textId="77777777" w:rsidR="00483812" w:rsidRDefault="004838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vAlign w:val="center"/>
        </w:tcPr>
        <w:p w14:paraId="19E60E5F" w14:textId="6B6E4285" w:rsidR="00483812" w:rsidRDefault="00483812">
          <w:pPr>
            <w:ind w:left="-45" w:right="1586"/>
            <w:jc w:val="both"/>
            <w:rPr>
              <w:rFonts w:ascii="Palatino Linotype" w:eastAsia="Palatino Linotype" w:hAnsi="Palatino Linotype" w:cs="Palatino Linotype"/>
              <w:b/>
              <w:sz w:val="22"/>
              <w:szCs w:val="22"/>
            </w:rPr>
          </w:pPr>
          <w:r w:rsidRPr="00BC42F0">
            <w:rPr>
              <w:rFonts w:ascii="Palatino Linotype" w:eastAsia="Palatino Linotype" w:hAnsi="Palatino Linotype" w:cs="Palatino Linotype"/>
              <w:b/>
              <w:bCs/>
              <w:sz w:val="22"/>
              <w:szCs w:val="22"/>
            </w:rPr>
            <w:t>Sistema Municipal para el Desarrollo Integral de la Familia Municipio de Atenco</w:t>
          </w:r>
        </w:p>
      </w:tc>
    </w:tr>
    <w:tr w:rsidR="00483812" w14:paraId="0DC4A1F3" w14:textId="77777777">
      <w:tc>
        <w:tcPr>
          <w:tcW w:w="2489" w:type="dxa"/>
          <w:vAlign w:val="center"/>
        </w:tcPr>
        <w:p w14:paraId="13724C54" w14:textId="77777777" w:rsidR="00483812" w:rsidRDefault="0048381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vAlign w:val="center"/>
        </w:tcPr>
        <w:p w14:paraId="22E6DD4D" w14:textId="77777777" w:rsidR="00483812" w:rsidRDefault="0048381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483812" w:rsidRDefault="0048381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483812" w:rsidRDefault="0048381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165B2270">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483812" w14:paraId="3733654E" w14:textId="77777777">
      <w:tc>
        <w:tcPr>
          <w:tcW w:w="2551" w:type="dxa"/>
          <w:vAlign w:val="center"/>
        </w:tcPr>
        <w:p w14:paraId="6085989E" w14:textId="77777777" w:rsidR="00483812" w:rsidRDefault="004838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vAlign w:val="center"/>
        </w:tcPr>
        <w:p w14:paraId="003CCA8E" w14:textId="6151E46A" w:rsidR="00483812" w:rsidRDefault="00483812" w:rsidP="006F455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12734/INFOEM/IP/RR/2025</w:t>
          </w:r>
        </w:p>
      </w:tc>
    </w:tr>
    <w:tr w:rsidR="00483812" w14:paraId="6C04EA62" w14:textId="77777777">
      <w:trPr>
        <w:trHeight w:val="130"/>
      </w:trPr>
      <w:tc>
        <w:tcPr>
          <w:tcW w:w="2551" w:type="dxa"/>
          <w:vAlign w:val="center"/>
        </w:tcPr>
        <w:p w14:paraId="49C23242" w14:textId="77777777" w:rsidR="00483812" w:rsidRDefault="004838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vAlign w:val="center"/>
        </w:tcPr>
        <w:p w14:paraId="3A0EFCCC" w14:textId="73CE0AE8" w:rsidR="00483812" w:rsidRDefault="00483812">
          <w:pPr>
            <w:ind w:left="-45" w:right="1444"/>
            <w:jc w:val="both"/>
            <w:rPr>
              <w:rFonts w:ascii="Palatino Linotype" w:eastAsia="Palatino Linotype" w:hAnsi="Palatino Linotype" w:cs="Palatino Linotype"/>
              <w:b/>
              <w:sz w:val="22"/>
              <w:szCs w:val="22"/>
            </w:rPr>
          </w:pPr>
        </w:p>
      </w:tc>
    </w:tr>
    <w:tr w:rsidR="00483812" w14:paraId="40531684" w14:textId="77777777">
      <w:trPr>
        <w:trHeight w:val="228"/>
      </w:trPr>
      <w:tc>
        <w:tcPr>
          <w:tcW w:w="2551" w:type="dxa"/>
          <w:vAlign w:val="center"/>
        </w:tcPr>
        <w:p w14:paraId="13A0AE5C" w14:textId="77777777" w:rsidR="00483812" w:rsidRDefault="004838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vAlign w:val="center"/>
        </w:tcPr>
        <w:p w14:paraId="164DC389" w14:textId="734FD9F9" w:rsidR="00483812" w:rsidRDefault="00483812">
          <w:pPr>
            <w:ind w:left="-45" w:right="1586"/>
            <w:jc w:val="both"/>
            <w:rPr>
              <w:rFonts w:ascii="Palatino Linotype" w:eastAsia="Palatino Linotype" w:hAnsi="Palatino Linotype" w:cs="Palatino Linotype"/>
              <w:b/>
              <w:sz w:val="22"/>
              <w:szCs w:val="22"/>
            </w:rPr>
          </w:pPr>
          <w:r w:rsidRPr="00BC42F0">
            <w:rPr>
              <w:rFonts w:ascii="Palatino Linotype" w:eastAsia="Palatino Linotype" w:hAnsi="Palatino Linotype" w:cs="Palatino Linotype"/>
              <w:b/>
              <w:bCs/>
              <w:sz w:val="22"/>
              <w:szCs w:val="22"/>
            </w:rPr>
            <w:t>Sistema Municipal para el Desarrollo Integral de la Familia Municipio de Atenco</w:t>
          </w:r>
        </w:p>
      </w:tc>
    </w:tr>
    <w:tr w:rsidR="00483812" w14:paraId="37F8AA64" w14:textId="77777777">
      <w:tc>
        <w:tcPr>
          <w:tcW w:w="2551" w:type="dxa"/>
          <w:vAlign w:val="center"/>
        </w:tcPr>
        <w:p w14:paraId="4E93A530" w14:textId="77777777" w:rsidR="00483812" w:rsidRDefault="0048381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vAlign w:val="center"/>
        </w:tcPr>
        <w:p w14:paraId="1134F71C" w14:textId="77777777" w:rsidR="00483812" w:rsidRDefault="0048381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483812" w:rsidRDefault="00483812">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483812" w:rsidRDefault="0048381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2933D7"/>
    <w:multiLevelType w:val="hybridMultilevel"/>
    <w:tmpl w:val="5D2A8164"/>
    <w:lvl w:ilvl="0" w:tplc="F44A7A32">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021F2"/>
    <w:rsid w:val="00024341"/>
    <w:rsid w:val="0003095A"/>
    <w:rsid w:val="00034884"/>
    <w:rsid w:val="00047AE4"/>
    <w:rsid w:val="00094622"/>
    <w:rsid w:val="000A64FC"/>
    <w:rsid w:val="000C3A11"/>
    <w:rsid w:val="000E0B45"/>
    <w:rsid w:val="000F34E0"/>
    <w:rsid w:val="0012253F"/>
    <w:rsid w:val="00140E7E"/>
    <w:rsid w:val="001456FB"/>
    <w:rsid w:val="00163BEE"/>
    <w:rsid w:val="00170F43"/>
    <w:rsid w:val="001F080E"/>
    <w:rsid w:val="00250515"/>
    <w:rsid w:val="002555C8"/>
    <w:rsid w:val="00257BB6"/>
    <w:rsid w:val="002840BE"/>
    <w:rsid w:val="002A2CB1"/>
    <w:rsid w:val="002A4FB9"/>
    <w:rsid w:val="002A740D"/>
    <w:rsid w:val="002B44BC"/>
    <w:rsid w:val="002B4626"/>
    <w:rsid w:val="002C4D40"/>
    <w:rsid w:val="002E7152"/>
    <w:rsid w:val="0030410D"/>
    <w:rsid w:val="0030581A"/>
    <w:rsid w:val="00315E8D"/>
    <w:rsid w:val="00317BD8"/>
    <w:rsid w:val="0032234A"/>
    <w:rsid w:val="003528AC"/>
    <w:rsid w:val="0035506E"/>
    <w:rsid w:val="00363CCC"/>
    <w:rsid w:val="003B1E84"/>
    <w:rsid w:val="003B6218"/>
    <w:rsid w:val="003C0BCE"/>
    <w:rsid w:val="003D7AF1"/>
    <w:rsid w:val="003E26FF"/>
    <w:rsid w:val="00404314"/>
    <w:rsid w:val="00445A72"/>
    <w:rsid w:val="0045215E"/>
    <w:rsid w:val="0046339D"/>
    <w:rsid w:val="00483812"/>
    <w:rsid w:val="004B3F8E"/>
    <w:rsid w:val="004C1C69"/>
    <w:rsid w:val="004C71EA"/>
    <w:rsid w:val="004E10CE"/>
    <w:rsid w:val="004E462D"/>
    <w:rsid w:val="004F29C6"/>
    <w:rsid w:val="00501D06"/>
    <w:rsid w:val="00514961"/>
    <w:rsid w:val="005227B7"/>
    <w:rsid w:val="00536C2E"/>
    <w:rsid w:val="00546E0D"/>
    <w:rsid w:val="005B51FB"/>
    <w:rsid w:val="005C1B81"/>
    <w:rsid w:val="005D585B"/>
    <w:rsid w:val="005D6CD8"/>
    <w:rsid w:val="005F40DB"/>
    <w:rsid w:val="00606896"/>
    <w:rsid w:val="0064634F"/>
    <w:rsid w:val="006555BF"/>
    <w:rsid w:val="00666732"/>
    <w:rsid w:val="00683650"/>
    <w:rsid w:val="006B2EA0"/>
    <w:rsid w:val="006C7417"/>
    <w:rsid w:val="006D6304"/>
    <w:rsid w:val="006E7235"/>
    <w:rsid w:val="006F4553"/>
    <w:rsid w:val="00705F99"/>
    <w:rsid w:val="00717D13"/>
    <w:rsid w:val="00722CF3"/>
    <w:rsid w:val="007346B9"/>
    <w:rsid w:val="00751EAC"/>
    <w:rsid w:val="00770CB1"/>
    <w:rsid w:val="00782574"/>
    <w:rsid w:val="00794D2A"/>
    <w:rsid w:val="007A141F"/>
    <w:rsid w:val="007A43F7"/>
    <w:rsid w:val="007D2F3C"/>
    <w:rsid w:val="007D3156"/>
    <w:rsid w:val="007E72F3"/>
    <w:rsid w:val="00832346"/>
    <w:rsid w:val="00876B8F"/>
    <w:rsid w:val="0088669A"/>
    <w:rsid w:val="008A3CCD"/>
    <w:rsid w:val="008D2539"/>
    <w:rsid w:val="00906DC0"/>
    <w:rsid w:val="0091151D"/>
    <w:rsid w:val="009152A0"/>
    <w:rsid w:val="0092749C"/>
    <w:rsid w:val="009771F0"/>
    <w:rsid w:val="0098429E"/>
    <w:rsid w:val="009B5171"/>
    <w:rsid w:val="009C62BA"/>
    <w:rsid w:val="009D6400"/>
    <w:rsid w:val="009E0FA6"/>
    <w:rsid w:val="009F3739"/>
    <w:rsid w:val="00A3044A"/>
    <w:rsid w:val="00A356EE"/>
    <w:rsid w:val="00A358EC"/>
    <w:rsid w:val="00A410E3"/>
    <w:rsid w:val="00A531E5"/>
    <w:rsid w:val="00A7480E"/>
    <w:rsid w:val="00AB456E"/>
    <w:rsid w:val="00AE2B6D"/>
    <w:rsid w:val="00B047CC"/>
    <w:rsid w:val="00B131C8"/>
    <w:rsid w:val="00B30BD4"/>
    <w:rsid w:val="00B339DB"/>
    <w:rsid w:val="00B6094D"/>
    <w:rsid w:val="00B71D80"/>
    <w:rsid w:val="00B9311A"/>
    <w:rsid w:val="00BB4ECF"/>
    <w:rsid w:val="00BC42F0"/>
    <w:rsid w:val="00BD2FF0"/>
    <w:rsid w:val="00BF1501"/>
    <w:rsid w:val="00C24353"/>
    <w:rsid w:val="00C350BB"/>
    <w:rsid w:val="00C35D1D"/>
    <w:rsid w:val="00C546D7"/>
    <w:rsid w:val="00C649B5"/>
    <w:rsid w:val="00C943ED"/>
    <w:rsid w:val="00CD2381"/>
    <w:rsid w:val="00CD7CDC"/>
    <w:rsid w:val="00CE5983"/>
    <w:rsid w:val="00D32A76"/>
    <w:rsid w:val="00D93C15"/>
    <w:rsid w:val="00DA08F2"/>
    <w:rsid w:val="00DB1F52"/>
    <w:rsid w:val="00DC6BD7"/>
    <w:rsid w:val="00DD2259"/>
    <w:rsid w:val="00E00C7C"/>
    <w:rsid w:val="00E165FB"/>
    <w:rsid w:val="00E2006C"/>
    <w:rsid w:val="00E301E4"/>
    <w:rsid w:val="00E70AFA"/>
    <w:rsid w:val="00E70BD6"/>
    <w:rsid w:val="00EC6646"/>
    <w:rsid w:val="00ED0C1A"/>
    <w:rsid w:val="00EE1477"/>
    <w:rsid w:val="00F027D8"/>
    <w:rsid w:val="00F05135"/>
    <w:rsid w:val="00F265AA"/>
    <w:rsid w:val="00F312D9"/>
    <w:rsid w:val="00F7349A"/>
    <w:rsid w:val="00F75633"/>
    <w:rsid w:val="00FB22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AA9A5E17-CB2B-4384-8986-794BDCA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4938</Words>
  <Characters>27165</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2025-12-05T19:24:00Z</cp:lastPrinted>
  <dcterms:created xsi:type="dcterms:W3CDTF">2026-01-19T23:03:00Z</dcterms:created>
  <dcterms:modified xsi:type="dcterms:W3CDTF">2026-01-19T23:03:00Z</dcterms:modified>
</cp:coreProperties>
</file>