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3BB926EA" w:rsidR="006168E4" w:rsidRPr="00355D12" w:rsidRDefault="006168E4" w:rsidP="006F5F55">
      <w:pPr>
        <w:spacing w:before="240" w:line="360" w:lineRule="auto"/>
        <w:jc w:val="both"/>
        <w:rPr>
          <w:rFonts w:ascii="Palatino Linotype" w:eastAsia="Times New Roman" w:hAnsi="Palatino Linotype" w:cs="Arial"/>
          <w:color w:val="000000"/>
          <w:sz w:val="24"/>
          <w:szCs w:val="24"/>
          <w:lang w:eastAsia="es-MX"/>
        </w:rPr>
      </w:pPr>
      <w:r w:rsidRPr="00355D1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6461D" w:rsidRPr="00355D12">
        <w:rPr>
          <w:rFonts w:ascii="Palatino Linotype" w:eastAsia="Times New Roman" w:hAnsi="Palatino Linotype" w:cs="Arial"/>
          <w:color w:val="000000"/>
          <w:sz w:val="24"/>
          <w:szCs w:val="24"/>
          <w:lang w:eastAsia="es-MX"/>
        </w:rPr>
        <w:t>veinticinco</w:t>
      </w:r>
      <w:r w:rsidR="00FF54AF" w:rsidRPr="00355D12">
        <w:rPr>
          <w:rFonts w:ascii="Palatino Linotype" w:eastAsia="Times New Roman" w:hAnsi="Palatino Linotype" w:cs="Arial"/>
          <w:color w:val="000000"/>
          <w:sz w:val="24"/>
          <w:szCs w:val="24"/>
          <w:lang w:eastAsia="es-MX"/>
        </w:rPr>
        <w:t xml:space="preserve"> de noviembre de dos mil veinticinco. </w:t>
      </w:r>
      <w:r w:rsidR="00C50E96" w:rsidRPr="00355D12">
        <w:rPr>
          <w:rFonts w:ascii="Palatino Linotype" w:eastAsia="Times New Roman" w:hAnsi="Palatino Linotype" w:cs="Arial"/>
          <w:color w:val="000000"/>
          <w:sz w:val="24"/>
          <w:szCs w:val="24"/>
          <w:lang w:eastAsia="es-MX"/>
        </w:rPr>
        <w:t xml:space="preserve"> </w:t>
      </w:r>
      <w:r w:rsidR="002A6687" w:rsidRPr="00355D12">
        <w:rPr>
          <w:rFonts w:ascii="Palatino Linotype" w:eastAsia="Times New Roman" w:hAnsi="Palatino Linotype" w:cs="Arial"/>
          <w:color w:val="000000"/>
          <w:sz w:val="24"/>
          <w:szCs w:val="24"/>
          <w:lang w:eastAsia="es-MX"/>
        </w:rPr>
        <w:t xml:space="preserve"> </w:t>
      </w:r>
      <w:r w:rsidR="00C63A68" w:rsidRPr="00355D12">
        <w:rPr>
          <w:rFonts w:ascii="Palatino Linotype" w:eastAsia="Times New Roman" w:hAnsi="Palatino Linotype" w:cs="Arial"/>
          <w:color w:val="000000"/>
          <w:sz w:val="24"/>
          <w:szCs w:val="24"/>
          <w:lang w:eastAsia="es-MX"/>
        </w:rPr>
        <w:t xml:space="preserve"> </w:t>
      </w:r>
      <w:r w:rsidR="00927A51" w:rsidRPr="00355D12">
        <w:rPr>
          <w:rFonts w:ascii="Palatino Linotype" w:eastAsia="Times New Roman" w:hAnsi="Palatino Linotype" w:cs="Arial"/>
          <w:color w:val="000000"/>
          <w:sz w:val="24"/>
          <w:szCs w:val="24"/>
          <w:lang w:eastAsia="es-MX"/>
        </w:rPr>
        <w:t xml:space="preserve"> </w:t>
      </w:r>
      <w:r w:rsidR="000A4D4D" w:rsidRPr="00355D12">
        <w:rPr>
          <w:rFonts w:ascii="Palatino Linotype" w:eastAsia="Times New Roman" w:hAnsi="Palatino Linotype" w:cs="Arial"/>
          <w:color w:val="000000"/>
          <w:sz w:val="24"/>
          <w:szCs w:val="24"/>
          <w:lang w:eastAsia="es-MX"/>
        </w:rPr>
        <w:t xml:space="preserve"> </w:t>
      </w:r>
      <w:r w:rsidR="008963E2" w:rsidRPr="00355D12">
        <w:rPr>
          <w:rFonts w:ascii="Palatino Linotype" w:eastAsia="Times New Roman" w:hAnsi="Palatino Linotype" w:cs="Arial"/>
          <w:color w:val="000000"/>
          <w:sz w:val="24"/>
          <w:szCs w:val="24"/>
          <w:lang w:eastAsia="es-MX"/>
        </w:rPr>
        <w:t xml:space="preserve"> </w:t>
      </w:r>
      <w:r w:rsidR="00E36029" w:rsidRPr="00355D12">
        <w:rPr>
          <w:rFonts w:ascii="Palatino Linotype" w:eastAsia="Times New Roman" w:hAnsi="Palatino Linotype" w:cs="Arial"/>
          <w:color w:val="000000"/>
          <w:sz w:val="24"/>
          <w:szCs w:val="24"/>
          <w:lang w:eastAsia="es-MX"/>
        </w:rPr>
        <w:t xml:space="preserve"> </w:t>
      </w:r>
      <w:r w:rsidR="00BE673B" w:rsidRPr="00355D12">
        <w:rPr>
          <w:rFonts w:ascii="Palatino Linotype" w:eastAsia="Times New Roman" w:hAnsi="Palatino Linotype" w:cs="Arial"/>
          <w:color w:val="000000"/>
          <w:sz w:val="24"/>
          <w:szCs w:val="24"/>
          <w:lang w:eastAsia="es-MX"/>
        </w:rPr>
        <w:t xml:space="preserve"> </w:t>
      </w:r>
      <w:r w:rsidR="00FB6049" w:rsidRPr="00355D12">
        <w:rPr>
          <w:rFonts w:ascii="Palatino Linotype" w:eastAsia="Times New Roman" w:hAnsi="Palatino Linotype" w:cs="Arial"/>
          <w:color w:val="000000"/>
          <w:sz w:val="24"/>
          <w:szCs w:val="24"/>
          <w:lang w:eastAsia="es-MX"/>
        </w:rPr>
        <w:t xml:space="preserve"> </w:t>
      </w:r>
      <w:r w:rsidR="00817A08" w:rsidRPr="00355D12">
        <w:rPr>
          <w:rFonts w:ascii="Palatino Linotype" w:eastAsia="Times New Roman" w:hAnsi="Palatino Linotype" w:cs="Arial"/>
          <w:color w:val="000000"/>
          <w:sz w:val="24"/>
          <w:szCs w:val="24"/>
          <w:lang w:eastAsia="es-MX"/>
        </w:rPr>
        <w:t xml:space="preserve"> </w:t>
      </w:r>
    </w:p>
    <w:p w14:paraId="1D55366D" w14:textId="07E8E330" w:rsidR="00FF54AF" w:rsidRPr="00355D12" w:rsidRDefault="006168E4" w:rsidP="006F5F55">
      <w:pPr>
        <w:tabs>
          <w:tab w:val="left" w:pos="1701"/>
        </w:tabs>
        <w:spacing w:before="240" w:line="360" w:lineRule="auto"/>
        <w:jc w:val="both"/>
        <w:rPr>
          <w:rFonts w:ascii="Palatino Linotype" w:hAnsi="Palatino Linotype" w:cs="Arial"/>
          <w:sz w:val="24"/>
        </w:rPr>
      </w:pPr>
      <w:r w:rsidRPr="00355D12">
        <w:rPr>
          <w:rFonts w:ascii="Palatino Linotype" w:hAnsi="Palatino Linotype" w:cs="Arial"/>
          <w:b/>
          <w:sz w:val="24"/>
        </w:rPr>
        <w:t>VISTO</w:t>
      </w:r>
      <w:r w:rsidRPr="00355D12">
        <w:rPr>
          <w:rFonts w:ascii="Palatino Linotype" w:hAnsi="Palatino Linotype" w:cs="Arial"/>
          <w:sz w:val="24"/>
        </w:rPr>
        <w:t xml:space="preserve"> el expediente electrónico formado con motivo del recurso de revisión número </w:t>
      </w:r>
      <w:r w:rsidR="00FF54AF" w:rsidRPr="00355D12">
        <w:rPr>
          <w:rFonts w:ascii="Palatino Linotype" w:hAnsi="Palatino Linotype" w:cs="Arial"/>
          <w:b/>
          <w:bCs/>
          <w:sz w:val="24"/>
        </w:rPr>
        <w:t>12090</w:t>
      </w:r>
      <w:r w:rsidR="002A6687" w:rsidRPr="00355D12">
        <w:rPr>
          <w:rFonts w:ascii="Palatino Linotype" w:hAnsi="Palatino Linotype" w:cs="Arial"/>
          <w:b/>
          <w:bCs/>
          <w:sz w:val="24"/>
        </w:rPr>
        <w:t xml:space="preserve">/INFOEM/IP/RR/2025, </w:t>
      </w:r>
      <w:r w:rsidR="002A6687" w:rsidRPr="00355D12">
        <w:rPr>
          <w:rFonts w:ascii="Palatino Linotype" w:hAnsi="Palatino Linotype" w:cs="Arial"/>
          <w:sz w:val="24"/>
        </w:rPr>
        <w:t>interpuesto por</w:t>
      </w:r>
      <w:r w:rsidR="00C50E96" w:rsidRPr="00355D12">
        <w:rPr>
          <w:rFonts w:ascii="Palatino Linotype" w:hAnsi="Palatino Linotype" w:cs="Arial"/>
          <w:sz w:val="24"/>
        </w:rPr>
        <w:t xml:space="preserve"> </w:t>
      </w:r>
      <w:r w:rsidR="00FF54AF" w:rsidRPr="00355D12">
        <w:rPr>
          <w:rFonts w:ascii="Palatino Linotype" w:hAnsi="Palatino Linotype" w:cs="Arial"/>
          <w:sz w:val="24"/>
        </w:rPr>
        <w:t xml:space="preserve">el </w:t>
      </w:r>
      <w:r w:rsidR="00FF54AF" w:rsidRPr="00355D12">
        <w:rPr>
          <w:rFonts w:ascii="Palatino Linotype" w:hAnsi="Palatino Linotype" w:cs="Arial"/>
          <w:b/>
          <w:bCs/>
          <w:sz w:val="24"/>
        </w:rPr>
        <w:t xml:space="preserve">C. </w:t>
      </w:r>
      <w:r w:rsidR="00A6004B">
        <w:rPr>
          <w:rFonts w:ascii="Palatino Linotype" w:hAnsi="Palatino Linotype" w:cs="Arial"/>
          <w:b/>
          <w:bCs/>
          <w:sz w:val="24"/>
        </w:rPr>
        <w:t>XXXXXXXXXXXXXXXX</w:t>
      </w:r>
      <w:bookmarkStart w:id="0" w:name="_GoBack"/>
      <w:bookmarkEnd w:id="0"/>
      <w:r w:rsidR="00FF54AF" w:rsidRPr="00355D12">
        <w:rPr>
          <w:rFonts w:ascii="Palatino Linotype" w:hAnsi="Palatino Linotype" w:cs="Arial"/>
          <w:b/>
          <w:bCs/>
          <w:sz w:val="24"/>
        </w:rPr>
        <w:t xml:space="preserve">, </w:t>
      </w:r>
      <w:r w:rsidR="00FF54AF" w:rsidRPr="00355D12">
        <w:rPr>
          <w:rFonts w:ascii="Palatino Linotype" w:hAnsi="Palatino Linotype" w:cs="Arial"/>
          <w:sz w:val="24"/>
        </w:rPr>
        <w:t xml:space="preserve">en lo sucesivo </w:t>
      </w:r>
      <w:r w:rsidR="00FF54AF" w:rsidRPr="00355D12">
        <w:rPr>
          <w:rFonts w:ascii="Palatino Linotype" w:hAnsi="Palatino Linotype" w:cs="Arial"/>
          <w:b/>
          <w:bCs/>
          <w:sz w:val="24"/>
        </w:rPr>
        <w:t xml:space="preserve">El Recurrente, </w:t>
      </w:r>
      <w:r w:rsidR="00FF54AF" w:rsidRPr="00355D12">
        <w:rPr>
          <w:rFonts w:ascii="Palatino Linotype" w:hAnsi="Palatino Linotype" w:cs="Arial"/>
          <w:sz w:val="24"/>
        </w:rPr>
        <w:t xml:space="preserve">en contra de la respuesta del </w:t>
      </w:r>
      <w:r w:rsidR="00FF54AF" w:rsidRPr="00355D12">
        <w:rPr>
          <w:rFonts w:ascii="Palatino Linotype" w:hAnsi="Palatino Linotype" w:cs="Arial"/>
          <w:b/>
          <w:bCs/>
          <w:sz w:val="24"/>
        </w:rPr>
        <w:t xml:space="preserve">Ayuntamiento de </w:t>
      </w:r>
      <w:proofErr w:type="spellStart"/>
      <w:r w:rsidR="00FF54AF" w:rsidRPr="00355D12">
        <w:rPr>
          <w:rFonts w:ascii="Palatino Linotype" w:hAnsi="Palatino Linotype" w:cs="Arial"/>
          <w:b/>
          <w:bCs/>
          <w:sz w:val="24"/>
        </w:rPr>
        <w:t>Capulhuac</w:t>
      </w:r>
      <w:proofErr w:type="spellEnd"/>
      <w:r w:rsidR="00FF54AF" w:rsidRPr="00355D12">
        <w:rPr>
          <w:rFonts w:ascii="Palatino Linotype" w:hAnsi="Palatino Linotype" w:cs="Arial"/>
          <w:b/>
          <w:bCs/>
          <w:sz w:val="24"/>
        </w:rPr>
        <w:t xml:space="preserve">, </w:t>
      </w:r>
      <w:r w:rsidR="00FF54AF" w:rsidRPr="00355D12">
        <w:rPr>
          <w:rFonts w:ascii="Palatino Linotype" w:hAnsi="Palatino Linotype" w:cs="Arial"/>
          <w:sz w:val="24"/>
        </w:rPr>
        <w:t xml:space="preserve">en lo subsecuente </w:t>
      </w:r>
      <w:r w:rsidR="00FF54AF" w:rsidRPr="00355D12">
        <w:rPr>
          <w:rFonts w:ascii="Palatino Linotype" w:hAnsi="Palatino Linotype" w:cs="Arial"/>
          <w:b/>
          <w:bCs/>
          <w:sz w:val="24"/>
        </w:rPr>
        <w:t xml:space="preserve">El Sujeto Obligado, </w:t>
      </w:r>
      <w:r w:rsidR="00FF54AF" w:rsidRPr="00355D12">
        <w:rPr>
          <w:rFonts w:ascii="Palatino Linotype" w:hAnsi="Palatino Linotype" w:cs="Arial"/>
          <w:sz w:val="24"/>
        </w:rPr>
        <w:t xml:space="preserve">se procede a dictar la presente resolución. </w:t>
      </w:r>
    </w:p>
    <w:p w14:paraId="7E303BA6" w14:textId="77777777" w:rsidR="00FF54AF" w:rsidRPr="00355D12" w:rsidRDefault="00FF54AF" w:rsidP="006F5F55">
      <w:pPr>
        <w:tabs>
          <w:tab w:val="left" w:pos="1701"/>
        </w:tabs>
        <w:spacing w:before="240" w:line="360" w:lineRule="auto"/>
        <w:jc w:val="both"/>
        <w:rPr>
          <w:rFonts w:ascii="Palatino Linotype" w:hAnsi="Palatino Linotype" w:cs="Arial"/>
          <w:sz w:val="24"/>
        </w:rPr>
      </w:pPr>
    </w:p>
    <w:p w14:paraId="39A8E1A3" w14:textId="4BD243AC" w:rsidR="006168E4" w:rsidRPr="00355D12" w:rsidRDefault="006168E4" w:rsidP="00844569">
      <w:pPr>
        <w:spacing w:before="240" w:after="240" w:line="360" w:lineRule="auto"/>
        <w:jc w:val="center"/>
        <w:rPr>
          <w:rFonts w:ascii="Palatino Linotype" w:hAnsi="Palatino Linotype"/>
          <w:b/>
          <w:sz w:val="28"/>
        </w:rPr>
      </w:pPr>
      <w:r w:rsidRPr="00355D12">
        <w:rPr>
          <w:rFonts w:ascii="Palatino Linotype" w:hAnsi="Palatino Linotype"/>
          <w:b/>
          <w:sz w:val="28"/>
        </w:rPr>
        <w:t>A N T E C E D E N T E S   D E L   A S U N T O</w:t>
      </w:r>
    </w:p>
    <w:p w14:paraId="1EE5021C" w14:textId="77777777" w:rsidR="006168E4" w:rsidRPr="00355D12" w:rsidRDefault="006168E4" w:rsidP="00844569">
      <w:pPr>
        <w:spacing w:before="240" w:after="240" w:line="360" w:lineRule="auto"/>
        <w:jc w:val="both"/>
        <w:rPr>
          <w:rFonts w:ascii="Palatino Linotype" w:hAnsi="Palatino Linotype"/>
        </w:rPr>
      </w:pPr>
      <w:r w:rsidRPr="00355D12">
        <w:rPr>
          <w:rFonts w:ascii="Palatino Linotype" w:hAnsi="Palatino Linotype" w:cs="Arial"/>
          <w:b/>
          <w:sz w:val="28"/>
        </w:rPr>
        <w:t>PRIMERO.</w:t>
      </w:r>
      <w:r w:rsidRPr="00355D12">
        <w:rPr>
          <w:rFonts w:ascii="Palatino Linotype" w:hAnsi="Palatino Linotype" w:cs="Arial"/>
        </w:rPr>
        <w:t xml:space="preserve"> </w:t>
      </w:r>
      <w:r w:rsidRPr="00355D12">
        <w:rPr>
          <w:rFonts w:ascii="Palatino Linotype" w:hAnsi="Palatino Linotype"/>
          <w:b/>
          <w:sz w:val="28"/>
          <w:szCs w:val="28"/>
        </w:rPr>
        <w:t>De la Solicitud de Información.</w:t>
      </w:r>
    </w:p>
    <w:p w14:paraId="3641646D" w14:textId="2A38FA09" w:rsidR="00FF54AF" w:rsidRPr="00355D12" w:rsidRDefault="006168E4" w:rsidP="00844569">
      <w:pPr>
        <w:spacing w:before="240" w:line="360" w:lineRule="auto"/>
        <w:jc w:val="both"/>
        <w:rPr>
          <w:rFonts w:ascii="Palatino Linotype" w:hAnsi="Palatino Linotype" w:cs="Arial"/>
          <w:sz w:val="24"/>
        </w:rPr>
      </w:pPr>
      <w:r w:rsidRPr="00355D12">
        <w:rPr>
          <w:rFonts w:ascii="Palatino Linotype" w:hAnsi="Palatino Linotype" w:cs="Arial"/>
          <w:sz w:val="24"/>
        </w:rPr>
        <w:t xml:space="preserve">Con </w:t>
      </w:r>
      <w:r w:rsidR="00C03F20" w:rsidRPr="00355D12">
        <w:rPr>
          <w:rFonts w:ascii="Palatino Linotype" w:hAnsi="Palatino Linotype" w:cs="Arial"/>
          <w:sz w:val="24"/>
        </w:rPr>
        <w:t>fecha</w:t>
      </w:r>
      <w:r w:rsidR="00BF0B4D" w:rsidRPr="00355D12">
        <w:rPr>
          <w:rFonts w:ascii="Palatino Linotype" w:hAnsi="Palatino Linotype" w:cs="Arial"/>
          <w:sz w:val="24"/>
        </w:rPr>
        <w:t xml:space="preserve"> </w:t>
      </w:r>
      <w:r w:rsidR="00FF54AF" w:rsidRPr="00355D12">
        <w:rPr>
          <w:rFonts w:ascii="Palatino Linotype" w:hAnsi="Palatino Linotype" w:cs="Arial"/>
          <w:b/>
          <w:bCs/>
          <w:sz w:val="24"/>
        </w:rPr>
        <w:t xml:space="preserve">dieciséis de octubre de dos mil veinticinco, El Recurrente </w:t>
      </w:r>
      <w:r w:rsidR="002A6687" w:rsidRPr="00355D12">
        <w:rPr>
          <w:rFonts w:ascii="Palatino Linotype" w:hAnsi="Palatino Linotype" w:cs="Arial"/>
          <w:sz w:val="24"/>
        </w:rPr>
        <w:t>presentó a través del Sistema de Acceso a la Información Mexiquense (</w:t>
      </w:r>
      <w:r w:rsidR="002A6687" w:rsidRPr="00355D12">
        <w:rPr>
          <w:rFonts w:ascii="Palatino Linotype" w:hAnsi="Palatino Linotype" w:cs="Arial"/>
          <w:b/>
          <w:sz w:val="24"/>
        </w:rPr>
        <w:t>SAIMEX)</w:t>
      </w:r>
      <w:r w:rsidR="002A6687" w:rsidRPr="00355D12">
        <w:rPr>
          <w:rFonts w:ascii="Palatino Linotype" w:hAnsi="Palatino Linotype" w:cs="Arial"/>
          <w:sz w:val="24"/>
        </w:rPr>
        <w:t xml:space="preserve"> ante </w:t>
      </w:r>
      <w:r w:rsidR="002A6687" w:rsidRPr="00355D12">
        <w:rPr>
          <w:rFonts w:ascii="Palatino Linotype" w:hAnsi="Palatino Linotype" w:cs="Arial"/>
          <w:b/>
          <w:sz w:val="24"/>
        </w:rPr>
        <w:t>El Sujeto Obligado</w:t>
      </w:r>
      <w:r w:rsidR="002A6687" w:rsidRPr="00355D12">
        <w:rPr>
          <w:rFonts w:ascii="Palatino Linotype" w:hAnsi="Palatino Linotype" w:cs="Arial"/>
          <w:sz w:val="24"/>
        </w:rPr>
        <w:t xml:space="preserve">, solicitud de acceso a la información pública, registrada bajo el número de expediente </w:t>
      </w:r>
      <w:r w:rsidR="00FF54AF" w:rsidRPr="00355D12">
        <w:rPr>
          <w:rFonts w:ascii="Palatino Linotype" w:hAnsi="Palatino Linotype" w:cs="Arial"/>
          <w:b/>
          <w:bCs/>
          <w:sz w:val="24"/>
        </w:rPr>
        <w:t xml:space="preserve">00225/CAPULHUA/IP/2025, </w:t>
      </w:r>
      <w:r w:rsidR="00FF54AF" w:rsidRPr="00355D12">
        <w:rPr>
          <w:rFonts w:ascii="Palatino Linotype" w:hAnsi="Palatino Linotype" w:cs="Arial"/>
          <w:sz w:val="24"/>
        </w:rPr>
        <w:t>mediante la cual solicitó información en el tenor siguiente:</w:t>
      </w:r>
    </w:p>
    <w:p w14:paraId="4792BAEC" w14:textId="0818FEC6" w:rsidR="00FF54AF" w:rsidRPr="00355D12" w:rsidRDefault="00FF54AF" w:rsidP="00FF54AF">
      <w:pPr>
        <w:pStyle w:val="Citas"/>
        <w:rPr>
          <w:b/>
          <w:bCs/>
        </w:rPr>
      </w:pPr>
      <w:r w:rsidRPr="00355D12">
        <w:t xml:space="preserve">“Quiero información sobre el municipio de </w:t>
      </w:r>
      <w:proofErr w:type="spellStart"/>
      <w:r w:rsidRPr="00355D12">
        <w:t>Capulhuac</w:t>
      </w:r>
      <w:proofErr w:type="spellEnd"/>
      <w:r w:rsidRPr="00355D12">
        <w:t xml:space="preserve"> de </w:t>
      </w:r>
      <w:proofErr w:type="spellStart"/>
      <w:r w:rsidRPr="00355D12">
        <w:t>Mirafuentes</w:t>
      </w:r>
      <w:proofErr w:type="spellEnd"/>
      <w:r w:rsidRPr="00355D12">
        <w:t xml:space="preserve"> como se </w:t>
      </w:r>
      <w:proofErr w:type="spellStart"/>
      <w:r w:rsidRPr="00355D12">
        <w:t>creo</w:t>
      </w:r>
      <w:proofErr w:type="spellEnd"/>
      <w:r w:rsidRPr="00355D12">
        <w:t xml:space="preserve"> </w:t>
      </w:r>
      <w:proofErr w:type="spellStart"/>
      <w:proofErr w:type="gramStart"/>
      <w:r w:rsidRPr="00355D12">
        <w:t>etc</w:t>
      </w:r>
      <w:proofErr w:type="spellEnd"/>
      <w:proofErr w:type="gramEnd"/>
      <w:r w:rsidRPr="00355D12">
        <w:t xml:space="preserve">” </w:t>
      </w:r>
      <w:r w:rsidRPr="00355D12">
        <w:rPr>
          <w:b/>
          <w:bCs/>
        </w:rPr>
        <w:t>(Sic)</w:t>
      </w:r>
    </w:p>
    <w:p w14:paraId="73DDF68A" w14:textId="5E7DB1EA" w:rsidR="00F4623D" w:rsidRPr="00355D12"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355D12">
        <w:rPr>
          <w:rFonts w:ascii="Palatino Linotype" w:eastAsia="Times New Roman" w:hAnsi="Palatino Linotype" w:cs="Times New Roman"/>
          <w:b/>
          <w:sz w:val="24"/>
          <w:szCs w:val="24"/>
          <w:lang w:val="es-ES_tradnl" w:eastAsia="es-ES"/>
        </w:rPr>
        <w:t>Modalidad de entrega:</w:t>
      </w:r>
      <w:r w:rsidRPr="00355D12">
        <w:rPr>
          <w:rFonts w:ascii="Palatino Linotype" w:eastAsia="Times New Roman" w:hAnsi="Palatino Linotype" w:cs="Times New Roman"/>
          <w:sz w:val="24"/>
          <w:szCs w:val="24"/>
          <w:lang w:val="es-ES_tradnl" w:eastAsia="es-ES"/>
        </w:rPr>
        <w:t xml:space="preserve"> </w:t>
      </w:r>
      <w:r w:rsidR="0018726A" w:rsidRPr="00355D12">
        <w:rPr>
          <w:rFonts w:ascii="Palatino Linotype" w:eastAsia="Times New Roman" w:hAnsi="Palatino Linotype" w:cs="Times New Roman"/>
          <w:sz w:val="24"/>
          <w:szCs w:val="24"/>
          <w:lang w:val="es-ES_tradnl" w:eastAsia="es-ES"/>
        </w:rPr>
        <w:t xml:space="preserve">A </w:t>
      </w:r>
      <w:r w:rsidR="00F4623D" w:rsidRPr="00355D12">
        <w:rPr>
          <w:rFonts w:ascii="Palatino Linotype" w:eastAsia="Times New Roman" w:hAnsi="Palatino Linotype" w:cs="Times New Roman"/>
          <w:sz w:val="24"/>
          <w:szCs w:val="24"/>
          <w:lang w:val="es-ES_tradnl" w:eastAsia="es-ES"/>
        </w:rPr>
        <w:t xml:space="preserve">través del SAIMEX. </w:t>
      </w:r>
    </w:p>
    <w:p w14:paraId="6FE94BA6" w14:textId="77777777" w:rsidR="00C63A68" w:rsidRPr="00355D12" w:rsidRDefault="00C63A68" w:rsidP="00844569">
      <w:pPr>
        <w:spacing w:before="240" w:line="360" w:lineRule="auto"/>
        <w:jc w:val="both"/>
        <w:rPr>
          <w:rFonts w:ascii="Palatino Linotype" w:hAnsi="Palatino Linotype" w:cs="Arial"/>
          <w:b/>
          <w:sz w:val="28"/>
        </w:rPr>
      </w:pPr>
    </w:p>
    <w:p w14:paraId="1B7C3267" w14:textId="32DAB2D0" w:rsidR="006168E4" w:rsidRPr="00355D12" w:rsidRDefault="002A6687" w:rsidP="00844569">
      <w:pPr>
        <w:spacing w:before="240" w:line="360" w:lineRule="auto"/>
        <w:jc w:val="both"/>
        <w:rPr>
          <w:rFonts w:ascii="Palatino Linotype" w:hAnsi="Palatino Linotype" w:cs="Arial"/>
          <w:b/>
          <w:sz w:val="28"/>
        </w:rPr>
      </w:pPr>
      <w:r w:rsidRPr="00355D12">
        <w:rPr>
          <w:rFonts w:ascii="Palatino Linotype" w:hAnsi="Palatino Linotype" w:cs="Arial"/>
          <w:b/>
          <w:sz w:val="28"/>
        </w:rPr>
        <w:lastRenderedPageBreak/>
        <w:t>SEGUNDO</w:t>
      </w:r>
      <w:r w:rsidR="006168E4" w:rsidRPr="00355D12">
        <w:rPr>
          <w:rFonts w:ascii="Palatino Linotype" w:hAnsi="Palatino Linotype" w:cs="Arial"/>
          <w:b/>
          <w:sz w:val="28"/>
        </w:rPr>
        <w:t xml:space="preserve">. </w:t>
      </w:r>
      <w:r w:rsidR="006168E4" w:rsidRPr="00355D12">
        <w:rPr>
          <w:rFonts w:ascii="Palatino Linotype" w:hAnsi="Palatino Linotype" w:cs="Arial"/>
          <w:b/>
          <w:sz w:val="28"/>
          <w:szCs w:val="20"/>
        </w:rPr>
        <w:t>De la respuesta del Sujeto Obligado.</w:t>
      </w:r>
    </w:p>
    <w:p w14:paraId="130B6C1D" w14:textId="74586E38" w:rsidR="00FF54AF" w:rsidRPr="00355D12" w:rsidRDefault="006168E4" w:rsidP="00045379">
      <w:pPr>
        <w:spacing w:before="240" w:line="360" w:lineRule="auto"/>
        <w:jc w:val="both"/>
        <w:rPr>
          <w:rFonts w:ascii="Palatino Linotype" w:hAnsi="Palatino Linotype" w:cs="Arial"/>
          <w:sz w:val="24"/>
          <w:szCs w:val="24"/>
        </w:rPr>
      </w:pPr>
      <w:r w:rsidRPr="00355D12">
        <w:rPr>
          <w:rFonts w:ascii="Palatino Linotype" w:hAnsi="Palatino Linotype" w:cs="Arial"/>
          <w:sz w:val="24"/>
          <w:szCs w:val="24"/>
        </w:rPr>
        <w:t xml:space="preserve">En el expediente electrónico </w:t>
      </w:r>
      <w:r w:rsidRPr="00355D12">
        <w:rPr>
          <w:rFonts w:ascii="Palatino Linotype" w:hAnsi="Palatino Linotype" w:cs="Arial"/>
          <w:b/>
          <w:sz w:val="24"/>
          <w:szCs w:val="24"/>
        </w:rPr>
        <w:t>SAIMEX</w:t>
      </w:r>
      <w:r w:rsidRPr="00355D12">
        <w:rPr>
          <w:rFonts w:ascii="Palatino Linotype" w:hAnsi="Palatino Linotype" w:cs="Arial"/>
          <w:sz w:val="24"/>
          <w:szCs w:val="24"/>
        </w:rPr>
        <w:t>, se aprecia que el</w:t>
      </w:r>
      <w:r w:rsidR="00C50E96" w:rsidRPr="00355D12">
        <w:rPr>
          <w:rFonts w:ascii="Palatino Linotype" w:hAnsi="Palatino Linotype" w:cs="Arial"/>
          <w:sz w:val="24"/>
          <w:szCs w:val="24"/>
        </w:rPr>
        <w:t xml:space="preserve"> </w:t>
      </w:r>
      <w:r w:rsidR="00FF54AF" w:rsidRPr="00355D12">
        <w:rPr>
          <w:rFonts w:ascii="Palatino Linotype" w:hAnsi="Palatino Linotype" w:cs="Arial"/>
          <w:b/>
          <w:bCs/>
          <w:sz w:val="24"/>
          <w:szCs w:val="24"/>
        </w:rPr>
        <w:t xml:space="preserve">diecisiete de octubre de dos mil veinticinco, El Sujeto Obligado </w:t>
      </w:r>
      <w:r w:rsidR="00FF54AF" w:rsidRPr="00355D12">
        <w:rPr>
          <w:rFonts w:ascii="Palatino Linotype" w:hAnsi="Palatino Linotype" w:cs="Arial"/>
          <w:sz w:val="24"/>
          <w:szCs w:val="24"/>
        </w:rPr>
        <w:t xml:space="preserve">dio respuesta a la solicitud de información </w:t>
      </w:r>
      <w:r w:rsidR="00FF54AF" w:rsidRPr="00355D12">
        <w:rPr>
          <w:rFonts w:ascii="Palatino Linotype" w:hAnsi="Palatino Linotype" w:cs="Arial"/>
          <w:b/>
          <w:bCs/>
          <w:sz w:val="24"/>
          <w:szCs w:val="24"/>
        </w:rPr>
        <w:t xml:space="preserve">00225/CAPULHUA/IP/2025, </w:t>
      </w:r>
      <w:r w:rsidR="00FF54AF" w:rsidRPr="00355D12">
        <w:rPr>
          <w:rFonts w:ascii="Palatino Linotype" w:hAnsi="Palatino Linotype" w:cs="Arial"/>
          <w:sz w:val="24"/>
          <w:szCs w:val="24"/>
        </w:rPr>
        <w:t>resulta de nuestro interés lo siguiente:</w:t>
      </w:r>
    </w:p>
    <w:p w14:paraId="2CABB2B3" w14:textId="01CA37FB" w:rsidR="00FF54AF" w:rsidRPr="00355D12" w:rsidRDefault="00FF54AF" w:rsidP="00FF54AF">
      <w:pPr>
        <w:pStyle w:val="Citas"/>
        <w:rPr>
          <w:b/>
          <w:bCs/>
        </w:rPr>
      </w:pPr>
      <w:r w:rsidRPr="00355D12">
        <w:t xml:space="preserve">“ </w:t>
      </w:r>
      <w:hyperlink r:id="rId8" w:history="1">
        <w:r w:rsidRPr="00355D12">
          <w:rPr>
            <w:rStyle w:val="Hipervnculo"/>
          </w:rPr>
          <w:t>https://capulhuac.edomex.gob.mx/resena-historica</w:t>
        </w:r>
      </w:hyperlink>
      <w:r w:rsidRPr="00355D12">
        <w:t xml:space="preserve">  Reseña histórica </w:t>
      </w:r>
      <w:proofErr w:type="spellStart"/>
      <w:r w:rsidRPr="00355D12">
        <w:t>Capulhuac</w:t>
      </w:r>
      <w:proofErr w:type="spellEnd"/>
      <w:r w:rsidRPr="00355D12">
        <w:t xml:space="preserve"> en la época prehispánica, se hallaba en el límite oriental de la provincia </w:t>
      </w:r>
      <w:proofErr w:type="spellStart"/>
      <w:r w:rsidRPr="00355D12">
        <w:t>matlazinca</w:t>
      </w:r>
      <w:proofErr w:type="spellEnd"/>
      <w:r w:rsidRPr="00355D12">
        <w:t xml:space="preserve"> colindando con los pueblos otomíes dispersos en la falda poniente de la serranía, hoy llamada de Las Cruces. El nombre otomí de </w:t>
      </w:r>
      <w:proofErr w:type="spellStart"/>
      <w:r w:rsidRPr="00355D12">
        <w:t>Capulhuac</w:t>
      </w:r>
      <w:proofErr w:type="spellEnd"/>
      <w:r w:rsidRPr="00355D12">
        <w:t xml:space="preserve"> era </w:t>
      </w:r>
      <w:proofErr w:type="spellStart"/>
      <w:r w:rsidRPr="00355D12">
        <w:t>Nthezee</w:t>
      </w:r>
      <w:proofErr w:type="spellEnd"/>
      <w:r w:rsidRPr="00355D12">
        <w:t xml:space="preserve">, lo que indica su antigüedad. Este pueblo, de origen </w:t>
      </w:r>
      <w:proofErr w:type="spellStart"/>
      <w:r w:rsidRPr="00355D12">
        <w:t>matlazinca</w:t>
      </w:r>
      <w:proofErr w:type="spellEnd"/>
      <w:r w:rsidRPr="00355D12">
        <w:t xml:space="preserve">, como la mayoría de la región fue conquistado por </w:t>
      </w:r>
      <w:proofErr w:type="spellStart"/>
      <w:r w:rsidRPr="00355D12">
        <w:t>Axayácatl</w:t>
      </w:r>
      <w:proofErr w:type="spellEnd"/>
      <w:r w:rsidRPr="00355D12">
        <w:t xml:space="preserve">, quedó sujeto a los aztecas hasta la llegada de los conquistadores. En el Archivo General de la Nación se ha localizado un testimonio de una merced de sitio para ganado mayor, concedida por don Luis de Velasco al pueblo de San Bartolomé </w:t>
      </w:r>
      <w:proofErr w:type="spellStart"/>
      <w:r w:rsidRPr="00355D12">
        <w:t>Capulhuac</w:t>
      </w:r>
      <w:proofErr w:type="spellEnd"/>
      <w:r w:rsidRPr="00355D12">
        <w:t xml:space="preserve"> para su fundación y congregación el 25 de abril de 1557. Así es segura la ubicación de la cabecera municipal de </w:t>
      </w:r>
      <w:proofErr w:type="spellStart"/>
      <w:r w:rsidRPr="00355D12">
        <w:t>Capulhuac</w:t>
      </w:r>
      <w:proofErr w:type="spellEnd"/>
      <w:r w:rsidRPr="00355D12">
        <w:t xml:space="preserve"> que desde esa fecha estaba donde hoy se encuentra </w:t>
      </w:r>
      <w:proofErr w:type="spellStart"/>
      <w:r w:rsidRPr="00355D12">
        <w:t>Capulhuac</w:t>
      </w:r>
      <w:proofErr w:type="spellEnd"/>
      <w:r w:rsidRPr="00355D12">
        <w:t xml:space="preserve">, que prosperó tanto como su vecino Santiago Tianguistenco; debe tomarse en cuenta que la relativa prosperidad de los habitantes de este municipio en la época colonial consistía en su dedicación al comercio. Viajaban los comerciantes de </w:t>
      </w:r>
      <w:proofErr w:type="spellStart"/>
      <w:r w:rsidRPr="00355D12">
        <w:t>Capulhuac</w:t>
      </w:r>
      <w:proofErr w:type="spellEnd"/>
      <w:r w:rsidRPr="00355D12">
        <w:t xml:space="preserve"> con sus recuas hasta Guatemala, llevando principalmente rebozos y otras mercancías, regresaban trayendo pescado y frutas de la tierra caliente. La iglesia de San Bartolomé </w:t>
      </w:r>
      <w:proofErr w:type="spellStart"/>
      <w:r w:rsidRPr="00355D12">
        <w:t>Capulhuac</w:t>
      </w:r>
      <w:proofErr w:type="spellEnd"/>
      <w:r w:rsidRPr="00355D12">
        <w:t xml:space="preserve">, fundada en el siglo XVI por los agustinos de </w:t>
      </w:r>
      <w:proofErr w:type="spellStart"/>
      <w:r w:rsidRPr="00355D12">
        <w:t>Ocuilan</w:t>
      </w:r>
      <w:proofErr w:type="spellEnd"/>
      <w:r w:rsidRPr="00355D12">
        <w:t xml:space="preserve"> y Malinalco, estuvo a su cargo como visita hasta la segunda década del siglo XVII. El edificio parroquial expresa las diferentes épocas de su construcción: partes construidas en el siglo XVII; mientras que la cúpula, la torre del ábside corresponden a mediados del XVIII. En 1736 </w:t>
      </w:r>
      <w:proofErr w:type="spellStart"/>
      <w:r w:rsidRPr="00355D12">
        <w:t>Capulhuac</w:t>
      </w:r>
      <w:proofErr w:type="spellEnd"/>
      <w:r w:rsidRPr="00355D12">
        <w:t xml:space="preserve"> seguía siendo Encomienda </w:t>
      </w:r>
      <w:proofErr w:type="gramStart"/>
      <w:r w:rsidRPr="00355D12">
        <w:t>de los</w:t>
      </w:r>
      <w:proofErr w:type="gramEnd"/>
      <w:r w:rsidRPr="00355D12">
        <w:t xml:space="preserve"> Cano Moctezuma, que descendían por el lado </w:t>
      </w:r>
      <w:r w:rsidRPr="00355D12">
        <w:lastRenderedPageBreak/>
        <w:t xml:space="preserve">materno de doña Isabel </w:t>
      </w:r>
      <w:proofErr w:type="spellStart"/>
      <w:r w:rsidRPr="00355D12">
        <w:t>Tecuipach</w:t>
      </w:r>
      <w:proofErr w:type="spellEnd"/>
      <w:r w:rsidRPr="00355D12">
        <w:t xml:space="preserve"> Moctezuma esposa, entre otros, de Cuauhtémoc. Todavía el 20 de julio de 1736, se ordenó al alcalde mayor de provincia de Metepec, obligar a los tributarios de </w:t>
      </w:r>
      <w:proofErr w:type="spellStart"/>
      <w:r w:rsidRPr="00355D12">
        <w:t>Capulhuac</w:t>
      </w:r>
      <w:proofErr w:type="spellEnd"/>
      <w:r w:rsidRPr="00355D12">
        <w:t xml:space="preserve"> al pago a su encomendero don José </w:t>
      </w:r>
      <w:proofErr w:type="spellStart"/>
      <w:r w:rsidRPr="00355D12">
        <w:t>Audelo</w:t>
      </w:r>
      <w:proofErr w:type="spellEnd"/>
      <w:r w:rsidRPr="00355D12">
        <w:t xml:space="preserve"> Cano Moctezuma. Don Miguel Hidalgo pasó por la cabecera procedente del pueblo vecino, Santiago Tianguistenco, rumbo al Monte de las Cruces. </w:t>
      </w:r>
      <w:proofErr w:type="spellStart"/>
      <w:r w:rsidRPr="00355D12">
        <w:t>Capulhuac</w:t>
      </w:r>
      <w:proofErr w:type="spellEnd"/>
      <w:r w:rsidRPr="00355D12">
        <w:t xml:space="preserve"> figura como municipalidad desde el 29 de junio de 1827. La Legislatura del Estado de México elevó a esta población al rango de villa en mayo de 1880, designándolo </w:t>
      </w:r>
      <w:proofErr w:type="spellStart"/>
      <w:r w:rsidRPr="00355D12">
        <w:t>Capulhuac</w:t>
      </w:r>
      <w:proofErr w:type="spellEnd"/>
      <w:r w:rsidRPr="00355D12">
        <w:t xml:space="preserve"> de </w:t>
      </w:r>
      <w:proofErr w:type="spellStart"/>
      <w:r w:rsidRPr="00355D12">
        <w:t>Mirafuentes</w:t>
      </w:r>
      <w:proofErr w:type="spellEnd"/>
      <w:r w:rsidRPr="00355D12">
        <w:t xml:space="preserve">. Durante la Revolución de 1910, algunos grupos de vecinos se unieron a las fuerzas de Emiliano Zapata y otros a las fuerzas de Venustiano Carranza, sobresaliendo el general Encarnación Vega y Andrés Ruiz Meza. AÑO ACONTECIMIENTOS 1425-Fue fundado </w:t>
      </w:r>
      <w:proofErr w:type="spellStart"/>
      <w:r w:rsidRPr="00355D12">
        <w:t>Capulhuac</w:t>
      </w:r>
      <w:proofErr w:type="spellEnd"/>
      <w:r w:rsidRPr="00355D12">
        <w:t xml:space="preserve">. 1476 - Fue conquistado por </w:t>
      </w:r>
      <w:proofErr w:type="spellStart"/>
      <w:r w:rsidRPr="00355D12">
        <w:t>Axayácatl</w:t>
      </w:r>
      <w:proofErr w:type="spellEnd"/>
      <w:r w:rsidRPr="00355D12">
        <w:t xml:space="preserve">. 1810 - El 30 de octubre pasó por la cabecera don Miguel Hidalgo. 1827 - Se erigió como municipio. 1880 - Se le confirió la categoría de villa, designándolo </w:t>
      </w:r>
      <w:proofErr w:type="spellStart"/>
      <w:r w:rsidRPr="00355D12">
        <w:t>Capulhuac</w:t>
      </w:r>
      <w:proofErr w:type="spellEnd"/>
      <w:r w:rsidRPr="00355D12">
        <w:t xml:space="preserve"> de </w:t>
      </w:r>
      <w:proofErr w:type="spellStart"/>
      <w:r w:rsidRPr="00355D12">
        <w:t>Mirafuentes</w:t>
      </w:r>
      <w:proofErr w:type="spellEnd"/>
      <w:r w:rsidRPr="00355D12">
        <w:t xml:space="preserve">. 1910- Algunos grupos se unieron a las fuerzas de Emiliano Zapata y otros se sumaron a las fuerzas de don Venustiano Carranza” </w:t>
      </w:r>
      <w:r w:rsidRPr="00355D12">
        <w:rPr>
          <w:b/>
          <w:bCs/>
        </w:rPr>
        <w:t>(Sic)</w:t>
      </w:r>
    </w:p>
    <w:p w14:paraId="4FA7442A" w14:textId="77777777" w:rsidR="00C63A68" w:rsidRPr="00355D12" w:rsidRDefault="00C63A68" w:rsidP="00844569">
      <w:pPr>
        <w:spacing w:before="240" w:line="360" w:lineRule="auto"/>
        <w:jc w:val="both"/>
        <w:rPr>
          <w:rFonts w:ascii="Palatino Linotype" w:hAnsi="Palatino Linotype" w:cs="Arial"/>
          <w:b/>
          <w:sz w:val="28"/>
        </w:rPr>
      </w:pPr>
    </w:p>
    <w:p w14:paraId="37F573AF" w14:textId="267928B1" w:rsidR="006168E4" w:rsidRPr="00355D12" w:rsidRDefault="002A6687" w:rsidP="00844569">
      <w:pPr>
        <w:spacing w:before="240" w:line="360" w:lineRule="auto"/>
        <w:jc w:val="both"/>
        <w:rPr>
          <w:rFonts w:ascii="Palatino Linotype" w:hAnsi="Palatino Linotype" w:cs="Arial"/>
          <w:b/>
          <w:sz w:val="28"/>
        </w:rPr>
      </w:pPr>
      <w:r w:rsidRPr="00355D12">
        <w:rPr>
          <w:rFonts w:ascii="Palatino Linotype" w:hAnsi="Palatino Linotype" w:cs="Arial"/>
          <w:b/>
          <w:sz w:val="28"/>
        </w:rPr>
        <w:t>TERCERO</w:t>
      </w:r>
      <w:r w:rsidR="006168E4" w:rsidRPr="00355D12">
        <w:rPr>
          <w:rFonts w:ascii="Palatino Linotype" w:hAnsi="Palatino Linotype" w:cs="Arial"/>
          <w:b/>
          <w:sz w:val="28"/>
        </w:rPr>
        <w:t xml:space="preserve">. </w:t>
      </w:r>
      <w:r w:rsidR="006168E4" w:rsidRPr="00355D12">
        <w:rPr>
          <w:rFonts w:ascii="Palatino Linotype" w:hAnsi="Palatino Linotype"/>
          <w:b/>
          <w:sz w:val="28"/>
        </w:rPr>
        <w:t>Del recurso de revisión.</w:t>
      </w:r>
    </w:p>
    <w:p w14:paraId="7060A015" w14:textId="79F3B29F" w:rsidR="00C50E96" w:rsidRPr="00355D12" w:rsidRDefault="006168E4" w:rsidP="00844569">
      <w:pPr>
        <w:spacing w:before="240" w:line="360" w:lineRule="auto"/>
        <w:jc w:val="both"/>
        <w:rPr>
          <w:rFonts w:ascii="Palatino Linotype" w:hAnsi="Palatino Linotype" w:cs="Arial"/>
          <w:bCs/>
          <w:sz w:val="24"/>
          <w:szCs w:val="24"/>
        </w:rPr>
      </w:pPr>
      <w:r w:rsidRPr="00355D12">
        <w:rPr>
          <w:rFonts w:ascii="Palatino Linotype" w:hAnsi="Palatino Linotype" w:cs="Arial"/>
          <w:sz w:val="24"/>
          <w:szCs w:val="24"/>
        </w:rPr>
        <w:t xml:space="preserve">Inconforme con la respuesta notificada por </w:t>
      </w:r>
      <w:r w:rsidR="008B42B1" w:rsidRPr="00355D12">
        <w:rPr>
          <w:rFonts w:ascii="Palatino Linotype" w:hAnsi="Palatino Linotype" w:cs="Arial"/>
          <w:b/>
          <w:sz w:val="24"/>
          <w:szCs w:val="24"/>
        </w:rPr>
        <w:t>E</w:t>
      </w:r>
      <w:r w:rsidRPr="00355D12">
        <w:rPr>
          <w:rFonts w:ascii="Palatino Linotype" w:hAnsi="Palatino Linotype" w:cs="Arial"/>
          <w:b/>
          <w:sz w:val="24"/>
          <w:szCs w:val="24"/>
        </w:rPr>
        <w:t xml:space="preserve">l </w:t>
      </w:r>
      <w:r w:rsidR="008B42B1" w:rsidRPr="00355D12">
        <w:rPr>
          <w:rFonts w:ascii="Palatino Linotype" w:hAnsi="Palatino Linotype" w:cs="Arial"/>
          <w:b/>
          <w:sz w:val="24"/>
          <w:szCs w:val="24"/>
        </w:rPr>
        <w:t>S</w:t>
      </w:r>
      <w:r w:rsidRPr="00355D12">
        <w:rPr>
          <w:rFonts w:ascii="Palatino Linotype" w:hAnsi="Palatino Linotype" w:cs="Arial"/>
          <w:b/>
          <w:sz w:val="24"/>
          <w:szCs w:val="24"/>
        </w:rPr>
        <w:t xml:space="preserve">ujeto </w:t>
      </w:r>
      <w:r w:rsidR="008B42B1" w:rsidRPr="00355D12">
        <w:rPr>
          <w:rFonts w:ascii="Palatino Linotype" w:hAnsi="Palatino Linotype" w:cs="Arial"/>
          <w:b/>
          <w:sz w:val="24"/>
          <w:szCs w:val="24"/>
        </w:rPr>
        <w:t>O</w:t>
      </w:r>
      <w:r w:rsidRPr="00355D12">
        <w:rPr>
          <w:rFonts w:ascii="Palatino Linotype" w:hAnsi="Palatino Linotype" w:cs="Arial"/>
          <w:b/>
          <w:sz w:val="24"/>
          <w:szCs w:val="24"/>
        </w:rPr>
        <w:t xml:space="preserve">bligado, </w:t>
      </w:r>
      <w:r w:rsidR="005202C4" w:rsidRPr="00355D12">
        <w:rPr>
          <w:rFonts w:ascii="Palatino Linotype" w:hAnsi="Palatino Linotype" w:cs="Arial"/>
          <w:b/>
          <w:sz w:val="24"/>
          <w:szCs w:val="24"/>
        </w:rPr>
        <w:t>El</w:t>
      </w:r>
      <w:r w:rsidR="00817A08" w:rsidRPr="00355D12">
        <w:rPr>
          <w:rFonts w:ascii="Palatino Linotype" w:hAnsi="Palatino Linotype" w:cs="Arial"/>
          <w:b/>
          <w:sz w:val="24"/>
          <w:szCs w:val="24"/>
        </w:rPr>
        <w:t xml:space="preserve"> Recurrente </w:t>
      </w:r>
      <w:r w:rsidR="00817A08" w:rsidRPr="00355D12">
        <w:rPr>
          <w:rFonts w:ascii="Palatino Linotype" w:hAnsi="Palatino Linotype" w:cs="Arial"/>
          <w:bCs/>
          <w:sz w:val="24"/>
          <w:szCs w:val="24"/>
        </w:rPr>
        <w:t xml:space="preserve">interpuso el recurso de revisión, en fecha </w:t>
      </w:r>
      <w:r w:rsidR="00FF54AF" w:rsidRPr="00355D12">
        <w:rPr>
          <w:rFonts w:ascii="Palatino Linotype" w:hAnsi="Palatino Linotype" w:cs="Arial"/>
          <w:b/>
          <w:sz w:val="24"/>
          <w:szCs w:val="24"/>
        </w:rPr>
        <w:t xml:space="preserve">veinte de octubre de dos mil veinticinco, </w:t>
      </w:r>
      <w:r w:rsidR="00C50E96" w:rsidRPr="00355D12">
        <w:rPr>
          <w:rFonts w:ascii="Palatino Linotype" w:hAnsi="Palatino Linotype" w:cs="Arial"/>
          <w:bCs/>
          <w:sz w:val="24"/>
          <w:szCs w:val="24"/>
        </w:rPr>
        <w:t xml:space="preserve">el cual fue registrado en el sistema electrónico con el expediente </w:t>
      </w:r>
      <w:r w:rsidR="00FF54AF" w:rsidRPr="00355D12">
        <w:rPr>
          <w:rFonts w:ascii="Palatino Linotype" w:hAnsi="Palatino Linotype" w:cs="Arial"/>
          <w:b/>
          <w:sz w:val="24"/>
          <w:szCs w:val="24"/>
        </w:rPr>
        <w:t>12090</w:t>
      </w:r>
      <w:r w:rsidR="00C50E96" w:rsidRPr="00355D12">
        <w:rPr>
          <w:rFonts w:ascii="Palatino Linotype" w:hAnsi="Palatino Linotype" w:cs="Arial"/>
          <w:b/>
          <w:sz w:val="24"/>
          <w:szCs w:val="24"/>
        </w:rPr>
        <w:t xml:space="preserve">/INFOEM/IP/RR/2025, </w:t>
      </w:r>
      <w:r w:rsidR="00C50E96" w:rsidRPr="00355D12">
        <w:rPr>
          <w:rFonts w:ascii="Palatino Linotype" w:hAnsi="Palatino Linotype" w:cs="Arial"/>
          <w:bCs/>
          <w:sz w:val="24"/>
          <w:szCs w:val="24"/>
        </w:rPr>
        <w:t xml:space="preserve">en el cual arguye las siguientes manifestaciones: </w:t>
      </w:r>
    </w:p>
    <w:p w14:paraId="3774298B" w14:textId="77777777" w:rsidR="006168E4" w:rsidRPr="00355D12" w:rsidRDefault="006168E4" w:rsidP="00844569">
      <w:pPr>
        <w:spacing w:before="240" w:line="360" w:lineRule="auto"/>
        <w:jc w:val="both"/>
        <w:rPr>
          <w:rFonts w:ascii="Palatino Linotype" w:hAnsi="Palatino Linotype" w:cs="Arial"/>
          <w:b/>
          <w:sz w:val="24"/>
        </w:rPr>
      </w:pPr>
      <w:r w:rsidRPr="00355D12">
        <w:rPr>
          <w:rFonts w:ascii="Palatino Linotype" w:hAnsi="Palatino Linotype" w:cs="Arial"/>
          <w:b/>
          <w:sz w:val="24"/>
        </w:rPr>
        <w:t>Acto Impugnado:</w:t>
      </w:r>
    </w:p>
    <w:p w14:paraId="40CA7A53" w14:textId="6B59C14F" w:rsidR="003406C5" w:rsidRPr="00355D12" w:rsidRDefault="003406C5" w:rsidP="003406C5">
      <w:pPr>
        <w:pStyle w:val="Citas"/>
        <w:rPr>
          <w:b/>
          <w:bCs/>
          <w:sz w:val="24"/>
        </w:rPr>
      </w:pPr>
      <w:r w:rsidRPr="00355D12">
        <w:lastRenderedPageBreak/>
        <w:t>“</w:t>
      </w:r>
      <w:r w:rsidR="00FF54AF" w:rsidRPr="00355D12">
        <w:t>Quiero información para tener más detalles de la información</w:t>
      </w:r>
      <w:r w:rsidRPr="00355D12">
        <w:t xml:space="preserve">” </w:t>
      </w:r>
      <w:r w:rsidRPr="00355D12">
        <w:rPr>
          <w:b/>
          <w:bCs/>
        </w:rPr>
        <w:t>(Sic)</w:t>
      </w:r>
    </w:p>
    <w:p w14:paraId="22A465CC" w14:textId="2279B010" w:rsidR="006168E4" w:rsidRPr="00355D12" w:rsidRDefault="006168E4" w:rsidP="00844569">
      <w:pPr>
        <w:spacing w:before="240" w:line="360" w:lineRule="auto"/>
        <w:jc w:val="both"/>
        <w:rPr>
          <w:rFonts w:ascii="Palatino Linotype" w:hAnsi="Palatino Linotype" w:cs="Arial"/>
          <w:sz w:val="24"/>
        </w:rPr>
      </w:pPr>
      <w:r w:rsidRPr="00355D12">
        <w:rPr>
          <w:rFonts w:ascii="Palatino Linotype" w:hAnsi="Palatino Linotype" w:cs="Arial"/>
          <w:b/>
          <w:sz w:val="24"/>
        </w:rPr>
        <w:t>Razones o Motivos de Inconformidad</w:t>
      </w:r>
      <w:r w:rsidRPr="00355D12">
        <w:rPr>
          <w:rFonts w:ascii="Palatino Linotype" w:hAnsi="Palatino Linotype" w:cs="Arial"/>
          <w:sz w:val="24"/>
        </w:rPr>
        <w:t xml:space="preserve">: </w:t>
      </w:r>
    </w:p>
    <w:p w14:paraId="0F651FB8" w14:textId="39A66F73" w:rsidR="005202C4" w:rsidRPr="00355D12" w:rsidRDefault="003406C5" w:rsidP="00FF54AF">
      <w:pPr>
        <w:pStyle w:val="Citas"/>
        <w:rPr>
          <w:b/>
          <w:bCs/>
        </w:rPr>
      </w:pPr>
      <w:r w:rsidRPr="00355D12">
        <w:t>“</w:t>
      </w:r>
      <w:r w:rsidR="00FF54AF" w:rsidRPr="00355D12">
        <w:rPr>
          <w:lang w:eastAsia="es-MX"/>
        </w:rPr>
        <w:t>Quiero saber sobre el poder y quienes lo conforman</w:t>
      </w:r>
      <w:r w:rsidR="00BF0B4D" w:rsidRPr="00355D12">
        <w:t>”</w:t>
      </w:r>
      <w:r w:rsidRPr="00355D12">
        <w:t xml:space="preserve"> </w:t>
      </w:r>
      <w:r w:rsidRPr="00355D12">
        <w:rPr>
          <w:b/>
          <w:bCs/>
        </w:rPr>
        <w:t>(Sic)</w:t>
      </w:r>
    </w:p>
    <w:p w14:paraId="6A68C4FF" w14:textId="77777777" w:rsidR="00BB040A" w:rsidRPr="00355D12" w:rsidRDefault="00BB040A" w:rsidP="00815FE7">
      <w:pPr>
        <w:pStyle w:val="Citas"/>
        <w:ind w:left="0" w:right="0"/>
        <w:rPr>
          <w:bCs/>
          <w:i w:val="0"/>
          <w:iCs/>
          <w:sz w:val="24"/>
          <w:szCs w:val="24"/>
        </w:rPr>
      </w:pPr>
    </w:p>
    <w:p w14:paraId="7E88DE81" w14:textId="3E6AAD97" w:rsidR="006168E4" w:rsidRPr="00355D12" w:rsidRDefault="002A6687" w:rsidP="00844569">
      <w:pPr>
        <w:spacing w:before="240" w:line="360" w:lineRule="auto"/>
        <w:jc w:val="both"/>
        <w:rPr>
          <w:rFonts w:ascii="Palatino Linotype" w:hAnsi="Palatino Linotype" w:cs="Arial"/>
          <w:b/>
          <w:sz w:val="24"/>
          <w:szCs w:val="24"/>
        </w:rPr>
      </w:pPr>
      <w:r w:rsidRPr="00355D12">
        <w:rPr>
          <w:rFonts w:ascii="Palatino Linotype" w:hAnsi="Palatino Linotype" w:cs="Arial"/>
          <w:b/>
          <w:sz w:val="28"/>
        </w:rPr>
        <w:t>CUARTO</w:t>
      </w:r>
      <w:r w:rsidR="006168E4" w:rsidRPr="00355D12">
        <w:rPr>
          <w:rFonts w:ascii="Palatino Linotype" w:hAnsi="Palatino Linotype" w:cs="Arial"/>
          <w:b/>
          <w:sz w:val="24"/>
          <w:szCs w:val="24"/>
        </w:rPr>
        <w:t xml:space="preserve">. </w:t>
      </w:r>
      <w:r w:rsidR="006168E4" w:rsidRPr="00355D12">
        <w:rPr>
          <w:rFonts w:ascii="Palatino Linotype" w:hAnsi="Palatino Linotype" w:cs="Arial"/>
          <w:b/>
          <w:sz w:val="28"/>
          <w:szCs w:val="28"/>
        </w:rPr>
        <w:t>Del turno del recurso de revisión.</w:t>
      </w:r>
    </w:p>
    <w:p w14:paraId="63CCE915" w14:textId="3B287478" w:rsidR="006168E4" w:rsidRPr="00355D12" w:rsidRDefault="006168E4" w:rsidP="00844569">
      <w:pPr>
        <w:spacing w:before="240" w:line="360" w:lineRule="auto"/>
        <w:jc w:val="both"/>
        <w:rPr>
          <w:rFonts w:ascii="Palatino Linotype" w:hAnsi="Palatino Linotype" w:cs="Arial"/>
          <w:sz w:val="24"/>
          <w:szCs w:val="24"/>
        </w:rPr>
      </w:pPr>
      <w:r w:rsidRPr="00355D12">
        <w:rPr>
          <w:rFonts w:ascii="Palatino Linotype" w:hAnsi="Palatino Linotype" w:cs="Arial"/>
          <w:sz w:val="24"/>
          <w:szCs w:val="24"/>
        </w:rPr>
        <w:t xml:space="preserve">Medio de impugnación que le fue turnado </w:t>
      </w:r>
      <w:r w:rsidR="0018726A" w:rsidRPr="00355D12">
        <w:rPr>
          <w:rFonts w:ascii="Palatino Linotype" w:hAnsi="Palatino Linotype" w:cs="Arial"/>
          <w:sz w:val="24"/>
          <w:szCs w:val="24"/>
        </w:rPr>
        <w:t>al Comisionado</w:t>
      </w:r>
      <w:r w:rsidRPr="00355D12">
        <w:rPr>
          <w:rFonts w:ascii="Palatino Linotype" w:hAnsi="Palatino Linotype" w:cs="Arial"/>
          <w:sz w:val="24"/>
          <w:szCs w:val="24"/>
        </w:rPr>
        <w:t xml:space="preserve"> </w:t>
      </w:r>
      <w:r w:rsidR="000E5F05" w:rsidRPr="00355D12">
        <w:rPr>
          <w:rFonts w:ascii="Palatino Linotype" w:hAnsi="Palatino Linotype" w:cs="Arial"/>
          <w:b/>
          <w:sz w:val="24"/>
          <w:szCs w:val="24"/>
        </w:rPr>
        <w:t>José Martínez Vilchis</w:t>
      </w:r>
      <w:r w:rsidRPr="00355D12">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F551E7" w:rsidRPr="00355D12">
        <w:rPr>
          <w:rFonts w:ascii="Palatino Linotype" w:hAnsi="Palatino Linotype" w:cs="Arial"/>
          <w:sz w:val="24"/>
          <w:szCs w:val="24"/>
        </w:rPr>
        <w:t xml:space="preserve"> </w:t>
      </w:r>
      <w:r w:rsidR="00FF54AF" w:rsidRPr="00355D12">
        <w:rPr>
          <w:rFonts w:ascii="Palatino Linotype" w:hAnsi="Palatino Linotype" w:cs="Arial"/>
          <w:b/>
          <w:bCs/>
          <w:sz w:val="24"/>
          <w:szCs w:val="24"/>
        </w:rPr>
        <w:t>veinte de octubre</w:t>
      </w:r>
      <w:r w:rsidR="00C50E96" w:rsidRPr="00355D12">
        <w:rPr>
          <w:rFonts w:ascii="Palatino Linotype" w:hAnsi="Palatino Linotype" w:cs="Arial"/>
          <w:b/>
          <w:bCs/>
          <w:sz w:val="24"/>
          <w:szCs w:val="24"/>
        </w:rPr>
        <w:t xml:space="preserve"> de dos mil veinticinco, </w:t>
      </w:r>
      <w:r w:rsidRPr="00355D12">
        <w:rPr>
          <w:rFonts w:ascii="Palatino Linotype" w:hAnsi="Palatino Linotype" w:cs="Arial"/>
          <w:sz w:val="24"/>
          <w:szCs w:val="24"/>
        </w:rPr>
        <w:t>determinándose en él, un plazo de siete días para que las partes manifestaran lo que a su derecho corresponda en términos del numeral ya citado.</w:t>
      </w:r>
    </w:p>
    <w:p w14:paraId="7CD69B2A" w14:textId="77777777" w:rsidR="004B633C" w:rsidRPr="00355D12" w:rsidRDefault="004B633C" w:rsidP="00844569">
      <w:pPr>
        <w:spacing w:before="240" w:line="360" w:lineRule="auto"/>
        <w:jc w:val="both"/>
        <w:rPr>
          <w:rFonts w:ascii="Palatino Linotype" w:hAnsi="Palatino Linotype" w:cs="Arial"/>
          <w:b/>
          <w:sz w:val="28"/>
        </w:rPr>
      </w:pPr>
    </w:p>
    <w:p w14:paraId="4BCFD455" w14:textId="37AF5872" w:rsidR="006168E4" w:rsidRPr="00355D12" w:rsidRDefault="002A6687" w:rsidP="00844569">
      <w:pPr>
        <w:spacing w:before="240" w:line="360" w:lineRule="auto"/>
        <w:jc w:val="both"/>
        <w:rPr>
          <w:rFonts w:ascii="Palatino Linotype" w:hAnsi="Palatino Linotype" w:cs="Arial"/>
          <w:b/>
          <w:sz w:val="24"/>
          <w:szCs w:val="24"/>
        </w:rPr>
      </w:pPr>
      <w:r w:rsidRPr="00355D12">
        <w:rPr>
          <w:rFonts w:ascii="Palatino Linotype" w:hAnsi="Palatino Linotype" w:cs="Arial"/>
          <w:b/>
          <w:sz w:val="28"/>
        </w:rPr>
        <w:t>QUINTO</w:t>
      </w:r>
      <w:r w:rsidR="006168E4" w:rsidRPr="00355D12">
        <w:rPr>
          <w:rFonts w:ascii="Palatino Linotype" w:hAnsi="Palatino Linotype" w:cs="Arial"/>
          <w:b/>
          <w:sz w:val="24"/>
          <w:szCs w:val="24"/>
        </w:rPr>
        <w:t xml:space="preserve">. </w:t>
      </w:r>
      <w:r w:rsidR="006168E4" w:rsidRPr="00355D12">
        <w:rPr>
          <w:rFonts w:ascii="Palatino Linotype" w:hAnsi="Palatino Linotype" w:cs="Arial"/>
          <w:b/>
          <w:sz w:val="28"/>
          <w:szCs w:val="28"/>
        </w:rPr>
        <w:t>De la etapa de instrucción.</w:t>
      </w:r>
    </w:p>
    <w:p w14:paraId="62286D98" w14:textId="4C733701" w:rsidR="00FF54AF" w:rsidRPr="00355D12" w:rsidRDefault="005E46D0" w:rsidP="005E46D0">
      <w:pPr>
        <w:spacing w:before="240" w:line="360" w:lineRule="auto"/>
        <w:jc w:val="both"/>
        <w:rPr>
          <w:rFonts w:ascii="Palatino Linotype" w:hAnsi="Palatino Linotype" w:cs="Arial"/>
          <w:b/>
          <w:bCs/>
          <w:sz w:val="24"/>
          <w:szCs w:val="24"/>
        </w:rPr>
      </w:pPr>
      <w:r w:rsidRPr="00355D12">
        <w:rPr>
          <w:rFonts w:ascii="Palatino Linotype" w:hAnsi="Palatino Linotype" w:cs="Arial"/>
          <w:sz w:val="24"/>
          <w:szCs w:val="24"/>
        </w:rPr>
        <w:t xml:space="preserve">Así, una vez transcurrido el término legal referido, </w:t>
      </w:r>
      <w:r w:rsidR="002B4228" w:rsidRPr="00355D12">
        <w:rPr>
          <w:rFonts w:ascii="Palatino Linotype" w:hAnsi="Palatino Linotype" w:cs="Arial"/>
          <w:b/>
          <w:bCs/>
          <w:sz w:val="24"/>
          <w:szCs w:val="24"/>
        </w:rPr>
        <w:t xml:space="preserve">El Sujeto Obligado </w:t>
      </w:r>
      <w:r w:rsidR="00C50E96" w:rsidRPr="00355D12">
        <w:rPr>
          <w:rFonts w:ascii="Palatino Linotype" w:hAnsi="Palatino Linotype" w:cs="Arial"/>
          <w:sz w:val="24"/>
          <w:szCs w:val="24"/>
        </w:rPr>
        <w:t xml:space="preserve">rindió su informe justificado en fecha </w:t>
      </w:r>
      <w:r w:rsidR="00FF54AF" w:rsidRPr="00355D12">
        <w:rPr>
          <w:rFonts w:ascii="Palatino Linotype" w:hAnsi="Palatino Linotype" w:cs="Arial"/>
          <w:b/>
          <w:bCs/>
          <w:sz w:val="24"/>
          <w:szCs w:val="24"/>
        </w:rPr>
        <w:t xml:space="preserve">veintitrés de octubre, </w:t>
      </w:r>
      <w:r w:rsidR="00FF54AF" w:rsidRPr="00355D12">
        <w:rPr>
          <w:rFonts w:ascii="Palatino Linotype" w:hAnsi="Palatino Linotype" w:cs="Arial"/>
          <w:sz w:val="24"/>
          <w:szCs w:val="24"/>
        </w:rPr>
        <w:t xml:space="preserve">mismo que fue puesto a la vista el </w:t>
      </w:r>
      <w:r w:rsidR="00FF54AF" w:rsidRPr="00355D12">
        <w:rPr>
          <w:rFonts w:ascii="Palatino Linotype" w:hAnsi="Palatino Linotype" w:cs="Arial"/>
          <w:b/>
          <w:bCs/>
          <w:sz w:val="24"/>
          <w:szCs w:val="24"/>
        </w:rPr>
        <w:t xml:space="preserve">veintinueve de octubre de dos mil veinticinco. </w:t>
      </w:r>
    </w:p>
    <w:p w14:paraId="62D38638" w14:textId="28D5EF10" w:rsidR="006168E4" w:rsidRPr="00355D12" w:rsidRDefault="001A2E07" w:rsidP="005E46D0">
      <w:pPr>
        <w:spacing w:before="240" w:line="360" w:lineRule="auto"/>
        <w:jc w:val="both"/>
        <w:rPr>
          <w:rFonts w:ascii="Palatino Linotype" w:hAnsi="Palatino Linotype" w:cs="Arial"/>
          <w:sz w:val="24"/>
          <w:szCs w:val="24"/>
        </w:rPr>
      </w:pPr>
      <w:r w:rsidRPr="00355D12">
        <w:rPr>
          <w:rFonts w:ascii="Palatino Linotype" w:hAnsi="Palatino Linotype" w:cs="Arial"/>
          <w:bCs/>
          <w:sz w:val="24"/>
          <w:szCs w:val="24"/>
        </w:rPr>
        <w:t xml:space="preserve">Por lo cual se decretó el cierre de instrucción con fecha </w:t>
      </w:r>
      <w:r w:rsidR="00FF54AF" w:rsidRPr="00355D12">
        <w:rPr>
          <w:rFonts w:ascii="Palatino Linotype" w:hAnsi="Palatino Linotype" w:cs="Arial"/>
          <w:b/>
          <w:sz w:val="24"/>
          <w:szCs w:val="24"/>
        </w:rPr>
        <w:t>cuatro de noviembre</w:t>
      </w:r>
      <w:r w:rsidR="00F551E7" w:rsidRPr="00355D12">
        <w:rPr>
          <w:rFonts w:ascii="Palatino Linotype" w:hAnsi="Palatino Linotype" w:cs="Arial"/>
          <w:b/>
          <w:sz w:val="24"/>
          <w:szCs w:val="24"/>
        </w:rPr>
        <w:t xml:space="preserve"> de dos mil </w:t>
      </w:r>
      <w:r w:rsidR="002A6687" w:rsidRPr="00355D12">
        <w:rPr>
          <w:rFonts w:ascii="Palatino Linotype" w:hAnsi="Palatino Linotype" w:cs="Arial"/>
          <w:b/>
          <w:sz w:val="24"/>
          <w:szCs w:val="24"/>
        </w:rPr>
        <w:t>veinticinc</w:t>
      </w:r>
      <w:r w:rsidR="00F551E7" w:rsidRPr="00355D12">
        <w:rPr>
          <w:rFonts w:ascii="Palatino Linotype" w:hAnsi="Palatino Linotype" w:cs="Arial"/>
          <w:b/>
          <w:sz w:val="24"/>
          <w:szCs w:val="24"/>
        </w:rPr>
        <w:t xml:space="preserve">o, </w:t>
      </w:r>
      <w:r w:rsidR="005E46D0" w:rsidRPr="00355D12">
        <w:rPr>
          <w:rFonts w:ascii="Palatino Linotype" w:hAnsi="Palatino Linotype" w:cs="Arial"/>
          <w:b/>
          <w:sz w:val="24"/>
          <w:szCs w:val="24"/>
        </w:rPr>
        <w:t>e</w:t>
      </w:r>
      <w:r w:rsidR="005E46D0" w:rsidRPr="00355D12">
        <w:rPr>
          <w:rFonts w:ascii="Palatino Linotype" w:hAnsi="Palatino Linotype" w:cs="Arial"/>
          <w:sz w:val="24"/>
          <w:szCs w:val="24"/>
        </w:rPr>
        <w:t xml:space="preserve">n términos del artículo 185 Fracción VI de la Ley de Transparencia y </w:t>
      </w:r>
      <w:r w:rsidR="005E46D0" w:rsidRPr="00355D12">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14:paraId="3A215A94" w14:textId="2C9CC2F9" w:rsidR="005202C4" w:rsidRPr="00355D12" w:rsidRDefault="005202C4" w:rsidP="005E46D0">
      <w:pPr>
        <w:spacing w:before="240" w:line="360" w:lineRule="auto"/>
        <w:jc w:val="both"/>
        <w:rPr>
          <w:rFonts w:ascii="Palatino Linotype" w:hAnsi="Palatino Linotype" w:cs="Arial"/>
          <w:sz w:val="24"/>
          <w:szCs w:val="24"/>
        </w:rPr>
      </w:pPr>
    </w:p>
    <w:p w14:paraId="67D0FD90" w14:textId="77777777" w:rsidR="006168E4" w:rsidRPr="00355D12" w:rsidRDefault="006168E4" w:rsidP="00844569">
      <w:pPr>
        <w:spacing w:before="240" w:line="360" w:lineRule="auto"/>
        <w:jc w:val="center"/>
        <w:rPr>
          <w:rFonts w:ascii="Palatino Linotype" w:hAnsi="Palatino Linotype" w:cs="Arial"/>
          <w:b/>
          <w:sz w:val="24"/>
        </w:rPr>
      </w:pPr>
      <w:r w:rsidRPr="00355D12">
        <w:rPr>
          <w:rFonts w:ascii="Palatino Linotype" w:hAnsi="Palatino Linotype" w:cs="Arial"/>
          <w:b/>
          <w:sz w:val="24"/>
        </w:rPr>
        <w:t xml:space="preserve">C O N S I D E R A N D O </w:t>
      </w:r>
    </w:p>
    <w:p w14:paraId="579C7ABE" w14:textId="77777777" w:rsidR="006168E4" w:rsidRPr="00355D12" w:rsidRDefault="006168E4" w:rsidP="00844569">
      <w:pPr>
        <w:spacing w:before="240" w:line="360" w:lineRule="auto"/>
        <w:jc w:val="both"/>
        <w:rPr>
          <w:rFonts w:ascii="Palatino Linotype" w:hAnsi="Palatino Linotype" w:cs="Arial"/>
          <w:sz w:val="24"/>
        </w:rPr>
      </w:pPr>
      <w:r w:rsidRPr="00355D12">
        <w:rPr>
          <w:rFonts w:ascii="Palatino Linotype" w:hAnsi="Palatino Linotype" w:cs="Arial"/>
          <w:b/>
          <w:sz w:val="28"/>
        </w:rPr>
        <w:t>PRIMERO.</w:t>
      </w:r>
      <w:r w:rsidRPr="00355D12">
        <w:rPr>
          <w:rFonts w:ascii="Palatino Linotype" w:hAnsi="Palatino Linotype" w:cs="Arial"/>
          <w:b/>
        </w:rPr>
        <w:t xml:space="preserve"> </w:t>
      </w:r>
      <w:r w:rsidRPr="00355D12">
        <w:rPr>
          <w:rFonts w:ascii="Palatino Linotype" w:hAnsi="Palatino Linotype" w:cs="Arial"/>
          <w:b/>
          <w:sz w:val="28"/>
          <w:szCs w:val="28"/>
        </w:rPr>
        <w:t>De la competencia</w:t>
      </w:r>
      <w:r w:rsidRPr="00355D12">
        <w:rPr>
          <w:rFonts w:ascii="Palatino Linotype" w:hAnsi="Palatino Linotype" w:cs="Arial"/>
          <w:sz w:val="28"/>
          <w:szCs w:val="28"/>
        </w:rPr>
        <w:t>.</w:t>
      </w:r>
    </w:p>
    <w:p w14:paraId="3F1DA382" w14:textId="77777777" w:rsidR="002A6687" w:rsidRPr="00355D12" w:rsidRDefault="002A6687" w:rsidP="002A6687">
      <w:pPr>
        <w:spacing w:line="360" w:lineRule="auto"/>
        <w:jc w:val="both"/>
        <w:rPr>
          <w:rFonts w:ascii="Palatino Linotype" w:hAnsi="Palatino Linotype"/>
          <w:sz w:val="24"/>
          <w:szCs w:val="24"/>
        </w:rPr>
      </w:pPr>
      <w:r w:rsidRPr="00355D1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2F69EAA" w14:textId="77777777" w:rsidR="002A6687" w:rsidRPr="00355D12" w:rsidRDefault="002A6687" w:rsidP="00BF01A7">
      <w:pPr>
        <w:spacing w:after="0" w:line="360" w:lineRule="auto"/>
        <w:jc w:val="both"/>
        <w:rPr>
          <w:rFonts w:ascii="Palatino Linotype" w:hAnsi="Palatino Linotype" w:cs="Arial"/>
          <w:sz w:val="24"/>
          <w:szCs w:val="24"/>
          <w:lang w:val="es-ES"/>
        </w:rPr>
      </w:pPr>
    </w:p>
    <w:p w14:paraId="71AC3F8F" w14:textId="77777777" w:rsidR="006168E4" w:rsidRPr="00355D12"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355D12">
        <w:rPr>
          <w:rFonts w:ascii="Palatino Linotype" w:hAnsi="Palatino Linotype" w:cs="Arial"/>
          <w:b/>
          <w:sz w:val="28"/>
        </w:rPr>
        <w:t>SEGUNDO</w:t>
      </w:r>
      <w:r w:rsidRPr="00355D12">
        <w:rPr>
          <w:rFonts w:ascii="Palatino Linotype" w:hAnsi="Palatino Linotype" w:cs="Arial"/>
          <w:b/>
        </w:rPr>
        <w:t xml:space="preserve">. </w:t>
      </w:r>
      <w:r w:rsidRPr="00355D12">
        <w:rPr>
          <w:rFonts w:ascii="Palatino Linotype" w:hAnsi="Palatino Linotype" w:cs="Arial"/>
          <w:b/>
          <w:sz w:val="28"/>
          <w:szCs w:val="28"/>
        </w:rPr>
        <w:t>Sobre los alcances del recurso de revisión.</w:t>
      </w:r>
      <w:r w:rsidRPr="00355D12">
        <w:rPr>
          <w:rFonts w:ascii="Palatino Linotype" w:hAnsi="Palatino Linotype" w:cs="Arial"/>
          <w:b/>
        </w:rPr>
        <w:t xml:space="preserve"> </w:t>
      </w:r>
    </w:p>
    <w:p w14:paraId="780F37AC" w14:textId="77777777" w:rsidR="006168E4" w:rsidRPr="00355D12"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355D12">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355D12">
        <w:rPr>
          <w:rFonts w:ascii="Palatino Linotype" w:hAnsi="Palatino Linotype" w:cs="Arial"/>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355D12"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0D2CAD4" w14:textId="089E78F0" w:rsidR="00615089" w:rsidRPr="00355D12" w:rsidRDefault="00FF54AF" w:rsidP="00615089">
      <w:pPr>
        <w:tabs>
          <w:tab w:val="left" w:pos="709"/>
        </w:tabs>
        <w:spacing w:before="240" w:line="360" w:lineRule="auto"/>
        <w:ind w:right="51"/>
        <w:jc w:val="both"/>
        <w:rPr>
          <w:rFonts w:ascii="Palatino Linotype" w:hAnsi="Palatino Linotype"/>
          <w:b/>
          <w:sz w:val="28"/>
          <w:szCs w:val="28"/>
        </w:rPr>
      </w:pPr>
      <w:r w:rsidRPr="00355D12">
        <w:rPr>
          <w:rFonts w:ascii="Palatino Linotype" w:hAnsi="Palatino Linotype"/>
          <w:b/>
          <w:sz w:val="28"/>
          <w:szCs w:val="28"/>
        </w:rPr>
        <w:t>TERCERO</w:t>
      </w:r>
      <w:r w:rsidR="007B0046" w:rsidRPr="00355D12">
        <w:rPr>
          <w:rFonts w:ascii="Palatino Linotype" w:hAnsi="Palatino Linotype"/>
          <w:b/>
          <w:sz w:val="28"/>
          <w:szCs w:val="28"/>
        </w:rPr>
        <w:t xml:space="preserve">. </w:t>
      </w:r>
      <w:r w:rsidR="00615089" w:rsidRPr="00355D12">
        <w:rPr>
          <w:rFonts w:ascii="Palatino Linotype" w:hAnsi="Palatino Linotype" w:cs="Arial"/>
          <w:b/>
          <w:sz w:val="28"/>
          <w:szCs w:val="28"/>
        </w:rPr>
        <w:t>Del estudio de las causas de improcedencia y sobreseimiento</w:t>
      </w:r>
    </w:p>
    <w:p w14:paraId="11BC0DBF" w14:textId="77777777" w:rsidR="00615089" w:rsidRPr="00355D12" w:rsidRDefault="00615089" w:rsidP="00615089">
      <w:pPr>
        <w:pStyle w:val="Prrafodelista"/>
        <w:autoSpaceDE w:val="0"/>
        <w:autoSpaceDN w:val="0"/>
        <w:adjustRightInd w:val="0"/>
        <w:spacing w:line="360" w:lineRule="auto"/>
        <w:ind w:left="0"/>
        <w:jc w:val="both"/>
        <w:rPr>
          <w:rFonts w:ascii="Palatino Linotype" w:hAnsi="Palatino Linotype" w:cs="Arial"/>
        </w:rPr>
      </w:pPr>
      <w:r w:rsidRPr="00355D12">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355D12">
        <w:rPr>
          <w:rFonts w:ascii="Palatino Linotype" w:hAnsi="Palatino Linotype" w:cs="Arial"/>
        </w:rPr>
        <w:t>procedibilidad</w:t>
      </w:r>
      <w:proofErr w:type="spellEnd"/>
      <w:r w:rsidRPr="00355D12">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6680CFC" w14:textId="77777777" w:rsidR="00615089" w:rsidRPr="00355D12" w:rsidRDefault="00615089" w:rsidP="00615089">
      <w:pPr>
        <w:pStyle w:val="Prrafodelista"/>
        <w:autoSpaceDE w:val="0"/>
        <w:autoSpaceDN w:val="0"/>
        <w:adjustRightInd w:val="0"/>
        <w:spacing w:line="360" w:lineRule="auto"/>
        <w:ind w:left="0"/>
        <w:jc w:val="both"/>
        <w:rPr>
          <w:rFonts w:ascii="Palatino Linotype" w:hAnsi="Palatino Linotype" w:cs="Arial"/>
        </w:rPr>
      </w:pPr>
      <w:r w:rsidRPr="00355D12">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355D12">
        <w:rPr>
          <w:rFonts w:ascii="Palatino Linotype" w:hAnsi="Palatino Linotype" w:cs="Arial"/>
        </w:rPr>
        <w:t>Resolutor</w:t>
      </w:r>
      <w:proofErr w:type="spellEnd"/>
      <w:r w:rsidRPr="00355D12">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w:t>
      </w:r>
      <w:r w:rsidRPr="00355D12">
        <w:rPr>
          <w:rFonts w:ascii="Palatino Linotype" w:hAnsi="Palatino Linotype" w:cs="Arial"/>
        </w:rPr>
        <w:lastRenderedPageBreak/>
        <w:t>que éste no se coarta por regular causas de improcedencia y sobreseimiento con tales fines</w:t>
      </w:r>
      <w:r w:rsidRPr="00355D12">
        <w:rPr>
          <w:rStyle w:val="Refdenotaalpie"/>
          <w:rFonts w:ascii="Palatino Linotype" w:hAnsi="Palatino Linotype" w:cs="Arial"/>
        </w:rPr>
        <w:footnoteReference w:id="1"/>
      </w:r>
      <w:r w:rsidRPr="00355D12">
        <w:rPr>
          <w:rFonts w:ascii="Palatino Linotype" w:hAnsi="Palatino Linotype" w:cs="Arial"/>
        </w:rPr>
        <w:t>.</w:t>
      </w:r>
    </w:p>
    <w:p w14:paraId="10C70D05" w14:textId="77777777" w:rsidR="00615089" w:rsidRPr="00355D12" w:rsidRDefault="00615089" w:rsidP="00615089">
      <w:pPr>
        <w:autoSpaceDE w:val="0"/>
        <w:autoSpaceDN w:val="0"/>
        <w:adjustRightInd w:val="0"/>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En primer término es necesario hacer alusión a la solicitud de información ya que de ella deriva por un lado el procedimiento de acceso a la información ante </w:t>
      </w:r>
      <w:r w:rsidRPr="00355D12">
        <w:rPr>
          <w:rFonts w:ascii="Palatino Linotype" w:hAnsi="Palatino Linotype" w:cs="Arial"/>
          <w:b/>
          <w:sz w:val="24"/>
          <w:szCs w:val="24"/>
        </w:rPr>
        <w:t>El Sujeto Obligado</w:t>
      </w:r>
      <w:r w:rsidRPr="00355D12">
        <w:rPr>
          <w:rFonts w:ascii="Palatino Linotype" w:hAnsi="Palatino Linotype" w:cs="Arial"/>
          <w:sz w:val="24"/>
          <w:szCs w:val="24"/>
        </w:rPr>
        <w:t>,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3F4B3AD4" w14:textId="77777777" w:rsidR="00615089" w:rsidRPr="00355D12" w:rsidRDefault="00615089" w:rsidP="00615089">
      <w:pPr>
        <w:autoSpaceDE w:val="0"/>
        <w:autoSpaceDN w:val="0"/>
        <w:adjustRightInd w:val="0"/>
        <w:spacing w:line="360" w:lineRule="auto"/>
        <w:jc w:val="both"/>
        <w:rPr>
          <w:rFonts w:ascii="Palatino Linotype" w:hAnsi="Palatino Linotype" w:cs="Arial"/>
          <w:sz w:val="24"/>
          <w:szCs w:val="24"/>
        </w:rPr>
      </w:pPr>
      <w:r w:rsidRPr="00355D12">
        <w:rPr>
          <w:rFonts w:ascii="Palatino Linotype" w:hAnsi="Palatino Linotype" w:cs="Arial"/>
          <w:sz w:val="24"/>
          <w:szCs w:val="24"/>
        </w:rPr>
        <w:lastRenderedPageBreak/>
        <w:t>Ya que el planteamiento del problema es de toral importancia, a efecto de determinar la intención o voluntad del</w:t>
      </w:r>
      <w:r w:rsidRPr="00355D12">
        <w:rPr>
          <w:rFonts w:ascii="Palatino Linotype" w:hAnsi="Palatino Linotype" w:cs="Arial"/>
          <w:b/>
          <w:sz w:val="24"/>
          <w:szCs w:val="24"/>
        </w:rPr>
        <w:t xml:space="preserve"> Recurrente</w:t>
      </w:r>
      <w:r w:rsidRPr="00355D12">
        <w:rPr>
          <w:rFonts w:ascii="Palatino Linotype" w:hAnsi="Palatino Linotype" w:cs="Arial"/>
          <w:sz w:val="24"/>
          <w:szCs w:val="24"/>
        </w:rPr>
        <w:t xml:space="preserve"> a la luz de la interpretación de la solicitud de información, y que puede generar de forma objetiva y material </w:t>
      </w:r>
      <w:r w:rsidRPr="00355D12">
        <w:rPr>
          <w:rFonts w:ascii="Palatino Linotype" w:hAnsi="Palatino Linotype" w:cs="Arial"/>
          <w:b/>
          <w:sz w:val="24"/>
          <w:szCs w:val="24"/>
        </w:rPr>
        <w:t>El Sujeto Obligado</w:t>
      </w:r>
      <w:r w:rsidRPr="00355D12">
        <w:rPr>
          <w:rFonts w:ascii="Palatino Linotype" w:hAnsi="Palatino Linotype" w:cs="Arial"/>
          <w:sz w:val="24"/>
          <w:szCs w:val="24"/>
        </w:rPr>
        <w:t xml:space="preserve"> que se relacione con esa intención, respecto del presente asunto se realiza a continuación.</w:t>
      </w:r>
    </w:p>
    <w:p w14:paraId="023C2C9A" w14:textId="74364189" w:rsidR="00FF54AF" w:rsidRPr="00355D12" w:rsidRDefault="00F95FBD" w:rsidP="00F95FBD">
      <w:pPr>
        <w:autoSpaceDE w:val="0"/>
        <w:autoSpaceDN w:val="0"/>
        <w:adjustRightInd w:val="0"/>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Una vez sentado lo anterior, de una interpretación armónica a la solicitud de información </w:t>
      </w:r>
      <w:r w:rsidR="00FF54AF" w:rsidRPr="00355D12">
        <w:rPr>
          <w:rFonts w:ascii="Palatino Linotype" w:hAnsi="Palatino Linotype" w:cs="Arial"/>
          <w:b/>
          <w:bCs/>
          <w:sz w:val="24"/>
          <w:szCs w:val="24"/>
        </w:rPr>
        <w:t xml:space="preserve">00225/CAPULHUA/IP/2025 </w:t>
      </w:r>
      <w:r w:rsidR="00FF54AF" w:rsidRPr="00355D12">
        <w:rPr>
          <w:rFonts w:ascii="Palatino Linotype" w:hAnsi="Palatino Linotype" w:cs="Arial"/>
          <w:sz w:val="24"/>
          <w:szCs w:val="24"/>
        </w:rPr>
        <w:t xml:space="preserve">se desprenden las siguientes consideraciones: </w:t>
      </w:r>
    </w:p>
    <w:p w14:paraId="11466023" w14:textId="77777777" w:rsidR="00F95FBD" w:rsidRPr="00355D12" w:rsidRDefault="00F95FBD">
      <w:pPr>
        <w:pStyle w:val="Prrafodelista"/>
        <w:numPr>
          <w:ilvl w:val="0"/>
          <w:numId w:val="1"/>
        </w:numPr>
        <w:autoSpaceDE w:val="0"/>
        <w:autoSpaceDN w:val="0"/>
        <w:adjustRightInd w:val="0"/>
        <w:spacing w:line="360" w:lineRule="auto"/>
        <w:jc w:val="both"/>
        <w:rPr>
          <w:rFonts w:ascii="Palatino Linotype" w:hAnsi="Palatino Linotype" w:cs="Arial"/>
        </w:rPr>
      </w:pPr>
      <w:r w:rsidRPr="00355D12">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355D12">
        <w:rPr>
          <w:rFonts w:ascii="Palatino Linotype" w:hAnsi="Palatino Linotype" w:cs="Arial"/>
          <w:b/>
          <w:bCs/>
        </w:rPr>
        <w:t>Sujetos Obligados.</w:t>
      </w:r>
    </w:p>
    <w:p w14:paraId="5667F407" w14:textId="77777777" w:rsidR="002A6687" w:rsidRPr="00355D12" w:rsidRDefault="002A6687" w:rsidP="002A6687">
      <w:pPr>
        <w:pStyle w:val="Prrafodelista"/>
        <w:autoSpaceDE w:val="0"/>
        <w:autoSpaceDN w:val="0"/>
        <w:adjustRightInd w:val="0"/>
        <w:spacing w:line="360" w:lineRule="auto"/>
        <w:ind w:left="720"/>
        <w:jc w:val="both"/>
        <w:rPr>
          <w:rFonts w:ascii="Palatino Linotype" w:hAnsi="Palatino Linotype" w:cs="Arial"/>
        </w:rPr>
      </w:pPr>
    </w:p>
    <w:p w14:paraId="3B4DFE39" w14:textId="6931C00A" w:rsidR="00FF54AF" w:rsidRPr="00355D12" w:rsidRDefault="00BC3641">
      <w:pPr>
        <w:pStyle w:val="Sinespaciado"/>
        <w:numPr>
          <w:ilvl w:val="0"/>
          <w:numId w:val="1"/>
        </w:numPr>
        <w:spacing w:line="360" w:lineRule="auto"/>
        <w:jc w:val="both"/>
      </w:pPr>
      <w:r w:rsidRPr="00355D12">
        <w:rPr>
          <w:rFonts w:ascii="Palatino Linotype" w:hAnsi="Palatino Linotype" w:cs="Arial"/>
        </w:rPr>
        <w:t>Que,</w:t>
      </w:r>
      <w:r w:rsidR="00F95FBD" w:rsidRPr="00355D12">
        <w:rPr>
          <w:rFonts w:ascii="Palatino Linotype" w:hAnsi="Palatino Linotype" w:cs="Arial"/>
        </w:rPr>
        <w:t xml:space="preserve"> </w:t>
      </w:r>
      <w:r w:rsidR="00A31E0A" w:rsidRPr="00355D12">
        <w:rPr>
          <w:rFonts w:ascii="Palatino Linotype" w:hAnsi="Palatino Linotype" w:cs="Arial"/>
        </w:rPr>
        <w:t>de una interpretación literal y gramatical a la solicitud de información, se advierte que únicamente fue</w:t>
      </w:r>
      <w:r w:rsidR="002A6687" w:rsidRPr="00355D12">
        <w:rPr>
          <w:rFonts w:ascii="Palatino Linotype" w:hAnsi="Palatino Linotype" w:cs="Arial"/>
        </w:rPr>
        <w:t xml:space="preserve"> formulado un requerimiento, respecto del cual </w:t>
      </w:r>
      <w:r w:rsidR="004E3919" w:rsidRPr="00355D12">
        <w:rPr>
          <w:rFonts w:ascii="Palatino Linotype" w:hAnsi="Palatino Linotype" w:cs="Arial"/>
        </w:rPr>
        <w:t xml:space="preserve">no fue señalado expresamente elemento temporal, </w:t>
      </w:r>
      <w:r w:rsidR="000A07F5" w:rsidRPr="00355D12">
        <w:rPr>
          <w:rFonts w:ascii="Palatino Linotype" w:hAnsi="Palatino Linotype" w:cs="Arial"/>
        </w:rPr>
        <w:t xml:space="preserve">debiendo de ser fijado al dieciséis de octubre de dos mil veinticinco, al corresponder a la fecha en que se ejerció el derecho de acceso a la información pública. </w:t>
      </w:r>
    </w:p>
    <w:p w14:paraId="3A1EA407" w14:textId="77777777" w:rsidR="00FF54AF" w:rsidRPr="00355D12" w:rsidRDefault="00FF54AF" w:rsidP="00FF54AF">
      <w:pPr>
        <w:pStyle w:val="Prrafodelista"/>
        <w:rPr>
          <w:rFonts w:ascii="Palatino Linotype" w:hAnsi="Palatino Linotype" w:cs="Arial"/>
        </w:rPr>
      </w:pPr>
    </w:p>
    <w:p w14:paraId="4B7829AC" w14:textId="77777777" w:rsidR="002A6687" w:rsidRPr="00355D12" w:rsidRDefault="002A6687" w:rsidP="002A6687">
      <w:pPr>
        <w:pStyle w:val="Prrafodelista"/>
      </w:pPr>
    </w:p>
    <w:p w14:paraId="51F7DCE8" w14:textId="77777777" w:rsidR="004F3DDC" w:rsidRPr="00355D12" w:rsidRDefault="004F3DDC">
      <w:pPr>
        <w:pStyle w:val="Prrafodelista"/>
        <w:numPr>
          <w:ilvl w:val="0"/>
          <w:numId w:val="4"/>
        </w:numPr>
        <w:spacing w:before="240" w:line="360" w:lineRule="auto"/>
        <w:jc w:val="both"/>
        <w:rPr>
          <w:rFonts w:ascii="Palatino Linotype" w:hAnsi="Palatino Linotype"/>
          <w:lang w:val="es-MX"/>
        </w:rPr>
      </w:pPr>
      <w:r w:rsidRPr="00355D12">
        <w:rPr>
          <w:rFonts w:ascii="Palatino Linotype" w:hAnsi="Palatino Linotype" w:cs="Arial"/>
        </w:rPr>
        <w:t xml:space="preserve">Que cuando los particulares no identifican </w:t>
      </w:r>
      <w:r w:rsidRPr="00355D12">
        <w:rPr>
          <w:rFonts w:ascii="Palatino Linotype" w:hAnsi="Palatino Linotype" w:cs="Arial"/>
          <w:lang w:val="es-MX"/>
        </w:rPr>
        <w:t xml:space="preserve">de forma </w:t>
      </w:r>
      <w:r w:rsidRPr="00355D12">
        <w:rPr>
          <w:rFonts w:ascii="Palatino Linotype" w:hAnsi="Palatino Linotype"/>
          <w:lang w:val="es-MX"/>
        </w:rPr>
        <w:t xml:space="preserve">precisa el documento requerido bastará con que se remita cualquiera que refleje la información requerida. Al respecto cobra relevancia el criterio emitido por el Órgano </w:t>
      </w:r>
      <w:r w:rsidRPr="00355D12">
        <w:rPr>
          <w:rFonts w:ascii="Palatino Linotype" w:hAnsi="Palatino Linotype"/>
          <w:lang w:val="es-MX"/>
        </w:rPr>
        <w:lastRenderedPageBreak/>
        <w:t xml:space="preserve">Garante Nacional con número </w:t>
      </w:r>
      <w:r w:rsidRPr="00355D12">
        <w:rPr>
          <w:rFonts w:ascii="Palatino Linotype" w:hAnsi="Palatino Linotype"/>
          <w:b/>
          <w:bCs/>
          <w:lang w:val="es-MX"/>
        </w:rPr>
        <w:t xml:space="preserve">16/17 </w:t>
      </w:r>
      <w:r w:rsidRPr="00355D12">
        <w:rPr>
          <w:rFonts w:ascii="Palatino Linotype" w:hAnsi="Palatino Linotype"/>
          <w:lang w:val="es-MX"/>
        </w:rPr>
        <w:t>cuyo rubro y texto disponen a la literalidad lo siguiente:</w:t>
      </w:r>
    </w:p>
    <w:p w14:paraId="2CE285DA" w14:textId="77777777" w:rsidR="004F3DDC" w:rsidRPr="00355D12" w:rsidRDefault="004F3DDC" w:rsidP="004F3DDC">
      <w:pPr>
        <w:pStyle w:val="Citas"/>
        <w:jc w:val="center"/>
        <w:rPr>
          <w:b/>
          <w:bCs/>
          <w:sz w:val="24"/>
          <w:szCs w:val="24"/>
        </w:rPr>
      </w:pPr>
      <w:r w:rsidRPr="00355D12">
        <w:rPr>
          <w:b/>
          <w:bCs/>
          <w:sz w:val="24"/>
          <w:szCs w:val="24"/>
        </w:rPr>
        <w:t>“EXPRESIÓN DOCUMENTAL.</w:t>
      </w:r>
    </w:p>
    <w:p w14:paraId="0935C04F" w14:textId="77777777" w:rsidR="004F3DDC" w:rsidRPr="00355D12" w:rsidRDefault="004F3DDC" w:rsidP="004F3DDC">
      <w:pPr>
        <w:pStyle w:val="Citas"/>
        <w:rPr>
          <w:szCs w:val="24"/>
        </w:rPr>
      </w:pPr>
      <w:r w:rsidRPr="00355D12">
        <w:rPr>
          <w:bCs/>
          <w:szCs w:val="24"/>
        </w:rPr>
        <w:t>Cuando</w:t>
      </w:r>
      <w:r w:rsidRPr="00355D12">
        <w:t xml:space="preserve"> los particulares presenten solicitudes de acceso a la información sin identificar de forma precisa la documentación que pudiera contener la información de su interés, </w:t>
      </w:r>
      <w:r w:rsidRPr="00355D12">
        <w:rPr>
          <w:szCs w:val="24"/>
        </w:rPr>
        <w:t>o bien, la solicitud constituya una consulta,</w:t>
      </w:r>
      <w:r w:rsidRPr="00355D12">
        <w:t xml:space="preserve"> pero la respuesta pudiera obrar en algún documento en poder de los sujetos obligados, éstos deben dar a dichas solicitudes una interpretación que les otorgue una expresión documental. </w:t>
      </w:r>
    </w:p>
    <w:p w14:paraId="6E1F4E72" w14:textId="77777777" w:rsidR="004F3DDC" w:rsidRPr="00355D12" w:rsidRDefault="004F3DDC" w:rsidP="004F3DDC">
      <w:pPr>
        <w:pStyle w:val="Citas"/>
        <w:rPr>
          <w:b/>
        </w:rPr>
      </w:pPr>
      <w:r w:rsidRPr="00355D12">
        <w:rPr>
          <w:b/>
        </w:rPr>
        <w:t>Precedentes:</w:t>
      </w:r>
    </w:p>
    <w:p w14:paraId="42114AA6" w14:textId="77777777" w:rsidR="004F3DDC" w:rsidRPr="00355D12" w:rsidRDefault="004F3DDC">
      <w:pPr>
        <w:pStyle w:val="Citas"/>
        <w:numPr>
          <w:ilvl w:val="0"/>
          <w:numId w:val="5"/>
        </w:numPr>
        <w:rPr>
          <w:color w:val="000000"/>
        </w:rPr>
      </w:pPr>
      <w:r w:rsidRPr="00355D12">
        <w:t xml:space="preserve">Acceso a la información pública. RRA 0774/16. Sesión del 31 de agosto de 2016. Votación por unanimidad. </w:t>
      </w:r>
      <w:r w:rsidRPr="00355D12">
        <w:rPr>
          <w:rFonts w:eastAsia="Arial"/>
        </w:rPr>
        <w:t>Sin votos disidentes o particulares.</w:t>
      </w:r>
      <w:r w:rsidRPr="00355D12">
        <w:t xml:space="preserve"> Secretaría de Salud. Comisionada Ponente María Patricia </w:t>
      </w:r>
      <w:proofErr w:type="spellStart"/>
      <w:r w:rsidRPr="00355D12">
        <w:t>Kurczyn</w:t>
      </w:r>
      <w:proofErr w:type="spellEnd"/>
      <w:r w:rsidRPr="00355D12">
        <w:t xml:space="preserve"> Villalobos.</w:t>
      </w:r>
    </w:p>
    <w:p w14:paraId="2C69970D" w14:textId="77777777" w:rsidR="004F3DDC" w:rsidRPr="00355D12" w:rsidRDefault="004F3DDC">
      <w:pPr>
        <w:pStyle w:val="Citas"/>
        <w:numPr>
          <w:ilvl w:val="0"/>
          <w:numId w:val="5"/>
        </w:numPr>
        <w:rPr>
          <w:color w:val="000000"/>
        </w:rPr>
      </w:pPr>
      <w:r w:rsidRPr="00355D12">
        <w:t xml:space="preserve">Acceso a la información pública. RRA 0143/17. Sesión del 22 de febrero de 2017. Votación por unanimidad. </w:t>
      </w:r>
      <w:r w:rsidRPr="00355D12">
        <w:rPr>
          <w:rFonts w:eastAsia="Arial"/>
        </w:rPr>
        <w:t>Sin votos disidentes o particulares.</w:t>
      </w:r>
      <w:r w:rsidRPr="00355D12">
        <w:t xml:space="preserve"> Universidad Autónoma Agraria Antonio Narro. Comisionado Ponente Oscar Mauricio Guerra Ford. </w:t>
      </w:r>
    </w:p>
    <w:p w14:paraId="69D491E8" w14:textId="77777777" w:rsidR="004F3DDC" w:rsidRPr="00355D12" w:rsidRDefault="004F3DDC">
      <w:pPr>
        <w:pStyle w:val="Citas"/>
        <w:numPr>
          <w:ilvl w:val="0"/>
          <w:numId w:val="5"/>
        </w:numPr>
        <w:rPr>
          <w:color w:val="000000"/>
        </w:rPr>
      </w:pPr>
      <w:r w:rsidRPr="00355D12">
        <w:t xml:space="preserve">Acceso a la información pública. RRA 0540/17. Sesión del 08 de marzo del 2017. Votación por unanimidad. </w:t>
      </w:r>
      <w:r w:rsidRPr="00355D12">
        <w:rPr>
          <w:rFonts w:eastAsia="Arial"/>
        </w:rPr>
        <w:t>Sin votos disidentes o particulares.</w:t>
      </w:r>
      <w:r w:rsidRPr="00355D12">
        <w:t xml:space="preserve"> Secretaría de Economía. Comisionado Ponente Francisco Javier Acuña Llamas. “ </w:t>
      </w:r>
      <w:r w:rsidRPr="00355D12">
        <w:rPr>
          <w:b/>
          <w:bCs/>
        </w:rPr>
        <w:t>(Sic)</w:t>
      </w:r>
    </w:p>
    <w:p w14:paraId="4A836A71" w14:textId="77777777" w:rsidR="00F95FBD" w:rsidRPr="00355D12" w:rsidRDefault="00F95FBD" w:rsidP="00F95FBD">
      <w:pPr>
        <w:autoSpaceDE w:val="0"/>
        <w:autoSpaceDN w:val="0"/>
        <w:adjustRightInd w:val="0"/>
        <w:spacing w:line="360" w:lineRule="auto"/>
        <w:jc w:val="both"/>
        <w:rPr>
          <w:rFonts w:ascii="Palatino Linotype" w:hAnsi="Palatino Linotype" w:cs="Arial"/>
        </w:rPr>
      </w:pPr>
    </w:p>
    <w:p w14:paraId="7D502D1C" w14:textId="77777777" w:rsidR="007E0EE4" w:rsidRPr="00355D12" w:rsidRDefault="007E0EE4" w:rsidP="007E0EE4">
      <w:pPr>
        <w:spacing w:before="240" w:line="360" w:lineRule="auto"/>
        <w:jc w:val="both"/>
        <w:rPr>
          <w:rFonts w:ascii="Palatino Linotype" w:hAnsi="Palatino Linotype"/>
          <w:sz w:val="24"/>
          <w:szCs w:val="24"/>
        </w:rPr>
      </w:pPr>
      <w:r w:rsidRPr="00355D12">
        <w:rPr>
          <w:rFonts w:ascii="Palatino Linotype" w:hAnsi="Palatino Linotype"/>
          <w:sz w:val="24"/>
          <w:szCs w:val="24"/>
        </w:rPr>
        <w:lastRenderedPageBreak/>
        <w:t xml:space="preserve">Dichas precisiones, con fundamento en los artículos 13 y 181 cuarto párrafo de la Ley en materia, los cuales a la letra rezan: </w:t>
      </w:r>
    </w:p>
    <w:p w14:paraId="07DF835C" w14:textId="77777777" w:rsidR="007E0EE4" w:rsidRPr="00355D12" w:rsidRDefault="007E0EE4" w:rsidP="007E0EE4">
      <w:pPr>
        <w:pStyle w:val="Citas"/>
      </w:pPr>
      <w:r w:rsidRPr="00355D12">
        <w:rPr>
          <w:b/>
          <w:bCs/>
        </w:rPr>
        <w:t xml:space="preserve">“Artículo 13. </w:t>
      </w:r>
      <w:r w:rsidRPr="00355D12">
        <w:t>El Instituto, en el ámbito de sus atribuciones, deberá suplir cualquier deficiencia para garantizar el ejercicio del derecho de acceso a la información.</w:t>
      </w:r>
    </w:p>
    <w:p w14:paraId="24BF2163" w14:textId="77777777" w:rsidR="007E0EE4" w:rsidRPr="00355D12" w:rsidRDefault="007E0EE4" w:rsidP="007E0EE4">
      <w:pPr>
        <w:pStyle w:val="Citas"/>
        <w:rPr>
          <w:b/>
        </w:rPr>
      </w:pPr>
      <w:r w:rsidRPr="00355D12">
        <w:rPr>
          <w:b/>
        </w:rPr>
        <w:t xml:space="preserve">Artículo 181. … </w:t>
      </w:r>
    </w:p>
    <w:p w14:paraId="537098F2" w14:textId="77777777" w:rsidR="007E0EE4" w:rsidRPr="00355D12" w:rsidRDefault="007E0EE4" w:rsidP="007E0EE4">
      <w:pPr>
        <w:pStyle w:val="Citas"/>
        <w:rPr>
          <w:b/>
        </w:rPr>
      </w:pPr>
      <w:r w:rsidRPr="00355D12">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355D12">
        <w:rPr>
          <w:b/>
        </w:rPr>
        <w:t>[Sic]</w:t>
      </w:r>
    </w:p>
    <w:p w14:paraId="4D58B213" w14:textId="0A76E595" w:rsidR="00D42445" w:rsidRPr="00355D12" w:rsidRDefault="00D42445" w:rsidP="007E0EE4">
      <w:pPr>
        <w:spacing w:before="240" w:line="360" w:lineRule="auto"/>
        <w:jc w:val="both"/>
        <w:rPr>
          <w:rFonts w:ascii="Palatino Linotype" w:hAnsi="Palatino Linotype"/>
          <w:sz w:val="24"/>
          <w:szCs w:val="24"/>
        </w:rPr>
      </w:pPr>
    </w:p>
    <w:p w14:paraId="1A2C71D7" w14:textId="3BFB1046" w:rsidR="007E0EE4" w:rsidRPr="00355D12" w:rsidRDefault="007E0EE4" w:rsidP="007E0EE4">
      <w:pPr>
        <w:spacing w:before="240" w:line="360" w:lineRule="auto"/>
        <w:jc w:val="both"/>
        <w:rPr>
          <w:rFonts w:ascii="Palatino Linotype" w:hAnsi="Palatino Linotype"/>
          <w:sz w:val="24"/>
          <w:szCs w:val="24"/>
        </w:rPr>
      </w:pPr>
      <w:r w:rsidRPr="00355D12">
        <w:rPr>
          <w:rFonts w:ascii="Palatino Linotype" w:hAnsi="Palatino Linotype"/>
          <w:sz w:val="24"/>
          <w:szCs w:val="24"/>
        </w:rPr>
        <w:t xml:space="preserve">Bajo estas líneas argumentativas, al retomar y delimitar los requerimientos formulados por el ahora </w:t>
      </w:r>
      <w:r w:rsidRPr="00355D12">
        <w:rPr>
          <w:rFonts w:ascii="Palatino Linotype" w:hAnsi="Palatino Linotype"/>
          <w:b/>
          <w:bCs/>
          <w:sz w:val="24"/>
          <w:szCs w:val="24"/>
        </w:rPr>
        <w:t xml:space="preserve">Recurrente, </w:t>
      </w:r>
      <w:r w:rsidRPr="00355D12">
        <w:rPr>
          <w:rFonts w:ascii="Palatino Linotype" w:hAnsi="Palatino Linotype"/>
          <w:sz w:val="24"/>
          <w:szCs w:val="24"/>
        </w:rPr>
        <w:t xml:space="preserve">de manera objetiva se precisa que versa en conocer la siguiente información: </w:t>
      </w:r>
    </w:p>
    <w:p w14:paraId="49C1A8F9" w14:textId="774A1A5F" w:rsidR="00C32607" w:rsidRPr="00355D12" w:rsidRDefault="004F3DDC">
      <w:pPr>
        <w:pStyle w:val="Prrafodelista"/>
        <w:numPr>
          <w:ilvl w:val="0"/>
          <w:numId w:val="2"/>
        </w:numPr>
        <w:autoSpaceDE w:val="0"/>
        <w:autoSpaceDN w:val="0"/>
        <w:adjustRightInd w:val="0"/>
        <w:spacing w:line="360" w:lineRule="auto"/>
        <w:jc w:val="both"/>
        <w:rPr>
          <w:rFonts w:ascii="Palatino Linotype" w:hAnsi="Palatino Linotype" w:cs="Arial"/>
        </w:rPr>
      </w:pPr>
      <w:r w:rsidRPr="00355D12">
        <w:rPr>
          <w:rFonts w:ascii="Palatino Linotype" w:hAnsi="Palatino Linotype" w:cs="Arial"/>
        </w:rPr>
        <w:t>El o los documentos donde conste</w:t>
      </w:r>
      <w:r w:rsidR="002A6687" w:rsidRPr="00355D12">
        <w:rPr>
          <w:rFonts w:ascii="Palatino Linotype" w:hAnsi="Palatino Linotype" w:cs="Arial"/>
        </w:rPr>
        <w:t xml:space="preserve"> </w:t>
      </w:r>
      <w:r w:rsidR="000A07F5" w:rsidRPr="00355D12">
        <w:rPr>
          <w:rFonts w:ascii="Palatino Linotype" w:hAnsi="Palatino Linotype" w:cs="Arial"/>
        </w:rPr>
        <w:t xml:space="preserve">información sobre el municipio de </w:t>
      </w:r>
      <w:proofErr w:type="spellStart"/>
      <w:r w:rsidR="000A07F5" w:rsidRPr="00355D12">
        <w:rPr>
          <w:rFonts w:ascii="Palatino Linotype" w:hAnsi="Palatino Linotype" w:cs="Arial"/>
        </w:rPr>
        <w:t>Capulhuac</w:t>
      </w:r>
      <w:proofErr w:type="spellEnd"/>
      <w:r w:rsidR="000A07F5" w:rsidRPr="00355D12">
        <w:rPr>
          <w:rFonts w:ascii="Palatino Linotype" w:hAnsi="Palatino Linotype" w:cs="Arial"/>
        </w:rPr>
        <w:t xml:space="preserve">, como su creación u otra, al dieciséis de octubre de dos mil veinticinco. </w:t>
      </w:r>
    </w:p>
    <w:p w14:paraId="66DDE039" w14:textId="77777777" w:rsidR="002A6687" w:rsidRPr="00355D12" w:rsidRDefault="002A6687" w:rsidP="005E74B7">
      <w:pPr>
        <w:spacing w:after="0" w:line="360" w:lineRule="auto"/>
        <w:jc w:val="both"/>
        <w:rPr>
          <w:rFonts w:ascii="Palatino Linotype" w:hAnsi="Palatino Linotype" w:cs="Arial"/>
          <w:sz w:val="24"/>
          <w:szCs w:val="24"/>
        </w:rPr>
      </w:pPr>
    </w:p>
    <w:p w14:paraId="5593ADE4" w14:textId="288DECC1" w:rsidR="004C221B" w:rsidRPr="00355D12" w:rsidRDefault="004C221B" w:rsidP="004C221B">
      <w:pPr>
        <w:spacing w:after="0" w:line="360" w:lineRule="auto"/>
        <w:jc w:val="both"/>
        <w:rPr>
          <w:rFonts w:ascii="Palatino Linotype" w:hAnsi="Palatino Linotype" w:cs="Arial"/>
          <w:noProof/>
          <w:color w:val="000000"/>
          <w:sz w:val="24"/>
          <w:lang w:eastAsia="es-MX"/>
        </w:rPr>
      </w:pPr>
      <w:r w:rsidRPr="00355D12">
        <w:rPr>
          <w:rFonts w:ascii="Palatino Linotype" w:hAnsi="Palatino Linotype" w:cs="Arial"/>
          <w:sz w:val="24"/>
          <w:szCs w:val="24"/>
        </w:rPr>
        <w:t xml:space="preserve">Bajo este contexto, a efecto de identificar las unidades administrativas competentes se traen a colación los </w:t>
      </w:r>
      <w:r w:rsidRPr="00355D12">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1D82DBCC" w14:textId="71AA7917" w:rsidR="004C221B" w:rsidRPr="00355D12" w:rsidRDefault="004C221B" w:rsidP="004C221B">
      <w:pPr>
        <w:tabs>
          <w:tab w:val="left" w:pos="709"/>
        </w:tabs>
        <w:spacing w:before="240" w:line="360" w:lineRule="auto"/>
        <w:ind w:left="851" w:right="851"/>
        <w:jc w:val="both"/>
        <w:rPr>
          <w:rFonts w:ascii="Palatino Linotype" w:hAnsi="Palatino Linotype"/>
          <w:i/>
        </w:rPr>
      </w:pPr>
      <w:r w:rsidRPr="00355D12">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4036DE07" w14:textId="1261C2C7" w:rsidR="004C221B" w:rsidRPr="00355D12" w:rsidRDefault="004C221B" w:rsidP="004C221B">
      <w:pPr>
        <w:tabs>
          <w:tab w:val="left" w:pos="709"/>
        </w:tabs>
        <w:spacing w:before="240" w:line="360" w:lineRule="auto"/>
        <w:ind w:left="851" w:right="851"/>
        <w:jc w:val="both"/>
        <w:rPr>
          <w:rFonts w:ascii="Palatino Linotype" w:hAnsi="Palatino Linotype"/>
          <w:i/>
        </w:rPr>
      </w:pPr>
      <w:r w:rsidRPr="00355D12">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C6652E0" w14:textId="78AABBC4" w:rsidR="004C221B" w:rsidRPr="00355D12" w:rsidRDefault="004C221B" w:rsidP="004C221B">
      <w:pPr>
        <w:tabs>
          <w:tab w:val="left" w:pos="709"/>
        </w:tabs>
        <w:spacing w:before="240" w:line="360" w:lineRule="auto"/>
        <w:ind w:left="851" w:right="851"/>
        <w:jc w:val="both"/>
        <w:rPr>
          <w:rFonts w:ascii="Palatino Linotype" w:hAnsi="Palatino Linotype"/>
          <w:i/>
        </w:rPr>
      </w:pPr>
      <w:r w:rsidRPr="00355D12">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8A37A7" w14:textId="2E8EEFA1" w:rsidR="004C221B" w:rsidRPr="00355D12" w:rsidRDefault="004C221B" w:rsidP="004C221B">
      <w:pPr>
        <w:pStyle w:val="INFOEM"/>
      </w:pPr>
      <w:r w:rsidRPr="00355D12">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A85DA15" w14:textId="464EEACB" w:rsidR="004C221B" w:rsidRPr="00355D12" w:rsidRDefault="004C221B" w:rsidP="004C221B">
      <w:pPr>
        <w:pStyle w:val="INFOEM"/>
        <w:rPr>
          <w:b/>
        </w:rPr>
      </w:pPr>
      <w:r w:rsidRPr="00355D12">
        <w:t xml:space="preserve"> (…)” </w:t>
      </w:r>
      <w:r w:rsidR="004E3919" w:rsidRPr="00355D12">
        <w:rPr>
          <w:b/>
        </w:rPr>
        <w:t>(Sic)</w:t>
      </w:r>
    </w:p>
    <w:p w14:paraId="0C0C3E5C" w14:textId="7E96B2CB" w:rsidR="004C221B" w:rsidRPr="00355D12" w:rsidRDefault="004C221B" w:rsidP="004C221B">
      <w:pPr>
        <w:autoSpaceDE w:val="0"/>
        <w:autoSpaceDN w:val="0"/>
        <w:adjustRightInd w:val="0"/>
        <w:spacing w:line="360" w:lineRule="auto"/>
        <w:jc w:val="both"/>
        <w:rPr>
          <w:rFonts w:ascii="Palatino Linotype" w:hAnsi="Palatino Linotype"/>
          <w:sz w:val="24"/>
          <w:szCs w:val="24"/>
        </w:rPr>
      </w:pPr>
    </w:p>
    <w:p w14:paraId="4CC10405" w14:textId="7B2BAF14" w:rsidR="004C221B" w:rsidRPr="00355D12" w:rsidRDefault="004C221B" w:rsidP="004C221B">
      <w:pPr>
        <w:autoSpaceDE w:val="0"/>
        <w:autoSpaceDN w:val="0"/>
        <w:adjustRightInd w:val="0"/>
        <w:spacing w:line="360" w:lineRule="auto"/>
        <w:jc w:val="both"/>
        <w:rPr>
          <w:rFonts w:ascii="Palatino Linotype" w:hAnsi="Palatino Linotype"/>
          <w:b/>
          <w:bCs/>
          <w:sz w:val="24"/>
          <w:szCs w:val="24"/>
        </w:rPr>
      </w:pPr>
      <w:r w:rsidRPr="00355D12">
        <w:rPr>
          <w:rFonts w:ascii="Palatino Linotype" w:hAnsi="Palatino Linotype"/>
          <w:sz w:val="24"/>
          <w:szCs w:val="24"/>
        </w:rPr>
        <w:t xml:space="preserve">Resulta oportuno traer a colación las siguientes imágenes ilustrativas, correspondientes al organigrama del </w:t>
      </w:r>
      <w:r w:rsidRPr="00355D12">
        <w:rPr>
          <w:rFonts w:ascii="Palatino Linotype" w:hAnsi="Palatino Linotype"/>
          <w:b/>
          <w:bCs/>
          <w:sz w:val="24"/>
          <w:szCs w:val="24"/>
        </w:rPr>
        <w:t xml:space="preserve">Sujeto Obligado: </w:t>
      </w:r>
    </w:p>
    <w:p w14:paraId="2A09A2DA" w14:textId="559922B7" w:rsidR="004C221B" w:rsidRPr="00355D12" w:rsidRDefault="00497BD1" w:rsidP="00615089">
      <w:pPr>
        <w:spacing w:after="0" w:line="360" w:lineRule="auto"/>
        <w:jc w:val="both"/>
        <w:rPr>
          <w:rFonts w:ascii="Palatino Linotype" w:hAnsi="Palatino Linotype" w:cs="Arial"/>
          <w:sz w:val="24"/>
          <w:szCs w:val="24"/>
        </w:rPr>
      </w:pPr>
      <w:r w:rsidRPr="00355D12">
        <w:rPr>
          <w:rFonts w:ascii="Palatino Linotype" w:hAnsi="Palatino Linotype" w:cs="Arial"/>
          <w:noProof/>
          <w:sz w:val="24"/>
          <w:szCs w:val="24"/>
          <w:lang w:eastAsia="es-MX"/>
        </w:rPr>
        <w:lastRenderedPageBreak/>
        <mc:AlternateContent>
          <mc:Choice Requires="wps">
            <w:drawing>
              <wp:anchor distT="0" distB="0" distL="114300" distR="114300" simplePos="0" relativeHeight="251844598" behindDoc="0" locked="0" layoutInCell="1" allowOverlap="1" wp14:anchorId="6ED5B90B" wp14:editId="7FF29C3D">
                <wp:simplePos x="0" y="0"/>
                <wp:positionH relativeFrom="column">
                  <wp:posOffset>320773</wp:posOffset>
                </wp:positionH>
                <wp:positionV relativeFrom="paragraph">
                  <wp:posOffset>5739081</wp:posOffset>
                </wp:positionV>
                <wp:extent cx="5216769" cy="345831"/>
                <wp:effectExtent l="0" t="0" r="22225" b="16510"/>
                <wp:wrapNone/>
                <wp:docPr id="957156808" name="Rectangle 3"/>
                <wp:cNvGraphicFramePr/>
                <a:graphic xmlns:a="http://schemas.openxmlformats.org/drawingml/2006/main">
                  <a:graphicData uri="http://schemas.microsoft.com/office/word/2010/wordprocessingShape">
                    <wps:wsp>
                      <wps:cNvSpPr/>
                      <wps:spPr>
                        <a:xfrm>
                          <a:off x="0" y="0"/>
                          <a:ext cx="5216769" cy="345831"/>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78045C0" id="Rectangle 3" o:spid="_x0000_s1026" style="position:absolute;margin-left:25.25pt;margin-top:451.9pt;width:410.75pt;height:27.25pt;z-index:2518445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" filled="f" strokecolor="#e00" strokeweight="1.25pt"/>
            </w:pict>
          </mc:Fallback>
        </mc:AlternateContent>
      </w:r>
      <w:r w:rsidRPr="00355D12">
        <w:rPr>
          <w:rFonts w:ascii="Palatino Linotype" w:hAnsi="Palatino Linotype" w:cs="Arial"/>
          <w:noProof/>
          <w:sz w:val="24"/>
          <w:szCs w:val="24"/>
          <w:lang w:eastAsia="es-MX"/>
        </w:rPr>
        <w:drawing>
          <wp:anchor distT="0" distB="0" distL="114300" distR="114300" simplePos="0" relativeHeight="251843574" behindDoc="0" locked="0" layoutInCell="1" allowOverlap="1" wp14:anchorId="7D1893F9" wp14:editId="22289106">
            <wp:simplePos x="0" y="0"/>
            <wp:positionH relativeFrom="page">
              <wp:align>center</wp:align>
            </wp:positionH>
            <wp:positionV relativeFrom="paragraph">
              <wp:posOffset>3806825</wp:posOffset>
            </wp:positionV>
            <wp:extent cx="5760720" cy="3492500"/>
            <wp:effectExtent l="19050" t="19050" r="11430" b="12700"/>
            <wp:wrapThrough wrapText="bothSides">
              <wp:wrapPolygon edited="0">
                <wp:start x="-71" y="-118"/>
                <wp:lineTo x="-71" y="21561"/>
                <wp:lineTo x="21571" y="21561"/>
                <wp:lineTo x="21571" y="-118"/>
                <wp:lineTo x="-71" y="-118"/>
              </wp:wrapPolygon>
            </wp:wrapThrough>
            <wp:docPr id="152104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47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9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55D12">
        <w:rPr>
          <w:rFonts w:ascii="Palatino Linotype" w:hAnsi="Palatino Linotype" w:cs="Arial"/>
          <w:noProof/>
          <w:sz w:val="24"/>
          <w:szCs w:val="24"/>
          <w:lang w:eastAsia="es-MX"/>
        </w:rPr>
        <w:drawing>
          <wp:anchor distT="0" distB="0" distL="114300" distR="114300" simplePos="0" relativeHeight="251842550" behindDoc="0" locked="0" layoutInCell="1" allowOverlap="1" wp14:anchorId="52EB9CE1" wp14:editId="2ED7A6D9">
            <wp:simplePos x="0" y="0"/>
            <wp:positionH relativeFrom="page">
              <wp:align>center</wp:align>
            </wp:positionH>
            <wp:positionV relativeFrom="paragraph">
              <wp:posOffset>19050</wp:posOffset>
            </wp:positionV>
            <wp:extent cx="5760720" cy="3492500"/>
            <wp:effectExtent l="19050" t="19050" r="11430" b="12700"/>
            <wp:wrapThrough wrapText="bothSides">
              <wp:wrapPolygon edited="0">
                <wp:start x="-71" y="-118"/>
                <wp:lineTo x="-71" y="21561"/>
                <wp:lineTo x="21571" y="21561"/>
                <wp:lineTo x="21571" y="-118"/>
                <wp:lineTo x="-71" y="-118"/>
              </wp:wrapPolygon>
            </wp:wrapThrough>
            <wp:docPr id="6917842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84289"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9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5C6955" w14:textId="2873C73A" w:rsidR="00D42445" w:rsidRPr="00355D12" w:rsidRDefault="0081468E" w:rsidP="00E8308B">
      <w:pPr>
        <w:autoSpaceDE w:val="0"/>
        <w:autoSpaceDN w:val="0"/>
        <w:adjustRightInd w:val="0"/>
        <w:spacing w:before="240" w:line="360" w:lineRule="auto"/>
        <w:jc w:val="both"/>
        <w:rPr>
          <w:rFonts w:ascii="Palatino Linotype" w:hAnsi="Palatino Linotype" w:cs="Arial"/>
          <w:sz w:val="24"/>
          <w:szCs w:val="24"/>
        </w:rPr>
      </w:pPr>
      <w:r w:rsidRPr="00355D12">
        <w:rPr>
          <w:rFonts w:ascii="Palatino Linotype" w:hAnsi="Palatino Linotype" w:cs="Arial"/>
          <w:sz w:val="24"/>
          <w:szCs w:val="24"/>
        </w:rPr>
        <w:lastRenderedPageBreak/>
        <w:t>D</w:t>
      </w:r>
      <w:r w:rsidR="009C5799" w:rsidRPr="00355D12">
        <w:rPr>
          <w:rFonts w:ascii="Palatino Linotype" w:hAnsi="Palatino Linotype" w:cs="Arial"/>
          <w:sz w:val="24"/>
          <w:szCs w:val="24"/>
        </w:rPr>
        <w:t xml:space="preserve">e lo expuesto con anterioridad, se desprende que </w:t>
      </w:r>
      <w:r w:rsidR="009C5799" w:rsidRPr="00355D12">
        <w:rPr>
          <w:rFonts w:ascii="Palatino Linotype" w:hAnsi="Palatino Linotype" w:cs="Arial"/>
          <w:b/>
          <w:bCs/>
          <w:sz w:val="24"/>
          <w:szCs w:val="24"/>
        </w:rPr>
        <w:t xml:space="preserve">El Sujeto Obligado </w:t>
      </w:r>
      <w:r w:rsidR="009C5799" w:rsidRPr="00355D12">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sidRPr="00355D12">
        <w:rPr>
          <w:rFonts w:ascii="Palatino Linotype" w:hAnsi="Palatino Linotype" w:cs="Arial"/>
          <w:sz w:val="24"/>
          <w:szCs w:val="24"/>
        </w:rPr>
        <w:t xml:space="preserve">la </w:t>
      </w:r>
      <w:r w:rsidR="00497BD1" w:rsidRPr="00355D12">
        <w:rPr>
          <w:rFonts w:ascii="Palatino Linotype" w:hAnsi="Palatino Linotype" w:cs="Arial"/>
          <w:sz w:val="24"/>
          <w:szCs w:val="24"/>
        </w:rPr>
        <w:t xml:space="preserve">Secretaría del Ayuntamiento. </w:t>
      </w:r>
      <w:r w:rsidRPr="00355D12">
        <w:rPr>
          <w:rFonts w:ascii="Palatino Linotype" w:hAnsi="Palatino Linotype" w:cs="Arial"/>
          <w:sz w:val="24"/>
          <w:szCs w:val="24"/>
        </w:rPr>
        <w:t xml:space="preserve"> </w:t>
      </w:r>
    </w:p>
    <w:p w14:paraId="55DED087" w14:textId="0A87C416" w:rsidR="00497BD1" w:rsidRPr="00355D12" w:rsidRDefault="00D42445" w:rsidP="0081468E">
      <w:pPr>
        <w:spacing w:after="0" w:line="360" w:lineRule="auto"/>
        <w:jc w:val="both"/>
        <w:rPr>
          <w:rFonts w:ascii="Palatino Linotype" w:hAnsi="Palatino Linotype" w:cs="Arial"/>
          <w:sz w:val="24"/>
          <w:szCs w:val="24"/>
        </w:rPr>
      </w:pPr>
      <w:r w:rsidRPr="00355D12">
        <w:rPr>
          <w:rFonts w:ascii="Palatino Linotype" w:hAnsi="Palatino Linotype" w:cs="Arial"/>
          <w:sz w:val="24"/>
          <w:szCs w:val="24"/>
        </w:rPr>
        <w:t xml:space="preserve">En virtud de lo anterior, para delimitar las fronteras conceptuales de las unidades administrativas en cita, resulta oportuno traer a colación </w:t>
      </w:r>
      <w:r w:rsidR="00497BD1" w:rsidRPr="00355D12">
        <w:rPr>
          <w:rFonts w:ascii="Palatino Linotype" w:hAnsi="Palatino Linotype" w:cs="Arial"/>
          <w:sz w:val="24"/>
          <w:szCs w:val="24"/>
        </w:rPr>
        <w:t xml:space="preserve">los artículos 91, 147 P y 147 S de la Ley Orgánica Municipal del Estado de México, así como el numeral 54 del Bando municipal de </w:t>
      </w:r>
      <w:proofErr w:type="spellStart"/>
      <w:r w:rsidR="00497BD1" w:rsidRPr="00355D12">
        <w:rPr>
          <w:rFonts w:ascii="Palatino Linotype" w:hAnsi="Palatino Linotype" w:cs="Arial"/>
          <w:sz w:val="24"/>
          <w:szCs w:val="24"/>
        </w:rPr>
        <w:t>Capulhuac</w:t>
      </w:r>
      <w:proofErr w:type="spellEnd"/>
      <w:r w:rsidR="00497BD1" w:rsidRPr="00355D12">
        <w:rPr>
          <w:rFonts w:ascii="Palatino Linotype" w:hAnsi="Palatino Linotype" w:cs="Arial"/>
          <w:sz w:val="24"/>
          <w:szCs w:val="24"/>
        </w:rPr>
        <w:t xml:space="preserve">, porciones normativas que disponen a la literalidad lo siguiente: </w:t>
      </w:r>
    </w:p>
    <w:p w14:paraId="721F73B9" w14:textId="25CAF8B3" w:rsidR="00497BD1" w:rsidRPr="00355D12" w:rsidRDefault="00497BD1" w:rsidP="00497BD1">
      <w:pPr>
        <w:pStyle w:val="Citas"/>
        <w:jc w:val="center"/>
        <w:rPr>
          <w:b/>
          <w:bCs/>
          <w:i w:val="0"/>
          <w:iCs/>
        </w:rPr>
      </w:pPr>
      <w:r w:rsidRPr="00355D12">
        <w:rPr>
          <w:b/>
          <w:bCs/>
          <w:i w:val="0"/>
          <w:iCs/>
        </w:rPr>
        <w:t>LEY ORGÁNICA MUNICIPAL DEL ESTADO DE MÉXICO</w:t>
      </w:r>
    </w:p>
    <w:p w14:paraId="7DBA2098" w14:textId="01150A55" w:rsidR="00497BD1" w:rsidRPr="00355D12" w:rsidRDefault="00497BD1" w:rsidP="00497BD1">
      <w:pPr>
        <w:pStyle w:val="Citas"/>
      </w:pPr>
      <w:r w:rsidRPr="00355D12">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C363102" w14:textId="735E6544" w:rsidR="00497BD1" w:rsidRPr="00355D12" w:rsidRDefault="00497BD1" w:rsidP="00497BD1">
      <w:pPr>
        <w:pStyle w:val="Citas"/>
      </w:pPr>
      <w:r w:rsidRPr="00355D12">
        <w:t>(…)</w:t>
      </w:r>
    </w:p>
    <w:p w14:paraId="00E97B62" w14:textId="6B3E2E5E" w:rsidR="00497BD1" w:rsidRPr="00355D12" w:rsidRDefault="00497BD1" w:rsidP="00497BD1">
      <w:pPr>
        <w:pStyle w:val="Citas"/>
      </w:pPr>
      <w:r w:rsidRPr="00355D12">
        <w:t>VI. Tener a su cargo el archivo general del ayuntamiento</w:t>
      </w:r>
    </w:p>
    <w:p w14:paraId="46163B3E" w14:textId="1C90D793" w:rsidR="00497BD1" w:rsidRPr="00355D12" w:rsidRDefault="00497BD1" w:rsidP="00497BD1">
      <w:pPr>
        <w:pStyle w:val="Citas"/>
      </w:pPr>
      <w:r w:rsidRPr="00355D12">
        <w:t>(…)</w:t>
      </w:r>
    </w:p>
    <w:p w14:paraId="47D06EB5" w14:textId="6BFF6710" w:rsidR="00497BD1" w:rsidRPr="00355D12" w:rsidRDefault="00497BD1" w:rsidP="00497BD1">
      <w:pPr>
        <w:pStyle w:val="Citas"/>
      </w:pPr>
      <w:r w:rsidRPr="00355D12">
        <w:t>Artículo 147 P. Se entenderá por Cronista Municipal, a la persona que de manera responsable y objetiva tiene a su cargo la elaboración de la crónica sobre los hechos y acontecimientos históricos, así como los sucesos más relevantes acontecidos en el municipio. La crónica municipal será pública y formará parte del archivo municipal.</w:t>
      </w:r>
    </w:p>
    <w:p w14:paraId="2F658627" w14:textId="349AEF9F" w:rsidR="00497BD1" w:rsidRPr="00355D12" w:rsidRDefault="00497BD1" w:rsidP="00497BD1">
      <w:pPr>
        <w:pStyle w:val="Citas"/>
      </w:pPr>
      <w:r w:rsidRPr="00355D12">
        <w:lastRenderedPageBreak/>
        <w:t>En cada municipio, el ayuntamiento respectivo, mediante acuerdo de cabildo, expedirá, dentro de los primeros 120 días de la administración municipal, la convocatoria pública y abierta a toda la población para designar al Cronista Municipal.</w:t>
      </w:r>
    </w:p>
    <w:p w14:paraId="66880BA1" w14:textId="054DCAAA" w:rsidR="00497BD1" w:rsidRPr="00355D12" w:rsidRDefault="00497BD1" w:rsidP="00497BD1">
      <w:pPr>
        <w:pStyle w:val="Citas"/>
      </w:pPr>
      <w:r w:rsidRPr="00355D12">
        <w:t>El ayuntamiento garantizará que se publique y difunda en los lugares de mayor afluencia del municipio, durante un periodo no menor a 15 y no mayor a 20 días naturales. Además, se deberá publicar en medios oficiales de comunicación electrónica disponibles y en un periódico de mayor circulación en el territorio municipal.</w:t>
      </w:r>
    </w:p>
    <w:p w14:paraId="340A1575" w14:textId="77777777" w:rsidR="00497BD1" w:rsidRPr="00355D12" w:rsidRDefault="00497BD1" w:rsidP="00497BD1">
      <w:pPr>
        <w:pStyle w:val="Citas"/>
      </w:pPr>
      <w:r w:rsidRPr="00355D12">
        <w:t>Artículo 147 S.- El Cronista Municipal tendrá, entre otras funciones, las siguientes:</w:t>
      </w:r>
    </w:p>
    <w:p w14:paraId="66920A3E" w14:textId="1C853B52" w:rsidR="00497BD1" w:rsidRPr="00355D12" w:rsidRDefault="00497BD1" w:rsidP="00497BD1">
      <w:pPr>
        <w:pStyle w:val="Citas"/>
      </w:pPr>
      <w:r w:rsidRPr="00355D12">
        <w:t>(…)</w:t>
      </w:r>
    </w:p>
    <w:p w14:paraId="309E12AD" w14:textId="3A231C0B" w:rsidR="00497BD1" w:rsidRPr="00355D12" w:rsidRDefault="00497BD1" w:rsidP="00497BD1">
      <w:pPr>
        <w:pStyle w:val="Citas"/>
        <w:rPr>
          <w:b/>
          <w:bCs/>
        </w:rPr>
      </w:pPr>
      <w:r w:rsidRPr="00355D12">
        <w:t xml:space="preserve">III. Promover el rescate, organización y conservación de los archivos históricos del municipio para el conocimiento de la población;” </w:t>
      </w:r>
      <w:r w:rsidRPr="00355D12">
        <w:rPr>
          <w:b/>
          <w:bCs/>
        </w:rPr>
        <w:t>(Sic)</w:t>
      </w:r>
    </w:p>
    <w:p w14:paraId="0CB01519" w14:textId="77777777" w:rsidR="00497BD1" w:rsidRPr="00355D12" w:rsidRDefault="00497BD1" w:rsidP="00497BD1">
      <w:pPr>
        <w:pStyle w:val="Citas"/>
        <w:rPr>
          <w:b/>
          <w:bCs/>
        </w:rPr>
      </w:pPr>
    </w:p>
    <w:p w14:paraId="04020467" w14:textId="4D0ECE40" w:rsidR="00497BD1" w:rsidRPr="00355D12" w:rsidRDefault="00497BD1" w:rsidP="00497BD1">
      <w:pPr>
        <w:pStyle w:val="Citas"/>
        <w:jc w:val="center"/>
        <w:rPr>
          <w:b/>
          <w:bCs/>
          <w:i w:val="0"/>
          <w:iCs/>
        </w:rPr>
      </w:pPr>
      <w:r w:rsidRPr="00355D12">
        <w:rPr>
          <w:b/>
          <w:bCs/>
          <w:i w:val="0"/>
          <w:iCs/>
        </w:rPr>
        <w:t>BANDO MUNICIPAL DE CAPULHUAC</w:t>
      </w:r>
    </w:p>
    <w:p w14:paraId="4EC939E0" w14:textId="6E16F052" w:rsidR="00497BD1" w:rsidRPr="00355D12" w:rsidRDefault="00497BD1" w:rsidP="00497BD1">
      <w:pPr>
        <w:pStyle w:val="Citas"/>
      </w:pPr>
      <w:r w:rsidRPr="00355D12">
        <w:t>“Artículo 54. Además de las que le señale la Ley Orgánica Municipal del Estado de México y otros ordenamientos aplicables la Secretaría del Ayuntamiento, tendrá entre otras las siguientes</w:t>
      </w:r>
      <w:r w:rsidR="0006222F" w:rsidRPr="00355D12">
        <w:t xml:space="preserve"> </w:t>
      </w:r>
      <w:r w:rsidRPr="00355D12">
        <w:t>atribuciones:</w:t>
      </w:r>
    </w:p>
    <w:p w14:paraId="5439895F" w14:textId="1F9C62CA" w:rsidR="00497BD1" w:rsidRPr="00355D12" w:rsidRDefault="00497BD1" w:rsidP="00497BD1">
      <w:pPr>
        <w:pStyle w:val="Citas"/>
      </w:pPr>
      <w:r w:rsidRPr="00355D12">
        <w:t>I. Validar con su firma, los documentos oficiales emanados del Ayuntamiento y de</w:t>
      </w:r>
      <w:r w:rsidR="0006222F" w:rsidRPr="00355D12">
        <w:t xml:space="preserve"> </w:t>
      </w:r>
      <w:r w:rsidRPr="00355D12">
        <w:t>cualquiera de sus miembros;</w:t>
      </w:r>
    </w:p>
    <w:p w14:paraId="2DBC6DB1" w14:textId="410FE453" w:rsidR="00497BD1" w:rsidRPr="00355D12" w:rsidRDefault="00497BD1" w:rsidP="00497BD1">
      <w:pPr>
        <w:pStyle w:val="Citas"/>
      </w:pPr>
      <w:r w:rsidRPr="00355D12">
        <w:lastRenderedPageBreak/>
        <w:t>II. Tener a su cargo el Archivo General del Ayuntamiento y el Archivo Histórico del</w:t>
      </w:r>
      <w:r w:rsidR="0006222F" w:rsidRPr="00355D12">
        <w:t xml:space="preserve"> </w:t>
      </w:r>
      <w:r w:rsidRPr="00355D12">
        <w:t>Municipio</w:t>
      </w:r>
    </w:p>
    <w:p w14:paraId="77A7883A" w14:textId="3801DDA1" w:rsidR="00497BD1" w:rsidRPr="00355D12" w:rsidRDefault="00497BD1" w:rsidP="00497BD1">
      <w:pPr>
        <w:pStyle w:val="Citas"/>
      </w:pPr>
      <w:r w:rsidRPr="00355D12">
        <w:t>(…)</w:t>
      </w:r>
    </w:p>
    <w:p w14:paraId="34D015D7" w14:textId="6A1ADF8D" w:rsidR="00497BD1" w:rsidRPr="00355D12" w:rsidRDefault="00497BD1" w:rsidP="00497BD1">
      <w:pPr>
        <w:pStyle w:val="Citas"/>
      </w:pPr>
      <w:r w:rsidRPr="00355D12">
        <w:t>Para la correcta ejecución de las funciones encomendadas a la Secretaría del Ayuntamiento</w:t>
      </w:r>
      <w:r w:rsidR="0006222F" w:rsidRPr="00355D12">
        <w:t xml:space="preserve"> </w:t>
      </w:r>
      <w:r w:rsidRPr="00355D12">
        <w:t>Municipal, en términos de lo que señala la Ley Orgánica Municipal, se auxiliará de las siguientes</w:t>
      </w:r>
      <w:r w:rsidR="0006222F" w:rsidRPr="00355D12">
        <w:t xml:space="preserve"> </w:t>
      </w:r>
      <w:r w:rsidRPr="00355D12">
        <w:t>áreas administrativas:</w:t>
      </w:r>
    </w:p>
    <w:p w14:paraId="2DE2A9F4" w14:textId="77777777" w:rsidR="00497BD1" w:rsidRPr="00355D12" w:rsidRDefault="00497BD1" w:rsidP="00497BD1">
      <w:pPr>
        <w:pStyle w:val="Citas"/>
      </w:pPr>
      <w:r w:rsidRPr="00355D12">
        <w:t>a) Oficialía de Registro Civil;</w:t>
      </w:r>
    </w:p>
    <w:p w14:paraId="6B9ECF1A" w14:textId="77777777" w:rsidR="00497BD1" w:rsidRPr="00355D12" w:rsidRDefault="00497BD1" w:rsidP="00497BD1">
      <w:pPr>
        <w:pStyle w:val="Citas"/>
      </w:pPr>
      <w:r w:rsidRPr="00355D12">
        <w:t>b) Juzgado Cívico;</w:t>
      </w:r>
    </w:p>
    <w:p w14:paraId="467C1401" w14:textId="77777777" w:rsidR="00497BD1" w:rsidRPr="00355D12" w:rsidRDefault="00497BD1" w:rsidP="00497BD1">
      <w:pPr>
        <w:pStyle w:val="Citas"/>
      </w:pPr>
      <w:r w:rsidRPr="00355D12">
        <w:t>c) Coordinación de Control Patrimonial;</w:t>
      </w:r>
    </w:p>
    <w:p w14:paraId="21183212" w14:textId="77777777" w:rsidR="00497BD1" w:rsidRPr="00355D12" w:rsidRDefault="00497BD1" w:rsidP="00497BD1">
      <w:pPr>
        <w:pStyle w:val="Citas"/>
        <w:rPr>
          <w:b/>
          <w:bCs/>
          <w:u w:val="single"/>
        </w:rPr>
      </w:pPr>
      <w:r w:rsidRPr="00355D12">
        <w:rPr>
          <w:b/>
          <w:bCs/>
          <w:u w:val="single"/>
        </w:rPr>
        <w:t>d) Coordinación de Archivo Municipal; y</w:t>
      </w:r>
    </w:p>
    <w:p w14:paraId="2FCB3021" w14:textId="1562C073" w:rsidR="00497BD1" w:rsidRPr="00355D12" w:rsidRDefault="00497BD1" w:rsidP="00497BD1">
      <w:pPr>
        <w:pStyle w:val="Citas"/>
        <w:rPr>
          <w:b/>
          <w:bCs/>
        </w:rPr>
      </w:pPr>
      <w:r w:rsidRPr="00355D12">
        <w:t>e) Junta Municipal de Reclutamiento</w:t>
      </w:r>
      <w:r w:rsidR="0006222F" w:rsidRPr="00355D12">
        <w:t xml:space="preserve">” </w:t>
      </w:r>
      <w:r w:rsidR="0006222F" w:rsidRPr="00355D12">
        <w:rPr>
          <w:b/>
          <w:bCs/>
        </w:rPr>
        <w:t>(Sic)</w:t>
      </w:r>
    </w:p>
    <w:p w14:paraId="25B4F229" w14:textId="77777777" w:rsidR="00497BD1" w:rsidRPr="00355D12" w:rsidRDefault="00497BD1" w:rsidP="0081468E">
      <w:pPr>
        <w:spacing w:after="0" w:line="360" w:lineRule="auto"/>
        <w:jc w:val="both"/>
        <w:rPr>
          <w:rFonts w:ascii="Palatino Linotype" w:hAnsi="Palatino Linotype" w:cs="Arial"/>
          <w:sz w:val="24"/>
          <w:szCs w:val="24"/>
        </w:rPr>
      </w:pPr>
    </w:p>
    <w:p w14:paraId="75D8B746" w14:textId="4F430859" w:rsidR="00BA4081" w:rsidRPr="00355D12" w:rsidRDefault="004C133E" w:rsidP="00E3775F">
      <w:pPr>
        <w:autoSpaceDE w:val="0"/>
        <w:autoSpaceDN w:val="0"/>
        <w:adjustRightInd w:val="0"/>
        <w:spacing w:before="240" w:line="360" w:lineRule="auto"/>
        <w:jc w:val="both"/>
        <w:rPr>
          <w:rFonts w:ascii="Palatino Linotype" w:hAnsi="Palatino Linotype"/>
          <w:sz w:val="24"/>
          <w:szCs w:val="24"/>
        </w:rPr>
      </w:pPr>
      <w:r w:rsidRPr="00355D12">
        <w:rPr>
          <w:rFonts w:ascii="Palatino Linotype" w:hAnsi="Palatino Linotype"/>
          <w:sz w:val="24"/>
          <w:szCs w:val="24"/>
        </w:rPr>
        <w:t xml:space="preserve">Hasta aquí lo expuesto, </w:t>
      </w:r>
      <w:r w:rsidR="00E3775F" w:rsidRPr="00355D12">
        <w:rPr>
          <w:rFonts w:ascii="Palatino Linotype" w:hAnsi="Palatino Linotype"/>
          <w:sz w:val="24"/>
          <w:szCs w:val="24"/>
        </w:rPr>
        <w:t>se arriba a la premisa de que el Secretario del Ayuntamiento tiene competencia para integrar, resguardar y actualizar el archivo del Ayuntamiento, auxiliándose por la coordinación de archivo municipal.</w:t>
      </w:r>
    </w:p>
    <w:p w14:paraId="4DE2DDF3" w14:textId="77777777" w:rsidR="00E3775F" w:rsidRPr="00355D12" w:rsidRDefault="00E3775F" w:rsidP="00E3775F">
      <w:pPr>
        <w:spacing w:line="360" w:lineRule="auto"/>
        <w:jc w:val="both"/>
        <w:rPr>
          <w:rFonts w:ascii="Palatino Linotype" w:eastAsia="Palatino Linotype" w:hAnsi="Palatino Linotype" w:cs="Palatino Linotype"/>
          <w:sz w:val="24"/>
          <w:szCs w:val="24"/>
        </w:rPr>
      </w:pPr>
      <w:r w:rsidRPr="00355D12">
        <w:rPr>
          <w:rFonts w:ascii="Palatino Linotype" w:hAnsi="Palatino Linotype"/>
          <w:sz w:val="24"/>
          <w:szCs w:val="24"/>
        </w:rPr>
        <w:t xml:space="preserve">En las generalizaciones anteriores, resulta conveniente delimitar los </w:t>
      </w:r>
      <w:r w:rsidRPr="00355D12">
        <w:rPr>
          <w:rFonts w:ascii="Palatino Linotype" w:eastAsia="Palatino Linotype" w:hAnsi="Palatino Linotype" w:cs="Palatino Linotype"/>
          <w:sz w:val="24"/>
          <w:szCs w:val="24"/>
        </w:rPr>
        <w:t xml:space="preserve">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13698720" w14:textId="77777777" w:rsidR="00E3775F" w:rsidRPr="00355D12" w:rsidRDefault="00E3775F" w:rsidP="00E3775F">
      <w:pPr>
        <w:spacing w:line="360" w:lineRule="auto"/>
        <w:jc w:val="both"/>
        <w:rPr>
          <w:rFonts w:ascii="Palatino Linotype" w:eastAsia="Palatino Linotype" w:hAnsi="Palatino Linotype" w:cs="Palatino Linotype"/>
          <w:sz w:val="24"/>
          <w:szCs w:val="24"/>
        </w:rPr>
      </w:pPr>
      <w:r w:rsidRPr="00355D12">
        <w:rPr>
          <w:rFonts w:ascii="Palatino Linotype" w:eastAsia="Palatino Linotype" w:hAnsi="Palatino Linotype" w:cs="Palatino Linotype"/>
          <w:sz w:val="24"/>
          <w:szCs w:val="24"/>
        </w:rPr>
        <w:lastRenderedPageBreak/>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527193EA" w14:textId="77777777" w:rsidR="00E3775F" w:rsidRPr="00355D12" w:rsidRDefault="00E3775F" w:rsidP="00E3775F">
      <w:pPr>
        <w:spacing w:line="360" w:lineRule="auto"/>
        <w:jc w:val="both"/>
        <w:rPr>
          <w:rFonts w:ascii="Palatino Linotype" w:eastAsia="Palatino Linotype" w:hAnsi="Palatino Linotype" w:cs="Palatino Linotype"/>
          <w:sz w:val="24"/>
          <w:szCs w:val="24"/>
        </w:rPr>
      </w:pPr>
      <w:r w:rsidRPr="00355D12">
        <w:rPr>
          <w:rFonts w:ascii="Palatino Linotype" w:eastAsia="Palatino Linotype" w:hAnsi="Palatino Linotype" w:cs="Palatino Linotype"/>
          <w:sz w:val="24"/>
          <w:szCs w:val="24"/>
        </w:rPr>
        <w:t xml:space="preserve">Se hace la precisión de que los inventarios de baja documental, sirven para identificar los documentos que ya no cuentan con valor al interior del Sujeto Obligado, ya sea de consulta, para el desarrollo de actividades ni histórico. </w:t>
      </w:r>
    </w:p>
    <w:p w14:paraId="6A44682C" w14:textId="77777777" w:rsidR="00E3775F" w:rsidRPr="00355D12" w:rsidRDefault="00E3775F" w:rsidP="00E3775F">
      <w:pPr>
        <w:spacing w:line="360" w:lineRule="auto"/>
        <w:jc w:val="both"/>
        <w:rPr>
          <w:rFonts w:ascii="Palatino Linotype" w:eastAsia="Palatino Linotype" w:hAnsi="Palatino Linotype" w:cs="Palatino Linotype"/>
          <w:sz w:val="24"/>
          <w:szCs w:val="24"/>
        </w:rPr>
      </w:pPr>
      <w:r w:rsidRPr="00355D12">
        <w:rPr>
          <w:rFonts w:ascii="Palatino Linotype" w:eastAsia="Palatino Linotype" w:hAnsi="Palatino Linotype" w:cs="Palatino Linotype"/>
          <w:sz w:val="24"/>
          <w:szCs w:val="24"/>
        </w:rPr>
        <w:lastRenderedPageBreak/>
        <w:t>Ahora bien, para generar certeza del contenido de cada acervo documental, se debe contar con un inventario, el que es obligatorio en términos del artículo 13 de la Ley General multicitada que a la letra establece:</w:t>
      </w:r>
    </w:p>
    <w:p w14:paraId="5D5D5CF7" w14:textId="77777777" w:rsidR="00E3775F" w:rsidRPr="00355D12" w:rsidRDefault="00E3775F" w:rsidP="00E3775F">
      <w:pPr>
        <w:pStyle w:val="Citas"/>
      </w:pPr>
      <w:r w:rsidRPr="00355D12">
        <w:t>“</w:t>
      </w:r>
      <w:r w:rsidRPr="00355D12">
        <w:rPr>
          <w:b/>
        </w:rPr>
        <w:t>Artículo 13.</w:t>
      </w:r>
      <w:r w:rsidRPr="00355D12">
        <w:t xml:space="preserve"> Los sujetos obligados deberán contar con los instrumentos de control y de consulta archivísticos conforme a sus atribuciones y funciones, manteniéndolos actualizados y disponibles; y contarán al menos con los siguientes: </w:t>
      </w:r>
    </w:p>
    <w:p w14:paraId="61C448AB" w14:textId="77777777" w:rsidR="00E3775F" w:rsidRPr="00355D12" w:rsidRDefault="00E3775F" w:rsidP="00E3775F">
      <w:pPr>
        <w:pStyle w:val="Citas"/>
      </w:pPr>
      <w:r w:rsidRPr="00355D12">
        <w:rPr>
          <w:b/>
        </w:rPr>
        <w:t>I.</w:t>
      </w:r>
      <w:r w:rsidRPr="00355D12">
        <w:t xml:space="preserve"> Cuadro general de clasificación archivística; </w:t>
      </w:r>
    </w:p>
    <w:p w14:paraId="4224B943" w14:textId="77777777" w:rsidR="00E3775F" w:rsidRPr="00355D12" w:rsidRDefault="00E3775F" w:rsidP="00E3775F">
      <w:pPr>
        <w:pStyle w:val="Citas"/>
      </w:pPr>
      <w:r w:rsidRPr="00355D12">
        <w:rPr>
          <w:b/>
        </w:rPr>
        <w:t>II.</w:t>
      </w:r>
      <w:r w:rsidRPr="00355D12">
        <w:t xml:space="preserve"> Catálogo de disposición documental, y </w:t>
      </w:r>
    </w:p>
    <w:p w14:paraId="15E423D2" w14:textId="77777777" w:rsidR="00E3775F" w:rsidRPr="00355D12" w:rsidRDefault="00E3775F" w:rsidP="00E3775F">
      <w:pPr>
        <w:pStyle w:val="Citas"/>
      </w:pPr>
      <w:r w:rsidRPr="00355D12">
        <w:rPr>
          <w:b/>
        </w:rPr>
        <w:t>III.</w:t>
      </w:r>
      <w:r w:rsidRPr="00355D12">
        <w:t xml:space="preserve"> </w:t>
      </w:r>
      <w:r w:rsidRPr="00355D12">
        <w:rPr>
          <w:b/>
        </w:rPr>
        <w:t>Inventarios documentales</w:t>
      </w:r>
      <w:r w:rsidRPr="00355D12">
        <w:t xml:space="preserve">. </w:t>
      </w:r>
    </w:p>
    <w:p w14:paraId="6C3EF904" w14:textId="77777777" w:rsidR="00E3775F" w:rsidRPr="00355D12" w:rsidRDefault="00E3775F" w:rsidP="00E3775F">
      <w:pPr>
        <w:pStyle w:val="Citas"/>
        <w:rPr>
          <w:b/>
          <w:bCs/>
        </w:rPr>
      </w:pPr>
      <w:r w:rsidRPr="00355D12">
        <w:t xml:space="preserve">La estructura del cuadro general de clasificación archivística atenderá los niveles de fondo, sección y serie, sin que esto excluya la posibilidad de que existan niveles intermedios, los cuales, serán identificados mediante una clave alfanumérica.” </w:t>
      </w:r>
      <w:r w:rsidRPr="00355D12">
        <w:rPr>
          <w:b/>
          <w:bCs/>
        </w:rPr>
        <w:t>(Sic)</w:t>
      </w:r>
    </w:p>
    <w:p w14:paraId="79754373" w14:textId="77777777" w:rsidR="00D7129F" w:rsidRPr="00355D12" w:rsidRDefault="00D7129F" w:rsidP="00E3775F">
      <w:pPr>
        <w:spacing w:line="360" w:lineRule="auto"/>
        <w:jc w:val="both"/>
        <w:rPr>
          <w:rFonts w:ascii="Palatino Linotype" w:eastAsia="Palatino Linotype" w:hAnsi="Palatino Linotype" w:cs="Palatino Linotype"/>
          <w:sz w:val="24"/>
          <w:szCs w:val="24"/>
        </w:rPr>
      </w:pPr>
    </w:p>
    <w:p w14:paraId="46E40477" w14:textId="6B10AACC" w:rsidR="00E3775F" w:rsidRPr="00355D12" w:rsidRDefault="00E3775F" w:rsidP="00E3775F">
      <w:pPr>
        <w:spacing w:line="360" w:lineRule="auto"/>
        <w:jc w:val="both"/>
        <w:rPr>
          <w:rFonts w:ascii="Palatino Linotype" w:eastAsia="Palatino Linotype" w:hAnsi="Palatino Linotype" w:cs="Palatino Linotype"/>
          <w:sz w:val="24"/>
          <w:szCs w:val="24"/>
        </w:rPr>
      </w:pPr>
      <w:r w:rsidRPr="00355D12">
        <w:rPr>
          <w:rFonts w:ascii="Palatino Linotype" w:eastAsia="Palatino Linotype" w:hAnsi="Palatino Linotype" w:cs="Palatino Linotype"/>
          <w:sz w:val="24"/>
          <w:szCs w:val="24"/>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w:t>
      </w:r>
      <w:r w:rsidRPr="00355D12">
        <w:rPr>
          <w:rFonts w:ascii="Palatino Linotype" w:eastAsia="Palatino Linotype" w:hAnsi="Palatino Linotype" w:cs="Palatino Linotype"/>
          <w:sz w:val="24"/>
          <w:szCs w:val="24"/>
        </w:rPr>
        <w:lastRenderedPageBreak/>
        <w:t xml:space="preserve">archivadoras con su ubicación dentro de la sala de depósito en que se encuentra, es decir, el archivo de concentración. </w:t>
      </w:r>
    </w:p>
    <w:p w14:paraId="348C265E" w14:textId="13C39732" w:rsidR="00E3775F" w:rsidRPr="00355D12" w:rsidRDefault="00E3775F" w:rsidP="00E3775F">
      <w:pPr>
        <w:spacing w:line="360" w:lineRule="auto"/>
        <w:jc w:val="both"/>
        <w:rPr>
          <w:rFonts w:ascii="Palatino Linotype" w:eastAsia="Palatino Linotype" w:hAnsi="Palatino Linotype" w:cs="Palatino Linotype"/>
          <w:sz w:val="24"/>
          <w:szCs w:val="24"/>
        </w:rPr>
      </w:pPr>
      <w:r w:rsidRPr="00355D12">
        <w:rPr>
          <w:rFonts w:ascii="Palatino Linotype" w:eastAsia="Palatino Linotype" w:hAnsi="Palatino Linotype" w:cs="Palatino Linotype"/>
          <w:sz w:val="24"/>
          <w:szCs w:val="24"/>
        </w:rPr>
        <w:t xml:space="preserve">En este contexto, se debe resaltar, que por mandato de ley debería contar con archivo de trámite y de concentración, toda vez </w:t>
      </w:r>
      <w:r w:rsidR="00D7129F" w:rsidRPr="00355D12">
        <w:rPr>
          <w:rFonts w:ascii="Palatino Linotype" w:eastAsia="Palatino Linotype" w:hAnsi="Palatino Linotype" w:cs="Palatino Linotype"/>
          <w:sz w:val="24"/>
          <w:szCs w:val="24"/>
        </w:rPr>
        <w:t>que,</w:t>
      </w:r>
      <w:r w:rsidRPr="00355D12">
        <w:rPr>
          <w:rFonts w:ascii="Palatino Linotype" w:eastAsia="Palatino Linotype" w:hAnsi="Palatino Linotype" w:cs="Palatino Linotype"/>
          <w:sz w:val="24"/>
          <w:szCs w:val="24"/>
        </w:rPr>
        <w:t xml:space="preserv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7FA8B584" w14:textId="77777777" w:rsidR="00E3775F" w:rsidRPr="00355D12" w:rsidRDefault="00E3775F" w:rsidP="00E3775F">
      <w:pPr>
        <w:pStyle w:val="Citas"/>
      </w:pPr>
      <w:r w:rsidRPr="00355D12">
        <w:t xml:space="preserve">“Artículo 30. Cada área o unidad administrativa debe contar con un archivo de trámite que tendrá las siguientes funciones: </w:t>
      </w:r>
    </w:p>
    <w:p w14:paraId="06489333" w14:textId="77777777" w:rsidR="00E3775F" w:rsidRPr="00355D12" w:rsidRDefault="00E3775F" w:rsidP="00E3775F">
      <w:pPr>
        <w:pStyle w:val="Citas"/>
      </w:pPr>
      <w:r w:rsidRPr="00355D12">
        <w:t xml:space="preserve">I. Integrar y organizar los expedientes que cada área o unidad produzca, use y reciba; </w:t>
      </w:r>
    </w:p>
    <w:p w14:paraId="2943C3F3" w14:textId="77777777" w:rsidR="00E3775F" w:rsidRPr="00355D12" w:rsidRDefault="00E3775F" w:rsidP="00E3775F">
      <w:pPr>
        <w:pStyle w:val="Citas"/>
      </w:pPr>
      <w:r w:rsidRPr="00355D12">
        <w:t xml:space="preserve">II. Asegurar la localización y consulta de los expedientes mediante la elaboración de los inventarios documentales; </w:t>
      </w:r>
    </w:p>
    <w:p w14:paraId="27C11280" w14:textId="77777777" w:rsidR="00E3775F" w:rsidRPr="00355D12" w:rsidRDefault="00E3775F" w:rsidP="00E3775F">
      <w:pPr>
        <w:pStyle w:val="Citas"/>
      </w:pPr>
      <w:r w:rsidRPr="00355D12">
        <w:t xml:space="preserve">III. Resguardar los archivos y la información que haya sido clasificada de acuerdo con la legislación en materia de transparencia y acceso a la información pública, en tanto conserve tal carácter; </w:t>
      </w:r>
    </w:p>
    <w:p w14:paraId="34EF8E72" w14:textId="77777777" w:rsidR="00E3775F" w:rsidRPr="00355D12" w:rsidRDefault="00E3775F" w:rsidP="00E3775F">
      <w:pPr>
        <w:pStyle w:val="Citas"/>
      </w:pPr>
      <w:r w:rsidRPr="00355D12">
        <w:t xml:space="preserve">IV. Colaborar con el área coordinadora de archivos en la elaboración de los instrumentos de control archivístico previstos en esta Ley, las leyes locales y sus disposiciones reglamentarias; </w:t>
      </w:r>
    </w:p>
    <w:p w14:paraId="65386C00" w14:textId="77777777" w:rsidR="00E3775F" w:rsidRPr="00355D12" w:rsidRDefault="00E3775F" w:rsidP="00E3775F">
      <w:pPr>
        <w:pStyle w:val="Citas"/>
      </w:pPr>
      <w:r w:rsidRPr="00355D12">
        <w:t xml:space="preserve">V. Trabajar de acuerdo con los criterios específicos y recomendaciones dictados por el área coordinadora de archivos; </w:t>
      </w:r>
    </w:p>
    <w:p w14:paraId="40942BDE" w14:textId="77777777" w:rsidR="00E3775F" w:rsidRPr="00355D12" w:rsidRDefault="00E3775F" w:rsidP="00E3775F">
      <w:pPr>
        <w:pStyle w:val="Citas"/>
      </w:pPr>
      <w:r w:rsidRPr="00355D12">
        <w:lastRenderedPageBreak/>
        <w:t>VI. Realizar las transferencias primarias al archivo de concentración, y</w:t>
      </w:r>
    </w:p>
    <w:p w14:paraId="0F63C4C2" w14:textId="77777777" w:rsidR="00E3775F" w:rsidRPr="00355D12" w:rsidRDefault="00E3775F" w:rsidP="00E3775F">
      <w:pPr>
        <w:pStyle w:val="Citas"/>
      </w:pPr>
      <w:r w:rsidRPr="00355D12">
        <w:t xml:space="preserve">VII. Las que establezcan las disposiciones jurídicas aplicables. </w:t>
      </w:r>
    </w:p>
    <w:p w14:paraId="27FABC6A" w14:textId="77777777" w:rsidR="00E3775F" w:rsidRPr="00355D12" w:rsidRDefault="00E3775F" w:rsidP="00E3775F">
      <w:pPr>
        <w:pStyle w:val="Citas"/>
      </w:pPr>
      <w:r w:rsidRPr="00355D12">
        <w:t xml:space="preserve">Artículo 31. Cada sujeto obligado debe contar con un archivo de concentración, que tendrá las siguientes funciones: </w:t>
      </w:r>
    </w:p>
    <w:p w14:paraId="591AFAB6" w14:textId="77777777" w:rsidR="00E3775F" w:rsidRPr="00355D12" w:rsidRDefault="00E3775F" w:rsidP="00E3775F">
      <w:pPr>
        <w:pStyle w:val="Citas"/>
      </w:pPr>
      <w:r w:rsidRPr="00355D12">
        <w:t xml:space="preserve">I. Asegurar y describir los fondos bajo su resguardo, así como la consulta de los expedientes; </w:t>
      </w:r>
    </w:p>
    <w:p w14:paraId="7B10F30A" w14:textId="77777777" w:rsidR="00E3775F" w:rsidRPr="00355D12" w:rsidRDefault="00E3775F" w:rsidP="00E3775F">
      <w:pPr>
        <w:pStyle w:val="Citas"/>
      </w:pPr>
      <w:r w:rsidRPr="00355D12">
        <w:t xml:space="preserve">II. Recibir las transferencias primarias y brindar servicios de préstamo y consulta a las unidades o áreas administrativas productoras de la documentación que resguarda; </w:t>
      </w:r>
    </w:p>
    <w:p w14:paraId="5448C3C3" w14:textId="77777777" w:rsidR="00E3775F" w:rsidRPr="00355D12" w:rsidRDefault="00E3775F" w:rsidP="00E3775F">
      <w:pPr>
        <w:pStyle w:val="Citas"/>
      </w:pPr>
      <w:r w:rsidRPr="00355D12">
        <w:t xml:space="preserve">III. Conservar los expedientes hasta cumplir su vigencia documental de acuerdo con lo establecido en el catálogo de disposición documental; </w:t>
      </w:r>
    </w:p>
    <w:p w14:paraId="068AF6DF" w14:textId="77777777" w:rsidR="00E3775F" w:rsidRPr="00355D12" w:rsidRDefault="00E3775F" w:rsidP="00E3775F">
      <w:pPr>
        <w:pStyle w:val="Citas"/>
      </w:pPr>
      <w:r w:rsidRPr="00355D12">
        <w:t xml:space="preserve">IV. Colaborar con el área coordinadora de archivos en la elaboración de los instrumentos de control archivístico previstos en esta Ley, las leyes locales y en sus disposiciones reglamentarias; </w:t>
      </w:r>
    </w:p>
    <w:p w14:paraId="1C2D7320" w14:textId="77777777" w:rsidR="00E3775F" w:rsidRPr="00355D12" w:rsidRDefault="00E3775F" w:rsidP="00E3775F">
      <w:pPr>
        <w:pStyle w:val="Citas"/>
      </w:pPr>
      <w:r w:rsidRPr="00355D12">
        <w:t xml:space="preserve">V. Participar con el área coordinadora de archivos en la elaboración de los criterios de valoración documental y disposición documental; </w:t>
      </w:r>
    </w:p>
    <w:p w14:paraId="16A64940" w14:textId="77777777" w:rsidR="00E3775F" w:rsidRPr="00355D12" w:rsidRDefault="00E3775F" w:rsidP="00E3775F">
      <w:pPr>
        <w:pStyle w:val="Citas"/>
      </w:pPr>
      <w:r w:rsidRPr="00355D12">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14:paraId="0454DFB0" w14:textId="77777777" w:rsidR="00E3775F" w:rsidRPr="00355D12" w:rsidRDefault="00E3775F" w:rsidP="00E3775F">
      <w:pPr>
        <w:pStyle w:val="Citas"/>
      </w:pPr>
      <w:r w:rsidRPr="00355D12">
        <w:lastRenderedPageBreak/>
        <w:t xml:space="preserve">VII. Identificar los expedientes que integran las series documentales que hayan cumplido su vigencia documental y que cuenten con valores históricos, y que serán transferidos a los archivos históricos de los sujetos obligados, según corresponda; </w:t>
      </w:r>
    </w:p>
    <w:p w14:paraId="471628B2" w14:textId="77777777" w:rsidR="00E3775F" w:rsidRPr="00355D12" w:rsidRDefault="00E3775F" w:rsidP="00E3775F">
      <w:pPr>
        <w:pStyle w:val="Citas"/>
      </w:pPr>
      <w:r w:rsidRPr="00355D12">
        <w:t xml:space="preserve">VIII. Integrar a sus respectivos expedientes, el registro de los procesos de disposición documental, incluyendo dictámenes, actas e inventarios; </w:t>
      </w:r>
    </w:p>
    <w:p w14:paraId="382412A0" w14:textId="77777777" w:rsidR="00E3775F" w:rsidRPr="00355D12" w:rsidRDefault="00E3775F" w:rsidP="00E3775F">
      <w:pPr>
        <w:pStyle w:val="Citas"/>
      </w:pPr>
      <w:r w:rsidRPr="00355D12">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5AEB556C" w14:textId="77777777" w:rsidR="00E3775F" w:rsidRPr="00355D12" w:rsidRDefault="00E3775F" w:rsidP="00E3775F">
      <w:pPr>
        <w:pStyle w:val="Citas"/>
      </w:pPr>
      <w:r w:rsidRPr="00355D12">
        <w:t xml:space="preserve">X. Realizar la transferencia secundaria de las series documentales que hayan cumplido su vigencia documental y posean valores </w:t>
      </w:r>
      <w:proofErr w:type="spellStart"/>
      <w:r w:rsidRPr="00355D12">
        <w:t>evidenciales</w:t>
      </w:r>
      <w:proofErr w:type="spellEnd"/>
      <w:r w:rsidRPr="00355D12">
        <w:t>, testimoniales e informativos al archivo histórico del sujeto obligado, o al Archivo General, o equivalente en las entidades federativas, según corresponda, y</w:t>
      </w:r>
    </w:p>
    <w:p w14:paraId="1138ED26" w14:textId="77777777" w:rsidR="00E3775F" w:rsidRPr="00355D12" w:rsidRDefault="00E3775F" w:rsidP="00E3775F">
      <w:pPr>
        <w:pStyle w:val="Citas"/>
        <w:rPr>
          <w:b/>
          <w:bCs/>
        </w:rPr>
      </w:pPr>
      <w:r w:rsidRPr="00355D12">
        <w:t xml:space="preserve">XI. Las que establezca el Consejo Nacional y las disposiciones jurídicas aplicables.” </w:t>
      </w:r>
      <w:r w:rsidRPr="00355D12">
        <w:rPr>
          <w:b/>
          <w:bCs/>
        </w:rPr>
        <w:t>(Sic)</w:t>
      </w:r>
    </w:p>
    <w:p w14:paraId="4FEE8745" w14:textId="77777777" w:rsidR="00E3775F" w:rsidRPr="00355D12" w:rsidRDefault="00E3775F" w:rsidP="00E3775F">
      <w:pPr>
        <w:ind w:right="899"/>
        <w:jc w:val="both"/>
        <w:rPr>
          <w:rFonts w:ascii="Palatino Linotype" w:hAnsi="Palatino Linotype" w:cs="Arial"/>
          <w:i/>
          <w:color w:val="000000" w:themeColor="text1"/>
        </w:rPr>
      </w:pPr>
    </w:p>
    <w:p w14:paraId="77566C39" w14:textId="2B619D3F" w:rsidR="00D7129F" w:rsidRPr="00355D12" w:rsidRDefault="00E3775F" w:rsidP="00E3775F">
      <w:pPr>
        <w:autoSpaceDE w:val="0"/>
        <w:autoSpaceDN w:val="0"/>
        <w:adjustRightInd w:val="0"/>
        <w:spacing w:before="240" w:line="360" w:lineRule="auto"/>
        <w:jc w:val="both"/>
        <w:rPr>
          <w:rFonts w:ascii="Palatino Linotype" w:eastAsia="Palatino Linotype" w:hAnsi="Palatino Linotype" w:cs="Palatino Linotype"/>
          <w:sz w:val="24"/>
          <w:szCs w:val="24"/>
        </w:rPr>
      </w:pPr>
      <w:r w:rsidRPr="00355D12">
        <w:rPr>
          <w:rFonts w:ascii="Palatino Linotype" w:eastAsia="Palatino Linotype" w:hAnsi="Palatino Linotype" w:cs="Palatino Linotype"/>
          <w:sz w:val="24"/>
          <w:szCs w:val="24"/>
        </w:rPr>
        <w:t xml:space="preserve">De los preceptos anteriormente citados, se desprende que los Sujetos Obligados deberán contar con archivo de trámite, de concentración </w:t>
      </w:r>
      <w:r w:rsidRPr="00355D12">
        <w:rPr>
          <w:rFonts w:ascii="Palatino Linotype" w:eastAsia="Palatino Linotype" w:hAnsi="Palatino Linotype" w:cs="Palatino Linotype"/>
          <w:b/>
          <w:bCs/>
          <w:sz w:val="24"/>
          <w:szCs w:val="24"/>
          <w:u w:val="single"/>
        </w:rPr>
        <w:t>y de archivo histórico.</w:t>
      </w:r>
      <w:r w:rsidRPr="00355D12">
        <w:rPr>
          <w:rFonts w:ascii="Palatino Linotype" w:eastAsia="Palatino Linotype" w:hAnsi="Palatino Linotype" w:cs="Palatino Linotype"/>
          <w:sz w:val="24"/>
          <w:szCs w:val="24"/>
        </w:rPr>
        <w:t xml:space="preserve"> </w:t>
      </w:r>
      <w:r w:rsidR="00D7129F" w:rsidRPr="00355D12">
        <w:rPr>
          <w:rFonts w:ascii="Palatino Linotype" w:eastAsia="Palatino Linotype" w:hAnsi="Palatino Linotype" w:cs="Palatino Linotype"/>
          <w:sz w:val="24"/>
          <w:szCs w:val="24"/>
        </w:rPr>
        <w:t xml:space="preserve">Entendido este último como una institución, sección o conjunto documental que conserva, organiza y protege documentos de valor permanente, es decir, aquellos que tienen importancia histórica, cultural, legal o administrativa para una persona, institución o comunidad. </w:t>
      </w:r>
    </w:p>
    <w:p w14:paraId="5C9D4FD0" w14:textId="77777777" w:rsidR="00EF1DF0" w:rsidRPr="00355D12" w:rsidRDefault="00EF1DF0" w:rsidP="00EF1DF0">
      <w:pPr>
        <w:spacing w:line="360" w:lineRule="auto"/>
        <w:jc w:val="both"/>
        <w:rPr>
          <w:rFonts w:ascii="Palatino Linotype" w:hAnsi="Palatino Linotype" w:cs="Arial"/>
          <w:sz w:val="24"/>
          <w:szCs w:val="24"/>
        </w:rPr>
      </w:pPr>
      <w:r w:rsidRPr="00355D12">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A0BCDFC" w14:textId="77777777" w:rsidR="00EF1DF0" w:rsidRPr="00355D12" w:rsidRDefault="00EF1DF0" w:rsidP="00EF1DF0">
      <w:pPr>
        <w:pStyle w:val="Citas"/>
      </w:pPr>
      <w:r w:rsidRPr="00355D12">
        <w:t xml:space="preserve">“Artículo 18. Los sujetos obligados deberán documentar todo acto que derive del ejercicio de sus facultades, competencias o funciones, considerando desde su origen la eventual publicidad y reutilización de la información que generen. </w:t>
      </w:r>
    </w:p>
    <w:p w14:paraId="51E9F3D8" w14:textId="77777777" w:rsidR="00EF1DF0" w:rsidRPr="00355D12" w:rsidRDefault="00EF1DF0" w:rsidP="00EF1DF0">
      <w:pPr>
        <w:pStyle w:val="Citas"/>
      </w:pPr>
      <w:r w:rsidRPr="00355D12">
        <w:t xml:space="preserve">Artículo 19. Se presume que la información debe existir si se refiere a las facultades, competencias y funciones que los ordenamientos jurídicos aplicables otorgan a los sujetos obligados. </w:t>
      </w:r>
    </w:p>
    <w:p w14:paraId="173C8142" w14:textId="77777777" w:rsidR="00EF1DF0" w:rsidRPr="00355D12" w:rsidRDefault="00EF1DF0" w:rsidP="00EF1DF0">
      <w:pPr>
        <w:pStyle w:val="Citas"/>
      </w:pPr>
      <w:r w:rsidRPr="00355D12">
        <w:t xml:space="preserve">En los casos en que ciertas facultades, competencias o funciones no se hayan ejercido, se debe motivar la respuesta en función de las causas que motiven tal circunstancia. </w:t>
      </w:r>
    </w:p>
    <w:p w14:paraId="07378803" w14:textId="77777777" w:rsidR="00EF1DF0" w:rsidRPr="00355D12" w:rsidRDefault="00EF1DF0" w:rsidP="00EF1DF0">
      <w:pPr>
        <w:pStyle w:val="Citas"/>
        <w:rPr>
          <w:b/>
          <w:bCs/>
          <w:sz w:val="24"/>
          <w:szCs w:val="24"/>
        </w:rPr>
      </w:pPr>
      <w:r w:rsidRPr="00355D12">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55D12">
        <w:rPr>
          <w:b/>
          <w:bCs/>
        </w:rPr>
        <w:t>(Sic)</w:t>
      </w:r>
    </w:p>
    <w:p w14:paraId="6DDCD845" w14:textId="77777777" w:rsidR="00EF1DF0" w:rsidRPr="00355D12" w:rsidRDefault="00EF1DF0" w:rsidP="004C133E">
      <w:pPr>
        <w:autoSpaceDE w:val="0"/>
        <w:autoSpaceDN w:val="0"/>
        <w:adjustRightInd w:val="0"/>
        <w:spacing w:before="240" w:line="360" w:lineRule="auto"/>
        <w:jc w:val="both"/>
        <w:rPr>
          <w:rFonts w:ascii="Palatino Linotype" w:hAnsi="Palatino Linotype" w:cs="Arial"/>
          <w:bCs/>
          <w:sz w:val="24"/>
          <w:szCs w:val="24"/>
        </w:rPr>
      </w:pPr>
    </w:p>
    <w:p w14:paraId="2CD22F5C" w14:textId="72A6C9E5" w:rsidR="007A2451" w:rsidRPr="00355D12" w:rsidRDefault="00EF1DF0" w:rsidP="00EF1DF0">
      <w:pPr>
        <w:pStyle w:val="Prrafodelista"/>
        <w:autoSpaceDE w:val="0"/>
        <w:autoSpaceDN w:val="0"/>
        <w:adjustRightInd w:val="0"/>
        <w:spacing w:before="240" w:after="160" w:line="360" w:lineRule="auto"/>
        <w:ind w:left="0"/>
        <w:jc w:val="both"/>
        <w:rPr>
          <w:rFonts w:ascii="Palatino Linotype" w:hAnsi="Palatino Linotype" w:cs="Arial"/>
          <w:lang w:val="es-MX"/>
        </w:rPr>
      </w:pPr>
      <w:r w:rsidRPr="00355D12">
        <w:rPr>
          <w:rFonts w:ascii="Palatino Linotype" w:hAnsi="Palatino Linotype" w:cs="Arial"/>
          <w:lang w:val="es-MX"/>
        </w:rPr>
        <w:t xml:space="preserve">Una vez sentado lo anterior, como se mencionó en el antecedente segundo, </w:t>
      </w:r>
      <w:r w:rsidRPr="00355D12">
        <w:rPr>
          <w:rFonts w:ascii="Palatino Linotype" w:hAnsi="Palatino Linotype" w:cs="Arial"/>
          <w:b/>
          <w:bCs/>
          <w:lang w:val="es-MX"/>
        </w:rPr>
        <w:t xml:space="preserve">El Sujeto Obligado </w:t>
      </w:r>
      <w:r w:rsidRPr="00355D12">
        <w:rPr>
          <w:rFonts w:ascii="Palatino Linotype" w:hAnsi="Palatino Linotype" w:cs="Arial"/>
          <w:lang w:val="es-MX"/>
        </w:rPr>
        <w:t xml:space="preserve">en fecha </w:t>
      </w:r>
      <w:r w:rsidR="00536379" w:rsidRPr="00355D12">
        <w:rPr>
          <w:rFonts w:ascii="Palatino Linotype" w:hAnsi="Palatino Linotype" w:cs="Arial"/>
          <w:b/>
          <w:bCs/>
          <w:lang w:val="es-MX"/>
        </w:rPr>
        <w:t xml:space="preserve">diecisiete de octubre de dos mil veinticinco, </w:t>
      </w:r>
      <w:r w:rsidR="00536379" w:rsidRPr="00355D12">
        <w:rPr>
          <w:rFonts w:ascii="Palatino Linotype" w:hAnsi="Palatino Linotype" w:cs="Arial"/>
          <w:lang w:val="es-MX"/>
        </w:rPr>
        <w:t xml:space="preserve">rindió su respuesta en los siguientes términos: </w:t>
      </w:r>
    </w:p>
    <w:p w14:paraId="561A80BC" w14:textId="24759267" w:rsidR="007A2451" w:rsidRPr="00355D12" w:rsidRDefault="00536379" w:rsidP="00536379">
      <w:pPr>
        <w:pStyle w:val="Citas"/>
        <w:rPr>
          <w:b/>
          <w:bCs/>
        </w:rPr>
      </w:pPr>
      <w:r w:rsidRPr="00355D12">
        <w:t>“</w:t>
      </w:r>
      <w:hyperlink r:id="rId11" w:history="1">
        <w:r w:rsidRPr="00355D12">
          <w:rPr>
            <w:rStyle w:val="Hipervnculo"/>
          </w:rPr>
          <w:t>https://capulhuac.edomex.gob.mx/resena-historica</w:t>
        </w:r>
      </w:hyperlink>
      <w:r w:rsidRPr="00355D12">
        <w:t xml:space="preserve">  Reseña histórica </w:t>
      </w:r>
      <w:proofErr w:type="spellStart"/>
      <w:r w:rsidRPr="00355D12">
        <w:t>Capulhuac</w:t>
      </w:r>
      <w:proofErr w:type="spellEnd"/>
      <w:r w:rsidRPr="00355D12">
        <w:t xml:space="preserve"> en la época prehispánica, se hallaba en el límite oriental de la provincia </w:t>
      </w:r>
      <w:proofErr w:type="spellStart"/>
      <w:r w:rsidRPr="00355D12">
        <w:t>matlazinca</w:t>
      </w:r>
      <w:proofErr w:type="spellEnd"/>
      <w:r w:rsidRPr="00355D12">
        <w:t xml:space="preserve"> </w:t>
      </w:r>
      <w:r w:rsidRPr="00355D12">
        <w:lastRenderedPageBreak/>
        <w:t xml:space="preserve">colindando con los pueblos otomíes dispersos en la falda poniente de la serranía, hoy llamada de Las Cruces. El nombre otomí de </w:t>
      </w:r>
      <w:proofErr w:type="spellStart"/>
      <w:r w:rsidRPr="00355D12">
        <w:t>Capulhuac</w:t>
      </w:r>
      <w:proofErr w:type="spellEnd"/>
      <w:r w:rsidRPr="00355D12">
        <w:t xml:space="preserve"> era </w:t>
      </w:r>
      <w:proofErr w:type="spellStart"/>
      <w:r w:rsidRPr="00355D12">
        <w:t>Nthezee</w:t>
      </w:r>
      <w:proofErr w:type="spellEnd"/>
      <w:r w:rsidRPr="00355D12">
        <w:t xml:space="preserve">, lo que indica su antigüedad. Este pueblo, de origen </w:t>
      </w:r>
      <w:proofErr w:type="spellStart"/>
      <w:r w:rsidRPr="00355D12">
        <w:t>matlazinca</w:t>
      </w:r>
      <w:proofErr w:type="spellEnd"/>
      <w:r w:rsidRPr="00355D12">
        <w:t xml:space="preserve">, como la mayoría de la región fue conquistado por </w:t>
      </w:r>
      <w:proofErr w:type="spellStart"/>
      <w:r w:rsidRPr="00355D12">
        <w:t>Axayácatl</w:t>
      </w:r>
      <w:proofErr w:type="spellEnd"/>
      <w:r w:rsidRPr="00355D12">
        <w:t xml:space="preserve">, quedó sujeto a los aztecas hasta la llegada de los conquistadores. En el Archivo General de la Nación se ha localizado un testimonio de una merced de sitio para ganado mayor, concedida por don Luis de Velasco al pueblo de San Bartolomé </w:t>
      </w:r>
      <w:proofErr w:type="spellStart"/>
      <w:r w:rsidRPr="00355D12">
        <w:t>Capulhuac</w:t>
      </w:r>
      <w:proofErr w:type="spellEnd"/>
      <w:r w:rsidRPr="00355D12">
        <w:t xml:space="preserve"> para su fundación y congregación el 25 de abril de 1557. Así es segura la ubicación de la cabecera municipal de </w:t>
      </w:r>
      <w:proofErr w:type="spellStart"/>
      <w:r w:rsidRPr="00355D12">
        <w:t>Capulhuac</w:t>
      </w:r>
      <w:proofErr w:type="spellEnd"/>
      <w:r w:rsidRPr="00355D12">
        <w:t xml:space="preserve"> que desde esa fecha estaba donde hoy se encuentra </w:t>
      </w:r>
      <w:proofErr w:type="spellStart"/>
      <w:r w:rsidRPr="00355D12">
        <w:t>Capulhuac</w:t>
      </w:r>
      <w:proofErr w:type="spellEnd"/>
      <w:r w:rsidRPr="00355D12">
        <w:t xml:space="preserve">, que prosperó tanto como su vecino Santiago Tianguistenco; debe tomarse en cuenta que la relativa prosperidad de los habitantes de este municipio en la época colonial consistía en su dedicación al comercio. Viajaban los comerciantes de </w:t>
      </w:r>
      <w:proofErr w:type="spellStart"/>
      <w:r w:rsidRPr="00355D12">
        <w:t>Capulhuac</w:t>
      </w:r>
      <w:proofErr w:type="spellEnd"/>
      <w:r w:rsidRPr="00355D12">
        <w:t xml:space="preserve"> con sus recuas hasta Guatemala, llevando principalmente rebozos y otras mercancías, regresaban trayendo pescado y frutas de la tierra caliente. La iglesia de San Bartolomé </w:t>
      </w:r>
      <w:proofErr w:type="spellStart"/>
      <w:r w:rsidRPr="00355D12">
        <w:t>Capulhuac</w:t>
      </w:r>
      <w:proofErr w:type="spellEnd"/>
      <w:r w:rsidRPr="00355D12">
        <w:t xml:space="preserve">, fundada en el siglo XVI por los agustinos de </w:t>
      </w:r>
      <w:proofErr w:type="spellStart"/>
      <w:r w:rsidRPr="00355D12">
        <w:t>Ocuilan</w:t>
      </w:r>
      <w:proofErr w:type="spellEnd"/>
      <w:r w:rsidRPr="00355D12">
        <w:t xml:space="preserve"> y Malinalco, estuvo a su cargo como visita hasta la segunda década del siglo XVII. El edificio parroquial expresa las diferentes épocas de su construcción: partes construidas en el siglo XVII; mientras que la cúpula, la torre del ábside corresponden a mediados del XVIII. En 1736 </w:t>
      </w:r>
      <w:proofErr w:type="spellStart"/>
      <w:r w:rsidRPr="00355D12">
        <w:t>Capulhuac</w:t>
      </w:r>
      <w:proofErr w:type="spellEnd"/>
      <w:r w:rsidRPr="00355D12">
        <w:t xml:space="preserve"> seguía siendo Encomienda </w:t>
      </w:r>
      <w:proofErr w:type="gramStart"/>
      <w:r w:rsidRPr="00355D12">
        <w:t>de los</w:t>
      </w:r>
      <w:proofErr w:type="gramEnd"/>
      <w:r w:rsidRPr="00355D12">
        <w:t xml:space="preserve"> Cano Moctezuma, que descendían por el lado materno de doña Isabel </w:t>
      </w:r>
      <w:proofErr w:type="spellStart"/>
      <w:r w:rsidRPr="00355D12">
        <w:t>Tecuipach</w:t>
      </w:r>
      <w:proofErr w:type="spellEnd"/>
      <w:r w:rsidRPr="00355D12">
        <w:t xml:space="preserve"> Moctezuma esposa, entre otros, de Cuauhtémoc. Todavía el 20 de julio de 1736, se ordenó al alcalde mayor de provincia de Metepec, obligar a los tributarios de </w:t>
      </w:r>
      <w:proofErr w:type="spellStart"/>
      <w:r w:rsidRPr="00355D12">
        <w:t>Capulhuac</w:t>
      </w:r>
      <w:proofErr w:type="spellEnd"/>
      <w:r w:rsidRPr="00355D12">
        <w:t xml:space="preserve"> al pago a su encomendero don José </w:t>
      </w:r>
      <w:proofErr w:type="spellStart"/>
      <w:r w:rsidRPr="00355D12">
        <w:t>Audelo</w:t>
      </w:r>
      <w:proofErr w:type="spellEnd"/>
      <w:r w:rsidRPr="00355D12">
        <w:t xml:space="preserve"> Cano Moctezuma. Don Miguel Hidalgo pasó por la cabecera procedente del pueblo vecino, Santiago Tianguistenco, rumbo al Monte de las Cruces. </w:t>
      </w:r>
      <w:proofErr w:type="spellStart"/>
      <w:r w:rsidRPr="00355D12">
        <w:t>Capulhuac</w:t>
      </w:r>
      <w:proofErr w:type="spellEnd"/>
      <w:r w:rsidRPr="00355D12">
        <w:t xml:space="preserve"> figura como municipalidad desde el 29 de junio de 1827. La Legislatura del Estado de México elevó a esta población al rango de villa en mayo de 1880, designándolo </w:t>
      </w:r>
      <w:proofErr w:type="spellStart"/>
      <w:r w:rsidRPr="00355D12">
        <w:lastRenderedPageBreak/>
        <w:t>Capulhuac</w:t>
      </w:r>
      <w:proofErr w:type="spellEnd"/>
      <w:r w:rsidRPr="00355D12">
        <w:t xml:space="preserve"> de </w:t>
      </w:r>
      <w:proofErr w:type="spellStart"/>
      <w:r w:rsidRPr="00355D12">
        <w:t>Mirafuentes</w:t>
      </w:r>
      <w:proofErr w:type="spellEnd"/>
      <w:r w:rsidRPr="00355D12">
        <w:t xml:space="preserve">. Durante la Revolución de 1910, algunos grupos de vecinos se unieron a las fuerzas de Emiliano Zapata y otros a las fuerzas de Venustiano Carranza, sobresaliendo el general Encarnación Vega y Andrés Ruiz Meza. AÑO ACONTECIMIENTOS 1425-Fue fundado </w:t>
      </w:r>
      <w:proofErr w:type="spellStart"/>
      <w:r w:rsidRPr="00355D12">
        <w:t>Capulhuac</w:t>
      </w:r>
      <w:proofErr w:type="spellEnd"/>
      <w:r w:rsidRPr="00355D12">
        <w:t xml:space="preserve">. 1476 - Fue conquistado por </w:t>
      </w:r>
      <w:proofErr w:type="spellStart"/>
      <w:r w:rsidRPr="00355D12">
        <w:t>Axayácatl</w:t>
      </w:r>
      <w:proofErr w:type="spellEnd"/>
      <w:r w:rsidRPr="00355D12">
        <w:t xml:space="preserve">. 1810 - El 30 de octubre pasó por la cabecera don Miguel Hidalgo. 1827 - Se erigió como municipio. 1880 - Se le confirió la categoría de villa, designándolo </w:t>
      </w:r>
      <w:proofErr w:type="spellStart"/>
      <w:r w:rsidRPr="00355D12">
        <w:t>Capulhuac</w:t>
      </w:r>
      <w:proofErr w:type="spellEnd"/>
      <w:r w:rsidRPr="00355D12">
        <w:t xml:space="preserve"> de </w:t>
      </w:r>
      <w:proofErr w:type="spellStart"/>
      <w:r w:rsidRPr="00355D12">
        <w:t>Mirafuentes</w:t>
      </w:r>
      <w:proofErr w:type="spellEnd"/>
      <w:r w:rsidRPr="00355D12">
        <w:t xml:space="preserve">. 1910- Algunos grupos se unieron a las fuerzas de Emiliano Zapata y otros se sumaron a las fuerzas de don Venustiano Carranza” </w:t>
      </w:r>
      <w:r w:rsidRPr="00355D12">
        <w:rPr>
          <w:b/>
          <w:bCs/>
        </w:rPr>
        <w:t xml:space="preserve">(Sic) </w:t>
      </w:r>
    </w:p>
    <w:p w14:paraId="278A8E2A" w14:textId="77777777" w:rsidR="00EF1DF0" w:rsidRPr="00355D12" w:rsidRDefault="00EF1DF0" w:rsidP="00EF1DF0">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A48D328" w14:textId="60F0CCFC" w:rsidR="007B5E05" w:rsidRPr="00355D12" w:rsidRDefault="00965350" w:rsidP="007B5E05">
      <w:pPr>
        <w:spacing w:after="240" w:line="360" w:lineRule="auto"/>
        <w:jc w:val="both"/>
        <w:rPr>
          <w:rFonts w:ascii="Palatino Linotype" w:hAnsi="Palatino Linotype" w:cs="Arial"/>
          <w:color w:val="000000"/>
          <w:sz w:val="24"/>
        </w:rPr>
      </w:pPr>
      <w:r w:rsidRPr="00355D12">
        <w:rPr>
          <w:rFonts w:ascii="Palatino Linotype" w:hAnsi="Palatino Linotype" w:cs="Arial"/>
          <w:color w:val="000000"/>
          <w:sz w:val="24"/>
        </w:rPr>
        <w:t xml:space="preserve">Dominio electrónico que </w:t>
      </w:r>
      <w:proofErr w:type="spellStart"/>
      <w:r w:rsidRPr="00355D12">
        <w:rPr>
          <w:rFonts w:ascii="Palatino Linotype" w:hAnsi="Palatino Linotype" w:cs="Arial"/>
          <w:color w:val="000000"/>
          <w:sz w:val="24"/>
        </w:rPr>
        <w:t>redirecciona</w:t>
      </w:r>
      <w:proofErr w:type="spellEnd"/>
      <w:r w:rsidRPr="00355D12">
        <w:rPr>
          <w:rFonts w:ascii="Palatino Linotype" w:hAnsi="Palatino Linotype" w:cs="Arial"/>
          <w:color w:val="000000"/>
          <w:sz w:val="24"/>
        </w:rPr>
        <w:t xml:space="preserve"> al portal “Reseña histórica” de la página electrónica del H. Ayuntamiento de </w:t>
      </w:r>
      <w:proofErr w:type="spellStart"/>
      <w:r w:rsidRPr="00355D12">
        <w:rPr>
          <w:rFonts w:ascii="Palatino Linotype" w:hAnsi="Palatino Linotype" w:cs="Arial"/>
          <w:color w:val="000000"/>
          <w:sz w:val="24"/>
        </w:rPr>
        <w:t>Capulhuac</w:t>
      </w:r>
      <w:proofErr w:type="spellEnd"/>
      <w:r w:rsidRPr="00355D12">
        <w:rPr>
          <w:rFonts w:ascii="Palatino Linotype" w:hAnsi="Palatino Linotype" w:cs="Arial"/>
          <w:color w:val="000000"/>
          <w:sz w:val="24"/>
        </w:rPr>
        <w:t xml:space="preserve">. </w:t>
      </w:r>
    </w:p>
    <w:p w14:paraId="02A5DC73" w14:textId="77777777" w:rsidR="00D7129F" w:rsidRPr="00355D12" w:rsidRDefault="00911313" w:rsidP="00D93ED4">
      <w:pPr>
        <w:spacing w:before="240" w:line="360" w:lineRule="auto"/>
        <w:jc w:val="both"/>
        <w:rPr>
          <w:rFonts w:ascii="Palatino Linotype" w:hAnsi="Palatino Linotype"/>
          <w:b/>
          <w:bCs/>
          <w:sz w:val="24"/>
          <w:szCs w:val="24"/>
        </w:rPr>
      </w:pPr>
      <w:r w:rsidRPr="00355D12">
        <w:rPr>
          <w:rFonts w:ascii="Palatino Linotype" w:hAnsi="Palatino Linotype"/>
          <w:sz w:val="24"/>
          <w:szCs w:val="24"/>
        </w:rPr>
        <w:t xml:space="preserve">Inconforme con la respuesta del </w:t>
      </w:r>
      <w:r w:rsidRPr="00355D12">
        <w:rPr>
          <w:rFonts w:ascii="Palatino Linotype" w:hAnsi="Palatino Linotype"/>
          <w:b/>
          <w:bCs/>
          <w:sz w:val="24"/>
          <w:szCs w:val="24"/>
        </w:rPr>
        <w:t xml:space="preserve">Sujeto Obligado, El Recurrente </w:t>
      </w:r>
      <w:r w:rsidRPr="00355D12">
        <w:rPr>
          <w:rFonts w:ascii="Palatino Linotype" w:hAnsi="Palatino Linotype"/>
          <w:sz w:val="24"/>
          <w:szCs w:val="24"/>
        </w:rPr>
        <w:t>interpuso recurso de revisión en fecha</w:t>
      </w:r>
      <w:r w:rsidR="00965350" w:rsidRPr="00355D12">
        <w:rPr>
          <w:rFonts w:ascii="Palatino Linotype" w:hAnsi="Palatino Linotype"/>
          <w:sz w:val="24"/>
          <w:szCs w:val="24"/>
        </w:rPr>
        <w:t xml:space="preserve"> </w:t>
      </w:r>
      <w:r w:rsidR="00E359AE" w:rsidRPr="00355D12">
        <w:rPr>
          <w:rFonts w:ascii="Palatino Linotype" w:hAnsi="Palatino Linotype"/>
          <w:b/>
          <w:bCs/>
          <w:sz w:val="24"/>
          <w:szCs w:val="24"/>
        </w:rPr>
        <w:t xml:space="preserve">veinte de octubre, </w:t>
      </w:r>
      <w:r w:rsidR="00E359AE" w:rsidRPr="00355D12">
        <w:rPr>
          <w:rFonts w:ascii="Palatino Linotype" w:hAnsi="Palatino Linotype"/>
          <w:sz w:val="24"/>
          <w:szCs w:val="24"/>
        </w:rPr>
        <w:t xml:space="preserve">admitiéndose el </w:t>
      </w:r>
      <w:r w:rsidR="00E359AE" w:rsidRPr="00355D12">
        <w:rPr>
          <w:rFonts w:ascii="Palatino Linotype" w:hAnsi="Palatino Linotype"/>
          <w:b/>
          <w:bCs/>
          <w:sz w:val="24"/>
          <w:szCs w:val="24"/>
        </w:rPr>
        <w:t xml:space="preserve">veintiuno de octubre de dos mil veinticinco. </w:t>
      </w:r>
    </w:p>
    <w:p w14:paraId="4227531E" w14:textId="5ADA456A" w:rsidR="00D93ED4" w:rsidRPr="00355D12" w:rsidRDefault="00D93ED4" w:rsidP="00D93ED4">
      <w:pPr>
        <w:spacing w:before="240" w:line="360" w:lineRule="auto"/>
        <w:jc w:val="both"/>
        <w:rPr>
          <w:rFonts w:ascii="Palatino Linotype" w:hAnsi="Palatino Linotype" w:cs="Arial"/>
          <w:sz w:val="24"/>
          <w:szCs w:val="24"/>
        </w:rPr>
      </w:pPr>
      <w:r w:rsidRPr="00355D12">
        <w:rPr>
          <w:rFonts w:ascii="Palatino Linotype" w:hAnsi="Palatino Linotype" w:cs="Arial"/>
          <w:sz w:val="24"/>
          <w:szCs w:val="24"/>
        </w:rPr>
        <w:t>Para su mejor entendimiento, la información solicitada, el acto impugnado y los motivos de inconformidad se muestran a continuación:</w:t>
      </w:r>
    </w:p>
    <w:p w14:paraId="117245AA" w14:textId="39A5F4C3" w:rsidR="00D7129F" w:rsidRPr="00355D12" w:rsidRDefault="00D7129F" w:rsidP="00D93ED4">
      <w:pPr>
        <w:spacing w:before="240" w:line="360" w:lineRule="auto"/>
        <w:jc w:val="both"/>
        <w:rPr>
          <w:rFonts w:ascii="Palatino Linotype" w:hAnsi="Palatino Linotype" w:cs="Arial"/>
          <w:sz w:val="24"/>
          <w:szCs w:val="24"/>
        </w:rPr>
      </w:pPr>
      <w:r w:rsidRPr="00355D12">
        <w:rPr>
          <w:rFonts w:ascii="Palatino Linotype" w:hAnsi="Palatino Linotype" w:cs="Arial"/>
          <w:noProof/>
          <w:sz w:val="24"/>
          <w:szCs w:val="24"/>
          <w:lang w:eastAsia="es-MX"/>
        </w:rPr>
        <mc:AlternateContent>
          <mc:Choice Requires="wps">
            <w:drawing>
              <wp:anchor distT="0" distB="0" distL="114300" distR="114300" simplePos="0" relativeHeight="251845622" behindDoc="0" locked="0" layoutInCell="1" allowOverlap="1" wp14:anchorId="2EABBF12" wp14:editId="3422AE15">
                <wp:simplePos x="0" y="0"/>
                <wp:positionH relativeFrom="column">
                  <wp:posOffset>-151881</wp:posOffset>
                </wp:positionH>
                <wp:positionV relativeFrom="paragraph">
                  <wp:posOffset>64596</wp:posOffset>
                </wp:positionV>
                <wp:extent cx="5985163" cy="1898073"/>
                <wp:effectExtent l="0" t="0" r="34925" b="26035"/>
                <wp:wrapNone/>
                <wp:docPr id="1640682652" name="Straight Connector 4"/>
                <wp:cNvGraphicFramePr/>
                <a:graphic xmlns:a="http://schemas.openxmlformats.org/drawingml/2006/main">
                  <a:graphicData uri="http://schemas.microsoft.com/office/word/2010/wordprocessingShape">
                    <wps:wsp>
                      <wps:cNvCnPr/>
                      <wps:spPr>
                        <a:xfrm>
                          <a:off x="0" y="0"/>
                          <a:ext cx="5985163" cy="18980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4E21CFD" id="Straight Connector 4" o:spid="_x0000_s1026" style="position:absolute;z-index:251845622;visibility:visible;mso-wrap-style:square;mso-wrap-distance-left:9pt;mso-wrap-distance-top:0;mso-wrap-distance-right:9pt;mso-wrap-distance-bottom:0;mso-position-horizontal:absolute;mso-position-horizontal-relative:text;mso-position-vertical:absolute;mso-position-vertical-relative:text" from="-11.95pt,5.1pt" to="459.3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" strokecolor="#5b9bd5 [3204]" strokeweight=".5pt">
                <v:stroke joinstyle="miter"/>
              </v:line>
            </w:pict>
          </mc:Fallback>
        </mc:AlternateContent>
      </w:r>
    </w:p>
    <w:p w14:paraId="2BA1E89C" w14:textId="77777777" w:rsidR="00D7129F" w:rsidRPr="00355D12" w:rsidRDefault="00D7129F" w:rsidP="00D93ED4">
      <w:pPr>
        <w:spacing w:before="240" w:line="360" w:lineRule="auto"/>
        <w:jc w:val="both"/>
        <w:rPr>
          <w:rFonts w:ascii="Palatino Linotype" w:hAnsi="Palatino Linotype"/>
          <w:sz w:val="24"/>
          <w:szCs w:val="24"/>
        </w:rPr>
      </w:pPr>
    </w:p>
    <w:p w14:paraId="1A86B976" w14:textId="79AC8FD8" w:rsidR="00965350" w:rsidRPr="00355D12" w:rsidRDefault="00965350" w:rsidP="00911313">
      <w:pPr>
        <w:spacing w:before="240" w:line="360" w:lineRule="auto"/>
        <w:jc w:val="both"/>
        <w:rPr>
          <w:rFonts w:ascii="Palatino Linotype" w:hAnsi="Palatino Linotype"/>
          <w:sz w:val="24"/>
          <w:szCs w:val="24"/>
        </w:rPr>
      </w:pP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810"/>
        <w:gridCol w:w="2215"/>
        <w:gridCol w:w="3017"/>
      </w:tblGrid>
      <w:tr w:rsidR="0063461B" w:rsidRPr="00355D12" w14:paraId="42E46E59" w14:textId="77777777" w:rsidTr="00F90A3E">
        <w:tc>
          <w:tcPr>
            <w:tcW w:w="3810" w:type="dxa"/>
            <w:shd w:val="clear" w:color="auto" w:fill="000000" w:themeFill="text1"/>
            <w:vAlign w:val="center"/>
          </w:tcPr>
          <w:p w14:paraId="260BEB02" w14:textId="77777777" w:rsidR="0063461B" w:rsidRPr="00355D12" w:rsidRDefault="0063461B" w:rsidP="00C42341">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355D12">
              <w:rPr>
                <w:rFonts w:ascii="Palatino Linotype" w:hAnsi="Palatino Linotype" w:cs="Arial"/>
                <w:b/>
                <w:bCs/>
                <w:lang w:val="es-MX"/>
              </w:rPr>
              <w:lastRenderedPageBreak/>
              <w:t>INFORMACIÓN SOLICITADA</w:t>
            </w:r>
          </w:p>
        </w:tc>
        <w:tc>
          <w:tcPr>
            <w:tcW w:w="2215" w:type="dxa"/>
            <w:shd w:val="clear" w:color="auto" w:fill="000000" w:themeFill="text1"/>
            <w:vAlign w:val="center"/>
          </w:tcPr>
          <w:p w14:paraId="324367AC" w14:textId="77777777" w:rsidR="0063461B" w:rsidRPr="00355D12" w:rsidRDefault="0063461B" w:rsidP="00C42341">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355D12">
              <w:rPr>
                <w:rFonts w:ascii="Palatino Linotype" w:hAnsi="Palatino Linotype" w:cs="Arial"/>
                <w:b/>
                <w:bCs/>
                <w:lang w:val="es-MX"/>
              </w:rPr>
              <w:t>ACTO IMPUGNADO</w:t>
            </w:r>
          </w:p>
        </w:tc>
        <w:tc>
          <w:tcPr>
            <w:tcW w:w="3017" w:type="dxa"/>
            <w:shd w:val="clear" w:color="auto" w:fill="000000" w:themeFill="text1"/>
            <w:vAlign w:val="center"/>
          </w:tcPr>
          <w:p w14:paraId="5EECF0F2" w14:textId="77777777" w:rsidR="0063461B" w:rsidRPr="00355D12" w:rsidRDefault="0063461B" w:rsidP="00C42341">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355D12">
              <w:rPr>
                <w:rFonts w:ascii="Palatino Linotype" w:hAnsi="Palatino Linotype" w:cs="Arial"/>
                <w:b/>
                <w:bCs/>
                <w:lang w:val="es-MX"/>
              </w:rPr>
              <w:t>RAZONES O MOTIVOS DE INCONFORMIDAD</w:t>
            </w:r>
          </w:p>
        </w:tc>
      </w:tr>
      <w:tr w:rsidR="0063461B" w:rsidRPr="00355D12" w14:paraId="3BCC5BEF" w14:textId="77777777" w:rsidTr="00F90A3E">
        <w:tc>
          <w:tcPr>
            <w:tcW w:w="3810" w:type="dxa"/>
            <w:shd w:val="clear" w:color="auto" w:fill="FFFFFF" w:themeFill="background1"/>
            <w:vAlign w:val="center"/>
          </w:tcPr>
          <w:p w14:paraId="00131687" w14:textId="4A777309" w:rsidR="0063461B" w:rsidRPr="00355D12" w:rsidRDefault="00F90A3E" w:rsidP="00F90A3E">
            <w:pPr>
              <w:pStyle w:val="Prrafodelista"/>
              <w:autoSpaceDE w:val="0"/>
              <w:autoSpaceDN w:val="0"/>
              <w:adjustRightInd w:val="0"/>
              <w:spacing w:before="240" w:after="160" w:line="360" w:lineRule="auto"/>
              <w:ind w:left="0"/>
              <w:jc w:val="both"/>
              <w:rPr>
                <w:rFonts w:ascii="Palatino Linotype" w:hAnsi="Palatino Linotype" w:cs="Arial"/>
                <w:b/>
                <w:bCs/>
                <w:i/>
                <w:iCs/>
                <w:lang w:val="es-MX"/>
              </w:rPr>
            </w:pPr>
            <w:r w:rsidRPr="00355D12">
              <w:rPr>
                <w:rFonts w:ascii="Palatino Linotype" w:hAnsi="Palatino Linotype" w:cs="Arial"/>
                <w:i/>
                <w:iCs/>
                <w:lang w:val="es-MX"/>
              </w:rPr>
              <w:t xml:space="preserve">“Quiero información sobre el municipio de </w:t>
            </w:r>
            <w:proofErr w:type="spellStart"/>
            <w:r w:rsidRPr="00355D12">
              <w:rPr>
                <w:rFonts w:ascii="Palatino Linotype" w:hAnsi="Palatino Linotype" w:cs="Arial"/>
                <w:i/>
                <w:iCs/>
                <w:lang w:val="es-MX"/>
              </w:rPr>
              <w:t>Capulhuac</w:t>
            </w:r>
            <w:proofErr w:type="spellEnd"/>
            <w:r w:rsidRPr="00355D12">
              <w:rPr>
                <w:rFonts w:ascii="Palatino Linotype" w:hAnsi="Palatino Linotype" w:cs="Arial"/>
                <w:i/>
                <w:iCs/>
                <w:lang w:val="es-MX"/>
              </w:rPr>
              <w:t xml:space="preserve"> de </w:t>
            </w:r>
            <w:proofErr w:type="spellStart"/>
            <w:r w:rsidRPr="00355D12">
              <w:rPr>
                <w:rFonts w:ascii="Palatino Linotype" w:hAnsi="Palatino Linotype" w:cs="Arial"/>
                <w:i/>
                <w:iCs/>
                <w:lang w:val="es-MX"/>
              </w:rPr>
              <w:t>Mirafuentes</w:t>
            </w:r>
            <w:proofErr w:type="spellEnd"/>
            <w:r w:rsidRPr="00355D12">
              <w:rPr>
                <w:rFonts w:ascii="Palatino Linotype" w:hAnsi="Palatino Linotype" w:cs="Arial"/>
                <w:i/>
                <w:iCs/>
                <w:lang w:val="es-MX"/>
              </w:rPr>
              <w:t xml:space="preserve"> como se </w:t>
            </w:r>
            <w:proofErr w:type="spellStart"/>
            <w:r w:rsidRPr="00355D12">
              <w:rPr>
                <w:rFonts w:ascii="Palatino Linotype" w:hAnsi="Palatino Linotype" w:cs="Arial"/>
                <w:i/>
                <w:iCs/>
                <w:lang w:val="es-MX"/>
              </w:rPr>
              <w:t>creo</w:t>
            </w:r>
            <w:proofErr w:type="spellEnd"/>
            <w:r w:rsidRPr="00355D12">
              <w:rPr>
                <w:rFonts w:ascii="Palatino Linotype" w:hAnsi="Palatino Linotype" w:cs="Arial"/>
                <w:i/>
                <w:iCs/>
                <w:lang w:val="es-MX"/>
              </w:rPr>
              <w:t xml:space="preserve"> </w:t>
            </w:r>
            <w:proofErr w:type="spellStart"/>
            <w:r w:rsidRPr="00355D12">
              <w:rPr>
                <w:rFonts w:ascii="Palatino Linotype" w:hAnsi="Palatino Linotype" w:cs="Arial"/>
                <w:i/>
                <w:iCs/>
                <w:lang w:val="es-MX"/>
              </w:rPr>
              <w:t>etc</w:t>
            </w:r>
            <w:proofErr w:type="spellEnd"/>
            <w:r w:rsidRPr="00355D12">
              <w:rPr>
                <w:rFonts w:ascii="Palatino Linotype" w:hAnsi="Palatino Linotype" w:cs="Arial"/>
                <w:i/>
                <w:iCs/>
                <w:lang w:val="es-MX"/>
              </w:rPr>
              <w:t xml:space="preserve">” </w:t>
            </w:r>
            <w:r w:rsidRPr="00355D12">
              <w:rPr>
                <w:rFonts w:ascii="Palatino Linotype" w:hAnsi="Palatino Linotype" w:cs="Arial"/>
                <w:b/>
                <w:bCs/>
                <w:i/>
                <w:iCs/>
                <w:lang w:val="es-MX"/>
              </w:rPr>
              <w:t xml:space="preserve">(Sic) </w:t>
            </w:r>
          </w:p>
        </w:tc>
        <w:tc>
          <w:tcPr>
            <w:tcW w:w="2215" w:type="dxa"/>
            <w:shd w:val="clear" w:color="auto" w:fill="FFFFFF" w:themeFill="background1"/>
            <w:vAlign w:val="center"/>
          </w:tcPr>
          <w:p w14:paraId="7753EDF0" w14:textId="2AB109E8" w:rsidR="0063461B" w:rsidRPr="00355D12" w:rsidRDefault="00F90A3E" w:rsidP="00F90A3E">
            <w:pPr>
              <w:pStyle w:val="Prrafodelista"/>
              <w:autoSpaceDE w:val="0"/>
              <w:autoSpaceDN w:val="0"/>
              <w:adjustRightInd w:val="0"/>
              <w:spacing w:before="240" w:after="160" w:line="360" w:lineRule="auto"/>
              <w:ind w:left="0"/>
              <w:jc w:val="both"/>
              <w:rPr>
                <w:rFonts w:ascii="Palatino Linotype" w:hAnsi="Palatino Linotype" w:cs="Arial"/>
                <w:b/>
                <w:bCs/>
                <w:i/>
                <w:iCs/>
                <w:lang w:val="es-MX"/>
              </w:rPr>
            </w:pPr>
            <w:r w:rsidRPr="00355D12">
              <w:rPr>
                <w:rFonts w:ascii="Palatino Linotype" w:hAnsi="Palatino Linotype" w:cs="Arial"/>
                <w:i/>
                <w:iCs/>
                <w:lang w:val="es-MX"/>
              </w:rPr>
              <w:t xml:space="preserve">“Quiero información para tener más detalles de la información” </w:t>
            </w:r>
            <w:r w:rsidRPr="00355D12">
              <w:rPr>
                <w:rFonts w:ascii="Palatino Linotype" w:hAnsi="Palatino Linotype" w:cs="Arial"/>
                <w:b/>
                <w:bCs/>
                <w:i/>
                <w:iCs/>
                <w:lang w:val="es-MX"/>
              </w:rPr>
              <w:t>(Sic)</w:t>
            </w:r>
          </w:p>
        </w:tc>
        <w:tc>
          <w:tcPr>
            <w:tcW w:w="3017" w:type="dxa"/>
            <w:shd w:val="clear" w:color="auto" w:fill="FFFFFF" w:themeFill="background1"/>
            <w:vAlign w:val="center"/>
          </w:tcPr>
          <w:p w14:paraId="69DC1988" w14:textId="11459BBF" w:rsidR="0063461B" w:rsidRPr="00355D12" w:rsidRDefault="00F90A3E" w:rsidP="00F90A3E">
            <w:pPr>
              <w:pStyle w:val="Prrafodelista"/>
              <w:autoSpaceDE w:val="0"/>
              <w:autoSpaceDN w:val="0"/>
              <w:adjustRightInd w:val="0"/>
              <w:spacing w:before="240" w:after="160" w:line="360" w:lineRule="auto"/>
              <w:ind w:left="0"/>
              <w:rPr>
                <w:rFonts w:ascii="Palatino Linotype" w:hAnsi="Palatino Linotype" w:cs="Arial"/>
                <w:b/>
                <w:bCs/>
                <w:i/>
                <w:iCs/>
                <w:lang w:val="es-MX"/>
              </w:rPr>
            </w:pPr>
            <w:r w:rsidRPr="00355D12">
              <w:rPr>
                <w:rFonts w:ascii="Palatino Linotype" w:hAnsi="Palatino Linotype" w:cs="Arial"/>
                <w:lang w:val="es-MX"/>
              </w:rPr>
              <w:t>“</w:t>
            </w:r>
            <w:r w:rsidRPr="00355D12">
              <w:rPr>
                <w:rFonts w:ascii="Palatino Linotype" w:hAnsi="Palatino Linotype" w:cs="Arial"/>
                <w:i/>
                <w:iCs/>
                <w:lang w:val="es-MX"/>
              </w:rPr>
              <w:t xml:space="preserve">Quiero saber sobre el poder y quienes lo conforman” </w:t>
            </w:r>
            <w:r w:rsidRPr="00355D12">
              <w:rPr>
                <w:rFonts w:ascii="Palatino Linotype" w:hAnsi="Palatino Linotype" w:cs="Arial"/>
                <w:b/>
                <w:bCs/>
                <w:i/>
                <w:iCs/>
                <w:lang w:val="es-MX"/>
              </w:rPr>
              <w:t>(Sic)</w:t>
            </w:r>
          </w:p>
        </w:tc>
      </w:tr>
    </w:tbl>
    <w:p w14:paraId="3394A446" w14:textId="77777777" w:rsidR="00D93ED4" w:rsidRPr="00355D12" w:rsidRDefault="00D93ED4" w:rsidP="00911313">
      <w:pPr>
        <w:spacing w:before="240" w:line="360" w:lineRule="auto"/>
        <w:jc w:val="both"/>
        <w:rPr>
          <w:rFonts w:ascii="Palatino Linotype" w:hAnsi="Palatino Linotype"/>
          <w:sz w:val="24"/>
          <w:szCs w:val="24"/>
        </w:rPr>
      </w:pPr>
    </w:p>
    <w:p w14:paraId="427F9E72" w14:textId="2AC1A66D" w:rsidR="00F90A3E" w:rsidRPr="00355D12" w:rsidRDefault="00F90A3E" w:rsidP="00F90A3E">
      <w:pPr>
        <w:pStyle w:val="Prrafodelista"/>
        <w:spacing w:line="360" w:lineRule="auto"/>
        <w:ind w:left="0"/>
        <w:contextualSpacing/>
        <w:jc w:val="both"/>
        <w:rPr>
          <w:rFonts w:ascii="Palatino Linotype" w:hAnsi="Palatino Linotype"/>
          <w:b/>
          <w:bCs/>
          <w:color w:val="000000"/>
          <w:lang w:val="es-ES_tradnl"/>
        </w:rPr>
      </w:pPr>
      <w:r w:rsidRPr="00355D12">
        <w:rPr>
          <w:rFonts w:ascii="Palatino Linotype" w:hAnsi="Palatino Linotype"/>
        </w:rPr>
        <w:t xml:space="preserve">Por ello, con relación a </w:t>
      </w:r>
      <w:r w:rsidRPr="00355D12">
        <w:rPr>
          <w:rFonts w:ascii="Palatino Linotype" w:hAnsi="Palatino Linotype"/>
          <w:b/>
          <w:bCs/>
        </w:rPr>
        <w:t>“</w:t>
      </w:r>
      <w:r w:rsidRPr="00355D12">
        <w:rPr>
          <w:rFonts w:ascii="Palatino Linotype" w:hAnsi="Palatino Linotype"/>
          <w:b/>
          <w:bCs/>
          <w:i/>
          <w:iCs/>
        </w:rPr>
        <w:t xml:space="preserve">Quiero…tener más detalles de la información” </w:t>
      </w:r>
      <w:r w:rsidRPr="00355D12">
        <w:rPr>
          <w:rFonts w:ascii="Palatino Linotype" w:hAnsi="Palatino Linotype"/>
        </w:rPr>
        <w:t xml:space="preserve">y </w:t>
      </w:r>
      <w:r w:rsidRPr="00355D12">
        <w:rPr>
          <w:rFonts w:ascii="Palatino Linotype" w:hAnsi="Palatino Linotype" w:cs="Arial"/>
          <w:b/>
          <w:bCs/>
          <w:lang w:val="es-MX"/>
        </w:rPr>
        <w:t>“</w:t>
      </w:r>
      <w:r w:rsidRPr="00355D12">
        <w:rPr>
          <w:rFonts w:ascii="Palatino Linotype" w:hAnsi="Palatino Linotype" w:cs="Arial"/>
          <w:b/>
          <w:bCs/>
          <w:i/>
          <w:iCs/>
          <w:lang w:val="es-MX"/>
        </w:rPr>
        <w:t xml:space="preserve">Quiero saber sobre el poder y quienes lo conforman”, </w:t>
      </w:r>
      <w:r w:rsidRPr="00355D12">
        <w:rPr>
          <w:rFonts w:ascii="Palatino Linotype" w:hAnsi="Palatino Linotype"/>
          <w:color w:val="000000"/>
          <w:lang w:val="es-ES_tradnl"/>
        </w:rPr>
        <w:t xml:space="preserve">resulta claro que se añade un nuevo punto a su solicitud de información y se aleja de la materia que dio origen a la respuesta del </w:t>
      </w:r>
      <w:r w:rsidRPr="00355D12">
        <w:rPr>
          <w:rFonts w:ascii="Palatino Linotype" w:hAnsi="Palatino Linotype"/>
          <w:b/>
          <w:bCs/>
          <w:color w:val="000000"/>
          <w:lang w:val="es-ES_tradnl"/>
        </w:rPr>
        <w:t xml:space="preserve">Sujeto Obligado. </w:t>
      </w:r>
    </w:p>
    <w:p w14:paraId="34EE62BE" w14:textId="621A5B7E" w:rsidR="00F90A3E" w:rsidRPr="00355D12" w:rsidRDefault="00F90A3E" w:rsidP="00F90A3E">
      <w:pPr>
        <w:spacing w:before="240" w:line="360" w:lineRule="auto"/>
        <w:jc w:val="both"/>
        <w:rPr>
          <w:rFonts w:ascii="Palatino Linotype" w:hAnsi="Palatino Linotype"/>
          <w:color w:val="000000"/>
          <w:sz w:val="24"/>
          <w:szCs w:val="24"/>
          <w:lang w:val="es-ES_tradnl"/>
        </w:rPr>
      </w:pPr>
      <w:r w:rsidRPr="00355D12">
        <w:rPr>
          <w:rFonts w:ascii="Palatino Linotype" w:hAnsi="Palatino Linotype"/>
          <w:color w:val="000000"/>
          <w:sz w:val="24"/>
          <w:szCs w:val="24"/>
          <w:lang w:val="es-ES_tradnl"/>
        </w:rPr>
        <w:t xml:space="preserve">A mayor abundamiento, el nuevo punto de la solicitud es considerado como </w:t>
      </w:r>
      <w:r w:rsidRPr="00355D12">
        <w:rPr>
          <w:rFonts w:ascii="Palatino Linotype" w:hAnsi="Palatino Linotype"/>
          <w:b/>
          <w:bCs/>
          <w:i/>
          <w:iCs/>
          <w:color w:val="000000"/>
          <w:sz w:val="24"/>
          <w:szCs w:val="24"/>
          <w:lang w:val="es-ES_tradnl"/>
        </w:rPr>
        <w:t xml:space="preserve">plus </w:t>
      </w:r>
      <w:proofErr w:type="spellStart"/>
      <w:r w:rsidRPr="00355D12">
        <w:rPr>
          <w:rFonts w:ascii="Palatino Linotype" w:hAnsi="Palatino Linotype"/>
          <w:b/>
          <w:bCs/>
          <w:i/>
          <w:iCs/>
          <w:color w:val="000000"/>
          <w:sz w:val="24"/>
          <w:szCs w:val="24"/>
          <w:lang w:val="es-ES_tradnl"/>
        </w:rPr>
        <w:t>petitio</w:t>
      </w:r>
      <w:proofErr w:type="spellEnd"/>
      <w:r w:rsidRPr="00355D12">
        <w:rPr>
          <w:rFonts w:ascii="Palatino Linotype" w:hAnsi="Palatino Linotype"/>
          <w:b/>
          <w:bCs/>
          <w:i/>
          <w:iCs/>
          <w:color w:val="000000"/>
          <w:sz w:val="24"/>
          <w:szCs w:val="24"/>
          <w:lang w:val="es-ES_tradnl"/>
        </w:rPr>
        <w:t xml:space="preserve"> </w:t>
      </w:r>
      <w:r w:rsidRPr="00355D12">
        <w:rPr>
          <w:rFonts w:ascii="Palatino Linotype" w:hAnsi="Palatino Linotype"/>
          <w:color w:val="000000"/>
          <w:sz w:val="24"/>
          <w:szCs w:val="24"/>
          <w:lang w:val="es-ES_tradnl"/>
        </w:rPr>
        <w:t xml:space="preserve">y no es susceptible de ser valorado. </w:t>
      </w:r>
    </w:p>
    <w:p w14:paraId="384ED902" w14:textId="77777777" w:rsidR="00F90A3E" w:rsidRPr="00355D12" w:rsidRDefault="00F90A3E" w:rsidP="00F90A3E">
      <w:pPr>
        <w:pStyle w:val="Prrafodelista"/>
        <w:tabs>
          <w:tab w:val="left" w:pos="7088"/>
        </w:tabs>
        <w:autoSpaceDE w:val="0"/>
        <w:autoSpaceDN w:val="0"/>
        <w:adjustRightInd w:val="0"/>
        <w:spacing w:line="360" w:lineRule="auto"/>
        <w:ind w:left="0"/>
        <w:jc w:val="both"/>
        <w:rPr>
          <w:rFonts w:ascii="Palatino Linotype" w:hAnsi="Palatino Linotype" w:cs="Arial"/>
        </w:rPr>
      </w:pPr>
      <w:r w:rsidRPr="00355D12">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43E7EE3A" w14:textId="77777777" w:rsidR="00F90A3E" w:rsidRPr="00355D12" w:rsidRDefault="00F90A3E" w:rsidP="00F90A3E">
      <w:pPr>
        <w:tabs>
          <w:tab w:val="left" w:pos="7088"/>
        </w:tabs>
        <w:spacing w:before="240" w:line="360" w:lineRule="auto"/>
        <w:jc w:val="both"/>
        <w:rPr>
          <w:rFonts w:ascii="Palatino Linotype" w:hAnsi="Palatino Linotype" w:cs="Arial"/>
          <w:bCs/>
          <w:sz w:val="24"/>
          <w:szCs w:val="24"/>
          <w:lang w:eastAsia="es-MX"/>
        </w:rPr>
      </w:pPr>
      <w:r w:rsidRPr="00355D12">
        <w:rPr>
          <w:rFonts w:ascii="Palatino Linotype" w:hAnsi="Palatino Linotype" w:cs="Arial"/>
          <w:bCs/>
          <w:sz w:val="24"/>
          <w:szCs w:val="24"/>
          <w:lang w:eastAsia="es-MX"/>
        </w:rPr>
        <w:lastRenderedPageBreak/>
        <w:t>Sirve de apoyo a lo anterior por analogía, la Jurisprudencia No. 29 visible a foja 19 del Apéndice al Semanario Judicial de la Federación 1917-1995, Tomo IV, Materia Común, Primera Parte, Tesis de la Suprema Corte de Justicia, que señala:</w:t>
      </w:r>
    </w:p>
    <w:p w14:paraId="33AB125E" w14:textId="77777777" w:rsidR="00F90A3E" w:rsidRPr="00355D12" w:rsidRDefault="00F90A3E" w:rsidP="00F90A3E">
      <w:pPr>
        <w:spacing w:before="240" w:line="360" w:lineRule="auto"/>
        <w:ind w:left="851" w:right="851"/>
        <w:jc w:val="both"/>
        <w:rPr>
          <w:rFonts w:ascii="Palatino Linotype" w:hAnsi="Palatino Linotype" w:cs="Arial"/>
          <w:b/>
          <w:bCs/>
          <w:i/>
          <w:lang w:eastAsia="es-MX"/>
        </w:rPr>
      </w:pPr>
      <w:r w:rsidRPr="00355D12">
        <w:rPr>
          <w:rFonts w:ascii="Palatino Linotype" w:hAnsi="Palatino Linotype" w:cs="Arial"/>
          <w:b/>
          <w:bCs/>
          <w:i/>
          <w:lang w:eastAsia="es-MX"/>
        </w:rPr>
        <w:t>“AGRAVIOS EN LA REVISIÓN. DEBEN ESTAR EN RELACIÓN DIRECTA CON LOS FUNDAMENTOS Y CONSIDERACIONES DE LA SENTENCIA</w:t>
      </w:r>
    </w:p>
    <w:p w14:paraId="44EC7E2F" w14:textId="77777777" w:rsidR="00F90A3E" w:rsidRPr="00355D12" w:rsidRDefault="00F90A3E" w:rsidP="00F90A3E">
      <w:pPr>
        <w:tabs>
          <w:tab w:val="left" w:pos="7797"/>
        </w:tabs>
        <w:spacing w:before="240" w:line="360" w:lineRule="auto"/>
        <w:ind w:left="851" w:right="851"/>
        <w:jc w:val="both"/>
        <w:rPr>
          <w:rFonts w:ascii="Palatino Linotype" w:hAnsi="Palatino Linotype" w:cs="Arial"/>
          <w:bCs/>
          <w:i/>
          <w:lang w:eastAsia="es-MX"/>
        </w:rPr>
      </w:pPr>
      <w:r w:rsidRPr="00355D12">
        <w:rPr>
          <w:rFonts w:ascii="Palatino Linotype" w:hAnsi="Palatino Linotype" w:cs="Arial"/>
          <w:b/>
          <w:bCs/>
          <w:i/>
          <w:u w:val="single"/>
          <w:lang w:eastAsia="es-MX"/>
        </w:rPr>
        <w:t>Los agravios deben estar en relación directa e inmediata con los fundamentos contenidos en la sentencia que se recurre</w:t>
      </w:r>
      <w:r w:rsidRPr="00355D12">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355D12">
        <w:rPr>
          <w:rFonts w:ascii="Palatino Linotype" w:eastAsia="Times New Roman" w:hAnsi="Palatino Linotype" w:cs="Times New Roman"/>
          <w:b/>
          <w:i/>
          <w:sz w:val="24"/>
          <w:szCs w:val="24"/>
          <w:lang w:val="es-ES_tradnl" w:eastAsia="es-ES"/>
        </w:rPr>
        <w:t>[Sic]</w:t>
      </w:r>
    </w:p>
    <w:p w14:paraId="0F335958" w14:textId="77777777" w:rsidR="00F90A3E" w:rsidRPr="00355D12" w:rsidRDefault="00F90A3E" w:rsidP="00F90A3E">
      <w:pPr>
        <w:tabs>
          <w:tab w:val="left" w:pos="1301"/>
        </w:tabs>
        <w:spacing w:before="240" w:line="360" w:lineRule="auto"/>
        <w:ind w:right="51"/>
        <w:jc w:val="both"/>
        <w:rPr>
          <w:rFonts w:ascii="Palatino Linotype" w:hAnsi="Palatino Linotype" w:cs="Arial"/>
          <w:bCs/>
          <w:sz w:val="24"/>
          <w:szCs w:val="24"/>
          <w:lang w:eastAsia="es-MX"/>
        </w:rPr>
      </w:pPr>
    </w:p>
    <w:p w14:paraId="3FB1A957" w14:textId="11A30538" w:rsidR="00F90A3E" w:rsidRPr="00355D12" w:rsidRDefault="00F90A3E" w:rsidP="00F90A3E">
      <w:pPr>
        <w:tabs>
          <w:tab w:val="left" w:pos="1301"/>
        </w:tabs>
        <w:spacing w:before="240" w:line="360" w:lineRule="auto"/>
        <w:ind w:right="51"/>
        <w:jc w:val="both"/>
        <w:rPr>
          <w:rFonts w:ascii="Palatino Linotype" w:hAnsi="Palatino Linotype" w:cs="Arial"/>
          <w:bCs/>
          <w:sz w:val="24"/>
          <w:szCs w:val="24"/>
          <w:lang w:eastAsia="es-MX"/>
        </w:rPr>
      </w:pPr>
      <w:r w:rsidRPr="00355D12">
        <w:rPr>
          <w:rFonts w:ascii="Palatino Linotype" w:hAnsi="Palatino Linotype" w:cs="Arial"/>
          <w:bCs/>
          <w:sz w:val="24"/>
          <w:szCs w:val="24"/>
          <w:lang w:eastAsia="es-MX"/>
        </w:rPr>
        <w:t xml:space="preserve">Por lo anterior, se establece que dentro del recurso de revisión presentado por </w:t>
      </w:r>
      <w:r w:rsidR="00921F5F" w:rsidRPr="00355D12">
        <w:rPr>
          <w:rFonts w:ascii="Palatino Linotype" w:hAnsi="Palatino Linotype" w:cs="Arial"/>
          <w:b/>
          <w:bCs/>
          <w:sz w:val="24"/>
          <w:szCs w:val="24"/>
          <w:lang w:eastAsia="es-MX"/>
        </w:rPr>
        <w:t>El</w:t>
      </w:r>
      <w:r w:rsidRPr="00355D12">
        <w:rPr>
          <w:rFonts w:ascii="Palatino Linotype" w:hAnsi="Palatino Linotype" w:cs="Arial"/>
          <w:b/>
          <w:bCs/>
          <w:sz w:val="24"/>
          <w:szCs w:val="24"/>
          <w:lang w:eastAsia="es-MX"/>
        </w:rPr>
        <w:t xml:space="preserve"> Recurrente </w:t>
      </w:r>
      <w:r w:rsidRPr="00355D12">
        <w:rPr>
          <w:rFonts w:ascii="Palatino Linotype" w:hAnsi="Palatino Linotype" w:cs="Arial"/>
          <w:bCs/>
          <w:sz w:val="24"/>
          <w:szCs w:val="24"/>
          <w:lang w:eastAsia="es-MX"/>
        </w:rPr>
        <w:t xml:space="preserve">no debe variar el fondo de </w:t>
      </w:r>
      <w:r w:rsidRPr="00355D12">
        <w:rPr>
          <w:rFonts w:ascii="Palatino Linotype" w:hAnsi="Palatino Linotype" w:cs="Arial"/>
          <w:bCs/>
          <w:i/>
          <w:sz w:val="24"/>
          <w:szCs w:val="24"/>
          <w:lang w:eastAsia="es-MX"/>
        </w:rPr>
        <w:t xml:space="preserve">la </w:t>
      </w:r>
      <w:proofErr w:type="spellStart"/>
      <w:r w:rsidRPr="00355D12">
        <w:rPr>
          <w:rFonts w:ascii="Palatino Linotype" w:hAnsi="Palatino Linotype" w:cs="Arial"/>
          <w:bCs/>
          <w:i/>
          <w:sz w:val="24"/>
          <w:szCs w:val="24"/>
          <w:lang w:eastAsia="es-MX"/>
        </w:rPr>
        <w:t>litis</w:t>
      </w:r>
      <w:proofErr w:type="spellEnd"/>
      <w:r w:rsidRPr="00355D12">
        <w:rPr>
          <w:rFonts w:ascii="Palatino Linotype" w:hAnsi="Palatino Linotype" w:cs="Arial"/>
          <w:bCs/>
          <w:i/>
          <w:sz w:val="24"/>
          <w:szCs w:val="24"/>
          <w:lang w:eastAsia="es-MX"/>
        </w:rPr>
        <w:t>,</w:t>
      </w:r>
      <w:r w:rsidRPr="00355D12">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1DBA4766" w14:textId="77777777" w:rsidR="00F90A3E" w:rsidRPr="00355D12" w:rsidRDefault="00F90A3E" w:rsidP="00F90A3E">
      <w:pPr>
        <w:tabs>
          <w:tab w:val="left" w:pos="7088"/>
          <w:tab w:val="left" w:pos="7230"/>
        </w:tabs>
        <w:spacing w:before="240" w:line="360" w:lineRule="auto"/>
        <w:jc w:val="both"/>
        <w:rPr>
          <w:rFonts w:ascii="Palatino Linotype" w:hAnsi="Palatino Linotype" w:cs="Arial"/>
          <w:bCs/>
          <w:sz w:val="24"/>
          <w:szCs w:val="24"/>
          <w:lang w:eastAsia="es-MX"/>
        </w:rPr>
      </w:pPr>
      <w:r w:rsidRPr="00355D12">
        <w:rPr>
          <w:rFonts w:ascii="Palatino Linotype" w:hAnsi="Palatino Linotype" w:cs="Arial"/>
          <w:bCs/>
          <w:sz w:val="24"/>
          <w:szCs w:val="24"/>
          <w:lang w:eastAsia="es-MX"/>
        </w:rPr>
        <w:t xml:space="preserve">De igual manera, tiene aplicación al respecto por analogía, la tesis aislada número I.8o.A.136 A, de la Novena Época, publicada en el Seminario Oficial de la Federación </w:t>
      </w:r>
      <w:r w:rsidRPr="00355D12">
        <w:rPr>
          <w:rFonts w:ascii="Palatino Linotype" w:hAnsi="Palatino Linotype" w:cs="Arial"/>
          <w:bCs/>
          <w:sz w:val="24"/>
          <w:szCs w:val="24"/>
          <w:lang w:eastAsia="es-MX"/>
        </w:rPr>
        <w:lastRenderedPageBreak/>
        <w:t>y su Gaceta Tomo XXIX, Marzo de 2009, página 2887, con número de registro 167607, que lleva por rubro y texto los siguientes:</w:t>
      </w:r>
    </w:p>
    <w:p w14:paraId="0E51D0E6" w14:textId="77777777" w:rsidR="00F90A3E" w:rsidRPr="00355D12" w:rsidRDefault="00F90A3E" w:rsidP="00F90A3E">
      <w:pPr>
        <w:tabs>
          <w:tab w:val="left" w:pos="6237"/>
        </w:tabs>
        <w:spacing w:before="240" w:line="360" w:lineRule="auto"/>
        <w:ind w:left="851" w:right="851"/>
        <w:jc w:val="both"/>
        <w:rPr>
          <w:rFonts w:ascii="Palatino Linotype" w:hAnsi="Palatino Linotype" w:cs="Arial"/>
          <w:b/>
          <w:bCs/>
          <w:i/>
          <w:u w:val="single"/>
          <w:lang w:eastAsia="es-MX"/>
        </w:rPr>
      </w:pPr>
      <w:r w:rsidRPr="00355D12">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355D12">
        <w:rPr>
          <w:rFonts w:ascii="Palatino Linotype" w:hAnsi="Palatino Linotype" w:cs="Arial"/>
          <w:b/>
          <w:bCs/>
          <w:i/>
          <w:u w:val="single"/>
          <w:lang w:eastAsia="es-MX"/>
        </w:rPr>
        <w:t xml:space="preserve">O SEAN DISTINTOS A LOS DE SU PETICIÓN INICIAL. </w:t>
      </w:r>
    </w:p>
    <w:p w14:paraId="73C7CDE9" w14:textId="77777777" w:rsidR="00F90A3E" w:rsidRPr="00355D12" w:rsidRDefault="00F90A3E" w:rsidP="00F90A3E">
      <w:pPr>
        <w:tabs>
          <w:tab w:val="left" w:pos="6237"/>
        </w:tabs>
        <w:spacing w:before="240" w:line="360" w:lineRule="auto"/>
        <w:ind w:left="851" w:right="851"/>
        <w:jc w:val="both"/>
        <w:rPr>
          <w:rFonts w:ascii="Palatino Linotype" w:hAnsi="Palatino Linotype" w:cs="Arial"/>
          <w:b/>
          <w:bCs/>
          <w:i/>
          <w:lang w:eastAsia="es-MX"/>
        </w:rPr>
      </w:pPr>
      <w:r w:rsidRPr="00355D12">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355D12">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355D12">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355D12">
        <w:rPr>
          <w:rFonts w:ascii="Palatino Linotype" w:hAnsi="Palatino Linotype" w:cs="Arial"/>
          <w:b/>
          <w:bCs/>
          <w:i/>
          <w:lang w:eastAsia="es-MX"/>
        </w:rPr>
        <w:t xml:space="preserve">, </w:t>
      </w:r>
      <w:r w:rsidRPr="00355D12">
        <w:rPr>
          <w:rFonts w:ascii="Palatino Linotype" w:hAnsi="Palatino Linotype" w:cs="Arial"/>
          <w:b/>
          <w:bCs/>
          <w:i/>
          <w:u w:val="single"/>
          <w:lang w:eastAsia="es-MX"/>
        </w:rPr>
        <w:t xml:space="preserve">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w:t>
      </w:r>
      <w:r w:rsidRPr="00355D12">
        <w:rPr>
          <w:rFonts w:ascii="Palatino Linotype" w:hAnsi="Palatino Linotype" w:cs="Arial"/>
          <w:b/>
          <w:bCs/>
          <w:i/>
          <w:u w:val="single"/>
          <w:lang w:eastAsia="es-MX"/>
        </w:rPr>
        <w:lastRenderedPageBreak/>
        <w:t>cumplida cuando se pongan a disposición del solicitante para consulta en el sitio donde se encuentren.</w:t>
      </w:r>
    </w:p>
    <w:p w14:paraId="533352FD" w14:textId="77777777" w:rsidR="00F90A3E" w:rsidRPr="00355D12" w:rsidRDefault="00F90A3E" w:rsidP="00F90A3E">
      <w:pPr>
        <w:tabs>
          <w:tab w:val="left" w:pos="6237"/>
        </w:tabs>
        <w:spacing w:before="240" w:line="360" w:lineRule="auto"/>
        <w:ind w:left="851" w:right="851"/>
        <w:jc w:val="both"/>
        <w:rPr>
          <w:rFonts w:ascii="Palatino Linotype" w:hAnsi="Palatino Linotype" w:cs="Arial"/>
          <w:bCs/>
          <w:i/>
          <w:lang w:eastAsia="es-MX"/>
        </w:rPr>
      </w:pPr>
      <w:r w:rsidRPr="00355D12">
        <w:rPr>
          <w:rFonts w:ascii="Palatino Linotype" w:hAnsi="Palatino Linotype" w:cs="Arial"/>
          <w:bCs/>
          <w:i/>
          <w:lang w:eastAsia="es-MX"/>
        </w:rPr>
        <w:t xml:space="preserve">OCTAVO TRIBUNAL COLEGIADO EN MATERIA ADMINISTRATIVA DEL PRIMER CIRCUITO.” </w:t>
      </w:r>
      <w:r w:rsidRPr="00355D12">
        <w:rPr>
          <w:rFonts w:ascii="Palatino Linotype" w:eastAsia="Times New Roman" w:hAnsi="Palatino Linotype" w:cs="Times New Roman"/>
          <w:b/>
          <w:i/>
          <w:sz w:val="24"/>
          <w:szCs w:val="24"/>
          <w:lang w:val="es-ES_tradnl" w:eastAsia="es-ES"/>
        </w:rPr>
        <w:t>[Sic]</w:t>
      </w:r>
    </w:p>
    <w:p w14:paraId="73038AC0" w14:textId="77777777" w:rsidR="00F90A3E" w:rsidRPr="00355D12" w:rsidRDefault="00F90A3E" w:rsidP="00F90A3E">
      <w:pPr>
        <w:spacing w:before="240" w:line="360" w:lineRule="auto"/>
        <w:jc w:val="both"/>
        <w:rPr>
          <w:rFonts w:ascii="Palatino Linotype" w:hAnsi="Palatino Linotype" w:cs="Arial"/>
          <w:bCs/>
          <w:sz w:val="24"/>
          <w:szCs w:val="24"/>
          <w:lang w:eastAsia="es-MX"/>
        </w:rPr>
      </w:pPr>
    </w:p>
    <w:p w14:paraId="69EED598" w14:textId="2DC8245A" w:rsidR="00F90A3E" w:rsidRPr="00355D12" w:rsidRDefault="00F90A3E" w:rsidP="00F90A3E">
      <w:pPr>
        <w:spacing w:before="240" w:line="360" w:lineRule="auto"/>
        <w:jc w:val="both"/>
        <w:rPr>
          <w:rFonts w:ascii="Palatino Linotype" w:hAnsi="Palatino Linotype" w:cs="Arial"/>
          <w:bCs/>
          <w:sz w:val="24"/>
          <w:szCs w:val="24"/>
          <w:lang w:eastAsia="es-MX"/>
        </w:rPr>
      </w:pPr>
      <w:r w:rsidRPr="00355D12">
        <w:rPr>
          <w:rFonts w:ascii="Palatino Linotype" w:hAnsi="Palatino Linotype" w:cs="Arial"/>
          <w:bCs/>
          <w:sz w:val="24"/>
          <w:szCs w:val="24"/>
          <w:lang w:eastAsia="es-MX"/>
        </w:rPr>
        <w:t xml:space="preserve">De manera complementaria, el entonces Instituto Nacional de Transparencia, Acceso a la Información y Protección de Datos Personales sostuvo la improcedencia de ampliar las solicitudes de información pública o de datos personales a través de la interposición del recurso de revisión, como se estima acontece en el anterior asunto. Lo anterior de conformidad con el criterio orientador 27/10; por lo que este Órgano Garante insiste en la imposibilidad de entrar al estudio de información novedosa. Criterio que es de la literalidad siguiente: </w:t>
      </w:r>
    </w:p>
    <w:p w14:paraId="0A850D27" w14:textId="77777777" w:rsidR="00F90A3E" w:rsidRPr="00355D12" w:rsidRDefault="00F90A3E" w:rsidP="00F90A3E">
      <w:pPr>
        <w:tabs>
          <w:tab w:val="left" w:pos="7513"/>
        </w:tabs>
        <w:spacing w:before="240" w:line="360" w:lineRule="auto"/>
        <w:ind w:left="851" w:right="851"/>
        <w:jc w:val="both"/>
        <w:rPr>
          <w:rFonts w:ascii="Palatino Linotype" w:hAnsi="Palatino Linotype" w:cs="Arial"/>
          <w:b/>
          <w:bCs/>
          <w:i/>
          <w:lang w:eastAsia="es-MX"/>
        </w:rPr>
      </w:pPr>
      <w:r w:rsidRPr="00355D12">
        <w:rPr>
          <w:rFonts w:ascii="Palatino Linotype" w:hAnsi="Palatino Linotype" w:cs="Arial"/>
          <w:b/>
          <w:bCs/>
          <w:i/>
          <w:lang w:eastAsia="es-MX"/>
        </w:rPr>
        <w:t>“ES IMPROCEDENTE AMPLIAR LAS SOLICITUDES DE ACCESO A INFORMACIÓN PÚBLICA O DATOS PERSONALES, A TRAVÉS DE LA INTERPOSICIÓN DEL RECURSO DE REVISIÓN</w:t>
      </w:r>
    </w:p>
    <w:p w14:paraId="2D5637FB" w14:textId="77777777" w:rsidR="00F90A3E" w:rsidRPr="00355D12" w:rsidRDefault="00F90A3E" w:rsidP="00F90A3E">
      <w:pPr>
        <w:tabs>
          <w:tab w:val="left" w:pos="7513"/>
        </w:tabs>
        <w:spacing w:before="240" w:line="360" w:lineRule="auto"/>
        <w:ind w:left="851" w:right="851"/>
        <w:jc w:val="both"/>
        <w:rPr>
          <w:rFonts w:ascii="Palatino Linotype" w:hAnsi="Palatino Linotype" w:cs="Arial"/>
          <w:bCs/>
          <w:i/>
          <w:lang w:eastAsia="es-MX"/>
        </w:rPr>
      </w:pPr>
      <w:r w:rsidRPr="00355D12">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355D12">
        <w:rPr>
          <w:rFonts w:ascii="Palatino Linotype" w:hAnsi="Palatino Linotype" w:cs="Arial"/>
          <w:bCs/>
          <w:i/>
          <w:u w:val="single"/>
          <w:lang w:eastAsia="es-MX"/>
        </w:rPr>
        <w:t xml:space="preserve"> </w:t>
      </w:r>
      <w:r w:rsidRPr="00355D12">
        <w:rPr>
          <w:rFonts w:ascii="Palatino Linotype" w:hAnsi="Palatino Linotype" w:cs="Arial"/>
          <w:b/>
          <w:bCs/>
          <w:i/>
          <w:u w:val="single"/>
          <w:lang w:eastAsia="es-MX"/>
        </w:rPr>
        <w:t>ampliación no podrá constituir materia del procedimiento a sustanciarse</w:t>
      </w:r>
      <w:r w:rsidRPr="00355D12">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FAE7578" w14:textId="77777777" w:rsidR="00F90A3E" w:rsidRPr="00355D12" w:rsidRDefault="00F90A3E" w:rsidP="00F90A3E">
      <w:pPr>
        <w:tabs>
          <w:tab w:val="left" w:pos="7513"/>
        </w:tabs>
        <w:spacing w:before="240" w:line="360" w:lineRule="auto"/>
        <w:ind w:left="851" w:right="851"/>
        <w:jc w:val="both"/>
        <w:rPr>
          <w:rFonts w:ascii="Palatino Linotype" w:hAnsi="Palatino Linotype" w:cs="Arial"/>
          <w:bCs/>
          <w:i/>
          <w:lang w:eastAsia="es-MX"/>
        </w:rPr>
      </w:pPr>
      <w:r w:rsidRPr="00355D12">
        <w:rPr>
          <w:rFonts w:ascii="Palatino Linotype" w:hAnsi="Palatino Linotype" w:cs="Arial"/>
          <w:bCs/>
          <w:i/>
          <w:lang w:eastAsia="es-MX"/>
        </w:rPr>
        <w:lastRenderedPageBreak/>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355D12">
        <w:rPr>
          <w:rFonts w:ascii="Palatino Linotype" w:hAnsi="Palatino Linotype" w:cs="Arial"/>
          <w:bCs/>
          <w:i/>
          <w:lang w:eastAsia="es-MX"/>
        </w:rPr>
        <w:t>Marván</w:t>
      </w:r>
      <w:proofErr w:type="spellEnd"/>
      <w:r w:rsidRPr="00355D12">
        <w:rPr>
          <w:rFonts w:ascii="Palatino Linotype" w:hAnsi="Palatino Linotype" w:cs="Arial"/>
          <w:bCs/>
          <w:i/>
          <w:lang w:eastAsia="es-MX"/>
        </w:rPr>
        <w:t xml:space="preserve"> Laborde1523 1006/10 Instituto Mexicano del Seguro Social – Sigrid </w:t>
      </w:r>
      <w:proofErr w:type="spellStart"/>
      <w:r w:rsidRPr="00355D12">
        <w:rPr>
          <w:rFonts w:ascii="Palatino Linotype" w:hAnsi="Palatino Linotype" w:cs="Arial"/>
          <w:bCs/>
          <w:i/>
          <w:lang w:eastAsia="es-MX"/>
        </w:rPr>
        <w:t>Arzt</w:t>
      </w:r>
      <w:proofErr w:type="spellEnd"/>
      <w:r w:rsidRPr="00355D12">
        <w:rPr>
          <w:rFonts w:ascii="Palatino Linotype" w:hAnsi="Palatino Linotype" w:cs="Arial"/>
          <w:bCs/>
          <w:i/>
          <w:lang w:eastAsia="es-MX"/>
        </w:rPr>
        <w:t xml:space="preserve"> Colunga 1378/10 Instituto de Seguridad y Servicios Sociales de los Trabajadores del Estado – María Elena Pérez-Jaén Zermeño.” </w:t>
      </w:r>
      <w:r w:rsidRPr="00355D12">
        <w:rPr>
          <w:rFonts w:ascii="Palatino Linotype" w:eastAsia="Times New Roman" w:hAnsi="Palatino Linotype" w:cs="Times New Roman"/>
          <w:b/>
          <w:i/>
          <w:sz w:val="24"/>
          <w:szCs w:val="24"/>
          <w:lang w:val="es-ES_tradnl" w:eastAsia="es-ES"/>
        </w:rPr>
        <w:t>[Sic]</w:t>
      </w:r>
    </w:p>
    <w:p w14:paraId="42DD5BE7" w14:textId="77777777" w:rsidR="00F90A3E" w:rsidRPr="00355D12" w:rsidRDefault="00F90A3E" w:rsidP="00F90A3E">
      <w:pPr>
        <w:spacing w:before="240" w:line="360" w:lineRule="auto"/>
        <w:jc w:val="both"/>
        <w:rPr>
          <w:rFonts w:ascii="Palatino Linotype" w:hAnsi="Palatino Linotype"/>
          <w:sz w:val="24"/>
          <w:szCs w:val="24"/>
        </w:rPr>
      </w:pPr>
    </w:p>
    <w:p w14:paraId="79FA19B8" w14:textId="187AA45F" w:rsidR="00F90A3E" w:rsidRPr="00355D12" w:rsidRDefault="00F90A3E" w:rsidP="00F90A3E">
      <w:pPr>
        <w:pStyle w:val="Sinespaciado"/>
        <w:spacing w:line="360" w:lineRule="auto"/>
        <w:ind w:right="141"/>
        <w:jc w:val="both"/>
        <w:rPr>
          <w:rFonts w:ascii="Palatino Linotype" w:hAnsi="Palatino Linotype"/>
          <w:bCs/>
        </w:rPr>
      </w:pPr>
      <w:r w:rsidRPr="00355D12">
        <w:rPr>
          <w:rFonts w:ascii="Palatino Linotype" w:hAnsi="Palatino Linotype"/>
          <w:bCs/>
        </w:rPr>
        <w:t xml:space="preserve">En consecuencia, </w:t>
      </w:r>
      <w:r w:rsidRPr="00355D12">
        <w:rPr>
          <w:rFonts w:ascii="Palatino Linotype" w:hAnsi="Palatino Linotype"/>
          <w:b/>
          <w:bCs/>
        </w:rPr>
        <w:t>El Sujeto Obligado</w:t>
      </w:r>
      <w:r w:rsidRPr="00355D12">
        <w:rPr>
          <w:rFonts w:ascii="Palatino Linotype" w:hAnsi="Palatino Linotype"/>
          <w:bCs/>
        </w:rPr>
        <w:t xml:space="preserve"> no se encontraba en condiciones de proporcionar la información antes señalada consistente en </w:t>
      </w:r>
      <w:r w:rsidRPr="00355D12">
        <w:rPr>
          <w:rFonts w:ascii="Palatino Linotype" w:hAnsi="Palatino Linotype"/>
          <w:b/>
          <w:bCs/>
        </w:rPr>
        <w:t>“</w:t>
      </w:r>
      <w:r w:rsidRPr="00355D12">
        <w:rPr>
          <w:rFonts w:ascii="Palatino Linotype" w:hAnsi="Palatino Linotype"/>
          <w:b/>
          <w:bCs/>
          <w:i/>
          <w:iCs/>
        </w:rPr>
        <w:t xml:space="preserve">Quiero…tener más detalles de la información” </w:t>
      </w:r>
      <w:r w:rsidRPr="00355D12">
        <w:rPr>
          <w:rFonts w:ascii="Palatino Linotype" w:hAnsi="Palatino Linotype"/>
        </w:rPr>
        <w:t xml:space="preserve">y </w:t>
      </w:r>
      <w:r w:rsidRPr="00355D12">
        <w:rPr>
          <w:rFonts w:ascii="Palatino Linotype" w:hAnsi="Palatino Linotype" w:cs="Arial"/>
          <w:b/>
          <w:bCs/>
        </w:rPr>
        <w:t>“</w:t>
      </w:r>
      <w:r w:rsidRPr="00355D12">
        <w:rPr>
          <w:rFonts w:ascii="Palatino Linotype" w:hAnsi="Palatino Linotype" w:cs="Arial"/>
          <w:b/>
          <w:bCs/>
          <w:i/>
          <w:iCs/>
        </w:rPr>
        <w:t xml:space="preserve">Quiero saber sobre el poder y quienes lo conforman”; </w:t>
      </w:r>
    </w:p>
    <w:p w14:paraId="411B888E" w14:textId="08F34DE0" w:rsidR="00F90A3E" w:rsidRPr="00355D12" w:rsidRDefault="00F90A3E" w:rsidP="00F90A3E">
      <w:pPr>
        <w:pStyle w:val="Sinespaciado"/>
        <w:spacing w:line="360" w:lineRule="auto"/>
        <w:ind w:right="141"/>
        <w:jc w:val="both"/>
        <w:rPr>
          <w:rFonts w:ascii="Palatino Linotype" w:hAnsi="Palatino Linotype"/>
          <w:bCs/>
        </w:rPr>
      </w:pPr>
      <w:r w:rsidRPr="00355D12">
        <w:rPr>
          <w:rFonts w:ascii="Palatino Linotype" w:hAnsi="Palatino Linotype"/>
          <w:color w:val="000000"/>
          <w:lang w:val="es-ES_tradnl"/>
        </w:rPr>
        <w:t xml:space="preserve">en razón de que dicha información solicitada en los motivos de inconformidad, no fue requerida en la solicitud de información primigenia, resultando injustificado examinar tales argumentos pues </w:t>
      </w:r>
      <w:r w:rsidRPr="00355D12">
        <w:rPr>
          <w:rFonts w:ascii="Palatino Linotype" w:hAnsi="Palatino Linotype"/>
          <w:bCs/>
        </w:rPr>
        <w:t xml:space="preserve">éstos no fueron del conocimiento del </w:t>
      </w:r>
      <w:r w:rsidRPr="00355D12">
        <w:rPr>
          <w:rFonts w:ascii="Palatino Linotype" w:hAnsi="Palatino Linotype"/>
          <w:b/>
          <w:bCs/>
        </w:rPr>
        <w:t>Sujeto Obligado</w:t>
      </w:r>
      <w:r w:rsidRPr="00355D12">
        <w:rPr>
          <w:rFonts w:ascii="Palatino Linotype" w:hAnsi="Palatino Linotype"/>
          <w:bCs/>
        </w:rPr>
        <w:t xml:space="preserve"> inicialmente, por lo que este no tuvo la oportunidad legal de analizarla ni de pronunciarse sobre la misma. </w:t>
      </w:r>
    </w:p>
    <w:p w14:paraId="0181BFC2" w14:textId="77777777" w:rsidR="00F90A3E" w:rsidRPr="00355D12" w:rsidRDefault="00F90A3E" w:rsidP="00F90A3E">
      <w:pPr>
        <w:pStyle w:val="Default"/>
        <w:spacing w:before="240" w:after="160" w:line="360" w:lineRule="auto"/>
        <w:jc w:val="both"/>
        <w:rPr>
          <w:rFonts w:ascii="Palatino Linotype" w:hAnsi="Palatino Linotype"/>
          <w:iCs/>
        </w:rPr>
      </w:pPr>
      <w:r w:rsidRPr="00355D12">
        <w:rPr>
          <w:rFonts w:ascii="Palatino Linotype" w:hAnsi="Palatino Linotype"/>
          <w:iCs/>
        </w:rPr>
        <w:t xml:space="preserve">Por otra parte, como fue referido en el antecedente quinto, </w:t>
      </w:r>
      <w:r w:rsidRPr="00355D12">
        <w:rPr>
          <w:rFonts w:ascii="Palatino Linotype" w:hAnsi="Palatino Linotype"/>
          <w:b/>
          <w:bCs/>
          <w:iCs/>
        </w:rPr>
        <w:t xml:space="preserve">El Sujeto Obligado </w:t>
      </w:r>
      <w:r w:rsidRPr="00355D12">
        <w:rPr>
          <w:rFonts w:ascii="Palatino Linotype" w:hAnsi="Palatino Linotype"/>
          <w:iCs/>
        </w:rPr>
        <w:t>rindió su informe justificado en los siguientes términos:</w:t>
      </w:r>
    </w:p>
    <w:p w14:paraId="4A0FF09D" w14:textId="17C35309" w:rsidR="007B5E05" w:rsidRPr="00355D12" w:rsidRDefault="007B5E05">
      <w:pPr>
        <w:pStyle w:val="Prrafodelista"/>
        <w:numPr>
          <w:ilvl w:val="0"/>
          <w:numId w:val="12"/>
        </w:numPr>
        <w:autoSpaceDE w:val="0"/>
        <w:autoSpaceDN w:val="0"/>
        <w:adjustRightInd w:val="0"/>
        <w:spacing w:before="240" w:after="160" w:line="360" w:lineRule="auto"/>
        <w:jc w:val="both"/>
        <w:rPr>
          <w:rFonts w:ascii="Palatino Linotype" w:hAnsi="Palatino Linotype" w:cs="Arial"/>
          <w:b/>
        </w:rPr>
      </w:pPr>
      <w:r w:rsidRPr="00355D12">
        <w:rPr>
          <w:rFonts w:ascii="Palatino Linotype" w:hAnsi="Palatino Linotype"/>
          <w:b/>
          <w:bCs/>
        </w:rPr>
        <w:t>“</w:t>
      </w:r>
      <w:r w:rsidR="00E359AE" w:rsidRPr="00355D12">
        <w:rPr>
          <w:rFonts w:ascii="Palatino Linotype" w:hAnsi="Palatino Linotype"/>
          <w:b/>
          <w:bCs/>
        </w:rPr>
        <w:t xml:space="preserve">MANIFESTACIONES RR 12090.pdf”: </w:t>
      </w:r>
      <w:r w:rsidR="00E359AE" w:rsidRPr="00355D12">
        <w:rPr>
          <w:rFonts w:ascii="Palatino Linotype" w:hAnsi="Palatino Linotype"/>
        </w:rPr>
        <w:t>Compila lo siguiente:</w:t>
      </w:r>
    </w:p>
    <w:p w14:paraId="523B4F31" w14:textId="3588B823" w:rsidR="00E359AE" w:rsidRPr="00355D12" w:rsidRDefault="00E359AE" w:rsidP="00E359AE">
      <w:pPr>
        <w:pStyle w:val="Prrafodelista"/>
        <w:numPr>
          <w:ilvl w:val="0"/>
          <w:numId w:val="17"/>
        </w:numPr>
        <w:autoSpaceDE w:val="0"/>
        <w:autoSpaceDN w:val="0"/>
        <w:adjustRightInd w:val="0"/>
        <w:spacing w:before="240" w:after="160" w:line="360" w:lineRule="auto"/>
        <w:jc w:val="both"/>
        <w:rPr>
          <w:rFonts w:ascii="Palatino Linotype" w:hAnsi="Palatino Linotype" w:cs="Arial"/>
          <w:b/>
        </w:rPr>
      </w:pPr>
      <w:r w:rsidRPr="00355D12">
        <w:rPr>
          <w:rFonts w:ascii="Palatino Linotype" w:hAnsi="Palatino Linotype"/>
        </w:rPr>
        <w:t xml:space="preserve">Oficio número </w:t>
      </w:r>
      <w:r w:rsidRPr="00355D12">
        <w:rPr>
          <w:rFonts w:ascii="Palatino Linotype" w:hAnsi="Palatino Linotype"/>
          <w:b/>
          <w:bCs/>
        </w:rPr>
        <w:t xml:space="preserve">MCAP/SA/309/2025 </w:t>
      </w:r>
      <w:r w:rsidRPr="00355D12">
        <w:rPr>
          <w:rFonts w:ascii="Palatino Linotype" w:hAnsi="Palatino Linotype"/>
        </w:rPr>
        <w:t xml:space="preserve">signado por el secretario del ayuntamiento, dirigido a la titular de la unidad de transparencia, de fecha veintidós de julio de dos mil veinticinco, refiere adjuntar información referente a la historia del municipio de </w:t>
      </w:r>
      <w:proofErr w:type="spellStart"/>
      <w:r w:rsidRPr="00355D12">
        <w:rPr>
          <w:rFonts w:ascii="Palatino Linotype" w:hAnsi="Palatino Linotype"/>
        </w:rPr>
        <w:t>Capulhuac</w:t>
      </w:r>
      <w:proofErr w:type="spellEnd"/>
      <w:r w:rsidRPr="00355D12">
        <w:rPr>
          <w:rFonts w:ascii="Palatino Linotype" w:hAnsi="Palatino Linotype"/>
        </w:rPr>
        <w:t>.</w:t>
      </w:r>
    </w:p>
    <w:p w14:paraId="61B17B08" w14:textId="287F508A" w:rsidR="00E359AE" w:rsidRPr="00355D12" w:rsidRDefault="00E359AE" w:rsidP="00E359AE">
      <w:pPr>
        <w:pStyle w:val="Prrafodelista"/>
        <w:numPr>
          <w:ilvl w:val="0"/>
          <w:numId w:val="17"/>
        </w:numPr>
        <w:autoSpaceDE w:val="0"/>
        <w:autoSpaceDN w:val="0"/>
        <w:adjustRightInd w:val="0"/>
        <w:spacing w:before="240" w:after="160" w:line="360" w:lineRule="auto"/>
        <w:jc w:val="both"/>
        <w:rPr>
          <w:rFonts w:ascii="Palatino Linotype" w:hAnsi="Palatino Linotype" w:cs="Arial"/>
          <w:b/>
        </w:rPr>
      </w:pPr>
      <w:r w:rsidRPr="00355D12">
        <w:rPr>
          <w:rFonts w:ascii="Palatino Linotype" w:hAnsi="Palatino Linotype"/>
        </w:rPr>
        <w:lastRenderedPageBreak/>
        <w:t xml:space="preserve">Breve historia del municipio de </w:t>
      </w:r>
      <w:proofErr w:type="spellStart"/>
      <w:r w:rsidR="00D7129F" w:rsidRPr="00355D12">
        <w:rPr>
          <w:rFonts w:ascii="Palatino Linotype" w:hAnsi="Palatino Linotype"/>
        </w:rPr>
        <w:t>Capulhuac</w:t>
      </w:r>
      <w:proofErr w:type="spellEnd"/>
      <w:r w:rsidRPr="00355D12">
        <w:rPr>
          <w:rFonts w:ascii="Palatino Linotype" w:hAnsi="Palatino Linotype"/>
        </w:rPr>
        <w:t xml:space="preserve"> expone diversos antecedentes históricos y políticos, consistente en cuatro fojas. </w:t>
      </w:r>
    </w:p>
    <w:p w14:paraId="2AD1B482" w14:textId="77777777" w:rsidR="00BA4081" w:rsidRPr="00355D12" w:rsidRDefault="00BA4081" w:rsidP="004C133E">
      <w:pPr>
        <w:pStyle w:val="Citas"/>
        <w:ind w:left="0" w:right="0"/>
        <w:rPr>
          <w:i w:val="0"/>
          <w:sz w:val="24"/>
          <w:szCs w:val="24"/>
        </w:rPr>
      </w:pPr>
    </w:p>
    <w:p w14:paraId="392BECB6" w14:textId="77777777" w:rsidR="00F6771B" w:rsidRPr="00355D12" w:rsidRDefault="00F6771B" w:rsidP="00F6771B">
      <w:pPr>
        <w:spacing w:before="240" w:line="360" w:lineRule="auto"/>
        <w:jc w:val="both"/>
        <w:rPr>
          <w:rFonts w:ascii="Palatino Linotype" w:hAnsi="Palatino Linotype"/>
          <w:sz w:val="24"/>
          <w:szCs w:val="24"/>
        </w:rPr>
      </w:pPr>
      <w:r w:rsidRPr="00355D12">
        <w:rPr>
          <w:rFonts w:ascii="Palatino Linotype" w:hAnsi="Palatino Linotype"/>
          <w:sz w:val="24"/>
          <w:szCs w:val="24"/>
        </w:rPr>
        <w:t>De ahí que deba arribarse a las siguientes consideraciones:</w:t>
      </w:r>
    </w:p>
    <w:p w14:paraId="6524E4A5" w14:textId="77777777" w:rsidR="00F6771B" w:rsidRPr="00355D12" w:rsidRDefault="00F6771B" w:rsidP="00F6771B">
      <w:pPr>
        <w:pStyle w:val="Prrafodelista"/>
        <w:numPr>
          <w:ilvl w:val="0"/>
          <w:numId w:val="19"/>
        </w:numPr>
        <w:autoSpaceDE w:val="0"/>
        <w:autoSpaceDN w:val="0"/>
        <w:adjustRightInd w:val="0"/>
        <w:spacing w:before="240" w:line="360" w:lineRule="auto"/>
        <w:jc w:val="both"/>
        <w:rPr>
          <w:rFonts w:ascii="Palatino Linotype" w:hAnsi="Palatino Linotype" w:cs="Arial"/>
        </w:rPr>
      </w:pPr>
      <w:r w:rsidRPr="00355D12">
        <w:rPr>
          <w:rFonts w:ascii="Palatino Linotype" w:hAnsi="Palatino Linotype" w:cs="Arial"/>
        </w:rPr>
        <w:t xml:space="preserve">El derecho de acceso a la información pública estriba en la prerrogativa de carácter constitucional que reconoce la potestad de los ciudadanos para solicitar soportes documentales generados, poseídos o administrados por los </w:t>
      </w:r>
      <w:r w:rsidRPr="00355D12">
        <w:rPr>
          <w:rFonts w:ascii="Palatino Linotype" w:hAnsi="Palatino Linotype" w:cs="Arial"/>
          <w:b/>
          <w:bCs/>
        </w:rPr>
        <w:t xml:space="preserve">Sujetos Obligados. </w:t>
      </w:r>
    </w:p>
    <w:p w14:paraId="77071CD6" w14:textId="77777777" w:rsidR="00F6771B" w:rsidRPr="00355D12" w:rsidRDefault="00F6771B" w:rsidP="00F6771B">
      <w:pPr>
        <w:pStyle w:val="Prrafodelista"/>
        <w:autoSpaceDE w:val="0"/>
        <w:autoSpaceDN w:val="0"/>
        <w:adjustRightInd w:val="0"/>
        <w:spacing w:before="240" w:line="360" w:lineRule="auto"/>
        <w:ind w:left="720"/>
        <w:jc w:val="both"/>
        <w:rPr>
          <w:rFonts w:ascii="Palatino Linotype" w:hAnsi="Palatino Linotype" w:cs="Arial"/>
        </w:rPr>
      </w:pPr>
    </w:p>
    <w:p w14:paraId="536488AC" w14:textId="1FB35D71" w:rsidR="00F6771B" w:rsidRPr="00355D12" w:rsidRDefault="00F6771B" w:rsidP="00F6771B">
      <w:pPr>
        <w:pStyle w:val="Prrafodelista"/>
        <w:numPr>
          <w:ilvl w:val="0"/>
          <w:numId w:val="19"/>
        </w:numPr>
        <w:pBdr>
          <w:top w:val="nil"/>
          <w:left w:val="nil"/>
          <w:bottom w:val="nil"/>
          <w:right w:val="nil"/>
          <w:between w:val="nil"/>
        </w:pBdr>
        <w:autoSpaceDE w:val="0"/>
        <w:autoSpaceDN w:val="0"/>
        <w:adjustRightInd w:val="0"/>
        <w:spacing w:before="240" w:line="360" w:lineRule="auto"/>
        <w:ind w:right="72"/>
        <w:contextualSpacing/>
        <w:jc w:val="both"/>
        <w:rPr>
          <w:rFonts w:ascii="Palatino Linotype" w:hAnsi="Palatino Linotype"/>
          <w:i/>
          <w:iCs/>
          <w:lang w:val="es-ES_tradnl"/>
        </w:rPr>
      </w:pPr>
      <w:r w:rsidRPr="00355D12">
        <w:rPr>
          <w:rFonts w:ascii="Palatino Linotype" w:hAnsi="Palatino Linotype"/>
        </w:rPr>
        <w:t>Mediante la garantía primaria</w:t>
      </w:r>
      <w:r w:rsidRPr="00355D12">
        <w:rPr>
          <w:rFonts w:ascii="Palatino Linotype" w:hAnsi="Palatino Linotype"/>
          <w:b/>
          <w:bCs/>
        </w:rPr>
        <w:t xml:space="preserve"> </w:t>
      </w:r>
      <w:r w:rsidRPr="00355D12">
        <w:rPr>
          <w:rFonts w:ascii="Palatino Linotype" w:hAnsi="Palatino Linotype"/>
        </w:rPr>
        <w:t xml:space="preserve">fue solicitado medularmente lo siguiente: </w:t>
      </w:r>
      <w:r w:rsidRPr="00355D12">
        <w:rPr>
          <w:rFonts w:ascii="Palatino Linotype" w:hAnsi="Palatino Linotype"/>
          <w:i/>
          <w:iCs/>
          <w:lang w:eastAsia="es-MX"/>
        </w:rPr>
        <w:t>“</w:t>
      </w:r>
      <w:r w:rsidRPr="00355D12">
        <w:rPr>
          <w:rFonts w:ascii="Palatino Linotype" w:hAnsi="Palatino Linotype"/>
          <w:i/>
          <w:iCs/>
          <w:lang w:val="es-MX" w:eastAsia="es-MX"/>
        </w:rPr>
        <w:t xml:space="preserve">Quiero información sobre el municipio de </w:t>
      </w:r>
      <w:proofErr w:type="spellStart"/>
      <w:r w:rsidRPr="00355D12">
        <w:rPr>
          <w:rFonts w:ascii="Palatino Linotype" w:hAnsi="Palatino Linotype"/>
          <w:i/>
          <w:iCs/>
          <w:lang w:val="es-MX" w:eastAsia="es-MX"/>
        </w:rPr>
        <w:t>Capulhuac</w:t>
      </w:r>
      <w:proofErr w:type="spellEnd"/>
      <w:r w:rsidRPr="00355D12">
        <w:rPr>
          <w:rFonts w:ascii="Palatino Linotype" w:hAnsi="Palatino Linotype"/>
          <w:i/>
          <w:iCs/>
          <w:lang w:val="es-MX" w:eastAsia="es-MX"/>
        </w:rPr>
        <w:t xml:space="preserve"> de </w:t>
      </w:r>
      <w:proofErr w:type="spellStart"/>
      <w:r w:rsidRPr="00355D12">
        <w:rPr>
          <w:rFonts w:ascii="Palatino Linotype" w:hAnsi="Palatino Linotype"/>
          <w:i/>
          <w:iCs/>
          <w:lang w:val="es-MX" w:eastAsia="es-MX"/>
        </w:rPr>
        <w:t>Mirafuentes</w:t>
      </w:r>
      <w:proofErr w:type="spellEnd"/>
      <w:r w:rsidRPr="00355D12">
        <w:rPr>
          <w:rFonts w:ascii="Palatino Linotype" w:hAnsi="Palatino Linotype"/>
          <w:i/>
          <w:iCs/>
          <w:lang w:val="es-MX" w:eastAsia="es-MX"/>
        </w:rPr>
        <w:t xml:space="preserve"> como se </w:t>
      </w:r>
      <w:proofErr w:type="spellStart"/>
      <w:r w:rsidRPr="00355D12">
        <w:rPr>
          <w:rFonts w:ascii="Palatino Linotype" w:hAnsi="Palatino Linotype"/>
          <w:i/>
          <w:iCs/>
          <w:lang w:val="es-MX" w:eastAsia="es-MX"/>
        </w:rPr>
        <w:t>creo</w:t>
      </w:r>
      <w:proofErr w:type="spellEnd"/>
      <w:r w:rsidRPr="00355D12">
        <w:rPr>
          <w:rFonts w:ascii="Palatino Linotype" w:hAnsi="Palatino Linotype"/>
          <w:i/>
          <w:iCs/>
          <w:lang w:val="es-MX" w:eastAsia="es-MX"/>
        </w:rPr>
        <w:t xml:space="preserve"> </w:t>
      </w:r>
      <w:proofErr w:type="spellStart"/>
      <w:r w:rsidRPr="00355D12">
        <w:rPr>
          <w:rFonts w:ascii="Palatino Linotype" w:hAnsi="Palatino Linotype"/>
          <w:i/>
          <w:iCs/>
          <w:lang w:val="es-MX" w:eastAsia="es-MX"/>
        </w:rPr>
        <w:t>etc</w:t>
      </w:r>
      <w:proofErr w:type="spellEnd"/>
      <w:r w:rsidRPr="00355D12">
        <w:rPr>
          <w:rFonts w:ascii="Palatino Linotype" w:hAnsi="Palatino Linotype"/>
          <w:i/>
          <w:iCs/>
          <w:lang w:eastAsia="es-MX"/>
        </w:rPr>
        <w:t xml:space="preserve">” </w:t>
      </w:r>
    </w:p>
    <w:p w14:paraId="7A2C7F9E" w14:textId="77777777" w:rsidR="00F6771B" w:rsidRPr="00355D12" w:rsidRDefault="00F6771B" w:rsidP="00F6771B">
      <w:pPr>
        <w:pStyle w:val="Prrafodelista"/>
        <w:rPr>
          <w:rFonts w:ascii="Palatino Linotype" w:hAnsi="Palatino Linotype"/>
          <w:i/>
          <w:iCs/>
          <w:lang w:val="es-ES_tradnl"/>
        </w:rPr>
      </w:pPr>
    </w:p>
    <w:p w14:paraId="0DF7E583" w14:textId="77777777" w:rsidR="00F6771B" w:rsidRPr="00355D12" w:rsidRDefault="00F6771B" w:rsidP="00F6771B">
      <w:pPr>
        <w:pStyle w:val="Prrafodelista"/>
        <w:pBdr>
          <w:top w:val="nil"/>
          <w:left w:val="nil"/>
          <w:bottom w:val="nil"/>
          <w:right w:val="nil"/>
          <w:between w:val="nil"/>
        </w:pBdr>
        <w:autoSpaceDE w:val="0"/>
        <w:autoSpaceDN w:val="0"/>
        <w:adjustRightInd w:val="0"/>
        <w:spacing w:before="240" w:line="360" w:lineRule="auto"/>
        <w:ind w:left="720" w:right="72"/>
        <w:contextualSpacing/>
        <w:jc w:val="both"/>
        <w:rPr>
          <w:rFonts w:ascii="Palatino Linotype" w:hAnsi="Palatino Linotype"/>
          <w:i/>
          <w:iCs/>
          <w:lang w:val="es-ES_tradnl"/>
        </w:rPr>
      </w:pPr>
    </w:p>
    <w:p w14:paraId="705E7F8F" w14:textId="6C6935C4" w:rsidR="00F6771B" w:rsidRPr="00355D12" w:rsidRDefault="00F6771B" w:rsidP="00F6771B">
      <w:pPr>
        <w:pStyle w:val="Prrafodelista"/>
        <w:numPr>
          <w:ilvl w:val="0"/>
          <w:numId w:val="19"/>
        </w:numPr>
        <w:pBdr>
          <w:top w:val="nil"/>
          <w:left w:val="nil"/>
          <w:bottom w:val="nil"/>
          <w:right w:val="nil"/>
          <w:between w:val="nil"/>
        </w:pBdr>
        <w:autoSpaceDE w:val="0"/>
        <w:autoSpaceDN w:val="0"/>
        <w:adjustRightInd w:val="0"/>
        <w:spacing w:before="240" w:line="360" w:lineRule="auto"/>
        <w:ind w:right="72"/>
        <w:contextualSpacing/>
        <w:jc w:val="both"/>
        <w:rPr>
          <w:lang w:val="es-ES_tradnl"/>
        </w:rPr>
      </w:pPr>
      <w:r w:rsidRPr="00355D12">
        <w:rPr>
          <w:rFonts w:ascii="Palatino Linotype" w:hAnsi="Palatino Linotype" w:cs="Arial"/>
        </w:rPr>
        <w:t xml:space="preserve">Que, mediante respuesta primigenia, </w:t>
      </w:r>
      <w:r w:rsidRPr="00355D12">
        <w:rPr>
          <w:rFonts w:ascii="Palatino Linotype" w:hAnsi="Palatino Linotype" w:cs="Arial"/>
          <w:b/>
          <w:bCs/>
        </w:rPr>
        <w:t xml:space="preserve">El Sujeto Obligado </w:t>
      </w:r>
      <w:r w:rsidRPr="00355D12">
        <w:rPr>
          <w:rFonts w:ascii="Palatino Linotype" w:hAnsi="Palatino Linotype" w:cs="Arial"/>
        </w:rPr>
        <w:t xml:space="preserve">remitió la reseña </w:t>
      </w:r>
      <w:r w:rsidR="00D7129F" w:rsidRPr="00355D12">
        <w:rPr>
          <w:rFonts w:ascii="Palatino Linotype" w:hAnsi="Palatino Linotype" w:cs="Arial"/>
        </w:rPr>
        <w:t>histórica</w:t>
      </w:r>
      <w:r w:rsidRPr="00355D12">
        <w:rPr>
          <w:rFonts w:ascii="Palatino Linotype" w:hAnsi="Palatino Linotype" w:cs="Arial"/>
        </w:rPr>
        <w:t xml:space="preserve"> del Municipio de </w:t>
      </w:r>
      <w:proofErr w:type="spellStart"/>
      <w:r w:rsidRPr="00355D12">
        <w:rPr>
          <w:rFonts w:ascii="Palatino Linotype" w:hAnsi="Palatino Linotype" w:cs="Arial"/>
        </w:rPr>
        <w:t>Capulhuac</w:t>
      </w:r>
      <w:proofErr w:type="spellEnd"/>
      <w:r w:rsidRPr="00355D12">
        <w:rPr>
          <w:rFonts w:ascii="Palatino Linotype" w:hAnsi="Palatino Linotype" w:cs="Arial"/>
        </w:rPr>
        <w:t xml:space="preserve">. </w:t>
      </w:r>
    </w:p>
    <w:p w14:paraId="498A9994" w14:textId="77777777" w:rsidR="00F6771B" w:rsidRPr="00355D12" w:rsidRDefault="00F6771B" w:rsidP="00F6771B">
      <w:pPr>
        <w:pStyle w:val="Prrafodelista"/>
        <w:pBdr>
          <w:top w:val="nil"/>
          <w:left w:val="nil"/>
          <w:bottom w:val="nil"/>
          <w:right w:val="nil"/>
          <w:between w:val="nil"/>
        </w:pBdr>
        <w:autoSpaceDE w:val="0"/>
        <w:autoSpaceDN w:val="0"/>
        <w:adjustRightInd w:val="0"/>
        <w:spacing w:before="240" w:line="360" w:lineRule="auto"/>
        <w:ind w:left="720" w:right="72"/>
        <w:contextualSpacing/>
        <w:jc w:val="both"/>
        <w:rPr>
          <w:lang w:val="es-ES_tradnl"/>
        </w:rPr>
      </w:pPr>
    </w:p>
    <w:p w14:paraId="7E584A05" w14:textId="44792C9F" w:rsidR="00F6771B" w:rsidRPr="00355D12" w:rsidRDefault="00F6771B" w:rsidP="00EA4A06">
      <w:pPr>
        <w:pStyle w:val="Prrafodelista"/>
        <w:numPr>
          <w:ilvl w:val="0"/>
          <w:numId w:val="19"/>
        </w:numPr>
        <w:pBdr>
          <w:top w:val="nil"/>
          <w:left w:val="nil"/>
          <w:bottom w:val="nil"/>
          <w:right w:val="nil"/>
          <w:between w:val="nil"/>
        </w:pBdr>
        <w:autoSpaceDE w:val="0"/>
        <w:autoSpaceDN w:val="0"/>
        <w:adjustRightInd w:val="0"/>
        <w:spacing w:before="240" w:line="360" w:lineRule="auto"/>
        <w:ind w:right="72"/>
        <w:contextualSpacing/>
        <w:jc w:val="both"/>
        <w:rPr>
          <w:rFonts w:ascii="Palatino Linotype" w:hAnsi="Palatino Linotype"/>
          <w:lang w:val="es-ES_tradnl"/>
        </w:rPr>
      </w:pPr>
      <w:r w:rsidRPr="00355D12">
        <w:rPr>
          <w:rFonts w:ascii="Palatino Linotype" w:hAnsi="Palatino Linotype"/>
          <w:lang w:val="es-ES_tradnl"/>
        </w:rPr>
        <w:t xml:space="preserve">Que, mediante los motivos de inconformidad, el particular señaló </w:t>
      </w:r>
      <w:r w:rsidRPr="00355D12">
        <w:rPr>
          <w:rFonts w:ascii="Palatino Linotype" w:hAnsi="Palatino Linotype"/>
          <w:b/>
          <w:bCs/>
        </w:rPr>
        <w:t>“</w:t>
      </w:r>
      <w:r w:rsidRPr="00355D12">
        <w:rPr>
          <w:rFonts w:ascii="Palatino Linotype" w:hAnsi="Palatino Linotype"/>
          <w:b/>
          <w:bCs/>
          <w:i/>
          <w:iCs/>
        </w:rPr>
        <w:t xml:space="preserve">Quiero…tener más detalles de la información” </w:t>
      </w:r>
      <w:r w:rsidRPr="00355D12">
        <w:rPr>
          <w:rFonts w:ascii="Palatino Linotype" w:hAnsi="Palatino Linotype"/>
        </w:rPr>
        <w:t xml:space="preserve">y </w:t>
      </w:r>
      <w:r w:rsidRPr="00355D12">
        <w:rPr>
          <w:rFonts w:ascii="Palatino Linotype" w:hAnsi="Palatino Linotype" w:cs="Arial"/>
          <w:b/>
          <w:bCs/>
          <w:lang w:val="es-MX"/>
        </w:rPr>
        <w:t>“</w:t>
      </w:r>
      <w:r w:rsidRPr="00355D12">
        <w:rPr>
          <w:rFonts w:ascii="Palatino Linotype" w:hAnsi="Palatino Linotype" w:cs="Arial"/>
          <w:b/>
          <w:bCs/>
          <w:i/>
          <w:iCs/>
          <w:lang w:val="es-MX"/>
        </w:rPr>
        <w:t>Quiero saber sobre el poder y quienes lo conforman”,</w:t>
      </w:r>
    </w:p>
    <w:p w14:paraId="1C1C94C2" w14:textId="77777777" w:rsidR="00F6771B" w:rsidRPr="00355D12" w:rsidRDefault="00F6771B" w:rsidP="00F6771B">
      <w:pPr>
        <w:pStyle w:val="Prrafodelista"/>
        <w:rPr>
          <w:rFonts w:ascii="Palatino Linotype" w:hAnsi="Palatino Linotype"/>
          <w:lang w:val="es-ES_tradnl"/>
        </w:rPr>
      </w:pPr>
    </w:p>
    <w:p w14:paraId="79ED0B85" w14:textId="77777777" w:rsidR="00F6771B" w:rsidRPr="00355D12" w:rsidRDefault="00F6771B" w:rsidP="00F6771B">
      <w:pPr>
        <w:pStyle w:val="Prrafodelista"/>
        <w:numPr>
          <w:ilvl w:val="0"/>
          <w:numId w:val="19"/>
        </w:numPr>
        <w:pBdr>
          <w:top w:val="nil"/>
          <w:left w:val="nil"/>
          <w:bottom w:val="nil"/>
          <w:right w:val="nil"/>
          <w:between w:val="nil"/>
        </w:pBdr>
        <w:autoSpaceDE w:val="0"/>
        <w:autoSpaceDN w:val="0"/>
        <w:adjustRightInd w:val="0"/>
        <w:spacing w:before="240" w:line="360" w:lineRule="auto"/>
        <w:ind w:right="72"/>
        <w:contextualSpacing/>
        <w:jc w:val="both"/>
        <w:rPr>
          <w:lang w:val="es-ES_tradnl"/>
        </w:rPr>
      </w:pPr>
      <w:r w:rsidRPr="00355D12">
        <w:rPr>
          <w:rFonts w:ascii="Palatino Linotype" w:hAnsi="Palatino Linotype"/>
          <w:iCs/>
        </w:rPr>
        <w:lastRenderedPageBreak/>
        <w:t xml:space="preserve">Que, conforme a la corriente legal y doctrinal imperante en la materia, la garantía secundaria o recurso de revisión no constituye una vía idónea para formular requerimientos adicionales o complementarios. </w:t>
      </w:r>
    </w:p>
    <w:p w14:paraId="6D395FAD" w14:textId="77777777" w:rsidR="00F6771B" w:rsidRPr="00355D12" w:rsidRDefault="00F6771B" w:rsidP="00F6771B">
      <w:pPr>
        <w:pStyle w:val="Prrafodelista"/>
        <w:rPr>
          <w:lang w:val="es-ES_tradnl"/>
        </w:rPr>
      </w:pPr>
    </w:p>
    <w:p w14:paraId="736E6584" w14:textId="77777777" w:rsidR="00F6771B" w:rsidRPr="00355D12" w:rsidRDefault="00F6771B" w:rsidP="00F6771B">
      <w:pPr>
        <w:pStyle w:val="Prrafodelista"/>
        <w:pBdr>
          <w:top w:val="nil"/>
          <w:left w:val="nil"/>
          <w:bottom w:val="nil"/>
          <w:right w:val="nil"/>
          <w:between w:val="nil"/>
        </w:pBdr>
        <w:autoSpaceDE w:val="0"/>
        <w:autoSpaceDN w:val="0"/>
        <w:adjustRightInd w:val="0"/>
        <w:spacing w:before="240" w:line="360" w:lineRule="auto"/>
        <w:ind w:left="720" w:right="72"/>
        <w:contextualSpacing/>
        <w:jc w:val="both"/>
        <w:rPr>
          <w:lang w:val="es-ES_tradnl"/>
        </w:rPr>
      </w:pPr>
    </w:p>
    <w:p w14:paraId="15DFD3F9" w14:textId="77777777" w:rsidR="00F6771B" w:rsidRPr="00355D12" w:rsidRDefault="00F6771B" w:rsidP="00F6771B">
      <w:pPr>
        <w:pStyle w:val="Prrafodelista"/>
        <w:numPr>
          <w:ilvl w:val="0"/>
          <w:numId w:val="19"/>
        </w:numPr>
        <w:pBdr>
          <w:top w:val="nil"/>
          <w:left w:val="nil"/>
          <w:bottom w:val="nil"/>
          <w:right w:val="nil"/>
          <w:between w:val="nil"/>
        </w:pBdr>
        <w:autoSpaceDE w:val="0"/>
        <w:autoSpaceDN w:val="0"/>
        <w:adjustRightInd w:val="0"/>
        <w:spacing w:before="240" w:line="360" w:lineRule="auto"/>
        <w:ind w:right="72"/>
        <w:contextualSpacing/>
        <w:jc w:val="both"/>
        <w:rPr>
          <w:lang w:val="es-ES_tradnl"/>
        </w:rPr>
      </w:pPr>
      <w:r w:rsidRPr="00355D12">
        <w:rPr>
          <w:rFonts w:ascii="Palatino Linotype" w:hAnsi="Palatino Linotype"/>
          <w:iCs/>
        </w:rPr>
        <w:t xml:space="preserve">Que en términos del numeral 12 de la Ley de Transparencia local, los </w:t>
      </w:r>
      <w:r w:rsidRPr="00355D12">
        <w:rPr>
          <w:rFonts w:ascii="Palatino Linotype" w:hAnsi="Palatino Linotype"/>
          <w:b/>
          <w:bCs/>
          <w:iCs/>
        </w:rPr>
        <w:t xml:space="preserve">Sujetos Obligados </w:t>
      </w:r>
      <w:r w:rsidRPr="00355D12">
        <w:rPr>
          <w:rFonts w:ascii="Palatino Linotype" w:hAnsi="Palatino Linotype"/>
          <w:iCs/>
        </w:rPr>
        <w:t xml:space="preserve">únicamente se encuentran constreñidos a proporcionar la información que obra en sus archivos, observando las restricciones de clasificación de la información aplicables para cada caso en concreto. Es decir, excluye la obligación de generar, documentos, procesar información o incluso generar soportes documentales “ad hoc”, conforme al criterio 03/17 cuyo rubro dispone a la literalidad lo siguiente: </w:t>
      </w:r>
      <w:r w:rsidRPr="00355D12">
        <w:rPr>
          <w:rFonts w:ascii="Palatino Linotype" w:hAnsi="Palatino Linotype"/>
          <w:b/>
          <w:i/>
          <w:iCs/>
          <w:lang w:val="es-ES_tradnl"/>
        </w:rPr>
        <w:t>“NO EXISTE OBLIGACIÓN DE ELABORAR DOCUMENTOS AD HOC PARA ATENDER LAS SOLICITUDES DE ACCESO A LA INFORMACIÓN.</w:t>
      </w:r>
      <w:r w:rsidRPr="00355D12">
        <w:rPr>
          <w:lang w:val="es-ES_tradnl"/>
        </w:rPr>
        <w:t xml:space="preserve"> </w:t>
      </w:r>
    </w:p>
    <w:p w14:paraId="17CEF3BF" w14:textId="77777777" w:rsidR="00F6771B" w:rsidRPr="00355D12" w:rsidRDefault="00F6771B" w:rsidP="00F6771B">
      <w:pPr>
        <w:pStyle w:val="Prrafodelista"/>
        <w:pBdr>
          <w:top w:val="nil"/>
          <w:left w:val="nil"/>
          <w:bottom w:val="nil"/>
          <w:right w:val="nil"/>
          <w:between w:val="nil"/>
        </w:pBdr>
        <w:autoSpaceDE w:val="0"/>
        <w:autoSpaceDN w:val="0"/>
        <w:adjustRightInd w:val="0"/>
        <w:spacing w:before="240" w:line="360" w:lineRule="auto"/>
        <w:ind w:left="720" w:right="72"/>
        <w:contextualSpacing/>
        <w:jc w:val="both"/>
        <w:rPr>
          <w:lang w:val="es-ES_tradnl"/>
        </w:rPr>
      </w:pPr>
    </w:p>
    <w:p w14:paraId="635783EC" w14:textId="59BF7645" w:rsidR="00F6771B" w:rsidRPr="00355D12" w:rsidRDefault="00F6771B" w:rsidP="00F6771B">
      <w:pPr>
        <w:pStyle w:val="Prrafodelista"/>
        <w:numPr>
          <w:ilvl w:val="0"/>
          <w:numId w:val="19"/>
        </w:numPr>
        <w:pBdr>
          <w:top w:val="nil"/>
          <w:left w:val="nil"/>
          <w:bottom w:val="nil"/>
          <w:right w:val="nil"/>
          <w:between w:val="nil"/>
        </w:pBdr>
        <w:autoSpaceDE w:val="0"/>
        <w:autoSpaceDN w:val="0"/>
        <w:adjustRightInd w:val="0"/>
        <w:spacing w:before="240" w:line="360" w:lineRule="auto"/>
        <w:ind w:right="72"/>
        <w:contextualSpacing/>
        <w:jc w:val="both"/>
        <w:rPr>
          <w:lang w:val="es-ES_tradnl"/>
        </w:rPr>
      </w:pPr>
      <w:r w:rsidRPr="00355D12">
        <w:rPr>
          <w:rFonts w:ascii="Palatino Linotype" w:hAnsi="Palatino Linotype"/>
          <w:lang w:val="es-ES_tradnl"/>
        </w:rPr>
        <w:t xml:space="preserve">Que, mediante informe justificado, </w:t>
      </w:r>
      <w:r w:rsidRPr="00355D12">
        <w:rPr>
          <w:rFonts w:ascii="Palatino Linotype" w:hAnsi="Palatino Linotype"/>
          <w:b/>
          <w:bCs/>
          <w:lang w:val="es-ES_tradnl"/>
        </w:rPr>
        <w:t xml:space="preserve">El Sujeto Obligado </w:t>
      </w:r>
      <w:r w:rsidRPr="00355D12">
        <w:rPr>
          <w:rFonts w:ascii="Palatino Linotype" w:hAnsi="Palatino Linotype"/>
          <w:lang w:val="es-ES_tradnl"/>
        </w:rPr>
        <w:t xml:space="preserve">proporcionó </w:t>
      </w:r>
      <w:r w:rsidR="0055334A" w:rsidRPr="00355D12">
        <w:rPr>
          <w:rFonts w:ascii="Palatino Linotype" w:hAnsi="Palatino Linotype"/>
          <w:lang w:val="es-ES_tradnl"/>
        </w:rPr>
        <w:t xml:space="preserve">una breve historia del municipio de </w:t>
      </w:r>
      <w:proofErr w:type="spellStart"/>
      <w:r w:rsidR="0055334A" w:rsidRPr="00355D12">
        <w:rPr>
          <w:rFonts w:ascii="Palatino Linotype" w:hAnsi="Palatino Linotype"/>
          <w:lang w:val="es-ES_tradnl"/>
        </w:rPr>
        <w:t>Capulhuac</w:t>
      </w:r>
      <w:proofErr w:type="spellEnd"/>
      <w:r w:rsidR="0055334A" w:rsidRPr="00355D12">
        <w:rPr>
          <w:rFonts w:ascii="Palatino Linotype" w:hAnsi="Palatino Linotype"/>
          <w:lang w:val="es-ES_tradnl"/>
        </w:rPr>
        <w:t xml:space="preserve">, abundando en la información remitida mediante respuesta primigenia. </w:t>
      </w:r>
    </w:p>
    <w:p w14:paraId="2F6CD3AB" w14:textId="77777777" w:rsidR="00F6771B" w:rsidRPr="00355D12" w:rsidRDefault="00F6771B" w:rsidP="00F6771B">
      <w:pPr>
        <w:pStyle w:val="Prrafodelista"/>
        <w:rPr>
          <w:rFonts w:ascii="Palatino Linotype" w:hAnsi="Palatino Linotype"/>
          <w:lang w:val="es-ES_tradnl"/>
        </w:rPr>
      </w:pPr>
    </w:p>
    <w:p w14:paraId="1370D69C" w14:textId="77777777" w:rsidR="0055334A" w:rsidRPr="00355D12" w:rsidRDefault="0055334A" w:rsidP="00980BE4">
      <w:pPr>
        <w:spacing w:line="360" w:lineRule="auto"/>
        <w:jc w:val="both"/>
        <w:rPr>
          <w:rFonts w:ascii="Palatino Linotype" w:hAnsi="Palatino Linotype"/>
          <w:sz w:val="24"/>
          <w:szCs w:val="24"/>
        </w:rPr>
      </w:pPr>
    </w:p>
    <w:p w14:paraId="1889D4EB" w14:textId="4592A348" w:rsidR="0055334A" w:rsidRPr="00355D12" w:rsidRDefault="0055334A" w:rsidP="0055334A">
      <w:pPr>
        <w:autoSpaceDE w:val="0"/>
        <w:autoSpaceDN w:val="0"/>
        <w:adjustRightInd w:val="0"/>
        <w:spacing w:before="240" w:line="360" w:lineRule="auto"/>
        <w:ind w:right="-18"/>
        <w:jc w:val="both"/>
        <w:rPr>
          <w:rFonts w:ascii="Palatino Linotype" w:hAnsi="Palatino Linotype"/>
          <w:sz w:val="24"/>
          <w:szCs w:val="24"/>
        </w:rPr>
      </w:pPr>
      <w:r w:rsidRPr="00355D12">
        <w:rPr>
          <w:rFonts w:ascii="Palatino Linotype" w:hAnsi="Palatino Linotype"/>
          <w:sz w:val="24"/>
          <w:szCs w:val="24"/>
        </w:rPr>
        <w:t xml:space="preserve">Hasta aquí lo expuesto, a toda luz se advierte la improcedencia del recurso por </w:t>
      </w:r>
      <w:r w:rsidRPr="00355D12">
        <w:rPr>
          <w:rFonts w:ascii="Palatino Linotype" w:hAnsi="Palatino Linotype"/>
          <w:b/>
          <w:bCs/>
          <w:sz w:val="24"/>
          <w:szCs w:val="24"/>
          <w:u w:val="single"/>
        </w:rPr>
        <w:t xml:space="preserve">ampliación a la solicitud de información vía recurso de información </w:t>
      </w:r>
      <w:r w:rsidRPr="00355D12">
        <w:rPr>
          <w:rFonts w:ascii="Palatino Linotype" w:hAnsi="Palatino Linotype"/>
          <w:sz w:val="24"/>
          <w:szCs w:val="24"/>
        </w:rPr>
        <w:t xml:space="preserve">(Artículo 191, fracción VII y 192, fracción IV de la Ley de Transparencia local), así como por </w:t>
      </w:r>
      <w:r w:rsidRPr="00355D12">
        <w:rPr>
          <w:rFonts w:ascii="Palatino Linotype" w:hAnsi="Palatino Linotype"/>
          <w:b/>
          <w:bCs/>
          <w:sz w:val="24"/>
          <w:szCs w:val="24"/>
          <w:u w:val="single"/>
        </w:rPr>
        <w:t xml:space="preserve">modificar la respuesta </w:t>
      </w:r>
      <w:r w:rsidRPr="00355D12">
        <w:rPr>
          <w:rFonts w:ascii="Palatino Linotype" w:hAnsi="Palatino Linotype"/>
          <w:sz w:val="24"/>
          <w:szCs w:val="24"/>
        </w:rPr>
        <w:t xml:space="preserve">(Artículo 192 </w:t>
      </w:r>
      <w:r w:rsidR="00D7129F" w:rsidRPr="00355D12">
        <w:rPr>
          <w:rFonts w:ascii="Palatino Linotype" w:hAnsi="Palatino Linotype"/>
          <w:sz w:val="24"/>
          <w:szCs w:val="24"/>
        </w:rPr>
        <w:t xml:space="preserve">fracción III </w:t>
      </w:r>
      <w:r w:rsidRPr="00355D12">
        <w:rPr>
          <w:rFonts w:ascii="Palatino Linotype" w:hAnsi="Palatino Linotype"/>
          <w:sz w:val="24"/>
          <w:szCs w:val="24"/>
        </w:rPr>
        <w:t xml:space="preserve">de la Ley de Transparencia y Acceso a la Información Pública del Estado de México y Municipios). </w:t>
      </w:r>
    </w:p>
    <w:p w14:paraId="6D5235CC" w14:textId="77777777" w:rsidR="0055334A" w:rsidRPr="00355D12" w:rsidRDefault="0055334A" w:rsidP="0055334A">
      <w:pPr>
        <w:tabs>
          <w:tab w:val="left" w:pos="5415"/>
        </w:tabs>
        <w:spacing w:before="240" w:line="360" w:lineRule="auto"/>
        <w:ind w:right="51"/>
        <w:jc w:val="both"/>
        <w:rPr>
          <w:rFonts w:ascii="Palatino Linotype" w:hAnsi="Palatino Linotype" w:cs="Arial"/>
          <w:sz w:val="24"/>
          <w:szCs w:val="24"/>
        </w:rPr>
      </w:pPr>
      <w:r w:rsidRPr="00355D12">
        <w:rPr>
          <w:rFonts w:ascii="Palatino Linotype" w:hAnsi="Palatino Linotype" w:cs="Arial"/>
          <w:sz w:val="24"/>
          <w:szCs w:val="24"/>
        </w:rPr>
        <w:lastRenderedPageBreak/>
        <w:t xml:space="preserve">Bajo este contexto, cobra particular relevancia la corriente que emana de la Segunda Sala de la Suprema Corte de Justicia de la Nación, a través de la jurisprudencia con número de registro digital </w:t>
      </w:r>
      <w:r w:rsidRPr="00355D12">
        <w:rPr>
          <w:rFonts w:ascii="Palatino Linotype" w:hAnsi="Palatino Linotype" w:cs="Arial"/>
          <w:b/>
          <w:sz w:val="24"/>
          <w:szCs w:val="24"/>
        </w:rPr>
        <w:t>195744</w:t>
      </w:r>
      <w:r w:rsidRPr="00355D12">
        <w:rPr>
          <w:rFonts w:ascii="Palatino Linotype" w:hAnsi="Palatino Linotype" w:cs="Arial"/>
          <w:sz w:val="24"/>
          <w:szCs w:val="24"/>
        </w:rPr>
        <w:t xml:space="preserve"> de la Novena Época, visible en el Semanario Judicial de la Federación y su Gaceta, Tomo VIII, de agosto de 1998, tesis 2a/J. 54/98 en materia común, en la que se establece lo siguiente:</w:t>
      </w:r>
    </w:p>
    <w:p w14:paraId="05E6C946" w14:textId="77777777" w:rsidR="0055334A" w:rsidRPr="00355D12" w:rsidRDefault="0055334A" w:rsidP="0055334A">
      <w:pPr>
        <w:pStyle w:val="Citas"/>
        <w:rPr>
          <w:b/>
          <w:lang w:eastAsia="es-MX"/>
        </w:rPr>
      </w:pPr>
      <w:r w:rsidRPr="00355D12">
        <w:rPr>
          <w:b/>
          <w:lang w:eastAsia="es-MX"/>
        </w:rPr>
        <w:t>“SOBRESEIMIENTO. BASTA EL ESTUDIO DE UNA SOLA CAUSAL DE IMPROCEDENCIA.</w:t>
      </w:r>
    </w:p>
    <w:p w14:paraId="01C44725" w14:textId="77777777" w:rsidR="0055334A" w:rsidRPr="00355D12" w:rsidRDefault="0055334A" w:rsidP="0055334A">
      <w:pPr>
        <w:pStyle w:val="Citas"/>
        <w:rPr>
          <w:lang w:eastAsia="es-MX"/>
        </w:rPr>
      </w:pPr>
      <w:r w:rsidRPr="00355D12">
        <w:rPr>
          <w:lang w:eastAsia="es-MX"/>
        </w:rPr>
        <w:t>Al quedar demostrado que el juicio de garantías es improcedente y que debe sobreseerse con apoyo en los artículos relativos de la Ley de Amparo, el que opere, o no, alguna otra causal de improcedencia, es irrelevante, porque no cambiaría el sentido de la resolución.</w:t>
      </w:r>
    </w:p>
    <w:p w14:paraId="61E9F935" w14:textId="77777777" w:rsidR="0055334A" w:rsidRPr="00355D12" w:rsidRDefault="0055334A" w:rsidP="0055334A">
      <w:pPr>
        <w:pStyle w:val="Citas"/>
        <w:rPr>
          <w:lang w:eastAsia="es-MX"/>
        </w:rPr>
      </w:pPr>
      <w:r w:rsidRPr="00355D12">
        <w:rPr>
          <w:lang w:eastAsia="es-MX"/>
        </w:rPr>
        <w:t xml:space="preserve">Amparo en revisión 7488/81. Maximino Juárez Miguel (Poblado de San Francisco </w:t>
      </w:r>
      <w:proofErr w:type="spellStart"/>
      <w:r w:rsidRPr="00355D12">
        <w:rPr>
          <w:lang w:eastAsia="es-MX"/>
        </w:rPr>
        <w:t>Jaltepetongo</w:t>
      </w:r>
      <w:proofErr w:type="spellEnd"/>
      <w:r w:rsidRPr="00355D12">
        <w:rPr>
          <w:lang w:eastAsia="es-MX"/>
        </w:rPr>
        <w:t>, Municipio del mismo nombre, Estado de Oaxaca. Acumulados). 29 de noviembre de 1982. Cinco votos. Ponente: Carlos del Río Rodríguez. Secretario: Wilfrido Castañón León.</w:t>
      </w:r>
    </w:p>
    <w:p w14:paraId="680A4AE2" w14:textId="77777777" w:rsidR="0055334A" w:rsidRPr="00355D12" w:rsidRDefault="0055334A" w:rsidP="0055334A">
      <w:pPr>
        <w:pStyle w:val="Citas"/>
        <w:rPr>
          <w:lang w:eastAsia="es-MX"/>
        </w:rPr>
      </w:pPr>
      <w:r w:rsidRPr="00355D12">
        <w:rPr>
          <w:lang w:eastAsia="es-MX"/>
        </w:rPr>
        <w:t>Amparo en revisión 540/97. Bancomer, S.A., Institución de Banca Múltiple y Grupo Financiero. 30 de enero de 1998. Cinco votos. Ponente: Sergio Salvador Aguirre Anguiano. Secretaria: Alma Delia Aguilar Chávez Nava.</w:t>
      </w:r>
    </w:p>
    <w:p w14:paraId="6DE7AEC5" w14:textId="77777777" w:rsidR="0055334A" w:rsidRPr="00355D12" w:rsidRDefault="0055334A" w:rsidP="0055334A">
      <w:pPr>
        <w:pStyle w:val="Citas"/>
      </w:pPr>
      <w:r w:rsidRPr="00355D12">
        <w:rPr>
          <w:lang w:eastAsia="es-MX"/>
        </w:rPr>
        <w:t>Amparo en revisión 3059/97. Francisco Cañedo Zavaleta. 30 de enero de 1998. Cinco votos. Ponente: Sergio Salvador Aguirre Anguiano. Secretaria: Adela Domínguez Salazar.</w:t>
      </w:r>
      <w:r w:rsidRPr="00355D12">
        <w:br/>
        <w:t xml:space="preserve">Amparo en revisión 1634/96. Arturo </w:t>
      </w:r>
      <w:proofErr w:type="spellStart"/>
      <w:r w:rsidRPr="00355D12">
        <w:t>Veana</w:t>
      </w:r>
      <w:proofErr w:type="spellEnd"/>
      <w:r w:rsidRPr="00355D12">
        <w:t xml:space="preserve"> Espinosa. 20 de febrero de 1998. Cinco </w:t>
      </w:r>
      <w:r w:rsidRPr="00355D12">
        <w:lastRenderedPageBreak/>
        <w:t>votos. Ponente: Sergio Salvador Aguirre Anguiano. Secretaria: Adela Domínguez Salazar.</w:t>
      </w:r>
    </w:p>
    <w:p w14:paraId="6C28A045" w14:textId="77777777" w:rsidR="0055334A" w:rsidRPr="00355D12" w:rsidRDefault="0055334A" w:rsidP="0055334A">
      <w:pPr>
        <w:pStyle w:val="Citas"/>
        <w:rPr>
          <w:lang w:eastAsia="es-MX"/>
        </w:rPr>
      </w:pPr>
      <w:r w:rsidRPr="00355D12">
        <w:rPr>
          <w:lang w:eastAsia="es-MX"/>
        </w:rPr>
        <w:t xml:space="preserve">Amparo en revisión 2204/97. De </w:t>
      </w:r>
      <w:proofErr w:type="spellStart"/>
      <w:r w:rsidRPr="00355D12">
        <w:rPr>
          <w:lang w:eastAsia="es-MX"/>
        </w:rPr>
        <w:t>Raffaelo</w:t>
      </w:r>
      <w:proofErr w:type="spellEnd"/>
      <w:r w:rsidRPr="00355D12">
        <w:rPr>
          <w:lang w:eastAsia="es-MX"/>
        </w:rPr>
        <w:t>, S.A. de C.V. 27 de mayo de 1998. Cinco votos. Ponente: Juan Díaz Romero. Secretario: Aristeo Martínez Cruz.</w:t>
      </w:r>
    </w:p>
    <w:p w14:paraId="6D9955B3" w14:textId="77777777" w:rsidR="0055334A" w:rsidRPr="00355D12" w:rsidRDefault="0055334A" w:rsidP="0055334A">
      <w:pPr>
        <w:pStyle w:val="Citas"/>
        <w:rPr>
          <w:b/>
          <w:lang w:eastAsia="es-MX"/>
        </w:rPr>
      </w:pPr>
      <w:r w:rsidRPr="00355D12">
        <w:rPr>
          <w:lang w:eastAsia="es-MX"/>
        </w:rPr>
        <w:t xml:space="preserve">Tesis de jurisprudencia 54/98. Aprobada por la Segunda Sala de este Alto Tribunal, en sesión privada del veintiséis de junio de mil novecientos noventa y ocho.” </w:t>
      </w:r>
      <w:r w:rsidRPr="00355D12">
        <w:rPr>
          <w:b/>
          <w:lang w:eastAsia="es-MX"/>
        </w:rPr>
        <w:t xml:space="preserve">[Sic] </w:t>
      </w:r>
    </w:p>
    <w:p w14:paraId="555BEEB8" w14:textId="77777777" w:rsidR="0055334A" w:rsidRPr="00355D12" w:rsidRDefault="0055334A" w:rsidP="00980BE4">
      <w:pPr>
        <w:spacing w:line="360" w:lineRule="auto"/>
        <w:jc w:val="both"/>
        <w:rPr>
          <w:rFonts w:ascii="Palatino Linotype" w:hAnsi="Palatino Linotype"/>
          <w:sz w:val="24"/>
          <w:szCs w:val="24"/>
        </w:rPr>
      </w:pPr>
    </w:p>
    <w:p w14:paraId="2D6DBB89" w14:textId="6B2C0962" w:rsidR="00980BE4" w:rsidRPr="00355D12" w:rsidRDefault="00980BE4" w:rsidP="00980BE4">
      <w:pPr>
        <w:spacing w:line="360" w:lineRule="auto"/>
        <w:jc w:val="both"/>
        <w:rPr>
          <w:rFonts w:ascii="Palatino Linotype" w:hAnsi="Palatino Linotype" w:cs="Arial"/>
          <w:sz w:val="24"/>
          <w:szCs w:val="24"/>
        </w:rPr>
      </w:pPr>
      <w:r w:rsidRPr="00355D12">
        <w:rPr>
          <w:rFonts w:ascii="Palatino Linotype" w:hAnsi="Palatino Linotype"/>
          <w:sz w:val="24"/>
          <w:szCs w:val="24"/>
        </w:rPr>
        <w:t xml:space="preserve">Una vez precisado lo anterior, </w:t>
      </w:r>
      <w:r w:rsidRPr="00355D12">
        <w:rPr>
          <w:rFonts w:ascii="Palatino Linotype" w:hAnsi="Palatino Linotype" w:cs="Arial"/>
          <w:sz w:val="24"/>
          <w:szCs w:val="24"/>
        </w:rPr>
        <w:t>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5C04E22" w14:textId="77777777" w:rsidR="00980BE4" w:rsidRPr="00355D12" w:rsidRDefault="00980BE4" w:rsidP="00980BE4">
      <w:pPr>
        <w:spacing w:line="360" w:lineRule="auto"/>
        <w:ind w:left="851" w:right="851"/>
        <w:jc w:val="both"/>
        <w:rPr>
          <w:rFonts w:ascii="Palatino Linotype" w:hAnsi="Palatino Linotype" w:cs="Arial"/>
          <w:b/>
          <w:i/>
        </w:rPr>
      </w:pPr>
      <w:r w:rsidRPr="00355D12">
        <w:rPr>
          <w:rFonts w:ascii="Palatino Linotype" w:hAnsi="Palatino Linotype" w:cs="Arial"/>
          <w:b/>
          <w:i/>
        </w:rPr>
        <w:t>“SOBRESEIMIENTO EN EL JUICIO DE AMPARO DIRECTO. IMPIDE EL ESTUDIO DE LAS VIOLACIONES PROCESALES PLANTEADAS EN LOS CONCEPTOS DE VIOLACIÓN.</w:t>
      </w:r>
    </w:p>
    <w:p w14:paraId="1D82669D" w14:textId="77777777" w:rsidR="00980BE4" w:rsidRPr="00355D12" w:rsidRDefault="00980BE4" w:rsidP="00980BE4">
      <w:pPr>
        <w:spacing w:line="360" w:lineRule="auto"/>
        <w:ind w:left="851" w:right="851"/>
        <w:jc w:val="both"/>
        <w:rPr>
          <w:rFonts w:ascii="Palatino Linotype" w:hAnsi="Palatino Linotype"/>
          <w:i/>
          <w:color w:val="000000"/>
        </w:rPr>
      </w:pPr>
      <w:r w:rsidRPr="00355D12">
        <w:rPr>
          <w:rFonts w:ascii="Palatino Linotype" w:hAnsi="Palatino Linotype" w:cs="Arial"/>
          <w:b/>
          <w:i/>
          <w:u w:val="single"/>
        </w:rPr>
        <w:t>El sobreseimiento</w:t>
      </w:r>
      <w:r w:rsidRPr="00355D12">
        <w:rPr>
          <w:rFonts w:ascii="Palatino Linotype" w:hAnsi="Palatino Linotype" w:cs="Arial"/>
          <w:b/>
          <w:i/>
        </w:rPr>
        <w:t xml:space="preserve"> </w:t>
      </w:r>
      <w:r w:rsidRPr="00355D12">
        <w:rPr>
          <w:rFonts w:ascii="Palatino Linotype" w:hAnsi="Palatino Linotype" w:cs="Arial"/>
          <w:i/>
        </w:rPr>
        <w:t xml:space="preserve">en el juicio de amparo directo </w:t>
      </w:r>
      <w:r w:rsidRPr="00355D12">
        <w:rPr>
          <w:rFonts w:ascii="Palatino Linotype" w:hAnsi="Palatino Linotype" w:cs="Arial"/>
          <w:b/>
          <w:i/>
          <w:u w:val="single"/>
        </w:rPr>
        <w:t>provoca la terminación de la controversia planteada</w:t>
      </w:r>
      <w:r w:rsidRPr="00355D12">
        <w:rPr>
          <w:rFonts w:ascii="Palatino Linotype" w:hAnsi="Palatino Linotype" w:cs="Arial"/>
          <w:b/>
          <w:i/>
        </w:rPr>
        <w:t xml:space="preserve"> </w:t>
      </w:r>
      <w:r w:rsidRPr="00355D12">
        <w:rPr>
          <w:rFonts w:ascii="Palatino Linotype" w:hAnsi="Palatino Linotype" w:cs="Arial"/>
          <w:i/>
        </w:rPr>
        <w:t>por el quejoso en la demanda de amparo</w:t>
      </w:r>
      <w:r w:rsidRPr="00355D12">
        <w:rPr>
          <w:rFonts w:ascii="Calibri" w:hAnsi="Calibri"/>
          <w:color w:val="000000"/>
          <w:sz w:val="26"/>
          <w:szCs w:val="26"/>
        </w:rPr>
        <w:t xml:space="preserve"> </w:t>
      </w:r>
      <w:r w:rsidRPr="00355D12">
        <w:rPr>
          <w:rFonts w:ascii="Palatino Linotype" w:hAnsi="Palatino Linotype"/>
          <w:i/>
          <w:color w:val="000000"/>
        </w:rPr>
        <w:t xml:space="preserve">provoca la terminación de la controversia planteada por el quejoso en la demanda de </w:t>
      </w:r>
      <w:r w:rsidRPr="00355D12">
        <w:rPr>
          <w:rFonts w:ascii="Palatino Linotype" w:hAnsi="Palatino Linotype"/>
          <w:b/>
          <w:i/>
          <w:color w:val="000000"/>
        </w:rPr>
        <w:t>amparo</w:t>
      </w:r>
      <w:r w:rsidRPr="00355D12">
        <w:rPr>
          <w:rFonts w:ascii="Palatino Linotype" w:hAnsi="Palatino Linotype"/>
          <w:i/>
          <w:color w:val="000000"/>
        </w:rPr>
        <w:t>, sin hacer un pronunciamiento de fondo sobre la legalidad o ilegalidad de la sentencia reclamada. Por consiguiente, si al sobreseerse en el</w:t>
      </w:r>
      <w:r w:rsidRPr="00355D12">
        <w:rPr>
          <w:rFonts w:ascii="Palatino Linotype" w:hAnsi="Palatino Linotype"/>
          <w:b/>
          <w:i/>
          <w:color w:val="000000"/>
        </w:rPr>
        <w:t xml:space="preserve"> juicio </w:t>
      </w:r>
      <w:r w:rsidRPr="00355D12">
        <w:rPr>
          <w:rFonts w:ascii="Palatino Linotype" w:hAnsi="Palatino Linotype"/>
          <w:i/>
          <w:color w:val="000000"/>
        </w:rPr>
        <w:t xml:space="preserve">de </w:t>
      </w:r>
      <w:r w:rsidRPr="00355D12">
        <w:rPr>
          <w:rFonts w:ascii="Palatino Linotype" w:hAnsi="Palatino Linotype"/>
          <w:b/>
          <w:i/>
          <w:color w:val="000000"/>
        </w:rPr>
        <w:t>amparo</w:t>
      </w:r>
      <w:r w:rsidRPr="00355D12">
        <w:rPr>
          <w:rFonts w:ascii="Palatino Linotype" w:hAnsi="Palatino Linotype"/>
          <w:i/>
          <w:color w:val="000000"/>
        </w:rPr>
        <w:t xml:space="preserve"> no se pueden estudiar los planteamientos que se hacen valer en contra del fallo reclamado, tampoco se deben analizar las</w:t>
      </w:r>
      <w:r w:rsidRPr="00355D12">
        <w:rPr>
          <w:rFonts w:ascii="Palatino Linotype" w:hAnsi="Palatino Linotype"/>
          <w:b/>
          <w:i/>
          <w:color w:val="000000"/>
        </w:rPr>
        <w:t xml:space="preserve"> violaciones procesales</w:t>
      </w:r>
      <w:r w:rsidRPr="00355D12">
        <w:rPr>
          <w:rFonts w:ascii="Palatino Linotype" w:hAnsi="Palatino Linotype"/>
          <w:i/>
          <w:color w:val="000000"/>
        </w:rPr>
        <w:t xml:space="preserve"> propuestas en los </w:t>
      </w:r>
      <w:r w:rsidRPr="00355D12">
        <w:rPr>
          <w:rFonts w:ascii="Palatino Linotype" w:hAnsi="Palatino Linotype"/>
          <w:b/>
          <w:i/>
          <w:color w:val="000000"/>
        </w:rPr>
        <w:t xml:space="preserve">conceptos </w:t>
      </w:r>
      <w:r w:rsidRPr="00355D12">
        <w:rPr>
          <w:rFonts w:ascii="Palatino Linotype" w:hAnsi="Palatino Linotype"/>
          <w:i/>
          <w:color w:val="000000"/>
        </w:rPr>
        <w:t xml:space="preserve">de </w:t>
      </w:r>
      <w:r w:rsidRPr="00355D12">
        <w:rPr>
          <w:rFonts w:ascii="Palatino Linotype" w:hAnsi="Palatino Linotype"/>
          <w:b/>
          <w:i/>
          <w:color w:val="000000"/>
        </w:rPr>
        <w:lastRenderedPageBreak/>
        <w:t>violación</w:t>
      </w:r>
      <w:r w:rsidRPr="00355D12">
        <w:rPr>
          <w:rFonts w:ascii="Palatino Linotype" w:hAnsi="Palatino Linotype"/>
          <w:i/>
          <w:color w:val="000000"/>
        </w:rPr>
        <w:t xml:space="preserve">, dado que, la principal consecuencia del </w:t>
      </w:r>
      <w:r w:rsidRPr="00355D12">
        <w:rPr>
          <w:rFonts w:ascii="Palatino Linotype" w:hAnsi="Palatino Linotype"/>
          <w:b/>
          <w:i/>
          <w:color w:val="000000"/>
        </w:rPr>
        <w:t>sobreseimiento</w:t>
      </w:r>
      <w:r w:rsidRPr="00355D12">
        <w:rPr>
          <w:rFonts w:ascii="Palatino Linotype" w:hAnsi="Palatino Linotype"/>
          <w:i/>
          <w:color w:val="000000"/>
        </w:rPr>
        <w:t xml:space="preserve"> es poner fin al </w:t>
      </w:r>
      <w:r w:rsidRPr="00355D12">
        <w:rPr>
          <w:rFonts w:ascii="Palatino Linotype" w:hAnsi="Palatino Linotype"/>
          <w:b/>
          <w:i/>
          <w:color w:val="000000"/>
        </w:rPr>
        <w:t xml:space="preserve">juicio </w:t>
      </w:r>
      <w:r w:rsidRPr="00355D12">
        <w:rPr>
          <w:rFonts w:ascii="Palatino Linotype" w:hAnsi="Palatino Linotype"/>
          <w:i/>
          <w:color w:val="000000"/>
        </w:rPr>
        <w:t xml:space="preserve">de </w:t>
      </w:r>
      <w:r w:rsidRPr="00355D12">
        <w:rPr>
          <w:rFonts w:ascii="Palatino Linotype" w:hAnsi="Palatino Linotype"/>
          <w:b/>
          <w:i/>
          <w:color w:val="000000"/>
        </w:rPr>
        <w:t xml:space="preserve">amparo </w:t>
      </w:r>
      <w:r w:rsidRPr="00355D12">
        <w:rPr>
          <w:rFonts w:ascii="Palatino Linotype" w:hAnsi="Palatino Linotype"/>
          <w:i/>
          <w:color w:val="000000"/>
        </w:rPr>
        <w:t>sin resolver la controversia en sus méritos.  </w:t>
      </w:r>
    </w:p>
    <w:p w14:paraId="2EA75CF8" w14:textId="77777777" w:rsidR="00980BE4" w:rsidRPr="00355D12" w:rsidRDefault="00980BE4" w:rsidP="00980BE4">
      <w:pPr>
        <w:spacing w:line="360" w:lineRule="auto"/>
        <w:ind w:left="851" w:right="851"/>
        <w:jc w:val="both"/>
        <w:rPr>
          <w:rFonts w:ascii="Palatino Linotype" w:hAnsi="Palatino Linotype" w:cs="Arial"/>
          <w:b/>
          <w:i/>
        </w:rPr>
      </w:pPr>
      <w:r w:rsidRPr="00355D12">
        <w:rPr>
          <w:rFonts w:ascii="Palatino Linotype" w:hAnsi="Palatino Linotype" w:cs="Arial"/>
          <w:b/>
          <w:i/>
        </w:rPr>
        <w:t>SÉPTIMO TRIBUNAL COLEGIADO EN MATERIA CIVIL DEL PRIMER CIRCUITO.</w:t>
      </w:r>
    </w:p>
    <w:p w14:paraId="65A657F4" w14:textId="77777777" w:rsidR="00980BE4" w:rsidRPr="00355D12" w:rsidRDefault="00980BE4" w:rsidP="00980BE4">
      <w:pPr>
        <w:spacing w:line="360" w:lineRule="auto"/>
        <w:ind w:left="851" w:right="851"/>
        <w:jc w:val="both"/>
        <w:rPr>
          <w:rFonts w:ascii="Palatino Linotype" w:hAnsi="Palatino Linotype" w:cs="Arial"/>
          <w:i/>
        </w:rPr>
      </w:pPr>
      <w:r w:rsidRPr="00355D12">
        <w:rPr>
          <w:rFonts w:ascii="Palatino Linotype" w:hAnsi="Palatino Linotype" w:cs="Arial"/>
          <w:i/>
        </w:rPr>
        <w:t xml:space="preserve">Amparo directo 699/2008. Mariana Leticia González </w:t>
      </w:r>
      <w:proofErr w:type="spellStart"/>
      <w:r w:rsidRPr="00355D12">
        <w:rPr>
          <w:rFonts w:ascii="Palatino Linotype" w:hAnsi="Palatino Linotype" w:cs="Arial"/>
          <w:i/>
        </w:rPr>
        <w:t>Steele</w:t>
      </w:r>
      <w:proofErr w:type="spellEnd"/>
      <w:r w:rsidRPr="00355D12">
        <w:rPr>
          <w:rFonts w:ascii="Palatino Linotype" w:hAnsi="Palatino Linotype" w:cs="Arial"/>
          <w:i/>
        </w:rPr>
        <w:t>. 13 de noviembre de 2008. Unanimidad de votos. Ponente: Sara Judith Montalvo Trejo. Secretario: Arnulfo Mateos García.”</w:t>
      </w:r>
      <w:r w:rsidRPr="00355D12">
        <w:rPr>
          <w:rFonts w:ascii="Palatino Linotype" w:eastAsia="Times New Roman" w:hAnsi="Palatino Linotype" w:cs="Times New Roman"/>
          <w:b/>
          <w:i/>
          <w:lang w:val="es-ES_tradnl" w:eastAsia="es-ES"/>
        </w:rPr>
        <w:t xml:space="preserve"> [Sic]</w:t>
      </w:r>
    </w:p>
    <w:p w14:paraId="39891EE2" w14:textId="77777777" w:rsidR="00980BE4" w:rsidRPr="00355D12" w:rsidRDefault="00980BE4" w:rsidP="00980BE4">
      <w:pPr>
        <w:ind w:right="141"/>
        <w:jc w:val="both"/>
        <w:rPr>
          <w:rFonts w:ascii="Palatino Linotype" w:hAnsi="Palatino Linotype" w:cs="Arial"/>
        </w:rPr>
      </w:pPr>
    </w:p>
    <w:p w14:paraId="5C728583" w14:textId="77777777" w:rsidR="00980BE4" w:rsidRPr="00355D12" w:rsidRDefault="00980BE4" w:rsidP="00980BE4">
      <w:pPr>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355D12">
        <w:rPr>
          <w:rFonts w:ascii="Palatino Linotype" w:hAnsi="Palatino Linotype" w:cs="Arial"/>
          <w:b/>
          <w:sz w:val="24"/>
          <w:szCs w:val="24"/>
        </w:rPr>
        <w:t xml:space="preserve">artículo 192 </w:t>
      </w:r>
      <w:r w:rsidRPr="00355D12">
        <w:rPr>
          <w:rFonts w:ascii="Palatino Linotype" w:hAnsi="Palatino Linotype" w:cs="Arial"/>
          <w:sz w:val="24"/>
          <w:szCs w:val="24"/>
        </w:rPr>
        <w:t xml:space="preserve">de la </w:t>
      </w:r>
      <w:r w:rsidRPr="00355D12">
        <w:rPr>
          <w:rFonts w:ascii="Palatino Linotype" w:hAnsi="Palatino Linotype" w:cs="Arial"/>
          <w:b/>
          <w:sz w:val="24"/>
          <w:szCs w:val="24"/>
        </w:rPr>
        <w:t xml:space="preserve">Ley de Transparencia y Acceso a la Información Pública del Estado de México y Municipios, </w:t>
      </w:r>
      <w:r w:rsidRPr="00355D12">
        <w:rPr>
          <w:rFonts w:ascii="Palatino Linotype" w:hAnsi="Palatino Linotype" w:cs="Arial"/>
          <w:sz w:val="24"/>
          <w:szCs w:val="24"/>
        </w:rPr>
        <w:t xml:space="preserve">nos encontramos ante un sobreseimiento definitivo toda vez que pone fin al procedimiento sin entrar al estudio de fondo del mismo. </w:t>
      </w:r>
    </w:p>
    <w:p w14:paraId="3078E262" w14:textId="77777777" w:rsidR="00980BE4" w:rsidRPr="00355D12" w:rsidRDefault="00980BE4" w:rsidP="00980BE4">
      <w:pPr>
        <w:tabs>
          <w:tab w:val="left" w:pos="709"/>
        </w:tabs>
        <w:spacing w:before="240" w:line="360" w:lineRule="auto"/>
        <w:ind w:right="51"/>
        <w:jc w:val="both"/>
        <w:rPr>
          <w:rFonts w:ascii="Palatino Linotype" w:hAnsi="Palatino Linotype" w:cs="Arial"/>
          <w:sz w:val="24"/>
          <w:szCs w:val="24"/>
        </w:rPr>
      </w:pPr>
      <w:r w:rsidRPr="00355D12">
        <w:rPr>
          <w:rFonts w:ascii="Palatino Linotype" w:hAnsi="Palatino Linotype" w:cs="Arial"/>
          <w:sz w:val="24"/>
          <w:szCs w:val="24"/>
          <w:lang w:val="es-ES"/>
        </w:rPr>
        <w:t>Ahora bien, por</w:t>
      </w:r>
      <w:r w:rsidRPr="00355D12">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355D12">
        <w:rPr>
          <w:rFonts w:ascii="Palatino Linotype" w:hAnsi="Palatino Linotype" w:cs="Arial"/>
          <w:b/>
          <w:sz w:val="24"/>
          <w:szCs w:val="24"/>
        </w:rPr>
        <w:t xml:space="preserve"> Recurrente </w:t>
      </w:r>
      <w:r w:rsidRPr="00355D12">
        <w:rPr>
          <w:rFonts w:ascii="Palatino Linotype" w:hAnsi="Palatino Linotype" w:cs="Arial"/>
          <w:sz w:val="24"/>
          <w:szCs w:val="24"/>
        </w:rPr>
        <w:t xml:space="preserve">o que el </w:t>
      </w:r>
      <w:r w:rsidRPr="00355D12">
        <w:rPr>
          <w:rFonts w:ascii="Palatino Linotype" w:hAnsi="Palatino Linotype" w:cs="Arial"/>
          <w:b/>
          <w:sz w:val="24"/>
          <w:szCs w:val="24"/>
        </w:rPr>
        <w:t xml:space="preserve">Sujeto Obligado </w:t>
      </w:r>
      <w:r w:rsidRPr="00355D12">
        <w:rPr>
          <w:rFonts w:ascii="Palatino Linotype" w:hAnsi="Palatino Linotype" w:cs="Arial"/>
          <w:b/>
          <w:sz w:val="24"/>
          <w:szCs w:val="24"/>
          <w:u w:val="single"/>
        </w:rPr>
        <w:t xml:space="preserve">modifique el acto; </w:t>
      </w:r>
      <w:r w:rsidRPr="00355D12">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2891A3BE" w14:textId="77777777" w:rsidR="00980BE4" w:rsidRPr="00355D12" w:rsidRDefault="00980BE4" w:rsidP="00980BE4">
      <w:pPr>
        <w:spacing w:line="360" w:lineRule="auto"/>
        <w:jc w:val="both"/>
        <w:rPr>
          <w:rFonts w:ascii="Palatino Linotype" w:hAnsi="Palatino Linotype" w:cs="Arial"/>
          <w:b/>
          <w:sz w:val="24"/>
          <w:szCs w:val="24"/>
        </w:rPr>
      </w:pPr>
      <w:r w:rsidRPr="00355D12">
        <w:rPr>
          <w:rFonts w:ascii="Palatino Linotype" w:hAnsi="Palatino Linotype" w:cs="Arial"/>
          <w:sz w:val="24"/>
          <w:szCs w:val="24"/>
        </w:rPr>
        <w:lastRenderedPageBreak/>
        <w:t xml:space="preserve">Para los efectos de esta resolución, resulta oportuno precisar los alcances jurídicos de la </w:t>
      </w:r>
      <w:r w:rsidRPr="00355D12">
        <w:rPr>
          <w:rFonts w:ascii="Palatino Linotype" w:hAnsi="Palatino Linotype" w:cs="Arial"/>
          <w:b/>
          <w:sz w:val="24"/>
          <w:szCs w:val="24"/>
        </w:rPr>
        <w:t xml:space="preserve">fracción III </w:t>
      </w:r>
      <w:r w:rsidRPr="00355D12">
        <w:rPr>
          <w:rFonts w:ascii="Palatino Linotype" w:hAnsi="Palatino Linotype" w:cs="Arial"/>
          <w:sz w:val="24"/>
          <w:szCs w:val="24"/>
        </w:rPr>
        <w:t xml:space="preserve">de la disposición legal transcrita. Así, procede el sobreseimiento del recurso de revisión cuando el </w:t>
      </w:r>
      <w:r w:rsidRPr="00355D12">
        <w:rPr>
          <w:rFonts w:ascii="Palatino Linotype" w:hAnsi="Palatino Linotype" w:cs="Arial"/>
          <w:b/>
          <w:sz w:val="24"/>
          <w:szCs w:val="24"/>
        </w:rPr>
        <w:t xml:space="preserve">Sujeto Obligado: </w:t>
      </w:r>
    </w:p>
    <w:p w14:paraId="76437734" w14:textId="77777777" w:rsidR="00980BE4" w:rsidRPr="00355D12" w:rsidRDefault="00980BE4" w:rsidP="00980BE4">
      <w:pPr>
        <w:pStyle w:val="Prrafodelista"/>
        <w:numPr>
          <w:ilvl w:val="0"/>
          <w:numId w:val="16"/>
        </w:numPr>
        <w:spacing w:line="360" w:lineRule="auto"/>
        <w:ind w:right="851"/>
        <w:jc w:val="both"/>
        <w:rPr>
          <w:rFonts w:ascii="Palatino Linotype" w:hAnsi="Palatino Linotype" w:cs="Arial"/>
          <w:b/>
        </w:rPr>
      </w:pPr>
      <w:r w:rsidRPr="00355D12">
        <w:rPr>
          <w:rFonts w:ascii="Palatino Linotype" w:hAnsi="Palatino Linotype" w:cs="Arial"/>
          <w:b/>
        </w:rPr>
        <w:t xml:space="preserve">Modifique el acto impugnado: </w:t>
      </w:r>
      <w:r w:rsidRPr="00355D12">
        <w:rPr>
          <w:rFonts w:ascii="Palatino Linotype" w:hAnsi="Palatino Linotype" w:cs="Arial"/>
        </w:rPr>
        <w:t xml:space="preserve">Se actualiza cuando el </w:t>
      </w:r>
      <w:r w:rsidRPr="00355D12">
        <w:rPr>
          <w:rFonts w:ascii="Palatino Linotype" w:hAnsi="Palatino Linotype" w:cs="Arial"/>
          <w:b/>
        </w:rPr>
        <w:t xml:space="preserve">Sujeto Obligado </w:t>
      </w:r>
      <w:r w:rsidRPr="00355D12">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1540F529" w14:textId="77777777" w:rsidR="00980BE4" w:rsidRPr="00355D12" w:rsidRDefault="00980BE4" w:rsidP="00980BE4">
      <w:pPr>
        <w:pStyle w:val="Prrafodelista"/>
        <w:spacing w:line="360" w:lineRule="auto"/>
        <w:ind w:left="720" w:right="851"/>
        <w:jc w:val="both"/>
        <w:rPr>
          <w:rFonts w:ascii="Palatino Linotype" w:hAnsi="Palatino Linotype" w:cs="Arial"/>
          <w:b/>
        </w:rPr>
      </w:pPr>
    </w:p>
    <w:p w14:paraId="7809F5B1" w14:textId="77777777" w:rsidR="00980BE4" w:rsidRPr="00355D12" w:rsidRDefault="00980BE4" w:rsidP="00980BE4">
      <w:pPr>
        <w:spacing w:line="360" w:lineRule="auto"/>
        <w:jc w:val="both"/>
        <w:rPr>
          <w:rFonts w:ascii="Palatino Linotype" w:hAnsi="Palatino Linotype" w:cs="Arial"/>
          <w:sz w:val="24"/>
          <w:szCs w:val="24"/>
          <w:u w:val="single"/>
        </w:rPr>
      </w:pPr>
      <w:r w:rsidRPr="00355D12">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355D12">
        <w:rPr>
          <w:rFonts w:ascii="Palatino Linotype" w:hAnsi="Palatino Linotype" w:cs="Arial"/>
          <w:b/>
          <w:sz w:val="24"/>
          <w:szCs w:val="24"/>
          <w:u w:val="single"/>
        </w:rPr>
        <w:t xml:space="preserve">cuando ha sido satisfecha la pretensión del particular, </w:t>
      </w:r>
      <w:r w:rsidRPr="00355D12">
        <w:rPr>
          <w:rFonts w:ascii="Palatino Linotype" w:hAnsi="Palatino Linotype" w:cs="Arial"/>
          <w:sz w:val="24"/>
          <w:szCs w:val="24"/>
        </w:rPr>
        <w:t>ya sea porque se hizo la entrega de la información solicitada o porque se completó la misma.</w:t>
      </w:r>
      <w:r w:rsidRPr="00355D12">
        <w:rPr>
          <w:rFonts w:ascii="Palatino Linotype" w:hAnsi="Palatino Linotype" w:cs="Arial"/>
          <w:sz w:val="24"/>
          <w:szCs w:val="24"/>
          <w:u w:val="single"/>
        </w:rPr>
        <w:t xml:space="preserve"> </w:t>
      </w:r>
    </w:p>
    <w:p w14:paraId="3123724D" w14:textId="77777777" w:rsidR="00980BE4" w:rsidRPr="00355D12" w:rsidRDefault="00980BE4" w:rsidP="00980BE4">
      <w:pPr>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En este tenor, se advierte que </w:t>
      </w:r>
      <w:r w:rsidRPr="00355D12">
        <w:rPr>
          <w:rFonts w:ascii="Palatino Linotype" w:hAnsi="Palatino Linotype" w:cs="Arial"/>
          <w:b/>
          <w:sz w:val="24"/>
          <w:szCs w:val="24"/>
        </w:rPr>
        <w:t>El</w:t>
      </w:r>
      <w:r w:rsidRPr="00355D12">
        <w:rPr>
          <w:rFonts w:ascii="Palatino Linotype" w:hAnsi="Palatino Linotype" w:cs="Arial"/>
          <w:sz w:val="24"/>
          <w:szCs w:val="24"/>
        </w:rPr>
        <w:t xml:space="preserve"> </w:t>
      </w:r>
      <w:r w:rsidRPr="00355D12">
        <w:rPr>
          <w:rFonts w:ascii="Palatino Linotype" w:hAnsi="Palatino Linotype" w:cs="Arial"/>
          <w:b/>
          <w:sz w:val="24"/>
          <w:szCs w:val="24"/>
        </w:rPr>
        <w:t xml:space="preserve">Sujeto Obligado </w:t>
      </w:r>
      <w:r w:rsidRPr="00355D12">
        <w:rPr>
          <w:rFonts w:ascii="Palatino Linotype" w:hAnsi="Palatino Linotype" w:cs="Arial"/>
          <w:sz w:val="24"/>
          <w:szCs w:val="24"/>
        </w:rPr>
        <w:t xml:space="preserve">con la información enviada a este Órgano Garante, </w:t>
      </w:r>
      <w:r w:rsidRPr="00355D12">
        <w:rPr>
          <w:rFonts w:ascii="Palatino Linotype" w:hAnsi="Palatino Linotype" w:cs="Arial"/>
          <w:b/>
          <w:sz w:val="24"/>
          <w:szCs w:val="24"/>
        </w:rPr>
        <w:t xml:space="preserve">modifica </w:t>
      </w:r>
      <w:r w:rsidRPr="00355D12">
        <w:rPr>
          <w:rFonts w:ascii="Palatino Linotype" w:hAnsi="Palatino Linotype" w:cs="Arial"/>
          <w:sz w:val="24"/>
          <w:szCs w:val="24"/>
        </w:rPr>
        <w:t xml:space="preserve">el acto que le dio origen al recurso de revisión, </w:t>
      </w:r>
      <w:r w:rsidRPr="00355D12">
        <w:rPr>
          <w:rFonts w:ascii="Palatino Linotype" w:hAnsi="Palatino Linotype" w:cs="Arial"/>
          <w:b/>
          <w:sz w:val="24"/>
          <w:szCs w:val="24"/>
        </w:rPr>
        <w:t xml:space="preserve">por lo que trae como consecuencia que el mismo quede sin materia, </w:t>
      </w:r>
      <w:r w:rsidRPr="00355D12">
        <w:rPr>
          <w:rFonts w:ascii="Palatino Linotype" w:hAnsi="Palatino Linotype" w:cs="Arial"/>
          <w:sz w:val="24"/>
          <w:szCs w:val="24"/>
        </w:rPr>
        <w:t xml:space="preserve">actualizándose de este modo, la hipótesis jurídica contenida en la fracción III del artículo 192. </w:t>
      </w:r>
    </w:p>
    <w:p w14:paraId="37E4B623" w14:textId="77777777" w:rsidR="00980BE4" w:rsidRPr="00355D12" w:rsidRDefault="00980BE4" w:rsidP="00980BE4">
      <w:pPr>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De este modo, cuando </w:t>
      </w:r>
      <w:r w:rsidRPr="00355D12">
        <w:rPr>
          <w:rFonts w:ascii="Palatino Linotype" w:hAnsi="Palatino Linotype" w:cs="Arial"/>
          <w:b/>
          <w:sz w:val="24"/>
          <w:szCs w:val="24"/>
        </w:rPr>
        <w:t>El</w:t>
      </w:r>
      <w:r w:rsidRPr="00355D12">
        <w:rPr>
          <w:rFonts w:ascii="Palatino Linotype" w:hAnsi="Palatino Linotype" w:cs="Arial"/>
          <w:sz w:val="24"/>
          <w:szCs w:val="24"/>
        </w:rPr>
        <w:t xml:space="preserve"> </w:t>
      </w:r>
      <w:r w:rsidRPr="00355D12">
        <w:rPr>
          <w:rFonts w:ascii="Palatino Linotype" w:hAnsi="Palatino Linotype" w:cs="Arial"/>
          <w:b/>
          <w:sz w:val="24"/>
          <w:szCs w:val="24"/>
        </w:rPr>
        <w:t>Sujeto Obligado</w:t>
      </w:r>
      <w:r w:rsidRPr="00355D12">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sidRPr="00355D12">
        <w:rPr>
          <w:rFonts w:ascii="Palatino Linotype" w:hAnsi="Palatino Linotype" w:cs="Arial"/>
          <w:b/>
          <w:i/>
          <w:sz w:val="24"/>
          <w:szCs w:val="24"/>
        </w:rPr>
        <w:t>litis</w:t>
      </w:r>
      <w:proofErr w:type="spellEnd"/>
      <w:r w:rsidRPr="00355D12">
        <w:rPr>
          <w:rFonts w:ascii="Palatino Linotype" w:hAnsi="Palatino Linotype" w:cs="Arial"/>
          <w:b/>
          <w:i/>
          <w:sz w:val="24"/>
          <w:szCs w:val="24"/>
        </w:rPr>
        <w:t xml:space="preserve"> </w:t>
      </w:r>
      <w:r w:rsidRPr="00355D12">
        <w:rPr>
          <w:rFonts w:ascii="Palatino Linotype" w:hAnsi="Palatino Linotype" w:cs="Arial"/>
          <w:sz w:val="24"/>
          <w:szCs w:val="24"/>
        </w:rPr>
        <w:lastRenderedPageBreak/>
        <w:t xml:space="preserve">planteada, debido a que la afectación en su esfera de derechos fue restituida por la propia autoridad que emitió el acto de impugnación. </w:t>
      </w:r>
    </w:p>
    <w:p w14:paraId="5C2C1F1A" w14:textId="77777777" w:rsidR="00980BE4" w:rsidRPr="00355D12" w:rsidRDefault="00980BE4" w:rsidP="00980BE4">
      <w:pPr>
        <w:tabs>
          <w:tab w:val="left" w:pos="7797"/>
        </w:tabs>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Por lo tanto, para que se actualice el sobreseimiento de un recurso de revisión, </w:t>
      </w:r>
      <w:r w:rsidRPr="00355D12">
        <w:rPr>
          <w:rFonts w:ascii="Palatino Linotype" w:hAnsi="Palatino Linotype" w:cs="Arial"/>
          <w:b/>
          <w:sz w:val="24"/>
          <w:szCs w:val="24"/>
        </w:rPr>
        <w:t>El</w:t>
      </w:r>
      <w:r w:rsidRPr="00355D12">
        <w:rPr>
          <w:rFonts w:ascii="Palatino Linotype" w:hAnsi="Palatino Linotype" w:cs="Arial"/>
          <w:sz w:val="24"/>
          <w:szCs w:val="24"/>
        </w:rPr>
        <w:t xml:space="preserve"> </w:t>
      </w:r>
      <w:r w:rsidRPr="00355D12">
        <w:rPr>
          <w:rFonts w:ascii="Palatino Linotype" w:hAnsi="Palatino Linotype" w:cs="Arial"/>
          <w:b/>
          <w:sz w:val="24"/>
          <w:szCs w:val="24"/>
        </w:rPr>
        <w:t xml:space="preserve">Sujeto Obligado </w:t>
      </w:r>
      <w:r w:rsidRPr="00355D12">
        <w:rPr>
          <w:rFonts w:ascii="Palatino Linotype" w:hAnsi="Palatino Linotype" w:cs="Arial"/>
          <w:sz w:val="24"/>
          <w:szCs w:val="24"/>
        </w:rPr>
        <w:t xml:space="preserve">puede entregar o completar la información al momento de rendir su </w:t>
      </w:r>
      <w:r w:rsidRPr="00355D12">
        <w:rPr>
          <w:rFonts w:ascii="Palatino Linotype" w:hAnsi="Palatino Linotype" w:cs="Arial"/>
          <w:b/>
          <w:sz w:val="24"/>
          <w:szCs w:val="24"/>
          <w:u w:val="single"/>
        </w:rPr>
        <w:t>informe de justificación dentro de los siete días</w:t>
      </w:r>
      <w:r w:rsidRPr="00355D12">
        <w:rPr>
          <w:rFonts w:ascii="Palatino Linotype" w:hAnsi="Palatino Linotype" w:cs="Arial"/>
          <w:b/>
          <w:sz w:val="24"/>
          <w:szCs w:val="24"/>
        </w:rPr>
        <w:t xml:space="preserve"> </w:t>
      </w:r>
      <w:r w:rsidRPr="00355D12">
        <w:rPr>
          <w:rFonts w:ascii="Palatino Linotype" w:hAnsi="Palatino Linotype" w:cs="Arial"/>
          <w:sz w:val="24"/>
          <w:szCs w:val="24"/>
        </w:rPr>
        <w:t>previstos para manifestar lo que a su derecho convenga.</w:t>
      </w:r>
    </w:p>
    <w:p w14:paraId="23B1FFBD" w14:textId="74B67285" w:rsidR="00980BE4" w:rsidRPr="00355D12" w:rsidRDefault="00980BE4" w:rsidP="00980BE4">
      <w:pPr>
        <w:tabs>
          <w:tab w:val="left" w:pos="8080"/>
        </w:tabs>
        <w:spacing w:line="360" w:lineRule="auto"/>
        <w:jc w:val="both"/>
        <w:rPr>
          <w:rFonts w:ascii="Palatino Linotype" w:hAnsi="Palatino Linotype" w:cs="Arial"/>
          <w:sz w:val="24"/>
          <w:szCs w:val="24"/>
        </w:rPr>
      </w:pPr>
      <w:r w:rsidRPr="00355D12">
        <w:rPr>
          <w:rFonts w:ascii="Palatino Linotype" w:hAnsi="Palatino Linotype" w:cs="Arial"/>
          <w:sz w:val="24"/>
          <w:szCs w:val="24"/>
        </w:rPr>
        <w:t xml:space="preserve">En mérito de lo expuesto en líneas anteriores, resultan fundados los motivos de inconformidad que arguye </w:t>
      </w:r>
      <w:r w:rsidRPr="00355D12">
        <w:rPr>
          <w:rFonts w:ascii="Palatino Linotype" w:hAnsi="Palatino Linotype" w:cs="Arial"/>
          <w:b/>
          <w:sz w:val="24"/>
          <w:szCs w:val="24"/>
        </w:rPr>
        <w:t xml:space="preserve">El Recurrente </w:t>
      </w:r>
      <w:r w:rsidRPr="00355D12">
        <w:rPr>
          <w:rFonts w:ascii="Palatino Linotype" w:hAnsi="Palatino Linotype" w:cs="Arial"/>
          <w:sz w:val="24"/>
          <w:szCs w:val="24"/>
        </w:rPr>
        <w:t xml:space="preserve">en su medio de impugnación que fue materia de estudio, por ello </w:t>
      </w:r>
      <w:r w:rsidRPr="00355D12">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355D12">
        <w:rPr>
          <w:rFonts w:ascii="Palatino Linotype" w:hAnsi="Palatino Linotype" w:cs="Arial"/>
          <w:sz w:val="24"/>
          <w:szCs w:val="24"/>
        </w:rPr>
        <w:t xml:space="preserve">se </w:t>
      </w:r>
      <w:r w:rsidRPr="00355D12">
        <w:rPr>
          <w:rFonts w:ascii="Palatino Linotype" w:hAnsi="Palatino Linotype" w:cs="Arial"/>
          <w:b/>
          <w:sz w:val="24"/>
          <w:szCs w:val="24"/>
        </w:rPr>
        <w:t xml:space="preserve">SOBRESEE </w:t>
      </w:r>
      <w:r w:rsidRPr="00355D12">
        <w:rPr>
          <w:rFonts w:ascii="Palatino Linotype" w:hAnsi="Palatino Linotype" w:cs="Arial"/>
          <w:sz w:val="24"/>
          <w:szCs w:val="24"/>
        </w:rPr>
        <w:t xml:space="preserve">el recurso de revisión </w:t>
      </w:r>
      <w:r w:rsidR="0055334A" w:rsidRPr="00355D12">
        <w:rPr>
          <w:rFonts w:ascii="Palatino Linotype" w:hAnsi="Palatino Linotype" w:cs="Arial"/>
          <w:b/>
          <w:sz w:val="24"/>
          <w:szCs w:val="24"/>
        </w:rPr>
        <w:t>12090</w:t>
      </w:r>
      <w:r w:rsidRPr="00355D12">
        <w:rPr>
          <w:rFonts w:ascii="Palatino Linotype" w:hAnsi="Palatino Linotype" w:cs="Arial"/>
          <w:b/>
          <w:sz w:val="24"/>
          <w:szCs w:val="24"/>
        </w:rPr>
        <w:t>/INFOEM/IP/RR/2025</w:t>
      </w:r>
      <w:r w:rsidRPr="00355D12">
        <w:rPr>
          <w:rFonts w:ascii="Palatino Linotype" w:hAnsi="Palatino Linotype" w:cs="Arial"/>
          <w:b/>
          <w:sz w:val="24"/>
          <w:szCs w:val="24"/>
          <w:lang w:val="es-ES_tradnl"/>
        </w:rPr>
        <w:t xml:space="preserve">, </w:t>
      </w:r>
      <w:r w:rsidRPr="00355D12">
        <w:rPr>
          <w:rFonts w:ascii="Palatino Linotype" w:hAnsi="Palatino Linotype" w:cs="Arial"/>
          <w:sz w:val="24"/>
          <w:szCs w:val="24"/>
          <w:lang w:val="es-ES_tradnl"/>
        </w:rPr>
        <w:t xml:space="preserve">que ha sido materia del presente fallo. </w:t>
      </w:r>
    </w:p>
    <w:p w14:paraId="7EACC096" w14:textId="77777777" w:rsidR="00980BE4" w:rsidRPr="00355D12" w:rsidRDefault="00980BE4" w:rsidP="00980BE4">
      <w:pPr>
        <w:tabs>
          <w:tab w:val="left" w:pos="8080"/>
        </w:tabs>
        <w:spacing w:line="360" w:lineRule="auto"/>
        <w:jc w:val="both"/>
        <w:rPr>
          <w:rFonts w:ascii="Palatino Linotype" w:hAnsi="Palatino Linotype" w:cs="Arial"/>
          <w:bCs/>
          <w:sz w:val="24"/>
          <w:szCs w:val="24"/>
        </w:rPr>
      </w:pPr>
      <w:r w:rsidRPr="00355D12">
        <w:rPr>
          <w:rFonts w:ascii="Palatino Linotype" w:hAnsi="Palatino Linotype" w:cs="Arial"/>
          <w:bCs/>
          <w:sz w:val="24"/>
          <w:szCs w:val="24"/>
        </w:rPr>
        <w:t>Por lo antes expuesto y fundado es de resolverse y,</w:t>
      </w:r>
    </w:p>
    <w:p w14:paraId="10D13A76" w14:textId="77777777" w:rsidR="00FD52B3" w:rsidRPr="00355D12" w:rsidRDefault="00FD52B3" w:rsidP="00980BE4">
      <w:pPr>
        <w:spacing w:after="0" w:line="360" w:lineRule="auto"/>
        <w:jc w:val="center"/>
        <w:rPr>
          <w:rFonts w:ascii="Palatino Linotype" w:eastAsia="Times New Roman" w:hAnsi="Palatino Linotype" w:cs="Times New Roman"/>
          <w:b/>
          <w:bCs/>
          <w:spacing w:val="60"/>
          <w:sz w:val="28"/>
          <w:szCs w:val="24"/>
          <w:lang w:val="es-ES_tradnl" w:eastAsia="es-ES"/>
        </w:rPr>
      </w:pPr>
    </w:p>
    <w:p w14:paraId="22B107D0" w14:textId="7D3C63E5" w:rsidR="00980BE4" w:rsidRPr="00355D12" w:rsidRDefault="00980BE4" w:rsidP="00980BE4">
      <w:pPr>
        <w:spacing w:after="0" w:line="360" w:lineRule="auto"/>
        <w:jc w:val="center"/>
        <w:rPr>
          <w:rFonts w:ascii="Palatino Linotype" w:eastAsia="Times New Roman" w:hAnsi="Palatino Linotype" w:cs="Times New Roman"/>
          <w:b/>
          <w:bCs/>
          <w:spacing w:val="60"/>
          <w:sz w:val="28"/>
          <w:szCs w:val="24"/>
          <w:lang w:val="es-ES_tradnl" w:eastAsia="es-ES"/>
        </w:rPr>
      </w:pPr>
      <w:r w:rsidRPr="00355D12">
        <w:rPr>
          <w:rFonts w:ascii="Palatino Linotype" w:eastAsia="Times New Roman" w:hAnsi="Palatino Linotype" w:cs="Times New Roman"/>
          <w:b/>
          <w:bCs/>
          <w:spacing w:val="60"/>
          <w:sz w:val="28"/>
          <w:szCs w:val="24"/>
          <w:lang w:val="es-ES_tradnl" w:eastAsia="es-ES"/>
        </w:rPr>
        <w:t>SE    RESUELVE</w:t>
      </w:r>
    </w:p>
    <w:p w14:paraId="7C85854F" w14:textId="77777777" w:rsidR="00980BE4" w:rsidRPr="00355D12" w:rsidRDefault="00980BE4" w:rsidP="00980BE4">
      <w:pPr>
        <w:spacing w:after="0" w:line="360" w:lineRule="auto"/>
        <w:jc w:val="center"/>
        <w:rPr>
          <w:rFonts w:ascii="Palatino Linotype" w:eastAsia="Times New Roman" w:hAnsi="Palatino Linotype" w:cs="Times New Roman"/>
          <w:bCs/>
          <w:spacing w:val="60"/>
          <w:sz w:val="24"/>
          <w:szCs w:val="24"/>
          <w:lang w:val="es-ES_tradnl" w:eastAsia="es-ES"/>
        </w:rPr>
      </w:pPr>
    </w:p>
    <w:p w14:paraId="2958243B" w14:textId="1BBC0662" w:rsidR="00980BE4" w:rsidRPr="00355D12" w:rsidRDefault="00980BE4" w:rsidP="00980BE4">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355D12">
        <w:rPr>
          <w:rFonts w:ascii="Palatino Linotype" w:eastAsiaTheme="minorEastAsia" w:hAnsi="Palatino Linotype" w:cs="Arial"/>
          <w:b/>
          <w:sz w:val="28"/>
          <w:szCs w:val="24"/>
          <w:lang w:val="es-ES_tradnl" w:eastAsia="es-ES"/>
        </w:rPr>
        <w:t>PRIMERO.</w:t>
      </w:r>
      <w:r w:rsidRPr="00355D12">
        <w:rPr>
          <w:rFonts w:ascii="Palatino Linotype" w:eastAsiaTheme="minorEastAsia" w:hAnsi="Palatino Linotype" w:cs="Arial"/>
          <w:sz w:val="24"/>
          <w:szCs w:val="24"/>
          <w:lang w:val="es-ES_tradnl" w:eastAsia="es-ES"/>
        </w:rPr>
        <w:t xml:space="preserve"> Se </w:t>
      </w:r>
      <w:r w:rsidRPr="00355D12">
        <w:rPr>
          <w:rFonts w:ascii="Palatino Linotype" w:eastAsiaTheme="minorEastAsia" w:hAnsi="Palatino Linotype" w:cs="Arial"/>
          <w:b/>
          <w:sz w:val="24"/>
          <w:szCs w:val="24"/>
          <w:lang w:val="es-ES_tradnl" w:eastAsia="es-ES"/>
        </w:rPr>
        <w:t>SOBRESEE</w:t>
      </w:r>
      <w:r w:rsidRPr="00355D12">
        <w:rPr>
          <w:rFonts w:ascii="Palatino Linotype" w:eastAsiaTheme="minorEastAsia" w:hAnsi="Palatino Linotype" w:cs="Arial"/>
          <w:sz w:val="24"/>
          <w:szCs w:val="24"/>
          <w:lang w:val="es-ES_tradnl" w:eastAsia="es-ES"/>
        </w:rPr>
        <w:t xml:space="preserve"> el recurso de revisión número </w:t>
      </w:r>
      <w:r w:rsidR="0055334A" w:rsidRPr="00355D12">
        <w:rPr>
          <w:rFonts w:ascii="Palatino Linotype" w:hAnsi="Palatino Linotype" w:cs="Arial"/>
          <w:b/>
          <w:sz w:val="24"/>
          <w:szCs w:val="24"/>
        </w:rPr>
        <w:t>12090</w:t>
      </w:r>
      <w:r w:rsidRPr="00355D12">
        <w:rPr>
          <w:rFonts w:ascii="Palatino Linotype" w:hAnsi="Palatino Linotype" w:cs="Arial"/>
          <w:b/>
          <w:sz w:val="24"/>
          <w:szCs w:val="24"/>
        </w:rPr>
        <w:t>/INFOEM/IP/RR/2025</w:t>
      </w:r>
      <w:r w:rsidRPr="00355D12">
        <w:rPr>
          <w:rFonts w:ascii="Palatino Linotype" w:eastAsiaTheme="minorEastAsia" w:hAnsi="Palatino Linotype" w:cs="Arial"/>
          <w:sz w:val="24"/>
          <w:szCs w:val="24"/>
          <w:lang w:val="es-ES_tradnl" w:eastAsia="es-ES"/>
        </w:rPr>
        <w:t xml:space="preserve">, porque </w:t>
      </w:r>
      <w:r w:rsidRPr="00355D12">
        <w:rPr>
          <w:rFonts w:ascii="Palatino Linotype" w:eastAsiaTheme="minorEastAsia" w:hAnsi="Palatino Linotype" w:cs="Arial"/>
          <w:b/>
          <w:bCs/>
          <w:sz w:val="24"/>
          <w:szCs w:val="24"/>
          <w:lang w:val="es-ES_tradnl" w:eastAsia="es-ES"/>
        </w:rPr>
        <w:t>EL SUJETO OBLIGADO</w:t>
      </w:r>
      <w:r w:rsidRPr="00355D12">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00921F5F" w:rsidRPr="00355D12">
        <w:rPr>
          <w:rFonts w:ascii="Palatino Linotype" w:eastAsiaTheme="minorEastAsia" w:hAnsi="Palatino Linotype" w:cs="Arial"/>
          <w:b/>
          <w:sz w:val="24"/>
          <w:szCs w:val="24"/>
          <w:lang w:val="es-ES_tradnl" w:eastAsia="es-ES"/>
        </w:rPr>
        <w:t>TERCERO</w:t>
      </w:r>
      <w:r w:rsidRPr="00355D12">
        <w:rPr>
          <w:rFonts w:ascii="Palatino Linotype" w:eastAsiaTheme="minorEastAsia" w:hAnsi="Palatino Linotype" w:cs="Arial"/>
          <w:b/>
          <w:sz w:val="24"/>
          <w:szCs w:val="24"/>
          <w:lang w:val="es-ES_tradnl" w:eastAsia="es-ES"/>
        </w:rPr>
        <w:t xml:space="preserve"> </w:t>
      </w:r>
      <w:r w:rsidRPr="00355D12">
        <w:rPr>
          <w:rFonts w:ascii="Palatino Linotype" w:eastAsiaTheme="minorEastAsia" w:hAnsi="Palatino Linotype" w:cs="Arial"/>
          <w:sz w:val="24"/>
          <w:szCs w:val="24"/>
          <w:lang w:val="es-ES_tradnl" w:eastAsia="es-ES"/>
        </w:rPr>
        <w:t>de la presente resolución.</w:t>
      </w:r>
    </w:p>
    <w:p w14:paraId="3572C114" w14:textId="77777777" w:rsidR="00980BE4" w:rsidRPr="00355D12" w:rsidRDefault="00980BE4" w:rsidP="00980BE4">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0E65E759" w14:textId="77777777" w:rsidR="00980BE4" w:rsidRPr="00355D12" w:rsidRDefault="00980BE4" w:rsidP="00980BE4">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355D12">
        <w:rPr>
          <w:rFonts w:ascii="Palatino Linotype" w:eastAsiaTheme="minorEastAsia" w:hAnsi="Palatino Linotype" w:cs="Arial"/>
          <w:b/>
          <w:sz w:val="28"/>
          <w:szCs w:val="24"/>
          <w:lang w:val="es-ES_tradnl" w:eastAsia="es-ES"/>
        </w:rPr>
        <w:t>SEGUNDO</w:t>
      </w:r>
      <w:r w:rsidRPr="00355D12">
        <w:rPr>
          <w:rFonts w:ascii="Palatino Linotype" w:eastAsiaTheme="minorEastAsia" w:hAnsi="Palatino Linotype" w:cs="Arial"/>
          <w:b/>
          <w:sz w:val="24"/>
          <w:szCs w:val="24"/>
          <w:lang w:val="es-ES_tradnl" w:eastAsia="es-ES"/>
        </w:rPr>
        <w:t>.</w:t>
      </w:r>
      <w:r w:rsidRPr="00355D12">
        <w:rPr>
          <w:rFonts w:ascii="Palatino Linotype" w:eastAsiaTheme="minorEastAsia" w:hAnsi="Palatino Linotype" w:cs="Arial"/>
          <w:sz w:val="24"/>
          <w:szCs w:val="24"/>
          <w:lang w:val="es-ES_tradnl" w:eastAsia="es-ES"/>
        </w:rPr>
        <w:t xml:space="preserve"> </w:t>
      </w:r>
      <w:r w:rsidRPr="00355D12">
        <w:rPr>
          <w:rFonts w:ascii="Palatino Linotype" w:eastAsiaTheme="minorEastAsia" w:hAnsi="Palatino Linotype" w:cs="Arial"/>
          <w:b/>
          <w:sz w:val="24"/>
          <w:szCs w:val="24"/>
          <w:lang w:val="es-ES_tradnl" w:eastAsia="es-ES"/>
        </w:rPr>
        <w:t>NOTIFÍQUESE</w:t>
      </w:r>
      <w:r w:rsidRPr="00355D12">
        <w:rPr>
          <w:rFonts w:ascii="Palatino Linotype" w:eastAsiaTheme="minorEastAsia" w:hAnsi="Palatino Linotype" w:cs="Arial"/>
          <w:sz w:val="24"/>
          <w:szCs w:val="24"/>
          <w:lang w:val="es-ES_tradnl" w:eastAsia="es-ES"/>
        </w:rPr>
        <w:t xml:space="preserve"> vía </w:t>
      </w:r>
      <w:r w:rsidRPr="00355D12">
        <w:rPr>
          <w:rFonts w:ascii="Palatino Linotype" w:eastAsia="Times New Roman" w:hAnsi="Palatino Linotype" w:cs="Times New Roman"/>
          <w:sz w:val="24"/>
          <w:szCs w:val="24"/>
          <w:lang w:val="es-ES" w:eastAsia="es-ES"/>
        </w:rPr>
        <w:t>Sistema de Acceso a la Información Mexiquense</w:t>
      </w:r>
      <w:r w:rsidRPr="00355D12">
        <w:rPr>
          <w:rFonts w:ascii="Palatino Linotype" w:eastAsiaTheme="minorEastAsia" w:hAnsi="Palatino Linotype" w:cs="Arial"/>
          <w:b/>
          <w:bCs/>
          <w:sz w:val="24"/>
          <w:szCs w:val="24"/>
          <w:lang w:val="es-ES_tradnl" w:eastAsia="es-ES"/>
        </w:rPr>
        <w:t xml:space="preserve"> (SAIMEX)</w:t>
      </w:r>
      <w:r w:rsidRPr="00355D12">
        <w:rPr>
          <w:rFonts w:ascii="Palatino Linotype" w:eastAsiaTheme="minorEastAsia" w:hAnsi="Palatino Linotype" w:cs="Arial"/>
          <w:sz w:val="24"/>
          <w:szCs w:val="24"/>
          <w:lang w:val="es-ES_tradnl" w:eastAsia="es-ES"/>
        </w:rPr>
        <w:t xml:space="preserve"> la presente resolución al Titular de la Unidad de Transparencia del </w:t>
      </w:r>
      <w:r w:rsidRPr="00355D12">
        <w:rPr>
          <w:rFonts w:ascii="Palatino Linotype" w:eastAsiaTheme="minorEastAsia" w:hAnsi="Palatino Linotype" w:cs="Arial"/>
          <w:b/>
          <w:sz w:val="24"/>
          <w:szCs w:val="24"/>
          <w:lang w:val="es-ES_tradnl" w:eastAsia="es-ES"/>
        </w:rPr>
        <w:t>Sujeto Obligado</w:t>
      </w:r>
      <w:r w:rsidRPr="00355D12">
        <w:rPr>
          <w:rFonts w:ascii="Palatino Linotype" w:eastAsiaTheme="minorEastAsia" w:hAnsi="Palatino Linotype" w:cs="Arial"/>
          <w:sz w:val="24"/>
          <w:szCs w:val="24"/>
          <w:lang w:val="es-ES_tradnl" w:eastAsia="es-ES"/>
        </w:rPr>
        <w:t>.</w:t>
      </w:r>
    </w:p>
    <w:p w14:paraId="69CDE561" w14:textId="77777777" w:rsidR="00FD52B3" w:rsidRPr="00355D12" w:rsidRDefault="00FD52B3" w:rsidP="00980BE4">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79A64BD" w14:textId="77777777" w:rsidR="00980BE4" w:rsidRPr="00355D12" w:rsidRDefault="00980BE4" w:rsidP="00980BE4">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7668F4F4" w14:textId="77777777" w:rsidR="00980BE4" w:rsidRPr="00355D12" w:rsidRDefault="00980BE4" w:rsidP="00980BE4">
      <w:pPr>
        <w:spacing w:after="0" w:line="360" w:lineRule="auto"/>
        <w:jc w:val="both"/>
        <w:rPr>
          <w:rFonts w:ascii="Palatino Linotype" w:eastAsia="Times New Roman" w:hAnsi="Palatino Linotype" w:cs="Arial"/>
          <w:sz w:val="24"/>
          <w:szCs w:val="24"/>
          <w:lang w:val="es-ES" w:eastAsia="es-ES"/>
        </w:rPr>
      </w:pPr>
      <w:r w:rsidRPr="00355D12">
        <w:rPr>
          <w:rFonts w:ascii="Palatino Linotype" w:eastAsia="Times New Roman" w:hAnsi="Palatino Linotype" w:cs="Arial"/>
          <w:b/>
          <w:sz w:val="28"/>
          <w:szCs w:val="24"/>
          <w:lang w:val="es-ES" w:eastAsia="es-ES"/>
        </w:rPr>
        <w:t>TERCERO</w:t>
      </w:r>
      <w:r w:rsidRPr="00355D12">
        <w:rPr>
          <w:rFonts w:ascii="Palatino Linotype" w:eastAsia="Times New Roman" w:hAnsi="Palatino Linotype" w:cs="Arial"/>
          <w:b/>
          <w:sz w:val="24"/>
          <w:szCs w:val="24"/>
          <w:lang w:val="es-ES" w:eastAsia="es-ES"/>
        </w:rPr>
        <w:t>.</w:t>
      </w:r>
      <w:r w:rsidRPr="00355D12">
        <w:rPr>
          <w:rFonts w:ascii="Palatino Linotype" w:eastAsia="Times New Roman" w:hAnsi="Palatino Linotype" w:cs="Arial"/>
          <w:sz w:val="24"/>
          <w:szCs w:val="24"/>
          <w:lang w:val="es-ES" w:eastAsia="es-ES"/>
        </w:rPr>
        <w:t xml:space="preserve"> </w:t>
      </w:r>
      <w:r w:rsidRPr="00355D12">
        <w:rPr>
          <w:rFonts w:ascii="Palatino Linotype" w:eastAsia="Times New Roman" w:hAnsi="Palatino Linotype" w:cs="Arial"/>
          <w:b/>
          <w:sz w:val="24"/>
          <w:szCs w:val="24"/>
          <w:lang w:val="es-ES" w:eastAsia="es-ES"/>
        </w:rPr>
        <w:t>NOTIFÍQUESE</w:t>
      </w:r>
      <w:r w:rsidRPr="00355D12">
        <w:rPr>
          <w:rFonts w:ascii="Palatino Linotype" w:eastAsia="Times New Roman" w:hAnsi="Palatino Linotype" w:cs="Arial"/>
          <w:sz w:val="24"/>
          <w:szCs w:val="24"/>
          <w:lang w:val="es-ES" w:eastAsia="es-ES"/>
        </w:rPr>
        <w:t xml:space="preserve"> a través del</w:t>
      </w:r>
      <w:r w:rsidRPr="00355D12">
        <w:rPr>
          <w:rFonts w:ascii="Palatino Linotype" w:eastAsia="Times New Roman" w:hAnsi="Palatino Linotype" w:cs="Times New Roman"/>
          <w:sz w:val="24"/>
          <w:szCs w:val="24"/>
          <w:lang w:val="es-ES" w:eastAsia="es-ES"/>
        </w:rPr>
        <w:t xml:space="preserve"> Sistema de Acceso a la Información Mexiquense </w:t>
      </w:r>
      <w:r w:rsidRPr="00355D12">
        <w:rPr>
          <w:rFonts w:ascii="Palatino Linotype" w:eastAsia="Times New Roman" w:hAnsi="Palatino Linotype" w:cs="Times New Roman"/>
          <w:b/>
          <w:bCs/>
          <w:sz w:val="24"/>
          <w:szCs w:val="24"/>
          <w:lang w:val="es-ES" w:eastAsia="es-ES"/>
        </w:rPr>
        <w:t>(SAIMEX)</w:t>
      </w:r>
      <w:r w:rsidRPr="00355D12">
        <w:rPr>
          <w:rFonts w:ascii="Palatino Linotype" w:eastAsia="Times New Roman" w:hAnsi="Palatino Linotype" w:cs="Arial"/>
          <w:b/>
          <w:bCs/>
          <w:sz w:val="24"/>
          <w:szCs w:val="24"/>
          <w:lang w:val="es-ES" w:eastAsia="es-ES"/>
        </w:rPr>
        <w:t>,</w:t>
      </w:r>
      <w:r w:rsidRPr="00355D12">
        <w:rPr>
          <w:rFonts w:ascii="Palatino Linotype" w:eastAsia="Times New Roman" w:hAnsi="Palatino Linotype" w:cs="Arial"/>
          <w:sz w:val="24"/>
          <w:szCs w:val="24"/>
          <w:lang w:val="es-ES" w:eastAsia="es-ES"/>
        </w:rPr>
        <w:t xml:space="preserve"> al </w:t>
      </w:r>
      <w:r w:rsidRPr="00355D12">
        <w:rPr>
          <w:rFonts w:ascii="Palatino Linotype" w:eastAsia="Times New Roman" w:hAnsi="Palatino Linotype" w:cs="Arial"/>
          <w:b/>
          <w:sz w:val="24"/>
          <w:szCs w:val="24"/>
          <w:lang w:val="es-ES" w:eastAsia="es-ES"/>
        </w:rPr>
        <w:t xml:space="preserve">RECURRENTE </w:t>
      </w:r>
      <w:r w:rsidRPr="00355D1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38A3A9D" w14:textId="77777777" w:rsidR="00980BE4" w:rsidRPr="00355D12" w:rsidRDefault="00980BE4" w:rsidP="00980BE4">
      <w:pPr>
        <w:pStyle w:val="Citas"/>
        <w:ind w:left="0" w:right="0"/>
        <w:rPr>
          <w:bCs/>
          <w:i w:val="0"/>
          <w:iCs/>
          <w:sz w:val="23"/>
          <w:szCs w:val="23"/>
          <w:lang w:val="es-ES"/>
        </w:rPr>
      </w:pPr>
    </w:p>
    <w:p w14:paraId="58F76A2E" w14:textId="48D7F404" w:rsidR="00980BE4" w:rsidRPr="00355D12" w:rsidRDefault="00355D12" w:rsidP="00980BE4">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355D12">
        <w:rPr>
          <w:rFonts w:ascii="Palatino Linotype" w:eastAsiaTheme="minorHAnsi" w:hAnsi="Palatino Linotype" w:cs="Arial"/>
          <w:lang w:val="es-MX" w:eastAsia="en-US"/>
        </w:rPr>
        <w:t>ASÍ LO RESUELVE, POR UNANIMIDAD DE VOTOS, EL PLENO DEL</w:t>
      </w:r>
      <w:r w:rsidRPr="00355D12">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55D12">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CUADRAGÉSIMA SEGUNDA SESIÓN ORDINARIA CELEBRADA EL </w:t>
      </w:r>
      <w:r w:rsidRPr="00355D12">
        <w:rPr>
          <w:rFonts w:ascii="Palatino Linotype" w:hAnsi="Palatino Linotype" w:cs="Arial"/>
          <w:color w:val="000000"/>
          <w:lang w:val="es-MX" w:eastAsia="es-MX"/>
        </w:rPr>
        <w:t>VEINTICINCO DE NOVIEMBRE DE DOS MIL VEINTICINCO</w:t>
      </w:r>
      <w:r w:rsidRPr="00355D12">
        <w:rPr>
          <w:rFonts w:ascii="Palatino Linotype" w:eastAsiaTheme="minorHAnsi" w:hAnsi="Palatino Linotype" w:cs="Arial"/>
          <w:lang w:val="es-MX" w:eastAsia="en-US"/>
        </w:rPr>
        <w:t>, ANTE EL SECRETARIO TÉCNICO DEL PLENO, ALEXIS TAPIA RAMÍREZ</w:t>
      </w:r>
      <w:r w:rsidR="00980BE4" w:rsidRPr="00355D12">
        <w:rPr>
          <w:rFonts w:ascii="Palatino Linotype" w:hAnsi="Palatino Linotype" w:cs="Arial"/>
          <w:sz w:val="23"/>
          <w:szCs w:val="23"/>
          <w:lang w:val="es-MX"/>
        </w:rPr>
        <w:t xml:space="preserve">. </w:t>
      </w:r>
    </w:p>
    <w:p w14:paraId="26B15C0D" w14:textId="77777777" w:rsidR="00980BE4" w:rsidRDefault="00980BE4" w:rsidP="00980BE4">
      <w:pPr>
        <w:spacing w:line="360" w:lineRule="auto"/>
        <w:jc w:val="both"/>
        <w:rPr>
          <w:rFonts w:ascii="Palatino Linotype" w:hAnsi="Palatino Linotype"/>
          <w:bCs/>
          <w:sz w:val="18"/>
          <w:szCs w:val="18"/>
        </w:rPr>
      </w:pPr>
      <w:r w:rsidRPr="00355D12">
        <w:rPr>
          <w:rFonts w:ascii="Palatino Linotype" w:hAnsi="Palatino Linotype"/>
          <w:bCs/>
          <w:sz w:val="18"/>
          <w:szCs w:val="18"/>
        </w:rPr>
        <w:t>CCR/JCMA</w:t>
      </w:r>
    </w:p>
    <w:p w14:paraId="0976A7C5" w14:textId="34CACB78" w:rsidR="006145EB" w:rsidRDefault="006145EB" w:rsidP="00652A6F">
      <w:pPr>
        <w:pStyle w:val="Default"/>
        <w:spacing w:before="240" w:after="160" w:line="360" w:lineRule="auto"/>
        <w:jc w:val="both"/>
        <w:rPr>
          <w:rFonts w:ascii="Palatino Linotype" w:hAnsi="Palatino Linotype"/>
          <w:iCs/>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sectPr w:rsidR="006329AB" w:rsidSect="009E47A4">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E488B" w14:textId="77777777" w:rsidR="007C2FF3" w:rsidRDefault="007C2FF3" w:rsidP="006168E4">
      <w:pPr>
        <w:spacing w:after="0" w:line="240" w:lineRule="auto"/>
      </w:pPr>
      <w:r>
        <w:separator/>
      </w:r>
    </w:p>
  </w:endnote>
  <w:endnote w:type="continuationSeparator" w:id="0">
    <w:p w14:paraId="334B7A0B" w14:textId="77777777" w:rsidR="007C2FF3" w:rsidRDefault="007C2FF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004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004B">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004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004B">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54CF7" w14:textId="77777777" w:rsidR="007C2FF3" w:rsidRDefault="007C2FF3" w:rsidP="006168E4">
      <w:pPr>
        <w:spacing w:after="0" w:line="240" w:lineRule="auto"/>
      </w:pPr>
      <w:r>
        <w:separator/>
      </w:r>
    </w:p>
  </w:footnote>
  <w:footnote w:type="continuationSeparator" w:id="0">
    <w:p w14:paraId="5AFE1263" w14:textId="77777777" w:rsidR="007C2FF3" w:rsidRDefault="007C2FF3" w:rsidP="006168E4">
      <w:pPr>
        <w:spacing w:after="0" w:line="240" w:lineRule="auto"/>
      </w:pPr>
      <w:r>
        <w:continuationSeparator/>
      </w:r>
    </w:p>
  </w:footnote>
  <w:footnote w:id="1">
    <w:p w14:paraId="1BDEF18D" w14:textId="77777777" w:rsidR="00615089" w:rsidRPr="00911081" w:rsidRDefault="00615089" w:rsidP="00615089">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2E57867" w14:textId="77777777" w:rsidR="00615089" w:rsidRPr="00911081" w:rsidRDefault="00615089" w:rsidP="0061508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5033B231" w:rsidR="00D338F0" w:rsidRPr="00B4142F" w:rsidRDefault="00FF54A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12090</w:t>
          </w:r>
          <w:r w:rsidR="00D338F0">
            <w:rPr>
              <w:rFonts w:ascii="Palatino Linotype" w:hAnsi="Palatino Linotype" w:cs="Arial"/>
              <w:bCs/>
              <w:sz w:val="24"/>
              <w:lang w:eastAsia="es-MX"/>
            </w:rPr>
            <w:t>/INFOEM/IP/RR/202</w:t>
          </w:r>
          <w:r w:rsidR="002A6687">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66BA9782" w:rsidR="00D338F0" w:rsidRPr="00F06FED" w:rsidRDefault="00927A51"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sidR="00FF54AF">
            <w:rPr>
              <w:rFonts w:ascii="Palatino Linotype" w:hAnsi="Palatino Linotype" w:cs="Arial"/>
              <w:szCs w:val="20"/>
            </w:rPr>
            <w:t>Capulhuac</w:t>
          </w:r>
          <w:proofErr w:type="spellEnd"/>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314275F5" w:rsidR="00D338F0" w:rsidRPr="00B4142F" w:rsidRDefault="00FF54A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12090</w:t>
          </w:r>
          <w:r w:rsidR="00D338F0">
            <w:rPr>
              <w:rFonts w:ascii="Palatino Linotype" w:hAnsi="Palatino Linotype" w:cs="Arial"/>
              <w:bCs/>
              <w:sz w:val="24"/>
              <w:lang w:eastAsia="es-MX"/>
            </w:rPr>
            <w:t>/INFOEM/IP/RR/202</w:t>
          </w:r>
          <w:r w:rsidR="002A6687">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A24D291" w:rsidR="00D338F0" w:rsidRPr="00F06FED" w:rsidRDefault="00A6004B" w:rsidP="00CC0C5F">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83CE5D1" w:rsidR="00D338F0" w:rsidRDefault="00927A5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BF0B4D">
            <w:rPr>
              <w:rFonts w:ascii="Palatino Linotype" w:hAnsi="Palatino Linotype" w:cs="Arial"/>
              <w:szCs w:val="20"/>
            </w:rPr>
            <w:t xml:space="preserve"> </w:t>
          </w:r>
          <w:proofErr w:type="spellStart"/>
          <w:r w:rsidR="00FF54AF">
            <w:rPr>
              <w:rFonts w:ascii="Palatino Linotype" w:hAnsi="Palatino Linotype" w:cs="Arial"/>
              <w:szCs w:val="20"/>
            </w:rPr>
            <w:t>Capulhuac</w:t>
          </w:r>
          <w:proofErr w:type="spellEnd"/>
          <w:r w:rsidR="00C50E96">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F7B1F"/>
    <w:multiLevelType w:val="hybridMultilevel"/>
    <w:tmpl w:val="68260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82F66C1"/>
    <w:multiLevelType w:val="hybridMultilevel"/>
    <w:tmpl w:val="936E473A"/>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44903"/>
    <w:multiLevelType w:val="hybridMultilevel"/>
    <w:tmpl w:val="75AEF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657F6"/>
    <w:multiLevelType w:val="hybridMultilevel"/>
    <w:tmpl w:val="8CF41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FF52E95"/>
    <w:multiLevelType w:val="hybridMultilevel"/>
    <w:tmpl w:val="EF4A9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6E2C0D"/>
    <w:multiLevelType w:val="hybridMultilevel"/>
    <w:tmpl w:val="4B3E0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438169F5"/>
    <w:multiLevelType w:val="hybridMultilevel"/>
    <w:tmpl w:val="D9203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49528A"/>
    <w:multiLevelType w:val="hybridMultilevel"/>
    <w:tmpl w:val="8F68F2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C65E31"/>
    <w:multiLevelType w:val="hybridMultilevel"/>
    <w:tmpl w:val="2E365494"/>
    <w:lvl w:ilvl="0" w:tplc="C7A2091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452600F"/>
    <w:multiLevelType w:val="hybridMultilevel"/>
    <w:tmpl w:val="2056EDDE"/>
    <w:lvl w:ilvl="0" w:tplc="5024CE9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C67C87"/>
    <w:multiLevelType w:val="hybridMultilevel"/>
    <w:tmpl w:val="3A74D8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4"/>
  </w:num>
  <w:num w:numId="3">
    <w:abstractNumId w:val="1"/>
  </w:num>
  <w:num w:numId="4">
    <w:abstractNumId w:val="17"/>
  </w:num>
  <w:num w:numId="5">
    <w:abstractNumId w:val="6"/>
  </w:num>
  <w:num w:numId="6">
    <w:abstractNumId w:val="11"/>
  </w:num>
  <w:num w:numId="7">
    <w:abstractNumId w:val="9"/>
  </w:num>
  <w:num w:numId="8">
    <w:abstractNumId w:val="12"/>
  </w:num>
  <w:num w:numId="9">
    <w:abstractNumId w:val="8"/>
  </w:num>
  <w:num w:numId="10">
    <w:abstractNumId w:val="15"/>
  </w:num>
  <w:num w:numId="11">
    <w:abstractNumId w:val="0"/>
  </w:num>
  <w:num w:numId="12">
    <w:abstractNumId w:val="3"/>
  </w:num>
  <w:num w:numId="13">
    <w:abstractNumId w:val="5"/>
  </w:num>
  <w:num w:numId="14">
    <w:abstractNumId w:val="2"/>
  </w:num>
  <w:num w:numId="15">
    <w:abstractNumId w:val="1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7"/>
  </w:num>
  <w:num w:numId="19">
    <w:abstractNumId w:val="18"/>
  </w:num>
  <w:num w:numId="2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504"/>
    <w:rsid w:val="00006FB9"/>
    <w:rsid w:val="000114DC"/>
    <w:rsid w:val="00012201"/>
    <w:rsid w:val="00012220"/>
    <w:rsid w:val="00014FD1"/>
    <w:rsid w:val="00015D83"/>
    <w:rsid w:val="000213BA"/>
    <w:rsid w:val="00022EAF"/>
    <w:rsid w:val="00023875"/>
    <w:rsid w:val="00026199"/>
    <w:rsid w:val="000306A7"/>
    <w:rsid w:val="00031605"/>
    <w:rsid w:val="00032CE7"/>
    <w:rsid w:val="0004190A"/>
    <w:rsid w:val="00041F04"/>
    <w:rsid w:val="000426E3"/>
    <w:rsid w:val="00045379"/>
    <w:rsid w:val="00045B3C"/>
    <w:rsid w:val="0004682D"/>
    <w:rsid w:val="00046F52"/>
    <w:rsid w:val="00047EAF"/>
    <w:rsid w:val="00051D02"/>
    <w:rsid w:val="0005411A"/>
    <w:rsid w:val="00055224"/>
    <w:rsid w:val="00061821"/>
    <w:rsid w:val="00062077"/>
    <w:rsid w:val="0006222F"/>
    <w:rsid w:val="000623F9"/>
    <w:rsid w:val="00063A10"/>
    <w:rsid w:val="00063AE3"/>
    <w:rsid w:val="0006461D"/>
    <w:rsid w:val="00064EB3"/>
    <w:rsid w:val="000662F8"/>
    <w:rsid w:val="00066B01"/>
    <w:rsid w:val="00071571"/>
    <w:rsid w:val="00073CC6"/>
    <w:rsid w:val="00073E78"/>
    <w:rsid w:val="000833B0"/>
    <w:rsid w:val="00090745"/>
    <w:rsid w:val="00091552"/>
    <w:rsid w:val="00091C3A"/>
    <w:rsid w:val="00092586"/>
    <w:rsid w:val="00094155"/>
    <w:rsid w:val="00094C05"/>
    <w:rsid w:val="00096CA4"/>
    <w:rsid w:val="000A03E0"/>
    <w:rsid w:val="000A04D9"/>
    <w:rsid w:val="000A07F5"/>
    <w:rsid w:val="000A3486"/>
    <w:rsid w:val="000A378C"/>
    <w:rsid w:val="000A4D4D"/>
    <w:rsid w:val="000A79DA"/>
    <w:rsid w:val="000B3E98"/>
    <w:rsid w:val="000B426F"/>
    <w:rsid w:val="000B4B51"/>
    <w:rsid w:val="000B6D7D"/>
    <w:rsid w:val="000B7158"/>
    <w:rsid w:val="000B7D23"/>
    <w:rsid w:val="000C06C3"/>
    <w:rsid w:val="000C0F57"/>
    <w:rsid w:val="000C51A0"/>
    <w:rsid w:val="000C5B8B"/>
    <w:rsid w:val="000C5F42"/>
    <w:rsid w:val="000C7E45"/>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F16"/>
    <w:rsid w:val="001164A1"/>
    <w:rsid w:val="001179DB"/>
    <w:rsid w:val="00121ED7"/>
    <w:rsid w:val="00122EC2"/>
    <w:rsid w:val="001241A8"/>
    <w:rsid w:val="00124855"/>
    <w:rsid w:val="001249A0"/>
    <w:rsid w:val="001254F5"/>
    <w:rsid w:val="00132631"/>
    <w:rsid w:val="001369A6"/>
    <w:rsid w:val="00136FAD"/>
    <w:rsid w:val="0014029B"/>
    <w:rsid w:val="00146C08"/>
    <w:rsid w:val="00146F0A"/>
    <w:rsid w:val="00152C2B"/>
    <w:rsid w:val="0015319B"/>
    <w:rsid w:val="00156EC9"/>
    <w:rsid w:val="001611CC"/>
    <w:rsid w:val="001612E6"/>
    <w:rsid w:val="00161D54"/>
    <w:rsid w:val="00162A4D"/>
    <w:rsid w:val="001633C8"/>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7AE9"/>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E524B"/>
    <w:rsid w:val="001F0D3E"/>
    <w:rsid w:val="001F3F3C"/>
    <w:rsid w:val="001F4025"/>
    <w:rsid w:val="00202B9E"/>
    <w:rsid w:val="00207505"/>
    <w:rsid w:val="00211C66"/>
    <w:rsid w:val="0021296D"/>
    <w:rsid w:val="00212CB5"/>
    <w:rsid w:val="002146BC"/>
    <w:rsid w:val="0021501E"/>
    <w:rsid w:val="00215A83"/>
    <w:rsid w:val="00216ABF"/>
    <w:rsid w:val="00217852"/>
    <w:rsid w:val="00220339"/>
    <w:rsid w:val="002205C0"/>
    <w:rsid w:val="00226760"/>
    <w:rsid w:val="002303A7"/>
    <w:rsid w:val="00231D77"/>
    <w:rsid w:val="002324F1"/>
    <w:rsid w:val="0023373D"/>
    <w:rsid w:val="0023423C"/>
    <w:rsid w:val="002342EA"/>
    <w:rsid w:val="00236C82"/>
    <w:rsid w:val="0024638F"/>
    <w:rsid w:val="00246807"/>
    <w:rsid w:val="00247537"/>
    <w:rsid w:val="00247D10"/>
    <w:rsid w:val="00250470"/>
    <w:rsid w:val="00251334"/>
    <w:rsid w:val="00252985"/>
    <w:rsid w:val="002577FE"/>
    <w:rsid w:val="00266E00"/>
    <w:rsid w:val="002674C9"/>
    <w:rsid w:val="00271EED"/>
    <w:rsid w:val="002725E3"/>
    <w:rsid w:val="00273D0E"/>
    <w:rsid w:val="0028788A"/>
    <w:rsid w:val="002915F2"/>
    <w:rsid w:val="00292885"/>
    <w:rsid w:val="00292E8D"/>
    <w:rsid w:val="002942AD"/>
    <w:rsid w:val="00297140"/>
    <w:rsid w:val="00297368"/>
    <w:rsid w:val="002A0104"/>
    <w:rsid w:val="002A2034"/>
    <w:rsid w:val="002A24F4"/>
    <w:rsid w:val="002A38BF"/>
    <w:rsid w:val="002A597E"/>
    <w:rsid w:val="002A6687"/>
    <w:rsid w:val="002B0ABA"/>
    <w:rsid w:val="002B1410"/>
    <w:rsid w:val="002B1C1D"/>
    <w:rsid w:val="002B4228"/>
    <w:rsid w:val="002B5069"/>
    <w:rsid w:val="002B5DBD"/>
    <w:rsid w:val="002B70DD"/>
    <w:rsid w:val="002C3974"/>
    <w:rsid w:val="002C51F7"/>
    <w:rsid w:val="002C72D2"/>
    <w:rsid w:val="002D29D7"/>
    <w:rsid w:val="002D4C5A"/>
    <w:rsid w:val="002D64A8"/>
    <w:rsid w:val="002D662C"/>
    <w:rsid w:val="002E0A1A"/>
    <w:rsid w:val="002E0D52"/>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70D"/>
    <w:rsid w:val="00320A67"/>
    <w:rsid w:val="0032220E"/>
    <w:rsid w:val="003266DA"/>
    <w:rsid w:val="003272FB"/>
    <w:rsid w:val="00330F3C"/>
    <w:rsid w:val="003349F3"/>
    <w:rsid w:val="003406C5"/>
    <w:rsid w:val="003410F2"/>
    <w:rsid w:val="003507D3"/>
    <w:rsid w:val="00352642"/>
    <w:rsid w:val="00353C25"/>
    <w:rsid w:val="00355166"/>
    <w:rsid w:val="00355D12"/>
    <w:rsid w:val="00356483"/>
    <w:rsid w:val="0035697D"/>
    <w:rsid w:val="00356E3E"/>
    <w:rsid w:val="00357457"/>
    <w:rsid w:val="003613D8"/>
    <w:rsid w:val="00361B9C"/>
    <w:rsid w:val="0036339F"/>
    <w:rsid w:val="00364209"/>
    <w:rsid w:val="00365DA0"/>
    <w:rsid w:val="00367CC7"/>
    <w:rsid w:val="003733F5"/>
    <w:rsid w:val="003749D9"/>
    <w:rsid w:val="00375BBA"/>
    <w:rsid w:val="00376CEC"/>
    <w:rsid w:val="00380010"/>
    <w:rsid w:val="00380758"/>
    <w:rsid w:val="003812E0"/>
    <w:rsid w:val="00384DAD"/>
    <w:rsid w:val="003869DF"/>
    <w:rsid w:val="00394A1E"/>
    <w:rsid w:val="00397C0C"/>
    <w:rsid w:val="003A378D"/>
    <w:rsid w:val="003A61F9"/>
    <w:rsid w:val="003B1E88"/>
    <w:rsid w:val="003B4030"/>
    <w:rsid w:val="003B5229"/>
    <w:rsid w:val="003B5FD0"/>
    <w:rsid w:val="003C4C22"/>
    <w:rsid w:val="003C4F65"/>
    <w:rsid w:val="003C5DEB"/>
    <w:rsid w:val="003D08E9"/>
    <w:rsid w:val="003D2D99"/>
    <w:rsid w:val="003D78A3"/>
    <w:rsid w:val="003E05A5"/>
    <w:rsid w:val="003E128A"/>
    <w:rsid w:val="003E16E1"/>
    <w:rsid w:val="003E318E"/>
    <w:rsid w:val="003E5144"/>
    <w:rsid w:val="003F3A54"/>
    <w:rsid w:val="003F50F0"/>
    <w:rsid w:val="004012CF"/>
    <w:rsid w:val="00401496"/>
    <w:rsid w:val="00402A46"/>
    <w:rsid w:val="00402FF3"/>
    <w:rsid w:val="00403A1E"/>
    <w:rsid w:val="00404759"/>
    <w:rsid w:val="004061EF"/>
    <w:rsid w:val="004069EB"/>
    <w:rsid w:val="004071A7"/>
    <w:rsid w:val="00412901"/>
    <w:rsid w:val="00414824"/>
    <w:rsid w:val="00415923"/>
    <w:rsid w:val="00417E4F"/>
    <w:rsid w:val="00423213"/>
    <w:rsid w:val="00423ECD"/>
    <w:rsid w:val="0042416D"/>
    <w:rsid w:val="00424EEC"/>
    <w:rsid w:val="00426B98"/>
    <w:rsid w:val="0042798A"/>
    <w:rsid w:val="0043302B"/>
    <w:rsid w:val="0043333A"/>
    <w:rsid w:val="00433D7C"/>
    <w:rsid w:val="00433F2D"/>
    <w:rsid w:val="00442582"/>
    <w:rsid w:val="00442C1A"/>
    <w:rsid w:val="004469CB"/>
    <w:rsid w:val="004512DF"/>
    <w:rsid w:val="004516EB"/>
    <w:rsid w:val="004529B6"/>
    <w:rsid w:val="00453DBD"/>
    <w:rsid w:val="00454CE6"/>
    <w:rsid w:val="00455C30"/>
    <w:rsid w:val="00457FB4"/>
    <w:rsid w:val="00462881"/>
    <w:rsid w:val="004639CF"/>
    <w:rsid w:val="004668C1"/>
    <w:rsid w:val="0047031E"/>
    <w:rsid w:val="00472678"/>
    <w:rsid w:val="00473342"/>
    <w:rsid w:val="00475F48"/>
    <w:rsid w:val="00477CC2"/>
    <w:rsid w:val="00480B6A"/>
    <w:rsid w:val="0048180A"/>
    <w:rsid w:val="00481C7A"/>
    <w:rsid w:val="004855D1"/>
    <w:rsid w:val="004857CF"/>
    <w:rsid w:val="0049054A"/>
    <w:rsid w:val="004906C8"/>
    <w:rsid w:val="004924B8"/>
    <w:rsid w:val="004967E2"/>
    <w:rsid w:val="00497BD1"/>
    <w:rsid w:val="004A290F"/>
    <w:rsid w:val="004A3D8C"/>
    <w:rsid w:val="004A5FFD"/>
    <w:rsid w:val="004A7CE2"/>
    <w:rsid w:val="004B15D1"/>
    <w:rsid w:val="004B38AC"/>
    <w:rsid w:val="004B452C"/>
    <w:rsid w:val="004B5876"/>
    <w:rsid w:val="004B633C"/>
    <w:rsid w:val="004B7109"/>
    <w:rsid w:val="004C133E"/>
    <w:rsid w:val="004C221B"/>
    <w:rsid w:val="004D019D"/>
    <w:rsid w:val="004D08EB"/>
    <w:rsid w:val="004D0C64"/>
    <w:rsid w:val="004D2B23"/>
    <w:rsid w:val="004D2C8F"/>
    <w:rsid w:val="004D2D18"/>
    <w:rsid w:val="004D669C"/>
    <w:rsid w:val="004E0136"/>
    <w:rsid w:val="004E1318"/>
    <w:rsid w:val="004E2371"/>
    <w:rsid w:val="004E3919"/>
    <w:rsid w:val="004E6BE9"/>
    <w:rsid w:val="004F17FE"/>
    <w:rsid w:val="004F3DDC"/>
    <w:rsid w:val="00503655"/>
    <w:rsid w:val="005037B3"/>
    <w:rsid w:val="005039A0"/>
    <w:rsid w:val="00504FB2"/>
    <w:rsid w:val="00506846"/>
    <w:rsid w:val="00512DA7"/>
    <w:rsid w:val="00515090"/>
    <w:rsid w:val="005202C4"/>
    <w:rsid w:val="00520D7E"/>
    <w:rsid w:val="005211D9"/>
    <w:rsid w:val="00521988"/>
    <w:rsid w:val="00521E57"/>
    <w:rsid w:val="00522FD2"/>
    <w:rsid w:val="005245A9"/>
    <w:rsid w:val="00524E8D"/>
    <w:rsid w:val="005305C0"/>
    <w:rsid w:val="005305EA"/>
    <w:rsid w:val="00530F74"/>
    <w:rsid w:val="00531170"/>
    <w:rsid w:val="00531E18"/>
    <w:rsid w:val="00532160"/>
    <w:rsid w:val="00535F50"/>
    <w:rsid w:val="00536379"/>
    <w:rsid w:val="005371E7"/>
    <w:rsid w:val="005404AB"/>
    <w:rsid w:val="00540538"/>
    <w:rsid w:val="00540ACB"/>
    <w:rsid w:val="00545E93"/>
    <w:rsid w:val="005472FB"/>
    <w:rsid w:val="0054773D"/>
    <w:rsid w:val="00547D93"/>
    <w:rsid w:val="005520FE"/>
    <w:rsid w:val="005523D5"/>
    <w:rsid w:val="0055334A"/>
    <w:rsid w:val="00556513"/>
    <w:rsid w:val="005575CB"/>
    <w:rsid w:val="0056015B"/>
    <w:rsid w:val="0056134C"/>
    <w:rsid w:val="00562653"/>
    <w:rsid w:val="00567998"/>
    <w:rsid w:val="00567D91"/>
    <w:rsid w:val="00572979"/>
    <w:rsid w:val="005733EB"/>
    <w:rsid w:val="00575651"/>
    <w:rsid w:val="005759BB"/>
    <w:rsid w:val="00576BCC"/>
    <w:rsid w:val="005803A1"/>
    <w:rsid w:val="00580802"/>
    <w:rsid w:val="00581A22"/>
    <w:rsid w:val="00582A33"/>
    <w:rsid w:val="0058671A"/>
    <w:rsid w:val="00587275"/>
    <w:rsid w:val="00593E91"/>
    <w:rsid w:val="00594DED"/>
    <w:rsid w:val="005A0B49"/>
    <w:rsid w:val="005A5930"/>
    <w:rsid w:val="005A6D57"/>
    <w:rsid w:val="005A7FFD"/>
    <w:rsid w:val="005B36D5"/>
    <w:rsid w:val="005B5B70"/>
    <w:rsid w:val="005B5F05"/>
    <w:rsid w:val="005B60F0"/>
    <w:rsid w:val="005C01F4"/>
    <w:rsid w:val="005C04BB"/>
    <w:rsid w:val="005C123F"/>
    <w:rsid w:val="005C14F3"/>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4734"/>
    <w:rsid w:val="005F57F0"/>
    <w:rsid w:val="005F5902"/>
    <w:rsid w:val="005F7598"/>
    <w:rsid w:val="00600B92"/>
    <w:rsid w:val="00605861"/>
    <w:rsid w:val="00607168"/>
    <w:rsid w:val="0061042F"/>
    <w:rsid w:val="00610C37"/>
    <w:rsid w:val="006114BA"/>
    <w:rsid w:val="006145EB"/>
    <w:rsid w:val="00615089"/>
    <w:rsid w:val="006168E4"/>
    <w:rsid w:val="00624EB5"/>
    <w:rsid w:val="00626A70"/>
    <w:rsid w:val="006323CA"/>
    <w:rsid w:val="006329AB"/>
    <w:rsid w:val="00633DE8"/>
    <w:rsid w:val="0063461B"/>
    <w:rsid w:val="006360F3"/>
    <w:rsid w:val="00636327"/>
    <w:rsid w:val="006369B4"/>
    <w:rsid w:val="00637512"/>
    <w:rsid w:val="00640EE4"/>
    <w:rsid w:val="0064352E"/>
    <w:rsid w:val="006466F5"/>
    <w:rsid w:val="0064761A"/>
    <w:rsid w:val="00650C5E"/>
    <w:rsid w:val="0065263E"/>
    <w:rsid w:val="00652A6B"/>
    <w:rsid w:val="00652A6F"/>
    <w:rsid w:val="00653B47"/>
    <w:rsid w:val="00654718"/>
    <w:rsid w:val="00656CA4"/>
    <w:rsid w:val="00657DAD"/>
    <w:rsid w:val="00660C59"/>
    <w:rsid w:val="00661753"/>
    <w:rsid w:val="006620AC"/>
    <w:rsid w:val="00667DD9"/>
    <w:rsid w:val="00677379"/>
    <w:rsid w:val="00680F0B"/>
    <w:rsid w:val="006848B7"/>
    <w:rsid w:val="00686FD5"/>
    <w:rsid w:val="00691BFD"/>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4A9C"/>
    <w:rsid w:val="006C698B"/>
    <w:rsid w:val="006D1F6B"/>
    <w:rsid w:val="006D23FC"/>
    <w:rsid w:val="006D7FD9"/>
    <w:rsid w:val="006E0F12"/>
    <w:rsid w:val="006E135A"/>
    <w:rsid w:val="006E7563"/>
    <w:rsid w:val="006F3C14"/>
    <w:rsid w:val="006F475A"/>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4BE"/>
    <w:rsid w:val="007456B7"/>
    <w:rsid w:val="00754CAE"/>
    <w:rsid w:val="007568AD"/>
    <w:rsid w:val="0076128C"/>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206E"/>
    <w:rsid w:val="0079486A"/>
    <w:rsid w:val="00794F80"/>
    <w:rsid w:val="0079735D"/>
    <w:rsid w:val="007A1C9E"/>
    <w:rsid w:val="007A2451"/>
    <w:rsid w:val="007A3206"/>
    <w:rsid w:val="007A4692"/>
    <w:rsid w:val="007B0046"/>
    <w:rsid w:val="007B2303"/>
    <w:rsid w:val="007B2C77"/>
    <w:rsid w:val="007B3414"/>
    <w:rsid w:val="007B403C"/>
    <w:rsid w:val="007B5E05"/>
    <w:rsid w:val="007B68F7"/>
    <w:rsid w:val="007C2FF3"/>
    <w:rsid w:val="007C4168"/>
    <w:rsid w:val="007C45D8"/>
    <w:rsid w:val="007D1A27"/>
    <w:rsid w:val="007D1B24"/>
    <w:rsid w:val="007D1EC5"/>
    <w:rsid w:val="007D1F15"/>
    <w:rsid w:val="007D25B1"/>
    <w:rsid w:val="007D2878"/>
    <w:rsid w:val="007D3203"/>
    <w:rsid w:val="007D4303"/>
    <w:rsid w:val="007D6CF8"/>
    <w:rsid w:val="007E0EE4"/>
    <w:rsid w:val="007E6161"/>
    <w:rsid w:val="007E7BAB"/>
    <w:rsid w:val="007E7DCE"/>
    <w:rsid w:val="007F1441"/>
    <w:rsid w:val="007F20AC"/>
    <w:rsid w:val="007F53A0"/>
    <w:rsid w:val="007F7A92"/>
    <w:rsid w:val="0080158F"/>
    <w:rsid w:val="008024BA"/>
    <w:rsid w:val="00802C56"/>
    <w:rsid w:val="008039D7"/>
    <w:rsid w:val="00807A3D"/>
    <w:rsid w:val="00811205"/>
    <w:rsid w:val="00812C48"/>
    <w:rsid w:val="0081468E"/>
    <w:rsid w:val="008146F9"/>
    <w:rsid w:val="00815FE7"/>
    <w:rsid w:val="00817A08"/>
    <w:rsid w:val="00822215"/>
    <w:rsid w:val="00824DCD"/>
    <w:rsid w:val="00833011"/>
    <w:rsid w:val="00836B8D"/>
    <w:rsid w:val="008427E4"/>
    <w:rsid w:val="00843314"/>
    <w:rsid w:val="00844569"/>
    <w:rsid w:val="008466EC"/>
    <w:rsid w:val="008474E1"/>
    <w:rsid w:val="00847D23"/>
    <w:rsid w:val="0085196B"/>
    <w:rsid w:val="0085268C"/>
    <w:rsid w:val="00853BED"/>
    <w:rsid w:val="00862786"/>
    <w:rsid w:val="00863327"/>
    <w:rsid w:val="0086675B"/>
    <w:rsid w:val="00866F25"/>
    <w:rsid w:val="00870F44"/>
    <w:rsid w:val="00871DC1"/>
    <w:rsid w:val="008724F6"/>
    <w:rsid w:val="00884054"/>
    <w:rsid w:val="00886305"/>
    <w:rsid w:val="00887CDA"/>
    <w:rsid w:val="00891C7A"/>
    <w:rsid w:val="008921C3"/>
    <w:rsid w:val="008936E7"/>
    <w:rsid w:val="00894792"/>
    <w:rsid w:val="00895089"/>
    <w:rsid w:val="00895111"/>
    <w:rsid w:val="008951ED"/>
    <w:rsid w:val="008963E2"/>
    <w:rsid w:val="008A0A23"/>
    <w:rsid w:val="008A5498"/>
    <w:rsid w:val="008A68CA"/>
    <w:rsid w:val="008A75BE"/>
    <w:rsid w:val="008B02FB"/>
    <w:rsid w:val="008B0679"/>
    <w:rsid w:val="008B3A59"/>
    <w:rsid w:val="008B42B1"/>
    <w:rsid w:val="008B5224"/>
    <w:rsid w:val="008B6135"/>
    <w:rsid w:val="008B7382"/>
    <w:rsid w:val="008C0375"/>
    <w:rsid w:val="008C32A8"/>
    <w:rsid w:val="008C55A3"/>
    <w:rsid w:val="008C5A03"/>
    <w:rsid w:val="008C5E94"/>
    <w:rsid w:val="008D038F"/>
    <w:rsid w:val="008D0938"/>
    <w:rsid w:val="008D1D2A"/>
    <w:rsid w:val="008D4154"/>
    <w:rsid w:val="008D4EB7"/>
    <w:rsid w:val="008D6297"/>
    <w:rsid w:val="008D6D04"/>
    <w:rsid w:val="008E3791"/>
    <w:rsid w:val="008E6375"/>
    <w:rsid w:val="008F0117"/>
    <w:rsid w:val="008F4C65"/>
    <w:rsid w:val="00905422"/>
    <w:rsid w:val="00905CE9"/>
    <w:rsid w:val="00911139"/>
    <w:rsid w:val="00911313"/>
    <w:rsid w:val="00913133"/>
    <w:rsid w:val="00913221"/>
    <w:rsid w:val="00920128"/>
    <w:rsid w:val="00921DB9"/>
    <w:rsid w:val="00921F5F"/>
    <w:rsid w:val="0092403D"/>
    <w:rsid w:val="00925CD2"/>
    <w:rsid w:val="009268BB"/>
    <w:rsid w:val="00926D4D"/>
    <w:rsid w:val="00927A51"/>
    <w:rsid w:val="00933F50"/>
    <w:rsid w:val="00934A31"/>
    <w:rsid w:val="00935D2F"/>
    <w:rsid w:val="00936B04"/>
    <w:rsid w:val="00940116"/>
    <w:rsid w:val="009402DB"/>
    <w:rsid w:val="00942BC7"/>
    <w:rsid w:val="009449B8"/>
    <w:rsid w:val="00944DC9"/>
    <w:rsid w:val="00945479"/>
    <w:rsid w:val="00946380"/>
    <w:rsid w:val="009464B0"/>
    <w:rsid w:val="00947A9B"/>
    <w:rsid w:val="009502C8"/>
    <w:rsid w:val="009517DA"/>
    <w:rsid w:val="0095731A"/>
    <w:rsid w:val="009611D9"/>
    <w:rsid w:val="009611E0"/>
    <w:rsid w:val="00961369"/>
    <w:rsid w:val="00964DA7"/>
    <w:rsid w:val="00965350"/>
    <w:rsid w:val="00965B02"/>
    <w:rsid w:val="00965FEE"/>
    <w:rsid w:val="0096643B"/>
    <w:rsid w:val="009706B5"/>
    <w:rsid w:val="00970CB5"/>
    <w:rsid w:val="00972BDF"/>
    <w:rsid w:val="00975767"/>
    <w:rsid w:val="00980BE4"/>
    <w:rsid w:val="0098182D"/>
    <w:rsid w:val="00986698"/>
    <w:rsid w:val="00990C92"/>
    <w:rsid w:val="00991F20"/>
    <w:rsid w:val="009923E0"/>
    <w:rsid w:val="009950AD"/>
    <w:rsid w:val="00997E87"/>
    <w:rsid w:val="009A0AF8"/>
    <w:rsid w:val="009A1139"/>
    <w:rsid w:val="009A3D4D"/>
    <w:rsid w:val="009A49FE"/>
    <w:rsid w:val="009A686F"/>
    <w:rsid w:val="009A77EC"/>
    <w:rsid w:val="009A7DBA"/>
    <w:rsid w:val="009B007D"/>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7A4"/>
    <w:rsid w:val="009E49A3"/>
    <w:rsid w:val="009E52F2"/>
    <w:rsid w:val="009E6ED9"/>
    <w:rsid w:val="009F0515"/>
    <w:rsid w:val="009F1A4C"/>
    <w:rsid w:val="009F3C1F"/>
    <w:rsid w:val="009F614E"/>
    <w:rsid w:val="009F6571"/>
    <w:rsid w:val="009F762B"/>
    <w:rsid w:val="00A00E96"/>
    <w:rsid w:val="00A02047"/>
    <w:rsid w:val="00A036BE"/>
    <w:rsid w:val="00A06487"/>
    <w:rsid w:val="00A12205"/>
    <w:rsid w:val="00A155B9"/>
    <w:rsid w:val="00A214B4"/>
    <w:rsid w:val="00A31E0A"/>
    <w:rsid w:val="00A32D63"/>
    <w:rsid w:val="00A345F6"/>
    <w:rsid w:val="00A348B5"/>
    <w:rsid w:val="00A34DDD"/>
    <w:rsid w:val="00A4436A"/>
    <w:rsid w:val="00A453DC"/>
    <w:rsid w:val="00A45721"/>
    <w:rsid w:val="00A457D1"/>
    <w:rsid w:val="00A47E87"/>
    <w:rsid w:val="00A516E8"/>
    <w:rsid w:val="00A520C9"/>
    <w:rsid w:val="00A525D9"/>
    <w:rsid w:val="00A52AAE"/>
    <w:rsid w:val="00A55AB0"/>
    <w:rsid w:val="00A55F06"/>
    <w:rsid w:val="00A56219"/>
    <w:rsid w:val="00A565E7"/>
    <w:rsid w:val="00A6004B"/>
    <w:rsid w:val="00A6185A"/>
    <w:rsid w:val="00A625E2"/>
    <w:rsid w:val="00A67B13"/>
    <w:rsid w:val="00A71080"/>
    <w:rsid w:val="00A72465"/>
    <w:rsid w:val="00A72DCB"/>
    <w:rsid w:val="00A75001"/>
    <w:rsid w:val="00A80C92"/>
    <w:rsid w:val="00A817E5"/>
    <w:rsid w:val="00A82461"/>
    <w:rsid w:val="00A83323"/>
    <w:rsid w:val="00A85006"/>
    <w:rsid w:val="00A851D8"/>
    <w:rsid w:val="00A86352"/>
    <w:rsid w:val="00A90295"/>
    <w:rsid w:val="00A9227B"/>
    <w:rsid w:val="00A93540"/>
    <w:rsid w:val="00A947F1"/>
    <w:rsid w:val="00A953BA"/>
    <w:rsid w:val="00AA1A2C"/>
    <w:rsid w:val="00AA207C"/>
    <w:rsid w:val="00AA225A"/>
    <w:rsid w:val="00AA5D62"/>
    <w:rsid w:val="00AB3710"/>
    <w:rsid w:val="00AB37EB"/>
    <w:rsid w:val="00AB4B0F"/>
    <w:rsid w:val="00AB535D"/>
    <w:rsid w:val="00AB6C3B"/>
    <w:rsid w:val="00AC1971"/>
    <w:rsid w:val="00AC3AC1"/>
    <w:rsid w:val="00AD15A7"/>
    <w:rsid w:val="00AD220A"/>
    <w:rsid w:val="00AD514F"/>
    <w:rsid w:val="00AD6BEE"/>
    <w:rsid w:val="00AD7995"/>
    <w:rsid w:val="00AE008F"/>
    <w:rsid w:val="00AE1EF2"/>
    <w:rsid w:val="00AE33FE"/>
    <w:rsid w:val="00AF1248"/>
    <w:rsid w:val="00AF300E"/>
    <w:rsid w:val="00AF55AC"/>
    <w:rsid w:val="00B06358"/>
    <w:rsid w:val="00B07D6D"/>
    <w:rsid w:val="00B1003A"/>
    <w:rsid w:val="00B11E08"/>
    <w:rsid w:val="00B12E48"/>
    <w:rsid w:val="00B134C8"/>
    <w:rsid w:val="00B13C33"/>
    <w:rsid w:val="00B26C37"/>
    <w:rsid w:val="00B32CD3"/>
    <w:rsid w:val="00B35A93"/>
    <w:rsid w:val="00B3635B"/>
    <w:rsid w:val="00B3672D"/>
    <w:rsid w:val="00B36D2B"/>
    <w:rsid w:val="00B373A2"/>
    <w:rsid w:val="00B47192"/>
    <w:rsid w:val="00B4745C"/>
    <w:rsid w:val="00B47563"/>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26B2"/>
    <w:rsid w:val="00B97604"/>
    <w:rsid w:val="00BA11EC"/>
    <w:rsid w:val="00BA4081"/>
    <w:rsid w:val="00BA4D1F"/>
    <w:rsid w:val="00BA6C12"/>
    <w:rsid w:val="00BA7AD1"/>
    <w:rsid w:val="00BB040A"/>
    <w:rsid w:val="00BB04EC"/>
    <w:rsid w:val="00BB2250"/>
    <w:rsid w:val="00BB4A68"/>
    <w:rsid w:val="00BB739A"/>
    <w:rsid w:val="00BC0613"/>
    <w:rsid w:val="00BC0FDD"/>
    <w:rsid w:val="00BC14E6"/>
    <w:rsid w:val="00BC22E0"/>
    <w:rsid w:val="00BC3641"/>
    <w:rsid w:val="00BC3F57"/>
    <w:rsid w:val="00BD30FE"/>
    <w:rsid w:val="00BD65B1"/>
    <w:rsid w:val="00BE0F79"/>
    <w:rsid w:val="00BE21EF"/>
    <w:rsid w:val="00BE28ED"/>
    <w:rsid w:val="00BE3E18"/>
    <w:rsid w:val="00BE673B"/>
    <w:rsid w:val="00BE688D"/>
    <w:rsid w:val="00BE7C9B"/>
    <w:rsid w:val="00BF01A7"/>
    <w:rsid w:val="00BF0A4C"/>
    <w:rsid w:val="00BF0B4D"/>
    <w:rsid w:val="00BF0D34"/>
    <w:rsid w:val="00BF1ECA"/>
    <w:rsid w:val="00BF3F7C"/>
    <w:rsid w:val="00C00463"/>
    <w:rsid w:val="00C0147E"/>
    <w:rsid w:val="00C03F20"/>
    <w:rsid w:val="00C04FE4"/>
    <w:rsid w:val="00C219E6"/>
    <w:rsid w:val="00C25084"/>
    <w:rsid w:val="00C27903"/>
    <w:rsid w:val="00C30A4F"/>
    <w:rsid w:val="00C31401"/>
    <w:rsid w:val="00C32607"/>
    <w:rsid w:val="00C41665"/>
    <w:rsid w:val="00C41758"/>
    <w:rsid w:val="00C41C2E"/>
    <w:rsid w:val="00C429E1"/>
    <w:rsid w:val="00C45135"/>
    <w:rsid w:val="00C462F8"/>
    <w:rsid w:val="00C50E96"/>
    <w:rsid w:val="00C53A51"/>
    <w:rsid w:val="00C5690E"/>
    <w:rsid w:val="00C63A68"/>
    <w:rsid w:val="00C70B66"/>
    <w:rsid w:val="00C71CD1"/>
    <w:rsid w:val="00C73143"/>
    <w:rsid w:val="00C77685"/>
    <w:rsid w:val="00C77815"/>
    <w:rsid w:val="00C80100"/>
    <w:rsid w:val="00C81E88"/>
    <w:rsid w:val="00C8239D"/>
    <w:rsid w:val="00C84901"/>
    <w:rsid w:val="00C8491D"/>
    <w:rsid w:val="00C85378"/>
    <w:rsid w:val="00C928F1"/>
    <w:rsid w:val="00C9297C"/>
    <w:rsid w:val="00C940B5"/>
    <w:rsid w:val="00C9700F"/>
    <w:rsid w:val="00CA201A"/>
    <w:rsid w:val="00CA5058"/>
    <w:rsid w:val="00CA621B"/>
    <w:rsid w:val="00CA6FDA"/>
    <w:rsid w:val="00CB0AFB"/>
    <w:rsid w:val="00CB266D"/>
    <w:rsid w:val="00CB3B6F"/>
    <w:rsid w:val="00CB6778"/>
    <w:rsid w:val="00CC0C5F"/>
    <w:rsid w:val="00CC14B6"/>
    <w:rsid w:val="00CC2F3D"/>
    <w:rsid w:val="00CC3508"/>
    <w:rsid w:val="00CC5144"/>
    <w:rsid w:val="00CC5FF3"/>
    <w:rsid w:val="00CC717C"/>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240B"/>
    <w:rsid w:val="00D13098"/>
    <w:rsid w:val="00D17789"/>
    <w:rsid w:val="00D1789C"/>
    <w:rsid w:val="00D17B5C"/>
    <w:rsid w:val="00D17EDC"/>
    <w:rsid w:val="00D20AC2"/>
    <w:rsid w:val="00D21565"/>
    <w:rsid w:val="00D223AC"/>
    <w:rsid w:val="00D226BE"/>
    <w:rsid w:val="00D25860"/>
    <w:rsid w:val="00D2737E"/>
    <w:rsid w:val="00D274A9"/>
    <w:rsid w:val="00D304D6"/>
    <w:rsid w:val="00D32347"/>
    <w:rsid w:val="00D32644"/>
    <w:rsid w:val="00D33229"/>
    <w:rsid w:val="00D33619"/>
    <w:rsid w:val="00D338F0"/>
    <w:rsid w:val="00D40FD4"/>
    <w:rsid w:val="00D42445"/>
    <w:rsid w:val="00D52AC7"/>
    <w:rsid w:val="00D53772"/>
    <w:rsid w:val="00D54CA9"/>
    <w:rsid w:val="00D556EC"/>
    <w:rsid w:val="00D563E2"/>
    <w:rsid w:val="00D56D67"/>
    <w:rsid w:val="00D6340F"/>
    <w:rsid w:val="00D7129F"/>
    <w:rsid w:val="00D72D16"/>
    <w:rsid w:val="00D73E1C"/>
    <w:rsid w:val="00D74213"/>
    <w:rsid w:val="00D7792E"/>
    <w:rsid w:val="00D8049E"/>
    <w:rsid w:val="00D804D4"/>
    <w:rsid w:val="00D81032"/>
    <w:rsid w:val="00D81914"/>
    <w:rsid w:val="00D8195B"/>
    <w:rsid w:val="00D8561C"/>
    <w:rsid w:val="00D8619F"/>
    <w:rsid w:val="00D86764"/>
    <w:rsid w:val="00D878D6"/>
    <w:rsid w:val="00D90DA7"/>
    <w:rsid w:val="00D92434"/>
    <w:rsid w:val="00D924C9"/>
    <w:rsid w:val="00D93ED4"/>
    <w:rsid w:val="00D957E3"/>
    <w:rsid w:val="00D970E2"/>
    <w:rsid w:val="00DA00D5"/>
    <w:rsid w:val="00DA5ABC"/>
    <w:rsid w:val="00DB0873"/>
    <w:rsid w:val="00DB149D"/>
    <w:rsid w:val="00DB235D"/>
    <w:rsid w:val="00DB2772"/>
    <w:rsid w:val="00DB5528"/>
    <w:rsid w:val="00DB5C0A"/>
    <w:rsid w:val="00DB5E40"/>
    <w:rsid w:val="00DC0C93"/>
    <w:rsid w:val="00DC0E09"/>
    <w:rsid w:val="00DC168A"/>
    <w:rsid w:val="00DC68EB"/>
    <w:rsid w:val="00DD13E2"/>
    <w:rsid w:val="00DE153B"/>
    <w:rsid w:val="00DE3B70"/>
    <w:rsid w:val="00DE67F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53CD"/>
    <w:rsid w:val="00E359AE"/>
    <w:rsid w:val="00E36029"/>
    <w:rsid w:val="00E371EC"/>
    <w:rsid w:val="00E3775F"/>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1EC7"/>
    <w:rsid w:val="00E8308B"/>
    <w:rsid w:val="00E83125"/>
    <w:rsid w:val="00E83F26"/>
    <w:rsid w:val="00E86A13"/>
    <w:rsid w:val="00E86CA7"/>
    <w:rsid w:val="00E903FD"/>
    <w:rsid w:val="00EA1F89"/>
    <w:rsid w:val="00EA5BCC"/>
    <w:rsid w:val="00EB117B"/>
    <w:rsid w:val="00EB15E0"/>
    <w:rsid w:val="00EB225A"/>
    <w:rsid w:val="00EB22C3"/>
    <w:rsid w:val="00EB39C0"/>
    <w:rsid w:val="00EB40D6"/>
    <w:rsid w:val="00EB5F75"/>
    <w:rsid w:val="00EB6DD4"/>
    <w:rsid w:val="00EB79CD"/>
    <w:rsid w:val="00EB7F18"/>
    <w:rsid w:val="00EC305D"/>
    <w:rsid w:val="00EC3BF2"/>
    <w:rsid w:val="00EC3C36"/>
    <w:rsid w:val="00ED5253"/>
    <w:rsid w:val="00ED6131"/>
    <w:rsid w:val="00EE0578"/>
    <w:rsid w:val="00EE0F2E"/>
    <w:rsid w:val="00EE1454"/>
    <w:rsid w:val="00EE2A41"/>
    <w:rsid w:val="00EE2C8C"/>
    <w:rsid w:val="00EE3054"/>
    <w:rsid w:val="00EE3257"/>
    <w:rsid w:val="00EE575D"/>
    <w:rsid w:val="00EE5F8D"/>
    <w:rsid w:val="00EF09FB"/>
    <w:rsid w:val="00EF1DF0"/>
    <w:rsid w:val="00EF2004"/>
    <w:rsid w:val="00EF22EE"/>
    <w:rsid w:val="00EF5956"/>
    <w:rsid w:val="00F02923"/>
    <w:rsid w:val="00F02B2C"/>
    <w:rsid w:val="00F0351B"/>
    <w:rsid w:val="00F04E34"/>
    <w:rsid w:val="00F06472"/>
    <w:rsid w:val="00F06F04"/>
    <w:rsid w:val="00F0721E"/>
    <w:rsid w:val="00F0754E"/>
    <w:rsid w:val="00F110DB"/>
    <w:rsid w:val="00F13693"/>
    <w:rsid w:val="00F16026"/>
    <w:rsid w:val="00F20258"/>
    <w:rsid w:val="00F22566"/>
    <w:rsid w:val="00F22963"/>
    <w:rsid w:val="00F25D50"/>
    <w:rsid w:val="00F2654F"/>
    <w:rsid w:val="00F37959"/>
    <w:rsid w:val="00F37993"/>
    <w:rsid w:val="00F403EA"/>
    <w:rsid w:val="00F42753"/>
    <w:rsid w:val="00F4623D"/>
    <w:rsid w:val="00F47DEC"/>
    <w:rsid w:val="00F510DB"/>
    <w:rsid w:val="00F542DB"/>
    <w:rsid w:val="00F54525"/>
    <w:rsid w:val="00F551E7"/>
    <w:rsid w:val="00F56B30"/>
    <w:rsid w:val="00F64643"/>
    <w:rsid w:val="00F6756A"/>
    <w:rsid w:val="00F6771B"/>
    <w:rsid w:val="00F7260C"/>
    <w:rsid w:val="00F727B0"/>
    <w:rsid w:val="00F72B5D"/>
    <w:rsid w:val="00F750BE"/>
    <w:rsid w:val="00F8146D"/>
    <w:rsid w:val="00F84FFF"/>
    <w:rsid w:val="00F90A3E"/>
    <w:rsid w:val="00F90E93"/>
    <w:rsid w:val="00F91F36"/>
    <w:rsid w:val="00F946D3"/>
    <w:rsid w:val="00F94BD5"/>
    <w:rsid w:val="00F95A73"/>
    <w:rsid w:val="00F95FBD"/>
    <w:rsid w:val="00F97F52"/>
    <w:rsid w:val="00FA24CB"/>
    <w:rsid w:val="00FA2545"/>
    <w:rsid w:val="00FA5036"/>
    <w:rsid w:val="00FA5363"/>
    <w:rsid w:val="00FA6747"/>
    <w:rsid w:val="00FB1664"/>
    <w:rsid w:val="00FB18EC"/>
    <w:rsid w:val="00FB2CFE"/>
    <w:rsid w:val="00FB4AAD"/>
    <w:rsid w:val="00FB4E3D"/>
    <w:rsid w:val="00FB5348"/>
    <w:rsid w:val="00FB5F2A"/>
    <w:rsid w:val="00FB6049"/>
    <w:rsid w:val="00FC02ED"/>
    <w:rsid w:val="00FC1036"/>
    <w:rsid w:val="00FC3FCE"/>
    <w:rsid w:val="00FC4E89"/>
    <w:rsid w:val="00FC4F9B"/>
    <w:rsid w:val="00FC59F0"/>
    <w:rsid w:val="00FC5E56"/>
    <w:rsid w:val="00FD2899"/>
    <w:rsid w:val="00FD4599"/>
    <w:rsid w:val="00FD4784"/>
    <w:rsid w:val="00FD52B3"/>
    <w:rsid w:val="00FD65FE"/>
    <w:rsid w:val="00FD68C0"/>
    <w:rsid w:val="00FD6B1B"/>
    <w:rsid w:val="00FE3D5E"/>
    <w:rsid w:val="00FE4640"/>
    <w:rsid w:val="00FE75AC"/>
    <w:rsid w:val="00FF54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pulhuac.edomex.gob.mx/resena-histori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pulhuac.edomex.gob.mx/resena-histori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79518-D2CA-4910-8ACE-897BE53F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37</Pages>
  <Words>7511</Words>
  <Characters>41311</Characters>
  <Application>Microsoft Office Word</Application>
  <DocSecurity>0</DocSecurity>
  <Lines>344</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22</cp:revision>
  <cp:lastPrinted>2025-11-27T16:07:00Z</cp:lastPrinted>
  <dcterms:created xsi:type="dcterms:W3CDTF">2025-10-13T19:56:00Z</dcterms:created>
  <dcterms:modified xsi:type="dcterms:W3CDTF">2026-01-13T20:49:00Z</dcterms:modified>
</cp:coreProperties>
</file>