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C4D2" w14:textId="77777777" w:rsidR="00253B74" w:rsidRDefault="00253B74" w:rsidP="00910E6B">
      <w:pPr>
        <w:tabs>
          <w:tab w:val="left" w:pos="8931"/>
        </w:tabs>
        <w:spacing w:after="0" w:line="360" w:lineRule="auto"/>
      </w:pPr>
    </w:p>
    <w:p w14:paraId="22489318" w14:textId="55BFB73B" w:rsidR="00253B74" w:rsidRPr="00B13D8B" w:rsidRDefault="00B76585" w:rsidP="00CB56D6">
      <w:pPr>
        <w:keepNext/>
        <w:keepLines/>
        <w:pBdr>
          <w:top w:val="nil"/>
          <w:left w:val="nil"/>
          <w:bottom w:val="nil"/>
          <w:right w:val="nil"/>
          <w:between w:val="nil"/>
        </w:pBdr>
        <w:spacing w:after="0"/>
        <w:jc w:val="center"/>
        <w:rPr>
          <w:rFonts w:ascii="Calibri" w:eastAsia="Calibri" w:hAnsi="Calibri" w:cs="Calibri"/>
          <w:color w:val="2F5496"/>
          <w:sz w:val="32"/>
          <w:szCs w:val="32"/>
        </w:rPr>
      </w:pPr>
      <w:r w:rsidRPr="00B13D8B">
        <w:rPr>
          <w:color w:val="000000"/>
        </w:rPr>
        <w:t xml:space="preserve">RESOLUCIÓN DEL RECURSO DE REVISIÓN </w:t>
      </w:r>
      <w:r w:rsidR="007D1ECF" w:rsidRPr="00B13D8B">
        <w:t xml:space="preserve">01981/INFOEM/IP/RR/2025 </w:t>
      </w:r>
    </w:p>
    <w:sdt>
      <w:sdtPr>
        <w:rPr>
          <w:rFonts w:ascii="Palatino Linotype" w:eastAsia="Palatino Linotype" w:hAnsi="Palatino Linotype" w:cs="Palatino Linotype"/>
          <w:color w:val="000000" w:themeColor="text1"/>
          <w:sz w:val="22"/>
          <w:szCs w:val="22"/>
          <w:lang w:val="es-ES"/>
        </w:rPr>
        <w:id w:val="-1418392059"/>
        <w:docPartObj>
          <w:docPartGallery w:val="Table of Contents"/>
          <w:docPartUnique/>
        </w:docPartObj>
      </w:sdtPr>
      <w:sdtEndPr>
        <w:rPr>
          <w:b/>
          <w:bCs/>
        </w:rPr>
      </w:sdtEndPr>
      <w:sdtContent>
        <w:p w14:paraId="1FC55F09" w14:textId="2BE6F113" w:rsidR="00CB56D6" w:rsidRPr="00B13D8B" w:rsidRDefault="00CB56D6">
          <w:pPr>
            <w:pStyle w:val="TtulodeTDC"/>
            <w:rPr>
              <w:rFonts w:ascii="Palatino Linotype" w:hAnsi="Palatino Linotype"/>
              <w:color w:val="auto"/>
              <w:sz w:val="22"/>
              <w:szCs w:val="22"/>
            </w:rPr>
          </w:pPr>
          <w:r w:rsidRPr="00B13D8B">
            <w:rPr>
              <w:rFonts w:ascii="Palatino Linotype" w:hAnsi="Palatino Linotype"/>
              <w:color w:val="auto"/>
              <w:sz w:val="22"/>
              <w:szCs w:val="22"/>
              <w:lang w:val="es-ES"/>
            </w:rPr>
            <w:t>Contenido</w:t>
          </w:r>
        </w:p>
        <w:p w14:paraId="6484704A" w14:textId="77777777" w:rsidR="00B13D8B" w:rsidRPr="00B13D8B" w:rsidRDefault="00CB56D6">
          <w:pPr>
            <w:pStyle w:val="TDC1"/>
            <w:tabs>
              <w:tab w:val="right" w:leader="dot" w:pos="8921"/>
            </w:tabs>
            <w:rPr>
              <w:rFonts w:eastAsiaTheme="minorEastAsia" w:cstheme="minorBidi"/>
              <w:noProof/>
              <w:color w:val="auto"/>
            </w:rPr>
          </w:pPr>
          <w:r w:rsidRPr="00B13D8B">
            <w:rPr>
              <w:color w:val="auto"/>
            </w:rPr>
            <w:fldChar w:fldCharType="begin"/>
          </w:r>
          <w:r w:rsidRPr="00B13D8B">
            <w:rPr>
              <w:color w:val="auto"/>
            </w:rPr>
            <w:instrText xml:space="preserve"> TOC \o "1-3" \h \z \u </w:instrText>
          </w:r>
          <w:r w:rsidRPr="00B13D8B">
            <w:rPr>
              <w:color w:val="auto"/>
            </w:rPr>
            <w:fldChar w:fldCharType="separate"/>
          </w:r>
          <w:hyperlink w:anchor="_Toc193985519" w:history="1">
            <w:r w:rsidR="00B13D8B" w:rsidRPr="00B13D8B">
              <w:rPr>
                <w:rStyle w:val="Hipervnculo"/>
                <w:noProof/>
                <w:color w:val="auto"/>
              </w:rPr>
              <w:t>A N T E C E D E N T E S</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_Toc193985519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2</w:t>
            </w:r>
            <w:r w:rsidR="00B13D8B" w:rsidRPr="00B13D8B">
              <w:rPr>
                <w:noProof/>
                <w:webHidden/>
                <w:color w:val="auto"/>
              </w:rPr>
              <w:fldChar w:fldCharType="end"/>
            </w:r>
          </w:hyperlink>
        </w:p>
        <w:p w14:paraId="47D4A870" w14:textId="77777777" w:rsidR="00B13D8B" w:rsidRPr="00B13D8B" w:rsidRDefault="00FF2E74">
          <w:pPr>
            <w:pStyle w:val="TDC2"/>
            <w:tabs>
              <w:tab w:val="right" w:leader="dot" w:pos="8921"/>
            </w:tabs>
            <w:rPr>
              <w:rFonts w:eastAsiaTheme="minorEastAsia" w:cstheme="minorBidi"/>
              <w:noProof/>
              <w:color w:val="auto"/>
            </w:rPr>
          </w:pPr>
          <w:hyperlink w:anchor="_Toc193985520" w:history="1">
            <w:r w:rsidR="00B13D8B" w:rsidRPr="00B13D8B">
              <w:rPr>
                <w:rStyle w:val="Hipervnculo"/>
                <w:noProof/>
                <w:color w:val="auto"/>
              </w:rPr>
              <w:t>I. Presentación de la solicitud de información</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_Toc193985520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2</w:t>
            </w:r>
            <w:r w:rsidR="00B13D8B" w:rsidRPr="00B13D8B">
              <w:rPr>
                <w:noProof/>
                <w:webHidden/>
                <w:color w:val="auto"/>
              </w:rPr>
              <w:fldChar w:fldCharType="end"/>
            </w:r>
          </w:hyperlink>
        </w:p>
        <w:p w14:paraId="444EBD8F" w14:textId="77777777" w:rsidR="00B13D8B" w:rsidRPr="00B13D8B" w:rsidRDefault="00FF2E74">
          <w:pPr>
            <w:pStyle w:val="TDC2"/>
            <w:tabs>
              <w:tab w:val="right" w:leader="dot" w:pos="8921"/>
            </w:tabs>
            <w:rPr>
              <w:rFonts w:eastAsiaTheme="minorEastAsia" w:cstheme="minorBidi"/>
              <w:noProof/>
              <w:color w:val="auto"/>
            </w:rPr>
          </w:pPr>
          <w:hyperlink w:anchor="_Toc193985521" w:history="1">
            <w:r w:rsidR="00B13D8B" w:rsidRPr="00B13D8B">
              <w:rPr>
                <w:rStyle w:val="Hipervnculo"/>
                <w:noProof/>
                <w:color w:val="auto"/>
              </w:rPr>
              <w:t>II. Respuesta del Sujeto Obligado</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_Toc193985521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3</w:t>
            </w:r>
            <w:r w:rsidR="00B13D8B" w:rsidRPr="00B13D8B">
              <w:rPr>
                <w:noProof/>
                <w:webHidden/>
                <w:color w:val="auto"/>
              </w:rPr>
              <w:fldChar w:fldCharType="end"/>
            </w:r>
          </w:hyperlink>
        </w:p>
        <w:p w14:paraId="1BCAEDDE" w14:textId="77777777" w:rsidR="00B13D8B" w:rsidRPr="00B13D8B" w:rsidRDefault="00FF2E74">
          <w:pPr>
            <w:pStyle w:val="TDC2"/>
            <w:tabs>
              <w:tab w:val="right" w:leader="dot" w:pos="8921"/>
            </w:tabs>
            <w:rPr>
              <w:rFonts w:eastAsiaTheme="minorEastAsia" w:cstheme="minorBidi"/>
              <w:noProof/>
              <w:color w:val="auto"/>
            </w:rPr>
          </w:pPr>
          <w:hyperlink w:anchor="_Toc193985522" w:history="1">
            <w:r w:rsidR="00B13D8B" w:rsidRPr="00B13D8B">
              <w:rPr>
                <w:rStyle w:val="Hipervnculo"/>
                <w:noProof/>
                <w:color w:val="auto"/>
              </w:rPr>
              <w:t>III. Interposición del Recurso de Revisión</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_Toc193985522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3</w:t>
            </w:r>
            <w:r w:rsidR="00B13D8B" w:rsidRPr="00B13D8B">
              <w:rPr>
                <w:noProof/>
                <w:webHidden/>
                <w:color w:val="auto"/>
              </w:rPr>
              <w:fldChar w:fldCharType="end"/>
            </w:r>
          </w:hyperlink>
        </w:p>
        <w:p w14:paraId="53142C19" w14:textId="77777777" w:rsidR="00B13D8B" w:rsidRPr="00B13D8B" w:rsidRDefault="00FF2E74">
          <w:pPr>
            <w:pStyle w:val="TDC2"/>
            <w:tabs>
              <w:tab w:val="right" w:leader="dot" w:pos="8921"/>
            </w:tabs>
            <w:rPr>
              <w:rFonts w:eastAsiaTheme="minorEastAsia" w:cstheme="minorBidi"/>
              <w:noProof/>
              <w:color w:val="auto"/>
            </w:rPr>
          </w:pPr>
          <w:hyperlink w:anchor="_Toc193985523" w:history="1">
            <w:r w:rsidR="00B13D8B" w:rsidRPr="00B13D8B">
              <w:rPr>
                <w:rStyle w:val="Hipervnculo"/>
                <w:noProof/>
                <w:color w:val="auto"/>
              </w:rPr>
              <w:t>IV. Trámite del Recurso de Revisión ante este Instituto</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_Toc193985523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4</w:t>
            </w:r>
            <w:r w:rsidR="00B13D8B" w:rsidRPr="00B13D8B">
              <w:rPr>
                <w:noProof/>
                <w:webHidden/>
                <w:color w:val="auto"/>
              </w:rPr>
              <w:fldChar w:fldCharType="end"/>
            </w:r>
          </w:hyperlink>
        </w:p>
        <w:p w14:paraId="47EC9BBD" w14:textId="77777777" w:rsidR="00B13D8B" w:rsidRPr="00B13D8B" w:rsidRDefault="00FF2E74">
          <w:pPr>
            <w:pStyle w:val="TDC1"/>
            <w:tabs>
              <w:tab w:val="right" w:leader="dot" w:pos="8921"/>
            </w:tabs>
            <w:rPr>
              <w:rFonts w:eastAsiaTheme="minorEastAsia" w:cstheme="minorBidi"/>
              <w:noProof/>
              <w:color w:val="auto"/>
            </w:rPr>
          </w:pPr>
          <w:hyperlink w:anchor="_Toc193985524" w:history="1">
            <w:r w:rsidR="00B13D8B" w:rsidRPr="00B13D8B">
              <w:rPr>
                <w:rStyle w:val="Hipervnculo"/>
                <w:noProof/>
                <w:color w:val="auto"/>
              </w:rPr>
              <w:t>C O N S I D E R A N D O S</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_Toc193985524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6</w:t>
            </w:r>
            <w:r w:rsidR="00B13D8B" w:rsidRPr="00B13D8B">
              <w:rPr>
                <w:noProof/>
                <w:webHidden/>
                <w:color w:val="auto"/>
              </w:rPr>
              <w:fldChar w:fldCharType="end"/>
            </w:r>
          </w:hyperlink>
        </w:p>
        <w:p w14:paraId="5B1F87A3" w14:textId="77777777" w:rsidR="00B13D8B" w:rsidRPr="00B13D8B" w:rsidRDefault="00FF2E74">
          <w:pPr>
            <w:pStyle w:val="TDC2"/>
            <w:tabs>
              <w:tab w:val="right" w:leader="dot" w:pos="8921"/>
            </w:tabs>
            <w:rPr>
              <w:rFonts w:eastAsiaTheme="minorEastAsia" w:cstheme="minorBidi"/>
              <w:noProof/>
              <w:color w:val="auto"/>
            </w:rPr>
          </w:pPr>
          <w:hyperlink w:anchor="_Toc193985525" w:history="1">
            <w:r w:rsidR="00B13D8B" w:rsidRPr="00B13D8B">
              <w:rPr>
                <w:rStyle w:val="Hipervnculo"/>
                <w:noProof/>
                <w:color w:val="auto"/>
              </w:rPr>
              <w:t>PRIMERO. Competencia</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_Toc193985525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6</w:t>
            </w:r>
            <w:r w:rsidR="00B13D8B" w:rsidRPr="00B13D8B">
              <w:rPr>
                <w:noProof/>
                <w:webHidden/>
                <w:color w:val="auto"/>
              </w:rPr>
              <w:fldChar w:fldCharType="end"/>
            </w:r>
          </w:hyperlink>
        </w:p>
        <w:p w14:paraId="63A35A38" w14:textId="77777777" w:rsidR="00B13D8B" w:rsidRPr="00B13D8B" w:rsidRDefault="00FF2E74">
          <w:pPr>
            <w:pStyle w:val="TDC2"/>
            <w:tabs>
              <w:tab w:val="right" w:leader="dot" w:pos="8921"/>
            </w:tabs>
            <w:rPr>
              <w:rFonts w:eastAsiaTheme="minorEastAsia" w:cstheme="minorBidi"/>
              <w:noProof/>
              <w:color w:val="auto"/>
            </w:rPr>
          </w:pPr>
          <w:hyperlink w:anchor="_Toc193985526" w:history="1">
            <w:r w:rsidR="00B13D8B" w:rsidRPr="00B13D8B">
              <w:rPr>
                <w:rStyle w:val="Hipervnculo"/>
                <w:noProof/>
                <w:color w:val="auto"/>
              </w:rPr>
              <w:t>SEGUNDO. Causales de improcedencia y Sobreseimiento</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_Toc193985526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6</w:t>
            </w:r>
            <w:r w:rsidR="00B13D8B" w:rsidRPr="00B13D8B">
              <w:rPr>
                <w:noProof/>
                <w:webHidden/>
                <w:color w:val="auto"/>
              </w:rPr>
              <w:fldChar w:fldCharType="end"/>
            </w:r>
          </w:hyperlink>
        </w:p>
        <w:p w14:paraId="0CC906AA" w14:textId="77777777" w:rsidR="00B13D8B" w:rsidRPr="00B13D8B" w:rsidRDefault="00FF2E74">
          <w:pPr>
            <w:pStyle w:val="TDC3"/>
            <w:tabs>
              <w:tab w:val="right" w:leader="dot" w:pos="8921"/>
            </w:tabs>
            <w:rPr>
              <w:rFonts w:eastAsiaTheme="minorEastAsia" w:cstheme="minorBidi"/>
              <w:noProof/>
              <w:color w:val="auto"/>
            </w:rPr>
          </w:pPr>
          <w:hyperlink w:anchor="_Toc193985527" w:history="1">
            <w:r w:rsidR="00B13D8B" w:rsidRPr="00B13D8B">
              <w:rPr>
                <w:rStyle w:val="Hipervnculo"/>
                <w:noProof/>
                <w:color w:val="auto"/>
              </w:rPr>
              <w:t>Causales de improcedencia</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_Toc193985527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6</w:t>
            </w:r>
            <w:r w:rsidR="00B13D8B" w:rsidRPr="00B13D8B">
              <w:rPr>
                <w:noProof/>
                <w:webHidden/>
                <w:color w:val="auto"/>
              </w:rPr>
              <w:fldChar w:fldCharType="end"/>
            </w:r>
          </w:hyperlink>
        </w:p>
        <w:p w14:paraId="171165F3" w14:textId="77777777" w:rsidR="00B13D8B" w:rsidRPr="00B13D8B" w:rsidRDefault="00FF2E74">
          <w:pPr>
            <w:pStyle w:val="TDC3"/>
            <w:tabs>
              <w:tab w:val="right" w:leader="dot" w:pos="8921"/>
            </w:tabs>
            <w:rPr>
              <w:rFonts w:eastAsiaTheme="minorEastAsia" w:cstheme="minorBidi"/>
              <w:noProof/>
              <w:color w:val="auto"/>
            </w:rPr>
          </w:pPr>
          <w:hyperlink w:anchor="_Toc193985528" w:history="1">
            <w:r w:rsidR="00B13D8B" w:rsidRPr="00B13D8B">
              <w:rPr>
                <w:rStyle w:val="Hipervnculo"/>
                <w:noProof/>
                <w:color w:val="auto"/>
              </w:rPr>
              <w:t>Causales de sobreseimiento</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_Toc193985528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7</w:t>
            </w:r>
            <w:r w:rsidR="00B13D8B" w:rsidRPr="00B13D8B">
              <w:rPr>
                <w:noProof/>
                <w:webHidden/>
                <w:color w:val="auto"/>
              </w:rPr>
              <w:fldChar w:fldCharType="end"/>
            </w:r>
          </w:hyperlink>
        </w:p>
        <w:p w14:paraId="1180EBFA" w14:textId="77777777" w:rsidR="00B13D8B" w:rsidRPr="00B13D8B" w:rsidRDefault="00FF2E74">
          <w:pPr>
            <w:pStyle w:val="TDC2"/>
            <w:tabs>
              <w:tab w:val="right" w:leader="dot" w:pos="8921"/>
            </w:tabs>
            <w:rPr>
              <w:rFonts w:eastAsiaTheme="minorEastAsia" w:cstheme="minorBidi"/>
              <w:noProof/>
              <w:color w:val="auto"/>
            </w:rPr>
          </w:pPr>
          <w:hyperlink w:anchor="_Toc193985529" w:history="1">
            <w:r w:rsidR="00B13D8B" w:rsidRPr="00B13D8B">
              <w:rPr>
                <w:rStyle w:val="Hipervnculo"/>
                <w:noProof/>
                <w:color w:val="auto"/>
              </w:rPr>
              <w:t>TERCERO. Determinación de la Controversia</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_Toc193985529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8</w:t>
            </w:r>
            <w:r w:rsidR="00B13D8B" w:rsidRPr="00B13D8B">
              <w:rPr>
                <w:noProof/>
                <w:webHidden/>
                <w:color w:val="auto"/>
              </w:rPr>
              <w:fldChar w:fldCharType="end"/>
            </w:r>
          </w:hyperlink>
        </w:p>
        <w:p w14:paraId="19E9A15A" w14:textId="77777777" w:rsidR="00B13D8B" w:rsidRPr="00B13D8B" w:rsidRDefault="00FF2E74">
          <w:pPr>
            <w:pStyle w:val="TDC2"/>
            <w:tabs>
              <w:tab w:val="right" w:leader="dot" w:pos="8921"/>
            </w:tabs>
            <w:rPr>
              <w:rFonts w:eastAsiaTheme="minorEastAsia" w:cstheme="minorBidi"/>
              <w:noProof/>
              <w:color w:val="auto"/>
            </w:rPr>
          </w:pPr>
          <w:hyperlink w:anchor="_Toc193985530" w:history="1">
            <w:r w:rsidR="00B13D8B" w:rsidRPr="00B13D8B">
              <w:rPr>
                <w:rStyle w:val="Hipervnculo"/>
                <w:noProof/>
                <w:color w:val="auto"/>
              </w:rPr>
              <w:t>CUARTO. Marco normativo aplicable en materia de transparencia y acceso a la información pública</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_Toc193985530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9</w:t>
            </w:r>
            <w:r w:rsidR="00B13D8B" w:rsidRPr="00B13D8B">
              <w:rPr>
                <w:noProof/>
                <w:webHidden/>
                <w:color w:val="auto"/>
              </w:rPr>
              <w:fldChar w:fldCharType="end"/>
            </w:r>
          </w:hyperlink>
        </w:p>
        <w:p w14:paraId="32DFB0C5" w14:textId="77777777" w:rsidR="00B13D8B" w:rsidRPr="00B13D8B" w:rsidRDefault="00FF2E74">
          <w:pPr>
            <w:pStyle w:val="TDC2"/>
            <w:tabs>
              <w:tab w:val="right" w:leader="dot" w:pos="8921"/>
            </w:tabs>
            <w:rPr>
              <w:rFonts w:eastAsiaTheme="minorEastAsia" w:cstheme="minorBidi"/>
              <w:noProof/>
              <w:color w:val="auto"/>
            </w:rPr>
          </w:pPr>
          <w:hyperlink w:anchor="_Toc193985531" w:history="1">
            <w:r w:rsidR="00B13D8B" w:rsidRPr="00B13D8B">
              <w:rPr>
                <w:rStyle w:val="Hipervnculo"/>
                <w:noProof/>
                <w:color w:val="auto"/>
              </w:rPr>
              <w:t>QUINTO. Estudio de Fondo</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_Toc193985531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10</w:t>
            </w:r>
            <w:r w:rsidR="00B13D8B" w:rsidRPr="00B13D8B">
              <w:rPr>
                <w:noProof/>
                <w:webHidden/>
                <w:color w:val="auto"/>
              </w:rPr>
              <w:fldChar w:fldCharType="end"/>
            </w:r>
          </w:hyperlink>
        </w:p>
        <w:p w14:paraId="4A8D3C73" w14:textId="77777777" w:rsidR="00B13D8B" w:rsidRPr="00B13D8B" w:rsidRDefault="00FF2E74">
          <w:pPr>
            <w:pStyle w:val="TDC2"/>
            <w:tabs>
              <w:tab w:val="right" w:leader="dot" w:pos="8921"/>
            </w:tabs>
            <w:rPr>
              <w:rFonts w:eastAsiaTheme="minorEastAsia" w:cstheme="minorBidi"/>
              <w:noProof/>
              <w:color w:val="auto"/>
            </w:rPr>
          </w:pPr>
          <w:hyperlink w:anchor="_Toc193985532" w:history="1">
            <w:r w:rsidR="00B13D8B" w:rsidRPr="00B13D8B">
              <w:rPr>
                <w:rStyle w:val="Hipervnculo"/>
                <w:bCs/>
                <w:noProof/>
                <w:color w:val="auto"/>
              </w:rPr>
              <w:t>SEXTO. Decisión</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_Toc193985532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18</w:t>
            </w:r>
            <w:r w:rsidR="00B13D8B" w:rsidRPr="00B13D8B">
              <w:rPr>
                <w:noProof/>
                <w:webHidden/>
                <w:color w:val="auto"/>
              </w:rPr>
              <w:fldChar w:fldCharType="end"/>
            </w:r>
          </w:hyperlink>
        </w:p>
        <w:p w14:paraId="2754DB2D" w14:textId="77777777" w:rsidR="00B13D8B" w:rsidRPr="00B13D8B" w:rsidRDefault="00FF2E74">
          <w:pPr>
            <w:pStyle w:val="TDC1"/>
            <w:tabs>
              <w:tab w:val="right" w:leader="dot" w:pos="8921"/>
            </w:tabs>
            <w:rPr>
              <w:rFonts w:eastAsiaTheme="minorEastAsia" w:cstheme="minorBidi"/>
              <w:noProof/>
              <w:color w:val="auto"/>
            </w:rPr>
          </w:pPr>
          <w:hyperlink w:anchor="_Toc193985533" w:history="1">
            <w:r w:rsidR="00B13D8B" w:rsidRPr="00B13D8B">
              <w:rPr>
                <w:rStyle w:val="Hipervnculo"/>
                <w:noProof/>
                <w:color w:val="auto"/>
              </w:rPr>
              <w:t>R E S U E L V E</w:t>
            </w:r>
            <w:r w:rsidR="00B13D8B" w:rsidRPr="00B13D8B">
              <w:rPr>
                <w:noProof/>
                <w:webHidden/>
                <w:color w:val="auto"/>
              </w:rPr>
              <w:tab/>
            </w:r>
            <w:r w:rsidR="00B13D8B" w:rsidRPr="00B13D8B">
              <w:rPr>
                <w:noProof/>
                <w:webHidden/>
                <w:color w:val="auto"/>
              </w:rPr>
              <w:fldChar w:fldCharType="begin"/>
            </w:r>
            <w:r w:rsidR="00B13D8B" w:rsidRPr="00B13D8B">
              <w:rPr>
                <w:noProof/>
                <w:webHidden/>
                <w:color w:val="auto"/>
              </w:rPr>
              <w:instrText xml:space="preserve"> PAGEREF _Toc193985533 \h </w:instrText>
            </w:r>
            <w:r w:rsidR="00B13D8B" w:rsidRPr="00B13D8B">
              <w:rPr>
                <w:noProof/>
                <w:webHidden/>
                <w:color w:val="auto"/>
              </w:rPr>
            </w:r>
            <w:r w:rsidR="00B13D8B" w:rsidRPr="00B13D8B">
              <w:rPr>
                <w:noProof/>
                <w:webHidden/>
                <w:color w:val="auto"/>
              </w:rPr>
              <w:fldChar w:fldCharType="separate"/>
            </w:r>
            <w:r w:rsidR="00D600E9">
              <w:rPr>
                <w:noProof/>
                <w:webHidden/>
                <w:color w:val="auto"/>
              </w:rPr>
              <w:t>19</w:t>
            </w:r>
            <w:r w:rsidR="00B13D8B" w:rsidRPr="00B13D8B">
              <w:rPr>
                <w:noProof/>
                <w:webHidden/>
                <w:color w:val="auto"/>
              </w:rPr>
              <w:fldChar w:fldCharType="end"/>
            </w:r>
          </w:hyperlink>
        </w:p>
        <w:p w14:paraId="71DB9271" w14:textId="645855F8" w:rsidR="00CB56D6" w:rsidRPr="00B13D8B" w:rsidRDefault="00CB56D6">
          <w:r w:rsidRPr="00B13D8B">
            <w:rPr>
              <w:bCs/>
              <w:color w:val="auto"/>
              <w:lang w:val="es-ES"/>
            </w:rPr>
            <w:fldChar w:fldCharType="end"/>
          </w:r>
        </w:p>
      </w:sdtContent>
    </w:sdt>
    <w:p w14:paraId="7DF0AA62" w14:textId="77777777" w:rsidR="00253B74" w:rsidRPr="00B13D8B" w:rsidRDefault="00253B74" w:rsidP="00910E6B">
      <w:pPr>
        <w:tabs>
          <w:tab w:val="left" w:pos="8931"/>
        </w:tabs>
        <w:spacing w:after="0" w:line="360" w:lineRule="auto"/>
      </w:pPr>
    </w:p>
    <w:p w14:paraId="1F7CC400" w14:textId="77777777" w:rsidR="00DC76EF" w:rsidRPr="00B13D8B" w:rsidRDefault="00DC76EF" w:rsidP="00910E6B">
      <w:pPr>
        <w:tabs>
          <w:tab w:val="left" w:pos="8931"/>
        </w:tabs>
        <w:spacing w:after="0" w:line="360" w:lineRule="auto"/>
      </w:pPr>
    </w:p>
    <w:p w14:paraId="1077E71B" w14:textId="77777777" w:rsidR="00DC76EF" w:rsidRPr="00B13D8B" w:rsidRDefault="00DC76EF" w:rsidP="00910E6B">
      <w:pPr>
        <w:tabs>
          <w:tab w:val="left" w:pos="8931"/>
        </w:tabs>
        <w:spacing w:after="0" w:line="360" w:lineRule="auto"/>
      </w:pPr>
    </w:p>
    <w:p w14:paraId="62E9A5A3" w14:textId="77777777" w:rsidR="00DC76EF" w:rsidRPr="00B13D8B" w:rsidRDefault="00DC76EF" w:rsidP="00910E6B">
      <w:pPr>
        <w:tabs>
          <w:tab w:val="left" w:pos="8931"/>
        </w:tabs>
        <w:spacing w:after="0" w:line="360" w:lineRule="auto"/>
      </w:pPr>
    </w:p>
    <w:p w14:paraId="14C57A33" w14:textId="0ADF52A8" w:rsidR="00253B74" w:rsidRPr="00B13D8B" w:rsidRDefault="00B76585" w:rsidP="00910E6B">
      <w:pPr>
        <w:tabs>
          <w:tab w:val="left" w:pos="8931"/>
        </w:tabs>
        <w:spacing w:after="0" w:line="360" w:lineRule="auto"/>
      </w:pPr>
      <w:r w:rsidRPr="00B13D8B">
        <w:lastRenderedPageBreak/>
        <w:t xml:space="preserve">Resolución del Pleno del Instituto de Transparencia, Acceso a la Información Pública y Protección de Datos Personales del Estado de México y Municipios, con domicilio en Metepec, Estado de México, de fecha </w:t>
      </w:r>
      <w:r w:rsidR="00DC76EF" w:rsidRPr="00B13D8B">
        <w:t>veintiséis de marzo de dos mil veinticinco.</w:t>
      </w:r>
    </w:p>
    <w:p w14:paraId="76EDAF18" w14:textId="77777777" w:rsidR="00253B74" w:rsidRPr="00B13D8B" w:rsidRDefault="00253B74" w:rsidP="00910E6B">
      <w:pPr>
        <w:spacing w:after="0" w:line="360" w:lineRule="auto"/>
        <w:rPr>
          <w:b/>
        </w:rPr>
      </w:pPr>
    </w:p>
    <w:p w14:paraId="1763313E" w14:textId="116BEB3A" w:rsidR="00253B74" w:rsidRPr="00B13D8B" w:rsidRDefault="00B76585" w:rsidP="00910E6B">
      <w:pPr>
        <w:spacing w:after="0" w:line="360" w:lineRule="auto"/>
      </w:pPr>
      <w:r w:rsidRPr="00B13D8B">
        <w:rPr>
          <w:b/>
        </w:rPr>
        <w:t xml:space="preserve">VISTO </w:t>
      </w:r>
      <w:r w:rsidRPr="00B13D8B">
        <w:t xml:space="preserve">el expediente conformado con motivo del Recurso de Revisión </w:t>
      </w:r>
      <w:bookmarkStart w:id="0" w:name="_GoBack"/>
      <w:r w:rsidR="007D1ECF" w:rsidRPr="00B13D8B">
        <w:rPr>
          <w:b/>
        </w:rPr>
        <w:t>01981/INFOEM/IP/RR/2025</w:t>
      </w:r>
      <w:bookmarkEnd w:id="0"/>
      <w:r w:rsidRPr="00B13D8B">
        <w:t xml:space="preserve">, interpuesto por </w:t>
      </w:r>
      <w:r w:rsidR="00FF2E74" w:rsidRPr="00FF2E74">
        <w:rPr>
          <w:highlight w:val="black"/>
        </w:rPr>
        <w:t>XXXXX</w:t>
      </w:r>
      <w:r w:rsidRPr="00B13D8B">
        <w:rPr>
          <w:b/>
        </w:rPr>
        <w:t>,</w:t>
      </w:r>
      <w:r w:rsidRPr="00B13D8B">
        <w:t xml:space="preserve"> en lo sucesivo, la persona </w:t>
      </w:r>
      <w:r w:rsidRPr="00B13D8B">
        <w:rPr>
          <w:color w:val="0D0D0D"/>
        </w:rPr>
        <w:t xml:space="preserve">Recurrente o Particular, </w:t>
      </w:r>
      <w:r w:rsidR="003E535D" w:rsidRPr="00B13D8B">
        <w:t>en contra de la respuesta del Sujeto Obligado</w:t>
      </w:r>
      <w:r w:rsidRPr="00B13D8B">
        <w:rPr>
          <w:color w:val="0D0D0D"/>
        </w:rPr>
        <w:t xml:space="preserve">, </w:t>
      </w:r>
      <w:r w:rsidR="007D1ECF" w:rsidRPr="00B13D8B">
        <w:rPr>
          <w:b/>
          <w:color w:val="0D0D0D"/>
        </w:rPr>
        <w:t xml:space="preserve">Sistema Municipal para el Desarrollo Integral de la Familia de </w:t>
      </w:r>
      <w:proofErr w:type="spellStart"/>
      <w:r w:rsidR="007D1ECF" w:rsidRPr="00B13D8B">
        <w:rPr>
          <w:b/>
          <w:color w:val="0D0D0D"/>
        </w:rPr>
        <w:t>Acambay</w:t>
      </w:r>
      <w:proofErr w:type="spellEnd"/>
      <w:r w:rsidRPr="00B13D8B">
        <w:rPr>
          <w:color w:val="0D0D0D"/>
        </w:rPr>
        <w:t>, a la solicitud de acceso a la información pública</w:t>
      </w:r>
      <w:r w:rsidRPr="00B13D8B">
        <w:rPr>
          <w:b/>
          <w:color w:val="FF0000"/>
        </w:rPr>
        <w:t> </w:t>
      </w:r>
      <w:r w:rsidR="007D1ECF" w:rsidRPr="00B13D8B">
        <w:rPr>
          <w:color w:val="0D0D0D"/>
        </w:rPr>
        <w:t>00009/DIFACAMBAY/IP/2025</w:t>
      </w:r>
      <w:r w:rsidRPr="00B13D8B">
        <w:rPr>
          <w:color w:val="0D0D0D"/>
        </w:rPr>
        <w:t>, se emite la presente Resolución, con base en los Antecedentes y Considerandos que se exponen a continuación:</w:t>
      </w:r>
      <w:r w:rsidR="007D1ECF" w:rsidRPr="00B13D8B">
        <w:rPr>
          <w:color w:val="0D0D0D"/>
        </w:rPr>
        <w:t xml:space="preserve"> </w:t>
      </w:r>
      <w:r w:rsidR="00FF2E74">
        <w:rPr>
          <w:color w:val="0D0D0D"/>
        </w:rPr>
        <w:t xml:space="preserve"> </w:t>
      </w:r>
    </w:p>
    <w:p w14:paraId="5364E560" w14:textId="77777777" w:rsidR="00253B74" w:rsidRPr="00B13D8B" w:rsidRDefault="00253B74" w:rsidP="00910E6B">
      <w:pPr>
        <w:spacing w:after="0" w:line="360" w:lineRule="auto"/>
        <w:rPr>
          <w:b/>
        </w:rPr>
      </w:pPr>
    </w:p>
    <w:p w14:paraId="60C06326" w14:textId="77777777" w:rsidR="00253B74" w:rsidRPr="00B13D8B" w:rsidRDefault="00B76585" w:rsidP="00CB56D6">
      <w:pPr>
        <w:pStyle w:val="Ttulo1"/>
        <w:spacing w:before="0"/>
        <w:jc w:val="center"/>
        <w:rPr>
          <w:rFonts w:ascii="Palatino Linotype" w:eastAsia="Palatino Linotype" w:hAnsi="Palatino Linotype" w:cs="Palatino Linotype"/>
          <w:b/>
          <w:color w:val="000000"/>
          <w:sz w:val="22"/>
          <w:szCs w:val="22"/>
        </w:rPr>
      </w:pPr>
      <w:bookmarkStart w:id="1" w:name="_Toc193985519"/>
      <w:r w:rsidRPr="00B13D8B">
        <w:rPr>
          <w:rFonts w:ascii="Palatino Linotype" w:eastAsia="Palatino Linotype" w:hAnsi="Palatino Linotype" w:cs="Palatino Linotype"/>
          <w:b/>
          <w:color w:val="000000"/>
          <w:sz w:val="22"/>
          <w:szCs w:val="22"/>
        </w:rPr>
        <w:t>A N T E C E D E N T E S</w:t>
      </w:r>
      <w:bookmarkEnd w:id="1"/>
    </w:p>
    <w:p w14:paraId="4FA88963" w14:textId="77777777" w:rsidR="00253B74" w:rsidRPr="00B13D8B" w:rsidRDefault="00253B74" w:rsidP="00910E6B">
      <w:pPr>
        <w:spacing w:after="0" w:line="360" w:lineRule="auto"/>
      </w:pPr>
    </w:p>
    <w:p w14:paraId="0FAB79FA" w14:textId="77777777" w:rsidR="00253B74" w:rsidRPr="00B13D8B" w:rsidRDefault="00B76585" w:rsidP="00CB56D6">
      <w:pPr>
        <w:pStyle w:val="Ttulo2"/>
        <w:spacing w:before="0"/>
        <w:rPr>
          <w:rFonts w:ascii="Palatino Linotype" w:eastAsia="Palatino Linotype" w:hAnsi="Palatino Linotype" w:cs="Palatino Linotype"/>
          <w:b/>
          <w:color w:val="000000"/>
          <w:sz w:val="22"/>
          <w:szCs w:val="22"/>
        </w:rPr>
      </w:pPr>
      <w:bookmarkStart w:id="2" w:name="_Toc193985520"/>
      <w:r w:rsidRPr="00B13D8B">
        <w:rPr>
          <w:rFonts w:ascii="Palatino Linotype" w:eastAsia="Palatino Linotype" w:hAnsi="Palatino Linotype" w:cs="Palatino Linotype"/>
          <w:b/>
          <w:color w:val="000000"/>
          <w:sz w:val="22"/>
          <w:szCs w:val="22"/>
        </w:rPr>
        <w:t>I. Presentación de la solicitud de información</w:t>
      </w:r>
      <w:bookmarkEnd w:id="2"/>
    </w:p>
    <w:p w14:paraId="40732B96" w14:textId="77777777" w:rsidR="00253B74" w:rsidRPr="00B13D8B" w:rsidRDefault="00253B74" w:rsidP="00910E6B">
      <w:pPr>
        <w:spacing w:after="0" w:line="360" w:lineRule="auto"/>
        <w:rPr>
          <w:b/>
        </w:rPr>
      </w:pPr>
    </w:p>
    <w:p w14:paraId="1D5BE313" w14:textId="55C6D6CA" w:rsidR="00253B74" w:rsidRPr="00B13D8B" w:rsidRDefault="00B76585" w:rsidP="00910E6B">
      <w:pPr>
        <w:spacing w:after="0" w:line="360" w:lineRule="auto"/>
      </w:pPr>
      <w:r w:rsidRPr="00B13D8B">
        <w:t xml:space="preserve">El </w:t>
      </w:r>
      <w:r w:rsidR="00E6685A" w:rsidRPr="00B13D8B">
        <w:t>diecisiete</w:t>
      </w:r>
      <w:r w:rsidRPr="00B13D8B">
        <w:t xml:space="preserve"> de </w:t>
      </w:r>
      <w:r w:rsidR="00E6685A" w:rsidRPr="00B13D8B">
        <w:t>enero de dos mil veinticinco</w:t>
      </w:r>
      <w:r w:rsidRPr="00B13D8B">
        <w:t>, se presentó una solicitud de información del Particular, a través del Sistema de Acceso a la Información Mexiquense</w:t>
      </w:r>
      <w:r w:rsidR="00910E6B" w:rsidRPr="00B13D8B">
        <w:t xml:space="preserve">, en lo sucesivo el </w:t>
      </w:r>
      <w:r w:rsidRPr="00B13D8B">
        <w:t>SAIMEX, ante el</w:t>
      </w:r>
      <w:r w:rsidRPr="00B13D8B">
        <w:rPr>
          <w:color w:val="000000"/>
        </w:rPr>
        <w:t xml:space="preserve"> </w:t>
      </w:r>
      <w:r w:rsidR="00E6685A" w:rsidRPr="00B13D8B">
        <w:rPr>
          <w:color w:val="000000"/>
        </w:rPr>
        <w:t xml:space="preserve">Sistema Municipal para el Desarrollo Integral de la Familia de </w:t>
      </w:r>
      <w:proofErr w:type="spellStart"/>
      <w:r w:rsidR="00E6685A" w:rsidRPr="00B13D8B">
        <w:rPr>
          <w:color w:val="000000"/>
        </w:rPr>
        <w:t>Acambay</w:t>
      </w:r>
      <w:proofErr w:type="spellEnd"/>
      <w:r w:rsidRPr="00B13D8B">
        <w:t>, en los siguientes términos:</w:t>
      </w:r>
    </w:p>
    <w:p w14:paraId="6923119D" w14:textId="77777777" w:rsidR="00253B74" w:rsidRPr="00B13D8B" w:rsidRDefault="00253B74" w:rsidP="00910E6B">
      <w:pPr>
        <w:spacing w:after="0" w:line="360" w:lineRule="auto"/>
      </w:pPr>
    </w:p>
    <w:p w14:paraId="3173C26F" w14:textId="0419F34C" w:rsidR="008C1488" w:rsidRPr="00B13D8B" w:rsidRDefault="008C1488" w:rsidP="00910E6B">
      <w:pPr>
        <w:tabs>
          <w:tab w:val="left" w:pos="4667"/>
        </w:tabs>
        <w:spacing w:after="0" w:line="360" w:lineRule="auto"/>
        <w:ind w:left="567" w:right="567"/>
        <w:rPr>
          <w:b/>
          <w:i/>
          <w:sz w:val="20"/>
          <w:szCs w:val="20"/>
        </w:rPr>
      </w:pPr>
      <w:r w:rsidRPr="00B13D8B">
        <w:rPr>
          <w:b/>
          <w:i/>
          <w:sz w:val="20"/>
          <w:szCs w:val="20"/>
        </w:rPr>
        <w:t>00009/DIFACAMBAY/IP/2025</w:t>
      </w:r>
    </w:p>
    <w:p w14:paraId="01679958" w14:textId="482AD594" w:rsidR="00253B74" w:rsidRPr="00B13D8B" w:rsidRDefault="00B76585" w:rsidP="00910E6B">
      <w:pPr>
        <w:tabs>
          <w:tab w:val="left" w:pos="4667"/>
        </w:tabs>
        <w:spacing w:after="0" w:line="360" w:lineRule="auto"/>
        <w:ind w:left="567" w:right="567"/>
        <w:rPr>
          <w:b/>
          <w:i/>
          <w:sz w:val="20"/>
          <w:szCs w:val="20"/>
        </w:rPr>
      </w:pPr>
      <w:r w:rsidRPr="00B13D8B">
        <w:rPr>
          <w:b/>
          <w:i/>
          <w:sz w:val="20"/>
          <w:szCs w:val="20"/>
        </w:rPr>
        <w:t>DESCRIPCIÓN CLARA Y PRECISA DE LA INFORMACIÓN SOLICITADA</w:t>
      </w:r>
    </w:p>
    <w:p w14:paraId="7E726842" w14:textId="2CAEF866" w:rsidR="00253B74" w:rsidRPr="00B13D8B" w:rsidRDefault="008C1488" w:rsidP="00910E6B">
      <w:pPr>
        <w:spacing w:after="0" w:line="360" w:lineRule="auto"/>
        <w:ind w:left="567" w:right="567"/>
        <w:rPr>
          <w:i/>
          <w:sz w:val="20"/>
          <w:szCs w:val="20"/>
        </w:rPr>
      </w:pPr>
      <w:r w:rsidRPr="00B13D8B">
        <w:rPr>
          <w:i/>
          <w:sz w:val="20"/>
          <w:szCs w:val="20"/>
        </w:rPr>
        <w:t>“</w:t>
      </w:r>
      <w:r w:rsidR="00E6685A" w:rsidRPr="00B13D8B">
        <w:rPr>
          <w:i/>
          <w:sz w:val="20"/>
          <w:szCs w:val="20"/>
        </w:rPr>
        <w:t xml:space="preserve">listado de todo el personal del </w:t>
      </w:r>
      <w:proofErr w:type="spellStart"/>
      <w:proofErr w:type="gramStart"/>
      <w:r w:rsidR="00E6685A" w:rsidRPr="00B13D8B">
        <w:rPr>
          <w:i/>
          <w:sz w:val="20"/>
          <w:szCs w:val="20"/>
        </w:rPr>
        <w:t>dif</w:t>
      </w:r>
      <w:proofErr w:type="spellEnd"/>
      <w:r w:rsidR="00E6685A" w:rsidRPr="00B13D8B">
        <w:rPr>
          <w:i/>
          <w:sz w:val="20"/>
          <w:szCs w:val="20"/>
        </w:rPr>
        <w:t xml:space="preserve"> ,</w:t>
      </w:r>
      <w:proofErr w:type="gramEnd"/>
      <w:r w:rsidR="00E6685A" w:rsidRPr="00B13D8B">
        <w:rPr>
          <w:i/>
          <w:sz w:val="20"/>
          <w:szCs w:val="20"/>
        </w:rPr>
        <w:t xml:space="preserve"> nombre </w:t>
      </w:r>
      <w:proofErr w:type="spellStart"/>
      <w:r w:rsidR="00E6685A" w:rsidRPr="00B13D8B">
        <w:rPr>
          <w:i/>
          <w:sz w:val="20"/>
          <w:szCs w:val="20"/>
        </w:rPr>
        <w:t>categoia</w:t>
      </w:r>
      <w:proofErr w:type="spellEnd"/>
      <w:r w:rsidR="00E6685A" w:rsidRPr="00B13D8B">
        <w:rPr>
          <w:i/>
          <w:sz w:val="20"/>
          <w:szCs w:val="20"/>
        </w:rPr>
        <w:t xml:space="preserve"> y sueldo 2025</w:t>
      </w:r>
      <w:r w:rsidR="00B76585" w:rsidRPr="00B13D8B">
        <w:rPr>
          <w:i/>
          <w:sz w:val="20"/>
          <w:szCs w:val="20"/>
        </w:rPr>
        <w:t xml:space="preserve">” </w:t>
      </w:r>
      <w:r w:rsidR="00E6685A" w:rsidRPr="00B13D8B">
        <w:rPr>
          <w:i/>
          <w:sz w:val="20"/>
          <w:szCs w:val="20"/>
        </w:rPr>
        <w:t>(Sic.)</w:t>
      </w:r>
    </w:p>
    <w:p w14:paraId="06169B06" w14:textId="77777777" w:rsidR="00253B74" w:rsidRPr="00B13D8B" w:rsidRDefault="00253B74" w:rsidP="00910E6B">
      <w:pPr>
        <w:spacing w:after="0" w:line="360" w:lineRule="auto"/>
        <w:ind w:left="567" w:right="567"/>
        <w:rPr>
          <w:i/>
          <w:color w:val="000000"/>
          <w:sz w:val="20"/>
          <w:szCs w:val="20"/>
        </w:rPr>
      </w:pPr>
    </w:p>
    <w:p w14:paraId="20247D3B" w14:textId="6D6B2107" w:rsidR="00253B74" w:rsidRPr="00B13D8B" w:rsidRDefault="00B76585" w:rsidP="00CB56D6">
      <w:pPr>
        <w:tabs>
          <w:tab w:val="left" w:pos="4667"/>
        </w:tabs>
        <w:spacing w:after="0" w:line="360" w:lineRule="auto"/>
        <w:ind w:left="567" w:right="567"/>
        <w:rPr>
          <w:i/>
          <w:color w:val="000000"/>
          <w:sz w:val="20"/>
          <w:szCs w:val="20"/>
        </w:rPr>
      </w:pPr>
      <w:r w:rsidRPr="00B13D8B">
        <w:rPr>
          <w:b/>
          <w:i/>
          <w:color w:val="000000"/>
          <w:sz w:val="20"/>
          <w:szCs w:val="20"/>
        </w:rPr>
        <w:t>MODALIDAD DE ENTREGA</w:t>
      </w:r>
      <w:r w:rsidR="008C1488" w:rsidRPr="00B13D8B">
        <w:rPr>
          <w:i/>
          <w:color w:val="000000"/>
          <w:sz w:val="20"/>
          <w:szCs w:val="20"/>
        </w:rPr>
        <w:t xml:space="preserve"> </w:t>
      </w:r>
      <w:r w:rsidRPr="00B13D8B">
        <w:rPr>
          <w:i/>
          <w:color w:val="000000"/>
          <w:sz w:val="20"/>
          <w:szCs w:val="20"/>
        </w:rPr>
        <w:t>A través del SAIMEX</w:t>
      </w:r>
    </w:p>
    <w:p w14:paraId="32E4F9FB" w14:textId="77777777" w:rsidR="00253B74" w:rsidRPr="00B13D8B" w:rsidRDefault="00253B74" w:rsidP="00910E6B">
      <w:pPr>
        <w:tabs>
          <w:tab w:val="left" w:pos="4667"/>
        </w:tabs>
        <w:spacing w:after="0" w:line="360" w:lineRule="auto"/>
        <w:ind w:right="567"/>
        <w:rPr>
          <w:b/>
          <w:color w:val="000000"/>
        </w:rPr>
      </w:pPr>
    </w:p>
    <w:p w14:paraId="1556D8D8" w14:textId="77777777" w:rsidR="00253B74" w:rsidRPr="00B13D8B" w:rsidRDefault="00B76585" w:rsidP="00CB56D6">
      <w:pPr>
        <w:pStyle w:val="Ttulo2"/>
        <w:spacing w:before="0"/>
        <w:rPr>
          <w:rFonts w:ascii="Palatino Linotype" w:eastAsia="Palatino Linotype" w:hAnsi="Palatino Linotype" w:cs="Palatino Linotype"/>
          <w:b/>
          <w:color w:val="000000"/>
          <w:sz w:val="22"/>
          <w:szCs w:val="22"/>
        </w:rPr>
      </w:pPr>
      <w:bookmarkStart w:id="3" w:name="_Toc193985521"/>
      <w:r w:rsidRPr="00B13D8B">
        <w:rPr>
          <w:rFonts w:ascii="Palatino Linotype" w:eastAsia="Palatino Linotype" w:hAnsi="Palatino Linotype" w:cs="Palatino Linotype"/>
          <w:b/>
          <w:color w:val="000000"/>
          <w:sz w:val="22"/>
          <w:szCs w:val="22"/>
        </w:rPr>
        <w:t>II. Respuesta del Sujeto Obligado</w:t>
      </w:r>
      <w:bookmarkEnd w:id="3"/>
    </w:p>
    <w:p w14:paraId="3FC994F6" w14:textId="77777777" w:rsidR="00253B74" w:rsidRPr="00B13D8B" w:rsidRDefault="00253B74" w:rsidP="00910E6B">
      <w:pPr>
        <w:spacing w:after="0" w:line="360" w:lineRule="auto"/>
        <w:rPr>
          <w:b/>
        </w:rPr>
      </w:pPr>
    </w:p>
    <w:p w14:paraId="4FC98391" w14:textId="5C1C42ED" w:rsidR="00E6685A" w:rsidRPr="00B13D8B" w:rsidRDefault="00E6685A" w:rsidP="00910E6B">
      <w:pPr>
        <w:spacing w:after="0" w:line="360" w:lineRule="auto"/>
      </w:pPr>
      <w:r w:rsidRPr="00B13D8B">
        <w:t>Con fecha catorce de febrero de dos mil veinticinco, el</w:t>
      </w:r>
      <w:r w:rsidRPr="00B13D8B">
        <w:rPr>
          <w:b/>
        </w:rPr>
        <w:t xml:space="preserve"> </w:t>
      </w:r>
      <w:r w:rsidR="00910E6B" w:rsidRPr="00B13D8B">
        <w:t>Titular de la Unidad de Transparencia</w:t>
      </w:r>
      <w:r w:rsidRPr="00B13D8B">
        <w:t xml:space="preserve"> dio respuesta a la solicitud de acceso a la información a través del </w:t>
      </w:r>
      <w:r w:rsidR="00910E6B" w:rsidRPr="00B13D8B">
        <w:t>SAIMEX</w:t>
      </w:r>
      <w:r w:rsidRPr="00B13D8B">
        <w:t>,</w:t>
      </w:r>
      <w:r w:rsidR="009C691A" w:rsidRPr="00B13D8B">
        <w:t xml:space="preserve"> por medio del </w:t>
      </w:r>
      <w:r w:rsidR="00910E6B" w:rsidRPr="00B13D8B">
        <w:t xml:space="preserve">cual remitió el </w:t>
      </w:r>
      <w:r w:rsidR="009C691A" w:rsidRPr="00B13D8B">
        <w:t>oficio SMDIF/TES/0012/2025</w:t>
      </w:r>
      <w:r w:rsidRPr="00B13D8B">
        <w:t>,</w:t>
      </w:r>
      <w:r w:rsidR="00657C3F" w:rsidRPr="00B13D8B">
        <w:t xml:space="preserve"> suscrito por la </w:t>
      </w:r>
      <w:r w:rsidR="003E535D" w:rsidRPr="00B13D8B">
        <w:t xml:space="preserve">Titular de Administración del SMDIF </w:t>
      </w:r>
      <w:proofErr w:type="spellStart"/>
      <w:r w:rsidR="003E535D" w:rsidRPr="00B13D8B">
        <w:t>Acambay</w:t>
      </w:r>
      <w:proofErr w:type="spellEnd"/>
      <w:r w:rsidR="003E535D" w:rsidRPr="00B13D8B">
        <w:t xml:space="preserve"> de Ruiz Castañeda</w:t>
      </w:r>
      <w:r w:rsidRPr="00B13D8B">
        <w:t xml:space="preserve"> a través del cual manif</w:t>
      </w:r>
      <w:r w:rsidR="00910E6B" w:rsidRPr="00B13D8B">
        <w:t>estó</w:t>
      </w:r>
      <w:r w:rsidRPr="00B13D8B">
        <w:t xml:space="preserve"> lo siguiente:</w:t>
      </w:r>
    </w:p>
    <w:p w14:paraId="621564A2" w14:textId="77777777" w:rsidR="00910E6B" w:rsidRPr="00B13D8B" w:rsidRDefault="00910E6B" w:rsidP="00CB56D6">
      <w:pPr>
        <w:spacing w:after="0" w:line="360" w:lineRule="auto"/>
      </w:pPr>
    </w:p>
    <w:p w14:paraId="5CAE564E" w14:textId="77777777" w:rsidR="009C691A" w:rsidRPr="00B13D8B" w:rsidRDefault="009C691A" w:rsidP="00CB56D6">
      <w:pPr>
        <w:spacing w:after="0" w:line="360" w:lineRule="auto"/>
        <w:ind w:left="567" w:right="567"/>
        <w:rPr>
          <w:i/>
        </w:rPr>
      </w:pPr>
      <w:r w:rsidRPr="00B13D8B">
        <w:rPr>
          <w:i/>
        </w:rPr>
        <w:t>“…</w:t>
      </w:r>
    </w:p>
    <w:p w14:paraId="2DE653D0" w14:textId="3EBCC3EF" w:rsidR="00253B74" w:rsidRPr="00B13D8B" w:rsidRDefault="009C691A" w:rsidP="00CB56D6">
      <w:pPr>
        <w:spacing w:after="0" w:line="360" w:lineRule="auto"/>
        <w:ind w:left="567" w:right="567"/>
        <w:rPr>
          <w:i/>
        </w:rPr>
      </w:pPr>
      <w:r w:rsidRPr="00B13D8B">
        <w:rPr>
          <w:i/>
        </w:rPr>
        <w:t xml:space="preserve">Se exhibe la información que se encuentra </w:t>
      </w:r>
      <w:r w:rsidR="00B82BF9" w:rsidRPr="00B13D8B">
        <w:rPr>
          <w:i/>
        </w:rPr>
        <w:t xml:space="preserve">bajo resguardo del archivo de esta unidad administrativa presentándose la misma, al tenor de los solicitado por el recurrente y en su versión publica” </w:t>
      </w:r>
    </w:p>
    <w:p w14:paraId="6AB56AE2" w14:textId="77777777" w:rsidR="00B82BF9" w:rsidRPr="00B13D8B" w:rsidRDefault="00B82BF9" w:rsidP="00CB56D6">
      <w:pPr>
        <w:spacing w:after="0" w:line="360" w:lineRule="auto"/>
        <w:ind w:right="567"/>
        <w:rPr>
          <w:iCs/>
        </w:rPr>
      </w:pPr>
    </w:p>
    <w:p w14:paraId="4D60AAEB" w14:textId="29E08698" w:rsidR="00910E6B" w:rsidRPr="00B13D8B" w:rsidRDefault="00910E6B" w:rsidP="00CB56D6">
      <w:pPr>
        <w:spacing w:after="0" w:line="360" w:lineRule="auto"/>
        <w:ind w:right="567"/>
        <w:rPr>
          <w:iCs/>
        </w:rPr>
      </w:pPr>
      <w:r w:rsidRPr="00B13D8B">
        <w:rPr>
          <w:iCs/>
        </w:rPr>
        <w:t>Con su oficio se acompaña un documento que contiene la información de nombre categoría y sueldo bruto, además de columnas testadas con los datos de RFC, C.P. periodo de pago y el monto total del pago a los trabajadores en ese periodo.</w:t>
      </w:r>
    </w:p>
    <w:p w14:paraId="27F8C74E" w14:textId="77777777" w:rsidR="00910E6B" w:rsidRPr="00B13D8B" w:rsidRDefault="00910E6B" w:rsidP="00CB56D6">
      <w:pPr>
        <w:spacing w:after="0" w:line="360" w:lineRule="auto"/>
        <w:ind w:right="567"/>
        <w:rPr>
          <w:iCs/>
        </w:rPr>
      </w:pPr>
    </w:p>
    <w:p w14:paraId="782A0B21" w14:textId="77777777" w:rsidR="00253B74" w:rsidRPr="00B13D8B" w:rsidRDefault="00B76585" w:rsidP="00CB56D6">
      <w:pPr>
        <w:pStyle w:val="Ttulo2"/>
        <w:spacing w:before="0"/>
        <w:rPr>
          <w:rFonts w:ascii="Palatino Linotype" w:eastAsia="Palatino Linotype" w:hAnsi="Palatino Linotype" w:cs="Palatino Linotype"/>
          <w:b/>
          <w:color w:val="000000"/>
          <w:sz w:val="22"/>
          <w:szCs w:val="22"/>
        </w:rPr>
      </w:pPr>
      <w:bookmarkStart w:id="4" w:name="_Toc193985522"/>
      <w:r w:rsidRPr="00B13D8B">
        <w:rPr>
          <w:rFonts w:ascii="Palatino Linotype" w:eastAsia="Palatino Linotype" w:hAnsi="Palatino Linotype" w:cs="Palatino Linotype"/>
          <w:b/>
          <w:color w:val="000000"/>
          <w:sz w:val="22"/>
          <w:szCs w:val="22"/>
        </w:rPr>
        <w:t>III. Interposición del Recurso de Revisión</w:t>
      </w:r>
      <w:bookmarkEnd w:id="4"/>
    </w:p>
    <w:p w14:paraId="7FF9F682" w14:textId="77777777" w:rsidR="00253B74" w:rsidRPr="00B13D8B" w:rsidRDefault="00253B74" w:rsidP="00910E6B">
      <w:pPr>
        <w:spacing w:after="0" w:line="360" w:lineRule="auto"/>
        <w:rPr>
          <w:color w:val="000000"/>
        </w:rPr>
      </w:pPr>
    </w:p>
    <w:p w14:paraId="3372CD71" w14:textId="43406DD1" w:rsidR="00253B74" w:rsidRPr="00B13D8B" w:rsidRDefault="00B76585" w:rsidP="00910E6B">
      <w:pPr>
        <w:spacing w:after="0" w:line="360" w:lineRule="auto"/>
      </w:pPr>
      <w:r w:rsidRPr="00B13D8B">
        <w:rPr>
          <w:color w:val="000000"/>
        </w:rPr>
        <w:t xml:space="preserve">El </w:t>
      </w:r>
      <w:r w:rsidR="00B82BF9" w:rsidRPr="00B13D8B">
        <w:rPr>
          <w:color w:val="000000"/>
        </w:rPr>
        <w:t>veinticinco</w:t>
      </w:r>
      <w:r w:rsidRPr="00B13D8B">
        <w:rPr>
          <w:color w:val="000000"/>
        </w:rPr>
        <w:t xml:space="preserve"> de </w:t>
      </w:r>
      <w:r w:rsidR="00B82BF9" w:rsidRPr="00B13D8B">
        <w:rPr>
          <w:color w:val="000000"/>
        </w:rPr>
        <w:t>febrero</w:t>
      </w:r>
      <w:r w:rsidRPr="00B13D8B">
        <w:rPr>
          <w:color w:val="000000"/>
        </w:rPr>
        <w:t xml:space="preserve"> de dos </w:t>
      </w:r>
      <w:r w:rsidR="00B82BF9" w:rsidRPr="00B13D8B">
        <w:rPr>
          <w:color w:val="000000"/>
        </w:rPr>
        <w:t>mil veinticinco</w:t>
      </w:r>
      <w:r w:rsidRPr="00B13D8B">
        <w:rPr>
          <w:color w:val="000000"/>
        </w:rPr>
        <w:t xml:space="preserve">, se tuvo por recibido en este Instituto, a través del </w:t>
      </w:r>
      <w:r w:rsidR="00910E6B" w:rsidRPr="00B13D8B">
        <w:rPr>
          <w:color w:val="000000"/>
        </w:rPr>
        <w:t>SAIMEX</w:t>
      </w:r>
      <w:r w:rsidRPr="00B13D8B">
        <w:rPr>
          <w:color w:val="000000"/>
        </w:rPr>
        <w:t>, el Recurso de Revisión interpuesto por la persona Recurrente, en</w:t>
      </w:r>
      <w:r w:rsidR="00B82BF9" w:rsidRPr="00B13D8B">
        <w:rPr>
          <w:color w:val="000000"/>
        </w:rPr>
        <w:t xml:space="preserve"> contra de la información dada por parte</w:t>
      </w:r>
      <w:r w:rsidRPr="00B13D8B">
        <w:rPr>
          <w:color w:val="000000"/>
        </w:rPr>
        <w:t xml:space="preserve"> del Sujeto Obligado,</w:t>
      </w:r>
      <w:r w:rsidRPr="00B13D8B">
        <w:rPr>
          <w:b/>
        </w:rPr>
        <w:t xml:space="preserve"> </w:t>
      </w:r>
      <w:r w:rsidRPr="00B13D8B">
        <w:t>en los siguientes términos:</w:t>
      </w:r>
    </w:p>
    <w:p w14:paraId="56403766" w14:textId="77777777" w:rsidR="00253B74" w:rsidRPr="00B13D8B" w:rsidRDefault="00253B74" w:rsidP="00910E6B">
      <w:pPr>
        <w:spacing w:after="0" w:line="360" w:lineRule="auto"/>
        <w:ind w:left="567" w:right="567"/>
        <w:rPr>
          <w:b/>
          <w:i/>
          <w:color w:val="000000"/>
          <w:sz w:val="20"/>
          <w:szCs w:val="20"/>
        </w:rPr>
      </w:pPr>
    </w:p>
    <w:p w14:paraId="789A2B9A" w14:textId="77777777" w:rsidR="00253B74" w:rsidRPr="00B13D8B" w:rsidRDefault="00B76585" w:rsidP="00910E6B">
      <w:pPr>
        <w:spacing w:after="0" w:line="360" w:lineRule="auto"/>
        <w:ind w:left="567" w:right="567"/>
        <w:rPr>
          <w:b/>
          <w:i/>
          <w:color w:val="000000"/>
          <w:sz w:val="20"/>
          <w:szCs w:val="20"/>
        </w:rPr>
      </w:pPr>
      <w:r w:rsidRPr="00B13D8B">
        <w:rPr>
          <w:b/>
          <w:i/>
          <w:color w:val="000000"/>
          <w:sz w:val="20"/>
          <w:szCs w:val="20"/>
        </w:rPr>
        <w:t>ACTO IMPUGNADO</w:t>
      </w:r>
    </w:p>
    <w:p w14:paraId="4D87B432" w14:textId="19C1BE19" w:rsidR="00253B74" w:rsidRPr="00B13D8B" w:rsidRDefault="00B82BF9" w:rsidP="00910E6B">
      <w:pPr>
        <w:spacing w:after="0" w:line="360" w:lineRule="auto"/>
        <w:ind w:left="567" w:right="567"/>
        <w:rPr>
          <w:i/>
          <w:color w:val="000000"/>
          <w:sz w:val="20"/>
          <w:szCs w:val="20"/>
        </w:rPr>
      </w:pPr>
      <w:r w:rsidRPr="00B13D8B">
        <w:rPr>
          <w:i/>
          <w:color w:val="000000"/>
          <w:sz w:val="20"/>
          <w:szCs w:val="20"/>
        </w:rPr>
        <w:t>“NO ENTREGA LA INFOMACION Q CORRESPONDE</w:t>
      </w:r>
      <w:r w:rsidR="00B76585" w:rsidRPr="00B13D8B">
        <w:rPr>
          <w:i/>
          <w:color w:val="000000"/>
          <w:sz w:val="20"/>
          <w:szCs w:val="20"/>
        </w:rPr>
        <w:t>”</w:t>
      </w:r>
      <w:r w:rsidRPr="00B13D8B">
        <w:rPr>
          <w:i/>
          <w:color w:val="000000"/>
          <w:sz w:val="20"/>
          <w:szCs w:val="20"/>
        </w:rPr>
        <w:t xml:space="preserve"> (Sic)</w:t>
      </w:r>
      <w:r w:rsidR="00910E6B" w:rsidRPr="00B13D8B">
        <w:rPr>
          <w:i/>
          <w:color w:val="000000"/>
          <w:sz w:val="20"/>
          <w:szCs w:val="20"/>
        </w:rPr>
        <w:t>.</w:t>
      </w:r>
      <w:r w:rsidRPr="00B13D8B">
        <w:rPr>
          <w:i/>
          <w:color w:val="000000"/>
          <w:sz w:val="20"/>
          <w:szCs w:val="20"/>
        </w:rPr>
        <w:t xml:space="preserve"> </w:t>
      </w:r>
    </w:p>
    <w:p w14:paraId="6A18C8BD" w14:textId="77777777" w:rsidR="00253B74" w:rsidRPr="00B13D8B" w:rsidRDefault="00253B74" w:rsidP="00910E6B">
      <w:pPr>
        <w:spacing w:after="0" w:line="360" w:lineRule="auto"/>
        <w:ind w:right="567"/>
        <w:rPr>
          <w:i/>
          <w:color w:val="000000"/>
          <w:sz w:val="20"/>
          <w:szCs w:val="20"/>
        </w:rPr>
      </w:pPr>
    </w:p>
    <w:p w14:paraId="54195E33" w14:textId="77777777" w:rsidR="00B82BF9" w:rsidRPr="00B13D8B" w:rsidRDefault="00B82BF9" w:rsidP="00910E6B">
      <w:pPr>
        <w:spacing w:after="0" w:line="360" w:lineRule="auto"/>
        <w:ind w:left="567" w:right="567"/>
        <w:rPr>
          <w:b/>
          <w:i/>
          <w:color w:val="000000"/>
          <w:sz w:val="20"/>
          <w:szCs w:val="20"/>
        </w:rPr>
      </w:pPr>
    </w:p>
    <w:p w14:paraId="6C3FBCB7" w14:textId="77777777" w:rsidR="00B82BF9" w:rsidRPr="00B13D8B" w:rsidRDefault="00B82BF9" w:rsidP="00910E6B">
      <w:pPr>
        <w:spacing w:after="0" w:line="360" w:lineRule="auto"/>
        <w:ind w:left="567" w:right="567"/>
        <w:rPr>
          <w:b/>
          <w:i/>
          <w:color w:val="000000"/>
          <w:sz w:val="20"/>
          <w:szCs w:val="20"/>
        </w:rPr>
      </w:pPr>
    </w:p>
    <w:p w14:paraId="53D9EE0D" w14:textId="77777777" w:rsidR="00253B74" w:rsidRPr="00B13D8B" w:rsidRDefault="00B76585" w:rsidP="00910E6B">
      <w:pPr>
        <w:spacing w:after="0" w:line="360" w:lineRule="auto"/>
        <w:ind w:left="567" w:right="567"/>
        <w:rPr>
          <w:b/>
          <w:i/>
          <w:color w:val="000000"/>
          <w:sz w:val="20"/>
          <w:szCs w:val="20"/>
        </w:rPr>
      </w:pPr>
      <w:r w:rsidRPr="00B13D8B">
        <w:rPr>
          <w:b/>
          <w:i/>
          <w:color w:val="000000"/>
          <w:sz w:val="20"/>
          <w:szCs w:val="20"/>
        </w:rPr>
        <w:t>RAZONES O MOTIVOS DE LA INCONFORMIDAD</w:t>
      </w:r>
    </w:p>
    <w:p w14:paraId="6A8E3812" w14:textId="38A69063" w:rsidR="00253B74" w:rsidRPr="00B13D8B" w:rsidRDefault="00B82BF9" w:rsidP="00910E6B">
      <w:pPr>
        <w:spacing w:after="0" w:line="360" w:lineRule="auto"/>
        <w:ind w:left="567" w:right="567"/>
        <w:rPr>
          <w:b/>
          <w:i/>
          <w:color w:val="000000"/>
          <w:sz w:val="20"/>
          <w:szCs w:val="20"/>
        </w:rPr>
      </w:pPr>
      <w:r w:rsidRPr="00B13D8B">
        <w:rPr>
          <w:i/>
          <w:color w:val="000000"/>
          <w:sz w:val="20"/>
          <w:szCs w:val="20"/>
        </w:rPr>
        <w:t>“NO ENTREGA LA INFOMACION Q CORRESPONDE</w:t>
      </w:r>
      <w:r w:rsidR="00B76585" w:rsidRPr="00B13D8B">
        <w:rPr>
          <w:i/>
          <w:color w:val="000000"/>
          <w:sz w:val="20"/>
          <w:szCs w:val="20"/>
        </w:rPr>
        <w:t>”</w:t>
      </w:r>
      <w:r w:rsidRPr="00B13D8B">
        <w:rPr>
          <w:i/>
          <w:color w:val="000000"/>
          <w:sz w:val="20"/>
          <w:szCs w:val="20"/>
        </w:rPr>
        <w:t xml:space="preserve"> (Sic)</w:t>
      </w:r>
      <w:r w:rsidR="00910E6B" w:rsidRPr="00B13D8B">
        <w:rPr>
          <w:i/>
          <w:color w:val="000000"/>
          <w:sz w:val="20"/>
          <w:szCs w:val="20"/>
        </w:rPr>
        <w:t>.</w:t>
      </w:r>
    </w:p>
    <w:p w14:paraId="6D09F216" w14:textId="77777777" w:rsidR="00253B74" w:rsidRPr="00B13D8B" w:rsidRDefault="00253B74" w:rsidP="00910E6B">
      <w:pPr>
        <w:spacing w:after="0" w:line="360" w:lineRule="auto"/>
        <w:rPr>
          <w:b/>
          <w:color w:val="000000"/>
        </w:rPr>
      </w:pPr>
    </w:p>
    <w:p w14:paraId="3199373F" w14:textId="77777777" w:rsidR="00253B74" w:rsidRPr="00B13D8B" w:rsidRDefault="00B76585" w:rsidP="00CB56D6">
      <w:pPr>
        <w:pStyle w:val="Ttulo2"/>
        <w:spacing w:before="0"/>
        <w:rPr>
          <w:rFonts w:ascii="Palatino Linotype" w:eastAsia="Palatino Linotype" w:hAnsi="Palatino Linotype" w:cs="Palatino Linotype"/>
          <w:b/>
          <w:color w:val="000000"/>
          <w:sz w:val="22"/>
          <w:szCs w:val="22"/>
        </w:rPr>
      </w:pPr>
      <w:bookmarkStart w:id="5" w:name="_Toc193985523"/>
      <w:r w:rsidRPr="00B13D8B">
        <w:rPr>
          <w:rFonts w:ascii="Palatino Linotype" w:eastAsia="Palatino Linotype" w:hAnsi="Palatino Linotype" w:cs="Palatino Linotype"/>
          <w:b/>
          <w:color w:val="000000"/>
          <w:sz w:val="22"/>
          <w:szCs w:val="22"/>
        </w:rPr>
        <w:t>IV. Trámite del Recurso de Revisión ante este Instituto</w:t>
      </w:r>
      <w:bookmarkEnd w:id="5"/>
    </w:p>
    <w:p w14:paraId="5DE92C19" w14:textId="77777777" w:rsidR="00253B74" w:rsidRPr="00B13D8B" w:rsidRDefault="00253B74" w:rsidP="00910E6B">
      <w:pPr>
        <w:spacing w:after="0" w:line="360" w:lineRule="auto"/>
        <w:rPr>
          <w:color w:val="000000"/>
        </w:rPr>
      </w:pPr>
    </w:p>
    <w:p w14:paraId="554DAE78" w14:textId="68FDEE7E" w:rsidR="00253B74" w:rsidRPr="00B13D8B" w:rsidRDefault="00B76585" w:rsidP="00910E6B">
      <w:pPr>
        <w:spacing w:after="0" w:line="360" w:lineRule="auto"/>
        <w:rPr>
          <w:b/>
          <w:color w:val="000000"/>
        </w:rPr>
      </w:pPr>
      <w:r w:rsidRPr="00B13D8B">
        <w:rPr>
          <w:b/>
          <w:color w:val="000000"/>
        </w:rPr>
        <w:t>a) Turno del Medio de Impugnación.</w:t>
      </w:r>
      <w:r w:rsidRPr="00B13D8B">
        <w:rPr>
          <w:b/>
          <w:color w:val="000000"/>
          <w:sz w:val="20"/>
          <w:szCs w:val="20"/>
        </w:rPr>
        <w:t xml:space="preserve"> </w:t>
      </w:r>
      <w:r w:rsidRPr="00B13D8B">
        <w:rPr>
          <w:color w:val="000000"/>
        </w:rPr>
        <w:t xml:space="preserve">El </w:t>
      </w:r>
      <w:r w:rsidR="00B82BF9" w:rsidRPr="00B13D8B">
        <w:rPr>
          <w:color w:val="000000"/>
        </w:rPr>
        <w:t>veinticinco</w:t>
      </w:r>
      <w:r w:rsidRPr="00B13D8B">
        <w:rPr>
          <w:color w:val="000000"/>
        </w:rPr>
        <w:t xml:space="preserve"> de </w:t>
      </w:r>
      <w:r w:rsidR="00B82BF9" w:rsidRPr="00B13D8B">
        <w:rPr>
          <w:color w:val="000000"/>
        </w:rPr>
        <w:t>febrero de dos mil veinticinco</w:t>
      </w:r>
      <w:r w:rsidRPr="00B13D8B">
        <w:rPr>
          <w:color w:val="000000"/>
        </w:rPr>
        <w:t xml:space="preserve">, el </w:t>
      </w:r>
      <w:r w:rsidR="00910E6B" w:rsidRPr="00B13D8B">
        <w:rPr>
          <w:color w:val="000000"/>
        </w:rPr>
        <w:t>SAIMEX</w:t>
      </w:r>
      <w:r w:rsidRPr="00B13D8B">
        <w:rPr>
          <w:color w:val="000000"/>
        </w:rPr>
        <w:t xml:space="preserve">, asignó el número de expediente </w:t>
      </w:r>
      <w:r w:rsidR="00B82BF9" w:rsidRPr="00B13D8B">
        <w:rPr>
          <w:b/>
          <w:color w:val="000000"/>
        </w:rPr>
        <w:t>01981/INFOEM/IP/RR/2025</w:t>
      </w:r>
      <w:r w:rsidRPr="00B13D8B">
        <w:rPr>
          <w:color w:val="000000"/>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202B274F" w14:textId="77777777" w:rsidR="00253B74" w:rsidRPr="00B13D8B" w:rsidRDefault="00253B74" w:rsidP="00910E6B">
      <w:pPr>
        <w:spacing w:after="0" w:line="360" w:lineRule="auto"/>
        <w:rPr>
          <w:color w:val="000000"/>
        </w:rPr>
      </w:pPr>
    </w:p>
    <w:p w14:paraId="328FC2E3" w14:textId="70B35161" w:rsidR="00253B74" w:rsidRPr="00B13D8B" w:rsidRDefault="00B76585" w:rsidP="00910E6B">
      <w:pPr>
        <w:spacing w:after="0" w:line="360" w:lineRule="auto"/>
        <w:rPr>
          <w:color w:val="000000"/>
        </w:rPr>
      </w:pPr>
      <w:r w:rsidRPr="00B13D8B">
        <w:rPr>
          <w:b/>
          <w:color w:val="000000"/>
        </w:rPr>
        <w:t>b) Admisión del Recurso de Revisión.</w:t>
      </w:r>
      <w:r w:rsidRPr="00B13D8B">
        <w:rPr>
          <w:b/>
          <w:color w:val="000000"/>
          <w:sz w:val="20"/>
          <w:szCs w:val="20"/>
        </w:rPr>
        <w:t xml:space="preserve"> </w:t>
      </w:r>
      <w:r w:rsidRPr="00B13D8B">
        <w:rPr>
          <w:color w:val="000000"/>
        </w:rPr>
        <w:t xml:space="preserve">El </w:t>
      </w:r>
      <w:r w:rsidR="00B17595" w:rsidRPr="00B13D8B">
        <w:rPr>
          <w:color w:val="000000"/>
        </w:rPr>
        <w:t>veintiocho</w:t>
      </w:r>
      <w:r w:rsidRPr="00B13D8B">
        <w:rPr>
          <w:color w:val="000000"/>
        </w:rPr>
        <w:t xml:space="preserve"> de </w:t>
      </w:r>
      <w:r w:rsidR="00B17595" w:rsidRPr="00B13D8B">
        <w:rPr>
          <w:color w:val="000000"/>
        </w:rPr>
        <w:t>febrero de dos mil veinticinco</w:t>
      </w:r>
      <w:r w:rsidRPr="00B13D8B">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w:t>
      </w:r>
      <w:r w:rsidR="00910E6B" w:rsidRPr="00B13D8B">
        <w:rPr>
          <w:color w:val="000000"/>
        </w:rPr>
        <w:t>SAIMEX</w:t>
      </w:r>
      <w:r w:rsidRPr="00B13D8B">
        <w:rPr>
          <w:color w:val="000000"/>
        </w:rPr>
        <w:t xml:space="preserve">, en el que se les otorgó un plazo de siete días hábiles posteriores a la misma, para que manifestaran lo que a su derecho conviniera y formularan alegatos. </w:t>
      </w:r>
    </w:p>
    <w:p w14:paraId="22CD9FE4" w14:textId="77777777" w:rsidR="006E53C3" w:rsidRPr="00B13D8B" w:rsidRDefault="006E53C3" w:rsidP="00910E6B">
      <w:pPr>
        <w:spacing w:after="0" w:line="360" w:lineRule="auto"/>
        <w:rPr>
          <w:color w:val="000000"/>
        </w:rPr>
      </w:pPr>
    </w:p>
    <w:p w14:paraId="5034595A" w14:textId="762EDAAA" w:rsidR="00253B74" w:rsidRPr="00B13D8B" w:rsidRDefault="006E53C3" w:rsidP="00910E6B">
      <w:pPr>
        <w:spacing w:after="0" w:line="360" w:lineRule="auto"/>
      </w:pPr>
      <w:r w:rsidRPr="00B13D8B">
        <w:t>c</w:t>
      </w:r>
      <w:r w:rsidRPr="00B13D8B">
        <w:rPr>
          <w:b/>
        </w:rPr>
        <w:t>) Informe Justificado.</w:t>
      </w:r>
      <w:r w:rsidRPr="00B13D8B">
        <w:t xml:space="preserve"> En fecha </w:t>
      </w:r>
      <w:r w:rsidR="00616AB4" w:rsidRPr="00B13D8B">
        <w:t>diecinueve</w:t>
      </w:r>
      <w:r w:rsidRPr="00B13D8B">
        <w:t xml:space="preserve"> de </w:t>
      </w:r>
      <w:r w:rsidR="00616AB4" w:rsidRPr="00B13D8B">
        <w:t>marzo</w:t>
      </w:r>
      <w:r w:rsidRPr="00B13D8B">
        <w:t xml:space="preserve"> de dos mil veinti</w:t>
      </w:r>
      <w:r w:rsidR="00616AB4" w:rsidRPr="00B13D8B">
        <w:t>cinco</w:t>
      </w:r>
      <w:r w:rsidRPr="00B13D8B">
        <w:t>; el Sujeto Obligado a través de SAIMEX, rindió informe justificado mediante dos archivos,</w:t>
      </w:r>
      <w:r w:rsidR="00616AB4" w:rsidRPr="00B13D8B">
        <w:t xml:space="preserve"> uno en </w:t>
      </w:r>
      <w:r w:rsidR="00616AB4" w:rsidRPr="00B13D8B">
        <w:lastRenderedPageBreak/>
        <w:t xml:space="preserve">formato PDF y otro en formato </w:t>
      </w:r>
      <w:r w:rsidR="00616AB4" w:rsidRPr="00B13D8B">
        <w:rPr>
          <w:i/>
          <w:iCs/>
        </w:rPr>
        <w:t>Word</w:t>
      </w:r>
      <w:r w:rsidR="00616AB4" w:rsidRPr="00B13D8B">
        <w:t>, ambos suscritos por el Titular de la Unidad de Transparencia</w:t>
      </w:r>
      <w:r w:rsidRPr="00B13D8B">
        <w:t xml:space="preserve"> </w:t>
      </w:r>
      <w:r w:rsidR="00616AB4" w:rsidRPr="00B13D8B">
        <w:t>donde deja en claro</w:t>
      </w:r>
      <w:r w:rsidRPr="00B13D8B">
        <w:t xml:space="preserve"> los siguientes términos:</w:t>
      </w:r>
    </w:p>
    <w:p w14:paraId="7E878FB5" w14:textId="31A11EF2" w:rsidR="00616AB4" w:rsidRPr="00B13D8B" w:rsidRDefault="00616AB4" w:rsidP="00910E6B">
      <w:pPr>
        <w:spacing w:after="0" w:line="360" w:lineRule="auto"/>
      </w:pPr>
    </w:p>
    <w:p w14:paraId="44153178" w14:textId="0026E9C6" w:rsidR="00616AB4" w:rsidRPr="00B13D8B" w:rsidRDefault="00616AB4" w:rsidP="00CB56D6">
      <w:pPr>
        <w:tabs>
          <w:tab w:val="left" w:pos="8647"/>
        </w:tabs>
        <w:spacing w:after="0" w:line="360" w:lineRule="auto"/>
        <w:ind w:left="567" w:right="567"/>
        <w:rPr>
          <w:i/>
          <w:sz w:val="20"/>
          <w:szCs w:val="20"/>
        </w:rPr>
      </w:pPr>
      <w:r w:rsidRPr="00B13D8B">
        <w:rPr>
          <w:i/>
          <w:sz w:val="20"/>
          <w:szCs w:val="20"/>
        </w:rPr>
        <w:t>“…</w:t>
      </w:r>
    </w:p>
    <w:p w14:paraId="0D2CFE10" w14:textId="74E4A7AA" w:rsidR="00616AB4" w:rsidRPr="00B13D8B" w:rsidRDefault="00616AB4" w:rsidP="00CB56D6">
      <w:pPr>
        <w:spacing w:after="0" w:line="360" w:lineRule="auto"/>
        <w:ind w:left="567" w:right="567"/>
        <w:rPr>
          <w:i/>
          <w:sz w:val="20"/>
          <w:szCs w:val="20"/>
        </w:rPr>
      </w:pPr>
      <w:proofErr w:type="gramStart"/>
      <w:r w:rsidRPr="00B13D8B">
        <w:rPr>
          <w:rFonts w:cs="Arial"/>
          <w:i/>
          <w:sz w:val="20"/>
          <w:szCs w:val="20"/>
        </w:rPr>
        <w:t>se</w:t>
      </w:r>
      <w:proofErr w:type="gramEnd"/>
      <w:r w:rsidRPr="00B13D8B">
        <w:rPr>
          <w:rFonts w:cs="Arial"/>
          <w:i/>
          <w:sz w:val="20"/>
          <w:szCs w:val="20"/>
        </w:rPr>
        <w:t xml:space="preserve"> presentó la información remitida por el Área de Tesorería siendo nombres del personal, categoría y el sueldo neto percibido siendo presentada según el resguardo de este sujeto obligado y no </w:t>
      </w:r>
      <w:r w:rsidRPr="00B13D8B">
        <w:rPr>
          <w:rFonts w:cs="Arial"/>
          <w:b/>
          <w:bCs/>
          <w:i/>
          <w:sz w:val="20"/>
          <w:szCs w:val="20"/>
        </w:rPr>
        <w:t>la inclinación de las pretensiones del recurrente.”</w:t>
      </w:r>
    </w:p>
    <w:p w14:paraId="2DC23BD7" w14:textId="77777777" w:rsidR="006E53C3" w:rsidRPr="00B13D8B" w:rsidRDefault="006E53C3" w:rsidP="00910E6B">
      <w:pPr>
        <w:spacing w:after="0" w:line="360" w:lineRule="auto"/>
      </w:pPr>
    </w:p>
    <w:p w14:paraId="5D10E14C" w14:textId="27A2B048" w:rsidR="006E53C3" w:rsidRPr="00B13D8B" w:rsidRDefault="006E53C3" w:rsidP="006E53C3">
      <w:pPr>
        <w:spacing w:after="0" w:line="360" w:lineRule="auto"/>
      </w:pPr>
      <w:r w:rsidRPr="00B13D8B">
        <w:rPr>
          <w:b/>
        </w:rPr>
        <w:t>d) Vista del informe justificado.</w:t>
      </w:r>
      <w:r w:rsidRPr="00B13D8B">
        <w:t xml:space="preserve"> El </w:t>
      </w:r>
      <w:r w:rsidR="00616AB4" w:rsidRPr="00B13D8B">
        <w:t>veinte</w:t>
      </w:r>
      <w:r w:rsidRPr="00B13D8B">
        <w:t xml:space="preserve"> de </w:t>
      </w:r>
      <w:r w:rsidR="00616AB4" w:rsidRPr="00B13D8B">
        <w:t>marzo</w:t>
      </w:r>
      <w:r w:rsidRPr="00B13D8B">
        <w:t xml:space="preserve"> de dos mil veintic</w:t>
      </w:r>
      <w:r w:rsidR="00616AB4" w:rsidRPr="00B13D8B">
        <w:t>inco</w:t>
      </w:r>
      <w:r w:rsidRPr="00B13D8B">
        <w:t>, se dictó un acuerdo mediante el cual se puso a la vista del Particular el documento que conforma el informe justificado, que fue notificado a las partes en la misma fecha, a través del SAIMEX.</w:t>
      </w:r>
    </w:p>
    <w:p w14:paraId="6BA01173" w14:textId="77777777" w:rsidR="006E53C3" w:rsidRPr="00B13D8B" w:rsidRDefault="006E53C3" w:rsidP="006E53C3">
      <w:pPr>
        <w:spacing w:after="0" w:line="360" w:lineRule="auto"/>
      </w:pPr>
    </w:p>
    <w:p w14:paraId="28DA0D05" w14:textId="76CA57BE" w:rsidR="006E53C3" w:rsidRPr="00B13D8B" w:rsidRDefault="006E53C3" w:rsidP="00CB56D6">
      <w:pPr>
        <w:spacing w:after="0" w:line="360" w:lineRule="auto"/>
      </w:pPr>
      <w:r w:rsidRPr="00B13D8B">
        <w:rPr>
          <w:b/>
        </w:rPr>
        <w:t>e) Manifestaciones.</w:t>
      </w:r>
      <w:r w:rsidRPr="00B13D8B">
        <w:t xml:space="preserve"> De las constancias que obran en el expediente electrónico, se advierte que el Particular no emitió manifestaciones.</w:t>
      </w:r>
    </w:p>
    <w:p w14:paraId="189D2DB3" w14:textId="77777777" w:rsidR="00253B74" w:rsidRPr="00B13D8B" w:rsidRDefault="00253B74" w:rsidP="00910E6B">
      <w:pPr>
        <w:spacing w:after="0" w:line="360" w:lineRule="auto"/>
      </w:pPr>
    </w:p>
    <w:p w14:paraId="60EEDA68" w14:textId="4CA7831C" w:rsidR="00253B74" w:rsidRPr="00B13D8B" w:rsidRDefault="00B17595" w:rsidP="00910E6B">
      <w:pPr>
        <w:spacing w:after="0" w:line="360" w:lineRule="auto"/>
        <w:rPr>
          <w:color w:val="000000"/>
        </w:rPr>
      </w:pPr>
      <w:r w:rsidRPr="00B13D8B">
        <w:rPr>
          <w:b/>
          <w:color w:val="000000"/>
        </w:rPr>
        <w:t>d</w:t>
      </w:r>
      <w:r w:rsidR="00B76585" w:rsidRPr="00B13D8B">
        <w:rPr>
          <w:b/>
          <w:color w:val="000000"/>
        </w:rPr>
        <w:t>) Cierre de instrucción.</w:t>
      </w:r>
      <w:r w:rsidR="00B76585" w:rsidRPr="00B13D8B">
        <w:rPr>
          <w:color w:val="000000"/>
          <w:sz w:val="20"/>
          <w:szCs w:val="20"/>
        </w:rPr>
        <w:t xml:space="preserve"> </w:t>
      </w:r>
      <w:r w:rsidR="00B76585" w:rsidRPr="00B13D8B">
        <w:rPr>
          <w:color w:val="000000"/>
        </w:rPr>
        <w:t xml:space="preserve">El </w:t>
      </w:r>
      <w:r w:rsidR="00616AB4" w:rsidRPr="00B13D8B">
        <w:rPr>
          <w:color w:val="000000"/>
        </w:rPr>
        <w:t>veintiséis</w:t>
      </w:r>
      <w:r w:rsidR="006E53C3" w:rsidRPr="00B13D8B">
        <w:rPr>
          <w:color w:val="000000"/>
        </w:rPr>
        <w:t xml:space="preserve"> </w:t>
      </w:r>
      <w:r w:rsidR="00B76585" w:rsidRPr="00B13D8B">
        <w:rPr>
          <w:color w:val="000000"/>
        </w:rPr>
        <w:t xml:space="preserve">de </w:t>
      </w:r>
      <w:r w:rsidR="00C741CB" w:rsidRPr="00B13D8B">
        <w:rPr>
          <w:color w:val="000000"/>
        </w:rPr>
        <w:t>marzo</w:t>
      </w:r>
      <w:r w:rsidR="00B76585" w:rsidRPr="00B13D8B">
        <w:rPr>
          <w:color w:val="000000"/>
        </w:rPr>
        <w:t xml:space="preserve">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910E6B" w:rsidRPr="00B13D8B">
        <w:rPr>
          <w:color w:val="000000"/>
        </w:rPr>
        <w:t>SAIMEX</w:t>
      </w:r>
      <w:r w:rsidR="00B76585" w:rsidRPr="00B13D8B">
        <w:rPr>
          <w:color w:val="000000"/>
        </w:rPr>
        <w:t xml:space="preserve">. </w:t>
      </w:r>
    </w:p>
    <w:p w14:paraId="463DB254" w14:textId="77777777" w:rsidR="00253B74" w:rsidRPr="00B13D8B" w:rsidRDefault="00253B74" w:rsidP="00910E6B">
      <w:pPr>
        <w:spacing w:after="0" w:line="360" w:lineRule="auto"/>
        <w:rPr>
          <w:color w:val="000000"/>
        </w:rPr>
      </w:pPr>
    </w:p>
    <w:p w14:paraId="47EF2598" w14:textId="77777777" w:rsidR="00253B74" w:rsidRPr="00B13D8B" w:rsidRDefault="00B76585" w:rsidP="00910E6B">
      <w:pPr>
        <w:spacing w:after="0" w:line="360" w:lineRule="auto"/>
        <w:rPr>
          <w:color w:val="000000"/>
        </w:rPr>
      </w:pPr>
      <w:r w:rsidRPr="00B13D8B">
        <w:rPr>
          <w:color w:val="000000"/>
        </w:rPr>
        <w:t>En razón de que fue debidamente sustanciado e integrado el expediente electrónico y no existe diligencia pendiente de desahogo, se emite la resolución que conforme a Derecho proceda, de acuerdo a los siguientes:</w:t>
      </w:r>
    </w:p>
    <w:p w14:paraId="3C821355" w14:textId="77777777" w:rsidR="00253B74" w:rsidRPr="00B13D8B" w:rsidRDefault="00253B74" w:rsidP="00910E6B">
      <w:pPr>
        <w:spacing w:after="0" w:line="360" w:lineRule="auto"/>
        <w:rPr>
          <w:color w:val="000000"/>
        </w:rPr>
      </w:pPr>
    </w:p>
    <w:p w14:paraId="652C78EC" w14:textId="77777777" w:rsidR="00253B74" w:rsidRPr="00B13D8B" w:rsidRDefault="00B76585" w:rsidP="00CB56D6">
      <w:pPr>
        <w:pStyle w:val="Ttulo1"/>
        <w:spacing w:before="0"/>
        <w:jc w:val="center"/>
        <w:rPr>
          <w:rFonts w:ascii="Palatino Linotype" w:eastAsia="Palatino Linotype" w:hAnsi="Palatino Linotype" w:cs="Palatino Linotype"/>
          <w:b/>
          <w:color w:val="000000"/>
          <w:sz w:val="22"/>
          <w:szCs w:val="22"/>
        </w:rPr>
      </w:pPr>
      <w:bookmarkStart w:id="6" w:name="_Toc193985524"/>
      <w:r w:rsidRPr="00B13D8B">
        <w:rPr>
          <w:rFonts w:ascii="Palatino Linotype" w:eastAsia="Palatino Linotype" w:hAnsi="Palatino Linotype" w:cs="Palatino Linotype"/>
          <w:b/>
          <w:color w:val="000000"/>
          <w:sz w:val="22"/>
          <w:szCs w:val="22"/>
        </w:rPr>
        <w:t>C O N S I D E R A N D O S</w:t>
      </w:r>
      <w:bookmarkEnd w:id="6"/>
    </w:p>
    <w:p w14:paraId="7627D5CA" w14:textId="77777777" w:rsidR="00253B74" w:rsidRPr="00B13D8B" w:rsidRDefault="00253B74" w:rsidP="00910E6B">
      <w:pPr>
        <w:spacing w:after="0" w:line="360" w:lineRule="auto"/>
        <w:jc w:val="center"/>
        <w:rPr>
          <w:b/>
          <w:color w:val="000000"/>
        </w:rPr>
      </w:pPr>
    </w:p>
    <w:p w14:paraId="7141A156" w14:textId="77777777" w:rsidR="00253B74" w:rsidRPr="00B13D8B" w:rsidRDefault="00B76585" w:rsidP="00CB56D6">
      <w:pPr>
        <w:pStyle w:val="Ttulo2"/>
        <w:spacing w:before="0"/>
        <w:rPr>
          <w:rFonts w:ascii="Palatino Linotype" w:eastAsia="Palatino Linotype" w:hAnsi="Palatino Linotype" w:cs="Palatino Linotype"/>
          <w:b/>
          <w:color w:val="000000"/>
          <w:sz w:val="22"/>
          <w:szCs w:val="22"/>
        </w:rPr>
      </w:pPr>
      <w:bookmarkStart w:id="7" w:name="_Toc193985525"/>
      <w:r w:rsidRPr="00B13D8B">
        <w:rPr>
          <w:rFonts w:ascii="Palatino Linotype" w:eastAsia="Palatino Linotype" w:hAnsi="Palatino Linotype" w:cs="Palatino Linotype"/>
          <w:b/>
          <w:color w:val="000000"/>
          <w:sz w:val="22"/>
          <w:szCs w:val="22"/>
        </w:rPr>
        <w:t>PRIMERO. Competencia</w:t>
      </w:r>
      <w:bookmarkEnd w:id="7"/>
    </w:p>
    <w:p w14:paraId="7DD7634A" w14:textId="77777777" w:rsidR="00253B74" w:rsidRPr="00B13D8B" w:rsidRDefault="00253B74" w:rsidP="00910E6B">
      <w:pPr>
        <w:spacing w:after="0" w:line="360" w:lineRule="auto"/>
        <w:rPr>
          <w:b/>
          <w:color w:val="000000"/>
        </w:rPr>
      </w:pPr>
    </w:p>
    <w:p w14:paraId="4B09023F" w14:textId="213A242A" w:rsidR="00253B74" w:rsidRPr="00B13D8B" w:rsidRDefault="00B76585" w:rsidP="00910E6B">
      <w:pPr>
        <w:spacing w:after="0" w:line="360" w:lineRule="auto"/>
        <w:rPr>
          <w:color w:val="000000"/>
        </w:rPr>
      </w:pPr>
      <w:bookmarkStart w:id="8" w:name="_heading=h.26in1rg" w:colFirst="0" w:colLast="0"/>
      <w:bookmarkEnd w:id="8"/>
      <w:r w:rsidRPr="00B13D8B">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w:t>
      </w:r>
      <w:r w:rsidR="004705C8" w:rsidRPr="00B13D8B">
        <w:rPr>
          <w:color w:val="000000"/>
        </w:rPr>
        <w:t>séptimo</w:t>
      </w:r>
      <w:r w:rsidRPr="00B13D8B">
        <w:rPr>
          <w:color w:val="000000"/>
        </w:rPr>
        <w:t xml:space="preserve">, trigésimo </w:t>
      </w:r>
      <w:r w:rsidR="004705C8" w:rsidRPr="00B13D8B">
        <w:rPr>
          <w:color w:val="000000"/>
        </w:rPr>
        <w:t>octavo</w:t>
      </w:r>
      <w:r w:rsidRPr="00B13D8B">
        <w:rPr>
          <w:color w:val="000000"/>
        </w:rPr>
        <w:t xml:space="preserve"> y trigésimo </w:t>
      </w:r>
      <w:r w:rsidR="004705C8" w:rsidRPr="00B13D8B">
        <w:rPr>
          <w:color w:val="000000"/>
        </w:rPr>
        <w:t>noveno</w:t>
      </w:r>
      <w:r w:rsidRPr="00B13D8B">
        <w:rPr>
          <w:color w:val="000000"/>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6EA70A3" w14:textId="77777777" w:rsidR="00CB56D6" w:rsidRPr="00B13D8B" w:rsidRDefault="00CB56D6" w:rsidP="00910E6B">
      <w:pPr>
        <w:spacing w:after="0" w:line="360" w:lineRule="auto"/>
        <w:rPr>
          <w:color w:val="000000"/>
        </w:rPr>
      </w:pPr>
    </w:p>
    <w:p w14:paraId="504E5F4B" w14:textId="77777777" w:rsidR="00253B74" w:rsidRPr="00B13D8B" w:rsidRDefault="00B76585" w:rsidP="00CB56D6">
      <w:pPr>
        <w:pStyle w:val="Ttulo2"/>
        <w:spacing w:before="0"/>
        <w:rPr>
          <w:rFonts w:ascii="Palatino Linotype" w:eastAsia="Palatino Linotype" w:hAnsi="Palatino Linotype" w:cs="Palatino Linotype"/>
          <w:b/>
          <w:color w:val="000000"/>
          <w:sz w:val="22"/>
          <w:szCs w:val="22"/>
        </w:rPr>
      </w:pPr>
      <w:bookmarkStart w:id="9" w:name="_Toc193985526"/>
      <w:r w:rsidRPr="00B13D8B">
        <w:rPr>
          <w:rFonts w:ascii="Palatino Linotype" w:eastAsia="Palatino Linotype" w:hAnsi="Palatino Linotype" w:cs="Palatino Linotype"/>
          <w:b/>
          <w:color w:val="000000"/>
          <w:sz w:val="22"/>
          <w:szCs w:val="22"/>
        </w:rPr>
        <w:t>SEGUNDO. Causales de improcedencia y Sobreseimiento</w:t>
      </w:r>
      <w:bookmarkEnd w:id="9"/>
    </w:p>
    <w:p w14:paraId="69AA9BE2" w14:textId="77777777" w:rsidR="00253B74" w:rsidRPr="00B13D8B" w:rsidRDefault="00253B74" w:rsidP="00910E6B">
      <w:pPr>
        <w:spacing w:after="0" w:line="360" w:lineRule="auto"/>
        <w:rPr>
          <w:color w:val="000000"/>
        </w:rPr>
      </w:pPr>
    </w:p>
    <w:p w14:paraId="512B0C8F" w14:textId="77777777" w:rsidR="00253B74" w:rsidRPr="00B13D8B" w:rsidRDefault="00B76585" w:rsidP="00910E6B">
      <w:pPr>
        <w:spacing w:after="0" w:line="360" w:lineRule="auto"/>
        <w:rPr>
          <w:color w:val="000000"/>
        </w:rPr>
      </w:pPr>
      <w:r w:rsidRPr="00B13D8B">
        <w:rPr>
          <w:color w:val="000000"/>
        </w:rPr>
        <w:t xml:space="preserve">De las constancias que forma parte del Recurso de Revisión que se analiza, se advierte que previo al estudio del fondo de la </w:t>
      </w:r>
      <w:proofErr w:type="spellStart"/>
      <w:r w:rsidRPr="00B13D8B">
        <w:rPr>
          <w:i/>
          <w:color w:val="000000"/>
        </w:rPr>
        <w:t>litis</w:t>
      </w:r>
      <w:proofErr w:type="spellEnd"/>
      <w:r w:rsidRPr="00B13D8B">
        <w:rPr>
          <w:color w:val="000000"/>
        </w:rPr>
        <w:t>, es necesario estudiar las causales de improcedencia y sobreseimiento que se adviertan, para determinar lo que en Derecho proceda.</w:t>
      </w:r>
    </w:p>
    <w:p w14:paraId="7B8DB385" w14:textId="77777777" w:rsidR="00253B74" w:rsidRPr="00B13D8B" w:rsidRDefault="00253B74" w:rsidP="00910E6B">
      <w:pPr>
        <w:spacing w:after="0" w:line="360" w:lineRule="auto"/>
        <w:rPr>
          <w:color w:val="000000"/>
        </w:rPr>
      </w:pPr>
    </w:p>
    <w:p w14:paraId="062CF2E6" w14:textId="77777777" w:rsidR="00253B74" w:rsidRPr="00B13D8B" w:rsidRDefault="00B76585" w:rsidP="00CB56D6">
      <w:pPr>
        <w:pStyle w:val="Ttulo3"/>
        <w:spacing w:before="0"/>
        <w:rPr>
          <w:rFonts w:ascii="Palatino Linotype" w:eastAsia="Palatino Linotype" w:hAnsi="Palatino Linotype" w:cs="Palatino Linotype"/>
          <w:b/>
          <w:color w:val="000000"/>
          <w:sz w:val="22"/>
          <w:szCs w:val="22"/>
        </w:rPr>
      </w:pPr>
      <w:bookmarkStart w:id="10" w:name="_Toc193985527"/>
      <w:r w:rsidRPr="00B13D8B">
        <w:rPr>
          <w:rFonts w:ascii="Palatino Linotype" w:eastAsia="Palatino Linotype" w:hAnsi="Palatino Linotype" w:cs="Palatino Linotype"/>
          <w:b/>
          <w:color w:val="000000"/>
          <w:sz w:val="22"/>
          <w:szCs w:val="22"/>
        </w:rPr>
        <w:t>Causales de improcedencia</w:t>
      </w:r>
      <w:bookmarkEnd w:id="10"/>
    </w:p>
    <w:p w14:paraId="056F2585" w14:textId="77777777" w:rsidR="00253B74" w:rsidRPr="00B13D8B" w:rsidRDefault="00253B74" w:rsidP="00910E6B">
      <w:pPr>
        <w:spacing w:after="0" w:line="360" w:lineRule="auto"/>
      </w:pPr>
    </w:p>
    <w:p w14:paraId="0F17B0E9" w14:textId="77777777" w:rsidR="00657C3F" w:rsidRPr="00B13D8B" w:rsidRDefault="00657C3F" w:rsidP="00910E6B">
      <w:pPr>
        <w:spacing w:after="0" w:line="360" w:lineRule="auto"/>
      </w:pPr>
      <w:r w:rsidRPr="00B13D8B">
        <w:lastRenderedPageBreak/>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B13D8B">
        <w:t>./</w:t>
      </w:r>
      <w:proofErr w:type="gramEnd"/>
      <w:r w:rsidRPr="00B13D8B">
        <w:t>J. 163/2005</w:t>
      </w:r>
      <w:r w:rsidRPr="00B13D8B">
        <w:rPr>
          <w:b/>
        </w:rPr>
        <w:t xml:space="preserve"> </w:t>
      </w:r>
      <w:r w:rsidRPr="00B13D8B">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1AEA8B20" w14:textId="77777777" w:rsidR="00657C3F" w:rsidRPr="00B13D8B" w:rsidRDefault="00657C3F" w:rsidP="00910E6B">
      <w:pPr>
        <w:spacing w:after="0" w:line="360" w:lineRule="auto"/>
      </w:pPr>
    </w:p>
    <w:p w14:paraId="32E8121C" w14:textId="77777777" w:rsidR="00657C3F" w:rsidRPr="00B13D8B" w:rsidRDefault="00657C3F" w:rsidP="00910E6B">
      <w:pPr>
        <w:spacing w:after="0" w:line="360" w:lineRule="auto"/>
      </w:pPr>
      <w:r w:rsidRPr="00B13D8B">
        <w:t xml:space="preserve">En el presente caso, </w:t>
      </w:r>
      <w:r w:rsidRPr="00B13D8B">
        <w:rPr>
          <w:b/>
        </w:rPr>
        <w:t>no se actualiza ninguna de las causales de improcedencia</w:t>
      </w:r>
      <w:r w:rsidRPr="00B13D8B">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4A4339FA" w14:textId="77777777" w:rsidR="00253B74" w:rsidRPr="00B13D8B" w:rsidRDefault="00253B74" w:rsidP="00910E6B">
      <w:pPr>
        <w:spacing w:after="0" w:line="360" w:lineRule="auto"/>
        <w:rPr>
          <w:color w:val="000000"/>
        </w:rPr>
      </w:pPr>
    </w:p>
    <w:p w14:paraId="1014122D" w14:textId="77777777" w:rsidR="00253B74" w:rsidRPr="00B13D8B" w:rsidRDefault="00B76585" w:rsidP="00CB56D6">
      <w:pPr>
        <w:pStyle w:val="Ttulo3"/>
        <w:spacing w:before="0"/>
        <w:rPr>
          <w:rFonts w:ascii="Palatino Linotype" w:eastAsia="Palatino Linotype" w:hAnsi="Palatino Linotype" w:cs="Palatino Linotype"/>
          <w:b/>
          <w:color w:val="000000"/>
          <w:sz w:val="22"/>
          <w:szCs w:val="22"/>
        </w:rPr>
      </w:pPr>
      <w:bookmarkStart w:id="11" w:name="_Toc193985528"/>
      <w:r w:rsidRPr="00B13D8B">
        <w:rPr>
          <w:rFonts w:ascii="Palatino Linotype" w:eastAsia="Palatino Linotype" w:hAnsi="Palatino Linotype" w:cs="Palatino Linotype"/>
          <w:b/>
          <w:color w:val="000000"/>
          <w:sz w:val="22"/>
          <w:szCs w:val="22"/>
        </w:rPr>
        <w:t>Causales de sobreseimiento</w:t>
      </w:r>
      <w:bookmarkEnd w:id="11"/>
    </w:p>
    <w:p w14:paraId="6D0A0077" w14:textId="77777777" w:rsidR="00253B74" w:rsidRPr="00B13D8B" w:rsidRDefault="00253B74" w:rsidP="00910E6B">
      <w:pPr>
        <w:spacing w:after="0" w:line="360" w:lineRule="auto"/>
        <w:rPr>
          <w:color w:val="0D0D0D"/>
        </w:rPr>
      </w:pPr>
    </w:p>
    <w:p w14:paraId="2F6AB219" w14:textId="77777777" w:rsidR="00657C3F" w:rsidRPr="00B13D8B" w:rsidRDefault="00657C3F" w:rsidP="00910E6B">
      <w:pPr>
        <w:spacing w:after="0" w:line="360" w:lineRule="auto"/>
        <w:rPr>
          <w:color w:val="000000"/>
        </w:rPr>
      </w:pPr>
      <w:r w:rsidRPr="00B13D8B">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B13D8B">
        <w:rPr>
          <w:b/>
          <w:color w:val="0D0D0D"/>
        </w:rPr>
        <w:t xml:space="preserve"> </w:t>
      </w:r>
      <w:r w:rsidRPr="00B13D8B">
        <w:rPr>
          <w:color w:val="0D0D0D"/>
        </w:rPr>
        <w:t>toda vez que no hay constancias en el expediente en que se actúa, de que la persona Recurrente se haya desistido, fallecido, que el Sujeto Obligado hubiese modificado o revocado el acto impugnado o bien,</w:t>
      </w:r>
      <w:r w:rsidRPr="00B13D8B">
        <w:t xml:space="preserve"> </w:t>
      </w:r>
      <w:r w:rsidRPr="00B13D8B">
        <w:rPr>
          <w:color w:val="0D0D0D"/>
        </w:rPr>
        <w:lastRenderedPageBreak/>
        <w:t>que admitido una vez admitido el Recurso de Revisión, aparezca alguna causal de improcedencia o haya quedado sin materia.</w:t>
      </w:r>
    </w:p>
    <w:p w14:paraId="360D996E" w14:textId="77777777" w:rsidR="00253B74" w:rsidRPr="00B13D8B" w:rsidRDefault="00253B74" w:rsidP="00910E6B">
      <w:pPr>
        <w:spacing w:after="0" w:line="360" w:lineRule="auto"/>
        <w:rPr>
          <w:color w:val="0D0D0D"/>
        </w:rPr>
      </w:pPr>
    </w:p>
    <w:p w14:paraId="42C3D3F2" w14:textId="77777777" w:rsidR="00253B74" w:rsidRPr="00B13D8B" w:rsidRDefault="00B76585" w:rsidP="00CB56D6">
      <w:pPr>
        <w:pStyle w:val="Ttulo2"/>
        <w:spacing w:before="0"/>
        <w:rPr>
          <w:rFonts w:ascii="Palatino Linotype" w:eastAsia="Palatino Linotype" w:hAnsi="Palatino Linotype" w:cs="Palatino Linotype"/>
          <w:b/>
          <w:color w:val="000000"/>
          <w:sz w:val="22"/>
          <w:szCs w:val="22"/>
        </w:rPr>
      </w:pPr>
      <w:bookmarkStart w:id="12" w:name="_Toc193985529"/>
      <w:r w:rsidRPr="00B13D8B">
        <w:rPr>
          <w:rFonts w:ascii="Palatino Linotype" w:eastAsia="Palatino Linotype" w:hAnsi="Palatino Linotype" w:cs="Palatino Linotype"/>
          <w:b/>
          <w:color w:val="000000"/>
          <w:sz w:val="22"/>
          <w:szCs w:val="22"/>
        </w:rPr>
        <w:t>TERCERO. Determinación de la Controversia</w:t>
      </w:r>
      <w:bookmarkEnd w:id="12"/>
    </w:p>
    <w:p w14:paraId="6DA6D396" w14:textId="77777777" w:rsidR="00253B74" w:rsidRPr="00B13D8B" w:rsidRDefault="00253B74" w:rsidP="00910E6B">
      <w:pPr>
        <w:spacing w:after="0" w:line="360" w:lineRule="auto"/>
        <w:rPr>
          <w:color w:val="000000"/>
        </w:rPr>
      </w:pPr>
    </w:p>
    <w:p w14:paraId="312DBF77" w14:textId="6E628EEF" w:rsidR="00C741CB" w:rsidRPr="00B13D8B" w:rsidRDefault="00C741CB" w:rsidP="00910E6B">
      <w:pPr>
        <w:tabs>
          <w:tab w:val="left" w:pos="4962"/>
        </w:tabs>
        <w:spacing w:after="0" w:line="360" w:lineRule="auto"/>
      </w:pPr>
      <w:r w:rsidRPr="00B13D8B">
        <w:t xml:space="preserve">El Solicitante requirió al DIF un listado completo de su personal, incluyendo nombres, categorías y sueldos correspondientes al periodo 2025. En respuesta, el Titular de la Unidad de Transparencia </w:t>
      </w:r>
      <w:r w:rsidR="00910E6B" w:rsidRPr="00B13D8B">
        <w:t xml:space="preserve">remitió el oficio suscrito </w:t>
      </w:r>
      <w:r w:rsidRPr="00B13D8B">
        <w:t xml:space="preserve">por la Titular de Administración del SMDIF </w:t>
      </w:r>
      <w:proofErr w:type="spellStart"/>
      <w:r w:rsidRPr="00B13D8B">
        <w:t>Acambay</w:t>
      </w:r>
      <w:proofErr w:type="spellEnd"/>
      <w:r w:rsidRPr="00B13D8B">
        <w:t xml:space="preserve"> de Ruiz Castañeda</w:t>
      </w:r>
      <w:r w:rsidR="00910E6B" w:rsidRPr="00B13D8B">
        <w:t xml:space="preserve">, en </w:t>
      </w:r>
      <w:r w:rsidRPr="00B13D8B">
        <w:t xml:space="preserve">donde señala que la información bajo resguardo de dicha unidad administrativa fue proporcionada al </w:t>
      </w:r>
      <w:r w:rsidR="00910E6B" w:rsidRPr="00B13D8B">
        <w:t>R</w:t>
      </w:r>
      <w:r w:rsidRPr="00B13D8B">
        <w:t>ecurrente en su versión pública.</w:t>
      </w:r>
    </w:p>
    <w:p w14:paraId="7195794A" w14:textId="77777777" w:rsidR="00910E6B" w:rsidRPr="00B13D8B" w:rsidRDefault="00910E6B" w:rsidP="00910E6B">
      <w:pPr>
        <w:tabs>
          <w:tab w:val="left" w:pos="4962"/>
        </w:tabs>
        <w:spacing w:after="0" w:line="360" w:lineRule="auto"/>
      </w:pPr>
    </w:p>
    <w:p w14:paraId="5A0C7423" w14:textId="4FBE8BC2" w:rsidR="003E535D" w:rsidRPr="00B13D8B" w:rsidRDefault="00910E6B" w:rsidP="00910E6B">
      <w:pPr>
        <w:tabs>
          <w:tab w:val="left" w:pos="4962"/>
        </w:tabs>
        <w:spacing w:after="0" w:line="360" w:lineRule="auto"/>
      </w:pPr>
      <w:r w:rsidRPr="00B13D8B">
        <w:t>Por su parte</w:t>
      </w:r>
      <w:r w:rsidR="00C741CB" w:rsidRPr="00B13D8B">
        <w:t xml:space="preserve"> el Recurrente manifestó su inconformidad, </w:t>
      </w:r>
      <w:r w:rsidRPr="00B13D8B">
        <w:t>bajo el argumento de que no se le entregó lo solicitado</w:t>
      </w:r>
      <w:r w:rsidR="00C741CB" w:rsidRPr="00B13D8B">
        <w:t xml:space="preserve">. Durante la sustanciación del Recurso de Revisión, </w:t>
      </w:r>
      <w:r w:rsidR="00CB56D6" w:rsidRPr="00B13D8B">
        <w:t xml:space="preserve">el Sujeto Obligado reiteró que entregó la información solicitada por la Persona Recurrente y, este </w:t>
      </w:r>
      <w:r w:rsidR="00C741CB" w:rsidRPr="00B13D8B">
        <w:t>omiti</w:t>
      </w:r>
      <w:r w:rsidR="00CB56D6" w:rsidRPr="00B13D8B">
        <w:t>ó</w:t>
      </w:r>
      <w:r w:rsidR="00C741CB" w:rsidRPr="00B13D8B">
        <w:t xml:space="preserve"> aportar elementos adicionales para el análisis del caso.</w:t>
      </w:r>
      <w:r w:rsidRPr="00B13D8B">
        <w:t xml:space="preserve"> </w:t>
      </w:r>
      <w:r w:rsidR="003E535D" w:rsidRPr="00B13D8B">
        <w:t xml:space="preserve">Así pues, de las constancias que integran el expediente, se advierte que </w:t>
      </w:r>
      <w:r w:rsidR="003E535D" w:rsidRPr="00B13D8B">
        <w:rPr>
          <w:color w:val="000000"/>
        </w:rPr>
        <w:t xml:space="preserve">en el asunto que nos ocupa se actualiza la causal de procedencia señalada en el </w:t>
      </w:r>
      <w:r w:rsidR="00A56D74" w:rsidRPr="00B13D8B">
        <w:t>artículo 179, fracción V</w:t>
      </w:r>
      <w:r w:rsidR="00C741CB" w:rsidRPr="00B13D8B">
        <w:t>I</w:t>
      </w:r>
      <w:r w:rsidR="003E535D" w:rsidRPr="00B13D8B">
        <w:t xml:space="preserve">, de la Ley de la materia; </w:t>
      </w:r>
      <w:r w:rsidR="00506079" w:rsidRPr="00B13D8B">
        <w:t>la entrega de información que no corresponda con lo solicitado</w:t>
      </w:r>
      <w:r w:rsidR="003E535D" w:rsidRPr="00B13D8B">
        <w:t>.</w:t>
      </w:r>
    </w:p>
    <w:p w14:paraId="323F40F5" w14:textId="77777777" w:rsidR="00CB56D6" w:rsidRPr="00B13D8B" w:rsidRDefault="00CB56D6" w:rsidP="00910E6B">
      <w:pPr>
        <w:tabs>
          <w:tab w:val="left" w:pos="4962"/>
        </w:tabs>
        <w:spacing w:after="0" w:line="360" w:lineRule="auto"/>
      </w:pPr>
    </w:p>
    <w:p w14:paraId="3CA70426" w14:textId="6C79A377" w:rsidR="00C741CB" w:rsidRPr="00B13D8B" w:rsidRDefault="003E535D" w:rsidP="00910E6B">
      <w:pPr>
        <w:tabs>
          <w:tab w:val="left" w:pos="4962"/>
        </w:tabs>
        <w:spacing w:after="0" w:line="360" w:lineRule="auto"/>
      </w:pPr>
      <w:r w:rsidRPr="00B13D8B">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174AADAE" w14:textId="77777777" w:rsidR="00253B74" w:rsidRPr="00B13D8B" w:rsidRDefault="00253B74" w:rsidP="00910E6B">
      <w:pPr>
        <w:tabs>
          <w:tab w:val="left" w:pos="4962"/>
        </w:tabs>
        <w:spacing w:after="0" w:line="360" w:lineRule="auto"/>
      </w:pPr>
    </w:p>
    <w:p w14:paraId="26F59F04" w14:textId="77777777" w:rsidR="00253B74" w:rsidRPr="00B13D8B" w:rsidRDefault="00B76585" w:rsidP="00CB56D6">
      <w:pPr>
        <w:pStyle w:val="Ttulo2"/>
        <w:spacing w:before="0"/>
        <w:rPr>
          <w:rFonts w:ascii="Palatino Linotype" w:eastAsia="Palatino Linotype" w:hAnsi="Palatino Linotype" w:cs="Palatino Linotype"/>
          <w:b/>
          <w:color w:val="000000"/>
          <w:sz w:val="22"/>
          <w:szCs w:val="22"/>
        </w:rPr>
      </w:pPr>
      <w:bookmarkStart w:id="13" w:name="_Toc193985530"/>
      <w:r w:rsidRPr="00B13D8B">
        <w:rPr>
          <w:rFonts w:ascii="Palatino Linotype" w:eastAsia="Palatino Linotype" w:hAnsi="Palatino Linotype" w:cs="Palatino Linotype"/>
          <w:b/>
          <w:color w:val="000000"/>
          <w:sz w:val="22"/>
          <w:szCs w:val="22"/>
        </w:rPr>
        <w:lastRenderedPageBreak/>
        <w:t>CUARTO. Marco normativo aplicable en materia de transparencia y acceso a la información pública</w:t>
      </w:r>
      <w:bookmarkEnd w:id="13"/>
    </w:p>
    <w:p w14:paraId="37E215C6" w14:textId="77777777" w:rsidR="00253B74" w:rsidRPr="00B13D8B" w:rsidRDefault="00253B74" w:rsidP="00910E6B">
      <w:pPr>
        <w:spacing w:after="0" w:line="360" w:lineRule="auto"/>
        <w:rPr>
          <w:color w:val="000000"/>
        </w:rPr>
      </w:pPr>
    </w:p>
    <w:p w14:paraId="776A250B" w14:textId="77777777" w:rsidR="00253B74" w:rsidRPr="00B13D8B" w:rsidRDefault="00B76585" w:rsidP="00910E6B">
      <w:pPr>
        <w:spacing w:after="0" w:line="360" w:lineRule="auto"/>
        <w:rPr>
          <w:color w:val="000000"/>
        </w:rPr>
      </w:pPr>
      <w:r w:rsidRPr="00B13D8B">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E1C0837" w14:textId="77777777" w:rsidR="00253B74" w:rsidRPr="00B13D8B" w:rsidRDefault="00253B74" w:rsidP="00910E6B">
      <w:pPr>
        <w:spacing w:after="0" w:line="360" w:lineRule="auto"/>
        <w:rPr>
          <w:color w:val="000000"/>
        </w:rPr>
      </w:pPr>
    </w:p>
    <w:p w14:paraId="5C8A48EF" w14:textId="77777777" w:rsidR="00253B74" w:rsidRPr="00B13D8B" w:rsidRDefault="00B76585" w:rsidP="00910E6B">
      <w:pPr>
        <w:spacing w:after="0" w:line="360" w:lineRule="auto"/>
        <w:rPr>
          <w:color w:val="000000"/>
        </w:rPr>
      </w:pPr>
      <w:r w:rsidRPr="00B13D8B">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2DA2647" w14:textId="77777777" w:rsidR="00CB56D6" w:rsidRPr="00B13D8B" w:rsidRDefault="00CB56D6" w:rsidP="00910E6B">
      <w:pPr>
        <w:spacing w:after="0" w:line="360" w:lineRule="auto"/>
        <w:rPr>
          <w:color w:val="000000"/>
        </w:rPr>
      </w:pPr>
    </w:p>
    <w:p w14:paraId="2CD0552C" w14:textId="77777777" w:rsidR="00253B74" w:rsidRPr="00B13D8B" w:rsidRDefault="00B76585" w:rsidP="00910E6B">
      <w:pPr>
        <w:spacing w:after="0" w:line="360" w:lineRule="auto"/>
        <w:rPr>
          <w:color w:val="000000"/>
        </w:rPr>
      </w:pPr>
      <w:r w:rsidRPr="00B13D8B">
        <w:rPr>
          <w:color w:val="000000"/>
        </w:rPr>
        <w:t>Por su parte, la Ley de Transparencia y Acceso a la Información Pública del Estado de México y Municipios (Reglamentaria del artículo 5° de la Constitución Local), establece lo siguiente:</w:t>
      </w:r>
    </w:p>
    <w:p w14:paraId="4F604A22" w14:textId="77777777" w:rsidR="00253B74" w:rsidRPr="00B13D8B" w:rsidRDefault="00253B74" w:rsidP="00910E6B">
      <w:pPr>
        <w:spacing w:after="0" w:line="360" w:lineRule="auto"/>
        <w:rPr>
          <w:color w:val="000000"/>
        </w:rPr>
      </w:pPr>
    </w:p>
    <w:p w14:paraId="3C08C954" w14:textId="77777777" w:rsidR="00253B74" w:rsidRPr="00B13D8B" w:rsidRDefault="00B76585" w:rsidP="00910E6B">
      <w:pPr>
        <w:spacing w:after="0" w:line="360" w:lineRule="auto"/>
        <w:rPr>
          <w:color w:val="000000"/>
        </w:rPr>
      </w:pPr>
      <w:r w:rsidRPr="00B13D8B">
        <w:rPr>
          <w:color w:val="000000"/>
        </w:rPr>
        <w:t>El artículo 12, que, quienes generen, recopilen, administren, manejen, procesen, archiven o conserven información pública serán responsables de la misma.</w:t>
      </w:r>
    </w:p>
    <w:p w14:paraId="3820603A" w14:textId="77777777" w:rsidR="00253B74" w:rsidRPr="00B13D8B" w:rsidRDefault="00253B74" w:rsidP="00910E6B">
      <w:pPr>
        <w:spacing w:after="0" w:line="360" w:lineRule="auto"/>
        <w:rPr>
          <w:color w:val="000000"/>
        </w:rPr>
      </w:pPr>
    </w:p>
    <w:p w14:paraId="4D185A33" w14:textId="77777777" w:rsidR="00253B74" w:rsidRPr="00B13D8B" w:rsidRDefault="00B76585" w:rsidP="00910E6B">
      <w:pPr>
        <w:widowControl w:val="0"/>
        <w:spacing w:after="0" w:line="360" w:lineRule="auto"/>
        <w:rPr>
          <w:color w:val="000000"/>
        </w:rPr>
      </w:pPr>
      <w:r w:rsidRPr="00B13D8B">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A493B28" w14:textId="77777777" w:rsidR="00253B74" w:rsidRPr="00B13D8B" w:rsidRDefault="00253B74" w:rsidP="00910E6B">
      <w:pPr>
        <w:widowControl w:val="0"/>
        <w:spacing w:after="0" w:line="360" w:lineRule="auto"/>
        <w:rPr>
          <w:color w:val="000000"/>
        </w:rPr>
      </w:pPr>
    </w:p>
    <w:p w14:paraId="266F4533" w14:textId="77777777" w:rsidR="00253B74" w:rsidRPr="00B13D8B" w:rsidRDefault="00B76585" w:rsidP="00910E6B">
      <w:pPr>
        <w:spacing w:after="0" w:line="360" w:lineRule="auto"/>
        <w:rPr>
          <w:color w:val="000000"/>
        </w:rPr>
      </w:pPr>
      <w:r w:rsidRPr="00B13D8B">
        <w:rPr>
          <w:color w:val="000000"/>
        </w:rPr>
        <w:t xml:space="preserve">El artículo 19, que, se presume que la información debe existir si se refiere a las facultades, competencias y funciones que los ordenamientos jurídicos aplicables otorgan a los sujetos </w:t>
      </w:r>
      <w:r w:rsidRPr="00B13D8B">
        <w:rPr>
          <w:color w:val="000000"/>
        </w:rPr>
        <w:lastRenderedPageBreak/>
        <w:t>obligados y en caso de que dichas facultades no se hayan ejercido, se deberá motivar la respuesta en función de las causas que motivaron tal circunstancia.</w:t>
      </w:r>
    </w:p>
    <w:p w14:paraId="15BE7CF0" w14:textId="77777777" w:rsidR="00253B74" w:rsidRPr="00B13D8B" w:rsidRDefault="00253B74" w:rsidP="00910E6B">
      <w:pPr>
        <w:spacing w:after="0" w:line="360" w:lineRule="auto"/>
      </w:pPr>
    </w:p>
    <w:p w14:paraId="47CBBAA2" w14:textId="77777777" w:rsidR="00253B74" w:rsidRPr="00B13D8B" w:rsidRDefault="00B76585" w:rsidP="00CB56D6">
      <w:pPr>
        <w:pStyle w:val="Ttulo2"/>
        <w:spacing w:before="0"/>
        <w:rPr>
          <w:rFonts w:ascii="Palatino Linotype" w:eastAsia="Palatino Linotype" w:hAnsi="Palatino Linotype" w:cs="Palatino Linotype"/>
          <w:b/>
          <w:color w:val="000000"/>
          <w:sz w:val="22"/>
          <w:szCs w:val="22"/>
        </w:rPr>
      </w:pPr>
      <w:bookmarkStart w:id="14" w:name="_Toc193985531"/>
      <w:r w:rsidRPr="00B13D8B">
        <w:rPr>
          <w:rFonts w:ascii="Palatino Linotype" w:eastAsia="Palatino Linotype" w:hAnsi="Palatino Linotype" w:cs="Palatino Linotype"/>
          <w:b/>
          <w:color w:val="000000"/>
          <w:sz w:val="22"/>
          <w:szCs w:val="22"/>
        </w:rPr>
        <w:t>QUINTO. Estudio de Fondo</w:t>
      </w:r>
      <w:bookmarkEnd w:id="14"/>
    </w:p>
    <w:p w14:paraId="6DC3C293" w14:textId="77777777" w:rsidR="00253B74" w:rsidRPr="00B13D8B" w:rsidRDefault="00253B74" w:rsidP="00910E6B">
      <w:pPr>
        <w:spacing w:after="0" w:line="360" w:lineRule="auto"/>
        <w:rPr>
          <w:b/>
          <w:color w:val="000000"/>
        </w:rPr>
      </w:pPr>
    </w:p>
    <w:p w14:paraId="0ED5556A" w14:textId="7F3E1E80" w:rsidR="001F5092" w:rsidRPr="00B13D8B" w:rsidRDefault="001F5092" w:rsidP="00910E6B">
      <w:pPr>
        <w:widowControl w:val="0"/>
        <w:spacing w:after="0" w:line="360" w:lineRule="auto"/>
        <w:rPr>
          <w:rFonts w:eastAsia="Times New Roman" w:cs="Tahoma"/>
        </w:rPr>
      </w:pPr>
      <w:r w:rsidRPr="00B13D8B">
        <w:rPr>
          <w:rFonts w:eastAsia="Times New Roman" w:cs="Tahoma"/>
        </w:rPr>
        <w:t xml:space="preserve">Expuestas las posturas de las partes, se procede al análisis del agravio hecho valer por la persona Recurrente, concerniente a la entrega de </w:t>
      </w:r>
      <w:r w:rsidR="00910E6B" w:rsidRPr="00B13D8B">
        <w:rPr>
          <w:rFonts w:eastAsia="Times New Roman" w:cs="Tahoma"/>
        </w:rPr>
        <w:t>un documento que no corresponde con lo solicitado</w:t>
      </w:r>
      <w:r w:rsidRPr="00B13D8B">
        <w:rPr>
          <w:rFonts w:eastAsia="Times New Roman" w:cs="Tahoma"/>
        </w:rPr>
        <w:t>.</w:t>
      </w:r>
    </w:p>
    <w:p w14:paraId="293A8D64" w14:textId="77777777" w:rsidR="001F5092" w:rsidRPr="00B13D8B" w:rsidRDefault="001F5092" w:rsidP="00910E6B">
      <w:pPr>
        <w:widowControl w:val="0"/>
        <w:spacing w:after="0" w:line="360" w:lineRule="auto"/>
        <w:rPr>
          <w:rFonts w:eastAsia="Times New Roman" w:cs="Tahoma"/>
        </w:rPr>
      </w:pPr>
    </w:p>
    <w:p w14:paraId="464EEC8D" w14:textId="77777777" w:rsidR="001F5092" w:rsidRPr="00B13D8B" w:rsidRDefault="001F5092" w:rsidP="00910E6B">
      <w:pPr>
        <w:spacing w:after="0" w:line="360" w:lineRule="auto"/>
        <w:rPr>
          <w:rFonts w:eastAsia="Calibri" w:cs="Tahoma"/>
          <w:bCs/>
        </w:rPr>
      </w:pPr>
      <w:r w:rsidRPr="00B13D8B">
        <w:rPr>
          <w:rFonts w:eastAsia="Calibri" w:cs="Tahoma"/>
          <w:bC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5CD5B20A" w14:textId="77777777" w:rsidR="001F5092" w:rsidRPr="00B13D8B" w:rsidRDefault="001F5092" w:rsidP="00910E6B">
      <w:pPr>
        <w:spacing w:after="0" w:line="360" w:lineRule="auto"/>
        <w:rPr>
          <w:rFonts w:eastAsia="Calibri" w:cs="Tahoma"/>
          <w:bCs/>
        </w:rPr>
      </w:pPr>
    </w:p>
    <w:p w14:paraId="0A4A61C4" w14:textId="426ECF84" w:rsidR="001F5092" w:rsidRPr="00B13D8B" w:rsidRDefault="001F5092" w:rsidP="00910E6B">
      <w:pPr>
        <w:numPr>
          <w:ilvl w:val="0"/>
          <w:numId w:val="14"/>
        </w:numPr>
        <w:spacing w:after="0" w:line="360" w:lineRule="auto"/>
        <w:contextualSpacing/>
        <w:rPr>
          <w:rFonts w:eastAsia="Calibri" w:cs="Tahoma"/>
          <w:bCs/>
        </w:rPr>
      </w:pPr>
      <w:r w:rsidRPr="00B13D8B">
        <w:rPr>
          <w:rFonts w:eastAsia="Calibri" w:cs="Tahoma"/>
          <w:bCs/>
        </w:rPr>
        <w:t>Proveer lo necesario para garantizar a toda persona el derecho de acceso a la información pública, a través de procedimientos sencillos, expeditos, oportunos y gratuitos;</w:t>
      </w:r>
    </w:p>
    <w:p w14:paraId="155DD50A" w14:textId="3CC40C08" w:rsidR="001F5092" w:rsidRPr="00B13D8B" w:rsidRDefault="001F5092" w:rsidP="00910E6B">
      <w:pPr>
        <w:numPr>
          <w:ilvl w:val="0"/>
          <w:numId w:val="14"/>
        </w:numPr>
        <w:spacing w:after="0" w:line="360" w:lineRule="auto"/>
        <w:contextualSpacing/>
        <w:rPr>
          <w:rFonts w:eastAsia="Calibri" w:cs="Tahoma"/>
          <w:bCs/>
        </w:rPr>
      </w:pPr>
      <w:r w:rsidRPr="00B13D8B">
        <w:rPr>
          <w:rFonts w:eastAsia="Calibri" w:cs="Tahoma"/>
          <w:bCs/>
        </w:rPr>
        <w:t>Transparentar la gestión pública, mediante la difusión de la información generada por los Sujetos Obligados, y</w:t>
      </w:r>
    </w:p>
    <w:p w14:paraId="4BC2AC16" w14:textId="77777777" w:rsidR="001F5092" w:rsidRPr="00B13D8B" w:rsidRDefault="001F5092" w:rsidP="00910E6B">
      <w:pPr>
        <w:numPr>
          <w:ilvl w:val="0"/>
          <w:numId w:val="14"/>
        </w:numPr>
        <w:spacing w:after="0" w:line="360" w:lineRule="auto"/>
        <w:contextualSpacing/>
        <w:rPr>
          <w:rFonts w:eastAsia="Calibri" w:cs="Tahoma"/>
          <w:bCs/>
        </w:rPr>
      </w:pPr>
      <w:r w:rsidRPr="00B13D8B">
        <w:rPr>
          <w:rFonts w:eastAsia="Calibri" w:cs="Tahoma"/>
          <w:bCs/>
        </w:rPr>
        <w:t>Promover, fomentar y difundir la cultura de la transparencia en el ejercicio de la función pública, el acceso a la información y la participación ciudadana, así como, la rendición de cuentas.</w:t>
      </w:r>
    </w:p>
    <w:p w14:paraId="06509E77" w14:textId="77777777" w:rsidR="001F5092" w:rsidRPr="00B13D8B" w:rsidRDefault="001F5092" w:rsidP="00910E6B">
      <w:pPr>
        <w:spacing w:after="0" w:line="360" w:lineRule="auto"/>
        <w:rPr>
          <w:rFonts w:eastAsia="Calibri" w:cs="Tahoma"/>
          <w:bCs/>
        </w:rPr>
      </w:pPr>
    </w:p>
    <w:p w14:paraId="01A7F79A" w14:textId="68404250" w:rsidR="002474BA" w:rsidRPr="00B13D8B" w:rsidRDefault="001F5092" w:rsidP="00910E6B">
      <w:pPr>
        <w:tabs>
          <w:tab w:val="left" w:pos="4962"/>
        </w:tabs>
        <w:spacing w:after="0" w:line="360" w:lineRule="auto"/>
        <w:rPr>
          <w:rFonts w:eastAsia="Calibri" w:cs="Tahoma"/>
          <w:bCs/>
        </w:rPr>
      </w:pPr>
      <w:r w:rsidRPr="00B13D8B">
        <w:rPr>
          <w:rFonts w:eastAsia="Calibri" w:cs="Tahoma"/>
          <w:bCs/>
        </w:rPr>
        <w:t xml:space="preserve">Conforme a lo anterior, se desprende que </w:t>
      </w:r>
      <w:r w:rsidRPr="00B13D8B">
        <w:rPr>
          <w:rFonts w:eastAsia="Calibri" w:cs="Tahoma"/>
          <w:b/>
          <w:bCs/>
        </w:rPr>
        <w:t xml:space="preserve">los objetivos de la Ley de la </w:t>
      </w:r>
      <w:r w:rsidR="002D666E" w:rsidRPr="00B13D8B">
        <w:rPr>
          <w:rFonts w:eastAsia="Calibri" w:cs="Tahoma"/>
          <w:b/>
          <w:bCs/>
        </w:rPr>
        <w:t>materia</w:t>
      </w:r>
      <w:r w:rsidRPr="00B13D8B">
        <w:rPr>
          <w:rFonts w:eastAsia="Calibri" w:cs="Tahoma"/>
          <w:bCs/>
        </w:rPr>
        <w:t xml:space="preserve"> son establecer las bases que regirán las formas para garantizar el derecho de acceso a la información, </w:t>
      </w:r>
      <w:r w:rsidRPr="00B13D8B">
        <w:rPr>
          <w:rFonts w:eastAsia="Calibri" w:cs="Tahoma"/>
          <w:bCs/>
        </w:rPr>
        <w:lastRenderedPageBreak/>
        <w:t>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r w:rsidR="00866DE2" w:rsidRPr="00B13D8B">
        <w:rPr>
          <w:rFonts w:eastAsia="Calibri" w:cs="Tahoma"/>
          <w:bCs/>
        </w:rPr>
        <w:t xml:space="preserve">. </w:t>
      </w:r>
    </w:p>
    <w:p w14:paraId="79AAA26A" w14:textId="77777777" w:rsidR="00866DE2" w:rsidRPr="00B13D8B" w:rsidRDefault="00866DE2" w:rsidP="00910E6B">
      <w:pPr>
        <w:tabs>
          <w:tab w:val="left" w:pos="4962"/>
        </w:tabs>
        <w:spacing w:after="0" w:line="360" w:lineRule="auto"/>
        <w:rPr>
          <w:rFonts w:eastAsia="Calibri" w:cs="Tahoma"/>
          <w:bCs/>
        </w:rPr>
      </w:pPr>
    </w:p>
    <w:p w14:paraId="5DD65128" w14:textId="77777777" w:rsidR="00866DE2" w:rsidRPr="00B13D8B" w:rsidRDefault="00866DE2" w:rsidP="00910E6B">
      <w:pPr>
        <w:spacing w:after="0" w:line="360" w:lineRule="auto"/>
        <w:rPr>
          <w:rFonts w:eastAsia="Calibri" w:cs="Tahoma"/>
          <w:bCs/>
        </w:rPr>
      </w:pPr>
      <w:r w:rsidRPr="00B13D8B">
        <w:rPr>
          <w:rFonts w:eastAsia="Calibri" w:cs="Tahoma"/>
          <w:bCs/>
        </w:rPr>
        <w:t xml:space="preserve">En ese orden de ideas, para la atención de las solicitudes de acceso a la información, debe privilegiarse el </w:t>
      </w:r>
      <w:r w:rsidRPr="00B13D8B">
        <w:rPr>
          <w:rFonts w:eastAsia="Calibri" w:cs="Tahoma"/>
          <w:b/>
          <w:bCs/>
        </w:rPr>
        <w:t>principio de máxima publicidad</w:t>
      </w:r>
      <w:r w:rsidRPr="00B13D8B">
        <w:rPr>
          <w:rFonts w:eastAsia="Calibri" w:cs="Tahoma"/>
          <w:bC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1AFC585B" w14:textId="77777777" w:rsidR="00866DE2" w:rsidRPr="00B13D8B" w:rsidRDefault="00866DE2" w:rsidP="00910E6B">
      <w:pPr>
        <w:tabs>
          <w:tab w:val="left" w:pos="4962"/>
        </w:tabs>
        <w:spacing w:after="0" w:line="360" w:lineRule="auto"/>
      </w:pPr>
    </w:p>
    <w:p w14:paraId="026F1054" w14:textId="5FC96F78" w:rsidR="009231B6" w:rsidRPr="00B13D8B" w:rsidRDefault="002474BA" w:rsidP="00910E6B">
      <w:pPr>
        <w:spacing w:after="0" w:line="360" w:lineRule="auto"/>
      </w:pPr>
      <w:r w:rsidRPr="00B13D8B">
        <w:t>Al respecto, se advierte que el Particular pretende conocer de información relacionada con las personas servidoras públicas del Sujeto Obligado</w:t>
      </w:r>
      <w:r w:rsidR="009231B6" w:rsidRPr="00B13D8B">
        <w:t>, esto es su nombre y categoría, información que quedó satisfecha con la entrega del documento; sin embargo requirió el sueldo que se cubre por su trabajo en este dos mil veinticinco, no obstante lo anterior, respecto del sueldo, se entregó sólo un monto bruto y se testó la celda que corresponde al periodo de pago, además se eliminaron otros datos como el RFC, el C.P</w:t>
      </w:r>
      <w:r w:rsidR="00011FAC" w:rsidRPr="00B13D8B">
        <w:t>, la clave de empleado</w:t>
      </w:r>
      <w:r w:rsidR="009231B6" w:rsidRPr="00B13D8B">
        <w:t xml:space="preserve"> y el monto global pagado a todos los servidores públicos, sin un acuerdo de clasificación.</w:t>
      </w:r>
    </w:p>
    <w:p w14:paraId="4BB7096A" w14:textId="77777777" w:rsidR="009231B6" w:rsidRPr="00B13D8B" w:rsidRDefault="009231B6" w:rsidP="00910E6B">
      <w:pPr>
        <w:spacing w:after="0" w:line="360" w:lineRule="auto"/>
      </w:pPr>
    </w:p>
    <w:p w14:paraId="2D7C4BAE" w14:textId="6DE34948" w:rsidR="009231B6" w:rsidRPr="00B13D8B" w:rsidRDefault="009231B6" w:rsidP="00910E6B">
      <w:pPr>
        <w:spacing w:after="0" w:line="360" w:lineRule="auto"/>
      </w:pPr>
      <w:r w:rsidRPr="00B13D8B">
        <w:t>Es de precisar que, se advierte que no se trata de un documento que se elabore en cumplimiento a alguna disposición normativa, ya que no es un tabulador de sueldos, la nómina, la conciliación de nómina, etc., pero al entregarse en versión pública, se puede identificar que se trata de un documento que obra en sus archivos, pero no se entregó con el acuerdo de clasificación en donde se funde y motive la clasificación de la información.</w:t>
      </w:r>
    </w:p>
    <w:p w14:paraId="2502C52F" w14:textId="77777777" w:rsidR="004705C8" w:rsidRPr="00B13D8B" w:rsidRDefault="004705C8" w:rsidP="00910E6B">
      <w:pPr>
        <w:spacing w:after="0" w:line="360" w:lineRule="auto"/>
      </w:pPr>
    </w:p>
    <w:p w14:paraId="41F605C0" w14:textId="7CC67E50" w:rsidR="003502D5" w:rsidRPr="00B13D8B" w:rsidRDefault="009231B6" w:rsidP="00910E6B">
      <w:pPr>
        <w:spacing w:after="0" w:line="360" w:lineRule="auto"/>
      </w:pPr>
      <w:r w:rsidRPr="00B13D8B">
        <w:t xml:space="preserve">De ahí que se puede advertir que de la información solicitada se atienden dos </w:t>
      </w:r>
      <w:r w:rsidR="000549C4" w:rsidRPr="00B13D8B">
        <w:t>puntos</w:t>
      </w:r>
      <w:r w:rsidRPr="00B13D8B">
        <w:t xml:space="preserve"> que s</w:t>
      </w:r>
      <w:r w:rsidR="000549C4" w:rsidRPr="00B13D8B">
        <w:t>on</w:t>
      </w:r>
      <w:r w:rsidRPr="00B13D8B">
        <w:t xml:space="preserve"> el nombre de los servidores públicos y su cargo,</w:t>
      </w:r>
      <w:r w:rsidR="003502D5" w:rsidRPr="00B13D8B">
        <w:t xml:space="preserve"> esto en el entendido de que si bien pidió categoría, se entiende que solicita el cargo ya que incluso dentro del rubro categoría, entregó el cargo de cada servidor público. Ahora bien, para el caso de que además de cargo se tenga categoría esta también debió incluirse, entendida como tal, para el caso de las personas con el mismo cargo pero diferente sueldo, como se observó en el documento de respuesta para el caso del cargo de Auxiliar General.</w:t>
      </w:r>
    </w:p>
    <w:p w14:paraId="5DEF3C47" w14:textId="77777777" w:rsidR="003502D5" w:rsidRPr="00B13D8B" w:rsidRDefault="003502D5" w:rsidP="00910E6B">
      <w:pPr>
        <w:spacing w:after="0" w:line="360" w:lineRule="auto"/>
      </w:pPr>
    </w:p>
    <w:p w14:paraId="261D9241" w14:textId="17DA510D" w:rsidR="009231B6" w:rsidRPr="00B13D8B" w:rsidRDefault="003502D5" w:rsidP="00910E6B">
      <w:pPr>
        <w:spacing w:after="0" w:line="360" w:lineRule="auto"/>
      </w:pPr>
      <w:r w:rsidRPr="00B13D8B">
        <w:t xml:space="preserve">Para el </w:t>
      </w:r>
      <w:r w:rsidR="000549C4" w:rsidRPr="00B13D8B">
        <w:t>salario no puede tenerse por atenido ya que sólo se entrega un monto bruto sin identificar el periodo al que corresponde, pues la celda respectiva se testó, lo que no permite conocer si se trata del sueldo mensual o quincenal. Además una forma de brindar certeza sobre el salario de los servidores públicos, cuando no se hace la precisión por parte del solicitante es entregar tanto el sueldo bruto como el neto y, en este caso no es posible identificar el monto dado el testado que se realizó.</w:t>
      </w:r>
    </w:p>
    <w:p w14:paraId="143FDAC3" w14:textId="77777777" w:rsidR="000549C4" w:rsidRPr="00B13D8B" w:rsidRDefault="000549C4" w:rsidP="00910E6B">
      <w:pPr>
        <w:spacing w:after="0" w:line="360" w:lineRule="auto"/>
      </w:pPr>
    </w:p>
    <w:p w14:paraId="5628753D" w14:textId="4E441609" w:rsidR="000549C4" w:rsidRPr="00B13D8B" w:rsidRDefault="000549C4" w:rsidP="00910E6B">
      <w:pPr>
        <w:spacing w:after="0" w:line="360" w:lineRule="auto"/>
      </w:pPr>
      <w:r w:rsidRPr="00B13D8B">
        <w:t>Es por ello que si bien, el documento entregado satisface dos puntos de lo solicitado, se puede advertir que el salario bruto entregado en efecto no corresponde con lo solicitado, de tal suerte que el agravio del Particular resulta parcialmente fundado, ya que esto no puede aplicarse al documento completo, pero sí a la información; esto es, no es que el documento entregado no corresponda con lo solicitado, sino el dato del salario no corresponde con lo solicitado, además de que cuenta con un testado excesivo al haberse eliminado información pública</w:t>
      </w:r>
      <w:r w:rsidR="00600DFB" w:rsidRPr="00B13D8B">
        <w:t>, no obstante que esta no haya sido solicitada y, no puede tenerse por satisfecha la respuesta pues tampoco  no entregó el acuerdo de clasificación de los datos testados.</w:t>
      </w:r>
    </w:p>
    <w:p w14:paraId="20B5CB81" w14:textId="77777777" w:rsidR="009231B6" w:rsidRPr="00B13D8B" w:rsidRDefault="009231B6" w:rsidP="00910E6B">
      <w:pPr>
        <w:spacing w:after="0" w:line="360" w:lineRule="auto"/>
      </w:pPr>
    </w:p>
    <w:p w14:paraId="23DFD2E2" w14:textId="701F63DC" w:rsidR="002474BA" w:rsidRPr="00B13D8B" w:rsidRDefault="002474BA" w:rsidP="00910E6B">
      <w:pPr>
        <w:spacing w:after="0" w:line="360" w:lineRule="auto"/>
        <w:rPr>
          <w:b/>
        </w:rPr>
      </w:pPr>
      <w:r w:rsidRPr="00B13D8B">
        <w:t>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w:t>
      </w:r>
      <w:r w:rsidR="004705C8" w:rsidRPr="00B13D8B">
        <w:t>, vigentes a la fecha de la solicitud</w:t>
      </w:r>
      <w:r w:rsidRPr="00B13D8B">
        <w:t xml:space="preserve">, los sujetos obligados no podrán emitir acuerdos de carácter general que clasifiquen documentos o expedientes; por lo que, la clasificación de información se llevará a cabo mediante un </w:t>
      </w:r>
      <w:r w:rsidRPr="00B13D8B">
        <w:rPr>
          <w:b/>
        </w:rPr>
        <w:t>análisis caso por caso.</w:t>
      </w:r>
    </w:p>
    <w:p w14:paraId="5CA9E923" w14:textId="77777777" w:rsidR="002474BA" w:rsidRPr="00B13D8B" w:rsidRDefault="002474BA" w:rsidP="00910E6B">
      <w:pPr>
        <w:spacing w:after="0" w:line="360" w:lineRule="auto"/>
        <w:rPr>
          <w:b/>
        </w:rPr>
      </w:pPr>
    </w:p>
    <w:p w14:paraId="7D61D707" w14:textId="77777777" w:rsidR="002474BA" w:rsidRPr="00B13D8B" w:rsidRDefault="002474BA" w:rsidP="00910E6B">
      <w:pPr>
        <w:spacing w:after="0" w:line="360" w:lineRule="auto"/>
      </w:pPr>
      <w:r w:rsidRPr="00B13D8B">
        <w:t xml:space="preserve">Además, el artículo 131 de la Ley referida, así como el Quinto de los Lineamientos Generales, establecen que los sujetos obligados </w:t>
      </w:r>
      <w:r w:rsidRPr="00B13D8B">
        <w:rPr>
          <w:b/>
        </w:rPr>
        <w:t>deberán fundar y motivar</w:t>
      </w:r>
      <w:r w:rsidRPr="00B13D8B">
        <w:t xml:space="preserve"> debidamente la clasificación de la información.</w:t>
      </w:r>
    </w:p>
    <w:p w14:paraId="2D83164A" w14:textId="77777777" w:rsidR="002474BA" w:rsidRPr="00B13D8B" w:rsidRDefault="002474BA" w:rsidP="00910E6B">
      <w:pPr>
        <w:spacing w:after="0" w:line="360" w:lineRule="auto"/>
        <w:rPr>
          <w:b/>
        </w:rPr>
      </w:pPr>
    </w:p>
    <w:p w14:paraId="18FADA58" w14:textId="77777777" w:rsidR="002474BA" w:rsidRPr="00B13D8B" w:rsidRDefault="002474BA" w:rsidP="00910E6B">
      <w:pPr>
        <w:spacing w:after="0" w:line="360" w:lineRule="auto"/>
      </w:pPr>
      <w:r w:rsidRPr="00B13D8B">
        <w:t>Al respecto, el Octavo de los Lineamientos Generales, precisa lo siguiente:</w:t>
      </w:r>
    </w:p>
    <w:p w14:paraId="6A97240E" w14:textId="77777777" w:rsidR="002474BA" w:rsidRPr="00B13D8B" w:rsidRDefault="002474BA" w:rsidP="00910E6B">
      <w:pPr>
        <w:spacing w:after="0" w:line="360" w:lineRule="auto"/>
      </w:pPr>
    </w:p>
    <w:p w14:paraId="434F0EDE" w14:textId="77777777" w:rsidR="002474BA" w:rsidRPr="00B13D8B" w:rsidRDefault="002474BA" w:rsidP="00910E6B">
      <w:pPr>
        <w:numPr>
          <w:ilvl w:val="0"/>
          <w:numId w:val="13"/>
        </w:numPr>
        <w:spacing w:after="0" w:line="360" w:lineRule="auto"/>
      </w:pPr>
      <w:r w:rsidRPr="00B13D8B">
        <w:rPr>
          <w:b/>
        </w:rPr>
        <w:t>Para fundar la clasificación</w:t>
      </w:r>
      <w:r w:rsidRPr="00B13D8B">
        <w:t xml:space="preserve"> de la información se deberán señalar el artículo, fracción, inciso, párrafo o numeral de la Ley aplicable;</w:t>
      </w:r>
    </w:p>
    <w:p w14:paraId="4AFA3610" w14:textId="77777777" w:rsidR="002474BA" w:rsidRPr="00B13D8B" w:rsidRDefault="002474BA" w:rsidP="00910E6B">
      <w:pPr>
        <w:spacing w:after="0" w:line="360" w:lineRule="auto"/>
      </w:pPr>
    </w:p>
    <w:p w14:paraId="7BF8CE5D" w14:textId="77777777" w:rsidR="002474BA" w:rsidRPr="00B13D8B" w:rsidRDefault="002474BA" w:rsidP="00910E6B">
      <w:pPr>
        <w:numPr>
          <w:ilvl w:val="0"/>
          <w:numId w:val="13"/>
        </w:numPr>
        <w:spacing w:after="0" w:line="360" w:lineRule="auto"/>
      </w:pPr>
      <w:r w:rsidRPr="00B13D8B">
        <w:rPr>
          <w:b/>
        </w:rPr>
        <w:t>Para motivar la clasificación</w:t>
      </w:r>
      <w:r w:rsidRPr="00B13D8B">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2FB3ECC9" w14:textId="77777777" w:rsidR="002474BA" w:rsidRPr="00B13D8B" w:rsidRDefault="002474BA" w:rsidP="00910E6B">
      <w:pPr>
        <w:spacing w:after="0" w:line="360" w:lineRule="auto"/>
      </w:pPr>
      <w:r w:rsidRPr="00B13D8B">
        <w:t>Conforme a lo anterior, se advierte lo siguiente:</w:t>
      </w:r>
    </w:p>
    <w:p w14:paraId="248F9E9B" w14:textId="77777777" w:rsidR="002474BA" w:rsidRPr="00B13D8B" w:rsidRDefault="002474BA" w:rsidP="00910E6B">
      <w:pPr>
        <w:spacing w:after="0" w:line="360" w:lineRule="auto"/>
      </w:pPr>
    </w:p>
    <w:p w14:paraId="34C47401" w14:textId="77777777" w:rsidR="002474BA" w:rsidRPr="00B13D8B" w:rsidRDefault="002474BA" w:rsidP="00910E6B">
      <w:pPr>
        <w:numPr>
          <w:ilvl w:val="0"/>
          <w:numId w:val="10"/>
        </w:numPr>
        <w:spacing w:after="0" w:line="360" w:lineRule="auto"/>
        <w:rPr>
          <w:b/>
        </w:rPr>
      </w:pPr>
      <w:r w:rsidRPr="00B13D8B">
        <w:rPr>
          <w:b/>
        </w:rPr>
        <w:lastRenderedPageBreak/>
        <w:t xml:space="preserve">Fundamentación: </w:t>
      </w:r>
      <w:r w:rsidRPr="00B13D8B">
        <w:t>Obligación de la autoridad que emite un acto, para citar los preceptos legales, sustantivos y adjetivos, en que se apoye para la determinación tomada.</w:t>
      </w:r>
    </w:p>
    <w:p w14:paraId="6FA32014" w14:textId="77777777" w:rsidR="002474BA" w:rsidRPr="00B13D8B" w:rsidRDefault="002474BA" w:rsidP="00910E6B">
      <w:pPr>
        <w:spacing w:after="0" w:line="360" w:lineRule="auto"/>
        <w:rPr>
          <w:b/>
        </w:rPr>
      </w:pPr>
    </w:p>
    <w:p w14:paraId="601297AC" w14:textId="77777777" w:rsidR="002474BA" w:rsidRPr="00B13D8B" w:rsidRDefault="002474BA" w:rsidP="00910E6B">
      <w:pPr>
        <w:numPr>
          <w:ilvl w:val="0"/>
          <w:numId w:val="10"/>
        </w:numPr>
        <w:spacing w:after="0" w:line="360" w:lineRule="auto"/>
        <w:rPr>
          <w:b/>
        </w:rPr>
      </w:pPr>
      <w:r w:rsidRPr="00B13D8B">
        <w:rPr>
          <w:b/>
        </w:rPr>
        <w:t xml:space="preserve">Motivación: </w:t>
      </w:r>
      <w:r w:rsidRPr="00B13D8B">
        <w:t>Razonamientos lógico-jurídicos sobre porque se consideró en el caso en concreto, que se ajusta a la hipótesis normativa.</w:t>
      </w:r>
    </w:p>
    <w:p w14:paraId="44519DCA" w14:textId="77777777" w:rsidR="002474BA" w:rsidRPr="00B13D8B" w:rsidRDefault="002474BA" w:rsidP="00910E6B">
      <w:pPr>
        <w:spacing w:after="0" w:line="360" w:lineRule="auto"/>
      </w:pPr>
    </w:p>
    <w:p w14:paraId="29BF5855" w14:textId="7F46EBAD" w:rsidR="00600DFB" w:rsidRPr="00B13D8B" w:rsidRDefault="002474BA" w:rsidP="00600DFB">
      <w:pPr>
        <w:spacing w:after="0" w:line="360" w:lineRule="auto"/>
      </w:pPr>
      <w:r w:rsidRPr="00B13D8B">
        <w:t xml:space="preserve">En ese orden de ideas, el </w:t>
      </w:r>
      <w:r w:rsidR="00600DFB" w:rsidRPr="00B13D8B">
        <w:t>Sexagésimo segundo</w:t>
      </w:r>
      <w:r w:rsidR="00600DFB" w:rsidRPr="00B13D8B" w:rsidDel="00600DFB">
        <w:t xml:space="preserve"> </w:t>
      </w:r>
      <w:r w:rsidRPr="00B13D8B">
        <w:t xml:space="preserve">de los Lineamientos Generales, establece </w:t>
      </w:r>
      <w:r w:rsidR="00600DFB" w:rsidRPr="00B13D8B">
        <w:t xml:space="preserve">que </w:t>
      </w:r>
      <w:r w:rsidRPr="00B13D8B">
        <w:t>la</w:t>
      </w:r>
      <w:r w:rsidR="00600DFB" w:rsidRPr="00B13D8B">
        <w:t xml:space="preserve"> información que corresponda a las obligaciones de transparencia no se puede eliminar de las versiones públicas, y el </w:t>
      </w:r>
      <w:r w:rsidRPr="00B13D8B">
        <w:t xml:space="preserve"> </w:t>
      </w:r>
      <w:r w:rsidR="00600DFB" w:rsidRPr="00B13D8B">
        <w:t>Sexagésimo tercero que la información contenida en las obligaciones de transparencia, se regirá por lo dispuesto en las leyes aplicables que deberán observar los sujetos obligados.</w:t>
      </w:r>
    </w:p>
    <w:p w14:paraId="709496FE" w14:textId="77777777" w:rsidR="00600DFB" w:rsidRPr="00B13D8B" w:rsidRDefault="00600DFB" w:rsidP="00600DFB">
      <w:pPr>
        <w:spacing w:after="0" w:line="360" w:lineRule="auto"/>
      </w:pPr>
    </w:p>
    <w:p w14:paraId="5792DAF7" w14:textId="003BCFDA" w:rsidR="00600DFB" w:rsidRPr="00B13D8B" w:rsidRDefault="00600DFB" w:rsidP="00600DFB">
      <w:pPr>
        <w:spacing w:after="0" w:line="360" w:lineRule="auto"/>
      </w:pPr>
      <w:r w:rsidRPr="00B13D8B">
        <w:t>Al respecto, si bien, no se testó el salario bruto que es lo que corresponde a las obligaciones de transparencia, dentro de estas</w:t>
      </w:r>
      <w:r w:rsidR="0040291C" w:rsidRPr="00B13D8B">
        <w:t>,</w:t>
      </w:r>
      <w:r w:rsidRPr="00B13D8B">
        <w:t xml:space="preserve"> sí se especifica que se debe publicar el salario mensual, tanto bruto como neto, de tal suerte que, testa</w:t>
      </w:r>
      <w:r w:rsidR="00CB56D6" w:rsidRPr="00B13D8B">
        <w:t>r</w:t>
      </w:r>
      <w:r w:rsidRPr="00B13D8B">
        <w:t xml:space="preserve"> el </w:t>
      </w:r>
      <w:r w:rsidR="0040291C" w:rsidRPr="00B13D8B">
        <w:t xml:space="preserve">periodo de pago, fue incorrecto ya que esa información es de carácter público y no actualiza ningún supuesto de clasificación o confidencialidad, más aún cuando se trata de información directamente vinculada con el ejercicio de recursos públicos. </w:t>
      </w:r>
      <w:r w:rsidRPr="00B13D8B">
        <w:t xml:space="preserve"> </w:t>
      </w:r>
    </w:p>
    <w:p w14:paraId="4138BE10" w14:textId="77777777" w:rsidR="00CB56D6" w:rsidRPr="00B13D8B" w:rsidRDefault="00CB56D6" w:rsidP="00600DFB">
      <w:pPr>
        <w:spacing w:after="0" w:line="360" w:lineRule="auto"/>
      </w:pPr>
    </w:p>
    <w:p w14:paraId="648AA93C" w14:textId="698CD33C" w:rsidR="0040291C" w:rsidRPr="00B13D8B" w:rsidRDefault="0040291C" w:rsidP="00600DFB">
      <w:pPr>
        <w:spacing w:after="0" w:line="360" w:lineRule="auto"/>
      </w:pPr>
      <w:r w:rsidRPr="00B13D8B">
        <w:t>Lo mismo aplica para el monto global testado, que corresponde a la suma de todo lo pagado en ese periodo que se desconoce, a todos los trabajadores, pues si bien, no fue solicitado por el Particular, también es cierto que se trata de información pública y esta no puede ser eliminada de las versiones públicas.</w:t>
      </w:r>
    </w:p>
    <w:p w14:paraId="3DFBFA31" w14:textId="77777777" w:rsidR="00CB56D6" w:rsidRPr="00B13D8B" w:rsidRDefault="00CB56D6" w:rsidP="00600DFB">
      <w:pPr>
        <w:spacing w:after="0" w:line="360" w:lineRule="auto"/>
      </w:pPr>
    </w:p>
    <w:p w14:paraId="2493E7EF" w14:textId="49A6B67F" w:rsidR="00011FAC" w:rsidRPr="00B13D8B" w:rsidRDefault="00011FAC" w:rsidP="00011FAC">
      <w:pPr>
        <w:spacing w:after="0" w:line="360" w:lineRule="auto"/>
        <w:contextualSpacing/>
        <w:rPr>
          <w:rFonts w:eastAsia="Times New Roman" w:cs="Tahoma"/>
          <w:bCs/>
          <w:iCs/>
          <w:color w:val="auto"/>
        </w:rPr>
      </w:pPr>
      <w:r w:rsidRPr="00B13D8B">
        <w:rPr>
          <w:rFonts w:eastAsia="Times New Roman" w:cs="Tahoma"/>
          <w:bCs/>
          <w:iCs/>
          <w:color w:val="auto"/>
        </w:rPr>
        <w:t xml:space="preserve">En el documento también se eliminó la clave de empleado, información que debe considerarse pública, cuando únicamente identifique a la persona como trabajador del Ayuntamiento, por lo que si bien, es un dato personal, no es clasificado, ya que, tienen que ver con su vinculación como servidor público y sólo en caso de que este dato fuera utilizado como contraseña de acceso a un sistema podría ser clasificado, al igual para el caso de que se elabore con datos personales de los trabajadores, lo que en la especia no acontece porque se advierte que el número de empleados no ascienda a más de tres cifras. </w:t>
      </w:r>
    </w:p>
    <w:p w14:paraId="2E6E9084" w14:textId="77777777" w:rsidR="00011FAC" w:rsidRPr="00B13D8B" w:rsidRDefault="00011FAC" w:rsidP="00011FAC">
      <w:pPr>
        <w:spacing w:after="0" w:line="360" w:lineRule="auto"/>
        <w:contextualSpacing/>
        <w:rPr>
          <w:rFonts w:eastAsia="Times New Roman" w:cs="Tahoma"/>
          <w:bCs/>
          <w:iCs/>
          <w:color w:val="auto"/>
        </w:rPr>
      </w:pPr>
    </w:p>
    <w:p w14:paraId="27AEEF7F" w14:textId="18FE2508" w:rsidR="0040291C" w:rsidRPr="00B13D8B" w:rsidRDefault="00011FAC" w:rsidP="00CB56D6">
      <w:pPr>
        <w:spacing w:after="0" w:line="360" w:lineRule="auto"/>
        <w:contextualSpacing/>
        <w:rPr>
          <w:i/>
          <w:iCs/>
        </w:rPr>
      </w:pPr>
      <w:r w:rsidRPr="00B13D8B">
        <w:rPr>
          <w:rFonts w:eastAsia="Times New Roman" w:cs="Tahoma"/>
          <w:bCs/>
          <w:iCs/>
          <w:color w:val="auto"/>
        </w:rPr>
        <w:t xml:space="preserve">Para sustento de lo anterior, se trae a colación el criterio del INAI </w:t>
      </w:r>
      <w:r w:rsidRPr="00B13D8B">
        <w:rPr>
          <w:i/>
          <w:iCs/>
        </w:rPr>
        <w:t>Número de empleado,</w:t>
      </w:r>
      <w:r w:rsidRPr="00B13D8B">
        <w:rPr>
          <w:rFonts w:eastAsia="Times New Roman" w:cs="Tahoma"/>
          <w:bCs/>
          <w:iCs/>
          <w:color w:val="auto"/>
        </w:rPr>
        <w:t xml:space="preserve"> con c</w:t>
      </w:r>
      <w:r w:rsidRPr="00B13D8B">
        <w:t xml:space="preserve">lave de control SO/006/2019, el cual refiere que </w:t>
      </w:r>
      <w:r w:rsidRPr="00B13D8B">
        <w:rPr>
          <w:i/>
          <w:iCs/>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744B3B15" w14:textId="77777777" w:rsidR="00011FAC" w:rsidRPr="00B13D8B" w:rsidRDefault="00011FAC" w:rsidP="00600DFB">
      <w:pPr>
        <w:spacing w:after="0" w:line="360" w:lineRule="auto"/>
      </w:pPr>
    </w:p>
    <w:p w14:paraId="0BE6EBFE" w14:textId="19EE7E4D" w:rsidR="00011FAC" w:rsidRPr="00B13D8B" w:rsidRDefault="00011FAC" w:rsidP="00011FAC">
      <w:pPr>
        <w:spacing w:after="0" w:line="360" w:lineRule="auto"/>
        <w:contextualSpacing/>
        <w:rPr>
          <w:rFonts w:eastAsia="Times New Roman" w:cs="Tahoma"/>
          <w:bCs/>
          <w:iCs/>
          <w:color w:val="auto"/>
        </w:rPr>
      </w:pPr>
      <w:r w:rsidRPr="00B13D8B">
        <w:rPr>
          <w:rFonts w:eastAsia="Times New Roman" w:cs="Tahoma"/>
          <w:bCs/>
          <w:iCs/>
          <w:color w:val="auto"/>
        </w:rPr>
        <w:t>Así, para el caso de la información confidencial, procede su testado previo acuerdo del Comité de Transparencia en donde se funde y motive dicha situación y el acuerdo debe entregarse junto con la versión pública.</w:t>
      </w:r>
    </w:p>
    <w:p w14:paraId="2E7088C7" w14:textId="77777777" w:rsidR="00011FAC" w:rsidRPr="00B13D8B" w:rsidRDefault="00011FAC" w:rsidP="00600DFB">
      <w:pPr>
        <w:spacing w:after="0" w:line="360" w:lineRule="auto"/>
      </w:pPr>
    </w:p>
    <w:p w14:paraId="6EDF251D" w14:textId="2FF9437B" w:rsidR="00A42841" w:rsidRPr="00B13D8B" w:rsidRDefault="0040291C" w:rsidP="00600DFB">
      <w:pPr>
        <w:spacing w:after="0" w:line="360" w:lineRule="auto"/>
      </w:pPr>
      <w:r w:rsidRPr="00B13D8B">
        <w:t xml:space="preserve">Por lo que hace a haber testado el RFC y presuntamente el Código Postal del trabajador, estos datos sí corresponden datos </w:t>
      </w:r>
      <w:r w:rsidR="00A42841" w:rsidRPr="00B13D8B">
        <w:t>confidenciales de acuerdo con lo siguiente:</w:t>
      </w:r>
    </w:p>
    <w:p w14:paraId="6B9EB4A6" w14:textId="77777777" w:rsidR="00011FAC" w:rsidRPr="00B13D8B" w:rsidRDefault="00011FAC" w:rsidP="00CB56D6">
      <w:pPr>
        <w:spacing w:after="0" w:line="360" w:lineRule="auto"/>
        <w:contextualSpacing/>
        <w:jc w:val="left"/>
        <w:rPr>
          <w:rFonts w:eastAsia="Times New Roman" w:cs="Tahoma"/>
          <w:b/>
          <w:bCs/>
          <w:iCs/>
          <w:color w:val="auto"/>
          <w:lang w:val="es-ES_tradnl"/>
        </w:rPr>
      </w:pPr>
    </w:p>
    <w:p w14:paraId="3B8B4B6E" w14:textId="2132D993" w:rsidR="00A42841" w:rsidRPr="00B13D8B" w:rsidRDefault="00A42841" w:rsidP="00A42841">
      <w:pPr>
        <w:spacing w:after="0" w:line="360" w:lineRule="auto"/>
        <w:contextualSpacing/>
        <w:rPr>
          <w:rFonts w:eastAsia="Times New Roman" w:cs="Tahoma"/>
          <w:bCs/>
          <w:iCs/>
          <w:color w:val="auto"/>
        </w:rPr>
      </w:pPr>
      <w:r w:rsidRPr="00B13D8B">
        <w:rPr>
          <w:rFonts w:eastAsia="Times New Roman" w:cs="Tahoma"/>
          <w:bCs/>
          <w:iCs/>
          <w:color w:val="auto"/>
          <w:lang w:val="es-ES_tradnl"/>
        </w:rPr>
        <w:t>L</w:t>
      </w:r>
      <w:proofErr w:type="spellStart"/>
      <w:r w:rsidRPr="00B13D8B">
        <w:rPr>
          <w:rFonts w:eastAsia="Times New Roman" w:cs="Tahoma"/>
          <w:bCs/>
          <w:iCs/>
          <w:color w:val="auto"/>
        </w:rPr>
        <w:t>as</w:t>
      </w:r>
      <w:proofErr w:type="spellEnd"/>
      <w:r w:rsidRPr="00B13D8B">
        <w:rPr>
          <w:rFonts w:eastAsia="Times New Roman" w:cs="Tahoma"/>
          <w:bCs/>
          <w:iCs/>
          <w:color w:val="auto"/>
        </w:rPr>
        <w:t xml:space="preserve"> personas físicas que deban presentar declaraciones periódicas o que están obligadas a expedir comprobantes fiscales, tienen que solicitar su inscripción en el Registro Federal de </w:t>
      </w:r>
      <w:r w:rsidRPr="00B13D8B">
        <w:rPr>
          <w:rFonts w:eastAsia="Times New Roman" w:cs="Tahoma"/>
          <w:bCs/>
          <w:iCs/>
          <w:color w:val="auto"/>
        </w:rPr>
        <w:lastRenderedPageBreak/>
        <w:t>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9D980B8" w14:textId="77777777" w:rsidR="00A42841" w:rsidRPr="00B13D8B" w:rsidRDefault="00A42841" w:rsidP="00A42841">
      <w:pPr>
        <w:spacing w:after="0" w:line="360" w:lineRule="auto"/>
        <w:contextualSpacing/>
        <w:rPr>
          <w:rFonts w:eastAsia="Times New Roman" w:cs="Tahoma"/>
          <w:bCs/>
          <w:iCs/>
          <w:color w:val="auto"/>
        </w:rPr>
      </w:pPr>
    </w:p>
    <w:p w14:paraId="582BF0CD" w14:textId="77777777" w:rsidR="00A42841" w:rsidRPr="00B13D8B" w:rsidRDefault="00A42841" w:rsidP="00A42841">
      <w:pPr>
        <w:spacing w:after="0" w:line="360" w:lineRule="auto"/>
        <w:contextualSpacing/>
        <w:rPr>
          <w:rFonts w:eastAsia="Times New Roman" w:cs="Tahoma"/>
          <w:bCs/>
          <w:iCs/>
          <w:color w:val="auto"/>
        </w:rPr>
      </w:pPr>
      <w:r w:rsidRPr="00B13D8B">
        <w:rPr>
          <w:rFonts w:eastAsia="Times New Roman" w:cs="Tahoma"/>
          <w:bCs/>
          <w:iCs/>
          <w:color w:val="auto"/>
        </w:rPr>
        <w:t xml:space="preserve">De acuerdo a lo establecido en el artículo en comento, esta clave se compone de trece caracteres alfanuméricos, con datos obtenidos de los apellidos, nombre(s), fecha de nacimiento del titular, más una </w:t>
      </w:r>
      <w:proofErr w:type="spellStart"/>
      <w:r w:rsidRPr="00B13D8B">
        <w:rPr>
          <w:rFonts w:eastAsia="Times New Roman" w:cs="Tahoma"/>
          <w:bCs/>
          <w:iCs/>
          <w:color w:val="auto"/>
        </w:rPr>
        <w:t>homoclave</w:t>
      </w:r>
      <w:proofErr w:type="spellEnd"/>
      <w:r w:rsidRPr="00B13D8B">
        <w:rPr>
          <w:rFonts w:eastAsia="Times New Roman" w:cs="Tahoma"/>
          <w:bCs/>
          <w:iCs/>
          <w:color w:val="auto"/>
        </w:rPr>
        <w:t xml:space="preserve"> que establece el sistema automático del Servicio de Administración Tributaria.</w:t>
      </w:r>
    </w:p>
    <w:p w14:paraId="28C1E023" w14:textId="77777777" w:rsidR="00A42841" w:rsidRPr="00B13D8B" w:rsidRDefault="00A42841" w:rsidP="00A42841">
      <w:pPr>
        <w:spacing w:after="0" w:line="360" w:lineRule="auto"/>
        <w:contextualSpacing/>
        <w:rPr>
          <w:rFonts w:eastAsia="Times New Roman" w:cs="Tahoma"/>
          <w:bCs/>
          <w:iCs/>
          <w:color w:val="auto"/>
        </w:rPr>
      </w:pPr>
    </w:p>
    <w:p w14:paraId="30C05544" w14:textId="77777777" w:rsidR="00A42841" w:rsidRPr="00B13D8B" w:rsidRDefault="00A42841" w:rsidP="00A42841">
      <w:pPr>
        <w:spacing w:after="0" w:line="360" w:lineRule="auto"/>
        <w:contextualSpacing/>
        <w:rPr>
          <w:rFonts w:eastAsia="Times New Roman" w:cs="Tahoma"/>
          <w:bCs/>
          <w:iCs/>
          <w:color w:val="auto"/>
        </w:rPr>
      </w:pPr>
      <w:r w:rsidRPr="00B13D8B">
        <w:rPr>
          <w:rFonts w:eastAsia="Times New Roman" w:cs="Tahoma"/>
          <w:bCs/>
          <w:iCs/>
          <w:color w:val="auto"/>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D93CE2B" w14:textId="77777777" w:rsidR="00A42841" w:rsidRPr="00B13D8B" w:rsidRDefault="00A42841" w:rsidP="00A42841">
      <w:pPr>
        <w:spacing w:after="0" w:line="360" w:lineRule="auto"/>
        <w:contextualSpacing/>
        <w:rPr>
          <w:rFonts w:eastAsia="Times New Roman" w:cs="Tahoma"/>
          <w:bCs/>
          <w:iCs/>
          <w:color w:val="auto"/>
        </w:rPr>
      </w:pPr>
    </w:p>
    <w:p w14:paraId="0A5937DE" w14:textId="77777777" w:rsidR="00A42841" w:rsidRPr="00B13D8B" w:rsidRDefault="00A42841" w:rsidP="00A42841">
      <w:pPr>
        <w:spacing w:after="0" w:line="360" w:lineRule="auto"/>
        <w:contextualSpacing/>
        <w:rPr>
          <w:rFonts w:eastAsia="Times New Roman" w:cs="Tahoma"/>
          <w:bCs/>
          <w:iCs/>
          <w:color w:val="auto"/>
        </w:rPr>
      </w:pPr>
      <w:r w:rsidRPr="00B13D8B">
        <w:rPr>
          <w:rFonts w:eastAsia="Times New Roman" w:cs="Tahoma"/>
          <w:bCs/>
          <w:iCs/>
          <w:color w:val="auto"/>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4CB9DD4" w14:textId="7A0F4241" w:rsidR="00A42841" w:rsidRPr="00B13D8B" w:rsidRDefault="00A42841" w:rsidP="00A42841">
      <w:pPr>
        <w:spacing w:after="0" w:line="360" w:lineRule="auto"/>
        <w:contextualSpacing/>
        <w:rPr>
          <w:rFonts w:eastAsia="Times New Roman" w:cs="Tahoma"/>
          <w:bCs/>
          <w:iCs/>
          <w:color w:val="auto"/>
        </w:rPr>
      </w:pPr>
      <w:r w:rsidRPr="00B13D8B">
        <w:rPr>
          <w:rFonts w:eastAsia="Times New Roman" w:cs="Tahoma"/>
          <w:bCs/>
          <w:iCs/>
          <w:color w:val="auto"/>
        </w:rPr>
        <w:t xml:space="preserve">Lo anterior, resulta congruente con el </w:t>
      </w:r>
      <w:r w:rsidRPr="00B13D8B">
        <w:rPr>
          <w:rFonts w:eastAsia="Calibri" w:cs="Tahoma"/>
          <w:bCs/>
          <w:iCs/>
          <w:color w:val="auto"/>
          <w:lang w:val="es-ES" w:eastAsia="en-US"/>
        </w:rPr>
        <w:t xml:space="preserve">Criterio de Interpretación, de la Segunda Época, con número de registro </w:t>
      </w:r>
      <w:r w:rsidRPr="00B13D8B">
        <w:rPr>
          <w:rFonts w:eastAsia="Calibri" w:cs="Tahoma"/>
          <w:bCs/>
          <w:iCs/>
          <w:color w:val="auto"/>
          <w:lang w:eastAsia="en-US"/>
        </w:rPr>
        <w:t xml:space="preserve">SO/019/2017, </w:t>
      </w:r>
      <w:r w:rsidR="004705C8" w:rsidRPr="00B13D8B">
        <w:rPr>
          <w:rFonts w:eastAsia="Times New Roman" w:cs="Tahoma"/>
          <w:bCs/>
          <w:iCs/>
          <w:color w:val="auto"/>
        </w:rPr>
        <w:t xml:space="preserve">emitido por el entonces Instituto Nacional </w:t>
      </w:r>
      <w:r w:rsidRPr="00B13D8B">
        <w:rPr>
          <w:rFonts w:eastAsia="Times New Roman" w:cs="Tahoma"/>
          <w:bCs/>
          <w:iCs/>
          <w:color w:val="auto"/>
        </w:rPr>
        <w:t xml:space="preserve">de </w:t>
      </w:r>
      <w:r w:rsidRPr="00B13D8B">
        <w:rPr>
          <w:rFonts w:eastAsia="Times New Roman" w:cs="Tahoma"/>
          <w:bCs/>
          <w:iCs/>
          <w:color w:val="auto"/>
        </w:rPr>
        <w:lastRenderedPageBreak/>
        <w:t>Transparencia, Acceso a la Información y Protección de Datos Personales, en el cual se señala lo siguiente:</w:t>
      </w:r>
    </w:p>
    <w:p w14:paraId="2272BF89" w14:textId="77777777" w:rsidR="00A42841" w:rsidRPr="00B13D8B" w:rsidRDefault="00A42841" w:rsidP="00A42841">
      <w:pPr>
        <w:spacing w:after="0" w:line="360" w:lineRule="auto"/>
        <w:contextualSpacing/>
        <w:rPr>
          <w:rFonts w:eastAsia="Times New Roman" w:cs="Tahoma"/>
          <w:bCs/>
          <w:iCs/>
          <w:color w:val="auto"/>
        </w:rPr>
      </w:pPr>
    </w:p>
    <w:p w14:paraId="272AA55E" w14:textId="77777777" w:rsidR="00A42841" w:rsidRPr="00B13D8B" w:rsidRDefault="00A42841" w:rsidP="00A42841">
      <w:pPr>
        <w:spacing w:after="0" w:line="360" w:lineRule="auto"/>
        <w:ind w:left="567" w:right="567"/>
        <w:contextualSpacing/>
        <w:rPr>
          <w:rFonts w:eastAsia="Times New Roman" w:cs="Tahoma"/>
          <w:bCs/>
          <w:i/>
          <w:iCs/>
          <w:color w:val="auto"/>
          <w:sz w:val="20"/>
          <w:szCs w:val="20"/>
        </w:rPr>
      </w:pPr>
      <w:r w:rsidRPr="00B13D8B">
        <w:rPr>
          <w:rFonts w:eastAsia="Times New Roman" w:cs="Tahoma"/>
          <w:b/>
          <w:bCs/>
          <w:i/>
          <w:iCs/>
          <w:color w:val="auto"/>
          <w:sz w:val="20"/>
          <w:szCs w:val="20"/>
        </w:rPr>
        <w:t>“Registro Federal de Contribuyentes (RFC) de personas físicas.</w:t>
      </w:r>
      <w:r w:rsidRPr="00B13D8B">
        <w:rPr>
          <w:rFonts w:eastAsia="Times New Roman" w:cs="Tahoma"/>
          <w:bCs/>
          <w:i/>
          <w:iCs/>
          <w:color w:val="auto"/>
          <w:sz w:val="20"/>
          <w:szCs w:val="20"/>
        </w:rPr>
        <w:t xml:space="preserve"> El RFC es una clave de carácter fiscal, única e irrepetible, que permite identificar al titular, su edad y fecha de nacimiento, por lo que es un dato personal de carácter confidencial.”</w:t>
      </w:r>
    </w:p>
    <w:p w14:paraId="2A16BC46" w14:textId="77777777" w:rsidR="00A42841" w:rsidRPr="00B13D8B" w:rsidRDefault="00A42841" w:rsidP="00A42841">
      <w:pPr>
        <w:spacing w:after="0" w:line="360" w:lineRule="auto"/>
        <w:contextualSpacing/>
        <w:rPr>
          <w:rFonts w:eastAsia="Times New Roman" w:cs="Tahoma"/>
          <w:bCs/>
          <w:iCs/>
          <w:color w:val="auto"/>
        </w:rPr>
      </w:pPr>
    </w:p>
    <w:p w14:paraId="45419AF4" w14:textId="77777777" w:rsidR="00A42841" w:rsidRPr="00B13D8B" w:rsidRDefault="00A42841" w:rsidP="00A42841">
      <w:pPr>
        <w:spacing w:after="0" w:line="360" w:lineRule="auto"/>
        <w:contextualSpacing/>
        <w:rPr>
          <w:rFonts w:eastAsia="Times New Roman" w:cs="Tahoma"/>
          <w:bCs/>
          <w:iCs/>
          <w:color w:val="auto"/>
        </w:rPr>
      </w:pPr>
      <w:r w:rsidRPr="00B13D8B">
        <w:rPr>
          <w:rFonts w:eastAsia="Times New Roman" w:cs="Tahoma"/>
          <w:bCs/>
          <w:iCs/>
          <w:color w:val="auto"/>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53F1FBDD" w14:textId="77777777" w:rsidR="00A42841" w:rsidRPr="00B13D8B" w:rsidRDefault="00A42841" w:rsidP="00A42841">
      <w:pPr>
        <w:spacing w:after="0" w:line="360" w:lineRule="auto"/>
        <w:contextualSpacing/>
        <w:rPr>
          <w:rFonts w:eastAsia="Times New Roman" w:cs="Tahoma"/>
          <w:bCs/>
          <w:iCs/>
          <w:color w:val="auto"/>
        </w:rPr>
      </w:pPr>
    </w:p>
    <w:p w14:paraId="1892D228" w14:textId="580A1142" w:rsidR="00A42841" w:rsidRPr="00B13D8B" w:rsidRDefault="00A42841" w:rsidP="00A42841">
      <w:pPr>
        <w:spacing w:after="0" w:line="360" w:lineRule="auto"/>
        <w:contextualSpacing/>
        <w:rPr>
          <w:rFonts w:eastAsia="Times New Roman" w:cs="Tahoma"/>
          <w:bCs/>
          <w:iCs/>
          <w:color w:val="auto"/>
        </w:rPr>
      </w:pPr>
      <w:r w:rsidRPr="00B13D8B">
        <w:rPr>
          <w:rFonts w:eastAsia="Times New Roman" w:cs="Tahoma"/>
          <w:bCs/>
          <w:iCs/>
          <w:color w:val="auto"/>
        </w:rPr>
        <w:t>Por lo que hace al Código Postal, corresponde de un elemento del domicilio de las personas, que si bien no es suficiente para identificar su domicilio, sí la zona en la que habita, información que únicamente corresponde a la vida privada de las personas y no influye en el desempeño de su trabajo, por lo que de igual forma corresponde a un dato personal confidencial que puede eliminarse de las versión públicas.</w:t>
      </w:r>
    </w:p>
    <w:p w14:paraId="34F01AA9" w14:textId="77777777" w:rsidR="00011FAC" w:rsidRPr="00B13D8B" w:rsidRDefault="00011FAC" w:rsidP="00A42841">
      <w:pPr>
        <w:spacing w:after="0" w:line="360" w:lineRule="auto"/>
        <w:contextualSpacing/>
        <w:rPr>
          <w:rFonts w:eastAsia="Times New Roman" w:cs="Tahoma"/>
          <w:bCs/>
          <w:iCs/>
          <w:color w:val="auto"/>
        </w:rPr>
      </w:pPr>
    </w:p>
    <w:p w14:paraId="62FBAFCE" w14:textId="63834F82" w:rsidR="00011FAC" w:rsidRPr="00B13D8B" w:rsidRDefault="00011FAC" w:rsidP="00A42841">
      <w:pPr>
        <w:spacing w:after="0" w:line="360" w:lineRule="auto"/>
        <w:contextualSpacing/>
        <w:rPr>
          <w:rFonts w:eastAsia="Times New Roman" w:cs="Tahoma"/>
          <w:bCs/>
          <w:iCs/>
          <w:color w:val="auto"/>
        </w:rPr>
      </w:pPr>
      <w:r w:rsidRPr="00B13D8B">
        <w:rPr>
          <w:rFonts w:eastAsia="Times New Roman" w:cs="Tahoma"/>
          <w:bCs/>
          <w:iCs/>
          <w:color w:val="auto"/>
        </w:rPr>
        <w:t xml:space="preserve">Por consiguiente, el Sistema Municipal para el Desarrollo Integral de la Familia de </w:t>
      </w:r>
      <w:proofErr w:type="spellStart"/>
      <w:r w:rsidRPr="00B13D8B">
        <w:rPr>
          <w:rFonts w:eastAsia="Times New Roman" w:cs="Tahoma"/>
          <w:bCs/>
          <w:iCs/>
          <w:color w:val="auto"/>
        </w:rPr>
        <w:t>Acambay</w:t>
      </w:r>
      <w:proofErr w:type="spellEnd"/>
      <w:r w:rsidRPr="00B13D8B">
        <w:rPr>
          <w:rFonts w:eastAsia="Times New Roman" w:cs="Tahoma"/>
          <w:bCs/>
          <w:iCs/>
          <w:color w:val="auto"/>
        </w:rPr>
        <w:t>, deberá entregar a la persona Recurrente un documento que contenga el nombre de todo su personal, con el cargo</w:t>
      </w:r>
      <w:r w:rsidR="003502D5" w:rsidRPr="00B13D8B">
        <w:rPr>
          <w:rFonts w:eastAsia="Times New Roman" w:cs="Tahoma"/>
          <w:bCs/>
          <w:iCs/>
          <w:color w:val="auto"/>
        </w:rPr>
        <w:t xml:space="preserve"> y en su caso categoría</w:t>
      </w:r>
      <w:r w:rsidRPr="00B13D8B">
        <w:rPr>
          <w:rFonts w:eastAsia="Times New Roman" w:cs="Tahoma"/>
          <w:bCs/>
          <w:iCs/>
          <w:color w:val="auto"/>
        </w:rPr>
        <w:t xml:space="preserve"> y el sueldo bruto y neto vigente a la fecha de la solicitud, en su caso el documento se podrá entregar en versión pública en la que no podrá testar datos públicos y en la versión pública se debe acompañar del acuerdo del Comité en que se funde y motive la clasificación de los datos confidenciales.</w:t>
      </w:r>
    </w:p>
    <w:p w14:paraId="77E31E24" w14:textId="77777777" w:rsidR="002474BA" w:rsidRPr="00B13D8B" w:rsidRDefault="002474BA" w:rsidP="00910E6B">
      <w:pPr>
        <w:spacing w:after="0" w:line="360" w:lineRule="auto"/>
        <w:rPr>
          <w:color w:val="auto"/>
        </w:rPr>
      </w:pPr>
    </w:p>
    <w:p w14:paraId="5F084B47" w14:textId="77777777" w:rsidR="002474BA" w:rsidRPr="00B13D8B" w:rsidRDefault="002474BA" w:rsidP="00910E6B">
      <w:pPr>
        <w:pStyle w:val="Ttulo2"/>
        <w:spacing w:before="0"/>
        <w:rPr>
          <w:rFonts w:ascii="Palatino Linotype" w:hAnsi="Palatino Linotype"/>
          <w:b/>
          <w:bCs/>
          <w:color w:val="auto"/>
          <w:sz w:val="22"/>
          <w:szCs w:val="22"/>
        </w:rPr>
      </w:pPr>
      <w:bookmarkStart w:id="15" w:name="_heading=h.qsh70q" w:colFirst="0" w:colLast="0"/>
      <w:bookmarkStart w:id="16" w:name="_Toc193985532"/>
      <w:bookmarkEnd w:id="15"/>
      <w:r w:rsidRPr="00B13D8B">
        <w:rPr>
          <w:rFonts w:ascii="Palatino Linotype" w:hAnsi="Palatino Linotype"/>
          <w:b/>
          <w:bCs/>
          <w:color w:val="auto"/>
          <w:sz w:val="22"/>
          <w:szCs w:val="22"/>
        </w:rPr>
        <w:t>SEXTO. Decisión</w:t>
      </w:r>
      <w:bookmarkEnd w:id="16"/>
    </w:p>
    <w:p w14:paraId="5C3CDAE7" w14:textId="77777777" w:rsidR="002474BA" w:rsidRPr="00B13D8B" w:rsidRDefault="002474BA" w:rsidP="00910E6B">
      <w:pPr>
        <w:spacing w:after="0" w:line="360" w:lineRule="auto"/>
        <w:rPr>
          <w:b/>
          <w:color w:val="auto"/>
        </w:rPr>
      </w:pPr>
    </w:p>
    <w:p w14:paraId="25A6B047" w14:textId="4CDD520E" w:rsidR="002474BA" w:rsidRPr="00B13D8B" w:rsidRDefault="002474BA" w:rsidP="00910E6B">
      <w:pPr>
        <w:spacing w:after="0" w:line="360" w:lineRule="auto"/>
      </w:pPr>
      <w:r w:rsidRPr="00B13D8B">
        <w:rPr>
          <w:color w:val="auto"/>
        </w:rPr>
        <w:t xml:space="preserve">Con fundamento en </w:t>
      </w:r>
      <w:r w:rsidRPr="00B13D8B">
        <w:t xml:space="preserve">el artículo 186, fracción III, de la Ley de Transparencia y Acceso a la Información Pública del Estado de México y Municipios, este Instituto considera procedente </w:t>
      </w:r>
      <w:r w:rsidR="002D666E" w:rsidRPr="00B13D8B">
        <w:rPr>
          <w:b/>
        </w:rPr>
        <w:t>MODIFICA</w:t>
      </w:r>
      <w:r w:rsidRPr="00B13D8B">
        <w:t xml:space="preserve"> la respuesta por el Sujeto Obligado a la solicitud de información </w:t>
      </w:r>
      <w:r w:rsidRPr="00B13D8B">
        <w:rPr>
          <w:b/>
        </w:rPr>
        <w:t>00009/DIFACAMBAY/IP/2025</w:t>
      </w:r>
      <w:r w:rsidRPr="00B13D8B">
        <w:t xml:space="preserve">, por resultar parcialmente fundadas las razones o motivos de inconformidad hechos valer por la persona Recurrente, en el Recurso de Revisión </w:t>
      </w:r>
      <w:r w:rsidRPr="00B13D8B">
        <w:rPr>
          <w:b/>
        </w:rPr>
        <w:t>01981/INFOEM/IP/RR/2025</w:t>
      </w:r>
      <w:r w:rsidRPr="00B13D8B">
        <w:t xml:space="preserve">, en consecuencia procede </w:t>
      </w:r>
      <w:r w:rsidR="002D666E" w:rsidRPr="00B13D8B">
        <w:rPr>
          <w:b/>
        </w:rPr>
        <w:t>MODIFICA</w:t>
      </w:r>
      <w:r w:rsidRPr="00B13D8B">
        <w:rPr>
          <w:b/>
        </w:rPr>
        <w:t xml:space="preserve">, </w:t>
      </w:r>
      <w:r w:rsidRPr="00B13D8B">
        <w:t xml:space="preserve">la información </w:t>
      </w:r>
      <w:r w:rsidR="00DC008C" w:rsidRPr="00B13D8B">
        <w:t xml:space="preserve">con sus respectivas modificaciones y </w:t>
      </w:r>
      <w:r w:rsidRPr="00B13D8B">
        <w:t>entrega</w:t>
      </w:r>
      <w:r w:rsidR="00DC008C" w:rsidRPr="00B13D8B">
        <w:t>rla</w:t>
      </w:r>
      <w:r w:rsidRPr="00B13D8B">
        <w:t xml:space="preserve">. </w:t>
      </w:r>
    </w:p>
    <w:p w14:paraId="06C55DE7" w14:textId="77777777" w:rsidR="002474BA" w:rsidRPr="00B13D8B" w:rsidRDefault="002474BA" w:rsidP="00910E6B">
      <w:pPr>
        <w:tabs>
          <w:tab w:val="left" w:pos="4962"/>
        </w:tabs>
        <w:spacing w:after="0" w:line="360" w:lineRule="auto"/>
        <w:rPr>
          <w:color w:val="000000"/>
        </w:rPr>
      </w:pPr>
    </w:p>
    <w:p w14:paraId="5CB00CAE" w14:textId="77777777" w:rsidR="002474BA" w:rsidRPr="00B13D8B" w:rsidRDefault="002474BA" w:rsidP="00910E6B">
      <w:pPr>
        <w:spacing w:after="0" w:line="360" w:lineRule="auto"/>
        <w:rPr>
          <w:b/>
          <w:u w:val="single"/>
        </w:rPr>
      </w:pPr>
      <w:r w:rsidRPr="00B13D8B">
        <w:rPr>
          <w:b/>
          <w:u w:val="single"/>
        </w:rPr>
        <w:t>Términos de la Resolución para la persona Recurrente</w:t>
      </w:r>
    </w:p>
    <w:p w14:paraId="68E35E07" w14:textId="77777777" w:rsidR="002474BA" w:rsidRPr="00B13D8B" w:rsidRDefault="002474BA" w:rsidP="00910E6B">
      <w:pPr>
        <w:spacing w:after="0" w:line="360" w:lineRule="auto"/>
      </w:pPr>
    </w:p>
    <w:p w14:paraId="759B252E" w14:textId="48324FA1" w:rsidR="002474BA" w:rsidRPr="00B13D8B" w:rsidRDefault="002474BA" w:rsidP="00910E6B">
      <w:pPr>
        <w:spacing w:after="0" w:line="360" w:lineRule="auto"/>
        <w:rPr>
          <w:u w:val="single"/>
        </w:rPr>
      </w:pPr>
      <w:r w:rsidRPr="00B13D8B">
        <w:rPr>
          <w:u w:val="single"/>
        </w:rPr>
        <w:t>Se hace del conocimiento al Particular que este Organismo Garante le otorgó la razón</w:t>
      </w:r>
      <w:r w:rsidR="008C1488" w:rsidRPr="00B13D8B">
        <w:rPr>
          <w:u w:val="single"/>
        </w:rPr>
        <w:t xml:space="preserve"> de manera parcial,</w:t>
      </w:r>
      <w:r w:rsidRPr="00B13D8B">
        <w:rPr>
          <w:u w:val="single"/>
        </w:rPr>
        <w:t xml:space="preserve"> en virtud de que la respuesta del Sujeto Obligado no </w:t>
      </w:r>
      <w:r w:rsidR="008C1488" w:rsidRPr="00B13D8B">
        <w:rPr>
          <w:u w:val="single"/>
        </w:rPr>
        <w:t>contiene el sueldo bruto y neto de todos los trabajadores, además de que en el documento entregado se testaron datos públicos y no se adjuntó el acuerdo de clasificación de los datos personales que sí deben ser clasificados.</w:t>
      </w:r>
    </w:p>
    <w:p w14:paraId="687503AE" w14:textId="77777777" w:rsidR="008C1488" w:rsidRPr="00B13D8B" w:rsidRDefault="008C1488" w:rsidP="00910E6B">
      <w:pPr>
        <w:spacing w:after="0" w:line="360" w:lineRule="auto"/>
        <w:rPr>
          <w:u w:val="single"/>
        </w:rPr>
      </w:pPr>
    </w:p>
    <w:p w14:paraId="60DE89B4" w14:textId="22A126C7" w:rsidR="002474BA" w:rsidRPr="00B13D8B" w:rsidRDefault="008C1488" w:rsidP="00910E6B">
      <w:pPr>
        <w:spacing w:after="0" w:line="360" w:lineRule="auto"/>
        <w:rPr>
          <w:u w:val="single"/>
        </w:rPr>
      </w:pPr>
      <w:r w:rsidRPr="00B13D8B">
        <w:rPr>
          <w:u w:val="single"/>
        </w:rPr>
        <w:t>En consecuencia, deben entregarle un documento que contenga nombre, cargo</w:t>
      </w:r>
      <w:r w:rsidR="003502D5" w:rsidRPr="00B13D8B">
        <w:rPr>
          <w:u w:val="single"/>
        </w:rPr>
        <w:t xml:space="preserve"> y categoría de ser el caso</w:t>
      </w:r>
      <w:r w:rsidRPr="00B13D8B">
        <w:rPr>
          <w:u w:val="single"/>
        </w:rPr>
        <w:t xml:space="preserve"> y sueldo </w:t>
      </w:r>
      <w:proofErr w:type="spellStart"/>
      <w:r w:rsidRPr="00B13D8B">
        <w:rPr>
          <w:u w:val="single"/>
        </w:rPr>
        <w:t>brute</w:t>
      </w:r>
      <w:proofErr w:type="spellEnd"/>
      <w:r w:rsidRPr="00B13D8B">
        <w:rPr>
          <w:u w:val="single"/>
        </w:rPr>
        <w:t xml:space="preserve"> y neto de cada trabajador, vigente al </w:t>
      </w:r>
      <w:r w:rsidRPr="00B13D8B">
        <w:t xml:space="preserve">diecisiete de enero de dos mil veinticinco, para el caso de que el documento contenga datos confidenciales, se debe </w:t>
      </w:r>
      <w:r w:rsidR="002474BA" w:rsidRPr="00B13D8B">
        <w:rPr>
          <w:u w:val="single"/>
        </w:rPr>
        <w:t>acompaña</w:t>
      </w:r>
      <w:r w:rsidRPr="00B13D8B">
        <w:rPr>
          <w:u w:val="single"/>
        </w:rPr>
        <w:t>r</w:t>
      </w:r>
      <w:r w:rsidR="002474BA" w:rsidRPr="00B13D8B">
        <w:rPr>
          <w:u w:val="single"/>
        </w:rPr>
        <w:t xml:space="preserve"> de un acuerdo en el que se expresen las razones por las que se protegen dichos datos</w:t>
      </w:r>
      <w:r w:rsidRPr="00B13D8B">
        <w:rPr>
          <w:u w:val="single"/>
        </w:rPr>
        <w:t>, debidamente firmado por el Comité de Transparencia</w:t>
      </w:r>
      <w:r w:rsidR="002474BA" w:rsidRPr="00B13D8B">
        <w:rPr>
          <w:u w:val="single"/>
        </w:rPr>
        <w:t xml:space="preserve">. </w:t>
      </w:r>
    </w:p>
    <w:p w14:paraId="54559C80" w14:textId="77777777" w:rsidR="002474BA" w:rsidRPr="00B13D8B" w:rsidRDefault="002474BA" w:rsidP="00910E6B">
      <w:pPr>
        <w:spacing w:after="0" w:line="360" w:lineRule="auto"/>
        <w:rPr>
          <w:u w:val="single"/>
        </w:rPr>
      </w:pPr>
    </w:p>
    <w:p w14:paraId="7361B9BB" w14:textId="77777777" w:rsidR="002474BA" w:rsidRPr="00B13D8B" w:rsidRDefault="002474BA" w:rsidP="00910E6B">
      <w:pPr>
        <w:spacing w:after="0" w:line="360" w:lineRule="auto"/>
        <w:rPr>
          <w:u w:val="single"/>
        </w:rPr>
      </w:pPr>
      <w:r w:rsidRPr="00B13D8B">
        <w:rPr>
          <w:u w:val="single"/>
        </w:rPr>
        <w:lastRenderedPageBreak/>
        <w:t>La labor del INFOEM, es apoyar a la población para acceder a la información pública y garantizar la protección de sus datos personales.</w:t>
      </w:r>
    </w:p>
    <w:p w14:paraId="62A5A13A" w14:textId="77777777" w:rsidR="00253B74" w:rsidRPr="00B13D8B" w:rsidRDefault="00253B74" w:rsidP="00910E6B">
      <w:pPr>
        <w:spacing w:after="0" w:line="360" w:lineRule="auto"/>
        <w:rPr>
          <w:color w:val="000000"/>
        </w:rPr>
      </w:pPr>
    </w:p>
    <w:p w14:paraId="573967FB" w14:textId="77777777" w:rsidR="008C1488" w:rsidRPr="00B13D8B" w:rsidRDefault="008C1488" w:rsidP="00910E6B">
      <w:pPr>
        <w:pStyle w:val="Ttulo1"/>
        <w:spacing w:before="0"/>
        <w:jc w:val="center"/>
        <w:rPr>
          <w:rFonts w:ascii="Palatino Linotype" w:eastAsia="Palatino Linotype" w:hAnsi="Palatino Linotype" w:cs="Palatino Linotype"/>
          <w:b/>
          <w:color w:val="000000"/>
          <w:sz w:val="22"/>
          <w:szCs w:val="22"/>
        </w:rPr>
      </w:pPr>
    </w:p>
    <w:p w14:paraId="0727242A" w14:textId="2133B1D1" w:rsidR="00253B74" w:rsidRPr="00B13D8B" w:rsidRDefault="00B76585" w:rsidP="00CB56D6">
      <w:pPr>
        <w:pStyle w:val="Ttulo1"/>
        <w:spacing w:before="0"/>
        <w:jc w:val="center"/>
        <w:rPr>
          <w:rFonts w:ascii="Palatino Linotype" w:eastAsia="Palatino Linotype" w:hAnsi="Palatino Linotype" w:cs="Palatino Linotype"/>
          <w:b/>
          <w:color w:val="000000"/>
          <w:sz w:val="22"/>
          <w:szCs w:val="22"/>
        </w:rPr>
      </w:pPr>
      <w:bookmarkStart w:id="17" w:name="_Toc193985533"/>
      <w:r w:rsidRPr="00B13D8B">
        <w:rPr>
          <w:rFonts w:ascii="Palatino Linotype" w:eastAsia="Palatino Linotype" w:hAnsi="Palatino Linotype" w:cs="Palatino Linotype"/>
          <w:b/>
          <w:color w:val="000000"/>
          <w:sz w:val="22"/>
          <w:szCs w:val="22"/>
        </w:rPr>
        <w:t>R E S U E L V E</w:t>
      </w:r>
      <w:bookmarkEnd w:id="17"/>
    </w:p>
    <w:p w14:paraId="03A30D91" w14:textId="77777777" w:rsidR="00253B74" w:rsidRPr="00B13D8B" w:rsidRDefault="00253B74" w:rsidP="00910E6B">
      <w:pPr>
        <w:spacing w:after="0" w:line="360" w:lineRule="auto"/>
        <w:ind w:right="113"/>
        <w:rPr>
          <w:b/>
          <w:color w:val="FF0000"/>
        </w:rPr>
      </w:pPr>
    </w:p>
    <w:p w14:paraId="01805AAE" w14:textId="2E9F0325" w:rsidR="008C1488" w:rsidRPr="00B13D8B" w:rsidRDefault="00B76585" w:rsidP="008C1488">
      <w:pPr>
        <w:spacing w:line="360" w:lineRule="auto"/>
        <w:contextualSpacing/>
        <w:rPr>
          <w:rFonts w:eastAsia="Calibri" w:cs="Tahoma"/>
          <w:bCs/>
          <w:color w:val="000000"/>
          <w:lang w:eastAsia="en-US"/>
        </w:rPr>
      </w:pPr>
      <w:r w:rsidRPr="00B13D8B">
        <w:rPr>
          <w:b/>
          <w:color w:val="000000"/>
        </w:rPr>
        <w:t xml:space="preserve">PRIMERO. </w:t>
      </w:r>
      <w:r w:rsidR="008C1488" w:rsidRPr="00B13D8B">
        <w:rPr>
          <w:rFonts w:eastAsia="Calibri" w:cs="Tahoma"/>
          <w:bCs/>
          <w:color w:val="000000"/>
          <w:lang w:eastAsia="en-US"/>
        </w:rPr>
        <w:t xml:space="preserve">Se </w:t>
      </w:r>
      <w:r w:rsidR="008C1488" w:rsidRPr="00B13D8B">
        <w:rPr>
          <w:rFonts w:eastAsia="Calibri" w:cs="Tahoma"/>
          <w:b/>
          <w:bCs/>
          <w:color w:val="000000"/>
          <w:lang w:eastAsia="en-US"/>
        </w:rPr>
        <w:t xml:space="preserve">MODIFICA </w:t>
      </w:r>
      <w:r w:rsidR="008C1488" w:rsidRPr="00B13D8B">
        <w:rPr>
          <w:rFonts w:eastAsia="Calibri" w:cs="Tahoma"/>
          <w:bCs/>
          <w:color w:val="000000"/>
          <w:lang w:eastAsia="en-US"/>
        </w:rPr>
        <w:t xml:space="preserve">la respuesta entregada por el Sistema Municipal para el Desarrollo Integral de la Familia de </w:t>
      </w:r>
      <w:proofErr w:type="spellStart"/>
      <w:r w:rsidR="008C1488" w:rsidRPr="00B13D8B">
        <w:rPr>
          <w:rFonts w:eastAsia="Calibri" w:cs="Tahoma"/>
          <w:bCs/>
          <w:color w:val="000000"/>
          <w:lang w:eastAsia="en-US"/>
        </w:rPr>
        <w:t>Acambay</w:t>
      </w:r>
      <w:proofErr w:type="spellEnd"/>
      <w:r w:rsidR="008C1488" w:rsidRPr="00B13D8B">
        <w:rPr>
          <w:rFonts w:eastAsia="Calibri" w:cs="Tahoma"/>
          <w:bCs/>
          <w:color w:val="000000"/>
          <w:lang w:eastAsia="en-US"/>
        </w:rPr>
        <w:t xml:space="preserve">, a la solicitud de </w:t>
      </w:r>
      <w:r w:rsidR="008C1488" w:rsidRPr="00B13D8B">
        <w:rPr>
          <w:rFonts w:eastAsia="Calibri" w:cs="Tahoma"/>
          <w:color w:val="000000"/>
          <w:lang w:eastAsia="en-US"/>
        </w:rPr>
        <w:t xml:space="preserve">información </w:t>
      </w:r>
      <w:r w:rsidR="008C1488" w:rsidRPr="00B13D8B">
        <w:t>00009/DIFACAMBAY/IP/2025</w:t>
      </w:r>
      <w:r w:rsidR="008C1488" w:rsidRPr="00B13D8B">
        <w:rPr>
          <w:rFonts w:eastAsia="Calibri" w:cs="Tahoma"/>
          <w:bCs/>
          <w:color w:val="000000"/>
          <w:lang w:eastAsia="en-US"/>
        </w:rPr>
        <w:t xml:space="preserve">, </w:t>
      </w:r>
      <w:r w:rsidR="008C1488" w:rsidRPr="00B13D8B">
        <w:rPr>
          <w:rFonts w:eastAsia="Calibri"/>
          <w:bCs/>
          <w:color w:val="000000"/>
          <w:lang w:eastAsia="en-US"/>
        </w:rPr>
        <w:t>por</w:t>
      </w:r>
      <w:r w:rsidR="008C1488" w:rsidRPr="00B13D8B">
        <w:rPr>
          <w:rFonts w:eastAsia="Calibri"/>
          <w:color w:val="000000"/>
          <w:lang w:eastAsia="en-US"/>
        </w:rPr>
        <w:t xml:space="preserve"> resultar </w:t>
      </w:r>
      <w:r w:rsidR="008C1488" w:rsidRPr="00B13D8B">
        <w:rPr>
          <w:rFonts w:eastAsia="Calibri"/>
          <w:b/>
          <w:bCs/>
          <w:caps/>
          <w:color w:val="000000"/>
          <w:lang w:eastAsia="en-US"/>
        </w:rPr>
        <w:t>parcialmente</w:t>
      </w:r>
      <w:r w:rsidR="008C1488" w:rsidRPr="00B13D8B">
        <w:rPr>
          <w:rFonts w:eastAsia="Calibri"/>
          <w:color w:val="000000"/>
          <w:lang w:eastAsia="en-US"/>
        </w:rPr>
        <w:t xml:space="preserve"> </w:t>
      </w:r>
      <w:r w:rsidR="008C1488" w:rsidRPr="00B13D8B">
        <w:rPr>
          <w:rFonts w:eastAsia="Calibri"/>
          <w:b/>
          <w:color w:val="000000"/>
          <w:lang w:eastAsia="en-US"/>
        </w:rPr>
        <w:t>FUNDADAS</w:t>
      </w:r>
      <w:r w:rsidR="008C1488" w:rsidRPr="00B13D8B">
        <w:rPr>
          <w:rFonts w:eastAsia="Calibri" w:cs="Tahoma"/>
          <w:color w:val="000000"/>
          <w:lang w:eastAsia="en-US"/>
        </w:rPr>
        <w:t xml:space="preserve"> las razones o motivos de inconformidad hechos valer por la persona Recurrente, en</w:t>
      </w:r>
      <w:r w:rsidR="008C1488" w:rsidRPr="00B13D8B">
        <w:rPr>
          <w:rFonts w:eastAsia="Calibri" w:cs="Tahoma"/>
          <w:bCs/>
          <w:color w:val="000000"/>
          <w:lang w:eastAsia="en-US"/>
        </w:rPr>
        <w:t xml:space="preserve"> términos de los considerandos </w:t>
      </w:r>
      <w:r w:rsidR="008C1488" w:rsidRPr="00B13D8B">
        <w:rPr>
          <w:rFonts w:eastAsia="Calibri" w:cs="Tahoma"/>
          <w:color w:val="000000"/>
          <w:lang w:eastAsia="en-US"/>
        </w:rPr>
        <w:t>QUINTO y SEXTO</w:t>
      </w:r>
      <w:r w:rsidR="008C1488" w:rsidRPr="00B13D8B">
        <w:rPr>
          <w:rFonts w:eastAsia="Calibri" w:cs="Tahoma"/>
          <w:bCs/>
          <w:color w:val="000000"/>
          <w:lang w:eastAsia="en-US"/>
        </w:rPr>
        <w:t xml:space="preserve"> de la presente Resolución.</w:t>
      </w:r>
    </w:p>
    <w:p w14:paraId="2096F57F" w14:textId="34237205" w:rsidR="008C1488" w:rsidRPr="00B13D8B" w:rsidRDefault="008C1488" w:rsidP="00910E6B">
      <w:pPr>
        <w:widowControl w:val="0"/>
        <w:spacing w:after="0" w:line="360" w:lineRule="auto"/>
        <w:rPr>
          <w:b/>
          <w:color w:val="000000"/>
        </w:rPr>
      </w:pPr>
    </w:p>
    <w:p w14:paraId="35DCADFE" w14:textId="12F5B6EF" w:rsidR="00253B74" w:rsidRPr="00B13D8B" w:rsidRDefault="00B76585" w:rsidP="00910E6B">
      <w:pPr>
        <w:spacing w:after="0" w:line="360" w:lineRule="auto"/>
      </w:pPr>
      <w:r w:rsidRPr="00B13D8B">
        <w:rPr>
          <w:b/>
          <w:color w:val="000000"/>
        </w:rPr>
        <w:t>SEGUNDO.</w:t>
      </w:r>
      <w:r w:rsidRPr="00B13D8B">
        <w:rPr>
          <w:color w:val="000000"/>
        </w:rPr>
        <w:t xml:space="preserve"> Se </w:t>
      </w:r>
      <w:r w:rsidRPr="00B13D8B">
        <w:rPr>
          <w:b/>
          <w:color w:val="000000"/>
        </w:rPr>
        <w:t xml:space="preserve">ORDENA </w:t>
      </w:r>
      <w:r w:rsidRPr="00B13D8B">
        <w:rPr>
          <w:color w:val="000000"/>
        </w:rPr>
        <w:t>al Sujeto Obligado</w:t>
      </w:r>
      <w:r w:rsidRPr="00B13D8B">
        <w:rPr>
          <w:color w:val="0D0D0D"/>
        </w:rPr>
        <w:t xml:space="preserve">, a efecto de que, </w:t>
      </w:r>
      <w:r w:rsidRPr="00B13D8B">
        <w:rPr>
          <w:color w:val="000000"/>
        </w:rPr>
        <w:t xml:space="preserve">previa búsqueda exhaustiva y razonable, en los archivos de las unidades administrativas competentes, entregue a través del </w:t>
      </w:r>
      <w:r w:rsidR="00910E6B" w:rsidRPr="00B13D8B">
        <w:rPr>
          <w:color w:val="000000"/>
        </w:rPr>
        <w:t>SAIMEX</w:t>
      </w:r>
      <w:r w:rsidRPr="00B13D8B">
        <w:rPr>
          <w:color w:val="000000"/>
        </w:rPr>
        <w:t xml:space="preserve">, </w:t>
      </w:r>
      <w:r w:rsidR="008C1488" w:rsidRPr="00B13D8B">
        <w:rPr>
          <w:color w:val="000000"/>
        </w:rPr>
        <w:t xml:space="preserve">en su caso, </w:t>
      </w:r>
      <w:r w:rsidRPr="00B13D8B">
        <w:rPr>
          <w:color w:val="000000"/>
        </w:rPr>
        <w:t>en versión pública</w:t>
      </w:r>
      <w:r w:rsidR="008C1488" w:rsidRPr="00B13D8B">
        <w:rPr>
          <w:color w:val="000000"/>
        </w:rPr>
        <w:t xml:space="preserve"> el </w:t>
      </w:r>
      <w:r w:rsidR="008C1488" w:rsidRPr="00B13D8B">
        <w:rPr>
          <w:b/>
          <w:bCs/>
          <w:color w:val="000000"/>
        </w:rPr>
        <w:t>documento donde conste el nombre, cargo y/o categoría y sueldo bruto y neto</w:t>
      </w:r>
      <w:r w:rsidR="008C1488" w:rsidRPr="00B13D8B">
        <w:rPr>
          <w:color w:val="000000"/>
        </w:rPr>
        <w:t xml:space="preserve"> </w:t>
      </w:r>
      <w:r w:rsidR="002D666E" w:rsidRPr="00B13D8B">
        <w:t xml:space="preserve">de todos los trabajadores del </w:t>
      </w:r>
      <w:r w:rsidR="002D666E" w:rsidRPr="00B13D8B">
        <w:rPr>
          <w:color w:val="000000"/>
        </w:rPr>
        <w:t xml:space="preserve">Sistema Municipal para el Desarrollo Integral de la Familia de </w:t>
      </w:r>
      <w:proofErr w:type="spellStart"/>
      <w:r w:rsidR="002D666E" w:rsidRPr="00B13D8B">
        <w:rPr>
          <w:color w:val="000000"/>
        </w:rPr>
        <w:t>Acambay</w:t>
      </w:r>
      <w:proofErr w:type="spellEnd"/>
      <w:r w:rsidR="002D666E" w:rsidRPr="00B13D8B">
        <w:rPr>
          <w:color w:val="000000"/>
        </w:rPr>
        <w:t xml:space="preserve">, </w:t>
      </w:r>
      <w:r w:rsidR="008C1488" w:rsidRPr="00B13D8B">
        <w:rPr>
          <w:color w:val="000000"/>
        </w:rPr>
        <w:t xml:space="preserve">vigente al </w:t>
      </w:r>
      <w:r w:rsidR="008C1488" w:rsidRPr="00B13D8B">
        <w:t>diecisiete de enero de dos mil veinticinco</w:t>
      </w:r>
      <w:r w:rsidR="008C1488" w:rsidRPr="00B13D8B">
        <w:rPr>
          <w:color w:val="000000"/>
        </w:rPr>
        <w:t>.</w:t>
      </w:r>
    </w:p>
    <w:p w14:paraId="6E0BBCD1" w14:textId="77777777" w:rsidR="00253B74" w:rsidRPr="00B13D8B" w:rsidRDefault="00253B74" w:rsidP="00910E6B">
      <w:pPr>
        <w:tabs>
          <w:tab w:val="left" w:pos="4962"/>
        </w:tabs>
        <w:spacing w:after="0" w:line="360" w:lineRule="auto"/>
      </w:pPr>
    </w:p>
    <w:p w14:paraId="53578C12" w14:textId="77777777" w:rsidR="00253B74" w:rsidRPr="00B13D8B" w:rsidRDefault="00B76585" w:rsidP="00910E6B">
      <w:pPr>
        <w:spacing w:after="0" w:line="360" w:lineRule="auto"/>
      </w:pPr>
      <w:r w:rsidRPr="00B13D8B">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47541CD9" w14:textId="77777777" w:rsidR="003502D5" w:rsidRPr="00B13D8B" w:rsidRDefault="003502D5" w:rsidP="00910E6B">
      <w:pPr>
        <w:tabs>
          <w:tab w:val="left" w:pos="4962"/>
        </w:tabs>
        <w:spacing w:after="0" w:line="360" w:lineRule="auto"/>
        <w:rPr>
          <w:color w:val="000000"/>
        </w:rPr>
      </w:pPr>
    </w:p>
    <w:p w14:paraId="7C8E1026" w14:textId="77777777" w:rsidR="008C1488" w:rsidRPr="00B13D8B" w:rsidRDefault="008C1488" w:rsidP="008C1488">
      <w:pPr>
        <w:spacing w:line="360" w:lineRule="auto"/>
        <w:ind w:right="-28"/>
        <w:contextualSpacing/>
        <w:rPr>
          <w:b/>
          <w:lang w:eastAsia="en-US"/>
        </w:rPr>
      </w:pPr>
      <w:r w:rsidRPr="00B13D8B">
        <w:rPr>
          <w:rFonts w:cs="Tahoma"/>
          <w:b/>
          <w:bCs/>
          <w:iCs/>
          <w:lang w:val="es-ES"/>
        </w:rPr>
        <w:lastRenderedPageBreak/>
        <w:t>TERCERO</w:t>
      </w:r>
      <w:r w:rsidRPr="00B13D8B">
        <w:rPr>
          <w:rFonts w:cs="Tahoma"/>
          <w:b/>
          <w:bCs/>
          <w:iCs/>
        </w:rPr>
        <w:t xml:space="preserve">. </w:t>
      </w:r>
      <w:r w:rsidRPr="00B13D8B">
        <w:rPr>
          <w:b/>
          <w:lang w:eastAsia="en-US"/>
        </w:rPr>
        <w:t xml:space="preserve">NOTIFÍQUESE POR SAIMEX </w:t>
      </w:r>
      <w:r w:rsidRPr="00B13D8B">
        <w:rPr>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10E836E" w14:textId="77777777" w:rsidR="008C1488" w:rsidRPr="00B13D8B" w:rsidRDefault="008C1488" w:rsidP="008C1488">
      <w:pPr>
        <w:spacing w:line="360" w:lineRule="auto"/>
        <w:ind w:right="-28"/>
        <w:contextualSpacing/>
        <w:rPr>
          <w:color w:val="000000"/>
          <w:lang w:eastAsia="en-US"/>
        </w:rPr>
      </w:pPr>
    </w:p>
    <w:p w14:paraId="54D4F617" w14:textId="77777777" w:rsidR="008C1488" w:rsidRPr="00B13D8B" w:rsidRDefault="008C1488" w:rsidP="008C1488">
      <w:pPr>
        <w:spacing w:line="360" w:lineRule="auto"/>
        <w:contextualSpacing/>
        <w:rPr>
          <w:color w:val="000000"/>
          <w:lang w:eastAsia="en-US"/>
        </w:rPr>
      </w:pPr>
      <w:r w:rsidRPr="00B13D8B">
        <w:rPr>
          <w:color w:val="000000"/>
          <w:lang w:eastAsia="en-US"/>
        </w:rPr>
        <w:t xml:space="preserve">De conformidad con el artículo 198 de la </w:t>
      </w:r>
      <w:r w:rsidRPr="00B13D8B">
        <w:rPr>
          <w:lang w:eastAsia="en-US"/>
        </w:rPr>
        <w:t>Ley de Transparencia y Acceso a la Información Pública del Estado de México y Municipios</w:t>
      </w:r>
      <w:r w:rsidRPr="00B13D8B">
        <w:rPr>
          <w:color w:val="000000"/>
          <w:lang w:eastAsia="en-US"/>
        </w:rPr>
        <w:t>, de considerarlo procedente, el Sujeto Obligado de manera fundada y motivada, podrá solicitar una ampliación de plazo para el cumplimiento de la presente resolución.</w:t>
      </w:r>
    </w:p>
    <w:p w14:paraId="08F1B630" w14:textId="77777777" w:rsidR="008C1488" w:rsidRPr="00B13D8B" w:rsidRDefault="008C1488" w:rsidP="008C1488">
      <w:pPr>
        <w:spacing w:line="360" w:lineRule="auto"/>
        <w:ind w:right="-28"/>
        <w:contextualSpacing/>
        <w:rPr>
          <w:b/>
          <w:lang w:val="es-ES_tradnl" w:eastAsia="en-US"/>
        </w:rPr>
      </w:pPr>
    </w:p>
    <w:p w14:paraId="3BE6FD25" w14:textId="77777777" w:rsidR="008C1488" w:rsidRPr="00B13D8B" w:rsidRDefault="008C1488" w:rsidP="008C1488">
      <w:pPr>
        <w:spacing w:line="360" w:lineRule="auto"/>
        <w:contextualSpacing/>
        <w:rPr>
          <w:lang w:eastAsia="en-US"/>
        </w:rPr>
      </w:pPr>
      <w:r w:rsidRPr="00B13D8B">
        <w:rPr>
          <w:b/>
          <w:lang w:eastAsia="en-US"/>
        </w:rPr>
        <w:t>CUARTO. NOTIFÍQUESE POR SAIMEX</w:t>
      </w:r>
      <w:r w:rsidRPr="00B13D8B">
        <w:rPr>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CC1F5AD" w14:textId="77777777" w:rsidR="00253B74" w:rsidRPr="00B13D8B" w:rsidRDefault="00253B74" w:rsidP="00910E6B">
      <w:pPr>
        <w:spacing w:after="0" w:line="360" w:lineRule="auto"/>
        <w:rPr>
          <w:color w:val="000000"/>
        </w:rPr>
      </w:pPr>
    </w:p>
    <w:p w14:paraId="07FA96EA" w14:textId="5211CC71" w:rsidR="00253B74" w:rsidRDefault="00B76585" w:rsidP="00910E6B">
      <w:pPr>
        <w:spacing w:after="0" w:line="360" w:lineRule="auto"/>
        <w:rPr>
          <w:color w:val="000000"/>
        </w:rPr>
      </w:pPr>
      <w:r w:rsidRPr="00B13D8B">
        <w:rPr>
          <w:color w:val="000000"/>
        </w:rPr>
        <w:t xml:space="preserve">ASÍ, POR </w:t>
      </w:r>
      <w:r w:rsidRPr="00B13D8B">
        <w:rPr>
          <w:b/>
          <w:color w:val="000000"/>
        </w:rPr>
        <w:t>UNANIMIDAD</w:t>
      </w:r>
      <w:r w:rsidRPr="00B13D8B">
        <w:rPr>
          <w:color w:val="000000"/>
        </w:rPr>
        <w:t xml:space="preserve"> DE VOTOS, LO RESOLVIERON Y FIRMAN LOS COMISIONADOS DEL INSTITUTO DE TRANSPARENCIA, ACCESO A LA INFORMACIÓN PÚBLICA Y PROTECCIÓN DE DATOS PERSONALES DEL ESTADO DE MÉXICO Y MUNICIPIOS, CONFORMADO POR LOS COMISIONADOS JOSÉ MARTÍNEZ </w:t>
      </w:r>
      <w:r w:rsidRPr="00B13D8B">
        <w:rPr>
          <w:color w:val="000000"/>
        </w:rPr>
        <w:lastRenderedPageBreak/>
        <w:t xml:space="preserve">VILCHIS, MARÍA DEL ROSARIO MEJÍA AYALA, SHARON CRISTINA MORALES MARTÍNEZ, LUIS GUSTAVO PARRA NORIEGA Y GUADALUPE RAMÍREZ PEÑA, EN LA </w:t>
      </w:r>
      <w:r w:rsidR="002D666E" w:rsidRPr="00B13D8B">
        <w:rPr>
          <w:color w:val="000000"/>
        </w:rPr>
        <w:t>DECIMA</w:t>
      </w:r>
      <w:r w:rsidR="00B13D8B">
        <w:rPr>
          <w:color w:val="000000"/>
        </w:rPr>
        <w:t xml:space="preserve"> PRIMERA </w:t>
      </w:r>
      <w:r w:rsidRPr="00B13D8B">
        <w:rPr>
          <w:color w:val="000000"/>
        </w:rPr>
        <w:t xml:space="preserve"> SESIÓN ORDINARIA, CELEBRADA EL</w:t>
      </w:r>
      <w:r w:rsidR="00B13D8B">
        <w:rPr>
          <w:color w:val="000000"/>
        </w:rPr>
        <w:t xml:space="preserve"> VEINTISÉIS</w:t>
      </w:r>
      <w:r w:rsidRPr="00B13D8B">
        <w:rPr>
          <w:color w:val="000000"/>
        </w:rPr>
        <w:t xml:space="preserve"> DE </w:t>
      </w:r>
      <w:r w:rsidR="002D666E" w:rsidRPr="00B13D8B">
        <w:rPr>
          <w:color w:val="000000"/>
        </w:rPr>
        <w:t>MARZO</w:t>
      </w:r>
      <w:r w:rsidRPr="00B13D8B">
        <w:rPr>
          <w:color w:val="000000"/>
        </w:rPr>
        <w:t xml:space="preserve"> DE DOS MIL VEINTICINCO, ANTE EL SECRETARIO TÉCNICO DEL PLENO, ALEXIS TAPIA RAMÍREZ.</w:t>
      </w:r>
    </w:p>
    <w:p w14:paraId="337C30CD" w14:textId="77777777" w:rsidR="00253B74" w:rsidRDefault="00253B74" w:rsidP="00910E6B">
      <w:pPr>
        <w:spacing w:after="0" w:line="360" w:lineRule="auto"/>
        <w:rPr>
          <w:color w:val="000000"/>
        </w:rPr>
      </w:pPr>
    </w:p>
    <w:p w14:paraId="3E68FF3D" w14:textId="77777777" w:rsidR="00253B74" w:rsidRDefault="00253B74" w:rsidP="00910E6B">
      <w:pPr>
        <w:spacing w:after="0" w:line="360" w:lineRule="auto"/>
      </w:pPr>
    </w:p>
    <w:p w14:paraId="5D14AE09" w14:textId="77777777" w:rsidR="00253B74" w:rsidRDefault="00253B74" w:rsidP="00910E6B">
      <w:pPr>
        <w:spacing w:after="0" w:line="360" w:lineRule="auto"/>
      </w:pPr>
    </w:p>
    <w:p w14:paraId="7D65782A" w14:textId="77777777" w:rsidR="00253B74" w:rsidRDefault="00253B74" w:rsidP="00910E6B">
      <w:pPr>
        <w:spacing w:after="0" w:line="360" w:lineRule="auto"/>
      </w:pPr>
    </w:p>
    <w:p w14:paraId="38BFEEDA" w14:textId="77777777" w:rsidR="00253B74" w:rsidRDefault="00253B74" w:rsidP="00910E6B">
      <w:pPr>
        <w:spacing w:after="0" w:line="360" w:lineRule="auto"/>
      </w:pPr>
    </w:p>
    <w:p w14:paraId="363AE3F5" w14:textId="77777777" w:rsidR="00253B74" w:rsidRDefault="00253B74" w:rsidP="00910E6B">
      <w:pPr>
        <w:spacing w:after="0" w:line="360" w:lineRule="auto"/>
      </w:pPr>
    </w:p>
    <w:p w14:paraId="0C4801C7" w14:textId="77777777" w:rsidR="00253B74" w:rsidRDefault="00253B74" w:rsidP="00910E6B">
      <w:pPr>
        <w:spacing w:after="0" w:line="360" w:lineRule="auto"/>
      </w:pPr>
    </w:p>
    <w:p w14:paraId="4178E59E" w14:textId="77777777" w:rsidR="00253B74" w:rsidRDefault="00253B74" w:rsidP="00910E6B">
      <w:pPr>
        <w:spacing w:after="0" w:line="360" w:lineRule="auto"/>
      </w:pPr>
    </w:p>
    <w:p w14:paraId="560DAC53" w14:textId="77777777" w:rsidR="00253B74" w:rsidRDefault="00253B74" w:rsidP="00910E6B">
      <w:pPr>
        <w:spacing w:after="0" w:line="360" w:lineRule="auto"/>
      </w:pPr>
    </w:p>
    <w:p w14:paraId="6598C265" w14:textId="77777777" w:rsidR="00253B74" w:rsidRDefault="00253B74" w:rsidP="00910E6B">
      <w:pPr>
        <w:spacing w:after="0" w:line="360" w:lineRule="auto"/>
      </w:pPr>
    </w:p>
    <w:p w14:paraId="30667927" w14:textId="77777777" w:rsidR="00253B74" w:rsidRDefault="00253B74" w:rsidP="00910E6B">
      <w:pPr>
        <w:spacing w:after="0" w:line="360" w:lineRule="auto"/>
      </w:pPr>
    </w:p>
    <w:p w14:paraId="6642AC8D" w14:textId="77777777" w:rsidR="00253B74" w:rsidRDefault="00253B74" w:rsidP="00910E6B">
      <w:pPr>
        <w:spacing w:after="0" w:line="360" w:lineRule="auto"/>
      </w:pPr>
    </w:p>
    <w:p w14:paraId="26E27FD5" w14:textId="77777777" w:rsidR="00253B74" w:rsidRDefault="00253B74" w:rsidP="00910E6B">
      <w:pPr>
        <w:spacing w:after="0" w:line="360" w:lineRule="auto"/>
      </w:pPr>
    </w:p>
    <w:p w14:paraId="5A4EC35A" w14:textId="77777777" w:rsidR="00253B74" w:rsidRDefault="00253B74" w:rsidP="00910E6B">
      <w:pPr>
        <w:spacing w:after="0" w:line="360" w:lineRule="auto"/>
      </w:pPr>
    </w:p>
    <w:p w14:paraId="1AA93DA6" w14:textId="77777777" w:rsidR="00253B74" w:rsidRDefault="00253B74" w:rsidP="00910E6B">
      <w:pPr>
        <w:spacing w:after="0" w:line="360" w:lineRule="auto"/>
      </w:pPr>
    </w:p>
    <w:p w14:paraId="69AEB6A2" w14:textId="77777777" w:rsidR="00253B74" w:rsidRDefault="00253B74" w:rsidP="00910E6B">
      <w:pPr>
        <w:spacing w:after="0" w:line="360" w:lineRule="auto"/>
      </w:pPr>
    </w:p>
    <w:p w14:paraId="6EA160EE" w14:textId="77777777" w:rsidR="00253B74" w:rsidRDefault="00253B74" w:rsidP="00910E6B">
      <w:pPr>
        <w:spacing w:after="0" w:line="360" w:lineRule="auto"/>
      </w:pPr>
    </w:p>
    <w:p w14:paraId="401082DF" w14:textId="77777777" w:rsidR="00253B74" w:rsidRDefault="00253B74" w:rsidP="00910E6B">
      <w:pPr>
        <w:spacing w:after="0" w:line="360" w:lineRule="auto"/>
      </w:pPr>
    </w:p>
    <w:p w14:paraId="54797AF4" w14:textId="77777777" w:rsidR="00253B74" w:rsidRDefault="00253B74" w:rsidP="00910E6B">
      <w:pPr>
        <w:spacing w:after="0" w:line="360" w:lineRule="auto"/>
      </w:pPr>
    </w:p>
    <w:p w14:paraId="536EC997" w14:textId="77777777" w:rsidR="00253B74" w:rsidRDefault="00253B74" w:rsidP="00910E6B">
      <w:pPr>
        <w:spacing w:after="0" w:line="360" w:lineRule="auto"/>
      </w:pPr>
    </w:p>
    <w:p w14:paraId="5C3895B9" w14:textId="77777777" w:rsidR="00253B74" w:rsidRDefault="00253B74" w:rsidP="00910E6B">
      <w:pPr>
        <w:spacing w:after="0" w:line="360" w:lineRule="auto"/>
      </w:pPr>
    </w:p>
    <w:p w14:paraId="01D4BB51" w14:textId="77777777" w:rsidR="00253B74" w:rsidRDefault="00253B74" w:rsidP="00910E6B">
      <w:pPr>
        <w:spacing w:after="0" w:line="360" w:lineRule="auto"/>
      </w:pPr>
    </w:p>
    <w:p w14:paraId="5922D57C" w14:textId="77777777" w:rsidR="00253B74" w:rsidRDefault="00253B74" w:rsidP="00910E6B">
      <w:pPr>
        <w:spacing w:after="0" w:line="360" w:lineRule="auto"/>
      </w:pPr>
    </w:p>
    <w:p w14:paraId="2864E5B2" w14:textId="77777777" w:rsidR="00253B74" w:rsidRDefault="00253B74" w:rsidP="00910E6B">
      <w:pPr>
        <w:spacing w:after="0" w:line="360" w:lineRule="auto"/>
      </w:pPr>
    </w:p>
    <w:p w14:paraId="41CC9A82" w14:textId="77777777" w:rsidR="00253B74" w:rsidRDefault="00253B74" w:rsidP="00910E6B">
      <w:pPr>
        <w:spacing w:after="0" w:line="360" w:lineRule="auto"/>
      </w:pPr>
    </w:p>
    <w:sectPr w:rsidR="00253B74">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E4220" w14:textId="77777777" w:rsidR="006F32A6" w:rsidRDefault="006F32A6">
      <w:pPr>
        <w:spacing w:after="0" w:line="240" w:lineRule="auto"/>
      </w:pPr>
      <w:r>
        <w:separator/>
      </w:r>
    </w:p>
  </w:endnote>
  <w:endnote w:type="continuationSeparator" w:id="0">
    <w:p w14:paraId="624A7116" w14:textId="77777777" w:rsidR="006F32A6" w:rsidRDefault="006F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ECBCF" w14:textId="77777777" w:rsidR="00B82BF9" w:rsidRDefault="00B82B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600E9">
      <w:rPr>
        <w:b/>
        <w:noProof/>
        <w:color w:val="000000"/>
        <w:sz w:val="24"/>
        <w:szCs w:val="24"/>
      </w:rPr>
      <w:t>22</w:t>
    </w:r>
    <w:r>
      <w:rPr>
        <w:b/>
        <w:color w:val="000000"/>
        <w:sz w:val="24"/>
        <w:szCs w:val="24"/>
      </w:rPr>
      <w:fldChar w:fldCharType="end"/>
    </w:r>
  </w:p>
  <w:p w14:paraId="77DD7EF1" w14:textId="77777777" w:rsidR="00B82BF9" w:rsidRDefault="00B82BF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35C2C" w14:textId="77777777" w:rsidR="00B82BF9" w:rsidRDefault="00B82B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F2E74">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F2E74">
      <w:rPr>
        <w:b/>
        <w:noProof/>
        <w:color w:val="000000"/>
        <w:sz w:val="24"/>
        <w:szCs w:val="24"/>
      </w:rPr>
      <w:t>22</w:t>
    </w:r>
    <w:r>
      <w:rPr>
        <w:b/>
        <w:color w:val="000000"/>
        <w:sz w:val="24"/>
        <w:szCs w:val="24"/>
      </w:rPr>
      <w:fldChar w:fldCharType="end"/>
    </w:r>
  </w:p>
  <w:p w14:paraId="3283FD85" w14:textId="77777777" w:rsidR="00B82BF9" w:rsidRDefault="00B82BF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6102" w14:textId="77777777" w:rsidR="00B82BF9" w:rsidRDefault="00B82B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F2E7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F2E74">
      <w:rPr>
        <w:b/>
        <w:noProof/>
        <w:color w:val="000000"/>
        <w:sz w:val="24"/>
        <w:szCs w:val="24"/>
      </w:rPr>
      <w:t>22</w:t>
    </w:r>
    <w:r>
      <w:rPr>
        <w:b/>
        <w:color w:val="000000"/>
        <w:sz w:val="24"/>
        <w:szCs w:val="24"/>
      </w:rPr>
      <w:fldChar w:fldCharType="end"/>
    </w:r>
  </w:p>
  <w:p w14:paraId="2D436271" w14:textId="77777777" w:rsidR="00B82BF9" w:rsidRDefault="00B82BF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4681" w14:textId="77777777" w:rsidR="006F32A6" w:rsidRDefault="006F32A6">
      <w:pPr>
        <w:spacing w:after="0" w:line="240" w:lineRule="auto"/>
      </w:pPr>
      <w:r>
        <w:separator/>
      </w:r>
    </w:p>
  </w:footnote>
  <w:footnote w:type="continuationSeparator" w:id="0">
    <w:p w14:paraId="02AD3E1B" w14:textId="77777777" w:rsidR="006F32A6" w:rsidRDefault="006F3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9E016" w14:textId="77777777" w:rsidR="00B82BF9" w:rsidRDefault="00B82BF9">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B82BF9" w14:paraId="51383F49" w14:textId="77777777">
      <w:trPr>
        <w:trHeight w:val="132"/>
      </w:trPr>
      <w:tc>
        <w:tcPr>
          <w:tcW w:w="2691" w:type="dxa"/>
        </w:tcPr>
        <w:p w14:paraId="1F966C5C" w14:textId="77777777" w:rsidR="00B82BF9" w:rsidRDefault="00B82BF9">
          <w:pPr>
            <w:tabs>
              <w:tab w:val="right" w:pos="8838"/>
            </w:tabs>
            <w:ind w:right="-105"/>
            <w:rPr>
              <w:b/>
            </w:rPr>
          </w:pPr>
          <w:r>
            <w:rPr>
              <w:b/>
            </w:rPr>
            <w:t>Recurso de Revisión:</w:t>
          </w:r>
        </w:p>
      </w:tc>
      <w:tc>
        <w:tcPr>
          <w:tcW w:w="3405" w:type="dxa"/>
        </w:tcPr>
        <w:p w14:paraId="68C7BA05" w14:textId="77777777" w:rsidR="00B82BF9" w:rsidRDefault="00B82BF9">
          <w:pPr>
            <w:tabs>
              <w:tab w:val="right" w:pos="8838"/>
            </w:tabs>
            <w:ind w:left="-28" w:right="-32"/>
          </w:pPr>
          <w:r>
            <w:t>03846/INFOEM/IP/RR/2020</w:t>
          </w:r>
        </w:p>
      </w:tc>
    </w:tr>
    <w:tr w:rsidR="00B82BF9" w14:paraId="09F36B16" w14:textId="77777777">
      <w:trPr>
        <w:trHeight w:val="261"/>
      </w:trPr>
      <w:tc>
        <w:tcPr>
          <w:tcW w:w="2691" w:type="dxa"/>
        </w:tcPr>
        <w:p w14:paraId="75E0BBD1" w14:textId="77777777" w:rsidR="00B82BF9" w:rsidRDefault="00B82BF9">
          <w:pPr>
            <w:tabs>
              <w:tab w:val="right" w:pos="8838"/>
            </w:tabs>
            <w:ind w:right="-105"/>
            <w:rPr>
              <w:b/>
            </w:rPr>
          </w:pPr>
          <w:r>
            <w:rPr>
              <w:b/>
            </w:rPr>
            <w:t>Sujeto Obligado:</w:t>
          </w:r>
        </w:p>
      </w:tc>
      <w:tc>
        <w:tcPr>
          <w:tcW w:w="3405" w:type="dxa"/>
        </w:tcPr>
        <w:p w14:paraId="49923B22" w14:textId="77777777" w:rsidR="00B82BF9" w:rsidRDefault="00B82BF9">
          <w:pPr>
            <w:tabs>
              <w:tab w:val="right" w:pos="8838"/>
            </w:tabs>
            <w:ind w:right="-32"/>
          </w:pPr>
          <w:r>
            <w:t>Ayuntamiento de Valle de Chalco Solidaridad</w:t>
          </w:r>
        </w:p>
      </w:tc>
    </w:tr>
    <w:tr w:rsidR="00B82BF9" w14:paraId="4698C452" w14:textId="77777777">
      <w:trPr>
        <w:trHeight w:val="261"/>
      </w:trPr>
      <w:tc>
        <w:tcPr>
          <w:tcW w:w="2691" w:type="dxa"/>
        </w:tcPr>
        <w:p w14:paraId="5A5FD566" w14:textId="77777777" w:rsidR="00B82BF9" w:rsidRDefault="00B82BF9">
          <w:pPr>
            <w:tabs>
              <w:tab w:val="right" w:pos="8838"/>
            </w:tabs>
            <w:ind w:right="-105"/>
            <w:rPr>
              <w:b/>
            </w:rPr>
          </w:pPr>
          <w:r>
            <w:rPr>
              <w:b/>
            </w:rPr>
            <w:t>Comisionado Ponente:</w:t>
          </w:r>
        </w:p>
      </w:tc>
      <w:tc>
        <w:tcPr>
          <w:tcW w:w="3405" w:type="dxa"/>
        </w:tcPr>
        <w:p w14:paraId="298AA2EA" w14:textId="77777777" w:rsidR="00B82BF9" w:rsidRDefault="00B82BF9">
          <w:pPr>
            <w:tabs>
              <w:tab w:val="right" w:pos="8838"/>
            </w:tabs>
            <w:ind w:right="-32"/>
            <w:rPr>
              <w:b/>
            </w:rPr>
          </w:pPr>
          <w:r>
            <w:t>Luis Gustavo Parra Noriega</w:t>
          </w:r>
        </w:p>
      </w:tc>
    </w:tr>
  </w:tbl>
  <w:p w14:paraId="6DB06B68" w14:textId="77777777" w:rsidR="00B82BF9" w:rsidRDefault="00FF2E74">
    <w:pPr>
      <w:pBdr>
        <w:top w:val="nil"/>
        <w:left w:val="nil"/>
        <w:bottom w:val="nil"/>
        <w:right w:val="nil"/>
        <w:between w:val="nil"/>
      </w:pBdr>
      <w:tabs>
        <w:tab w:val="center" w:pos="4419"/>
        <w:tab w:val="right" w:pos="8838"/>
      </w:tabs>
      <w:spacing w:after="0" w:line="240" w:lineRule="auto"/>
      <w:rPr>
        <w:color w:val="000000"/>
      </w:rPr>
    </w:pPr>
    <w:r>
      <w:rPr>
        <w:color w:val="000000"/>
      </w:rPr>
      <w:pict w14:anchorId="0951C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6A91" w14:textId="77777777" w:rsidR="00B82BF9" w:rsidRDefault="00FF2E74">
    <w:r>
      <w:pict w14:anchorId="209B5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85.65pt;margin-top:-143.95pt;width:663.5pt;height:12in;z-index:-251659776;mso-position-horizontal-relative:margin;mso-position-vertical-relative:margin">
          <v:imagedata r:id="rId1" o:title="image1"/>
          <w10:wrap anchorx="margin" anchory="margin"/>
        </v:shape>
      </w:pict>
    </w:r>
  </w:p>
  <w:tbl>
    <w:tblPr>
      <w:tblStyle w:val="a0"/>
      <w:tblW w:w="5524" w:type="dxa"/>
      <w:tblInd w:w="3402" w:type="dxa"/>
      <w:tblLayout w:type="fixed"/>
      <w:tblLook w:val="0400" w:firstRow="0" w:lastRow="0" w:firstColumn="0" w:lastColumn="0" w:noHBand="0" w:noVBand="1"/>
    </w:tblPr>
    <w:tblGrid>
      <w:gridCol w:w="2410"/>
      <w:gridCol w:w="3114"/>
    </w:tblGrid>
    <w:tr w:rsidR="00B82BF9" w14:paraId="0A72F0D7" w14:textId="77777777" w:rsidTr="00CB56D6">
      <w:trPr>
        <w:trHeight w:val="138"/>
      </w:trPr>
      <w:tc>
        <w:tcPr>
          <w:tcW w:w="2410" w:type="dxa"/>
          <w:vAlign w:val="center"/>
        </w:tcPr>
        <w:p w14:paraId="6B802F04" w14:textId="77777777" w:rsidR="00B82BF9" w:rsidRDefault="00B82BF9">
          <w:pPr>
            <w:tabs>
              <w:tab w:val="right" w:pos="8838"/>
            </w:tabs>
            <w:ind w:right="-105"/>
            <w:jc w:val="left"/>
            <w:rPr>
              <w:b/>
            </w:rPr>
          </w:pPr>
          <w:r>
            <w:rPr>
              <w:b/>
            </w:rPr>
            <w:t>Recurso de Revisión:</w:t>
          </w:r>
        </w:p>
      </w:tc>
      <w:tc>
        <w:tcPr>
          <w:tcW w:w="3114" w:type="dxa"/>
        </w:tcPr>
        <w:p w14:paraId="2F988D56" w14:textId="14E27CEF" w:rsidR="00B82BF9" w:rsidRDefault="00B82BF9">
          <w:pPr>
            <w:tabs>
              <w:tab w:val="right" w:pos="8838"/>
            </w:tabs>
            <w:ind w:right="-32"/>
          </w:pPr>
          <w:r w:rsidRPr="007D1ECF">
            <w:t>01981/INFOEM/IP/RR/2025</w:t>
          </w:r>
        </w:p>
      </w:tc>
    </w:tr>
    <w:tr w:rsidR="00B82BF9" w14:paraId="431D83E4" w14:textId="77777777" w:rsidTr="00CB56D6">
      <w:trPr>
        <w:trHeight w:val="273"/>
      </w:trPr>
      <w:tc>
        <w:tcPr>
          <w:tcW w:w="2410" w:type="dxa"/>
        </w:tcPr>
        <w:p w14:paraId="768E1E5A" w14:textId="77777777" w:rsidR="00B82BF9" w:rsidRDefault="00B82BF9">
          <w:pPr>
            <w:tabs>
              <w:tab w:val="right" w:pos="8838"/>
            </w:tabs>
            <w:ind w:right="-105"/>
            <w:rPr>
              <w:b/>
            </w:rPr>
          </w:pPr>
          <w:r>
            <w:rPr>
              <w:b/>
            </w:rPr>
            <w:t>Sujeto Obligado:</w:t>
          </w:r>
        </w:p>
      </w:tc>
      <w:tc>
        <w:tcPr>
          <w:tcW w:w="3114" w:type="dxa"/>
        </w:tcPr>
        <w:p w14:paraId="452F5004" w14:textId="5038A768" w:rsidR="00B82BF9" w:rsidRDefault="00B82BF9">
          <w:pPr>
            <w:tabs>
              <w:tab w:val="right" w:pos="8838"/>
            </w:tabs>
            <w:ind w:left="-28" w:right="-32"/>
          </w:pPr>
          <w:r w:rsidRPr="007D1ECF">
            <w:rPr>
              <w:color w:val="000000"/>
            </w:rPr>
            <w:t xml:space="preserve">Sistema Municipal para el Desarrollo Integral de la Familia de </w:t>
          </w:r>
          <w:proofErr w:type="spellStart"/>
          <w:r w:rsidRPr="007D1ECF">
            <w:rPr>
              <w:color w:val="000000"/>
            </w:rPr>
            <w:t>Acambay</w:t>
          </w:r>
          <w:proofErr w:type="spellEnd"/>
        </w:p>
      </w:tc>
    </w:tr>
    <w:tr w:rsidR="00B82BF9" w14:paraId="0986E5B1" w14:textId="77777777" w:rsidTr="00CB56D6">
      <w:trPr>
        <w:trHeight w:val="273"/>
      </w:trPr>
      <w:tc>
        <w:tcPr>
          <w:tcW w:w="2410" w:type="dxa"/>
        </w:tcPr>
        <w:p w14:paraId="5E59A4E2" w14:textId="77777777" w:rsidR="00B82BF9" w:rsidRDefault="00B82BF9">
          <w:pPr>
            <w:tabs>
              <w:tab w:val="right" w:pos="8838"/>
            </w:tabs>
            <w:ind w:right="-105"/>
            <w:rPr>
              <w:b/>
            </w:rPr>
          </w:pPr>
          <w:r>
            <w:rPr>
              <w:b/>
            </w:rPr>
            <w:t>Comisionado Ponente:</w:t>
          </w:r>
        </w:p>
      </w:tc>
      <w:tc>
        <w:tcPr>
          <w:tcW w:w="3114" w:type="dxa"/>
        </w:tcPr>
        <w:p w14:paraId="3C940905" w14:textId="77777777" w:rsidR="00B82BF9" w:rsidRDefault="00B82BF9">
          <w:pPr>
            <w:tabs>
              <w:tab w:val="right" w:pos="8838"/>
            </w:tabs>
            <w:ind w:left="-28" w:right="-32"/>
          </w:pPr>
          <w:r>
            <w:t>Luis Gustavo Parra Noriega</w:t>
          </w:r>
        </w:p>
        <w:p w14:paraId="301750E3" w14:textId="77777777" w:rsidR="0097705C" w:rsidRDefault="0097705C">
          <w:pPr>
            <w:tabs>
              <w:tab w:val="right" w:pos="8838"/>
            </w:tabs>
            <w:ind w:left="-28" w:right="-32"/>
            <w:rPr>
              <w:b/>
            </w:rPr>
          </w:pPr>
        </w:p>
      </w:tc>
    </w:tr>
  </w:tbl>
  <w:p w14:paraId="172666E2" w14:textId="77777777" w:rsidR="00B82BF9" w:rsidRDefault="00B82BF9">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8764B" w14:textId="451D6709" w:rsidR="00B82BF9" w:rsidRDefault="00FF2E74">
    <w:pPr>
      <w:widowControl w:val="0"/>
      <w:pBdr>
        <w:top w:val="nil"/>
        <w:left w:val="nil"/>
        <w:bottom w:val="nil"/>
        <w:right w:val="nil"/>
        <w:between w:val="nil"/>
      </w:pBdr>
      <w:spacing w:after="0" w:line="276" w:lineRule="auto"/>
      <w:jc w:val="left"/>
      <w:rPr>
        <w:color w:val="000000"/>
      </w:rPr>
    </w:pPr>
    <w:r>
      <w:rPr>
        <w:color w:val="000000"/>
      </w:rPr>
      <w:pict w14:anchorId="016DB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91.05pt;margin-top:-149.25pt;width:663.5pt;height:12in;z-index:-251658752;mso-position-horizontal-relative:margin;mso-position-vertical-relative:margin">
          <v:imagedata r:id="rId1" o:title="image1"/>
          <w10:wrap anchorx="margin" anchory="margin"/>
        </v:shape>
      </w:pict>
    </w:r>
  </w:p>
  <w:tbl>
    <w:tblPr>
      <w:tblStyle w:val="a1"/>
      <w:tblW w:w="6096"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2"/>
      <w:gridCol w:w="3544"/>
    </w:tblGrid>
    <w:tr w:rsidR="00B82BF9" w14:paraId="71B9D2C4" w14:textId="77777777" w:rsidTr="007D1ECF">
      <w:trPr>
        <w:trHeight w:val="132"/>
      </w:trPr>
      <w:tc>
        <w:tcPr>
          <w:tcW w:w="2552" w:type="dxa"/>
        </w:tcPr>
        <w:p w14:paraId="040EEE7F" w14:textId="77777777" w:rsidR="00B82BF9" w:rsidRDefault="00B82BF9">
          <w:pPr>
            <w:tabs>
              <w:tab w:val="right" w:pos="8838"/>
            </w:tabs>
            <w:ind w:right="-105"/>
            <w:rPr>
              <w:b/>
            </w:rPr>
          </w:pPr>
          <w:r>
            <w:rPr>
              <w:b/>
            </w:rPr>
            <w:t>Recurso de Revisión:</w:t>
          </w:r>
        </w:p>
      </w:tc>
      <w:tc>
        <w:tcPr>
          <w:tcW w:w="3544" w:type="dxa"/>
        </w:tcPr>
        <w:p w14:paraId="4BE02A0B" w14:textId="7FEFE62E" w:rsidR="00B82BF9" w:rsidRDefault="00B82BF9">
          <w:pPr>
            <w:tabs>
              <w:tab w:val="right" w:pos="8838"/>
            </w:tabs>
            <w:ind w:left="-111" w:right="-32"/>
          </w:pPr>
          <w:r w:rsidRPr="007D1ECF">
            <w:t>01981/INFOEM/IP/RR/2025</w:t>
          </w:r>
        </w:p>
      </w:tc>
    </w:tr>
    <w:tr w:rsidR="00B82BF9" w14:paraId="62FE029B" w14:textId="77777777" w:rsidTr="007D1ECF">
      <w:trPr>
        <w:trHeight w:val="132"/>
      </w:trPr>
      <w:tc>
        <w:tcPr>
          <w:tcW w:w="2552" w:type="dxa"/>
        </w:tcPr>
        <w:p w14:paraId="00D7A331" w14:textId="77777777" w:rsidR="00B82BF9" w:rsidRDefault="00B82BF9">
          <w:pPr>
            <w:tabs>
              <w:tab w:val="left" w:pos="1875"/>
            </w:tabs>
            <w:ind w:right="-105"/>
            <w:rPr>
              <w:b/>
            </w:rPr>
          </w:pPr>
          <w:r>
            <w:rPr>
              <w:b/>
            </w:rPr>
            <w:t>Recurrente:</w:t>
          </w:r>
          <w:r>
            <w:rPr>
              <w:b/>
            </w:rPr>
            <w:tab/>
          </w:r>
        </w:p>
      </w:tc>
      <w:tc>
        <w:tcPr>
          <w:tcW w:w="3544" w:type="dxa"/>
        </w:tcPr>
        <w:p w14:paraId="6B9C372F" w14:textId="40A508C6" w:rsidR="00B82BF9" w:rsidRDefault="00FF2E74">
          <w:pPr>
            <w:tabs>
              <w:tab w:val="right" w:pos="8838"/>
            </w:tabs>
            <w:ind w:left="-111" w:right="-109"/>
          </w:pPr>
          <w:r w:rsidRPr="00FF2E74">
            <w:rPr>
              <w:highlight w:val="black"/>
            </w:rPr>
            <w:t>XXXXX</w:t>
          </w:r>
          <w:r w:rsidR="00B82BF9">
            <w:t xml:space="preserve"> </w:t>
          </w:r>
        </w:p>
      </w:tc>
    </w:tr>
    <w:tr w:rsidR="00B82BF9" w14:paraId="6F502C36" w14:textId="77777777" w:rsidTr="007D1ECF">
      <w:trPr>
        <w:trHeight w:val="261"/>
      </w:trPr>
      <w:tc>
        <w:tcPr>
          <w:tcW w:w="2552" w:type="dxa"/>
        </w:tcPr>
        <w:p w14:paraId="45B6D557" w14:textId="77777777" w:rsidR="00B82BF9" w:rsidRDefault="00B82BF9">
          <w:pPr>
            <w:tabs>
              <w:tab w:val="right" w:pos="8838"/>
            </w:tabs>
            <w:ind w:right="-105"/>
            <w:rPr>
              <w:b/>
            </w:rPr>
          </w:pPr>
          <w:r>
            <w:rPr>
              <w:b/>
            </w:rPr>
            <w:t>Sujeto Obligado:</w:t>
          </w:r>
        </w:p>
      </w:tc>
      <w:tc>
        <w:tcPr>
          <w:tcW w:w="3544" w:type="dxa"/>
        </w:tcPr>
        <w:p w14:paraId="12234D10" w14:textId="6BDF685C" w:rsidR="00B82BF9" w:rsidRDefault="00B82BF9">
          <w:pPr>
            <w:tabs>
              <w:tab w:val="right" w:pos="8838"/>
            </w:tabs>
            <w:ind w:left="-111" w:right="-32"/>
          </w:pPr>
          <w:r w:rsidRPr="007D1ECF">
            <w:rPr>
              <w:color w:val="000000"/>
            </w:rPr>
            <w:t xml:space="preserve">Sistema Municipal para el Desarrollo Integral de la Familia de </w:t>
          </w:r>
          <w:proofErr w:type="spellStart"/>
          <w:r w:rsidRPr="007D1ECF">
            <w:rPr>
              <w:color w:val="000000"/>
            </w:rPr>
            <w:t>Acambay</w:t>
          </w:r>
          <w:proofErr w:type="spellEnd"/>
        </w:p>
      </w:tc>
    </w:tr>
    <w:tr w:rsidR="00B82BF9" w14:paraId="1129CD48" w14:textId="77777777" w:rsidTr="007D1ECF">
      <w:trPr>
        <w:trHeight w:val="261"/>
      </w:trPr>
      <w:tc>
        <w:tcPr>
          <w:tcW w:w="2552" w:type="dxa"/>
        </w:tcPr>
        <w:p w14:paraId="71BD05CE" w14:textId="77777777" w:rsidR="00B82BF9" w:rsidRDefault="00B82BF9">
          <w:pPr>
            <w:tabs>
              <w:tab w:val="right" w:pos="8838"/>
            </w:tabs>
            <w:ind w:right="-105"/>
            <w:rPr>
              <w:b/>
            </w:rPr>
          </w:pPr>
          <w:r>
            <w:rPr>
              <w:b/>
            </w:rPr>
            <w:t>Comisionado Ponente:</w:t>
          </w:r>
        </w:p>
      </w:tc>
      <w:tc>
        <w:tcPr>
          <w:tcW w:w="3544" w:type="dxa"/>
        </w:tcPr>
        <w:p w14:paraId="7B94A924" w14:textId="77777777" w:rsidR="00B82BF9" w:rsidRDefault="00B82BF9">
          <w:pPr>
            <w:tabs>
              <w:tab w:val="right" w:pos="8838"/>
            </w:tabs>
            <w:ind w:left="-111" w:right="-32"/>
            <w:rPr>
              <w:b/>
            </w:rPr>
          </w:pPr>
          <w:r>
            <w:t>Luis Gustavo Parra Noriega</w:t>
          </w:r>
        </w:p>
      </w:tc>
    </w:tr>
  </w:tbl>
  <w:p w14:paraId="0BB4F8BC" w14:textId="6CA9B1F8" w:rsidR="00B82BF9" w:rsidRDefault="00B82BF9">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A35"/>
    <w:multiLevelType w:val="multilevel"/>
    <w:tmpl w:val="0E0AF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65285F"/>
    <w:multiLevelType w:val="multilevel"/>
    <w:tmpl w:val="F86AB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1B3F72"/>
    <w:multiLevelType w:val="multilevel"/>
    <w:tmpl w:val="99A86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8B5A3B"/>
    <w:multiLevelType w:val="multilevel"/>
    <w:tmpl w:val="AAC61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E0F307E"/>
    <w:multiLevelType w:val="multilevel"/>
    <w:tmpl w:val="05805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994358"/>
    <w:multiLevelType w:val="multilevel"/>
    <w:tmpl w:val="92904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C81B61"/>
    <w:multiLevelType w:val="multilevel"/>
    <w:tmpl w:val="42B45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BC4642"/>
    <w:multiLevelType w:val="multilevel"/>
    <w:tmpl w:val="04FC9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3E4C6E"/>
    <w:multiLevelType w:val="multilevel"/>
    <w:tmpl w:val="DD602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223CF5"/>
    <w:multiLevelType w:val="multilevel"/>
    <w:tmpl w:val="7CBCA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BA6F6E"/>
    <w:multiLevelType w:val="multilevel"/>
    <w:tmpl w:val="4D08C2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B43BF6"/>
    <w:multiLevelType w:val="multilevel"/>
    <w:tmpl w:val="FBA6C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EB71138"/>
    <w:multiLevelType w:val="multilevel"/>
    <w:tmpl w:val="AA2E58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
  </w:num>
  <w:num w:numId="3">
    <w:abstractNumId w:val="6"/>
  </w:num>
  <w:num w:numId="4">
    <w:abstractNumId w:val="13"/>
  </w:num>
  <w:num w:numId="5">
    <w:abstractNumId w:val="7"/>
  </w:num>
  <w:num w:numId="6">
    <w:abstractNumId w:val="8"/>
  </w:num>
  <w:num w:numId="7">
    <w:abstractNumId w:val="12"/>
  </w:num>
  <w:num w:numId="8">
    <w:abstractNumId w:val="2"/>
  </w:num>
  <w:num w:numId="9">
    <w:abstractNumId w:val="0"/>
  </w:num>
  <w:num w:numId="10">
    <w:abstractNumId w:val="3"/>
  </w:num>
  <w:num w:numId="11">
    <w:abstractNumId w:val="11"/>
  </w:num>
  <w:num w:numId="12">
    <w:abstractNumId w:val="14"/>
  </w:num>
  <w:num w:numId="13">
    <w:abstractNumId w:val="9"/>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74"/>
    <w:rsid w:val="00011FAC"/>
    <w:rsid w:val="000549C4"/>
    <w:rsid w:val="000C25AE"/>
    <w:rsid w:val="000D061F"/>
    <w:rsid w:val="00111AC0"/>
    <w:rsid w:val="00131FDE"/>
    <w:rsid w:val="001F5092"/>
    <w:rsid w:val="002474BA"/>
    <w:rsid w:val="00253B74"/>
    <w:rsid w:val="00263A65"/>
    <w:rsid w:val="002D666E"/>
    <w:rsid w:val="00321959"/>
    <w:rsid w:val="003502D5"/>
    <w:rsid w:val="003D0588"/>
    <w:rsid w:val="003E535D"/>
    <w:rsid w:val="0040291C"/>
    <w:rsid w:val="004705C8"/>
    <w:rsid w:val="00477F69"/>
    <w:rsid w:val="004B13E3"/>
    <w:rsid w:val="004C46DE"/>
    <w:rsid w:val="004F2C16"/>
    <w:rsid w:val="00506079"/>
    <w:rsid w:val="00572CBB"/>
    <w:rsid w:val="00600DFB"/>
    <w:rsid w:val="00616AB4"/>
    <w:rsid w:val="00636436"/>
    <w:rsid w:val="0063650B"/>
    <w:rsid w:val="00657C3F"/>
    <w:rsid w:val="0066693D"/>
    <w:rsid w:val="00687870"/>
    <w:rsid w:val="006C7ECC"/>
    <w:rsid w:val="006E53C3"/>
    <w:rsid w:val="006F32A6"/>
    <w:rsid w:val="00703CFF"/>
    <w:rsid w:val="00793480"/>
    <w:rsid w:val="007D1ECF"/>
    <w:rsid w:val="008537C4"/>
    <w:rsid w:val="00866DE2"/>
    <w:rsid w:val="008C1488"/>
    <w:rsid w:val="0090681E"/>
    <w:rsid w:val="00910E6B"/>
    <w:rsid w:val="009231B6"/>
    <w:rsid w:val="0097705C"/>
    <w:rsid w:val="009C691A"/>
    <w:rsid w:val="00A030AC"/>
    <w:rsid w:val="00A40395"/>
    <w:rsid w:val="00A42841"/>
    <w:rsid w:val="00A5159C"/>
    <w:rsid w:val="00A56D74"/>
    <w:rsid w:val="00AB60E1"/>
    <w:rsid w:val="00B13D8B"/>
    <w:rsid w:val="00B17595"/>
    <w:rsid w:val="00B556F5"/>
    <w:rsid w:val="00B76585"/>
    <w:rsid w:val="00B82BF9"/>
    <w:rsid w:val="00C741CB"/>
    <w:rsid w:val="00CB56D6"/>
    <w:rsid w:val="00D47D25"/>
    <w:rsid w:val="00D600E9"/>
    <w:rsid w:val="00DC008C"/>
    <w:rsid w:val="00DC359F"/>
    <w:rsid w:val="00DC76EF"/>
    <w:rsid w:val="00E6685A"/>
    <w:rsid w:val="00F958E2"/>
    <w:rsid w:val="00FF2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F7B65C"/>
  <w15:docId w15:val="{6F0AF7DE-527F-4AEC-9631-6FAF1D8C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79E"/>
    <w:rPr>
      <w:color w:val="000000" w:themeColor="text1"/>
    </w:rPr>
  </w:style>
  <w:style w:type="paragraph" w:styleId="Ttulo1">
    <w:name w:val="heading 1"/>
    <w:basedOn w:val="Normal"/>
    <w:next w:val="Normal"/>
    <w:link w:val="Ttulo1Car"/>
    <w:uiPriority w:val="9"/>
    <w:qFormat/>
    <w:rsid w:val="004146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72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722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505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5D5"/>
    <w:rPr>
      <w:rFonts w:ascii="Palatino Linotype" w:hAnsi="Palatino Linotype"/>
      <w:color w:val="000000" w:themeColor="text1"/>
    </w:rPr>
  </w:style>
  <w:style w:type="paragraph" w:styleId="Piedepgina">
    <w:name w:val="footer"/>
    <w:basedOn w:val="Normal"/>
    <w:link w:val="PiedepginaCar"/>
    <w:uiPriority w:val="99"/>
    <w:unhideWhenUsed/>
    <w:rsid w:val="00F505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5D5"/>
    <w:rPr>
      <w:rFonts w:ascii="Palatino Linotype" w:hAnsi="Palatino Linotype"/>
      <w:color w:val="000000" w:themeColor="text1"/>
    </w:rPr>
  </w:style>
  <w:style w:type="table" w:styleId="Tablaconcuadrcula">
    <w:name w:val="Table Grid"/>
    <w:basedOn w:val="Tablanormal"/>
    <w:uiPriority w:val="39"/>
    <w:qFormat/>
    <w:rsid w:val="00F505D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505D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505D5"/>
    <w:rPr>
      <w:rFonts w:ascii="Palatino Linotype" w:hAnsi="Palatino Linotype"/>
      <w:color w:val="000000" w:themeColor="text1"/>
    </w:rPr>
  </w:style>
  <w:style w:type="character" w:customStyle="1" w:styleId="normaltextrun">
    <w:name w:val="normaltextrun"/>
    <w:basedOn w:val="Fuentedeprrafopredeter"/>
    <w:rsid w:val="00F505D5"/>
  </w:style>
  <w:style w:type="paragraph" w:customStyle="1" w:styleId="paragraph">
    <w:name w:val="paragraph"/>
    <w:basedOn w:val="Normal"/>
    <w:rsid w:val="00F505D5"/>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F505D5"/>
  </w:style>
  <w:style w:type="character" w:styleId="Hipervnculo">
    <w:name w:val="Hyperlink"/>
    <w:basedOn w:val="Fuentedeprrafopredeter"/>
    <w:uiPriority w:val="99"/>
    <w:unhideWhenUsed/>
    <w:rsid w:val="00507F98"/>
    <w:rPr>
      <w:color w:val="0563C1" w:themeColor="hyperlink"/>
      <w:u w:val="single"/>
    </w:rPr>
  </w:style>
  <w:style w:type="character" w:customStyle="1" w:styleId="Mencinsinresolver1">
    <w:name w:val="Mención sin resolver1"/>
    <w:basedOn w:val="Fuentedeprrafopredeter"/>
    <w:uiPriority w:val="99"/>
    <w:semiHidden/>
    <w:unhideWhenUsed/>
    <w:rsid w:val="00507F98"/>
    <w:rPr>
      <w:color w:val="605E5C"/>
      <w:shd w:val="clear" w:color="auto" w:fill="E1DFDD"/>
    </w:rPr>
  </w:style>
  <w:style w:type="paragraph" w:styleId="NormalWeb">
    <w:name w:val="Normal (Web)"/>
    <w:basedOn w:val="Normal"/>
    <w:uiPriority w:val="99"/>
    <w:unhideWhenUsed/>
    <w:rsid w:val="00D2533B"/>
    <w:rPr>
      <w:rFonts w:ascii="Times New Roman" w:hAnsi="Times New Roman" w:cs="Times New Roman"/>
      <w:sz w:val="24"/>
      <w:szCs w:val="24"/>
    </w:rPr>
  </w:style>
  <w:style w:type="paragraph" w:styleId="Sinespaciado">
    <w:name w:val="No Spacing"/>
    <w:uiPriority w:val="1"/>
    <w:qFormat/>
    <w:rsid w:val="004146DC"/>
    <w:pPr>
      <w:spacing w:after="0" w:line="240" w:lineRule="auto"/>
    </w:pPr>
    <w:rPr>
      <w:color w:val="000000" w:themeColor="text1"/>
    </w:rPr>
  </w:style>
  <w:style w:type="character" w:customStyle="1" w:styleId="Ttulo1Car">
    <w:name w:val="Título 1 Car"/>
    <w:basedOn w:val="Fuentedeprrafopredeter"/>
    <w:link w:val="Ttulo1"/>
    <w:uiPriority w:val="9"/>
    <w:rsid w:val="004146D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72241"/>
    <w:rPr>
      <w:rFonts w:asciiTheme="majorHAnsi" w:eastAsiaTheme="majorEastAsia" w:hAnsiTheme="majorHAnsi" w:cstheme="majorBidi"/>
      <w:color w:val="2F5496" w:themeColor="accent1" w:themeShade="BF"/>
      <w:sz w:val="26"/>
      <w:szCs w:val="26"/>
    </w:rPr>
  </w:style>
  <w:style w:type="paragraph" w:styleId="TtulodeTDC">
    <w:name w:val="TOC Heading"/>
    <w:basedOn w:val="Ttulo1"/>
    <w:next w:val="Normal"/>
    <w:uiPriority w:val="39"/>
    <w:unhideWhenUsed/>
    <w:qFormat/>
    <w:rsid w:val="00772241"/>
    <w:pPr>
      <w:jc w:val="left"/>
      <w:outlineLvl w:val="9"/>
    </w:pPr>
  </w:style>
  <w:style w:type="paragraph" w:styleId="TDC1">
    <w:name w:val="toc 1"/>
    <w:basedOn w:val="Normal"/>
    <w:next w:val="Normal"/>
    <w:autoRedefine/>
    <w:uiPriority w:val="39"/>
    <w:unhideWhenUsed/>
    <w:rsid w:val="00772241"/>
    <w:pPr>
      <w:spacing w:after="100"/>
    </w:pPr>
  </w:style>
  <w:style w:type="paragraph" w:styleId="TDC2">
    <w:name w:val="toc 2"/>
    <w:basedOn w:val="Normal"/>
    <w:next w:val="Normal"/>
    <w:autoRedefine/>
    <w:uiPriority w:val="39"/>
    <w:unhideWhenUsed/>
    <w:rsid w:val="00772241"/>
    <w:pPr>
      <w:spacing w:after="100"/>
      <w:ind w:left="220"/>
    </w:pPr>
  </w:style>
  <w:style w:type="character" w:customStyle="1" w:styleId="Ttulo3Car">
    <w:name w:val="Título 3 Car"/>
    <w:basedOn w:val="Fuentedeprrafopredeter"/>
    <w:link w:val="Ttulo3"/>
    <w:uiPriority w:val="9"/>
    <w:rsid w:val="0077224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772241"/>
    <w:pPr>
      <w:spacing w:after="100"/>
      <w:ind w:left="44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910E6B"/>
    <w:pPr>
      <w:spacing w:after="0" w:line="240" w:lineRule="auto"/>
      <w:jc w:val="lef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383">
      <w:bodyDiv w:val="1"/>
      <w:marLeft w:val="0"/>
      <w:marRight w:val="0"/>
      <w:marTop w:val="0"/>
      <w:marBottom w:val="0"/>
      <w:divBdr>
        <w:top w:val="none" w:sz="0" w:space="0" w:color="auto"/>
        <w:left w:val="none" w:sz="0" w:space="0" w:color="auto"/>
        <w:bottom w:val="none" w:sz="0" w:space="0" w:color="auto"/>
        <w:right w:val="none" w:sz="0" w:space="0" w:color="auto"/>
      </w:divBdr>
    </w:div>
    <w:div w:id="679088915">
      <w:bodyDiv w:val="1"/>
      <w:marLeft w:val="0"/>
      <w:marRight w:val="0"/>
      <w:marTop w:val="0"/>
      <w:marBottom w:val="0"/>
      <w:divBdr>
        <w:top w:val="none" w:sz="0" w:space="0" w:color="auto"/>
        <w:left w:val="none" w:sz="0" w:space="0" w:color="auto"/>
        <w:bottom w:val="none" w:sz="0" w:space="0" w:color="auto"/>
        <w:right w:val="none" w:sz="0" w:space="0" w:color="auto"/>
      </w:divBdr>
    </w:div>
    <w:div w:id="1336152235">
      <w:bodyDiv w:val="1"/>
      <w:marLeft w:val="0"/>
      <w:marRight w:val="0"/>
      <w:marTop w:val="0"/>
      <w:marBottom w:val="0"/>
      <w:divBdr>
        <w:top w:val="none" w:sz="0" w:space="0" w:color="auto"/>
        <w:left w:val="none" w:sz="0" w:space="0" w:color="auto"/>
        <w:bottom w:val="none" w:sz="0" w:space="0" w:color="auto"/>
        <w:right w:val="none" w:sz="0" w:space="0" w:color="auto"/>
      </w:divBdr>
    </w:div>
    <w:div w:id="1541429655">
      <w:bodyDiv w:val="1"/>
      <w:marLeft w:val="0"/>
      <w:marRight w:val="0"/>
      <w:marTop w:val="0"/>
      <w:marBottom w:val="0"/>
      <w:divBdr>
        <w:top w:val="none" w:sz="0" w:space="0" w:color="auto"/>
        <w:left w:val="none" w:sz="0" w:space="0" w:color="auto"/>
        <w:bottom w:val="none" w:sz="0" w:space="0" w:color="auto"/>
        <w:right w:val="none" w:sz="0" w:space="0" w:color="auto"/>
      </w:divBdr>
    </w:div>
    <w:div w:id="2022202397">
      <w:bodyDiv w:val="1"/>
      <w:marLeft w:val="0"/>
      <w:marRight w:val="0"/>
      <w:marTop w:val="0"/>
      <w:marBottom w:val="0"/>
      <w:divBdr>
        <w:top w:val="none" w:sz="0" w:space="0" w:color="auto"/>
        <w:left w:val="none" w:sz="0" w:space="0" w:color="auto"/>
        <w:bottom w:val="none" w:sz="0" w:space="0" w:color="auto"/>
        <w:right w:val="none" w:sz="0" w:space="0" w:color="auto"/>
      </w:divBdr>
    </w:div>
    <w:div w:id="211952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bpLzzrsnoOX+aiQ1ViNRuCUl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ZUN6RXN4ci16V0N6cjBhVlMtQjZPUDdGcUxqdW9yU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4718</Words>
  <Characters>25955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4</cp:revision>
  <cp:lastPrinted>2025-03-28T00:10:00Z</cp:lastPrinted>
  <dcterms:created xsi:type="dcterms:W3CDTF">2025-03-28T00:10:00Z</dcterms:created>
  <dcterms:modified xsi:type="dcterms:W3CDTF">2025-04-09T19:02:00Z</dcterms:modified>
</cp:coreProperties>
</file>