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49FCF" w14:textId="693725B2" w:rsidR="002051FE" w:rsidRDefault="002051FE" w:rsidP="002051FE">
      <w:pPr>
        <w:spacing w:before="240" w:line="360" w:lineRule="auto"/>
        <w:jc w:val="both"/>
        <w:rPr>
          <w:rFonts w:ascii="Palatino Linotype" w:eastAsia="Times New Roman" w:hAnsi="Palatino Linotype" w:cs="Arial"/>
          <w:color w:val="000000"/>
          <w:sz w:val="24"/>
          <w:szCs w:val="24"/>
          <w:lang w:eastAsia="es-MX"/>
        </w:rPr>
      </w:pPr>
      <w:r w:rsidRPr="005860C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C218E">
        <w:rPr>
          <w:rFonts w:ascii="Palatino Linotype" w:eastAsia="Times New Roman" w:hAnsi="Palatino Linotype" w:cs="Arial"/>
          <w:color w:val="000000"/>
          <w:sz w:val="24"/>
          <w:szCs w:val="24"/>
          <w:lang w:eastAsia="es-MX"/>
        </w:rPr>
        <w:t xml:space="preserve">veintidós de enero de dos mil veinticinco. </w:t>
      </w:r>
      <w:r w:rsidR="003C5E25">
        <w:rPr>
          <w:rFonts w:ascii="Palatino Linotype" w:eastAsia="Times New Roman" w:hAnsi="Palatino Linotype" w:cs="Arial"/>
          <w:color w:val="000000"/>
          <w:sz w:val="24"/>
          <w:szCs w:val="24"/>
          <w:lang w:eastAsia="es-MX"/>
        </w:rPr>
        <w:t xml:space="preserve"> </w:t>
      </w:r>
      <w:r w:rsidR="00EF7B0C">
        <w:rPr>
          <w:rFonts w:ascii="Palatino Linotype" w:eastAsia="Times New Roman" w:hAnsi="Palatino Linotype" w:cs="Arial"/>
          <w:color w:val="000000"/>
          <w:sz w:val="24"/>
          <w:szCs w:val="24"/>
          <w:lang w:eastAsia="es-MX"/>
        </w:rPr>
        <w:t xml:space="preserve"> </w:t>
      </w:r>
      <w:r w:rsidR="00DD27BD">
        <w:rPr>
          <w:rFonts w:ascii="Palatino Linotype" w:eastAsia="Times New Roman" w:hAnsi="Palatino Linotype" w:cs="Arial"/>
          <w:color w:val="000000"/>
          <w:sz w:val="24"/>
          <w:szCs w:val="24"/>
          <w:lang w:eastAsia="es-MX"/>
        </w:rPr>
        <w:t xml:space="preserve"> </w:t>
      </w:r>
      <w:r w:rsidR="00AD63C7">
        <w:rPr>
          <w:rFonts w:ascii="Palatino Linotype" w:eastAsia="Times New Roman" w:hAnsi="Palatino Linotype" w:cs="Arial"/>
          <w:color w:val="000000"/>
          <w:sz w:val="24"/>
          <w:szCs w:val="24"/>
          <w:lang w:eastAsia="es-MX"/>
        </w:rPr>
        <w:t xml:space="preserve"> </w:t>
      </w:r>
      <w:r w:rsidR="0037356B">
        <w:rPr>
          <w:rFonts w:ascii="Palatino Linotype" w:eastAsia="Times New Roman" w:hAnsi="Palatino Linotype" w:cs="Arial"/>
          <w:color w:val="000000"/>
          <w:sz w:val="24"/>
          <w:szCs w:val="24"/>
          <w:lang w:eastAsia="es-MX"/>
        </w:rPr>
        <w:t xml:space="preserve"> </w:t>
      </w:r>
      <w:r w:rsidR="002F2A6F">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284A8BD4" w14:textId="0911968A" w:rsidR="003C5E25" w:rsidRPr="003C5E25" w:rsidRDefault="002051FE" w:rsidP="002051FE">
      <w:pPr>
        <w:tabs>
          <w:tab w:val="left" w:pos="1701"/>
        </w:tabs>
        <w:spacing w:before="240" w:line="360" w:lineRule="auto"/>
        <w:jc w:val="both"/>
        <w:rPr>
          <w:rFonts w:ascii="Palatino Linotype" w:hAnsi="Palatino Linotype" w:cs="Arial"/>
          <w:sz w:val="24"/>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w:t>
      </w:r>
      <w:r>
        <w:rPr>
          <w:rFonts w:ascii="Palatino Linotype" w:hAnsi="Palatino Linotype" w:cs="Arial"/>
          <w:sz w:val="24"/>
        </w:rPr>
        <w:t xml:space="preserve"> </w:t>
      </w:r>
      <w:bookmarkStart w:id="0" w:name="_GoBack"/>
      <w:r w:rsidR="00DD27BD">
        <w:rPr>
          <w:rFonts w:ascii="Palatino Linotype" w:hAnsi="Palatino Linotype" w:cs="Arial"/>
          <w:b/>
          <w:bCs/>
          <w:sz w:val="24"/>
        </w:rPr>
        <w:t>0</w:t>
      </w:r>
      <w:r w:rsidR="003C5E25">
        <w:rPr>
          <w:rFonts w:ascii="Palatino Linotype" w:hAnsi="Palatino Linotype" w:cs="Arial"/>
          <w:b/>
          <w:bCs/>
          <w:sz w:val="24"/>
        </w:rPr>
        <w:t>7575/INFOEM/IP/RR/2024</w:t>
      </w:r>
      <w:bookmarkEnd w:id="0"/>
      <w:r w:rsidR="003C5E25">
        <w:rPr>
          <w:rFonts w:ascii="Palatino Linotype" w:hAnsi="Palatino Linotype" w:cs="Arial"/>
          <w:b/>
          <w:bCs/>
          <w:sz w:val="24"/>
        </w:rPr>
        <w:t xml:space="preserve">, </w:t>
      </w:r>
      <w:r w:rsidR="003C5E25">
        <w:rPr>
          <w:rFonts w:ascii="Palatino Linotype" w:hAnsi="Palatino Linotype" w:cs="Arial"/>
          <w:sz w:val="24"/>
        </w:rPr>
        <w:t xml:space="preserve">interpuesto por el </w:t>
      </w:r>
      <w:r w:rsidR="003C5E25">
        <w:rPr>
          <w:rFonts w:ascii="Palatino Linotype" w:hAnsi="Palatino Linotype" w:cs="Arial"/>
          <w:b/>
          <w:bCs/>
          <w:sz w:val="24"/>
        </w:rPr>
        <w:t xml:space="preserve">C. </w:t>
      </w:r>
      <w:r w:rsidR="00FA27EA">
        <w:rPr>
          <w:rFonts w:ascii="Palatino Linotype" w:hAnsi="Palatino Linotype" w:cs="Arial"/>
          <w:b/>
          <w:bCs/>
          <w:sz w:val="24"/>
        </w:rPr>
        <w:t>XXXXXXXX</w:t>
      </w:r>
      <w:r w:rsidR="003C5E25">
        <w:rPr>
          <w:rFonts w:ascii="Palatino Linotype" w:hAnsi="Palatino Linotype" w:cs="Arial"/>
          <w:b/>
          <w:bCs/>
          <w:sz w:val="24"/>
        </w:rPr>
        <w:t xml:space="preserve">, </w:t>
      </w:r>
      <w:r w:rsidR="003C5E25">
        <w:rPr>
          <w:rFonts w:ascii="Palatino Linotype" w:hAnsi="Palatino Linotype" w:cs="Arial"/>
          <w:sz w:val="24"/>
        </w:rPr>
        <w:t xml:space="preserve">en lo sucesivo </w:t>
      </w:r>
      <w:r w:rsidR="003C5E25">
        <w:rPr>
          <w:rFonts w:ascii="Palatino Linotype" w:hAnsi="Palatino Linotype" w:cs="Arial"/>
          <w:b/>
          <w:bCs/>
          <w:sz w:val="24"/>
        </w:rPr>
        <w:t xml:space="preserve">El Recurrente, </w:t>
      </w:r>
      <w:r w:rsidR="003C5E25">
        <w:rPr>
          <w:rFonts w:ascii="Palatino Linotype" w:hAnsi="Palatino Linotype" w:cs="Arial"/>
          <w:sz w:val="24"/>
        </w:rPr>
        <w:t xml:space="preserve">en contra de la respuesta del </w:t>
      </w:r>
      <w:r w:rsidR="003C5E25">
        <w:rPr>
          <w:rFonts w:ascii="Palatino Linotype" w:hAnsi="Palatino Linotype" w:cs="Arial"/>
          <w:b/>
          <w:bCs/>
          <w:sz w:val="24"/>
        </w:rPr>
        <w:t xml:space="preserve">Instituto de Salud del Estado de México, </w:t>
      </w:r>
      <w:r w:rsidR="003C5E25">
        <w:rPr>
          <w:rFonts w:ascii="Palatino Linotype" w:hAnsi="Palatino Linotype" w:cs="Arial"/>
          <w:sz w:val="24"/>
        </w:rPr>
        <w:t xml:space="preserve">en lo subsecuente </w:t>
      </w:r>
      <w:r w:rsidR="003C5E25">
        <w:rPr>
          <w:rFonts w:ascii="Palatino Linotype" w:hAnsi="Palatino Linotype" w:cs="Arial"/>
          <w:b/>
          <w:bCs/>
          <w:sz w:val="24"/>
        </w:rPr>
        <w:t xml:space="preserve">El Sujeto Obligado, </w:t>
      </w:r>
      <w:r w:rsidR="003C5E25">
        <w:rPr>
          <w:rFonts w:ascii="Palatino Linotype" w:hAnsi="Palatino Linotype" w:cs="Arial"/>
          <w:sz w:val="24"/>
        </w:rPr>
        <w:t xml:space="preserve">se procede a dictar la presente resolución. </w:t>
      </w:r>
    </w:p>
    <w:p w14:paraId="7A228A8C" w14:textId="77777777" w:rsidR="003C5E25" w:rsidRDefault="003C5E25" w:rsidP="002051FE">
      <w:pPr>
        <w:tabs>
          <w:tab w:val="left" w:pos="1701"/>
        </w:tabs>
        <w:spacing w:before="240" w:line="360" w:lineRule="auto"/>
        <w:jc w:val="both"/>
        <w:rPr>
          <w:rFonts w:ascii="Palatino Linotype" w:hAnsi="Palatino Linotype" w:cs="Arial"/>
          <w:b/>
          <w:bCs/>
          <w:sz w:val="24"/>
        </w:rPr>
      </w:pPr>
    </w:p>
    <w:p w14:paraId="739929F3" w14:textId="523FDFB5" w:rsidR="002051FE" w:rsidRPr="00F205B9" w:rsidRDefault="002051FE" w:rsidP="002051FE">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55EB334F" w14:textId="77777777" w:rsidR="002051FE" w:rsidRDefault="002051FE" w:rsidP="002051FE">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6AE0F85E" w14:textId="1873C454" w:rsidR="005C218E" w:rsidRDefault="005C218E" w:rsidP="005C218E">
      <w:pPr>
        <w:tabs>
          <w:tab w:val="left" w:pos="2490"/>
        </w:tabs>
        <w:spacing w:before="240" w:line="360" w:lineRule="auto"/>
        <w:jc w:val="both"/>
        <w:rPr>
          <w:rFonts w:ascii="Palatino Linotype" w:hAnsi="Palatino Linotype" w:cs="Arial"/>
          <w:sz w:val="24"/>
          <w:szCs w:val="24"/>
        </w:rPr>
      </w:pPr>
      <w:r w:rsidRPr="005C218E">
        <w:rPr>
          <w:rFonts w:ascii="Palatino Linotype" w:hAnsi="Palatino Linotype" w:cs="Arial"/>
          <w:sz w:val="24"/>
          <w:szCs w:val="24"/>
        </w:rPr>
        <w:t>En</w:t>
      </w:r>
      <w:r w:rsidR="002051FE" w:rsidRPr="005C218E">
        <w:rPr>
          <w:rFonts w:ascii="Palatino Linotype" w:hAnsi="Palatino Linotype" w:cs="Arial"/>
          <w:sz w:val="24"/>
          <w:szCs w:val="24"/>
        </w:rPr>
        <w:t xml:space="preserve"> fecha</w:t>
      </w:r>
      <w:r w:rsidRPr="005C218E">
        <w:rPr>
          <w:rFonts w:ascii="Palatino Linotype" w:hAnsi="Palatino Linotype" w:cs="Arial"/>
          <w:sz w:val="24"/>
          <w:szCs w:val="24"/>
        </w:rPr>
        <w:t xml:space="preserve"> </w:t>
      </w:r>
      <w:r w:rsidRPr="005C218E">
        <w:rPr>
          <w:rFonts w:ascii="Palatino Linotype" w:hAnsi="Palatino Linotype" w:cs="Arial"/>
          <w:b/>
          <w:bCs/>
          <w:sz w:val="24"/>
          <w:szCs w:val="24"/>
        </w:rPr>
        <w:t xml:space="preserve">catorce de noviembre de dos mil veinticuatro, El Recurrente, </w:t>
      </w:r>
      <w:r w:rsidRPr="005C218E">
        <w:rPr>
          <w:rFonts w:ascii="Palatino Linotype" w:hAnsi="Palatino Linotype" w:cs="Arial"/>
          <w:sz w:val="24"/>
          <w:szCs w:val="24"/>
        </w:rPr>
        <w:t xml:space="preserve">presentó ante </w:t>
      </w:r>
      <w:r w:rsidRPr="005C218E">
        <w:rPr>
          <w:rFonts w:ascii="Palatino Linotype" w:hAnsi="Palatino Linotype" w:cs="Arial"/>
          <w:b/>
          <w:bCs/>
          <w:sz w:val="24"/>
          <w:szCs w:val="24"/>
        </w:rPr>
        <w:t xml:space="preserve">El Sujeto Obligado </w:t>
      </w:r>
      <w:r w:rsidRPr="005C218E">
        <w:rPr>
          <w:rFonts w:ascii="Palatino Linotype" w:hAnsi="Palatino Linotype" w:cs="Arial"/>
          <w:sz w:val="24"/>
          <w:szCs w:val="24"/>
        </w:rPr>
        <w:t xml:space="preserve">vía Plataforma Nacional de Transparencia (PNT) vinculada a su vez al Sistema de Acceso a la Información Mexiquense (SAIMEX), la solicitud de información pública registrada con el número </w:t>
      </w:r>
      <w:r>
        <w:rPr>
          <w:rFonts w:ascii="Palatino Linotype" w:hAnsi="Palatino Linotype" w:cs="Arial"/>
          <w:b/>
          <w:bCs/>
          <w:sz w:val="24"/>
          <w:szCs w:val="24"/>
        </w:rPr>
        <w:t xml:space="preserve">00774/ISEM/IP/2024, </w:t>
      </w:r>
      <w:r>
        <w:rPr>
          <w:rFonts w:ascii="Palatino Linotype" w:hAnsi="Palatino Linotype" w:cs="Arial"/>
          <w:sz w:val="24"/>
          <w:szCs w:val="24"/>
        </w:rPr>
        <w:t>mediante la cual solicitó la siguiente información:</w:t>
      </w:r>
    </w:p>
    <w:p w14:paraId="1CF6523F" w14:textId="2063E40A" w:rsidR="005C218E" w:rsidRPr="005C218E" w:rsidRDefault="005C218E" w:rsidP="005C218E">
      <w:pPr>
        <w:pStyle w:val="Citas"/>
        <w:rPr>
          <w:b/>
          <w:bCs/>
        </w:rPr>
      </w:pPr>
      <w:r>
        <w:t>“</w:t>
      </w:r>
      <w:r w:rsidRPr="005C218E">
        <w:t>Requiero puedan indicar el número de intoxicaciones ocasionadas por el consumo de hongos silvestres (</w:t>
      </w:r>
      <w:proofErr w:type="spellStart"/>
      <w:r w:rsidRPr="005C218E">
        <w:t>micetismos</w:t>
      </w:r>
      <w:proofErr w:type="spellEnd"/>
      <w:r w:rsidRPr="005C218E">
        <w:t>) registrados de año 2014 a 2024, de ser posible por municipio o región. De antemano muchas gracias</w:t>
      </w:r>
      <w:r>
        <w:t xml:space="preserve">” </w:t>
      </w:r>
      <w:r>
        <w:rPr>
          <w:b/>
          <w:bCs/>
        </w:rPr>
        <w:t>(Sic)</w:t>
      </w:r>
    </w:p>
    <w:p w14:paraId="0368BF04" w14:textId="77777777" w:rsidR="005C218E" w:rsidRDefault="005C218E" w:rsidP="005C218E">
      <w:pPr>
        <w:tabs>
          <w:tab w:val="left" w:pos="2490"/>
        </w:tabs>
        <w:spacing w:before="240" w:line="360" w:lineRule="auto"/>
        <w:jc w:val="both"/>
        <w:rPr>
          <w:rFonts w:ascii="Palatino Linotype" w:hAnsi="Palatino Linotype" w:cs="Arial"/>
        </w:rPr>
      </w:pPr>
    </w:p>
    <w:p w14:paraId="069A1133" w14:textId="25E4FC6D" w:rsidR="002051FE" w:rsidRDefault="002051FE" w:rsidP="002051FE">
      <w:pPr>
        <w:spacing w:before="240" w:line="360" w:lineRule="auto"/>
        <w:jc w:val="both"/>
        <w:rPr>
          <w:rFonts w:ascii="Palatino Linotype" w:hAnsi="Palatino Linotype" w:cs="Arial"/>
          <w:sz w:val="24"/>
        </w:rPr>
      </w:pPr>
      <w:r>
        <w:rPr>
          <w:rFonts w:ascii="Palatino Linotype" w:hAnsi="Palatino Linotype" w:cs="Arial"/>
          <w:b/>
          <w:sz w:val="24"/>
        </w:rPr>
        <w:lastRenderedPageBreak/>
        <w:t xml:space="preserve">Modalidad de entrega: </w:t>
      </w:r>
      <w:r>
        <w:rPr>
          <w:rFonts w:ascii="Palatino Linotype" w:hAnsi="Palatino Linotype" w:cs="Arial"/>
          <w:sz w:val="24"/>
        </w:rPr>
        <w:t>A través del SAIMEX</w:t>
      </w:r>
      <w:r w:rsidR="005C218E">
        <w:rPr>
          <w:rFonts w:ascii="Palatino Linotype" w:hAnsi="Palatino Linotype" w:cs="Arial"/>
          <w:sz w:val="24"/>
        </w:rPr>
        <w:t xml:space="preserve">, correo electrónico y copia simple. </w:t>
      </w:r>
    </w:p>
    <w:p w14:paraId="5F928A9F" w14:textId="77777777" w:rsidR="002051FE" w:rsidRDefault="002051FE" w:rsidP="002051FE">
      <w:pPr>
        <w:spacing w:before="240" w:line="360" w:lineRule="auto"/>
        <w:jc w:val="both"/>
        <w:rPr>
          <w:rFonts w:ascii="Palatino Linotype" w:hAnsi="Palatino Linotype" w:cs="Arial"/>
          <w:sz w:val="24"/>
        </w:rPr>
      </w:pPr>
    </w:p>
    <w:p w14:paraId="13DCDF57" w14:textId="5C8797A0" w:rsidR="002051FE" w:rsidRDefault="0037356B" w:rsidP="002051FE">
      <w:pPr>
        <w:spacing w:before="240" w:line="360" w:lineRule="auto"/>
        <w:jc w:val="both"/>
        <w:rPr>
          <w:rFonts w:ascii="Palatino Linotype" w:hAnsi="Palatino Linotype" w:cs="Arial"/>
          <w:b/>
          <w:sz w:val="28"/>
        </w:rPr>
      </w:pPr>
      <w:r>
        <w:rPr>
          <w:rFonts w:ascii="Palatino Linotype" w:hAnsi="Palatino Linotype" w:cs="Arial"/>
          <w:b/>
          <w:sz w:val="28"/>
          <w:szCs w:val="20"/>
        </w:rPr>
        <w:t>SEGUNDO</w:t>
      </w:r>
      <w:r w:rsidR="00A54046">
        <w:rPr>
          <w:rFonts w:ascii="Palatino Linotype" w:hAnsi="Palatino Linotype" w:cs="Arial"/>
          <w:b/>
          <w:sz w:val="28"/>
          <w:szCs w:val="20"/>
        </w:rPr>
        <w:t xml:space="preserve">. </w:t>
      </w:r>
      <w:r w:rsidR="002051FE" w:rsidRPr="00165D6E">
        <w:rPr>
          <w:rFonts w:ascii="Palatino Linotype" w:hAnsi="Palatino Linotype" w:cs="Arial"/>
          <w:b/>
          <w:sz w:val="28"/>
          <w:szCs w:val="20"/>
        </w:rPr>
        <w:t xml:space="preserve">De la respuesta </w:t>
      </w:r>
      <w:r w:rsidR="002051FE">
        <w:rPr>
          <w:rFonts w:ascii="Palatino Linotype" w:hAnsi="Palatino Linotype" w:cs="Arial"/>
          <w:b/>
          <w:sz w:val="28"/>
          <w:szCs w:val="20"/>
        </w:rPr>
        <w:t>del Sujeto Obligado</w:t>
      </w:r>
      <w:r w:rsidR="002051FE" w:rsidRPr="00165D6E">
        <w:rPr>
          <w:rFonts w:ascii="Palatino Linotype" w:hAnsi="Palatino Linotype" w:cs="Arial"/>
          <w:b/>
          <w:sz w:val="28"/>
          <w:szCs w:val="20"/>
        </w:rPr>
        <w:t>.</w:t>
      </w:r>
    </w:p>
    <w:p w14:paraId="170FA858" w14:textId="1C2CEDAE" w:rsidR="005C218E" w:rsidRDefault="002051FE" w:rsidP="00ED1EC6">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5C218E">
        <w:rPr>
          <w:rFonts w:ascii="Palatino Linotype" w:hAnsi="Palatino Linotype" w:cs="Arial"/>
          <w:b/>
          <w:bCs/>
          <w:sz w:val="24"/>
          <w:szCs w:val="24"/>
        </w:rPr>
        <w:t xml:space="preserve">seis de diciembre de dos mil veinticuatro, El Sujeto Obligado </w:t>
      </w:r>
      <w:r w:rsidR="005C218E">
        <w:rPr>
          <w:rFonts w:ascii="Palatino Linotype" w:hAnsi="Palatino Linotype" w:cs="Arial"/>
          <w:sz w:val="24"/>
          <w:szCs w:val="24"/>
        </w:rPr>
        <w:t>dio respuesta a la solicitud de información en los siguientes términos:</w:t>
      </w:r>
    </w:p>
    <w:p w14:paraId="5713F248" w14:textId="74E0F390" w:rsidR="005C218E" w:rsidRPr="005C218E" w:rsidRDefault="005C218E" w:rsidP="005C218E">
      <w:pPr>
        <w:pStyle w:val="Citas"/>
        <w:rPr>
          <w:b/>
          <w:bCs/>
        </w:rPr>
      </w:pPr>
      <w:r>
        <w:t>“</w:t>
      </w:r>
      <w:r w:rsidRPr="005C218E">
        <w:t>Se da atención a su solicitud</w:t>
      </w:r>
      <w:r>
        <w:t xml:space="preserve">” </w:t>
      </w:r>
      <w:r>
        <w:rPr>
          <w:b/>
          <w:bCs/>
        </w:rPr>
        <w:t>(Sic)</w:t>
      </w:r>
    </w:p>
    <w:p w14:paraId="5CB286AD" w14:textId="5082E45D" w:rsidR="00DD27BD" w:rsidRPr="00DD27BD" w:rsidRDefault="00DD27BD" w:rsidP="00ED1EC6">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Del expediente electrónico del </w:t>
      </w:r>
      <w:r w:rsidRPr="00DD27BD">
        <w:rPr>
          <w:rFonts w:ascii="Palatino Linotype" w:hAnsi="Palatino Linotype" w:cs="Arial"/>
          <w:b/>
          <w:bCs/>
          <w:sz w:val="24"/>
          <w:szCs w:val="24"/>
        </w:rPr>
        <w:t>SAIMEX</w:t>
      </w:r>
      <w:r>
        <w:rPr>
          <w:rFonts w:ascii="Palatino Linotype" w:hAnsi="Palatino Linotype" w:cs="Arial"/>
          <w:sz w:val="24"/>
          <w:szCs w:val="24"/>
        </w:rPr>
        <w:t xml:space="preserve">, se advierte que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los documentos electrónicos </w:t>
      </w:r>
      <w:r>
        <w:rPr>
          <w:rFonts w:ascii="Palatino Linotype" w:hAnsi="Palatino Linotype" w:cs="Arial"/>
          <w:b/>
          <w:bCs/>
          <w:sz w:val="24"/>
          <w:szCs w:val="24"/>
        </w:rPr>
        <w:t>“</w:t>
      </w:r>
      <w:r w:rsidR="005C218E">
        <w:rPr>
          <w:rFonts w:ascii="Palatino Linotype" w:hAnsi="Palatino Linotype" w:cs="Arial"/>
          <w:b/>
          <w:bCs/>
          <w:sz w:val="24"/>
          <w:szCs w:val="24"/>
        </w:rPr>
        <w:t xml:space="preserve">sol 00774 2024.pdf” </w:t>
      </w:r>
      <w:r w:rsidR="005C218E">
        <w:rPr>
          <w:rFonts w:ascii="Palatino Linotype" w:hAnsi="Palatino Linotype" w:cs="Arial"/>
          <w:sz w:val="24"/>
          <w:szCs w:val="24"/>
        </w:rPr>
        <w:t xml:space="preserve">y </w:t>
      </w:r>
      <w:r w:rsidR="005C218E">
        <w:rPr>
          <w:rFonts w:ascii="Palatino Linotype" w:hAnsi="Palatino Linotype" w:cs="Arial"/>
          <w:b/>
          <w:bCs/>
          <w:sz w:val="24"/>
          <w:szCs w:val="24"/>
        </w:rPr>
        <w:t xml:space="preserve">“Solicitud 774.xlsx”, </w:t>
      </w:r>
      <w:r>
        <w:rPr>
          <w:rFonts w:ascii="Palatino Linotype" w:hAnsi="Palatino Linotype" w:cs="Arial"/>
          <w:sz w:val="24"/>
          <w:szCs w:val="24"/>
        </w:rPr>
        <w:t xml:space="preserve">mismos que se tienen por reproducidos en virtud de que serán materia de análisis en el considerando respectivo. </w:t>
      </w:r>
    </w:p>
    <w:p w14:paraId="3A647DFA" w14:textId="77777777" w:rsidR="00DD27BD" w:rsidRDefault="00DD27BD" w:rsidP="00ED1EC6">
      <w:pPr>
        <w:spacing w:before="240" w:line="360" w:lineRule="auto"/>
        <w:jc w:val="both"/>
        <w:rPr>
          <w:rFonts w:ascii="Palatino Linotype" w:hAnsi="Palatino Linotype" w:cs="Arial"/>
          <w:sz w:val="24"/>
          <w:szCs w:val="24"/>
        </w:rPr>
      </w:pPr>
    </w:p>
    <w:p w14:paraId="01CC20EE" w14:textId="13C8F6B7" w:rsidR="002051FE" w:rsidRPr="00AD63C7" w:rsidRDefault="0037356B" w:rsidP="00AD63C7">
      <w:pPr>
        <w:pStyle w:val="Citas"/>
        <w:ind w:left="0" w:right="-18"/>
        <w:rPr>
          <w:b/>
          <w:i w:val="0"/>
          <w:iCs/>
          <w:sz w:val="28"/>
        </w:rPr>
      </w:pPr>
      <w:r w:rsidRPr="00AD63C7">
        <w:rPr>
          <w:i w:val="0"/>
          <w:iCs/>
          <w:sz w:val="24"/>
          <w:szCs w:val="24"/>
        </w:rPr>
        <w:t xml:space="preserve"> </w:t>
      </w:r>
      <w:r w:rsidRPr="00AD63C7">
        <w:rPr>
          <w:b/>
          <w:i w:val="0"/>
          <w:iCs/>
          <w:sz w:val="28"/>
        </w:rPr>
        <w:t>TERCERO</w:t>
      </w:r>
      <w:r w:rsidR="002051FE" w:rsidRPr="00AD63C7">
        <w:rPr>
          <w:b/>
          <w:i w:val="0"/>
          <w:iCs/>
          <w:sz w:val="28"/>
        </w:rPr>
        <w:t>. Del recurso de revisión.</w:t>
      </w:r>
    </w:p>
    <w:p w14:paraId="59FDEA62" w14:textId="6CDF3670" w:rsidR="005C218E" w:rsidRPr="005C218E" w:rsidRDefault="002051FE" w:rsidP="002051FE">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5C218E">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 xml:space="preserve">interpuso recurso de revisión, en fecha </w:t>
      </w:r>
      <w:r w:rsidR="005C218E">
        <w:rPr>
          <w:rFonts w:ascii="Palatino Linotype" w:hAnsi="Palatino Linotype" w:cs="Arial"/>
          <w:b/>
          <w:bCs/>
          <w:sz w:val="24"/>
          <w:szCs w:val="24"/>
        </w:rPr>
        <w:t xml:space="preserve">diez de diciembre de dos mil veinticuatro, </w:t>
      </w:r>
      <w:r w:rsidR="005C218E">
        <w:rPr>
          <w:rFonts w:ascii="Palatino Linotype" w:hAnsi="Palatino Linotype" w:cs="Arial"/>
          <w:sz w:val="24"/>
          <w:szCs w:val="24"/>
        </w:rPr>
        <w:t xml:space="preserve">el </w:t>
      </w:r>
      <w:r w:rsidR="001940FE">
        <w:rPr>
          <w:rFonts w:ascii="Palatino Linotype" w:hAnsi="Palatino Linotype" w:cs="Arial"/>
          <w:sz w:val="24"/>
          <w:szCs w:val="24"/>
        </w:rPr>
        <w:t xml:space="preserve">cual fue registrado en el sistema electrónico con el expediente número </w:t>
      </w:r>
      <w:r w:rsidR="005C218E">
        <w:rPr>
          <w:rFonts w:ascii="Palatino Linotype" w:hAnsi="Palatino Linotype" w:cs="Arial"/>
          <w:b/>
          <w:bCs/>
          <w:sz w:val="24"/>
          <w:szCs w:val="24"/>
        </w:rPr>
        <w:t xml:space="preserve">07575/INFOEM/IP/RR/2024, </w:t>
      </w:r>
      <w:r w:rsidR="005C218E">
        <w:rPr>
          <w:rFonts w:ascii="Palatino Linotype" w:hAnsi="Palatino Linotype" w:cs="Arial"/>
          <w:sz w:val="24"/>
          <w:szCs w:val="24"/>
        </w:rPr>
        <w:t xml:space="preserve">en el cual arguye las siguientes manifestaciones: </w:t>
      </w:r>
    </w:p>
    <w:p w14:paraId="3E7C40C2" w14:textId="77777777" w:rsidR="005C218E" w:rsidRDefault="005C218E" w:rsidP="002051FE">
      <w:pPr>
        <w:spacing w:before="240" w:line="360" w:lineRule="auto"/>
        <w:jc w:val="both"/>
        <w:rPr>
          <w:rFonts w:ascii="Palatino Linotype" w:hAnsi="Palatino Linotype" w:cs="Arial"/>
          <w:sz w:val="24"/>
          <w:szCs w:val="24"/>
        </w:rPr>
      </w:pPr>
    </w:p>
    <w:p w14:paraId="28F994E5" w14:textId="77777777" w:rsidR="002051FE" w:rsidRDefault="002051FE" w:rsidP="002051FE">
      <w:pPr>
        <w:spacing w:before="240" w:line="360" w:lineRule="auto"/>
        <w:jc w:val="both"/>
        <w:rPr>
          <w:rFonts w:ascii="Palatino Linotype" w:hAnsi="Palatino Linotype" w:cs="Arial"/>
          <w:b/>
          <w:sz w:val="24"/>
        </w:rPr>
      </w:pPr>
      <w:r>
        <w:rPr>
          <w:rFonts w:ascii="Palatino Linotype" w:hAnsi="Palatino Linotype" w:cs="Arial"/>
          <w:b/>
          <w:sz w:val="24"/>
        </w:rPr>
        <w:lastRenderedPageBreak/>
        <w:t>Acto Impugnado:</w:t>
      </w:r>
    </w:p>
    <w:p w14:paraId="09D1DCD4" w14:textId="587924F7" w:rsidR="002051FE" w:rsidRPr="00F10B2F" w:rsidRDefault="002051FE" w:rsidP="002051FE">
      <w:pPr>
        <w:pStyle w:val="Citas"/>
        <w:rPr>
          <w:b/>
          <w:bCs/>
        </w:rPr>
      </w:pPr>
      <w:r w:rsidRPr="001940FE">
        <w:t>“</w:t>
      </w:r>
      <w:r w:rsidR="005C218E" w:rsidRPr="005C218E">
        <w:t xml:space="preserve">Solicitud de información con </w:t>
      </w:r>
      <w:proofErr w:type="spellStart"/>
      <w:r w:rsidR="005C218E" w:rsidRPr="005C218E">
        <w:t>numero</w:t>
      </w:r>
      <w:proofErr w:type="spellEnd"/>
      <w:r w:rsidR="005C218E" w:rsidRPr="005C218E">
        <w:t xml:space="preserve"> 00774/ISEM/IP/2024 ingresada vía Sistema de Acceso a la Información Mexiquense (SAIMEX</w:t>
      </w:r>
      <w:r w:rsidR="005C218E">
        <w:t>)</w:t>
      </w:r>
      <w:r w:rsidRPr="001940FE">
        <w:t>”</w:t>
      </w:r>
      <w:r w:rsidRPr="00F10B2F">
        <w:t xml:space="preserve"> </w:t>
      </w:r>
      <w:r>
        <w:rPr>
          <w:b/>
          <w:bCs/>
        </w:rPr>
        <w:t>(Sic)</w:t>
      </w:r>
    </w:p>
    <w:p w14:paraId="53115701" w14:textId="77777777" w:rsidR="002051FE" w:rsidRDefault="002051FE" w:rsidP="002051FE">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5B439EB9" w14:textId="54C26974" w:rsidR="002051FE" w:rsidRPr="00F34E34" w:rsidRDefault="002051FE" w:rsidP="00F34E34">
      <w:pPr>
        <w:pStyle w:val="Citas"/>
      </w:pPr>
      <w:r w:rsidRPr="001940FE">
        <w:t>“</w:t>
      </w:r>
      <w:r w:rsidR="005C218E" w:rsidRPr="005C218E">
        <w:t>Antes que nada agradezco la información que en respuesta fue entregada en el tiempo establecido, sin embargo es necesario aclarar el punto indicado en el archivo anexo (</w:t>
      </w:r>
      <w:proofErr w:type="spellStart"/>
      <w:r w:rsidR="005C218E" w:rsidRPr="005C218E">
        <w:t>excel</w:t>
      </w:r>
      <w:proofErr w:type="spellEnd"/>
      <w:r w:rsidR="005C218E" w:rsidRPr="005C218E">
        <w:t xml:space="preserve">) como gran total, para los años 2014, 2015, 2016, 2017, 2018 y 2019 los datos resultan incongruentes con el </w:t>
      </w:r>
      <w:proofErr w:type="spellStart"/>
      <w:r w:rsidR="005C218E" w:rsidRPr="005C218E">
        <w:t>numero</w:t>
      </w:r>
      <w:proofErr w:type="spellEnd"/>
      <w:r w:rsidR="005C218E" w:rsidRPr="005C218E">
        <w:t xml:space="preserve"> de "lesiones" señaladas por municipio. De tal forma solicito hagan favor de aclarar los datos reportados. De antemano mil gracias</w:t>
      </w:r>
      <w:r w:rsidRPr="001940FE">
        <w:t>”</w:t>
      </w:r>
      <w:r w:rsidRPr="00F34E34">
        <w:t xml:space="preserve"> (Sic)</w:t>
      </w:r>
    </w:p>
    <w:p w14:paraId="6D0E7C5D" w14:textId="77777777" w:rsidR="0037356B" w:rsidRDefault="0037356B" w:rsidP="002051FE">
      <w:pPr>
        <w:spacing w:before="240" w:line="360" w:lineRule="auto"/>
        <w:jc w:val="both"/>
        <w:rPr>
          <w:rFonts w:ascii="Palatino Linotype" w:hAnsi="Palatino Linotype" w:cs="Arial"/>
          <w:bCs/>
          <w:sz w:val="24"/>
          <w:szCs w:val="24"/>
        </w:rPr>
      </w:pPr>
    </w:p>
    <w:p w14:paraId="76383D8F" w14:textId="5DDF3F0E" w:rsidR="002051FE" w:rsidRDefault="0037356B" w:rsidP="002051FE">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2051FE" w:rsidRPr="008551ED">
        <w:rPr>
          <w:rFonts w:ascii="Palatino Linotype" w:hAnsi="Palatino Linotype" w:cs="Arial"/>
          <w:b/>
          <w:sz w:val="24"/>
          <w:szCs w:val="24"/>
        </w:rPr>
        <w:t xml:space="preserve">. </w:t>
      </w:r>
      <w:r w:rsidR="002051FE" w:rsidRPr="0087163A">
        <w:rPr>
          <w:rFonts w:ascii="Palatino Linotype" w:hAnsi="Palatino Linotype" w:cs="Arial"/>
          <w:b/>
          <w:sz w:val="28"/>
          <w:szCs w:val="28"/>
        </w:rPr>
        <w:t>Del turno del recurso de revisión.</w:t>
      </w:r>
    </w:p>
    <w:p w14:paraId="79E57180" w14:textId="00729082" w:rsidR="00F615B6" w:rsidRDefault="002051FE" w:rsidP="00F615B6">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F34E34">
        <w:rPr>
          <w:rFonts w:ascii="Palatino Linotype" w:hAnsi="Palatino Linotype" w:cs="Arial"/>
          <w:sz w:val="24"/>
          <w:szCs w:val="24"/>
        </w:rPr>
        <w:t xml:space="preserve"> </w:t>
      </w:r>
      <w:r w:rsidR="005C218E">
        <w:rPr>
          <w:rFonts w:ascii="Palatino Linotype" w:hAnsi="Palatino Linotype" w:cs="Arial"/>
          <w:b/>
          <w:bCs/>
          <w:sz w:val="24"/>
          <w:szCs w:val="24"/>
        </w:rPr>
        <w:t xml:space="preserve">doce de diciembre de dos mil veinticuatro, </w:t>
      </w:r>
      <w:r w:rsidR="00F615B6">
        <w:rPr>
          <w:rFonts w:ascii="Palatino Linotype" w:hAnsi="Palatino Linotype" w:cs="Arial"/>
          <w:sz w:val="24"/>
          <w:szCs w:val="24"/>
        </w:rPr>
        <w:t>determinándose en él, un plazo de siete días para que las partes manifestaran lo que a su derecho corresponda en términos del numeral ya citado.</w:t>
      </w:r>
    </w:p>
    <w:p w14:paraId="0173245E" w14:textId="77777777" w:rsidR="00F615B6" w:rsidRDefault="00F615B6" w:rsidP="002051FE">
      <w:pPr>
        <w:spacing w:before="240" w:line="360" w:lineRule="auto"/>
        <w:jc w:val="both"/>
        <w:rPr>
          <w:rFonts w:ascii="Palatino Linotype" w:hAnsi="Palatino Linotype" w:cs="Arial"/>
          <w:sz w:val="24"/>
          <w:szCs w:val="24"/>
        </w:rPr>
      </w:pPr>
    </w:p>
    <w:p w14:paraId="6DFF7A91" w14:textId="474FB7F4" w:rsidR="002051FE" w:rsidRDefault="0037356B" w:rsidP="002051FE">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QUINTO</w:t>
      </w:r>
      <w:r w:rsidR="002051FE" w:rsidRPr="00AC0CCC">
        <w:rPr>
          <w:rFonts w:ascii="Palatino Linotype" w:hAnsi="Palatino Linotype" w:cs="Arial"/>
          <w:b/>
          <w:sz w:val="28"/>
          <w:szCs w:val="28"/>
        </w:rPr>
        <w:t xml:space="preserve">. </w:t>
      </w:r>
      <w:r w:rsidR="002051FE" w:rsidRPr="0087163A">
        <w:rPr>
          <w:rFonts w:ascii="Palatino Linotype" w:hAnsi="Palatino Linotype" w:cs="Arial"/>
          <w:b/>
          <w:sz w:val="28"/>
          <w:szCs w:val="28"/>
        </w:rPr>
        <w:t>De la etapa de instrucción.</w:t>
      </w:r>
    </w:p>
    <w:p w14:paraId="01237967" w14:textId="3C8048CE" w:rsidR="00C13F8E" w:rsidRPr="00F34E34" w:rsidRDefault="00C13F8E" w:rsidP="001940FE">
      <w:pPr>
        <w:spacing w:after="0" w:line="360" w:lineRule="auto"/>
        <w:jc w:val="both"/>
        <w:rPr>
          <w:rFonts w:ascii="Palatino Linotype" w:hAnsi="Palatino Linotype" w:cs="Arial"/>
          <w:b/>
          <w:bCs/>
          <w:sz w:val="24"/>
          <w:szCs w:val="24"/>
        </w:rPr>
      </w:pPr>
      <w:r>
        <w:rPr>
          <w:rFonts w:ascii="Palatino Linotype" w:hAnsi="Palatino Linotype" w:cs="Arial"/>
          <w:sz w:val="24"/>
          <w:szCs w:val="24"/>
        </w:rPr>
        <w:lastRenderedPageBreak/>
        <w:t xml:space="preserve">Así, en la etapa de instrucción, de las constancias que obran en el expediente electrónico del recurso de revisión se advierte que </w:t>
      </w:r>
      <w:r>
        <w:rPr>
          <w:rFonts w:ascii="Palatino Linotype" w:hAnsi="Palatino Linotype" w:cs="Arial"/>
          <w:b/>
          <w:bCs/>
          <w:sz w:val="24"/>
          <w:szCs w:val="24"/>
        </w:rPr>
        <w:t xml:space="preserve">El Sujeto Obligado </w:t>
      </w:r>
      <w:r w:rsidR="001940FE">
        <w:rPr>
          <w:rFonts w:ascii="Palatino Linotype" w:hAnsi="Palatino Linotype" w:cs="Arial"/>
          <w:sz w:val="24"/>
          <w:szCs w:val="24"/>
        </w:rPr>
        <w:t xml:space="preserve">fue omiso en rendir su informe justificado. </w:t>
      </w:r>
    </w:p>
    <w:p w14:paraId="747504BE" w14:textId="54CE15B4" w:rsidR="00FB222E" w:rsidRPr="00FB222E" w:rsidRDefault="00FB222E" w:rsidP="002051FE">
      <w:pPr>
        <w:spacing w:after="0" w:line="360" w:lineRule="auto"/>
        <w:jc w:val="both"/>
        <w:rPr>
          <w:rFonts w:ascii="Palatino Linotype" w:hAnsi="Palatino Linotype" w:cs="Arial"/>
          <w:b/>
          <w:bCs/>
          <w:sz w:val="24"/>
          <w:szCs w:val="24"/>
        </w:rPr>
      </w:pPr>
    </w:p>
    <w:p w14:paraId="6C93C413" w14:textId="3F3D7837" w:rsidR="002051FE" w:rsidRDefault="002051FE" w:rsidP="002051FE">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Por lo cual se decretó cierre de instrucción con fecha </w:t>
      </w:r>
      <w:r w:rsidR="00342741">
        <w:rPr>
          <w:rFonts w:ascii="Palatino Linotype" w:hAnsi="Palatino Linotype" w:cs="Arial"/>
          <w:b/>
          <w:bCs/>
          <w:sz w:val="24"/>
          <w:szCs w:val="24"/>
        </w:rPr>
        <w:t>quince</w:t>
      </w:r>
      <w:r w:rsidR="005C218E">
        <w:rPr>
          <w:rFonts w:ascii="Palatino Linotype" w:hAnsi="Palatino Linotype" w:cs="Arial"/>
          <w:b/>
          <w:bCs/>
          <w:sz w:val="24"/>
          <w:szCs w:val="24"/>
        </w:rPr>
        <w:t xml:space="preserve"> de enero de dos mil veinticinco, </w:t>
      </w:r>
      <w:r>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45EF1E63" w14:textId="77777777" w:rsidR="00EF7B0C" w:rsidRDefault="00EF7B0C" w:rsidP="002051FE">
      <w:pPr>
        <w:spacing w:after="0" w:line="360" w:lineRule="auto"/>
        <w:jc w:val="both"/>
        <w:rPr>
          <w:rFonts w:ascii="Palatino Linotype" w:hAnsi="Palatino Linotype" w:cs="Arial"/>
          <w:sz w:val="24"/>
          <w:szCs w:val="24"/>
        </w:rPr>
      </w:pPr>
    </w:p>
    <w:p w14:paraId="67D0FD90" w14:textId="4539C9DB" w:rsidR="006168E4" w:rsidRDefault="006168E4" w:rsidP="00844569">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579C7ABE" w14:textId="77777777" w:rsidR="006168E4" w:rsidRDefault="006168E4" w:rsidP="00844569">
      <w:pPr>
        <w:spacing w:before="240" w:line="360" w:lineRule="auto"/>
        <w:jc w:val="both"/>
        <w:rPr>
          <w:rFonts w:ascii="Palatino Linotype" w:hAnsi="Palatino Linotype" w:cs="Arial"/>
          <w:sz w:val="24"/>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0CEB8B61" w14:textId="77777777" w:rsidR="00EF7B0C" w:rsidRDefault="00EF7B0C" w:rsidP="00EF7B0C">
      <w:pPr>
        <w:pStyle w:val="Prrafodelista"/>
        <w:autoSpaceDE w:val="0"/>
        <w:autoSpaceDN w:val="0"/>
        <w:adjustRightInd w:val="0"/>
        <w:spacing w:before="240" w:after="160" w:line="360" w:lineRule="auto"/>
        <w:ind w:left="0"/>
        <w:jc w:val="both"/>
        <w:rPr>
          <w:rFonts w:ascii="Palatino Linotype" w:eastAsia="Calibri" w:hAnsi="Palatino Linotype" w:cs="Calibri"/>
          <w:lang w:val="es-MX" w:eastAsia="es-MX"/>
        </w:rPr>
      </w:pPr>
      <w:r w:rsidRPr="00023DD4">
        <w:rPr>
          <w:rFonts w:ascii="Palatino Linotype" w:eastAsia="Calibri" w:hAnsi="Palatino Linotype" w:cs="Calibri"/>
          <w:lang w:val="es-MX"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71AC3F8F" w14:textId="7C009456"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80F37AC" w14:textId="3B54FC30"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47923689" w14:textId="77777777" w:rsidR="00F1776F" w:rsidRDefault="00F1776F" w:rsidP="00075123">
      <w:pPr>
        <w:pStyle w:val="Prrafodelista"/>
        <w:autoSpaceDE w:val="0"/>
        <w:autoSpaceDN w:val="0"/>
        <w:adjustRightInd w:val="0"/>
        <w:spacing w:before="240" w:after="160" w:line="360" w:lineRule="auto"/>
        <w:ind w:left="0"/>
        <w:jc w:val="both"/>
        <w:rPr>
          <w:rFonts w:ascii="Palatino Linotype" w:hAnsi="Palatino Linotype" w:cs="Arial"/>
          <w:b/>
          <w:sz w:val="28"/>
        </w:rPr>
      </w:pPr>
    </w:p>
    <w:p w14:paraId="4F403C13" w14:textId="77777777" w:rsidR="001F2207" w:rsidRDefault="001F2207" w:rsidP="001F2207">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6E4D8795" w14:textId="50380168" w:rsidR="001F2207" w:rsidRDefault="001F2207" w:rsidP="001F2207">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FA27EA">
        <w:rPr>
          <w:rFonts w:ascii="Palatino Linotype" w:hAnsi="Palatino Linotype" w:cs="Arial"/>
          <w:b/>
          <w:sz w:val="24"/>
          <w:szCs w:val="24"/>
        </w:rPr>
        <w:t>XXXXXXX</w:t>
      </w:r>
      <w:r>
        <w:rPr>
          <w:rFonts w:ascii="Palatino Linotype" w:hAnsi="Palatino Linotype" w:cs="Arial"/>
          <w:sz w:val="24"/>
        </w:rPr>
        <w:t>, del cual no se colige que corresponda al nombre de una persona.</w:t>
      </w:r>
    </w:p>
    <w:p w14:paraId="2F574170" w14:textId="77777777" w:rsidR="001F2207" w:rsidRDefault="001F2207" w:rsidP="001F2207">
      <w:pPr>
        <w:spacing w:after="0" w:line="360" w:lineRule="auto"/>
        <w:jc w:val="both"/>
        <w:rPr>
          <w:rFonts w:ascii="Palatino Linotype" w:hAnsi="Palatino Linotype"/>
          <w:sz w:val="24"/>
          <w:szCs w:val="24"/>
        </w:rPr>
      </w:pPr>
    </w:p>
    <w:p w14:paraId="41762527" w14:textId="77777777" w:rsidR="001F2207" w:rsidRDefault="001F2207" w:rsidP="001F2207">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lastRenderedPageBreak/>
        <w:t xml:space="preserve">Esta Ponencia considera importante abordar el análisis de los requisitos de procedibilidad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6C7C1D3C" w14:textId="77777777" w:rsidR="001F2207" w:rsidRDefault="001F2207" w:rsidP="001F2207">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707A7F5B" w14:textId="77777777" w:rsidR="001F2207" w:rsidRDefault="001F2207" w:rsidP="001F2207">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2674A9F1" w14:textId="77777777" w:rsidR="001F2207" w:rsidRDefault="001F2207" w:rsidP="001F2207">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64A83AF8" w14:textId="77777777" w:rsidR="001F2207" w:rsidRDefault="001F2207" w:rsidP="001F2207">
      <w:pPr>
        <w:spacing w:before="240" w:line="360" w:lineRule="auto"/>
        <w:ind w:left="851" w:right="851"/>
        <w:rPr>
          <w:rFonts w:ascii="Palatino Linotype" w:hAnsi="Palatino Linotype"/>
          <w:i/>
        </w:rPr>
      </w:pPr>
      <w:r>
        <w:rPr>
          <w:rFonts w:ascii="Palatino Linotype" w:hAnsi="Palatino Linotype"/>
          <w:b/>
          <w:i/>
        </w:rPr>
        <w:t>(…)” [Sic]</w:t>
      </w:r>
    </w:p>
    <w:p w14:paraId="24EB33AE" w14:textId="77777777" w:rsidR="001F2207" w:rsidRDefault="001F2207" w:rsidP="001F2207">
      <w:pPr>
        <w:pStyle w:val="Prrafodelista"/>
        <w:widowControl w:val="0"/>
        <w:autoSpaceDE w:val="0"/>
        <w:autoSpaceDN w:val="0"/>
        <w:adjustRightInd w:val="0"/>
        <w:ind w:left="0"/>
        <w:jc w:val="both"/>
        <w:rPr>
          <w:rFonts w:ascii="Palatino Linotype" w:hAnsi="Palatino Linotype"/>
          <w:highlight w:val="yellow"/>
        </w:rPr>
      </w:pPr>
    </w:p>
    <w:p w14:paraId="6E2A7027" w14:textId="5EE86A8F" w:rsidR="001F2207" w:rsidRDefault="001F2207" w:rsidP="001F2207">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FA27EA">
        <w:rPr>
          <w:rFonts w:ascii="Palatino Linotype" w:hAnsi="Palatino Linotype" w:cs="Arial"/>
          <w:b/>
        </w:rPr>
        <w:t>XXXXXXXXXX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6D1D6F1E" w14:textId="77777777" w:rsidR="001F2207" w:rsidRDefault="001F2207" w:rsidP="001F2207">
      <w:pPr>
        <w:pStyle w:val="Prrafodelista"/>
        <w:widowControl w:val="0"/>
        <w:autoSpaceDE w:val="0"/>
        <w:autoSpaceDN w:val="0"/>
        <w:adjustRightInd w:val="0"/>
        <w:spacing w:line="360" w:lineRule="auto"/>
        <w:ind w:left="0"/>
        <w:jc w:val="both"/>
        <w:rPr>
          <w:rFonts w:ascii="Palatino Linotype" w:hAnsi="Palatino Linotype"/>
        </w:rPr>
      </w:pPr>
    </w:p>
    <w:p w14:paraId="1D3CC1EB" w14:textId="77777777" w:rsidR="001F2207" w:rsidRDefault="001F2207" w:rsidP="001F2207">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w:t>
      </w:r>
      <w:r>
        <w:rPr>
          <w:rFonts w:ascii="Palatino Linotype" w:hAnsi="Palatino Linotype"/>
        </w:rPr>
        <w:lastRenderedPageBreak/>
        <w:t xml:space="preserve">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EE81D20" w14:textId="77777777" w:rsidR="001F2207" w:rsidRDefault="001F2207" w:rsidP="001F2207">
      <w:pPr>
        <w:pStyle w:val="Prrafodelista"/>
        <w:widowControl w:val="0"/>
        <w:autoSpaceDE w:val="0"/>
        <w:autoSpaceDN w:val="0"/>
        <w:adjustRightInd w:val="0"/>
        <w:ind w:left="0"/>
        <w:jc w:val="both"/>
        <w:rPr>
          <w:rFonts w:ascii="Palatino Linotype" w:hAnsi="Palatino Linotype"/>
          <w:highlight w:val="yellow"/>
        </w:rPr>
      </w:pPr>
    </w:p>
    <w:p w14:paraId="69B23CC6" w14:textId="77777777" w:rsidR="001F2207" w:rsidRDefault="001F2207" w:rsidP="001F2207">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1426031" w14:textId="77777777" w:rsidR="005C218E" w:rsidRDefault="005C218E" w:rsidP="00075123">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F5A80AA" w14:textId="77777777" w:rsidR="001F2207" w:rsidRPr="009A0D0A" w:rsidRDefault="001F2207" w:rsidP="001F2207">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6E06BF5D" w14:textId="77777777" w:rsidR="001F2207" w:rsidRDefault="001F2207" w:rsidP="001F2207">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lastRenderedPageBreak/>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13E8492D" w14:textId="77777777" w:rsidR="001F2207" w:rsidRPr="002869E1" w:rsidRDefault="001F2207" w:rsidP="001F2207">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14BF686"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A3D4ED7"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D0677FB"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0C35A4EA"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0104587D"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EC35EB9"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815923C" w14:textId="77777777" w:rsidR="001F2207" w:rsidRPr="006010FE" w:rsidRDefault="001F2207" w:rsidP="001F2207">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E97E185"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3B3AC0C"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EDBFE3C"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8B50E47"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4F18265" w14:textId="77777777" w:rsidR="001F2207" w:rsidRDefault="001F2207" w:rsidP="001F2207">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0245D44" w14:textId="77777777" w:rsidR="001F2207" w:rsidRDefault="001F2207" w:rsidP="001F2207">
      <w:pPr>
        <w:spacing w:after="0" w:line="360" w:lineRule="auto"/>
        <w:jc w:val="both"/>
        <w:rPr>
          <w:rFonts w:ascii="Palatino Linotype" w:eastAsia="Times New Roman" w:hAnsi="Palatino Linotype" w:cs="Times New Roman"/>
          <w:sz w:val="24"/>
          <w:szCs w:val="24"/>
          <w:lang w:eastAsia="es-ES"/>
        </w:rPr>
      </w:pPr>
    </w:p>
    <w:p w14:paraId="3E1AEE38" w14:textId="77777777" w:rsidR="001F2207" w:rsidRPr="006010FE" w:rsidRDefault="001F2207" w:rsidP="001F2207">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w:t>
      </w:r>
      <w:r w:rsidRPr="006010FE">
        <w:rPr>
          <w:rFonts w:ascii="Palatino Linotype" w:eastAsia="Times New Roman" w:hAnsi="Palatino Linotype" w:cs="Times New Roman"/>
          <w:sz w:val="24"/>
          <w:szCs w:val="24"/>
          <w:lang w:eastAsia="es-ES"/>
        </w:rPr>
        <w:lastRenderedPageBreak/>
        <w:t xml:space="preserve">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A319F34" w14:textId="77777777" w:rsidR="001F2207" w:rsidRDefault="001F2207" w:rsidP="001F2207">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4CB564F5" w14:textId="77777777" w:rsidR="001F2207" w:rsidRDefault="001F2207" w:rsidP="001F2207">
      <w:pPr>
        <w:spacing w:before="240" w:line="360" w:lineRule="auto"/>
        <w:jc w:val="both"/>
        <w:rPr>
          <w:rFonts w:ascii="Palatino Linotype" w:hAnsi="Palatino Linotype"/>
          <w:sz w:val="24"/>
          <w:szCs w:val="24"/>
        </w:rPr>
      </w:pPr>
    </w:p>
    <w:p w14:paraId="65EEE763" w14:textId="18F2A4CF" w:rsidR="001F2207" w:rsidRDefault="001F2207" w:rsidP="001F2207">
      <w:pPr>
        <w:spacing w:before="240" w:line="360" w:lineRule="auto"/>
        <w:jc w:val="both"/>
        <w:rPr>
          <w:rFonts w:ascii="Palatino Linotype" w:hAnsi="Palatino Linotype" w:cs="Arial"/>
          <w:sz w:val="24"/>
          <w:szCs w:val="24"/>
        </w:rPr>
      </w:pPr>
      <w:r w:rsidRPr="00A279CF">
        <w:rPr>
          <w:rFonts w:ascii="Palatino Linotype" w:hAnsi="Palatino Linotype"/>
          <w:sz w:val="24"/>
          <w:szCs w:val="24"/>
        </w:rPr>
        <w:t xml:space="preserve">Una vez sentado lo anterior, </w:t>
      </w:r>
      <w:r>
        <w:rPr>
          <w:rFonts w:ascii="Palatino Linotype" w:hAnsi="Palatino Linotype" w:cs="Arial"/>
          <w:sz w:val="24"/>
          <w:szCs w:val="24"/>
        </w:rPr>
        <w:t xml:space="preserve">de una interpretación literal a la solicitud de información </w:t>
      </w:r>
      <w:r>
        <w:rPr>
          <w:rFonts w:ascii="Palatino Linotype" w:hAnsi="Palatino Linotype" w:cs="Arial"/>
          <w:b/>
          <w:bCs/>
          <w:sz w:val="24"/>
          <w:szCs w:val="24"/>
        </w:rPr>
        <w:t xml:space="preserve">00774/ISEM/IP/2024, </w:t>
      </w:r>
      <w:r>
        <w:rPr>
          <w:rFonts w:ascii="Palatino Linotype" w:hAnsi="Palatino Linotype" w:cs="Arial"/>
          <w:sz w:val="24"/>
          <w:szCs w:val="24"/>
        </w:rPr>
        <w:t xml:space="preserve">se desprenden las siguientes consideraciones: </w:t>
      </w:r>
    </w:p>
    <w:p w14:paraId="649B0E29" w14:textId="77777777" w:rsidR="001F2207" w:rsidRPr="00B63864" w:rsidRDefault="001F2207" w:rsidP="001F2207">
      <w:pPr>
        <w:pStyle w:val="Prrafodelista"/>
        <w:numPr>
          <w:ilvl w:val="0"/>
          <w:numId w:val="22"/>
        </w:numPr>
        <w:autoSpaceDE w:val="0"/>
        <w:autoSpaceDN w:val="0"/>
        <w:adjustRightInd w:val="0"/>
        <w:spacing w:before="240" w:line="360" w:lineRule="auto"/>
        <w:jc w:val="both"/>
        <w:rPr>
          <w:rFonts w:ascii="Palatino Linotype" w:hAnsi="Palatino Linotype" w:cs="Arial"/>
          <w:lang w:val="es-MX"/>
        </w:rPr>
      </w:pPr>
      <w:r w:rsidRPr="006C0923">
        <w:rPr>
          <w:rFonts w:ascii="Palatino Linotype" w:hAnsi="Palatino Linotype" w:cs="Arial"/>
          <w:lang w:val="es-MX"/>
        </w:rPr>
        <w:t xml:space="preserve">Que el derecho de acceso a la información pública estriba en la prerrogativa de carácter constitucional que reconoce la potestad de los ciudadanos para solicitar soportes documentales generados, poseídos o administrados por los </w:t>
      </w:r>
      <w:r w:rsidRPr="006C0923">
        <w:rPr>
          <w:rFonts w:ascii="Palatino Linotype" w:hAnsi="Palatino Linotype" w:cs="Arial"/>
          <w:b/>
          <w:bCs/>
          <w:lang w:val="es-MX"/>
        </w:rPr>
        <w:t xml:space="preserve">Sujetos Obligados. </w:t>
      </w:r>
    </w:p>
    <w:p w14:paraId="04F36ECC" w14:textId="097901DE" w:rsidR="001F2207" w:rsidRPr="001F2207" w:rsidRDefault="001F2207" w:rsidP="00C500BD">
      <w:pPr>
        <w:pStyle w:val="Prrafodelista"/>
        <w:numPr>
          <w:ilvl w:val="0"/>
          <w:numId w:val="21"/>
        </w:numPr>
        <w:autoSpaceDE w:val="0"/>
        <w:autoSpaceDN w:val="0"/>
        <w:adjustRightInd w:val="0"/>
        <w:spacing w:before="240" w:line="360" w:lineRule="auto"/>
        <w:jc w:val="both"/>
        <w:rPr>
          <w:rFonts w:ascii="Palatino Linotype" w:hAnsi="Palatino Linotype"/>
          <w:color w:val="000000"/>
        </w:rPr>
      </w:pPr>
      <w:r w:rsidRPr="001F2207">
        <w:rPr>
          <w:rFonts w:ascii="Palatino Linotype" w:hAnsi="Palatino Linotype" w:cs="Arial"/>
          <w:lang w:val="es-MX"/>
        </w:rPr>
        <w:t xml:space="preserve">Que, de una interpretación literal a la solicitud de información </w:t>
      </w:r>
      <w:r w:rsidRPr="001F2207">
        <w:rPr>
          <w:rFonts w:ascii="Palatino Linotype" w:hAnsi="Palatino Linotype" w:cs="Arial"/>
          <w:b/>
          <w:bCs/>
        </w:rPr>
        <w:t>00774/ISEM/IP/2024</w:t>
      </w:r>
      <w:r w:rsidRPr="001F2207">
        <w:rPr>
          <w:rFonts w:ascii="Palatino Linotype" w:hAnsi="Palatino Linotype" w:cs="Arial"/>
          <w:lang w:val="es-MX"/>
        </w:rPr>
        <w:t xml:space="preserve">, se advierte que fue formulado </w:t>
      </w:r>
      <w:r w:rsidRPr="001F2207">
        <w:rPr>
          <w:rFonts w:ascii="Palatino Linotype" w:hAnsi="Palatino Linotype" w:cs="Arial"/>
          <w:b/>
          <w:bCs/>
          <w:lang w:val="es-MX"/>
        </w:rPr>
        <w:t xml:space="preserve">1 -un- </w:t>
      </w:r>
      <w:r w:rsidRPr="001F2207">
        <w:rPr>
          <w:rFonts w:ascii="Palatino Linotype" w:hAnsi="Palatino Linotype" w:cs="Arial"/>
          <w:lang w:val="es-MX"/>
        </w:rPr>
        <w:t xml:space="preserve">requerimiento, respecto del </w:t>
      </w:r>
      <w:r>
        <w:rPr>
          <w:rFonts w:ascii="Palatino Linotype" w:hAnsi="Palatino Linotype" w:cs="Arial"/>
          <w:lang w:val="es-MX"/>
        </w:rPr>
        <w:t xml:space="preserve">cual fue señalado como parámetro de inicio y conclusión para efectos de búsqueda de la información </w:t>
      </w:r>
      <w:r>
        <w:rPr>
          <w:rFonts w:ascii="Palatino Linotype" w:hAnsi="Palatino Linotype" w:cs="Arial"/>
          <w:i/>
          <w:iCs/>
          <w:lang w:val="es-MX"/>
        </w:rPr>
        <w:t>“registrados de año 2014 a 2024”</w:t>
      </w:r>
    </w:p>
    <w:p w14:paraId="1E64E97B" w14:textId="77777777" w:rsidR="001F2207" w:rsidRPr="00AF17B1" w:rsidRDefault="001F2207" w:rsidP="001F2207">
      <w:pPr>
        <w:pStyle w:val="Prrafodelista"/>
        <w:spacing w:before="240" w:line="360" w:lineRule="auto"/>
        <w:ind w:left="720"/>
        <w:jc w:val="both"/>
        <w:rPr>
          <w:rFonts w:ascii="Palatino Linotype" w:hAnsi="Palatino Linotype"/>
          <w:lang w:val="es-MX"/>
        </w:rPr>
      </w:pPr>
      <w:r>
        <w:rPr>
          <w:rFonts w:ascii="Palatino Linotype" w:hAnsi="Palatino Linotype" w:cs="Arial"/>
        </w:rPr>
        <w:t xml:space="preserve">Bajo este contexto, se destaca que el </w:t>
      </w:r>
      <w:r w:rsidRPr="00AF17B1">
        <w:rPr>
          <w:rFonts w:ascii="Palatino Linotype" w:hAnsi="Palatino Linotype"/>
          <w:lang w:val="es-MX"/>
        </w:rPr>
        <w:t xml:space="preserve">derecho de acceso a la información estriba respecto de aquellos soportes documentales generados, poseídos o administrados por </w:t>
      </w:r>
      <w:r w:rsidRPr="00AF17B1">
        <w:rPr>
          <w:rFonts w:ascii="Palatino Linotype" w:hAnsi="Palatino Linotype"/>
          <w:b/>
          <w:bCs/>
          <w:lang w:val="es-MX"/>
        </w:rPr>
        <w:t xml:space="preserve">El Sujeto Obligado </w:t>
      </w:r>
      <w:r w:rsidRPr="00AF17B1">
        <w:rPr>
          <w:rFonts w:ascii="Palatino Linotype" w:hAnsi="Palatino Linotype"/>
          <w:lang w:val="es-MX"/>
        </w:rPr>
        <w:t>que se encuentren disponibles al momento de ejercer dicha prerrogativa, es decir, excluye los siguientes actos:</w:t>
      </w:r>
    </w:p>
    <w:p w14:paraId="205DC67D" w14:textId="77777777" w:rsidR="001F2207" w:rsidRPr="00AF17B1" w:rsidRDefault="001F2207" w:rsidP="001F2207">
      <w:pPr>
        <w:pStyle w:val="Prrafodelista"/>
        <w:numPr>
          <w:ilvl w:val="0"/>
          <w:numId w:val="21"/>
        </w:numPr>
        <w:spacing w:before="240" w:line="360" w:lineRule="auto"/>
        <w:jc w:val="both"/>
        <w:rPr>
          <w:rFonts w:ascii="Palatino Linotype" w:hAnsi="Palatino Linotype"/>
          <w:lang w:val="es-MX"/>
        </w:rPr>
      </w:pPr>
      <w:r w:rsidRPr="00AF17B1">
        <w:rPr>
          <w:rFonts w:ascii="Palatino Linotype" w:hAnsi="Palatino Linotype"/>
          <w:b/>
          <w:bCs/>
          <w:lang w:val="es-MX"/>
        </w:rPr>
        <w:lastRenderedPageBreak/>
        <w:t xml:space="preserve">Actos futuros inminentes: </w:t>
      </w:r>
      <w:r w:rsidRPr="00AF17B1">
        <w:rPr>
          <w:rFonts w:ascii="Palatino Linotype" w:hAnsi="Palatino Linotype"/>
          <w:lang w:val="es-MX"/>
        </w:rPr>
        <w:t xml:space="preserve">Son aquellos cuyo mandamiento ya se ha dictado y su ejecución puede realizarse de un momento a otro. </w:t>
      </w:r>
    </w:p>
    <w:p w14:paraId="489462BB" w14:textId="77777777" w:rsidR="001F2207" w:rsidRPr="00AF17B1" w:rsidRDefault="001F2207" w:rsidP="001F2207">
      <w:pPr>
        <w:pStyle w:val="Prrafodelista"/>
        <w:numPr>
          <w:ilvl w:val="0"/>
          <w:numId w:val="21"/>
        </w:numPr>
        <w:spacing w:before="240" w:line="360" w:lineRule="auto"/>
        <w:jc w:val="both"/>
        <w:rPr>
          <w:rFonts w:ascii="Palatino Linotype" w:hAnsi="Palatino Linotype"/>
          <w:lang w:val="es-MX"/>
        </w:rPr>
      </w:pPr>
      <w:r w:rsidRPr="00AF17B1">
        <w:rPr>
          <w:rFonts w:ascii="Palatino Linotype" w:hAnsi="Palatino Linotype"/>
          <w:b/>
          <w:bCs/>
          <w:lang w:val="es-MX"/>
        </w:rPr>
        <w:t xml:space="preserve">Actos futuros probables: </w:t>
      </w:r>
      <w:r w:rsidRPr="00AF17B1">
        <w:rPr>
          <w:rFonts w:ascii="Palatino Linotype" w:hAnsi="Palatino Linotype"/>
          <w:lang w:val="es-MX"/>
        </w:rPr>
        <w:t xml:space="preserve">Son aquellos que pueden o no suceder, es decir, son de remota realización. </w:t>
      </w:r>
    </w:p>
    <w:p w14:paraId="7F9C780C" w14:textId="77777777" w:rsidR="001F2207" w:rsidRDefault="001F2207" w:rsidP="001F2207">
      <w:pPr>
        <w:pStyle w:val="Prrafodelista"/>
        <w:autoSpaceDE w:val="0"/>
        <w:autoSpaceDN w:val="0"/>
        <w:adjustRightInd w:val="0"/>
        <w:spacing w:line="360" w:lineRule="auto"/>
        <w:ind w:left="720"/>
        <w:jc w:val="both"/>
        <w:rPr>
          <w:rFonts w:ascii="Palatino Linotype" w:hAnsi="Palatino Linotype" w:cs="Arial"/>
          <w:lang w:val="es-MX"/>
        </w:rPr>
      </w:pPr>
    </w:p>
    <w:p w14:paraId="0A11B64C" w14:textId="3FDB3473" w:rsidR="001F2207" w:rsidRDefault="001F2207" w:rsidP="001F2207">
      <w:pPr>
        <w:pStyle w:val="Prrafodelista"/>
        <w:autoSpaceDE w:val="0"/>
        <w:autoSpaceDN w:val="0"/>
        <w:adjustRightInd w:val="0"/>
        <w:spacing w:line="360" w:lineRule="auto"/>
        <w:ind w:left="720"/>
        <w:jc w:val="both"/>
        <w:rPr>
          <w:rFonts w:ascii="Palatino Linotype" w:hAnsi="Palatino Linotype" w:cs="Arial"/>
          <w:lang w:val="es-MX"/>
        </w:rPr>
      </w:pPr>
      <w:r>
        <w:rPr>
          <w:rFonts w:ascii="Palatino Linotype" w:hAnsi="Palatino Linotype" w:cs="Arial"/>
          <w:lang w:val="es-MX"/>
        </w:rPr>
        <w:t xml:space="preserve">En este sentido, con relación a la solicitud de información </w:t>
      </w:r>
      <w:r>
        <w:rPr>
          <w:rFonts w:ascii="Palatino Linotype" w:hAnsi="Palatino Linotype" w:cs="Arial"/>
          <w:b/>
          <w:bCs/>
          <w:lang w:val="es-MX"/>
        </w:rPr>
        <w:t xml:space="preserve">00774/ISEM/IP/2024, </w:t>
      </w:r>
      <w:r>
        <w:rPr>
          <w:rFonts w:ascii="Palatino Linotype" w:hAnsi="Palatino Linotype" w:cs="Arial"/>
          <w:lang w:val="es-MX"/>
        </w:rPr>
        <w:t xml:space="preserve">al tomar en consideración que el derecho de acceso a la información fue ejercido el catorce de noviembre de dos mil veinticuatro, resulta inconcuso que el elemento temporal debe de ser fijado del uno de enero de dos mil catorce al catorce de noviembre de dos mil veinticuatro. </w:t>
      </w:r>
    </w:p>
    <w:p w14:paraId="4BA89CDA" w14:textId="77777777" w:rsidR="001F2207" w:rsidRDefault="001F2207" w:rsidP="001F2207">
      <w:pPr>
        <w:pStyle w:val="Prrafodelista"/>
        <w:autoSpaceDE w:val="0"/>
        <w:autoSpaceDN w:val="0"/>
        <w:adjustRightInd w:val="0"/>
        <w:spacing w:line="360" w:lineRule="auto"/>
        <w:ind w:left="720"/>
        <w:jc w:val="both"/>
        <w:rPr>
          <w:rFonts w:ascii="Palatino Linotype" w:hAnsi="Palatino Linotype" w:cs="Arial"/>
          <w:lang w:val="es-MX"/>
        </w:rPr>
      </w:pPr>
    </w:p>
    <w:p w14:paraId="1F2F4692" w14:textId="069F3223" w:rsidR="001F2207" w:rsidRPr="00BE593A" w:rsidRDefault="001F2207" w:rsidP="001F2207">
      <w:pPr>
        <w:pStyle w:val="Prrafodelista"/>
        <w:numPr>
          <w:ilvl w:val="0"/>
          <w:numId w:val="21"/>
        </w:numPr>
        <w:spacing w:before="240" w:line="360" w:lineRule="auto"/>
        <w:jc w:val="both"/>
        <w:rPr>
          <w:rFonts w:ascii="Palatino Linotype" w:hAnsi="Palatino Linotype"/>
        </w:rPr>
      </w:pPr>
      <w:r>
        <w:rPr>
          <w:rFonts w:ascii="Palatino Linotype" w:hAnsi="Palatino Linotype"/>
          <w:color w:val="000000"/>
        </w:rPr>
        <w:t>Que en referencia al único requerimiento</w:t>
      </w:r>
      <w:r>
        <w:rPr>
          <w:rFonts w:ascii="Palatino Linotype" w:hAnsi="Palatino Linotype"/>
          <w:b/>
          <w:bCs/>
          <w:color w:val="000000"/>
        </w:rPr>
        <w:t xml:space="preserve">-, </w:t>
      </w:r>
      <w:r>
        <w:rPr>
          <w:rFonts w:ascii="Palatino Linotype" w:hAnsi="Palatino Linotype"/>
        </w:rPr>
        <w:t xml:space="preserve">se destaca que </w:t>
      </w:r>
      <w:r w:rsidRPr="00BE593A">
        <w:rPr>
          <w:rFonts w:ascii="Palatino Linotype" w:hAnsi="Palatino Linotype"/>
        </w:rPr>
        <w:t xml:space="preserve">cuando los particulares no identifican de forma precisa el documento requerido bastará con que se remita cualquiera que refleje la información requerida. Al respecto cobra relevancia el criterio emitido por el Órgano Garante Nacional con número </w:t>
      </w:r>
      <w:r w:rsidRPr="00BE593A">
        <w:rPr>
          <w:rFonts w:ascii="Palatino Linotype" w:hAnsi="Palatino Linotype"/>
          <w:b/>
          <w:bCs/>
        </w:rPr>
        <w:t xml:space="preserve">16/17 </w:t>
      </w:r>
      <w:r w:rsidRPr="00BE593A">
        <w:rPr>
          <w:rFonts w:ascii="Palatino Linotype" w:hAnsi="Palatino Linotype"/>
        </w:rPr>
        <w:t>cuyo rubro y texto disponen a la literalidad lo siguiente:</w:t>
      </w:r>
    </w:p>
    <w:p w14:paraId="73B308E2" w14:textId="77777777" w:rsidR="001F2207" w:rsidRPr="00AB5B4A" w:rsidRDefault="001F2207" w:rsidP="001F2207">
      <w:pPr>
        <w:pStyle w:val="Citas"/>
        <w:jc w:val="center"/>
        <w:rPr>
          <w:b/>
          <w:bCs/>
          <w:sz w:val="24"/>
          <w:szCs w:val="24"/>
        </w:rPr>
      </w:pPr>
      <w:r w:rsidRPr="00AB5B4A">
        <w:rPr>
          <w:b/>
          <w:bCs/>
          <w:sz w:val="24"/>
          <w:szCs w:val="24"/>
        </w:rPr>
        <w:t>“EXPRESIÓN DOCUMENTAL.</w:t>
      </w:r>
    </w:p>
    <w:p w14:paraId="3668A8A2" w14:textId="77777777" w:rsidR="001F2207" w:rsidRPr="00AB5B4A" w:rsidRDefault="001F2207" w:rsidP="001F2207">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681A234B" w14:textId="77777777" w:rsidR="001F2207" w:rsidRPr="00AB5B4A" w:rsidRDefault="001F2207" w:rsidP="001F2207">
      <w:pPr>
        <w:pStyle w:val="Citas"/>
        <w:rPr>
          <w:b/>
        </w:rPr>
      </w:pPr>
      <w:r w:rsidRPr="00AB5B4A">
        <w:rPr>
          <w:b/>
        </w:rPr>
        <w:lastRenderedPageBreak/>
        <w:t>Precedentes:</w:t>
      </w:r>
    </w:p>
    <w:p w14:paraId="4DC8E949" w14:textId="77777777" w:rsidR="001F2207" w:rsidRPr="00AB5B4A" w:rsidRDefault="001F2207" w:rsidP="001F2207">
      <w:pPr>
        <w:pStyle w:val="Citas"/>
        <w:numPr>
          <w:ilvl w:val="0"/>
          <w:numId w:val="20"/>
        </w:numPr>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2FAA64B8" w14:textId="77777777" w:rsidR="001F2207" w:rsidRPr="00AB5B4A" w:rsidRDefault="001F2207" w:rsidP="001F2207">
      <w:pPr>
        <w:pStyle w:val="Citas"/>
        <w:numPr>
          <w:ilvl w:val="0"/>
          <w:numId w:val="20"/>
        </w:numPr>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36E6C075" w14:textId="77777777" w:rsidR="001F2207" w:rsidRPr="00AB5B4A" w:rsidRDefault="001F2207" w:rsidP="001F2207">
      <w:pPr>
        <w:pStyle w:val="Citas"/>
        <w:numPr>
          <w:ilvl w:val="0"/>
          <w:numId w:val="20"/>
        </w:numPr>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Secretaría de Economía. Comisionado Ponente Francisco Javier Acuña Llamas. “ </w:t>
      </w:r>
      <w:r w:rsidRPr="00AB5B4A">
        <w:rPr>
          <w:b/>
          <w:bCs/>
        </w:rPr>
        <w:t>(Sic)</w:t>
      </w:r>
    </w:p>
    <w:p w14:paraId="4D722BA2" w14:textId="77777777" w:rsidR="001F2207" w:rsidRDefault="001F2207" w:rsidP="001F2207">
      <w:pPr>
        <w:spacing w:before="240" w:line="360" w:lineRule="auto"/>
        <w:jc w:val="both"/>
        <w:rPr>
          <w:rFonts w:ascii="Palatino Linotype" w:hAnsi="Palatino Linotype"/>
          <w:sz w:val="24"/>
          <w:szCs w:val="24"/>
        </w:rPr>
      </w:pPr>
    </w:p>
    <w:p w14:paraId="3000CB9B" w14:textId="77777777" w:rsidR="001F2207" w:rsidRPr="0051062B" w:rsidRDefault="001F2207" w:rsidP="001F2207">
      <w:pPr>
        <w:spacing w:before="240" w:line="360" w:lineRule="auto"/>
        <w:jc w:val="both"/>
        <w:rPr>
          <w:rFonts w:ascii="Palatino Linotype" w:hAnsi="Palatino Linotype"/>
          <w:sz w:val="24"/>
          <w:szCs w:val="24"/>
        </w:rPr>
      </w:pPr>
      <w:r w:rsidRPr="00A44FBE">
        <w:rPr>
          <w:rFonts w:ascii="Palatino Linotype" w:hAnsi="Palatino Linotype"/>
          <w:sz w:val="24"/>
          <w:szCs w:val="24"/>
        </w:rPr>
        <w:t xml:space="preserve">Dichas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298FC669" w14:textId="77777777" w:rsidR="001F2207" w:rsidRPr="0051062B" w:rsidRDefault="001F2207" w:rsidP="001F2207">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0BBB8077" w14:textId="77777777" w:rsidR="001F2207" w:rsidRPr="0051062B" w:rsidRDefault="001F2207" w:rsidP="001F2207">
      <w:pPr>
        <w:pStyle w:val="Citas"/>
        <w:rPr>
          <w:b/>
        </w:rPr>
      </w:pPr>
      <w:r w:rsidRPr="0051062B">
        <w:rPr>
          <w:b/>
        </w:rPr>
        <w:t xml:space="preserve">Artículo 181. … </w:t>
      </w:r>
    </w:p>
    <w:p w14:paraId="333C124C" w14:textId="77777777" w:rsidR="001F2207" w:rsidRDefault="001F2207" w:rsidP="001F2207">
      <w:pPr>
        <w:pStyle w:val="Citas"/>
        <w:rPr>
          <w:b/>
        </w:rPr>
      </w:pPr>
      <w:r w:rsidRPr="0051062B">
        <w:t xml:space="preserve">Durante el procedimiento deberá aplicarse la suplencia de la queja a favor del recurrente, sin cambiar los hechos expuestos, asegurándose de que las partes puedan </w:t>
      </w:r>
      <w:r w:rsidRPr="0051062B">
        <w:lastRenderedPageBreak/>
        <w:t xml:space="preserve">presentar, de manera oral o escrita, los argumentos que funden y motiven sus pretensiones.” </w:t>
      </w:r>
      <w:r w:rsidRPr="0051062B">
        <w:rPr>
          <w:b/>
        </w:rPr>
        <w:t>[Sic]</w:t>
      </w:r>
    </w:p>
    <w:p w14:paraId="2296C8E0" w14:textId="77777777" w:rsidR="001F2207" w:rsidRDefault="001F2207" w:rsidP="001F2207">
      <w:pPr>
        <w:spacing w:before="240" w:line="360" w:lineRule="auto"/>
        <w:jc w:val="both"/>
        <w:rPr>
          <w:rFonts w:ascii="Palatino Linotype" w:hAnsi="Palatino Linotype"/>
          <w:sz w:val="24"/>
          <w:szCs w:val="24"/>
        </w:rPr>
      </w:pPr>
    </w:p>
    <w:p w14:paraId="0DA4F5FF" w14:textId="77777777" w:rsidR="001F2207" w:rsidRDefault="001F2207" w:rsidP="001F2207">
      <w:pPr>
        <w:spacing w:before="240" w:line="360" w:lineRule="auto"/>
        <w:jc w:val="both"/>
        <w:rPr>
          <w:rFonts w:ascii="Palatino Linotype" w:hAnsi="Palatino Linotype"/>
          <w:sz w:val="24"/>
          <w:szCs w:val="24"/>
        </w:rPr>
      </w:pPr>
      <w:r>
        <w:rPr>
          <w:rFonts w:ascii="Palatino Linotype" w:hAnsi="Palatino Linotype"/>
          <w:sz w:val="24"/>
          <w:szCs w:val="24"/>
        </w:rPr>
        <w:t xml:space="preserve">Bajo estas líneas argumentativas, al retomar y delimitar los requerimientos formulados por el ahora </w:t>
      </w:r>
      <w:r w:rsidRPr="00B63864">
        <w:rPr>
          <w:rFonts w:ascii="Palatino Linotype" w:hAnsi="Palatino Linotype"/>
          <w:b/>
          <w:bCs/>
          <w:sz w:val="24"/>
          <w:szCs w:val="24"/>
        </w:rPr>
        <w:t xml:space="preserve">Recurrente, </w:t>
      </w:r>
      <w:r w:rsidRPr="00B63864">
        <w:rPr>
          <w:rFonts w:ascii="Palatino Linotype" w:hAnsi="Palatino Linotype"/>
          <w:sz w:val="24"/>
          <w:szCs w:val="24"/>
        </w:rPr>
        <w:t xml:space="preserve">de manera objetiva se precisa que versa en conocer, a través del </w:t>
      </w:r>
      <w:r w:rsidRPr="00B63864">
        <w:rPr>
          <w:rFonts w:ascii="Palatino Linotype" w:hAnsi="Palatino Linotype"/>
          <w:b/>
          <w:bCs/>
          <w:sz w:val="24"/>
          <w:szCs w:val="24"/>
        </w:rPr>
        <w:t xml:space="preserve">SAIMEX, </w:t>
      </w:r>
      <w:r w:rsidRPr="00B63864">
        <w:rPr>
          <w:rFonts w:ascii="Palatino Linotype" w:hAnsi="Palatino Linotype"/>
          <w:sz w:val="24"/>
          <w:szCs w:val="24"/>
        </w:rPr>
        <w:t>la sigui</w:t>
      </w:r>
      <w:r>
        <w:rPr>
          <w:rFonts w:ascii="Palatino Linotype" w:hAnsi="Palatino Linotype"/>
          <w:sz w:val="24"/>
          <w:szCs w:val="24"/>
        </w:rPr>
        <w:t xml:space="preserve">ente información: </w:t>
      </w:r>
    </w:p>
    <w:p w14:paraId="21598D66" w14:textId="7C0E5A66" w:rsidR="001F2207" w:rsidRDefault="001F2207" w:rsidP="001F2207">
      <w:pPr>
        <w:pStyle w:val="Sinespaciado"/>
        <w:numPr>
          <w:ilvl w:val="0"/>
          <w:numId w:val="24"/>
        </w:numPr>
        <w:spacing w:line="360" w:lineRule="auto"/>
        <w:jc w:val="both"/>
        <w:rPr>
          <w:rFonts w:ascii="Palatino Linotype" w:hAnsi="Palatino Linotype"/>
        </w:rPr>
      </w:pPr>
      <w:bookmarkStart w:id="1" w:name="_Hlk184753287"/>
      <w:r>
        <w:rPr>
          <w:rFonts w:ascii="Palatino Linotype" w:hAnsi="Palatino Linotype"/>
        </w:rPr>
        <w:t>El o los documentos donde consten el número de intoxicaciones ocasionadas por el consumo de hongos silvestres (</w:t>
      </w:r>
      <w:proofErr w:type="spellStart"/>
      <w:r>
        <w:rPr>
          <w:rFonts w:ascii="Palatino Linotype" w:hAnsi="Palatino Linotype"/>
        </w:rPr>
        <w:t>micetismos</w:t>
      </w:r>
      <w:proofErr w:type="spellEnd"/>
      <w:r>
        <w:rPr>
          <w:rFonts w:ascii="Palatino Linotype" w:hAnsi="Palatino Linotype"/>
        </w:rPr>
        <w:t xml:space="preserve">), por municipio o región, del periodo comprendido del uno de enero de dos mil catorce al catorce de noviembre de dos mil veinticuatro. </w:t>
      </w:r>
    </w:p>
    <w:bookmarkEnd w:id="1"/>
    <w:p w14:paraId="398B80BE" w14:textId="77777777" w:rsidR="005C218E" w:rsidRPr="001F2207" w:rsidRDefault="005C218E" w:rsidP="00075123">
      <w:pPr>
        <w:pStyle w:val="Prrafodelista"/>
        <w:autoSpaceDE w:val="0"/>
        <w:autoSpaceDN w:val="0"/>
        <w:adjustRightInd w:val="0"/>
        <w:spacing w:before="240" w:after="160" w:line="360" w:lineRule="auto"/>
        <w:ind w:left="0"/>
        <w:jc w:val="both"/>
        <w:rPr>
          <w:rFonts w:ascii="Palatino Linotype" w:hAnsi="Palatino Linotype" w:cs="Arial"/>
          <w:b/>
          <w:sz w:val="28"/>
          <w:lang w:val="es-MX"/>
        </w:rPr>
      </w:pPr>
    </w:p>
    <w:p w14:paraId="53FB5B89" w14:textId="77777777" w:rsidR="001F2207" w:rsidRPr="000424D7" w:rsidRDefault="001F2207" w:rsidP="001F2207">
      <w:pPr>
        <w:spacing w:after="0" w:line="360" w:lineRule="auto"/>
        <w:jc w:val="both"/>
        <w:rPr>
          <w:rFonts w:ascii="Palatino Linotype" w:hAnsi="Palatino Linotype" w:cs="Arial"/>
          <w:noProof/>
          <w:color w:val="000000"/>
          <w:sz w:val="24"/>
          <w:lang w:eastAsia="es-MX"/>
        </w:rPr>
      </w:pPr>
      <w:r w:rsidRPr="000424D7">
        <w:rPr>
          <w:rFonts w:ascii="Palatino Linotype" w:hAnsi="Palatino Linotype" w:cs="Arial"/>
          <w:sz w:val="24"/>
          <w:szCs w:val="24"/>
        </w:rPr>
        <w:t xml:space="preserve">Bajo </w:t>
      </w:r>
      <w:r w:rsidRPr="005C5F1C">
        <w:rPr>
          <w:rFonts w:ascii="Palatino Linotype" w:hAnsi="Palatino Linotype" w:cs="Arial"/>
          <w:sz w:val="24"/>
          <w:szCs w:val="24"/>
        </w:rPr>
        <w:t>este contexto, a efecto de identificar las unidades administrativas donde pudiera obrar la información se traen a colación</w:t>
      </w:r>
      <w:r w:rsidRPr="000424D7">
        <w:rPr>
          <w:rFonts w:ascii="Palatino Linotype" w:hAnsi="Palatino Linotype" w:cs="Arial"/>
          <w:sz w:val="24"/>
          <w:szCs w:val="24"/>
        </w:rPr>
        <w:t xml:space="preserve"> los </w:t>
      </w:r>
      <w:r w:rsidRPr="000424D7">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6CF37973" w14:textId="77777777" w:rsidR="001F2207" w:rsidRPr="000424D7" w:rsidRDefault="001F2207" w:rsidP="001F2207">
      <w:pPr>
        <w:tabs>
          <w:tab w:val="left" w:pos="709"/>
        </w:tabs>
        <w:spacing w:before="240" w:line="360" w:lineRule="auto"/>
        <w:ind w:left="851" w:right="851"/>
        <w:jc w:val="both"/>
        <w:rPr>
          <w:rFonts w:ascii="Palatino Linotype" w:hAnsi="Palatino Linotype"/>
          <w:i/>
        </w:rPr>
      </w:pPr>
      <w:r w:rsidRPr="000424D7">
        <w:rPr>
          <w:rFonts w:ascii="Palatino Linotype" w:hAnsi="Palatino Linotype"/>
          <w:i/>
        </w:rPr>
        <w:t>“Artículo 24. Para el cumplimiento de los objetivos de esta Ley, los sujetos obligados deberán cumplir con las siguientes obligaciones, según corresponda, de acuerdo a su naturaleza:</w:t>
      </w:r>
    </w:p>
    <w:p w14:paraId="53871315" w14:textId="77777777" w:rsidR="001F2207" w:rsidRPr="000424D7" w:rsidRDefault="001F2207" w:rsidP="001F2207">
      <w:pPr>
        <w:tabs>
          <w:tab w:val="left" w:pos="709"/>
        </w:tabs>
        <w:spacing w:before="240" w:line="360" w:lineRule="auto"/>
        <w:ind w:left="851" w:right="851"/>
        <w:jc w:val="both"/>
        <w:rPr>
          <w:rFonts w:ascii="Palatino Linotype" w:hAnsi="Palatino Linotype"/>
          <w:i/>
        </w:rPr>
      </w:pPr>
      <w:r w:rsidRPr="000424D7">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7FF3F274" w14:textId="77777777" w:rsidR="001F2207" w:rsidRPr="000424D7" w:rsidRDefault="001F2207" w:rsidP="001F2207">
      <w:pPr>
        <w:tabs>
          <w:tab w:val="left" w:pos="709"/>
        </w:tabs>
        <w:spacing w:before="240" w:line="360" w:lineRule="auto"/>
        <w:ind w:left="851" w:right="851"/>
        <w:jc w:val="both"/>
        <w:rPr>
          <w:rFonts w:ascii="Palatino Linotype" w:hAnsi="Palatino Linotype"/>
          <w:b/>
          <w:i/>
        </w:rPr>
      </w:pPr>
      <w:r w:rsidRPr="000424D7">
        <w:rPr>
          <w:rFonts w:ascii="Palatino Linotype" w:hAnsi="Palatino Linotype"/>
          <w:b/>
          <w:i/>
        </w:rPr>
        <w:lastRenderedPageBreak/>
        <w:t>(…)</w:t>
      </w:r>
    </w:p>
    <w:p w14:paraId="4CA94693" w14:textId="77777777" w:rsidR="001F2207" w:rsidRPr="000424D7" w:rsidRDefault="001F2207" w:rsidP="001F2207">
      <w:pPr>
        <w:tabs>
          <w:tab w:val="left" w:pos="709"/>
        </w:tabs>
        <w:spacing w:before="240" w:line="360" w:lineRule="auto"/>
        <w:ind w:left="851" w:right="851"/>
        <w:jc w:val="both"/>
        <w:rPr>
          <w:rFonts w:ascii="Palatino Linotype" w:hAnsi="Palatino Linotype"/>
          <w:i/>
        </w:rPr>
      </w:pPr>
      <w:r w:rsidRPr="000424D7">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50547C0" w14:textId="77777777" w:rsidR="001F2207" w:rsidRPr="000424D7" w:rsidRDefault="001F2207" w:rsidP="001F2207">
      <w:pPr>
        <w:pStyle w:val="INFOEM"/>
      </w:pPr>
      <w:r w:rsidRPr="000424D7">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069E5C22" w14:textId="77777777" w:rsidR="001F2207" w:rsidRPr="000424D7" w:rsidRDefault="001F2207" w:rsidP="001F2207">
      <w:pPr>
        <w:pStyle w:val="INFOEM"/>
        <w:rPr>
          <w:b/>
        </w:rPr>
      </w:pPr>
      <w:r w:rsidRPr="000424D7">
        <w:t xml:space="preserve"> (…)” </w:t>
      </w:r>
      <w:r w:rsidRPr="000424D7">
        <w:rPr>
          <w:b/>
        </w:rPr>
        <w:t>[Sic]</w:t>
      </w:r>
    </w:p>
    <w:p w14:paraId="484A2F9C" w14:textId="77777777" w:rsidR="005C218E" w:rsidRDefault="005C218E" w:rsidP="00075123">
      <w:pPr>
        <w:pStyle w:val="Prrafodelista"/>
        <w:autoSpaceDE w:val="0"/>
        <w:autoSpaceDN w:val="0"/>
        <w:adjustRightInd w:val="0"/>
        <w:spacing w:before="240" w:after="160" w:line="360" w:lineRule="auto"/>
        <w:ind w:left="0"/>
        <w:jc w:val="both"/>
        <w:rPr>
          <w:rFonts w:ascii="Palatino Linotype" w:hAnsi="Palatino Linotype" w:cs="Arial"/>
          <w:b/>
          <w:sz w:val="28"/>
        </w:rPr>
      </w:pPr>
    </w:p>
    <w:p w14:paraId="4090462D" w14:textId="427C894F" w:rsidR="001F2207" w:rsidRDefault="001F2207" w:rsidP="00075123">
      <w:pPr>
        <w:pStyle w:val="Prrafodelista"/>
        <w:autoSpaceDE w:val="0"/>
        <w:autoSpaceDN w:val="0"/>
        <w:adjustRightInd w:val="0"/>
        <w:spacing w:before="240" w:after="160" w:line="360" w:lineRule="auto"/>
        <w:ind w:left="0"/>
        <w:jc w:val="both"/>
        <w:rPr>
          <w:rFonts w:ascii="Palatino Linotype" w:hAnsi="Palatino Linotype" w:cs="Arial"/>
          <w:bCs/>
        </w:rPr>
      </w:pPr>
      <w:r>
        <w:rPr>
          <w:rFonts w:ascii="Palatino Linotype" w:hAnsi="Palatino Linotype" w:cs="Arial"/>
          <w:bCs/>
        </w:rPr>
        <w:t xml:space="preserve">Sirven de sustento </w:t>
      </w:r>
      <w:r w:rsidRPr="00D04897">
        <w:rPr>
          <w:rFonts w:ascii="Palatino Linotype" w:hAnsi="Palatino Linotype" w:cs="Arial"/>
          <w:bCs/>
        </w:rPr>
        <w:t>las siguientes imágenes ilustrativas:</w:t>
      </w:r>
    </w:p>
    <w:p w14:paraId="7A7651AC" w14:textId="484677F1" w:rsidR="001F2207" w:rsidRDefault="001F2207" w:rsidP="00075123">
      <w:pPr>
        <w:pStyle w:val="Prrafodelista"/>
        <w:autoSpaceDE w:val="0"/>
        <w:autoSpaceDN w:val="0"/>
        <w:adjustRightInd w:val="0"/>
        <w:spacing w:before="240" w:after="160" w:line="360" w:lineRule="auto"/>
        <w:ind w:left="0"/>
        <w:jc w:val="both"/>
        <w:rPr>
          <w:rFonts w:ascii="Palatino Linotype" w:hAnsi="Palatino Linotype" w:cs="Arial"/>
          <w:bCs/>
        </w:rPr>
      </w:pPr>
      <w:r>
        <w:rPr>
          <w:rFonts w:ascii="Palatino Linotype" w:hAnsi="Palatino Linotype" w:cs="Arial"/>
          <w:bCs/>
          <w:noProof/>
          <w:lang w:val="es-MX" w:eastAsia="es-MX"/>
        </w:rPr>
        <mc:AlternateContent>
          <mc:Choice Requires="wps">
            <w:drawing>
              <wp:anchor distT="0" distB="0" distL="114300" distR="114300" simplePos="0" relativeHeight="251659264" behindDoc="0" locked="0" layoutInCell="1" allowOverlap="1" wp14:anchorId="5274444C" wp14:editId="4020BF87">
                <wp:simplePos x="0" y="0"/>
                <wp:positionH relativeFrom="column">
                  <wp:posOffset>-142875</wp:posOffset>
                </wp:positionH>
                <wp:positionV relativeFrom="paragraph">
                  <wp:posOffset>127000</wp:posOffset>
                </wp:positionV>
                <wp:extent cx="5974080" cy="2674620"/>
                <wp:effectExtent l="0" t="0" r="26670" b="30480"/>
                <wp:wrapNone/>
                <wp:docPr id="1105581993" name="Straight Connector 1"/>
                <wp:cNvGraphicFramePr/>
                <a:graphic xmlns:a="http://schemas.openxmlformats.org/drawingml/2006/main">
                  <a:graphicData uri="http://schemas.microsoft.com/office/word/2010/wordprocessingShape">
                    <wps:wsp>
                      <wps:cNvCnPr/>
                      <wps:spPr>
                        <a:xfrm>
                          <a:off x="0" y="0"/>
                          <a:ext cx="5974080" cy="2674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4F4E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5pt,10pt" to="459.15pt,2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" strokecolor="#5b9bd5 [3204]" strokeweight=".5pt">
                <v:stroke joinstyle="miter"/>
              </v:line>
            </w:pict>
          </mc:Fallback>
        </mc:AlternateContent>
      </w:r>
    </w:p>
    <w:p w14:paraId="25FDFF2C" w14:textId="77777777" w:rsidR="001F2207" w:rsidRDefault="001F2207" w:rsidP="00075123">
      <w:pPr>
        <w:pStyle w:val="Prrafodelista"/>
        <w:autoSpaceDE w:val="0"/>
        <w:autoSpaceDN w:val="0"/>
        <w:adjustRightInd w:val="0"/>
        <w:spacing w:before="240" w:after="160" w:line="360" w:lineRule="auto"/>
        <w:ind w:left="0"/>
        <w:jc w:val="both"/>
        <w:rPr>
          <w:rFonts w:ascii="Palatino Linotype" w:hAnsi="Palatino Linotype" w:cs="Arial"/>
          <w:bCs/>
        </w:rPr>
      </w:pPr>
    </w:p>
    <w:p w14:paraId="6A6B8598" w14:textId="77777777" w:rsidR="001F2207" w:rsidRDefault="001F2207" w:rsidP="00075123">
      <w:pPr>
        <w:pStyle w:val="Prrafodelista"/>
        <w:autoSpaceDE w:val="0"/>
        <w:autoSpaceDN w:val="0"/>
        <w:adjustRightInd w:val="0"/>
        <w:spacing w:before="240" w:after="160" w:line="360" w:lineRule="auto"/>
        <w:ind w:left="0"/>
        <w:jc w:val="both"/>
        <w:rPr>
          <w:rFonts w:ascii="Palatino Linotype" w:hAnsi="Palatino Linotype" w:cs="Arial"/>
          <w:bCs/>
        </w:rPr>
      </w:pPr>
    </w:p>
    <w:p w14:paraId="70C71E77" w14:textId="77777777" w:rsidR="001F2207" w:rsidRDefault="001F2207" w:rsidP="00075123">
      <w:pPr>
        <w:pStyle w:val="Prrafodelista"/>
        <w:autoSpaceDE w:val="0"/>
        <w:autoSpaceDN w:val="0"/>
        <w:adjustRightInd w:val="0"/>
        <w:spacing w:before="240" w:after="160" w:line="360" w:lineRule="auto"/>
        <w:ind w:left="0"/>
        <w:jc w:val="both"/>
        <w:rPr>
          <w:rFonts w:ascii="Palatino Linotype" w:hAnsi="Palatino Linotype" w:cs="Arial"/>
          <w:bCs/>
        </w:rPr>
      </w:pPr>
    </w:p>
    <w:p w14:paraId="76299D23" w14:textId="77777777" w:rsidR="001F2207" w:rsidRPr="001F2207" w:rsidRDefault="001F2207" w:rsidP="00075123">
      <w:pPr>
        <w:pStyle w:val="Prrafodelista"/>
        <w:autoSpaceDE w:val="0"/>
        <w:autoSpaceDN w:val="0"/>
        <w:adjustRightInd w:val="0"/>
        <w:spacing w:before="240" w:after="160" w:line="360" w:lineRule="auto"/>
        <w:ind w:left="0"/>
        <w:jc w:val="both"/>
        <w:rPr>
          <w:rFonts w:ascii="Palatino Linotype" w:hAnsi="Palatino Linotype" w:cs="Arial"/>
          <w:bCs/>
        </w:rPr>
      </w:pPr>
    </w:p>
    <w:p w14:paraId="721C1223" w14:textId="77777777" w:rsidR="005C218E" w:rsidRDefault="005C218E" w:rsidP="00075123">
      <w:pPr>
        <w:pStyle w:val="Prrafodelista"/>
        <w:autoSpaceDE w:val="0"/>
        <w:autoSpaceDN w:val="0"/>
        <w:adjustRightInd w:val="0"/>
        <w:spacing w:before="240" w:after="160" w:line="360" w:lineRule="auto"/>
        <w:ind w:left="0"/>
        <w:jc w:val="both"/>
        <w:rPr>
          <w:rFonts w:ascii="Palatino Linotype" w:hAnsi="Palatino Linotype" w:cs="Arial"/>
          <w:b/>
          <w:sz w:val="28"/>
        </w:rPr>
      </w:pPr>
    </w:p>
    <w:p w14:paraId="5833B3CC" w14:textId="6EAE7B8A" w:rsidR="00D04897" w:rsidRDefault="00D04897" w:rsidP="00075123">
      <w:pPr>
        <w:pStyle w:val="Prrafodelista"/>
        <w:autoSpaceDE w:val="0"/>
        <w:autoSpaceDN w:val="0"/>
        <w:adjustRightInd w:val="0"/>
        <w:spacing w:before="240" w:after="160" w:line="360" w:lineRule="auto"/>
        <w:ind w:left="0"/>
        <w:jc w:val="both"/>
        <w:rPr>
          <w:rFonts w:ascii="Palatino Linotype" w:hAnsi="Palatino Linotype" w:cs="Arial"/>
          <w:b/>
          <w:sz w:val="28"/>
        </w:rPr>
      </w:pPr>
      <w:r>
        <w:rPr>
          <w:rFonts w:ascii="Palatino Linotype" w:hAnsi="Palatino Linotype" w:cs="Arial"/>
          <w:b/>
          <w:noProof/>
          <w:sz w:val="28"/>
          <w:lang w:val="es-MX" w:eastAsia="es-MX"/>
        </w:rPr>
        <w:lastRenderedPageBreak/>
        <w:drawing>
          <wp:anchor distT="0" distB="0" distL="114300" distR="114300" simplePos="0" relativeHeight="251661312" behindDoc="0" locked="0" layoutInCell="1" allowOverlap="1" wp14:anchorId="7E9F55A0" wp14:editId="36C654F2">
            <wp:simplePos x="0" y="0"/>
            <wp:positionH relativeFrom="page">
              <wp:align>center</wp:align>
            </wp:positionH>
            <wp:positionV relativeFrom="paragraph">
              <wp:posOffset>3843136</wp:posOffset>
            </wp:positionV>
            <wp:extent cx="5756275" cy="3451225"/>
            <wp:effectExtent l="19050" t="19050" r="15875" b="15875"/>
            <wp:wrapThrough wrapText="bothSides">
              <wp:wrapPolygon edited="0">
                <wp:start x="-71" y="-119"/>
                <wp:lineTo x="-71" y="21580"/>
                <wp:lineTo x="21588" y="21580"/>
                <wp:lineTo x="21588" y="-119"/>
                <wp:lineTo x="-71" y="-119"/>
              </wp:wrapPolygon>
            </wp:wrapThrough>
            <wp:docPr id="9554026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275" cy="34512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Palatino Linotype" w:hAnsi="Palatino Linotype" w:cs="Arial"/>
          <w:b/>
          <w:noProof/>
          <w:sz w:val="28"/>
          <w:lang w:val="es-MX" w:eastAsia="es-MX"/>
        </w:rPr>
        <w:drawing>
          <wp:anchor distT="0" distB="0" distL="114300" distR="114300" simplePos="0" relativeHeight="251660288" behindDoc="0" locked="0" layoutInCell="1" allowOverlap="1" wp14:anchorId="6EDEBE8F" wp14:editId="41997644">
            <wp:simplePos x="0" y="0"/>
            <wp:positionH relativeFrom="page">
              <wp:align>center</wp:align>
            </wp:positionH>
            <wp:positionV relativeFrom="paragraph">
              <wp:posOffset>19339</wp:posOffset>
            </wp:positionV>
            <wp:extent cx="5756275" cy="3465195"/>
            <wp:effectExtent l="19050" t="19050" r="15875" b="20955"/>
            <wp:wrapThrough wrapText="bothSides">
              <wp:wrapPolygon edited="0">
                <wp:start x="-71" y="-119"/>
                <wp:lineTo x="-71" y="21612"/>
                <wp:lineTo x="21588" y="21612"/>
                <wp:lineTo x="21588" y="-119"/>
                <wp:lineTo x="-71" y="-119"/>
              </wp:wrapPolygon>
            </wp:wrapThrough>
            <wp:docPr id="1452517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275" cy="34651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9DBC8C6" w14:textId="691F9657" w:rsidR="00D04897" w:rsidRDefault="00D04897" w:rsidP="00D04897">
      <w:pPr>
        <w:spacing w:before="240" w:line="360" w:lineRule="auto"/>
        <w:jc w:val="both"/>
        <w:rPr>
          <w:rFonts w:ascii="Palatino Linotype" w:hAnsi="Palatino Linotype"/>
          <w:sz w:val="24"/>
          <w:szCs w:val="24"/>
        </w:rPr>
      </w:pPr>
      <w:r w:rsidRPr="00B86B44">
        <w:rPr>
          <w:rFonts w:ascii="Palatino Linotype" w:hAnsi="Palatino Linotype"/>
          <w:sz w:val="24"/>
          <w:szCs w:val="24"/>
        </w:rPr>
        <w:lastRenderedPageBreak/>
        <w:t xml:space="preserve">De lo expuesto con anterioridad, se desprende que </w:t>
      </w:r>
      <w:r w:rsidRPr="00B86B44">
        <w:rPr>
          <w:rFonts w:ascii="Palatino Linotype" w:hAnsi="Palatino Linotype"/>
          <w:b/>
          <w:sz w:val="24"/>
          <w:szCs w:val="24"/>
        </w:rPr>
        <w:t xml:space="preserve">El Sujeto Obligado </w:t>
      </w:r>
      <w:r w:rsidRPr="00B86B44">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w:t>
      </w:r>
      <w:r>
        <w:rPr>
          <w:rFonts w:ascii="Palatino Linotype" w:hAnsi="Palatino Linotype"/>
          <w:sz w:val="24"/>
          <w:szCs w:val="24"/>
        </w:rPr>
        <w:t xml:space="preserve">el Departamento de Estadística como unidad administrativa jerárquicamente subordinada a la Unidad de Información, Planeación, Programación y Evaluación. </w:t>
      </w:r>
    </w:p>
    <w:p w14:paraId="0182AA28" w14:textId="484794D2" w:rsidR="00D04897" w:rsidRDefault="00D04897" w:rsidP="00D04897">
      <w:pPr>
        <w:spacing w:before="240" w:line="360" w:lineRule="auto"/>
        <w:jc w:val="both"/>
        <w:rPr>
          <w:rFonts w:ascii="Palatino Linotype" w:hAnsi="Palatino Linotype"/>
          <w:iCs/>
          <w:sz w:val="24"/>
          <w:szCs w:val="24"/>
        </w:rPr>
      </w:pPr>
      <w:r w:rsidRPr="00F551DE">
        <w:rPr>
          <w:rFonts w:ascii="Palatino Linotype" w:hAnsi="Palatino Linotype"/>
          <w:iCs/>
          <w:sz w:val="24"/>
          <w:szCs w:val="24"/>
        </w:rPr>
        <w:t xml:space="preserve">De </w:t>
      </w:r>
      <w:r w:rsidRPr="00D04897">
        <w:rPr>
          <w:rFonts w:ascii="Palatino Linotype" w:hAnsi="Palatino Linotype"/>
          <w:iCs/>
          <w:sz w:val="24"/>
          <w:szCs w:val="24"/>
        </w:rPr>
        <w:t>manera complementaria, a efecto de ilustrar la esfera competencial de la unidad administrativa en cita, resulta oportuno traer a colación el artículo 13 de la Ley General de Salud, así como el apartado 217810505</w:t>
      </w:r>
      <w:r>
        <w:rPr>
          <w:rFonts w:ascii="Palatino Linotype" w:hAnsi="Palatino Linotype"/>
          <w:iCs/>
          <w:sz w:val="24"/>
          <w:szCs w:val="24"/>
        </w:rPr>
        <w:t xml:space="preserve"> “Departamento de Estadística” del Manual General de Organización del Instituto de Salud del Estado de México, porciones normativas que disponen a la literalidad lo siguiente: </w:t>
      </w:r>
    </w:p>
    <w:p w14:paraId="032110F4" w14:textId="64D16EEB" w:rsidR="00D04897" w:rsidRPr="00D04897" w:rsidRDefault="00D04897" w:rsidP="00D04897">
      <w:pPr>
        <w:pStyle w:val="Citas"/>
        <w:jc w:val="center"/>
        <w:rPr>
          <w:b/>
          <w:bCs/>
          <w:i w:val="0"/>
          <w:iCs/>
          <w:sz w:val="24"/>
          <w:szCs w:val="24"/>
        </w:rPr>
      </w:pPr>
      <w:r w:rsidRPr="00D04897">
        <w:rPr>
          <w:b/>
          <w:bCs/>
          <w:i w:val="0"/>
          <w:iCs/>
          <w:sz w:val="24"/>
          <w:szCs w:val="24"/>
        </w:rPr>
        <w:t>LEY GENERAL DE SALUD</w:t>
      </w:r>
    </w:p>
    <w:p w14:paraId="71DE775C" w14:textId="604BA936" w:rsidR="00D04897" w:rsidRDefault="00D04897" w:rsidP="00D04897">
      <w:pPr>
        <w:pStyle w:val="Citas"/>
      </w:pPr>
      <w:r>
        <w:t>“</w:t>
      </w:r>
      <w:r w:rsidRPr="00D04897">
        <w:t>Artículo 13. La competencia entre la Federación y las entidades federativas en materia de salubridad general quedará distribuida conforme a lo siguiente:</w:t>
      </w:r>
    </w:p>
    <w:p w14:paraId="553C66F8" w14:textId="7E897B27" w:rsidR="00D04897" w:rsidRDefault="00D04897" w:rsidP="00D04897">
      <w:pPr>
        <w:pStyle w:val="Citas"/>
      </w:pPr>
      <w:r>
        <w:t>(…)</w:t>
      </w:r>
    </w:p>
    <w:p w14:paraId="5B8A9BD8" w14:textId="48E2E17E" w:rsidR="00D04897" w:rsidRDefault="00D04897" w:rsidP="00D04897">
      <w:pPr>
        <w:pStyle w:val="Citas"/>
      </w:pPr>
      <w:r w:rsidRPr="00D04897">
        <w:t>B. Corresponde a los gobiernos de las entidades federativas, en materia de salubridad general, como autoridades locales y dentro de sus respectivas jurisdicciones territoriales:</w:t>
      </w:r>
    </w:p>
    <w:p w14:paraId="660567E2" w14:textId="04F308E2" w:rsidR="00D04897" w:rsidRDefault="00D04897" w:rsidP="00D04897">
      <w:pPr>
        <w:pStyle w:val="Citas"/>
      </w:pPr>
      <w:r>
        <w:t>(…)</w:t>
      </w:r>
    </w:p>
    <w:p w14:paraId="296A35AD" w14:textId="7D4EEE4D" w:rsidR="00D04897" w:rsidRPr="00D04897" w:rsidRDefault="00D04897" w:rsidP="00D04897">
      <w:pPr>
        <w:pStyle w:val="Citas"/>
        <w:rPr>
          <w:b/>
          <w:bCs/>
          <w:u w:val="single"/>
        </w:rPr>
      </w:pPr>
      <w:r w:rsidRPr="00D04897">
        <w:rPr>
          <w:b/>
          <w:bCs/>
          <w:u w:val="single"/>
        </w:rPr>
        <w:t>V. Elaborar información estadística local y proporcionarla a las autoridades federales competentes;</w:t>
      </w:r>
    </w:p>
    <w:p w14:paraId="2AA484F9" w14:textId="5BB342A1" w:rsidR="00D04897" w:rsidRPr="00D04897" w:rsidRDefault="00D04897" w:rsidP="00D04897">
      <w:pPr>
        <w:pStyle w:val="Citas"/>
        <w:rPr>
          <w:b/>
          <w:bCs/>
        </w:rPr>
      </w:pPr>
      <w:r>
        <w:lastRenderedPageBreak/>
        <w:t xml:space="preserve">(…)” </w:t>
      </w:r>
      <w:r>
        <w:rPr>
          <w:b/>
          <w:bCs/>
        </w:rPr>
        <w:t>(Sic)</w:t>
      </w:r>
    </w:p>
    <w:p w14:paraId="1ADD08AD" w14:textId="77777777" w:rsidR="00D04897" w:rsidRDefault="00D04897" w:rsidP="00D04897">
      <w:pPr>
        <w:spacing w:before="240" w:line="360" w:lineRule="auto"/>
        <w:jc w:val="both"/>
        <w:rPr>
          <w:rFonts w:ascii="Palatino Linotype" w:hAnsi="Palatino Linotype"/>
          <w:iCs/>
          <w:sz w:val="24"/>
          <w:szCs w:val="24"/>
        </w:rPr>
      </w:pPr>
    </w:p>
    <w:p w14:paraId="76625B22" w14:textId="4F54197F" w:rsidR="00D04897" w:rsidRPr="00D04897" w:rsidRDefault="00D04897" w:rsidP="00D04897">
      <w:pPr>
        <w:pStyle w:val="Citas"/>
        <w:rPr>
          <w:b/>
          <w:bCs/>
          <w:i w:val="0"/>
          <w:iCs/>
          <w:sz w:val="24"/>
          <w:szCs w:val="24"/>
        </w:rPr>
      </w:pPr>
      <w:r w:rsidRPr="00D04897">
        <w:rPr>
          <w:b/>
          <w:bCs/>
          <w:i w:val="0"/>
          <w:iCs/>
          <w:sz w:val="24"/>
          <w:szCs w:val="24"/>
        </w:rPr>
        <w:t>MANUAL GENERAL DE ORGANIZACIÓN DEL INSTITUTO DE SALUD DEL ESTADO DE MÉXICO</w:t>
      </w:r>
    </w:p>
    <w:p w14:paraId="2BD73E44" w14:textId="77777777" w:rsidR="00D04897" w:rsidRDefault="00D04897" w:rsidP="00D04897">
      <w:pPr>
        <w:pStyle w:val="Citas"/>
      </w:pPr>
      <w:r w:rsidRPr="00D04897">
        <w:t xml:space="preserve">217810505 DEPARTAMENTO DE ESTADÍSTICA </w:t>
      </w:r>
    </w:p>
    <w:p w14:paraId="43292C15" w14:textId="77777777" w:rsidR="00D04897" w:rsidRDefault="00D04897" w:rsidP="00D04897">
      <w:pPr>
        <w:pStyle w:val="Citas"/>
      </w:pPr>
      <w:r w:rsidRPr="00D04897">
        <w:t>OBJETIVO: Implantar y o arar el Sistema de Información Estadística en el Instituto, así como emitir y difundir los lineamientos, estrategias y métodos para recabar, registrar, clasi</w:t>
      </w:r>
      <w:r>
        <w:t>fi</w:t>
      </w:r>
      <w:r w:rsidRPr="00D04897">
        <w:t xml:space="preserve">car, procesar y analizar la información que generen las unidades y que sirva de base para emitir los informes que sustenten la adecuada toma de </w:t>
      </w:r>
      <w:r>
        <w:t>decisiones.</w:t>
      </w:r>
    </w:p>
    <w:p w14:paraId="4539DC6E" w14:textId="77777777" w:rsidR="00D04897" w:rsidRDefault="00D04897" w:rsidP="00D04897">
      <w:pPr>
        <w:pStyle w:val="Citas"/>
      </w:pPr>
      <w:r w:rsidRPr="00D04897">
        <w:t>FUNCION</w:t>
      </w:r>
      <w:r>
        <w:t>E</w:t>
      </w:r>
      <w:r w:rsidRPr="00D04897">
        <w:t xml:space="preserve">S: </w:t>
      </w:r>
    </w:p>
    <w:p w14:paraId="03A77A08" w14:textId="77777777" w:rsidR="00D04897" w:rsidRDefault="00D04897" w:rsidP="00D04897">
      <w:pPr>
        <w:pStyle w:val="Citas"/>
      </w:pPr>
      <w:r w:rsidRPr="00D04897">
        <w:t xml:space="preserve">Definir implantar, de conformidad con los lineamientos establecidos en la materia, los sistemas de información estadística del Instituto, así como difundir </w:t>
      </w:r>
      <w:proofErr w:type="spellStart"/>
      <w:r w:rsidRPr="00D04897">
        <w:t>as</w:t>
      </w:r>
      <w:proofErr w:type="spellEnd"/>
      <w:r w:rsidRPr="00D04897">
        <w:t xml:space="preserve"> normas y actualización de la información estadística en salud y vigilar su cumplimiento. </w:t>
      </w:r>
    </w:p>
    <w:p w14:paraId="3D52AE30" w14:textId="77777777" w:rsidR="00D04897" w:rsidRDefault="00D04897" w:rsidP="00D04897">
      <w:pPr>
        <w:pStyle w:val="Citas"/>
      </w:pPr>
      <w:r w:rsidRPr="00D04897">
        <w:t xml:space="preserve">Emitir y difundir en las diversas áreas del Instituto, las políticas, métodos y estrategias en materia de estadística. </w:t>
      </w:r>
    </w:p>
    <w:p w14:paraId="0D417D12" w14:textId="77777777" w:rsidR="00D04897" w:rsidRDefault="00D04897" w:rsidP="00D04897">
      <w:pPr>
        <w:pStyle w:val="Citas"/>
      </w:pPr>
      <w:r w:rsidRPr="00D04897">
        <w:t xml:space="preserve"> Captar, reducir, integrar y presentar la información estadística necesaria para el proceso de planeación, programación, presupuestación y control del sist</w:t>
      </w:r>
      <w:r>
        <w:t>em</w:t>
      </w:r>
      <w:r w:rsidRPr="00D04897">
        <w:t xml:space="preserve">a de información en salud para población abierta, al interior del Instituto y demás instituciones usuarias. </w:t>
      </w:r>
    </w:p>
    <w:p w14:paraId="7FD15D33" w14:textId="77777777" w:rsidR="00D04897" w:rsidRDefault="00D04897" w:rsidP="00D04897">
      <w:pPr>
        <w:pStyle w:val="Citas"/>
      </w:pPr>
      <w:r w:rsidRPr="00D04897">
        <w:lastRenderedPageBreak/>
        <w:t>Supervi</w:t>
      </w:r>
      <w:r>
        <w:t>sa</w:t>
      </w:r>
      <w:r w:rsidRPr="00D04897">
        <w:t xml:space="preserve">r el registro, proceso y flujo de los datos relacionados con los daños a la salud, elaborando los informes mensuales de morbilidad de primer </w:t>
      </w:r>
      <w:r>
        <w:t>n</w:t>
      </w:r>
      <w:r w:rsidRPr="00D04897">
        <w:t xml:space="preserve">ivel, de egresos hospitalarios, urgencias hospitalarias y de consulta externa hospitalaria. </w:t>
      </w:r>
    </w:p>
    <w:p w14:paraId="38706E52" w14:textId="77777777" w:rsidR="00D04897" w:rsidRDefault="00D04897" w:rsidP="00D04897">
      <w:pPr>
        <w:pStyle w:val="Citas"/>
      </w:pPr>
      <w:r w:rsidRPr="00D04897">
        <w:t>Coordi</w:t>
      </w:r>
      <w:r>
        <w:t>n</w:t>
      </w:r>
      <w:r w:rsidRPr="00D04897">
        <w:t xml:space="preserve">ar el grupo operativo del Comité Estatal de Información Estadística Sectorial. </w:t>
      </w:r>
    </w:p>
    <w:p w14:paraId="608C76B3" w14:textId="77777777" w:rsidR="00D04897" w:rsidRDefault="00D04897" w:rsidP="00D04897">
      <w:pPr>
        <w:pStyle w:val="Citas"/>
      </w:pPr>
      <w:r w:rsidRPr="00D04897">
        <w:t>Promo</w:t>
      </w:r>
      <w:r>
        <w:t>ve</w:t>
      </w:r>
      <w:r w:rsidRPr="00D04897">
        <w:t xml:space="preserve">r y orientar el desarrollo de una base de datos de información estadística en aspectos sobresalientes en materia de salud, para conocer de manera </w:t>
      </w:r>
      <w:r>
        <w:t>p</w:t>
      </w:r>
      <w:r w:rsidRPr="00D04897">
        <w:t xml:space="preserve">reliminar las estadísticas que al respecto se generen. </w:t>
      </w:r>
    </w:p>
    <w:p w14:paraId="27C9C670" w14:textId="77777777" w:rsidR="00D04897" w:rsidRDefault="00D04897" w:rsidP="00D04897">
      <w:pPr>
        <w:pStyle w:val="Citas"/>
      </w:pPr>
      <w:r w:rsidRPr="00D04897">
        <w:t xml:space="preserve"> Integra</w:t>
      </w:r>
      <w:r>
        <w:t>r</w:t>
      </w:r>
      <w:r w:rsidRPr="00D04897">
        <w:t xml:space="preserve"> y presentar la información estadística necesaria para el proceso de planeación del organismo. </w:t>
      </w:r>
    </w:p>
    <w:p w14:paraId="150413BC" w14:textId="77777777" w:rsidR="00D04897" w:rsidRDefault="00D04897" w:rsidP="00D04897">
      <w:pPr>
        <w:pStyle w:val="Citas"/>
      </w:pPr>
      <w:r w:rsidRPr="00D04897">
        <w:t xml:space="preserve"> Asesora</w:t>
      </w:r>
      <w:r>
        <w:t>r</w:t>
      </w:r>
      <w:r w:rsidRPr="00D04897">
        <w:t xml:space="preserve"> y apoyar la integración de los subsistemas de estadística del Instituto, así como recabar la información en salud para población abierta.</w:t>
      </w:r>
    </w:p>
    <w:p w14:paraId="00FD79CC" w14:textId="77777777" w:rsidR="00D04897" w:rsidRDefault="00D04897" w:rsidP="00D04897">
      <w:pPr>
        <w:pStyle w:val="Citas"/>
      </w:pPr>
      <w:r w:rsidRPr="00D04897">
        <w:t xml:space="preserve"> Coordi</w:t>
      </w:r>
      <w:r>
        <w:t>n</w:t>
      </w:r>
      <w:r w:rsidRPr="00D04897">
        <w:t>ar y supervisar el registro, proceso y flujo de información del Sistema Estatal de Información en Salud para Población Abierta, a efecto de elabora el informe mensual de los servicios proporcionados por el primero, segundo y tercer nivel, atención primaria a la salud, regulación sanitari</w:t>
      </w:r>
      <w:r>
        <w:t>a</w:t>
      </w:r>
      <w:r w:rsidRPr="00D04897">
        <w:t xml:space="preserve"> y de las actividades realizadas fuera de las unidades médicas. </w:t>
      </w:r>
    </w:p>
    <w:p w14:paraId="1655980A" w14:textId="77777777" w:rsidR="00D04897" w:rsidRDefault="00D04897" w:rsidP="00D04897">
      <w:pPr>
        <w:pStyle w:val="Citas"/>
      </w:pPr>
      <w:r w:rsidRPr="00D04897">
        <w:t xml:space="preserve"> </w:t>
      </w:r>
      <w:r>
        <w:t>Capturar</w:t>
      </w:r>
      <w:r w:rsidRPr="00D04897">
        <w:t xml:space="preserve"> y procesar los datos sobre aspectos sobresalientes en materia de salud, para conocer de manera preliminar las estadísticas que al respect</w:t>
      </w:r>
      <w:r>
        <w:t>o</w:t>
      </w:r>
      <w:r w:rsidRPr="00D04897">
        <w:t xml:space="preserve"> se generen. </w:t>
      </w:r>
    </w:p>
    <w:p w14:paraId="77BFC94D" w14:textId="77777777" w:rsidR="00D04897" w:rsidRDefault="00D04897" w:rsidP="00D04897">
      <w:pPr>
        <w:pStyle w:val="Citas"/>
      </w:pPr>
      <w:r w:rsidRPr="00D04897">
        <w:t xml:space="preserve"> Revisar, vigilar y dar seguimiento al registro, procesamiento y flujo de los datos del Registro Nacional de Infraestructura para la Salud y reportarlo a las auto</w:t>
      </w:r>
      <w:r>
        <w:t>r</w:t>
      </w:r>
      <w:r w:rsidRPr="00D04897">
        <w:t xml:space="preserve">idades competentes para la toma de decisiones. </w:t>
      </w:r>
    </w:p>
    <w:p w14:paraId="6787381D" w14:textId="77777777" w:rsidR="00D04897" w:rsidRPr="00715F5E" w:rsidRDefault="00D04897" w:rsidP="00D04897">
      <w:pPr>
        <w:pStyle w:val="Citas"/>
        <w:rPr>
          <w:b/>
          <w:bCs/>
          <w:u w:val="single"/>
        </w:rPr>
      </w:pPr>
      <w:r w:rsidRPr="00715F5E">
        <w:rPr>
          <w:b/>
          <w:bCs/>
          <w:u w:val="single"/>
        </w:rPr>
        <w:lastRenderedPageBreak/>
        <w:t xml:space="preserve">Supervisar la recopilación de la información del Sistema Único de Información en Salud de las dependencias que integran el sector salud en la entidad </w:t>
      </w:r>
    </w:p>
    <w:p w14:paraId="32D5DD7B" w14:textId="77777777" w:rsidR="00D04897" w:rsidRPr="00715F5E" w:rsidRDefault="00D04897" w:rsidP="00D04897">
      <w:pPr>
        <w:pStyle w:val="Citas"/>
        <w:rPr>
          <w:b/>
          <w:bCs/>
          <w:u w:val="single"/>
        </w:rPr>
      </w:pPr>
      <w:r w:rsidRPr="00715F5E">
        <w:rPr>
          <w:b/>
          <w:bCs/>
          <w:u w:val="single"/>
        </w:rPr>
        <w:t xml:space="preserve">Promover y orientar la investigación para el desarrollo de la base de información estadística en materia de salud. </w:t>
      </w:r>
    </w:p>
    <w:p w14:paraId="186999A5" w14:textId="77777777" w:rsidR="00D04897" w:rsidRDefault="00D04897" w:rsidP="00D04897">
      <w:pPr>
        <w:pStyle w:val="Citas"/>
      </w:pPr>
      <w:r w:rsidRPr="00D04897">
        <w:t xml:space="preserve"> Revisar vigilar y dar seguimiento al registro, procesamiento y flujo de los datos del registro nacional de infraestructura para la salud y reportarlo a las aut</w:t>
      </w:r>
      <w:r>
        <w:t>or</w:t>
      </w:r>
      <w:r w:rsidRPr="00D04897">
        <w:t xml:space="preserve">idades competentes para la toma de decisiones. </w:t>
      </w:r>
    </w:p>
    <w:p w14:paraId="14858DD3" w14:textId="77777777" w:rsidR="00D04897" w:rsidRDefault="00D04897" w:rsidP="00D04897">
      <w:pPr>
        <w:pStyle w:val="Citas"/>
      </w:pPr>
      <w:r w:rsidRPr="00D04897">
        <w:t xml:space="preserve"> Vigilar controlar el procesamiento de los certificados de defunción y muerte fetal, remitiendo la información a las autoridades correspondientes para la </w:t>
      </w:r>
      <w:r>
        <w:t>t</w:t>
      </w:r>
      <w:r w:rsidRPr="00D04897">
        <w:t xml:space="preserve">oma de decisiones. </w:t>
      </w:r>
    </w:p>
    <w:p w14:paraId="3C2252C1" w14:textId="742B9253" w:rsidR="00D04897" w:rsidRPr="00D04897" w:rsidRDefault="00D04897" w:rsidP="00D04897">
      <w:pPr>
        <w:pStyle w:val="Citas"/>
        <w:spacing w:line="480" w:lineRule="auto"/>
        <w:rPr>
          <w:b/>
          <w:bCs/>
        </w:rPr>
      </w:pPr>
      <w:r w:rsidRPr="00715F5E">
        <w:rPr>
          <w:b/>
          <w:bCs/>
          <w:u w:val="single"/>
        </w:rPr>
        <w:t>Desarrollar las demás funciones inherentes al área de su competencia</w:t>
      </w:r>
      <w:r>
        <w:t xml:space="preserve">” </w:t>
      </w:r>
      <w:r>
        <w:rPr>
          <w:b/>
          <w:bCs/>
        </w:rPr>
        <w:t>(Sic)</w:t>
      </w:r>
    </w:p>
    <w:p w14:paraId="5AA6D218" w14:textId="77777777" w:rsidR="00D04897" w:rsidRDefault="00D04897" w:rsidP="00D04897">
      <w:pPr>
        <w:spacing w:before="240" w:line="360" w:lineRule="auto"/>
        <w:jc w:val="both"/>
        <w:rPr>
          <w:rFonts w:ascii="Palatino Linotype" w:hAnsi="Palatino Linotype"/>
          <w:sz w:val="24"/>
          <w:szCs w:val="24"/>
        </w:rPr>
      </w:pPr>
    </w:p>
    <w:p w14:paraId="6E70B12A" w14:textId="1E0FA7DC" w:rsidR="00D04897" w:rsidRDefault="00D04897" w:rsidP="00D04897">
      <w:pPr>
        <w:spacing w:before="240" w:line="360" w:lineRule="auto"/>
        <w:jc w:val="both"/>
        <w:rPr>
          <w:rFonts w:ascii="Palatino Linotype" w:hAnsi="Palatino Linotype"/>
          <w:sz w:val="24"/>
          <w:szCs w:val="24"/>
        </w:rPr>
      </w:pPr>
      <w:r w:rsidRPr="00617CA5">
        <w:rPr>
          <w:rFonts w:ascii="Palatino Linotype" w:hAnsi="Palatino Linotype"/>
          <w:sz w:val="24"/>
          <w:szCs w:val="24"/>
        </w:rPr>
        <w:t xml:space="preserve">En efecto, </w:t>
      </w:r>
      <w:r>
        <w:rPr>
          <w:rFonts w:ascii="Palatino Linotype" w:hAnsi="Palatino Linotype"/>
          <w:sz w:val="24"/>
          <w:szCs w:val="24"/>
        </w:rPr>
        <w:t xml:space="preserve">de la normatividad previamente plasmada se desprende que por disposición expresa, los gobiernos de las entidades federativas, en materia de salubridad deberán de elaborar información estadística y proporcionarla a las autoridades federales competentes. </w:t>
      </w:r>
    </w:p>
    <w:p w14:paraId="5F3C2970" w14:textId="77777777" w:rsidR="00D04897" w:rsidRDefault="00D04897" w:rsidP="00D04897">
      <w:pPr>
        <w:spacing w:line="360" w:lineRule="auto"/>
        <w:jc w:val="both"/>
        <w:rPr>
          <w:rFonts w:ascii="Palatino Linotype" w:hAnsi="Palatino Linotype" w:cs="Arial"/>
          <w:sz w:val="24"/>
          <w:szCs w:val="24"/>
        </w:rPr>
      </w:pPr>
      <w:r>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220EA20E" w14:textId="77777777" w:rsidR="00D04897" w:rsidRDefault="00D04897" w:rsidP="00D04897">
      <w:pPr>
        <w:pStyle w:val="Citas"/>
      </w:pPr>
      <w:r>
        <w:lastRenderedPageBreak/>
        <w:t xml:space="preserve">“Artículo 18. Los sujetos obligados deberán documentar todo acto que derive del ejercicio de sus facultades, competencias o funciones, considerando desde su origen la eventual publicidad y reutilización de la información que generen. </w:t>
      </w:r>
    </w:p>
    <w:p w14:paraId="266BA9EF" w14:textId="77777777" w:rsidR="00D04897" w:rsidRDefault="00D04897" w:rsidP="00D04897">
      <w:pPr>
        <w:pStyle w:val="Citas"/>
      </w:pPr>
      <w:r>
        <w:t xml:space="preserve">Artículo 19. Se presume que la información debe existir si se refiere a las facultades, competencias y funciones que los ordenamientos jurídicos aplicables otorgan a los sujetos obligados. </w:t>
      </w:r>
    </w:p>
    <w:p w14:paraId="0B630E2B" w14:textId="77777777" w:rsidR="00D04897" w:rsidRDefault="00D04897" w:rsidP="00D04897">
      <w:pPr>
        <w:pStyle w:val="Citas"/>
      </w:pPr>
      <w:r>
        <w:t xml:space="preserve">En los casos en que ciertas facultades, competencias o funciones no se hayan ejercido, se debe motivar la respuesta en función de las causas que motiven tal circunstancia. </w:t>
      </w:r>
    </w:p>
    <w:p w14:paraId="72234103" w14:textId="77777777" w:rsidR="00D04897" w:rsidRPr="00407C65" w:rsidRDefault="00D04897" w:rsidP="00D04897">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048A8EA5" w14:textId="77777777" w:rsidR="00D04897" w:rsidRDefault="00D04897" w:rsidP="00D04897">
      <w:pPr>
        <w:spacing w:before="240" w:line="360" w:lineRule="auto"/>
        <w:jc w:val="both"/>
        <w:rPr>
          <w:rFonts w:ascii="Palatino Linotype" w:hAnsi="Palatino Linotype"/>
          <w:sz w:val="24"/>
          <w:szCs w:val="24"/>
        </w:rPr>
      </w:pPr>
    </w:p>
    <w:p w14:paraId="0B58B361" w14:textId="5CF29DD5" w:rsidR="00D04897" w:rsidRDefault="00D04897" w:rsidP="00D04897">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segundo,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Pr>
          <w:rFonts w:ascii="Palatino Linotype" w:hAnsi="Palatino Linotype" w:cs="Arial"/>
          <w:color w:val="000000"/>
          <w:sz w:val="24"/>
          <w:lang w:val="es-ES_tradnl"/>
        </w:rPr>
        <w:t xml:space="preserve"> </w:t>
      </w:r>
      <w:r>
        <w:rPr>
          <w:rFonts w:ascii="Palatino Linotype" w:hAnsi="Palatino Linotype" w:cs="Arial"/>
          <w:b/>
          <w:bCs/>
          <w:color w:val="000000"/>
          <w:sz w:val="24"/>
          <w:lang w:val="es-ES_tradnl"/>
        </w:rPr>
        <w:t xml:space="preserve">seis de diciembre de dos mil veinticuatro, </w:t>
      </w:r>
      <w:r>
        <w:rPr>
          <w:rFonts w:ascii="Palatino Linotype" w:hAnsi="Palatino Linotype" w:cs="Arial"/>
          <w:color w:val="000000"/>
          <w:sz w:val="24"/>
          <w:lang w:val="es-ES_tradnl"/>
        </w:rPr>
        <w:t>rindió su respuesta a la solicitud de información formulada por el particular, en los siguientes términos:</w:t>
      </w:r>
    </w:p>
    <w:p w14:paraId="5A5C1342" w14:textId="32481663" w:rsidR="00D04897" w:rsidRPr="00D04897" w:rsidRDefault="00D04897" w:rsidP="00D04897">
      <w:pPr>
        <w:pStyle w:val="Prrafodelista"/>
        <w:numPr>
          <w:ilvl w:val="0"/>
          <w:numId w:val="26"/>
        </w:numPr>
        <w:spacing w:line="360" w:lineRule="auto"/>
        <w:jc w:val="both"/>
        <w:rPr>
          <w:rFonts w:ascii="Palatino Linotype" w:hAnsi="Palatino Linotype" w:cs="Arial"/>
          <w:b/>
          <w:bCs/>
          <w:color w:val="000000"/>
          <w:lang w:val="es-ES_tradnl"/>
        </w:rPr>
      </w:pPr>
      <w:r>
        <w:rPr>
          <w:rFonts w:ascii="Palatino Linotype" w:hAnsi="Palatino Linotype" w:cs="Arial"/>
          <w:b/>
          <w:bCs/>
          <w:color w:val="000000"/>
          <w:lang w:val="es-ES_tradnl"/>
        </w:rPr>
        <w:t xml:space="preserve">“sol 00774 2024.pdf”: </w:t>
      </w:r>
      <w:r>
        <w:rPr>
          <w:rFonts w:ascii="Palatino Linotype" w:hAnsi="Palatino Linotype" w:cs="Arial"/>
          <w:color w:val="000000"/>
          <w:lang w:val="es-ES_tradnl"/>
        </w:rPr>
        <w:t xml:space="preserve">Oficio número </w:t>
      </w:r>
      <w:r>
        <w:rPr>
          <w:rFonts w:ascii="Palatino Linotype" w:hAnsi="Palatino Linotype" w:cs="Arial"/>
          <w:b/>
          <w:bCs/>
          <w:color w:val="000000"/>
          <w:lang w:val="es-ES_tradnl"/>
        </w:rPr>
        <w:t xml:space="preserve">SAIMEX-0744/2024 </w:t>
      </w:r>
      <w:r>
        <w:rPr>
          <w:rFonts w:ascii="Palatino Linotype" w:hAnsi="Palatino Linotype" w:cs="Arial"/>
          <w:color w:val="000000"/>
          <w:lang w:val="es-ES_tradnl"/>
        </w:rPr>
        <w:t xml:space="preserve">emitido por la jefa de la unidad de información, planeación, programación y evaluación y titular de la unidad de transparencia, dirigido al solicitante, de fecha seis de diciembre de dos mil veinticuatro, en términos generales refiere adjuntar oficio de respuesta correspondiente al departamento de estadística. </w:t>
      </w:r>
    </w:p>
    <w:p w14:paraId="290677CF" w14:textId="77777777" w:rsidR="00D04897" w:rsidRDefault="00D04897" w:rsidP="00D04897">
      <w:pPr>
        <w:pStyle w:val="Prrafodelista"/>
        <w:spacing w:line="360" w:lineRule="auto"/>
        <w:ind w:left="720"/>
        <w:jc w:val="both"/>
        <w:rPr>
          <w:rFonts w:ascii="Palatino Linotype" w:hAnsi="Palatino Linotype" w:cs="Arial"/>
          <w:b/>
          <w:bCs/>
          <w:color w:val="000000"/>
          <w:lang w:val="es-ES_tradnl"/>
        </w:rPr>
      </w:pPr>
    </w:p>
    <w:p w14:paraId="71417518" w14:textId="57A4CE94" w:rsidR="00D04897" w:rsidRPr="00D04897" w:rsidRDefault="00D04897" w:rsidP="00D64EEC">
      <w:pPr>
        <w:pStyle w:val="Prrafodelista"/>
        <w:numPr>
          <w:ilvl w:val="0"/>
          <w:numId w:val="26"/>
        </w:numPr>
        <w:spacing w:line="360" w:lineRule="auto"/>
        <w:jc w:val="both"/>
        <w:rPr>
          <w:rFonts w:ascii="Palatino Linotype" w:hAnsi="Palatino Linotype" w:cs="Arial"/>
          <w:b/>
          <w:bCs/>
          <w:color w:val="000000"/>
          <w:lang w:val="es-ES_tradnl"/>
        </w:rPr>
      </w:pPr>
      <w:r w:rsidRPr="00D04897">
        <w:rPr>
          <w:rFonts w:ascii="Palatino Linotype" w:hAnsi="Palatino Linotype" w:cs="Arial"/>
          <w:b/>
          <w:bCs/>
          <w:color w:val="000000"/>
          <w:lang w:val="es-ES_tradnl"/>
        </w:rPr>
        <w:lastRenderedPageBreak/>
        <w:t xml:space="preserve">“Solicitud 774.xlsx”: </w:t>
      </w:r>
      <w:r w:rsidRPr="00D04897">
        <w:rPr>
          <w:rFonts w:ascii="Palatino Linotype" w:hAnsi="Palatino Linotype" w:cs="Arial"/>
          <w:color w:val="000000"/>
          <w:lang w:val="es-ES_tradnl"/>
        </w:rPr>
        <w:t>Estadística correspondiente a “Intoxicación por plantas hongos venenosos” correspondiente a los años 2014 a 2024</w:t>
      </w:r>
      <w:r>
        <w:rPr>
          <w:rFonts w:ascii="Palatino Linotype" w:hAnsi="Palatino Linotype" w:cs="Arial"/>
          <w:color w:val="000000"/>
          <w:lang w:val="es-ES_tradnl"/>
        </w:rPr>
        <w:t xml:space="preserve">. Sirve de sustento la siguiente imagen ilustrativa: </w:t>
      </w:r>
    </w:p>
    <w:p w14:paraId="426A2191" w14:textId="4C8A3E36" w:rsidR="00D04897" w:rsidRPr="00D04897" w:rsidRDefault="00D04897" w:rsidP="00D04897">
      <w:pPr>
        <w:pStyle w:val="Prrafodelista"/>
        <w:rPr>
          <w:rFonts w:ascii="Palatino Linotype" w:hAnsi="Palatino Linotype" w:cs="Arial"/>
          <w:b/>
          <w:bCs/>
          <w:color w:val="000000"/>
          <w:lang w:val="es-ES_tradnl"/>
        </w:rPr>
      </w:pPr>
      <w:r w:rsidRPr="00D04897">
        <w:rPr>
          <w:rFonts w:ascii="Palatino Linotype" w:hAnsi="Palatino Linotype" w:cs="Arial"/>
          <w:b/>
          <w:bCs/>
          <w:noProof/>
          <w:color w:val="000000"/>
          <w:lang w:val="es-MX" w:eastAsia="es-MX"/>
        </w:rPr>
        <w:drawing>
          <wp:anchor distT="0" distB="0" distL="114300" distR="114300" simplePos="0" relativeHeight="251662336" behindDoc="0" locked="0" layoutInCell="1" allowOverlap="1" wp14:anchorId="005B70F6" wp14:editId="34399A2B">
            <wp:simplePos x="0" y="0"/>
            <wp:positionH relativeFrom="page">
              <wp:align>center</wp:align>
            </wp:positionH>
            <wp:positionV relativeFrom="paragraph">
              <wp:posOffset>365240</wp:posOffset>
            </wp:positionV>
            <wp:extent cx="5760720" cy="3465195"/>
            <wp:effectExtent l="19050" t="19050" r="11430" b="20955"/>
            <wp:wrapThrough wrapText="bothSides">
              <wp:wrapPolygon edited="0">
                <wp:start x="-71" y="-119"/>
                <wp:lineTo x="-71" y="21612"/>
                <wp:lineTo x="21571" y="21612"/>
                <wp:lineTo x="21571" y="-119"/>
                <wp:lineTo x="-71" y="-119"/>
              </wp:wrapPolygon>
            </wp:wrapThrough>
            <wp:docPr id="19577774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77417" name="Picture 1"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7187" cy="346925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7B12876" w14:textId="48A2D38E" w:rsidR="00D04897" w:rsidRDefault="00D04897" w:rsidP="00D04897">
      <w:pPr>
        <w:spacing w:line="360" w:lineRule="auto"/>
        <w:jc w:val="both"/>
        <w:rPr>
          <w:rFonts w:ascii="Palatino Linotype" w:hAnsi="Palatino Linotype" w:cs="Arial"/>
          <w:b/>
          <w:bCs/>
          <w:color w:val="000000"/>
          <w:lang w:val="es-ES_tradnl"/>
        </w:rPr>
      </w:pPr>
    </w:p>
    <w:p w14:paraId="7EB460ED" w14:textId="77777777" w:rsidR="00D04897" w:rsidRPr="006107B6" w:rsidRDefault="00D04897" w:rsidP="00D04897">
      <w:pPr>
        <w:tabs>
          <w:tab w:val="left" w:pos="709"/>
        </w:tabs>
        <w:spacing w:before="240" w:line="360" w:lineRule="auto"/>
        <w:ind w:right="51"/>
        <w:jc w:val="both"/>
        <w:rPr>
          <w:rFonts w:ascii="Palatino Linotype" w:hAnsi="Palatino Linotype"/>
          <w:sz w:val="24"/>
          <w:szCs w:val="24"/>
        </w:rPr>
      </w:pPr>
      <w:r w:rsidRPr="006107B6">
        <w:rPr>
          <w:rFonts w:ascii="Palatino Linotype" w:hAnsi="Palatino Linotype"/>
          <w:sz w:val="24"/>
          <w:szCs w:val="24"/>
        </w:rPr>
        <w:t>De lo referido previamente y con relación al requerimiento formulado mediante la solicitud de información</w:t>
      </w:r>
      <w:r>
        <w:rPr>
          <w:rFonts w:ascii="Palatino Linotype" w:hAnsi="Palatino Linotype"/>
          <w:sz w:val="24"/>
          <w:szCs w:val="24"/>
        </w:rPr>
        <w:t xml:space="preserve"> </w:t>
      </w:r>
      <w:r>
        <w:rPr>
          <w:rFonts w:ascii="Palatino Linotype" w:hAnsi="Palatino Linotype"/>
          <w:b/>
          <w:bCs/>
          <w:sz w:val="24"/>
          <w:szCs w:val="24"/>
        </w:rPr>
        <w:t xml:space="preserve">00774/ISEM/IP/2024, </w:t>
      </w:r>
      <w:r w:rsidRPr="006107B6">
        <w:rPr>
          <w:rFonts w:ascii="Palatino Linotype" w:hAnsi="Palatino Linotype"/>
          <w:sz w:val="24"/>
          <w:szCs w:val="24"/>
        </w:rPr>
        <w:t xml:space="preserve">se desprende que la respuesta rendida por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emana del servidor público habilitado adscrito a</w:t>
      </w:r>
      <w:r>
        <w:rPr>
          <w:rFonts w:ascii="Palatino Linotype" w:hAnsi="Palatino Linotype"/>
          <w:sz w:val="24"/>
          <w:szCs w:val="24"/>
        </w:rPr>
        <w:t xml:space="preserve"> la UIPPE y departamento de estadística, </w:t>
      </w:r>
      <w:r w:rsidRPr="006107B6">
        <w:rPr>
          <w:rFonts w:ascii="Palatino Linotype" w:hAnsi="Palatino Linotype"/>
          <w:sz w:val="24"/>
          <w:szCs w:val="24"/>
        </w:rPr>
        <w:t xml:space="preserve">se quiere con ello significar que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observó de forma diligente el numeral 162 de la Ley de Transparencia local, cuyo contenido literal es el siguiente:</w:t>
      </w:r>
    </w:p>
    <w:p w14:paraId="68F770A9" w14:textId="77777777" w:rsidR="00D04897" w:rsidRPr="00FE103B" w:rsidRDefault="00D04897" w:rsidP="00D04897">
      <w:pPr>
        <w:pStyle w:val="Citas"/>
        <w:rPr>
          <w:b/>
          <w:bCs/>
        </w:rPr>
      </w:pPr>
      <w:r>
        <w:lastRenderedPageBreak/>
        <w:t>“</w:t>
      </w:r>
      <w:r w:rsidRPr="00FE103B">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05E66357" w14:textId="77777777" w:rsidR="00D04897" w:rsidRDefault="00D04897" w:rsidP="00D04897">
      <w:pPr>
        <w:spacing w:line="360" w:lineRule="auto"/>
        <w:jc w:val="both"/>
        <w:rPr>
          <w:rFonts w:ascii="Palatino Linotype" w:hAnsi="Palatino Linotype" w:cs="Arial"/>
          <w:color w:val="000000"/>
          <w:sz w:val="24"/>
          <w:szCs w:val="24"/>
        </w:rPr>
      </w:pPr>
    </w:p>
    <w:p w14:paraId="339BA327" w14:textId="49C4AD19" w:rsidR="00D04897" w:rsidRDefault="00D04897" w:rsidP="00D04897">
      <w:pPr>
        <w:spacing w:line="360" w:lineRule="auto"/>
        <w:jc w:val="both"/>
        <w:rPr>
          <w:rFonts w:ascii="Palatino Linotype" w:hAnsi="Palatino Linotype" w:cs="Arial"/>
          <w:color w:val="000000"/>
          <w:sz w:val="24"/>
          <w:szCs w:val="24"/>
          <w:lang w:val="es-ES_tradnl"/>
        </w:rPr>
      </w:pPr>
      <w:r w:rsidRPr="00D04897">
        <w:rPr>
          <w:rFonts w:ascii="Palatino Linotype" w:hAnsi="Palatino Linotype" w:cs="Arial"/>
          <w:color w:val="000000"/>
          <w:sz w:val="24"/>
          <w:szCs w:val="24"/>
        </w:rPr>
        <w:t>Se plantea entonces, que, mediante respuesta, fue proporcionada la información estadística correspondiente a la temporalidad 2014</w:t>
      </w:r>
      <w:r w:rsidRPr="00D04897">
        <w:rPr>
          <w:rFonts w:ascii="Palatino Linotype" w:hAnsi="Palatino Linotype" w:cs="Arial"/>
          <w:color w:val="000000"/>
          <w:sz w:val="24"/>
          <w:szCs w:val="24"/>
          <w:lang w:val="es-ES_tradnl"/>
        </w:rPr>
        <w:t xml:space="preserve"> a 2024, misma que refleja diversos campos tales como unidad médica de atención, jurisdicción de la atención, municipio de atención, lesiones y total general. </w:t>
      </w:r>
    </w:p>
    <w:p w14:paraId="4DC573F5" w14:textId="251835F6" w:rsidR="00D04897" w:rsidRDefault="00D04897" w:rsidP="00D04897">
      <w:pPr>
        <w:pStyle w:val="infoemcitas"/>
        <w:tabs>
          <w:tab w:val="left" w:pos="7655"/>
        </w:tabs>
        <w:ind w:left="0" w:right="0"/>
        <w:rPr>
          <w:i w:val="0"/>
          <w:sz w:val="24"/>
          <w:szCs w:val="24"/>
        </w:rPr>
      </w:pPr>
      <w:r w:rsidRPr="003758B2">
        <w:rPr>
          <w:i w:val="0"/>
          <w:sz w:val="24"/>
          <w:szCs w:val="24"/>
        </w:rPr>
        <w:t>Inconforme con la respuesta del</w:t>
      </w:r>
      <w:r>
        <w:rPr>
          <w:i w:val="0"/>
          <w:sz w:val="24"/>
          <w:szCs w:val="24"/>
        </w:rPr>
        <w:t xml:space="preserve"> </w:t>
      </w:r>
      <w:r>
        <w:rPr>
          <w:b/>
          <w:bCs/>
          <w:i w:val="0"/>
          <w:sz w:val="24"/>
          <w:szCs w:val="24"/>
        </w:rPr>
        <w:t xml:space="preserve">Sujeto Obligado, El Recurrente </w:t>
      </w:r>
      <w:r>
        <w:rPr>
          <w:i w:val="0"/>
          <w:sz w:val="24"/>
          <w:szCs w:val="24"/>
        </w:rPr>
        <w:t xml:space="preserve">interpuso recurso de revisión en fecha </w:t>
      </w:r>
      <w:r>
        <w:rPr>
          <w:b/>
          <w:bCs/>
          <w:i w:val="0"/>
          <w:sz w:val="24"/>
          <w:szCs w:val="24"/>
        </w:rPr>
        <w:t xml:space="preserve">diez de diciembre de dos mil veinticuatro, </w:t>
      </w:r>
      <w:r>
        <w:rPr>
          <w:i w:val="0"/>
          <w:sz w:val="24"/>
          <w:szCs w:val="24"/>
        </w:rPr>
        <w:t xml:space="preserve">admitiéndose el </w:t>
      </w:r>
      <w:r>
        <w:rPr>
          <w:b/>
          <w:bCs/>
          <w:i w:val="0"/>
          <w:sz w:val="24"/>
          <w:szCs w:val="24"/>
        </w:rPr>
        <w:t xml:space="preserve">doce de diciembre de dos mil veinticuatro. </w:t>
      </w:r>
      <w:r>
        <w:rPr>
          <w:i w:val="0"/>
          <w:sz w:val="24"/>
          <w:szCs w:val="24"/>
        </w:rPr>
        <w:t>Señalando como razones o motivos de inconformidad:</w:t>
      </w:r>
    </w:p>
    <w:p w14:paraId="64EA2386" w14:textId="77777777" w:rsidR="00D04897" w:rsidRPr="00F34E34" w:rsidRDefault="00D04897" w:rsidP="00D04897">
      <w:pPr>
        <w:pStyle w:val="Citas"/>
      </w:pPr>
      <w:r w:rsidRPr="001940FE">
        <w:t>“</w:t>
      </w:r>
      <w:r w:rsidRPr="005C218E">
        <w:t>Antes que nada agradezco la información que en respuesta fue entregada en el tiempo establecido, sin embargo es necesario aclarar el punto indicado en el archivo anexo (</w:t>
      </w:r>
      <w:proofErr w:type="spellStart"/>
      <w:r w:rsidRPr="005C218E">
        <w:t>excel</w:t>
      </w:r>
      <w:proofErr w:type="spellEnd"/>
      <w:r w:rsidRPr="005C218E">
        <w:t xml:space="preserve">) como gran total, para los años 2014, 2015, 2016, 2017, 2018 y 2019 los datos resultan incongruentes con el </w:t>
      </w:r>
      <w:proofErr w:type="spellStart"/>
      <w:r w:rsidRPr="005C218E">
        <w:t>numero</w:t>
      </w:r>
      <w:proofErr w:type="spellEnd"/>
      <w:r w:rsidRPr="005C218E">
        <w:t xml:space="preserve"> de "lesiones" señaladas por municipio. De tal forma solicito hagan favor de aclarar los datos reportados. De antemano mil gracias</w:t>
      </w:r>
      <w:r w:rsidRPr="001940FE">
        <w:t>”</w:t>
      </w:r>
      <w:r w:rsidRPr="00F34E34">
        <w:t xml:space="preserve"> (Sic)</w:t>
      </w:r>
    </w:p>
    <w:p w14:paraId="46BD33EC" w14:textId="77777777" w:rsidR="00D04897" w:rsidRDefault="00D04897" w:rsidP="00D04897">
      <w:pPr>
        <w:spacing w:line="360" w:lineRule="auto"/>
        <w:jc w:val="both"/>
        <w:rPr>
          <w:rFonts w:ascii="Palatino Linotype" w:hAnsi="Palatino Linotype" w:cs="Arial"/>
          <w:b/>
          <w:bCs/>
          <w:color w:val="000000"/>
          <w:sz w:val="24"/>
          <w:szCs w:val="24"/>
          <w:lang w:val="es-ES_tradnl"/>
        </w:rPr>
      </w:pPr>
    </w:p>
    <w:p w14:paraId="394AC769" w14:textId="23882EF0" w:rsidR="00D04897" w:rsidRPr="002D4E78" w:rsidRDefault="00D04897" w:rsidP="00D04897">
      <w:pPr>
        <w:tabs>
          <w:tab w:val="left" w:pos="709"/>
        </w:tabs>
        <w:spacing w:before="240" w:line="360" w:lineRule="auto"/>
        <w:ind w:right="51"/>
        <w:jc w:val="both"/>
        <w:rPr>
          <w:rFonts w:ascii="Palatino Linotype" w:hAnsi="Palatino Linotype" w:cs="Arial"/>
          <w:sz w:val="24"/>
          <w:szCs w:val="24"/>
        </w:rPr>
      </w:pPr>
      <w:r>
        <w:rPr>
          <w:rFonts w:ascii="Palatino Linotype" w:hAnsi="Palatino Linotype" w:cs="Arial"/>
          <w:color w:val="000000"/>
          <w:sz w:val="24"/>
          <w:szCs w:val="24"/>
          <w:lang w:val="es-ES_tradnl"/>
        </w:rPr>
        <w:t xml:space="preserve">Luego entonces, con relación a la información estadística generada con motivo de intoxicación por plantas hongos venenosos correspondiente a los años 2020 a 2024, </w:t>
      </w:r>
      <w:r>
        <w:rPr>
          <w:rFonts w:ascii="Palatino Linotype" w:hAnsi="Palatino Linotype" w:cs="Arial"/>
          <w:color w:val="000000"/>
          <w:sz w:val="24"/>
          <w:szCs w:val="24"/>
          <w:lang w:val="es-ES_tradnl"/>
        </w:rPr>
        <w:lastRenderedPageBreak/>
        <w:t xml:space="preserve">deben declararse consentidos por el hoy </w:t>
      </w:r>
      <w:r>
        <w:rPr>
          <w:rFonts w:ascii="Palatino Linotype" w:hAnsi="Palatino Linotype" w:cs="Arial"/>
          <w:b/>
          <w:bCs/>
          <w:color w:val="000000"/>
          <w:sz w:val="24"/>
          <w:szCs w:val="24"/>
          <w:lang w:val="es-ES_tradnl"/>
        </w:rPr>
        <w:t xml:space="preserve">Recurrente, </w:t>
      </w:r>
      <w:r w:rsidRPr="002D4E78">
        <w:rPr>
          <w:rFonts w:ascii="Palatino Linotype" w:hAnsi="Palatino Linotype"/>
          <w:sz w:val="24"/>
          <w:szCs w:val="24"/>
          <w:lang w:eastAsia="es-MX"/>
        </w:rPr>
        <w:t xml:space="preserve">ya que </w:t>
      </w:r>
      <w:r w:rsidRPr="002D4E78">
        <w:rPr>
          <w:rFonts w:ascii="Palatino Linotype" w:hAnsi="Palatino Linotype" w:cs="Arial"/>
          <w:sz w:val="24"/>
          <w:szCs w:val="24"/>
          <w:lang w:eastAsia="es-MX"/>
        </w:rPr>
        <w:t xml:space="preserve">no pueden producirse efectos jurídicos tendentes a revocar, confirmar o modificar la parte de la respuesta con relación a la parte de la solicitud que no fue motivo de disenso ya que se infiere un consentimiento </w:t>
      </w:r>
      <w:r>
        <w:rPr>
          <w:rFonts w:ascii="Palatino Linotype" w:hAnsi="Palatino Linotype" w:cs="Arial"/>
          <w:sz w:val="24"/>
          <w:szCs w:val="24"/>
          <w:lang w:eastAsia="es-MX"/>
        </w:rPr>
        <w:t>del</w:t>
      </w:r>
      <w:r w:rsidRPr="002D4E78">
        <w:rPr>
          <w:rFonts w:ascii="Palatino Linotype" w:hAnsi="Palatino Linotype" w:cs="Arial"/>
          <w:sz w:val="24"/>
          <w:szCs w:val="24"/>
          <w:lang w:eastAsia="es-MX"/>
        </w:rPr>
        <w:t xml:space="preserve"> </w:t>
      </w:r>
      <w:r w:rsidRPr="002D4E78">
        <w:rPr>
          <w:rFonts w:ascii="Palatino Linotype" w:hAnsi="Palatino Linotype" w:cs="Arial"/>
          <w:b/>
          <w:sz w:val="24"/>
          <w:szCs w:val="24"/>
          <w:lang w:eastAsia="es-MX"/>
        </w:rPr>
        <w:t>Recurrente</w:t>
      </w:r>
      <w:r w:rsidRPr="002D4E78">
        <w:rPr>
          <w:rFonts w:ascii="Palatino Linotype" w:hAnsi="Palatino Linotype" w:cs="Arial"/>
          <w:sz w:val="24"/>
          <w:szCs w:val="24"/>
          <w:lang w:eastAsia="es-MX"/>
        </w:rPr>
        <w:t xml:space="preserve"> ante la falta de impugnación eficaz. </w:t>
      </w:r>
      <w:r w:rsidRPr="002D4E78">
        <w:rPr>
          <w:rFonts w:ascii="Palatino Linotype" w:hAnsi="Palatino Linotype" w:cs="Arial"/>
          <w:sz w:val="24"/>
          <w:szCs w:val="24"/>
        </w:rPr>
        <w:t xml:space="preserve">Sirve de sustento a lo anterior, por analogía, la tesis jurisprudencial, que a la letra dice: </w:t>
      </w:r>
    </w:p>
    <w:p w14:paraId="25C1E31C" w14:textId="77777777" w:rsidR="00D04897" w:rsidRPr="002D4E78" w:rsidRDefault="00D04897" w:rsidP="00D04897">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“Época: Novena</w:t>
      </w:r>
    </w:p>
    <w:p w14:paraId="1A325ED3" w14:textId="77777777" w:rsidR="00D04897" w:rsidRPr="002D4E78" w:rsidRDefault="00D04897" w:rsidP="00D04897">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Registro: 176608</w:t>
      </w:r>
    </w:p>
    <w:p w14:paraId="196C7A3B" w14:textId="77777777" w:rsidR="00D04897" w:rsidRPr="002D4E78" w:rsidRDefault="00D04897" w:rsidP="00D04897">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Tipo de tesis: Jurisprudencia</w:t>
      </w:r>
    </w:p>
    <w:p w14:paraId="7199D809" w14:textId="77777777" w:rsidR="00D04897" w:rsidRPr="002D4E78" w:rsidRDefault="00D04897" w:rsidP="00D04897">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Fuente: Semanario Judicial de la Federación y su Gaceta</w:t>
      </w:r>
    </w:p>
    <w:p w14:paraId="3601D0B9" w14:textId="77777777" w:rsidR="00D04897" w:rsidRPr="002D4E78" w:rsidRDefault="00D04897" w:rsidP="00D04897">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Diciembre de 2005, Tomo XXII</w:t>
      </w:r>
    </w:p>
    <w:p w14:paraId="7EB121FE" w14:textId="77777777" w:rsidR="00D04897" w:rsidRPr="002D4E78" w:rsidRDefault="00D04897" w:rsidP="00D04897">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Materia (s): Común</w:t>
      </w:r>
    </w:p>
    <w:p w14:paraId="6C7216D7" w14:textId="77777777" w:rsidR="00D04897" w:rsidRPr="002D4E78" w:rsidRDefault="00D04897" w:rsidP="00D04897">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Tesis: VI. 3o.C. J/60</w:t>
      </w:r>
    </w:p>
    <w:p w14:paraId="6FE322D3" w14:textId="77777777" w:rsidR="00D04897" w:rsidRPr="002D4E78" w:rsidRDefault="00D04897" w:rsidP="00D04897">
      <w:pPr>
        <w:pStyle w:val="Prrafodelista"/>
        <w:spacing w:before="240" w:after="160" w:line="360" w:lineRule="auto"/>
        <w:ind w:left="851" w:right="851"/>
        <w:jc w:val="both"/>
        <w:rPr>
          <w:rFonts w:ascii="Palatino Linotype" w:hAnsi="Palatino Linotype"/>
          <w:i/>
          <w:sz w:val="22"/>
          <w:szCs w:val="22"/>
        </w:rPr>
      </w:pPr>
      <w:r w:rsidRPr="002D4E78">
        <w:rPr>
          <w:rFonts w:ascii="Palatino Linotype" w:hAnsi="Palatino Linotype"/>
          <w:i/>
          <w:sz w:val="22"/>
          <w:szCs w:val="22"/>
        </w:rPr>
        <w:t>Página: 2365</w:t>
      </w:r>
    </w:p>
    <w:p w14:paraId="77BBE811" w14:textId="77777777" w:rsidR="00D04897" w:rsidRPr="002D4E78" w:rsidRDefault="00D04897" w:rsidP="00D04897">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 xml:space="preserve"> </w:t>
      </w:r>
      <w:r w:rsidRPr="002D4E78">
        <w:rPr>
          <w:rFonts w:ascii="Palatino Linotype" w:hAnsi="Palatino Linotype" w:cs="Arial"/>
          <w:b/>
          <w:i/>
          <w:lang w:eastAsia="es-MX"/>
        </w:rPr>
        <w:t>ACTOS CONSENTIDOS. SON LOS QUE NO SE IMPUGNAN MEDIANTE EL RECURSO IDÓNEO</w:t>
      </w:r>
      <w:r w:rsidRPr="002D4E78">
        <w:rPr>
          <w:rFonts w:ascii="Palatino Linotype" w:hAnsi="Palatino Linotype" w:cs="Arial"/>
          <w:i/>
          <w:lang w:eastAsia="es-MX"/>
        </w:rPr>
        <w:t xml:space="preserve">. </w:t>
      </w:r>
    </w:p>
    <w:p w14:paraId="7EC2D845" w14:textId="77777777" w:rsidR="00D04897" w:rsidRPr="002D4E78" w:rsidRDefault="00D04897" w:rsidP="00D04897">
      <w:pPr>
        <w:spacing w:before="240" w:line="360" w:lineRule="auto"/>
        <w:ind w:left="851" w:right="851"/>
        <w:jc w:val="both"/>
        <w:rPr>
          <w:rFonts w:ascii="Palatino Linotype" w:hAnsi="Palatino Linotype" w:cs="Arial"/>
          <w:i/>
          <w:lang w:eastAsia="es-MX"/>
        </w:rPr>
      </w:pPr>
      <w:r w:rsidRPr="002D4E78">
        <w:rPr>
          <w:rFonts w:ascii="Palatino Linotype" w:hAnsi="Palatino Linotype" w:cs="Arial"/>
          <w:i/>
          <w:lang w:eastAsia="es-MX"/>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3EFD843" w14:textId="77777777" w:rsidR="00D04897" w:rsidRPr="002D4E78" w:rsidRDefault="00D04897" w:rsidP="00D04897">
      <w:pPr>
        <w:spacing w:before="240" w:line="360" w:lineRule="auto"/>
        <w:ind w:left="851" w:right="851"/>
        <w:jc w:val="both"/>
        <w:rPr>
          <w:rFonts w:ascii="Palatino Linotype" w:eastAsia="Times New Roman" w:hAnsi="Palatino Linotype" w:cs="Calibri"/>
          <w:i/>
          <w:color w:val="000000"/>
          <w:lang w:eastAsia="es-MX"/>
        </w:rPr>
      </w:pPr>
      <w:r w:rsidRPr="002D4E78">
        <w:rPr>
          <w:rFonts w:ascii="Palatino Linotype" w:eastAsia="Times New Roman" w:hAnsi="Palatino Linotype" w:cs="Calibri"/>
          <w:i/>
          <w:color w:val="000000"/>
          <w:lang w:eastAsia="es-MX"/>
        </w:rPr>
        <w:lastRenderedPageBreak/>
        <w:t>TERCER TRIBUNAL COLEGIADO EN MATERIA CIVIL DEL SEXTO CIRCUITO.</w:t>
      </w:r>
    </w:p>
    <w:p w14:paraId="73484C4B" w14:textId="77777777" w:rsidR="00D04897" w:rsidRPr="002D4E78" w:rsidRDefault="00D04897" w:rsidP="00D04897">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Amparo en revisión 2/90. Germán Miguel Núñez Rivera. 13 de noviembre de 1990. Unanimidad de votos. Ponente: Juan Manuel Brito Velázquez. Secretaria: Luz del Carmen Herrera Calderón.</w:t>
      </w:r>
    </w:p>
    <w:p w14:paraId="37A3BDCD" w14:textId="77777777" w:rsidR="00D04897" w:rsidRPr="002D4E78" w:rsidRDefault="00D04897" w:rsidP="00D04897">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 xml:space="preserve">Amparo en revisión 393/90. Amparo </w:t>
      </w:r>
      <w:proofErr w:type="spellStart"/>
      <w:r w:rsidRPr="002D4E78">
        <w:rPr>
          <w:rFonts w:ascii="Palatino Linotype" w:eastAsia="Times New Roman" w:hAnsi="Palatino Linotype" w:cs="Calibri"/>
          <w:i/>
          <w:color w:val="444444"/>
          <w:lang w:eastAsia="es-MX"/>
        </w:rPr>
        <w:t>Naylor</w:t>
      </w:r>
      <w:proofErr w:type="spellEnd"/>
      <w:r w:rsidRPr="002D4E78">
        <w:rPr>
          <w:rFonts w:ascii="Palatino Linotype" w:eastAsia="Times New Roman" w:hAnsi="Palatino Linotype" w:cs="Calibri"/>
          <w:i/>
          <w:color w:val="444444"/>
          <w:lang w:eastAsia="es-MX"/>
        </w:rPr>
        <w:t xml:space="preserve"> Hernández y otros. 6 de diciembre de 1990. Unanimidad de votos. Ponente: Juan Manuel Brito Velázquez. Secretaria: María Dolores Olarte Ruvalcaba.</w:t>
      </w:r>
    </w:p>
    <w:p w14:paraId="1FB53253" w14:textId="77777777" w:rsidR="00D04897" w:rsidRPr="002D4E78" w:rsidRDefault="00D04897" w:rsidP="00D04897">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Amparo directo 352/2000. Omar González Morales. 1o. de septiembre de 2000. Unanimidad de votos. Ponente: Teresa Munguía Sánchez. Secretaria: Julieta Esther Fernández Gaona.</w:t>
      </w:r>
    </w:p>
    <w:p w14:paraId="05584D42" w14:textId="77777777" w:rsidR="00D04897" w:rsidRPr="002D4E78" w:rsidRDefault="00D04897" w:rsidP="00D04897">
      <w:pPr>
        <w:spacing w:before="240" w:line="360" w:lineRule="auto"/>
        <w:ind w:left="851" w:right="851"/>
        <w:jc w:val="both"/>
        <w:rPr>
          <w:rFonts w:ascii="Palatino Linotype" w:eastAsia="Times New Roman" w:hAnsi="Palatino Linotype" w:cs="Calibri"/>
          <w:i/>
          <w:color w:val="444444"/>
          <w:lang w:eastAsia="es-MX"/>
        </w:rPr>
      </w:pPr>
      <w:r w:rsidRPr="002D4E78">
        <w:rPr>
          <w:rFonts w:ascii="Palatino Linotype" w:eastAsia="Times New Roman" w:hAnsi="Palatino Linotype" w:cs="Calibri"/>
          <w:i/>
          <w:color w:val="444444"/>
          <w:lang w:eastAsia="es-MX"/>
        </w:rPr>
        <w:t xml:space="preserve">Amparo directo 366/2005. Virginia </w:t>
      </w:r>
      <w:proofErr w:type="spellStart"/>
      <w:r w:rsidRPr="002D4E78">
        <w:rPr>
          <w:rFonts w:ascii="Palatino Linotype" w:eastAsia="Times New Roman" w:hAnsi="Palatino Linotype" w:cs="Calibri"/>
          <w:i/>
          <w:color w:val="444444"/>
          <w:lang w:eastAsia="es-MX"/>
        </w:rPr>
        <w:t>Quixihuitl</w:t>
      </w:r>
      <w:proofErr w:type="spellEnd"/>
      <w:r w:rsidRPr="002D4E78">
        <w:rPr>
          <w:rFonts w:ascii="Palatino Linotype" w:eastAsia="Times New Roman" w:hAnsi="Palatino Linotype" w:cs="Calibri"/>
          <w:i/>
          <w:color w:val="444444"/>
          <w:lang w:eastAsia="es-MX"/>
        </w:rPr>
        <w:t xml:space="preserve"> Burgos y otra. 14 de octubre de 2005. Unanimidad de votos. Ponente: Norma </w:t>
      </w:r>
      <w:proofErr w:type="spellStart"/>
      <w:r w:rsidRPr="002D4E78">
        <w:rPr>
          <w:rFonts w:ascii="Palatino Linotype" w:eastAsia="Times New Roman" w:hAnsi="Palatino Linotype" w:cs="Calibri"/>
          <w:i/>
          <w:color w:val="444444"/>
          <w:lang w:eastAsia="es-MX"/>
        </w:rPr>
        <w:t>Fiallega</w:t>
      </w:r>
      <w:proofErr w:type="spellEnd"/>
      <w:r w:rsidRPr="002D4E78">
        <w:rPr>
          <w:rFonts w:ascii="Palatino Linotype" w:eastAsia="Times New Roman" w:hAnsi="Palatino Linotype" w:cs="Calibri"/>
          <w:i/>
          <w:color w:val="444444"/>
          <w:lang w:eastAsia="es-MX"/>
        </w:rPr>
        <w:t xml:space="preserve"> Sánchez. Secretario: Horacio Óscar Rosete Mentado.</w:t>
      </w:r>
    </w:p>
    <w:p w14:paraId="27988BCF" w14:textId="77777777" w:rsidR="00D04897" w:rsidRPr="002D4E78" w:rsidRDefault="00D04897" w:rsidP="00D04897">
      <w:pPr>
        <w:spacing w:before="240" w:line="360" w:lineRule="auto"/>
        <w:ind w:left="851" w:right="851"/>
        <w:jc w:val="both"/>
        <w:rPr>
          <w:rFonts w:ascii="Palatino Linotype" w:eastAsia="Times New Roman" w:hAnsi="Palatino Linotype" w:cs="Calibri"/>
          <w:b/>
          <w:i/>
          <w:color w:val="444444"/>
          <w:lang w:eastAsia="es-MX"/>
        </w:rPr>
      </w:pPr>
      <w:r w:rsidRPr="002D4E78">
        <w:rPr>
          <w:rFonts w:ascii="Palatino Linotype" w:eastAsia="Times New Roman" w:hAnsi="Palatino Linotype" w:cs="Calibri"/>
          <w:i/>
          <w:color w:val="444444"/>
          <w:lang w:eastAsia="es-MX"/>
        </w:rPr>
        <w:t xml:space="preserve">Amparo en revisión 353/2005. Francisco Torres Coronel y otro. 4 de noviembre de 2005. Unanimidad de votos. Ponente: Filiberto Méndez Gutiérrez. Secretaria: Carla </w:t>
      </w:r>
      <w:proofErr w:type="spellStart"/>
      <w:r w:rsidRPr="002D4E78">
        <w:rPr>
          <w:rFonts w:ascii="Palatino Linotype" w:eastAsia="Times New Roman" w:hAnsi="Palatino Linotype" w:cs="Calibri"/>
          <w:i/>
          <w:color w:val="444444"/>
          <w:lang w:eastAsia="es-MX"/>
        </w:rPr>
        <w:t>Isselín</w:t>
      </w:r>
      <w:proofErr w:type="spellEnd"/>
      <w:r w:rsidRPr="002D4E78">
        <w:rPr>
          <w:rFonts w:ascii="Palatino Linotype" w:eastAsia="Times New Roman" w:hAnsi="Palatino Linotype" w:cs="Calibri"/>
          <w:i/>
          <w:color w:val="444444"/>
          <w:lang w:eastAsia="es-MX"/>
        </w:rPr>
        <w:t xml:space="preserve"> Talavera.” </w:t>
      </w:r>
      <w:r w:rsidRPr="002D4E78">
        <w:rPr>
          <w:rFonts w:ascii="Palatino Linotype" w:eastAsia="Times New Roman" w:hAnsi="Palatino Linotype" w:cs="Calibri"/>
          <w:b/>
          <w:i/>
          <w:color w:val="444444"/>
          <w:lang w:eastAsia="es-MX"/>
        </w:rPr>
        <w:t>[Sic]</w:t>
      </w:r>
    </w:p>
    <w:p w14:paraId="22384BD5" w14:textId="77777777" w:rsidR="00D04897" w:rsidRPr="002D4E78" w:rsidRDefault="00D04897" w:rsidP="00D04897">
      <w:pPr>
        <w:spacing w:after="0" w:line="360" w:lineRule="auto"/>
        <w:jc w:val="both"/>
        <w:rPr>
          <w:rFonts w:ascii="Palatino Linotype" w:hAnsi="Palatino Linotype" w:cs="Arial"/>
          <w:noProof/>
          <w:color w:val="000000"/>
          <w:sz w:val="24"/>
          <w:lang w:eastAsia="es-MX"/>
        </w:rPr>
      </w:pPr>
    </w:p>
    <w:p w14:paraId="64C1F6BB" w14:textId="77777777" w:rsidR="00D04897" w:rsidRPr="002D4E78" w:rsidRDefault="00D04897" w:rsidP="00D04897">
      <w:pPr>
        <w:spacing w:after="0" w:line="360" w:lineRule="auto"/>
        <w:jc w:val="both"/>
        <w:rPr>
          <w:rFonts w:ascii="Palatino Linotype" w:hAnsi="Palatino Linotype" w:cs="Arial"/>
          <w:noProof/>
          <w:color w:val="000000"/>
          <w:sz w:val="24"/>
          <w:lang w:eastAsia="es-MX"/>
        </w:rPr>
      </w:pPr>
      <w:r w:rsidRPr="002D4E78">
        <w:rPr>
          <w:rFonts w:ascii="Palatino Linotype" w:hAnsi="Palatino Linotype" w:cs="Arial"/>
          <w:noProof/>
          <w:color w:val="000000"/>
          <w:sz w:val="24"/>
          <w:lang w:eastAsia="es-MX"/>
        </w:rPr>
        <w:t xml:space="preserve">De forma complementaria, robustece lo anterior el criterio </w:t>
      </w:r>
      <w:r w:rsidRPr="002D4E78">
        <w:rPr>
          <w:rFonts w:ascii="Palatino Linotype" w:hAnsi="Palatino Linotype" w:cs="Arial"/>
          <w:b/>
          <w:bCs/>
          <w:noProof/>
          <w:color w:val="000000"/>
          <w:sz w:val="24"/>
          <w:lang w:eastAsia="es-MX"/>
        </w:rPr>
        <w:t xml:space="preserve">01/20 </w:t>
      </w:r>
      <w:r w:rsidRPr="002D4E78">
        <w:rPr>
          <w:rFonts w:ascii="Palatino Linotype" w:hAnsi="Palatino Linotype" w:cs="Arial"/>
          <w:noProof/>
          <w:color w:val="000000"/>
          <w:sz w:val="24"/>
          <w:lang w:eastAsia="es-MX"/>
        </w:rPr>
        <w:t xml:space="preserve">emitido por el Instituto Nacional de Transparencia, Acceso a la Información y Protección de Datos Personales, cuyo rubro y texto señalan a la literalidad lo siguiente: </w:t>
      </w:r>
    </w:p>
    <w:p w14:paraId="0023414C" w14:textId="77777777" w:rsidR="00D04897" w:rsidRPr="002D4E78" w:rsidRDefault="00D04897" w:rsidP="00D04897">
      <w:pPr>
        <w:pStyle w:val="Citas"/>
        <w:rPr>
          <w:b/>
        </w:rPr>
      </w:pPr>
      <w:r w:rsidRPr="002D4E78">
        <w:rPr>
          <w:b/>
        </w:rPr>
        <w:lastRenderedPageBreak/>
        <w:t xml:space="preserve">“ACTOS CONSENTIDOS TÁCITAMENTE. IMPROCEDENCIA DE SU ANÁLISIS. </w:t>
      </w:r>
    </w:p>
    <w:p w14:paraId="638CC085" w14:textId="77777777" w:rsidR="00D04897" w:rsidRPr="002D4E78" w:rsidRDefault="00D04897" w:rsidP="00D04897">
      <w:pPr>
        <w:pStyle w:val="Citas"/>
        <w:rPr>
          <w:strike/>
        </w:rPr>
      </w:pPr>
      <w:r w:rsidRPr="002D4E78">
        <w:t xml:space="preserve">Si en su recurso de revisión, la persona recurrente no expresó inconformidad alguna con ciertas partes de la respuesta otorgada, se entienden tácitamente consentidas, por ende, no deben formar parte del estudio de fondo de la resolución que emite el Instituto. </w:t>
      </w:r>
    </w:p>
    <w:p w14:paraId="29C2AC33" w14:textId="77777777" w:rsidR="00D04897" w:rsidRPr="002D4E78" w:rsidRDefault="00D04897" w:rsidP="00D04897">
      <w:pPr>
        <w:pStyle w:val="Citas"/>
        <w:rPr>
          <w:b/>
          <w:bCs/>
        </w:rPr>
      </w:pPr>
      <w:r w:rsidRPr="002D4E78">
        <w:rPr>
          <w:b/>
          <w:bCs/>
        </w:rPr>
        <w:t>Resoluciones:</w:t>
      </w:r>
    </w:p>
    <w:p w14:paraId="2C54E863" w14:textId="77777777" w:rsidR="00D04897" w:rsidRPr="002D4E78" w:rsidRDefault="00D04897" w:rsidP="00D04897">
      <w:pPr>
        <w:pStyle w:val="Citas"/>
      </w:pPr>
      <w:r w:rsidRPr="002D4E78">
        <w:rPr>
          <w:b/>
        </w:rPr>
        <w:t xml:space="preserve">RRA 4548/18. </w:t>
      </w:r>
      <w:r w:rsidRPr="002D4E78">
        <w:t>Instituto de Seguridad y Servicios Sociales de los Trabajadores del Estado. 12 de septiembre de 2018. Por unanimidad. Comisionado Ponente Oscar Mauricio Guerra Ford.</w:t>
      </w:r>
    </w:p>
    <w:p w14:paraId="5063D8DC" w14:textId="77777777" w:rsidR="00D04897" w:rsidRPr="002D4E78" w:rsidRDefault="00FA27EA" w:rsidP="00D04897">
      <w:pPr>
        <w:pStyle w:val="Citas"/>
        <w:rPr>
          <w:sz w:val="20"/>
        </w:rPr>
      </w:pPr>
      <w:hyperlink r:id="rId11" w:history="1">
        <w:r w:rsidR="00D04897" w:rsidRPr="002D4E78">
          <w:rPr>
            <w:rStyle w:val="Hipervnculo"/>
          </w:rPr>
          <w:t>http://consultas.ifai.org.mx/descargar.php?r=./pdf/resoluciones/2018/&amp;a=RRA%204548.pdf</w:t>
        </w:r>
      </w:hyperlink>
    </w:p>
    <w:p w14:paraId="218340EC" w14:textId="77777777" w:rsidR="00D04897" w:rsidRPr="002D4E78" w:rsidRDefault="00D04897" w:rsidP="00D04897">
      <w:pPr>
        <w:pStyle w:val="Citas"/>
        <w:rPr>
          <w:b/>
        </w:rPr>
      </w:pPr>
      <w:r w:rsidRPr="002D4E78">
        <w:rPr>
          <w:b/>
        </w:rPr>
        <w:t xml:space="preserve">RRA 5097/18. </w:t>
      </w:r>
      <w:r w:rsidRPr="002D4E78">
        <w:t>Secretaría de Hacienda y Crédito Público. 05 de septiembre de 2018. Por unanimidad. Comisionado Ponente Joel Salas Suárez.</w:t>
      </w:r>
    </w:p>
    <w:p w14:paraId="435E5EC6" w14:textId="77777777" w:rsidR="00D04897" w:rsidRPr="002D4E78" w:rsidRDefault="00FA27EA" w:rsidP="00D04897">
      <w:pPr>
        <w:pStyle w:val="Citas"/>
        <w:rPr>
          <w:sz w:val="20"/>
        </w:rPr>
      </w:pPr>
      <w:hyperlink r:id="rId12" w:history="1">
        <w:r w:rsidR="00D04897" w:rsidRPr="002D4E78">
          <w:rPr>
            <w:rStyle w:val="Hipervnculo"/>
          </w:rPr>
          <w:t>http://consultas.ifai.org.mx/descargar.php?r=./pdf/resoluciones/2018/&amp;a=RRA%205097.pdf</w:t>
        </w:r>
      </w:hyperlink>
    </w:p>
    <w:p w14:paraId="16669EE2" w14:textId="77777777" w:rsidR="00D04897" w:rsidRPr="002D4E78" w:rsidRDefault="00D04897" w:rsidP="00D04897">
      <w:pPr>
        <w:pStyle w:val="Citas"/>
        <w:rPr>
          <w:b/>
        </w:rPr>
      </w:pPr>
      <w:r w:rsidRPr="002D4E78">
        <w:rPr>
          <w:b/>
        </w:rPr>
        <w:t xml:space="preserve">RRA 14270/19. </w:t>
      </w:r>
      <w:r w:rsidRPr="002D4E78">
        <w:t>Registro Agrario Nacional. 22 de enero de 2020. Por unanimidad. Comisionado Ponente Francisco Javier Acuña Llamas.</w:t>
      </w:r>
    </w:p>
    <w:p w14:paraId="79EA0C7B" w14:textId="77777777" w:rsidR="00D04897" w:rsidRPr="009754D6" w:rsidRDefault="00FA27EA" w:rsidP="00D04897">
      <w:pPr>
        <w:pStyle w:val="Citas"/>
        <w:rPr>
          <w:rStyle w:val="Hipervnculo"/>
          <w:b/>
          <w:bCs/>
          <w:color w:val="auto"/>
          <w:sz w:val="24"/>
          <w:szCs w:val="24"/>
          <w:u w:val="none"/>
          <w:lang w:val="en-US"/>
        </w:rPr>
      </w:pPr>
      <w:hyperlink r:id="rId13" w:history="1">
        <w:r w:rsidR="00D04897" w:rsidRPr="002D4E78">
          <w:rPr>
            <w:rStyle w:val="Hipervnculo"/>
            <w:lang w:val="en-US"/>
          </w:rPr>
          <w:t>http://consultas.ifai.org.mx/descargar.php?r=./pdf/resoluciones/2019/&amp;a=RRA%2014270.pdf</w:t>
        </w:r>
      </w:hyperlink>
      <w:r w:rsidR="00D04897" w:rsidRPr="002D4E78">
        <w:rPr>
          <w:rStyle w:val="Hipervnculo"/>
          <w:sz w:val="20"/>
          <w:lang w:val="en-US"/>
        </w:rPr>
        <w:t xml:space="preserve">” </w:t>
      </w:r>
      <w:r w:rsidR="00D04897" w:rsidRPr="002D4E78">
        <w:rPr>
          <w:rStyle w:val="Hipervnculo"/>
          <w:i w:val="0"/>
          <w:iCs/>
          <w:sz w:val="24"/>
          <w:szCs w:val="24"/>
          <w:u w:val="none"/>
          <w:lang w:val="en-US"/>
        </w:rPr>
        <w:t xml:space="preserve"> </w:t>
      </w:r>
      <w:r w:rsidR="00D04897" w:rsidRPr="002D4E78">
        <w:rPr>
          <w:rStyle w:val="Hipervnculo"/>
          <w:b/>
          <w:bCs/>
          <w:color w:val="auto"/>
          <w:sz w:val="24"/>
          <w:szCs w:val="24"/>
          <w:u w:val="none"/>
          <w:lang w:val="en-US"/>
        </w:rPr>
        <w:t>[Sic]</w:t>
      </w:r>
      <w:r w:rsidR="00D04897" w:rsidRPr="009754D6">
        <w:rPr>
          <w:rStyle w:val="Hipervnculo"/>
          <w:b/>
          <w:bCs/>
          <w:color w:val="auto"/>
          <w:sz w:val="24"/>
          <w:szCs w:val="24"/>
          <w:u w:val="none"/>
          <w:lang w:val="en-US"/>
        </w:rPr>
        <w:t xml:space="preserve"> </w:t>
      </w:r>
    </w:p>
    <w:p w14:paraId="22EDB65C" w14:textId="77777777" w:rsidR="00D04897" w:rsidRPr="00B974F0" w:rsidRDefault="00D04897" w:rsidP="00D04897">
      <w:pPr>
        <w:spacing w:after="0" w:line="360" w:lineRule="auto"/>
        <w:jc w:val="both"/>
        <w:rPr>
          <w:rFonts w:ascii="Palatino Linotype" w:hAnsi="Palatino Linotype" w:cs="Arial"/>
          <w:color w:val="000000"/>
          <w:sz w:val="24"/>
          <w:highlight w:val="yellow"/>
          <w:lang w:val="en-US"/>
        </w:rPr>
      </w:pPr>
    </w:p>
    <w:p w14:paraId="14799BA6" w14:textId="3F8C785F" w:rsidR="00D04897" w:rsidRDefault="00D04897" w:rsidP="00D04897">
      <w:pPr>
        <w:pStyle w:val="infoemcitas"/>
        <w:tabs>
          <w:tab w:val="left" w:pos="7655"/>
        </w:tabs>
        <w:ind w:left="0" w:right="0"/>
        <w:rPr>
          <w:rFonts w:cs="Arial"/>
          <w:i w:val="0"/>
          <w:noProof/>
          <w:color w:val="000000"/>
          <w:sz w:val="24"/>
          <w:lang w:eastAsia="es-MX"/>
        </w:rPr>
      </w:pPr>
      <w:r>
        <w:rPr>
          <w:i w:val="0"/>
          <w:sz w:val="24"/>
          <w:szCs w:val="24"/>
        </w:rPr>
        <w:lastRenderedPageBreak/>
        <w:t xml:space="preserve">Así las cosas, hasta aquí lo expuesto, resulta inconcuso que </w:t>
      </w:r>
      <w:r>
        <w:rPr>
          <w:b/>
          <w:i w:val="0"/>
          <w:sz w:val="24"/>
          <w:szCs w:val="24"/>
        </w:rPr>
        <w:t>El Sujeto Obligado</w:t>
      </w:r>
      <w:r w:rsidRPr="00535EDD">
        <w:rPr>
          <w:b/>
          <w:i w:val="0"/>
          <w:sz w:val="24"/>
          <w:szCs w:val="24"/>
        </w:rPr>
        <w:t xml:space="preserve"> </w:t>
      </w:r>
      <w:r w:rsidRPr="00535EDD">
        <w:rPr>
          <w:rFonts w:cs="Arial"/>
          <w:i w:val="0"/>
          <w:noProof/>
          <w:color w:val="000000"/>
          <w:sz w:val="24"/>
          <w:lang w:eastAsia="es-MX"/>
        </w:rPr>
        <w:t xml:space="preserve">no satisfizo el derecho de acceso a la información pública ejercido por </w:t>
      </w:r>
      <w:r w:rsidR="00715F5E">
        <w:rPr>
          <w:rFonts w:cs="Arial"/>
          <w:b/>
          <w:i w:val="0"/>
          <w:noProof/>
          <w:color w:val="000000"/>
          <w:sz w:val="24"/>
          <w:lang w:eastAsia="es-MX"/>
        </w:rPr>
        <w:t>El</w:t>
      </w:r>
      <w:r>
        <w:rPr>
          <w:rFonts w:cs="Arial"/>
          <w:b/>
          <w:i w:val="0"/>
          <w:noProof/>
          <w:color w:val="000000"/>
          <w:sz w:val="24"/>
          <w:lang w:eastAsia="es-MX"/>
        </w:rPr>
        <w:t xml:space="preserve"> </w:t>
      </w:r>
      <w:r w:rsidRPr="00535EDD">
        <w:rPr>
          <w:rFonts w:cs="Arial"/>
          <w:b/>
          <w:i w:val="0"/>
          <w:noProof/>
          <w:color w:val="000000"/>
          <w:sz w:val="24"/>
          <w:lang w:eastAsia="es-MX"/>
        </w:rPr>
        <w:t xml:space="preserve">Recurrente, </w:t>
      </w:r>
      <w:r w:rsidRPr="00535EDD">
        <w:rPr>
          <w:rFonts w:cs="Arial"/>
          <w:i w:val="0"/>
          <w:noProof/>
          <w:color w:val="000000"/>
          <w:sz w:val="24"/>
          <w:lang w:eastAsia="es-MX"/>
        </w:rPr>
        <w:t xml:space="preserve">al tenerse por actualizadas las hipotesis normativas previstas en el artículo 179, </w:t>
      </w:r>
      <w:r>
        <w:rPr>
          <w:rFonts w:cs="Arial"/>
          <w:i w:val="0"/>
          <w:noProof/>
          <w:color w:val="000000"/>
          <w:sz w:val="24"/>
          <w:lang w:eastAsia="es-MX"/>
        </w:rPr>
        <w:t xml:space="preserve">fracciones I y XIII de la Ley de Transparencia y Acceso a la Información Pública del Estado de Mexico y Municipios, cuyo contenido literal es el siguiente: </w:t>
      </w:r>
    </w:p>
    <w:p w14:paraId="1854F9F0" w14:textId="77777777" w:rsidR="00D04897" w:rsidRPr="00583CB2" w:rsidRDefault="00D04897" w:rsidP="00D04897">
      <w:pPr>
        <w:pStyle w:val="Citas"/>
      </w:pPr>
      <w:r w:rsidRPr="00583CB2">
        <w:t xml:space="preserve"> “Artículo 179. El recurso de revisión es un medio de protección que la Ley otorga a los particulares, para hacer valer su derecho de acceso a la información pública, y procederá en contra de las siguientes causas:</w:t>
      </w:r>
    </w:p>
    <w:p w14:paraId="0F051C5F" w14:textId="77777777" w:rsidR="00D04897" w:rsidRDefault="00D04897" w:rsidP="00D04897">
      <w:pPr>
        <w:pStyle w:val="Citas"/>
      </w:pPr>
      <w:r w:rsidRPr="00583CB2">
        <w:t>I. La negativa a la información solicitada;</w:t>
      </w:r>
    </w:p>
    <w:p w14:paraId="521E141F" w14:textId="77777777" w:rsidR="00D04897" w:rsidRPr="00583CB2" w:rsidRDefault="00D04897" w:rsidP="00D04897">
      <w:pPr>
        <w:pStyle w:val="Citas"/>
      </w:pPr>
      <w:r>
        <w:t>(…)</w:t>
      </w:r>
    </w:p>
    <w:p w14:paraId="54A5EEFC" w14:textId="77777777" w:rsidR="00D04897" w:rsidRDefault="00D04897" w:rsidP="00D04897">
      <w:pPr>
        <w:pStyle w:val="Citas"/>
      </w:pPr>
      <w:r w:rsidRPr="00D04897">
        <w:t xml:space="preserve">XIII. La falta, deficiencia o insuficiencia de la fundamentación y/o motivación en la respuesta; y </w:t>
      </w:r>
    </w:p>
    <w:p w14:paraId="2203E100" w14:textId="1BA2EE8A" w:rsidR="00D04897" w:rsidRPr="00583CB2" w:rsidRDefault="00D04897" w:rsidP="00D04897">
      <w:pPr>
        <w:pStyle w:val="Citas"/>
      </w:pPr>
      <w:r w:rsidRPr="00583CB2">
        <w:t>(…)” [Sic]</w:t>
      </w:r>
    </w:p>
    <w:p w14:paraId="11327D32" w14:textId="04D0DA65" w:rsidR="00D04897" w:rsidRDefault="00D04897" w:rsidP="00D04897">
      <w:pPr>
        <w:spacing w:line="360" w:lineRule="auto"/>
        <w:jc w:val="both"/>
        <w:rPr>
          <w:rFonts w:ascii="Palatino Linotype" w:hAnsi="Palatino Linotype" w:cs="Arial"/>
          <w:color w:val="000000"/>
          <w:sz w:val="24"/>
          <w:szCs w:val="24"/>
        </w:rPr>
      </w:pPr>
    </w:p>
    <w:p w14:paraId="6B02740D" w14:textId="0243A7BD" w:rsidR="00D04897" w:rsidRPr="00D04897" w:rsidRDefault="00D04897" w:rsidP="00D04897">
      <w:pPr>
        <w:spacing w:line="360" w:lineRule="auto"/>
        <w:jc w:val="both"/>
        <w:rPr>
          <w:rFonts w:ascii="Palatino Linotype" w:hAnsi="Palatino Linotype" w:cs="Arial"/>
          <w:color w:val="000000"/>
          <w:sz w:val="24"/>
          <w:szCs w:val="24"/>
        </w:rPr>
      </w:pPr>
      <w:r w:rsidRPr="00D04897">
        <w:rPr>
          <w:rFonts w:ascii="Palatino Linotype" w:hAnsi="Palatino Linotype"/>
          <w:iCs/>
          <w:sz w:val="24"/>
          <w:szCs w:val="24"/>
        </w:rPr>
        <w:t xml:space="preserve">Bajo este contexto, como fue referido en el antecedente quinto, </w:t>
      </w:r>
      <w:r w:rsidRPr="00D04897">
        <w:rPr>
          <w:rFonts w:ascii="Palatino Linotype" w:hAnsi="Palatino Linotype"/>
          <w:b/>
          <w:bCs/>
          <w:iCs/>
          <w:sz w:val="24"/>
          <w:szCs w:val="24"/>
        </w:rPr>
        <w:t xml:space="preserve">El Sujeto Obligado </w:t>
      </w:r>
      <w:r w:rsidRPr="00D04897">
        <w:rPr>
          <w:rFonts w:ascii="Palatino Linotype" w:hAnsi="Palatino Linotype"/>
          <w:iCs/>
          <w:sz w:val="24"/>
          <w:szCs w:val="24"/>
        </w:rPr>
        <w:t>fue omiso en rendir su informe justificado. De ahí que se arriba a las siguientes consideraciones:</w:t>
      </w:r>
    </w:p>
    <w:p w14:paraId="3FDF6013" w14:textId="77777777" w:rsidR="00D04897" w:rsidRPr="00D04897" w:rsidRDefault="00D04897" w:rsidP="00D04897">
      <w:pPr>
        <w:pStyle w:val="Prrafodelista"/>
        <w:numPr>
          <w:ilvl w:val="0"/>
          <w:numId w:val="29"/>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ascii="Palatino Linotype" w:hAnsi="Palatino Linotype" w:cs="Arial"/>
          <w:b/>
          <w:bCs/>
        </w:rPr>
        <w:t>Sujetos Obligados.</w:t>
      </w:r>
    </w:p>
    <w:p w14:paraId="39B621C6" w14:textId="00AD5C7E" w:rsidR="00D04897" w:rsidRPr="00D04897" w:rsidRDefault="00D04897" w:rsidP="00B30277">
      <w:pPr>
        <w:pStyle w:val="Prrafodelista"/>
        <w:numPr>
          <w:ilvl w:val="0"/>
          <w:numId w:val="29"/>
        </w:numPr>
        <w:autoSpaceDE w:val="0"/>
        <w:autoSpaceDN w:val="0"/>
        <w:adjustRightInd w:val="0"/>
        <w:spacing w:line="360" w:lineRule="auto"/>
        <w:jc w:val="both"/>
        <w:rPr>
          <w:rFonts w:ascii="Palatino Linotype" w:hAnsi="Palatino Linotype" w:cs="Arial"/>
        </w:rPr>
      </w:pPr>
      <w:r w:rsidRPr="00D04897">
        <w:rPr>
          <w:rFonts w:ascii="Palatino Linotype" w:hAnsi="Palatino Linotype" w:cs="Arial"/>
        </w:rPr>
        <w:lastRenderedPageBreak/>
        <w:t xml:space="preserve">Que en la </w:t>
      </w:r>
      <w:r w:rsidRPr="00D04897">
        <w:rPr>
          <w:rFonts w:ascii="Palatino Linotype" w:hAnsi="Palatino Linotype" w:cs="Arial"/>
          <w:lang w:val="es-MX"/>
        </w:rPr>
        <w:t>generación, publicación y entrega de información se deberá garantizar que ésta sea accesible, actualizada, completa, congruente, confiable, verificable, veraz, integral, oportuna y expedita</w:t>
      </w:r>
      <w:r>
        <w:rPr>
          <w:rFonts w:ascii="Palatino Linotype" w:hAnsi="Palatino Linotype" w:cs="Arial"/>
          <w:lang w:val="es-MX"/>
        </w:rPr>
        <w:t xml:space="preserve">, sujeta a un claro régimen de excepciones. </w:t>
      </w:r>
    </w:p>
    <w:p w14:paraId="4EAE264F" w14:textId="0AF29B2C" w:rsidR="00D04897" w:rsidRPr="00D04897" w:rsidRDefault="00D04897" w:rsidP="00B30277">
      <w:pPr>
        <w:pStyle w:val="Prrafodelista"/>
        <w:numPr>
          <w:ilvl w:val="0"/>
          <w:numId w:val="29"/>
        </w:numPr>
        <w:autoSpaceDE w:val="0"/>
        <w:autoSpaceDN w:val="0"/>
        <w:adjustRightInd w:val="0"/>
        <w:spacing w:line="360" w:lineRule="auto"/>
        <w:jc w:val="both"/>
        <w:rPr>
          <w:rFonts w:ascii="Palatino Linotype" w:hAnsi="Palatino Linotype" w:cs="Arial"/>
        </w:rPr>
      </w:pPr>
      <w:r>
        <w:rPr>
          <w:rFonts w:ascii="Palatino Linotype" w:hAnsi="Palatino Linotype" w:cs="Arial"/>
          <w:lang w:val="es-MX"/>
        </w:rPr>
        <w:t>Que de una lectura integral a la estadística correspondiente a los años 2014 a 2019, se logra vislumbrar que no existe congruencia entre el número de lesiones reportadas por municipio y el total general anual, dicho en otras palabras, la información en cita</w:t>
      </w:r>
      <w:r w:rsidR="00715F5E">
        <w:rPr>
          <w:rFonts w:ascii="Palatino Linotype" w:hAnsi="Palatino Linotype" w:cs="Arial"/>
          <w:lang w:val="es-MX"/>
        </w:rPr>
        <w:t>,</w:t>
      </w:r>
      <w:r>
        <w:rPr>
          <w:rFonts w:ascii="Palatino Linotype" w:hAnsi="Palatino Linotype" w:cs="Arial"/>
          <w:lang w:val="es-MX"/>
        </w:rPr>
        <w:t xml:space="preserve"> genera falta de certeza jurídica al </w:t>
      </w:r>
      <w:r>
        <w:rPr>
          <w:rFonts w:ascii="Palatino Linotype" w:hAnsi="Palatino Linotype" w:cs="Arial"/>
          <w:b/>
          <w:bCs/>
          <w:lang w:val="es-MX"/>
        </w:rPr>
        <w:t xml:space="preserve">Recurrente. </w:t>
      </w:r>
    </w:p>
    <w:p w14:paraId="4B0087B3" w14:textId="77355029" w:rsidR="00D04897" w:rsidRPr="00D04897" w:rsidRDefault="00D04897" w:rsidP="00B30277">
      <w:pPr>
        <w:pStyle w:val="Prrafodelista"/>
        <w:numPr>
          <w:ilvl w:val="0"/>
          <w:numId w:val="29"/>
        </w:numPr>
        <w:autoSpaceDE w:val="0"/>
        <w:autoSpaceDN w:val="0"/>
        <w:adjustRightInd w:val="0"/>
        <w:spacing w:line="360" w:lineRule="auto"/>
        <w:jc w:val="both"/>
        <w:rPr>
          <w:rFonts w:ascii="Palatino Linotype" w:hAnsi="Palatino Linotype" w:cs="Arial"/>
        </w:rPr>
      </w:pPr>
      <w:r>
        <w:rPr>
          <w:rFonts w:ascii="Palatino Linotype" w:hAnsi="Palatino Linotype" w:cs="Arial"/>
          <w:lang w:val="es-MX"/>
        </w:rPr>
        <w:t xml:space="preserve">Que, mediante informe justificado, no fue subsanada la violación al derecho de acceso a la información pública. </w:t>
      </w:r>
    </w:p>
    <w:p w14:paraId="5DEB8A3F" w14:textId="77777777" w:rsidR="00D04897" w:rsidRDefault="00D04897" w:rsidP="00D04897">
      <w:pPr>
        <w:spacing w:after="0" w:line="360" w:lineRule="auto"/>
        <w:jc w:val="both"/>
        <w:rPr>
          <w:rFonts w:ascii="Palatino Linotype" w:hAnsi="Palatino Linotype" w:cs="Arial"/>
          <w:color w:val="000000"/>
          <w:sz w:val="24"/>
          <w:lang w:val="es-ES"/>
        </w:rPr>
      </w:pPr>
    </w:p>
    <w:p w14:paraId="5F2ECD57" w14:textId="3B3F73BE" w:rsidR="00D04897" w:rsidRDefault="00D04897" w:rsidP="00D04897">
      <w:pPr>
        <w:spacing w:line="360" w:lineRule="auto"/>
        <w:jc w:val="both"/>
        <w:rPr>
          <w:rFonts w:ascii="Palatino Linotype" w:hAnsi="Palatino Linotype"/>
          <w:sz w:val="24"/>
          <w:szCs w:val="24"/>
        </w:rPr>
      </w:pPr>
      <w:r w:rsidRPr="00D04897">
        <w:rPr>
          <w:rFonts w:ascii="Palatino Linotype" w:hAnsi="Palatino Linotype" w:cs="Arial"/>
          <w:sz w:val="24"/>
          <w:szCs w:val="24"/>
        </w:rPr>
        <w:t xml:space="preserve">En suma, resulta procedente ordenar una búsqueda exhaustiva y razonable, para hacer entrega del o los </w:t>
      </w:r>
      <w:r w:rsidRPr="00D04897">
        <w:rPr>
          <w:rFonts w:ascii="Palatino Linotype" w:hAnsi="Palatino Linotype"/>
          <w:sz w:val="24"/>
          <w:szCs w:val="24"/>
        </w:rPr>
        <w:t>documentos donde consten el número de intoxicaciones ocasionadas por el consumo de hongos silvestres (</w:t>
      </w:r>
      <w:proofErr w:type="spellStart"/>
      <w:r w:rsidRPr="00D04897">
        <w:rPr>
          <w:rFonts w:ascii="Palatino Linotype" w:hAnsi="Palatino Linotype"/>
          <w:sz w:val="24"/>
          <w:szCs w:val="24"/>
        </w:rPr>
        <w:t>micetismos</w:t>
      </w:r>
      <w:proofErr w:type="spellEnd"/>
      <w:r w:rsidRPr="00D04897">
        <w:rPr>
          <w:rFonts w:ascii="Palatino Linotype" w:hAnsi="Palatino Linotype"/>
          <w:sz w:val="24"/>
          <w:szCs w:val="24"/>
        </w:rPr>
        <w:t xml:space="preserve">), por municipio o región, del periodo comprendido del uno de enero de dos mil catorce al </w:t>
      </w:r>
      <w:r>
        <w:rPr>
          <w:rFonts w:ascii="Palatino Linotype" w:hAnsi="Palatino Linotype"/>
          <w:sz w:val="24"/>
          <w:szCs w:val="24"/>
        </w:rPr>
        <w:t xml:space="preserve">treinta y uno de diciembre de dos mil </w:t>
      </w:r>
      <w:r w:rsidR="00715F5E">
        <w:rPr>
          <w:rFonts w:ascii="Palatino Linotype" w:hAnsi="Palatino Linotype"/>
          <w:sz w:val="24"/>
          <w:szCs w:val="24"/>
        </w:rPr>
        <w:t xml:space="preserve">diecinueve. </w:t>
      </w:r>
      <w:r>
        <w:rPr>
          <w:rFonts w:ascii="Palatino Linotype" w:hAnsi="Palatino Linotype"/>
          <w:sz w:val="24"/>
          <w:szCs w:val="24"/>
        </w:rPr>
        <w:t xml:space="preserve"> </w:t>
      </w:r>
    </w:p>
    <w:p w14:paraId="521DED05" w14:textId="4F15B73F" w:rsidR="00D04897" w:rsidRPr="00AC0BF4" w:rsidRDefault="00D04897" w:rsidP="00D04897">
      <w:pPr>
        <w:tabs>
          <w:tab w:val="left" w:pos="709"/>
        </w:tabs>
        <w:spacing w:before="240" w:line="360" w:lineRule="auto"/>
        <w:ind w:right="51"/>
        <w:jc w:val="both"/>
        <w:rPr>
          <w:rFonts w:ascii="Palatino Linotype" w:hAnsi="Palatino Linotype"/>
          <w:sz w:val="24"/>
          <w:szCs w:val="24"/>
        </w:rPr>
      </w:pPr>
      <w:r w:rsidRPr="002D7901">
        <w:rPr>
          <w:rFonts w:ascii="Palatino Linotype" w:hAnsi="Palatino Linotype"/>
          <w:sz w:val="24"/>
          <w:szCs w:val="24"/>
        </w:rPr>
        <w:t>Finalmente</w:t>
      </w:r>
      <w:r>
        <w:rPr>
          <w:rFonts w:ascii="Palatino Linotype" w:hAnsi="Palatino Linotype"/>
          <w:sz w:val="24"/>
          <w:szCs w:val="24"/>
        </w:rPr>
        <w:t xml:space="preserve">, con relación a la modalidad de entrega consistente en copia simple, </w:t>
      </w:r>
      <w:r w:rsidRPr="00AC0BF4">
        <w:rPr>
          <w:rFonts w:ascii="Palatino Linotype" w:eastAsia="Times New Roman" w:hAnsi="Palatino Linotype" w:cs="Arial"/>
          <w:sz w:val="24"/>
          <w:szCs w:val="24"/>
          <w:lang w:val="es-ES" w:eastAsia="es-ES"/>
        </w:rPr>
        <w:t xml:space="preserve">este </w:t>
      </w:r>
      <w:r w:rsidRPr="00AC0BF4">
        <w:rPr>
          <w:rFonts w:ascii="Palatino Linotype" w:hAnsi="Palatino Linotype"/>
          <w:sz w:val="24"/>
          <w:szCs w:val="24"/>
        </w:rPr>
        <w:t xml:space="preserve">órgano garante considera que la entrega de la información vía Sistema de Acceso a la Información Mexiquense </w:t>
      </w:r>
      <w:r w:rsidRPr="00AC0BF4">
        <w:rPr>
          <w:rFonts w:ascii="Palatino Linotype" w:hAnsi="Palatino Linotype"/>
          <w:b/>
          <w:bCs/>
          <w:sz w:val="24"/>
          <w:szCs w:val="24"/>
        </w:rPr>
        <w:t>(SAIMEX)</w:t>
      </w:r>
      <w:r w:rsidRPr="00AC0BF4">
        <w:rPr>
          <w:rFonts w:ascii="Palatino Linotype" w:hAnsi="Palatino Linotype"/>
          <w:sz w:val="24"/>
          <w:szCs w:val="24"/>
        </w:rPr>
        <w:t xml:space="preserve"> puede homologarse a la modalidad señalada en el cuerpo de la solicitud de información, toda vez que la impresión del archivo digital que </w:t>
      </w:r>
      <w:r w:rsidRPr="00AC0BF4">
        <w:rPr>
          <w:rFonts w:ascii="Palatino Linotype" w:hAnsi="Palatino Linotype"/>
          <w:b/>
          <w:sz w:val="24"/>
          <w:szCs w:val="24"/>
        </w:rPr>
        <w:t xml:space="preserve">El Sujeto Obligado </w:t>
      </w:r>
      <w:r w:rsidRPr="00AC0BF4">
        <w:rPr>
          <w:rFonts w:ascii="Palatino Linotype" w:hAnsi="Palatino Linotype"/>
          <w:sz w:val="24"/>
          <w:szCs w:val="24"/>
        </w:rPr>
        <w:t xml:space="preserve">remita en cumplimiento de la resolución comparte la misma naturaleza de una copia simple. </w:t>
      </w:r>
    </w:p>
    <w:p w14:paraId="611AC95B" w14:textId="77777777" w:rsidR="00D04897" w:rsidRDefault="00D04897" w:rsidP="00D04897">
      <w:pPr>
        <w:pStyle w:val="Citas"/>
        <w:tabs>
          <w:tab w:val="left" w:pos="7470"/>
        </w:tabs>
        <w:ind w:left="0" w:right="72"/>
        <w:rPr>
          <w:i w:val="0"/>
          <w:iCs/>
          <w:sz w:val="24"/>
          <w:szCs w:val="24"/>
        </w:rPr>
      </w:pPr>
      <w:r w:rsidRPr="00AC0BF4">
        <w:rPr>
          <w:i w:val="0"/>
          <w:iCs/>
          <w:sz w:val="24"/>
          <w:szCs w:val="24"/>
        </w:rPr>
        <w:lastRenderedPageBreak/>
        <w:t xml:space="preserve">Adicionalmente, la entrega de información vía </w:t>
      </w:r>
      <w:r w:rsidRPr="00AC0BF4">
        <w:rPr>
          <w:b/>
          <w:bCs/>
          <w:i w:val="0"/>
          <w:iCs/>
          <w:sz w:val="24"/>
          <w:szCs w:val="24"/>
        </w:rPr>
        <w:t>SAIMEX</w:t>
      </w:r>
      <w:r w:rsidRPr="00AC0BF4">
        <w:rPr>
          <w:i w:val="0"/>
          <w:iCs/>
          <w:sz w:val="24"/>
          <w:szCs w:val="24"/>
        </w:rPr>
        <w:t xml:space="preserve"> otorga el beneficio de disponer inmediata y gratuitamente de la información solicitada; consecuentemente, se determina que en aras de privilegiar el derecho del particular y toda vez que el ejercicio de la acción fue a través del Sistema y atendiendo a los principios de máxima publicidad y pro persona, es que se considera viable que la información se entregue por dicho sistema.</w:t>
      </w:r>
      <w:r>
        <w:rPr>
          <w:i w:val="0"/>
          <w:iCs/>
          <w:sz w:val="24"/>
          <w:szCs w:val="24"/>
        </w:rPr>
        <w:t xml:space="preserve"> </w:t>
      </w:r>
    </w:p>
    <w:p w14:paraId="0812F01E" w14:textId="77024B0C" w:rsidR="00D04897" w:rsidRPr="001E0EDE" w:rsidRDefault="00D04897" w:rsidP="00D04897">
      <w:pPr>
        <w:tabs>
          <w:tab w:val="left" w:pos="709"/>
        </w:tabs>
        <w:spacing w:before="240" w:line="360" w:lineRule="auto"/>
        <w:ind w:right="51"/>
        <w:jc w:val="both"/>
        <w:rPr>
          <w:rFonts w:ascii="Palatino Linotype" w:hAnsi="Palatino Linotype"/>
          <w:sz w:val="24"/>
          <w:szCs w:val="24"/>
        </w:rPr>
      </w:pPr>
      <w:r w:rsidRPr="0037314A">
        <w:rPr>
          <w:rFonts w:ascii="Palatino Linotype" w:hAnsi="Palatino Linotype"/>
          <w:iCs/>
          <w:sz w:val="24"/>
          <w:szCs w:val="24"/>
        </w:rPr>
        <w:t xml:space="preserve">En mérito de lo expuesto </w:t>
      </w:r>
      <w:r w:rsidRPr="0037314A">
        <w:rPr>
          <w:rFonts w:ascii="Palatino Linotype" w:hAnsi="Palatino Linotype"/>
          <w:sz w:val="24"/>
          <w:szCs w:val="24"/>
        </w:rPr>
        <w:t xml:space="preserve">en líneas anteriores, resultan parcialmente fundados los motivos de inconformidad vertidos por </w:t>
      </w:r>
      <w:r w:rsidR="00715F5E">
        <w:rPr>
          <w:rFonts w:ascii="Palatino Linotype" w:hAnsi="Palatino Linotype"/>
          <w:b/>
          <w:sz w:val="24"/>
          <w:szCs w:val="24"/>
        </w:rPr>
        <w:t>El</w:t>
      </w:r>
      <w:r w:rsidRPr="0037314A">
        <w:rPr>
          <w:rFonts w:ascii="Palatino Linotype" w:hAnsi="Palatino Linotype"/>
          <w:b/>
          <w:sz w:val="24"/>
          <w:szCs w:val="24"/>
        </w:rPr>
        <w:t xml:space="preserve"> Recurrente, </w:t>
      </w:r>
      <w:r w:rsidRPr="0037314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37314A">
        <w:rPr>
          <w:rFonts w:ascii="Palatino Linotype" w:hAnsi="Palatino Linotype"/>
          <w:b/>
          <w:sz w:val="24"/>
          <w:szCs w:val="24"/>
        </w:rPr>
        <w:t xml:space="preserve">MODIFICA </w:t>
      </w:r>
      <w:r w:rsidRPr="0037314A">
        <w:rPr>
          <w:rFonts w:ascii="Palatino Linotype" w:hAnsi="Palatino Linotype"/>
          <w:sz w:val="24"/>
          <w:szCs w:val="24"/>
        </w:rPr>
        <w:t xml:space="preserve">la respuesta a la solicitud de información </w:t>
      </w:r>
      <w:r>
        <w:rPr>
          <w:rFonts w:ascii="Palatino Linotype" w:hAnsi="Palatino Linotype"/>
          <w:b/>
          <w:bCs/>
          <w:sz w:val="24"/>
          <w:szCs w:val="24"/>
        </w:rPr>
        <w:t xml:space="preserve">00774/ISEM/IP/2024, </w:t>
      </w:r>
      <w:r>
        <w:rPr>
          <w:rFonts w:ascii="Palatino Linotype" w:hAnsi="Palatino Linotype"/>
          <w:sz w:val="24"/>
          <w:szCs w:val="24"/>
        </w:rPr>
        <w:t xml:space="preserve">que ha sido materia del presente fallo. </w:t>
      </w:r>
    </w:p>
    <w:p w14:paraId="59926A21" w14:textId="77777777" w:rsidR="00D04897" w:rsidRPr="0037314A" w:rsidRDefault="00D04897" w:rsidP="00D04897">
      <w:pPr>
        <w:pStyle w:val="Prrafodelista"/>
        <w:spacing w:before="240" w:after="240" w:line="360" w:lineRule="auto"/>
        <w:ind w:left="0"/>
        <w:jc w:val="both"/>
        <w:rPr>
          <w:rFonts w:ascii="Palatino Linotype" w:hAnsi="Palatino Linotype"/>
          <w:lang w:val="es-MX"/>
        </w:rPr>
      </w:pPr>
      <w:r>
        <w:rPr>
          <w:rFonts w:ascii="Palatino Linotype" w:hAnsi="Palatino Linotype"/>
          <w:lang w:val="es-MX"/>
        </w:rPr>
        <w:t>P</w:t>
      </w:r>
      <w:r w:rsidRPr="0037314A">
        <w:rPr>
          <w:rFonts w:ascii="Palatino Linotype" w:hAnsi="Palatino Linotype"/>
          <w:lang w:val="es-MX"/>
        </w:rPr>
        <w:t xml:space="preserve">or lo antes expuesto y fundado es de resolverse y, </w:t>
      </w:r>
    </w:p>
    <w:p w14:paraId="6B6236DC" w14:textId="77777777" w:rsidR="00D04897" w:rsidRDefault="00D04897" w:rsidP="00D04897">
      <w:pPr>
        <w:spacing w:before="240" w:line="360" w:lineRule="auto"/>
        <w:jc w:val="center"/>
        <w:rPr>
          <w:rFonts w:ascii="Palatino Linotype" w:eastAsia="Times New Roman" w:hAnsi="Palatino Linotype"/>
          <w:b/>
          <w:bCs/>
          <w:spacing w:val="60"/>
          <w:sz w:val="28"/>
          <w:szCs w:val="28"/>
        </w:rPr>
      </w:pPr>
    </w:p>
    <w:p w14:paraId="177C79E6" w14:textId="0F23CC53" w:rsidR="00D04897" w:rsidRPr="00096B1F" w:rsidRDefault="00D04897" w:rsidP="00D04897">
      <w:pPr>
        <w:spacing w:before="240" w:line="360" w:lineRule="auto"/>
        <w:jc w:val="center"/>
        <w:rPr>
          <w:rFonts w:ascii="Palatino Linotype" w:eastAsia="Times New Roman" w:hAnsi="Palatino Linotype"/>
          <w:b/>
          <w:bCs/>
          <w:spacing w:val="60"/>
          <w:sz w:val="28"/>
          <w:szCs w:val="28"/>
        </w:rPr>
      </w:pPr>
      <w:r w:rsidRPr="00096B1F">
        <w:rPr>
          <w:rFonts w:ascii="Palatino Linotype" w:eastAsia="Times New Roman" w:hAnsi="Palatino Linotype"/>
          <w:b/>
          <w:bCs/>
          <w:spacing w:val="60"/>
          <w:sz w:val="28"/>
          <w:szCs w:val="28"/>
        </w:rPr>
        <w:t>SE    RESUELVE</w:t>
      </w:r>
    </w:p>
    <w:p w14:paraId="1D5D2487" w14:textId="2C4CD26A" w:rsidR="00D04897" w:rsidRPr="0037314A" w:rsidRDefault="00D04897" w:rsidP="00D04897">
      <w:pPr>
        <w:spacing w:before="240" w:line="360" w:lineRule="auto"/>
        <w:jc w:val="both"/>
        <w:rPr>
          <w:rFonts w:ascii="Palatino Linotype" w:hAnsi="Palatino Linotype" w:cs="Arial"/>
          <w:sz w:val="24"/>
        </w:rPr>
      </w:pPr>
      <w:r w:rsidRPr="00A5022B">
        <w:rPr>
          <w:rFonts w:ascii="Palatino Linotype" w:hAnsi="Palatino Linotype" w:cs="Arial"/>
          <w:b/>
          <w:sz w:val="28"/>
          <w:szCs w:val="28"/>
        </w:rPr>
        <w:t>PRIMERO.</w:t>
      </w:r>
      <w:r w:rsidRPr="0037314A">
        <w:rPr>
          <w:rFonts w:ascii="Palatino Linotype" w:hAnsi="Palatino Linotype" w:cs="Arial"/>
          <w:sz w:val="24"/>
          <w:szCs w:val="24"/>
        </w:rPr>
        <w:t xml:space="preserve"> Se </w:t>
      </w:r>
      <w:r w:rsidRPr="0037314A">
        <w:rPr>
          <w:rFonts w:ascii="Palatino Linotype" w:hAnsi="Palatino Linotype" w:cs="Arial"/>
          <w:b/>
          <w:sz w:val="24"/>
          <w:szCs w:val="24"/>
        </w:rPr>
        <w:t xml:space="preserve">MODIFICA </w:t>
      </w:r>
      <w:r w:rsidRPr="0037314A">
        <w:rPr>
          <w:rFonts w:ascii="Palatino Linotype" w:hAnsi="Palatino Linotype" w:cs="Arial"/>
          <w:sz w:val="24"/>
          <w:szCs w:val="24"/>
        </w:rPr>
        <w:t xml:space="preserve">la respuesta entregada por </w:t>
      </w:r>
      <w:r w:rsidRPr="0037314A">
        <w:rPr>
          <w:rFonts w:ascii="Palatino Linotype" w:hAnsi="Palatino Linotype" w:cs="Arial"/>
          <w:b/>
          <w:sz w:val="24"/>
          <w:szCs w:val="24"/>
        </w:rPr>
        <w:t xml:space="preserve">EL SUJETO OBLIGADO, </w:t>
      </w:r>
      <w:r w:rsidRPr="0037314A">
        <w:rPr>
          <w:rFonts w:ascii="Palatino Linotype" w:hAnsi="Palatino Linotype" w:cs="Arial"/>
          <w:sz w:val="24"/>
          <w:szCs w:val="24"/>
        </w:rPr>
        <w:t xml:space="preserve">a la solicitud de información número </w:t>
      </w:r>
      <w:r>
        <w:rPr>
          <w:rFonts w:ascii="Palatino Linotype" w:hAnsi="Palatino Linotype"/>
          <w:b/>
          <w:bCs/>
          <w:sz w:val="24"/>
          <w:szCs w:val="24"/>
        </w:rPr>
        <w:t>00774/ISEM/IP/2024</w:t>
      </w:r>
      <w:r w:rsidRPr="0037314A">
        <w:rPr>
          <w:rFonts w:ascii="Palatino Linotype" w:hAnsi="Palatino Linotype" w:cs="Arial"/>
          <w:b/>
          <w:sz w:val="24"/>
        </w:rPr>
        <w:t xml:space="preserve">, </w:t>
      </w:r>
      <w:r w:rsidRPr="0037314A">
        <w:rPr>
          <w:rFonts w:ascii="Palatino Linotype" w:hAnsi="Palatino Linotype" w:cs="Arial"/>
          <w:sz w:val="24"/>
        </w:rPr>
        <w:t xml:space="preserve">por resultar parcialmente fundados los motivos de inconformidad que arguye </w:t>
      </w:r>
      <w:r w:rsidR="00715F5E">
        <w:rPr>
          <w:rFonts w:ascii="Palatino Linotype" w:hAnsi="Palatino Linotype" w:cs="Arial"/>
          <w:b/>
          <w:sz w:val="24"/>
        </w:rPr>
        <w:t>EL</w:t>
      </w:r>
      <w:r w:rsidRPr="0037314A">
        <w:rPr>
          <w:rFonts w:ascii="Palatino Linotype" w:hAnsi="Palatino Linotype" w:cs="Arial"/>
          <w:b/>
          <w:sz w:val="24"/>
        </w:rPr>
        <w:t xml:space="preserve"> RECURRENTE, </w:t>
      </w:r>
      <w:r w:rsidRPr="0037314A">
        <w:rPr>
          <w:rFonts w:ascii="Palatino Linotype" w:hAnsi="Palatino Linotype" w:cs="Arial"/>
          <w:sz w:val="24"/>
        </w:rPr>
        <w:t xml:space="preserve">en términos del </w:t>
      </w:r>
      <w:r w:rsidRPr="0037314A">
        <w:rPr>
          <w:rFonts w:ascii="Palatino Linotype" w:hAnsi="Palatino Linotype" w:cs="Arial"/>
          <w:b/>
          <w:sz w:val="24"/>
        </w:rPr>
        <w:t xml:space="preserve">Considerando CUARTO </w:t>
      </w:r>
      <w:r w:rsidRPr="0037314A">
        <w:rPr>
          <w:rFonts w:ascii="Palatino Linotype" w:hAnsi="Palatino Linotype" w:cs="Arial"/>
          <w:sz w:val="24"/>
        </w:rPr>
        <w:t xml:space="preserve">de la presente resolución. </w:t>
      </w:r>
    </w:p>
    <w:p w14:paraId="194F1CD2" w14:textId="77777777" w:rsidR="00D04897" w:rsidRDefault="00D04897" w:rsidP="00D04897">
      <w:pPr>
        <w:autoSpaceDE w:val="0"/>
        <w:autoSpaceDN w:val="0"/>
        <w:adjustRightInd w:val="0"/>
        <w:spacing w:before="240" w:line="360" w:lineRule="auto"/>
        <w:ind w:right="49"/>
        <w:jc w:val="both"/>
        <w:rPr>
          <w:rFonts w:ascii="Palatino Linotype" w:hAnsi="Palatino Linotype" w:cs="Arial"/>
          <w:b/>
          <w:sz w:val="24"/>
          <w:szCs w:val="24"/>
          <w:lang w:val="es-ES_tradnl"/>
        </w:rPr>
      </w:pPr>
    </w:p>
    <w:p w14:paraId="0B116C99" w14:textId="58471B22" w:rsidR="00D04897" w:rsidRPr="00074A76" w:rsidRDefault="00D04897" w:rsidP="00D04897">
      <w:pPr>
        <w:autoSpaceDE w:val="0"/>
        <w:autoSpaceDN w:val="0"/>
        <w:adjustRightInd w:val="0"/>
        <w:spacing w:before="240" w:line="360" w:lineRule="auto"/>
        <w:ind w:right="49"/>
        <w:jc w:val="both"/>
        <w:rPr>
          <w:rFonts w:ascii="Palatino Linotype" w:hAnsi="Palatino Linotype" w:cs="Arial"/>
          <w:sz w:val="24"/>
          <w:szCs w:val="24"/>
        </w:rPr>
      </w:pPr>
      <w:r w:rsidRPr="00757E87">
        <w:rPr>
          <w:rFonts w:ascii="Palatino Linotype" w:hAnsi="Palatino Linotype" w:cs="Arial"/>
          <w:b/>
          <w:sz w:val="28"/>
          <w:szCs w:val="28"/>
          <w:lang w:val="es-ES_tradnl"/>
        </w:rPr>
        <w:lastRenderedPageBreak/>
        <w:t>SEGUNDO</w:t>
      </w:r>
      <w:r w:rsidRPr="00413327">
        <w:rPr>
          <w:rFonts w:ascii="Palatino Linotype" w:hAnsi="Palatino Linotype" w:cs="Arial"/>
          <w:b/>
          <w:sz w:val="24"/>
          <w:szCs w:val="24"/>
          <w:lang w:val="es-ES_tradnl"/>
        </w:rPr>
        <w:t>.</w:t>
      </w:r>
      <w:r w:rsidRPr="00413327">
        <w:rPr>
          <w:rFonts w:ascii="Palatino Linotype" w:hAnsi="Palatino Linotype" w:cs="Arial"/>
          <w:sz w:val="24"/>
          <w:szCs w:val="24"/>
        </w:rPr>
        <w:t xml:space="preserve"> </w:t>
      </w:r>
      <w:r w:rsidRPr="006633BF">
        <w:rPr>
          <w:rFonts w:ascii="Palatino Linotype" w:hAnsi="Palatino Linotype" w:cs="Arial"/>
          <w:sz w:val="24"/>
          <w:szCs w:val="24"/>
        </w:rPr>
        <w:t xml:space="preserve">Se </w:t>
      </w:r>
      <w:r w:rsidRPr="006633BF">
        <w:rPr>
          <w:rFonts w:ascii="Palatino Linotype" w:hAnsi="Palatino Linotype" w:cs="Arial"/>
          <w:b/>
          <w:sz w:val="24"/>
          <w:szCs w:val="24"/>
        </w:rPr>
        <w:t>ORDENA</w:t>
      </w:r>
      <w:r w:rsidRPr="006633BF">
        <w:rPr>
          <w:rFonts w:ascii="Palatino Linotype" w:hAnsi="Palatino Linotype" w:cs="Arial"/>
          <w:sz w:val="24"/>
          <w:szCs w:val="24"/>
        </w:rPr>
        <w:t xml:space="preserve"> al </w:t>
      </w:r>
      <w:r w:rsidRPr="006633BF">
        <w:rPr>
          <w:rFonts w:ascii="Palatino Linotype" w:hAnsi="Palatino Linotype" w:cs="Arial"/>
          <w:b/>
          <w:sz w:val="24"/>
          <w:szCs w:val="24"/>
        </w:rPr>
        <w:t>SUJETO OBLIGADO</w:t>
      </w:r>
      <w:r w:rsidRPr="006633BF">
        <w:rPr>
          <w:rFonts w:ascii="Palatino Linotype" w:hAnsi="Palatino Linotype" w:cs="Arial"/>
          <w:sz w:val="24"/>
          <w:szCs w:val="24"/>
        </w:rPr>
        <w:t xml:space="preserve"> </w:t>
      </w:r>
      <w:r>
        <w:rPr>
          <w:rFonts w:ascii="Palatino Linotype" w:hAnsi="Palatino Linotype" w:cs="Arial"/>
          <w:sz w:val="24"/>
          <w:szCs w:val="24"/>
        </w:rPr>
        <w:t xml:space="preserve">haga entrega al </w:t>
      </w:r>
      <w:r>
        <w:rPr>
          <w:rFonts w:ascii="Palatino Linotype" w:hAnsi="Palatino Linotype" w:cs="Arial"/>
          <w:b/>
          <w:bCs/>
          <w:sz w:val="24"/>
          <w:szCs w:val="24"/>
        </w:rPr>
        <w:t xml:space="preserve">RECURRENTE, </w:t>
      </w:r>
      <w:r w:rsidRPr="006633BF">
        <w:rPr>
          <w:rFonts w:ascii="Palatino Linotype" w:hAnsi="Palatino Linotype" w:cs="Arial"/>
          <w:sz w:val="24"/>
          <w:szCs w:val="24"/>
        </w:rPr>
        <w:t xml:space="preserve">en términos del Considerando </w:t>
      </w:r>
      <w:r w:rsidRPr="006633BF">
        <w:rPr>
          <w:rFonts w:ascii="Palatino Linotype" w:hAnsi="Palatino Linotype" w:cs="Arial"/>
          <w:b/>
          <w:sz w:val="24"/>
          <w:szCs w:val="24"/>
        </w:rPr>
        <w:t xml:space="preserve">CUARTO </w:t>
      </w:r>
      <w:r w:rsidRPr="006633BF">
        <w:rPr>
          <w:rFonts w:ascii="Palatino Linotype" w:hAnsi="Palatino Linotype" w:cs="Arial"/>
          <w:sz w:val="24"/>
          <w:szCs w:val="24"/>
        </w:rPr>
        <w:t>de esta resolución</w:t>
      </w:r>
      <w:r w:rsidRPr="00074A76">
        <w:rPr>
          <w:rFonts w:ascii="Palatino Linotype" w:hAnsi="Palatino Linotype" w:cs="Arial"/>
          <w:b/>
          <w:sz w:val="24"/>
          <w:szCs w:val="24"/>
        </w:rPr>
        <w:t xml:space="preserve">,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y por correo electrónico, </w:t>
      </w:r>
      <w:r w:rsidRPr="00074A76">
        <w:rPr>
          <w:rFonts w:ascii="Palatino Linotype" w:hAnsi="Palatino Linotype" w:cs="Arial"/>
          <w:sz w:val="24"/>
          <w:szCs w:val="24"/>
        </w:rPr>
        <w:t xml:space="preserve">de lo siguiente: </w:t>
      </w:r>
    </w:p>
    <w:p w14:paraId="0702563E" w14:textId="3C680662" w:rsidR="00D04897" w:rsidRPr="00772D0F" w:rsidRDefault="00D04897" w:rsidP="00D04897">
      <w:pPr>
        <w:pStyle w:val="Citas"/>
        <w:numPr>
          <w:ilvl w:val="0"/>
          <w:numId w:val="31"/>
        </w:numPr>
        <w:ind w:right="0"/>
        <w:rPr>
          <w:b/>
          <w:bCs/>
          <w:sz w:val="24"/>
          <w:szCs w:val="24"/>
          <w:u w:val="single"/>
        </w:rPr>
      </w:pPr>
      <w:r>
        <w:rPr>
          <w:sz w:val="24"/>
          <w:szCs w:val="24"/>
        </w:rPr>
        <w:t>E</w:t>
      </w:r>
      <w:r w:rsidRPr="00D04897">
        <w:rPr>
          <w:sz w:val="24"/>
          <w:szCs w:val="24"/>
        </w:rPr>
        <w:t>l o los documentos donde consten el número de intoxicaciones ocasionadas por el consumo de hongos silvestres (</w:t>
      </w:r>
      <w:proofErr w:type="spellStart"/>
      <w:r w:rsidRPr="00D04897">
        <w:rPr>
          <w:sz w:val="24"/>
          <w:szCs w:val="24"/>
        </w:rPr>
        <w:t>micetismos</w:t>
      </w:r>
      <w:proofErr w:type="spellEnd"/>
      <w:r w:rsidRPr="00D04897">
        <w:rPr>
          <w:sz w:val="24"/>
          <w:szCs w:val="24"/>
        </w:rPr>
        <w:t xml:space="preserve">), por municipio o región, del periodo comprendido del uno de enero de dos mil catorce al </w:t>
      </w:r>
      <w:r>
        <w:rPr>
          <w:sz w:val="24"/>
          <w:szCs w:val="24"/>
        </w:rPr>
        <w:t xml:space="preserve">treinta y uno de diciembre de dos mil </w:t>
      </w:r>
      <w:r w:rsidR="00715F5E">
        <w:rPr>
          <w:sz w:val="24"/>
          <w:szCs w:val="24"/>
        </w:rPr>
        <w:t xml:space="preserve">diecinueve. </w:t>
      </w:r>
    </w:p>
    <w:p w14:paraId="35802ACC" w14:textId="77777777" w:rsidR="00D04897" w:rsidRDefault="00D04897" w:rsidP="00D04897">
      <w:pPr>
        <w:autoSpaceDE w:val="0"/>
        <w:autoSpaceDN w:val="0"/>
        <w:adjustRightInd w:val="0"/>
        <w:spacing w:line="360" w:lineRule="auto"/>
        <w:ind w:right="49"/>
        <w:jc w:val="both"/>
        <w:rPr>
          <w:rFonts w:ascii="Palatino Linotype" w:hAnsi="Palatino Linotype" w:cs="Arial"/>
          <w:b/>
          <w:sz w:val="28"/>
          <w:szCs w:val="28"/>
        </w:rPr>
      </w:pPr>
    </w:p>
    <w:p w14:paraId="10F6B24C" w14:textId="77777777" w:rsidR="00D04897" w:rsidRDefault="00D04897" w:rsidP="00D04897">
      <w:pPr>
        <w:autoSpaceDE w:val="0"/>
        <w:autoSpaceDN w:val="0"/>
        <w:adjustRightInd w:val="0"/>
        <w:spacing w:line="360" w:lineRule="auto"/>
        <w:ind w:right="49"/>
        <w:jc w:val="both"/>
        <w:rPr>
          <w:rFonts w:ascii="Palatino Linotype" w:hAnsi="Palatino Linotype" w:cs="Arial"/>
          <w:sz w:val="24"/>
          <w:szCs w:val="24"/>
        </w:rPr>
      </w:pPr>
      <w:r w:rsidRPr="00A5022B">
        <w:rPr>
          <w:rFonts w:ascii="Palatino Linotype" w:hAnsi="Palatino Linotype" w:cs="Arial"/>
          <w:b/>
          <w:sz w:val="28"/>
          <w:szCs w:val="28"/>
        </w:rPr>
        <w:t>TERCERO.</w:t>
      </w:r>
      <w:r w:rsidRPr="003D4ED8">
        <w:rPr>
          <w:rFonts w:ascii="Palatino Linotype" w:hAnsi="Palatino Linotype" w:cs="Arial"/>
          <w:b/>
          <w:sz w:val="24"/>
          <w:szCs w:val="24"/>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322CD72" w14:textId="77777777" w:rsidR="00D04897" w:rsidRPr="001513FE" w:rsidRDefault="00D04897" w:rsidP="00D04897">
      <w:pPr>
        <w:autoSpaceDE w:val="0"/>
        <w:autoSpaceDN w:val="0"/>
        <w:adjustRightInd w:val="0"/>
        <w:spacing w:line="360" w:lineRule="auto"/>
        <w:ind w:right="49"/>
        <w:jc w:val="both"/>
        <w:rPr>
          <w:rFonts w:ascii="Palatino Linotype" w:hAnsi="Palatino Linotype" w:cs="Arial"/>
          <w:sz w:val="24"/>
          <w:szCs w:val="24"/>
        </w:rPr>
      </w:pPr>
    </w:p>
    <w:p w14:paraId="49308553" w14:textId="77777777" w:rsidR="00D04897" w:rsidRDefault="00D04897" w:rsidP="00D0489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022B">
        <w:rPr>
          <w:rFonts w:ascii="Palatino Linotype" w:eastAsia="Times New Roman" w:hAnsi="Palatino Linotype" w:cs="Arial"/>
          <w:b/>
          <w:sz w:val="28"/>
          <w:szCs w:val="28"/>
          <w:lang w:val="es-ES" w:eastAsia="es-ES"/>
        </w:rPr>
        <w:lastRenderedPageBreak/>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6577A51B" w14:textId="77777777" w:rsidR="00D04897" w:rsidRDefault="00D04897" w:rsidP="00D0489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05E27D" w14:textId="46CB3DCE" w:rsidR="00D04897" w:rsidRDefault="00D04897" w:rsidP="00D04897">
      <w:pPr>
        <w:spacing w:after="0" w:line="360" w:lineRule="auto"/>
        <w:jc w:val="both"/>
        <w:rPr>
          <w:rFonts w:ascii="Palatino Linotype" w:hAnsi="Palatino Linotype" w:cs="Arial"/>
          <w:sz w:val="24"/>
          <w:szCs w:val="24"/>
        </w:rPr>
      </w:pPr>
      <w:r w:rsidRPr="00A13A0C">
        <w:rPr>
          <w:rFonts w:ascii="Palatino Linotype" w:eastAsia="Times New Roman" w:hAnsi="Palatino Linotype" w:cs="Arial"/>
          <w:b/>
          <w:sz w:val="28"/>
          <w:szCs w:val="28"/>
          <w:lang w:eastAsia="es-ES"/>
        </w:rPr>
        <w:t>QUINTO</w:t>
      </w:r>
      <w:r w:rsidRPr="00A13A0C">
        <w:rPr>
          <w:rFonts w:ascii="Palatino Linotype" w:eastAsia="Times New Roman" w:hAnsi="Palatino Linotype" w:cs="Arial"/>
          <w:b/>
          <w:sz w:val="24"/>
          <w:szCs w:val="24"/>
          <w:lang w:eastAsia="es-ES"/>
        </w:rPr>
        <w:t xml:space="preserve">. </w:t>
      </w:r>
      <w:r w:rsidRPr="00A13A0C">
        <w:rPr>
          <w:rFonts w:ascii="Palatino Linotype" w:hAnsi="Palatino Linotype" w:cs="Arial"/>
          <w:b/>
          <w:sz w:val="24"/>
          <w:szCs w:val="24"/>
        </w:rPr>
        <w:t>NOTIFÍQUESE</w:t>
      </w:r>
      <w:r w:rsidRPr="00A13A0C">
        <w:rPr>
          <w:rFonts w:ascii="Palatino Linotype" w:hAnsi="Palatino Linotype" w:cs="Arial"/>
          <w:sz w:val="24"/>
          <w:szCs w:val="24"/>
        </w:rPr>
        <w:t xml:space="preserve"> a través del Sistema de Acceso a la Información Mexiquense </w:t>
      </w:r>
      <w:r w:rsidRPr="00A13A0C">
        <w:rPr>
          <w:rFonts w:ascii="Palatino Linotype" w:hAnsi="Palatino Linotype" w:cs="Arial"/>
          <w:b/>
          <w:bCs/>
          <w:sz w:val="24"/>
          <w:szCs w:val="24"/>
        </w:rPr>
        <w:t>(SAIMEX)</w:t>
      </w:r>
      <w:r>
        <w:rPr>
          <w:rFonts w:ascii="Palatino Linotype" w:hAnsi="Palatino Linotype" w:cs="Arial"/>
          <w:b/>
          <w:bCs/>
          <w:sz w:val="24"/>
          <w:szCs w:val="24"/>
        </w:rPr>
        <w:t xml:space="preserve"> y por correo electrónico,</w:t>
      </w:r>
      <w:r w:rsidRPr="00A13A0C">
        <w:rPr>
          <w:rFonts w:ascii="Palatino Linotype" w:hAnsi="Palatino Linotype" w:cs="Arial"/>
          <w:b/>
          <w:bCs/>
          <w:sz w:val="24"/>
          <w:szCs w:val="24"/>
        </w:rPr>
        <w:t xml:space="preserve"> </w:t>
      </w:r>
      <w:r>
        <w:rPr>
          <w:rFonts w:ascii="Palatino Linotype" w:hAnsi="Palatino Linotype" w:cs="Arial"/>
          <w:sz w:val="24"/>
          <w:szCs w:val="24"/>
        </w:rPr>
        <w:t>al</w:t>
      </w:r>
      <w:r w:rsidRPr="00A13A0C">
        <w:rPr>
          <w:rFonts w:ascii="Palatino Linotype" w:hAnsi="Palatino Linotype" w:cs="Arial"/>
          <w:sz w:val="24"/>
          <w:szCs w:val="24"/>
        </w:rPr>
        <w:t xml:space="preserve"> </w:t>
      </w:r>
      <w:r w:rsidRPr="00A13A0C">
        <w:rPr>
          <w:rFonts w:ascii="Palatino Linotype" w:hAnsi="Palatino Linotype" w:cs="Arial"/>
          <w:b/>
          <w:sz w:val="24"/>
          <w:szCs w:val="24"/>
        </w:rPr>
        <w:t>RECURRENTE</w:t>
      </w:r>
      <w:r w:rsidRPr="00A13A0C">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ECE9B8C" w14:textId="77777777" w:rsidR="00D04897" w:rsidRDefault="00D04897" w:rsidP="00D04897">
      <w:pPr>
        <w:spacing w:after="0" w:line="360" w:lineRule="auto"/>
        <w:jc w:val="both"/>
        <w:rPr>
          <w:rFonts w:ascii="Palatino Linotype" w:hAnsi="Palatino Linotype" w:cs="Arial"/>
          <w:sz w:val="24"/>
          <w:szCs w:val="24"/>
        </w:rPr>
      </w:pPr>
    </w:p>
    <w:p w14:paraId="0C654D55" w14:textId="75A24335" w:rsidR="00D04897" w:rsidRPr="00276868" w:rsidRDefault="00D04897" w:rsidP="00D04897">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CF516A">
        <w:rPr>
          <w:rFonts w:ascii="Palatino Linotype" w:hAnsi="Palatino Linotype" w:cs="Arial"/>
          <w:sz w:val="23"/>
          <w:szCs w:val="23"/>
        </w:rPr>
        <w:t>SEGUNDA</w:t>
      </w:r>
      <w:r w:rsidRPr="00276868">
        <w:rPr>
          <w:rFonts w:ascii="Palatino Linotype" w:hAnsi="Palatino Linotype" w:cs="Arial"/>
          <w:sz w:val="23"/>
          <w:szCs w:val="23"/>
        </w:rPr>
        <w:t xml:space="preserve"> SESIÓN ORDINARIA CELEBRADA EL </w:t>
      </w:r>
      <w:r w:rsidR="00CF516A">
        <w:rPr>
          <w:rFonts w:ascii="Palatino Linotype" w:hAnsi="Palatino Linotype" w:cs="Arial"/>
          <w:sz w:val="23"/>
          <w:szCs w:val="23"/>
        </w:rPr>
        <w:t xml:space="preserve">VEINTIDÓS </w:t>
      </w:r>
      <w:r>
        <w:rPr>
          <w:rFonts w:ascii="Palatino Linotype" w:hAnsi="Palatino Linotype" w:cs="Arial"/>
          <w:sz w:val="23"/>
          <w:szCs w:val="23"/>
        </w:rPr>
        <w:t>DE ENERO DE DOS MIL VEINTICINCO</w:t>
      </w:r>
      <w:r w:rsidRPr="00276868">
        <w:rPr>
          <w:rFonts w:ascii="Palatino Linotype" w:hAnsi="Palatino Linotype" w:cs="Arial"/>
          <w:sz w:val="23"/>
          <w:szCs w:val="23"/>
        </w:rPr>
        <w:t xml:space="preserve">, ANTE EL SECRETARIO TÉCNICO DEL PLENO, ALEXIS TAPIA RAMÍREZ. </w:t>
      </w:r>
    </w:p>
    <w:p w14:paraId="19B9F3AD" w14:textId="25545EDE" w:rsidR="00D04897" w:rsidRDefault="00D04897" w:rsidP="00D04897">
      <w:pPr>
        <w:spacing w:line="360" w:lineRule="auto"/>
        <w:jc w:val="both"/>
        <w:rPr>
          <w:rFonts w:ascii="Palatino Linotype" w:hAnsi="Palatino Linotype"/>
          <w:bCs/>
          <w:sz w:val="18"/>
          <w:szCs w:val="18"/>
        </w:rPr>
      </w:pPr>
      <w:r>
        <w:rPr>
          <w:rFonts w:ascii="Palatino Linotype" w:hAnsi="Palatino Linotype"/>
          <w:bCs/>
          <w:sz w:val="18"/>
          <w:szCs w:val="18"/>
        </w:rPr>
        <w:t>CCR/J</w:t>
      </w:r>
      <w:r w:rsidRPr="00280B8B">
        <w:rPr>
          <w:rFonts w:ascii="Palatino Linotype" w:hAnsi="Palatino Linotype"/>
          <w:bCs/>
          <w:sz w:val="18"/>
          <w:szCs w:val="18"/>
        </w:rPr>
        <w:t>CMA</w:t>
      </w:r>
    </w:p>
    <w:p w14:paraId="223697C0" w14:textId="77777777" w:rsidR="00CF516A" w:rsidRDefault="00CF516A" w:rsidP="00D04897">
      <w:pPr>
        <w:spacing w:line="360" w:lineRule="auto"/>
        <w:jc w:val="both"/>
        <w:rPr>
          <w:rFonts w:ascii="Palatino Linotype" w:hAnsi="Palatino Linotype"/>
          <w:bCs/>
          <w:sz w:val="18"/>
          <w:szCs w:val="18"/>
        </w:rPr>
      </w:pPr>
    </w:p>
    <w:p w14:paraId="74968530" w14:textId="77777777" w:rsidR="00CF516A" w:rsidRPr="00D04897" w:rsidRDefault="00CF516A" w:rsidP="00D04897">
      <w:pPr>
        <w:spacing w:line="360" w:lineRule="auto"/>
        <w:jc w:val="both"/>
        <w:rPr>
          <w:rFonts w:ascii="Palatino Linotype" w:hAnsi="Palatino Linotype"/>
          <w:sz w:val="24"/>
          <w:szCs w:val="24"/>
        </w:rPr>
      </w:pPr>
    </w:p>
    <w:p w14:paraId="6EBC42D3" w14:textId="77777777" w:rsidR="00D04897" w:rsidRDefault="00D04897" w:rsidP="00D04897">
      <w:pPr>
        <w:spacing w:after="0" w:line="360" w:lineRule="auto"/>
        <w:jc w:val="both"/>
        <w:rPr>
          <w:rFonts w:ascii="Palatino Linotype" w:hAnsi="Palatino Linotype" w:cs="Arial"/>
          <w:color w:val="000000"/>
          <w:sz w:val="24"/>
        </w:rPr>
      </w:pPr>
    </w:p>
    <w:p w14:paraId="3BB7D745" w14:textId="77777777" w:rsidR="00D04897" w:rsidRDefault="00D04897" w:rsidP="00D04897">
      <w:pPr>
        <w:spacing w:after="0" w:line="360" w:lineRule="auto"/>
        <w:jc w:val="both"/>
        <w:rPr>
          <w:rFonts w:ascii="Palatino Linotype" w:hAnsi="Palatino Linotype" w:cs="Arial"/>
          <w:color w:val="000000"/>
          <w:sz w:val="24"/>
        </w:rPr>
      </w:pPr>
    </w:p>
    <w:p w14:paraId="5DFC3040" w14:textId="77777777" w:rsidR="00D04897" w:rsidRDefault="00D04897" w:rsidP="00D04897">
      <w:pPr>
        <w:spacing w:after="0" w:line="360" w:lineRule="auto"/>
        <w:jc w:val="both"/>
        <w:rPr>
          <w:rFonts w:ascii="Palatino Linotype" w:hAnsi="Palatino Linotype" w:cs="Arial"/>
          <w:color w:val="000000"/>
          <w:sz w:val="24"/>
        </w:rPr>
      </w:pPr>
    </w:p>
    <w:p w14:paraId="13F00431" w14:textId="77777777" w:rsidR="00D04897" w:rsidRPr="00D04897" w:rsidRDefault="00D04897" w:rsidP="00D04897">
      <w:pPr>
        <w:spacing w:after="0" w:line="360" w:lineRule="auto"/>
        <w:jc w:val="both"/>
        <w:rPr>
          <w:rFonts w:ascii="Palatino Linotype" w:hAnsi="Palatino Linotype" w:cs="Arial"/>
          <w:color w:val="000000"/>
          <w:sz w:val="24"/>
        </w:rPr>
      </w:pPr>
    </w:p>
    <w:p w14:paraId="76E21CB7" w14:textId="77777777" w:rsidR="00D04897" w:rsidRDefault="00D04897" w:rsidP="00D04897">
      <w:pPr>
        <w:spacing w:after="0" w:line="360" w:lineRule="auto"/>
        <w:jc w:val="both"/>
        <w:rPr>
          <w:rFonts w:ascii="Palatino Linotype" w:hAnsi="Palatino Linotype" w:cs="Arial"/>
          <w:color w:val="000000"/>
          <w:sz w:val="24"/>
          <w:lang w:val="es-ES_tradnl"/>
        </w:rPr>
      </w:pPr>
    </w:p>
    <w:sectPr w:rsidR="00D04897" w:rsidSect="00FB4AAD">
      <w:headerReference w:type="default" r:id="rId14"/>
      <w:footerReference w:type="default" r:id="rId15"/>
      <w:headerReference w:type="first" r:id="rId16"/>
      <w:foot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4B131" w14:textId="77777777" w:rsidR="00C12B01" w:rsidRDefault="00C12B01" w:rsidP="006168E4">
      <w:pPr>
        <w:spacing w:after="0" w:line="240" w:lineRule="auto"/>
      </w:pPr>
      <w:r>
        <w:separator/>
      </w:r>
    </w:p>
  </w:endnote>
  <w:endnote w:type="continuationSeparator" w:id="0">
    <w:p w14:paraId="0DE7E1BD" w14:textId="77777777" w:rsidR="00C12B01" w:rsidRDefault="00C12B01"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77777777" w:rsidR="00E80B0F" w:rsidRPr="000B69FA" w:rsidRDefault="00E80B0F"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A27EA">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A27EA">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77777777" w:rsidR="00E80B0F" w:rsidRPr="000B69FA" w:rsidRDefault="00E80B0F"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A27E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FA27EA">
      <w:rPr>
        <w:rFonts w:ascii="Palatino Linotype" w:hAnsi="Palatino Linotype"/>
        <w:bCs/>
        <w:noProof/>
        <w:sz w:val="20"/>
      </w:rPr>
      <w:t>31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952D0" w14:textId="77777777" w:rsidR="00C12B01" w:rsidRDefault="00C12B01" w:rsidP="006168E4">
      <w:pPr>
        <w:spacing w:after="0" w:line="240" w:lineRule="auto"/>
      </w:pPr>
      <w:r>
        <w:separator/>
      </w:r>
    </w:p>
  </w:footnote>
  <w:footnote w:type="continuationSeparator" w:id="0">
    <w:p w14:paraId="7896ED32" w14:textId="77777777" w:rsidR="00C12B01" w:rsidRDefault="00C12B01"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E80B0F" w:rsidRDefault="00E80B0F">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2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80B0F" w14:paraId="46A8AAF9" w14:textId="77777777" w:rsidTr="00FE7729">
      <w:trPr>
        <w:trHeight w:val="227"/>
      </w:trPr>
      <w:tc>
        <w:tcPr>
          <w:tcW w:w="5529" w:type="dxa"/>
          <w:hideMark/>
        </w:tcPr>
        <w:p w14:paraId="26B5EE34" w14:textId="3BF445B5" w:rsidR="00E80B0F" w:rsidRDefault="00E80B0F"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606E8F38" w:rsidR="00E80B0F" w:rsidRPr="00185E5A" w:rsidRDefault="001C75AB" w:rsidP="00C25084">
          <w:pPr>
            <w:spacing w:after="120" w:line="256" w:lineRule="auto"/>
            <w:ind w:left="639" w:right="214"/>
            <w:jc w:val="both"/>
            <w:rPr>
              <w:rFonts w:ascii="Palatino Linotype" w:hAnsi="Palatino Linotype" w:cs="Arial"/>
            </w:rPr>
          </w:pPr>
          <w:r>
            <w:rPr>
              <w:rFonts w:ascii="Palatino Linotype" w:hAnsi="Palatino Linotype" w:cs="Arial"/>
              <w:bCs/>
              <w:lang w:eastAsia="es-MX"/>
            </w:rPr>
            <w:t>0</w:t>
          </w:r>
          <w:r w:rsidR="003C5E25">
            <w:rPr>
              <w:rFonts w:ascii="Palatino Linotype" w:hAnsi="Palatino Linotype" w:cs="Arial"/>
              <w:bCs/>
              <w:lang w:eastAsia="es-MX"/>
            </w:rPr>
            <w:t>7575</w:t>
          </w:r>
          <w:r w:rsidR="00E80B0F" w:rsidRPr="00185E5A">
            <w:rPr>
              <w:rFonts w:ascii="Palatino Linotype" w:hAnsi="Palatino Linotype" w:cs="Arial"/>
              <w:bCs/>
              <w:lang w:eastAsia="es-MX"/>
            </w:rPr>
            <w:t>/INFOEM/IP/RR/20</w:t>
          </w:r>
          <w:r w:rsidR="002051FE">
            <w:rPr>
              <w:rFonts w:ascii="Palatino Linotype" w:hAnsi="Palatino Linotype" w:cs="Arial"/>
              <w:bCs/>
              <w:lang w:eastAsia="es-MX"/>
            </w:rPr>
            <w:t>2</w:t>
          </w:r>
          <w:r w:rsidR="003C5E25">
            <w:rPr>
              <w:rFonts w:ascii="Palatino Linotype" w:hAnsi="Palatino Linotype" w:cs="Arial"/>
              <w:bCs/>
              <w:lang w:eastAsia="es-MX"/>
            </w:rPr>
            <w:t>4</w:t>
          </w:r>
        </w:p>
      </w:tc>
    </w:tr>
    <w:tr w:rsidR="00E80B0F" w14:paraId="0E72512B" w14:textId="77777777" w:rsidTr="00FE7729">
      <w:trPr>
        <w:trHeight w:val="242"/>
      </w:trPr>
      <w:tc>
        <w:tcPr>
          <w:tcW w:w="5529" w:type="dxa"/>
          <w:hideMark/>
        </w:tcPr>
        <w:p w14:paraId="4FB3E0E8" w14:textId="77777777" w:rsidR="00E80B0F" w:rsidRDefault="00E80B0F"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3F79C637" w:rsidR="00E80B0F" w:rsidRPr="00185E5A" w:rsidRDefault="00DD27BD" w:rsidP="002F3269">
          <w:pPr>
            <w:spacing w:after="120" w:line="256" w:lineRule="auto"/>
            <w:ind w:left="639" w:right="214"/>
            <w:jc w:val="both"/>
            <w:rPr>
              <w:rFonts w:ascii="Palatino Linotype" w:hAnsi="Palatino Linotype" w:cs="Arial"/>
            </w:rPr>
          </w:pPr>
          <w:r>
            <w:rPr>
              <w:rFonts w:ascii="Palatino Linotype" w:hAnsi="Palatino Linotype" w:cs="Arial"/>
            </w:rPr>
            <w:t xml:space="preserve">Instituto de Salud del Estado de México </w:t>
          </w:r>
        </w:p>
      </w:tc>
    </w:tr>
    <w:tr w:rsidR="00E80B0F" w14:paraId="3365CD96" w14:textId="77777777" w:rsidTr="00FE7729">
      <w:trPr>
        <w:trHeight w:val="342"/>
      </w:trPr>
      <w:tc>
        <w:tcPr>
          <w:tcW w:w="5529" w:type="dxa"/>
          <w:hideMark/>
        </w:tcPr>
        <w:p w14:paraId="52A09A43" w14:textId="77777777" w:rsidR="00E80B0F" w:rsidRDefault="00E80B0F"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5E1329ED" w:rsidR="00E80B0F" w:rsidRDefault="00E80B0F"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638CC457" w14:textId="77777777" w:rsidR="00E80B0F" w:rsidRDefault="00E80B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80B0F" w14:paraId="02D9F2E3" w14:textId="77777777" w:rsidTr="00FE7729">
      <w:trPr>
        <w:trHeight w:val="227"/>
      </w:trPr>
      <w:tc>
        <w:tcPr>
          <w:tcW w:w="5529" w:type="dxa"/>
          <w:hideMark/>
        </w:tcPr>
        <w:p w14:paraId="3EA02FD0" w14:textId="3139CF90" w:rsidR="00E80B0F" w:rsidRDefault="00E80B0F"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658F6D12" w:rsidR="00E80B0F" w:rsidRPr="00185E5A" w:rsidRDefault="00AD63C7" w:rsidP="00C25084">
          <w:pPr>
            <w:spacing w:after="120" w:line="256" w:lineRule="auto"/>
            <w:ind w:left="639" w:right="214"/>
            <w:jc w:val="both"/>
            <w:rPr>
              <w:rFonts w:ascii="Palatino Linotype" w:hAnsi="Palatino Linotype" w:cs="Arial"/>
            </w:rPr>
          </w:pPr>
          <w:r>
            <w:rPr>
              <w:rFonts w:ascii="Palatino Linotype" w:hAnsi="Palatino Linotype" w:cs="Arial"/>
              <w:bCs/>
              <w:lang w:eastAsia="es-MX"/>
            </w:rPr>
            <w:t>0</w:t>
          </w:r>
          <w:r w:rsidR="003C5E25">
            <w:rPr>
              <w:rFonts w:ascii="Palatino Linotype" w:hAnsi="Palatino Linotype" w:cs="Arial"/>
              <w:bCs/>
              <w:lang w:eastAsia="es-MX"/>
            </w:rPr>
            <w:t>7575</w:t>
          </w:r>
          <w:r w:rsidR="00E80B0F" w:rsidRPr="00185E5A">
            <w:rPr>
              <w:rFonts w:ascii="Palatino Linotype" w:hAnsi="Palatino Linotype" w:cs="Arial"/>
              <w:bCs/>
              <w:lang w:eastAsia="es-MX"/>
            </w:rPr>
            <w:t>/INFOEM/IP/RR/202</w:t>
          </w:r>
          <w:r w:rsidR="003C5E25">
            <w:rPr>
              <w:rFonts w:ascii="Palatino Linotype" w:hAnsi="Palatino Linotype" w:cs="Arial"/>
              <w:bCs/>
              <w:lang w:eastAsia="es-MX"/>
            </w:rPr>
            <w:t>4</w:t>
          </w:r>
          <w:r w:rsidR="00185E5A" w:rsidRPr="00185E5A">
            <w:rPr>
              <w:rFonts w:ascii="Palatino Linotype" w:hAnsi="Palatino Linotype" w:cs="Arial"/>
              <w:bCs/>
              <w:lang w:eastAsia="es-MX"/>
            </w:rPr>
            <w:t xml:space="preserve"> </w:t>
          </w:r>
        </w:p>
      </w:tc>
    </w:tr>
    <w:tr w:rsidR="00E80B0F" w14:paraId="5AC92493" w14:textId="77777777" w:rsidTr="00FE7729">
      <w:trPr>
        <w:trHeight w:val="196"/>
      </w:trPr>
      <w:tc>
        <w:tcPr>
          <w:tcW w:w="5529" w:type="dxa"/>
          <w:hideMark/>
        </w:tcPr>
        <w:p w14:paraId="7E479B7E" w14:textId="77777777" w:rsidR="00E80B0F" w:rsidRDefault="00E80B0F"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65A6DAC6" w:rsidR="00E80B0F" w:rsidRPr="00185E5A" w:rsidRDefault="00FA27EA" w:rsidP="00CC0C5F">
          <w:pPr>
            <w:spacing w:after="120" w:line="256" w:lineRule="auto"/>
            <w:ind w:left="639" w:right="214"/>
            <w:jc w:val="both"/>
            <w:rPr>
              <w:rFonts w:ascii="Palatino Linotype" w:hAnsi="Palatino Linotype" w:cs="Arial"/>
            </w:rPr>
          </w:pPr>
          <w:r>
            <w:rPr>
              <w:rFonts w:ascii="Palatino Linotype" w:hAnsi="Palatino Linotype" w:cs="Arial"/>
            </w:rPr>
            <w:t>XXXXXXXXXX</w:t>
          </w:r>
        </w:p>
      </w:tc>
    </w:tr>
    <w:tr w:rsidR="00E80B0F" w14:paraId="48DDE1B1" w14:textId="77777777" w:rsidTr="00FE7729">
      <w:trPr>
        <w:trHeight w:val="242"/>
      </w:trPr>
      <w:tc>
        <w:tcPr>
          <w:tcW w:w="5529" w:type="dxa"/>
          <w:hideMark/>
        </w:tcPr>
        <w:p w14:paraId="718D1409" w14:textId="77777777" w:rsidR="00E80B0F" w:rsidRDefault="00E80B0F"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50E071E0" w:rsidR="00E80B0F" w:rsidRPr="00185E5A" w:rsidRDefault="00DD27BD" w:rsidP="002F3269">
          <w:pPr>
            <w:spacing w:after="120" w:line="256" w:lineRule="auto"/>
            <w:ind w:left="639" w:right="214"/>
            <w:jc w:val="both"/>
            <w:rPr>
              <w:rFonts w:ascii="Palatino Linotype" w:hAnsi="Palatino Linotype" w:cs="Arial"/>
            </w:rPr>
          </w:pPr>
          <w:r>
            <w:rPr>
              <w:rFonts w:ascii="Palatino Linotype" w:hAnsi="Palatino Linotype" w:cs="Arial"/>
            </w:rPr>
            <w:t xml:space="preserve">Instituto de Salud del Estado de México </w:t>
          </w:r>
        </w:p>
      </w:tc>
    </w:tr>
    <w:tr w:rsidR="00E80B0F" w14:paraId="2E924228" w14:textId="77777777" w:rsidTr="00FE7729">
      <w:trPr>
        <w:trHeight w:val="342"/>
      </w:trPr>
      <w:tc>
        <w:tcPr>
          <w:tcW w:w="5529" w:type="dxa"/>
          <w:hideMark/>
        </w:tcPr>
        <w:p w14:paraId="03281906" w14:textId="77777777" w:rsidR="00E80B0F" w:rsidRDefault="00E80B0F"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19B596ED" w:rsidR="00E80B0F" w:rsidRDefault="00E80B0F"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E80B0F" w:rsidRDefault="00E80B0F">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5"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73F"/>
    <w:multiLevelType w:val="hybridMultilevel"/>
    <w:tmpl w:val="7E9CC218"/>
    <w:lvl w:ilvl="0" w:tplc="810ABD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3A24C6"/>
    <w:multiLevelType w:val="hybridMultilevel"/>
    <w:tmpl w:val="6FE8B7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667DDD"/>
    <w:multiLevelType w:val="hybridMultilevel"/>
    <w:tmpl w:val="8264D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243B6"/>
    <w:multiLevelType w:val="hybridMultilevel"/>
    <w:tmpl w:val="ACD6FBA0"/>
    <w:lvl w:ilvl="0" w:tplc="810ABD94">
      <w:start w:val="1"/>
      <w:numFmt w:val="upp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0315154"/>
    <w:multiLevelType w:val="hybridMultilevel"/>
    <w:tmpl w:val="A03E0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A3C98"/>
    <w:multiLevelType w:val="hybridMultilevel"/>
    <w:tmpl w:val="C012E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FAD7A0B"/>
    <w:multiLevelType w:val="hybridMultilevel"/>
    <w:tmpl w:val="BB66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B30C2B"/>
    <w:multiLevelType w:val="hybridMultilevel"/>
    <w:tmpl w:val="11F40728"/>
    <w:lvl w:ilvl="0" w:tplc="810ABD94">
      <w:start w:val="1"/>
      <w:numFmt w:val="upp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5F432A4"/>
    <w:multiLevelType w:val="hybridMultilevel"/>
    <w:tmpl w:val="22708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E7888"/>
    <w:multiLevelType w:val="hybridMultilevel"/>
    <w:tmpl w:val="B04AA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6F4354"/>
    <w:multiLevelType w:val="hybridMultilevel"/>
    <w:tmpl w:val="6FE8B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A09ED"/>
    <w:multiLevelType w:val="hybridMultilevel"/>
    <w:tmpl w:val="FB6E5326"/>
    <w:lvl w:ilvl="0" w:tplc="810ABD94">
      <w:start w:val="1"/>
      <w:numFmt w:val="upp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4EA56724"/>
    <w:multiLevelType w:val="hybridMultilevel"/>
    <w:tmpl w:val="A62A2B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7550F3"/>
    <w:multiLevelType w:val="hybridMultilevel"/>
    <w:tmpl w:val="A79E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96A1E"/>
    <w:multiLevelType w:val="hybridMultilevel"/>
    <w:tmpl w:val="A420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E7C80"/>
    <w:multiLevelType w:val="hybridMultilevel"/>
    <w:tmpl w:val="03AAE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917F6"/>
    <w:multiLevelType w:val="hybridMultilevel"/>
    <w:tmpl w:val="BFE66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A3332"/>
    <w:multiLevelType w:val="hybridMultilevel"/>
    <w:tmpl w:val="A62A2B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F663DC"/>
    <w:multiLevelType w:val="hybridMultilevel"/>
    <w:tmpl w:val="53D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42654"/>
    <w:multiLevelType w:val="hybridMultilevel"/>
    <w:tmpl w:val="34B206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DD108A9"/>
    <w:multiLevelType w:val="hybridMultilevel"/>
    <w:tmpl w:val="BA90A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5"/>
  </w:num>
  <w:num w:numId="6">
    <w:abstractNumId w:val="21"/>
  </w:num>
  <w:num w:numId="7">
    <w:abstractNumId w:val="19"/>
  </w:num>
  <w:num w:numId="8">
    <w:abstractNumId w:val="20"/>
  </w:num>
  <w:num w:numId="9">
    <w:abstractNumId w:val="23"/>
  </w:num>
  <w:num w:numId="10">
    <w:abstractNumId w:val="2"/>
  </w:num>
  <w:num w:numId="11">
    <w:abstractNumId w:val="14"/>
  </w:num>
  <w:num w:numId="12">
    <w:abstractNumId w:val="0"/>
  </w:num>
  <w:num w:numId="13">
    <w:abstractNumId w:val="16"/>
  </w:num>
  <w:num w:numId="14">
    <w:abstractNumId w:val="3"/>
  </w:num>
  <w:num w:numId="15">
    <w:abstractNumId w:val="13"/>
  </w:num>
  <w:num w:numId="16">
    <w:abstractNumId w:val="29"/>
  </w:num>
  <w:num w:numId="17">
    <w:abstractNumId w:val="9"/>
  </w:num>
  <w:num w:numId="18">
    <w:abstractNumId w:val="22"/>
  </w:num>
  <w:num w:numId="19">
    <w:abstractNumId w:val="10"/>
  </w:num>
  <w:num w:numId="20">
    <w:abstractNumId w:val="6"/>
  </w:num>
  <w:num w:numId="21">
    <w:abstractNumId w:val="24"/>
  </w:num>
  <w:num w:numId="22">
    <w:abstractNumId w:val="15"/>
  </w:num>
  <w:num w:numId="23">
    <w:abstractNumId w:val="28"/>
  </w:num>
  <w:num w:numId="24">
    <w:abstractNumId w:val="12"/>
  </w:num>
  <w:num w:numId="25">
    <w:abstractNumId w:val="27"/>
  </w:num>
  <w:num w:numId="26">
    <w:abstractNumId w:val="26"/>
  </w:num>
  <w:num w:numId="27">
    <w:abstractNumId w:val="18"/>
  </w:num>
  <w:num w:numId="28">
    <w:abstractNumId w:val="17"/>
  </w:num>
  <w:num w:numId="29">
    <w:abstractNumId w:val="11"/>
  </w:num>
  <w:num w:numId="30">
    <w:abstractNumId w:val="1"/>
  </w:num>
  <w:num w:numId="3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060"/>
    <w:rsid w:val="00001AB0"/>
    <w:rsid w:val="000026CF"/>
    <w:rsid w:val="00002B15"/>
    <w:rsid w:val="000030F1"/>
    <w:rsid w:val="00003C82"/>
    <w:rsid w:val="00006FB9"/>
    <w:rsid w:val="00007461"/>
    <w:rsid w:val="00010A92"/>
    <w:rsid w:val="000114DC"/>
    <w:rsid w:val="00012201"/>
    <w:rsid w:val="00012220"/>
    <w:rsid w:val="000140E9"/>
    <w:rsid w:val="0001411C"/>
    <w:rsid w:val="00014FD1"/>
    <w:rsid w:val="00015E0E"/>
    <w:rsid w:val="00022EAF"/>
    <w:rsid w:val="00022FF4"/>
    <w:rsid w:val="00023875"/>
    <w:rsid w:val="0002545B"/>
    <w:rsid w:val="000306A7"/>
    <w:rsid w:val="00030CC6"/>
    <w:rsid w:val="00031605"/>
    <w:rsid w:val="00032CE7"/>
    <w:rsid w:val="000335DF"/>
    <w:rsid w:val="0004190A"/>
    <w:rsid w:val="00041C77"/>
    <w:rsid w:val="000426E3"/>
    <w:rsid w:val="000427A1"/>
    <w:rsid w:val="00043655"/>
    <w:rsid w:val="00044C07"/>
    <w:rsid w:val="00045379"/>
    <w:rsid w:val="00045B3C"/>
    <w:rsid w:val="0004682D"/>
    <w:rsid w:val="000478DA"/>
    <w:rsid w:val="00047EAF"/>
    <w:rsid w:val="00050206"/>
    <w:rsid w:val="000509CD"/>
    <w:rsid w:val="000525FB"/>
    <w:rsid w:val="00055224"/>
    <w:rsid w:val="000571E1"/>
    <w:rsid w:val="00061821"/>
    <w:rsid w:val="000623F9"/>
    <w:rsid w:val="00063A10"/>
    <w:rsid w:val="00063AE3"/>
    <w:rsid w:val="00063EEE"/>
    <w:rsid w:val="000662F8"/>
    <w:rsid w:val="00066B01"/>
    <w:rsid w:val="00067C47"/>
    <w:rsid w:val="00070192"/>
    <w:rsid w:val="00071571"/>
    <w:rsid w:val="000722F8"/>
    <w:rsid w:val="00073CC6"/>
    <w:rsid w:val="00073E78"/>
    <w:rsid w:val="00074DAE"/>
    <w:rsid w:val="00075123"/>
    <w:rsid w:val="00076441"/>
    <w:rsid w:val="00077339"/>
    <w:rsid w:val="000810E7"/>
    <w:rsid w:val="00084221"/>
    <w:rsid w:val="000867E6"/>
    <w:rsid w:val="00090745"/>
    <w:rsid w:val="00091552"/>
    <w:rsid w:val="00091C3A"/>
    <w:rsid w:val="00092586"/>
    <w:rsid w:val="00094155"/>
    <w:rsid w:val="00094C05"/>
    <w:rsid w:val="000976F5"/>
    <w:rsid w:val="000A03E0"/>
    <w:rsid w:val="000A04D9"/>
    <w:rsid w:val="000A0C4B"/>
    <w:rsid w:val="000A33C2"/>
    <w:rsid w:val="000A3486"/>
    <w:rsid w:val="000A378C"/>
    <w:rsid w:val="000A4113"/>
    <w:rsid w:val="000A4AB5"/>
    <w:rsid w:val="000A6768"/>
    <w:rsid w:val="000A79DA"/>
    <w:rsid w:val="000B00AD"/>
    <w:rsid w:val="000B2910"/>
    <w:rsid w:val="000B3E98"/>
    <w:rsid w:val="000B426F"/>
    <w:rsid w:val="000B4675"/>
    <w:rsid w:val="000B4B51"/>
    <w:rsid w:val="000B6D7D"/>
    <w:rsid w:val="000B7158"/>
    <w:rsid w:val="000C06C3"/>
    <w:rsid w:val="000C0F57"/>
    <w:rsid w:val="000C20B2"/>
    <w:rsid w:val="000C21D5"/>
    <w:rsid w:val="000C4CEF"/>
    <w:rsid w:val="000C51A0"/>
    <w:rsid w:val="000C5300"/>
    <w:rsid w:val="000C5B8B"/>
    <w:rsid w:val="000C7AF0"/>
    <w:rsid w:val="000D1B34"/>
    <w:rsid w:val="000D1B55"/>
    <w:rsid w:val="000D38EA"/>
    <w:rsid w:val="000D391B"/>
    <w:rsid w:val="000D3C75"/>
    <w:rsid w:val="000D6422"/>
    <w:rsid w:val="000E0F23"/>
    <w:rsid w:val="000E2252"/>
    <w:rsid w:val="000E365E"/>
    <w:rsid w:val="000E686B"/>
    <w:rsid w:val="000F1FAB"/>
    <w:rsid w:val="000F2DAB"/>
    <w:rsid w:val="000F3B9E"/>
    <w:rsid w:val="000F4793"/>
    <w:rsid w:val="001032F2"/>
    <w:rsid w:val="00105C41"/>
    <w:rsid w:val="00107D18"/>
    <w:rsid w:val="00111DCD"/>
    <w:rsid w:val="00112E82"/>
    <w:rsid w:val="00114CF9"/>
    <w:rsid w:val="00115F16"/>
    <w:rsid w:val="00121ED7"/>
    <w:rsid w:val="0012272A"/>
    <w:rsid w:val="00122859"/>
    <w:rsid w:val="001246CF"/>
    <w:rsid w:val="0012484F"/>
    <w:rsid w:val="00124855"/>
    <w:rsid w:val="00125362"/>
    <w:rsid w:val="001254F5"/>
    <w:rsid w:val="00126B60"/>
    <w:rsid w:val="001272B7"/>
    <w:rsid w:val="001338D0"/>
    <w:rsid w:val="00135828"/>
    <w:rsid w:val="00136FAD"/>
    <w:rsid w:val="001448AF"/>
    <w:rsid w:val="0014609A"/>
    <w:rsid w:val="001469C1"/>
    <w:rsid w:val="00146C08"/>
    <w:rsid w:val="00146F0A"/>
    <w:rsid w:val="001474C1"/>
    <w:rsid w:val="001511C0"/>
    <w:rsid w:val="00152C2B"/>
    <w:rsid w:val="00156EC9"/>
    <w:rsid w:val="001611CC"/>
    <w:rsid w:val="001612E6"/>
    <w:rsid w:val="00161D54"/>
    <w:rsid w:val="00162A4D"/>
    <w:rsid w:val="00163219"/>
    <w:rsid w:val="001649A0"/>
    <w:rsid w:val="00164F80"/>
    <w:rsid w:val="001655B0"/>
    <w:rsid w:val="001678DF"/>
    <w:rsid w:val="00167BD3"/>
    <w:rsid w:val="001724CC"/>
    <w:rsid w:val="00172C77"/>
    <w:rsid w:val="00172CEE"/>
    <w:rsid w:val="00173E45"/>
    <w:rsid w:val="00175897"/>
    <w:rsid w:val="001760E3"/>
    <w:rsid w:val="00180B9F"/>
    <w:rsid w:val="00181CC5"/>
    <w:rsid w:val="00182911"/>
    <w:rsid w:val="00185E5A"/>
    <w:rsid w:val="00193784"/>
    <w:rsid w:val="0019396C"/>
    <w:rsid w:val="00193A4F"/>
    <w:rsid w:val="00193BA2"/>
    <w:rsid w:val="00194025"/>
    <w:rsid w:val="001940FE"/>
    <w:rsid w:val="001957D7"/>
    <w:rsid w:val="00195BB1"/>
    <w:rsid w:val="001A02EC"/>
    <w:rsid w:val="001A0F04"/>
    <w:rsid w:val="001A1D9B"/>
    <w:rsid w:val="001A1FF5"/>
    <w:rsid w:val="001A2929"/>
    <w:rsid w:val="001A318E"/>
    <w:rsid w:val="001A3605"/>
    <w:rsid w:val="001A3CAB"/>
    <w:rsid w:val="001A4026"/>
    <w:rsid w:val="001A577E"/>
    <w:rsid w:val="001A6B67"/>
    <w:rsid w:val="001A7C9B"/>
    <w:rsid w:val="001B05B9"/>
    <w:rsid w:val="001B27A6"/>
    <w:rsid w:val="001B6B73"/>
    <w:rsid w:val="001B7B88"/>
    <w:rsid w:val="001C01B7"/>
    <w:rsid w:val="001C1363"/>
    <w:rsid w:val="001C2D1E"/>
    <w:rsid w:val="001C2DAD"/>
    <w:rsid w:val="001C3E7E"/>
    <w:rsid w:val="001C7319"/>
    <w:rsid w:val="001C75AB"/>
    <w:rsid w:val="001C7D87"/>
    <w:rsid w:val="001D181B"/>
    <w:rsid w:val="001D29B1"/>
    <w:rsid w:val="001D35B9"/>
    <w:rsid w:val="001D3DE9"/>
    <w:rsid w:val="001D3E87"/>
    <w:rsid w:val="001D3F08"/>
    <w:rsid w:val="001D4669"/>
    <w:rsid w:val="001D6523"/>
    <w:rsid w:val="001D6FD5"/>
    <w:rsid w:val="001D7575"/>
    <w:rsid w:val="001F2207"/>
    <w:rsid w:val="001F3F3C"/>
    <w:rsid w:val="001F6457"/>
    <w:rsid w:val="00200064"/>
    <w:rsid w:val="002051FE"/>
    <w:rsid w:val="00205E59"/>
    <w:rsid w:val="0021296D"/>
    <w:rsid w:val="00212CB5"/>
    <w:rsid w:val="0021501E"/>
    <w:rsid w:val="00215A83"/>
    <w:rsid w:val="00216ABF"/>
    <w:rsid w:val="00217852"/>
    <w:rsid w:val="002205C0"/>
    <w:rsid w:val="00220ABF"/>
    <w:rsid w:val="00224246"/>
    <w:rsid w:val="00231D77"/>
    <w:rsid w:val="002324F1"/>
    <w:rsid w:val="0023373D"/>
    <w:rsid w:val="0023423C"/>
    <w:rsid w:val="002373F8"/>
    <w:rsid w:val="00242587"/>
    <w:rsid w:val="002432EB"/>
    <w:rsid w:val="00244D56"/>
    <w:rsid w:val="0024638F"/>
    <w:rsid w:val="00246807"/>
    <w:rsid w:val="00247D10"/>
    <w:rsid w:val="00250470"/>
    <w:rsid w:val="00252985"/>
    <w:rsid w:val="002577FE"/>
    <w:rsid w:val="002631F6"/>
    <w:rsid w:val="00266E00"/>
    <w:rsid w:val="002674C9"/>
    <w:rsid w:val="00271A36"/>
    <w:rsid w:val="00271EED"/>
    <w:rsid w:val="00273D0E"/>
    <w:rsid w:val="002807C5"/>
    <w:rsid w:val="0028788A"/>
    <w:rsid w:val="0029367A"/>
    <w:rsid w:val="002942AD"/>
    <w:rsid w:val="00294B75"/>
    <w:rsid w:val="002966B1"/>
    <w:rsid w:val="00297140"/>
    <w:rsid w:val="00297368"/>
    <w:rsid w:val="00297755"/>
    <w:rsid w:val="002A0104"/>
    <w:rsid w:val="002A0324"/>
    <w:rsid w:val="002A0765"/>
    <w:rsid w:val="002A2034"/>
    <w:rsid w:val="002A24F4"/>
    <w:rsid w:val="002A38BF"/>
    <w:rsid w:val="002A597E"/>
    <w:rsid w:val="002B08DE"/>
    <w:rsid w:val="002B0D0F"/>
    <w:rsid w:val="002B1C1D"/>
    <w:rsid w:val="002B1FDF"/>
    <w:rsid w:val="002B2A5B"/>
    <w:rsid w:val="002B4BC1"/>
    <w:rsid w:val="002B5069"/>
    <w:rsid w:val="002B5DBD"/>
    <w:rsid w:val="002B65BE"/>
    <w:rsid w:val="002B70DD"/>
    <w:rsid w:val="002B75F0"/>
    <w:rsid w:val="002C0A40"/>
    <w:rsid w:val="002C3A70"/>
    <w:rsid w:val="002C51F7"/>
    <w:rsid w:val="002C6637"/>
    <w:rsid w:val="002C72D2"/>
    <w:rsid w:val="002D02A6"/>
    <w:rsid w:val="002D29D7"/>
    <w:rsid w:val="002D4838"/>
    <w:rsid w:val="002D64A8"/>
    <w:rsid w:val="002D662C"/>
    <w:rsid w:val="002E0A1A"/>
    <w:rsid w:val="002E2D7B"/>
    <w:rsid w:val="002E3488"/>
    <w:rsid w:val="002E472D"/>
    <w:rsid w:val="002E5721"/>
    <w:rsid w:val="002E5E6A"/>
    <w:rsid w:val="002F0353"/>
    <w:rsid w:val="002F0D76"/>
    <w:rsid w:val="002F2A6F"/>
    <w:rsid w:val="002F3269"/>
    <w:rsid w:val="002F37BE"/>
    <w:rsid w:val="002F402E"/>
    <w:rsid w:val="002F5BA9"/>
    <w:rsid w:val="002F5F47"/>
    <w:rsid w:val="002F6EB0"/>
    <w:rsid w:val="00300D0B"/>
    <w:rsid w:val="0030471E"/>
    <w:rsid w:val="003049C9"/>
    <w:rsid w:val="00305563"/>
    <w:rsid w:val="00306096"/>
    <w:rsid w:val="00306848"/>
    <w:rsid w:val="00310051"/>
    <w:rsid w:val="00311566"/>
    <w:rsid w:val="0031645D"/>
    <w:rsid w:val="00317895"/>
    <w:rsid w:val="00320A67"/>
    <w:rsid w:val="0032220E"/>
    <w:rsid w:val="00324DDA"/>
    <w:rsid w:val="00324EA2"/>
    <w:rsid w:val="003266DA"/>
    <w:rsid w:val="003272FB"/>
    <w:rsid w:val="003303D9"/>
    <w:rsid w:val="00330F3C"/>
    <w:rsid w:val="003375A9"/>
    <w:rsid w:val="00341558"/>
    <w:rsid w:val="00342741"/>
    <w:rsid w:val="003507D3"/>
    <w:rsid w:val="00353516"/>
    <w:rsid w:val="003565AC"/>
    <w:rsid w:val="00356E3E"/>
    <w:rsid w:val="00357457"/>
    <w:rsid w:val="003605CA"/>
    <w:rsid w:val="0036135D"/>
    <w:rsid w:val="003616D4"/>
    <w:rsid w:val="00361B9C"/>
    <w:rsid w:val="00362DB4"/>
    <w:rsid w:val="0036339F"/>
    <w:rsid w:val="00364209"/>
    <w:rsid w:val="00365DA0"/>
    <w:rsid w:val="00367FCC"/>
    <w:rsid w:val="003733F5"/>
    <w:rsid w:val="0037356B"/>
    <w:rsid w:val="00374916"/>
    <w:rsid w:val="00375BBA"/>
    <w:rsid w:val="00376CEC"/>
    <w:rsid w:val="00377530"/>
    <w:rsid w:val="00380010"/>
    <w:rsid w:val="00380758"/>
    <w:rsid w:val="003812E0"/>
    <w:rsid w:val="0038329C"/>
    <w:rsid w:val="00384A4C"/>
    <w:rsid w:val="00385016"/>
    <w:rsid w:val="00385AEB"/>
    <w:rsid w:val="003869DF"/>
    <w:rsid w:val="003914E7"/>
    <w:rsid w:val="00394241"/>
    <w:rsid w:val="00394A1E"/>
    <w:rsid w:val="00397C0C"/>
    <w:rsid w:val="003A136D"/>
    <w:rsid w:val="003A3DD4"/>
    <w:rsid w:val="003A46C5"/>
    <w:rsid w:val="003A537D"/>
    <w:rsid w:val="003A5BAE"/>
    <w:rsid w:val="003A61F9"/>
    <w:rsid w:val="003B1E88"/>
    <w:rsid w:val="003B20CF"/>
    <w:rsid w:val="003B4030"/>
    <w:rsid w:val="003B439E"/>
    <w:rsid w:val="003B4A38"/>
    <w:rsid w:val="003B4A41"/>
    <w:rsid w:val="003B5FD0"/>
    <w:rsid w:val="003B67FF"/>
    <w:rsid w:val="003C2807"/>
    <w:rsid w:val="003C30C7"/>
    <w:rsid w:val="003C3377"/>
    <w:rsid w:val="003C46C4"/>
    <w:rsid w:val="003C4F65"/>
    <w:rsid w:val="003C5DEB"/>
    <w:rsid w:val="003C5E25"/>
    <w:rsid w:val="003C70F3"/>
    <w:rsid w:val="003D268C"/>
    <w:rsid w:val="003D679D"/>
    <w:rsid w:val="003D699D"/>
    <w:rsid w:val="003D78A3"/>
    <w:rsid w:val="003E05A5"/>
    <w:rsid w:val="003E128A"/>
    <w:rsid w:val="003E16E1"/>
    <w:rsid w:val="003E444C"/>
    <w:rsid w:val="003E6951"/>
    <w:rsid w:val="003F3A54"/>
    <w:rsid w:val="003F6014"/>
    <w:rsid w:val="004006DB"/>
    <w:rsid w:val="004012CF"/>
    <w:rsid w:val="004020EB"/>
    <w:rsid w:val="00402AF1"/>
    <w:rsid w:val="00402FF3"/>
    <w:rsid w:val="00403366"/>
    <w:rsid w:val="004069EB"/>
    <w:rsid w:val="004071A7"/>
    <w:rsid w:val="00410B8F"/>
    <w:rsid w:val="00412901"/>
    <w:rsid w:val="004141B4"/>
    <w:rsid w:val="00417E4F"/>
    <w:rsid w:val="00423213"/>
    <w:rsid w:val="00423ECD"/>
    <w:rsid w:val="0042416D"/>
    <w:rsid w:val="00425330"/>
    <w:rsid w:val="00425E1F"/>
    <w:rsid w:val="00426B98"/>
    <w:rsid w:val="0042798A"/>
    <w:rsid w:val="00427ABF"/>
    <w:rsid w:val="00431835"/>
    <w:rsid w:val="0043383C"/>
    <w:rsid w:val="00433D7C"/>
    <w:rsid w:val="00435E9C"/>
    <w:rsid w:val="00437271"/>
    <w:rsid w:val="00442C1A"/>
    <w:rsid w:val="00443FAB"/>
    <w:rsid w:val="004469CB"/>
    <w:rsid w:val="00450B03"/>
    <w:rsid w:val="004516EB"/>
    <w:rsid w:val="004529B6"/>
    <w:rsid w:val="00453DBD"/>
    <w:rsid w:val="00454CE6"/>
    <w:rsid w:val="00455C30"/>
    <w:rsid w:val="00462881"/>
    <w:rsid w:val="004639CF"/>
    <w:rsid w:val="004654B7"/>
    <w:rsid w:val="00471B16"/>
    <w:rsid w:val="00472678"/>
    <w:rsid w:val="00472867"/>
    <w:rsid w:val="00473342"/>
    <w:rsid w:val="0047362E"/>
    <w:rsid w:val="00475946"/>
    <w:rsid w:val="00475F48"/>
    <w:rsid w:val="00477CC2"/>
    <w:rsid w:val="0048180A"/>
    <w:rsid w:val="00481C7A"/>
    <w:rsid w:val="00484CC2"/>
    <w:rsid w:val="004855D1"/>
    <w:rsid w:val="004857CF"/>
    <w:rsid w:val="0049054A"/>
    <w:rsid w:val="004906C8"/>
    <w:rsid w:val="0049668B"/>
    <w:rsid w:val="004967E2"/>
    <w:rsid w:val="00497F60"/>
    <w:rsid w:val="004A1B6E"/>
    <w:rsid w:val="004A290F"/>
    <w:rsid w:val="004A5B4B"/>
    <w:rsid w:val="004A5FFD"/>
    <w:rsid w:val="004A6DA9"/>
    <w:rsid w:val="004A7AC3"/>
    <w:rsid w:val="004A7CE2"/>
    <w:rsid w:val="004B15D1"/>
    <w:rsid w:val="004B38AC"/>
    <w:rsid w:val="004B391E"/>
    <w:rsid w:val="004D08EB"/>
    <w:rsid w:val="004D0C64"/>
    <w:rsid w:val="004D2C8F"/>
    <w:rsid w:val="004D2D18"/>
    <w:rsid w:val="004D4A7D"/>
    <w:rsid w:val="004E0136"/>
    <w:rsid w:val="004E1318"/>
    <w:rsid w:val="004E2371"/>
    <w:rsid w:val="004E23A4"/>
    <w:rsid w:val="004E26AF"/>
    <w:rsid w:val="004E6BE9"/>
    <w:rsid w:val="004F17FE"/>
    <w:rsid w:val="004F47B9"/>
    <w:rsid w:val="00503655"/>
    <w:rsid w:val="005037B3"/>
    <w:rsid w:val="005039A0"/>
    <w:rsid w:val="00504E9A"/>
    <w:rsid w:val="00504FB2"/>
    <w:rsid w:val="00505015"/>
    <w:rsid w:val="00506846"/>
    <w:rsid w:val="00510556"/>
    <w:rsid w:val="00510591"/>
    <w:rsid w:val="00512DA7"/>
    <w:rsid w:val="00514054"/>
    <w:rsid w:val="00515090"/>
    <w:rsid w:val="00516853"/>
    <w:rsid w:val="005201B8"/>
    <w:rsid w:val="005211D9"/>
    <w:rsid w:val="00521E57"/>
    <w:rsid w:val="00522FD2"/>
    <w:rsid w:val="00524ADF"/>
    <w:rsid w:val="005305EA"/>
    <w:rsid w:val="00530F74"/>
    <w:rsid w:val="00531170"/>
    <w:rsid w:val="0053381A"/>
    <w:rsid w:val="00535F50"/>
    <w:rsid w:val="005371E7"/>
    <w:rsid w:val="0053720B"/>
    <w:rsid w:val="00540538"/>
    <w:rsid w:val="005409C9"/>
    <w:rsid w:val="00540ACB"/>
    <w:rsid w:val="005455EB"/>
    <w:rsid w:val="00545E93"/>
    <w:rsid w:val="00547D93"/>
    <w:rsid w:val="005520FE"/>
    <w:rsid w:val="00556513"/>
    <w:rsid w:val="00557560"/>
    <w:rsid w:val="005575CB"/>
    <w:rsid w:val="0056015B"/>
    <w:rsid w:val="00562653"/>
    <w:rsid w:val="00563D74"/>
    <w:rsid w:val="005646F9"/>
    <w:rsid w:val="00567998"/>
    <w:rsid w:val="00572979"/>
    <w:rsid w:val="005733EB"/>
    <w:rsid w:val="00573EDD"/>
    <w:rsid w:val="00575651"/>
    <w:rsid w:val="005759BB"/>
    <w:rsid w:val="00576F03"/>
    <w:rsid w:val="005803A1"/>
    <w:rsid w:val="00580802"/>
    <w:rsid w:val="00581A22"/>
    <w:rsid w:val="00582A33"/>
    <w:rsid w:val="0058339C"/>
    <w:rsid w:val="00584235"/>
    <w:rsid w:val="005864CD"/>
    <w:rsid w:val="0058671A"/>
    <w:rsid w:val="00591CBE"/>
    <w:rsid w:val="00593E91"/>
    <w:rsid w:val="00596DC5"/>
    <w:rsid w:val="005A0B49"/>
    <w:rsid w:val="005A1530"/>
    <w:rsid w:val="005A6D57"/>
    <w:rsid w:val="005B06D0"/>
    <w:rsid w:val="005B25A5"/>
    <w:rsid w:val="005B36D5"/>
    <w:rsid w:val="005B475E"/>
    <w:rsid w:val="005B5061"/>
    <w:rsid w:val="005B5B70"/>
    <w:rsid w:val="005B5F05"/>
    <w:rsid w:val="005B60F0"/>
    <w:rsid w:val="005B741E"/>
    <w:rsid w:val="005B7DAD"/>
    <w:rsid w:val="005C04BB"/>
    <w:rsid w:val="005C123F"/>
    <w:rsid w:val="005C15FA"/>
    <w:rsid w:val="005C218E"/>
    <w:rsid w:val="005C6605"/>
    <w:rsid w:val="005C6982"/>
    <w:rsid w:val="005C6DAA"/>
    <w:rsid w:val="005D0DF5"/>
    <w:rsid w:val="005D15A3"/>
    <w:rsid w:val="005D1602"/>
    <w:rsid w:val="005D18FA"/>
    <w:rsid w:val="005D2B59"/>
    <w:rsid w:val="005D362F"/>
    <w:rsid w:val="005D370F"/>
    <w:rsid w:val="005D5554"/>
    <w:rsid w:val="005E1DC6"/>
    <w:rsid w:val="005E48E4"/>
    <w:rsid w:val="005E4D7C"/>
    <w:rsid w:val="005E67CA"/>
    <w:rsid w:val="005F048E"/>
    <w:rsid w:val="005F0C60"/>
    <w:rsid w:val="005F13AC"/>
    <w:rsid w:val="005F2035"/>
    <w:rsid w:val="005F4734"/>
    <w:rsid w:val="005F57F0"/>
    <w:rsid w:val="00602704"/>
    <w:rsid w:val="00605A38"/>
    <w:rsid w:val="00605DCA"/>
    <w:rsid w:val="00607F06"/>
    <w:rsid w:val="00607FAD"/>
    <w:rsid w:val="0061042F"/>
    <w:rsid w:val="00610C37"/>
    <w:rsid w:val="006114BA"/>
    <w:rsid w:val="006168E4"/>
    <w:rsid w:val="00617A70"/>
    <w:rsid w:val="00617E5B"/>
    <w:rsid w:val="006233C5"/>
    <w:rsid w:val="00626775"/>
    <w:rsid w:val="00626A70"/>
    <w:rsid w:val="006323CA"/>
    <w:rsid w:val="0063381E"/>
    <w:rsid w:val="00633DE8"/>
    <w:rsid w:val="00636327"/>
    <w:rsid w:val="006369B4"/>
    <w:rsid w:val="00637512"/>
    <w:rsid w:val="00640EE4"/>
    <w:rsid w:val="0064272B"/>
    <w:rsid w:val="00642F2A"/>
    <w:rsid w:val="006466F5"/>
    <w:rsid w:val="0064676B"/>
    <w:rsid w:val="0064761A"/>
    <w:rsid w:val="00647F14"/>
    <w:rsid w:val="00650C5E"/>
    <w:rsid w:val="00652A6B"/>
    <w:rsid w:val="00652C6C"/>
    <w:rsid w:val="0065671B"/>
    <w:rsid w:val="00657DAD"/>
    <w:rsid w:val="00657E8C"/>
    <w:rsid w:val="0066072B"/>
    <w:rsid w:val="00660C59"/>
    <w:rsid w:val="00661753"/>
    <w:rsid w:val="0066456D"/>
    <w:rsid w:val="006655C9"/>
    <w:rsid w:val="00667DD9"/>
    <w:rsid w:val="00673BD3"/>
    <w:rsid w:val="006764C0"/>
    <w:rsid w:val="00676C25"/>
    <w:rsid w:val="00676FE4"/>
    <w:rsid w:val="00677379"/>
    <w:rsid w:val="006848B7"/>
    <w:rsid w:val="00686FD5"/>
    <w:rsid w:val="00691E10"/>
    <w:rsid w:val="00695AE4"/>
    <w:rsid w:val="00697278"/>
    <w:rsid w:val="006A04CA"/>
    <w:rsid w:val="006A2BEC"/>
    <w:rsid w:val="006A6AEA"/>
    <w:rsid w:val="006B0F7D"/>
    <w:rsid w:val="006B1953"/>
    <w:rsid w:val="006B1BF1"/>
    <w:rsid w:val="006B26E3"/>
    <w:rsid w:val="006B34A6"/>
    <w:rsid w:val="006B486C"/>
    <w:rsid w:val="006B4B63"/>
    <w:rsid w:val="006B5DDC"/>
    <w:rsid w:val="006B68FC"/>
    <w:rsid w:val="006B7444"/>
    <w:rsid w:val="006C0FBD"/>
    <w:rsid w:val="006C698B"/>
    <w:rsid w:val="006D23FC"/>
    <w:rsid w:val="006D3041"/>
    <w:rsid w:val="006D3733"/>
    <w:rsid w:val="006E359D"/>
    <w:rsid w:val="006E3ED8"/>
    <w:rsid w:val="006F396A"/>
    <w:rsid w:val="006F3C14"/>
    <w:rsid w:val="006F3F71"/>
    <w:rsid w:val="006F492D"/>
    <w:rsid w:val="006F4DF6"/>
    <w:rsid w:val="006F4DFF"/>
    <w:rsid w:val="00701033"/>
    <w:rsid w:val="00701B61"/>
    <w:rsid w:val="00702A39"/>
    <w:rsid w:val="00707049"/>
    <w:rsid w:val="00715ABB"/>
    <w:rsid w:val="00715BE7"/>
    <w:rsid w:val="00715F5E"/>
    <w:rsid w:val="007164CD"/>
    <w:rsid w:val="007172F5"/>
    <w:rsid w:val="00717625"/>
    <w:rsid w:val="00717E41"/>
    <w:rsid w:val="0072689F"/>
    <w:rsid w:val="00727E59"/>
    <w:rsid w:val="00730443"/>
    <w:rsid w:val="00732D26"/>
    <w:rsid w:val="00736D41"/>
    <w:rsid w:val="0074094C"/>
    <w:rsid w:val="00741327"/>
    <w:rsid w:val="00742EAF"/>
    <w:rsid w:val="00743783"/>
    <w:rsid w:val="007438A0"/>
    <w:rsid w:val="00744EEF"/>
    <w:rsid w:val="007456B7"/>
    <w:rsid w:val="007546C1"/>
    <w:rsid w:val="00754CAE"/>
    <w:rsid w:val="007568AD"/>
    <w:rsid w:val="007616D7"/>
    <w:rsid w:val="00763C1A"/>
    <w:rsid w:val="00770CD1"/>
    <w:rsid w:val="00770FCE"/>
    <w:rsid w:val="00771AC2"/>
    <w:rsid w:val="00772E31"/>
    <w:rsid w:val="00773D07"/>
    <w:rsid w:val="007748C4"/>
    <w:rsid w:val="00774A9C"/>
    <w:rsid w:val="007758AA"/>
    <w:rsid w:val="00780B57"/>
    <w:rsid w:val="00781530"/>
    <w:rsid w:val="007830E9"/>
    <w:rsid w:val="00783A07"/>
    <w:rsid w:val="00783A0F"/>
    <w:rsid w:val="007851D5"/>
    <w:rsid w:val="00785E67"/>
    <w:rsid w:val="00794099"/>
    <w:rsid w:val="0079486A"/>
    <w:rsid w:val="00794F80"/>
    <w:rsid w:val="007953AC"/>
    <w:rsid w:val="0079735D"/>
    <w:rsid w:val="007A1C9E"/>
    <w:rsid w:val="007A3206"/>
    <w:rsid w:val="007A4692"/>
    <w:rsid w:val="007B0F1D"/>
    <w:rsid w:val="007B1B43"/>
    <w:rsid w:val="007B2303"/>
    <w:rsid w:val="007B2C77"/>
    <w:rsid w:val="007B403C"/>
    <w:rsid w:val="007B68F7"/>
    <w:rsid w:val="007B74F3"/>
    <w:rsid w:val="007B7974"/>
    <w:rsid w:val="007C25CA"/>
    <w:rsid w:val="007C4168"/>
    <w:rsid w:val="007C45D8"/>
    <w:rsid w:val="007C5D0B"/>
    <w:rsid w:val="007C7C08"/>
    <w:rsid w:val="007D1A27"/>
    <w:rsid w:val="007D1B24"/>
    <w:rsid w:val="007D1F15"/>
    <w:rsid w:val="007D25B1"/>
    <w:rsid w:val="007D2878"/>
    <w:rsid w:val="007D2F06"/>
    <w:rsid w:val="007D3203"/>
    <w:rsid w:val="007D3776"/>
    <w:rsid w:val="007D4303"/>
    <w:rsid w:val="007D6045"/>
    <w:rsid w:val="007E2B95"/>
    <w:rsid w:val="007E51E6"/>
    <w:rsid w:val="007E6161"/>
    <w:rsid w:val="007E6BD2"/>
    <w:rsid w:val="007E7BAB"/>
    <w:rsid w:val="007E7DCE"/>
    <w:rsid w:val="007F20AC"/>
    <w:rsid w:val="007F3BA0"/>
    <w:rsid w:val="007F53A0"/>
    <w:rsid w:val="007F7A92"/>
    <w:rsid w:val="008024BA"/>
    <w:rsid w:val="00802C56"/>
    <w:rsid w:val="00803193"/>
    <w:rsid w:val="00803827"/>
    <w:rsid w:val="00811205"/>
    <w:rsid w:val="008120A3"/>
    <w:rsid w:val="00812C48"/>
    <w:rsid w:val="008146F9"/>
    <w:rsid w:val="00817345"/>
    <w:rsid w:val="00820C44"/>
    <w:rsid w:val="00822215"/>
    <w:rsid w:val="008225F1"/>
    <w:rsid w:val="00824DCD"/>
    <w:rsid w:val="0082728A"/>
    <w:rsid w:val="00833011"/>
    <w:rsid w:val="00833746"/>
    <w:rsid w:val="008356AF"/>
    <w:rsid w:val="00843314"/>
    <w:rsid w:val="00844569"/>
    <w:rsid w:val="00844902"/>
    <w:rsid w:val="00846F28"/>
    <w:rsid w:val="008473F5"/>
    <w:rsid w:val="00847D23"/>
    <w:rsid w:val="008516F0"/>
    <w:rsid w:val="0085196B"/>
    <w:rsid w:val="0085243A"/>
    <w:rsid w:val="00853BED"/>
    <w:rsid w:val="00857DDC"/>
    <w:rsid w:val="00863327"/>
    <w:rsid w:val="00864079"/>
    <w:rsid w:val="00865065"/>
    <w:rsid w:val="00867376"/>
    <w:rsid w:val="00870F44"/>
    <w:rsid w:val="00871DC1"/>
    <w:rsid w:val="008724F6"/>
    <w:rsid w:val="0087665D"/>
    <w:rsid w:val="008776A3"/>
    <w:rsid w:val="0088281C"/>
    <w:rsid w:val="00883241"/>
    <w:rsid w:val="00884054"/>
    <w:rsid w:val="008840E6"/>
    <w:rsid w:val="00884568"/>
    <w:rsid w:val="00887D68"/>
    <w:rsid w:val="008936E7"/>
    <w:rsid w:val="00893729"/>
    <w:rsid w:val="00895089"/>
    <w:rsid w:val="008951ED"/>
    <w:rsid w:val="00896828"/>
    <w:rsid w:val="008A0CBB"/>
    <w:rsid w:val="008A29A6"/>
    <w:rsid w:val="008A2F6C"/>
    <w:rsid w:val="008A40AD"/>
    <w:rsid w:val="008A6609"/>
    <w:rsid w:val="008A68CA"/>
    <w:rsid w:val="008A6B90"/>
    <w:rsid w:val="008A6F2F"/>
    <w:rsid w:val="008A75BE"/>
    <w:rsid w:val="008A7D00"/>
    <w:rsid w:val="008B0679"/>
    <w:rsid w:val="008B10F2"/>
    <w:rsid w:val="008B3D11"/>
    <w:rsid w:val="008B42B1"/>
    <w:rsid w:val="008B4525"/>
    <w:rsid w:val="008B5224"/>
    <w:rsid w:val="008B7087"/>
    <w:rsid w:val="008B7382"/>
    <w:rsid w:val="008C0375"/>
    <w:rsid w:val="008C121A"/>
    <w:rsid w:val="008C1E83"/>
    <w:rsid w:val="008C2023"/>
    <w:rsid w:val="008C32A8"/>
    <w:rsid w:val="008C36F2"/>
    <w:rsid w:val="008C50C4"/>
    <w:rsid w:val="008C55A3"/>
    <w:rsid w:val="008C5A03"/>
    <w:rsid w:val="008C5E94"/>
    <w:rsid w:val="008C6105"/>
    <w:rsid w:val="008D05A6"/>
    <w:rsid w:val="008D4154"/>
    <w:rsid w:val="008D4EB7"/>
    <w:rsid w:val="008D5DFD"/>
    <w:rsid w:val="008D6D04"/>
    <w:rsid w:val="008E201B"/>
    <w:rsid w:val="008E3791"/>
    <w:rsid w:val="008E6375"/>
    <w:rsid w:val="008F0117"/>
    <w:rsid w:val="008F4C65"/>
    <w:rsid w:val="008F62CE"/>
    <w:rsid w:val="008F6955"/>
    <w:rsid w:val="008F7D70"/>
    <w:rsid w:val="00904E4A"/>
    <w:rsid w:val="00905422"/>
    <w:rsid w:val="00911080"/>
    <w:rsid w:val="00913133"/>
    <w:rsid w:val="00913ED3"/>
    <w:rsid w:val="009145F6"/>
    <w:rsid w:val="00914CF1"/>
    <w:rsid w:val="00920128"/>
    <w:rsid w:val="00921DB9"/>
    <w:rsid w:val="00922381"/>
    <w:rsid w:val="00922957"/>
    <w:rsid w:val="00922B27"/>
    <w:rsid w:val="0092403D"/>
    <w:rsid w:val="009268BB"/>
    <w:rsid w:val="00926D4D"/>
    <w:rsid w:val="009278D2"/>
    <w:rsid w:val="0093296F"/>
    <w:rsid w:val="00932A88"/>
    <w:rsid w:val="00934F3F"/>
    <w:rsid w:val="00935D2F"/>
    <w:rsid w:val="009369AD"/>
    <w:rsid w:val="00940116"/>
    <w:rsid w:val="009402DB"/>
    <w:rsid w:val="00940F59"/>
    <w:rsid w:val="00941DFA"/>
    <w:rsid w:val="009449B8"/>
    <w:rsid w:val="00944DC9"/>
    <w:rsid w:val="00945479"/>
    <w:rsid w:val="00945D0C"/>
    <w:rsid w:val="00946380"/>
    <w:rsid w:val="009464B0"/>
    <w:rsid w:val="009517DA"/>
    <w:rsid w:val="009564C9"/>
    <w:rsid w:val="00957502"/>
    <w:rsid w:val="009611E0"/>
    <w:rsid w:val="00961369"/>
    <w:rsid w:val="00964AA9"/>
    <w:rsid w:val="00965B02"/>
    <w:rsid w:val="00965FEE"/>
    <w:rsid w:val="0096607F"/>
    <w:rsid w:val="0096643B"/>
    <w:rsid w:val="009706B5"/>
    <w:rsid w:val="009712F1"/>
    <w:rsid w:val="00972BDF"/>
    <w:rsid w:val="00976C44"/>
    <w:rsid w:val="0098182D"/>
    <w:rsid w:val="009863DD"/>
    <w:rsid w:val="00990C92"/>
    <w:rsid w:val="00991C21"/>
    <w:rsid w:val="00991F20"/>
    <w:rsid w:val="00994D66"/>
    <w:rsid w:val="00996FB8"/>
    <w:rsid w:val="00997E87"/>
    <w:rsid w:val="009A00AF"/>
    <w:rsid w:val="009A0913"/>
    <w:rsid w:val="009A0AF8"/>
    <w:rsid w:val="009A1139"/>
    <w:rsid w:val="009A1A99"/>
    <w:rsid w:val="009A1AD9"/>
    <w:rsid w:val="009A24C2"/>
    <w:rsid w:val="009A4152"/>
    <w:rsid w:val="009A49FE"/>
    <w:rsid w:val="009A596A"/>
    <w:rsid w:val="009A686F"/>
    <w:rsid w:val="009A77EC"/>
    <w:rsid w:val="009B1356"/>
    <w:rsid w:val="009B28A2"/>
    <w:rsid w:val="009B33A8"/>
    <w:rsid w:val="009B3487"/>
    <w:rsid w:val="009B3D6C"/>
    <w:rsid w:val="009B5980"/>
    <w:rsid w:val="009B59AD"/>
    <w:rsid w:val="009B7200"/>
    <w:rsid w:val="009B7C61"/>
    <w:rsid w:val="009C2422"/>
    <w:rsid w:val="009C2AE5"/>
    <w:rsid w:val="009C3793"/>
    <w:rsid w:val="009C5328"/>
    <w:rsid w:val="009C5DB9"/>
    <w:rsid w:val="009C7074"/>
    <w:rsid w:val="009C78BF"/>
    <w:rsid w:val="009D25FE"/>
    <w:rsid w:val="009D2A8A"/>
    <w:rsid w:val="009D2B34"/>
    <w:rsid w:val="009D4F3B"/>
    <w:rsid w:val="009E0867"/>
    <w:rsid w:val="009E0E21"/>
    <w:rsid w:val="009E1411"/>
    <w:rsid w:val="009E45A0"/>
    <w:rsid w:val="009E471D"/>
    <w:rsid w:val="009E4B6C"/>
    <w:rsid w:val="009E52F2"/>
    <w:rsid w:val="009F0515"/>
    <w:rsid w:val="009F1A4C"/>
    <w:rsid w:val="009F3056"/>
    <w:rsid w:val="009F335B"/>
    <w:rsid w:val="009F3C1F"/>
    <w:rsid w:val="009F614E"/>
    <w:rsid w:val="009F61DE"/>
    <w:rsid w:val="009F6571"/>
    <w:rsid w:val="009F6A7C"/>
    <w:rsid w:val="009F762B"/>
    <w:rsid w:val="00A02047"/>
    <w:rsid w:val="00A036BE"/>
    <w:rsid w:val="00A05EF8"/>
    <w:rsid w:val="00A064EC"/>
    <w:rsid w:val="00A11838"/>
    <w:rsid w:val="00A12205"/>
    <w:rsid w:val="00A13BA0"/>
    <w:rsid w:val="00A14CB7"/>
    <w:rsid w:val="00A155B9"/>
    <w:rsid w:val="00A173F8"/>
    <w:rsid w:val="00A214B4"/>
    <w:rsid w:val="00A22010"/>
    <w:rsid w:val="00A23F8F"/>
    <w:rsid w:val="00A26395"/>
    <w:rsid w:val="00A274D8"/>
    <w:rsid w:val="00A32D63"/>
    <w:rsid w:val="00A345F6"/>
    <w:rsid w:val="00A34DDD"/>
    <w:rsid w:val="00A35A87"/>
    <w:rsid w:val="00A4436A"/>
    <w:rsid w:val="00A45097"/>
    <w:rsid w:val="00A453DC"/>
    <w:rsid w:val="00A45721"/>
    <w:rsid w:val="00A45BD9"/>
    <w:rsid w:val="00A47E87"/>
    <w:rsid w:val="00A516E8"/>
    <w:rsid w:val="00A520C9"/>
    <w:rsid w:val="00A525D9"/>
    <w:rsid w:val="00A54046"/>
    <w:rsid w:val="00A5485E"/>
    <w:rsid w:val="00A565E7"/>
    <w:rsid w:val="00A56B6B"/>
    <w:rsid w:val="00A625E2"/>
    <w:rsid w:val="00A63D5A"/>
    <w:rsid w:val="00A65594"/>
    <w:rsid w:val="00A658B7"/>
    <w:rsid w:val="00A65D0B"/>
    <w:rsid w:val="00A676DA"/>
    <w:rsid w:val="00A67B13"/>
    <w:rsid w:val="00A71080"/>
    <w:rsid w:val="00A72465"/>
    <w:rsid w:val="00A72DCB"/>
    <w:rsid w:val="00A75001"/>
    <w:rsid w:val="00A7565B"/>
    <w:rsid w:val="00A763BD"/>
    <w:rsid w:val="00A80C92"/>
    <w:rsid w:val="00A8212C"/>
    <w:rsid w:val="00A82461"/>
    <w:rsid w:val="00A83323"/>
    <w:rsid w:val="00A85006"/>
    <w:rsid w:val="00A851D8"/>
    <w:rsid w:val="00A85FF3"/>
    <w:rsid w:val="00A87394"/>
    <w:rsid w:val="00A90085"/>
    <w:rsid w:val="00A90295"/>
    <w:rsid w:val="00A9227B"/>
    <w:rsid w:val="00A927B1"/>
    <w:rsid w:val="00A93540"/>
    <w:rsid w:val="00A947CC"/>
    <w:rsid w:val="00A94812"/>
    <w:rsid w:val="00A953BA"/>
    <w:rsid w:val="00AA066E"/>
    <w:rsid w:val="00AA1A2C"/>
    <w:rsid w:val="00AA207C"/>
    <w:rsid w:val="00AA2089"/>
    <w:rsid w:val="00AA34FF"/>
    <w:rsid w:val="00AA5D62"/>
    <w:rsid w:val="00AB1A1D"/>
    <w:rsid w:val="00AB3710"/>
    <w:rsid w:val="00AB4B0F"/>
    <w:rsid w:val="00AB6C3B"/>
    <w:rsid w:val="00AB718D"/>
    <w:rsid w:val="00AC0078"/>
    <w:rsid w:val="00AC1971"/>
    <w:rsid w:val="00AC5581"/>
    <w:rsid w:val="00AC6E78"/>
    <w:rsid w:val="00AC76D3"/>
    <w:rsid w:val="00AC7FB6"/>
    <w:rsid w:val="00AD15A7"/>
    <w:rsid w:val="00AD49CD"/>
    <w:rsid w:val="00AD4BD3"/>
    <w:rsid w:val="00AD63C7"/>
    <w:rsid w:val="00AD6BEE"/>
    <w:rsid w:val="00AE008F"/>
    <w:rsid w:val="00AE1841"/>
    <w:rsid w:val="00AE1EF2"/>
    <w:rsid w:val="00AE2176"/>
    <w:rsid w:val="00AE23FC"/>
    <w:rsid w:val="00AE2CA1"/>
    <w:rsid w:val="00AE3471"/>
    <w:rsid w:val="00AE44A7"/>
    <w:rsid w:val="00AE5F26"/>
    <w:rsid w:val="00AF1248"/>
    <w:rsid w:val="00AF535B"/>
    <w:rsid w:val="00AF55AC"/>
    <w:rsid w:val="00AF713F"/>
    <w:rsid w:val="00B0236C"/>
    <w:rsid w:val="00B07D6D"/>
    <w:rsid w:val="00B1003A"/>
    <w:rsid w:val="00B103F9"/>
    <w:rsid w:val="00B11E08"/>
    <w:rsid w:val="00B12E48"/>
    <w:rsid w:val="00B13C33"/>
    <w:rsid w:val="00B14095"/>
    <w:rsid w:val="00B1443C"/>
    <w:rsid w:val="00B256FE"/>
    <w:rsid w:val="00B25C76"/>
    <w:rsid w:val="00B26C37"/>
    <w:rsid w:val="00B31420"/>
    <w:rsid w:val="00B32CD3"/>
    <w:rsid w:val="00B353FF"/>
    <w:rsid w:val="00B35A93"/>
    <w:rsid w:val="00B361DA"/>
    <w:rsid w:val="00B3635B"/>
    <w:rsid w:val="00B3672D"/>
    <w:rsid w:val="00B36C4F"/>
    <w:rsid w:val="00B36D2B"/>
    <w:rsid w:val="00B407CA"/>
    <w:rsid w:val="00B41588"/>
    <w:rsid w:val="00B427A3"/>
    <w:rsid w:val="00B455E7"/>
    <w:rsid w:val="00B47192"/>
    <w:rsid w:val="00B4745C"/>
    <w:rsid w:val="00B477AC"/>
    <w:rsid w:val="00B47B0E"/>
    <w:rsid w:val="00B51510"/>
    <w:rsid w:val="00B527A5"/>
    <w:rsid w:val="00B5354D"/>
    <w:rsid w:val="00B547A7"/>
    <w:rsid w:val="00B54C21"/>
    <w:rsid w:val="00B56C1A"/>
    <w:rsid w:val="00B61D75"/>
    <w:rsid w:val="00B62F0D"/>
    <w:rsid w:val="00B64D7A"/>
    <w:rsid w:val="00B70236"/>
    <w:rsid w:val="00B7258D"/>
    <w:rsid w:val="00B72B0F"/>
    <w:rsid w:val="00B7396E"/>
    <w:rsid w:val="00B741B2"/>
    <w:rsid w:val="00B75A86"/>
    <w:rsid w:val="00B80028"/>
    <w:rsid w:val="00B8109D"/>
    <w:rsid w:val="00B833EA"/>
    <w:rsid w:val="00B840E3"/>
    <w:rsid w:val="00B84AB2"/>
    <w:rsid w:val="00B85271"/>
    <w:rsid w:val="00B871BE"/>
    <w:rsid w:val="00B9223B"/>
    <w:rsid w:val="00B9525A"/>
    <w:rsid w:val="00B95987"/>
    <w:rsid w:val="00B971AA"/>
    <w:rsid w:val="00B97604"/>
    <w:rsid w:val="00BA11EC"/>
    <w:rsid w:val="00BA4D1F"/>
    <w:rsid w:val="00BA7AD1"/>
    <w:rsid w:val="00BB04EC"/>
    <w:rsid w:val="00BB2250"/>
    <w:rsid w:val="00BB3013"/>
    <w:rsid w:val="00BB302E"/>
    <w:rsid w:val="00BB4A68"/>
    <w:rsid w:val="00BB5CE6"/>
    <w:rsid w:val="00BC0FDD"/>
    <w:rsid w:val="00BC14E6"/>
    <w:rsid w:val="00BC22E0"/>
    <w:rsid w:val="00BC3CE6"/>
    <w:rsid w:val="00BC4B6D"/>
    <w:rsid w:val="00BD1E01"/>
    <w:rsid w:val="00BD30FE"/>
    <w:rsid w:val="00BD36D6"/>
    <w:rsid w:val="00BD4FD3"/>
    <w:rsid w:val="00BD65B1"/>
    <w:rsid w:val="00BE21EF"/>
    <w:rsid w:val="00BE2756"/>
    <w:rsid w:val="00BE28ED"/>
    <w:rsid w:val="00BE3E18"/>
    <w:rsid w:val="00BE4F42"/>
    <w:rsid w:val="00BE688D"/>
    <w:rsid w:val="00BE7C9B"/>
    <w:rsid w:val="00BF01A7"/>
    <w:rsid w:val="00BF1ECA"/>
    <w:rsid w:val="00BF30B0"/>
    <w:rsid w:val="00BF37E3"/>
    <w:rsid w:val="00BF7272"/>
    <w:rsid w:val="00C0147E"/>
    <w:rsid w:val="00C03F20"/>
    <w:rsid w:val="00C04FE4"/>
    <w:rsid w:val="00C12B01"/>
    <w:rsid w:val="00C13F8E"/>
    <w:rsid w:val="00C16182"/>
    <w:rsid w:val="00C25084"/>
    <w:rsid w:val="00C272C9"/>
    <w:rsid w:val="00C304E8"/>
    <w:rsid w:val="00C30A4F"/>
    <w:rsid w:val="00C325D6"/>
    <w:rsid w:val="00C41665"/>
    <w:rsid w:val="00C429E1"/>
    <w:rsid w:val="00C4691C"/>
    <w:rsid w:val="00C57DAE"/>
    <w:rsid w:val="00C61F96"/>
    <w:rsid w:val="00C6488B"/>
    <w:rsid w:val="00C66E9C"/>
    <w:rsid w:val="00C67A38"/>
    <w:rsid w:val="00C70B66"/>
    <w:rsid w:val="00C71C64"/>
    <w:rsid w:val="00C71CD1"/>
    <w:rsid w:val="00C72E35"/>
    <w:rsid w:val="00C73143"/>
    <w:rsid w:val="00C755B1"/>
    <w:rsid w:val="00C75C1A"/>
    <w:rsid w:val="00C77685"/>
    <w:rsid w:val="00C77815"/>
    <w:rsid w:val="00C80100"/>
    <w:rsid w:val="00C8239D"/>
    <w:rsid w:val="00C84895"/>
    <w:rsid w:val="00C85378"/>
    <w:rsid w:val="00C90AD4"/>
    <w:rsid w:val="00C9297C"/>
    <w:rsid w:val="00C953CF"/>
    <w:rsid w:val="00CA1B63"/>
    <w:rsid w:val="00CA58BD"/>
    <w:rsid w:val="00CA621B"/>
    <w:rsid w:val="00CA6FDA"/>
    <w:rsid w:val="00CB0AFB"/>
    <w:rsid w:val="00CB266D"/>
    <w:rsid w:val="00CB3B6F"/>
    <w:rsid w:val="00CC071F"/>
    <w:rsid w:val="00CC0C5F"/>
    <w:rsid w:val="00CC14B6"/>
    <w:rsid w:val="00CC223A"/>
    <w:rsid w:val="00CC2F3D"/>
    <w:rsid w:val="00CC5144"/>
    <w:rsid w:val="00CC5FF3"/>
    <w:rsid w:val="00CC7DE3"/>
    <w:rsid w:val="00CD1132"/>
    <w:rsid w:val="00CD1FE4"/>
    <w:rsid w:val="00CD422C"/>
    <w:rsid w:val="00CD5CDC"/>
    <w:rsid w:val="00CD789C"/>
    <w:rsid w:val="00CE13C5"/>
    <w:rsid w:val="00CE2ADF"/>
    <w:rsid w:val="00CE360C"/>
    <w:rsid w:val="00CE3713"/>
    <w:rsid w:val="00CE3992"/>
    <w:rsid w:val="00CE5A29"/>
    <w:rsid w:val="00CE68C2"/>
    <w:rsid w:val="00CF0807"/>
    <w:rsid w:val="00CF0835"/>
    <w:rsid w:val="00CF1976"/>
    <w:rsid w:val="00CF1D7D"/>
    <w:rsid w:val="00CF45D3"/>
    <w:rsid w:val="00CF4D0D"/>
    <w:rsid w:val="00CF516A"/>
    <w:rsid w:val="00CF6B6C"/>
    <w:rsid w:val="00D00A58"/>
    <w:rsid w:val="00D00EF3"/>
    <w:rsid w:val="00D01197"/>
    <w:rsid w:val="00D042BB"/>
    <w:rsid w:val="00D04897"/>
    <w:rsid w:val="00D05038"/>
    <w:rsid w:val="00D058B0"/>
    <w:rsid w:val="00D05C8E"/>
    <w:rsid w:val="00D05F07"/>
    <w:rsid w:val="00D06CA0"/>
    <w:rsid w:val="00D11F7D"/>
    <w:rsid w:val="00D11FC3"/>
    <w:rsid w:val="00D1209E"/>
    <w:rsid w:val="00D13098"/>
    <w:rsid w:val="00D161C1"/>
    <w:rsid w:val="00D17789"/>
    <w:rsid w:val="00D1789C"/>
    <w:rsid w:val="00D17B5C"/>
    <w:rsid w:val="00D20C43"/>
    <w:rsid w:val="00D21565"/>
    <w:rsid w:val="00D226BE"/>
    <w:rsid w:val="00D242E5"/>
    <w:rsid w:val="00D25860"/>
    <w:rsid w:val="00D2737E"/>
    <w:rsid w:val="00D274A9"/>
    <w:rsid w:val="00D30A9A"/>
    <w:rsid w:val="00D32347"/>
    <w:rsid w:val="00D32644"/>
    <w:rsid w:val="00D33229"/>
    <w:rsid w:val="00D33619"/>
    <w:rsid w:val="00D33F6F"/>
    <w:rsid w:val="00D416BE"/>
    <w:rsid w:val="00D44F89"/>
    <w:rsid w:val="00D45975"/>
    <w:rsid w:val="00D45E77"/>
    <w:rsid w:val="00D52AC7"/>
    <w:rsid w:val="00D53178"/>
    <w:rsid w:val="00D53772"/>
    <w:rsid w:val="00D53AA4"/>
    <w:rsid w:val="00D54CA9"/>
    <w:rsid w:val="00D555B6"/>
    <w:rsid w:val="00D556EC"/>
    <w:rsid w:val="00D56D67"/>
    <w:rsid w:val="00D61972"/>
    <w:rsid w:val="00D61EC5"/>
    <w:rsid w:val="00D627AD"/>
    <w:rsid w:val="00D62DD7"/>
    <w:rsid w:val="00D6340F"/>
    <w:rsid w:val="00D660FD"/>
    <w:rsid w:val="00D66135"/>
    <w:rsid w:val="00D67147"/>
    <w:rsid w:val="00D707C1"/>
    <w:rsid w:val="00D72D16"/>
    <w:rsid w:val="00D74213"/>
    <w:rsid w:val="00D8049E"/>
    <w:rsid w:val="00D804D4"/>
    <w:rsid w:val="00D81914"/>
    <w:rsid w:val="00D8195B"/>
    <w:rsid w:val="00D8561C"/>
    <w:rsid w:val="00D8619F"/>
    <w:rsid w:val="00D86764"/>
    <w:rsid w:val="00D90920"/>
    <w:rsid w:val="00D91D95"/>
    <w:rsid w:val="00D9218C"/>
    <w:rsid w:val="00D924C9"/>
    <w:rsid w:val="00D957E3"/>
    <w:rsid w:val="00D970E2"/>
    <w:rsid w:val="00DA5ABC"/>
    <w:rsid w:val="00DA6069"/>
    <w:rsid w:val="00DA7FB9"/>
    <w:rsid w:val="00DB139B"/>
    <w:rsid w:val="00DB1479"/>
    <w:rsid w:val="00DB37DD"/>
    <w:rsid w:val="00DB437B"/>
    <w:rsid w:val="00DB4537"/>
    <w:rsid w:val="00DB5528"/>
    <w:rsid w:val="00DB5C0A"/>
    <w:rsid w:val="00DB5E40"/>
    <w:rsid w:val="00DC06AA"/>
    <w:rsid w:val="00DC0C93"/>
    <w:rsid w:val="00DC0E09"/>
    <w:rsid w:val="00DC168A"/>
    <w:rsid w:val="00DC721C"/>
    <w:rsid w:val="00DD13E2"/>
    <w:rsid w:val="00DD27BD"/>
    <w:rsid w:val="00DD2BA7"/>
    <w:rsid w:val="00DD6089"/>
    <w:rsid w:val="00DE153B"/>
    <w:rsid w:val="00DE3B70"/>
    <w:rsid w:val="00DF003C"/>
    <w:rsid w:val="00DF1623"/>
    <w:rsid w:val="00DF3078"/>
    <w:rsid w:val="00DF4501"/>
    <w:rsid w:val="00DF45C5"/>
    <w:rsid w:val="00DF5FBA"/>
    <w:rsid w:val="00DF723C"/>
    <w:rsid w:val="00DF783E"/>
    <w:rsid w:val="00DF78AE"/>
    <w:rsid w:val="00E029A8"/>
    <w:rsid w:val="00E10879"/>
    <w:rsid w:val="00E117EC"/>
    <w:rsid w:val="00E11E2E"/>
    <w:rsid w:val="00E12542"/>
    <w:rsid w:val="00E1345D"/>
    <w:rsid w:val="00E13B3A"/>
    <w:rsid w:val="00E13CBE"/>
    <w:rsid w:val="00E244F9"/>
    <w:rsid w:val="00E24CF4"/>
    <w:rsid w:val="00E266D3"/>
    <w:rsid w:val="00E27279"/>
    <w:rsid w:val="00E31699"/>
    <w:rsid w:val="00E32707"/>
    <w:rsid w:val="00E371EC"/>
    <w:rsid w:val="00E450DB"/>
    <w:rsid w:val="00E46A86"/>
    <w:rsid w:val="00E46CE8"/>
    <w:rsid w:val="00E532D7"/>
    <w:rsid w:val="00E555D5"/>
    <w:rsid w:val="00E6063A"/>
    <w:rsid w:val="00E62A59"/>
    <w:rsid w:val="00E63ADD"/>
    <w:rsid w:val="00E64A3C"/>
    <w:rsid w:val="00E67776"/>
    <w:rsid w:val="00E70039"/>
    <w:rsid w:val="00E71983"/>
    <w:rsid w:val="00E71EAD"/>
    <w:rsid w:val="00E72AE3"/>
    <w:rsid w:val="00E734B9"/>
    <w:rsid w:val="00E73B0B"/>
    <w:rsid w:val="00E73B51"/>
    <w:rsid w:val="00E743B7"/>
    <w:rsid w:val="00E76D3D"/>
    <w:rsid w:val="00E80B0F"/>
    <w:rsid w:val="00E81518"/>
    <w:rsid w:val="00E81B17"/>
    <w:rsid w:val="00E83125"/>
    <w:rsid w:val="00E83F26"/>
    <w:rsid w:val="00E86A13"/>
    <w:rsid w:val="00E86CA7"/>
    <w:rsid w:val="00E87B0E"/>
    <w:rsid w:val="00E913E9"/>
    <w:rsid w:val="00E92F82"/>
    <w:rsid w:val="00E96F99"/>
    <w:rsid w:val="00EA103B"/>
    <w:rsid w:val="00EA1F89"/>
    <w:rsid w:val="00EA3BCB"/>
    <w:rsid w:val="00EA4C15"/>
    <w:rsid w:val="00EA5BCC"/>
    <w:rsid w:val="00EB117B"/>
    <w:rsid w:val="00EB15E0"/>
    <w:rsid w:val="00EB39C0"/>
    <w:rsid w:val="00EB40D6"/>
    <w:rsid w:val="00EB5F75"/>
    <w:rsid w:val="00EB79CD"/>
    <w:rsid w:val="00EB7A2F"/>
    <w:rsid w:val="00EB7F18"/>
    <w:rsid w:val="00EC07ED"/>
    <w:rsid w:val="00EC305D"/>
    <w:rsid w:val="00EC3BF2"/>
    <w:rsid w:val="00EC3C36"/>
    <w:rsid w:val="00ED1EC6"/>
    <w:rsid w:val="00ED3F27"/>
    <w:rsid w:val="00ED6131"/>
    <w:rsid w:val="00EE0578"/>
    <w:rsid w:val="00EE0F2E"/>
    <w:rsid w:val="00EE1234"/>
    <w:rsid w:val="00EE1454"/>
    <w:rsid w:val="00EE26AE"/>
    <w:rsid w:val="00EE2A41"/>
    <w:rsid w:val="00EE2C8C"/>
    <w:rsid w:val="00EE2ECB"/>
    <w:rsid w:val="00EE3054"/>
    <w:rsid w:val="00EE575D"/>
    <w:rsid w:val="00EE5F8D"/>
    <w:rsid w:val="00EF09FB"/>
    <w:rsid w:val="00EF1C91"/>
    <w:rsid w:val="00EF1F1D"/>
    <w:rsid w:val="00EF309C"/>
    <w:rsid w:val="00EF5956"/>
    <w:rsid w:val="00EF647D"/>
    <w:rsid w:val="00EF7B0C"/>
    <w:rsid w:val="00F02923"/>
    <w:rsid w:val="00F02B2C"/>
    <w:rsid w:val="00F0351B"/>
    <w:rsid w:val="00F04E34"/>
    <w:rsid w:val="00F06472"/>
    <w:rsid w:val="00F06F04"/>
    <w:rsid w:val="00F0721E"/>
    <w:rsid w:val="00F0754E"/>
    <w:rsid w:val="00F10EEA"/>
    <w:rsid w:val="00F110DB"/>
    <w:rsid w:val="00F12358"/>
    <w:rsid w:val="00F13693"/>
    <w:rsid w:val="00F1515C"/>
    <w:rsid w:val="00F16026"/>
    <w:rsid w:val="00F16794"/>
    <w:rsid w:val="00F1776F"/>
    <w:rsid w:val="00F22566"/>
    <w:rsid w:val="00F22963"/>
    <w:rsid w:val="00F22D0E"/>
    <w:rsid w:val="00F25D50"/>
    <w:rsid w:val="00F2654F"/>
    <w:rsid w:val="00F34250"/>
    <w:rsid w:val="00F34E34"/>
    <w:rsid w:val="00F376BC"/>
    <w:rsid w:val="00F37993"/>
    <w:rsid w:val="00F403EA"/>
    <w:rsid w:val="00F410AC"/>
    <w:rsid w:val="00F42753"/>
    <w:rsid w:val="00F45A9B"/>
    <w:rsid w:val="00F47DEC"/>
    <w:rsid w:val="00F50CCA"/>
    <w:rsid w:val="00F510DB"/>
    <w:rsid w:val="00F54525"/>
    <w:rsid w:val="00F55EF2"/>
    <w:rsid w:val="00F56B30"/>
    <w:rsid w:val="00F615B6"/>
    <w:rsid w:val="00F6452A"/>
    <w:rsid w:val="00F64643"/>
    <w:rsid w:val="00F6495A"/>
    <w:rsid w:val="00F70EAF"/>
    <w:rsid w:val="00F727B0"/>
    <w:rsid w:val="00F72B5D"/>
    <w:rsid w:val="00F74FB1"/>
    <w:rsid w:val="00F750BE"/>
    <w:rsid w:val="00F8443F"/>
    <w:rsid w:val="00F84FFF"/>
    <w:rsid w:val="00F87CAA"/>
    <w:rsid w:val="00F90E93"/>
    <w:rsid w:val="00F91F36"/>
    <w:rsid w:val="00F94BD5"/>
    <w:rsid w:val="00F96D4C"/>
    <w:rsid w:val="00F97F52"/>
    <w:rsid w:val="00FA0A3F"/>
    <w:rsid w:val="00FA0D06"/>
    <w:rsid w:val="00FA2545"/>
    <w:rsid w:val="00FA27EA"/>
    <w:rsid w:val="00FA41C5"/>
    <w:rsid w:val="00FA5036"/>
    <w:rsid w:val="00FB222E"/>
    <w:rsid w:val="00FB2CFE"/>
    <w:rsid w:val="00FB4AAD"/>
    <w:rsid w:val="00FB4E3D"/>
    <w:rsid w:val="00FB5348"/>
    <w:rsid w:val="00FB5F2A"/>
    <w:rsid w:val="00FC02ED"/>
    <w:rsid w:val="00FC3072"/>
    <w:rsid w:val="00FC4E89"/>
    <w:rsid w:val="00FC4F9B"/>
    <w:rsid w:val="00FC59F0"/>
    <w:rsid w:val="00FD0D68"/>
    <w:rsid w:val="00FD2899"/>
    <w:rsid w:val="00FD4599"/>
    <w:rsid w:val="00FD4784"/>
    <w:rsid w:val="00FD65FE"/>
    <w:rsid w:val="00FD68C0"/>
    <w:rsid w:val="00FD6B1B"/>
    <w:rsid w:val="00FE3D5E"/>
    <w:rsid w:val="00FE42BB"/>
    <w:rsid w:val="00FE4640"/>
    <w:rsid w:val="00FE77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UnresolvedMention1">
    <w:name w:val="Unresolved Mention1"/>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semiHidden/>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paragraph" w:styleId="NormalWeb">
    <w:name w:val="Normal (Web)"/>
    <w:basedOn w:val="Normal"/>
    <w:uiPriority w:val="99"/>
    <w:semiHidden/>
    <w:unhideWhenUsed/>
    <w:rsid w:val="003B43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2">
    <w:name w:val="Unresolved Mention2"/>
    <w:basedOn w:val="Fuentedeprrafopredeter"/>
    <w:uiPriority w:val="99"/>
    <w:semiHidden/>
    <w:unhideWhenUsed/>
    <w:rsid w:val="008B3D11"/>
    <w:rPr>
      <w:color w:val="605E5C"/>
      <w:shd w:val="clear" w:color="auto" w:fill="E1DFDD"/>
    </w:rPr>
  </w:style>
  <w:style w:type="character" w:customStyle="1" w:styleId="UnresolvedMention3">
    <w:name w:val="Unresolved Mention3"/>
    <w:basedOn w:val="Fuentedeprrafopredeter"/>
    <w:uiPriority w:val="99"/>
    <w:semiHidden/>
    <w:unhideWhenUsed/>
    <w:rsid w:val="007B74F3"/>
    <w:rPr>
      <w:color w:val="605E5C"/>
      <w:shd w:val="clear" w:color="auto" w:fill="E1DFDD"/>
    </w:rPr>
  </w:style>
  <w:style w:type="table" w:styleId="Tabladelista6concolores-nfasis5">
    <w:name w:val="List Table 6 Colorful Accent 5"/>
    <w:basedOn w:val="Tablanormal"/>
    <w:uiPriority w:val="51"/>
    <w:rsid w:val="00A763BD"/>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nfoemcitas">
    <w:name w:val="infoem citas"/>
    <w:basedOn w:val="Normal"/>
    <w:qFormat/>
    <w:rsid w:val="005864CD"/>
    <w:pPr>
      <w:spacing w:before="240" w:line="360" w:lineRule="auto"/>
      <w:ind w:left="851" w:right="851"/>
      <w:jc w:val="both"/>
    </w:pPr>
    <w:rPr>
      <w:rFonts w:ascii="Palatino Linotype" w:hAnsi="Palatino Linotype"/>
      <w:i/>
    </w:rPr>
  </w:style>
  <w:style w:type="character" w:customStyle="1" w:styleId="UnresolvedMention">
    <w:name w:val="Unresolved Mention"/>
    <w:basedOn w:val="Fuentedeprrafopredeter"/>
    <w:uiPriority w:val="99"/>
    <w:semiHidden/>
    <w:unhideWhenUsed/>
    <w:rsid w:val="008C36F2"/>
    <w:rPr>
      <w:color w:val="605E5C"/>
      <w:shd w:val="clear" w:color="auto" w:fill="E1DFDD"/>
    </w:rPr>
  </w:style>
  <w:style w:type="character" w:customStyle="1" w:styleId="il">
    <w:name w:val="il"/>
    <w:basedOn w:val="Fuentedeprrafopredeter"/>
    <w:rsid w:val="008A7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8691">
      <w:bodyDiv w:val="1"/>
      <w:marLeft w:val="0"/>
      <w:marRight w:val="0"/>
      <w:marTop w:val="0"/>
      <w:marBottom w:val="0"/>
      <w:divBdr>
        <w:top w:val="none" w:sz="0" w:space="0" w:color="auto"/>
        <w:left w:val="none" w:sz="0" w:space="0" w:color="auto"/>
        <w:bottom w:val="none" w:sz="0" w:space="0" w:color="auto"/>
        <w:right w:val="none" w:sz="0" w:space="0" w:color="auto"/>
      </w:divBdr>
    </w:div>
    <w:div w:id="126245755">
      <w:bodyDiv w:val="1"/>
      <w:marLeft w:val="0"/>
      <w:marRight w:val="0"/>
      <w:marTop w:val="0"/>
      <w:marBottom w:val="0"/>
      <w:divBdr>
        <w:top w:val="none" w:sz="0" w:space="0" w:color="auto"/>
        <w:left w:val="none" w:sz="0" w:space="0" w:color="auto"/>
        <w:bottom w:val="none" w:sz="0" w:space="0" w:color="auto"/>
        <w:right w:val="none" w:sz="0" w:space="0" w:color="auto"/>
      </w:divBdr>
    </w:div>
    <w:div w:id="13298449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17271203">
      <w:bodyDiv w:val="1"/>
      <w:marLeft w:val="0"/>
      <w:marRight w:val="0"/>
      <w:marTop w:val="0"/>
      <w:marBottom w:val="0"/>
      <w:divBdr>
        <w:top w:val="none" w:sz="0" w:space="0" w:color="auto"/>
        <w:left w:val="none" w:sz="0" w:space="0" w:color="auto"/>
        <w:bottom w:val="none" w:sz="0" w:space="0" w:color="auto"/>
        <w:right w:val="none" w:sz="0" w:space="0" w:color="auto"/>
      </w:divBdr>
    </w:div>
    <w:div w:id="318270049">
      <w:bodyDiv w:val="1"/>
      <w:marLeft w:val="0"/>
      <w:marRight w:val="0"/>
      <w:marTop w:val="0"/>
      <w:marBottom w:val="0"/>
      <w:divBdr>
        <w:top w:val="none" w:sz="0" w:space="0" w:color="auto"/>
        <w:left w:val="none" w:sz="0" w:space="0" w:color="auto"/>
        <w:bottom w:val="none" w:sz="0" w:space="0" w:color="auto"/>
        <w:right w:val="none" w:sz="0" w:space="0" w:color="auto"/>
      </w:divBdr>
    </w:div>
    <w:div w:id="320889120">
      <w:bodyDiv w:val="1"/>
      <w:marLeft w:val="0"/>
      <w:marRight w:val="0"/>
      <w:marTop w:val="0"/>
      <w:marBottom w:val="0"/>
      <w:divBdr>
        <w:top w:val="none" w:sz="0" w:space="0" w:color="auto"/>
        <w:left w:val="none" w:sz="0" w:space="0" w:color="auto"/>
        <w:bottom w:val="none" w:sz="0" w:space="0" w:color="auto"/>
        <w:right w:val="none" w:sz="0" w:space="0" w:color="auto"/>
      </w:divBdr>
    </w:div>
    <w:div w:id="354313148">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05151704">
      <w:bodyDiv w:val="1"/>
      <w:marLeft w:val="0"/>
      <w:marRight w:val="0"/>
      <w:marTop w:val="0"/>
      <w:marBottom w:val="0"/>
      <w:divBdr>
        <w:top w:val="none" w:sz="0" w:space="0" w:color="auto"/>
        <w:left w:val="none" w:sz="0" w:space="0" w:color="auto"/>
        <w:bottom w:val="none" w:sz="0" w:space="0" w:color="auto"/>
        <w:right w:val="none" w:sz="0" w:space="0" w:color="auto"/>
      </w:divBdr>
    </w:div>
    <w:div w:id="471098392">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08759979">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562252484">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669991317">
      <w:bodyDiv w:val="1"/>
      <w:marLeft w:val="0"/>
      <w:marRight w:val="0"/>
      <w:marTop w:val="0"/>
      <w:marBottom w:val="0"/>
      <w:divBdr>
        <w:top w:val="none" w:sz="0" w:space="0" w:color="auto"/>
        <w:left w:val="none" w:sz="0" w:space="0" w:color="auto"/>
        <w:bottom w:val="none" w:sz="0" w:space="0" w:color="auto"/>
        <w:right w:val="none" w:sz="0" w:space="0" w:color="auto"/>
      </w:divBdr>
    </w:div>
    <w:div w:id="676619563">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898437093">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57725192">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1646092">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84188042">
      <w:bodyDiv w:val="1"/>
      <w:marLeft w:val="0"/>
      <w:marRight w:val="0"/>
      <w:marTop w:val="0"/>
      <w:marBottom w:val="0"/>
      <w:divBdr>
        <w:top w:val="none" w:sz="0" w:space="0" w:color="auto"/>
        <w:left w:val="none" w:sz="0" w:space="0" w:color="auto"/>
        <w:bottom w:val="none" w:sz="0" w:space="0" w:color="auto"/>
        <w:right w:val="none" w:sz="0" w:space="0" w:color="auto"/>
      </w:divBdr>
    </w:div>
    <w:div w:id="1310012524">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28647389">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47332922">
      <w:bodyDiv w:val="1"/>
      <w:marLeft w:val="0"/>
      <w:marRight w:val="0"/>
      <w:marTop w:val="0"/>
      <w:marBottom w:val="0"/>
      <w:divBdr>
        <w:top w:val="none" w:sz="0" w:space="0" w:color="auto"/>
        <w:left w:val="none" w:sz="0" w:space="0" w:color="auto"/>
        <w:bottom w:val="none" w:sz="0" w:space="0" w:color="auto"/>
        <w:right w:val="none" w:sz="0" w:space="0" w:color="auto"/>
      </w:divBdr>
    </w:div>
    <w:div w:id="1551303172">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0210522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6133193">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2220015">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792937962">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887444978">
      <w:bodyDiv w:val="1"/>
      <w:marLeft w:val="0"/>
      <w:marRight w:val="0"/>
      <w:marTop w:val="0"/>
      <w:marBottom w:val="0"/>
      <w:divBdr>
        <w:top w:val="none" w:sz="0" w:space="0" w:color="auto"/>
        <w:left w:val="none" w:sz="0" w:space="0" w:color="auto"/>
        <w:bottom w:val="none" w:sz="0" w:space="0" w:color="auto"/>
        <w:right w:val="none" w:sz="0" w:space="0" w:color="auto"/>
      </w:divBdr>
    </w:div>
    <w:div w:id="1897155888">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09261620">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1145296">
      <w:bodyDiv w:val="1"/>
      <w:marLeft w:val="0"/>
      <w:marRight w:val="0"/>
      <w:marTop w:val="0"/>
      <w:marBottom w:val="0"/>
      <w:divBdr>
        <w:top w:val="none" w:sz="0" w:space="0" w:color="auto"/>
        <w:left w:val="none" w:sz="0" w:space="0" w:color="auto"/>
        <w:bottom w:val="none" w:sz="0" w:space="0" w:color="auto"/>
        <w:right w:val="none" w:sz="0" w:space="0" w:color="auto"/>
      </w:divBdr>
    </w:div>
    <w:div w:id="2083409155">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ltas.ifai.org.mx/descargar.php?r=./pdf/resoluciones/2019/&amp;a=RRA%201427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s.ifai.org.mx/descargar.php?r=./pdf/resoluciones/2018/&amp;a=RRA%205097.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8/&amp;a=RRA%20454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5B6A3-5ECF-4045-846E-A4C3D8F3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31</Pages>
  <Words>5753</Words>
  <Characters>31647</Characters>
  <Application>Microsoft Office Word</Application>
  <DocSecurity>0</DocSecurity>
  <Lines>263</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21</cp:revision>
  <cp:lastPrinted>2020-01-30T23:10:00Z</cp:lastPrinted>
  <dcterms:created xsi:type="dcterms:W3CDTF">2023-06-26T20:45:00Z</dcterms:created>
  <dcterms:modified xsi:type="dcterms:W3CDTF">2025-01-28T23:45:00Z</dcterms:modified>
</cp:coreProperties>
</file>