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5F" w:rsidRPr="000442BF" w:rsidRDefault="00685D5F" w:rsidP="007D6F45">
      <w:pPr>
        <w:tabs>
          <w:tab w:val="left" w:pos="3465"/>
        </w:tabs>
        <w:spacing w:before="240" w:after="360" w:line="360" w:lineRule="auto"/>
        <w:jc w:val="both"/>
        <w:rPr>
          <w:rFonts w:ascii="Palatino Linotype" w:hAnsi="Palatino Linotype"/>
          <w:b/>
          <w:color w:val="000000" w:themeColor="text1"/>
          <w:lang w:val="es-MX"/>
        </w:rPr>
      </w:pPr>
      <w:bookmarkStart w:id="0" w:name="_GoBack"/>
      <w:bookmarkEnd w:id="0"/>
      <w:r w:rsidRPr="007D7190">
        <w:rPr>
          <w:rFonts w:ascii="Palatino Linotype" w:hAnsi="Palatino Linotype"/>
          <w:color w:val="000000" w:themeColor="text1"/>
          <w:lang w:val="es-MX"/>
        </w:rPr>
        <w:t>Resolución del Pleno del Instituto de Transparencia, Acceso a la Información Pública y Protección de Datos Personales del Estado de México y Municipios, con domicilio en Metepec, Estado</w:t>
      </w:r>
      <w:r w:rsidR="006472D6" w:rsidRPr="007D7190">
        <w:rPr>
          <w:rFonts w:ascii="Palatino Linotype" w:hAnsi="Palatino Linotype"/>
          <w:color w:val="000000" w:themeColor="text1"/>
          <w:lang w:val="es-MX"/>
        </w:rPr>
        <w:t xml:space="preserve"> de México; </w:t>
      </w:r>
      <w:r w:rsidR="006472D6" w:rsidRPr="000442BF">
        <w:rPr>
          <w:rFonts w:ascii="Palatino Linotype" w:hAnsi="Palatino Linotype"/>
          <w:b/>
          <w:color w:val="000000" w:themeColor="text1"/>
          <w:lang w:val="es-MX"/>
        </w:rPr>
        <w:t xml:space="preserve">de fecha </w:t>
      </w:r>
      <w:r w:rsidR="006F6067" w:rsidRPr="000442BF">
        <w:rPr>
          <w:rFonts w:ascii="Palatino Linotype" w:hAnsi="Palatino Linotype"/>
          <w:b/>
          <w:color w:val="000000" w:themeColor="text1"/>
          <w:lang w:val="es-MX"/>
        </w:rPr>
        <w:t>trece</w:t>
      </w:r>
      <w:r w:rsidR="000442BF" w:rsidRPr="000442BF">
        <w:rPr>
          <w:rFonts w:ascii="Palatino Linotype" w:hAnsi="Palatino Linotype"/>
          <w:b/>
          <w:color w:val="000000" w:themeColor="text1"/>
          <w:lang w:val="es-MX"/>
        </w:rPr>
        <w:t xml:space="preserve"> (13)</w:t>
      </w:r>
      <w:r w:rsidR="006F6067" w:rsidRPr="000442BF">
        <w:rPr>
          <w:rFonts w:ascii="Palatino Linotype" w:hAnsi="Palatino Linotype"/>
          <w:b/>
          <w:color w:val="000000" w:themeColor="text1"/>
          <w:lang w:val="es-MX"/>
        </w:rPr>
        <w:t xml:space="preserve"> de agosto</w:t>
      </w:r>
      <w:r w:rsidR="00381FF9" w:rsidRPr="000442BF">
        <w:rPr>
          <w:rFonts w:ascii="Palatino Linotype" w:hAnsi="Palatino Linotype"/>
          <w:b/>
          <w:color w:val="000000" w:themeColor="text1"/>
          <w:lang w:val="es-MX"/>
        </w:rPr>
        <w:t xml:space="preserve"> </w:t>
      </w:r>
      <w:r w:rsidR="006472D6" w:rsidRPr="000442BF">
        <w:rPr>
          <w:rFonts w:ascii="Palatino Linotype" w:hAnsi="Palatino Linotype"/>
          <w:b/>
          <w:color w:val="000000" w:themeColor="text1"/>
          <w:lang w:val="es-MX"/>
        </w:rPr>
        <w:t>de dos mil veinticinco</w:t>
      </w:r>
      <w:r w:rsidRPr="000442BF">
        <w:rPr>
          <w:rFonts w:ascii="Palatino Linotype" w:hAnsi="Palatino Linotype"/>
          <w:b/>
          <w:color w:val="000000" w:themeColor="text1"/>
          <w:lang w:val="es-MX"/>
        </w:rPr>
        <w:t>.</w:t>
      </w:r>
    </w:p>
    <w:p w:rsidR="00685D5F" w:rsidRPr="007D7190" w:rsidRDefault="00685D5F" w:rsidP="007D6F45">
      <w:pPr>
        <w:tabs>
          <w:tab w:val="left" w:pos="3465"/>
        </w:tabs>
        <w:spacing w:before="240" w:after="360" w:line="360" w:lineRule="auto"/>
        <w:jc w:val="both"/>
        <w:rPr>
          <w:rFonts w:ascii="Palatino Linotype" w:eastAsia="Times New Roman" w:hAnsi="Palatino Linotype" w:cs="Times New Roman"/>
          <w:color w:val="000000" w:themeColor="text1"/>
          <w:lang w:val="es-MX"/>
        </w:rPr>
      </w:pPr>
      <w:r w:rsidRPr="007D7190">
        <w:rPr>
          <w:rFonts w:ascii="Palatino Linotype" w:hAnsi="Palatino Linotype"/>
          <w:b/>
          <w:color w:val="000000" w:themeColor="text1"/>
          <w:lang w:val="es-MX"/>
        </w:rPr>
        <w:t>VISTO</w:t>
      </w:r>
      <w:r w:rsidRPr="007D7190">
        <w:rPr>
          <w:rFonts w:ascii="Palatino Linotype" w:hAnsi="Palatino Linotype"/>
          <w:color w:val="000000" w:themeColor="text1"/>
          <w:lang w:val="es-MX"/>
        </w:rPr>
        <w:t xml:space="preserve"> el expediente electrónico formado con motivo del recurso de revisión </w:t>
      </w:r>
      <w:r w:rsidR="00381FF9" w:rsidRPr="007D7190">
        <w:rPr>
          <w:rFonts w:ascii="Palatino Linotype" w:hAnsi="Palatino Linotype"/>
          <w:b/>
          <w:color w:val="000000" w:themeColor="text1"/>
          <w:lang w:val="es-MX"/>
        </w:rPr>
        <w:t>0</w:t>
      </w:r>
      <w:r w:rsidR="006F6067" w:rsidRPr="007D7190">
        <w:rPr>
          <w:rFonts w:ascii="Palatino Linotype" w:hAnsi="Palatino Linotype"/>
          <w:b/>
          <w:color w:val="000000" w:themeColor="text1"/>
          <w:lang w:val="es-MX"/>
        </w:rPr>
        <w:t>6533</w:t>
      </w:r>
      <w:r w:rsidR="006472D6" w:rsidRPr="007D7190">
        <w:rPr>
          <w:rFonts w:ascii="Palatino Linotype" w:hAnsi="Palatino Linotype"/>
          <w:b/>
          <w:color w:val="000000" w:themeColor="text1"/>
          <w:lang w:val="es-MX"/>
        </w:rPr>
        <w:t>/INFOEM/IP/RR/2025</w:t>
      </w:r>
      <w:r w:rsidRPr="007D7190">
        <w:rPr>
          <w:rFonts w:ascii="Palatino Linotype" w:eastAsia="Times New Roman" w:hAnsi="Palatino Linotype" w:cs="Arial"/>
          <w:bCs/>
          <w:color w:val="000000" w:themeColor="text1"/>
          <w:lang w:val="es-MX"/>
        </w:rPr>
        <w:t xml:space="preserve">, </w:t>
      </w:r>
      <w:r w:rsidRPr="007D7190">
        <w:rPr>
          <w:rFonts w:ascii="Palatino Linotype" w:eastAsia="Times New Roman" w:hAnsi="Palatino Linotype" w:cs="Times New Roman"/>
          <w:color w:val="000000" w:themeColor="text1"/>
          <w:lang w:val="es-MX"/>
        </w:rPr>
        <w:t xml:space="preserve">interpuesto por </w:t>
      </w:r>
      <w:r w:rsidR="00244488">
        <w:rPr>
          <w:rFonts w:ascii="Palatino Linotype" w:eastAsia="Times New Roman" w:hAnsi="Palatino Linotype" w:cs="Times New Roman"/>
          <w:b/>
          <w:bCs/>
          <w:color w:val="000000" w:themeColor="text1"/>
          <w:lang w:val="es-MX"/>
        </w:rPr>
        <w:t>XXXX</w:t>
      </w:r>
      <w:r w:rsidR="009E42C5" w:rsidRPr="007D7190">
        <w:rPr>
          <w:rFonts w:ascii="Palatino Linotype" w:eastAsia="Times New Roman" w:hAnsi="Palatino Linotype" w:cs="Times New Roman"/>
          <w:b/>
          <w:bCs/>
          <w:color w:val="000000" w:themeColor="text1"/>
          <w:lang w:val="es-MX"/>
        </w:rPr>
        <w:t>,</w:t>
      </w:r>
      <w:r w:rsidRPr="007D7190">
        <w:rPr>
          <w:rFonts w:ascii="Palatino Linotype" w:eastAsia="Times New Roman" w:hAnsi="Palatino Linotype" w:cs="Times New Roman"/>
          <w:b/>
          <w:bCs/>
          <w:color w:val="000000" w:themeColor="text1"/>
          <w:lang w:val="es-MX"/>
        </w:rPr>
        <w:t xml:space="preserve"> </w:t>
      </w:r>
      <w:r w:rsidRPr="007D7190">
        <w:rPr>
          <w:rFonts w:ascii="Palatino Linotype" w:eastAsia="Times New Roman" w:hAnsi="Palatino Linotype" w:cs="Times New Roman"/>
          <w:color w:val="000000" w:themeColor="text1"/>
          <w:lang w:val="es-MX"/>
        </w:rPr>
        <w:t xml:space="preserve">en lo sucesivo, </w:t>
      </w:r>
      <w:r w:rsidRPr="007D7190">
        <w:rPr>
          <w:rFonts w:ascii="Palatino Linotype" w:eastAsia="Times New Roman" w:hAnsi="Palatino Linotype" w:cs="Times New Roman"/>
          <w:b/>
          <w:color w:val="000000" w:themeColor="text1"/>
          <w:lang w:val="es-MX"/>
        </w:rPr>
        <w:t xml:space="preserve">EL </w:t>
      </w:r>
      <w:r w:rsidRPr="007D7190">
        <w:rPr>
          <w:rFonts w:ascii="Palatino Linotype" w:eastAsia="Times New Roman" w:hAnsi="Palatino Linotype" w:cs="Times New Roman"/>
          <w:b/>
          <w:bCs/>
          <w:color w:val="000000" w:themeColor="text1"/>
          <w:lang w:val="es-MX"/>
        </w:rPr>
        <w:t>RECURRENTE</w:t>
      </w:r>
      <w:r w:rsidR="006F6067" w:rsidRPr="007D7190">
        <w:rPr>
          <w:rFonts w:ascii="Palatino Linotype" w:eastAsia="Times New Roman" w:hAnsi="Palatino Linotype" w:cs="Arial"/>
          <w:color w:val="000000" w:themeColor="text1"/>
          <w:lang w:val="es-MX"/>
        </w:rPr>
        <w:t>; en contra de la respuesta</w:t>
      </w:r>
      <w:r w:rsidR="006472D6" w:rsidRPr="007D7190">
        <w:rPr>
          <w:rFonts w:ascii="Palatino Linotype" w:hAnsi="Palatino Linotype"/>
          <w:b/>
          <w:color w:val="000000" w:themeColor="text1"/>
          <w:lang w:val="es-MX"/>
        </w:rPr>
        <w:t xml:space="preserve"> </w:t>
      </w:r>
      <w:r w:rsidRPr="007D7190">
        <w:rPr>
          <w:rFonts w:ascii="Palatino Linotype" w:eastAsia="Times New Roman" w:hAnsi="Palatino Linotype" w:cs="Arial"/>
          <w:color w:val="000000" w:themeColor="text1"/>
          <w:lang w:val="es-MX"/>
        </w:rPr>
        <w:t>de</w:t>
      </w:r>
      <w:r w:rsidR="006F6067" w:rsidRPr="007D7190">
        <w:rPr>
          <w:rFonts w:ascii="Palatino Linotype" w:eastAsia="Times New Roman" w:hAnsi="Palatino Linotype" w:cs="Arial"/>
          <w:color w:val="000000" w:themeColor="text1"/>
          <w:lang w:val="es-MX"/>
        </w:rPr>
        <w:t xml:space="preserve"> la </w:t>
      </w:r>
      <w:r w:rsidR="006F6067" w:rsidRPr="007D7190">
        <w:rPr>
          <w:rFonts w:ascii="Palatino Linotype" w:hAnsi="Palatino Linotype"/>
          <w:b/>
          <w:color w:val="000000" w:themeColor="text1"/>
          <w:lang w:val="es-MX"/>
        </w:rPr>
        <w:t>Secretaría de Seguridad</w:t>
      </w:r>
      <w:r w:rsidRPr="007D7190">
        <w:rPr>
          <w:rFonts w:ascii="Palatino Linotype" w:eastAsia="Calibri" w:hAnsi="Palatino Linotype" w:cs="Arial"/>
          <w:color w:val="000000" w:themeColor="text1"/>
          <w:lang w:val="es-MX"/>
        </w:rPr>
        <w:t>, en adelante,</w:t>
      </w:r>
      <w:r w:rsidRPr="007D7190">
        <w:rPr>
          <w:rFonts w:ascii="Palatino Linotype" w:eastAsia="Times New Roman" w:hAnsi="Palatino Linotype" w:cs="Times New Roman"/>
          <w:color w:val="000000" w:themeColor="text1"/>
          <w:lang w:val="es-MX"/>
        </w:rPr>
        <w:t xml:space="preserve"> el</w:t>
      </w:r>
      <w:r w:rsidRPr="007D7190">
        <w:rPr>
          <w:rFonts w:ascii="Palatino Linotype" w:eastAsia="Times New Roman" w:hAnsi="Palatino Linotype" w:cs="Times New Roman"/>
          <w:b/>
          <w:color w:val="000000" w:themeColor="text1"/>
          <w:lang w:val="es-MX"/>
        </w:rPr>
        <w:t xml:space="preserve"> SUJETO OBLIGADO</w:t>
      </w:r>
      <w:r w:rsidRPr="007D7190">
        <w:rPr>
          <w:rFonts w:ascii="Palatino Linotype" w:eastAsia="Times New Roman" w:hAnsi="Palatino Linotype" w:cs="Times New Roman"/>
          <w:color w:val="000000" w:themeColor="text1"/>
          <w:lang w:val="es-MX"/>
        </w:rPr>
        <w:t>,</w:t>
      </w:r>
      <w:r w:rsidRPr="007D7190">
        <w:rPr>
          <w:rFonts w:ascii="Palatino Linotype" w:eastAsia="Times New Roman" w:hAnsi="Palatino Linotype" w:cs="Times New Roman"/>
          <w:b/>
          <w:color w:val="000000" w:themeColor="text1"/>
          <w:lang w:val="es-MX"/>
        </w:rPr>
        <w:t xml:space="preserve"> </w:t>
      </w:r>
      <w:r w:rsidRPr="007D7190">
        <w:rPr>
          <w:rFonts w:ascii="Palatino Linotype" w:eastAsia="Times New Roman" w:hAnsi="Palatino Linotype" w:cs="Times New Roman"/>
          <w:color w:val="000000" w:themeColor="text1"/>
          <w:lang w:val="es-MX"/>
        </w:rPr>
        <w:t>se procede a dictar la presente resolución, con base en los siguientes:</w:t>
      </w:r>
    </w:p>
    <w:p w:rsidR="00685D5F" w:rsidRPr="007D7190" w:rsidRDefault="00685D5F" w:rsidP="007D6F45">
      <w:pPr>
        <w:keepNext/>
        <w:keepLines/>
        <w:spacing w:line="360" w:lineRule="auto"/>
        <w:jc w:val="center"/>
        <w:outlineLvl w:val="0"/>
        <w:rPr>
          <w:rFonts w:ascii="Palatino Linotype" w:eastAsiaTheme="majorEastAsia" w:hAnsi="Palatino Linotype" w:cstheme="majorBidi"/>
          <w:b/>
          <w:color w:val="000000" w:themeColor="text1"/>
          <w:lang w:val="es-MX"/>
        </w:rPr>
      </w:pPr>
      <w:bookmarkStart w:id="1" w:name="_Toc461555884"/>
      <w:bookmarkStart w:id="2" w:name="_Toc466371847"/>
      <w:bookmarkStart w:id="3" w:name="_Toc83128575"/>
      <w:r w:rsidRPr="007D7190">
        <w:rPr>
          <w:rFonts w:ascii="Palatino Linotype" w:eastAsiaTheme="majorEastAsia" w:hAnsi="Palatino Linotype" w:cstheme="majorBidi"/>
          <w:b/>
          <w:color w:val="000000" w:themeColor="text1"/>
          <w:lang w:val="es-MX"/>
        </w:rPr>
        <w:t>A</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N</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T</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E</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C</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E</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D</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E</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N</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T</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E</w:t>
      </w:r>
      <w:r w:rsidR="000442BF">
        <w:rPr>
          <w:rFonts w:ascii="Palatino Linotype" w:eastAsiaTheme="majorEastAsia" w:hAnsi="Palatino Linotype" w:cstheme="majorBidi"/>
          <w:b/>
          <w:color w:val="000000" w:themeColor="text1"/>
          <w:lang w:val="es-MX"/>
        </w:rPr>
        <w:t xml:space="preserve"> </w:t>
      </w:r>
      <w:r w:rsidRPr="007D7190">
        <w:rPr>
          <w:rFonts w:ascii="Palatino Linotype" w:eastAsiaTheme="majorEastAsia" w:hAnsi="Palatino Linotype" w:cstheme="majorBidi"/>
          <w:b/>
          <w:color w:val="000000" w:themeColor="text1"/>
          <w:lang w:val="es-MX"/>
        </w:rPr>
        <w:t>S</w:t>
      </w:r>
      <w:bookmarkEnd w:id="1"/>
      <w:bookmarkEnd w:id="2"/>
      <w:bookmarkEnd w:id="3"/>
    </w:p>
    <w:p w:rsidR="00685D5F" w:rsidRPr="007D7190" w:rsidRDefault="00685D5F" w:rsidP="007D6F45">
      <w:pPr>
        <w:tabs>
          <w:tab w:val="left" w:pos="426"/>
        </w:tabs>
        <w:spacing w:line="360" w:lineRule="auto"/>
        <w:contextualSpacing/>
        <w:jc w:val="both"/>
        <w:rPr>
          <w:rFonts w:ascii="Palatino Linotype" w:eastAsia="Calibri" w:hAnsi="Palatino Linotype" w:cs="Arial"/>
          <w:color w:val="000000" w:themeColor="text1"/>
          <w:lang w:val="es-MX"/>
        </w:rPr>
      </w:pPr>
    </w:p>
    <w:p w:rsidR="00685D5F" w:rsidRPr="007D7190" w:rsidRDefault="00685D5F"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 xml:space="preserve">El </w:t>
      </w:r>
      <w:r w:rsidR="006F6067" w:rsidRPr="007D7190">
        <w:rPr>
          <w:rFonts w:ascii="Palatino Linotype" w:eastAsia="Calibri" w:hAnsi="Palatino Linotype" w:cs="Arial"/>
          <w:b/>
          <w:color w:val="000000" w:themeColor="text1"/>
          <w:lang w:val="es-MX"/>
        </w:rPr>
        <w:t>once de mayo</w:t>
      </w:r>
      <w:r w:rsidR="006472D6" w:rsidRPr="007D7190">
        <w:rPr>
          <w:rFonts w:ascii="Palatino Linotype" w:eastAsia="Calibri" w:hAnsi="Palatino Linotype" w:cs="Arial"/>
          <w:b/>
          <w:color w:val="000000" w:themeColor="text1"/>
          <w:lang w:val="es-MX"/>
        </w:rPr>
        <w:t xml:space="preserve"> de dos mil veinticinco</w:t>
      </w:r>
      <w:r w:rsidRPr="007D7190">
        <w:rPr>
          <w:rFonts w:ascii="Palatino Linotype" w:eastAsia="Calibri" w:hAnsi="Palatino Linotype" w:cs="Arial"/>
          <w:color w:val="000000" w:themeColor="text1"/>
          <w:lang w:val="es-MX"/>
        </w:rPr>
        <w:t>, el particular</w:t>
      </w:r>
      <w:r w:rsidRPr="007D7190">
        <w:rPr>
          <w:rFonts w:ascii="Palatino Linotype" w:hAnsi="Palatino Linotype"/>
          <w:color w:val="000000" w:themeColor="text1"/>
          <w:lang w:val="es-MX"/>
        </w:rPr>
        <w:t xml:space="preserve"> presentó</w:t>
      </w:r>
      <w:r w:rsidRPr="007D7190">
        <w:rPr>
          <w:rFonts w:ascii="Palatino Linotype" w:hAnsi="Palatino Linotype"/>
          <w:b/>
          <w:color w:val="000000" w:themeColor="text1"/>
          <w:lang w:val="es-MX"/>
        </w:rPr>
        <w:t xml:space="preserve"> </w:t>
      </w:r>
      <w:r w:rsidRPr="007D7190">
        <w:rPr>
          <w:rFonts w:ascii="Palatino Linotype" w:hAnsi="Palatino Linotype"/>
          <w:bCs/>
          <w:color w:val="000000" w:themeColor="text1"/>
          <w:lang w:val="es-MX"/>
        </w:rPr>
        <w:t>a través del Sistema de Acceso a la Información Mexiquense (</w:t>
      </w:r>
      <w:r w:rsidRPr="007D7190">
        <w:rPr>
          <w:rFonts w:ascii="Palatino Linotype" w:eastAsia="Calibri" w:hAnsi="Palatino Linotype" w:cs="Arial"/>
          <w:color w:val="000000" w:themeColor="text1"/>
          <w:lang w:val="es-MX"/>
        </w:rPr>
        <w:t xml:space="preserve">SAIMEX), la solicitud de información pública registrada con el número </w:t>
      </w:r>
      <w:r w:rsidR="008238D8" w:rsidRPr="007D7190">
        <w:rPr>
          <w:rFonts w:ascii="Palatino Linotype" w:hAnsi="Palatino Linotype"/>
          <w:b/>
          <w:bCs/>
          <w:color w:val="000000" w:themeColor="text1"/>
        </w:rPr>
        <w:t>00210/SSEM</w:t>
      </w:r>
      <w:r w:rsidR="009E42C5" w:rsidRPr="007D7190">
        <w:rPr>
          <w:rFonts w:ascii="Palatino Linotype" w:hAnsi="Palatino Linotype"/>
          <w:b/>
          <w:bCs/>
          <w:color w:val="000000" w:themeColor="text1"/>
        </w:rPr>
        <w:t>/IP</w:t>
      </w:r>
      <w:r w:rsidR="006472D6" w:rsidRPr="007D7190">
        <w:rPr>
          <w:rFonts w:ascii="Palatino Linotype" w:hAnsi="Palatino Linotype"/>
          <w:b/>
          <w:bCs/>
          <w:color w:val="000000" w:themeColor="text1"/>
        </w:rPr>
        <w:t>/</w:t>
      </w:r>
      <w:r w:rsidR="001157A7" w:rsidRPr="007D7190">
        <w:rPr>
          <w:rFonts w:ascii="Palatino Linotype" w:hAnsi="Palatino Linotype"/>
          <w:b/>
          <w:bCs/>
          <w:color w:val="000000" w:themeColor="text1"/>
        </w:rPr>
        <w:t>202</w:t>
      </w:r>
      <w:r w:rsidR="006472D6" w:rsidRPr="007D7190">
        <w:rPr>
          <w:rFonts w:ascii="Palatino Linotype" w:hAnsi="Palatino Linotype"/>
          <w:b/>
          <w:bCs/>
          <w:color w:val="000000" w:themeColor="text1"/>
        </w:rPr>
        <w:t>5</w:t>
      </w:r>
      <w:r w:rsidRPr="007D7190">
        <w:rPr>
          <w:rFonts w:ascii="Palatino Linotype" w:eastAsia="Calibri" w:hAnsi="Palatino Linotype" w:cs="Arial"/>
          <w:b/>
          <w:color w:val="000000" w:themeColor="text1"/>
          <w:lang w:val="es-MX"/>
        </w:rPr>
        <w:t>,</w:t>
      </w:r>
      <w:r w:rsidRPr="007D7190">
        <w:rPr>
          <w:rFonts w:ascii="Palatino Linotype" w:eastAsia="Calibri" w:hAnsi="Palatino Linotype" w:cs="Arial"/>
          <w:color w:val="000000" w:themeColor="text1"/>
          <w:lang w:val="es-MX"/>
        </w:rPr>
        <w:t xml:space="preserve"> </w:t>
      </w:r>
      <w:r w:rsidR="00244488">
        <w:rPr>
          <w:rFonts w:ascii="Palatino Linotype" w:eastAsia="Calibri" w:hAnsi="Palatino Linotype" w:cs="Arial"/>
          <w:color w:val="000000" w:themeColor="text1"/>
          <w:lang w:val="es-MX"/>
        </w:rPr>
        <w:t>en la que</w:t>
      </w:r>
      <w:r w:rsidRPr="007D7190">
        <w:rPr>
          <w:rFonts w:ascii="Palatino Linotype" w:eastAsia="Calibri" w:hAnsi="Palatino Linotype" w:cs="Arial"/>
          <w:color w:val="000000" w:themeColor="text1"/>
          <w:lang w:val="es-MX"/>
        </w:rPr>
        <w:t xml:space="preserve"> requirió lo siguiente:</w:t>
      </w:r>
    </w:p>
    <w:p w:rsidR="00685D5F" w:rsidRPr="007D7190" w:rsidRDefault="00685D5F" w:rsidP="007D6F45">
      <w:pPr>
        <w:spacing w:line="276" w:lineRule="auto"/>
        <w:contextualSpacing/>
        <w:jc w:val="both"/>
        <w:rPr>
          <w:rFonts w:ascii="Palatino Linotype" w:hAnsi="Palatino Linotype"/>
          <w:i/>
          <w:color w:val="000000" w:themeColor="text1"/>
          <w:lang w:val="es-MX"/>
        </w:rPr>
      </w:pPr>
    </w:p>
    <w:p w:rsidR="00685D5F" w:rsidRPr="007D7190" w:rsidRDefault="00685D5F" w:rsidP="007D6F45">
      <w:pPr>
        <w:spacing w:line="276" w:lineRule="auto"/>
        <w:contextualSpacing/>
        <w:jc w:val="both"/>
        <w:rPr>
          <w:rFonts w:ascii="Palatino Linotype" w:hAnsi="Palatino Linotype"/>
          <w:i/>
          <w:color w:val="000000" w:themeColor="text1"/>
          <w:lang w:val="es-MX"/>
        </w:rPr>
      </w:pPr>
      <w:r w:rsidRPr="007D7190">
        <w:rPr>
          <w:rFonts w:ascii="Palatino Linotype" w:hAnsi="Palatino Linotype"/>
          <w:i/>
          <w:color w:val="000000" w:themeColor="text1"/>
          <w:lang w:val="es-MX"/>
        </w:rPr>
        <w:t xml:space="preserve"> </w:t>
      </w:r>
      <w:r w:rsidR="006472D6" w:rsidRPr="007D7190">
        <w:rPr>
          <w:rFonts w:ascii="Palatino Linotype" w:hAnsi="Palatino Linotype"/>
          <w:i/>
          <w:color w:val="000000" w:themeColor="text1"/>
          <w:lang w:val="es-MX"/>
        </w:rPr>
        <w:t>“</w:t>
      </w:r>
      <w:r w:rsidR="006F6067" w:rsidRPr="007D7190">
        <w:rPr>
          <w:rFonts w:ascii="Palatino Linotype" w:hAnsi="Palatino Linotype"/>
          <w:i/>
          <w:color w:val="000000" w:themeColor="text1"/>
          <w:lang w:val="es-MX"/>
        </w:rPr>
        <w:t>s</w:t>
      </w:r>
      <w:r w:rsidR="006F6067" w:rsidRPr="007D7190">
        <w:rPr>
          <w:rFonts w:ascii="Palatino Linotype" w:hAnsi="Palatino Linotype"/>
          <w:i/>
          <w:color w:val="000000" w:themeColor="text1"/>
        </w:rPr>
        <w:t>olicito copia simple digitalizada a través del sistema electrónico saimex de las facturas pagadas a particulares por un monto superior a 2 millones de pesos con recursos públicos del ejercicio presupuestal del año 2024.</w:t>
      </w:r>
      <w:r w:rsidRPr="007D7190">
        <w:rPr>
          <w:rFonts w:ascii="Palatino Linotype" w:hAnsi="Palatino Linotype"/>
          <w:i/>
          <w:color w:val="000000" w:themeColor="text1"/>
          <w:lang w:val="es-MX"/>
        </w:rPr>
        <w:t>” (Sic).</w:t>
      </w:r>
    </w:p>
    <w:p w:rsidR="00685D5F" w:rsidRPr="007D7190" w:rsidRDefault="00685D5F" w:rsidP="007D6F45">
      <w:pPr>
        <w:spacing w:line="360" w:lineRule="auto"/>
        <w:jc w:val="both"/>
        <w:rPr>
          <w:rFonts w:ascii="Palatino Linotype" w:hAnsi="Palatino Linotype"/>
          <w:color w:val="000000" w:themeColor="text1"/>
          <w:lang w:val="es-MX"/>
        </w:rPr>
      </w:pPr>
    </w:p>
    <w:p w:rsidR="001157A7" w:rsidRPr="007D7190" w:rsidRDefault="006472D6"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Se hace constar que el entonces</w:t>
      </w:r>
      <w:r w:rsidR="001157A7" w:rsidRPr="007D7190">
        <w:rPr>
          <w:rFonts w:ascii="Palatino Linotype" w:eastAsia="Calibri" w:hAnsi="Palatino Linotype" w:cs="Arial"/>
          <w:color w:val="000000" w:themeColor="text1"/>
          <w:lang w:val="es-MX"/>
        </w:rPr>
        <w:t xml:space="preserve"> </w:t>
      </w:r>
      <w:r w:rsidR="001157A7" w:rsidRPr="007D7190">
        <w:rPr>
          <w:rFonts w:ascii="Palatino Linotype" w:eastAsia="Calibri" w:hAnsi="Palatino Linotype" w:cs="Arial"/>
          <w:b/>
          <w:color w:val="000000" w:themeColor="text1"/>
          <w:lang w:val="es-MX"/>
        </w:rPr>
        <w:t xml:space="preserve">SOLICITANTE </w:t>
      </w:r>
      <w:r w:rsidR="001157A7" w:rsidRPr="007D7190">
        <w:rPr>
          <w:rFonts w:ascii="Palatino Linotype" w:eastAsia="Calibri" w:hAnsi="Palatino Linotype" w:cs="Arial"/>
          <w:color w:val="000000" w:themeColor="text1"/>
          <w:lang w:val="es-MX"/>
        </w:rPr>
        <w:t>señaló como modalidad de entrega de la información: A través del SAIMEX.</w:t>
      </w:r>
    </w:p>
    <w:p w:rsidR="001157A7" w:rsidRPr="007D7190" w:rsidRDefault="001157A7" w:rsidP="007D6F45">
      <w:pPr>
        <w:tabs>
          <w:tab w:val="left" w:pos="426"/>
        </w:tabs>
        <w:spacing w:line="360" w:lineRule="auto"/>
        <w:contextualSpacing/>
        <w:jc w:val="both"/>
        <w:rPr>
          <w:rFonts w:ascii="Palatino Linotype" w:eastAsia="Calibri" w:hAnsi="Palatino Linotype" w:cs="Arial"/>
          <w:color w:val="000000" w:themeColor="text1"/>
          <w:lang w:val="es-MX"/>
        </w:rPr>
      </w:pPr>
    </w:p>
    <w:p w:rsidR="00685D5F" w:rsidRPr="007D7190" w:rsidRDefault="001157A7"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De las constancias que integran el expediente electrónico se observa que</w:t>
      </w:r>
      <w:r w:rsidR="009E42C5" w:rsidRPr="007D7190">
        <w:rPr>
          <w:rFonts w:ascii="Palatino Linotype" w:eastAsia="Calibri" w:hAnsi="Palatino Linotype" w:cs="Arial"/>
          <w:color w:val="000000" w:themeColor="text1"/>
          <w:lang w:val="es-MX"/>
        </w:rPr>
        <w:t xml:space="preserve"> en fecha </w:t>
      </w:r>
      <w:r w:rsidR="002A4BF2" w:rsidRPr="007D7190">
        <w:rPr>
          <w:rFonts w:ascii="Palatino Linotype" w:eastAsia="Calibri" w:hAnsi="Palatino Linotype" w:cs="Arial"/>
          <w:b/>
          <w:color w:val="000000" w:themeColor="text1"/>
          <w:lang w:val="es-MX"/>
        </w:rPr>
        <w:t>dos</w:t>
      </w:r>
      <w:r w:rsidR="006F6067" w:rsidRPr="007D7190">
        <w:rPr>
          <w:rFonts w:ascii="Palatino Linotype" w:eastAsia="Calibri" w:hAnsi="Palatino Linotype" w:cs="Arial"/>
          <w:b/>
          <w:color w:val="000000" w:themeColor="text1"/>
          <w:lang w:val="es-MX"/>
        </w:rPr>
        <w:t xml:space="preserve"> de junio</w:t>
      </w:r>
      <w:r w:rsidR="009E42C5" w:rsidRPr="007D7190">
        <w:rPr>
          <w:rFonts w:ascii="Palatino Linotype" w:eastAsia="Calibri" w:hAnsi="Palatino Linotype" w:cs="Arial"/>
          <w:b/>
          <w:color w:val="000000" w:themeColor="text1"/>
          <w:lang w:val="es-MX"/>
        </w:rPr>
        <w:t xml:space="preserve"> de dos mil veinticinco</w:t>
      </w:r>
      <w:r w:rsidRPr="007D7190">
        <w:rPr>
          <w:rFonts w:ascii="Palatino Linotype" w:eastAsia="Calibri" w:hAnsi="Palatino Linotype" w:cs="Arial"/>
          <w:color w:val="000000" w:themeColor="text1"/>
          <w:lang w:val="es-MX"/>
        </w:rPr>
        <w:t xml:space="preserve"> el </w:t>
      </w:r>
      <w:r w:rsidRPr="007D7190">
        <w:rPr>
          <w:rFonts w:ascii="Palatino Linotype" w:eastAsia="Calibri" w:hAnsi="Palatino Linotype" w:cs="Arial"/>
          <w:b/>
          <w:color w:val="000000" w:themeColor="text1"/>
          <w:lang w:val="es-MX"/>
        </w:rPr>
        <w:t xml:space="preserve">SUJETO OBLIGADO </w:t>
      </w:r>
      <w:r w:rsidRPr="007D7190">
        <w:rPr>
          <w:rFonts w:ascii="Palatino Linotype" w:eastAsia="Calibri" w:hAnsi="Palatino Linotype" w:cs="Arial"/>
          <w:color w:val="000000" w:themeColor="text1"/>
          <w:lang w:val="es-MX"/>
        </w:rPr>
        <w:t xml:space="preserve"> dio respuesta a la solicitud de </w:t>
      </w:r>
      <w:r w:rsidRPr="007D7190">
        <w:rPr>
          <w:rFonts w:ascii="Palatino Linotype" w:eastAsia="Calibri" w:hAnsi="Palatino Linotype" w:cs="Arial"/>
          <w:color w:val="000000" w:themeColor="text1"/>
          <w:lang w:val="es-MX"/>
        </w:rPr>
        <w:lastRenderedPageBreak/>
        <w:t xml:space="preserve">información </w:t>
      </w:r>
      <w:r w:rsidR="00483C15" w:rsidRPr="007D7190">
        <w:rPr>
          <w:rFonts w:ascii="Palatino Linotype" w:eastAsia="Calibri" w:hAnsi="Palatino Linotype" w:cs="Arial"/>
          <w:b/>
          <w:bCs/>
          <w:color w:val="000000" w:themeColor="text1"/>
        </w:rPr>
        <w:t>00</w:t>
      </w:r>
      <w:r w:rsidR="006F6067" w:rsidRPr="007D7190">
        <w:rPr>
          <w:rFonts w:ascii="Palatino Linotype" w:eastAsia="Calibri" w:hAnsi="Palatino Linotype" w:cs="Arial"/>
          <w:b/>
          <w:bCs/>
          <w:color w:val="000000" w:themeColor="text1"/>
        </w:rPr>
        <w:t>210</w:t>
      </w:r>
      <w:r w:rsidR="009E42C5" w:rsidRPr="007D7190">
        <w:rPr>
          <w:rFonts w:ascii="Palatino Linotype" w:eastAsia="Calibri" w:hAnsi="Palatino Linotype" w:cs="Arial"/>
          <w:b/>
          <w:bCs/>
          <w:color w:val="000000" w:themeColor="text1"/>
        </w:rPr>
        <w:t>/</w:t>
      </w:r>
      <w:r w:rsidR="006F6067" w:rsidRPr="007D7190">
        <w:rPr>
          <w:rFonts w:ascii="Palatino Linotype" w:eastAsia="Calibri" w:hAnsi="Palatino Linotype" w:cs="Arial"/>
          <w:b/>
          <w:bCs/>
          <w:color w:val="000000" w:themeColor="text1"/>
        </w:rPr>
        <w:t>SSEM</w:t>
      </w:r>
      <w:r w:rsidR="009E42C5" w:rsidRPr="007D7190">
        <w:rPr>
          <w:rFonts w:ascii="Palatino Linotype" w:eastAsia="Calibri" w:hAnsi="Palatino Linotype" w:cs="Arial"/>
          <w:b/>
          <w:bCs/>
          <w:color w:val="000000" w:themeColor="text1"/>
        </w:rPr>
        <w:t>/IP/2025</w:t>
      </w:r>
      <w:r w:rsidR="00233167" w:rsidRPr="007D7190">
        <w:rPr>
          <w:rFonts w:ascii="Palatino Linotype" w:eastAsia="Calibri" w:hAnsi="Palatino Linotype" w:cs="Arial"/>
          <w:color w:val="000000" w:themeColor="text1"/>
          <w:lang w:val="es-MX"/>
        </w:rPr>
        <w:t xml:space="preserve">  mediante </w:t>
      </w:r>
      <w:r w:rsidR="006F6067" w:rsidRPr="007D7190">
        <w:rPr>
          <w:rFonts w:ascii="Palatino Linotype" w:eastAsia="Calibri" w:hAnsi="Palatino Linotype" w:cs="Arial"/>
          <w:color w:val="000000" w:themeColor="text1"/>
          <w:lang w:val="es-MX"/>
        </w:rPr>
        <w:t>un archivo electrónico</w:t>
      </w:r>
      <w:r w:rsidR="00233167" w:rsidRPr="007D7190">
        <w:rPr>
          <w:rFonts w:ascii="Palatino Linotype" w:eastAsia="Calibri" w:hAnsi="Palatino Linotype" w:cs="Arial"/>
          <w:color w:val="000000" w:themeColor="text1"/>
          <w:lang w:val="es-MX"/>
        </w:rPr>
        <w:t xml:space="preserve"> </w:t>
      </w:r>
      <w:r w:rsidR="009E42C5" w:rsidRPr="007D7190">
        <w:rPr>
          <w:rFonts w:ascii="Palatino Linotype" w:eastAsia="Calibri" w:hAnsi="Palatino Linotype" w:cs="Arial"/>
          <w:color w:val="000000" w:themeColor="text1"/>
          <w:lang w:val="es-MX"/>
        </w:rPr>
        <w:t xml:space="preserve">en </w:t>
      </w:r>
      <w:r w:rsidR="00233167" w:rsidRPr="007D7190">
        <w:rPr>
          <w:rFonts w:ascii="Palatino Linotype" w:eastAsia="Calibri" w:hAnsi="Palatino Linotype" w:cs="Arial"/>
          <w:color w:val="000000" w:themeColor="text1"/>
          <w:lang w:val="es-MX"/>
        </w:rPr>
        <w:t>que a</w:t>
      </w:r>
      <w:r w:rsidR="00233167" w:rsidRPr="007D7190">
        <w:rPr>
          <w:rFonts w:ascii="Palatino Linotype" w:eastAsia="Calibri" w:hAnsi="Palatino Linotype" w:cs="Arial"/>
          <w:i/>
          <w:color w:val="000000" w:themeColor="text1"/>
          <w:lang w:val="es-MX"/>
        </w:rPr>
        <w:t xml:space="preserve"> grosso modo</w:t>
      </w:r>
      <w:r w:rsidR="009E42C5" w:rsidRPr="007D7190">
        <w:rPr>
          <w:rFonts w:ascii="Palatino Linotype" w:eastAsia="Calibri" w:hAnsi="Palatino Linotype" w:cs="Arial"/>
          <w:i/>
          <w:color w:val="000000" w:themeColor="text1"/>
          <w:lang w:val="es-MX"/>
        </w:rPr>
        <w:t xml:space="preserve"> </w:t>
      </w:r>
      <w:r w:rsidR="009E42C5" w:rsidRPr="007D7190">
        <w:rPr>
          <w:rFonts w:ascii="Palatino Linotype" w:eastAsia="Calibri" w:hAnsi="Palatino Linotype" w:cs="Arial"/>
          <w:color w:val="000000" w:themeColor="text1"/>
          <w:lang w:val="es-MX"/>
        </w:rPr>
        <w:t>se</w:t>
      </w:r>
      <w:r w:rsidR="00233167" w:rsidRPr="007D7190">
        <w:rPr>
          <w:rFonts w:ascii="Palatino Linotype" w:eastAsia="Calibri" w:hAnsi="Palatino Linotype" w:cs="Arial"/>
          <w:color w:val="000000" w:themeColor="text1"/>
          <w:lang w:val="es-MX"/>
        </w:rPr>
        <w:t xml:space="preserve"> </w:t>
      </w:r>
      <w:r w:rsidR="009E42C5" w:rsidRPr="007D7190">
        <w:rPr>
          <w:rFonts w:ascii="Palatino Linotype" w:eastAsia="Calibri" w:hAnsi="Palatino Linotype" w:cs="Arial"/>
          <w:color w:val="000000" w:themeColor="text1"/>
          <w:lang w:val="es-MX"/>
        </w:rPr>
        <w:t>manifiesta</w:t>
      </w:r>
      <w:r w:rsidR="00233167" w:rsidRPr="007D7190">
        <w:rPr>
          <w:rFonts w:ascii="Palatino Linotype" w:eastAsia="Calibri" w:hAnsi="Palatino Linotype" w:cs="Arial"/>
          <w:color w:val="000000" w:themeColor="text1"/>
          <w:lang w:val="es-MX"/>
        </w:rPr>
        <w:t xml:space="preserve"> lo siguiente:</w:t>
      </w:r>
    </w:p>
    <w:p w:rsidR="009E42C5" w:rsidRPr="007D7190" w:rsidRDefault="009E42C5" w:rsidP="007D6F45">
      <w:pPr>
        <w:pStyle w:val="Prrafodelista"/>
        <w:ind w:left="0"/>
        <w:rPr>
          <w:rFonts w:ascii="Palatino Linotype" w:eastAsia="Calibri" w:hAnsi="Palatino Linotype" w:cs="Arial"/>
          <w:color w:val="000000" w:themeColor="text1"/>
          <w:lang w:val="es-MX"/>
        </w:rPr>
      </w:pPr>
    </w:p>
    <w:p w:rsidR="00483C15" w:rsidRPr="007D7190" w:rsidRDefault="006F6067" w:rsidP="007D6F45">
      <w:pPr>
        <w:tabs>
          <w:tab w:val="left" w:pos="426"/>
        </w:tabs>
        <w:spacing w:line="360" w:lineRule="auto"/>
        <w:contextualSpacing/>
        <w:jc w:val="both"/>
        <w:rPr>
          <w:rFonts w:ascii="Palatino Linotype" w:hAnsi="Palatino Linotype"/>
          <w:color w:val="000000" w:themeColor="text1"/>
        </w:rPr>
      </w:pPr>
      <w:r w:rsidRPr="007D7190">
        <w:rPr>
          <w:rFonts w:ascii="Palatino Linotype" w:hAnsi="Palatino Linotype" w:cs="Arial"/>
          <w:b/>
          <w:bCs/>
          <w:color w:val="000000" w:themeColor="text1"/>
        </w:rPr>
        <w:t>210 RESPUESTA.pdf</w:t>
      </w:r>
      <w:r w:rsidRPr="007D7190">
        <w:rPr>
          <w:rFonts w:ascii="Palatino Linotype" w:hAnsi="Palatino Linotype"/>
          <w:color w:val="000000" w:themeColor="text1"/>
        </w:rPr>
        <w:t xml:space="preserve"> :</w:t>
      </w:r>
      <w:r w:rsidR="00233167" w:rsidRPr="007D7190">
        <w:rPr>
          <w:rFonts w:ascii="Palatino Linotype" w:hAnsi="Palatino Linotype"/>
          <w:color w:val="000000" w:themeColor="text1"/>
        </w:rPr>
        <w:t xml:space="preserve"> </w:t>
      </w:r>
    </w:p>
    <w:p w:rsidR="00233167" w:rsidRPr="007D7190" w:rsidRDefault="00483C15" w:rsidP="007D6F45">
      <w:pPr>
        <w:tabs>
          <w:tab w:val="left" w:pos="426"/>
        </w:tabs>
        <w:spacing w:line="360" w:lineRule="auto"/>
        <w:contextualSpacing/>
        <w:jc w:val="both"/>
        <w:rPr>
          <w:rFonts w:ascii="Palatino Linotype" w:hAnsi="Palatino Linotype"/>
          <w:i/>
          <w:color w:val="000000" w:themeColor="text1"/>
        </w:rPr>
      </w:pPr>
      <w:r w:rsidRPr="007D7190">
        <w:rPr>
          <w:rFonts w:ascii="Palatino Linotype" w:hAnsi="Palatino Linotype"/>
          <w:i/>
          <w:color w:val="000000" w:themeColor="text1"/>
        </w:rPr>
        <w:t xml:space="preserve">Donde el Titular de la Unidad de Transparencia </w:t>
      </w:r>
      <w:r w:rsidR="002A4BF2" w:rsidRPr="007D7190">
        <w:rPr>
          <w:rFonts w:ascii="Palatino Linotype" w:hAnsi="Palatino Linotype"/>
          <w:i/>
          <w:color w:val="000000" w:themeColor="text1"/>
        </w:rPr>
        <w:t>informa que la Oficialía Mayor no realiza pagos de facturas a particulares ya que es una atribución de la Subsecretaría de Tesorería de la Secretaría de Finanzas</w:t>
      </w:r>
    </w:p>
    <w:p w:rsidR="00233167" w:rsidRPr="007D7190" w:rsidRDefault="00233167" w:rsidP="007D6F45">
      <w:pPr>
        <w:tabs>
          <w:tab w:val="left" w:pos="426"/>
        </w:tabs>
        <w:spacing w:line="360" w:lineRule="auto"/>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ab/>
      </w:r>
    </w:p>
    <w:p w:rsidR="00685D5F" w:rsidRPr="007D7190" w:rsidRDefault="00685D5F"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 xml:space="preserve">Derivado de la respuesta, el </w:t>
      </w:r>
      <w:r w:rsidR="002A4BF2" w:rsidRPr="007D7190">
        <w:rPr>
          <w:rFonts w:ascii="Palatino Linotype" w:eastAsia="Calibri" w:hAnsi="Palatino Linotype" w:cs="Arial"/>
          <w:b/>
          <w:color w:val="000000" w:themeColor="text1"/>
          <w:lang w:val="es-MX"/>
        </w:rPr>
        <w:t>tres de junio</w:t>
      </w:r>
      <w:r w:rsidR="00233167" w:rsidRPr="007D7190">
        <w:rPr>
          <w:rFonts w:ascii="Palatino Linotype" w:eastAsia="Calibri" w:hAnsi="Palatino Linotype" w:cs="Arial"/>
          <w:b/>
          <w:color w:val="000000" w:themeColor="text1"/>
          <w:lang w:val="es-MX"/>
        </w:rPr>
        <w:t xml:space="preserve"> de dos mil veinticinco</w:t>
      </w:r>
      <w:r w:rsidRPr="007D7190">
        <w:rPr>
          <w:rFonts w:ascii="Palatino Linotype" w:eastAsia="Calibri" w:hAnsi="Palatino Linotype" w:cs="Arial"/>
          <w:b/>
          <w:color w:val="000000" w:themeColor="text1"/>
          <w:lang w:val="es-MX"/>
        </w:rPr>
        <w:t>,</w:t>
      </w:r>
      <w:r w:rsidRPr="007D7190">
        <w:rPr>
          <w:rFonts w:ascii="Palatino Linotype" w:eastAsia="Calibri" w:hAnsi="Palatino Linotype" w:cs="Arial"/>
          <w:color w:val="000000" w:themeColor="text1"/>
          <w:lang w:val="es-MX"/>
        </w:rPr>
        <w:t xml:space="preserve"> el particular interpuso el recurso de revisión </w:t>
      </w:r>
      <w:r w:rsidR="00B477AB" w:rsidRPr="007D7190">
        <w:rPr>
          <w:rFonts w:ascii="Palatino Linotype" w:eastAsia="Calibri" w:hAnsi="Palatino Linotype" w:cs="Arial"/>
          <w:color w:val="000000" w:themeColor="text1"/>
          <w:lang w:val="es-MX"/>
        </w:rPr>
        <w:t xml:space="preserve">bajo el número de expediente </w:t>
      </w:r>
      <w:r w:rsidR="00351DBF" w:rsidRPr="007D7190">
        <w:rPr>
          <w:rFonts w:ascii="Palatino Linotype" w:eastAsia="Calibri" w:hAnsi="Palatino Linotype" w:cs="Arial"/>
          <w:b/>
          <w:color w:val="000000" w:themeColor="text1"/>
          <w:lang w:val="es-MX"/>
        </w:rPr>
        <w:t>0</w:t>
      </w:r>
      <w:r w:rsidR="002A4BF2" w:rsidRPr="007D7190">
        <w:rPr>
          <w:rFonts w:ascii="Palatino Linotype" w:eastAsia="Calibri" w:hAnsi="Palatino Linotype" w:cs="Arial"/>
          <w:b/>
          <w:color w:val="000000" w:themeColor="text1"/>
          <w:lang w:val="es-MX"/>
        </w:rPr>
        <w:t>6533</w:t>
      </w:r>
      <w:r w:rsidR="00351DBF" w:rsidRPr="007D7190">
        <w:rPr>
          <w:rFonts w:ascii="Palatino Linotype" w:eastAsia="Calibri" w:hAnsi="Palatino Linotype" w:cs="Arial"/>
          <w:b/>
          <w:color w:val="000000" w:themeColor="text1"/>
          <w:lang w:val="es-MX"/>
        </w:rPr>
        <w:t>/INFOEM/IP/RR/202</w:t>
      </w:r>
      <w:r w:rsidR="00B477AB" w:rsidRPr="007D7190">
        <w:rPr>
          <w:rFonts w:ascii="Palatino Linotype" w:eastAsia="Calibri" w:hAnsi="Palatino Linotype" w:cs="Arial"/>
          <w:b/>
          <w:color w:val="000000" w:themeColor="text1"/>
          <w:lang w:val="es-MX"/>
        </w:rPr>
        <w:t>5</w:t>
      </w:r>
      <w:r w:rsidRPr="007D7190">
        <w:rPr>
          <w:rFonts w:ascii="Palatino Linotype" w:eastAsia="Calibri" w:hAnsi="Palatino Linotype" w:cs="Arial"/>
          <w:color w:val="000000" w:themeColor="text1"/>
          <w:lang w:val="es-MX"/>
        </w:rPr>
        <w:t>; impugnación en la que refirió lo siguiente:</w:t>
      </w:r>
    </w:p>
    <w:p w:rsidR="00685D5F" w:rsidRPr="007D7190" w:rsidRDefault="00685D5F" w:rsidP="007D6F45">
      <w:pPr>
        <w:tabs>
          <w:tab w:val="left" w:pos="426"/>
        </w:tabs>
        <w:spacing w:line="360" w:lineRule="auto"/>
        <w:contextualSpacing/>
        <w:jc w:val="both"/>
        <w:rPr>
          <w:rFonts w:ascii="Palatino Linotype" w:eastAsia="Calibri" w:hAnsi="Palatino Linotype" w:cs="Arial"/>
          <w:color w:val="000000" w:themeColor="text1"/>
          <w:lang w:val="es-MX"/>
        </w:rPr>
      </w:pPr>
    </w:p>
    <w:p w:rsidR="00E6479F" w:rsidRPr="000442BF" w:rsidRDefault="00685D5F" w:rsidP="000442BF">
      <w:pPr>
        <w:pStyle w:val="Prrafodelista"/>
        <w:numPr>
          <w:ilvl w:val="0"/>
          <w:numId w:val="43"/>
        </w:numPr>
        <w:tabs>
          <w:tab w:val="left" w:pos="851"/>
        </w:tabs>
        <w:spacing w:line="276" w:lineRule="auto"/>
        <w:jc w:val="both"/>
        <w:rPr>
          <w:rFonts w:ascii="Palatino Linotype" w:eastAsia="Times New Roman" w:hAnsi="Palatino Linotype" w:cs="Arial"/>
          <w:color w:val="000000" w:themeColor="text1"/>
          <w:lang w:val="es-MX"/>
        </w:rPr>
      </w:pPr>
      <w:r w:rsidRPr="000442BF">
        <w:rPr>
          <w:rFonts w:ascii="Palatino Linotype" w:eastAsia="Times New Roman" w:hAnsi="Palatino Linotype" w:cs="Arial"/>
          <w:b/>
          <w:color w:val="000000" w:themeColor="text1"/>
          <w:lang w:val="es-MX"/>
        </w:rPr>
        <w:t>Acto impugnado:</w:t>
      </w:r>
      <w:r w:rsidRPr="000442BF">
        <w:rPr>
          <w:rFonts w:ascii="Palatino Linotype" w:eastAsia="Times New Roman" w:hAnsi="Palatino Linotype" w:cs="Arial"/>
          <w:color w:val="000000" w:themeColor="text1"/>
          <w:lang w:val="es-MX"/>
        </w:rPr>
        <w:t xml:space="preserve"> </w:t>
      </w:r>
    </w:p>
    <w:p w:rsidR="00685D5F" w:rsidRPr="007D7190" w:rsidRDefault="00685D5F" w:rsidP="000442BF">
      <w:pPr>
        <w:tabs>
          <w:tab w:val="left" w:pos="851"/>
        </w:tabs>
        <w:spacing w:line="276" w:lineRule="auto"/>
        <w:ind w:left="426"/>
        <w:contextualSpacing/>
        <w:jc w:val="both"/>
        <w:rPr>
          <w:rFonts w:ascii="Palatino Linotype" w:eastAsia="Times New Roman" w:hAnsi="Palatino Linotype" w:cs="Arial"/>
          <w:color w:val="000000" w:themeColor="text1"/>
          <w:lang w:val="es-MX"/>
        </w:rPr>
      </w:pPr>
      <w:r w:rsidRPr="007D7190">
        <w:rPr>
          <w:rFonts w:ascii="Palatino Linotype" w:eastAsia="Times New Roman" w:hAnsi="Palatino Linotype" w:cs="Arial"/>
          <w:color w:val="000000" w:themeColor="text1"/>
          <w:lang w:val="es-MX"/>
        </w:rPr>
        <w:t>“</w:t>
      </w:r>
      <w:r w:rsidR="002A4BF2" w:rsidRPr="007D7190">
        <w:rPr>
          <w:rFonts w:ascii="Palatino Linotype" w:hAnsi="Palatino Linotype"/>
          <w:i/>
          <w:color w:val="000000" w:themeColor="text1"/>
        </w:rPr>
        <w:t>RESPUESTA A LA SOLICITUD 00210/SSEM/IP/2025</w:t>
      </w:r>
      <w:r w:rsidRPr="007D7190">
        <w:rPr>
          <w:rFonts w:ascii="Palatino Linotype" w:eastAsia="Times New Roman" w:hAnsi="Palatino Linotype" w:cs="Arial"/>
          <w:i/>
          <w:color w:val="000000" w:themeColor="text1"/>
          <w:lang w:val="es-MX"/>
        </w:rPr>
        <w:t>”</w:t>
      </w:r>
      <w:r w:rsidRPr="007D7190">
        <w:rPr>
          <w:rFonts w:ascii="Palatino Linotype" w:eastAsia="Times New Roman" w:hAnsi="Palatino Linotype" w:cs="Arial"/>
          <w:color w:val="000000" w:themeColor="text1"/>
          <w:lang w:val="es-MX"/>
        </w:rPr>
        <w:t xml:space="preserve"> (Sic).</w:t>
      </w:r>
    </w:p>
    <w:p w:rsidR="00685D5F" w:rsidRPr="007D7190" w:rsidRDefault="00685D5F" w:rsidP="007D6F45">
      <w:pPr>
        <w:tabs>
          <w:tab w:val="left" w:pos="851"/>
        </w:tabs>
        <w:spacing w:line="276" w:lineRule="auto"/>
        <w:contextualSpacing/>
        <w:jc w:val="both"/>
        <w:rPr>
          <w:rFonts w:ascii="Palatino Linotype" w:eastAsia="Times New Roman" w:hAnsi="Palatino Linotype" w:cs="Arial"/>
          <w:color w:val="000000" w:themeColor="text1"/>
          <w:lang w:val="es-MX"/>
        </w:rPr>
      </w:pPr>
    </w:p>
    <w:p w:rsidR="00E6479F" w:rsidRPr="000442BF" w:rsidRDefault="00685D5F" w:rsidP="000442BF">
      <w:pPr>
        <w:pStyle w:val="Prrafodelista"/>
        <w:numPr>
          <w:ilvl w:val="0"/>
          <w:numId w:val="43"/>
        </w:numPr>
        <w:jc w:val="both"/>
        <w:rPr>
          <w:rFonts w:ascii="Palatino Linotype" w:eastAsia="Times New Roman" w:hAnsi="Palatino Linotype" w:cs="Arial"/>
          <w:color w:val="000000" w:themeColor="text1"/>
          <w:lang w:val="es-MX"/>
        </w:rPr>
      </w:pPr>
      <w:r w:rsidRPr="000442BF">
        <w:rPr>
          <w:rFonts w:ascii="Palatino Linotype" w:eastAsia="Times New Roman" w:hAnsi="Palatino Linotype" w:cs="Arial"/>
          <w:b/>
          <w:color w:val="000000" w:themeColor="text1"/>
          <w:lang w:val="es-MX"/>
        </w:rPr>
        <w:t>Razones o motivos de inconformidad:</w:t>
      </w:r>
      <w:r w:rsidRPr="000442BF">
        <w:rPr>
          <w:rFonts w:ascii="Palatino Linotype" w:eastAsia="Times New Roman" w:hAnsi="Palatino Linotype" w:cs="Arial"/>
          <w:color w:val="000000" w:themeColor="text1"/>
          <w:lang w:val="es-MX"/>
        </w:rPr>
        <w:t xml:space="preserve"> </w:t>
      </w:r>
    </w:p>
    <w:p w:rsidR="00685D5F" w:rsidRPr="007D7190" w:rsidRDefault="00685D5F" w:rsidP="000442BF">
      <w:pPr>
        <w:ind w:left="284"/>
        <w:jc w:val="both"/>
        <w:rPr>
          <w:rFonts w:ascii="Palatino Linotype" w:eastAsia="Times New Roman" w:hAnsi="Palatino Linotype" w:cs="Arial"/>
          <w:color w:val="000000" w:themeColor="text1"/>
          <w:lang w:val="es-MX"/>
        </w:rPr>
      </w:pPr>
      <w:r w:rsidRPr="007D7190">
        <w:rPr>
          <w:rFonts w:ascii="Palatino Linotype" w:eastAsia="Times New Roman" w:hAnsi="Palatino Linotype" w:cs="Arial"/>
          <w:i/>
          <w:iCs/>
          <w:color w:val="000000" w:themeColor="text1"/>
          <w:lang w:val="es-MX"/>
        </w:rPr>
        <w:t>“</w:t>
      </w:r>
      <w:r w:rsidR="002A4BF2" w:rsidRPr="007D7190">
        <w:rPr>
          <w:rFonts w:ascii="Palatino Linotype" w:hAnsi="Palatino Linotype"/>
          <w:i/>
          <w:color w:val="000000" w:themeColor="text1"/>
        </w:rPr>
        <w:t>En primer término, el sujeto obligado argumenta que no es la instancia encargada de realizar los pagos a particulares. Eso es correcto, sin embargo, la solicitud es muy clara y precisa al señalar que se solicitan LAS FACTURAS, que son los documentos que soportan la aplicación de los recursos públicos asignados al sujeto obligado, el cual está obligado a recopilar dichos documentos como parte del proceso legal para justificar el destino de dichos fondos presupuestales. Es decir, que si bien no es el encargado de realizar los pagos a los beneficiarios particulares, si es el responsable legal de integrar el expediente documental que soporta las compras y adquisiciones que realiza durante el año fiscal el sujeto obligado. De tal manera que la respuesta del sujeto obligado debe ser revocada y se debe ordenar la entrega de la documentación especific ada en la solicitud, en los mismos términos señalados.</w:t>
      </w:r>
      <w:r w:rsidRPr="007D7190">
        <w:rPr>
          <w:rFonts w:ascii="Palatino Linotype" w:eastAsia="Times New Roman" w:hAnsi="Palatino Linotype" w:cs="Arial"/>
          <w:i/>
          <w:iCs/>
          <w:color w:val="000000" w:themeColor="text1"/>
          <w:lang w:val="es-MX"/>
        </w:rPr>
        <w:t>”</w:t>
      </w:r>
      <w:r w:rsidRPr="007D7190">
        <w:rPr>
          <w:rFonts w:ascii="Palatino Linotype" w:eastAsia="Times New Roman" w:hAnsi="Palatino Linotype" w:cs="Arial"/>
          <w:color w:val="000000" w:themeColor="text1"/>
          <w:lang w:val="es-MX"/>
        </w:rPr>
        <w:t xml:space="preserve"> (Sic).</w:t>
      </w:r>
    </w:p>
    <w:p w:rsidR="00CD5BCA" w:rsidRPr="007D7190" w:rsidRDefault="00CD5BCA" w:rsidP="007D6F45">
      <w:pPr>
        <w:tabs>
          <w:tab w:val="left" w:pos="426"/>
        </w:tabs>
        <w:spacing w:line="360" w:lineRule="auto"/>
        <w:jc w:val="both"/>
        <w:rPr>
          <w:rFonts w:ascii="Palatino Linotype" w:hAnsi="Palatino Linotype"/>
          <w:color w:val="000000" w:themeColor="text1"/>
          <w:lang w:val="es-MX"/>
        </w:rPr>
      </w:pPr>
    </w:p>
    <w:p w:rsidR="00685D5F" w:rsidRPr="007D7190" w:rsidRDefault="00685D5F"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lastRenderedPageBreak/>
        <w:t xml:space="preserve">Asimismo, con fundamento en lo dispuesto por el artículo 185, fracción I, de la Ley de Transparencia y Acceso a la Información Pública del Estado de México y Municipios se turnó a la </w:t>
      </w:r>
      <w:r w:rsidRPr="007D7190">
        <w:rPr>
          <w:rFonts w:ascii="Palatino Linotype" w:eastAsia="Calibri" w:hAnsi="Palatino Linotype" w:cs="Arial"/>
          <w:b/>
          <w:color w:val="000000" w:themeColor="text1"/>
          <w:lang w:val="es-MX"/>
        </w:rPr>
        <w:t>Comisionada María del Rosario Mejía Ayala</w:t>
      </w:r>
      <w:r w:rsidRPr="007D7190">
        <w:rPr>
          <w:rFonts w:ascii="Palatino Linotype" w:eastAsia="Calibri" w:hAnsi="Palatino Linotype" w:cs="Arial"/>
          <w:color w:val="000000" w:themeColor="text1"/>
          <w:lang w:val="es-MX"/>
        </w:rPr>
        <w:t xml:space="preserve">, </w:t>
      </w:r>
      <w:r w:rsidR="000442BF">
        <w:rPr>
          <w:rFonts w:ascii="Palatino Linotype" w:eastAsia="Calibri" w:hAnsi="Palatino Linotype" w:cs="Arial"/>
          <w:color w:val="000000" w:themeColor="text1"/>
          <w:lang w:val="es-MX"/>
        </w:rPr>
        <w:t>para</w:t>
      </w:r>
      <w:r w:rsidRPr="007D7190">
        <w:rPr>
          <w:rFonts w:ascii="Palatino Linotype" w:eastAsia="Calibri" w:hAnsi="Palatino Linotype" w:cs="Arial"/>
          <w:color w:val="000000" w:themeColor="text1"/>
          <w:lang w:val="es-MX"/>
        </w:rPr>
        <w:t xml:space="preserve"> su análisis.</w:t>
      </w:r>
    </w:p>
    <w:p w:rsidR="00685D5F" w:rsidRPr="007D7190" w:rsidRDefault="00685D5F" w:rsidP="007D6F45">
      <w:pPr>
        <w:tabs>
          <w:tab w:val="left" w:pos="284"/>
          <w:tab w:val="left" w:pos="426"/>
        </w:tabs>
        <w:spacing w:line="360" w:lineRule="auto"/>
        <w:contextualSpacing/>
        <w:jc w:val="both"/>
        <w:rPr>
          <w:rFonts w:ascii="Palatino Linotype" w:eastAsia="Calibri" w:hAnsi="Palatino Linotype" w:cs="Arial"/>
          <w:color w:val="000000" w:themeColor="text1"/>
          <w:lang w:val="es-MX"/>
        </w:rPr>
      </w:pPr>
    </w:p>
    <w:p w:rsidR="00685D5F" w:rsidRPr="007D7190" w:rsidRDefault="00685D5F" w:rsidP="007D6F45">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MX"/>
        </w:rPr>
      </w:pPr>
      <w:bookmarkStart w:id="4" w:name="_Hlk74251533"/>
      <w:r w:rsidRPr="007D7190">
        <w:rPr>
          <w:rFonts w:ascii="Palatino Linotype" w:eastAsia="Times New Roman" w:hAnsi="Palatino Linotype" w:cs="Arial"/>
          <w:color w:val="000000" w:themeColor="text1"/>
          <w:lang w:val="es-MX"/>
        </w:rPr>
        <w:t>La Comisionada Ponente</w:t>
      </w:r>
      <w:r w:rsidRPr="007D7190">
        <w:rPr>
          <w:rFonts w:ascii="Palatino Linotype" w:eastAsia="Calibri" w:hAnsi="Palatino Linotype" w:cs="Arial"/>
          <w:color w:val="000000" w:themeColor="text1"/>
          <w:lang w:val="es-MX"/>
        </w:rPr>
        <w:t xml:space="preserve">, con fundamento en lo dispuesto por el artículo 185, fracción II, de la ley de la materia, a través del acuerdo de admisión de </w:t>
      </w:r>
      <w:r w:rsidR="00EE552F" w:rsidRPr="007D7190">
        <w:rPr>
          <w:rFonts w:ascii="Palatino Linotype" w:eastAsia="Calibri" w:hAnsi="Palatino Linotype" w:cs="Arial"/>
          <w:b/>
          <w:color w:val="000000" w:themeColor="text1"/>
          <w:lang w:val="es-MX"/>
        </w:rPr>
        <w:t xml:space="preserve">cinco de </w:t>
      </w:r>
      <w:r w:rsidR="00E56537" w:rsidRPr="007D7190">
        <w:rPr>
          <w:rFonts w:ascii="Palatino Linotype" w:eastAsia="Calibri" w:hAnsi="Palatino Linotype" w:cs="Arial"/>
          <w:b/>
          <w:color w:val="000000" w:themeColor="text1"/>
          <w:lang w:val="es-MX"/>
        </w:rPr>
        <w:t>junio</w:t>
      </w:r>
      <w:r w:rsidR="00B477AB" w:rsidRPr="007D7190">
        <w:rPr>
          <w:rFonts w:ascii="Palatino Linotype" w:eastAsia="Calibri" w:hAnsi="Palatino Linotype" w:cs="Arial"/>
          <w:b/>
          <w:color w:val="000000" w:themeColor="text1"/>
          <w:lang w:val="es-MX"/>
        </w:rPr>
        <w:t xml:space="preserve"> de dos mil veinticinco</w:t>
      </w:r>
      <w:r w:rsidRPr="007D7190">
        <w:rPr>
          <w:rFonts w:ascii="Palatino Linotype" w:eastAsia="Calibri" w:hAnsi="Palatino Linotype" w:cs="Arial"/>
          <w:color w:val="000000" w:themeColor="text1"/>
          <w:lang w:val="es-MX"/>
        </w:rPr>
        <w:t>, puso a disposición de las partes el expediente electrónico vía SAIMEX, a efecto de que en un plazo máximo de siete días manifesta</w:t>
      </w:r>
      <w:r w:rsidR="009E42C5" w:rsidRPr="007D7190">
        <w:rPr>
          <w:rFonts w:ascii="Palatino Linotype" w:eastAsia="Calibri" w:hAnsi="Palatino Linotype" w:cs="Arial"/>
          <w:color w:val="000000" w:themeColor="text1"/>
          <w:lang w:val="es-MX"/>
        </w:rPr>
        <w:t>ran lo que a derecho conviniera</w:t>
      </w:r>
      <w:r w:rsidRPr="007D7190">
        <w:rPr>
          <w:rFonts w:ascii="Palatino Linotype" w:eastAsia="Calibri" w:hAnsi="Palatino Linotype" w:cs="Arial"/>
          <w:color w:val="000000" w:themeColor="text1"/>
          <w:lang w:val="es-MX"/>
        </w:rPr>
        <w:t xml:space="preserve">, ofrecieran pruebas y alegatos según corresponda a los casos concretos, de esta forma para que el </w:t>
      </w:r>
      <w:r w:rsidRPr="007D7190">
        <w:rPr>
          <w:rFonts w:ascii="Palatino Linotype" w:eastAsia="Calibri" w:hAnsi="Palatino Linotype" w:cs="Arial"/>
          <w:b/>
          <w:color w:val="000000" w:themeColor="text1"/>
          <w:lang w:val="es-MX"/>
        </w:rPr>
        <w:t>SUJETO OBLIGADO</w:t>
      </w:r>
      <w:r w:rsidRPr="007D7190">
        <w:rPr>
          <w:rFonts w:ascii="Palatino Linotype" w:eastAsia="Calibri" w:hAnsi="Palatino Linotype" w:cs="Arial"/>
          <w:color w:val="000000" w:themeColor="text1"/>
          <w:lang w:val="es-MX"/>
        </w:rPr>
        <w:t xml:space="preserve"> presentara </w:t>
      </w:r>
      <w:bookmarkEnd w:id="4"/>
      <w:r w:rsidRPr="007D7190">
        <w:rPr>
          <w:rFonts w:ascii="Palatino Linotype" w:eastAsia="Calibri" w:hAnsi="Palatino Linotype" w:cs="Arial"/>
          <w:color w:val="000000" w:themeColor="text1"/>
          <w:lang w:val="es-MX"/>
        </w:rPr>
        <w:t>su informe justificado procedente.</w:t>
      </w:r>
    </w:p>
    <w:p w:rsidR="00685D5F" w:rsidRPr="007D7190" w:rsidRDefault="00685D5F" w:rsidP="007D6F45">
      <w:pPr>
        <w:tabs>
          <w:tab w:val="left" w:pos="426"/>
        </w:tabs>
        <w:spacing w:line="360" w:lineRule="auto"/>
        <w:contextualSpacing/>
        <w:jc w:val="both"/>
        <w:rPr>
          <w:rFonts w:ascii="Palatino Linotype" w:eastAsia="Calibri" w:hAnsi="Palatino Linotype" w:cs="Arial"/>
          <w:color w:val="000000" w:themeColor="text1"/>
          <w:lang w:val="es-MX"/>
        </w:rPr>
      </w:pPr>
    </w:p>
    <w:p w:rsidR="00B477AB" w:rsidRPr="007D7190" w:rsidRDefault="00685D5F" w:rsidP="007D6F45">
      <w:pPr>
        <w:numPr>
          <w:ilvl w:val="0"/>
          <w:numId w:val="1"/>
        </w:numPr>
        <w:tabs>
          <w:tab w:val="left" w:pos="426"/>
        </w:tabs>
        <w:spacing w:line="360" w:lineRule="auto"/>
        <w:ind w:left="0" w:firstLine="0"/>
        <w:contextualSpacing/>
        <w:jc w:val="both"/>
        <w:rPr>
          <w:rFonts w:ascii="Palatino Linotype" w:eastAsia="Times New Roman" w:hAnsi="Palatino Linotype" w:cs="Arial"/>
          <w:color w:val="000000" w:themeColor="text1"/>
          <w:lang w:val="es-MX"/>
        </w:rPr>
      </w:pPr>
      <w:r w:rsidRPr="007D7190">
        <w:rPr>
          <w:rFonts w:ascii="Palatino Linotype" w:eastAsia="Times New Roman" w:hAnsi="Palatino Linotype" w:cs="Arial"/>
          <w:color w:val="000000" w:themeColor="text1"/>
          <w:lang w:val="es-MX"/>
        </w:rPr>
        <w:t>De las constancias que obran en el expediente digital del recurso de revisión que hoy se resuelve, se aprecia que</w:t>
      </w:r>
      <w:r w:rsidR="006D2E80" w:rsidRPr="007D7190">
        <w:rPr>
          <w:rFonts w:ascii="Palatino Linotype" w:eastAsia="Times New Roman" w:hAnsi="Palatino Linotype" w:cs="Arial"/>
          <w:color w:val="000000" w:themeColor="text1"/>
          <w:lang w:val="es-MX"/>
        </w:rPr>
        <w:t xml:space="preserve"> como informe justificado</w:t>
      </w:r>
      <w:r w:rsidRPr="007D7190">
        <w:rPr>
          <w:rFonts w:ascii="Palatino Linotype" w:eastAsia="Times New Roman" w:hAnsi="Palatino Linotype" w:cs="Arial"/>
          <w:color w:val="000000" w:themeColor="text1"/>
          <w:lang w:val="es-MX"/>
        </w:rPr>
        <w:t xml:space="preserve"> el </w:t>
      </w:r>
      <w:r w:rsidRPr="007D7190">
        <w:rPr>
          <w:rFonts w:ascii="Palatino Linotype" w:eastAsia="Times New Roman" w:hAnsi="Palatino Linotype" w:cs="Arial"/>
          <w:b/>
          <w:color w:val="000000" w:themeColor="text1"/>
          <w:lang w:val="es-MX"/>
        </w:rPr>
        <w:t>SUJETO OBLIGADO</w:t>
      </w:r>
      <w:r w:rsidRPr="007D7190">
        <w:rPr>
          <w:rFonts w:ascii="Palatino Linotype" w:eastAsia="Times New Roman" w:hAnsi="Palatino Linotype" w:cs="Arial"/>
          <w:color w:val="000000" w:themeColor="text1"/>
          <w:lang w:val="es-MX"/>
        </w:rPr>
        <w:t xml:space="preserve"> </w:t>
      </w:r>
      <w:r w:rsidR="00B477AB" w:rsidRPr="007D7190">
        <w:rPr>
          <w:rFonts w:ascii="Palatino Linotype" w:eastAsia="Times New Roman" w:hAnsi="Palatino Linotype" w:cs="Arial"/>
          <w:color w:val="000000" w:themeColor="text1"/>
          <w:lang w:val="es-MX"/>
        </w:rPr>
        <w:t xml:space="preserve"> presentó en fecha </w:t>
      </w:r>
      <w:r w:rsidR="006D2E80" w:rsidRPr="007D7190">
        <w:rPr>
          <w:rFonts w:ascii="Palatino Linotype" w:eastAsia="Times New Roman" w:hAnsi="Palatino Linotype" w:cs="Arial"/>
          <w:color w:val="000000" w:themeColor="text1"/>
          <w:lang w:val="es-MX"/>
        </w:rPr>
        <w:t>doce de junio</w:t>
      </w:r>
      <w:r w:rsidR="009E42C5" w:rsidRPr="007D7190">
        <w:rPr>
          <w:rFonts w:ascii="Palatino Linotype" w:eastAsia="Times New Roman" w:hAnsi="Palatino Linotype" w:cs="Arial"/>
          <w:color w:val="000000" w:themeColor="text1"/>
          <w:lang w:val="es-MX"/>
        </w:rPr>
        <w:t xml:space="preserve">  de dos mil veinticinco</w:t>
      </w:r>
      <w:r w:rsidR="00B477AB" w:rsidRPr="007D7190">
        <w:rPr>
          <w:rFonts w:ascii="Palatino Linotype" w:eastAsia="Times New Roman" w:hAnsi="Palatino Linotype" w:cs="Arial"/>
          <w:color w:val="000000" w:themeColor="text1"/>
          <w:lang w:val="es-MX"/>
        </w:rPr>
        <w:t xml:space="preserve"> </w:t>
      </w:r>
      <w:r w:rsidR="006D2E80" w:rsidRPr="007D7190">
        <w:rPr>
          <w:rFonts w:ascii="Palatino Linotype" w:eastAsia="Times New Roman" w:hAnsi="Palatino Linotype" w:cs="Arial"/>
          <w:color w:val="000000" w:themeColor="text1"/>
          <w:lang w:val="es-MX"/>
        </w:rPr>
        <w:t xml:space="preserve">cinco </w:t>
      </w:r>
      <w:r w:rsidR="00E6479F" w:rsidRPr="007D7190">
        <w:rPr>
          <w:rFonts w:ascii="Palatino Linotype" w:eastAsia="Times New Roman" w:hAnsi="Palatino Linotype" w:cs="Arial"/>
          <w:color w:val="000000" w:themeColor="text1"/>
          <w:lang w:val="es-MX"/>
        </w:rPr>
        <w:t xml:space="preserve">archivos que medularmente contienen </w:t>
      </w:r>
      <w:r w:rsidR="00B477AB" w:rsidRPr="007D7190">
        <w:rPr>
          <w:rFonts w:ascii="Palatino Linotype" w:eastAsia="Times New Roman" w:hAnsi="Palatino Linotype" w:cs="Arial"/>
          <w:color w:val="000000" w:themeColor="text1"/>
          <w:lang w:val="es-MX"/>
        </w:rPr>
        <w:t xml:space="preserve">lo siguiente: </w:t>
      </w:r>
    </w:p>
    <w:p w:rsidR="00B477AB" w:rsidRPr="007D7190" w:rsidRDefault="00B477AB" w:rsidP="007D6F45">
      <w:pPr>
        <w:pStyle w:val="Prrafodelista"/>
        <w:ind w:left="0"/>
        <w:rPr>
          <w:rFonts w:ascii="Palatino Linotype" w:eastAsia="Times New Roman" w:hAnsi="Palatino Linotype" w:cs="Arial"/>
          <w:color w:val="000000" w:themeColor="text1"/>
          <w:lang w:val="es-MX"/>
        </w:rPr>
      </w:pPr>
    </w:p>
    <w:p w:rsidR="00D40DA0" w:rsidRPr="007D7190" w:rsidRDefault="00890EFB" w:rsidP="007D6F45">
      <w:pPr>
        <w:tabs>
          <w:tab w:val="left" w:pos="426"/>
        </w:tabs>
        <w:spacing w:line="360" w:lineRule="auto"/>
        <w:contextualSpacing/>
        <w:jc w:val="both"/>
        <w:rPr>
          <w:rFonts w:ascii="Palatino Linotype" w:hAnsi="Palatino Linotype" w:cs="Arial"/>
          <w:b/>
          <w:bCs/>
          <w:color w:val="000000" w:themeColor="text1"/>
        </w:rPr>
      </w:pPr>
      <w:r w:rsidRPr="007D7190">
        <w:rPr>
          <w:rFonts w:ascii="Palatino Linotype" w:eastAsia="Times New Roman" w:hAnsi="Palatino Linotype" w:cs="Arial"/>
          <w:b/>
          <w:color w:val="000000" w:themeColor="text1"/>
          <w:lang w:val="es-MX"/>
        </w:rPr>
        <w:t>1.</w:t>
      </w:r>
      <w:r w:rsidR="00694263" w:rsidRPr="007D7190">
        <w:rPr>
          <w:rFonts w:ascii="Palatino Linotype" w:eastAsia="Times New Roman" w:hAnsi="Palatino Linotype" w:cs="Arial"/>
          <w:b/>
          <w:color w:val="000000" w:themeColor="text1"/>
          <w:lang w:val="es-MX"/>
        </w:rPr>
        <w:t xml:space="preserve"> </w:t>
      </w:r>
      <w:r w:rsidR="00A436C6" w:rsidRPr="007D7190">
        <w:rPr>
          <w:rFonts w:ascii="Palatino Linotype" w:hAnsi="Palatino Linotype" w:cs="Arial"/>
          <w:b/>
          <w:bCs/>
          <w:color w:val="000000" w:themeColor="text1"/>
        </w:rPr>
        <w:t>ANEXOS FACTURAS 210 Censurado (1).</w:t>
      </w:r>
      <w:r w:rsidR="00D40DA0" w:rsidRPr="007D7190">
        <w:rPr>
          <w:rFonts w:ascii="Palatino Linotype" w:hAnsi="Palatino Linotype" w:cs="Arial"/>
          <w:b/>
          <w:bCs/>
          <w:color w:val="000000" w:themeColor="text1"/>
        </w:rPr>
        <w:t xml:space="preserve"> : </w:t>
      </w:r>
    </w:p>
    <w:p w:rsidR="00694263" w:rsidRPr="007D7190" w:rsidRDefault="00D40DA0" w:rsidP="007D6F45">
      <w:pPr>
        <w:tabs>
          <w:tab w:val="left" w:pos="426"/>
        </w:tabs>
        <w:spacing w:line="360" w:lineRule="auto"/>
        <w:contextualSpacing/>
        <w:jc w:val="both"/>
        <w:rPr>
          <w:rFonts w:ascii="Palatino Linotype" w:hAnsi="Palatino Linotype"/>
          <w:i/>
          <w:color w:val="000000" w:themeColor="text1"/>
        </w:rPr>
      </w:pPr>
      <w:r w:rsidRPr="007D7190">
        <w:rPr>
          <w:rFonts w:ascii="Palatino Linotype" w:hAnsi="Palatino Linotype" w:cs="Arial"/>
          <w:bCs/>
          <w:color w:val="000000" w:themeColor="text1"/>
        </w:rPr>
        <w:t>Donde anexa en versión pública  factura 775 y  factura A20</w:t>
      </w:r>
    </w:p>
    <w:p w:rsidR="00890EFB" w:rsidRPr="007D7190" w:rsidRDefault="00890EFB" w:rsidP="007D6F45">
      <w:pPr>
        <w:spacing w:line="360" w:lineRule="auto"/>
        <w:jc w:val="both"/>
        <w:rPr>
          <w:rFonts w:ascii="Palatino Linotype" w:hAnsi="Palatino Linotype"/>
          <w:b/>
          <w:color w:val="000000" w:themeColor="text1"/>
        </w:rPr>
      </w:pPr>
      <w:r w:rsidRPr="007D7190">
        <w:rPr>
          <w:rFonts w:ascii="Palatino Linotype" w:eastAsia="Times New Roman" w:hAnsi="Palatino Linotype" w:cs="Arial"/>
          <w:b/>
          <w:color w:val="000000" w:themeColor="text1"/>
          <w:lang w:val="es-MX"/>
        </w:rPr>
        <w:t>2.</w:t>
      </w:r>
      <w:r w:rsidRPr="007D7190">
        <w:rPr>
          <w:rFonts w:ascii="Palatino Linotype" w:hAnsi="Palatino Linotype"/>
          <w:b/>
          <w:i/>
          <w:color w:val="000000" w:themeColor="text1"/>
        </w:rPr>
        <w:t xml:space="preserve">  </w:t>
      </w:r>
      <w:r w:rsidR="00A436C6" w:rsidRPr="007D7190">
        <w:rPr>
          <w:rFonts w:ascii="Palatino Linotype" w:hAnsi="Palatino Linotype" w:cs="Arial"/>
          <w:b/>
          <w:bCs/>
          <w:color w:val="000000" w:themeColor="text1"/>
        </w:rPr>
        <w:t>ACTA SEPTIMA EXTRA.pdf</w:t>
      </w:r>
      <w:r w:rsidRPr="007D7190">
        <w:rPr>
          <w:rFonts w:ascii="Palatino Linotype" w:hAnsi="Palatino Linotype"/>
          <w:b/>
          <w:color w:val="000000" w:themeColor="text1"/>
        </w:rPr>
        <w:t xml:space="preserve">: </w:t>
      </w:r>
    </w:p>
    <w:p w:rsidR="00D40DA0" w:rsidRPr="007D7190" w:rsidRDefault="00D40DA0" w:rsidP="007D6F45">
      <w:pPr>
        <w:spacing w:line="360" w:lineRule="auto"/>
        <w:jc w:val="both"/>
        <w:rPr>
          <w:rFonts w:ascii="Palatino Linotype" w:hAnsi="Palatino Linotype"/>
          <w:i/>
          <w:color w:val="000000" w:themeColor="text1"/>
        </w:rPr>
      </w:pPr>
      <w:r w:rsidRPr="007D7190">
        <w:rPr>
          <w:rFonts w:ascii="Palatino Linotype" w:eastAsia="Times New Roman" w:hAnsi="Palatino Linotype" w:cs="Arial"/>
          <w:i/>
          <w:color w:val="000000" w:themeColor="text1"/>
          <w:lang w:val="es-MX"/>
        </w:rPr>
        <w:t>Contiene acta del Comité de Transparencia donde se  aprueba clasificar como información reservada por un término de cinco años, respecto de la descripción del blindaje de vehículos contenida en 15 facturas con monto superior a 2 millones de pesos</w:t>
      </w:r>
      <w:r w:rsidR="0069595D" w:rsidRPr="007D7190">
        <w:rPr>
          <w:rFonts w:ascii="Palatino Linotype" w:hAnsi="Palatino Linotype"/>
          <w:i/>
          <w:color w:val="000000" w:themeColor="text1"/>
        </w:rPr>
        <w:t>; así también se clasifica como confidencial el número de cuenta y Clave Interbancaria en dos facturas superiores a dos millones de pesos relativas a la solicitud origen del presente recurso.</w:t>
      </w:r>
    </w:p>
    <w:p w:rsidR="00A436C6" w:rsidRPr="007D7190" w:rsidRDefault="00A436C6" w:rsidP="007D6F45">
      <w:pPr>
        <w:tabs>
          <w:tab w:val="left" w:pos="426"/>
        </w:tabs>
        <w:spacing w:line="360" w:lineRule="auto"/>
        <w:contextualSpacing/>
        <w:jc w:val="both"/>
        <w:rPr>
          <w:rFonts w:ascii="Palatino Linotype" w:hAnsi="Palatino Linotype" w:cs="Arial"/>
          <w:b/>
          <w:bCs/>
          <w:color w:val="000000" w:themeColor="text1"/>
        </w:rPr>
      </w:pPr>
      <w:r w:rsidRPr="007D7190">
        <w:rPr>
          <w:rFonts w:ascii="Palatino Linotype" w:hAnsi="Palatino Linotype" w:cs="Arial"/>
          <w:b/>
          <w:bCs/>
          <w:color w:val="000000" w:themeColor="text1"/>
        </w:rPr>
        <w:t>3. INFORME JUSTFICADO RR 6533.pdf</w:t>
      </w:r>
      <w:r w:rsidR="0069595D" w:rsidRPr="007D7190">
        <w:rPr>
          <w:rFonts w:ascii="Palatino Linotype" w:hAnsi="Palatino Linotype" w:cs="Arial"/>
          <w:b/>
          <w:bCs/>
          <w:color w:val="000000" w:themeColor="text1"/>
        </w:rPr>
        <w:t xml:space="preserve"> </w:t>
      </w:r>
    </w:p>
    <w:p w:rsidR="0069595D" w:rsidRPr="007D7190" w:rsidRDefault="0069595D" w:rsidP="007D6F45">
      <w:pPr>
        <w:tabs>
          <w:tab w:val="left" w:pos="426"/>
        </w:tabs>
        <w:spacing w:line="360" w:lineRule="auto"/>
        <w:contextualSpacing/>
        <w:jc w:val="both"/>
        <w:rPr>
          <w:rFonts w:ascii="Palatino Linotype" w:hAnsi="Palatino Linotype"/>
          <w:i/>
          <w:color w:val="000000" w:themeColor="text1"/>
        </w:rPr>
      </w:pPr>
      <w:r w:rsidRPr="007D7190">
        <w:rPr>
          <w:rFonts w:ascii="Palatino Linotype" w:hAnsi="Palatino Linotype" w:cs="Arial"/>
          <w:bCs/>
          <w:i/>
          <w:color w:val="000000" w:themeColor="text1"/>
        </w:rPr>
        <w:lastRenderedPageBreak/>
        <w:t>Donde rinde informe justificado, presenta prueba de daño contenida en anexo uno y solicita sobreseer el recurso.</w:t>
      </w:r>
    </w:p>
    <w:p w:rsidR="00A436C6" w:rsidRPr="007D7190" w:rsidRDefault="00A436C6" w:rsidP="007D6F45">
      <w:pPr>
        <w:tabs>
          <w:tab w:val="left" w:pos="426"/>
        </w:tabs>
        <w:spacing w:line="360" w:lineRule="auto"/>
        <w:contextualSpacing/>
        <w:jc w:val="both"/>
        <w:rPr>
          <w:rFonts w:ascii="Palatino Linotype" w:hAnsi="Palatino Linotype" w:cs="Arial"/>
          <w:b/>
          <w:bCs/>
          <w:color w:val="000000" w:themeColor="text1"/>
        </w:rPr>
      </w:pPr>
      <w:r w:rsidRPr="007D7190">
        <w:rPr>
          <w:rFonts w:ascii="Palatino Linotype" w:hAnsi="Palatino Linotype" w:cs="Arial"/>
          <w:b/>
          <w:bCs/>
          <w:color w:val="000000" w:themeColor="text1"/>
        </w:rPr>
        <w:t>4. ANEXO UNO SEPTIMA EXTRA.pdf</w:t>
      </w:r>
    </w:p>
    <w:p w:rsidR="0069595D" w:rsidRPr="007D7190" w:rsidRDefault="0069595D" w:rsidP="007D6F45">
      <w:pPr>
        <w:tabs>
          <w:tab w:val="left" w:pos="426"/>
        </w:tabs>
        <w:spacing w:line="360" w:lineRule="auto"/>
        <w:contextualSpacing/>
        <w:jc w:val="both"/>
        <w:rPr>
          <w:rFonts w:ascii="Palatino Linotype" w:hAnsi="Palatino Linotype"/>
          <w:i/>
          <w:color w:val="000000" w:themeColor="text1"/>
        </w:rPr>
      </w:pPr>
      <w:r w:rsidRPr="007D7190">
        <w:rPr>
          <w:rFonts w:ascii="Palatino Linotype" w:hAnsi="Palatino Linotype"/>
          <w:i/>
          <w:color w:val="000000" w:themeColor="text1"/>
        </w:rPr>
        <w:t>Presenta prueba de Daño</w:t>
      </w:r>
    </w:p>
    <w:p w:rsidR="00A436C6" w:rsidRPr="007D7190" w:rsidRDefault="00A436C6" w:rsidP="007D6F45">
      <w:pPr>
        <w:tabs>
          <w:tab w:val="left" w:pos="426"/>
        </w:tabs>
        <w:spacing w:line="360" w:lineRule="auto"/>
        <w:contextualSpacing/>
        <w:jc w:val="both"/>
        <w:rPr>
          <w:rFonts w:ascii="Palatino Linotype" w:hAnsi="Palatino Linotype" w:cs="Arial"/>
          <w:b/>
          <w:bCs/>
          <w:color w:val="000000" w:themeColor="text1"/>
        </w:rPr>
      </w:pPr>
      <w:r w:rsidRPr="007D7190">
        <w:rPr>
          <w:rFonts w:ascii="Palatino Linotype" w:hAnsi="Palatino Linotype" w:cs="Arial"/>
          <w:b/>
          <w:bCs/>
          <w:color w:val="000000" w:themeColor="text1"/>
        </w:rPr>
        <w:t>5. CUADRO DE CLASIFICACION RR 6533.pdf</w:t>
      </w:r>
    </w:p>
    <w:p w:rsidR="0069595D" w:rsidRPr="007D7190" w:rsidRDefault="0069595D" w:rsidP="007D6F45">
      <w:pPr>
        <w:tabs>
          <w:tab w:val="left" w:pos="426"/>
        </w:tabs>
        <w:spacing w:line="360" w:lineRule="auto"/>
        <w:contextualSpacing/>
        <w:jc w:val="both"/>
        <w:rPr>
          <w:rFonts w:ascii="Palatino Linotype" w:hAnsi="Palatino Linotype"/>
          <w:i/>
          <w:color w:val="000000" w:themeColor="text1"/>
        </w:rPr>
      </w:pPr>
      <w:r w:rsidRPr="007D7190">
        <w:rPr>
          <w:rFonts w:ascii="Palatino Linotype" w:hAnsi="Palatino Linotype" w:cs="Arial"/>
          <w:bCs/>
          <w:i/>
          <w:color w:val="000000" w:themeColor="text1"/>
        </w:rPr>
        <w:t>Donde presenta cuadro de clasificación total para quince facturas con monto superior a dos millones de pesos y clasificación parcial de “3”(Sic) facturas con monto superior a dos millones de pesos.</w:t>
      </w:r>
    </w:p>
    <w:p w:rsidR="00CD5BCA" w:rsidRPr="007D7190" w:rsidRDefault="00CD5BCA" w:rsidP="007D6F45">
      <w:pPr>
        <w:pStyle w:val="Prrafodelista"/>
        <w:ind w:left="0"/>
        <w:rPr>
          <w:rFonts w:ascii="Palatino Linotype" w:eastAsia="Times New Roman" w:hAnsi="Palatino Linotype" w:cs="Arial"/>
          <w:color w:val="000000" w:themeColor="text1"/>
          <w:lang w:val="es-MX"/>
        </w:rPr>
      </w:pPr>
    </w:p>
    <w:p w:rsidR="00685D5F" w:rsidRPr="007D7190" w:rsidRDefault="00B477AB" w:rsidP="007D6F45">
      <w:pPr>
        <w:numPr>
          <w:ilvl w:val="0"/>
          <w:numId w:val="1"/>
        </w:numPr>
        <w:tabs>
          <w:tab w:val="left" w:pos="426"/>
        </w:tabs>
        <w:spacing w:line="360" w:lineRule="auto"/>
        <w:ind w:left="0" w:firstLine="0"/>
        <w:contextualSpacing/>
        <w:jc w:val="both"/>
        <w:rPr>
          <w:rFonts w:ascii="Palatino Linotype" w:eastAsia="Times New Roman" w:hAnsi="Palatino Linotype" w:cs="Arial"/>
          <w:i/>
          <w:color w:val="000000" w:themeColor="text1"/>
          <w:lang w:val="es-MX"/>
        </w:rPr>
      </w:pPr>
      <w:r w:rsidRPr="007D7190">
        <w:rPr>
          <w:rFonts w:ascii="Palatino Linotype" w:eastAsia="Times New Roman" w:hAnsi="Palatino Linotype" w:cs="Arial"/>
          <w:color w:val="000000" w:themeColor="text1"/>
          <w:lang w:val="es-MX"/>
        </w:rPr>
        <w:t xml:space="preserve">Por su parte </w:t>
      </w:r>
      <w:r w:rsidRPr="007D7190">
        <w:rPr>
          <w:rFonts w:ascii="Palatino Linotype" w:eastAsia="Times New Roman" w:hAnsi="Palatino Linotype" w:cs="Arial"/>
          <w:b/>
          <w:color w:val="000000" w:themeColor="text1"/>
          <w:lang w:val="es-MX"/>
        </w:rPr>
        <w:t>EL</w:t>
      </w:r>
      <w:r w:rsidR="00351DBF" w:rsidRPr="007D7190">
        <w:rPr>
          <w:rFonts w:ascii="Palatino Linotype" w:eastAsia="Times New Roman" w:hAnsi="Palatino Linotype" w:cs="Arial"/>
          <w:color w:val="000000" w:themeColor="text1"/>
          <w:lang w:val="es-MX"/>
        </w:rPr>
        <w:t xml:space="preserve"> </w:t>
      </w:r>
      <w:r w:rsidR="00351DBF" w:rsidRPr="007D7190">
        <w:rPr>
          <w:rFonts w:ascii="Palatino Linotype" w:eastAsia="Times New Roman" w:hAnsi="Palatino Linotype" w:cs="Arial"/>
          <w:b/>
          <w:color w:val="000000" w:themeColor="text1"/>
          <w:lang w:val="es-MX"/>
        </w:rPr>
        <w:t xml:space="preserve">RECURRENTE </w:t>
      </w:r>
      <w:r w:rsidRPr="007D7190">
        <w:rPr>
          <w:rFonts w:ascii="Palatino Linotype" w:eastAsia="Times New Roman" w:hAnsi="Palatino Linotype" w:cs="Arial"/>
          <w:color w:val="000000" w:themeColor="text1"/>
          <w:lang w:val="es-MX"/>
        </w:rPr>
        <w:t>dejó</w:t>
      </w:r>
      <w:r w:rsidR="00351DBF" w:rsidRPr="007D7190">
        <w:rPr>
          <w:rFonts w:ascii="Palatino Linotype" w:eastAsia="Times New Roman" w:hAnsi="Palatino Linotype" w:cs="Arial"/>
          <w:color w:val="000000" w:themeColor="text1"/>
          <w:lang w:val="es-MX"/>
        </w:rPr>
        <w:t xml:space="preserve"> de realizar manifestaciones que a su derecho conviniera</w:t>
      </w:r>
      <w:r w:rsidRPr="007D7190">
        <w:rPr>
          <w:rFonts w:ascii="Palatino Linotype" w:eastAsia="Times New Roman" w:hAnsi="Palatino Linotype" w:cs="Arial"/>
          <w:color w:val="000000" w:themeColor="text1"/>
          <w:lang w:val="es-MX"/>
        </w:rPr>
        <w:t>n</w:t>
      </w:r>
      <w:r w:rsidR="00351DBF" w:rsidRPr="007D7190">
        <w:rPr>
          <w:rFonts w:ascii="Palatino Linotype" w:eastAsia="Times New Roman" w:hAnsi="Palatino Linotype" w:cs="Arial"/>
          <w:color w:val="000000" w:themeColor="text1"/>
          <w:lang w:val="es-MX"/>
        </w:rPr>
        <w:t xml:space="preserve"> y asistiera</w:t>
      </w:r>
      <w:r w:rsidR="00F033B3" w:rsidRPr="007D7190">
        <w:rPr>
          <w:rFonts w:ascii="Palatino Linotype" w:eastAsia="Times New Roman" w:hAnsi="Palatino Linotype" w:cs="Arial"/>
          <w:color w:val="000000" w:themeColor="text1"/>
          <w:lang w:val="es-MX"/>
        </w:rPr>
        <w:t>n.</w:t>
      </w:r>
    </w:p>
    <w:p w:rsidR="00351DBF" w:rsidRPr="007D7190" w:rsidRDefault="00351DBF" w:rsidP="007D6F45">
      <w:pPr>
        <w:rPr>
          <w:rFonts w:ascii="Palatino Linotype" w:eastAsia="Calibri" w:hAnsi="Palatino Linotype" w:cs="Arial"/>
          <w:color w:val="000000" w:themeColor="text1"/>
          <w:lang w:val="es-MX"/>
        </w:rPr>
      </w:pPr>
    </w:p>
    <w:p w:rsidR="003852BE" w:rsidRPr="007D7190" w:rsidRDefault="003852BE" w:rsidP="007D6F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7D7190">
        <w:rPr>
          <w:rFonts w:ascii="Palatino Linotype" w:hAnsi="Palatino Linotype"/>
          <w:color w:val="000000" w:themeColor="text1"/>
        </w:rPr>
        <w:t xml:space="preserve">En </w:t>
      </w:r>
      <w:r w:rsidRPr="007D7190">
        <w:rPr>
          <w:rFonts w:ascii="Palatino Linotype" w:hAnsi="Palatino Linotype"/>
          <w:b/>
          <w:color w:val="000000" w:themeColor="text1"/>
        </w:rPr>
        <w:t xml:space="preserve">fecha </w:t>
      </w:r>
      <w:r w:rsidR="00A436C6" w:rsidRPr="007D7190">
        <w:rPr>
          <w:rFonts w:ascii="Palatino Linotype" w:hAnsi="Palatino Linotype"/>
          <w:b/>
          <w:color w:val="000000" w:themeColor="text1"/>
        </w:rPr>
        <w:t>seis de agosto</w:t>
      </w:r>
      <w:r w:rsidRPr="007D7190">
        <w:rPr>
          <w:rFonts w:ascii="Palatino Linotype" w:hAnsi="Palatino Linotype"/>
          <w:b/>
          <w:color w:val="000000" w:themeColor="text1"/>
        </w:rPr>
        <w:t xml:space="preserve"> de dos mil veinticinco</w:t>
      </w:r>
      <w:r w:rsidRPr="007D7190">
        <w:rPr>
          <w:rFonts w:ascii="Palatino Linotype" w:hAnsi="Palatino Linotype"/>
          <w:color w:val="000000" w:themeColor="text1"/>
        </w:rPr>
        <w:t>, se acordó ampliar el término para resolver el presente asunto.</w:t>
      </w:r>
    </w:p>
    <w:p w:rsidR="003852BE" w:rsidRPr="007D7190" w:rsidRDefault="003852BE" w:rsidP="007D6F45">
      <w:pPr>
        <w:pStyle w:val="Prrafodelista"/>
        <w:ind w:left="0"/>
        <w:rPr>
          <w:rFonts w:ascii="Palatino Linotype" w:hAnsi="Palatino Linotype"/>
          <w:b/>
          <w:color w:val="000000" w:themeColor="text1"/>
        </w:rPr>
      </w:pPr>
    </w:p>
    <w:p w:rsidR="003852BE" w:rsidRPr="007D7190" w:rsidRDefault="003852BE" w:rsidP="007D6F4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852BE" w:rsidRPr="007D7190" w:rsidRDefault="003852BE" w:rsidP="007D6F45">
      <w:pPr>
        <w:spacing w:line="360" w:lineRule="auto"/>
        <w:contextualSpacing/>
        <w:jc w:val="both"/>
        <w:rPr>
          <w:rFonts w:ascii="Palatino Linotype" w:hAnsi="Palatino Linotype"/>
          <w:color w:val="000000" w:themeColor="text1"/>
          <w:lang w:val="es-MX"/>
        </w:rPr>
      </w:pPr>
    </w:p>
    <w:p w:rsidR="00685D5F" w:rsidRPr="007D7190" w:rsidRDefault="00762521" w:rsidP="007D6F45">
      <w:pPr>
        <w:numPr>
          <w:ilvl w:val="0"/>
          <w:numId w:val="1"/>
        </w:numPr>
        <w:spacing w:line="360" w:lineRule="auto"/>
        <w:ind w:left="0" w:firstLine="0"/>
        <w:contextualSpacing/>
        <w:jc w:val="both"/>
        <w:rPr>
          <w:rFonts w:ascii="Palatino Linotype" w:hAnsi="Palatino Linotype"/>
          <w:color w:val="000000" w:themeColor="text1"/>
          <w:lang w:val="es-MX"/>
        </w:rPr>
      </w:pPr>
      <w:r w:rsidRPr="007D7190">
        <w:rPr>
          <w:rFonts w:ascii="Palatino Linotype" w:hAnsi="Palatino Linotype"/>
          <w:color w:val="000000" w:themeColor="text1"/>
          <w:lang w:val="es-MX"/>
        </w:rPr>
        <w:t>Finalmente, la Comisionada Ponente u</w:t>
      </w:r>
      <w:r w:rsidR="00685D5F" w:rsidRPr="007D7190">
        <w:rPr>
          <w:rFonts w:ascii="Palatino Linotype" w:hAnsi="Palatino Linotype"/>
          <w:color w:val="000000" w:themeColor="text1"/>
          <w:lang w:val="es-MX"/>
        </w:rPr>
        <w:t xml:space="preserve">na vez transcurrido el plazo decretado con anterioridad, en fecha </w:t>
      </w:r>
      <w:r w:rsidRPr="007D7190">
        <w:rPr>
          <w:rFonts w:ascii="Palatino Linotype" w:hAnsi="Palatino Linotype"/>
          <w:b/>
          <w:color w:val="000000" w:themeColor="text1"/>
          <w:lang w:val="es-MX"/>
        </w:rPr>
        <w:t xml:space="preserve"> </w:t>
      </w:r>
      <w:r w:rsidR="00A436C6" w:rsidRPr="007D7190">
        <w:rPr>
          <w:rFonts w:ascii="Palatino Linotype" w:hAnsi="Palatino Linotype"/>
          <w:b/>
          <w:color w:val="000000" w:themeColor="text1"/>
          <w:lang w:val="es-MX"/>
        </w:rPr>
        <w:t>doce de agosto</w:t>
      </w:r>
      <w:r w:rsidR="003852BE" w:rsidRPr="007D7190">
        <w:rPr>
          <w:rFonts w:ascii="Palatino Linotype" w:hAnsi="Palatino Linotype"/>
          <w:b/>
          <w:color w:val="000000" w:themeColor="text1"/>
          <w:lang w:val="es-MX"/>
        </w:rPr>
        <w:t xml:space="preserve"> </w:t>
      </w:r>
      <w:r w:rsidRPr="007D7190">
        <w:rPr>
          <w:rFonts w:ascii="Palatino Linotype" w:hAnsi="Palatino Linotype"/>
          <w:b/>
          <w:color w:val="000000" w:themeColor="text1"/>
          <w:lang w:val="es-MX"/>
        </w:rPr>
        <w:t>de dos mil veinticinco</w:t>
      </w:r>
      <w:r w:rsidRPr="007D7190">
        <w:rPr>
          <w:rFonts w:ascii="Palatino Linotype" w:hAnsi="Palatino Linotype"/>
          <w:color w:val="000000" w:themeColor="text1"/>
          <w:lang w:val="es-MX"/>
        </w:rPr>
        <w:t xml:space="preserve">  decretó el cierre  de instrucción de los expedien</w:t>
      </w:r>
      <w:r w:rsidR="00826555" w:rsidRPr="007D7190">
        <w:rPr>
          <w:rFonts w:ascii="Palatino Linotype" w:hAnsi="Palatino Linotype"/>
          <w:color w:val="000000" w:themeColor="text1"/>
          <w:lang w:val="es-MX"/>
        </w:rPr>
        <w:t>tes, por lo que no habiendo diligencia pendiente de desahogo, se emite la resolución que conforme a Derecho proceda, de acuerdo a los siguientes:</w:t>
      </w:r>
    </w:p>
    <w:p w:rsidR="00826555" w:rsidRDefault="00826555" w:rsidP="007D6F45">
      <w:pPr>
        <w:spacing w:line="360" w:lineRule="auto"/>
        <w:contextualSpacing/>
        <w:jc w:val="center"/>
        <w:rPr>
          <w:rFonts w:ascii="Palatino Linotype" w:hAnsi="Palatino Linotype" w:cs="Tahoma"/>
          <w:b/>
          <w:color w:val="000000" w:themeColor="text1"/>
          <w:lang w:val="pt-BR"/>
        </w:rPr>
      </w:pPr>
      <w:bookmarkStart w:id="5" w:name="_Toc491791303"/>
      <w:bookmarkStart w:id="6" w:name="_Toc83128579"/>
      <w:r w:rsidRPr="007D7190">
        <w:rPr>
          <w:rFonts w:ascii="Palatino Linotype" w:hAnsi="Palatino Linotype" w:cs="Tahoma"/>
          <w:b/>
          <w:color w:val="000000" w:themeColor="text1"/>
          <w:lang w:val="pt-BR"/>
        </w:rPr>
        <w:lastRenderedPageBreak/>
        <w:t>C O N S I D E R A N D O S</w:t>
      </w:r>
    </w:p>
    <w:p w:rsidR="000442BF" w:rsidRPr="007D7190" w:rsidRDefault="000442BF" w:rsidP="007D6F45">
      <w:pPr>
        <w:spacing w:line="360" w:lineRule="auto"/>
        <w:contextualSpacing/>
        <w:jc w:val="center"/>
        <w:rPr>
          <w:rFonts w:ascii="Palatino Linotype" w:hAnsi="Palatino Linotype" w:cs="Tahoma"/>
          <w:b/>
          <w:color w:val="000000" w:themeColor="text1"/>
          <w:lang w:val="pt-BR"/>
        </w:rPr>
      </w:pPr>
    </w:p>
    <w:p w:rsidR="00685D5F" w:rsidRPr="007D7190" w:rsidRDefault="00685D5F" w:rsidP="007D6F45">
      <w:pPr>
        <w:pStyle w:val="Ttulo2"/>
        <w:spacing w:before="0" w:line="360" w:lineRule="auto"/>
        <w:rPr>
          <w:rFonts w:ascii="Palatino Linotype" w:hAnsi="Palatino Linotype"/>
          <w:b/>
          <w:color w:val="000000" w:themeColor="text1"/>
          <w:sz w:val="24"/>
          <w:szCs w:val="24"/>
          <w:lang w:val="es-MX"/>
        </w:rPr>
      </w:pPr>
      <w:r w:rsidRPr="007D7190">
        <w:rPr>
          <w:rFonts w:ascii="Palatino Linotype" w:hAnsi="Palatino Linotype"/>
          <w:b/>
          <w:color w:val="000000" w:themeColor="text1"/>
          <w:sz w:val="24"/>
          <w:szCs w:val="24"/>
          <w:lang w:val="es-MX"/>
        </w:rPr>
        <w:t>PRIMERO. De la competencia</w:t>
      </w:r>
      <w:bookmarkEnd w:id="5"/>
      <w:bookmarkEnd w:id="6"/>
    </w:p>
    <w:p w:rsidR="00CD5BCA" w:rsidRPr="007D7190" w:rsidRDefault="00CD5BCA" w:rsidP="007D6F45">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7D7190" w:rsidRDefault="00685D5F" w:rsidP="007D6F45">
      <w:pPr>
        <w:pStyle w:val="Prrafodelista"/>
        <w:spacing w:line="360" w:lineRule="auto"/>
        <w:ind w:left="0"/>
        <w:jc w:val="both"/>
        <w:rPr>
          <w:rFonts w:ascii="Palatino Linotype" w:eastAsia="Calibri" w:hAnsi="Palatino Linotype" w:cs="Arial"/>
          <w:color w:val="000000" w:themeColor="text1"/>
          <w:lang w:val="es-MX"/>
        </w:rPr>
      </w:pPr>
    </w:p>
    <w:p w:rsidR="00685D5F" w:rsidRPr="007D7190" w:rsidRDefault="00685D5F" w:rsidP="007D6F45">
      <w:pPr>
        <w:pStyle w:val="Ttulo2"/>
        <w:spacing w:before="0" w:line="360" w:lineRule="auto"/>
        <w:rPr>
          <w:rFonts w:ascii="Palatino Linotype" w:hAnsi="Palatino Linotype"/>
          <w:b/>
          <w:color w:val="000000" w:themeColor="text1"/>
          <w:sz w:val="24"/>
          <w:szCs w:val="24"/>
          <w:lang w:val="es-MX"/>
        </w:rPr>
      </w:pPr>
      <w:bookmarkStart w:id="7" w:name="_Toc491791304"/>
      <w:bookmarkStart w:id="8" w:name="_Toc83128580"/>
      <w:r w:rsidRPr="007D7190">
        <w:rPr>
          <w:rFonts w:ascii="Palatino Linotype" w:hAnsi="Palatino Linotype"/>
          <w:b/>
          <w:color w:val="000000" w:themeColor="text1"/>
          <w:sz w:val="24"/>
          <w:szCs w:val="24"/>
          <w:lang w:val="es-MX"/>
        </w:rPr>
        <w:t>SEGUNDO. De la oportunidad y procedencia.</w:t>
      </w:r>
      <w:bookmarkEnd w:id="7"/>
      <w:bookmarkEnd w:id="8"/>
    </w:p>
    <w:p w:rsidR="00826555" w:rsidRPr="007D7190" w:rsidRDefault="00826555" w:rsidP="007D6F4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Los medios de impugnación fueron presentados a través del </w:t>
      </w:r>
      <w:r w:rsidRPr="007D7190">
        <w:rPr>
          <w:rFonts w:ascii="Palatino Linotype" w:eastAsia="Palatino Linotype" w:hAnsi="Palatino Linotype" w:cs="Palatino Linotype"/>
          <w:b/>
          <w:color w:val="000000" w:themeColor="text1"/>
        </w:rPr>
        <w:t>SAIMEX,</w:t>
      </w:r>
      <w:r w:rsidRPr="007D719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D7190">
        <w:rPr>
          <w:rFonts w:ascii="Palatino Linotype" w:eastAsia="Palatino Linotype" w:hAnsi="Palatino Linotype" w:cs="Palatino Linotype"/>
          <w:b/>
          <w:color w:val="000000" w:themeColor="text1"/>
        </w:rPr>
        <w:t>SUJETO OBLIGADO</w:t>
      </w:r>
      <w:r w:rsidRPr="007D7190">
        <w:rPr>
          <w:rFonts w:ascii="Palatino Linotype" w:eastAsia="Palatino Linotype" w:hAnsi="Palatino Linotype" w:cs="Palatino Linotype"/>
          <w:color w:val="000000" w:themeColor="text1"/>
        </w:rPr>
        <w:t xml:space="preserve"> entregó su respuesta el </w:t>
      </w:r>
      <w:r w:rsidR="00532E4B" w:rsidRPr="007D7190">
        <w:rPr>
          <w:rFonts w:ascii="Palatino Linotype" w:eastAsia="Palatino Linotype" w:hAnsi="Palatino Linotype" w:cs="Palatino Linotype"/>
          <w:b/>
          <w:color w:val="000000" w:themeColor="text1"/>
        </w:rPr>
        <w:t>dos de junio</w:t>
      </w:r>
      <w:r w:rsidRPr="007D7190">
        <w:rPr>
          <w:rFonts w:ascii="Palatino Linotype" w:eastAsia="Palatino Linotype" w:hAnsi="Palatino Linotype" w:cs="Palatino Linotype"/>
          <w:b/>
          <w:color w:val="000000" w:themeColor="text1"/>
        </w:rPr>
        <w:t xml:space="preserve"> de dos mil veinticinco</w:t>
      </w:r>
      <w:r w:rsidRPr="007D7190">
        <w:rPr>
          <w:rFonts w:ascii="Palatino Linotype" w:eastAsia="Palatino Linotype" w:hAnsi="Palatino Linotype" w:cs="Palatino Linotype"/>
          <w:color w:val="000000" w:themeColor="text1"/>
        </w:rPr>
        <w:t xml:space="preserve">, de tal forma que el plazo para interponer el recurso de revisión transcurrió del día </w:t>
      </w:r>
      <w:r w:rsidR="00532E4B" w:rsidRPr="007D7190">
        <w:rPr>
          <w:rFonts w:ascii="Palatino Linotype" w:eastAsia="Palatino Linotype" w:hAnsi="Palatino Linotype" w:cs="Palatino Linotype"/>
          <w:b/>
          <w:color w:val="000000" w:themeColor="text1"/>
        </w:rPr>
        <w:t>tres de junio</w:t>
      </w:r>
      <w:r w:rsidR="003852BE" w:rsidRPr="007D7190">
        <w:rPr>
          <w:rFonts w:ascii="Palatino Linotype" w:eastAsia="Palatino Linotype" w:hAnsi="Palatino Linotype" w:cs="Palatino Linotype"/>
          <w:b/>
          <w:color w:val="000000" w:themeColor="text1"/>
        </w:rPr>
        <w:t xml:space="preserve"> </w:t>
      </w:r>
      <w:r w:rsidRPr="007D7190">
        <w:rPr>
          <w:rFonts w:ascii="Palatino Linotype" w:eastAsia="Palatino Linotype" w:hAnsi="Palatino Linotype" w:cs="Palatino Linotype"/>
          <w:b/>
          <w:color w:val="000000" w:themeColor="text1"/>
        </w:rPr>
        <w:t xml:space="preserve">de dos mil veinticinco al </w:t>
      </w:r>
      <w:r w:rsidR="00532E4B" w:rsidRPr="007D7190">
        <w:rPr>
          <w:rFonts w:ascii="Palatino Linotype" w:eastAsia="Palatino Linotype" w:hAnsi="Palatino Linotype" w:cs="Palatino Linotype"/>
          <w:b/>
          <w:color w:val="000000" w:themeColor="text1"/>
        </w:rPr>
        <w:t>veintitrés de junio</w:t>
      </w:r>
      <w:r w:rsidRPr="007D7190">
        <w:rPr>
          <w:rFonts w:ascii="Palatino Linotype" w:eastAsia="Palatino Linotype" w:hAnsi="Palatino Linotype" w:cs="Palatino Linotype"/>
          <w:b/>
          <w:color w:val="000000" w:themeColor="text1"/>
        </w:rPr>
        <w:t xml:space="preserve"> de dos mil veinticinco</w:t>
      </w:r>
      <w:r w:rsidRPr="007D7190">
        <w:rPr>
          <w:rFonts w:ascii="Palatino Linotype" w:eastAsia="Palatino Linotype" w:hAnsi="Palatino Linotype" w:cs="Palatino Linotype"/>
          <w:color w:val="000000" w:themeColor="text1"/>
        </w:rPr>
        <w:t xml:space="preserve">; en consecuencia, el ahora </w:t>
      </w:r>
      <w:r w:rsidRPr="007D7190">
        <w:rPr>
          <w:rFonts w:ascii="Palatino Linotype" w:eastAsia="Palatino Linotype" w:hAnsi="Palatino Linotype" w:cs="Palatino Linotype"/>
          <w:b/>
          <w:color w:val="000000" w:themeColor="text1"/>
        </w:rPr>
        <w:t>RECURRENTE</w:t>
      </w:r>
      <w:r w:rsidRPr="007D7190">
        <w:rPr>
          <w:rFonts w:ascii="Palatino Linotype" w:eastAsia="Palatino Linotype" w:hAnsi="Palatino Linotype" w:cs="Palatino Linotype"/>
          <w:color w:val="000000" w:themeColor="text1"/>
        </w:rPr>
        <w:t xml:space="preserve"> presentó su inconformidad el día </w:t>
      </w:r>
      <w:r w:rsidR="00532E4B" w:rsidRPr="007D7190">
        <w:rPr>
          <w:rFonts w:ascii="Palatino Linotype" w:eastAsia="Palatino Linotype" w:hAnsi="Palatino Linotype" w:cs="Palatino Linotype"/>
          <w:b/>
          <w:color w:val="000000" w:themeColor="text1"/>
        </w:rPr>
        <w:t>tres de junio</w:t>
      </w:r>
      <w:r w:rsidRPr="007D7190">
        <w:rPr>
          <w:rFonts w:ascii="Palatino Linotype" w:eastAsia="Palatino Linotype" w:hAnsi="Palatino Linotype" w:cs="Palatino Linotype"/>
          <w:b/>
          <w:color w:val="000000" w:themeColor="text1"/>
        </w:rPr>
        <w:t xml:space="preserve"> de dos mil veinticinco</w:t>
      </w:r>
      <w:r w:rsidRPr="007D7190">
        <w:rPr>
          <w:rFonts w:ascii="Palatino Linotype" w:eastAsia="Palatino Linotype" w:hAnsi="Palatino Linotype" w:cs="Palatino Linotype"/>
          <w:color w:val="000000" w:themeColor="text1"/>
        </w:rPr>
        <w:t>; es decir dentro del lapso legalmente establecido para tal efecto.</w:t>
      </w:r>
    </w:p>
    <w:p w:rsidR="00685D5F" w:rsidRPr="007D7190" w:rsidRDefault="00685D5F" w:rsidP="007D6F45">
      <w:pPr>
        <w:pStyle w:val="Prrafodelista"/>
        <w:spacing w:line="360" w:lineRule="auto"/>
        <w:ind w:left="0"/>
        <w:jc w:val="both"/>
        <w:rPr>
          <w:rFonts w:ascii="Palatino Linotype" w:hAnsi="Palatino Linotype"/>
          <w:color w:val="000000" w:themeColor="text1"/>
          <w:lang w:val="es-MX"/>
        </w:rPr>
      </w:pPr>
    </w:p>
    <w:p w:rsidR="00685D5F" w:rsidRPr="007D7190" w:rsidRDefault="00685D5F" w:rsidP="007D6F45">
      <w:pPr>
        <w:pStyle w:val="Prrafodelista"/>
        <w:numPr>
          <w:ilvl w:val="0"/>
          <w:numId w:val="1"/>
        </w:numPr>
        <w:spacing w:line="360" w:lineRule="auto"/>
        <w:ind w:left="0" w:firstLine="0"/>
        <w:jc w:val="both"/>
        <w:rPr>
          <w:rFonts w:ascii="Palatino Linotype" w:hAnsi="Palatino Linotype"/>
          <w:color w:val="000000" w:themeColor="text1"/>
          <w:lang w:val="es-MX"/>
        </w:rPr>
      </w:pPr>
      <w:r w:rsidRPr="007D7190">
        <w:rPr>
          <w:rFonts w:ascii="Palatino Linotype" w:eastAsia="Calibri" w:hAnsi="Palatino Linotype" w:cs="Arial"/>
          <w:color w:val="000000" w:themeColor="text1"/>
          <w:lang w:val="es-MX"/>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5D5F" w:rsidRPr="007D7190" w:rsidRDefault="00685D5F" w:rsidP="007D6F45">
      <w:pPr>
        <w:pStyle w:val="Prrafodelista"/>
        <w:spacing w:line="360" w:lineRule="auto"/>
        <w:ind w:left="0"/>
        <w:jc w:val="both"/>
        <w:rPr>
          <w:rFonts w:ascii="Palatino Linotype" w:hAnsi="Palatino Linotype"/>
          <w:color w:val="000000" w:themeColor="text1"/>
          <w:lang w:val="es-MX"/>
        </w:rPr>
      </w:pPr>
    </w:p>
    <w:p w:rsidR="00685D5F" w:rsidRPr="007D7190" w:rsidRDefault="00685D5F" w:rsidP="007D6F45">
      <w:pPr>
        <w:pStyle w:val="Ttulo2"/>
        <w:spacing w:before="0" w:line="360" w:lineRule="auto"/>
        <w:rPr>
          <w:rFonts w:ascii="Palatino Linotype" w:hAnsi="Palatino Linotype"/>
          <w:b/>
          <w:color w:val="000000" w:themeColor="text1"/>
          <w:sz w:val="24"/>
          <w:szCs w:val="24"/>
          <w:lang w:val="es-MX"/>
        </w:rPr>
      </w:pPr>
      <w:bookmarkStart w:id="9" w:name="_Toc34246179"/>
      <w:bookmarkStart w:id="10" w:name="_Toc50033991"/>
      <w:bookmarkStart w:id="11" w:name="_Toc51259588"/>
      <w:bookmarkStart w:id="12" w:name="_Toc83128581"/>
      <w:r w:rsidRPr="007D7190">
        <w:rPr>
          <w:rFonts w:ascii="Palatino Linotype" w:hAnsi="Palatino Linotype"/>
          <w:b/>
          <w:color w:val="000000" w:themeColor="text1"/>
          <w:sz w:val="24"/>
          <w:szCs w:val="24"/>
          <w:lang w:val="es-MX"/>
        </w:rPr>
        <w:t xml:space="preserve">TERCERO. </w:t>
      </w:r>
      <w:bookmarkEnd w:id="9"/>
      <w:bookmarkEnd w:id="10"/>
      <w:bookmarkEnd w:id="11"/>
      <w:bookmarkEnd w:id="12"/>
      <w:r w:rsidRPr="007D7190">
        <w:rPr>
          <w:rFonts w:ascii="Palatino Linotype" w:hAnsi="Palatino Linotype"/>
          <w:b/>
          <w:color w:val="000000" w:themeColor="text1"/>
          <w:sz w:val="24"/>
          <w:szCs w:val="24"/>
          <w:lang w:val="es-MX"/>
        </w:rPr>
        <w:t>Del planteamiento de la Litis</w:t>
      </w:r>
    </w:p>
    <w:p w:rsidR="00685D5F" w:rsidRPr="007D7190" w:rsidRDefault="00D65A05" w:rsidP="007D6F45">
      <w:pPr>
        <w:pStyle w:val="Prrafodelista"/>
        <w:numPr>
          <w:ilvl w:val="0"/>
          <w:numId w:val="1"/>
        </w:numPr>
        <w:spacing w:line="360" w:lineRule="auto"/>
        <w:ind w:left="0" w:firstLine="0"/>
        <w:jc w:val="both"/>
        <w:rPr>
          <w:rFonts w:ascii="Palatino Linotype" w:hAnsi="Palatino Linotype" w:cs="Arial"/>
          <w:color w:val="000000" w:themeColor="text1"/>
          <w:lang w:val="es-MX"/>
        </w:rPr>
      </w:pPr>
      <w:r w:rsidRPr="007D7190">
        <w:rPr>
          <w:rFonts w:ascii="Palatino Linotype" w:hAnsi="Palatino Linotype" w:cs="Arial"/>
          <w:color w:val="000000" w:themeColor="text1"/>
          <w:lang w:val="es-MX"/>
        </w:rPr>
        <w:t xml:space="preserve">De las constancias en el expediente al rubro indicado, se desprende que el particular </w:t>
      </w:r>
      <w:r w:rsidR="00685D5F" w:rsidRPr="007D7190">
        <w:rPr>
          <w:rFonts w:ascii="Palatino Linotype" w:hAnsi="Palatino Linotype" w:cs="Arial"/>
          <w:color w:val="000000" w:themeColor="text1"/>
          <w:lang w:val="es-MX"/>
        </w:rPr>
        <w:t xml:space="preserve"> </w:t>
      </w:r>
      <w:r w:rsidR="00685D5F" w:rsidRPr="007D7190">
        <w:rPr>
          <w:rFonts w:ascii="Palatino Linotype" w:eastAsia="Calibri" w:hAnsi="Palatino Linotype" w:cs="Arial"/>
          <w:color w:val="000000" w:themeColor="text1"/>
          <w:lang w:val="es-MX"/>
        </w:rPr>
        <w:t>solicitó</w:t>
      </w:r>
      <w:r w:rsidRPr="007D7190">
        <w:rPr>
          <w:rFonts w:ascii="Palatino Linotype" w:hAnsi="Palatino Linotype" w:cs="Arial"/>
          <w:color w:val="000000" w:themeColor="text1"/>
          <w:lang w:val="es-MX"/>
        </w:rPr>
        <w:t xml:space="preserve"> tener acceso</w:t>
      </w:r>
      <w:r w:rsidR="00685D5F" w:rsidRPr="007D7190">
        <w:rPr>
          <w:rFonts w:ascii="Palatino Linotype" w:hAnsi="Palatino Linotype" w:cs="Arial"/>
          <w:color w:val="000000" w:themeColor="text1"/>
          <w:lang w:val="es-MX"/>
        </w:rPr>
        <w:t xml:space="preserve"> a la información que a continuación se desagrega:</w:t>
      </w:r>
    </w:p>
    <w:p w:rsidR="00685D5F" w:rsidRPr="007D7190" w:rsidRDefault="00685D5F" w:rsidP="007D6F45">
      <w:pPr>
        <w:pStyle w:val="Prrafodelista"/>
        <w:spacing w:line="360" w:lineRule="auto"/>
        <w:ind w:left="0"/>
        <w:jc w:val="both"/>
        <w:rPr>
          <w:rFonts w:ascii="Palatino Linotype" w:hAnsi="Palatino Linotype" w:cs="Arial"/>
          <w:color w:val="000000" w:themeColor="text1"/>
          <w:lang w:val="es-MX"/>
        </w:rPr>
      </w:pPr>
    </w:p>
    <w:p w:rsidR="00685D5F" w:rsidRPr="007D7190" w:rsidRDefault="006337F6" w:rsidP="007D6F45">
      <w:pPr>
        <w:spacing w:line="360" w:lineRule="auto"/>
        <w:jc w:val="center"/>
        <w:rPr>
          <w:rFonts w:ascii="Palatino Linotype" w:hAnsi="Palatino Linotype" w:cs="Arial"/>
          <w:b/>
          <w:i/>
          <w:color w:val="000000" w:themeColor="text1"/>
          <w:lang w:val="es-MX"/>
        </w:rPr>
      </w:pPr>
      <w:r w:rsidRPr="007D7190">
        <w:rPr>
          <w:rFonts w:ascii="Palatino Linotype" w:hAnsi="Palatino Linotype"/>
          <w:color w:val="000000" w:themeColor="text1"/>
        </w:rPr>
        <w:t> </w:t>
      </w:r>
      <w:r w:rsidR="00532E4B" w:rsidRPr="007D7190">
        <w:rPr>
          <w:rFonts w:ascii="Palatino Linotype" w:hAnsi="Palatino Linotype"/>
          <w:b/>
          <w:i/>
          <w:color w:val="000000" w:themeColor="text1"/>
        </w:rPr>
        <w:t>-facturas pagadas a particulares por montos superiores a dos millones de pesos del ejercicio presupuestal 2024</w:t>
      </w:r>
    </w:p>
    <w:p w:rsidR="00685D5F" w:rsidRPr="007D7190" w:rsidRDefault="00685D5F" w:rsidP="007D6F45">
      <w:pPr>
        <w:pStyle w:val="Prrafodelista"/>
        <w:spacing w:line="360" w:lineRule="auto"/>
        <w:ind w:left="0"/>
        <w:jc w:val="both"/>
        <w:rPr>
          <w:rFonts w:ascii="Palatino Linotype" w:hAnsi="Palatino Linotype" w:cs="Arial"/>
          <w:b/>
          <w:color w:val="000000" w:themeColor="text1"/>
          <w:lang w:val="es-MX"/>
        </w:rPr>
      </w:pPr>
    </w:p>
    <w:p w:rsidR="00685D5F" w:rsidRPr="007D7190" w:rsidRDefault="00685D5F" w:rsidP="007D6F45">
      <w:pPr>
        <w:pStyle w:val="Prrafodelista"/>
        <w:numPr>
          <w:ilvl w:val="0"/>
          <w:numId w:val="1"/>
        </w:numPr>
        <w:spacing w:line="360" w:lineRule="auto"/>
        <w:ind w:left="0" w:firstLine="0"/>
        <w:jc w:val="both"/>
        <w:rPr>
          <w:rFonts w:ascii="Palatino Linotype" w:hAnsi="Palatino Linotype"/>
          <w:color w:val="000000" w:themeColor="text1"/>
          <w:lang w:val="es-MX"/>
        </w:rPr>
      </w:pPr>
      <w:r w:rsidRPr="007D7190">
        <w:rPr>
          <w:rFonts w:ascii="Palatino Linotype" w:hAnsi="Palatino Linotype" w:cs="Arial"/>
          <w:color w:val="000000" w:themeColor="text1"/>
          <w:lang w:val="es-MX"/>
        </w:rPr>
        <w:t xml:space="preserve">En respuesta, el </w:t>
      </w:r>
      <w:r w:rsidRPr="007D7190">
        <w:rPr>
          <w:rFonts w:ascii="Palatino Linotype" w:hAnsi="Palatino Linotype" w:cs="Arial"/>
          <w:b/>
          <w:color w:val="000000" w:themeColor="text1"/>
          <w:lang w:val="es-MX"/>
        </w:rPr>
        <w:t>SUJETO OBLIGADO</w:t>
      </w:r>
      <w:r w:rsidRPr="007D7190">
        <w:rPr>
          <w:rFonts w:ascii="Palatino Linotype" w:hAnsi="Palatino Linotype" w:cs="Arial"/>
          <w:color w:val="000000" w:themeColor="text1"/>
          <w:lang w:val="es-MX"/>
        </w:rPr>
        <w:t xml:space="preserve">, remitió </w:t>
      </w:r>
      <w:r w:rsidR="00532E4B" w:rsidRPr="007D7190">
        <w:rPr>
          <w:rFonts w:ascii="Palatino Linotype" w:hAnsi="Palatino Linotype" w:cs="Arial"/>
          <w:color w:val="000000" w:themeColor="text1"/>
          <w:lang w:val="es-MX"/>
        </w:rPr>
        <w:t>un archivo electrónico</w:t>
      </w:r>
      <w:r w:rsidR="00836A66" w:rsidRPr="007D7190">
        <w:rPr>
          <w:rFonts w:ascii="Palatino Linotype" w:hAnsi="Palatino Linotype" w:cs="Arial"/>
          <w:color w:val="000000" w:themeColor="text1"/>
          <w:lang w:val="es-MX"/>
        </w:rPr>
        <w:t xml:space="preserve"> </w:t>
      </w:r>
      <w:r w:rsidRPr="007D7190">
        <w:rPr>
          <w:rFonts w:ascii="Palatino Linotype" w:hAnsi="Palatino Linotype" w:cs="Arial"/>
          <w:color w:val="000000" w:themeColor="text1"/>
          <w:lang w:val="es-MX"/>
        </w:rPr>
        <w:t xml:space="preserve">en formato PDF, cuyo contenido </w:t>
      </w:r>
      <w:r w:rsidR="00D65A05" w:rsidRPr="007D7190">
        <w:rPr>
          <w:rFonts w:ascii="Palatino Linotype" w:hAnsi="Palatino Linotype" w:cs="Arial"/>
          <w:color w:val="000000" w:themeColor="text1"/>
          <w:lang w:val="es-MX"/>
        </w:rPr>
        <w:t>se omite por ser de conocimiento de las partes pero que serán objeto de estudio en el presente recurso.</w:t>
      </w:r>
      <w:r w:rsidRPr="007D7190">
        <w:rPr>
          <w:rFonts w:ascii="Palatino Linotype" w:hAnsi="Palatino Linotype" w:cs="Arial"/>
          <w:color w:val="000000" w:themeColor="text1"/>
          <w:lang w:val="es-MX"/>
        </w:rPr>
        <w:t xml:space="preserve"> </w:t>
      </w:r>
    </w:p>
    <w:p w:rsidR="00685D5F" w:rsidRPr="007D7190" w:rsidRDefault="00685D5F" w:rsidP="007D6F45">
      <w:pPr>
        <w:pStyle w:val="Prrafodelista"/>
        <w:spacing w:line="360" w:lineRule="auto"/>
        <w:ind w:left="0"/>
        <w:jc w:val="both"/>
        <w:rPr>
          <w:rFonts w:ascii="Palatino Linotype" w:hAnsi="Palatino Linotype"/>
          <w:color w:val="000000" w:themeColor="text1"/>
          <w:lang w:val="es-MX"/>
        </w:rPr>
      </w:pPr>
    </w:p>
    <w:p w:rsidR="00685D5F" w:rsidRPr="007D7190" w:rsidRDefault="00685D5F" w:rsidP="007D6F45">
      <w:pPr>
        <w:pStyle w:val="Prrafodelista"/>
        <w:numPr>
          <w:ilvl w:val="0"/>
          <w:numId w:val="1"/>
        </w:numPr>
        <w:spacing w:line="360" w:lineRule="auto"/>
        <w:ind w:left="0" w:firstLine="0"/>
        <w:jc w:val="both"/>
        <w:rPr>
          <w:rFonts w:ascii="Palatino Linotype" w:hAnsi="Palatino Linotype" w:cs="Arial"/>
          <w:color w:val="000000" w:themeColor="text1"/>
          <w:lang w:val="es-MX"/>
        </w:rPr>
      </w:pPr>
      <w:r w:rsidRPr="007D7190">
        <w:rPr>
          <w:rFonts w:ascii="Palatino Linotype" w:hAnsi="Palatino Linotype" w:cs="Arial"/>
          <w:color w:val="000000" w:themeColor="text1"/>
          <w:lang w:val="es-MX"/>
        </w:rPr>
        <w:t xml:space="preserve">Por lo que, el particular se inconformó porque no se entregó la  información </w:t>
      </w:r>
      <w:r w:rsidR="00836A66" w:rsidRPr="007D7190">
        <w:rPr>
          <w:rFonts w:ascii="Palatino Linotype" w:hAnsi="Palatino Linotype" w:cs="Arial"/>
          <w:color w:val="000000" w:themeColor="text1"/>
          <w:lang w:val="es-MX"/>
        </w:rPr>
        <w:t xml:space="preserve"> </w:t>
      </w:r>
      <w:r w:rsidRPr="007D7190">
        <w:rPr>
          <w:rFonts w:ascii="Palatino Linotype" w:hAnsi="Palatino Linotype" w:cs="Arial"/>
          <w:color w:val="000000" w:themeColor="text1"/>
          <w:lang w:val="es-MX"/>
        </w:rPr>
        <w:t xml:space="preserve">por parte del  </w:t>
      </w:r>
      <w:r w:rsidRPr="007D7190">
        <w:rPr>
          <w:rFonts w:ascii="Palatino Linotype" w:hAnsi="Palatino Linotype" w:cs="Arial"/>
          <w:b/>
          <w:bCs/>
          <w:color w:val="000000" w:themeColor="text1"/>
          <w:lang w:val="es-MX"/>
        </w:rPr>
        <w:t>SUJETO OBLIGADO.</w:t>
      </w:r>
    </w:p>
    <w:p w:rsidR="00685D5F" w:rsidRPr="007D7190" w:rsidRDefault="00685D5F" w:rsidP="007D6F45">
      <w:pPr>
        <w:pStyle w:val="Prrafodelista"/>
        <w:spacing w:line="360" w:lineRule="auto"/>
        <w:ind w:left="0"/>
        <w:jc w:val="both"/>
        <w:rPr>
          <w:rFonts w:ascii="Palatino Linotype" w:hAnsi="Palatino Linotype" w:cs="Arial"/>
          <w:color w:val="000000" w:themeColor="text1"/>
          <w:lang w:val="es-MX"/>
        </w:rPr>
      </w:pPr>
    </w:p>
    <w:p w:rsidR="00685D5F" w:rsidRPr="007D7190" w:rsidRDefault="00685D5F" w:rsidP="007D6F45">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7D7190">
        <w:rPr>
          <w:rFonts w:ascii="Palatino Linotype" w:eastAsia="MS Mincho" w:hAnsi="Palatino Linotype" w:cs="Arial"/>
          <w:color w:val="000000" w:themeColor="text1"/>
          <w:lang w:val="es-MX"/>
        </w:rPr>
        <w:t xml:space="preserve">En </w:t>
      </w:r>
      <w:r w:rsidRPr="007D7190">
        <w:rPr>
          <w:rFonts w:ascii="Palatino Linotype" w:hAnsi="Palatino Linotype" w:cs="Arial"/>
          <w:color w:val="000000" w:themeColor="text1"/>
          <w:lang w:val="es-MX" w:eastAsia="es-MX"/>
        </w:rPr>
        <w:t>dichas</w:t>
      </w:r>
      <w:r w:rsidRPr="007D7190">
        <w:rPr>
          <w:rFonts w:ascii="Palatino Linotype" w:eastAsia="Times New Roman" w:hAnsi="Palatino Linotype" w:cs="Arial"/>
          <w:color w:val="000000" w:themeColor="text1"/>
          <w:lang w:val="es-MX"/>
        </w:rPr>
        <w:t xml:space="preserve"> condiciones, la </w:t>
      </w:r>
      <w:r w:rsidRPr="007D7190">
        <w:rPr>
          <w:rFonts w:ascii="Palatino Linotype" w:eastAsia="Times New Roman" w:hAnsi="Palatino Linotype" w:cs="Arial"/>
          <w:i/>
          <w:color w:val="000000" w:themeColor="text1"/>
          <w:lang w:val="es-MX"/>
        </w:rPr>
        <w:t>Litis</w:t>
      </w:r>
      <w:r w:rsidRPr="007D7190">
        <w:rPr>
          <w:rFonts w:ascii="Palatino Linotype" w:eastAsia="Times New Roman" w:hAnsi="Palatino Linotype" w:cs="Arial"/>
          <w:color w:val="000000" w:themeColor="text1"/>
          <w:lang w:val="es-MX"/>
        </w:rPr>
        <w:t xml:space="preserve"> a resolver en este recurso se circunscribe a determinar si </w:t>
      </w:r>
      <w:r w:rsidRPr="007D7190">
        <w:rPr>
          <w:rFonts w:ascii="Palatino Linotype" w:eastAsia="MS Mincho" w:hAnsi="Palatino Linotype" w:cs="Arial"/>
          <w:color w:val="000000" w:themeColor="text1"/>
          <w:lang w:val="es-MX"/>
        </w:rPr>
        <w:t>se actualiza</w:t>
      </w:r>
      <w:r w:rsidR="00836A66" w:rsidRPr="007D7190">
        <w:rPr>
          <w:rFonts w:ascii="Palatino Linotype" w:eastAsia="MS Mincho" w:hAnsi="Palatino Linotype" w:cs="Arial"/>
          <w:color w:val="000000" w:themeColor="text1"/>
          <w:lang w:val="es-MX"/>
        </w:rPr>
        <w:t>n</w:t>
      </w:r>
      <w:r w:rsidRPr="007D7190">
        <w:rPr>
          <w:rFonts w:ascii="Palatino Linotype" w:eastAsia="MS Mincho" w:hAnsi="Palatino Linotype" w:cs="Arial"/>
          <w:color w:val="000000" w:themeColor="text1"/>
          <w:lang w:val="es-MX"/>
        </w:rPr>
        <w:t xml:space="preserve"> la</w:t>
      </w:r>
      <w:r w:rsidR="00836A66" w:rsidRPr="007D7190">
        <w:rPr>
          <w:rFonts w:ascii="Palatino Linotype" w:eastAsia="MS Mincho" w:hAnsi="Palatino Linotype" w:cs="Arial"/>
          <w:color w:val="000000" w:themeColor="text1"/>
          <w:lang w:val="es-MX"/>
        </w:rPr>
        <w:t>s</w:t>
      </w:r>
      <w:r w:rsidRPr="007D7190">
        <w:rPr>
          <w:rFonts w:ascii="Palatino Linotype" w:eastAsia="MS Mincho" w:hAnsi="Palatino Linotype" w:cs="Arial"/>
          <w:color w:val="000000" w:themeColor="text1"/>
          <w:lang w:val="es-MX"/>
        </w:rPr>
        <w:t xml:space="preserve"> causal</w:t>
      </w:r>
      <w:r w:rsidR="00836A66" w:rsidRPr="007D7190">
        <w:rPr>
          <w:rFonts w:ascii="Palatino Linotype" w:eastAsia="MS Mincho" w:hAnsi="Palatino Linotype" w:cs="Arial"/>
          <w:color w:val="000000" w:themeColor="text1"/>
          <w:lang w:val="es-MX"/>
        </w:rPr>
        <w:t>es</w:t>
      </w:r>
      <w:r w:rsidRPr="007D7190">
        <w:rPr>
          <w:rFonts w:ascii="Palatino Linotype" w:eastAsia="MS Mincho" w:hAnsi="Palatino Linotype" w:cs="Arial"/>
          <w:color w:val="000000" w:themeColor="text1"/>
          <w:lang w:val="es-MX"/>
        </w:rPr>
        <w:t xml:space="preserve"> de procedencia prevista</w:t>
      </w:r>
      <w:r w:rsidR="00836A66" w:rsidRPr="007D7190">
        <w:rPr>
          <w:rFonts w:ascii="Palatino Linotype" w:eastAsia="MS Mincho" w:hAnsi="Palatino Linotype" w:cs="Arial"/>
          <w:color w:val="000000" w:themeColor="text1"/>
          <w:lang w:val="es-MX"/>
        </w:rPr>
        <w:t>s</w:t>
      </w:r>
      <w:r w:rsidRPr="007D7190">
        <w:rPr>
          <w:rFonts w:ascii="Palatino Linotype" w:eastAsia="MS Mincho" w:hAnsi="Palatino Linotype" w:cs="Arial"/>
          <w:color w:val="000000" w:themeColor="text1"/>
          <w:lang w:val="es-MX"/>
        </w:rPr>
        <w:t xml:space="preserve"> en el artículo 179, </w:t>
      </w:r>
      <w:r w:rsidRPr="007D7190">
        <w:rPr>
          <w:rFonts w:ascii="Palatino Linotype" w:eastAsia="MS Mincho" w:hAnsi="Palatino Linotype" w:cs="Arial"/>
          <w:b/>
          <w:color w:val="000000" w:themeColor="text1"/>
          <w:lang w:val="es-MX"/>
        </w:rPr>
        <w:t xml:space="preserve">fracción </w:t>
      </w:r>
      <w:r w:rsidR="00C62E1B" w:rsidRPr="007D7190">
        <w:rPr>
          <w:rFonts w:ascii="Palatino Linotype" w:eastAsia="MS Mincho" w:hAnsi="Palatino Linotype" w:cs="Arial"/>
          <w:b/>
          <w:color w:val="000000" w:themeColor="text1"/>
          <w:lang w:val="es-MX"/>
        </w:rPr>
        <w:t>I</w:t>
      </w:r>
      <w:r w:rsidR="00D65A05" w:rsidRPr="007D7190">
        <w:rPr>
          <w:rFonts w:ascii="Palatino Linotype" w:eastAsia="MS Mincho" w:hAnsi="Palatino Linotype" w:cs="Arial"/>
          <w:b/>
          <w:color w:val="000000" w:themeColor="text1"/>
          <w:lang w:val="es-MX"/>
        </w:rPr>
        <w:t xml:space="preserve"> </w:t>
      </w:r>
      <w:r w:rsidRPr="007D7190">
        <w:rPr>
          <w:rFonts w:ascii="Palatino Linotype" w:eastAsia="MS Mincho" w:hAnsi="Palatino Linotype" w:cs="Arial"/>
          <w:color w:val="000000" w:themeColor="text1"/>
          <w:lang w:val="es-MX"/>
        </w:rPr>
        <w:t xml:space="preserve">de la </w:t>
      </w:r>
      <w:r w:rsidRPr="007D7190">
        <w:rPr>
          <w:rFonts w:ascii="Palatino Linotype" w:eastAsia="MS Mincho" w:hAnsi="Palatino Linotype" w:cs="Arial"/>
          <w:b/>
          <w:color w:val="000000" w:themeColor="text1"/>
          <w:lang w:val="es-MX"/>
        </w:rPr>
        <w:t>Ley de Transparencia y Acceso a la Información Pública del Estado de México y Municipios</w:t>
      </w:r>
      <w:r w:rsidRPr="007D7190">
        <w:rPr>
          <w:rFonts w:ascii="Palatino Linotype" w:eastAsia="MS Mincho" w:hAnsi="Palatino Linotype" w:cs="Arial"/>
          <w:color w:val="000000" w:themeColor="text1"/>
          <w:lang w:val="es-MX"/>
        </w:rPr>
        <w:t xml:space="preserve">; </w:t>
      </w:r>
      <w:r w:rsidR="00EA2D4C" w:rsidRPr="007D7190">
        <w:rPr>
          <w:rFonts w:ascii="Palatino Linotype" w:eastAsia="Times New Roman" w:hAnsi="Palatino Linotype" w:cs="Arial"/>
          <w:color w:val="000000" w:themeColor="text1"/>
          <w:lang w:val="es-MX" w:eastAsia="es-MX"/>
        </w:rPr>
        <w:t>fracción</w:t>
      </w:r>
      <w:r w:rsidRPr="007D7190">
        <w:rPr>
          <w:rFonts w:ascii="Palatino Linotype" w:eastAsia="Times New Roman" w:hAnsi="Palatino Linotype" w:cs="Arial"/>
          <w:color w:val="000000" w:themeColor="text1"/>
          <w:lang w:val="es-MX" w:eastAsia="es-MX"/>
        </w:rPr>
        <w:t xml:space="preserve"> que determina</w:t>
      </w:r>
      <w:r w:rsidR="00836A66" w:rsidRPr="007D7190">
        <w:rPr>
          <w:rFonts w:ascii="Palatino Linotype" w:eastAsia="Times New Roman" w:hAnsi="Palatino Linotype" w:cs="Arial"/>
          <w:color w:val="000000" w:themeColor="text1"/>
          <w:lang w:val="es-MX" w:eastAsia="es-MX"/>
        </w:rPr>
        <w:t xml:space="preserve"> la </w:t>
      </w:r>
      <w:r w:rsidR="00C62E1B" w:rsidRPr="007D7190">
        <w:rPr>
          <w:rFonts w:ascii="Palatino Linotype" w:eastAsia="Times New Roman" w:hAnsi="Palatino Linotype" w:cs="Arial"/>
          <w:color w:val="000000" w:themeColor="text1"/>
          <w:lang w:val="es-MX" w:eastAsia="es-MX"/>
        </w:rPr>
        <w:t>negativa a</w:t>
      </w:r>
      <w:r w:rsidR="00EA2D4C" w:rsidRPr="007D7190">
        <w:rPr>
          <w:rFonts w:ascii="Palatino Linotype" w:eastAsia="Times New Roman" w:hAnsi="Palatino Linotype" w:cs="Arial"/>
          <w:color w:val="000000" w:themeColor="text1"/>
          <w:lang w:val="es-MX" w:eastAsia="es-MX"/>
        </w:rPr>
        <w:t xml:space="preserve"> la información</w:t>
      </w:r>
      <w:r w:rsidR="00C62E1B" w:rsidRPr="007D7190">
        <w:rPr>
          <w:rFonts w:ascii="Palatino Linotype" w:eastAsia="Times New Roman" w:hAnsi="Palatino Linotype" w:cs="Arial"/>
          <w:color w:val="000000" w:themeColor="text1"/>
          <w:lang w:val="es-MX" w:eastAsia="es-MX"/>
        </w:rPr>
        <w:t xml:space="preserve"> solicitada</w:t>
      </w:r>
      <w:r w:rsidRPr="007D7190">
        <w:rPr>
          <w:rFonts w:ascii="Palatino Linotype" w:eastAsia="Times New Roman" w:hAnsi="Palatino Linotype" w:cs="Arial"/>
          <w:color w:val="000000" w:themeColor="text1"/>
          <w:lang w:val="es-MX" w:eastAsia="es-MX"/>
        </w:rPr>
        <w:t xml:space="preserve">; </w:t>
      </w:r>
      <w:r w:rsidRPr="007D7190">
        <w:rPr>
          <w:rFonts w:ascii="Palatino Linotype" w:eastAsia="MS Mincho" w:hAnsi="Palatino Linotype" w:cs="Arial"/>
          <w:color w:val="000000" w:themeColor="text1"/>
          <w:lang w:val="es-MX"/>
        </w:rPr>
        <w:t>contexto</w:t>
      </w:r>
      <w:r w:rsidR="00EA2D4C" w:rsidRPr="007D7190">
        <w:rPr>
          <w:rFonts w:ascii="Palatino Linotype" w:eastAsia="MS Mincho" w:hAnsi="Palatino Linotype" w:cs="Arial"/>
          <w:color w:val="000000" w:themeColor="text1"/>
          <w:lang w:val="es-MX"/>
        </w:rPr>
        <w:t xml:space="preserve"> del</w:t>
      </w:r>
      <w:r w:rsidR="00836A66" w:rsidRPr="007D7190">
        <w:rPr>
          <w:rFonts w:ascii="Palatino Linotype" w:eastAsia="MS Mincho" w:hAnsi="Palatino Linotype" w:cs="Arial"/>
          <w:color w:val="000000" w:themeColor="text1"/>
          <w:lang w:val="es-MX"/>
        </w:rPr>
        <w:t xml:space="preserve"> </w:t>
      </w:r>
      <w:r w:rsidRPr="007D7190">
        <w:rPr>
          <w:rFonts w:ascii="Palatino Linotype" w:eastAsia="MS Mincho" w:hAnsi="Palatino Linotype" w:cs="Arial"/>
          <w:color w:val="000000" w:themeColor="text1"/>
          <w:lang w:val="es-MX"/>
        </w:rPr>
        <w:t xml:space="preserve"> cual se dolió </w:t>
      </w:r>
      <w:r w:rsidRPr="007D7190">
        <w:rPr>
          <w:rFonts w:ascii="Palatino Linotype" w:eastAsia="MS Mincho" w:hAnsi="Palatino Linotype" w:cs="Arial"/>
          <w:b/>
          <w:color w:val="000000" w:themeColor="text1"/>
          <w:lang w:val="es-MX"/>
        </w:rPr>
        <w:t xml:space="preserve">EL RECURRENTE </w:t>
      </w:r>
      <w:r w:rsidRPr="007D7190">
        <w:rPr>
          <w:rFonts w:ascii="Palatino Linotype" w:eastAsia="MS Mincho" w:hAnsi="Palatino Linotype" w:cs="Arial"/>
          <w:color w:val="000000" w:themeColor="text1"/>
          <w:lang w:val="es-MX"/>
        </w:rPr>
        <w:t>al momento de interponer su inconformidad.</w:t>
      </w:r>
      <w:r w:rsidRPr="007D7190">
        <w:rPr>
          <w:rFonts w:ascii="Palatino Linotype" w:eastAsia="Times New Roman" w:hAnsi="Palatino Linotype" w:cs="Arial"/>
          <w:color w:val="000000" w:themeColor="text1"/>
          <w:lang w:val="es-MX" w:eastAsia="es-MX"/>
        </w:rPr>
        <w:t xml:space="preserve"> </w:t>
      </w:r>
    </w:p>
    <w:p w:rsidR="00685D5F" w:rsidRPr="007D7190" w:rsidRDefault="00685D5F" w:rsidP="007D6F45">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7D7190">
        <w:rPr>
          <w:rFonts w:ascii="Palatino Linotype" w:eastAsia="Times New Roman" w:hAnsi="Palatino Linotype" w:cs="Arial"/>
          <w:color w:val="000000" w:themeColor="text1"/>
          <w:lang w:val="es-MX" w:eastAsia="es-MX"/>
        </w:rPr>
        <w:lastRenderedPageBreak/>
        <w:t xml:space="preserve">De modo tal </w:t>
      </w:r>
      <w:r w:rsidRPr="007D7190">
        <w:rPr>
          <w:rFonts w:ascii="Palatino Linotype" w:hAnsi="Palatino Linotype" w:cs="Arial"/>
          <w:color w:val="000000" w:themeColor="text1"/>
          <w:lang w:val="es-MX"/>
        </w:rPr>
        <w:t>que el present</w:t>
      </w:r>
      <w:r w:rsidR="00CD5BCA" w:rsidRPr="007D7190">
        <w:rPr>
          <w:rFonts w:ascii="Palatino Linotype" w:hAnsi="Palatino Linotype" w:cs="Arial"/>
          <w:color w:val="000000" w:themeColor="text1"/>
          <w:lang w:val="es-MX"/>
        </w:rPr>
        <w:t>e recurso de revisión se abocará</w:t>
      </w:r>
      <w:r w:rsidRPr="007D7190">
        <w:rPr>
          <w:rFonts w:ascii="Palatino Linotype" w:hAnsi="Palatino Linotype" w:cs="Arial"/>
          <w:color w:val="000000" w:themeColor="text1"/>
          <w:lang w:val="es-MX"/>
        </w:rPr>
        <w:t xml:space="preserve"> en determinar si el </w:t>
      </w:r>
      <w:r w:rsidRPr="007D7190">
        <w:rPr>
          <w:rFonts w:ascii="Palatino Linotype" w:hAnsi="Palatino Linotype" w:cs="Arial"/>
          <w:b/>
          <w:color w:val="000000" w:themeColor="text1"/>
          <w:lang w:val="es-MX"/>
        </w:rPr>
        <w:t>SUJETO</w:t>
      </w:r>
      <w:r w:rsidRPr="007D7190">
        <w:rPr>
          <w:rFonts w:ascii="Palatino Linotype" w:hAnsi="Palatino Linotype" w:cs="Arial"/>
          <w:color w:val="000000" w:themeColor="text1"/>
          <w:lang w:val="es-MX"/>
        </w:rPr>
        <w:t xml:space="preserve"> </w:t>
      </w:r>
      <w:r w:rsidRPr="007D7190">
        <w:rPr>
          <w:rFonts w:ascii="Palatino Linotype" w:hAnsi="Palatino Linotype" w:cs="Arial"/>
          <w:b/>
          <w:color w:val="000000" w:themeColor="text1"/>
          <w:lang w:val="es-MX"/>
        </w:rPr>
        <w:t>OBLIGADO</w:t>
      </w:r>
      <w:r w:rsidRPr="007D7190">
        <w:rPr>
          <w:rFonts w:ascii="Palatino Linotype" w:hAnsi="Palatino Linotype" w:cs="Arial"/>
          <w:color w:val="000000" w:themeColor="text1"/>
          <w:lang w:val="es-MX"/>
        </w:rPr>
        <w:t xml:space="preserve"> con su respuesta ciertamente </w:t>
      </w:r>
      <w:r w:rsidRPr="007D7190">
        <w:rPr>
          <w:rFonts w:ascii="Palatino Linotype" w:eastAsia="Times New Roman" w:hAnsi="Palatino Linotype"/>
          <w:color w:val="000000" w:themeColor="text1"/>
          <w:lang w:val="es-MX"/>
        </w:rPr>
        <w:t>actualiza la</w:t>
      </w:r>
      <w:r w:rsidR="00836A66" w:rsidRPr="007D7190">
        <w:rPr>
          <w:rFonts w:ascii="Palatino Linotype" w:eastAsia="Times New Roman" w:hAnsi="Palatino Linotype"/>
          <w:color w:val="000000" w:themeColor="text1"/>
          <w:lang w:val="es-MX"/>
        </w:rPr>
        <w:t>s</w:t>
      </w:r>
      <w:r w:rsidRPr="007D7190">
        <w:rPr>
          <w:rFonts w:ascii="Palatino Linotype" w:eastAsia="Times New Roman" w:hAnsi="Palatino Linotype"/>
          <w:color w:val="000000" w:themeColor="text1"/>
          <w:lang w:val="es-MX"/>
        </w:rPr>
        <w:t xml:space="preserve"> causal</w:t>
      </w:r>
      <w:r w:rsidR="00836A66" w:rsidRPr="007D7190">
        <w:rPr>
          <w:rFonts w:ascii="Palatino Linotype" w:eastAsia="Times New Roman" w:hAnsi="Palatino Linotype"/>
          <w:color w:val="000000" w:themeColor="text1"/>
          <w:lang w:val="es-MX"/>
        </w:rPr>
        <w:t>es</w:t>
      </w:r>
      <w:r w:rsidRPr="007D7190">
        <w:rPr>
          <w:rFonts w:ascii="Palatino Linotype" w:eastAsia="Times New Roman" w:hAnsi="Palatino Linotype"/>
          <w:color w:val="000000" w:themeColor="text1"/>
          <w:lang w:val="es-MX"/>
        </w:rPr>
        <w:t xml:space="preserve"> de procedencia</w:t>
      </w:r>
      <w:r w:rsidRPr="007D7190">
        <w:rPr>
          <w:rFonts w:ascii="Palatino Linotype" w:eastAsia="Times New Roman" w:hAnsi="Palatino Linotype"/>
          <w:b/>
          <w:color w:val="000000" w:themeColor="text1"/>
          <w:lang w:val="es-MX"/>
        </w:rPr>
        <w:t xml:space="preserve"> </w:t>
      </w:r>
      <w:r w:rsidRPr="007D7190">
        <w:rPr>
          <w:rFonts w:ascii="Palatino Linotype" w:eastAsia="Times New Roman" w:hAnsi="Palatino Linotype" w:cs="Arial"/>
          <w:color w:val="000000" w:themeColor="text1"/>
          <w:lang w:val="es-MX" w:eastAsia="es-MX"/>
        </w:rPr>
        <w:t>antes señalada</w:t>
      </w:r>
      <w:r w:rsidRPr="007D7190">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7D7190" w:rsidRDefault="00685D5F" w:rsidP="007D6F45">
      <w:pPr>
        <w:pStyle w:val="Ttulo2"/>
        <w:spacing w:before="0" w:line="360" w:lineRule="auto"/>
        <w:rPr>
          <w:rFonts w:ascii="Palatino Linotype" w:hAnsi="Palatino Linotype"/>
          <w:b/>
          <w:color w:val="000000" w:themeColor="text1"/>
          <w:sz w:val="24"/>
          <w:szCs w:val="24"/>
          <w:lang w:val="es-MX"/>
        </w:rPr>
      </w:pPr>
    </w:p>
    <w:p w:rsidR="00685D5F" w:rsidRPr="007D7190" w:rsidRDefault="00685D5F" w:rsidP="007D6F45">
      <w:pPr>
        <w:pStyle w:val="Ttulo2"/>
        <w:spacing w:before="0" w:line="360" w:lineRule="auto"/>
        <w:rPr>
          <w:rFonts w:ascii="Palatino Linotype" w:eastAsia="Palatino Linotype" w:hAnsi="Palatino Linotype" w:cs="Palatino Linotype"/>
          <w:b/>
          <w:color w:val="000000" w:themeColor="text1"/>
          <w:sz w:val="24"/>
          <w:szCs w:val="24"/>
        </w:rPr>
      </w:pPr>
      <w:r w:rsidRPr="007D7190">
        <w:rPr>
          <w:rFonts w:ascii="Palatino Linotype" w:eastAsia="Palatino Linotype" w:hAnsi="Palatino Linotype" w:cs="Palatino Linotype"/>
          <w:b/>
          <w:color w:val="000000" w:themeColor="text1"/>
          <w:sz w:val="24"/>
          <w:szCs w:val="24"/>
        </w:rPr>
        <w:t>CUARTO. Del estudio y resolución del asunto.</w:t>
      </w:r>
    </w:p>
    <w:p w:rsidR="00685D5F" w:rsidRPr="007D7190" w:rsidRDefault="00685D5F" w:rsidP="000442BF">
      <w:pPr>
        <w:pStyle w:val="Ttulo1"/>
        <w:numPr>
          <w:ilvl w:val="0"/>
          <w:numId w:val="7"/>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3" w:name="_heading=h.2s8eyo1" w:colFirst="0" w:colLast="0"/>
      <w:bookmarkEnd w:id="13"/>
      <w:r w:rsidRPr="007D7190">
        <w:rPr>
          <w:rFonts w:ascii="Palatino Linotype" w:eastAsia="Palatino Linotype" w:hAnsi="Palatino Linotype" w:cs="Palatino Linotype"/>
          <w:b/>
          <w:color w:val="000000" w:themeColor="text1"/>
          <w:sz w:val="24"/>
          <w:szCs w:val="24"/>
        </w:rPr>
        <w:t>Del derecho de acceso a la información.</w:t>
      </w:r>
    </w:p>
    <w:p w:rsidR="00685D5F" w:rsidRPr="007D7190" w:rsidRDefault="00685D5F" w:rsidP="007D6F45">
      <w:pPr>
        <w:numPr>
          <w:ilvl w:val="0"/>
          <w:numId w:val="1"/>
        </w:numPr>
        <w:spacing w:line="360" w:lineRule="auto"/>
        <w:ind w:left="0" w:firstLine="0"/>
        <w:contextualSpacing/>
        <w:jc w:val="both"/>
        <w:rPr>
          <w:rFonts w:ascii="Palatino Linotype" w:eastAsia="Times New Roman" w:hAnsi="Palatino Linotype" w:cs="Arial"/>
          <w:color w:val="000000" w:themeColor="text1"/>
          <w:lang w:val="es-MX" w:eastAsia="es-MX"/>
        </w:rPr>
      </w:pPr>
      <w:r w:rsidRPr="007D7190">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85D5F" w:rsidRPr="007D7190" w:rsidRDefault="00685D5F" w:rsidP="007D6F45">
      <w:pPr>
        <w:spacing w:line="360" w:lineRule="auto"/>
        <w:contextualSpacing/>
        <w:jc w:val="both"/>
        <w:rPr>
          <w:rFonts w:ascii="Palatino Linotype" w:eastAsia="Times New Roman" w:hAnsi="Palatino Linotype" w:cs="Arial"/>
          <w:color w:val="000000" w:themeColor="text1"/>
          <w:lang w:val="es-MX" w:eastAsia="es-MX"/>
        </w:rPr>
      </w:pPr>
    </w:p>
    <w:p w:rsidR="00685D5F" w:rsidRPr="007D7190" w:rsidRDefault="00685D5F" w:rsidP="007D6F45">
      <w:pPr>
        <w:numPr>
          <w:ilvl w:val="0"/>
          <w:numId w:val="1"/>
        </w:numPr>
        <w:spacing w:before="240"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Definiendo el Derecho de Acceso a la Información Pública como: </w:t>
      </w:r>
      <w:r w:rsidRPr="007D7190">
        <w:rPr>
          <w:rFonts w:ascii="Palatino Linotype" w:eastAsia="Palatino Linotype" w:hAnsi="Palatino Linotype" w:cs="Palatino Linotype"/>
          <w:i/>
          <w:color w:val="000000" w:themeColor="text1"/>
        </w:rPr>
        <w:t>La igualdad de oportunidades para recibir, buscar e impartir información</w:t>
      </w:r>
      <w:r w:rsidRPr="007D7190">
        <w:rPr>
          <w:rFonts w:ascii="Palatino Linotype" w:eastAsia="Palatino Linotype" w:hAnsi="Palatino Linotype" w:cs="Palatino Linotype"/>
          <w:i/>
          <w:color w:val="000000" w:themeColor="text1"/>
          <w:vertAlign w:val="superscript"/>
        </w:rPr>
        <w:footnoteReference w:id="1"/>
      </w:r>
      <w:r w:rsidRPr="007D7190">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7D7190">
        <w:rPr>
          <w:rFonts w:ascii="Palatino Linotype" w:eastAsia="Palatino Linotype" w:hAnsi="Palatino Linotype" w:cs="Palatino Linotype"/>
          <w:i/>
          <w:color w:val="000000" w:themeColor="text1"/>
        </w:rPr>
        <w:lastRenderedPageBreak/>
        <w:t>estatal y municipal,</w:t>
      </w:r>
      <w:r w:rsidRPr="007D7190">
        <w:rPr>
          <w:rFonts w:ascii="Palatino Linotype" w:eastAsia="Palatino Linotype" w:hAnsi="Palatino Linotype" w:cs="Palatino Linotype"/>
          <w:i/>
          <w:color w:val="000000" w:themeColor="text1"/>
          <w:vertAlign w:val="superscript"/>
        </w:rPr>
        <w:footnoteReference w:id="2"/>
      </w:r>
      <w:r w:rsidRPr="007D7190">
        <w:rPr>
          <w:rFonts w:ascii="Palatino Linotype" w:eastAsia="Palatino Linotype" w:hAnsi="Palatino Linotype" w:cs="Palatino Linotype"/>
          <w:color w:val="000000" w:themeColor="text1"/>
        </w:rPr>
        <w:t>que se constituye como una herramienta fundamental para ejercer</w:t>
      </w:r>
      <w:r w:rsidRPr="007D719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D7190">
        <w:rPr>
          <w:rFonts w:ascii="Palatino Linotype" w:eastAsia="Palatino Linotype" w:hAnsi="Palatino Linotype" w:cs="Palatino Linotype"/>
          <w:i/>
          <w:color w:val="000000" w:themeColor="text1"/>
          <w:vertAlign w:val="superscript"/>
        </w:rPr>
        <w:footnoteReference w:id="3"/>
      </w:r>
      <w:r w:rsidRPr="007D7190">
        <w:rPr>
          <w:rFonts w:ascii="Palatino Linotype" w:eastAsia="Palatino Linotype" w:hAnsi="Palatino Linotype" w:cs="Palatino Linotype"/>
          <w:color w:val="000000" w:themeColor="text1"/>
        </w:rPr>
        <w:t>fomentando</w:t>
      </w:r>
      <w:r w:rsidRPr="007D7190">
        <w:rPr>
          <w:rFonts w:ascii="Palatino Linotype" w:eastAsia="Palatino Linotype" w:hAnsi="Palatino Linotype" w:cs="Palatino Linotype"/>
          <w:i/>
          <w:color w:val="000000" w:themeColor="text1"/>
        </w:rPr>
        <w:t xml:space="preserve"> la transparencia de las actividades estatales y </w:t>
      </w:r>
      <w:r w:rsidRPr="007D7190">
        <w:rPr>
          <w:rFonts w:ascii="Palatino Linotype" w:eastAsia="Palatino Linotype" w:hAnsi="Palatino Linotype" w:cs="Palatino Linotype"/>
          <w:color w:val="000000" w:themeColor="text1"/>
        </w:rPr>
        <w:t>promoviendo</w:t>
      </w:r>
      <w:r w:rsidRPr="007D7190">
        <w:rPr>
          <w:rFonts w:ascii="Palatino Linotype" w:eastAsia="Palatino Linotype" w:hAnsi="Palatino Linotype" w:cs="Palatino Linotype"/>
          <w:i/>
          <w:color w:val="000000" w:themeColor="text1"/>
        </w:rPr>
        <w:t xml:space="preserve"> la responsabilidad de los funcionarios sobre su gestión pública,</w:t>
      </w:r>
      <w:r w:rsidRPr="007D7190">
        <w:rPr>
          <w:rFonts w:ascii="Palatino Linotype" w:eastAsia="Palatino Linotype" w:hAnsi="Palatino Linotype" w:cs="Palatino Linotype"/>
          <w:i/>
          <w:color w:val="000000" w:themeColor="text1"/>
          <w:vertAlign w:val="superscript"/>
        </w:rPr>
        <w:footnoteReference w:id="4"/>
      </w:r>
      <w:r w:rsidRPr="007D7190">
        <w:rPr>
          <w:rFonts w:ascii="Palatino Linotype" w:eastAsia="Palatino Linotype" w:hAnsi="Palatino Linotype" w:cs="Palatino Linotype"/>
          <w:color w:val="000000" w:themeColor="text1"/>
        </w:rPr>
        <w:t>que permite</w:t>
      </w:r>
      <w:r w:rsidRPr="007D719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7D7190" w:rsidRDefault="00685D5F" w:rsidP="007D6F45">
      <w:pP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7D7190" w:rsidRDefault="00685D5F"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r w:rsidRPr="007D7190">
        <w:rPr>
          <w:rFonts w:ascii="Palatino Linotype" w:eastAsia="Palatino Linotype" w:hAnsi="Palatino Linotype" w:cs="Palatino Linotype"/>
          <w:b/>
          <w:i/>
          <w:color w:val="000000" w:themeColor="text1"/>
        </w:rPr>
        <w:t>Artículo 1.-</w:t>
      </w:r>
      <w:r w:rsidRPr="007D7190">
        <w:rPr>
          <w:rFonts w:ascii="Palatino Linotype" w:eastAsia="Palatino Linotype" w:hAnsi="Palatino Linotype" w:cs="Palatino Linotype"/>
          <w:i/>
          <w:color w:val="000000" w:themeColor="text1"/>
        </w:rPr>
        <w:t xml:space="preserve"> </w:t>
      </w:r>
    </w:p>
    <w:p w:rsidR="00685D5F" w:rsidRPr="007D7190" w:rsidRDefault="00685D5F"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p>
    <w:p w:rsidR="00685D5F" w:rsidRPr="007D7190" w:rsidRDefault="00685D5F"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Todas las</w:t>
      </w:r>
      <w:r w:rsidRPr="007D7190">
        <w:rPr>
          <w:rFonts w:ascii="Palatino Linotype" w:eastAsia="Palatino Linotype" w:hAnsi="Palatino Linotype" w:cs="Palatino Linotype"/>
          <w:color w:val="000000" w:themeColor="text1"/>
        </w:rPr>
        <w:t xml:space="preserve"> </w:t>
      </w:r>
      <w:r w:rsidRPr="007D719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7D7190" w:rsidRDefault="00685D5F" w:rsidP="007D6F45">
      <w:pPr>
        <w:jc w:val="both"/>
        <w:rPr>
          <w:rFonts w:ascii="Palatino Linotype" w:eastAsia="Palatino Linotype" w:hAnsi="Palatino Linotype" w:cs="Palatino Linotype"/>
          <w:color w:val="000000" w:themeColor="text1"/>
        </w:rPr>
      </w:pPr>
      <w:r w:rsidRPr="007D7190">
        <w:rPr>
          <w:rFonts w:ascii="Palatino Linotype" w:eastAsia="Palatino Linotype" w:hAnsi="Palatino Linotype" w:cs="Palatino Linotype"/>
          <w:i/>
          <w:color w:val="000000" w:themeColor="text1"/>
        </w:rPr>
        <w:t>(…)</w:t>
      </w:r>
      <w:r w:rsidRPr="007D7190">
        <w:rPr>
          <w:rFonts w:ascii="Palatino Linotype" w:eastAsia="Palatino Linotype" w:hAnsi="Palatino Linotype" w:cs="Palatino Linotype"/>
          <w:color w:val="000000" w:themeColor="text1"/>
        </w:rPr>
        <w:t>”.</w:t>
      </w:r>
    </w:p>
    <w:p w:rsidR="00685D5F" w:rsidRDefault="00685D5F" w:rsidP="007D6F45">
      <w:pPr>
        <w:jc w:val="both"/>
        <w:rPr>
          <w:rFonts w:ascii="Palatino Linotype" w:eastAsia="Palatino Linotype" w:hAnsi="Palatino Linotype" w:cs="Palatino Linotype"/>
          <w:b/>
          <w:color w:val="000000" w:themeColor="text1"/>
        </w:rPr>
      </w:pPr>
    </w:p>
    <w:p w:rsidR="00244488" w:rsidRPr="007D7190" w:rsidRDefault="00244488" w:rsidP="007D6F45">
      <w:pPr>
        <w:jc w:val="both"/>
        <w:rPr>
          <w:rFonts w:ascii="Palatino Linotype" w:eastAsia="Palatino Linotype" w:hAnsi="Palatino Linotype" w:cs="Palatino Linotype"/>
          <w:b/>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7D7190" w:rsidRDefault="00685D5F" w:rsidP="007D6F45">
      <w:pPr>
        <w:spacing w:after="240"/>
        <w:jc w:val="both"/>
        <w:rPr>
          <w:rFonts w:ascii="Palatino Linotype" w:eastAsia="Palatino Linotype" w:hAnsi="Palatino Linotype" w:cs="Palatino Linotype"/>
          <w:b/>
          <w:i/>
          <w:color w:val="000000" w:themeColor="text1"/>
        </w:rPr>
      </w:pPr>
      <w:r w:rsidRPr="007D7190">
        <w:rPr>
          <w:rFonts w:ascii="Palatino Linotype" w:eastAsia="Palatino Linotype" w:hAnsi="Palatino Linotype" w:cs="Palatino Linotype"/>
          <w:b/>
          <w:i/>
          <w:color w:val="000000" w:themeColor="text1"/>
        </w:rPr>
        <w:t>Constitución Política de los Estados Unidos Mexicanos</w:t>
      </w:r>
    </w:p>
    <w:p w:rsidR="00685D5F" w:rsidRPr="007D7190" w:rsidRDefault="00685D5F" w:rsidP="007D6F45">
      <w:pPr>
        <w:spacing w:before="240" w:after="240"/>
        <w:jc w:val="both"/>
        <w:rPr>
          <w:rFonts w:ascii="Palatino Linotype" w:eastAsia="Palatino Linotype" w:hAnsi="Palatino Linotype" w:cs="Palatino Linotype"/>
          <w:b/>
          <w:i/>
          <w:color w:val="000000" w:themeColor="text1"/>
        </w:rPr>
      </w:pPr>
      <w:r w:rsidRPr="007D7190">
        <w:rPr>
          <w:rFonts w:ascii="Palatino Linotype" w:eastAsia="Palatino Linotype" w:hAnsi="Palatino Linotype" w:cs="Palatino Linotype"/>
          <w:b/>
          <w:i/>
          <w:color w:val="000000" w:themeColor="text1"/>
        </w:rPr>
        <w:t>“Artículo 6.</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Para efectos de lo dispuesto en el presente artículo se observará lo siguiente:</w:t>
      </w:r>
    </w:p>
    <w:p w:rsidR="00685D5F" w:rsidRPr="007D7190" w:rsidRDefault="00685D5F" w:rsidP="007D6F45">
      <w:pPr>
        <w:spacing w:before="240" w:after="240"/>
        <w:jc w:val="both"/>
        <w:rPr>
          <w:rFonts w:ascii="Palatino Linotype" w:eastAsia="Palatino Linotype" w:hAnsi="Palatino Linotype" w:cs="Palatino Linotype"/>
          <w:b/>
          <w:i/>
          <w:color w:val="000000" w:themeColor="text1"/>
        </w:rPr>
      </w:pPr>
      <w:r w:rsidRPr="007D7190">
        <w:rPr>
          <w:rFonts w:ascii="Palatino Linotype" w:eastAsia="Palatino Linotype" w:hAnsi="Palatino Linotype" w:cs="Palatino Linotype"/>
          <w:b/>
          <w:i/>
          <w:color w:val="000000" w:themeColor="text1"/>
        </w:rPr>
        <w:t>A</w:t>
      </w:r>
      <w:r w:rsidRPr="007D7190">
        <w:rPr>
          <w:rFonts w:ascii="Palatino Linotype" w:eastAsia="Palatino Linotype" w:hAnsi="Palatino Linotype" w:cs="Palatino Linotype"/>
          <w:i/>
          <w:color w:val="000000" w:themeColor="text1"/>
        </w:rPr>
        <w:t xml:space="preserve">. </w:t>
      </w:r>
      <w:r w:rsidRPr="007D7190">
        <w:rPr>
          <w:rFonts w:ascii="Palatino Linotype" w:eastAsia="Palatino Linotype" w:hAnsi="Palatino Linotype" w:cs="Palatino Linotype"/>
          <w:b/>
          <w:i/>
          <w:color w:val="000000" w:themeColor="text1"/>
        </w:rPr>
        <w:t>Para el ejercicio del derecho de acceso a la información</w:t>
      </w:r>
      <w:r w:rsidRPr="007D7190">
        <w:rPr>
          <w:rFonts w:ascii="Palatino Linotype" w:eastAsia="Palatino Linotype" w:hAnsi="Palatino Linotype" w:cs="Palatino Linotype"/>
          <w:i/>
          <w:color w:val="000000" w:themeColor="text1"/>
        </w:rPr>
        <w:t xml:space="preserve">, la Federación y </w:t>
      </w:r>
      <w:r w:rsidRPr="007D719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b/>
          <w:i/>
          <w:color w:val="000000" w:themeColor="text1"/>
        </w:rPr>
        <w:t xml:space="preserve">I. </w:t>
      </w:r>
      <w:r w:rsidRPr="007D7190">
        <w:rPr>
          <w:rFonts w:ascii="Palatino Linotype" w:eastAsia="Palatino Linotype" w:hAnsi="Palatino Linotype" w:cs="Palatino Linotype"/>
          <w:b/>
          <w:i/>
          <w:color w:val="000000" w:themeColor="text1"/>
        </w:rPr>
        <w:tab/>
        <w:t>Toda la información en posesión de cualquier</w:t>
      </w:r>
      <w:r w:rsidRPr="007D7190">
        <w:rPr>
          <w:rFonts w:ascii="Palatino Linotype" w:eastAsia="Palatino Linotype" w:hAnsi="Palatino Linotype" w:cs="Palatino Linotype"/>
          <w:i/>
          <w:color w:val="000000" w:themeColor="text1"/>
        </w:rPr>
        <w:t xml:space="preserve"> </w:t>
      </w:r>
      <w:r w:rsidRPr="007D7190">
        <w:rPr>
          <w:rFonts w:ascii="Palatino Linotype" w:eastAsia="Palatino Linotype" w:hAnsi="Palatino Linotype" w:cs="Palatino Linotype"/>
          <w:b/>
          <w:i/>
          <w:color w:val="000000" w:themeColor="text1"/>
        </w:rPr>
        <w:t>autoridad</w:t>
      </w:r>
      <w:r w:rsidRPr="007D719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D7190">
        <w:rPr>
          <w:rFonts w:ascii="Palatino Linotype" w:eastAsia="Palatino Linotype" w:hAnsi="Palatino Linotype" w:cs="Palatino Linotype"/>
          <w:b/>
          <w:i/>
          <w:color w:val="000000" w:themeColor="text1"/>
        </w:rPr>
        <w:t>municipal</w:t>
      </w:r>
      <w:r w:rsidRPr="007D7190">
        <w:rPr>
          <w:rFonts w:ascii="Palatino Linotype" w:eastAsia="Palatino Linotype" w:hAnsi="Palatino Linotype" w:cs="Palatino Linotype"/>
          <w:i/>
          <w:color w:val="000000" w:themeColor="text1"/>
        </w:rPr>
        <w:t xml:space="preserve">, </w:t>
      </w:r>
      <w:r w:rsidRPr="007D7190">
        <w:rPr>
          <w:rFonts w:ascii="Palatino Linotype" w:eastAsia="Palatino Linotype" w:hAnsi="Palatino Linotype" w:cs="Palatino Linotype"/>
          <w:b/>
          <w:i/>
          <w:color w:val="000000" w:themeColor="text1"/>
        </w:rPr>
        <w:t>es pública</w:t>
      </w:r>
      <w:r w:rsidRPr="007D719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D719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D719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7D7190" w:rsidRDefault="00685D5F" w:rsidP="007D6F45">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685D5F" w:rsidRPr="007D7190" w:rsidRDefault="00685D5F" w:rsidP="007D6F45">
      <w:pPr>
        <w:spacing w:before="240" w:after="240"/>
        <w:jc w:val="both"/>
        <w:rPr>
          <w:rFonts w:ascii="Palatino Linotype" w:eastAsia="Palatino Linotype" w:hAnsi="Palatino Linotype" w:cs="Palatino Linotype"/>
          <w:b/>
          <w:i/>
          <w:color w:val="000000" w:themeColor="text1"/>
        </w:rPr>
      </w:pPr>
      <w:r w:rsidRPr="007D7190">
        <w:rPr>
          <w:rFonts w:ascii="Palatino Linotype" w:eastAsia="Palatino Linotype" w:hAnsi="Palatino Linotype" w:cs="Palatino Linotype"/>
          <w:b/>
          <w:i/>
          <w:color w:val="000000" w:themeColor="text1"/>
        </w:rPr>
        <w:t>Constitución Política del Estado Libre y Soberano de México</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b/>
          <w:i/>
          <w:color w:val="000000" w:themeColor="text1"/>
        </w:rPr>
        <w:t>“Artículo 5</w:t>
      </w:r>
      <w:r w:rsidRPr="007D7190">
        <w:rPr>
          <w:rFonts w:ascii="Palatino Linotype" w:eastAsia="Palatino Linotype" w:hAnsi="Palatino Linotype" w:cs="Palatino Linotype"/>
          <w:i/>
          <w:color w:val="000000" w:themeColor="text1"/>
        </w:rPr>
        <w:t xml:space="preserve">.- </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7D7190">
        <w:rPr>
          <w:rFonts w:ascii="Palatino Linotype" w:eastAsia="Palatino Linotype" w:hAnsi="Palatino Linotype" w:cs="Palatino Linotype"/>
          <w:i/>
          <w:color w:val="000000" w:themeColor="text1"/>
        </w:rPr>
        <w:t>.</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b/>
          <w:i/>
          <w:color w:val="000000" w:themeColor="text1"/>
        </w:rPr>
        <w:t>Este derecho se regirá por los principios y bases siguientes</w:t>
      </w:r>
      <w:r w:rsidRPr="007D7190">
        <w:rPr>
          <w:rFonts w:ascii="Palatino Linotype" w:eastAsia="Palatino Linotype" w:hAnsi="Palatino Linotype" w:cs="Palatino Linotype"/>
          <w:i/>
          <w:color w:val="000000" w:themeColor="text1"/>
        </w:rPr>
        <w:t>:</w:t>
      </w:r>
    </w:p>
    <w:p w:rsidR="00685D5F" w:rsidRPr="007D7190" w:rsidRDefault="00685D5F" w:rsidP="007D6F45">
      <w:pPr>
        <w:spacing w:before="240" w:after="240"/>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b/>
          <w:i/>
          <w:color w:val="000000" w:themeColor="text1"/>
        </w:rPr>
        <w:t>I. Toda la información en posesión de cualquier autoridad, entidad, órgano y organismos de los</w:t>
      </w:r>
      <w:r w:rsidRPr="007D719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D7190">
        <w:rPr>
          <w:rFonts w:ascii="Palatino Linotype" w:eastAsia="Palatino Linotype" w:hAnsi="Palatino Linotype" w:cs="Palatino Linotype"/>
          <w:b/>
          <w:i/>
          <w:color w:val="000000" w:themeColor="text1"/>
        </w:rPr>
        <w:t>municipales</w:t>
      </w:r>
      <w:r w:rsidRPr="007D719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D7190">
        <w:rPr>
          <w:rFonts w:ascii="Palatino Linotype" w:eastAsia="Palatino Linotype" w:hAnsi="Palatino Linotype" w:cs="Palatino Linotype"/>
          <w:b/>
          <w:i/>
          <w:color w:val="000000" w:themeColor="text1"/>
        </w:rPr>
        <w:t>es pública</w:t>
      </w:r>
      <w:r w:rsidRPr="007D719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D7190">
        <w:rPr>
          <w:rFonts w:ascii="Palatino Linotype" w:eastAsia="Palatino Linotype" w:hAnsi="Palatino Linotype" w:cs="Palatino Linotype"/>
          <w:b/>
          <w:i/>
          <w:color w:val="000000" w:themeColor="text1"/>
        </w:rPr>
        <w:t>En la interpretación de este derecho deberá prevalecer el principio de máxima publicidad</w:t>
      </w:r>
      <w:r w:rsidRPr="007D7190">
        <w:rPr>
          <w:rFonts w:ascii="Palatino Linotype" w:eastAsia="Palatino Linotype" w:hAnsi="Palatino Linotype" w:cs="Palatino Linotype"/>
          <w:i/>
          <w:color w:val="000000" w:themeColor="text1"/>
        </w:rPr>
        <w:t xml:space="preserve">. </w:t>
      </w:r>
      <w:r w:rsidRPr="007D719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D719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7D7190" w:rsidRDefault="00685D5F" w:rsidP="007D6F45">
      <w:pPr>
        <w:tabs>
          <w:tab w:val="left" w:pos="567"/>
        </w:tabs>
        <w:spacing w:before="240" w:after="240"/>
        <w:jc w:val="both"/>
        <w:rPr>
          <w:rFonts w:ascii="Palatino Linotype" w:eastAsia="Palatino Linotype" w:hAnsi="Palatino Linotype" w:cs="Palatino Linotype"/>
          <w:b/>
          <w:i/>
          <w:color w:val="000000" w:themeColor="text1"/>
        </w:rPr>
      </w:pPr>
    </w:p>
    <w:p w:rsidR="00685D5F" w:rsidRPr="007D7190" w:rsidRDefault="00685D5F" w:rsidP="007D6F45">
      <w:pPr>
        <w:numPr>
          <w:ilvl w:val="0"/>
          <w:numId w:val="1"/>
        </w:numPr>
        <w:spacing w:before="240"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D719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D7190">
        <w:rPr>
          <w:rFonts w:ascii="Palatino Linotype" w:eastAsia="Palatino Linotype" w:hAnsi="Palatino Linotype" w:cs="Palatino Linotype"/>
          <w:color w:val="000000" w:themeColor="text1"/>
        </w:rPr>
        <w:t>, contemplando el derecho de las personas con discapacidad y hablantes de lengua indígena.</w:t>
      </w:r>
    </w:p>
    <w:p w:rsidR="00685D5F" w:rsidRPr="007D7190" w:rsidRDefault="00685D5F" w:rsidP="007D6F45">
      <w:pP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7D7190">
        <w:rPr>
          <w:rFonts w:ascii="Palatino Linotype" w:eastAsia="Palatino Linotype" w:hAnsi="Palatino Linotype" w:cs="Palatino Linotype"/>
          <w:i/>
          <w:color w:val="000000" w:themeColor="text1"/>
        </w:rPr>
        <w:t>solicitudes de acceso a la información</w:t>
      </w:r>
      <w:r w:rsidRPr="007D7190">
        <w:rPr>
          <w:rFonts w:ascii="Palatino Linotype" w:eastAsia="Palatino Linotype" w:hAnsi="Palatino Linotype" w:cs="Palatino Linotype"/>
          <w:color w:val="000000" w:themeColor="text1"/>
        </w:rPr>
        <w:t>.</w:t>
      </w:r>
    </w:p>
    <w:p w:rsidR="00685D5F" w:rsidRPr="007D7190" w:rsidRDefault="00685D5F" w:rsidP="007D6F45">
      <w:pP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bookmarkStart w:id="14" w:name="_heading=h.17dp8vu" w:colFirst="0" w:colLast="0"/>
      <w:bookmarkEnd w:id="14"/>
      <w:r w:rsidRPr="007D7190">
        <w:rPr>
          <w:rFonts w:ascii="Palatino Linotype" w:eastAsia="Palatino Linotype" w:hAnsi="Palatino Linotype" w:cs="Palatino Linotype"/>
          <w:color w:val="000000" w:themeColor="text1"/>
        </w:rPr>
        <w:lastRenderedPageBreak/>
        <w:t xml:space="preserve">Así entonces, se procede analizar, en primer lugar, si el </w:t>
      </w:r>
      <w:r w:rsidRPr="007D7190">
        <w:rPr>
          <w:rFonts w:ascii="Palatino Linotype" w:eastAsia="Palatino Linotype" w:hAnsi="Palatino Linotype" w:cs="Palatino Linotype"/>
          <w:b/>
          <w:color w:val="000000" w:themeColor="text1"/>
        </w:rPr>
        <w:t>SUJETO OBLIGADO</w:t>
      </w:r>
      <w:r w:rsidRPr="007D719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7D7190" w:rsidRDefault="00685D5F" w:rsidP="007D6F45">
      <w:pP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pStyle w:val="Ttulo1"/>
        <w:spacing w:before="0" w:after="240" w:line="360" w:lineRule="auto"/>
        <w:rPr>
          <w:rFonts w:ascii="Palatino Linotype" w:eastAsia="Palatino Linotype" w:hAnsi="Palatino Linotype" w:cs="Palatino Linotype"/>
          <w:b/>
          <w:color w:val="000000" w:themeColor="text1"/>
          <w:sz w:val="24"/>
          <w:szCs w:val="24"/>
        </w:rPr>
      </w:pPr>
      <w:bookmarkStart w:id="15" w:name="_heading=h.3rdcrjn" w:colFirst="0" w:colLast="0"/>
      <w:bookmarkEnd w:id="15"/>
      <w:r w:rsidRPr="007D7190">
        <w:rPr>
          <w:rFonts w:ascii="Palatino Linotype" w:eastAsia="Palatino Linotype" w:hAnsi="Palatino Linotype" w:cs="Palatino Linotype"/>
          <w:b/>
          <w:color w:val="000000" w:themeColor="text1"/>
          <w:sz w:val="24"/>
          <w:szCs w:val="24"/>
        </w:rPr>
        <w:t>II. De la información solicitada y la respuesta del SUJETO OBLIGADO</w:t>
      </w: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Acotada la </w:t>
      </w:r>
      <w:r w:rsidRPr="007D7190">
        <w:rPr>
          <w:rFonts w:ascii="Palatino Linotype" w:eastAsia="Palatino Linotype" w:hAnsi="Palatino Linotype" w:cs="Palatino Linotype"/>
          <w:i/>
          <w:color w:val="000000" w:themeColor="text1"/>
        </w:rPr>
        <w:t>Litis</w:t>
      </w:r>
      <w:r w:rsidRPr="007D7190">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w:t>
      </w:r>
      <w:r w:rsidR="00C62E1B" w:rsidRPr="007D7190">
        <w:rPr>
          <w:rFonts w:ascii="Palatino Linotype" w:eastAsia="Palatino Linotype" w:hAnsi="Palatino Linotype" w:cs="Palatino Linotype"/>
          <w:color w:val="000000" w:themeColor="text1"/>
        </w:rPr>
        <w:t xml:space="preserve"> le</w:t>
      </w:r>
      <w:r w:rsidRPr="007D7190">
        <w:rPr>
          <w:rFonts w:ascii="Palatino Linotype" w:eastAsia="Palatino Linotype" w:hAnsi="Palatino Linotype" w:cs="Palatino Linotype"/>
          <w:color w:val="000000" w:themeColor="text1"/>
        </w:rPr>
        <w:t xml:space="preserve"> </w:t>
      </w:r>
      <w:r w:rsidR="00B169B5" w:rsidRPr="007D7190">
        <w:rPr>
          <w:rFonts w:ascii="Palatino Linotype" w:eastAsia="Palatino Linotype" w:hAnsi="Palatino Linotype" w:cs="Palatino Linotype"/>
          <w:color w:val="000000" w:themeColor="text1"/>
        </w:rPr>
        <w:t>entrega la información</w:t>
      </w:r>
      <w:r w:rsidRPr="007D7190">
        <w:rPr>
          <w:rFonts w:ascii="Palatino Linotype" w:eastAsia="Palatino Linotype" w:hAnsi="Palatino Linotype" w:cs="Palatino Linotype"/>
          <w:color w:val="000000" w:themeColor="text1"/>
        </w:rPr>
        <w:t xml:space="preserve">. </w:t>
      </w:r>
    </w:p>
    <w:p w:rsidR="00685D5F" w:rsidRPr="007D7190" w:rsidRDefault="00685D5F" w:rsidP="007D6F45">
      <w:pP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En ese sentido, es importante recordar la información que fue solicitada por el </w:t>
      </w:r>
      <w:r w:rsidRPr="007D7190">
        <w:rPr>
          <w:rFonts w:ascii="Palatino Linotype" w:eastAsia="Palatino Linotype" w:hAnsi="Palatino Linotype" w:cs="Palatino Linotype"/>
          <w:b/>
          <w:color w:val="000000" w:themeColor="text1"/>
        </w:rPr>
        <w:t xml:space="preserve">RECURRENTE. </w:t>
      </w:r>
    </w:p>
    <w:p w:rsidR="00532E4B" w:rsidRPr="007D7190" w:rsidRDefault="00532E4B" w:rsidP="007D6F45">
      <w:pPr>
        <w:spacing w:line="360" w:lineRule="auto"/>
        <w:jc w:val="center"/>
        <w:rPr>
          <w:rFonts w:ascii="Palatino Linotype" w:hAnsi="Palatino Linotype" w:cs="Arial"/>
          <w:b/>
          <w:i/>
          <w:color w:val="000000" w:themeColor="text1"/>
          <w:lang w:val="es-MX"/>
        </w:rPr>
      </w:pPr>
      <w:r w:rsidRPr="007D7190">
        <w:rPr>
          <w:rFonts w:ascii="Palatino Linotype" w:hAnsi="Palatino Linotype"/>
          <w:color w:val="000000" w:themeColor="text1"/>
        </w:rPr>
        <w:t> </w:t>
      </w:r>
      <w:r w:rsidRPr="007D7190">
        <w:rPr>
          <w:rFonts w:ascii="Palatino Linotype" w:hAnsi="Palatino Linotype"/>
          <w:b/>
          <w:i/>
          <w:color w:val="000000" w:themeColor="text1"/>
        </w:rPr>
        <w:t>-facturas pagadas a particulares por montos superiores a dos millones de pesos del ejercicio presupuestal 2024</w:t>
      </w:r>
    </w:p>
    <w:p w:rsidR="00685D5F" w:rsidRPr="007D7190" w:rsidRDefault="00685D5F" w:rsidP="007D6F45">
      <w:pPr>
        <w:pBdr>
          <w:top w:val="nil"/>
          <w:left w:val="nil"/>
          <w:bottom w:val="nil"/>
          <w:right w:val="nil"/>
          <w:between w:val="nil"/>
        </w:pBdr>
        <w:jc w:val="both"/>
        <w:rPr>
          <w:rFonts w:ascii="Palatino Linotype" w:eastAsia="Palatino Linotype" w:hAnsi="Palatino Linotype" w:cs="Palatino Linotype"/>
          <w:i/>
          <w:color w:val="000000" w:themeColor="text1"/>
        </w:rPr>
      </w:pPr>
    </w:p>
    <w:p w:rsidR="00685D5F" w:rsidRPr="007D7190" w:rsidRDefault="00685D5F" w:rsidP="007D6F45">
      <w:pPr>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 xml:space="preserve">De lo anterior, el </w:t>
      </w:r>
      <w:r w:rsidRPr="007D7190">
        <w:rPr>
          <w:rFonts w:ascii="Palatino Linotype" w:eastAsia="Palatino Linotype" w:hAnsi="Palatino Linotype" w:cs="Palatino Linotype"/>
          <w:b/>
          <w:color w:val="000000" w:themeColor="text1"/>
        </w:rPr>
        <w:t xml:space="preserve">SUJETO OBLIGADO </w:t>
      </w:r>
      <w:r w:rsidR="00EA2D4C" w:rsidRPr="007D7190">
        <w:rPr>
          <w:rFonts w:ascii="Palatino Linotype" w:eastAsia="Palatino Linotype" w:hAnsi="Palatino Linotype" w:cs="Palatino Linotype"/>
          <w:color w:val="000000" w:themeColor="text1"/>
        </w:rPr>
        <w:t xml:space="preserve">entregó </w:t>
      </w:r>
      <w:r w:rsidR="00532E4B" w:rsidRPr="007D7190">
        <w:rPr>
          <w:rFonts w:ascii="Palatino Linotype" w:eastAsia="Palatino Linotype" w:hAnsi="Palatino Linotype" w:cs="Palatino Linotype"/>
          <w:color w:val="000000" w:themeColor="text1"/>
        </w:rPr>
        <w:t xml:space="preserve">cuatro </w:t>
      </w:r>
      <w:r w:rsidR="00B169B5" w:rsidRPr="007D7190">
        <w:rPr>
          <w:rFonts w:ascii="Palatino Linotype" w:eastAsia="Palatino Linotype" w:hAnsi="Palatino Linotype" w:cs="Palatino Linotype"/>
          <w:color w:val="000000" w:themeColor="text1"/>
        </w:rPr>
        <w:t xml:space="preserve"> archivo</w:t>
      </w:r>
      <w:r w:rsidR="00EA2D4C" w:rsidRPr="007D7190">
        <w:rPr>
          <w:rFonts w:ascii="Palatino Linotype" w:eastAsia="Palatino Linotype" w:hAnsi="Palatino Linotype" w:cs="Palatino Linotype"/>
          <w:color w:val="000000" w:themeColor="text1"/>
        </w:rPr>
        <w:t>s</w:t>
      </w:r>
      <w:r w:rsidR="00B169B5" w:rsidRPr="007D7190">
        <w:rPr>
          <w:rFonts w:ascii="Palatino Linotype" w:eastAsia="Palatino Linotype" w:hAnsi="Palatino Linotype" w:cs="Palatino Linotype"/>
          <w:color w:val="000000" w:themeColor="text1"/>
        </w:rPr>
        <w:t xml:space="preserve"> </w:t>
      </w:r>
      <w:r w:rsidRPr="007D7190">
        <w:rPr>
          <w:rFonts w:ascii="Palatino Linotype" w:eastAsia="Palatino Linotype" w:hAnsi="Palatino Linotype" w:cs="Palatino Linotype"/>
          <w:color w:val="000000" w:themeColor="text1"/>
        </w:rPr>
        <w:t xml:space="preserve">en formato PDF, cuyo contenido grosso modo es el siguiente: </w:t>
      </w:r>
    </w:p>
    <w:p w:rsidR="00532E4B" w:rsidRPr="007D7190" w:rsidRDefault="00532E4B" w:rsidP="007D6F45">
      <w:pPr>
        <w:tabs>
          <w:tab w:val="left" w:pos="426"/>
        </w:tabs>
        <w:spacing w:line="360" w:lineRule="auto"/>
        <w:jc w:val="both"/>
        <w:rPr>
          <w:rFonts w:ascii="Palatino Linotype" w:hAnsi="Palatino Linotype" w:cs="Arial"/>
          <w:b/>
          <w:bCs/>
          <w:color w:val="000000" w:themeColor="text1"/>
        </w:rPr>
      </w:pPr>
      <w:r w:rsidRPr="007D7190">
        <w:rPr>
          <w:rFonts w:ascii="Palatino Linotype" w:eastAsia="Times New Roman" w:hAnsi="Palatino Linotype" w:cs="Arial"/>
          <w:b/>
          <w:color w:val="000000" w:themeColor="text1"/>
          <w:lang w:val="es-MX"/>
        </w:rPr>
        <w:t xml:space="preserve">1. </w:t>
      </w:r>
      <w:r w:rsidRPr="007D7190">
        <w:rPr>
          <w:rFonts w:ascii="Palatino Linotype" w:hAnsi="Palatino Linotype" w:cs="Arial"/>
          <w:b/>
          <w:bCs/>
          <w:color w:val="000000" w:themeColor="text1"/>
        </w:rPr>
        <w:t xml:space="preserve">ANEXOS FACTURAS 210 Censurado (1). : </w:t>
      </w:r>
    </w:p>
    <w:p w:rsidR="00532E4B" w:rsidRPr="007D7190" w:rsidRDefault="00532E4B" w:rsidP="007D6F45">
      <w:pPr>
        <w:tabs>
          <w:tab w:val="left" w:pos="426"/>
        </w:tabs>
        <w:spacing w:line="360" w:lineRule="auto"/>
        <w:jc w:val="both"/>
        <w:rPr>
          <w:rFonts w:ascii="Palatino Linotype" w:hAnsi="Palatino Linotype"/>
          <w:i/>
          <w:color w:val="000000" w:themeColor="text1"/>
        </w:rPr>
      </w:pPr>
      <w:r w:rsidRPr="007D7190">
        <w:rPr>
          <w:rFonts w:ascii="Palatino Linotype" w:hAnsi="Palatino Linotype" w:cs="Arial"/>
          <w:bCs/>
          <w:color w:val="000000" w:themeColor="text1"/>
        </w:rPr>
        <w:t>Donde anexa en versión pública  factura 775 y  factura A20</w:t>
      </w:r>
    </w:p>
    <w:p w:rsidR="00532E4B" w:rsidRPr="007D7190" w:rsidRDefault="00532E4B" w:rsidP="007D6F45">
      <w:pPr>
        <w:spacing w:line="360" w:lineRule="auto"/>
        <w:jc w:val="both"/>
        <w:rPr>
          <w:rFonts w:ascii="Palatino Linotype" w:hAnsi="Palatino Linotype"/>
          <w:b/>
          <w:color w:val="000000" w:themeColor="text1"/>
        </w:rPr>
      </w:pPr>
      <w:r w:rsidRPr="007D7190">
        <w:rPr>
          <w:rFonts w:ascii="Palatino Linotype" w:eastAsia="Times New Roman" w:hAnsi="Palatino Linotype" w:cs="Arial"/>
          <w:b/>
          <w:color w:val="000000" w:themeColor="text1"/>
          <w:lang w:val="es-MX"/>
        </w:rPr>
        <w:t>2.</w:t>
      </w:r>
      <w:r w:rsidRPr="007D7190">
        <w:rPr>
          <w:rFonts w:ascii="Palatino Linotype" w:hAnsi="Palatino Linotype"/>
          <w:b/>
          <w:i/>
          <w:color w:val="000000" w:themeColor="text1"/>
        </w:rPr>
        <w:t xml:space="preserve">  </w:t>
      </w:r>
      <w:r w:rsidRPr="007D7190">
        <w:rPr>
          <w:rFonts w:ascii="Palatino Linotype" w:hAnsi="Palatino Linotype" w:cs="Arial"/>
          <w:b/>
          <w:bCs/>
          <w:color w:val="000000" w:themeColor="text1"/>
        </w:rPr>
        <w:t>ACTA SEPTIMA EXTRA.pdf</w:t>
      </w:r>
      <w:r w:rsidRPr="007D7190">
        <w:rPr>
          <w:rFonts w:ascii="Palatino Linotype" w:hAnsi="Palatino Linotype"/>
          <w:b/>
          <w:color w:val="000000" w:themeColor="text1"/>
        </w:rPr>
        <w:t xml:space="preserve">: </w:t>
      </w:r>
    </w:p>
    <w:p w:rsidR="00532E4B" w:rsidRPr="007D7190" w:rsidRDefault="00532E4B" w:rsidP="007D6F45">
      <w:pPr>
        <w:spacing w:line="360" w:lineRule="auto"/>
        <w:jc w:val="both"/>
        <w:rPr>
          <w:rFonts w:ascii="Palatino Linotype" w:hAnsi="Palatino Linotype"/>
          <w:i/>
          <w:color w:val="000000" w:themeColor="text1"/>
        </w:rPr>
      </w:pPr>
      <w:r w:rsidRPr="007D7190">
        <w:rPr>
          <w:rFonts w:ascii="Palatino Linotype" w:eastAsia="Times New Roman" w:hAnsi="Palatino Linotype" w:cs="Arial"/>
          <w:i/>
          <w:color w:val="000000" w:themeColor="text1"/>
          <w:lang w:val="es-MX"/>
        </w:rPr>
        <w:t>Contiene acta del Comité de Transparencia donde se  aprueba clasificar como información reservada por un término de cinco años, respecto de la descripción del blindaje de vehículos contenida en 15 facturas con monto superior a 2 millones de pesos</w:t>
      </w:r>
      <w:r w:rsidRPr="007D7190">
        <w:rPr>
          <w:rFonts w:ascii="Palatino Linotype" w:hAnsi="Palatino Linotype"/>
          <w:i/>
          <w:color w:val="000000" w:themeColor="text1"/>
        </w:rPr>
        <w:t xml:space="preserve">; así también se clasifica como confidencial el </w:t>
      </w:r>
      <w:r w:rsidRPr="007D7190">
        <w:rPr>
          <w:rFonts w:ascii="Palatino Linotype" w:hAnsi="Palatino Linotype"/>
          <w:i/>
          <w:color w:val="000000" w:themeColor="text1"/>
        </w:rPr>
        <w:lastRenderedPageBreak/>
        <w:t>número de cuenta y Clave Interbancaria en dos facturas superiores a dos millones de pesos relativas a la solicitud origen del presente recurso.</w:t>
      </w:r>
    </w:p>
    <w:p w:rsidR="00532E4B" w:rsidRPr="007D7190" w:rsidRDefault="00532E4B" w:rsidP="007D6F45">
      <w:pPr>
        <w:tabs>
          <w:tab w:val="left" w:pos="426"/>
        </w:tabs>
        <w:spacing w:line="360" w:lineRule="auto"/>
        <w:jc w:val="both"/>
        <w:rPr>
          <w:rFonts w:ascii="Palatino Linotype" w:hAnsi="Palatino Linotype" w:cs="Arial"/>
          <w:b/>
          <w:bCs/>
          <w:color w:val="000000" w:themeColor="text1"/>
        </w:rPr>
      </w:pPr>
      <w:r w:rsidRPr="007D7190">
        <w:rPr>
          <w:rFonts w:ascii="Palatino Linotype" w:hAnsi="Palatino Linotype" w:cs="Arial"/>
          <w:b/>
          <w:bCs/>
          <w:color w:val="000000" w:themeColor="text1"/>
        </w:rPr>
        <w:t xml:space="preserve">3. INFORME JUSTFICADO RR 6533.pdf </w:t>
      </w:r>
    </w:p>
    <w:p w:rsidR="00532E4B" w:rsidRPr="007D7190" w:rsidRDefault="00532E4B" w:rsidP="007D6F45">
      <w:pPr>
        <w:tabs>
          <w:tab w:val="left" w:pos="426"/>
        </w:tabs>
        <w:spacing w:line="360" w:lineRule="auto"/>
        <w:jc w:val="both"/>
        <w:rPr>
          <w:rFonts w:ascii="Palatino Linotype" w:hAnsi="Palatino Linotype"/>
          <w:i/>
          <w:color w:val="000000" w:themeColor="text1"/>
        </w:rPr>
      </w:pPr>
      <w:r w:rsidRPr="007D7190">
        <w:rPr>
          <w:rFonts w:ascii="Palatino Linotype" w:hAnsi="Palatino Linotype" w:cs="Arial"/>
          <w:bCs/>
          <w:i/>
          <w:color w:val="000000" w:themeColor="text1"/>
        </w:rPr>
        <w:t>Donde rinde informe justificado, presenta prueba de daño contenida en anexo uno y solicita sobreseer el recurso.</w:t>
      </w:r>
    </w:p>
    <w:p w:rsidR="00532E4B" w:rsidRPr="007D7190" w:rsidRDefault="00532E4B" w:rsidP="007D6F45">
      <w:pPr>
        <w:tabs>
          <w:tab w:val="left" w:pos="426"/>
        </w:tabs>
        <w:spacing w:line="360" w:lineRule="auto"/>
        <w:jc w:val="both"/>
        <w:rPr>
          <w:rFonts w:ascii="Palatino Linotype" w:hAnsi="Palatino Linotype" w:cs="Arial"/>
          <w:b/>
          <w:bCs/>
          <w:color w:val="000000" w:themeColor="text1"/>
        </w:rPr>
      </w:pPr>
      <w:r w:rsidRPr="007D7190">
        <w:rPr>
          <w:rFonts w:ascii="Palatino Linotype" w:hAnsi="Palatino Linotype" w:cs="Arial"/>
          <w:b/>
          <w:bCs/>
          <w:color w:val="000000" w:themeColor="text1"/>
        </w:rPr>
        <w:t>4. ANEXO UNO SEPTIMA EXTRA.pdf</w:t>
      </w:r>
    </w:p>
    <w:p w:rsidR="00532E4B" w:rsidRPr="007D7190" w:rsidRDefault="00532E4B" w:rsidP="007D6F45">
      <w:pPr>
        <w:tabs>
          <w:tab w:val="left" w:pos="426"/>
        </w:tabs>
        <w:spacing w:line="360" w:lineRule="auto"/>
        <w:jc w:val="both"/>
        <w:rPr>
          <w:rFonts w:ascii="Palatino Linotype" w:hAnsi="Palatino Linotype"/>
          <w:i/>
          <w:color w:val="000000" w:themeColor="text1"/>
        </w:rPr>
      </w:pPr>
      <w:r w:rsidRPr="007D7190">
        <w:rPr>
          <w:rFonts w:ascii="Palatino Linotype" w:hAnsi="Palatino Linotype"/>
          <w:i/>
          <w:color w:val="000000" w:themeColor="text1"/>
        </w:rPr>
        <w:t>Presenta prueba de Daño</w:t>
      </w:r>
    </w:p>
    <w:p w:rsidR="00532E4B" w:rsidRPr="007D7190" w:rsidRDefault="00532E4B" w:rsidP="007D6F45">
      <w:pPr>
        <w:tabs>
          <w:tab w:val="left" w:pos="426"/>
        </w:tabs>
        <w:spacing w:line="360" w:lineRule="auto"/>
        <w:jc w:val="both"/>
        <w:rPr>
          <w:rFonts w:ascii="Palatino Linotype" w:hAnsi="Palatino Linotype" w:cs="Arial"/>
          <w:b/>
          <w:bCs/>
          <w:color w:val="000000" w:themeColor="text1"/>
        </w:rPr>
      </w:pPr>
      <w:r w:rsidRPr="007D7190">
        <w:rPr>
          <w:rFonts w:ascii="Palatino Linotype" w:hAnsi="Palatino Linotype" w:cs="Arial"/>
          <w:b/>
          <w:bCs/>
          <w:color w:val="000000" w:themeColor="text1"/>
        </w:rPr>
        <w:t>5. CUADRO DE CLASIFICACION RR 6533.pdf</w:t>
      </w:r>
    </w:p>
    <w:p w:rsidR="00532E4B" w:rsidRPr="007D7190" w:rsidRDefault="00532E4B" w:rsidP="007D6F45">
      <w:pPr>
        <w:tabs>
          <w:tab w:val="left" w:pos="426"/>
        </w:tabs>
        <w:spacing w:line="360" w:lineRule="auto"/>
        <w:jc w:val="both"/>
        <w:rPr>
          <w:rFonts w:ascii="Palatino Linotype" w:hAnsi="Palatino Linotype"/>
          <w:i/>
          <w:color w:val="000000" w:themeColor="text1"/>
        </w:rPr>
      </w:pPr>
      <w:r w:rsidRPr="007D7190">
        <w:rPr>
          <w:rFonts w:ascii="Palatino Linotype" w:hAnsi="Palatino Linotype" w:cs="Arial"/>
          <w:bCs/>
          <w:i/>
          <w:color w:val="000000" w:themeColor="text1"/>
        </w:rPr>
        <w:t>Donde presenta cuadro de clasificación total para quince facturas con monto superior a dos millones de pesos y clasificación parcial de “3”(Sic) facturas con monto superior a dos millones de pesos.</w:t>
      </w:r>
    </w:p>
    <w:p w:rsidR="00C4661A" w:rsidRPr="007D7190" w:rsidRDefault="00C4661A" w:rsidP="007D6F45">
      <w:pPr>
        <w:tabs>
          <w:tab w:val="left" w:pos="426"/>
        </w:tabs>
        <w:contextualSpacing/>
        <w:jc w:val="both"/>
        <w:rPr>
          <w:rFonts w:ascii="Palatino Linotype" w:eastAsia="Calibri" w:hAnsi="Palatino Linotype" w:cs="Arial"/>
          <w:i/>
          <w:color w:val="000000" w:themeColor="text1"/>
          <w:lang w:val="es-MX"/>
        </w:rPr>
      </w:pPr>
    </w:p>
    <w:p w:rsidR="007C3ED2" w:rsidRPr="007D7190" w:rsidRDefault="00845AE9" w:rsidP="007D6F45">
      <w:pPr>
        <w:pStyle w:val="Sinespaciado"/>
        <w:numPr>
          <w:ilvl w:val="0"/>
          <w:numId w:val="1"/>
        </w:numPr>
        <w:spacing w:line="360" w:lineRule="auto"/>
        <w:ind w:left="0" w:firstLine="0"/>
        <w:jc w:val="both"/>
        <w:rPr>
          <w:rFonts w:ascii="Palatino Linotype" w:hAnsi="Palatino Linotype"/>
          <w:color w:val="000000" w:themeColor="text1"/>
          <w:sz w:val="24"/>
          <w:szCs w:val="24"/>
          <w:lang w:val="es-ES_tradnl"/>
        </w:rPr>
      </w:pPr>
      <w:r w:rsidRPr="007D7190">
        <w:rPr>
          <w:rFonts w:ascii="Palatino Linotype" w:hAnsi="Palatino Linotype"/>
          <w:color w:val="000000" w:themeColor="text1"/>
          <w:sz w:val="24"/>
          <w:szCs w:val="24"/>
          <w:lang w:val="es-ES_tradnl"/>
        </w:rPr>
        <w:t xml:space="preserve">En ese tenor, en virtud de que la solicitud del particular consiste en conocer </w:t>
      </w:r>
      <w:r w:rsidR="00087924" w:rsidRPr="007D7190">
        <w:rPr>
          <w:rFonts w:ascii="Palatino Linotype" w:hAnsi="Palatino Linotype"/>
          <w:color w:val="000000" w:themeColor="text1"/>
          <w:sz w:val="24"/>
          <w:szCs w:val="24"/>
          <w:lang w:val="es-ES_tradnl"/>
        </w:rPr>
        <w:t>las facturas por montos superiores a dos millones de pesos que fueron pagadas a particulares durante el ejercicio presupuestario de dos mil veinticuatro</w:t>
      </w:r>
      <w:r w:rsidR="00381726" w:rsidRPr="007D7190">
        <w:rPr>
          <w:rFonts w:ascii="Palatino Linotype" w:hAnsi="Palatino Linotype"/>
          <w:color w:val="000000" w:themeColor="text1"/>
          <w:sz w:val="24"/>
          <w:szCs w:val="24"/>
          <w:lang w:val="es-ES_tradnl"/>
        </w:rPr>
        <w:t xml:space="preserve"> </w:t>
      </w:r>
      <w:r w:rsidR="00087924" w:rsidRPr="007D7190">
        <w:rPr>
          <w:rFonts w:ascii="Palatino Linotype" w:hAnsi="Palatino Linotype"/>
          <w:color w:val="000000" w:themeColor="text1"/>
          <w:sz w:val="24"/>
          <w:szCs w:val="24"/>
          <w:lang w:val="es-ES_tradnl"/>
        </w:rPr>
        <w:t xml:space="preserve"> y dado que el Sujeto Obligado al rendir su Informe Justificado hizo propias las facturas tanto que en sesión de Comité de Transparencia se ordenó la clasificación parcial de datos de dos facturas y la reserva total por cinco años de otras quince facturas es que se omite por obviedad el estudio relativo a la fuente obligacional para la entrega de la información requerida por el Recurrente, sin embargo en orden de </w:t>
      </w:r>
      <w:r w:rsidR="00273C1B" w:rsidRPr="007D7190">
        <w:rPr>
          <w:rFonts w:ascii="Palatino Linotype" w:hAnsi="Palatino Linotype"/>
          <w:color w:val="000000" w:themeColor="text1"/>
          <w:sz w:val="24"/>
          <w:szCs w:val="24"/>
          <w:lang w:val="es-ES_tradnl"/>
        </w:rPr>
        <w:t>identificar que rubros de la solicitud quedaron colmados a partir del informe justificado, por lo que se adjunta el cuadro siguiente:</w:t>
      </w:r>
    </w:p>
    <w:tbl>
      <w:tblPr>
        <w:tblStyle w:val="Tablaconcuadrcula"/>
        <w:tblW w:w="9493" w:type="dxa"/>
        <w:tblLook w:val="04A0" w:firstRow="1" w:lastRow="0" w:firstColumn="1" w:lastColumn="0" w:noHBand="0" w:noVBand="1"/>
      </w:tblPr>
      <w:tblGrid>
        <w:gridCol w:w="4673"/>
        <w:gridCol w:w="4820"/>
      </w:tblGrid>
      <w:tr w:rsidR="007D6F45" w:rsidRPr="007D7190" w:rsidTr="000442BF">
        <w:tc>
          <w:tcPr>
            <w:tcW w:w="4673" w:type="dxa"/>
          </w:tcPr>
          <w:p w:rsidR="007C3ED2" w:rsidRPr="007D7190" w:rsidRDefault="007C3ED2" w:rsidP="007D6F45">
            <w:pPr>
              <w:pStyle w:val="Sinespaciado"/>
              <w:spacing w:line="360" w:lineRule="auto"/>
              <w:jc w:val="center"/>
              <w:rPr>
                <w:rFonts w:ascii="Palatino Linotype" w:hAnsi="Palatino Linotype"/>
                <w:b/>
                <w:color w:val="000000" w:themeColor="text1"/>
                <w:sz w:val="24"/>
                <w:szCs w:val="24"/>
                <w:lang w:val="es-ES_tradnl"/>
              </w:rPr>
            </w:pPr>
            <w:r w:rsidRPr="007D7190">
              <w:rPr>
                <w:rFonts w:ascii="Palatino Linotype" w:hAnsi="Palatino Linotype"/>
                <w:b/>
                <w:color w:val="000000" w:themeColor="text1"/>
                <w:sz w:val="24"/>
                <w:szCs w:val="24"/>
                <w:lang w:val="es-ES_tradnl"/>
              </w:rPr>
              <w:t>SOLICITUD</w:t>
            </w:r>
          </w:p>
        </w:tc>
        <w:tc>
          <w:tcPr>
            <w:tcW w:w="4820" w:type="dxa"/>
          </w:tcPr>
          <w:p w:rsidR="007C3ED2" w:rsidRPr="007D7190" w:rsidRDefault="007C3ED2" w:rsidP="007D6F45">
            <w:pPr>
              <w:pStyle w:val="Sinespaciado"/>
              <w:spacing w:line="360" w:lineRule="auto"/>
              <w:jc w:val="center"/>
              <w:rPr>
                <w:rFonts w:ascii="Palatino Linotype" w:hAnsi="Palatino Linotype"/>
                <w:b/>
                <w:color w:val="000000" w:themeColor="text1"/>
                <w:sz w:val="24"/>
                <w:szCs w:val="24"/>
                <w:lang w:val="es-ES_tradnl"/>
              </w:rPr>
            </w:pPr>
            <w:r w:rsidRPr="007D7190">
              <w:rPr>
                <w:rFonts w:ascii="Palatino Linotype" w:hAnsi="Palatino Linotype"/>
                <w:b/>
                <w:color w:val="000000" w:themeColor="text1"/>
                <w:sz w:val="24"/>
                <w:szCs w:val="24"/>
                <w:lang w:val="es-ES_tradnl"/>
              </w:rPr>
              <w:t>CUMPLIMIENTO</w:t>
            </w:r>
          </w:p>
        </w:tc>
      </w:tr>
      <w:tr w:rsidR="007D6F45" w:rsidRPr="007D7190" w:rsidTr="000442BF">
        <w:tc>
          <w:tcPr>
            <w:tcW w:w="4673" w:type="dxa"/>
          </w:tcPr>
          <w:p w:rsidR="007C3ED2" w:rsidRPr="007D7190" w:rsidRDefault="007C3ED2" w:rsidP="007D6F45">
            <w:pPr>
              <w:spacing w:line="360" w:lineRule="auto"/>
              <w:jc w:val="center"/>
              <w:rPr>
                <w:rFonts w:ascii="Palatino Linotype" w:hAnsi="Palatino Linotype" w:cs="Arial"/>
                <w:color w:val="000000" w:themeColor="text1"/>
                <w:lang w:val="es-MX"/>
              </w:rPr>
            </w:pPr>
            <w:r w:rsidRPr="007D7190">
              <w:rPr>
                <w:rFonts w:ascii="Palatino Linotype" w:hAnsi="Palatino Linotype"/>
                <w:color w:val="000000" w:themeColor="text1"/>
              </w:rPr>
              <w:t>facturas pagadas a particulares por montos superiores a dos millones de pesos del ejercicio presupuestal 2024</w:t>
            </w:r>
          </w:p>
          <w:p w:rsidR="007C3ED2" w:rsidRPr="007D7190" w:rsidRDefault="007C3ED2" w:rsidP="007D6F45">
            <w:pPr>
              <w:pStyle w:val="Sinespaciado"/>
              <w:spacing w:line="360" w:lineRule="auto"/>
              <w:jc w:val="both"/>
              <w:rPr>
                <w:rFonts w:ascii="Palatino Linotype" w:hAnsi="Palatino Linotype"/>
                <w:color w:val="000000" w:themeColor="text1"/>
                <w:sz w:val="24"/>
                <w:szCs w:val="24"/>
                <w:lang w:val="es-ES_tradnl"/>
              </w:rPr>
            </w:pPr>
          </w:p>
        </w:tc>
        <w:tc>
          <w:tcPr>
            <w:tcW w:w="4820" w:type="dxa"/>
          </w:tcPr>
          <w:p w:rsidR="007C3ED2" w:rsidRPr="007D7190" w:rsidRDefault="007C3ED2" w:rsidP="007D6F45">
            <w:pPr>
              <w:pStyle w:val="Sinespaciado"/>
              <w:spacing w:line="360" w:lineRule="auto"/>
              <w:jc w:val="center"/>
              <w:rPr>
                <w:rFonts w:ascii="Palatino Linotype" w:hAnsi="Palatino Linotype"/>
                <w:color w:val="000000" w:themeColor="text1"/>
                <w:sz w:val="24"/>
                <w:szCs w:val="24"/>
                <w:lang w:val="es-ES_tradnl"/>
              </w:rPr>
            </w:pPr>
            <w:r w:rsidRPr="007D7190">
              <w:rPr>
                <w:rFonts w:ascii="Palatino Linotype" w:hAnsi="Palatino Linotype"/>
                <w:color w:val="000000" w:themeColor="text1"/>
                <w:sz w:val="24"/>
                <w:szCs w:val="24"/>
                <w:lang w:val="es-ES_tradnl"/>
              </w:rPr>
              <w:lastRenderedPageBreak/>
              <w:t>NO</w:t>
            </w:r>
          </w:p>
          <w:p w:rsidR="007C3ED2" w:rsidRPr="007D7190" w:rsidRDefault="007C3ED2" w:rsidP="007D6F45">
            <w:pPr>
              <w:pStyle w:val="Sinespaciado"/>
              <w:spacing w:line="360" w:lineRule="auto"/>
              <w:jc w:val="center"/>
              <w:rPr>
                <w:rFonts w:ascii="Palatino Linotype" w:hAnsi="Palatino Linotype"/>
                <w:i/>
                <w:color w:val="000000" w:themeColor="text1"/>
                <w:sz w:val="24"/>
                <w:szCs w:val="24"/>
                <w:lang w:val="es-ES_tradnl"/>
              </w:rPr>
            </w:pPr>
            <w:r w:rsidRPr="007D7190">
              <w:rPr>
                <w:rFonts w:ascii="Palatino Linotype" w:hAnsi="Palatino Linotype"/>
                <w:color w:val="000000" w:themeColor="text1"/>
                <w:sz w:val="24"/>
                <w:szCs w:val="24"/>
                <w:lang w:val="es-ES_tradnl"/>
              </w:rPr>
              <w:t>-</w:t>
            </w:r>
            <w:r w:rsidR="007D3C60" w:rsidRPr="007D7190">
              <w:rPr>
                <w:rFonts w:ascii="Palatino Linotype" w:hAnsi="Palatino Linotype"/>
                <w:color w:val="000000" w:themeColor="text1"/>
                <w:sz w:val="24"/>
                <w:szCs w:val="24"/>
                <w:lang w:val="es-ES_tradnl"/>
              </w:rPr>
              <w:t>Solo e</w:t>
            </w:r>
            <w:r w:rsidRPr="007D7190">
              <w:rPr>
                <w:rFonts w:ascii="Palatino Linotype" w:hAnsi="Palatino Linotype"/>
                <w:i/>
                <w:color w:val="000000" w:themeColor="text1"/>
                <w:sz w:val="24"/>
                <w:szCs w:val="24"/>
                <w:lang w:val="es-ES_tradnl"/>
              </w:rPr>
              <w:t xml:space="preserve">ntrega dos facturas </w:t>
            </w:r>
            <w:r w:rsidR="007D3C60" w:rsidRPr="007D7190">
              <w:rPr>
                <w:rFonts w:ascii="Palatino Linotype" w:hAnsi="Palatino Linotype"/>
                <w:i/>
                <w:color w:val="000000" w:themeColor="text1"/>
                <w:sz w:val="24"/>
                <w:szCs w:val="24"/>
                <w:lang w:val="es-ES_tradnl"/>
              </w:rPr>
              <w:t>en versión pública</w:t>
            </w:r>
            <w:r w:rsidRPr="007D7190">
              <w:rPr>
                <w:rFonts w:ascii="Palatino Linotype" w:hAnsi="Palatino Linotype"/>
                <w:i/>
                <w:color w:val="000000" w:themeColor="text1"/>
                <w:sz w:val="24"/>
                <w:szCs w:val="24"/>
                <w:lang w:val="es-ES_tradnl"/>
              </w:rPr>
              <w:t>.</w:t>
            </w:r>
          </w:p>
          <w:p w:rsidR="007C3ED2" w:rsidRPr="007D7190" w:rsidRDefault="007C3ED2" w:rsidP="007D6F45">
            <w:pPr>
              <w:pStyle w:val="Sinespaciado"/>
              <w:spacing w:line="360" w:lineRule="auto"/>
              <w:jc w:val="center"/>
              <w:rPr>
                <w:rFonts w:ascii="Palatino Linotype" w:hAnsi="Palatino Linotype"/>
                <w:color w:val="000000" w:themeColor="text1"/>
                <w:sz w:val="24"/>
                <w:szCs w:val="24"/>
                <w:lang w:val="es-ES_tradnl"/>
              </w:rPr>
            </w:pPr>
            <w:r w:rsidRPr="007D7190">
              <w:rPr>
                <w:rFonts w:ascii="Palatino Linotype" w:hAnsi="Palatino Linotype"/>
                <w:i/>
                <w:color w:val="000000" w:themeColor="text1"/>
                <w:sz w:val="24"/>
                <w:szCs w:val="24"/>
                <w:lang w:val="es-ES_tradnl"/>
              </w:rPr>
              <w:lastRenderedPageBreak/>
              <w:t>-Reserva quince facturas en su totalidad por contener información relativa a cuestiones técnicas del equipamiento de vehículos para uso de mandos medios.</w:t>
            </w:r>
            <w:r w:rsidRPr="007D7190">
              <w:rPr>
                <w:rFonts w:ascii="Palatino Linotype" w:hAnsi="Palatino Linotype"/>
                <w:color w:val="000000" w:themeColor="text1"/>
                <w:sz w:val="24"/>
                <w:szCs w:val="24"/>
                <w:lang w:val="es-ES_tradnl"/>
              </w:rPr>
              <w:t xml:space="preserve"> </w:t>
            </w:r>
          </w:p>
        </w:tc>
      </w:tr>
    </w:tbl>
    <w:p w:rsidR="000442BF" w:rsidRDefault="000442BF" w:rsidP="007D6F45">
      <w:pPr>
        <w:spacing w:line="360" w:lineRule="auto"/>
        <w:contextualSpacing/>
        <w:jc w:val="both"/>
        <w:rPr>
          <w:rFonts w:ascii="Palatino Linotype" w:hAnsi="Palatino Linotype"/>
          <w:color w:val="000000" w:themeColor="text1"/>
        </w:rPr>
      </w:pPr>
    </w:p>
    <w:p w:rsidR="00C407F8" w:rsidRPr="007D7190" w:rsidRDefault="000442BF" w:rsidP="007D6F45">
      <w:pPr>
        <w:spacing w:line="360" w:lineRule="auto"/>
        <w:contextualSpacing/>
        <w:jc w:val="both"/>
        <w:rPr>
          <w:rFonts w:ascii="Palatino Linotype" w:eastAsia="Palatino Linotype" w:hAnsi="Palatino Linotype" w:cs="Palatino Linotype"/>
          <w:bCs/>
          <w:color w:val="000000" w:themeColor="text1"/>
        </w:rPr>
      </w:pPr>
      <w:r>
        <w:rPr>
          <w:rFonts w:ascii="Palatino Linotype" w:hAnsi="Palatino Linotype"/>
          <w:color w:val="000000" w:themeColor="text1"/>
        </w:rPr>
        <w:t>Ahora bien</w:t>
      </w:r>
      <w:r w:rsidR="00C407F8" w:rsidRPr="007D7190">
        <w:rPr>
          <w:rFonts w:ascii="Palatino Linotype" w:hAnsi="Palatino Linotype"/>
          <w:color w:val="000000" w:themeColor="text1"/>
        </w:rPr>
        <w:t xml:space="preserve">, con respecto a las Cuentas bancarias y Claves Interbancarias la </w:t>
      </w:r>
      <w:r w:rsidR="00C407F8" w:rsidRPr="007D7190">
        <w:rPr>
          <w:rFonts w:ascii="Palatino Linotype" w:eastAsia="Palatino Linotype" w:hAnsi="Palatino Linotype" w:cs="Palatino Linotype"/>
          <w:bCs/>
          <w:color w:val="000000" w:themeColor="text1"/>
        </w:rPr>
        <w:t>Ley General de Títulos y Operaciones de Crédito, define a la cuenta bancaria y los estados de cuenta, en los términos siguientes:</w:t>
      </w:r>
    </w:p>
    <w:p w:rsidR="00C407F8" w:rsidRPr="007D7190" w:rsidRDefault="00C407F8" w:rsidP="000442BF">
      <w:pPr>
        <w:pStyle w:val="Prrafodelista"/>
        <w:numPr>
          <w:ilvl w:val="0"/>
          <w:numId w:val="37"/>
        </w:numPr>
        <w:spacing w:line="360" w:lineRule="auto"/>
        <w:ind w:left="0" w:firstLine="0"/>
        <w:jc w:val="both"/>
        <w:rPr>
          <w:rFonts w:ascii="Palatino Linotype" w:eastAsia="Palatino Linotype" w:hAnsi="Palatino Linotype" w:cs="Palatino Linotype"/>
          <w:b/>
          <w:bCs/>
          <w:color w:val="000000" w:themeColor="text1"/>
        </w:rPr>
      </w:pPr>
      <w:r w:rsidRPr="007D7190">
        <w:rPr>
          <w:rFonts w:ascii="Palatino Linotype" w:eastAsia="Palatino Linotype" w:hAnsi="Palatino Linotype" w:cs="Palatino Linotype"/>
          <w:b/>
          <w:bCs/>
          <w:color w:val="000000" w:themeColor="text1"/>
        </w:rPr>
        <w:t xml:space="preserve">Cuenta bancaria: </w:t>
      </w:r>
      <w:r w:rsidRPr="007D7190">
        <w:rPr>
          <w:rFonts w:ascii="Palatino Linotype" w:hAnsi="Palatino Linotype"/>
          <w:color w:val="000000" w:themeColor="text1"/>
        </w:rPr>
        <w:t xml:space="preserve">Es un registro administrado por una institución financiera </w:t>
      </w:r>
      <w:r w:rsidRPr="007D7190">
        <w:rPr>
          <w:rFonts w:ascii="Palatino Linotype" w:eastAsia="Arial Unicode MS" w:hAnsi="Palatino Linotype" w:cs="Arial"/>
          <w:color w:val="000000" w:themeColor="text1"/>
        </w:rPr>
        <w:t>que avala los recursos enviados a las órdenes de cargo, pago de nómina o a las transferencias electrónicas de fondos interbancarios se utilicen exclusivamente en la cuenta señalada por el cliente</w:t>
      </w:r>
      <w:r w:rsidRPr="007D7190">
        <w:rPr>
          <w:rFonts w:ascii="Palatino Linotype" w:hAnsi="Palatino Linotype"/>
          <w:color w:val="000000" w:themeColor="text1"/>
        </w:rPr>
        <w:t xml:space="preserve">, en el que guarda dinero y contabiliza todas las entradas y salidas de efectivo, así como los créditos en curso, inversiones y productos relacionados, la cual se encuentra estructurada entre otras cosas por un </w:t>
      </w:r>
      <w:r w:rsidRPr="007D7190">
        <w:rPr>
          <w:rFonts w:ascii="Palatino Linotype" w:eastAsia="Palatino Linotype" w:hAnsi="Palatino Linotype" w:cs="Palatino Linotype"/>
          <w:b/>
          <w:bCs/>
          <w:color w:val="000000" w:themeColor="text1"/>
        </w:rPr>
        <w:t xml:space="preserve">Número de cuenta: </w:t>
      </w:r>
      <w:r w:rsidRPr="007D7190">
        <w:rPr>
          <w:rFonts w:ascii="Palatino Linotype" w:eastAsia="Palatino Linotype" w:hAnsi="Palatino Linotype" w:cs="Palatino Linotype"/>
          <w:bCs/>
          <w:color w:val="000000" w:themeColor="text1"/>
        </w:rPr>
        <w:t>Integrada por un código alfanumérico único de dieciocho dígitos que identifica la cuenta y permite la realización de transacciones.</w:t>
      </w:r>
    </w:p>
    <w:p w:rsidR="00C407F8" w:rsidRDefault="00C407F8" w:rsidP="000442BF">
      <w:pPr>
        <w:pStyle w:val="Prrafodelista"/>
        <w:numPr>
          <w:ilvl w:val="0"/>
          <w:numId w:val="37"/>
        </w:numPr>
        <w:shd w:val="clear" w:color="auto" w:fill="FFFFFF"/>
        <w:spacing w:before="240" w:after="390" w:line="360" w:lineRule="auto"/>
        <w:ind w:left="0" w:firstLine="0"/>
        <w:jc w:val="both"/>
        <w:rPr>
          <w:rFonts w:ascii="Palatino Linotype" w:eastAsia="Times New Roman" w:hAnsi="Palatino Linotype" w:cs="Times New Roman"/>
          <w:color w:val="000000" w:themeColor="text1"/>
          <w:lang w:val="es-MX" w:eastAsia="es-MX"/>
        </w:rPr>
      </w:pPr>
      <w:r w:rsidRPr="007D7190">
        <w:rPr>
          <w:rFonts w:ascii="Palatino Linotype" w:eastAsia="Times New Roman" w:hAnsi="Palatino Linotype" w:cs="Times New Roman"/>
          <w:color w:val="000000" w:themeColor="text1"/>
          <w:lang w:val="es-MX" w:eastAsia="es-MX"/>
        </w:rPr>
        <w:t>La </w:t>
      </w:r>
      <w:r w:rsidRPr="007D7190">
        <w:rPr>
          <w:rFonts w:ascii="Palatino Linotype" w:eastAsia="Times New Roman" w:hAnsi="Palatino Linotype" w:cs="Times New Roman"/>
          <w:b/>
          <w:bCs/>
          <w:color w:val="000000" w:themeColor="text1"/>
          <w:lang w:val="es-MX" w:eastAsia="es-MX"/>
        </w:rPr>
        <w:t>CLABE</w:t>
      </w:r>
      <w:r w:rsidRPr="007D7190">
        <w:rPr>
          <w:rFonts w:ascii="Palatino Linotype" w:eastAsia="Times New Roman" w:hAnsi="Palatino Linotype" w:cs="Times New Roman"/>
          <w:color w:val="000000" w:themeColor="text1"/>
          <w:lang w:val="es-MX" w:eastAsia="es-MX"/>
        </w:rPr>
        <w:t> es un número único e irrepetible asignado a cada  cuenta bancaria  y tiene por objeto darle mayor certeza y seguridad a las transferencias de un banco a otro y que las órdenes de cargo se apliquen exclusivamente a la cuenta señalada por el usuario, ya sea como origen o destino. No sustituye el número de cuenta de cheques o de la tarjeta de débito, es sólo una referencia adicional. La </w:t>
      </w:r>
      <w:r w:rsidRPr="007D7190">
        <w:rPr>
          <w:rFonts w:ascii="Palatino Linotype" w:eastAsia="Times New Roman" w:hAnsi="Palatino Linotype" w:cs="Times New Roman"/>
          <w:b/>
          <w:bCs/>
          <w:color w:val="000000" w:themeColor="text1"/>
          <w:lang w:val="es-MX" w:eastAsia="es-MX"/>
        </w:rPr>
        <w:t>CLABE</w:t>
      </w:r>
      <w:r w:rsidRPr="007D7190">
        <w:rPr>
          <w:rFonts w:ascii="Palatino Linotype" w:eastAsia="Times New Roman" w:hAnsi="Palatino Linotype" w:cs="Times New Roman"/>
          <w:color w:val="000000" w:themeColor="text1"/>
          <w:lang w:val="es-MX" w:eastAsia="es-MX"/>
        </w:rPr>
        <w:t> también es utilizada para pagar automáticamente servicios como el teléfono, agua, luz, etc, con cargo directo a una cuenta de cheques o a la tarjeta de débito a través del servicio </w:t>
      </w:r>
      <w:r w:rsidRPr="007D7190">
        <w:rPr>
          <w:rFonts w:ascii="Palatino Linotype" w:eastAsia="Times New Roman" w:hAnsi="Palatino Linotype" w:cs="Times New Roman"/>
          <w:b/>
          <w:bCs/>
          <w:color w:val="000000" w:themeColor="text1"/>
          <w:lang w:val="es-MX" w:eastAsia="es-MX"/>
        </w:rPr>
        <w:t xml:space="preserve">“domiciliación de pagos”. Está compuesta por 18 dígitos: </w:t>
      </w:r>
      <w:r w:rsidRPr="007D7190">
        <w:rPr>
          <w:rFonts w:ascii="Palatino Linotype" w:eastAsia="Times New Roman" w:hAnsi="Palatino Linotype" w:cs="Times New Roman"/>
          <w:color w:val="000000" w:themeColor="text1"/>
          <w:lang w:val="es-MX" w:eastAsia="es-MX"/>
        </w:rPr>
        <w:t xml:space="preserve">6 son del banco, 11 del número de cuenta del destinatario de los </w:t>
      </w:r>
      <w:r w:rsidRPr="007D7190">
        <w:rPr>
          <w:rFonts w:ascii="Palatino Linotype" w:eastAsia="Times New Roman" w:hAnsi="Palatino Linotype" w:cs="Times New Roman"/>
          <w:color w:val="000000" w:themeColor="text1"/>
          <w:lang w:val="es-MX" w:eastAsia="es-MX"/>
        </w:rPr>
        <w:lastRenderedPageBreak/>
        <w:t>fondos, 1 del dígito verificador, que confirma que los dígitos de banco, sucursal y cuenta sean correctos entre sí.</w:t>
      </w:r>
    </w:p>
    <w:p w:rsidR="000442BF" w:rsidRPr="000442BF" w:rsidRDefault="000442BF" w:rsidP="000442BF">
      <w:pPr>
        <w:pStyle w:val="Prrafodelista"/>
        <w:shd w:val="clear" w:color="auto" w:fill="FFFFFF"/>
        <w:spacing w:before="240" w:after="390" w:line="360" w:lineRule="auto"/>
        <w:ind w:left="0"/>
        <w:jc w:val="both"/>
        <w:rPr>
          <w:rFonts w:ascii="Palatino Linotype" w:eastAsia="Times New Roman" w:hAnsi="Palatino Linotype" w:cs="Times New Roman"/>
          <w:color w:val="000000" w:themeColor="text1"/>
          <w:lang w:val="es-MX" w:eastAsia="es-MX"/>
        </w:rPr>
      </w:pPr>
    </w:p>
    <w:p w:rsidR="00381726" w:rsidRPr="007D7190" w:rsidRDefault="00381726" w:rsidP="007D6F45">
      <w:pPr>
        <w:pStyle w:val="Prrafodelista"/>
        <w:numPr>
          <w:ilvl w:val="0"/>
          <w:numId w:val="1"/>
        </w:numPr>
        <w:spacing w:line="360" w:lineRule="auto"/>
        <w:ind w:left="0" w:firstLine="0"/>
        <w:jc w:val="both"/>
        <w:rPr>
          <w:rFonts w:ascii="Palatino Linotype" w:eastAsia="Palatino Linotype" w:hAnsi="Palatino Linotype" w:cs="Palatino Linotype"/>
          <w:bCs/>
          <w:color w:val="000000" w:themeColor="text1"/>
        </w:rPr>
      </w:pPr>
      <w:r w:rsidRPr="007D7190">
        <w:rPr>
          <w:rFonts w:ascii="Palatino Linotype" w:eastAsia="Palatino Linotype" w:hAnsi="Palatino Linotype" w:cs="Palatino Linotype"/>
          <w:bCs/>
          <w:color w:val="000000" w:themeColor="text1"/>
        </w:rPr>
        <w:t>En este sentido, los artículos 342, 343, 344 y 345 del Código Financiero del Estado de México y Municipios, los cuales establecen las políticas para llevar a cabo el registro contable y presupuestal de las operaciones financieras de las instituciones públicas, el cual deberá ser soportado con los documentos comprobatorios que deberán permanecer en custodia y conservación de las dependencias que ejercen el gasto y a disposición del Órgano Superior de Fiscalización del Estado de México.</w:t>
      </w:r>
    </w:p>
    <w:p w:rsidR="00381726" w:rsidRPr="007D7190" w:rsidRDefault="00381726" w:rsidP="007D6F45">
      <w:pPr>
        <w:spacing w:line="360" w:lineRule="auto"/>
        <w:jc w:val="both"/>
        <w:rPr>
          <w:rFonts w:ascii="Palatino Linotype" w:eastAsia="Palatino Linotype" w:hAnsi="Palatino Linotype" w:cs="Palatino Linotype"/>
          <w:bCs/>
          <w:color w:val="000000" w:themeColor="text1"/>
        </w:rPr>
      </w:pPr>
    </w:p>
    <w:p w:rsidR="00381726" w:rsidRPr="007D7190" w:rsidRDefault="00381726" w:rsidP="007D6F45">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7D7190">
        <w:rPr>
          <w:rFonts w:ascii="Palatino Linotype" w:eastAsia="Palatino Linotype" w:hAnsi="Palatino Linotype" w:cs="Palatino Linotype"/>
          <w:bCs/>
          <w:color w:val="000000" w:themeColor="text1"/>
        </w:rPr>
        <w:t xml:space="preserve">Además, mediante los números de cuenta se reciben recursos públicos que deben considerarse como tal, pues su difusión y entrega favorece la rendición de cuentas al transparentar la forma en que se administran los recursos públicos, lo anterior se robustece con el actualmente </w:t>
      </w:r>
      <w:r w:rsidRPr="007D7190">
        <w:rPr>
          <w:rFonts w:ascii="Palatino Linotype" w:hAnsi="Palatino Linotype"/>
          <w:color w:val="000000" w:themeColor="text1"/>
          <w:lang w:val="es-ES"/>
        </w:rPr>
        <w:t>criterio orientador el número 11/17, del extinto Instituto Nacional de Transparencia, Acceso a la Información y Protección de Datos Personales, que a la letra precisa:</w:t>
      </w:r>
    </w:p>
    <w:p w:rsidR="00381726" w:rsidRPr="007D7190" w:rsidRDefault="00381726" w:rsidP="007D6F45">
      <w:pPr>
        <w:tabs>
          <w:tab w:val="left" w:pos="7938"/>
        </w:tabs>
        <w:spacing w:line="360" w:lineRule="auto"/>
        <w:jc w:val="center"/>
        <w:rPr>
          <w:rFonts w:ascii="Palatino Linotype" w:hAnsi="Palatino Linotype" w:cs="Arial"/>
          <w:i/>
          <w:color w:val="000000" w:themeColor="text1"/>
        </w:rPr>
      </w:pPr>
      <w:r w:rsidRPr="007D7190">
        <w:rPr>
          <w:rFonts w:ascii="Palatino Linotype" w:hAnsi="Palatino Linotype" w:cs="Arial"/>
          <w:i/>
          <w:color w:val="000000" w:themeColor="text1"/>
        </w:rPr>
        <w:t>“</w:t>
      </w:r>
      <w:r w:rsidRPr="007D7190">
        <w:rPr>
          <w:rFonts w:ascii="Palatino Linotype" w:hAnsi="Palatino Linotype" w:cs="Arial"/>
          <w:b/>
          <w:i/>
          <w:color w:val="000000" w:themeColor="text1"/>
        </w:rPr>
        <w:t>Cuentas bancarias y/o CLABE interbancaria de sujetos obligados que reciben y/o transfieren recursos públicos, son información pública</w:t>
      </w:r>
      <w:r w:rsidRPr="007D7190">
        <w:rPr>
          <w:rFonts w:ascii="Palatino Linotype" w:hAnsi="Palatino Linotype" w:cs="Arial"/>
          <w:i/>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81726" w:rsidRPr="007D7190" w:rsidRDefault="00381726" w:rsidP="007D6F45">
      <w:pPr>
        <w:tabs>
          <w:tab w:val="left" w:pos="7938"/>
        </w:tabs>
        <w:spacing w:line="360" w:lineRule="auto"/>
        <w:jc w:val="both"/>
        <w:rPr>
          <w:rFonts w:ascii="Palatino Linotype" w:hAnsi="Palatino Linotype" w:cs="Arial"/>
          <w:i/>
          <w:color w:val="000000" w:themeColor="text1"/>
        </w:rPr>
      </w:pPr>
    </w:p>
    <w:p w:rsidR="00381726" w:rsidRPr="007D7190" w:rsidRDefault="00381726" w:rsidP="007D6F45">
      <w:pPr>
        <w:pStyle w:val="Prrafodelista"/>
        <w:widowControl w:val="0"/>
        <w:numPr>
          <w:ilvl w:val="0"/>
          <w:numId w:val="1"/>
        </w:numPr>
        <w:spacing w:line="360" w:lineRule="auto"/>
        <w:ind w:left="0" w:firstLine="0"/>
        <w:jc w:val="both"/>
        <w:rPr>
          <w:rFonts w:ascii="Palatino Linotype" w:hAnsi="Palatino Linotype" w:cs="Tahoma"/>
          <w:color w:val="000000" w:themeColor="text1"/>
        </w:rPr>
      </w:pPr>
      <w:r w:rsidRPr="007D7190">
        <w:rPr>
          <w:rFonts w:ascii="Palatino Linotype" w:hAnsi="Palatino Linotype" w:cs="Tahoma"/>
          <w:color w:val="000000" w:themeColor="text1"/>
        </w:rPr>
        <w:t xml:space="preserve">Asimismo, destaca que ya se había determinado desde el año 2017 que la naturaleza de las cuentas bancarias y las claves que hacen identificable al dinero depositado en las </w:t>
      </w:r>
      <w:r w:rsidRPr="007D7190">
        <w:rPr>
          <w:rFonts w:ascii="Palatino Linotype" w:hAnsi="Palatino Linotype" w:cs="Tahoma"/>
          <w:color w:val="000000" w:themeColor="text1"/>
        </w:rPr>
        <w:lastRenderedPageBreak/>
        <w:t>instituciones de crédito es de naturaleza públicas, pues ellas identifican los recursos púbicos que son administrados por el banco que el proveedor haya elegido como prestador de los servicios o bienes.</w:t>
      </w:r>
    </w:p>
    <w:p w:rsidR="007379BF" w:rsidRPr="007D7190" w:rsidRDefault="007379BF" w:rsidP="007D6F45">
      <w:pPr>
        <w:widowControl w:val="0"/>
        <w:spacing w:line="360" w:lineRule="auto"/>
        <w:jc w:val="both"/>
        <w:rPr>
          <w:rFonts w:ascii="Palatino Linotype" w:hAnsi="Palatino Linotype" w:cs="Tahoma"/>
          <w:color w:val="000000" w:themeColor="text1"/>
        </w:rPr>
      </w:pPr>
    </w:p>
    <w:p w:rsidR="00381726" w:rsidRPr="007D7190" w:rsidRDefault="00381726" w:rsidP="007D6F45">
      <w:pPr>
        <w:pStyle w:val="Prrafodelista"/>
        <w:numPr>
          <w:ilvl w:val="0"/>
          <w:numId w:val="1"/>
        </w:numPr>
        <w:spacing w:line="360" w:lineRule="auto"/>
        <w:ind w:left="0" w:firstLine="0"/>
        <w:jc w:val="both"/>
        <w:rPr>
          <w:rFonts w:ascii="Palatino Linotype" w:eastAsia="Calibri" w:hAnsi="Palatino Linotype" w:cs="Tahoma"/>
          <w:color w:val="000000" w:themeColor="text1"/>
        </w:rPr>
      </w:pPr>
      <w:r w:rsidRPr="007D7190">
        <w:rPr>
          <w:rFonts w:ascii="Palatino Linotype" w:eastAsia="Palatino Linotype" w:hAnsi="Palatino Linotype" w:cs="Palatino Linotype"/>
          <w:color w:val="000000" w:themeColor="text1"/>
        </w:rPr>
        <w:t xml:space="preserve">Además, </w:t>
      </w:r>
      <w:r w:rsidRPr="007D7190">
        <w:rPr>
          <w:rFonts w:ascii="Palatino Linotype" w:eastAsia="Calibri" w:hAnsi="Palatino Linotype" w:cs="Tahoma"/>
          <w:color w:val="000000" w:themeColor="text1"/>
        </w:rPr>
        <w:t xml:space="preserve">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w:t>
      </w:r>
      <w:r w:rsidR="00D6103D" w:rsidRPr="007D7190">
        <w:rPr>
          <w:rFonts w:ascii="Palatino Linotype" w:eastAsia="Calibri" w:hAnsi="Palatino Linotype" w:cs="Tahoma"/>
          <w:color w:val="000000" w:themeColor="text1"/>
        </w:rPr>
        <w:t>y los cambios en su patrimonio, por lo que resulta correcto haber clasificado tanto la cuenta bancaria como la clave interbancaria.</w:t>
      </w:r>
    </w:p>
    <w:p w:rsidR="00D6103D" w:rsidRPr="007D7190" w:rsidRDefault="00D6103D" w:rsidP="007D6F45">
      <w:pPr>
        <w:pStyle w:val="Prrafodelista"/>
        <w:ind w:left="0"/>
        <w:rPr>
          <w:rFonts w:ascii="Palatino Linotype" w:eastAsia="Calibri" w:hAnsi="Palatino Linotype" w:cs="Tahoma"/>
          <w:color w:val="000000" w:themeColor="text1"/>
        </w:rPr>
      </w:pPr>
    </w:p>
    <w:p w:rsidR="00381726" w:rsidRPr="007D7190" w:rsidRDefault="00381726" w:rsidP="007D6F45">
      <w:pPr>
        <w:pStyle w:val="Prrafodelista"/>
        <w:numPr>
          <w:ilvl w:val="0"/>
          <w:numId w:val="1"/>
        </w:numPr>
        <w:spacing w:line="360" w:lineRule="auto"/>
        <w:ind w:left="0" w:firstLine="0"/>
        <w:jc w:val="both"/>
        <w:rPr>
          <w:rFonts w:ascii="Palatino Linotype" w:hAnsi="Palatino Linotype" w:cs="Arial"/>
          <w:bCs/>
          <w:color w:val="000000" w:themeColor="text1"/>
        </w:rPr>
      </w:pPr>
      <w:r w:rsidRPr="007D7190">
        <w:rPr>
          <w:rFonts w:ascii="Palatino Linotype" w:hAnsi="Palatino Linotype" w:cs="Tahoma"/>
          <w:b/>
          <w:color w:val="000000" w:themeColor="text1"/>
          <w:lang w:eastAsia="es-MX"/>
        </w:rPr>
        <w:t xml:space="preserve"> </w:t>
      </w:r>
      <w:r w:rsidR="007379BF" w:rsidRPr="007D7190">
        <w:rPr>
          <w:rFonts w:ascii="Palatino Linotype" w:hAnsi="Palatino Linotype" w:cs="Tahoma"/>
          <w:color w:val="000000" w:themeColor="text1"/>
          <w:lang w:eastAsia="es-MX"/>
        </w:rPr>
        <w:t>Por cuanto hace a las quince facturas reservadas por cinco años</w:t>
      </w:r>
      <w:r w:rsidRPr="007D7190">
        <w:rPr>
          <w:rFonts w:ascii="Palatino Linotype" w:hAnsi="Palatino Linotype" w:cs="Tahoma"/>
          <w:color w:val="000000" w:themeColor="text1"/>
          <w:lang w:eastAsia="es-MX"/>
        </w:rPr>
        <w:t xml:space="preserve">, ante la negativa de acceso a la información o su inexistencia, el sujeto obligado deberá demostrar que encuentra en alguna de las excepciones establecidas en la normatividad aplicable. </w:t>
      </w:r>
      <w:r w:rsidRPr="007D7190">
        <w:rPr>
          <w:rFonts w:ascii="Palatino Linotype" w:hAnsi="Palatino Linotype" w:cs="Arial"/>
          <w:bCs/>
          <w:color w:val="000000" w:themeColor="text1"/>
        </w:rPr>
        <w:t>En ese sentido, según Trujillo, Humberto (2019), en el “Diccionario de Transparencia y Acceso a la Información Pública” (p. 201), la negativa de acceso a la información</w:t>
      </w:r>
      <w:r w:rsidRPr="007D7190">
        <w:rPr>
          <w:rFonts w:ascii="Palatino Linotype" w:hAnsi="Palatino Linotype" w:cs="Arial"/>
          <w:b/>
          <w:bCs/>
          <w:color w:val="000000" w:themeColor="text1"/>
        </w:rPr>
        <w:t xml:space="preserve"> </w:t>
      </w:r>
      <w:r w:rsidRPr="007D7190">
        <w:rPr>
          <w:rFonts w:ascii="Palatino Linotype" w:hAnsi="Palatino Linotype" w:cs="Arial"/>
          <w:bCs/>
          <w:color w:val="000000" w:themeColor="text1"/>
        </w:rPr>
        <w:t xml:space="preserve">ocurre cuanto de manera fundada y motivada, una autoridad la niega o la limita, por alguna de las siguientes razones: </w:t>
      </w:r>
    </w:p>
    <w:p w:rsidR="00381726" w:rsidRPr="007D7190" w:rsidRDefault="00381726" w:rsidP="000442BF">
      <w:pPr>
        <w:numPr>
          <w:ilvl w:val="0"/>
          <w:numId w:val="38"/>
        </w:numPr>
        <w:spacing w:line="360" w:lineRule="auto"/>
        <w:ind w:left="0" w:firstLine="0"/>
        <w:contextualSpacing/>
        <w:jc w:val="both"/>
        <w:rPr>
          <w:rFonts w:ascii="Palatino Linotype" w:hAnsi="Palatino Linotype" w:cs="Arial"/>
          <w:b/>
          <w:bCs/>
          <w:i/>
          <w:color w:val="000000" w:themeColor="text1"/>
        </w:rPr>
      </w:pPr>
      <w:r w:rsidRPr="007D7190">
        <w:rPr>
          <w:rFonts w:ascii="Palatino Linotype" w:hAnsi="Palatino Linotype" w:cs="Arial"/>
          <w:b/>
          <w:bCs/>
          <w:i/>
          <w:color w:val="000000" w:themeColor="text1"/>
        </w:rPr>
        <w:t xml:space="preserve">La inexistencia de la información (p. 171): </w:t>
      </w:r>
      <w:r w:rsidRPr="007D7190">
        <w:rPr>
          <w:rFonts w:ascii="Palatino Linotype" w:hAnsi="Palatino Linotype" w:cs="Arial"/>
          <w:bCs/>
          <w:i/>
          <w:color w:val="000000" w:themeColor="text1"/>
        </w:rPr>
        <w:t>Sucede cuando la información solicitada no se encuentra en los archivos públicos o clasificados de los entes sujetos a las Leyes de Transparencia.</w:t>
      </w:r>
    </w:p>
    <w:p w:rsidR="00381726" w:rsidRPr="007D7190" w:rsidRDefault="00381726" w:rsidP="007D6F45">
      <w:pPr>
        <w:spacing w:line="360" w:lineRule="auto"/>
        <w:contextualSpacing/>
        <w:jc w:val="both"/>
        <w:rPr>
          <w:rFonts w:ascii="Palatino Linotype" w:hAnsi="Palatino Linotype" w:cs="Arial"/>
          <w:b/>
          <w:bCs/>
          <w:i/>
          <w:color w:val="000000" w:themeColor="text1"/>
        </w:rPr>
      </w:pPr>
    </w:p>
    <w:p w:rsidR="00381726" w:rsidRPr="007D7190" w:rsidRDefault="00381726" w:rsidP="000442BF">
      <w:pPr>
        <w:numPr>
          <w:ilvl w:val="0"/>
          <w:numId w:val="38"/>
        </w:numPr>
        <w:spacing w:line="360" w:lineRule="auto"/>
        <w:ind w:left="0" w:firstLine="0"/>
        <w:contextualSpacing/>
        <w:jc w:val="both"/>
        <w:rPr>
          <w:rFonts w:ascii="Palatino Linotype" w:hAnsi="Palatino Linotype" w:cs="Arial"/>
          <w:b/>
          <w:bCs/>
          <w:i/>
          <w:color w:val="000000" w:themeColor="text1"/>
        </w:rPr>
      </w:pPr>
      <w:r w:rsidRPr="007D7190">
        <w:rPr>
          <w:rFonts w:ascii="Palatino Linotype" w:hAnsi="Palatino Linotype" w:cs="Arial"/>
          <w:b/>
          <w:bCs/>
          <w:i/>
          <w:color w:val="000000" w:themeColor="text1"/>
        </w:rPr>
        <w:t xml:space="preserve">La incompetencia del Sujeto Obligado (p. 171): </w:t>
      </w:r>
      <w:r w:rsidRPr="007D7190">
        <w:rPr>
          <w:rFonts w:ascii="Palatino Linotype" w:hAnsi="Palatino Linotype" w:cs="Arial"/>
          <w:bCs/>
          <w:i/>
          <w:color w:val="000000" w:themeColor="text1"/>
        </w:rPr>
        <w:t>Ocurre cuando el Sujeto Obligado carece de atribuciones para poseer la información peticionada.</w:t>
      </w:r>
    </w:p>
    <w:p w:rsidR="00381726" w:rsidRPr="007D7190" w:rsidRDefault="00381726" w:rsidP="007D6F45">
      <w:pPr>
        <w:spacing w:line="360" w:lineRule="auto"/>
        <w:contextualSpacing/>
        <w:jc w:val="both"/>
        <w:rPr>
          <w:rFonts w:ascii="Palatino Linotype" w:hAnsi="Palatino Linotype" w:cs="Arial"/>
          <w:b/>
          <w:bCs/>
          <w:i/>
          <w:color w:val="000000" w:themeColor="text1"/>
        </w:rPr>
      </w:pPr>
    </w:p>
    <w:p w:rsidR="00381726" w:rsidRPr="007D7190" w:rsidRDefault="00381726" w:rsidP="000442BF">
      <w:pPr>
        <w:numPr>
          <w:ilvl w:val="0"/>
          <w:numId w:val="38"/>
        </w:numPr>
        <w:spacing w:line="360" w:lineRule="auto"/>
        <w:ind w:left="0" w:firstLine="0"/>
        <w:contextualSpacing/>
        <w:jc w:val="both"/>
        <w:rPr>
          <w:rFonts w:ascii="Palatino Linotype" w:hAnsi="Palatino Linotype" w:cs="Arial"/>
          <w:b/>
          <w:bCs/>
          <w:i/>
          <w:color w:val="000000" w:themeColor="text1"/>
        </w:rPr>
      </w:pPr>
      <w:r w:rsidRPr="007D7190">
        <w:rPr>
          <w:rFonts w:ascii="Palatino Linotype" w:hAnsi="Palatino Linotype" w:cs="Arial"/>
          <w:b/>
          <w:bCs/>
          <w:i/>
          <w:color w:val="000000" w:themeColor="text1"/>
        </w:rPr>
        <w:lastRenderedPageBreak/>
        <w:t xml:space="preserve">La clasificación de la información (p. 70): </w:t>
      </w:r>
      <w:r w:rsidRPr="007D7190">
        <w:rPr>
          <w:rFonts w:ascii="Palatino Linotype" w:hAnsi="Palatino Linotype" w:cs="Arial"/>
          <w:bCs/>
          <w:i/>
          <w:color w:val="000000" w:themeColor="text1"/>
        </w:rPr>
        <w:t>Es el proceso o conjunto de acciones que realizan los sujetos obligados para establecer que determinada información se encuentra en alguno de los supuestos de reserva o confidencialidad establecidos en la legislación en materia de transparencia.</w:t>
      </w:r>
    </w:p>
    <w:p w:rsidR="00381726" w:rsidRPr="007D7190" w:rsidRDefault="00381726" w:rsidP="007D6F45">
      <w:pPr>
        <w:spacing w:line="360" w:lineRule="auto"/>
        <w:contextualSpacing/>
        <w:jc w:val="both"/>
        <w:rPr>
          <w:rFonts w:ascii="Palatino Linotype" w:hAnsi="Palatino Linotype" w:cs="Tahoma"/>
          <w:color w:val="000000" w:themeColor="text1"/>
          <w:lang w:eastAsia="es-MX"/>
        </w:rPr>
      </w:pPr>
    </w:p>
    <w:p w:rsidR="00381726" w:rsidRPr="007D7190" w:rsidRDefault="00381726" w:rsidP="007D6F45">
      <w:pPr>
        <w:pStyle w:val="Prrafodelista"/>
        <w:numPr>
          <w:ilvl w:val="0"/>
          <w:numId w:val="1"/>
        </w:numPr>
        <w:spacing w:line="360" w:lineRule="auto"/>
        <w:ind w:left="0" w:firstLine="0"/>
        <w:jc w:val="both"/>
        <w:rPr>
          <w:rFonts w:ascii="Palatino Linotype" w:hAnsi="Palatino Linotype" w:cs="Tahoma"/>
          <w:b/>
          <w:bCs/>
          <w:iCs/>
          <w:color w:val="000000" w:themeColor="text1"/>
          <w:lang w:val="es-ES" w:eastAsia="es-MX"/>
        </w:rPr>
      </w:pPr>
      <w:r w:rsidRPr="007D7190">
        <w:rPr>
          <w:rFonts w:ascii="Palatino Linotype" w:hAnsi="Palatino Linotype" w:cs="Tahoma"/>
          <w:color w:val="000000" w:themeColor="text1"/>
          <w:lang w:eastAsia="es-MX"/>
        </w:rPr>
        <w:t>En ese orden de ideas y en atención a lo anterior, es de señalar que l</w:t>
      </w:r>
      <w:r w:rsidRPr="007D7190">
        <w:rPr>
          <w:rFonts w:ascii="Palatino Linotype" w:hAnsi="Palatino Linotype" w:cs="Tahoma"/>
          <w:color w:val="000000" w:themeColor="text1"/>
          <w:lang w:val="es-ES" w:eastAsia="es-MX"/>
        </w:rPr>
        <w:t xml:space="preserve">as </w:t>
      </w:r>
      <w:r w:rsidRPr="007D7190">
        <w:rPr>
          <w:rFonts w:ascii="Palatino Linotype" w:hAnsi="Palatino Linotype" w:cs="Tahoma"/>
          <w:bCs/>
          <w:iCs/>
          <w:color w:val="000000" w:themeColor="text1"/>
          <w:lang w:val="es-ES" w:eastAsia="es-MX"/>
        </w:rPr>
        <w:t xml:space="preserve">excepciones al derecho de acceso a la información, consisten en que la documentación sea inexistente, </w:t>
      </w:r>
      <w:r w:rsidRPr="007D7190">
        <w:rPr>
          <w:rFonts w:ascii="Palatino Linotype" w:hAnsi="Palatino Linotype" w:cs="Tahoma"/>
          <w:b/>
          <w:bCs/>
          <w:iCs/>
          <w:color w:val="000000" w:themeColor="text1"/>
          <w:lang w:val="es-ES" w:eastAsia="es-MX"/>
        </w:rPr>
        <w:t>se encuentre clasificada</w:t>
      </w:r>
      <w:r w:rsidRPr="007D7190">
        <w:rPr>
          <w:rFonts w:ascii="Palatino Linotype" w:hAnsi="Palatino Linotype" w:cs="Tahoma"/>
          <w:bCs/>
          <w:iCs/>
          <w:color w:val="000000" w:themeColor="text1"/>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7D7190">
        <w:rPr>
          <w:rFonts w:ascii="Palatino Linotype" w:hAnsi="Palatino Linotype" w:cs="Tahoma"/>
          <w:b/>
          <w:bCs/>
          <w:iCs/>
          <w:color w:val="000000" w:themeColor="text1"/>
          <w:lang w:val="es-ES" w:eastAsia="es-MX"/>
        </w:rPr>
        <w:t>confidenciales o reservados.</w:t>
      </w:r>
    </w:p>
    <w:p w:rsidR="00381726" w:rsidRPr="007D7190" w:rsidRDefault="00381726" w:rsidP="007D6F45">
      <w:pPr>
        <w:spacing w:line="360" w:lineRule="auto"/>
        <w:contextualSpacing/>
        <w:jc w:val="both"/>
        <w:rPr>
          <w:rFonts w:ascii="Palatino Linotype" w:hAnsi="Palatino Linotype" w:cs="Tahoma"/>
          <w:bCs/>
          <w:iCs/>
          <w:color w:val="000000" w:themeColor="text1"/>
          <w:lang w:val="es-ES" w:eastAsia="es-MX"/>
        </w:rPr>
      </w:pPr>
    </w:p>
    <w:p w:rsidR="00381726" w:rsidRPr="007D7190" w:rsidRDefault="00381726" w:rsidP="007D6F45">
      <w:pPr>
        <w:pStyle w:val="Prrafodelista"/>
        <w:numPr>
          <w:ilvl w:val="0"/>
          <w:numId w:val="1"/>
        </w:numPr>
        <w:spacing w:line="360" w:lineRule="auto"/>
        <w:ind w:left="0" w:firstLine="0"/>
        <w:jc w:val="both"/>
        <w:rPr>
          <w:rFonts w:ascii="Palatino Linotype" w:hAnsi="Palatino Linotype" w:cs="Tahoma"/>
          <w:color w:val="000000" w:themeColor="text1"/>
          <w:lang w:val="es-ES" w:eastAsia="es-MX"/>
        </w:rPr>
      </w:pPr>
      <w:r w:rsidRPr="007D7190">
        <w:rPr>
          <w:rFonts w:ascii="Palatino Linotype" w:hAnsi="Palatino Linotype" w:cs="Tahoma"/>
          <w:color w:val="000000" w:themeColor="text1"/>
          <w:lang w:eastAsia="es-MX"/>
        </w:rPr>
        <w:t xml:space="preserve">Así, en los artículos 122, 128 y 130 de la Ley Transparencia y Acceso a la Información Pública del Estado de México y Municipios, se prevé que </w:t>
      </w:r>
      <w:r w:rsidRPr="007D7190">
        <w:rPr>
          <w:rFonts w:ascii="Palatino Linotype" w:hAnsi="Palatino Linotype" w:cs="Tahoma"/>
          <w:b/>
          <w:color w:val="000000" w:themeColor="text1"/>
          <w:lang w:eastAsia="es-MX"/>
        </w:rPr>
        <w:t xml:space="preserve">la clasificación </w:t>
      </w:r>
      <w:r w:rsidRPr="007D7190">
        <w:rPr>
          <w:rFonts w:ascii="Palatino Linotype" w:hAnsi="Palatino Linotype" w:cs="Tahoma"/>
          <w:color w:val="000000" w:themeColor="text1"/>
          <w:lang w:eastAsia="es-MX"/>
        </w:rPr>
        <w:t xml:space="preserve">es el proceso mediante el cual los sujetos obligados determinan que la información en su poder, actualiza alguno de los supuestos de reserva o confidencialidad. </w:t>
      </w:r>
      <w:r w:rsidRPr="007D7190">
        <w:rPr>
          <w:rFonts w:ascii="Palatino Linotype" w:hAnsi="Palatino Linotype" w:cs="Tahoma"/>
          <w:color w:val="000000" w:themeColor="text1"/>
          <w:lang w:val="es-ES" w:eastAsia="es-MX"/>
        </w:rPr>
        <w:t>Además, que dichos entes deberán aplicar de manera restrictiva y limitada, las excepciones al derecho de acceso a la información, por lo que, tendrán que acreditar la procedencia.</w:t>
      </w:r>
    </w:p>
    <w:p w:rsidR="00381726" w:rsidRPr="007D7190" w:rsidRDefault="00381726" w:rsidP="007D6F45">
      <w:pPr>
        <w:spacing w:line="360" w:lineRule="auto"/>
        <w:contextualSpacing/>
        <w:jc w:val="both"/>
        <w:rPr>
          <w:rFonts w:ascii="Palatino Linotype" w:hAnsi="Palatino Linotype" w:cs="Tahoma"/>
          <w:color w:val="000000" w:themeColor="text1"/>
          <w:lang w:eastAsia="es-MX"/>
        </w:rPr>
      </w:pPr>
    </w:p>
    <w:p w:rsidR="00381726" w:rsidRPr="007D7190" w:rsidRDefault="00381726" w:rsidP="007D6F45">
      <w:pPr>
        <w:pStyle w:val="Prrafodelista"/>
        <w:numPr>
          <w:ilvl w:val="0"/>
          <w:numId w:val="1"/>
        </w:numPr>
        <w:spacing w:line="360" w:lineRule="auto"/>
        <w:ind w:left="0" w:firstLine="0"/>
        <w:jc w:val="both"/>
        <w:rPr>
          <w:rFonts w:ascii="Palatino Linotype" w:hAnsi="Palatino Linotype" w:cs="Tahoma"/>
          <w:color w:val="000000" w:themeColor="text1"/>
          <w:lang w:val="es-ES" w:eastAsia="es-MX"/>
        </w:rPr>
      </w:pPr>
      <w:r w:rsidRPr="007D7190">
        <w:rPr>
          <w:rFonts w:ascii="Palatino Linotype" w:hAnsi="Palatino Linotype" w:cs="Tahoma"/>
          <w:color w:val="000000" w:themeColor="text1"/>
          <w:lang w:val="es-ES" w:eastAsia="es-MX"/>
        </w:rPr>
        <w:t xml:space="preserve">Por lo cual, en los casos en que se niegue el acceso a la información, por actualizarse alguno de los supuestos de clasificación, </w:t>
      </w:r>
      <w:r w:rsidRPr="007D7190">
        <w:rPr>
          <w:rFonts w:ascii="Palatino Linotype" w:hAnsi="Palatino Linotype" w:cs="Tahoma"/>
          <w:b/>
          <w:color w:val="000000" w:themeColor="text1"/>
          <w:lang w:val="es-ES" w:eastAsia="es-MX"/>
        </w:rPr>
        <w:t xml:space="preserve">el Comité de Transparencia deberá confirmar, modificar o revocar la decisión; </w:t>
      </w:r>
      <w:r w:rsidRPr="007D7190">
        <w:rPr>
          <w:rFonts w:ascii="Palatino Linotype" w:hAnsi="Palatino Linotype" w:cs="Tahoma"/>
          <w:color w:val="000000" w:themeColor="text1"/>
          <w:lang w:val="es-ES" w:eastAsia="es-MX"/>
        </w:rPr>
        <w:t xml:space="preserve">además, deberá motivar la confirmación de dicha situación, señalando las razones, motivos o circunstancias especiales que llevaron al sujeto </w:t>
      </w:r>
      <w:r w:rsidRPr="007D7190">
        <w:rPr>
          <w:rFonts w:ascii="Palatino Linotype" w:hAnsi="Palatino Linotype" w:cs="Tahoma"/>
          <w:color w:val="000000" w:themeColor="text1"/>
          <w:lang w:val="es-ES" w:eastAsia="es-MX"/>
        </w:rPr>
        <w:lastRenderedPageBreak/>
        <w:t>obligado a concluir que en el caso particular se ajusta al supuesto previsto por la norma legal invocada como fundamento.</w:t>
      </w:r>
    </w:p>
    <w:p w:rsidR="00381726" w:rsidRPr="007D7190" w:rsidRDefault="00381726" w:rsidP="007D6F45">
      <w:pPr>
        <w:spacing w:line="360" w:lineRule="auto"/>
        <w:contextualSpacing/>
        <w:jc w:val="both"/>
        <w:rPr>
          <w:rFonts w:ascii="Palatino Linotype" w:hAnsi="Palatino Linotype" w:cs="Tahoma"/>
          <w:color w:val="000000" w:themeColor="text1"/>
          <w:lang w:val="es-ES" w:eastAsia="es-MX"/>
        </w:rPr>
      </w:pPr>
    </w:p>
    <w:p w:rsidR="00381726" w:rsidRPr="007D7190" w:rsidRDefault="00381726" w:rsidP="007D6F45">
      <w:pPr>
        <w:pStyle w:val="Prrafodelista"/>
        <w:numPr>
          <w:ilvl w:val="0"/>
          <w:numId w:val="1"/>
        </w:numPr>
        <w:spacing w:line="360" w:lineRule="auto"/>
        <w:ind w:left="0" w:firstLine="0"/>
        <w:jc w:val="both"/>
        <w:rPr>
          <w:rFonts w:ascii="Palatino Linotype" w:hAnsi="Palatino Linotype" w:cs="Arial"/>
          <w:b/>
          <w:bCs/>
          <w:color w:val="000000" w:themeColor="text1"/>
        </w:rPr>
      </w:pPr>
      <w:r w:rsidRPr="007D7190">
        <w:rPr>
          <w:rFonts w:ascii="Palatino Linotype" w:hAnsi="Palatino Linotype" w:cs="Tahoma"/>
          <w:color w:val="000000" w:themeColor="text1"/>
          <w:lang w:val="es-ES"/>
        </w:rPr>
        <w:t xml:space="preserve">Por su parte, </w:t>
      </w:r>
      <w:r w:rsidRPr="007D7190">
        <w:rPr>
          <w:rFonts w:ascii="Palatino Linotype" w:hAnsi="Palatino Linotype" w:cs="Arial"/>
          <w:bCs/>
          <w:color w:val="000000" w:themeColor="text1"/>
        </w:rPr>
        <w:t xml:space="preserve">según Bonifaz, Leticia (2016), en la “Ley General de Transparencia y Acceso a la Información Pública Comentada” (p. 342), la </w:t>
      </w:r>
      <w:r w:rsidRPr="007D7190">
        <w:rPr>
          <w:rFonts w:ascii="Palatino Linotype" w:hAnsi="Palatino Linotype" w:cs="Arial"/>
          <w:b/>
          <w:bCs/>
          <w:color w:val="000000" w:themeColor="text1"/>
        </w:rPr>
        <w:t>clasificación de la información</w:t>
      </w:r>
      <w:r w:rsidRPr="007D7190">
        <w:rPr>
          <w:rFonts w:ascii="Palatino Linotype" w:hAnsi="Palatino Linotype" w:cs="Arial"/>
          <w:bCs/>
          <w:color w:val="000000" w:themeColor="text1"/>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D7190">
        <w:rPr>
          <w:rFonts w:ascii="Palatino Linotype" w:hAnsi="Palatino Linotype" w:cs="Arial"/>
          <w:b/>
          <w:bCs/>
          <w:color w:val="000000" w:themeColor="text1"/>
        </w:rPr>
        <w:t>de manera adecuada la negativa de información.</w:t>
      </w:r>
    </w:p>
    <w:p w:rsidR="007379BF" w:rsidRPr="007D7190" w:rsidRDefault="007379BF" w:rsidP="007D6F45">
      <w:pPr>
        <w:pStyle w:val="Prrafodelista"/>
        <w:ind w:left="0"/>
        <w:rPr>
          <w:rFonts w:ascii="Palatino Linotype" w:hAnsi="Palatino Linotype" w:cs="Arial"/>
          <w:b/>
          <w:bCs/>
          <w:color w:val="000000" w:themeColor="text1"/>
        </w:rPr>
      </w:pPr>
    </w:p>
    <w:p w:rsidR="002C5E93" w:rsidRPr="007D7190" w:rsidRDefault="007379BF" w:rsidP="007D6F45">
      <w:pPr>
        <w:pStyle w:val="Prrafodelista"/>
        <w:numPr>
          <w:ilvl w:val="0"/>
          <w:numId w:val="1"/>
        </w:numPr>
        <w:spacing w:line="360" w:lineRule="auto"/>
        <w:ind w:left="0" w:firstLine="0"/>
        <w:jc w:val="both"/>
        <w:rPr>
          <w:rFonts w:ascii="Palatino Linotype" w:hAnsi="Palatino Linotype" w:cs="Tahoma"/>
          <w:b/>
          <w:color w:val="000000" w:themeColor="text1"/>
        </w:rPr>
      </w:pPr>
      <w:r w:rsidRPr="007D7190">
        <w:rPr>
          <w:rFonts w:ascii="Palatino Linotype" w:hAnsi="Palatino Linotype"/>
          <w:color w:val="000000" w:themeColor="text1"/>
        </w:rPr>
        <w:t>En el presente caso, el Sujeto Obligado no señaló inexistente la información sino que precisó que no podía proporcionarla al ser reservada</w:t>
      </w:r>
      <w:r w:rsidR="002C5E93" w:rsidRPr="007D7190">
        <w:rPr>
          <w:rFonts w:ascii="Palatino Linotype" w:hAnsi="Palatino Linotype" w:cs="Tahoma"/>
          <w:color w:val="000000" w:themeColor="text1"/>
          <w:lang w:eastAsia="es-MX"/>
        </w:rPr>
        <w:t xml:space="preserve">; es decir, aludió a una clasificación. </w:t>
      </w:r>
      <w:r w:rsidR="002C5E93" w:rsidRPr="007D7190">
        <w:rPr>
          <w:rFonts w:ascii="Palatino Linotype" w:eastAsia="Calibri" w:hAnsi="Palatino Linotype" w:cs="Tahoma"/>
          <w:bCs/>
          <w:color w:val="000000" w:themeColor="text1"/>
        </w:rPr>
        <w:t>Conforme a lo anterior, se negó el acceso a la información peticionada por la parte Recurrente, al considerar que estaba clasificada; en ese sen</w:t>
      </w:r>
      <w:r w:rsidR="002C5E93" w:rsidRPr="007D7190">
        <w:rPr>
          <w:rFonts w:ascii="Palatino Linotype" w:hAnsi="Palatino Linotype" w:cs="Tahoma"/>
          <w:color w:val="000000" w:themeColor="text1"/>
        </w:rPr>
        <w:t xml:space="preserve">tido, conforme al artículo 134 de la Ley de Transparencia y Acceso a la Información Pública del Estado de México y Municipios, los sujetos obligados no podrán emitir acuerdos de carácter general que clasifiquen documentos o expedientes; por lo que, la clasificación de información se llevará a cabo mediante un </w:t>
      </w:r>
      <w:r w:rsidR="002C5E93" w:rsidRPr="007D7190">
        <w:rPr>
          <w:rFonts w:ascii="Palatino Linotype" w:hAnsi="Palatino Linotype" w:cs="Tahoma"/>
          <w:b/>
          <w:color w:val="000000" w:themeColor="text1"/>
        </w:rPr>
        <w:t>análisis caso por caso.</w:t>
      </w:r>
    </w:p>
    <w:p w:rsidR="00046A1D" w:rsidRPr="007D7190" w:rsidRDefault="00046A1D" w:rsidP="007D6F45">
      <w:pPr>
        <w:spacing w:line="360" w:lineRule="auto"/>
        <w:jc w:val="both"/>
        <w:rPr>
          <w:rFonts w:ascii="Palatino Linotype" w:hAnsi="Palatino Linotype" w:cs="Tahoma"/>
          <w:b/>
          <w:color w:val="000000" w:themeColor="text1"/>
        </w:rPr>
      </w:pP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bCs/>
          <w:iCs/>
          <w:color w:val="000000" w:themeColor="text1"/>
          <w:lang w:eastAsia="es-ES_tradnl"/>
        </w:rPr>
      </w:pPr>
      <w:r w:rsidRPr="007D7190">
        <w:rPr>
          <w:rFonts w:ascii="Palatino Linotype" w:hAnsi="Palatino Linotype" w:cs="Arial"/>
          <w:color w:val="000000" w:themeColor="text1"/>
        </w:rPr>
        <w:t>Sin embargo, de éstas facturas dado que, se encuentran directamente relacionados con el armamento, equipo táctico o blindaje</w:t>
      </w:r>
      <w:r w:rsidR="00570D6F" w:rsidRPr="007D7190">
        <w:rPr>
          <w:rFonts w:ascii="Palatino Linotype" w:hAnsi="Palatino Linotype" w:cs="Arial"/>
          <w:color w:val="000000" w:themeColor="text1"/>
        </w:rPr>
        <w:t>, la</w:t>
      </w:r>
      <w:r w:rsidRPr="007D7190">
        <w:rPr>
          <w:rFonts w:ascii="Palatino Linotype" w:hAnsi="Palatino Linotype" w:cs="Arial"/>
          <w:color w:val="000000" w:themeColor="text1"/>
        </w:rPr>
        <w:t xml:space="preserve"> información de los rubros </w:t>
      </w:r>
      <w:r w:rsidR="00570D6F" w:rsidRPr="007D7190">
        <w:rPr>
          <w:rFonts w:ascii="Palatino Linotype" w:hAnsi="Palatino Linotype" w:cs="Arial"/>
          <w:color w:val="000000" w:themeColor="text1"/>
        </w:rPr>
        <w:t>relativa a</w:t>
      </w:r>
      <w:r w:rsidRPr="007D7190">
        <w:rPr>
          <w:rFonts w:ascii="Palatino Linotype" w:hAnsi="Palatino Linotype" w:cs="Arial"/>
          <w:color w:val="000000" w:themeColor="text1"/>
        </w:rPr>
        <w:t xml:space="preserve"> las características del equipamiento policial, de radiocomunicación y patrullas </w:t>
      </w:r>
      <w:r w:rsidRPr="007D7190">
        <w:rPr>
          <w:rFonts w:ascii="Palatino Linotype" w:eastAsia="Calibri" w:hAnsi="Palatino Linotype" w:cs="Tahoma"/>
          <w:bCs/>
          <w:iCs/>
          <w:color w:val="000000" w:themeColor="text1"/>
          <w:lang w:eastAsia="es-ES_tradnl"/>
        </w:rPr>
        <w:t>no es posible ordenar su entrega al tratarse de información susceptible de ser clasificada, al tratarse de detalles técnicos de los equipos de seguridad, por lo que, dicha información debe ser clasificada como reserv</w:t>
      </w:r>
      <w:r w:rsidR="00570D6F" w:rsidRPr="007D7190">
        <w:rPr>
          <w:rFonts w:ascii="Palatino Linotype" w:eastAsia="Calibri" w:hAnsi="Palatino Linotype" w:cs="Tahoma"/>
          <w:bCs/>
          <w:iCs/>
          <w:color w:val="000000" w:themeColor="text1"/>
          <w:lang w:eastAsia="es-ES_tradnl"/>
        </w:rPr>
        <w:t>ada</w:t>
      </w:r>
      <w:r w:rsidRPr="007D7190">
        <w:rPr>
          <w:rFonts w:ascii="Palatino Linotype" w:eastAsia="Calibri" w:hAnsi="Palatino Linotype" w:cs="Tahoma"/>
          <w:bCs/>
          <w:iCs/>
          <w:color w:val="000000" w:themeColor="text1"/>
          <w:lang w:eastAsia="es-ES_tradnl"/>
        </w:rPr>
        <w:t>.</w:t>
      </w:r>
    </w:p>
    <w:p w:rsidR="002C5E93" w:rsidRPr="007D7190" w:rsidRDefault="00570D6F" w:rsidP="007D6F45">
      <w:pPr>
        <w:pStyle w:val="Prrafodelista"/>
        <w:numPr>
          <w:ilvl w:val="0"/>
          <w:numId w:val="1"/>
        </w:numPr>
        <w:spacing w:line="360" w:lineRule="auto"/>
        <w:ind w:left="0" w:firstLine="0"/>
        <w:jc w:val="both"/>
        <w:rPr>
          <w:rFonts w:ascii="Palatino Linotype" w:hAnsi="Palatino Linotype" w:cs="Tahoma"/>
          <w:color w:val="000000" w:themeColor="text1"/>
          <w:lang w:val="es-ES"/>
        </w:rPr>
      </w:pPr>
      <w:r w:rsidRPr="007D7190">
        <w:rPr>
          <w:rFonts w:ascii="Palatino Linotype" w:hAnsi="Palatino Linotype" w:cs="Tahoma"/>
          <w:color w:val="000000" w:themeColor="text1"/>
          <w:lang w:val="es-ES"/>
        </w:rPr>
        <w:lastRenderedPageBreak/>
        <w:t>E</w:t>
      </w:r>
      <w:r w:rsidR="002C5E93" w:rsidRPr="007D7190">
        <w:rPr>
          <w:rFonts w:ascii="Palatino Linotype" w:hAnsi="Palatino Linotype" w:cs="Tahoma"/>
          <w:color w:val="000000" w:themeColor="text1"/>
          <w:lang w:val="es-ES"/>
        </w:rPr>
        <w:t xml:space="preserve">ste Instituto advierte que proporcionar la especificaciones técnicas de patrulla, cualquier tipo de equipo y/o armamento para el combate a la delincuencia, puede causar un daño, pues al proporcionar información sobre el </w:t>
      </w:r>
      <w:r w:rsidR="002C5E93" w:rsidRPr="007D7190">
        <w:rPr>
          <w:rFonts w:ascii="Palatino Linotype" w:hAnsi="Palatino Linotype" w:cs="Tahoma"/>
          <w:b/>
          <w:color w:val="000000" w:themeColor="text1"/>
          <w:lang w:val="es-ES"/>
        </w:rPr>
        <w:t>armamento, blindaje, eq</w:t>
      </w:r>
      <w:r w:rsidRPr="007D7190">
        <w:rPr>
          <w:rFonts w:ascii="Palatino Linotype" w:hAnsi="Palatino Linotype" w:cs="Tahoma"/>
          <w:b/>
          <w:color w:val="000000" w:themeColor="text1"/>
          <w:lang w:val="es-ES"/>
        </w:rPr>
        <w:t>uipo de radio o armamento, etc.,</w:t>
      </w:r>
      <w:r w:rsidR="002C5E93" w:rsidRPr="007D7190">
        <w:rPr>
          <w:rFonts w:ascii="Palatino Linotype" w:hAnsi="Palatino Linotype" w:cs="Tahoma"/>
          <w:color w:val="000000" w:themeColor="text1"/>
          <w:lang w:val="es-ES"/>
        </w:rPr>
        <w:t xml:space="preserve"> se estaría dando cuenta de los elementos con que cuentan los policías municipales para mantener la seguridad dentro del territorio.</w:t>
      </w:r>
    </w:p>
    <w:p w:rsidR="002C5E93" w:rsidRPr="007D7190" w:rsidRDefault="002C5E93" w:rsidP="007D6F45">
      <w:pPr>
        <w:spacing w:line="360" w:lineRule="auto"/>
        <w:jc w:val="both"/>
        <w:rPr>
          <w:rFonts w:ascii="Palatino Linotype" w:hAnsi="Palatino Linotype" w:cs="Tahoma"/>
          <w:color w:val="000000" w:themeColor="text1"/>
          <w:lang w:val="es-ES"/>
        </w:rPr>
      </w:pP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b/>
          <w:bCs/>
          <w:color w:val="000000" w:themeColor="text1"/>
          <w:lang w:eastAsia="en-US"/>
        </w:rPr>
      </w:pPr>
      <w:r w:rsidRPr="007D7190">
        <w:rPr>
          <w:rFonts w:ascii="Palatino Linotype" w:eastAsia="Calibri" w:hAnsi="Palatino Linotype" w:cs="Tahoma"/>
          <w:bCs/>
          <w:color w:val="000000" w:themeColor="text1"/>
          <w:lang w:eastAsia="en-US"/>
        </w:rPr>
        <w:t xml:space="preserve">Conforme a lo anterior, se puede colegir que proporcionar la información en análisis podría comprometer la seguridad pública, al poner en peligro las funciones a </w:t>
      </w:r>
      <w:r w:rsidR="00570D6F" w:rsidRPr="007D7190">
        <w:rPr>
          <w:rFonts w:ascii="Palatino Linotype" w:eastAsia="Calibri" w:hAnsi="Palatino Linotype" w:cs="Tahoma"/>
          <w:bCs/>
          <w:color w:val="000000" w:themeColor="text1"/>
          <w:lang w:eastAsia="en-US"/>
        </w:rPr>
        <w:t>cargo del Sujeto Obligado</w:t>
      </w:r>
      <w:r w:rsidRPr="007D7190">
        <w:rPr>
          <w:rFonts w:ascii="Palatino Linotype" w:eastAsia="Calibri" w:hAnsi="Palatino Linotype" w:cs="Tahoma"/>
          <w:bCs/>
          <w:color w:val="000000" w:themeColor="text1"/>
          <w:lang w:eastAsia="en-US"/>
        </w:rPr>
        <w:t xml:space="preserve">, </w:t>
      </w:r>
      <w:r w:rsidRPr="007D7190">
        <w:rPr>
          <w:rFonts w:ascii="Palatino Linotype" w:hAnsi="Palatino Linotype"/>
          <w:color w:val="000000" w:themeColor="text1"/>
        </w:rPr>
        <w:t xml:space="preserve"> </w:t>
      </w:r>
      <w:r w:rsidRPr="007D7190">
        <w:rPr>
          <w:rFonts w:ascii="Palatino Linotype" w:eastAsia="Calibri" w:hAnsi="Palatino Linotype" w:cs="Tahoma"/>
          <w:bCs/>
          <w:color w:val="000000" w:themeColor="text1"/>
          <w:lang w:eastAsia="en-US"/>
        </w:rPr>
        <w:t xml:space="preserve">tendientes a preservar y resguardar la vida, la salud, la integridad y el ejercicio de los derechos de las personas, así como para el mantenimiento del orden público, toda vez </w:t>
      </w:r>
      <w:r w:rsidRPr="007D7190">
        <w:rPr>
          <w:rFonts w:ascii="Palatino Linotype" w:eastAsia="Calibri" w:hAnsi="Palatino Linotype" w:cs="Tahoma"/>
          <w:b/>
          <w:bCs/>
          <w:color w:val="000000" w:themeColor="text1"/>
          <w:lang w:eastAsia="en-US"/>
        </w:rPr>
        <w:t xml:space="preserve">que podría dar cuenta de las tecnologías, equipos y sistemas </w:t>
      </w:r>
      <w:r w:rsidRPr="007D7190">
        <w:rPr>
          <w:rFonts w:ascii="Palatino Linotype" w:eastAsia="Calibri" w:hAnsi="Palatino Linotype" w:cs="Tahoma"/>
          <w:bCs/>
          <w:color w:val="000000" w:themeColor="text1"/>
          <w:lang w:eastAsia="en-US"/>
        </w:rPr>
        <w:t>y por lo tanto, acredita la causal de clasificación prevista en el artículo 140, fracción I de la Ley de Transparencia y Acceso a la Información Pública del Estado de México</w:t>
      </w:r>
      <w:r w:rsidRPr="007D7190">
        <w:rPr>
          <w:rFonts w:ascii="Palatino Linotype" w:eastAsia="Calibri" w:hAnsi="Palatino Linotype" w:cs="Tahoma"/>
          <w:b/>
          <w:bCs/>
          <w:color w:val="000000" w:themeColor="text1"/>
          <w:lang w:eastAsia="en-US"/>
        </w:rPr>
        <w:t>.</w:t>
      </w:r>
    </w:p>
    <w:p w:rsidR="002C5E93" w:rsidRPr="007D7190" w:rsidRDefault="002C5E93" w:rsidP="007D6F45">
      <w:pPr>
        <w:spacing w:line="360" w:lineRule="auto"/>
        <w:jc w:val="both"/>
        <w:rPr>
          <w:rFonts w:ascii="Palatino Linotype" w:hAnsi="Palatino Linotype" w:cs="Tahoma"/>
          <w:color w:val="000000" w:themeColor="text1"/>
          <w:lang w:val="es-ES"/>
        </w:rPr>
      </w:pP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iCs/>
          <w:color w:val="000000" w:themeColor="text1"/>
          <w:lang w:val="es-ES" w:eastAsia="es-ES_tradnl"/>
        </w:rPr>
      </w:pPr>
      <w:r w:rsidRPr="007D7190">
        <w:rPr>
          <w:rFonts w:ascii="Palatino Linotype" w:eastAsia="Calibri" w:hAnsi="Palatino Linotype" w:cs="Tahoma"/>
          <w:iCs/>
          <w:color w:val="000000" w:themeColor="text1"/>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2C5E93" w:rsidRPr="007D7190" w:rsidRDefault="002C5E93" w:rsidP="000442BF">
      <w:pPr>
        <w:numPr>
          <w:ilvl w:val="0"/>
          <w:numId w:val="39"/>
        </w:numPr>
        <w:spacing w:line="360" w:lineRule="auto"/>
        <w:ind w:left="0" w:firstLine="0"/>
        <w:jc w:val="both"/>
        <w:rPr>
          <w:rFonts w:ascii="Palatino Linotype" w:eastAsia="Calibri" w:hAnsi="Palatino Linotype" w:cs="Tahoma"/>
          <w:i/>
          <w:iCs/>
          <w:color w:val="000000" w:themeColor="text1"/>
          <w:lang w:eastAsia="es-ES_tradnl"/>
        </w:rPr>
      </w:pPr>
      <w:r w:rsidRPr="007D7190">
        <w:rPr>
          <w:rFonts w:ascii="Palatino Linotype" w:eastAsia="Calibri" w:hAnsi="Palatino Linotype" w:cs="Tahoma"/>
          <w:i/>
          <w:iCs/>
          <w:color w:val="000000" w:themeColor="text1"/>
          <w:lang w:eastAsia="es-ES_tradnl"/>
        </w:rPr>
        <w:t>La divulgación de la información representa un riesgo real, demostrable e identificable de perjuicio significativo al interés público o a la seguridad nacional.</w:t>
      </w:r>
    </w:p>
    <w:p w:rsidR="002C5E93" w:rsidRPr="007D7190" w:rsidRDefault="002C5E93" w:rsidP="000442BF">
      <w:pPr>
        <w:numPr>
          <w:ilvl w:val="0"/>
          <w:numId w:val="39"/>
        </w:numPr>
        <w:spacing w:line="360" w:lineRule="auto"/>
        <w:ind w:left="0" w:firstLine="0"/>
        <w:jc w:val="both"/>
        <w:rPr>
          <w:rFonts w:ascii="Palatino Linotype" w:eastAsia="Calibri" w:hAnsi="Palatino Linotype" w:cs="Tahoma"/>
          <w:i/>
          <w:iCs/>
          <w:color w:val="000000" w:themeColor="text1"/>
          <w:lang w:eastAsia="es-ES_tradnl"/>
        </w:rPr>
      </w:pPr>
      <w:r w:rsidRPr="007D7190">
        <w:rPr>
          <w:rFonts w:ascii="Palatino Linotype" w:eastAsia="Calibri" w:hAnsi="Palatino Linotype" w:cs="Tahoma"/>
          <w:i/>
          <w:iCs/>
          <w:color w:val="000000" w:themeColor="text1"/>
          <w:lang w:eastAsia="es-ES_tradnl"/>
        </w:rPr>
        <w:t>El riesgo de perjuicio supera el interés público general de que se difunda.</w:t>
      </w:r>
    </w:p>
    <w:p w:rsidR="002C5E93" w:rsidRPr="007D7190" w:rsidRDefault="002C5E93" w:rsidP="000442BF">
      <w:pPr>
        <w:numPr>
          <w:ilvl w:val="0"/>
          <w:numId w:val="39"/>
        </w:numPr>
        <w:spacing w:line="360" w:lineRule="auto"/>
        <w:ind w:left="0" w:firstLine="0"/>
        <w:jc w:val="both"/>
        <w:rPr>
          <w:rFonts w:ascii="Palatino Linotype" w:eastAsia="Calibri" w:hAnsi="Palatino Linotype" w:cs="Tahoma"/>
          <w:i/>
          <w:iCs/>
          <w:color w:val="000000" w:themeColor="text1"/>
          <w:lang w:eastAsia="es-ES_tradnl"/>
        </w:rPr>
      </w:pPr>
      <w:r w:rsidRPr="007D7190">
        <w:rPr>
          <w:rFonts w:ascii="Palatino Linotype" w:eastAsia="Calibri" w:hAnsi="Palatino Linotype" w:cs="Tahoma"/>
          <w:i/>
          <w:iCs/>
          <w:color w:val="000000" w:themeColor="text1"/>
          <w:lang w:eastAsia="es-ES_tradnl"/>
        </w:rPr>
        <w:t>Que la limitación se adecua al principio de proporcionalidad y representa el medio menos restrictivo disponible para evitar el perjuicio.</w:t>
      </w: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iCs/>
          <w:color w:val="000000" w:themeColor="text1"/>
          <w:lang w:eastAsia="es-ES_tradnl"/>
        </w:rPr>
      </w:pPr>
      <w:r w:rsidRPr="007D7190">
        <w:rPr>
          <w:rFonts w:ascii="Palatino Linotype" w:eastAsia="Calibri" w:hAnsi="Palatino Linotype" w:cs="Tahoma"/>
          <w:iCs/>
          <w:color w:val="000000" w:themeColor="text1"/>
          <w:lang w:eastAsia="es-ES_tradnl"/>
        </w:rPr>
        <w:lastRenderedPageBreak/>
        <w:t>Al respecto, este Instituto advierte lo siguiente:</w:t>
      </w:r>
    </w:p>
    <w:p w:rsidR="002C5E93" w:rsidRPr="007D7190" w:rsidRDefault="002C5E93" w:rsidP="000442BF">
      <w:pPr>
        <w:pStyle w:val="Prrafodelista"/>
        <w:numPr>
          <w:ilvl w:val="0"/>
          <w:numId w:val="40"/>
        </w:numPr>
        <w:spacing w:line="360" w:lineRule="auto"/>
        <w:ind w:left="0" w:firstLine="0"/>
        <w:jc w:val="both"/>
        <w:rPr>
          <w:rFonts w:ascii="Palatino Linotype" w:eastAsia="Calibri" w:hAnsi="Palatino Linotype" w:cs="Tahoma"/>
          <w:bCs/>
          <w:color w:val="000000" w:themeColor="text1"/>
          <w:lang w:eastAsia="en-US"/>
        </w:rPr>
      </w:pPr>
      <w:r w:rsidRPr="007D7190">
        <w:rPr>
          <w:rFonts w:ascii="Palatino Linotype" w:eastAsia="Calibri" w:hAnsi="Palatino Linotype" w:cs="Tahoma"/>
          <w:bCs/>
          <w:color w:val="000000" w:themeColor="text1"/>
          <w:lang w:eastAsia="en-US"/>
        </w:rPr>
        <w:t xml:space="preserve">Que existe un </w:t>
      </w:r>
      <w:r w:rsidRPr="007D7190">
        <w:rPr>
          <w:rFonts w:ascii="Palatino Linotype" w:eastAsia="Calibri" w:hAnsi="Palatino Linotype" w:cs="Tahoma"/>
          <w:b/>
          <w:bCs/>
          <w:color w:val="000000" w:themeColor="text1"/>
          <w:lang w:eastAsia="en-US"/>
        </w:rPr>
        <w:t xml:space="preserve">riesgo real, demostrable e identificable, </w:t>
      </w:r>
      <w:r w:rsidRPr="007D7190">
        <w:rPr>
          <w:rFonts w:ascii="Palatino Linotype" w:eastAsia="Calibri" w:hAnsi="Palatino Linotype" w:cs="Tahoma"/>
          <w:bCs/>
          <w:color w:val="000000" w:themeColor="text1"/>
          <w:lang w:eastAsia="en-US"/>
        </w:rPr>
        <w:t xml:space="preserve">toda vez que dar a conocer información sobre el blindaje, armamento, equipo o medios de comunicación da cuenta </w:t>
      </w:r>
      <w:r w:rsidRPr="007D7190">
        <w:rPr>
          <w:rFonts w:ascii="Palatino Linotype" w:eastAsia="Calibri" w:hAnsi="Palatino Linotype" w:cs="Tahoma"/>
          <w:b/>
          <w:bCs/>
          <w:color w:val="000000" w:themeColor="text1"/>
          <w:lang w:eastAsia="en-US"/>
        </w:rPr>
        <w:t>de las tecnologías, equipos y sistemas de</w:t>
      </w:r>
      <w:r w:rsidR="00570D6F" w:rsidRPr="007D7190">
        <w:rPr>
          <w:rFonts w:ascii="Palatino Linotype" w:eastAsia="Calibri" w:hAnsi="Palatino Linotype" w:cs="Tahoma"/>
          <w:b/>
          <w:bCs/>
          <w:color w:val="000000" w:themeColor="text1"/>
          <w:lang w:eastAsia="en-US"/>
        </w:rPr>
        <w:t>l Sujeto Obligado</w:t>
      </w:r>
      <w:r w:rsidRPr="007D7190">
        <w:rPr>
          <w:rFonts w:ascii="Palatino Linotype" w:eastAsia="Calibri" w:hAnsi="Palatino Linotype" w:cs="Tahoma"/>
          <w:bCs/>
          <w:color w:val="000000" w:themeColor="text1"/>
          <w:lang w:eastAsia="en-US"/>
        </w:rPr>
        <w:t xml:space="preserve"> para inhibir la inseguridad y evitar la comisión de actos ilícitos, lo que podría ocasionar que los integrantes de organizaciones criminales conozcan la tecnología, sistemas y formas de comunicación</w:t>
      </w:r>
      <w:r w:rsidR="00570D6F" w:rsidRPr="007D7190">
        <w:rPr>
          <w:rFonts w:ascii="Palatino Linotype" w:eastAsia="Calibri" w:hAnsi="Palatino Linotype" w:cs="Tahoma"/>
          <w:bCs/>
          <w:color w:val="000000" w:themeColor="text1"/>
          <w:lang w:eastAsia="en-US"/>
        </w:rPr>
        <w:t xml:space="preserve"> del Sujeto Obligado</w:t>
      </w:r>
      <w:r w:rsidRPr="007D7190">
        <w:rPr>
          <w:rFonts w:ascii="Palatino Linotype" w:eastAsia="Calibri" w:hAnsi="Palatino Linotype" w:cs="Tahoma"/>
          <w:bCs/>
          <w:color w:val="000000" w:themeColor="text1"/>
          <w:lang w:eastAsia="en-US"/>
        </w:rPr>
        <w:t>, propiciando que los operativos o acciones para inhibir o combatir la comisión de delitos se vea afectado, lo que daría como resultado el aumento de la inseguridad y la comisión de delitos. Además que comprometería el cumplimiento de los objetivos de</w:t>
      </w:r>
      <w:r w:rsidR="00570D6F" w:rsidRPr="007D7190">
        <w:rPr>
          <w:rFonts w:ascii="Palatino Linotype" w:eastAsia="Calibri" w:hAnsi="Palatino Linotype" w:cs="Tahoma"/>
          <w:bCs/>
          <w:color w:val="000000" w:themeColor="text1"/>
          <w:lang w:eastAsia="en-US"/>
        </w:rPr>
        <w:t>l</w:t>
      </w:r>
      <w:r w:rsidRPr="007D7190">
        <w:rPr>
          <w:rFonts w:ascii="Palatino Linotype" w:eastAsia="Calibri" w:hAnsi="Palatino Linotype" w:cs="Tahoma"/>
          <w:bCs/>
          <w:color w:val="000000" w:themeColor="text1"/>
          <w:lang w:eastAsia="en-US"/>
        </w:rPr>
        <w:t xml:space="preserve"> </w:t>
      </w:r>
      <w:r w:rsidR="00570D6F" w:rsidRPr="007D7190">
        <w:rPr>
          <w:rFonts w:ascii="Palatino Linotype" w:eastAsia="Calibri" w:hAnsi="Palatino Linotype" w:cs="Tahoma"/>
          <w:bCs/>
          <w:color w:val="000000" w:themeColor="text1"/>
          <w:lang w:eastAsia="en-US"/>
        </w:rPr>
        <w:t>Sujeto Obligado</w:t>
      </w:r>
      <w:r w:rsidRPr="007D7190">
        <w:rPr>
          <w:rFonts w:ascii="Palatino Linotype" w:eastAsia="Calibri" w:hAnsi="Palatino Linotype" w:cs="Tahoma"/>
          <w:bCs/>
          <w:color w:val="000000" w:themeColor="text1"/>
          <w:lang w:eastAsia="en-US"/>
        </w:rPr>
        <w:t>.</w:t>
      </w:r>
    </w:p>
    <w:p w:rsidR="002C5E93" w:rsidRPr="007D7190" w:rsidRDefault="002C5E93" w:rsidP="007D6F45">
      <w:pPr>
        <w:pStyle w:val="Prrafodelista"/>
        <w:spacing w:line="360" w:lineRule="auto"/>
        <w:ind w:left="0"/>
        <w:jc w:val="both"/>
        <w:rPr>
          <w:rFonts w:ascii="Palatino Linotype" w:eastAsia="Calibri" w:hAnsi="Palatino Linotype" w:cs="Tahoma"/>
          <w:bCs/>
          <w:color w:val="000000" w:themeColor="text1"/>
          <w:lang w:eastAsia="en-US"/>
        </w:rPr>
      </w:pPr>
    </w:p>
    <w:p w:rsidR="002C5E93" w:rsidRPr="007D7190" w:rsidRDefault="002C5E93" w:rsidP="007D6F45">
      <w:pPr>
        <w:pStyle w:val="Prrafodelista"/>
        <w:spacing w:line="360" w:lineRule="auto"/>
        <w:ind w:left="0"/>
        <w:jc w:val="both"/>
        <w:rPr>
          <w:rFonts w:ascii="Palatino Linotype" w:eastAsia="Calibri" w:hAnsi="Palatino Linotype" w:cs="Tahoma"/>
          <w:bCs/>
          <w:color w:val="000000" w:themeColor="text1"/>
          <w:lang w:eastAsia="en-US"/>
        </w:rPr>
      </w:pPr>
      <w:r w:rsidRPr="007D7190">
        <w:rPr>
          <w:rFonts w:ascii="Palatino Linotype" w:eastAsia="Calibri" w:hAnsi="Palatino Linotype" w:cs="Tahoma"/>
          <w:bCs/>
          <w:color w:val="000000" w:themeColor="text1"/>
          <w:lang w:eastAsia="en-US"/>
        </w:rPr>
        <w:t>Además, con dicha información se podría clonar las patrullas, ocasionando que los delincuentes se hagan pasar por elementos de seguridad o inclusive, se podrían obtener las debilidades de los vehículos, con el fin de dar una ventaja a los entes delincuenciales y facilitar la comisión de delitos.</w:t>
      </w:r>
    </w:p>
    <w:p w:rsidR="002C5E93" w:rsidRPr="007D7190" w:rsidRDefault="002C5E93" w:rsidP="007D6F45">
      <w:pPr>
        <w:pStyle w:val="Prrafodelista"/>
        <w:spacing w:line="360" w:lineRule="auto"/>
        <w:ind w:left="0"/>
        <w:jc w:val="both"/>
        <w:rPr>
          <w:rFonts w:ascii="Palatino Linotype" w:eastAsia="Calibri" w:hAnsi="Palatino Linotype" w:cs="Tahoma"/>
          <w:bCs/>
          <w:color w:val="000000" w:themeColor="text1"/>
          <w:lang w:eastAsia="en-US"/>
        </w:rPr>
      </w:pPr>
    </w:p>
    <w:p w:rsidR="002C5E93" w:rsidRPr="007D7190" w:rsidRDefault="002C5E93" w:rsidP="000442BF">
      <w:pPr>
        <w:pStyle w:val="Prrafodelista"/>
        <w:numPr>
          <w:ilvl w:val="0"/>
          <w:numId w:val="40"/>
        </w:numPr>
        <w:spacing w:line="360" w:lineRule="auto"/>
        <w:ind w:left="0" w:firstLine="0"/>
        <w:jc w:val="both"/>
        <w:rPr>
          <w:rFonts w:ascii="Palatino Linotype" w:eastAsia="Calibri" w:hAnsi="Palatino Linotype" w:cs="Tahoma"/>
          <w:b/>
          <w:bCs/>
          <w:color w:val="000000" w:themeColor="text1"/>
          <w:lang w:eastAsia="en-US"/>
        </w:rPr>
      </w:pPr>
      <w:r w:rsidRPr="007D7190">
        <w:rPr>
          <w:rFonts w:ascii="Palatino Linotype" w:eastAsia="Calibri" w:hAnsi="Palatino Linotype" w:cs="Tahoma"/>
          <w:b/>
          <w:bCs/>
          <w:color w:val="000000" w:themeColor="text1"/>
          <w:lang w:eastAsia="en-US"/>
        </w:rPr>
        <w:t>Que el riesgo de perjuicio que supone la divulgación de la información supera el interés público general</w:t>
      </w:r>
      <w:r w:rsidRPr="007D7190">
        <w:rPr>
          <w:rFonts w:ascii="Palatino Linotype" w:eastAsia="Calibri" w:hAnsi="Palatino Linotype" w:cs="Tahoma"/>
          <w:bCs/>
          <w:color w:val="000000" w:themeColor="text1"/>
          <w:lang w:eastAsia="en-US"/>
        </w:rPr>
        <w:t xml:space="preserve">, ya que individuos con pretensiones delictivas conocerían de manera detallada el blindaje, equipo y armamento que ocupan los policías, lo cual permitiría que se prepararan y buscaran la forma de inhibir las armas o los medios de protección de dichos vehículos, en detrimento de los policías y la sociedad; además, de que revelar la formas de comunicación que se utilizan en materia de seguridad, permitiría a las organizaciones delincuenciales sabotearlos,  lo cual se traduciría en un detrimento al </w:t>
      </w:r>
      <w:r w:rsidRPr="007D7190">
        <w:rPr>
          <w:rFonts w:ascii="Palatino Linotype" w:eastAsia="Calibri" w:hAnsi="Palatino Linotype" w:cs="Tahoma"/>
          <w:bCs/>
          <w:color w:val="000000" w:themeColor="text1"/>
          <w:lang w:eastAsia="en-US"/>
        </w:rPr>
        <w:lastRenderedPageBreak/>
        <w:t xml:space="preserve">combate a la delincuencia y un perjuicio a la seguridad pública, </w:t>
      </w:r>
      <w:r w:rsidRPr="007D7190">
        <w:rPr>
          <w:rFonts w:ascii="Palatino Linotype" w:eastAsia="Calibri" w:hAnsi="Palatino Linotype" w:cs="Tahoma"/>
          <w:b/>
          <w:bCs/>
          <w:color w:val="000000" w:themeColor="text1"/>
          <w:lang w:eastAsia="en-US"/>
        </w:rPr>
        <w:t>vulnerando así, el interés general.</w:t>
      </w:r>
    </w:p>
    <w:p w:rsidR="002C5E93" w:rsidRPr="007D7190" w:rsidRDefault="002C5E93" w:rsidP="007D6F45">
      <w:pPr>
        <w:pStyle w:val="Prrafodelista"/>
        <w:spacing w:line="360" w:lineRule="auto"/>
        <w:ind w:left="0"/>
        <w:jc w:val="both"/>
        <w:rPr>
          <w:rFonts w:ascii="Palatino Linotype" w:eastAsia="Calibri" w:hAnsi="Palatino Linotype" w:cs="Tahoma"/>
          <w:bCs/>
          <w:color w:val="000000" w:themeColor="text1"/>
          <w:lang w:eastAsia="en-US"/>
        </w:rPr>
      </w:pPr>
    </w:p>
    <w:p w:rsidR="002C5E93" w:rsidRPr="007D7190" w:rsidRDefault="002C5E93" w:rsidP="000442BF">
      <w:pPr>
        <w:pStyle w:val="Prrafodelista"/>
        <w:numPr>
          <w:ilvl w:val="0"/>
          <w:numId w:val="40"/>
        </w:numPr>
        <w:spacing w:line="360" w:lineRule="auto"/>
        <w:ind w:left="0" w:firstLine="0"/>
        <w:jc w:val="both"/>
        <w:rPr>
          <w:rFonts w:ascii="Palatino Linotype" w:eastAsia="Calibri" w:hAnsi="Palatino Linotype" w:cs="Tahoma"/>
          <w:bCs/>
          <w:color w:val="000000" w:themeColor="text1"/>
          <w:lang w:eastAsia="en-US"/>
        </w:rPr>
      </w:pPr>
      <w:r w:rsidRPr="007D7190">
        <w:rPr>
          <w:rFonts w:ascii="Palatino Linotype" w:eastAsia="Calibri" w:hAnsi="Palatino Linotype" w:cs="Tahoma"/>
          <w:b/>
          <w:bCs/>
          <w:color w:val="000000" w:themeColor="text1"/>
          <w:lang w:eastAsia="en-US"/>
        </w:rPr>
        <w:t xml:space="preserve">Que la reserva no se traduzca en un medio restrictivo al derecho de acceso a la información, </w:t>
      </w:r>
      <w:r w:rsidRPr="007D7190">
        <w:rPr>
          <w:rFonts w:ascii="Palatino Linotype" w:eastAsia="Calibri" w:hAnsi="Palatino Linotype" w:cs="Tahoma"/>
          <w:bCs/>
          <w:color w:val="000000" w:themeColor="text1"/>
          <w:lang w:eastAsia="en-US"/>
        </w:rPr>
        <w:t xml:space="preserve">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w:t>
      </w:r>
      <w:r w:rsidR="00570D6F" w:rsidRPr="007D7190">
        <w:rPr>
          <w:rFonts w:ascii="Palatino Linotype" w:eastAsia="Calibri" w:hAnsi="Palatino Linotype" w:cs="Tahoma"/>
          <w:bCs/>
          <w:color w:val="000000" w:themeColor="text1"/>
          <w:lang w:eastAsia="en-US"/>
        </w:rPr>
        <w:t>del Sujeto Obligado</w:t>
      </w:r>
      <w:r w:rsidRPr="007D7190">
        <w:rPr>
          <w:rFonts w:ascii="Palatino Linotype" w:eastAsia="Calibri" w:hAnsi="Palatino Linotype" w:cs="Tahoma"/>
          <w:bCs/>
          <w:color w:val="000000" w:themeColor="text1"/>
          <w:lang w:eastAsia="en-US"/>
        </w:rPr>
        <w:t>.</w:t>
      </w:r>
    </w:p>
    <w:p w:rsidR="002C5E93" w:rsidRPr="007D7190" w:rsidRDefault="002C5E93" w:rsidP="007D6F45">
      <w:pPr>
        <w:pStyle w:val="Prrafodelista"/>
        <w:ind w:left="0"/>
        <w:rPr>
          <w:rFonts w:ascii="Palatino Linotype" w:eastAsia="Calibri" w:hAnsi="Palatino Linotype" w:cs="Tahoma"/>
          <w:bCs/>
          <w:color w:val="000000" w:themeColor="text1"/>
          <w:lang w:eastAsia="en-US"/>
        </w:rPr>
      </w:pPr>
    </w:p>
    <w:p w:rsidR="002C5E93" w:rsidRPr="007D7190" w:rsidRDefault="002C5E93" w:rsidP="007D6F45">
      <w:pPr>
        <w:pStyle w:val="Prrafodelista"/>
        <w:spacing w:line="360" w:lineRule="auto"/>
        <w:ind w:left="0"/>
        <w:jc w:val="both"/>
        <w:rPr>
          <w:rFonts w:ascii="Palatino Linotype" w:eastAsia="Calibri" w:hAnsi="Palatino Linotype" w:cs="Tahoma"/>
          <w:bCs/>
          <w:color w:val="000000" w:themeColor="text1"/>
          <w:lang w:eastAsia="en-US"/>
        </w:rPr>
      </w:pPr>
      <w:r w:rsidRPr="007D7190">
        <w:rPr>
          <w:rFonts w:ascii="Palatino Linotype" w:eastAsia="Calibri" w:hAnsi="Palatino Linotype" w:cs="Tahoma"/>
          <w:bCs/>
          <w:color w:val="000000" w:themeColor="text1"/>
          <w:lang w:eastAsia="en-US"/>
        </w:rPr>
        <w:t>Asimismo, se buscó el medio menos restrictivo ya que sólo procede la clasificación de la información relacionada con datos técnicos de equipos, armamento y o patrullas y procedente la entrega del resto de la información que obre en los documentos solicitados, principalmente todo aquello relacionado con el ejercicio de recursos públicos.</w:t>
      </w:r>
    </w:p>
    <w:p w:rsidR="002C5E93" w:rsidRPr="007D7190" w:rsidRDefault="002C5E93" w:rsidP="007D6F45">
      <w:pPr>
        <w:spacing w:line="360" w:lineRule="auto"/>
        <w:jc w:val="both"/>
        <w:rPr>
          <w:rFonts w:ascii="Palatino Linotype" w:hAnsi="Palatino Linotype" w:cs="Tahoma"/>
          <w:color w:val="000000" w:themeColor="text1"/>
          <w:lang w:val="es-ES"/>
        </w:rPr>
      </w:pP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iCs/>
          <w:color w:val="000000" w:themeColor="text1"/>
          <w:lang w:val="es-ES" w:eastAsia="es-ES_tradnl"/>
        </w:rPr>
      </w:pPr>
      <w:r w:rsidRPr="007D7190">
        <w:rPr>
          <w:rFonts w:ascii="Palatino Linotype" w:eastAsia="Calibri" w:hAnsi="Palatino Linotype" w:cs="Tahoma"/>
          <w:bCs/>
          <w:color w:val="000000" w:themeColor="text1"/>
          <w:lang w:eastAsia="en-US"/>
        </w:rPr>
        <w:t xml:space="preserve">Por tales consideraciones, resulta procedente la reserva, en términos del artículo 140, fracción I, de </w:t>
      </w:r>
      <w:r w:rsidRPr="007D7190">
        <w:rPr>
          <w:rFonts w:ascii="Palatino Linotype" w:eastAsia="Calibri" w:hAnsi="Palatino Linotype" w:cs="Tahoma"/>
          <w:iCs/>
          <w:color w:val="000000" w:themeColor="text1"/>
          <w:lang w:val="es-ES" w:eastAsia="es-ES_tradnl"/>
        </w:rPr>
        <w:t>de la Ley de Transparencia y Acceso a la Información Pública del Estado de México y Municipios, respecto a las especificaciones técnicas de patrullas, equipo y armamento.</w:t>
      </w:r>
    </w:p>
    <w:p w:rsidR="00570D6F" w:rsidRPr="007D7190" w:rsidRDefault="00570D6F" w:rsidP="007D6F45">
      <w:pPr>
        <w:spacing w:line="360" w:lineRule="auto"/>
        <w:jc w:val="both"/>
        <w:rPr>
          <w:rFonts w:ascii="Palatino Linotype" w:eastAsia="Calibri" w:hAnsi="Palatino Linotype" w:cs="Tahoma"/>
          <w:iCs/>
          <w:color w:val="000000" w:themeColor="text1"/>
          <w:lang w:val="es-ES" w:eastAsia="es-ES_tradnl"/>
        </w:rPr>
      </w:pPr>
    </w:p>
    <w:p w:rsidR="002C5E93" w:rsidRPr="007D7190" w:rsidRDefault="002C5E93" w:rsidP="007D6F45">
      <w:pPr>
        <w:pStyle w:val="Prrafodelista"/>
        <w:numPr>
          <w:ilvl w:val="0"/>
          <w:numId w:val="1"/>
        </w:numPr>
        <w:spacing w:line="360" w:lineRule="auto"/>
        <w:ind w:left="0" w:firstLine="0"/>
        <w:jc w:val="both"/>
        <w:rPr>
          <w:rFonts w:ascii="Palatino Linotype" w:eastAsia="Calibri" w:hAnsi="Palatino Linotype" w:cs="Tahoma"/>
          <w:bCs/>
          <w:iCs/>
          <w:color w:val="000000" w:themeColor="text1"/>
          <w:lang w:eastAsia="es-ES_tradnl"/>
        </w:rPr>
      </w:pPr>
      <w:r w:rsidRPr="007D7190">
        <w:rPr>
          <w:rFonts w:ascii="Palatino Linotype" w:hAnsi="Palatino Linotype" w:cs="Tahoma"/>
          <w:color w:val="000000" w:themeColor="text1"/>
          <w:lang w:val="es-ES"/>
        </w:rPr>
        <w:t xml:space="preserve">Conforme a lo anterior, se considera que el </w:t>
      </w:r>
      <w:r w:rsidR="00570D6F" w:rsidRPr="007D7190">
        <w:rPr>
          <w:rFonts w:ascii="Palatino Linotype" w:hAnsi="Palatino Linotype" w:cs="Tahoma"/>
          <w:b/>
          <w:color w:val="000000" w:themeColor="text1"/>
          <w:lang w:val="es-ES"/>
        </w:rPr>
        <w:t>Sujeto Obligado</w:t>
      </w:r>
      <w:r w:rsidR="00570D6F" w:rsidRPr="007D7190">
        <w:rPr>
          <w:rFonts w:ascii="Palatino Linotype" w:hAnsi="Palatino Linotype" w:cs="Tahoma"/>
          <w:color w:val="000000" w:themeColor="text1"/>
          <w:lang w:val="es-ES"/>
        </w:rPr>
        <w:t>,</w:t>
      </w:r>
      <w:r w:rsidRPr="007D7190">
        <w:rPr>
          <w:rFonts w:ascii="Palatino Linotype" w:hAnsi="Palatino Linotype" w:cs="Tahoma"/>
          <w:color w:val="000000" w:themeColor="text1"/>
          <w:lang w:val="es-ES"/>
        </w:rPr>
        <w:t xml:space="preserve"> deberá entregar el acuerdo de clasificación emitido por el Comité de Transparencia, en donde de manera fundada y motivada, a través de una prueba de daño, confirme la clasificación como reservada, en términos del artículo 140, fracción I de la </w:t>
      </w:r>
      <w:r w:rsidRPr="007D7190">
        <w:rPr>
          <w:rFonts w:ascii="Palatino Linotype" w:hAnsi="Palatino Linotype" w:cs="Tahoma"/>
          <w:color w:val="000000" w:themeColor="text1"/>
        </w:rPr>
        <w:t xml:space="preserve">Ley de Transparencia y Acceso a la </w:t>
      </w:r>
      <w:r w:rsidRPr="007D7190">
        <w:rPr>
          <w:rFonts w:ascii="Palatino Linotype" w:hAnsi="Palatino Linotype" w:cs="Tahoma"/>
          <w:color w:val="000000" w:themeColor="text1"/>
        </w:rPr>
        <w:lastRenderedPageBreak/>
        <w:t>Información Pública del Estado de México y Municipios, de especificaciones de equipo armamento y patrullas, a través de la versión pública que entregue.</w:t>
      </w:r>
    </w:p>
    <w:p w:rsidR="002C5E93" w:rsidRPr="007D7190" w:rsidRDefault="002C5E93" w:rsidP="007D6F45">
      <w:pPr>
        <w:spacing w:line="360" w:lineRule="auto"/>
        <w:jc w:val="both"/>
        <w:rPr>
          <w:rFonts w:ascii="Palatino Linotype" w:hAnsi="Palatino Linotype" w:cs="Arial"/>
          <w:color w:val="000000" w:themeColor="text1"/>
        </w:rPr>
      </w:pPr>
      <w:r w:rsidRPr="007D7190">
        <w:rPr>
          <w:rFonts w:ascii="Palatino Linotype" w:hAnsi="Palatino Linotype" w:cs="Arial"/>
          <w:color w:val="000000" w:themeColor="text1"/>
        </w:rPr>
        <w:t xml:space="preserve"> </w:t>
      </w:r>
    </w:p>
    <w:p w:rsidR="00570D6F" w:rsidRPr="007D7190" w:rsidRDefault="002C5E93" w:rsidP="007D6F4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7D7190">
        <w:rPr>
          <w:rFonts w:ascii="Palatino Linotype" w:hAnsi="Palatino Linotype"/>
          <w:color w:val="000000" w:themeColor="text1"/>
        </w:rPr>
        <w:t xml:space="preserve">De tal forma que, en relación a la información de la que se ordena su entrega en versión pública, en términos del artículo 143 de la Ley de Transparencia y Acceso a la Información Pública del Estado de México y Municipios, se deberá </w:t>
      </w:r>
      <w:r w:rsidRPr="007D7190">
        <w:rPr>
          <w:rFonts w:ascii="Palatino Linotype" w:eastAsia="Arial Unicode MS" w:hAnsi="Palatino Linotype" w:cs="Arial"/>
          <w:color w:val="000000" w:themeColor="text1"/>
        </w:rPr>
        <w:t>omitir, eliminar o suprimir la</w:t>
      </w:r>
      <w:r w:rsidRPr="007D7190">
        <w:rPr>
          <w:rFonts w:ascii="Palatino Linotype" w:hAnsi="Palatino Linotype"/>
          <w:color w:val="000000" w:themeColor="text1"/>
        </w:rPr>
        <w:t xml:space="preserve"> información </w:t>
      </w:r>
      <w:r w:rsidRPr="007D7190">
        <w:rPr>
          <w:rFonts w:ascii="Palatino Linotype" w:hAnsi="Palatino Linotype"/>
          <w:b/>
          <w:color w:val="000000" w:themeColor="text1"/>
        </w:rPr>
        <w:t>confidencial</w:t>
      </w:r>
      <w:r w:rsidRPr="007D7190">
        <w:rPr>
          <w:rFonts w:ascii="Palatino Linotype" w:eastAsia="Arial Unicode MS" w:hAnsi="Palatino Linotype" w:cs="Arial"/>
          <w:color w:val="000000" w:themeColor="text1"/>
        </w:rPr>
        <w:t xml:space="preserve">. </w:t>
      </w:r>
    </w:p>
    <w:p w:rsidR="00570D6F" w:rsidRPr="007D7190" w:rsidRDefault="00570D6F" w:rsidP="007D6F45">
      <w:pPr>
        <w:pStyle w:val="Prrafodelista"/>
        <w:ind w:left="0"/>
        <w:rPr>
          <w:rFonts w:ascii="Palatino Linotype" w:eastAsia="Arial Unicode MS" w:hAnsi="Palatino Linotype" w:cs="Arial"/>
          <w:color w:val="000000" w:themeColor="text1"/>
        </w:rPr>
      </w:pPr>
    </w:p>
    <w:p w:rsidR="002C5E93" w:rsidRPr="007D7190" w:rsidRDefault="002C5E93" w:rsidP="007D6F4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7D7190">
        <w:rPr>
          <w:rFonts w:ascii="Palatino Linotype" w:eastAsia="Arial Unicode MS" w:hAnsi="Palatino Linotype" w:cs="Arial"/>
          <w:color w:val="000000" w:themeColor="text1"/>
        </w:rPr>
        <w:t xml:space="preserve">En ese sentido, </w:t>
      </w:r>
      <w:r w:rsidRPr="007D7190">
        <w:rPr>
          <w:rFonts w:ascii="Palatino Linotype" w:hAnsi="Palatino Linotype" w:cs="Arial"/>
          <w:color w:val="000000" w:themeColor="text1"/>
        </w:rPr>
        <w:t xml:space="preserve">sólo podrán ser testados los datos que actualicen las hipótesis normativas previstas en dicho precepto legal, y deberá procederse a su clasificación mediante las formalidades de Ley, es decir, que el Comité de Transparencia del </w:t>
      </w:r>
      <w:r w:rsidRPr="007D7190">
        <w:rPr>
          <w:rFonts w:ascii="Palatino Linotype" w:hAnsi="Palatino Linotype" w:cs="Arial"/>
          <w:b/>
          <w:color w:val="000000" w:themeColor="text1"/>
        </w:rPr>
        <w:t>SUJETO OBLIGADO</w:t>
      </w:r>
      <w:r w:rsidRPr="007D7190">
        <w:rPr>
          <w:rFonts w:ascii="Palatino Linotype" w:hAnsi="Palatino Linotype" w:cs="Arial"/>
          <w:color w:val="000000" w:themeColor="text1"/>
        </w:rPr>
        <w:t xml:space="preserve"> emita el Acuerdo de Clasificación correspondiente debidamente fundado y motivado, en el cual se sustente la versión pública, en </w:t>
      </w:r>
      <w:r w:rsidRPr="007D7190">
        <w:rPr>
          <w:rFonts w:ascii="Palatino Linotype" w:hAnsi="Palatino Linotype" w:cs="Arial"/>
          <w:noProof/>
          <w:color w:val="000000" w:themeColor="text1"/>
          <w:lang w:eastAsia="es-MX"/>
        </w:rPr>
        <w:t>términos</w:t>
      </w:r>
      <w:r w:rsidRPr="007D7190">
        <w:rPr>
          <w:rFonts w:ascii="Palatino Linotype" w:hAnsi="Palatino Linotype" w:cs="Arial"/>
          <w:color w:val="000000" w:themeColor="text1"/>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C5E93" w:rsidRPr="007D7190" w:rsidRDefault="002C5E93" w:rsidP="007D6F4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2C5E93" w:rsidRPr="007D7190" w:rsidRDefault="002C5E93" w:rsidP="007D6F45">
      <w:pPr>
        <w:spacing w:line="276" w:lineRule="auto"/>
        <w:jc w:val="center"/>
        <w:rPr>
          <w:rFonts w:ascii="Palatino Linotype" w:hAnsi="Palatino Linotype" w:cs="Arial"/>
          <w:b/>
          <w:i/>
          <w:color w:val="000000" w:themeColor="text1"/>
        </w:rPr>
      </w:pPr>
      <w:r w:rsidRPr="007D7190">
        <w:rPr>
          <w:rFonts w:ascii="Palatino Linotype" w:hAnsi="Palatino Linotype" w:cs="Arial"/>
          <w:b/>
          <w:i/>
          <w:color w:val="000000" w:themeColor="text1"/>
        </w:rPr>
        <w:t>Ley de Transparencia y Acceso a la Información Pública del Estado de México y Municipios</w:t>
      </w:r>
    </w:p>
    <w:p w:rsidR="002C5E93" w:rsidRPr="007D7190" w:rsidRDefault="002C5E93" w:rsidP="007D6F45">
      <w:pPr>
        <w:spacing w:line="276" w:lineRule="auto"/>
        <w:jc w:val="center"/>
        <w:rPr>
          <w:rFonts w:ascii="Palatino Linotype" w:hAnsi="Palatino Linotype" w:cs="Arial"/>
          <w:b/>
          <w:i/>
          <w:color w:val="000000" w:themeColor="text1"/>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w:t>
      </w:r>
      <w:r w:rsidRPr="007D7190">
        <w:rPr>
          <w:rFonts w:ascii="Palatino Linotype" w:hAnsi="Palatino Linotype" w:cs="Arial"/>
          <w:b/>
          <w:i/>
          <w:color w:val="000000" w:themeColor="text1"/>
          <w:lang w:eastAsia="es-MX"/>
        </w:rPr>
        <w:t xml:space="preserve">Artículo 49. </w:t>
      </w:r>
      <w:r w:rsidRPr="007D7190">
        <w:rPr>
          <w:rFonts w:ascii="Palatino Linotype" w:hAnsi="Palatino Linotype" w:cs="Arial"/>
          <w:i/>
          <w:color w:val="000000" w:themeColor="text1"/>
          <w:lang w:eastAsia="es-MX"/>
        </w:rPr>
        <w:t xml:space="preserve">Los </w:t>
      </w:r>
      <w:r w:rsidRPr="007D7190">
        <w:rPr>
          <w:rFonts w:ascii="Palatino Linotype" w:hAnsi="Palatino Linotype" w:cs="Arial"/>
          <w:i/>
          <w:color w:val="000000" w:themeColor="text1"/>
        </w:rPr>
        <w:t>Comités</w:t>
      </w:r>
      <w:r w:rsidRPr="007D7190">
        <w:rPr>
          <w:rFonts w:ascii="Palatino Linotype" w:hAnsi="Palatino Linotype" w:cs="Arial"/>
          <w:i/>
          <w:color w:val="000000" w:themeColor="text1"/>
          <w:lang w:eastAsia="es-MX"/>
        </w:rPr>
        <w:t xml:space="preserve"> de Transparencia </w:t>
      </w:r>
      <w:r w:rsidRPr="007D7190">
        <w:rPr>
          <w:rFonts w:ascii="Palatino Linotype" w:hAnsi="Palatino Linotype"/>
          <w:i/>
          <w:color w:val="000000" w:themeColor="text1"/>
        </w:rPr>
        <w:t>tendrán</w:t>
      </w:r>
      <w:r w:rsidRPr="007D7190">
        <w:rPr>
          <w:rFonts w:ascii="Palatino Linotype" w:hAnsi="Palatino Linotype" w:cs="Arial"/>
          <w:i/>
          <w:color w:val="000000" w:themeColor="text1"/>
          <w:lang w:eastAsia="es-MX"/>
        </w:rPr>
        <w:t xml:space="preserve"> las siguientes atribuciones: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VIII.</w:t>
      </w:r>
      <w:r w:rsidRPr="007D7190">
        <w:rPr>
          <w:rFonts w:ascii="Palatino Linotype" w:hAnsi="Palatino Linotype" w:cs="Arial"/>
          <w:i/>
          <w:color w:val="000000" w:themeColor="text1"/>
          <w:lang w:eastAsia="es-MX"/>
        </w:rPr>
        <w:t xml:space="preserve"> Aprobar, </w:t>
      </w:r>
      <w:r w:rsidRPr="007D7190">
        <w:rPr>
          <w:rFonts w:ascii="Palatino Linotype" w:hAnsi="Palatino Linotype" w:cs="Arial"/>
          <w:i/>
          <w:color w:val="000000" w:themeColor="text1"/>
        </w:rPr>
        <w:t>modificar</w:t>
      </w:r>
      <w:r w:rsidRPr="007D7190">
        <w:rPr>
          <w:rFonts w:ascii="Palatino Linotype" w:hAnsi="Palatino Linotype" w:cs="Arial"/>
          <w:i/>
          <w:color w:val="000000" w:themeColor="text1"/>
          <w:lang w:eastAsia="es-MX"/>
        </w:rPr>
        <w:t xml:space="preserve"> o revocar la clasificación de la información;</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Artículo 132.</w:t>
      </w:r>
      <w:r w:rsidRPr="007D7190">
        <w:rPr>
          <w:rFonts w:ascii="Palatino Linotype" w:hAnsi="Palatino Linotype" w:cs="Arial"/>
          <w:i/>
          <w:color w:val="000000" w:themeColor="text1"/>
          <w:lang w:eastAsia="es-MX"/>
        </w:rPr>
        <w:t xml:space="preserve"> La clasificación de la información se llevará a cabo en el momento en que:</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lastRenderedPageBreak/>
        <w:t>[…]</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II.</w:t>
      </w:r>
      <w:r w:rsidRPr="007D7190">
        <w:rPr>
          <w:rFonts w:ascii="Palatino Linotype" w:hAnsi="Palatino Linotype" w:cs="Arial"/>
          <w:i/>
          <w:color w:val="000000" w:themeColor="text1"/>
          <w:lang w:eastAsia="es-MX"/>
        </w:rPr>
        <w:t xml:space="preserve"> Se determine mediante resolución de autoridad competente; o</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III</w:t>
      </w:r>
      <w:r w:rsidRPr="007D7190">
        <w:rPr>
          <w:rFonts w:ascii="Palatino Linotype" w:hAnsi="Palatino Linotype" w:cs="Arial"/>
          <w:i/>
          <w:color w:val="000000" w:themeColor="text1"/>
          <w:lang w:eastAsia="es-MX"/>
        </w:rPr>
        <w:t>. Se generen versiones públicas para dar cumplimiento a las obligaciones de transparencia previstas en esta Ley.”</w:t>
      </w:r>
    </w:p>
    <w:p w:rsidR="002C5E93" w:rsidRPr="007D7190" w:rsidRDefault="002C5E93" w:rsidP="007D6F45">
      <w:pPr>
        <w:spacing w:line="276" w:lineRule="auto"/>
        <w:jc w:val="center"/>
        <w:rPr>
          <w:rFonts w:ascii="Palatino Linotype" w:hAnsi="Palatino Linotype" w:cs="Arial"/>
          <w:b/>
          <w:i/>
          <w:color w:val="000000" w:themeColor="text1"/>
          <w:lang w:eastAsia="es-MX"/>
        </w:rPr>
      </w:pPr>
    </w:p>
    <w:p w:rsidR="002C5E93" w:rsidRPr="007D7190" w:rsidRDefault="002C5E93" w:rsidP="007D6F45">
      <w:pPr>
        <w:spacing w:line="276" w:lineRule="auto"/>
        <w:jc w:val="center"/>
        <w:rPr>
          <w:rFonts w:ascii="Palatino Linotype" w:hAnsi="Palatino Linotype" w:cs="Arial"/>
          <w:b/>
          <w:i/>
          <w:color w:val="000000" w:themeColor="text1"/>
          <w:lang w:eastAsia="es-MX"/>
        </w:rPr>
      </w:pPr>
      <w:r w:rsidRPr="007D7190">
        <w:rPr>
          <w:rFonts w:ascii="Palatino Linotype" w:hAnsi="Palatino Linotype" w:cs="Arial"/>
          <w:b/>
          <w:i/>
          <w:color w:val="000000" w:themeColor="text1"/>
          <w:lang w:eastAsia="es-MX"/>
        </w:rPr>
        <w:t xml:space="preserve">Lineamientos Generales en materia de Clasificación y Desclasificación de la </w:t>
      </w:r>
      <w:r w:rsidRPr="007D7190">
        <w:rPr>
          <w:rFonts w:ascii="Palatino Linotype" w:hAnsi="Palatino Linotype" w:cs="Arial"/>
          <w:b/>
          <w:i/>
          <w:color w:val="000000" w:themeColor="text1"/>
        </w:rPr>
        <w:t>Información, así como para la elaboración de Versiones Públicas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w:t>
      </w:r>
      <w:r w:rsidRPr="007D7190">
        <w:rPr>
          <w:rFonts w:ascii="Palatino Linotype" w:hAnsi="Palatino Linotype" w:cs="Arial"/>
          <w:b/>
          <w:i/>
          <w:color w:val="000000" w:themeColor="text1"/>
          <w:lang w:eastAsia="es-MX"/>
        </w:rPr>
        <w:t>Segundo.-</w:t>
      </w:r>
      <w:r w:rsidRPr="007D7190">
        <w:rPr>
          <w:rFonts w:ascii="Palatino Linotype" w:hAnsi="Palatino Linotype" w:cs="Arial"/>
          <w:i/>
          <w:color w:val="000000" w:themeColor="text1"/>
          <w:lang w:eastAsia="es-MX"/>
        </w:rPr>
        <w:t xml:space="preserve"> Para efectos de los </w:t>
      </w:r>
      <w:r w:rsidRPr="007D7190">
        <w:rPr>
          <w:rFonts w:ascii="Palatino Linotype" w:hAnsi="Palatino Linotype" w:cs="Arial"/>
          <w:i/>
          <w:color w:val="000000" w:themeColor="text1"/>
        </w:rPr>
        <w:t>presentes</w:t>
      </w:r>
      <w:r w:rsidRPr="007D7190">
        <w:rPr>
          <w:rFonts w:ascii="Palatino Linotype" w:hAnsi="Palatino Linotype" w:cs="Arial"/>
          <w:i/>
          <w:color w:val="000000" w:themeColor="text1"/>
          <w:lang w:eastAsia="es-MX"/>
        </w:rPr>
        <w:t xml:space="preserve"> Lineamientos Generales, se entenderá por:</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XVIII.</w:t>
      </w:r>
      <w:r w:rsidRPr="007D7190">
        <w:rPr>
          <w:rFonts w:ascii="Palatino Linotype" w:hAnsi="Palatino Linotype" w:cs="Arial"/>
          <w:i/>
          <w:color w:val="000000" w:themeColor="text1"/>
          <w:lang w:eastAsia="es-MX"/>
        </w:rPr>
        <w:t xml:space="preserve"> </w:t>
      </w:r>
      <w:r w:rsidRPr="007D7190">
        <w:rPr>
          <w:rFonts w:ascii="Palatino Linotype" w:hAnsi="Palatino Linotype" w:cs="Arial"/>
          <w:b/>
          <w:i/>
          <w:color w:val="000000" w:themeColor="text1"/>
          <w:lang w:eastAsia="es-MX"/>
        </w:rPr>
        <w:t>Versión pública:</w:t>
      </w:r>
      <w:r w:rsidRPr="007D7190">
        <w:rPr>
          <w:rFonts w:ascii="Palatino Linotype" w:hAnsi="Palatino Linotype" w:cs="Arial"/>
          <w:i/>
          <w:color w:val="000000" w:themeColor="text1"/>
          <w:lang w:eastAsia="es-MX"/>
        </w:rPr>
        <w:t xml:space="preserve"> El </w:t>
      </w:r>
      <w:r w:rsidRPr="007D7190">
        <w:rPr>
          <w:rFonts w:ascii="Palatino Linotype" w:hAnsi="Palatino Linotype" w:cs="Arial"/>
          <w:bCs/>
          <w:i/>
          <w:noProof/>
          <w:color w:val="000000" w:themeColor="text1"/>
        </w:rPr>
        <w:t>documento</w:t>
      </w:r>
      <w:r w:rsidRPr="007D7190">
        <w:rPr>
          <w:rFonts w:ascii="Palatino Linotype" w:hAnsi="Palatino Linotype" w:cs="Arial"/>
          <w:i/>
          <w:color w:val="000000" w:themeColor="text1"/>
          <w:lang w:eastAsia="es-MX"/>
        </w:rPr>
        <w:t xml:space="preserve"> a partir del que se otorga acceso a la información, en el que se testan partes o secciones clasificadas, indicando el contenido de éstas de manera genérica, </w:t>
      </w:r>
      <w:r w:rsidRPr="007D7190">
        <w:rPr>
          <w:rFonts w:ascii="Palatino Linotype" w:hAnsi="Palatino Linotype" w:cs="Arial"/>
          <w:b/>
          <w:i/>
          <w:color w:val="000000" w:themeColor="text1"/>
          <w:lang w:eastAsia="es-MX"/>
        </w:rPr>
        <w:t>fundando y motivando la</w:t>
      </w:r>
      <w:r w:rsidRPr="007D7190">
        <w:rPr>
          <w:rFonts w:ascii="Palatino Linotype" w:hAnsi="Palatino Linotype" w:cs="Arial"/>
          <w:i/>
          <w:color w:val="000000" w:themeColor="text1"/>
          <w:lang w:eastAsia="es-MX"/>
        </w:rPr>
        <w:t xml:space="preserve"> reserva o </w:t>
      </w:r>
      <w:r w:rsidRPr="007D7190">
        <w:rPr>
          <w:rFonts w:ascii="Palatino Linotype" w:hAnsi="Palatino Linotype" w:cs="Arial"/>
          <w:b/>
          <w:i/>
          <w:color w:val="000000" w:themeColor="text1"/>
          <w:lang w:eastAsia="es-MX"/>
        </w:rPr>
        <w:t>confidencialidad</w:t>
      </w:r>
      <w:r w:rsidRPr="007D7190">
        <w:rPr>
          <w:rFonts w:ascii="Palatino Linotype" w:hAnsi="Palatino Linotype" w:cs="Arial"/>
          <w:i/>
          <w:color w:val="000000" w:themeColor="text1"/>
          <w:lang w:eastAsia="es-MX"/>
        </w:rPr>
        <w:t xml:space="preserve">, a través de la resolución que para tal efecto emita el </w:t>
      </w:r>
      <w:r w:rsidRPr="007D7190">
        <w:rPr>
          <w:rFonts w:ascii="Palatino Linotype" w:hAnsi="Palatino Linotype" w:cs="Arial"/>
          <w:bCs/>
          <w:i/>
          <w:noProof/>
          <w:color w:val="000000" w:themeColor="text1"/>
        </w:rPr>
        <w:t>Comité</w:t>
      </w:r>
      <w:r w:rsidRPr="007D7190">
        <w:rPr>
          <w:rFonts w:ascii="Palatino Linotype" w:hAnsi="Palatino Linotype" w:cs="Arial"/>
          <w:i/>
          <w:color w:val="000000" w:themeColor="text1"/>
          <w:lang w:eastAsia="es-MX"/>
        </w:rPr>
        <w:t xml:space="preserve"> de Transparencia.</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Cuarto.</w:t>
      </w:r>
      <w:r w:rsidRPr="007D7190">
        <w:rPr>
          <w:rFonts w:ascii="Palatino Linotype" w:hAnsi="Palatino Linotype" w:cs="Arial"/>
          <w:i/>
          <w:color w:val="000000" w:themeColor="text1"/>
          <w:lang w:eastAsia="es-MX"/>
        </w:rPr>
        <w:t xml:space="preserve"> Para clasificar la información como reservada o confidencial, de manera total o parcial, el titular del </w:t>
      </w:r>
      <w:r w:rsidRPr="007D7190">
        <w:rPr>
          <w:rFonts w:ascii="Palatino Linotype" w:hAnsi="Palatino Linotype" w:cs="Arial"/>
          <w:bCs/>
          <w:i/>
          <w:noProof/>
          <w:color w:val="000000" w:themeColor="text1"/>
        </w:rPr>
        <w:t>área</w:t>
      </w:r>
      <w:r w:rsidRPr="007D7190">
        <w:rPr>
          <w:rFonts w:ascii="Palatino Linotype" w:hAnsi="Palatino Linotype" w:cs="Arial"/>
          <w:i/>
          <w:color w:val="000000" w:themeColor="text1"/>
          <w:lang w:eastAsia="es-MX"/>
        </w:rPr>
        <w:t xml:space="preserve"> del sujeto </w:t>
      </w:r>
      <w:r w:rsidRPr="007D7190">
        <w:rPr>
          <w:rFonts w:ascii="Palatino Linotype" w:hAnsi="Palatino Linotype" w:cs="Arial"/>
          <w:i/>
          <w:color w:val="000000" w:themeColor="text1"/>
        </w:rPr>
        <w:t>obligado</w:t>
      </w:r>
      <w:r w:rsidRPr="007D7190">
        <w:rPr>
          <w:rFonts w:ascii="Palatino Linotype" w:hAnsi="Palatino Linotype" w:cs="Arial"/>
          <w:i/>
          <w:color w:val="000000" w:themeColor="text1"/>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 xml:space="preserve">Los sujetos obligados deberán aplicar, de manera estricta, las excepciones al derecho de acceso a la </w:t>
      </w:r>
      <w:r w:rsidRPr="007D7190">
        <w:rPr>
          <w:rFonts w:ascii="Palatino Linotype" w:hAnsi="Palatino Linotype" w:cs="Arial"/>
          <w:bCs/>
          <w:i/>
          <w:noProof/>
          <w:color w:val="000000" w:themeColor="text1"/>
        </w:rPr>
        <w:t>información</w:t>
      </w:r>
      <w:r w:rsidRPr="007D7190">
        <w:rPr>
          <w:rFonts w:ascii="Palatino Linotype" w:hAnsi="Palatino Linotype" w:cs="Arial"/>
          <w:i/>
          <w:color w:val="000000" w:themeColor="text1"/>
          <w:lang w:eastAsia="es-MX"/>
        </w:rPr>
        <w:t xml:space="preserve"> y sólo </w:t>
      </w:r>
      <w:r w:rsidRPr="007D7190">
        <w:rPr>
          <w:rFonts w:ascii="Palatino Linotype" w:hAnsi="Palatino Linotype" w:cs="Arial"/>
          <w:i/>
          <w:color w:val="000000" w:themeColor="text1"/>
        </w:rPr>
        <w:t>podrán</w:t>
      </w:r>
      <w:r w:rsidRPr="007D7190">
        <w:rPr>
          <w:rFonts w:ascii="Palatino Linotype" w:hAnsi="Palatino Linotype" w:cs="Arial"/>
          <w:i/>
          <w:color w:val="000000" w:themeColor="text1"/>
          <w:lang w:eastAsia="es-MX"/>
        </w:rPr>
        <w:t xml:space="preserve"> invocarlas cuando acrediten su procedencia.</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Quinto.</w:t>
      </w:r>
      <w:r w:rsidRPr="007D7190">
        <w:rPr>
          <w:rFonts w:ascii="Palatino Linotype" w:hAnsi="Palatino Linotype" w:cs="Arial"/>
          <w:i/>
          <w:color w:val="000000" w:themeColor="text1"/>
          <w:lang w:eastAsia="es-MX"/>
        </w:rPr>
        <w:t xml:space="preserve"> La carga de la prueba para justificar toda negativa de acceso a la información, por actualizarse cualquiera de los supuestos de clasificación previstos en la Ley General, la Ley Federal y leyes estatales, </w:t>
      </w:r>
      <w:r w:rsidRPr="007D7190">
        <w:rPr>
          <w:rFonts w:ascii="Palatino Linotype" w:hAnsi="Palatino Linotype" w:cs="Arial"/>
          <w:i/>
          <w:color w:val="000000" w:themeColor="text1"/>
        </w:rPr>
        <w:t>corresponderá</w:t>
      </w:r>
      <w:r w:rsidRPr="007D7190">
        <w:rPr>
          <w:rFonts w:ascii="Palatino Linotype" w:hAnsi="Palatino Linotype" w:cs="Arial"/>
          <w:i/>
          <w:color w:val="000000" w:themeColor="text1"/>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lastRenderedPageBreak/>
        <w:t>Sexto.</w:t>
      </w:r>
      <w:r w:rsidRPr="007D7190">
        <w:rPr>
          <w:rFonts w:ascii="Palatino Linotype" w:hAnsi="Palatino Linotype" w:cs="Arial"/>
          <w:i/>
          <w:color w:val="000000" w:themeColor="text1"/>
          <w:lang w:eastAsia="es-MX"/>
        </w:rPr>
        <w:t xml:space="preserve"> Los sujetos obligados no podrán emitir acuerdos de carácter general ni particular que clasifiquen </w:t>
      </w:r>
      <w:r w:rsidRPr="007D7190">
        <w:rPr>
          <w:rFonts w:ascii="Palatino Linotype" w:hAnsi="Palatino Linotype" w:cs="Arial"/>
          <w:bCs/>
          <w:i/>
          <w:noProof/>
          <w:color w:val="000000" w:themeColor="text1"/>
        </w:rPr>
        <w:t>documentos</w:t>
      </w:r>
      <w:r w:rsidRPr="007D7190">
        <w:rPr>
          <w:rFonts w:ascii="Palatino Linotype" w:hAnsi="Palatino Linotype" w:cs="Arial"/>
          <w:i/>
          <w:color w:val="000000" w:themeColor="text1"/>
          <w:lang w:eastAsia="es-MX"/>
        </w:rPr>
        <w:t xml:space="preserve"> o expedientes como reservados, ni clasificar documentos antes de que se genere la información o cuando éstos no obren en sus archivos.</w:t>
      </w:r>
    </w:p>
    <w:p w:rsidR="002C5E93" w:rsidRPr="007D7190" w:rsidRDefault="002C5E93" w:rsidP="007D6F45">
      <w:pPr>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 xml:space="preserve">La clasificación de </w:t>
      </w:r>
      <w:r w:rsidRPr="007D7190">
        <w:rPr>
          <w:rFonts w:ascii="Palatino Linotype" w:hAnsi="Palatino Linotype" w:cs="Arial"/>
          <w:i/>
          <w:color w:val="000000" w:themeColor="text1"/>
        </w:rPr>
        <w:t>información</w:t>
      </w:r>
      <w:r w:rsidRPr="007D7190">
        <w:rPr>
          <w:rFonts w:ascii="Palatino Linotype" w:hAnsi="Palatino Linotype" w:cs="Arial"/>
          <w:i/>
          <w:color w:val="000000" w:themeColor="text1"/>
          <w:lang w:eastAsia="es-MX"/>
        </w:rPr>
        <w:t xml:space="preserve"> se realizará conforme a un análisis caso por caso, mediante la aplicación </w:t>
      </w:r>
      <w:r w:rsidRPr="007D7190">
        <w:rPr>
          <w:rFonts w:ascii="Palatino Linotype" w:hAnsi="Palatino Linotype" w:cs="Arial"/>
          <w:bCs/>
          <w:i/>
          <w:noProof/>
          <w:color w:val="000000" w:themeColor="text1"/>
        </w:rPr>
        <w:t>de</w:t>
      </w:r>
      <w:r w:rsidRPr="007D7190">
        <w:rPr>
          <w:rFonts w:ascii="Palatino Linotype" w:hAnsi="Palatino Linotype" w:cs="Arial"/>
          <w:i/>
          <w:color w:val="000000" w:themeColor="text1"/>
          <w:lang w:eastAsia="es-MX"/>
        </w:rPr>
        <w:t xml:space="preserve"> la prueba de daño y de interés público.</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Séptimo.</w:t>
      </w:r>
      <w:r w:rsidRPr="007D7190">
        <w:rPr>
          <w:rFonts w:ascii="Palatino Linotype" w:hAnsi="Palatino Linotype" w:cs="Arial"/>
          <w:i/>
          <w:color w:val="000000" w:themeColor="text1"/>
          <w:lang w:eastAsia="es-MX"/>
        </w:rPr>
        <w:t xml:space="preserve"> La clasificación </w:t>
      </w:r>
      <w:r w:rsidRPr="007D7190">
        <w:rPr>
          <w:rFonts w:ascii="Palatino Linotype" w:hAnsi="Palatino Linotype" w:cs="Arial"/>
          <w:bCs/>
          <w:i/>
          <w:noProof/>
          <w:color w:val="000000" w:themeColor="text1"/>
        </w:rPr>
        <w:t>de</w:t>
      </w:r>
      <w:r w:rsidRPr="007D7190">
        <w:rPr>
          <w:rFonts w:ascii="Palatino Linotype" w:hAnsi="Palatino Linotype" w:cs="Arial"/>
          <w:i/>
          <w:color w:val="000000" w:themeColor="text1"/>
          <w:lang w:eastAsia="es-MX"/>
        </w:rPr>
        <w:t xml:space="preserve"> la </w:t>
      </w:r>
      <w:r w:rsidRPr="007D7190">
        <w:rPr>
          <w:rFonts w:ascii="Palatino Linotype" w:hAnsi="Palatino Linotype" w:cs="Arial"/>
          <w:i/>
          <w:color w:val="000000" w:themeColor="text1"/>
        </w:rPr>
        <w:t>información</w:t>
      </w:r>
      <w:r w:rsidRPr="007D7190">
        <w:rPr>
          <w:rFonts w:ascii="Palatino Linotype" w:hAnsi="Palatino Linotype" w:cs="Arial"/>
          <w:i/>
          <w:color w:val="000000" w:themeColor="text1"/>
          <w:lang w:eastAsia="es-MX"/>
        </w:rPr>
        <w:t xml:space="preserve"> se llevará a cabo en el momento en que:</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I.</w:t>
      </w:r>
      <w:r w:rsidRPr="007D7190">
        <w:rPr>
          <w:rFonts w:ascii="Palatino Linotype" w:hAnsi="Palatino Linotype" w:cs="Arial"/>
          <w:i/>
          <w:color w:val="000000" w:themeColor="text1"/>
          <w:lang w:eastAsia="es-MX"/>
        </w:rPr>
        <w:t xml:space="preserve"> Se reciba una solicitud de acceso a la información;</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II.</w:t>
      </w:r>
      <w:r w:rsidRPr="007D7190">
        <w:rPr>
          <w:rFonts w:ascii="Palatino Linotype" w:hAnsi="Palatino Linotype" w:cs="Arial"/>
          <w:i/>
          <w:color w:val="000000" w:themeColor="text1"/>
          <w:lang w:eastAsia="es-MX"/>
        </w:rPr>
        <w:t xml:space="preserve"> Se determine </w:t>
      </w:r>
      <w:r w:rsidRPr="007D7190">
        <w:rPr>
          <w:rFonts w:ascii="Palatino Linotype" w:hAnsi="Palatino Linotype" w:cs="Arial"/>
          <w:bCs/>
          <w:i/>
          <w:noProof/>
          <w:color w:val="000000" w:themeColor="text1"/>
        </w:rPr>
        <w:t>mediante</w:t>
      </w:r>
      <w:r w:rsidRPr="007D7190">
        <w:rPr>
          <w:rFonts w:ascii="Palatino Linotype" w:hAnsi="Palatino Linotype" w:cs="Arial"/>
          <w:i/>
          <w:color w:val="000000" w:themeColor="text1"/>
          <w:lang w:eastAsia="es-MX"/>
        </w:rPr>
        <w:t xml:space="preserve"> resolución de autoridad competente, o</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III.</w:t>
      </w:r>
      <w:r w:rsidRPr="007D7190">
        <w:rPr>
          <w:rFonts w:ascii="Palatino Linotype" w:hAnsi="Palatino Linotype" w:cs="Arial"/>
          <w:i/>
          <w:color w:val="000000" w:themeColor="text1"/>
          <w:lang w:eastAsia="es-MX"/>
        </w:rPr>
        <w:t xml:space="preserve"> Se generen </w:t>
      </w:r>
      <w:r w:rsidRPr="007D7190">
        <w:rPr>
          <w:rFonts w:ascii="Palatino Linotype" w:hAnsi="Palatino Linotype" w:cs="Arial"/>
          <w:bCs/>
          <w:i/>
          <w:noProof/>
          <w:color w:val="000000" w:themeColor="text1"/>
        </w:rPr>
        <w:t>versiones</w:t>
      </w:r>
      <w:r w:rsidRPr="007D7190">
        <w:rPr>
          <w:rFonts w:ascii="Palatino Linotype" w:hAnsi="Palatino Linotype" w:cs="Arial"/>
          <w:i/>
          <w:color w:val="000000" w:themeColor="text1"/>
          <w:lang w:eastAsia="es-MX"/>
        </w:rPr>
        <w:t xml:space="preserve"> públicas para dar cumplimiento a las obligaciones de transparencia previstas en la Ley General, la Ley Federal y las correspondientes de las entidades federativas.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 xml:space="preserve">Los titulares de las áreas deberán revisar la clasificación al momento de la recepción de una solicitud de </w:t>
      </w:r>
      <w:r w:rsidRPr="007D7190">
        <w:rPr>
          <w:rFonts w:ascii="Palatino Linotype" w:hAnsi="Palatino Linotype" w:cs="Arial"/>
          <w:bCs/>
          <w:i/>
          <w:noProof/>
          <w:color w:val="000000" w:themeColor="text1"/>
        </w:rPr>
        <w:t>acceso</w:t>
      </w:r>
      <w:r w:rsidRPr="007D7190">
        <w:rPr>
          <w:rFonts w:ascii="Palatino Linotype" w:hAnsi="Palatino Linotype" w:cs="Arial"/>
          <w:i/>
          <w:color w:val="000000" w:themeColor="text1"/>
          <w:lang w:eastAsia="es-MX"/>
        </w:rPr>
        <w:t xml:space="preserve"> a la información, para verificar si encuadra en una causal de reserva o de confidencialidad.</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Octavo.</w:t>
      </w:r>
      <w:r w:rsidRPr="007D7190">
        <w:rPr>
          <w:rFonts w:ascii="Palatino Linotype" w:hAnsi="Palatino Linotype" w:cs="Arial"/>
          <w:i/>
          <w:color w:val="000000" w:themeColor="text1"/>
          <w:lang w:eastAsia="es-MX"/>
        </w:rPr>
        <w:t xml:space="preserve"> Para fundar la clasificación de la información se debe señalar el artículo, fracción, inciso, párrafo o numeral de la ley o tratado internacional suscrito por el Estado mexicano que </w:t>
      </w:r>
      <w:r w:rsidRPr="007D7190">
        <w:rPr>
          <w:rFonts w:ascii="Palatino Linotype" w:hAnsi="Palatino Linotype" w:cs="Arial"/>
          <w:bCs/>
          <w:i/>
          <w:noProof/>
          <w:color w:val="000000" w:themeColor="text1"/>
        </w:rPr>
        <w:t>expresamente</w:t>
      </w:r>
      <w:r w:rsidRPr="007D7190">
        <w:rPr>
          <w:rFonts w:ascii="Palatino Linotype" w:hAnsi="Palatino Linotype" w:cs="Arial"/>
          <w:i/>
          <w:color w:val="000000" w:themeColor="text1"/>
          <w:lang w:eastAsia="es-MX"/>
        </w:rPr>
        <w:t xml:space="preserve"> le otorga el carácter de reservada o confidencial.</w:t>
      </w:r>
    </w:p>
    <w:p w:rsidR="002C5E93" w:rsidRPr="007D7190" w:rsidRDefault="002C5E93" w:rsidP="007D6F45">
      <w:pPr>
        <w:autoSpaceDE w:val="0"/>
        <w:autoSpaceDN w:val="0"/>
        <w:adjustRightInd w:val="0"/>
        <w:spacing w:line="276" w:lineRule="auto"/>
        <w:jc w:val="both"/>
        <w:rPr>
          <w:rFonts w:ascii="Palatino Linotype" w:hAnsi="Palatino Linotype" w:cs="Arial"/>
          <w:bCs/>
          <w:i/>
          <w:noProof/>
          <w:color w:val="000000" w:themeColor="text1"/>
        </w:rPr>
      </w:pPr>
      <w:r w:rsidRPr="007D7190">
        <w:rPr>
          <w:rFonts w:ascii="Palatino Linotype" w:hAnsi="Palatino Linotype" w:cs="Arial"/>
          <w:i/>
          <w:color w:val="000000" w:themeColor="text1"/>
          <w:lang w:eastAsia="es-MX"/>
        </w:rPr>
        <w:t xml:space="preserve">Para </w:t>
      </w:r>
      <w:r w:rsidRPr="007D7190">
        <w:rPr>
          <w:rFonts w:ascii="Palatino Linotype" w:hAnsi="Palatino Linotype" w:cs="Arial"/>
          <w:bCs/>
          <w:i/>
          <w:noProof/>
          <w:color w:val="000000" w:themeColor="text1"/>
        </w:rPr>
        <w:t xml:space="preserve">motivar la clasificación se deberán señalar las razones o circunstancias especiales que lo </w:t>
      </w:r>
      <w:r w:rsidRPr="007D7190">
        <w:rPr>
          <w:rFonts w:ascii="Palatino Linotype" w:hAnsi="Palatino Linotype" w:cs="Arial"/>
          <w:i/>
          <w:color w:val="000000" w:themeColor="text1"/>
          <w:lang w:eastAsia="es-MX"/>
        </w:rPr>
        <w:t>llevaron</w:t>
      </w:r>
      <w:r w:rsidRPr="007D7190">
        <w:rPr>
          <w:rFonts w:ascii="Palatino Linotype" w:hAnsi="Palatino Linotype" w:cs="Arial"/>
          <w:bCs/>
          <w:i/>
          <w:noProof/>
          <w:color w:val="000000" w:themeColor="text1"/>
        </w:rPr>
        <w:t xml:space="preserve"> a concluir que el caso particular se ajusta al supuesto previsto por la norma legal invocada como fundamento.</w:t>
      </w:r>
    </w:p>
    <w:p w:rsidR="002C5E93" w:rsidRPr="007D7190" w:rsidRDefault="002C5E93" w:rsidP="007D6F45">
      <w:pPr>
        <w:autoSpaceDE w:val="0"/>
        <w:autoSpaceDN w:val="0"/>
        <w:adjustRightInd w:val="0"/>
        <w:spacing w:line="276" w:lineRule="auto"/>
        <w:jc w:val="both"/>
        <w:rPr>
          <w:rFonts w:ascii="Palatino Linotype" w:hAnsi="Palatino Linotype" w:cs="Arial"/>
          <w:bCs/>
          <w:i/>
          <w:noProof/>
          <w:color w:val="000000" w:themeColor="text1"/>
        </w:rPr>
      </w:pPr>
    </w:p>
    <w:p w:rsidR="002C5E93" w:rsidRPr="007D7190" w:rsidRDefault="002C5E93" w:rsidP="007D6F45">
      <w:pPr>
        <w:autoSpaceDE w:val="0"/>
        <w:autoSpaceDN w:val="0"/>
        <w:adjustRightInd w:val="0"/>
        <w:spacing w:line="276" w:lineRule="auto"/>
        <w:jc w:val="both"/>
        <w:rPr>
          <w:rFonts w:ascii="Palatino Linotype" w:hAnsi="Palatino Linotype" w:cs="Arial"/>
          <w:bCs/>
          <w:i/>
          <w:noProof/>
          <w:color w:val="000000" w:themeColor="text1"/>
        </w:rPr>
      </w:pPr>
      <w:r w:rsidRPr="007D7190">
        <w:rPr>
          <w:rFonts w:ascii="Palatino Linotype" w:hAnsi="Palatino Linotype" w:cs="Arial"/>
          <w:bCs/>
          <w:i/>
          <w:noProof/>
          <w:color w:val="000000" w:themeColor="text1"/>
        </w:rPr>
        <w:t xml:space="preserve">En caso de referirse a información reservada, la motivación de la clasificación también deberá comprender las circunstancias que justifican el establecimiento de determinado plazo </w:t>
      </w:r>
      <w:r w:rsidRPr="007D7190">
        <w:rPr>
          <w:rFonts w:ascii="Palatino Linotype" w:hAnsi="Palatino Linotype" w:cs="Arial"/>
          <w:i/>
          <w:color w:val="000000" w:themeColor="text1"/>
          <w:lang w:eastAsia="es-MX"/>
        </w:rPr>
        <w:t>de</w:t>
      </w:r>
      <w:r w:rsidRPr="007D7190">
        <w:rPr>
          <w:rFonts w:ascii="Palatino Linotype" w:hAnsi="Palatino Linotype" w:cs="Arial"/>
          <w:bCs/>
          <w:i/>
          <w:noProof/>
          <w:color w:val="000000" w:themeColor="text1"/>
        </w:rPr>
        <w:t xml:space="preserve"> </w:t>
      </w:r>
      <w:r w:rsidRPr="007D7190">
        <w:rPr>
          <w:rFonts w:ascii="Palatino Linotype" w:hAnsi="Palatino Linotype" w:cs="Arial"/>
          <w:i/>
          <w:color w:val="000000" w:themeColor="text1"/>
          <w:lang w:eastAsia="es-MX"/>
        </w:rPr>
        <w:t>reserva</w:t>
      </w:r>
      <w:r w:rsidRPr="007D7190">
        <w:rPr>
          <w:rFonts w:ascii="Palatino Linotype" w:hAnsi="Palatino Linotype" w:cs="Arial"/>
          <w:bCs/>
          <w:i/>
          <w:noProof/>
          <w:color w:val="000000" w:themeColor="text1"/>
        </w:rPr>
        <w:t>.</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bCs/>
          <w:i/>
          <w:noProof/>
          <w:color w:val="000000" w:themeColor="text1"/>
        </w:rPr>
      </w:pPr>
      <w:r w:rsidRPr="007D7190">
        <w:rPr>
          <w:rFonts w:ascii="Palatino Linotype" w:hAnsi="Palatino Linotype" w:cs="Arial"/>
          <w:i/>
          <w:color w:val="000000" w:themeColor="text1"/>
          <w:lang w:eastAsia="es-MX"/>
        </w:rPr>
        <w:t>Tratándose</w:t>
      </w:r>
      <w:r w:rsidRPr="007D7190">
        <w:rPr>
          <w:rFonts w:ascii="Palatino Linotype" w:hAnsi="Palatino Linotype" w:cs="Arial"/>
          <w:bCs/>
          <w:i/>
          <w:noProof/>
          <w:color w:val="000000" w:themeColor="text1"/>
        </w:rPr>
        <w:t xml:space="preserve"> de información clasificada como confidencial respecto de la cual se haya </w:t>
      </w:r>
      <w:r w:rsidRPr="007D7190">
        <w:rPr>
          <w:rFonts w:ascii="Palatino Linotype" w:hAnsi="Palatino Linotype" w:cs="Arial"/>
          <w:i/>
          <w:color w:val="000000" w:themeColor="text1"/>
          <w:lang w:eastAsia="es-MX"/>
        </w:rPr>
        <w:t>determinado</w:t>
      </w:r>
      <w:r w:rsidRPr="007D7190">
        <w:rPr>
          <w:rFonts w:ascii="Palatino Linotype" w:hAnsi="Palatino Linotype" w:cs="Arial"/>
          <w:bCs/>
          <w:i/>
          <w:noProof/>
          <w:color w:val="000000" w:themeColor="text1"/>
        </w:rPr>
        <w:t xml:space="preserve"> </w:t>
      </w:r>
      <w:r w:rsidRPr="007D7190">
        <w:rPr>
          <w:rFonts w:ascii="Palatino Linotype" w:hAnsi="Palatino Linotype" w:cs="Arial"/>
          <w:i/>
          <w:color w:val="000000" w:themeColor="text1"/>
          <w:lang w:eastAsia="es-MX"/>
        </w:rPr>
        <w:t>su</w:t>
      </w:r>
      <w:r w:rsidRPr="007D7190">
        <w:rPr>
          <w:rFonts w:ascii="Palatino Linotype" w:hAnsi="Palatino Linotype" w:cs="Arial"/>
          <w:bCs/>
          <w:i/>
          <w:noProof/>
          <w:color w:val="000000" w:themeColor="text1"/>
        </w:rPr>
        <w:t xml:space="preserve"> conservación permanente por tener valor histórico, ésta conservará tal carácter de conformidad con la normativa aplicable en materia de archivos.</w:t>
      </w:r>
    </w:p>
    <w:p w:rsidR="002C5E93" w:rsidRPr="007D7190" w:rsidRDefault="002C5E93" w:rsidP="007D6F45">
      <w:pPr>
        <w:autoSpaceDE w:val="0"/>
        <w:autoSpaceDN w:val="0"/>
        <w:adjustRightInd w:val="0"/>
        <w:spacing w:line="276" w:lineRule="auto"/>
        <w:jc w:val="both"/>
        <w:rPr>
          <w:rFonts w:ascii="Palatino Linotype" w:hAnsi="Palatino Linotype" w:cs="Arial"/>
          <w:bCs/>
          <w:i/>
          <w:noProof/>
          <w:color w:val="000000" w:themeColor="text1"/>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Cs/>
          <w:i/>
          <w:noProof/>
          <w:color w:val="000000" w:themeColor="text1"/>
        </w:rPr>
        <w:t>Los documentos contenidos</w:t>
      </w:r>
      <w:r w:rsidRPr="007D7190">
        <w:rPr>
          <w:rFonts w:ascii="Palatino Linotype" w:hAnsi="Palatino Linotype" w:cs="Arial"/>
          <w:i/>
          <w:color w:val="000000" w:themeColor="text1"/>
          <w:lang w:eastAsia="es-MX"/>
        </w:rPr>
        <w:t xml:space="preserve"> en los archivos históricos y los identificados como históricos confidenciales no serán susceptibles de clasificación como reservados.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lastRenderedPageBreak/>
        <w:t>Noveno.</w:t>
      </w:r>
      <w:r w:rsidRPr="007D7190">
        <w:rPr>
          <w:rFonts w:ascii="Palatino Linotype" w:hAnsi="Palatino Linotype" w:cs="Arial"/>
          <w:i/>
          <w:color w:val="000000" w:themeColor="text1"/>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Décimo.</w:t>
      </w:r>
      <w:r w:rsidRPr="007D7190">
        <w:rPr>
          <w:rFonts w:ascii="Palatino Linotype" w:hAnsi="Palatino Linotype" w:cs="Arial"/>
          <w:i/>
          <w:color w:val="000000" w:themeColor="text1"/>
          <w:lang w:eastAsia="es-MX"/>
        </w:rPr>
        <w:t xml:space="preserve"> Los titulares de las áreas, deberán tener conocimiento y llevar un registro del personal que, por la naturaleza de sus atribuciones, tenga acceso a los </w:t>
      </w:r>
      <w:r w:rsidRPr="007D7190">
        <w:rPr>
          <w:rFonts w:ascii="Palatino Linotype" w:hAnsi="Palatino Linotype" w:cs="Arial"/>
          <w:i/>
          <w:color w:val="000000" w:themeColor="text1"/>
        </w:rPr>
        <w:t>documentos</w:t>
      </w:r>
      <w:r w:rsidRPr="007D7190">
        <w:rPr>
          <w:rFonts w:ascii="Palatino Linotype" w:hAnsi="Palatino Linotype" w:cs="Arial"/>
          <w:i/>
          <w:color w:val="000000" w:themeColor="text1"/>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 xml:space="preserve">En ausencia de los titulares de las áreas, la información será clasificada o desclasificada por la persona que lo supla, en términos de la normativa </w:t>
      </w:r>
      <w:r w:rsidRPr="007D7190">
        <w:rPr>
          <w:rFonts w:ascii="Palatino Linotype" w:hAnsi="Palatino Linotype" w:cs="Arial"/>
          <w:i/>
          <w:color w:val="000000" w:themeColor="text1"/>
        </w:rPr>
        <w:t>que</w:t>
      </w:r>
      <w:r w:rsidRPr="007D7190">
        <w:rPr>
          <w:rFonts w:ascii="Palatino Linotype" w:hAnsi="Palatino Linotype" w:cs="Arial"/>
          <w:i/>
          <w:color w:val="000000" w:themeColor="text1"/>
          <w:lang w:eastAsia="es-MX"/>
        </w:rPr>
        <w:t xml:space="preserve"> rija la actuación del sujeto obligado.</w:t>
      </w:r>
    </w:p>
    <w:p w:rsidR="002C5E93" w:rsidRPr="007D7190" w:rsidRDefault="002C5E93" w:rsidP="007D6F45">
      <w:pPr>
        <w:autoSpaceDE w:val="0"/>
        <w:autoSpaceDN w:val="0"/>
        <w:adjustRightInd w:val="0"/>
        <w:spacing w:line="276" w:lineRule="auto"/>
        <w:jc w:val="both"/>
        <w:rPr>
          <w:rFonts w:ascii="Palatino Linotype" w:hAnsi="Palatino Linotype" w:cs="Arial"/>
          <w:b/>
          <w:i/>
          <w:color w:val="000000" w:themeColor="text1"/>
          <w:lang w:eastAsia="es-MX"/>
        </w:rPr>
      </w:pP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Décimo primero.</w:t>
      </w:r>
      <w:r w:rsidRPr="007D7190">
        <w:rPr>
          <w:rFonts w:ascii="Palatino Linotype" w:hAnsi="Palatino Linotype" w:cs="Arial"/>
          <w:i/>
          <w:color w:val="000000" w:themeColor="text1"/>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C5E93" w:rsidRPr="007D7190" w:rsidRDefault="002C5E93" w:rsidP="007D6F45">
      <w:pPr>
        <w:autoSpaceDE w:val="0"/>
        <w:autoSpaceDN w:val="0"/>
        <w:adjustRightInd w:val="0"/>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w:t>
      </w:r>
    </w:p>
    <w:p w:rsidR="002C5E93" w:rsidRPr="007D7190" w:rsidRDefault="002C5E93" w:rsidP="007D6F45">
      <w:pPr>
        <w:spacing w:line="276" w:lineRule="auto"/>
        <w:jc w:val="center"/>
        <w:rPr>
          <w:rFonts w:ascii="Palatino Linotype" w:hAnsi="Palatino Linotype" w:cs="Arial"/>
          <w:b/>
          <w:i/>
          <w:color w:val="000000" w:themeColor="text1"/>
          <w:lang w:eastAsia="es-MX"/>
        </w:rPr>
      </w:pPr>
    </w:p>
    <w:p w:rsidR="002C5E93" w:rsidRPr="007D7190" w:rsidRDefault="002C5E93" w:rsidP="007D6F45">
      <w:pPr>
        <w:spacing w:line="276" w:lineRule="auto"/>
        <w:jc w:val="center"/>
        <w:rPr>
          <w:rFonts w:ascii="Palatino Linotype" w:hAnsi="Palatino Linotype" w:cs="Arial"/>
          <w:b/>
          <w:i/>
          <w:color w:val="000000" w:themeColor="text1"/>
          <w:lang w:eastAsia="es-MX"/>
        </w:rPr>
      </w:pPr>
      <w:r w:rsidRPr="007D7190">
        <w:rPr>
          <w:rFonts w:ascii="Palatino Linotype" w:hAnsi="Palatino Linotype" w:cs="Arial"/>
          <w:b/>
          <w:i/>
          <w:color w:val="000000" w:themeColor="text1"/>
          <w:lang w:eastAsia="es-MX"/>
        </w:rPr>
        <w:t>CAPÍTULO VIII</w:t>
      </w:r>
    </w:p>
    <w:p w:rsidR="002C5E93" w:rsidRPr="007D7190" w:rsidRDefault="002C5E93" w:rsidP="007D6F45">
      <w:pPr>
        <w:spacing w:line="276" w:lineRule="auto"/>
        <w:jc w:val="center"/>
        <w:rPr>
          <w:rFonts w:ascii="Palatino Linotype" w:hAnsi="Palatino Linotype" w:cs="Arial"/>
          <w:b/>
          <w:i/>
          <w:color w:val="000000" w:themeColor="text1"/>
          <w:lang w:eastAsia="es-MX"/>
        </w:rPr>
      </w:pPr>
      <w:r w:rsidRPr="007D7190">
        <w:rPr>
          <w:rFonts w:ascii="Palatino Linotype" w:hAnsi="Palatino Linotype" w:cs="Arial"/>
          <w:b/>
          <w:i/>
          <w:color w:val="000000" w:themeColor="text1"/>
          <w:lang w:eastAsia="es-MX"/>
        </w:rPr>
        <w:t>DE LA LEYENDA DE CLASIFICACIÓN</w:t>
      </w:r>
    </w:p>
    <w:p w:rsidR="002C5E93" w:rsidRPr="007D7190" w:rsidRDefault="002C5E93" w:rsidP="007D6F45">
      <w:pPr>
        <w:spacing w:line="276" w:lineRule="auto"/>
        <w:jc w:val="both"/>
        <w:rPr>
          <w:rFonts w:ascii="Palatino Linotype" w:hAnsi="Palatino Linotype" w:cs="Arial"/>
          <w:b/>
          <w:i/>
          <w:color w:val="000000" w:themeColor="text1"/>
          <w:lang w:eastAsia="es-MX"/>
        </w:rPr>
      </w:pPr>
    </w:p>
    <w:p w:rsidR="002C5E93" w:rsidRPr="007D7190" w:rsidRDefault="002C5E93" w:rsidP="007D6F45">
      <w:pPr>
        <w:spacing w:line="276" w:lineRule="auto"/>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Quincuagésimo. Los titulares de las áreas de los sujetos obligados podrán utilizar los formatos contenidos en el presente Capítulo como modelo</w:t>
      </w:r>
      <w:r w:rsidRPr="007D7190">
        <w:rPr>
          <w:rFonts w:ascii="Palatino Linotype" w:hAnsi="Palatino Linotype" w:cs="Arial"/>
          <w:i/>
          <w:color w:val="000000" w:themeColor="text1"/>
          <w:lang w:eastAsia="es-MX"/>
        </w:rPr>
        <w:t xml:space="preserve"> para señalar la clasificación de documentos o expedientes, sin perjuicio de que establezcan los propios.</w:t>
      </w:r>
    </w:p>
    <w:p w:rsidR="002C5E93" w:rsidRPr="007D7190" w:rsidRDefault="002C5E93" w:rsidP="007D6F45">
      <w:pPr>
        <w:spacing w:line="276"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w:t>
      </w:r>
    </w:p>
    <w:p w:rsidR="002C5E93" w:rsidRPr="007D7190" w:rsidRDefault="002C5E93" w:rsidP="007D6F45">
      <w:pPr>
        <w:jc w:val="both"/>
        <w:rPr>
          <w:rFonts w:ascii="Palatino Linotype" w:hAnsi="Palatino Linotype" w:cs="Arial"/>
          <w:b/>
          <w:i/>
          <w:color w:val="000000" w:themeColor="text1"/>
          <w:lang w:eastAsia="es-MX"/>
        </w:rPr>
      </w:pPr>
    </w:p>
    <w:p w:rsidR="002C5E93" w:rsidRDefault="002C5E93" w:rsidP="007D6F45">
      <w:pPr>
        <w:jc w:val="both"/>
        <w:rPr>
          <w:rFonts w:ascii="Palatino Linotype" w:hAnsi="Palatino Linotype" w:cs="Arial"/>
          <w:i/>
          <w:color w:val="000000" w:themeColor="text1"/>
          <w:lang w:eastAsia="es-MX"/>
        </w:rPr>
      </w:pPr>
      <w:r w:rsidRPr="007D7190">
        <w:rPr>
          <w:rFonts w:ascii="Palatino Linotype" w:hAnsi="Palatino Linotype" w:cs="Arial"/>
          <w:b/>
          <w:i/>
          <w:color w:val="000000" w:themeColor="text1"/>
          <w:lang w:eastAsia="es-MX"/>
        </w:rPr>
        <w:t>Quincuagésimo tercero. El formato para señalar la clasificación parcial de un documento</w:t>
      </w:r>
      <w:r w:rsidRPr="007D7190">
        <w:rPr>
          <w:rFonts w:ascii="Palatino Linotype" w:hAnsi="Palatino Linotype" w:cs="Arial"/>
          <w:i/>
          <w:color w:val="000000" w:themeColor="text1"/>
          <w:lang w:eastAsia="es-MX"/>
        </w:rPr>
        <w:t>, es el siguiente:</w:t>
      </w:r>
    </w:p>
    <w:p w:rsidR="00244488" w:rsidRDefault="00244488" w:rsidP="007D6F45">
      <w:pPr>
        <w:jc w:val="both"/>
        <w:rPr>
          <w:rFonts w:ascii="Palatino Linotype" w:hAnsi="Palatino Linotype" w:cs="Arial"/>
          <w:i/>
          <w:color w:val="000000" w:themeColor="text1"/>
          <w:lang w:eastAsia="es-MX"/>
        </w:rPr>
      </w:pPr>
    </w:p>
    <w:p w:rsidR="00244488" w:rsidRDefault="00244488" w:rsidP="007D6F45">
      <w:pPr>
        <w:jc w:val="both"/>
        <w:rPr>
          <w:rFonts w:ascii="Palatino Linotype" w:hAnsi="Palatino Linotype" w:cs="Arial"/>
          <w:i/>
          <w:color w:val="000000" w:themeColor="text1"/>
          <w:lang w:eastAsia="es-MX"/>
        </w:rPr>
      </w:pPr>
    </w:p>
    <w:p w:rsidR="00244488" w:rsidRPr="007D7190" w:rsidRDefault="00244488" w:rsidP="007D6F45">
      <w:pPr>
        <w:jc w:val="both"/>
        <w:rPr>
          <w:rFonts w:ascii="Palatino Linotype" w:hAnsi="Palatino Linotype" w:cs="Arial"/>
          <w:i/>
          <w:color w:val="000000" w:themeColor="text1"/>
          <w:lang w:eastAsia="es-MX"/>
        </w:rPr>
      </w:pPr>
    </w:p>
    <w:p w:rsidR="002C5E93" w:rsidRPr="007D7190" w:rsidRDefault="002C5E93" w:rsidP="007D6F45">
      <w:pPr>
        <w:jc w:val="both"/>
        <w:rPr>
          <w:rFonts w:ascii="Palatino Linotype" w:hAnsi="Palatino Linotype" w:cs="Arial"/>
          <w:i/>
          <w:color w:val="000000" w:themeColor="text1"/>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90"/>
        <w:gridCol w:w="4677"/>
      </w:tblGrid>
      <w:tr w:rsidR="007D6F45" w:rsidRPr="007D7190" w:rsidTr="00570D6F">
        <w:tc>
          <w:tcPr>
            <w:tcW w:w="1129" w:type="dxa"/>
            <w:tcBorders>
              <w:top w:val="nil"/>
              <w:left w:val="nil"/>
              <w:bottom w:val="single" w:sz="4" w:space="0" w:color="auto"/>
              <w:right w:val="single" w:sz="4" w:space="0" w:color="auto"/>
            </w:tcBorders>
          </w:tcPr>
          <w:p w:rsidR="002C5E93" w:rsidRPr="007D7190" w:rsidRDefault="002C5E93" w:rsidP="007D6F45">
            <w:pPr>
              <w:spacing w:line="252" w:lineRule="auto"/>
              <w:jc w:val="both"/>
              <w:rPr>
                <w:rFonts w:ascii="Palatino Linotype" w:hAnsi="Palatino Linotype" w:cs="Arial"/>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b/>
                <w:i/>
                <w:color w:val="000000" w:themeColor="text1"/>
              </w:rPr>
            </w:pPr>
            <w:r w:rsidRPr="007D7190">
              <w:rPr>
                <w:rFonts w:ascii="Palatino Linotype" w:hAnsi="Palatino Linotype"/>
                <w:b/>
                <w:i/>
                <w:color w:val="000000" w:themeColor="text1"/>
              </w:rPr>
              <w:t>Concepto</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b/>
                <w:i/>
                <w:color w:val="000000" w:themeColor="text1"/>
              </w:rPr>
            </w:pPr>
            <w:r w:rsidRPr="007D7190">
              <w:rPr>
                <w:rFonts w:ascii="Palatino Linotype" w:hAnsi="Palatino Linotype"/>
                <w:b/>
                <w:i/>
                <w:color w:val="000000" w:themeColor="text1"/>
              </w:rPr>
              <w:t>Dónde:</w:t>
            </w:r>
          </w:p>
        </w:tc>
      </w:tr>
      <w:tr w:rsidR="007D6F45" w:rsidRPr="007D7190" w:rsidTr="00570D6F">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2" w:lineRule="auto"/>
              <w:jc w:val="center"/>
              <w:rPr>
                <w:rFonts w:ascii="Palatino Linotype" w:hAnsi="Palatino Linotype" w:cs="Arial"/>
                <w:b/>
                <w:i/>
                <w:color w:val="000000" w:themeColor="text1"/>
                <w:lang w:eastAsia="es-MX"/>
              </w:rPr>
            </w:pPr>
            <w:r w:rsidRPr="007D7190">
              <w:rPr>
                <w:rFonts w:ascii="Palatino Linotype" w:hAnsi="Palatino Linotype" w:cs="Arial"/>
                <w:b/>
                <w:i/>
                <w:color w:val="000000" w:themeColor="text1"/>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anotará la fecha en la que el Comité de Transparencia confirmó la clasificación del documento, en su caso.</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señalará el nombre del área del cual es titular quien clasifica.</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anotará el número de años o meses por los que se mantendrá el documento o las partes del mismo como reservado.</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señalará el nombre del ordenamiento, el o los artículos, fracción(es), párrafo(s) con base en los cuales se sustente la reserva.</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En caso de haber solicitado la ampliación del periodo de reserva originalmente establecido, se deberá anotar el número de años o meses por los que se amplía la reserva.</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señalará el nombre del ordenamiento, el o los artículos, fracción(es), párrafo(s) con base en los cuales se sustente la confidencialidad.</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Rúbrica autógrafa de quien clasifica.</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Se anotará la fecha en que se desclasifica el documento.</w:t>
            </w:r>
          </w:p>
        </w:tc>
      </w:tr>
      <w:tr w:rsidR="007D6F45" w:rsidRPr="007D7190" w:rsidTr="00570D6F">
        <w:tc>
          <w:tcPr>
            <w:tcW w:w="0" w:type="auto"/>
            <w:vMerge/>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6" w:lineRule="auto"/>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2C5E93" w:rsidRPr="007D7190" w:rsidRDefault="002C5E93" w:rsidP="007D6F45">
            <w:pPr>
              <w:spacing w:line="252" w:lineRule="auto"/>
              <w:jc w:val="center"/>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2C5E93" w:rsidRPr="007D7190" w:rsidRDefault="002C5E93" w:rsidP="007D6F45">
            <w:pPr>
              <w:spacing w:line="252" w:lineRule="auto"/>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Rúbrica autógrafa de quien desclasifica.</w:t>
            </w:r>
          </w:p>
        </w:tc>
      </w:tr>
    </w:tbl>
    <w:p w:rsidR="002C5E93" w:rsidRPr="007D7190" w:rsidRDefault="002C5E93" w:rsidP="007D6F45">
      <w:pPr>
        <w:jc w:val="both"/>
        <w:rPr>
          <w:rFonts w:ascii="Palatino Linotype" w:hAnsi="Palatino Linotype" w:cs="Arial"/>
          <w:i/>
          <w:color w:val="000000" w:themeColor="text1"/>
          <w:lang w:eastAsia="es-MX"/>
        </w:rPr>
      </w:pPr>
      <w:r w:rsidRPr="007D7190">
        <w:rPr>
          <w:rFonts w:ascii="Palatino Linotype" w:hAnsi="Palatino Linotype" w:cs="Arial"/>
          <w:i/>
          <w:color w:val="000000" w:themeColor="text1"/>
          <w:lang w:eastAsia="es-MX"/>
        </w:rPr>
        <w:t>…”</w:t>
      </w:r>
    </w:p>
    <w:p w:rsidR="002C5E93" w:rsidRDefault="002C5E93" w:rsidP="007D6F45">
      <w:pPr>
        <w:jc w:val="both"/>
        <w:rPr>
          <w:rFonts w:ascii="Palatino Linotype" w:hAnsi="Palatino Linotype" w:cs="Arial"/>
          <w:i/>
          <w:color w:val="000000" w:themeColor="text1"/>
          <w:lang w:eastAsia="es-MX"/>
        </w:rPr>
      </w:pPr>
    </w:p>
    <w:p w:rsidR="000442BF" w:rsidRPr="007D7190" w:rsidRDefault="000442BF" w:rsidP="007D6F45">
      <w:pPr>
        <w:jc w:val="both"/>
        <w:rPr>
          <w:rFonts w:ascii="Palatino Linotype" w:hAnsi="Palatino Linotype" w:cs="Arial"/>
          <w:i/>
          <w:color w:val="000000" w:themeColor="text1"/>
          <w:lang w:eastAsia="es-MX"/>
        </w:rPr>
      </w:pPr>
    </w:p>
    <w:p w:rsidR="002C5E93" w:rsidRPr="007D7190" w:rsidRDefault="002C5E93" w:rsidP="007D6F4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7D7190">
        <w:rPr>
          <w:rFonts w:ascii="Palatino Linotype" w:hAnsi="Palatino Linotype" w:cs="Arial"/>
          <w:color w:val="000000" w:themeColor="text1"/>
        </w:rPr>
        <w:t>Por lo tanto,</w:t>
      </w:r>
      <w:r w:rsidRPr="007D7190">
        <w:rPr>
          <w:rFonts w:ascii="Palatino Linotype" w:hAnsi="Palatino Linotype"/>
          <w:color w:val="000000" w:themeColor="text1"/>
        </w:rPr>
        <w:t xml:space="preserve"> es importante referir que </w:t>
      </w:r>
      <w:r w:rsidRPr="007D7190">
        <w:rPr>
          <w:rFonts w:ascii="Palatino Linotype" w:hAnsi="Palatino Linotype"/>
          <w:b/>
          <w:color w:val="000000" w:themeColor="text1"/>
        </w:rPr>
        <w:t>EL SUJETO OBLIGADO</w:t>
      </w:r>
      <w:r w:rsidRPr="007D7190">
        <w:rPr>
          <w:rFonts w:ascii="Palatino Linotype" w:hAnsi="Palatino Linotype"/>
          <w:color w:val="000000" w:themeColor="text1"/>
        </w:rPr>
        <w:t xml:space="preserve"> deberá seguir el procedimiento legal establecido para su </w:t>
      </w:r>
      <w:r w:rsidRPr="007D7190">
        <w:rPr>
          <w:rFonts w:ascii="Palatino Linotype" w:hAnsi="Palatino Linotype"/>
          <w:color w:val="000000" w:themeColor="text1"/>
          <w:lang w:eastAsia="es-MX"/>
        </w:rPr>
        <w:t>clasificación</w:t>
      </w:r>
      <w:r w:rsidRPr="007D7190">
        <w:rPr>
          <w:rFonts w:ascii="Palatino Linotype" w:hAnsi="Palatino Linotype"/>
          <w:color w:val="000000" w:themeColor="text1"/>
        </w:rPr>
        <w:t>, esto es, que su Comité de</w:t>
      </w:r>
      <w:r w:rsidRPr="007D7190">
        <w:rPr>
          <w:rFonts w:ascii="Palatino Linotype" w:hAnsi="Palatino Linotype" w:cs="Arial"/>
          <w:color w:val="000000" w:themeColor="text1"/>
        </w:rPr>
        <w:t xml:space="preserve"> Transparencia emita un Acuerdo de Clasificación que cumpla con las formalidades previstas, antes citadas</w:t>
      </w:r>
      <w:r w:rsidRPr="007D7190">
        <w:rPr>
          <w:rFonts w:ascii="Palatino Linotype" w:hAnsi="Palatino Linotype" w:cs="Arial"/>
          <w:b/>
          <w:color w:val="000000" w:themeColor="text1"/>
        </w:rPr>
        <w:t xml:space="preserve"> </w:t>
      </w:r>
      <w:r w:rsidRPr="007D7190">
        <w:rPr>
          <w:rFonts w:ascii="Palatino Linotype" w:hAnsi="Palatino Linotype" w:cs="Arial"/>
          <w:color w:val="000000" w:themeColor="text1"/>
        </w:rPr>
        <w:t xml:space="preserve">que la sustente, en el </w:t>
      </w:r>
      <w:r w:rsidRPr="007D7190">
        <w:rPr>
          <w:rFonts w:ascii="Palatino Linotype" w:hAnsi="Palatino Linotype" w:cs="Arial"/>
          <w:color w:val="000000" w:themeColor="text1"/>
          <w:lang w:eastAsia="es-MX"/>
        </w:rPr>
        <w:t>que</w:t>
      </w:r>
      <w:r w:rsidRPr="007D7190">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2439" w:rsidRPr="007D7190" w:rsidRDefault="009D2439" w:rsidP="007D6F45">
      <w:pPr>
        <w:widowControl w:val="0"/>
        <w:autoSpaceDE w:val="0"/>
        <w:autoSpaceDN w:val="0"/>
        <w:adjustRightInd w:val="0"/>
        <w:spacing w:line="360" w:lineRule="auto"/>
        <w:jc w:val="both"/>
        <w:rPr>
          <w:rFonts w:ascii="Palatino Linotype" w:hAnsi="Palatino Linotype" w:cs="Arial"/>
          <w:color w:val="000000" w:themeColor="text1"/>
        </w:rPr>
      </w:pPr>
    </w:p>
    <w:p w:rsidR="00845AE9" w:rsidRPr="007D7190" w:rsidRDefault="009D2439" w:rsidP="007D6F45">
      <w:pPr>
        <w:pStyle w:val="Sinespaciado"/>
        <w:numPr>
          <w:ilvl w:val="0"/>
          <w:numId w:val="1"/>
        </w:numPr>
        <w:spacing w:line="360" w:lineRule="auto"/>
        <w:ind w:left="0" w:firstLine="0"/>
        <w:jc w:val="both"/>
        <w:rPr>
          <w:rFonts w:ascii="Palatino Linotype" w:hAnsi="Palatino Linotype"/>
          <w:color w:val="000000" w:themeColor="text1"/>
          <w:sz w:val="24"/>
          <w:szCs w:val="24"/>
          <w:lang w:val="es-ES_tradnl"/>
        </w:rPr>
      </w:pPr>
      <w:r w:rsidRPr="007D7190">
        <w:rPr>
          <w:rFonts w:ascii="Palatino Linotype" w:hAnsi="Palatino Linotype"/>
          <w:color w:val="000000" w:themeColor="text1"/>
          <w:sz w:val="24"/>
          <w:szCs w:val="24"/>
          <w:lang w:val="es-ES_tradnl"/>
        </w:rPr>
        <w:t>Ahora bien resulta entonces necesario analizar algunos datos que pudieran obrar en dichas facturas.</w:t>
      </w:r>
    </w:p>
    <w:p w:rsidR="009D2439" w:rsidRDefault="009D2439" w:rsidP="007D6F45">
      <w:pPr>
        <w:pStyle w:val="Prrafodelista"/>
        <w:ind w:left="0"/>
        <w:rPr>
          <w:rFonts w:ascii="Palatino Linotype" w:hAnsi="Palatino Linotype"/>
          <w:color w:val="000000" w:themeColor="text1"/>
        </w:rPr>
      </w:pPr>
    </w:p>
    <w:p w:rsidR="00244488" w:rsidRDefault="00244488" w:rsidP="007D6F45">
      <w:pPr>
        <w:pStyle w:val="Prrafodelista"/>
        <w:ind w:left="0"/>
        <w:rPr>
          <w:rFonts w:ascii="Palatino Linotype" w:hAnsi="Palatino Linotype"/>
          <w:color w:val="000000" w:themeColor="text1"/>
        </w:rPr>
      </w:pPr>
    </w:p>
    <w:p w:rsidR="00244488" w:rsidRPr="007D7190" w:rsidRDefault="00244488" w:rsidP="007D6F45">
      <w:pPr>
        <w:pStyle w:val="Prrafodelista"/>
        <w:ind w:left="0"/>
        <w:rPr>
          <w:rFonts w:ascii="Palatino Linotype" w:hAnsi="Palatino Linotype"/>
          <w:color w:val="000000" w:themeColor="text1"/>
        </w:rPr>
      </w:pPr>
    </w:p>
    <w:p w:rsidR="009D2439" w:rsidRPr="007D7190" w:rsidRDefault="009D2439" w:rsidP="007D6F45">
      <w:pPr>
        <w:spacing w:line="360" w:lineRule="auto"/>
        <w:contextualSpacing/>
        <w:jc w:val="both"/>
        <w:rPr>
          <w:rFonts w:ascii="Palatino Linotype" w:hAnsi="Palatino Linotype" w:cs="Tahoma"/>
          <w:b/>
          <w:bCs/>
          <w:noProof/>
          <w:color w:val="000000" w:themeColor="text1"/>
        </w:rPr>
      </w:pPr>
      <w:r w:rsidRPr="007D7190">
        <w:rPr>
          <w:rFonts w:ascii="Palatino Linotype" w:hAnsi="Palatino Linotype" w:cs="Tahoma"/>
          <w:b/>
          <w:bCs/>
          <w:noProof/>
          <w:color w:val="000000" w:themeColor="text1"/>
        </w:rPr>
        <w:lastRenderedPageBreak/>
        <w:t xml:space="preserve">Denominación o razón Social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
          <w:bCs/>
          <w:noProof/>
          <w:color w:val="000000" w:themeColor="text1"/>
        </w:rPr>
        <w:t xml:space="preserve"> </w:t>
      </w:r>
      <w:r w:rsidRPr="007D7190">
        <w:rPr>
          <w:rFonts w:ascii="Palatino Linotype" w:hAnsi="Palatino Linotype" w:cs="Tahoma"/>
          <w:bCs/>
          <w:noProof/>
          <w:color w:val="000000" w:themeColor="text1"/>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 </w:t>
      </w:r>
    </w:p>
    <w:p w:rsidR="009D2439" w:rsidRPr="007D7190" w:rsidRDefault="009D2439" w:rsidP="007D6F45">
      <w:pPr>
        <w:spacing w:line="360" w:lineRule="auto"/>
        <w:contextualSpacing/>
        <w:jc w:val="both"/>
        <w:rPr>
          <w:rFonts w:ascii="Palatino Linotype" w:hAnsi="Palatino Linotype" w:cs="Tahoma"/>
          <w:bCs/>
          <w:i/>
          <w:noProof/>
          <w:color w:val="000000" w:themeColor="text1"/>
        </w:rPr>
      </w:pPr>
      <w:r w:rsidRPr="007D7190">
        <w:rPr>
          <w:rFonts w:ascii="Palatino Linotype" w:hAnsi="Palatino Linotype" w:cs="Tahoma"/>
          <w:b/>
          <w:bCs/>
          <w:i/>
          <w:noProof/>
          <w:color w:val="000000" w:themeColor="text1"/>
        </w:rPr>
        <w:t xml:space="preserve">“Razón social y RFC de personas morales. </w:t>
      </w:r>
      <w:r w:rsidRPr="007D7190">
        <w:rPr>
          <w:rFonts w:ascii="Palatino Linotype" w:hAnsi="Palatino Linotype" w:cs="Tahoma"/>
          <w:bCs/>
          <w:i/>
          <w:noProof/>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9D2439" w:rsidRPr="007D7190" w:rsidRDefault="009D2439" w:rsidP="007D6F45">
      <w:pPr>
        <w:spacing w:line="360" w:lineRule="auto"/>
        <w:contextualSpacing/>
        <w:jc w:val="both"/>
        <w:rPr>
          <w:rFonts w:ascii="Palatino Linotype" w:hAnsi="Palatino Linotype" w:cs="Tahoma"/>
          <w:b/>
          <w:bCs/>
          <w:noProof/>
          <w:color w:val="000000" w:themeColor="text1"/>
        </w:rPr>
      </w:pPr>
      <w:r w:rsidRPr="007D7190">
        <w:rPr>
          <w:rFonts w:ascii="Palatino Linotype" w:hAnsi="Palatino Linotype" w:cs="Tahoma"/>
          <w:b/>
          <w:bCs/>
          <w:noProof/>
          <w:color w:val="000000" w:themeColor="text1"/>
        </w:rPr>
        <w:t xml:space="preserve"> </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Por lo tanto, no procede la clasificación de la denominación o razón social y RFC de personas morales, en términos del artículo 143, fracción I de la Ley de Transparencia y Acceso a la Información Pública del Estado de México y Municipios.</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w:t>
      </w:r>
      <w:r w:rsidRPr="007D7190">
        <w:rPr>
          <w:rFonts w:ascii="Palatino Linotype" w:hAnsi="Palatino Linotype" w:cs="Tahoma"/>
          <w:bCs/>
          <w:noProof/>
          <w:color w:val="000000" w:themeColor="text1"/>
        </w:rPr>
        <w:lastRenderedPageBreak/>
        <w:t>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Por ende, la información correspondiente al Registro Federal de Contribuyentes de una persona moral da cuenta del cumplimiento o no en sus obligaciones fiscales; por tanto, no se actualiza su clasificación como confidencial; 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 por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9D2439" w:rsidRPr="007D7190" w:rsidRDefault="009D2439" w:rsidP="007D6F45">
      <w:pPr>
        <w:spacing w:line="360" w:lineRule="auto"/>
        <w:contextualSpacing/>
        <w:jc w:val="both"/>
        <w:rPr>
          <w:rFonts w:ascii="Palatino Linotype" w:hAnsi="Palatino Linotype" w:cs="Tahoma"/>
          <w:b/>
          <w:bCs/>
          <w:noProof/>
          <w:color w:val="000000" w:themeColor="text1"/>
        </w:rPr>
      </w:pPr>
      <w:r w:rsidRPr="007D7190">
        <w:rPr>
          <w:rFonts w:ascii="Palatino Linotype" w:hAnsi="Palatino Linotype" w:cs="Tahoma"/>
          <w:b/>
          <w:bCs/>
          <w:noProof/>
          <w:color w:val="000000" w:themeColor="text1"/>
        </w:rPr>
        <w:t xml:space="preserve"> </w:t>
      </w:r>
    </w:p>
    <w:p w:rsidR="009D2439" w:rsidRPr="007D7190" w:rsidRDefault="009D2439" w:rsidP="007D6F45">
      <w:pPr>
        <w:spacing w:line="360" w:lineRule="auto"/>
        <w:contextualSpacing/>
        <w:jc w:val="both"/>
        <w:rPr>
          <w:rFonts w:ascii="Palatino Linotype" w:hAnsi="Palatino Linotype" w:cs="Tahoma"/>
          <w:b/>
          <w:bCs/>
          <w:noProof/>
          <w:color w:val="000000" w:themeColor="text1"/>
        </w:rPr>
      </w:pPr>
      <w:r w:rsidRPr="007D7190">
        <w:rPr>
          <w:rFonts w:ascii="Palatino Linotype" w:hAnsi="Palatino Linotype" w:cs="Tahoma"/>
          <w:b/>
          <w:bCs/>
          <w:noProof/>
          <w:color w:val="000000" w:themeColor="text1"/>
        </w:rPr>
        <w:t xml:space="preserve">Domicilio Fiscal o legal para recibir y oír notificaciones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 de esta manera, lo establece los diversos 29 y 33 del Código Civil Federal, al </w:t>
      </w:r>
      <w:r w:rsidRPr="007D7190">
        <w:rPr>
          <w:rFonts w:ascii="Palatino Linotype" w:hAnsi="Palatino Linotype" w:cs="Tahoma"/>
          <w:bCs/>
          <w:noProof/>
          <w:color w:val="000000" w:themeColor="text1"/>
        </w:rPr>
        <w:lastRenderedPageBreak/>
        <w:t>precisar que el domicilio de personas físicas</w:t>
      </w:r>
      <w:r w:rsidRPr="007D7190">
        <w:rPr>
          <w:rFonts w:ascii="Palatino Linotype" w:hAnsi="Palatino Linotype" w:cs="Tahoma"/>
          <w:b/>
          <w:bCs/>
          <w:noProof/>
          <w:color w:val="000000" w:themeColor="text1"/>
        </w:rPr>
        <w:t xml:space="preserve">, es el lugar donde residen habitualmente, el lugar del centro principal de sus negocios, donde residan o el lugar donde se encuentren; </w:t>
      </w:r>
      <w:r w:rsidRPr="007D7190">
        <w:rPr>
          <w:rFonts w:ascii="Palatino Linotype" w:hAnsi="Palatino Linotype" w:cs="Tahoma"/>
          <w:bCs/>
          <w:noProof/>
          <w:color w:val="000000" w:themeColor="text1"/>
        </w:rPr>
        <w:t>mientras que, de las personas morales, aquel donde se halle su administración.</w:t>
      </w:r>
    </w:p>
    <w:p w:rsidR="009D2439" w:rsidRPr="007D7190" w:rsidRDefault="009D2439" w:rsidP="007D6F45">
      <w:pPr>
        <w:spacing w:line="360" w:lineRule="auto"/>
        <w:contextualSpacing/>
        <w:jc w:val="both"/>
        <w:rPr>
          <w:rFonts w:ascii="Palatino Linotype" w:hAnsi="Palatino Linotype" w:cs="Tahoma"/>
          <w:b/>
          <w:bCs/>
          <w:iCs/>
          <w:noProof/>
          <w:color w:val="000000" w:themeColor="text1"/>
        </w:rPr>
      </w:pPr>
      <w:r w:rsidRPr="007D7190">
        <w:rPr>
          <w:rFonts w:ascii="Palatino Linotype" w:hAnsi="Palatino Linotype" w:cs="Tahoma"/>
          <w:b/>
          <w:bCs/>
          <w:i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Respecto al domicilio fiscal, resulta necesario traer el artículo 10 del Código Fiscal de la Federación, que establece que, tratándose de personas físicas, corresponderá dicho dato:</w:t>
      </w:r>
    </w:p>
    <w:p w:rsidR="009D2439" w:rsidRPr="007D7190" w:rsidRDefault="009D2439" w:rsidP="000442BF">
      <w:pPr>
        <w:numPr>
          <w:ilvl w:val="0"/>
          <w:numId w:val="41"/>
        </w:numPr>
        <w:spacing w:line="360" w:lineRule="auto"/>
        <w:ind w:left="0" w:firstLine="0"/>
        <w:contextualSpacing/>
        <w:jc w:val="both"/>
        <w:rPr>
          <w:rFonts w:ascii="Palatino Linotype" w:hAnsi="Palatino Linotype" w:cs="Tahoma"/>
          <w:bCs/>
          <w:i/>
          <w:noProof/>
          <w:color w:val="000000" w:themeColor="text1"/>
        </w:rPr>
      </w:pPr>
      <w:r w:rsidRPr="007D7190">
        <w:rPr>
          <w:rFonts w:ascii="Palatino Linotype" w:hAnsi="Palatino Linotype" w:cs="Tahoma"/>
          <w:bCs/>
          <w:i/>
          <w:noProof/>
          <w:color w:val="000000" w:themeColor="text1"/>
        </w:rPr>
        <w:t>El lugar donde realizan actividades empresariales, el local, en que se encuentre el principal asiente de sus negocios, y</w:t>
      </w:r>
    </w:p>
    <w:p w:rsidR="009D2439" w:rsidRPr="007D7190" w:rsidRDefault="009D2439" w:rsidP="000442BF">
      <w:pPr>
        <w:numPr>
          <w:ilvl w:val="0"/>
          <w:numId w:val="41"/>
        </w:numPr>
        <w:spacing w:line="360" w:lineRule="auto"/>
        <w:ind w:left="0" w:firstLine="0"/>
        <w:contextualSpacing/>
        <w:jc w:val="both"/>
        <w:rPr>
          <w:rFonts w:ascii="Palatino Linotype" w:hAnsi="Palatino Linotype" w:cs="Tahoma"/>
          <w:bCs/>
          <w:i/>
          <w:noProof/>
          <w:color w:val="000000" w:themeColor="text1"/>
        </w:rPr>
      </w:pPr>
      <w:r w:rsidRPr="007D7190">
        <w:rPr>
          <w:rFonts w:ascii="Palatino Linotype" w:hAnsi="Palatino Linotype" w:cs="Tahoma"/>
          <w:bCs/>
          <w:i/>
          <w:noProof/>
          <w:color w:val="000000" w:themeColor="text1"/>
        </w:rPr>
        <w:t>La casa habitación, cuando no cuenta con un local o lugar donde realice las acciones previamente señaladas.</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rsidR="009D2439" w:rsidRPr="007D7190" w:rsidRDefault="009D2439" w:rsidP="007D6F45">
      <w:pPr>
        <w:spacing w:line="360" w:lineRule="auto"/>
        <w:contextualSpacing/>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noProof/>
          <w:color w:val="000000" w:themeColor="text1"/>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jurídicas o de beneficio de cualquier orbe </w:t>
      </w:r>
      <w:r w:rsidRPr="007D7190">
        <w:rPr>
          <w:rFonts w:ascii="Palatino Linotype" w:hAnsi="Palatino Linotype" w:cs="Tahoma"/>
          <w:bCs/>
          <w:noProof/>
          <w:color w:val="000000" w:themeColor="text1"/>
        </w:rPr>
        <w:lastRenderedPageBreak/>
        <w:t>con las instituciones públicas, tienen una expectativa de privacidad menor, respecto del resto de las personas,  situación que debe ser transparentada.</w:t>
      </w:r>
    </w:p>
    <w:p w:rsidR="009D2439" w:rsidRPr="007D7190" w:rsidRDefault="009D2439" w:rsidP="007D6F45">
      <w:pPr>
        <w:spacing w:line="360" w:lineRule="auto"/>
        <w:contextualSpacing/>
        <w:jc w:val="both"/>
        <w:rPr>
          <w:rFonts w:ascii="Palatino Linotype" w:hAnsi="Palatino Linotype" w:cs="Tahoma"/>
          <w:bCs/>
          <w:iCs/>
          <w:noProof/>
          <w:color w:val="000000" w:themeColor="text1"/>
        </w:rPr>
      </w:pPr>
      <w:r w:rsidRPr="007D7190">
        <w:rPr>
          <w:rFonts w:ascii="Palatino Linotype" w:hAnsi="Palatino Linotype" w:cs="Tahoma"/>
          <w:bCs/>
          <w:iCs/>
          <w:noProof/>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noProof/>
          <w:color w:val="000000" w:themeColor="text1"/>
        </w:rPr>
      </w:pPr>
      <w:r w:rsidRPr="007D7190">
        <w:rPr>
          <w:rFonts w:ascii="Palatino Linotype" w:hAnsi="Palatino Linotype" w:cs="Tahoma"/>
          <w:bCs/>
          <w:iCs/>
          <w:noProof/>
          <w:color w:val="000000" w:themeColor="text1"/>
        </w:rPr>
        <w:t xml:space="preserve">Ahora bien, en el caso de que el domicilio corresponda al lugar donde realiza sus actividades empresariales, como es el caso de las personas morales, se considera necesario traer a colación, </w:t>
      </w:r>
      <w:r w:rsidRPr="007D7190">
        <w:rPr>
          <w:rFonts w:ascii="Palatino Linotype" w:hAnsi="Palatino Linotype" w:cs="Tahoma"/>
          <w:bCs/>
          <w:noProof/>
          <w:color w:val="000000" w:themeColor="text1"/>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por lo que, es obligación de transparencia proporcionar el domicilio fiscal de los proveedores, por lo que, se considera que, en el caso, de que dicho dato, corresponda a un local o lugar donde realice sus actividades empresariales, se debe entregar.</w:t>
      </w:r>
    </w:p>
    <w:p w:rsidR="009D2439" w:rsidRPr="007D7190" w:rsidRDefault="009D2439" w:rsidP="007D6F45">
      <w:pPr>
        <w:pStyle w:val="Prrafodelista"/>
        <w:ind w:left="0"/>
        <w:rPr>
          <w:rFonts w:ascii="Palatino Linotype" w:hAnsi="Palatino Linotype" w:cs="Tahoma"/>
          <w:bCs/>
          <w:noProof/>
          <w:color w:val="000000" w:themeColor="text1"/>
        </w:rPr>
      </w:pPr>
    </w:p>
    <w:p w:rsidR="009D2439" w:rsidRPr="007D7190" w:rsidRDefault="009D2439" w:rsidP="007D6F45">
      <w:pPr>
        <w:spacing w:line="360" w:lineRule="auto"/>
        <w:jc w:val="both"/>
        <w:rPr>
          <w:rFonts w:ascii="Palatino Linotype" w:hAnsi="Palatino Linotype" w:cs="Tahoma"/>
          <w:b/>
          <w:bCs/>
          <w:iCs/>
          <w:color w:val="000000" w:themeColor="text1"/>
        </w:rPr>
      </w:pPr>
      <w:r w:rsidRPr="007D7190">
        <w:rPr>
          <w:rFonts w:ascii="Palatino Linotype" w:hAnsi="Palatino Linotype" w:cs="Tahoma"/>
          <w:b/>
          <w:bCs/>
          <w:iCs/>
          <w:color w:val="000000" w:themeColor="text1"/>
        </w:rPr>
        <w:t xml:space="preserve">Cuenta bancaria y clave interbancaria </w:t>
      </w:r>
    </w:p>
    <w:p w:rsidR="009D2439" w:rsidRPr="007D7190" w:rsidRDefault="009D2439" w:rsidP="007D6F45">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7D7190">
        <w:rPr>
          <w:rFonts w:ascii="Palatino Linotype" w:eastAsia="Palatino Linotype" w:hAnsi="Palatino Linotype" w:cs="Palatino Linotype"/>
          <w:bCs/>
          <w:color w:val="000000" w:themeColor="text1"/>
        </w:rPr>
        <w:t xml:space="preserve">Mediante los números de cuenta se reciben recursos públicos que deben considerarse como tal, pues su difusión y entrega favorece la rendición de cuentas al transparentar la forma en que se administran los recursos públicos, lo anterior se robustece con el actualmente </w:t>
      </w:r>
      <w:r w:rsidRPr="007D7190">
        <w:rPr>
          <w:rFonts w:ascii="Palatino Linotype" w:hAnsi="Palatino Linotype"/>
          <w:color w:val="000000" w:themeColor="text1"/>
          <w:lang w:val="es-ES"/>
        </w:rPr>
        <w:t>criterio orientador el número 11/17, del extinto Instituto Nacional de Transparencia, Acceso a la Información y Protección de Datos Personales, que a la letra precisa:</w:t>
      </w:r>
    </w:p>
    <w:p w:rsidR="009D2439" w:rsidRPr="007D7190" w:rsidRDefault="009D2439" w:rsidP="007D6F45">
      <w:pPr>
        <w:tabs>
          <w:tab w:val="left" w:pos="7938"/>
        </w:tabs>
        <w:spacing w:line="360" w:lineRule="auto"/>
        <w:jc w:val="center"/>
        <w:rPr>
          <w:rFonts w:ascii="Palatino Linotype" w:hAnsi="Palatino Linotype" w:cs="Arial"/>
          <w:i/>
          <w:color w:val="000000" w:themeColor="text1"/>
        </w:rPr>
      </w:pPr>
      <w:r w:rsidRPr="007D7190">
        <w:rPr>
          <w:rFonts w:ascii="Palatino Linotype" w:hAnsi="Palatino Linotype" w:cs="Arial"/>
          <w:i/>
          <w:color w:val="000000" w:themeColor="text1"/>
        </w:rPr>
        <w:t>“</w:t>
      </w:r>
      <w:r w:rsidRPr="007D7190">
        <w:rPr>
          <w:rFonts w:ascii="Palatino Linotype" w:hAnsi="Palatino Linotype" w:cs="Arial"/>
          <w:b/>
          <w:i/>
          <w:color w:val="000000" w:themeColor="text1"/>
        </w:rPr>
        <w:t>Cuentas bancarias y/o CLABE interbancaria de sujetos obligados que reciben y/o transfieren recursos públicos, son información pública</w:t>
      </w:r>
      <w:r w:rsidRPr="007D7190">
        <w:rPr>
          <w:rFonts w:ascii="Palatino Linotype" w:hAnsi="Palatino Linotype" w:cs="Arial"/>
          <w:i/>
          <w:color w:val="000000" w:themeColor="text1"/>
        </w:rPr>
        <w:t xml:space="preserve">. La difusión de las cuentas bancarias y claves interbancarias pertenecientes a un sujeto obligado favorece la rendición de cuentas al </w:t>
      </w:r>
      <w:r w:rsidRPr="007D7190">
        <w:rPr>
          <w:rFonts w:ascii="Palatino Linotype" w:hAnsi="Palatino Linotype" w:cs="Arial"/>
          <w:i/>
          <w:color w:val="000000" w:themeColor="text1"/>
        </w:rPr>
        <w:lastRenderedPageBreak/>
        <w:t>transparentar la forma en que se administran los recursos públicos, razón por la cual no pueden considerarse como información clasificada.</w:t>
      </w:r>
    </w:p>
    <w:p w:rsidR="009D2439" w:rsidRPr="007D7190" w:rsidRDefault="009D2439" w:rsidP="007D6F45">
      <w:pPr>
        <w:tabs>
          <w:tab w:val="left" w:pos="7938"/>
        </w:tabs>
        <w:spacing w:line="360" w:lineRule="auto"/>
        <w:jc w:val="center"/>
        <w:rPr>
          <w:rFonts w:ascii="Palatino Linotype" w:hAnsi="Palatino Linotype" w:cs="Arial"/>
          <w:i/>
          <w:color w:val="000000" w:themeColor="text1"/>
        </w:rPr>
      </w:pPr>
    </w:p>
    <w:p w:rsidR="00320241" w:rsidRPr="007D7190" w:rsidRDefault="00320241" w:rsidP="007D6F45">
      <w:pPr>
        <w:spacing w:line="360" w:lineRule="auto"/>
        <w:contextualSpacing/>
        <w:jc w:val="both"/>
        <w:rPr>
          <w:rFonts w:ascii="Palatino Linotype" w:hAnsi="Palatino Linotype" w:cs="Arial"/>
          <w:color w:val="000000" w:themeColor="text1"/>
        </w:rPr>
      </w:pPr>
      <w:r w:rsidRPr="007D7190">
        <w:rPr>
          <w:rFonts w:ascii="Palatino Linotype" w:hAnsi="Palatino Linotype" w:cs="Arial"/>
          <w:color w:val="000000" w:themeColor="text1"/>
        </w:rPr>
        <w:t xml:space="preserve">Caso contrario a los particulares, como lo refiere el </w:t>
      </w:r>
      <w:r w:rsidRPr="007D7190">
        <w:rPr>
          <w:rFonts w:ascii="Palatino Linotype" w:eastAsia="Calibri" w:hAnsi="Palatino Linotype"/>
          <w:b/>
          <w:color w:val="000000" w:themeColor="text1"/>
        </w:rPr>
        <w:t>criterio 10/17</w:t>
      </w:r>
      <w:r w:rsidRPr="007D7190">
        <w:rPr>
          <w:rFonts w:ascii="Palatino Linotype" w:eastAsia="Calibri" w:hAnsi="Palatino Linotype"/>
          <w:color w:val="000000" w:themeColor="text1"/>
        </w:rPr>
        <w:t xml:space="preserve"> emitido por el INAI, que es del tenor literal siguiente:</w:t>
      </w:r>
    </w:p>
    <w:p w:rsidR="00320241" w:rsidRPr="007D7190" w:rsidRDefault="00320241" w:rsidP="007D6F45">
      <w:pPr>
        <w:contextualSpacing/>
        <w:jc w:val="both"/>
        <w:rPr>
          <w:rFonts w:ascii="Palatino Linotype" w:hAnsi="Palatino Linotype" w:cs="Arial"/>
          <w:b/>
          <w:i/>
          <w:color w:val="000000" w:themeColor="text1"/>
        </w:rPr>
      </w:pPr>
    </w:p>
    <w:p w:rsidR="00320241" w:rsidRPr="007D7190" w:rsidRDefault="00320241" w:rsidP="007D6F45">
      <w:pPr>
        <w:contextualSpacing/>
        <w:jc w:val="both"/>
        <w:rPr>
          <w:rFonts w:ascii="Palatino Linotype" w:hAnsi="Palatino Linotype" w:cs="Arial"/>
          <w:i/>
          <w:color w:val="000000" w:themeColor="text1"/>
        </w:rPr>
      </w:pPr>
      <w:r w:rsidRPr="007D7190">
        <w:rPr>
          <w:rFonts w:ascii="Palatino Linotype" w:hAnsi="Palatino Linotype" w:cs="Arial"/>
          <w:b/>
          <w:i/>
          <w:color w:val="000000" w:themeColor="text1"/>
        </w:rPr>
        <w:t>Cuentas bancarias y/o CLABE interbancaria de personas físicas y morales privadas. El número de cuenta bancaria y/o CLABE interbancaria de particulares es información confidencial</w:t>
      </w:r>
      <w:r w:rsidRPr="007D7190">
        <w:rPr>
          <w:rFonts w:ascii="Palatino Linotype" w:hAnsi="Palatino Linotype" w:cs="Arial"/>
          <w:i/>
          <w:color w:val="000000" w:themeColor="text1"/>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320241" w:rsidRPr="007D7190" w:rsidRDefault="00320241" w:rsidP="007D6F45">
      <w:pPr>
        <w:contextualSpacing/>
        <w:jc w:val="both"/>
        <w:rPr>
          <w:rFonts w:ascii="Palatino Linotype" w:hAnsi="Palatino Linotype" w:cs="Arial"/>
          <w:i/>
          <w:color w:val="000000" w:themeColor="text1"/>
        </w:rPr>
      </w:pPr>
      <w:r w:rsidRPr="007D7190">
        <w:rPr>
          <w:rFonts w:ascii="Palatino Linotype" w:hAnsi="Palatino Linotype" w:cs="Arial"/>
          <w:i/>
          <w:color w:val="000000" w:themeColor="text1"/>
        </w:rPr>
        <w:t xml:space="preserve">Resoluciones:  </w:t>
      </w:r>
    </w:p>
    <w:p w:rsidR="00320241" w:rsidRPr="007D7190" w:rsidRDefault="00320241" w:rsidP="007D6F45">
      <w:pPr>
        <w:contextualSpacing/>
        <w:jc w:val="both"/>
        <w:rPr>
          <w:rFonts w:ascii="Palatino Linotype" w:hAnsi="Palatino Linotype" w:cs="Arial"/>
          <w:i/>
          <w:color w:val="000000" w:themeColor="text1"/>
        </w:rPr>
      </w:pPr>
      <w:r w:rsidRPr="007D7190">
        <w:rPr>
          <w:rFonts w:ascii="Palatino Linotype" w:hAnsi="Palatino Linotype" w:cs="Arial"/>
          <w:i/>
          <w:color w:val="000000" w:themeColor="text1"/>
        </w:rPr>
        <w:t>RRA 1276/16 Grupo Aeroportuario de la Ciudad de México. S.A. de C.V. 01 de noviembre de 2016. Por unanimidad. Comisionada Ponente Areli Cano Guadiana.</w:t>
      </w:r>
    </w:p>
    <w:p w:rsidR="00320241" w:rsidRPr="007D7190" w:rsidRDefault="00320241" w:rsidP="007D6F45">
      <w:pPr>
        <w:contextualSpacing/>
        <w:jc w:val="both"/>
        <w:rPr>
          <w:rFonts w:ascii="Palatino Linotype" w:hAnsi="Palatino Linotype" w:cs="Arial"/>
          <w:i/>
          <w:color w:val="000000" w:themeColor="text1"/>
        </w:rPr>
      </w:pPr>
      <w:r w:rsidRPr="007D7190">
        <w:rPr>
          <w:rFonts w:ascii="Palatino Linotype" w:hAnsi="Palatino Linotype" w:cs="Arial"/>
          <w:i/>
          <w:color w:val="000000" w:themeColor="text1"/>
        </w:rPr>
        <w:t xml:space="preserve">RRA 3527/16 Servicio de Administración Tributaria. 07 de diciembre de 2016. Por unanimidad. Comisionada Ponente Ximena Puente de la Mora.  </w:t>
      </w:r>
      <w:r w:rsidRPr="007D7190">
        <w:rPr>
          <w:rFonts w:ascii="Palatino Linotype" w:hAnsi="Palatino Linotype" w:cs="Arial"/>
          <w:i/>
          <w:color w:val="000000" w:themeColor="text1"/>
        </w:rPr>
        <w:sym w:font="Palatino Linotype" w:char="F0B7"/>
      </w:r>
      <w:r w:rsidRPr="007D7190">
        <w:rPr>
          <w:rFonts w:ascii="Palatino Linotype" w:hAnsi="Palatino Linotype" w:cs="Arial"/>
          <w:i/>
          <w:color w:val="000000" w:themeColor="text1"/>
        </w:rPr>
        <w:t xml:space="preserve"> </w:t>
      </w:r>
    </w:p>
    <w:p w:rsidR="00320241" w:rsidRPr="007D7190" w:rsidRDefault="00320241" w:rsidP="007D6F45">
      <w:pPr>
        <w:contextualSpacing/>
        <w:jc w:val="both"/>
        <w:rPr>
          <w:rFonts w:ascii="Palatino Linotype" w:hAnsi="Palatino Linotype" w:cs="Arial"/>
          <w:i/>
          <w:color w:val="000000" w:themeColor="text1"/>
        </w:rPr>
      </w:pPr>
      <w:r w:rsidRPr="007D7190">
        <w:rPr>
          <w:rFonts w:ascii="Palatino Linotype" w:hAnsi="Palatino Linotype" w:cs="Arial"/>
          <w:i/>
          <w:color w:val="000000" w:themeColor="text1"/>
        </w:rPr>
        <w:t>RRA 4404/16 Partido del Trabajo. 01 de febrero de 2017. Por unanimidad. Comisionado Ponente Francisco Acuña Llamas.</w:t>
      </w:r>
    </w:p>
    <w:p w:rsidR="00320241" w:rsidRPr="007D7190" w:rsidRDefault="00320241" w:rsidP="007D6F45">
      <w:pPr>
        <w:tabs>
          <w:tab w:val="left" w:pos="7938"/>
        </w:tabs>
        <w:spacing w:line="360" w:lineRule="auto"/>
        <w:jc w:val="center"/>
        <w:rPr>
          <w:rFonts w:ascii="Palatino Linotype" w:hAnsi="Palatino Linotype" w:cs="Arial"/>
          <w:i/>
          <w:color w:val="000000" w:themeColor="text1"/>
        </w:rPr>
      </w:pPr>
    </w:p>
    <w:p w:rsidR="00320241" w:rsidRPr="007D7190" w:rsidRDefault="00320241" w:rsidP="007D6F45">
      <w:pPr>
        <w:tabs>
          <w:tab w:val="left" w:pos="7938"/>
        </w:tabs>
        <w:spacing w:line="360" w:lineRule="auto"/>
        <w:jc w:val="center"/>
        <w:rPr>
          <w:rFonts w:ascii="Palatino Linotype" w:hAnsi="Palatino Linotype" w:cs="Arial"/>
          <w:i/>
          <w:color w:val="000000" w:themeColor="text1"/>
        </w:rPr>
      </w:pPr>
    </w:p>
    <w:p w:rsidR="009D2439" w:rsidRPr="007D7190" w:rsidRDefault="009D2439" w:rsidP="007D6F45">
      <w:pPr>
        <w:spacing w:line="360" w:lineRule="auto"/>
        <w:contextualSpacing/>
        <w:jc w:val="both"/>
        <w:rPr>
          <w:rFonts w:ascii="Palatino Linotype" w:hAnsi="Palatino Linotype" w:cs="Tahoma"/>
          <w:b/>
          <w:bCs/>
          <w:iCs/>
          <w:color w:val="000000" w:themeColor="text1"/>
        </w:rPr>
      </w:pPr>
      <w:r w:rsidRPr="007D7190">
        <w:rPr>
          <w:rFonts w:ascii="Palatino Linotype" w:hAnsi="Palatino Linotype" w:cs="Tahoma"/>
          <w:b/>
          <w:bCs/>
          <w:iCs/>
          <w:color w:val="000000" w:themeColor="text1"/>
        </w:rPr>
        <w:t>Nombre de institución bancaria</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color w:val="000000" w:themeColor="text1"/>
        </w:rPr>
      </w:pPr>
      <w:r w:rsidRPr="007D7190">
        <w:rPr>
          <w:rFonts w:ascii="Palatino Linotype" w:hAnsi="Palatino Linotype" w:cs="Tahoma"/>
          <w:bCs/>
          <w:color w:val="000000" w:themeColor="text1"/>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w:t>
      </w:r>
      <w:r w:rsidRPr="007D7190">
        <w:rPr>
          <w:rFonts w:ascii="Palatino Linotype" w:hAnsi="Palatino Linotype" w:cs="Tahoma"/>
          <w:bCs/>
          <w:color w:val="000000" w:themeColor="text1"/>
        </w:rPr>
        <w:lastRenderedPageBreak/>
        <w:t xml:space="preserve">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009D2439" w:rsidRPr="007D7190" w:rsidRDefault="009D2439" w:rsidP="007D6F45">
      <w:pPr>
        <w:spacing w:line="360" w:lineRule="auto"/>
        <w:contextualSpacing/>
        <w:jc w:val="both"/>
        <w:rPr>
          <w:rFonts w:ascii="Palatino Linotype" w:hAnsi="Palatino Linotype" w:cs="Tahoma"/>
          <w:bCs/>
          <w:color w:val="000000" w:themeColor="text1"/>
        </w:rPr>
      </w:pPr>
      <w:r w:rsidRPr="007D7190">
        <w:rPr>
          <w:rFonts w:ascii="Palatino Linotype" w:hAnsi="Palatino Linotype" w:cs="Tahoma"/>
          <w:bCs/>
          <w:color w:val="000000" w:themeColor="text1"/>
        </w:rPr>
        <w:t xml:space="preserve"> </w:t>
      </w:r>
    </w:p>
    <w:p w:rsidR="009D2439" w:rsidRPr="007D7190" w:rsidRDefault="009D2439" w:rsidP="007D6F45">
      <w:pPr>
        <w:pStyle w:val="Prrafodelista"/>
        <w:numPr>
          <w:ilvl w:val="0"/>
          <w:numId w:val="1"/>
        </w:numPr>
        <w:spacing w:line="360" w:lineRule="auto"/>
        <w:ind w:left="0" w:firstLine="0"/>
        <w:jc w:val="both"/>
        <w:rPr>
          <w:rFonts w:ascii="Palatino Linotype" w:hAnsi="Palatino Linotype" w:cs="Tahoma"/>
          <w:bCs/>
          <w:color w:val="000000" w:themeColor="text1"/>
        </w:rPr>
      </w:pPr>
      <w:r w:rsidRPr="007D7190">
        <w:rPr>
          <w:rFonts w:ascii="Palatino Linotype" w:hAnsi="Palatino Linotype" w:cs="Tahoma"/>
          <w:bCs/>
          <w:color w:val="000000" w:themeColor="text1"/>
        </w:rPr>
        <w:t xml:space="preserve">En ese orden de ideas, en el portal de la Comisión Nacional para la Protección y Defensa de los Usuarios de Servicios Financieros, se establece que los bancos son instituciones financieras; conforme a lo anterior, se puede advertir que las instituciones bancarias, son personas morales, por lo que se considera que la denominación o razón social de una persona moral, es pública, pues dichos datos se encuentran inscritos en el Registro Público del Comercio; lo anterior, toma sustento en el </w:t>
      </w:r>
      <w:r w:rsidRPr="007D7190">
        <w:rPr>
          <w:rFonts w:ascii="Palatino Linotype" w:hAnsi="Palatino Linotype" w:cs="Tahoma"/>
          <w:bCs/>
          <w:iCs/>
          <w:color w:val="000000" w:themeColor="text1"/>
        </w:rPr>
        <w:t>Criterio de Interpretación, de la Segunda Época, con número de registro SO/008/2019, emitido por el Instituto Nacional de Transparencia, Acceso a la Información y Protección de Datos Personales,</w:t>
      </w:r>
      <w:r w:rsidRPr="007D7190">
        <w:rPr>
          <w:rFonts w:ascii="Palatino Linotype" w:hAnsi="Palatino Linotype" w:cs="Tahoma"/>
          <w:bCs/>
          <w:color w:val="000000" w:themeColor="text1"/>
        </w:rPr>
        <w:t xml:space="preserve"> previamente referido; esto se robustece con el hecho de que existe el Sistema de Registro de Prestadores de Servicios Financieros, que es un registro de </w:t>
      </w:r>
      <w:r w:rsidRPr="007D7190">
        <w:rPr>
          <w:rFonts w:ascii="Palatino Linotype" w:hAnsi="Palatino Linotype" w:cs="Tahoma"/>
          <w:b/>
          <w:bCs/>
          <w:color w:val="000000" w:themeColor="text1"/>
        </w:rPr>
        <w:t xml:space="preserve">carácter público, </w:t>
      </w:r>
      <w:r w:rsidRPr="007D7190">
        <w:rPr>
          <w:rFonts w:ascii="Palatino Linotype" w:hAnsi="Palatino Linotype" w:cs="Tahoma"/>
          <w:bCs/>
          <w:color w:val="000000" w:themeColor="text1"/>
        </w:rPr>
        <w:t>cuyo objetivo principal, consiste en proporcionar información corporativa y general de las instituciones financieras</w:t>
      </w:r>
      <w:r w:rsidRPr="007D7190">
        <w:rPr>
          <w:rFonts w:ascii="Palatino Linotype" w:hAnsi="Palatino Linotype" w:cs="Tahoma"/>
          <w:b/>
          <w:bCs/>
          <w:color w:val="000000" w:themeColor="text1"/>
        </w:rPr>
        <w:t>; además, que permite conocer al público general, información de dichos entes</w:t>
      </w:r>
      <w:r w:rsidR="00046A1D" w:rsidRPr="007D7190">
        <w:rPr>
          <w:rFonts w:ascii="Palatino Linotype" w:hAnsi="Palatino Linotype" w:cs="Tahoma"/>
          <w:bCs/>
          <w:color w:val="000000" w:themeColor="text1"/>
        </w:rPr>
        <w:t>.</w:t>
      </w:r>
    </w:p>
    <w:p w:rsidR="00046A1D" w:rsidRPr="007D7190" w:rsidRDefault="00046A1D" w:rsidP="007D6F45">
      <w:pPr>
        <w:pStyle w:val="Prrafodelista"/>
        <w:ind w:left="0"/>
        <w:rPr>
          <w:rFonts w:ascii="Palatino Linotype" w:hAnsi="Palatino Linotype" w:cs="Tahoma"/>
          <w:bCs/>
          <w:color w:val="000000" w:themeColor="text1"/>
        </w:rPr>
      </w:pPr>
    </w:p>
    <w:p w:rsidR="00046A1D" w:rsidRPr="007D7190" w:rsidRDefault="00046A1D" w:rsidP="007D6F4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7190">
        <w:rPr>
          <w:rFonts w:ascii="Palatino Linotype" w:eastAsia="Palatino Linotype" w:hAnsi="Palatino Linotype" w:cs="Palatino Linotype"/>
          <w:color w:val="000000" w:themeColor="text1"/>
        </w:rPr>
        <w:t>Ahora bien, en cuanto a,</w:t>
      </w:r>
      <w:r w:rsidRPr="007D7190">
        <w:rPr>
          <w:rFonts w:ascii="Palatino Linotype" w:eastAsia="Palatino Linotype" w:hAnsi="Palatino Linotype" w:cs="Palatino Linotype"/>
          <w:b/>
          <w:color w:val="000000" w:themeColor="text1"/>
        </w:rPr>
        <w:t xml:space="preserve"> las cadenas originales y sellos digitales</w:t>
      </w:r>
      <w:r w:rsidRPr="007D7190">
        <w:rPr>
          <w:rFonts w:ascii="Palatino Linotype" w:eastAsia="Palatino Linotype" w:hAnsi="Palatino Linotype" w:cs="Palatino Linotype"/>
          <w:color w:val="000000" w:themeColor="text1"/>
        </w:rPr>
        <w:t xml:space="preserve">, tienen una secuencia de generación, determinados con base en el Anexo 20 de la Resolución </w:t>
      </w:r>
      <w:r w:rsidRPr="007D7190">
        <w:rPr>
          <w:rFonts w:ascii="Palatino Linotype" w:eastAsia="Palatino Linotype" w:hAnsi="Palatino Linotype" w:cs="Palatino Linotype"/>
          <w:color w:val="000000" w:themeColor="text1"/>
        </w:rPr>
        <w:lastRenderedPageBreak/>
        <w:t>Miscelánea Fiscal para 2022, que precisa los datos de los que se componen los elementos de seguridad y se puntualiza que dicha información está encriptada.</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“Elementos utilizados en la generación de Sellos Digitales:</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r w:rsidRPr="007D7190">
        <w:rPr>
          <w:rFonts w:ascii="Palatino Linotype" w:eastAsia="Palatino Linotype" w:hAnsi="Palatino Linotype" w:cs="Palatino Linotype"/>
          <w:i/>
          <w:color w:val="000000" w:themeColor="text1"/>
        </w:rPr>
        <w:tab/>
        <w:t>Cadena Original, el elemento a sellar.</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 xml:space="preserve"> •</w:t>
      </w:r>
      <w:r w:rsidRPr="007D7190">
        <w:rPr>
          <w:rFonts w:ascii="Palatino Linotype" w:eastAsia="Palatino Linotype" w:hAnsi="Palatino Linotype" w:cs="Palatino Linotype"/>
          <w:i/>
          <w:color w:val="000000" w:themeColor="text1"/>
        </w:rPr>
        <w:tab/>
        <w:t>Certificado de Sello Digital y su correspondiente clave privada.</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r w:rsidRPr="007D7190">
        <w:rPr>
          <w:rFonts w:ascii="Palatino Linotype" w:eastAsia="Palatino Linotype" w:hAnsi="Palatino Linotype" w:cs="Palatino Linotype"/>
          <w:i/>
          <w:color w:val="000000" w:themeColor="text1"/>
        </w:rPr>
        <w:tab/>
        <w:t>Algoritmos de criptografía de clave pública para firma electrónica avanzada.</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w:t>
      </w:r>
      <w:r w:rsidRPr="007D7190">
        <w:rPr>
          <w:rFonts w:ascii="Palatino Linotype" w:eastAsia="Palatino Linotype" w:hAnsi="Palatino Linotype" w:cs="Palatino Linotype"/>
          <w:i/>
          <w:color w:val="000000" w:themeColor="text1"/>
        </w:rPr>
        <w:tab/>
        <w:t>Especificaciones de conversión de la firma electrónica avanzada a Base 64.</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046A1D" w:rsidRPr="007D7190" w:rsidRDefault="00046A1D" w:rsidP="007D6F45">
      <w:pPr>
        <w:jc w:val="both"/>
        <w:rPr>
          <w:rFonts w:ascii="Palatino Linotype" w:eastAsia="Palatino Linotype" w:hAnsi="Palatino Linotype" w:cs="Palatino Linotype"/>
          <w:i/>
          <w:color w:val="000000" w:themeColor="text1"/>
        </w:rPr>
      </w:pP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Criptografía de la Clave Pública</w:t>
      </w:r>
    </w:p>
    <w:p w:rsidR="00046A1D" w:rsidRPr="007D7190" w:rsidRDefault="00046A1D" w:rsidP="007D6F45">
      <w:pPr>
        <w:jc w:val="both"/>
        <w:rPr>
          <w:rFonts w:ascii="Palatino Linotype" w:eastAsia="Palatino Linotype" w:hAnsi="Palatino Linotype" w:cs="Palatino Linotype"/>
          <w:i/>
          <w:color w:val="000000" w:themeColor="text1"/>
        </w:rPr>
      </w:pPr>
      <w:r w:rsidRPr="007D7190">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046A1D" w:rsidRPr="007D7190" w:rsidRDefault="00046A1D" w:rsidP="007D6F45">
      <w:pPr>
        <w:jc w:val="both"/>
        <w:rPr>
          <w:rFonts w:ascii="Palatino Linotype" w:eastAsia="Palatino Linotype" w:hAnsi="Palatino Linotype" w:cs="Palatino Linotype"/>
          <w:i/>
          <w:color w:val="000000" w:themeColor="text1"/>
        </w:rPr>
      </w:pPr>
    </w:p>
    <w:p w:rsidR="00046A1D" w:rsidRPr="007D7190" w:rsidRDefault="00046A1D" w:rsidP="007D6F4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7190">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7D7190">
        <w:rPr>
          <w:rFonts w:ascii="Palatino Linotype" w:eastAsia="Palatino Linotype" w:hAnsi="Palatino Linotype" w:cs="Palatino Linotype"/>
          <w:b/>
          <w:color w:val="000000" w:themeColor="text1"/>
        </w:rPr>
        <w:t>no actualizan el supuesto de confidencialidad</w:t>
      </w:r>
      <w:r w:rsidRPr="007D7190">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45FD4" w:rsidRPr="007D7190" w:rsidRDefault="00D45FD4" w:rsidP="007D6F45">
      <w:pPr>
        <w:shd w:val="clear" w:color="auto" w:fill="FDFCFB"/>
        <w:rPr>
          <w:rFonts w:ascii="Palatino Linotype" w:eastAsia="Times New Roman" w:hAnsi="Palatino Linotype" w:cs="Times New Roman"/>
          <w:color w:val="000000" w:themeColor="text1"/>
          <w:lang w:val="es-MX" w:eastAsia="es-MX"/>
        </w:rPr>
      </w:pPr>
      <w:r w:rsidRPr="007D7190">
        <w:rPr>
          <w:rFonts w:ascii="Palatino Linotype" w:eastAsia="Times New Roman" w:hAnsi="Palatino Linotype" w:cs="Times New Roman"/>
          <w:color w:val="000000" w:themeColor="text1"/>
          <w:lang w:val="es-ES" w:eastAsia="es-MX"/>
        </w:rPr>
        <w:t> </w:t>
      </w:r>
    </w:p>
    <w:p w:rsidR="00457BAE" w:rsidRPr="007D7190" w:rsidRDefault="00685D5F" w:rsidP="007D6F45">
      <w:pPr>
        <w:pStyle w:val="Prrafodelista"/>
        <w:numPr>
          <w:ilvl w:val="0"/>
          <w:numId w:val="1"/>
        </w:numPr>
        <w:spacing w:line="360" w:lineRule="auto"/>
        <w:ind w:left="0" w:firstLine="0"/>
        <w:jc w:val="both"/>
        <w:rPr>
          <w:rFonts w:ascii="Palatino Linotype" w:eastAsia="Cambria" w:hAnsi="Palatino Linotype" w:cs="Times New Roman"/>
          <w:b/>
          <w:color w:val="000000" w:themeColor="text1"/>
          <w:lang w:val="es-MX" w:eastAsia="en-US"/>
        </w:rPr>
      </w:pPr>
      <w:r w:rsidRPr="007D7190">
        <w:rPr>
          <w:rFonts w:ascii="Palatino Linotype" w:eastAsia="Cambria" w:hAnsi="Palatino Linotype" w:cs="Times New Roman"/>
          <w:color w:val="000000" w:themeColor="text1"/>
          <w:lang w:val="es-MX" w:eastAsia="en-US"/>
        </w:rPr>
        <w:t>Conforme a lo anterior,</w:t>
      </w:r>
      <w:r w:rsidR="00910330" w:rsidRPr="007D7190">
        <w:rPr>
          <w:rFonts w:ascii="Palatino Linotype" w:eastAsia="Cambria" w:hAnsi="Palatino Linotype" w:cs="Times New Roman"/>
          <w:color w:val="000000" w:themeColor="text1"/>
          <w:lang w:val="es-MX" w:eastAsia="en-US"/>
        </w:rPr>
        <w:t xml:space="preserve"> este Instituto considera que la Secretaría de </w:t>
      </w:r>
      <w:r w:rsidR="00457BAE" w:rsidRPr="007D7190">
        <w:rPr>
          <w:rFonts w:ascii="Palatino Linotype" w:eastAsia="Cambria" w:hAnsi="Palatino Linotype" w:cs="Times New Roman"/>
          <w:color w:val="000000" w:themeColor="text1"/>
          <w:lang w:val="es-MX" w:eastAsia="en-US"/>
        </w:rPr>
        <w:t>Seguridad</w:t>
      </w:r>
      <w:r w:rsidR="00910330" w:rsidRPr="007D7190">
        <w:rPr>
          <w:rFonts w:ascii="Palatino Linotype" w:eastAsia="Cambria" w:hAnsi="Palatino Linotype" w:cs="Times New Roman"/>
          <w:color w:val="000000" w:themeColor="text1"/>
          <w:lang w:val="es-MX" w:eastAsia="en-US"/>
        </w:rPr>
        <w:t xml:space="preserve">, </w:t>
      </w:r>
      <w:r w:rsidRPr="007D7190">
        <w:rPr>
          <w:rFonts w:ascii="Palatino Linotype" w:eastAsia="Cambria" w:hAnsi="Palatino Linotype" w:cs="Times New Roman"/>
          <w:color w:val="000000" w:themeColor="text1"/>
          <w:lang w:val="es-MX" w:eastAsia="en-US"/>
        </w:rPr>
        <w:t xml:space="preserve"> </w:t>
      </w:r>
      <w:r w:rsidR="00057471" w:rsidRPr="007D7190">
        <w:rPr>
          <w:rFonts w:ascii="Palatino Linotype" w:eastAsia="Cambria" w:hAnsi="Palatino Linotype" w:cs="Times New Roman"/>
          <w:color w:val="000000" w:themeColor="text1"/>
          <w:lang w:val="es-MX" w:eastAsia="en-US"/>
        </w:rPr>
        <w:t>no colmó</w:t>
      </w:r>
      <w:r w:rsidR="00411587" w:rsidRPr="007D7190">
        <w:rPr>
          <w:rFonts w:ascii="Palatino Linotype" w:eastAsia="Cambria" w:hAnsi="Palatino Linotype" w:cs="Times New Roman"/>
          <w:color w:val="000000" w:themeColor="text1"/>
          <w:lang w:val="es-MX" w:eastAsia="en-US"/>
        </w:rPr>
        <w:t xml:space="preserve"> el derecho de acceso a la información del </w:t>
      </w:r>
      <w:r w:rsidR="00411587" w:rsidRPr="007D7190">
        <w:rPr>
          <w:rFonts w:ascii="Palatino Linotype" w:eastAsia="Cambria" w:hAnsi="Palatino Linotype" w:cs="Times New Roman"/>
          <w:b/>
          <w:color w:val="000000" w:themeColor="text1"/>
          <w:lang w:val="es-MX" w:eastAsia="en-US"/>
        </w:rPr>
        <w:t>RECURRENTE</w:t>
      </w:r>
      <w:r w:rsidR="00E874D6" w:rsidRPr="007D7190">
        <w:rPr>
          <w:rFonts w:ascii="Palatino Linotype" w:eastAsia="Cambria" w:hAnsi="Palatino Linotype" w:cs="Times New Roman"/>
          <w:b/>
          <w:color w:val="000000" w:themeColor="text1"/>
          <w:lang w:val="es-MX" w:eastAsia="en-US"/>
        </w:rPr>
        <w:t>,</w:t>
      </w:r>
      <w:r w:rsidR="00411587" w:rsidRPr="007D7190">
        <w:rPr>
          <w:rFonts w:ascii="Palatino Linotype" w:eastAsia="Cambria" w:hAnsi="Palatino Linotype" w:cs="Times New Roman"/>
          <w:b/>
          <w:color w:val="000000" w:themeColor="text1"/>
          <w:lang w:val="es-MX" w:eastAsia="en-US"/>
        </w:rPr>
        <w:t xml:space="preserve"> </w:t>
      </w:r>
      <w:r w:rsidR="00411587" w:rsidRPr="007D7190">
        <w:rPr>
          <w:rFonts w:ascii="Palatino Linotype" w:eastAsia="Cambria" w:hAnsi="Palatino Linotype" w:cs="Times New Roman"/>
          <w:color w:val="000000" w:themeColor="text1"/>
          <w:lang w:val="es-MX" w:eastAsia="en-US"/>
        </w:rPr>
        <w:t xml:space="preserve">situación </w:t>
      </w:r>
      <w:r w:rsidR="006D13BB" w:rsidRPr="007D7190">
        <w:rPr>
          <w:rFonts w:ascii="Palatino Linotype" w:eastAsia="Cambria" w:hAnsi="Palatino Linotype" w:cs="Times New Roman"/>
          <w:color w:val="000000" w:themeColor="text1"/>
          <w:lang w:val="es-MX" w:eastAsia="en-US"/>
        </w:rPr>
        <w:t>por la cual tendrá que remitir</w:t>
      </w:r>
      <w:r w:rsidR="00A7373F" w:rsidRPr="007D7190">
        <w:rPr>
          <w:rFonts w:ascii="Palatino Linotype" w:eastAsia="Cambria" w:hAnsi="Palatino Linotype" w:cs="Times New Roman"/>
          <w:color w:val="000000" w:themeColor="text1"/>
          <w:lang w:val="es-MX" w:eastAsia="en-US"/>
        </w:rPr>
        <w:t xml:space="preserve"> en versión pública</w:t>
      </w:r>
      <w:r w:rsidR="006D13BB" w:rsidRPr="007D7190">
        <w:rPr>
          <w:rFonts w:ascii="Palatino Linotype" w:eastAsia="Cambria" w:hAnsi="Palatino Linotype" w:cs="Times New Roman"/>
          <w:color w:val="000000" w:themeColor="text1"/>
          <w:lang w:val="es-MX" w:eastAsia="en-US"/>
        </w:rPr>
        <w:t xml:space="preserve"> </w:t>
      </w:r>
      <w:r w:rsidR="00457BAE" w:rsidRPr="007D7190">
        <w:rPr>
          <w:rFonts w:ascii="Palatino Linotype" w:eastAsia="Cambria" w:hAnsi="Palatino Linotype" w:cs="Times New Roman"/>
          <w:color w:val="000000" w:themeColor="text1"/>
          <w:lang w:val="es-MX" w:eastAsia="en-US"/>
        </w:rPr>
        <w:t>las facturas por montos superiores a dos millones de pesos que fuero</w:t>
      </w:r>
      <w:r w:rsidR="00A7373F" w:rsidRPr="007D7190">
        <w:rPr>
          <w:rFonts w:ascii="Palatino Linotype" w:eastAsia="Cambria" w:hAnsi="Palatino Linotype" w:cs="Times New Roman"/>
          <w:color w:val="000000" w:themeColor="text1"/>
          <w:lang w:val="es-MX" w:eastAsia="en-US"/>
        </w:rPr>
        <w:t>n</w:t>
      </w:r>
      <w:r w:rsidR="00457BAE" w:rsidRPr="007D7190">
        <w:rPr>
          <w:rFonts w:ascii="Palatino Linotype" w:eastAsia="Cambria" w:hAnsi="Palatino Linotype" w:cs="Times New Roman"/>
          <w:color w:val="000000" w:themeColor="text1"/>
          <w:lang w:val="es-MX" w:eastAsia="en-US"/>
        </w:rPr>
        <w:t xml:space="preserve"> pagadas a particulares durante el ejercicio presupuestal dos mil veinticuatro.</w:t>
      </w:r>
    </w:p>
    <w:p w:rsidR="00457BAE" w:rsidRPr="007D7190" w:rsidRDefault="00457BAE" w:rsidP="007D6F45">
      <w:pPr>
        <w:pStyle w:val="Prrafodelista"/>
        <w:ind w:left="0"/>
        <w:rPr>
          <w:rFonts w:ascii="Palatino Linotype" w:eastAsia="Cambria" w:hAnsi="Palatino Linotype" w:cs="Times New Roman"/>
          <w:b/>
          <w:color w:val="000000" w:themeColor="text1"/>
          <w:lang w:val="es-MX" w:eastAsia="en-US"/>
        </w:rPr>
      </w:pPr>
    </w:p>
    <w:p w:rsidR="00411587" w:rsidRPr="007D7190" w:rsidRDefault="00685D5F" w:rsidP="007D6F45">
      <w:pPr>
        <w:numPr>
          <w:ilvl w:val="0"/>
          <w:numId w:val="1"/>
        </w:numPr>
        <w:pBdr>
          <w:top w:val="nil"/>
          <w:left w:val="nil"/>
          <w:bottom w:val="nil"/>
          <w:right w:val="nil"/>
          <w:between w:val="nil"/>
        </w:pBdr>
        <w:spacing w:line="360" w:lineRule="auto"/>
        <w:ind w:left="0" w:firstLine="0"/>
        <w:contextualSpacing/>
        <w:jc w:val="both"/>
        <w:rPr>
          <w:rFonts w:ascii="Palatino Linotype" w:hAnsi="Palatino Linotype" w:cs="Arial"/>
          <w:b/>
          <w:color w:val="000000" w:themeColor="text1"/>
        </w:rPr>
      </w:pPr>
      <w:r w:rsidRPr="007D7190">
        <w:rPr>
          <w:rFonts w:ascii="Palatino Linotype" w:eastAsia="Palatino Linotype" w:hAnsi="Palatino Linotype" w:cs="Palatino Linotype"/>
          <w:color w:val="000000" w:themeColor="text1"/>
        </w:rPr>
        <w:lastRenderedPageBreak/>
        <w:t xml:space="preserve">Es por lo anterior que resulta dable </w:t>
      </w:r>
      <w:r w:rsidR="00A00FA8" w:rsidRPr="007D7190">
        <w:rPr>
          <w:rFonts w:ascii="Palatino Linotype" w:eastAsia="Palatino Linotype" w:hAnsi="Palatino Linotype" w:cs="Palatino Linotype"/>
          <w:b/>
          <w:color w:val="000000" w:themeColor="text1"/>
        </w:rPr>
        <w:t>RE</w:t>
      </w:r>
      <w:r w:rsidR="00411587" w:rsidRPr="007D7190">
        <w:rPr>
          <w:rFonts w:ascii="Palatino Linotype" w:eastAsia="Palatino Linotype" w:hAnsi="Palatino Linotype" w:cs="Palatino Linotype"/>
          <w:b/>
          <w:color w:val="000000" w:themeColor="text1"/>
        </w:rPr>
        <w:t xml:space="preserve">VOCAR </w:t>
      </w:r>
      <w:r w:rsidRPr="007D7190">
        <w:rPr>
          <w:rFonts w:ascii="Palatino Linotype" w:eastAsia="Palatino Linotype" w:hAnsi="Palatino Linotype" w:cs="Palatino Linotype"/>
          <w:color w:val="000000" w:themeColor="text1"/>
        </w:rPr>
        <w:t xml:space="preserve">la respuesta del </w:t>
      </w:r>
      <w:r w:rsidRPr="007D7190">
        <w:rPr>
          <w:rFonts w:ascii="Palatino Linotype" w:eastAsia="Palatino Linotype" w:hAnsi="Palatino Linotype" w:cs="Palatino Linotype"/>
          <w:b/>
          <w:color w:val="000000" w:themeColor="text1"/>
        </w:rPr>
        <w:t>SUJETO OBLIGADO</w:t>
      </w:r>
      <w:r w:rsidRPr="007D7190">
        <w:rPr>
          <w:rFonts w:ascii="Palatino Linotype" w:eastAsia="Palatino Linotype" w:hAnsi="Palatino Linotype" w:cs="Palatino Linotype"/>
          <w:color w:val="000000" w:themeColor="text1"/>
        </w:rPr>
        <w:t xml:space="preserve"> y </w:t>
      </w:r>
      <w:r w:rsidR="00411587" w:rsidRPr="007D7190">
        <w:rPr>
          <w:rFonts w:ascii="Palatino Linotype" w:eastAsia="Palatino Linotype" w:hAnsi="Palatino Linotype" w:cs="Palatino Linotype"/>
          <w:color w:val="000000" w:themeColor="text1"/>
        </w:rPr>
        <w:t>entregar la información mencionada en el párrafo con antelación</w:t>
      </w:r>
      <w:r w:rsidRPr="007D7190">
        <w:rPr>
          <w:rFonts w:ascii="Palatino Linotype" w:eastAsia="Palatino Linotype" w:hAnsi="Palatino Linotype" w:cs="Palatino Linotype"/>
          <w:color w:val="000000" w:themeColor="text1"/>
        </w:rPr>
        <w:t xml:space="preserve">. </w:t>
      </w:r>
    </w:p>
    <w:p w:rsidR="00685D5F" w:rsidRPr="007D7190" w:rsidRDefault="00685D5F" w:rsidP="007D6F45">
      <w:pPr>
        <w:pBdr>
          <w:top w:val="nil"/>
          <w:left w:val="nil"/>
          <w:bottom w:val="nil"/>
          <w:right w:val="nil"/>
          <w:between w:val="nil"/>
        </w:pBdr>
        <w:spacing w:line="360" w:lineRule="auto"/>
        <w:contextualSpacing/>
        <w:jc w:val="both"/>
        <w:rPr>
          <w:rFonts w:ascii="Palatino Linotype" w:hAnsi="Palatino Linotype" w:cs="Arial"/>
          <w:b/>
          <w:color w:val="000000" w:themeColor="text1"/>
        </w:rPr>
      </w:pPr>
      <w:r w:rsidRPr="007D7190">
        <w:rPr>
          <w:rFonts w:ascii="Palatino Linotype" w:eastAsia="Palatino Linotype" w:hAnsi="Palatino Linotype" w:cs="Palatino Linotype"/>
          <w:b/>
          <w:color w:val="000000" w:themeColor="text1"/>
        </w:rPr>
        <w:t xml:space="preserve"> </w:t>
      </w:r>
    </w:p>
    <w:p w:rsidR="00685D5F" w:rsidRPr="007D7190" w:rsidRDefault="00685D5F" w:rsidP="007D6F45">
      <w:pPr>
        <w:keepNext/>
        <w:keepLines/>
        <w:spacing w:after="160"/>
        <w:outlineLvl w:val="0"/>
        <w:rPr>
          <w:rFonts w:ascii="Palatino Linotype" w:eastAsiaTheme="majorEastAsia" w:hAnsi="Palatino Linotype" w:cstheme="majorBidi"/>
          <w:b/>
          <w:color w:val="000000" w:themeColor="text1"/>
          <w:lang w:val="es-MX" w:eastAsia="en-US"/>
        </w:rPr>
      </w:pPr>
      <w:bookmarkStart w:id="16" w:name="_Toc87549682"/>
      <w:r w:rsidRPr="007D7190">
        <w:rPr>
          <w:rFonts w:ascii="Palatino Linotype" w:eastAsiaTheme="majorEastAsia" w:hAnsi="Palatino Linotype" w:cstheme="majorBidi"/>
          <w:b/>
          <w:color w:val="000000" w:themeColor="text1"/>
          <w:lang w:val="es-MX" w:eastAsia="en-US"/>
        </w:rPr>
        <w:t>QUINTO. De la versión pública.</w:t>
      </w:r>
      <w:bookmarkEnd w:id="16"/>
    </w:p>
    <w:p w:rsidR="00685D5F" w:rsidRPr="007D7190" w:rsidRDefault="00685D5F" w:rsidP="007D6F45">
      <w:pPr>
        <w:keepNext/>
        <w:keepLines/>
        <w:numPr>
          <w:ilvl w:val="0"/>
          <w:numId w:val="9"/>
        </w:numPr>
        <w:tabs>
          <w:tab w:val="left" w:pos="284"/>
          <w:tab w:val="num" w:pos="360"/>
        </w:tabs>
        <w:spacing w:after="160"/>
        <w:ind w:left="0" w:firstLine="0"/>
        <w:outlineLvl w:val="0"/>
        <w:rPr>
          <w:rFonts w:ascii="Palatino Linotype" w:eastAsiaTheme="majorEastAsia" w:hAnsi="Palatino Linotype" w:cs="Times New Roman"/>
          <w:b/>
          <w:color w:val="000000" w:themeColor="text1"/>
          <w:lang w:val="es-MX" w:eastAsia="es-ES_tradnl"/>
        </w:rPr>
      </w:pPr>
      <w:bookmarkStart w:id="17" w:name="_Toc48135362"/>
      <w:bookmarkStart w:id="18" w:name="_Toc72309902"/>
      <w:bookmarkStart w:id="19" w:name="_Toc73643041"/>
      <w:bookmarkStart w:id="20" w:name="_Toc73911519"/>
      <w:bookmarkStart w:id="21" w:name="_Toc87549683"/>
      <w:r w:rsidRPr="007D7190">
        <w:rPr>
          <w:rFonts w:ascii="Palatino Linotype" w:eastAsiaTheme="majorEastAsia" w:hAnsi="Palatino Linotype" w:cs="Times New Roman"/>
          <w:b/>
          <w:color w:val="000000" w:themeColor="text1"/>
          <w:lang w:val="es-MX" w:eastAsia="es-ES_tradnl"/>
        </w:rPr>
        <w:t>Nociones generales.</w:t>
      </w:r>
      <w:bookmarkEnd w:id="17"/>
      <w:bookmarkEnd w:id="18"/>
      <w:bookmarkEnd w:id="19"/>
      <w:bookmarkEnd w:id="20"/>
      <w:bookmarkEnd w:id="21"/>
      <w:r w:rsidRPr="007D7190">
        <w:rPr>
          <w:rFonts w:ascii="Palatino Linotype" w:eastAsiaTheme="majorEastAsia" w:hAnsi="Palatino Linotype" w:cs="Times New Roman"/>
          <w:b/>
          <w:color w:val="000000" w:themeColor="text1"/>
          <w:lang w:val="es-MX" w:eastAsia="es-ES_tradnl"/>
        </w:rPr>
        <w:t xml:space="preserve"> </w:t>
      </w:r>
    </w:p>
    <w:p w:rsidR="00685D5F" w:rsidRPr="007D7190" w:rsidRDefault="00685D5F" w:rsidP="007D6F45">
      <w:pPr>
        <w:numPr>
          <w:ilvl w:val="0"/>
          <w:numId w:val="1"/>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Debe destacarse, que debido a la información solicitada por el </w:t>
      </w:r>
      <w:r w:rsidRPr="007D7190">
        <w:rPr>
          <w:rFonts w:ascii="Palatino Linotype" w:eastAsiaTheme="minorHAnsi" w:hAnsi="Palatino Linotype" w:cs="Arial"/>
          <w:b/>
          <w:bCs/>
          <w:color w:val="000000" w:themeColor="text1"/>
          <w:lang w:val="es-MX" w:eastAsia="en-US"/>
        </w:rPr>
        <w:t>RECURRENTE</w:t>
      </w:r>
      <w:r w:rsidRPr="007D7190">
        <w:rPr>
          <w:rFonts w:ascii="Palatino Linotype" w:eastAsiaTheme="minorHAnsi" w:hAnsi="Palatino Linotype" w:cs="Arial"/>
          <w:b/>
          <w:color w:val="000000" w:themeColor="text1"/>
          <w:lang w:val="es-MX" w:eastAsia="en-US"/>
        </w:rPr>
        <w:t xml:space="preserve">, </w:t>
      </w:r>
      <w:r w:rsidRPr="007D7190">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7D7190">
        <w:rPr>
          <w:rFonts w:ascii="Palatino Linotype" w:eastAsiaTheme="minorHAnsi" w:hAnsi="Palatino Linotype" w:cs="Arial"/>
          <w:b/>
          <w:bCs/>
          <w:color w:val="000000" w:themeColor="text1"/>
          <w:lang w:val="es-MX" w:eastAsia="en-US"/>
        </w:rPr>
        <w:t xml:space="preserve">SUJETO OBLIGADO </w:t>
      </w:r>
      <w:r w:rsidRPr="007D7190">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685D5F" w:rsidRPr="007D7190" w:rsidRDefault="00685D5F" w:rsidP="007D6F45">
      <w:pPr>
        <w:tabs>
          <w:tab w:val="left" w:pos="0"/>
          <w:tab w:val="left" w:pos="284"/>
        </w:tabs>
        <w:spacing w:after="160" w:line="360" w:lineRule="auto"/>
        <w:contextualSpacing/>
        <w:jc w:val="both"/>
        <w:rPr>
          <w:rFonts w:ascii="Palatino Linotype" w:eastAsia="MS Mincho" w:hAnsi="Palatino Linotype"/>
          <w:color w:val="000000" w:themeColor="text1"/>
          <w:lang w:val="es-ES" w:eastAsia="en-US"/>
        </w:rPr>
      </w:pPr>
    </w:p>
    <w:p w:rsidR="00685D5F" w:rsidRPr="007D7190" w:rsidRDefault="00685D5F" w:rsidP="007D6F45">
      <w:pPr>
        <w:numPr>
          <w:ilvl w:val="0"/>
          <w:numId w:val="1"/>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No pasa desapercibido para este Órgano Garante que los </w:t>
      </w:r>
      <w:r w:rsidRPr="007D7190">
        <w:rPr>
          <w:rFonts w:ascii="Palatino Linotype" w:eastAsiaTheme="minorHAnsi" w:hAnsi="Palatino Linotype" w:cs="Arial"/>
          <w:bCs/>
          <w:color w:val="000000" w:themeColor="text1"/>
          <w:lang w:val="es-MX" w:eastAsia="en-US"/>
        </w:rPr>
        <w:t>sujetos obligados</w:t>
      </w:r>
      <w:r w:rsidRPr="007D7190">
        <w:rPr>
          <w:rFonts w:ascii="Palatino Linotype" w:eastAsiaTheme="minorHAnsi" w:hAnsi="Palatino Linotype" w:cs="Arial"/>
          <w:b/>
          <w:bCs/>
          <w:color w:val="000000" w:themeColor="text1"/>
          <w:lang w:val="es-MX" w:eastAsia="en-US"/>
        </w:rPr>
        <w:t xml:space="preserve"> </w:t>
      </w:r>
      <w:r w:rsidRPr="007D7190">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5D5F" w:rsidRPr="007D7190" w:rsidRDefault="00685D5F" w:rsidP="007D6F45">
      <w:pPr>
        <w:tabs>
          <w:tab w:val="left" w:pos="284"/>
        </w:tabs>
        <w:spacing w:after="160" w:line="360" w:lineRule="auto"/>
        <w:contextualSpacing/>
        <w:jc w:val="both"/>
        <w:rPr>
          <w:rFonts w:ascii="Palatino Linotype" w:eastAsiaTheme="minorHAnsi" w:hAnsi="Palatino Linotype" w:cs="Arial"/>
          <w:color w:val="000000" w:themeColor="text1"/>
          <w:lang w:val="es-MX" w:eastAsia="en-US"/>
        </w:rPr>
      </w:pPr>
    </w:p>
    <w:tbl>
      <w:tblPr>
        <w:tblStyle w:val="Tablanormal1"/>
        <w:tblW w:w="9634" w:type="dxa"/>
        <w:tblLook w:val="04A0" w:firstRow="1" w:lastRow="0" w:firstColumn="1" w:lastColumn="0" w:noHBand="0" w:noVBand="1"/>
      </w:tblPr>
      <w:tblGrid>
        <w:gridCol w:w="2063"/>
        <w:gridCol w:w="7571"/>
      </w:tblGrid>
      <w:tr w:rsidR="007D6F45" w:rsidRPr="007D7190" w:rsidTr="00044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hideMark/>
          </w:tcPr>
          <w:p w:rsidR="002361E9" w:rsidRPr="007D7190" w:rsidRDefault="00685D5F" w:rsidP="007D6F45">
            <w:pPr>
              <w:pStyle w:val="Prrafodelista"/>
              <w:numPr>
                <w:ilvl w:val="0"/>
                <w:numId w:val="36"/>
              </w:numPr>
              <w:tabs>
                <w:tab w:val="left" w:pos="284"/>
              </w:tabs>
              <w:spacing w:line="360" w:lineRule="auto"/>
              <w:ind w:left="0"/>
              <w:rPr>
                <w:rFonts w:ascii="Palatino Linotype" w:eastAsiaTheme="minorHAnsi" w:hAnsi="Palatino Linotype" w:cstheme="majorBidi"/>
                <w:color w:val="000000" w:themeColor="text1"/>
                <w:lang w:val="es-MX" w:eastAsia="en-US"/>
              </w:rPr>
            </w:pPr>
            <w:r w:rsidRPr="007D7190">
              <w:rPr>
                <w:rFonts w:ascii="Palatino Linotype" w:eastAsiaTheme="minorHAnsi" w:hAnsi="Palatino Linotype" w:cstheme="majorBidi"/>
                <w:color w:val="000000" w:themeColor="text1"/>
                <w:lang w:val="es-MX" w:eastAsia="en-US"/>
              </w:rPr>
              <w:t>Requisitos</w:t>
            </w:r>
          </w:p>
          <w:p w:rsidR="00685D5F" w:rsidRPr="007D7190" w:rsidRDefault="00685D5F" w:rsidP="007D6F45">
            <w:pPr>
              <w:tabs>
                <w:tab w:val="left" w:pos="284"/>
              </w:tabs>
              <w:spacing w:line="360" w:lineRule="auto"/>
              <w:rPr>
                <w:rFonts w:ascii="Palatino Linotype" w:eastAsiaTheme="minorHAnsi" w:hAnsi="Palatino Linotype"/>
                <w:color w:val="000000" w:themeColor="text1"/>
                <w:lang w:val="es-MX" w:eastAsia="en-US"/>
              </w:rPr>
            </w:pPr>
            <w:r w:rsidRPr="007D7190">
              <w:rPr>
                <w:rFonts w:ascii="Palatino Linotype" w:eastAsiaTheme="minorHAnsi" w:hAnsi="Palatino Linotype" w:cstheme="majorBidi"/>
                <w:color w:val="000000" w:themeColor="text1"/>
                <w:lang w:val="es-MX" w:eastAsia="en-US"/>
              </w:rPr>
              <w:t xml:space="preserve"> previos.</w:t>
            </w:r>
          </w:p>
        </w:tc>
        <w:tc>
          <w:tcPr>
            <w:tcW w:w="7571" w:type="dxa"/>
            <w:hideMark/>
          </w:tcPr>
          <w:p w:rsidR="002361E9" w:rsidRPr="007D7190" w:rsidRDefault="00685D5F" w:rsidP="007D6F4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7D7190">
              <w:rPr>
                <w:rFonts w:ascii="Palatino Linotype" w:eastAsiaTheme="minorHAnsi" w:hAnsi="Palatino Linotype" w:cs="Arial"/>
                <w:b w:val="0"/>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685D5F" w:rsidRPr="007D7190" w:rsidRDefault="00685D5F" w:rsidP="007D6F4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7D7190">
              <w:rPr>
                <w:rFonts w:ascii="Palatino Linotype" w:eastAsiaTheme="minorHAnsi" w:hAnsi="Palatino Linotype" w:cs="Arial"/>
                <w:b w:val="0"/>
                <w:color w:val="000000" w:themeColor="text1"/>
                <w:lang w:val="es-MX" w:eastAsia="en-US"/>
              </w:rPr>
              <w:t xml:space="preserve"> del Comité de Transparencia. </w:t>
            </w:r>
          </w:p>
          <w:p w:rsidR="00685D5F" w:rsidRPr="007D7190" w:rsidRDefault="00685D5F" w:rsidP="007D6F4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7D7190">
              <w:rPr>
                <w:rFonts w:ascii="Palatino Linotype" w:eastAsiaTheme="minorHAnsi" w:hAnsi="Palatino Linotype" w:cs="Arial"/>
                <w:b w:val="0"/>
                <w:color w:val="000000" w:themeColor="text1"/>
                <w:lang w:val="es-MX" w:eastAsia="en-US"/>
              </w:rPr>
              <w:lastRenderedPageBreak/>
              <w:t>Al hacerlo tienen que precisar de qué información se trata, señalando el supuesto de clasificación (confidencialidad o reserva).</w:t>
            </w:r>
          </w:p>
          <w:p w:rsidR="00685D5F" w:rsidRPr="007D7190" w:rsidRDefault="00685D5F" w:rsidP="007D6F4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color w:val="000000" w:themeColor="text1"/>
                <w:lang w:val="es-MX" w:eastAsia="en-US"/>
              </w:rPr>
            </w:pPr>
            <w:r w:rsidRPr="007D7190">
              <w:rPr>
                <w:rFonts w:ascii="Palatino Linotype" w:eastAsiaTheme="minorHAnsi" w:hAnsi="Palatino Linotype" w:cs="Arial"/>
                <w:b w:val="0"/>
                <w:color w:val="000000" w:themeColor="text1"/>
                <w:lang w:val="es-MX" w:eastAsia="en-US"/>
              </w:rPr>
              <w:t>Además, se debe señalar el procedimiento, de los tres que establecen los artículos 132 y 106 de la Ley Estatal y General, respectivamente.</w:t>
            </w:r>
          </w:p>
          <w:p w:rsidR="00685D5F" w:rsidRPr="007D7190" w:rsidRDefault="00685D5F" w:rsidP="007D6F4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7D7190">
              <w:rPr>
                <w:rFonts w:ascii="Palatino Linotype" w:eastAsiaTheme="minorHAnsi" w:hAnsi="Palatino Linotype" w:cs="Arial"/>
                <w:b w:val="0"/>
                <w:color w:val="000000" w:themeColor="text1"/>
                <w:lang w:val="es-MX" w:eastAsia="en-US"/>
              </w:rPr>
              <w:t xml:space="preserve">El último de estos requisitos previos consiste en que no se pueden emitir acuerdos de carácter general ni particular, esto es, </w:t>
            </w:r>
            <w:r w:rsidRPr="007D7190">
              <w:rPr>
                <w:rFonts w:ascii="Palatino Linotype" w:eastAsiaTheme="minorHAnsi" w:hAnsi="Palatino Linotype" w:cs="Arial"/>
                <w:b w:val="0"/>
                <w:color w:val="000000" w:themeColor="text1"/>
                <w:u w:val="single"/>
                <w:lang w:val="es-MX" w:eastAsia="en-US"/>
              </w:rPr>
              <w:t>no se puede hacer un acuerdo para clasificar de manera general todos los documentos de un expediente o área, sin</w:t>
            </w:r>
            <w:r w:rsidRPr="007D7190">
              <w:rPr>
                <w:rFonts w:ascii="Palatino Linotype" w:eastAsiaTheme="minorHAnsi" w:hAnsi="Palatino Linotype" w:cs="Arial"/>
                <w:b w:val="0"/>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7D6F45" w:rsidRPr="007D7190" w:rsidTr="0004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hideMark/>
          </w:tcPr>
          <w:p w:rsidR="00685D5F" w:rsidRPr="007D7190" w:rsidRDefault="00685D5F" w:rsidP="007D6F45">
            <w:pPr>
              <w:tabs>
                <w:tab w:val="left" w:pos="284"/>
              </w:tabs>
              <w:spacing w:line="360" w:lineRule="auto"/>
              <w:rPr>
                <w:rFonts w:ascii="Palatino Linotype" w:eastAsiaTheme="minorHAnsi" w:hAnsi="Palatino Linotype"/>
                <w:color w:val="000000" w:themeColor="text1"/>
                <w:lang w:val="es-MX" w:eastAsia="en-US"/>
              </w:rPr>
            </w:pPr>
            <w:r w:rsidRPr="007D7190">
              <w:rPr>
                <w:rFonts w:ascii="Palatino Linotype" w:eastAsiaTheme="minorHAnsi" w:hAnsi="Palatino Linotype" w:cstheme="majorBidi"/>
                <w:color w:val="000000" w:themeColor="text1"/>
                <w:lang w:val="es-MX" w:eastAsia="en-US"/>
              </w:rPr>
              <w:lastRenderedPageBreak/>
              <w:t>b) Supuestos de clasificación.</w:t>
            </w:r>
          </w:p>
        </w:tc>
        <w:tc>
          <w:tcPr>
            <w:tcW w:w="7571" w:type="dxa"/>
            <w:hideMark/>
          </w:tcPr>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Las disposiciones constitucionales y legales en la materia establecen los dos supuestos generales para clasificar la información: por reserva y por confidencialidad.</w:t>
            </w:r>
          </w:p>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5D5F" w:rsidRPr="007D7190" w:rsidRDefault="00685D5F" w:rsidP="007D6F4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olor w:val="000000" w:themeColor="text1"/>
                <w:lang w:val="es-MX" w:eastAsia="en-US"/>
              </w:rPr>
            </w:pPr>
            <w:r w:rsidRPr="007D7190">
              <w:rPr>
                <w:rFonts w:ascii="Palatino Linotype" w:eastAsiaTheme="minorHAnsi" w:hAnsi="Palatino Linotype" w:cs="Arial"/>
                <w:color w:val="000000" w:themeColor="text1"/>
                <w:lang w:val="es-MX" w:eastAsia="en-US"/>
              </w:rPr>
              <w:t xml:space="preserve">El </w:t>
            </w:r>
            <w:r w:rsidRPr="007D7190">
              <w:rPr>
                <w:rFonts w:ascii="Palatino Linotype" w:eastAsiaTheme="minorHAnsi" w:hAnsi="Palatino Linotype" w:cs="Arial"/>
                <w:b/>
                <w:color w:val="000000" w:themeColor="text1"/>
                <w:lang w:val="es-MX" w:eastAsia="en-US"/>
              </w:rPr>
              <w:t>Sujeto Obligado</w:t>
            </w:r>
            <w:r w:rsidRPr="007D7190">
              <w:rPr>
                <w:rFonts w:ascii="Palatino Linotype" w:eastAsiaTheme="minorHAnsi" w:hAnsi="Palatino Linotype" w:cs="Arial"/>
                <w:color w:val="000000" w:themeColor="text1"/>
                <w:lang w:val="es-MX" w:eastAsia="en-US"/>
              </w:rPr>
              <w:t xml:space="preserve"> debe identificar claramente el tipo de información y hacer un juicio de subsunción o encaje para acreditar que el supuesto </w:t>
            </w:r>
            <w:r w:rsidRPr="007D7190">
              <w:rPr>
                <w:rFonts w:ascii="Palatino Linotype" w:eastAsiaTheme="minorHAnsi" w:hAnsi="Palatino Linotype" w:cs="Arial"/>
                <w:color w:val="000000" w:themeColor="text1"/>
                <w:lang w:val="es-MX" w:eastAsia="en-US"/>
              </w:rPr>
              <w:lastRenderedPageBreak/>
              <w:t>de hecho corresponde estrictamente con la hipótesis jurídica. Esto también lo debe de realizar el servidor público habilitado y el titular del área que administra la información.</w:t>
            </w:r>
          </w:p>
        </w:tc>
      </w:tr>
      <w:tr w:rsidR="007D6F45" w:rsidRPr="007D7190" w:rsidTr="000442BF">
        <w:tc>
          <w:tcPr>
            <w:cnfStyle w:val="001000000000" w:firstRow="0" w:lastRow="0" w:firstColumn="1" w:lastColumn="0" w:oddVBand="0" w:evenVBand="0" w:oddHBand="0" w:evenHBand="0" w:firstRowFirstColumn="0" w:firstRowLastColumn="0" w:lastRowFirstColumn="0" w:lastRowLastColumn="0"/>
            <w:tcW w:w="2063" w:type="dxa"/>
            <w:hideMark/>
          </w:tcPr>
          <w:p w:rsidR="002361E9" w:rsidRPr="007D7190" w:rsidRDefault="00685D5F" w:rsidP="007D6F45">
            <w:pPr>
              <w:pStyle w:val="Prrafodelista"/>
              <w:numPr>
                <w:ilvl w:val="0"/>
                <w:numId w:val="36"/>
              </w:numPr>
              <w:tabs>
                <w:tab w:val="left" w:pos="284"/>
              </w:tabs>
              <w:spacing w:line="360" w:lineRule="auto"/>
              <w:ind w:left="0" w:firstLine="0"/>
              <w:rPr>
                <w:rFonts w:ascii="Palatino Linotype" w:eastAsiaTheme="minorHAnsi" w:hAnsi="Palatino Linotype" w:cstheme="majorBidi"/>
                <w:color w:val="000000" w:themeColor="text1"/>
                <w:lang w:val="es-MX" w:eastAsia="en-US"/>
              </w:rPr>
            </w:pPr>
            <w:r w:rsidRPr="007D7190">
              <w:rPr>
                <w:rFonts w:ascii="Palatino Linotype" w:eastAsiaTheme="minorHAnsi" w:hAnsi="Palatino Linotype" w:cstheme="majorBidi"/>
                <w:color w:val="000000" w:themeColor="text1"/>
                <w:lang w:val="es-MX" w:eastAsia="en-US"/>
              </w:rPr>
              <w:lastRenderedPageBreak/>
              <w:t>Formalidades</w:t>
            </w:r>
          </w:p>
          <w:p w:rsidR="00685D5F" w:rsidRPr="007D7190" w:rsidRDefault="00685D5F" w:rsidP="007D6F45">
            <w:pPr>
              <w:tabs>
                <w:tab w:val="left" w:pos="284"/>
              </w:tabs>
              <w:spacing w:line="360" w:lineRule="auto"/>
              <w:rPr>
                <w:rFonts w:ascii="Palatino Linotype" w:eastAsiaTheme="minorHAnsi" w:hAnsi="Palatino Linotype"/>
                <w:color w:val="000000" w:themeColor="text1"/>
                <w:lang w:val="es-MX" w:eastAsia="en-US"/>
              </w:rPr>
            </w:pPr>
            <w:r w:rsidRPr="007D7190">
              <w:rPr>
                <w:rFonts w:ascii="Palatino Linotype" w:eastAsiaTheme="minorHAnsi" w:hAnsi="Palatino Linotype" w:cstheme="majorBidi"/>
                <w:color w:val="000000" w:themeColor="text1"/>
                <w:lang w:val="es-MX" w:eastAsia="en-US"/>
              </w:rPr>
              <w:t xml:space="preserve"> para emitir el acuerdo de clasificación.</w:t>
            </w:r>
          </w:p>
        </w:tc>
        <w:tc>
          <w:tcPr>
            <w:tcW w:w="7571" w:type="dxa"/>
            <w:hideMark/>
          </w:tcPr>
          <w:p w:rsidR="00685D5F" w:rsidRPr="007D7190" w:rsidRDefault="00685D5F" w:rsidP="007D6F4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685D5F" w:rsidRPr="007D7190" w:rsidRDefault="00685D5F" w:rsidP="007D6F4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Es necesario que </w:t>
            </w:r>
            <w:r w:rsidRPr="007D7190">
              <w:rPr>
                <w:rFonts w:ascii="Palatino Linotype" w:eastAsiaTheme="minorHAnsi" w:hAnsi="Palatino Linotype" w:cs="Arial"/>
                <w:b/>
                <w:color w:val="000000" w:themeColor="text1"/>
                <w:u w:val="single"/>
                <w:lang w:val="es-MX" w:eastAsia="en-US"/>
              </w:rPr>
              <w:t>el acto reúna con los requisitos elementales</w:t>
            </w:r>
            <w:r w:rsidRPr="007D7190">
              <w:rPr>
                <w:rFonts w:ascii="Palatino Linotype" w:eastAsiaTheme="minorHAnsi" w:hAnsi="Palatino Linotype" w:cs="Arial"/>
                <w:color w:val="000000" w:themeColor="text1"/>
                <w:lang w:val="es-MX" w:eastAsia="en-US"/>
              </w:rPr>
              <w:t>, entre ellos, que la autoridad que va a emitir el acto de autoridad sea la legalmente facultada para ello.</w:t>
            </w:r>
          </w:p>
          <w:p w:rsidR="00685D5F" w:rsidRPr="007D7190" w:rsidRDefault="00685D5F" w:rsidP="007D6F4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7D7190">
              <w:rPr>
                <w:rFonts w:ascii="Palatino Linotype" w:eastAsiaTheme="minorHAnsi" w:hAnsi="Palatino Linotype" w:cs="Arial"/>
                <w:color w:val="000000" w:themeColor="text1"/>
                <w:lang w:val="es-MX" w:eastAsia="en-US"/>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6F45" w:rsidRPr="007D7190" w:rsidTr="0004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tcPr>
          <w:p w:rsidR="00685D5F" w:rsidRPr="007D7190" w:rsidRDefault="00685D5F" w:rsidP="007D6F45">
            <w:pPr>
              <w:tabs>
                <w:tab w:val="left" w:pos="284"/>
              </w:tabs>
              <w:spacing w:line="360" w:lineRule="auto"/>
              <w:rPr>
                <w:rFonts w:ascii="Palatino Linotype" w:eastAsiaTheme="minorHAnsi" w:hAnsi="Palatino Linotype"/>
                <w:color w:val="000000" w:themeColor="text1"/>
                <w:lang w:val="es-MX" w:eastAsia="en-US"/>
              </w:rPr>
            </w:pPr>
          </w:p>
          <w:p w:rsidR="002361E9" w:rsidRPr="007D7190" w:rsidRDefault="00685D5F" w:rsidP="007D6F45">
            <w:pPr>
              <w:pStyle w:val="Prrafodelista"/>
              <w:numPr>
                <w:ilvl w:val="0"/>
                <w:numId w:val="36"/>
              </w:numPr>
              <w:tabs>
                <w:tab w:val="left" w:pos="284"/>
              </w:tabs>
              <w:spacing w:line="360" w:lineRule="auto"/>
              <w:ind w:left="0" w:hanging="691"/>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Requisitos de</w:t>
            </w:r>
          </w:p>
          <w:p w:rsidR="002361E9" w:rsidRPr="007D7190" w:rsidRDefault="00685D5F" w:rsidP="007D6F45">
            <w:pPr>
              <w:tabs>
                <w:tab w:val="left" w:pos="171"/>
              </w:tabs>
              <w:spacing w:line="360" w:lineRule="auto"/>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 fondo del </w:t>
            </w:r>
          </w:p>
          <w:p w:rsidR="002361E9" w:rsidRPr="007D7190" w:rsidRDefault="00685D5F" w:rsidP="007D6F45">
            <w:pPr>
              <w:tabs>
                <w:tab w:val="left" w:pos="171"/>
              </w:tabs>
              <w:spacing w:line="360" w:lineRule="auto"/>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acuerdo de </w:t>
            </w:r>
          </w:p>
          <w:p w:rsidR="00685D5F" w:rsidRPr="007D7190" w:rsidRDefault="00685D5F" w:rsidP="007D6F45">
            <w:pPr>
              <w:tabs>
                <w:tab w:val="left" w:pos="171"/>
              </w:tabs>
              <w:spacing w:line="360" w:lineRule="auto"/>
              <w:jc w:val="both"/>
              <w:rPr>
                <w:rFonts w:ascii="Palatino Linotype" w:eastAsiaTheme="minorHAnsi" w:hAnsi="Palatino Linotype"/>
                <w:color w:val="000000" w:themeColor="text1"/>
                <w:lang w:val="es-MX" w:eastAsia="en-US"/>
              </w:rPr>
            </w:pPr>
            <w:r w:rsidRPr="007D7190">
              <w:rPr>
                <w:rFonts w:ascii="Palatino Linotype" w:eastAsiaTheme="minorHAnsi" w:hAnsi="Palatino Linotype" w:cs="Arial"/>
                <w:color w:val="000000" w:themeColor="text1"/>
                <w:lang w:val="es-MX" w:eastAsia="en-US"/>
              </w:rPr>
              <w:t xml:space="preserve">clasificación. </w:t>
            </w:r>
          </w:p>
        </w:tc>
        <w:tc>
          <w:tcPr>
            <w:tcW w:w="7571" w:type="dxa"/>
            <w:hideMark/>
          </w:tcPr>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D7190">
              <w:rPr>
                <w:rFonts w:ascii="Palatino Linotype" w:eastAsiaTheme="minorHAnsi" w:hAnsi="Palatino Linotype" w:cs="Arial"/>
                <w:b/>
                <w:color w:val="000000" w:themeColor="text1"/>
                <w:lang w:val="es-MX" w:eastAsia="en-US"/>
              </w:rPr>
              <w:t>Sujetos Obligados</w:t>
            </w:r>
            <w:r w:rsidRPr="007D7190">
              <w:rPr>
                <w:rFonts w:ascii="Palatino Linotype" w:eastAsiaTheme="minorHAnsi" w:hAnsi="Palatino Linotype" w:cs="Arial"/>
                <w:color w:val="000000" w:themeColor="text1"/>
                <w:lang w:val="es-MX" w:eastAsia="en-US"/>
              </w:rPr>
              <w:t xml:space="preserve">, por lo que deberán fundar y motivar debidamente la clasificación. </w:t>
            </w:r>
          </w:p>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lastRenderedPageBreak/>
              <w:t xml:space="preserve">De lo anterior, se desprende que para una correcta </w:t>
            </w:r>
            <w:r w:rsidRPr="007D7190">
              <w:rPr>
                <w:rFonts w:ascii="Palatino Linotype" w:eastAsiaTheme="minorHAnsi" w:hAnsi="Palatino Linotype" w:cs="Arial"/>
                <w:b/>
                <w:color w:val="000000" w:themeColor="text1"/>
                <w:lang w:val="es-MX" w:eastAsia="en-US"/>
              </w:rPr>
              <w:t>clasificación total o parcial</w:t>
            </w:r>
            <w:r w:rsidRPr="007D7190">
              <w:rPr>
                <w:rFonts w:ascii="Palatino Linotype" w:eastAsiaTheme="minorHAnsi" w:hAnsi="Palatino Linotype" w:cs="Arial"/>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rsidR="00685D5F" w:rsidRPr="007D7190" w:rsidRDefault="00685D5F" w:rsidP="007D6F4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Ahora bien, </w:t>
            </w:r>
            <w:r w:rsidRPr="007D7190">
              <w:rPr>
                <w:rFonts w:ascii="Palatino Linotype" w:eastAsiaTheme="minorHAnsi" w:hAnsi="Palatino Linotype" w:cs="Arial"/>
                <w:b/>
                <w:color w:val="000000" w:themeColor="text1"/>
                <w:u w:val="single"/>
                <w:lang w:val="es-MX" w:eastAsia="en-US"/>
              </w:rPr>
              <w:t>para cada caso además de fundar y motivar</w:t>
            </w:r>
            <w:r w:rsidRPr="007D7190">
              <w:rPr>
                <w:rFonts w:ascii="Palatino Linotype" w:eastAsiaTheme="minorHAnsi" w:hAnsi="Palatino Linotype" w:cs="Arial"/>
                <w:color w:val="000000" w:themeColor="text1"/>
                <w:lang w:val="es-MX" w:eastAsia="en-US"/>
              </w:rPr>
              <w:t xml:space="preserve">, se debe identificar con claridad que datos contenidos en las documentales que son susceptibles de suprimirse, por ejemplo; </w:t>
            </w:r>
            <w:r w:rsidRPr="007D7190">
              <w:rPr>
                <w:rFonts w:ascii="Palatino Linotype" w:eastAsiaTheme="minorHAnsi" w:hAnsi="Palatino Linotype" w:cs="Arial"/>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6F45" w:rsidRPr="007D7190" w:rsidTr="000442BF">
        <w:tc>
          <w:tcPr>
            <w:cnfStyle w:val="001000000000" w:firstRow="0" w:lastRow="0" w:firstColumn="1" w:lastColumn="0" w:oddVBand="0" w:evenVBand="0" w:oddHBand="0" w:evenHBand="0" w:firstRowFirstColumn="0" w:firstRowLastColumn="0" w:lastRowFirstColumn="0" w:lastRowLastColumn="0"/>
            <w:tcW w:w="2063" w:type="dxa"/>
          </w:tcPr>
          <w:p w:rsidR="00685D5F" w:rsidRPr="007D7190" w:rsidRDefault="00685D5F" w:rsidP="007D6F45">
            <w:pPr>
              <w:tabs>
                <w:tab w:val="left" w:pos="284"/>
              </w:tabs>
              <w:spacing w:line="360" w:lineRule="auto"/>
              <w:rPr>
                <w:rFonts w:ascii="Palatino Linotype" w:eastAsiaTheme="minorHAnsi" w:hAnsi="Palatino Linotype" w:cs="Arial"/>
                <w:color w:val="000000" w:themeColor="text1"/>
                <w:lang w:val="es-MX" w:eastAsia="en-US"/>
              </w:rPr>
            </w:pPr>
            <w:r w:rsidRPr="007D7190">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571" w:type="dxa"/>
            <w:hideMark/>
          </w:tcPr>
          <w:p w:rsidR="00685D5F" w:rsidRPr="007D7190" w:rsidRDefault="00685D5F" w:rsidP="007D6F4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5D5F" w:rsidRPr="007D7190" w:rsidRDefault="00685D5F" w:rsidP="007D6F4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5D5F" w:rsidRPr="007D7190" w:rsidRDefault="00685D5F" w:rsidP="007D6F4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7D7190">
              <w:rPr>
                <w:rFonts w:ascii="Palatino Linotype" w:eastAsiaTheme="minorHAnsi" w:hAnsi="Palatino Linotype" w:cs="Arial"/>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5D5F" w:rsidRPr="007D7190" w:rsidRDefault="00685D5F" w:rsidP="007D6F45">
      <w:pPr>
        <w:tabs>
          <w:tab w:val="left" w:pos="284"/>
        </w:tabs>
        <w:spacing w:after="160" w:line="360" w:lineRule="auto"/>
        <w:contextualSpacing/>
        <w:rPr>
          <w:rFonts w:ascii="Palatino Linotype" w:eastAsiaTheme="minorHAnsi" w:hAnsi="Palatino Linotype" w:cs="Arial"/>
          <w:color w:val="000000" w:themeColor="text1"/>
          <w:lang w:val="es-MX" w:eastAsia="en-US"/>
        </w:rPr>
      </w:pPr>
    </w:p>
    <w:p w:rsidR="007C190E" w:rsidRPr="007D7190" w:rsidRDefault="007C190E" w:rsidP="007D6F4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7190">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A00FA8" w:rsidRPr="007D7190" w:rsidRDefault="00A00FA8" w:rsidP="007D6F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85D5F" w:rsidRPr="007D7190" w:rsidRDefault="00685D5F" w:rsidP="007D6F45">
      <w:pPr>
        <w:numPr>
          <w:ilvl w:val="0"/>
          <w:numId w:val="1"/>
        </w:numPr>
        <w:tabs>
          <w:tab w:val="left" w:pos="284"/>
        </w:tabs>
        <w:spacing w:after="160" w:line="360" w:lineRule="auto"/>
        <w:ind w:left="0" w:firstLine="0"/>
        <w:contextualSpacing/>
        <w:jc w:val="both"/>
        <w:rPr>
          <w:rFonts w:ascii="Palatino Linotype" w:eastAsiaTheme="minorHAnsi" w:hAnsi="Palatino Linotype" w:cs="Arial"/>
          <w:color w:val="000000" w:themeColor="text1"/>
          <w:lang w:val="es-MX" w:eastAsia="en-US"/>
        </w:rPr>
      </w:pPr>
      <w:r w:rsidRPr="007D7190">
        <w:rPr>
          <w:rFonts w:ascii="Palatino Linotype" w:eastAsiaTheme="minorHAnsi" w:hAnsi="Palatino Linotype" w:cs="Arial"/>
          <w:color w:val="000000" w:themeColor="text1"/>
          <w:lang w:val="es-MX" w:eastAsia="en-US"/>
        </w:rPr>
        <w:t xml:space="preserve">Si el servidor público incumple con estas formalidades y entrega la información sin proteger los datos personales incumple con lo que estipula las disposiciones legales </w:t>
      </w:r>
      <w:r w:rsidRPr="007D7190">
        <w:rPr>
          <w:rFonts w:ascii="Palatino Linotype" w:eastAsiaTheme="minorHAnsi" w:hAnsi="Palatino Linotype" w:cs="Arial"/>
          <w:color w:val="000000" w:themeColor="text1"/>
          <w:lang w:val="es-MX" w:eastAsia="en-US"/>
        </w:rPr>
        <w:lastRenderedPageBreak/>
        <w:t xml:space="preserve">establecidas, </w:t>
      </w:r>
      <w:r w:rsidR="007C190E" w:rsidRPr="007D7190">
        <w:rPr>
          <w:rFonts w:ascii="Palatino Linotype" w:eastAsiaTheme="minorHAnsi" w:hAnsi="Palatino Linotype" w:cs="Arial"/>
          <w:color w:val="000000" w:themeColor="text1"/>
          <w:lang w:val="es-MX" w:eastAsia="en-US"/>
        </w:rPr>
        <w:t xml:space="preserve">resulta  lo </w:t>
      </w:r>
      <w:r w:rsidRPr="007D7190">
        <w:rPr>
          <w:rFonts w:ascii="Palatino Linotype" w:eastAsiaTheme="minorHAnsi" w:hAnsi="Palatino Linotype" w:cs="Arial"/>
          <w:color w:val="000000" w:themeColor="text1"/>
          <w:lang w:val="es-MX" w:eastAsia="en-US"/>
        </w:rPr>
        <w:t>mismo que si entrega un documento testado sin el debido acuerdo de clasificación.</w:t>
      </w:r>
    </w:p>
    <w:p w:rsidR="00685D5F" w:rsidRPr="007D7190" w:rsidRDefault="00685D5F" w:rsidP="007D6F45">
      <w:pPr>
        <w:tabs>
          <w:tab w:val="left" w:pos="284"/>
        </w:tabs>
        <w:spacing w:after="160" w:line="360" w:lineRule="auto"/>
        <w:contextualSpacing/>
        <w:jc w:val="both"/>
        <w:rPr>
          <w:rFonts w:ascii="Palatino Linotype" w:eastAsiaTheme="minorHAnsi" w:hAnsi="Palatino Linotype" w:cs="Arial"/>
          <w:color w:val="000000" w:themeColor="text1"/>
          <w:lang w:val="es-MX" w:eastAsia="en-US"/>
        </w:rPr>
      </w:pPr>
    </w:p>
    <w:p w:rsidR="00314F72" w:rsidRPr="007D7190" w:rsidRDefault="00314F72" w:rsidP="007D6F45">
      <w:pPr>
        <w:pStyle w:val="Prrafodelista"/>
        <w:numPr>
          <w:ilvl w:val="0"/>
          <w:numId w:val="1"/>
        </w:numPr>
        <w:spacing w:line="360" w:lineRule="auto"/>
        <w:ind w:left="0" w:firstLine="0"/>
        <w:jc w:val="both"/>
        <w:rPr>
          <w:rFonts w:ascii="Palatino Linotype" w:hAnsi="Palatino Linotype"/>
          <w:color w:val="000000" w:themeColor="text1"/>
        </w:rPr>
      </w:pPr>
      <w:r w:rsidRPr="007D7190">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7D7190">
        <w:rPr>
          <w:rFonts w:ascii="Palatino Linotype" w:eastAsia="Palatino Linotype" w:hAnsi="Palatino Linotype" w:cs="Palatino Linotype"/>
          <w:b/>
          <w:color w:val="000000" w:themeColor="text1"/>
        </w:rPr>
        <w:t xml:space="preserve"> RECURRENTE</w:t>
      </w:r>
      <w:r w:rsidRPr="007D7190">
        <w:rPr>
          <w:rFonts w:ascii="Palatino Linotype" w:eastAsia="Palatino Linotype" w:hAnsi="Palatino Linotype" w:cs="Palatino Linotype"/>
          <w:color w:val="000000" w:themeColor="text1"/>
        </w:rPr>
        <w:t xml:space="preserve">, determinando </w:t>
      </w:r>
      <w:r w:rsidRPr="007D7190">
        <w:rPr>
          <w:rFonts w:ascii="Palatino Linotype" w:eastAsia="Palatino Linotype" w:hAnsi="Palatino Linotype" w:cs="Palatino Linotype"/>
          <w:b/>
          <w:smallCaps/>
          <w:color w:val="000000" w:themeColor="text1"/>
        </w:rPr>
        <w:t xml:space="preserve">REVOCAR  </w:t>
      </w:r>
      <w:r w:rsidRPr="007D7190">
        <w:rPr>
          <w:rFonts w:ascii="Palatino Linotype" w:eastAsia="Palatino Linotype" w:hAnsi="Palatino Linotype" w:cs="Palatino Linotype"/>
          <w:color w:val="000000" w:themeColor="text1"/>
        </w:rPr>
        <w:t xml:space="preserve">la respuesta del </w:t>
      </w:r>
      <w:r w:rsidRPr="007D7190">
        <w:rPr>
          <w:rFonts w:ascii="Palatino Linotype" w:eastAsia="Palatino Linotype" w:hAnsi="Palatino Linotype" w:cs="Palatino Linotype"/>
          <w:b/>
          <w:color w:val="000000" w:themeColor="text1"/>
        </w:rPr>
        <w:t>SUJETO OBLIGADO</w:t>
      </w:r>
      <w:r w:rsidRPr="007D7190">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7D7190">
        <w:rPr>
          <w:rFonts w:ascii="Palatino Linotype" w:eastAsia="Palatino Linotype" w:hAnsi="Palatino Linotype" w:cs="Palatino Linotype"/>
          <w:b/>
          <w:color w:val="000000" w:themeColor="text1"/>
        </w:rPr>
        <w:t>ÓRGANO GARANTE</w:t>
      </w:r>
      <w:r w:rsidRPr="007D7190">
        <w:rPr>
          <w:rFonts w:ascii="Palatino Linotype" w:eastAsia="Palatino Linotype" w:hAnsi="Palatino Linotype" w:cs="Palatino Linotype"/>
          <w:color w:val="000000" w:themeColor="text1"/>
        </w:rPr>
        <w:t xml:space="preserve"> emite los siguientes.</w:t>
      </w:r>
    </w:p>
    <w:p w:rsidR="00685D5F" w:rsidRPr="007D7190" w:rsidRDefault="00685D5F" w:rsidP="007D6F45">
      <w:pPr>
        <w:spacing w:line="360" w:lineRule="auto"/>
        <w:contextualSpacing/>
        <w:jc w:val="both"/>
        <w:rPr>
          <w:rFonts w:ascii="Palatino Linotype" w:hAnsi="Palatino Linotype"/>
          <w:i/>
          <w:color w:val="000000" w:themeColor="text1"/>
          <w:lang w:val="es-MX"/>
        </w:rPr>
      </w:pPr>
    </w:p>
    <w:p w:rsidR="00685D5F" w:rsidRPr="007D7190" w:rsidRDefault="00685D5F" w:rsidP="007D6F45">
      <w:pPr>
        <w:pStyle w:val="Prrafodelista"/>
        <w:ind w:left="0"/>
        <w:rPr>
          <w:rFonts w:ascii="Palatino Linotype" w:eastAsia="MS Mincho" w:hAnsi="Palatino Linotype" w:cs="Arial"/>
          <w:color w:val="000000" w:themeColor="text1"/>
          <w:lang w:val="es-MX"/>
        </w:rPr>
      </w:pPr>
    </w:p>
    <w:p w:rsidR="00685D5F" w:rsidRPr="007D7190" w:rsidRDefault="00685D5F" w:rsidP="007D6F45">
      <w:pPr>
        <w:pStyle w:val="Ttulo1"/>
        <w:spacing w:before="0" w:line="360" w:lineRule="auto"/>
        <w:jc w:val="center"/>
        <w:rPr>
          <w:rFonts w:ascii="Palatino Linotype" w:eastAsia="Calibri" w:hAnsi="Palatino Linotype"/>
          <w:b/>
          <w:color w:val="000000" w:themeColor="text1"/>
          <w:sz w:val="24"/>
          <w:szCs w:val="24"/>
          <w:lang w:val="es-MX"/>
        </w:rPr>
      </w:pPr>
      <w:r w:rsidRPr="007D7190">
        <w:rPr>
          <w:rFonts w:ascii="Palatino Linotype" w:eastAsia="Calibri" w:hAnsi="Palatino Linotype"/>
          <w:b/>
          <w:color w:val="000000" w:themeColor="text1"/>
          <w:sz w:val="24"/>
          <w:szCs w:val="24"/>
          <w:lang w:val="es-MX"/>
        </w:rPr>
        <w:t>R E S O L U T I V O S</w:t>
      </w:r>
    </w:p>
    <w:p w:rsidR="00685D5F" w:rsidRPr="007D7190" w:rsidRDefault="00685D5F" w:rsidP="007D6F45">
      <w:pPr>
        <w:spacing w:line="360" w:lineRule="auto"/>
        <w:rPr>
          <w:rFonts w:ascii="Palatino Linotype" w:hAnsi="Palatino Linotype"/>
          <w:color w:val="000000" w:themeColor="text1"/>
          <w:lang w:val="es-MX"/>
        </w:rPr>
      </w:pPr>
    </w:p>
    <w:p w:rsidR="00685D5F" w:rsidRPr="007D7190" w:rsidRDefault="00685D5F" w:rsidP="007D6F45">
      <w:pPr>
        <w:spacing w:line="360" w:lineRule="auto"/>
        <w:jc w:val="both"/>
        <w:rPr>
          <w:rFonts w:ascii="Palatino Linotype" w:hAnsi="Palatino Linotype" w:cs="Arial"/>
          <w:bCs/>
          <w:color w:val="000000" w:themeColor="text1"/>
          <w:lang w:val="es-MX"/>
        </w:rPr>
      </w:pPr>
      <w:r w:rsidRPr="007D7190">
        <w:rPr>
          <w:rFonts w:ascii="Palatino Linotype" w:hAnsi="Palatino Linotype" w:cs="Arial"/>
          <w:b/>
          <w:bCs/>
          <w:color w:val="000000" w:themeColor="text1"/>
          <w:lang w:val="es-MX"/>
        </w:rPr>
        <w:t>PRIMERO</w:t>
      </w:r>
      <w:r w:rsidRPr="007D7190">
        <w:rPr>
          <w:rFonts w:ascii="Palatino Linotype" w:hAnsi="Palatino Linotype" w:cs="Arial"/>
          <w:color w:val="000000" w:themeColor="text1"/>
          <w:lang w:val="es-MX"/>
        </w:rPr>
        <w:t>. Resultan fundadas las</w:t>
      </w:r>
      <w:r w:rsidRPr="007D7190">
        <w:rPr>
          <w:rFonts w:ascii="Palatino Linotype" w:hAnsi="Palatino Linotype" w:cs="Arial"/>
          <w:b/>
          <w:color w:val="000000" w:themeColor="text1"/>
          <w:lang w:val="es-MX"/>
        </w:rPr>
        <w:t xml:space="preserve"> </w:t>
      </w:r>
      <w:r w:rsidRPr="007D7190">
        <w:rPr>
          <w:rFonts w:ascii="Palatino Linotype" w:hAnsi="Palatino Linotype" w:cs="Arial"/>
          <w:color w:val="000000" w:themeColor="text1"/>
          <w:lang w:val="es-MX"/>
        </w:rPr>
        <w:t xml:space="preserve">razones o motivos de inconformidad hechos valer </w:t>
      </w:r>
      <w:r w:rsidRPr="007D7190">
        <w:rPr>
          <w:rFonts w:ascii="Palatino Linotype" w:eastAsia="Calibri" w:hAnsi="Palatino Linotype" w:cs="Arial"/>
          <w:color w:val="000000" w:themeColor="text1"/>
          <w:lang w:val="es-MX"/>
        </w:rPr>
        <w:t xml:space="preserve">en el Recurso de Revisión </w:t>
      </w:r>
      <w:r w:rsidR="00A7373F" w:rsidRPr="007D7190">
        <w:rPr>
          <w:rFonts w:ascii="Palatino Linotype" w:hAnsi="Palatino Linotype"/>
          <w:b/>
          <w:color w:val="000000" w:themeColor="text1"/>
          <w:lang w:val="es-MX"/>
        </w:rPr>
        <w:t>06533</w:t>
      </w:r>
      <w:r w:rsidR="00314F72" w:rsidRPr="007D7190">
        <w:rPr>
          <w:rFonts w:ascii="Palatino Linotype" w:hAnsi="Palatino Linotype"/>
          <w:b/>
          <w:color w:val="000000" w:themeColor="text1"/>
          <w:lang w:val="es-MX"/>
        </w:rPr>
        <w:t>/INFOEM/IP/RR/2025</w:t>
      </w:r>
      <w:r w:rsidRPr="007D7190">
        <w:rPr>
          <w:rFonts w:ascii="Palatino Linotype" w:hAnsi="Palatino Linotype" w:cs="Arial"/>
          <w:b/>
          <w:bCs/>
          <w:color w:val="000000" w:themeColor="text1"/>
          <w:lang w:val="es-MX"/>
        </w:rPr>
        <w:t xml:space="preserve">, </w:t>
      </w:r>
      <w:r w:rsidRPr="007D7190">
        <w:rPr>
          <w:rFonts w:ascii="Palatino Linotype" w:hAnsi="Palatino Linotype" w:cs="Arial"/>
          <w:bCs/>
          <w:color w:val="000000" w:themeColor="text1"/>
          <w:lang w:val="es-MX"/>
        </w:rPr>
        <w:t xml:space="preserve">en términos de los </w:t>
      </w:r>
      <w:r w:rsidRPr="007D7190">
        <w:rPr>
          <w:rFonts w:ascii="Palatino Linotype" w:hAnsi="Palatino Linotype" w:cs="Arial"/>
          <w:b/>
          <w:bCs/>
          <w:color w:val="000000" w:themeColor="text1"/>
          <w:lang w:val="es-MX"/>
        </w:rPr>
        <w:t xml:space="preserve">Considerandos Cuarto y Quinto </w:t>
      </w:r>
      <w:r w:rsidRPr="007D7190">
        <w:rPr>
          <w:rFonts w:ascii="Palatino Linotype" w:hAnsi="Palatino Linotype" w:cs="Arial"/>
          <w:bCs/>
          <w:color w:val="000000" w:themeColor="text1"/>
          <w:lang w:val="es-MX"/>
        </w:rPr>
        <w:t>de la presente resolución.</w:t>
      </w:r>
    </w:p>
    <w:p w:rsidR="00685D5F" w:rsidRPr="007D7190" w:rsidRDefault="00685D5F" w:rsidP="007D6F45">
      <w:pPr>
        <w:spacing w:line="360" w:lineRule="auto"/>
        <w:jc w:val="both"/>
        <w:rPr>
          <w:rFonts w:ascii="Palatino Linotype" w:hAnsi="Palatino Linotype" w:cs="Arial"/>
          <w:color w:val="000000" w:themeColor="text1"/>
          <w:lang w:val="es-MX"/>
        </w:rPr>
      </w:pPr>
    </w:p>
    <w:p w:rsidR="00685D5F" w:rsidRPr="007D7190" w:rsidRDefault="00685D5F" w:rsidP="007D6F45">
      <w:pPr>
        <w:spacing w:line="360" w:lineRule="auto"/>
        <w:jc w:val="both"/>
        <w:rPr>
          <w:rFonts w:ascii="Palatino Linotype" w:eastAsia="MS Mincho" w:hAnsi="Palatino Linotype" w:cs="Times New Roman"/>
          <w:color w:val="000000" w:themeColor="text1"/>
          <w:lang w:val="es-MX"/>
        </w:rPr>
      </w:pPr>
      <w:r w:rsidRPr="007D7190">
        <w:rPr>
          <w:rFonts w:ascii="Palatino Linotype" w:hAnsi="Palatino Linotype"/>
          <w:b/>
          <w:color w:val="000000" w:themeColor="text1"/>
          <w:lang w:val="es-MX"/>
        </w:rPr>
        <w:t>SEGUNDO.</w:t>
      </w:r>
      <w:r w:rsidRPr="007D7190">
        <w:rPr>
          <w:rStyle w:val="Ttulo2Car"/>
          <w:rFonts w:ascii="Palatino Linotype" w:hAnsi="Palatino Linotype"/>
          <w:color w:val="000000" w:themeColor="text1"/>
          <w:sz w:val="24"/>
          <w:szCs w:val="24"/>
          <w:lang w:val="es-MX"/>
        </w:rPr>
        <w:t xml:space="preserve"> </w:t>
      </w:r>
      <w:r w:rsidRPr="007D7190">
        <w:rPr>
          <w:rFonts w:ascii="Palatino Linotype" w:eastAsia="MS Mincho" w:hAnsi="Palatino Linotype" w:cs="Times New Roman"/>
          <w:color w:val="000000" w:themeColor="text1"/>
          <w:lang w:val="es-MX"/>
        </w:rPr>
        <w:t xml:space="preserve">Se </w:t>
      </w:r>
      <w:r w:rsidR="00BF4813" w:rsidRPr="007D7190">
        <w:rPr>
          <w:rFonts w:ascii="Palatino Linotype" w:eastAsia="MS Mincho" w:hAnsi="Palatino Linotype" w:cs="Times New Roman"/>
          <w:b/>
          <w:color w:val="000000" w:themeColor="text1"/>
          <w:lang w:val="es-MX"/>
        </w:rPr>
        <w:t>Revoca</w:t>
      </w:r>
      <w:r w:rsidRPr="007D7190">
        <w:rPr>
          <w:rFonts w:ascii="Palatino Linotype" w:eastAsia="MS Mincho" w:hAnsi="Palatino Linotype" w:cs="Times New Roman"/>
          <w:b/>
          <w:color w:val="000000" w:themeColor="text1"/>
          <w:lang w:val="es-MX"/>
        </w:rPr>
        <w:t xml:space="preserve"> </w:t>
      </w:r>
      <w:r w:rsidRPr="007D7190">
        <w:rPr>
          <w:rFonts w:ascii="Palatino Linotype" w:eastAsia="MS Mincho" w:hAnsi="Palatino Linotype" w:cs="Times New Roman"/>
          <w:color w:val="000000" w:themeColor="text1"/>
          <w:lang w:val="es-MX"/>
        </w:rPr>
        <w:t xml:space="preserve">la respuesta emitida por </w:t>
      </w:r>
      <w:r w:rsidR="006D13BB" w:rsidRPr="007D7190">
        <w:rPr>
          <w:rFonts w:ascii="Palatino Linotype" w:eastAsia="MS Mincho" w:hAnsi="Palatino Linotype" w:cs="Times New Roman"/>
          <w:color w:val="000000" w:themeColor="text1"/>
          <w:lang w:val="es-MX"/>
        </w:rPr>
        <w:t xml:space="preserve">la </w:t>
      </w:r>
      <w:r w:rsidR="006D13BB" w:rsidRPr="007D7190">
        <w:rPr>
          <w:rFonts w:ascii="Palatino Linotype" w:eastAsia="MS Mincho" w:hAnsi="Palatino Linotype" w:cs="Times New Roman"/>
          <w:b/>
          <w:color w:val="000000" w:themeColor="text1"/>
          <w:lang w:val="es-MX"/>
        </w:rPr>
        <w:t xml:space="preserve">Secretaría de </w:t>
      </w:r>
      <w:r w:rsidR="00A7373F" w:rsidRPr="007D7190">
        <w:rPr>
          <w:rFonts w:ascii="Palatino Linotype" w:eastAsia="MS Mincho" w:hAnsi="Palatino Linotype" w:cs="Times New Roman"/>
          <w:b/>
          <w:color w:val="000000" w:themeColor="text1"/>
          <w:lang w:val="es-MX"/>
        </w:rPr>
        <w:t>Seguridad</w:t>
      </w:r>
      <w:r w:rsidRPr="007D7190">
        <w:rPr>
          <w:rFonts w:ascii="Palatino Linotype" w:eastAsia="MS Mincho" w:hAnsi="Palatino Linotype" w:cs="Times New Roman"/>
          <w:b/>
          <w:color w:val="000000" w:themeColor="text1"/>
          <w:lang w:val="es-MX"/>
        </w:rPr>
        <w:t xml:space="preserve"> </w:t>
      </w:r>
      <w:r w:rsidRPr="007D7190">
        <w:rPr>
          <w:rFonts w:ascii="Palatino Linotype" w:eastAsia="MS Mincho" w:hAnsi="Palatino Linotype" w:cs="Times New Roman"/>
          <w:color w:val="000000" w:themeColor="text1"/>
          <w:lang w:val="es-MX"/>
        </w:rPr>
        <w:t xml:space="preserve">y se </w:t>
      </w:r>
      <w:r w:rsidRPr="007D7190">
        <w:rPr>
          <w:rFonts w:ascii="Palatino Linotype" w:eastAsia="MS Mincho" w:hAnsi="Palatino Linotype" w:cs="Times New Roman"/>
          <w:b/>
          <w:color w:val="000000" w:themeColor="text1"/>
          <w:lang w:val="es-MX"/>
        </w:rPr>
        <w:t>ORDENA</w:t>
      </w:r>
      <w:r w:rsidRPr="007D7190">
        <w:rPr>
          <w:rFonts w:ascii="Palatino Linotype" w:eastAsia="MS Mincho" w:hAnsi="Palatino Linotype" w:cs="Times New Roman"/>
          <w:color w:val="000000" w:themeColor="text1"/>
          <w:lang w:val="es-MX"/>
        </w:rPr>
        <w:t xml:space="preserve"> entregar vía Sistema de Acceso a la Información Mexiquense </w:t>
      </w:r>
      <w:r w:rsidRPr="007D7190">
        <w:rPr>
          <w:rFonts w:ascii="Palatino Linotype" w:eastAsia="MS Mincho" w:hAnsi="Palatino Linotype" w:cs="Times New Roman"/>
          <w:b/>
          <w:color w:val="000000" w:themeColor="text1"/>
          <w:lang w:val="es-MX"/>
        </w:rPr>
        <w:t>(SAIMEX)</w:t>
      </w:r>
      <w:r w:rsidR="00104F61" w:rsidRPr="007D7190">
        <w:rPr>
          <w:rFonts w:ascii="Palatino Linotype" w:eastAsia="MS Mincho" w:hAnsi="Palatino Linotype" w:cs="Times New Roman"/>
          <w:color w:val="000000" w:themeColor="text1"/>
          <w:lang w:val="es-MX"/>
        </w:rPr>
        <w:t>, la siguiente información en versión pública:</w:t>
      </w:r>
    </w:p>
    <w:p w:rsidR="00685D5F" w:rsidRPr="007D7190" w:rsidRDefault="00685D5F" w:rsidP="007D6F45">
      <w:pPr>
        <w:spacing w:line="360" w:lineRule="auto"/>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 xml:space="preserve"> </w:t>
      </w:r>
    </w:p>
    <w:p w:rsidR="00A7373F" w:rsidRPr="007D7190" w:rsidRDefault="00A7373F" w:rsidP="00244488">
      <w:pPr>
        <w:pStyle w:val="Prrafodelista"/>
        <w:numPr>
          <w:ilvl w:val="3"/>
          <w:numId w:val="1"/>
        </w:numPr>
        <w:spacing w:line="360" w:lineRule="auto"/>
        <w:ind w:left="0" w:firstLine="0"/>
        <w:jc w:val="center"/>
        <w:rPr>
          <w:rFonts w:ascii="Palatino Linotype" w:eastAsia="Cambria" w:hAnsi="Palatino Linotype" w:cs="Times New Roman"/>
          <w:b/>
          <w:i/>
          <w:color w:val="000000" w:themeColor="text1"/>
          <w:lang w:val="es-MX" w:eastAsia="en-US"/>
        </w:rPr>
      </w:pPr>
      <w:r w:rsidRPr="007D7190">
        <w:rPr>
          <w:rFonts w:ascii="Palatino Linotype" w:eastAsia="Cambria" w:hAnsi="Palatino Linotype" w:cs="Times New Roman"/>
          <w:b/>
          <w:i/>
          <w:color w:val="000000" w:themeColor="text1"/>
          <w:lang w:val="es-MX" w:eastAsia="en-US"/>
        </w:rPr>
        <w:lastRenderedPageBreak/>
        <w:t xml:space="preserve">facturas </w:t>
      </w:r>
      <w:r w:rsidR="007D3C60" w:rsidRPr="007D7190">
        <w:rPr>
          <w:rFonts w:ascii="Palatino Linotype" w:eastAsia="Cambria" w:hAnsi="Palatino Linotype" w:cs="Times New Roman"/>
          <w:b/>
          <w:i/>
          <w:color w:val="000000" w:themeColor="text1"/>
          <w:lang w:val="es-MX" w:eastAsia="en-US"/>
        </w:rPr>
        <w:t xml:space="preserve">faltantes </w:t>
      </w:r>
      <w:r w:rsidRPr="007D7190">
        <w:rPr>
          <w:rFonts w:ascii="Palatino Linotype" w:eastAsia="Cambria" w:hAnsi="Palatino Linotype" w:cs="Times New Roman"/>
          <w:b/>
          <w:i/>
          <w:color w:val="000000" w:themeColor="text1"/>
          <w:lang w:val="es-MX" w:eastAsia="en-US"/>
        </w:rPr>
        <w:t>por montos superiores a dos millones de pesos que fueron pagadas a particulares durante el ejercicio presupuestal dos mil veinticuatro.</w:t>
      </w:r>
    </w:p>
    <w:p w:rsidR="00104F61" w:rsidRPr="007D7190" w:rsidRDefault="00104F61" w:rsidP="007D6F45">
      <w:pPr>
        <w:spacing w:line="360" w:lineRule="auto"/>
        <w:jc w:val="both"/>
        <w:rPr>
          <w:rFonts w:ascii="Palatino Linotype" w:hAnsi="Palatino Linotype"/>
          <w:b/>
          <w:color w:val="000000" w:themeColor="text1"/>
          <w:lang w:val="es-MX"/>
        </w:rPr>
      </w:pPr>
    </w:p>
    <w:p w:rsidR="00104F61" w:rsidRPr="007D7190" w:rsidRDefault="00104F61" w:rsidP="007D6F45">
      <w:pPr>
        <w:tabs>
          <w:tab w:val="left" w:pos="8080"/>
        </w:tabs>
        <w:spacing w:line="360" w:lineRule="auto"/>
        <w:jc w:val="both"/>
        <w:rPr>
          <w:rFonts w:ascii="Palatino Linotype" w:eastAsia="Calibri" w:hAnsi="Palatino Linotype" w:cs="Arial"/>
          <w:b/>
          <w:color w:val="000000" w:themeColor="text1"/>
        </w:rPr>
      </w:pPr>
      <w:r w:rsidRPr="007D7190">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D7190">
        <w:rPr>
          <w:rFonts w:ascii="Palatino Linotype" w:eastAsia="Calibri" w:hAnsi="Palatino Linotype" w:cs="Arial"/>
          <w:b/>
          <w:color w:val="000000" w:themeColor="text1"/>
        </w:rPr>
        <w:t>RECURRENTE.</w:t>
      </w:r>
    </w:p>
    <w:p w:rsidR="00685D5F" w:rsidRPr="007D7190" w:rsidRDefault="00685D5F" w:rsidP="007D6F45">
      <w:pPr>
        <w:tabs>
          <w:tab w:val="left" w:pos="2947"/>
        </w:tabs>
        <w:spacing w:line="360" w:lineRule="auto"/>
        <w:jc w:val="both"/>
        <w:rPr>
          <w:rFonts w:ascii="Palatino Linotype" w:eastAsia="Calibri" w:hAnsi="Palatino Linotype" w:cs="Arial"/>
          <w:color w:val="000000" w:themeColor="text1"/>
          <w:lang w:val="es-MX"/>
        </w:rPr>
      </w:pPr>
      <w:r w:rsidRPr="007D7190">
        <w:rPr>
          <w:rFonts w:ascii="Palatino Linotype" w:eastAsia="Calibri" w:hAnsi="Palatino Linotype" w:cs="Arial"/>
          <w:color w:val="000000" w:themeColor="text1"/>
          <w:lang w:val="es-MX"/>
        </w:rPr>
        <w:tab/>
      </w:r>
    </w:p>
    <w:p w:rsidR="00314F72" w:rsidRPr="007D7190" w:rsidRDefault="00612A0B" w:rsidP="007D6F45">
      <w:pPr>
        <w:tabs>
          <w:tab w:val="left" w:pos="8080"/>
        </w:tabs>
        <w:spacing w:line="360" w:lineRule="auto"/>
        <w:jc w:val="both"/>
        <w:rPr>
          <w:rFonts w:ascii="Palatino Linotype" w:eastAsia="Palatino Linotype" w:hAnsi="Palatino Linotype" w:cs="Palatino Linotype"/>
          <w:color w:val="000000" w:themeColor="text1"/>
        </w:rPr>
      </w:pPr>
      <w:r w:rsidRPr="007D7190">
        <w:rPr>
          <w:rFonts w:ascii="Palatino Linotype" w:hAnsi="Palatino Linotype" w:cs="Arial"/>
          <w:b/>
          <w:bCs/>
          <w:color w:val="000000" w:themeColor="text1"/>
          <w:lang w:val="es-MX"/>
        </w:rPr>
        <w:t xml:space="preserve">TERCERO. </w:t>
      </w:r>
      <w:r w:rsidR="00314F72" w:rsidRPr="007D7190">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7D7190">
        <w:rPr>
          <w:rFonts w:ascii="Palatino Linotype" w:eastAsia="Palatino Linotype" w:hAnsi="Palatino Linotype" w:cs="Palatino Linotype"/>
          <w:b/>
          <w:color w:val="000000" w:themeColor="text1"/>
        </w:rPr>
        <w:t xml:space="preserve">dé cumplimiento a lo ordenado dentro del plazo de diez días hábiles, </w:t>
      </w:r>
      <w:r w:rsidR="00314F72" w:rsidRPr="007D719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12A0B" w:rsidRPr="007D7190" w:rsidRDefault="00612A0B" w:rsidP="007D6F45">
      <w:pPr>
        <w:spacing w:line="360" w:lineRule="auto"/>
        <w:jc w:val="both"/>
        <w:rPr>
          <w:rFonts w:ascii="Palatino Linotype" w:hAnsi="Palatino Linotype" w:cs="Arial"/>
          <w:bCs/>
          <w:color w:val="000000" w:themeColor="text1"/>
          <w:lang w:val="es-MX"/>
        </w:rPr>
      </w:pPr>
    </w:p>
    <w:p w:rsidR="00685D5F" w:rsidRPr="007D7190" w:rsidRDefault="00685D5F" w:rsidP="007D6F45">
      <w:pPr>
        <w:spacing w:line="360" w:lineRule="auto"/>
        <w:jc w:val="both"/>
        <w:rPr>
          <w:rFonts w:ascii="Palatino Linotype" w:eastAsia="Calibri" w:hAnsi="Palatino Linotype" w:cs="Arial"/>
          <w:bCs/>
          <w:color w:val="000000" w:themeColor="text1"/>
          <w:lang w:val="es-MX"/>
        </w:rPr>
      </w:pPr>
      <w:r w:rsidRPr="007D7190">
        <w:rPr>
          <w:rFonts w:ascii="Palatino Linotype" w:hAnsi="Palatino Linotype" w:cs="Arial"/>
          <w:b/>
          <w:color w:val="000000" w:themeColor="text1"/>
          <w:lang w:val="es-MX"/>
        </w:rPr>
        <w:t xml:space="preserve">CUARTO. </w:t>
      </w:r>
      <w:r w:rsidRPr="007D7190">
        <w:rPr>
          <w:rFonts w:ascii="Palatino Linotype" w:eastAsia="Calibri" w:hAnsi="Palatino Linotype" w:cs="Arial"/>
          <w:bCs/>
          <w:color w:val="000000" w:themeColor="text1"/>
          <w:lang w:val="es-MX"/>
        </w:rPr>
        <w:t xml:space="preserve">De conformidad con el artículo 198 de la Ley de Transparencia y Acceso a la Información Pública del Estado de México y Municipios, de considerarlo procedente, el </w:t>
      </w:r>
      <w:r w:rsidRPr="007D7190">
        <w:rPr>
          <w:rFonts w:ascii="Palatino Linotype" w:eastAsia="Calibri" w:hAnsi="Palatino Linotype" w:cs="Arial"/>
          <w:bCs/>
          <w:color w:val="000000" w:themeColor="text1"/>
          <w:lang w:val="es-MX"/>
        </w:rPr>
        <w:lastRenderedPageBreak/>
        <w:t>Sujeto Obligado de manera fundada y motivada, podrá solicitar una ampliación de plazo para el cumplimiento de la presente resolución.</w:t>
      </w:r>
    </w:p>
    <w:p w:rsidR="00685D5F" w:rsidRPr="007D7190" w:rsidRDefault="00685D5F" w:rsidP="007D6F45">
      <w:pPr>
        <w:spacing w:line="360" w:lineRule="auto"/>
        <w:jc w:val="both"/>
        <w:rPr>
          <w:rFonts w:ascii="Palatino Linotype" w:eastAsia="Calibri" w:hAnsi="Palatino Linotype" w:cs="Arial"/>
          <w:bCs/>
          <w:color w:val="000000" w:themeColor="text1"/>
          <w:lang w:val="es-MX"/>
        </w:rPr>
      </w:pPr>
    </w:p>
    <w:p w:rsidR="00685D5F" w:rsidRPr="007D7190" w:rsidRDefault="00685D5F" w:rsidP="007D6F45">
      <w:pPr>
        <w:autoSpaceDE w:val="0"/>
        <w:autoSpaceDN w:val="0"/>
        <w:adjustRightInd w:val="0"/>
        <w:spacing w:line="360" w:lineRule="auto"/>
        <w:jc w:val="both"/>
        <w:rPr>
          <w:rFonts w:ascii="Palatino Linotype" w:hAnsi="Palatino Linotype"/>
          <w:color w:val="000000" w:themeColor="text1"/>
          <w:lang w:val="es-MX"/>
        </w:rPr>
      </w:pPr>
      <w:r w:rsidRPr="007D7190">
        <w:rPr>
          <w:rFonts w:ascii="Palatino Linotype" w:hAnsi="Palatino Linotype" w:cs="Arial"/>
          <w:b/>
          <w:color w:val="000000" w:themeColor="text1"/>
          <w:lang w:val="es-MX"/>
        </w:rPr>
        <w:t xml:space="preserve">QUINTO. </w:t>
      </w:r>
      <w:r w:rsidRPr="007D7190">
        <w:rPr>
          <w:rFonts w:ascii="Palatino Linotype" w:hAnsi="Palatino Linotype"/>
          <w:b/>
          <w:bCs/>
          <w:color w:val="000000" w:themeColor="text1"/>
          <w:lang w:val="es-MX"/>
        </w:rPr>
        <w:t xml:space="preserve">Notifíquese </w:t>
      </w:r>
      <w:r w:rsidRPr="007D7190">
        <w:rPr>
          <w:rFonts w:ascii="Palatino Linotype" w:hAnsi="Palatino Linotype"/>
          <w:bCs/>
          <w:color w:val="000000" w:themeColor="text1"/>
          <w:lang w:val="es-MX"/>
        </w:rPr>
        <w:t xml:space="preserve">a </w:t>
      </w:r>
      <w:r w:rsidRPr="007D7190">
        <w:rPr>
          <w:rFonts w:ascii="Palatino Linotype" w:hAnsi="Palatino Linotype"/>
          <w:b/>
          <w:color w:val="000000" w:themeColor="text1"/>
          <w:lang w:val="es-MX"/>
        </w:rPr>
        <w:t>LA</w:t>
      </w:r>
      <w:r w:rsidRPr="007D7190">
        <w:rPr>
          <w:rFonts w:ascii="Palatino Linotype" w:eastAsia="Calibri" w:hAnsi="Palatino Linotype" w:cs="Arial"/>
          <w:b/>
          <w:color w:val="000000" w:themeColor="text1"/>
          <w:lang w:val="es-MX"/>
        </w:rPr>
        <w:t xml:space="preserve"> RECURRENTE</w:t>
      </w:r>
      <w:r w:rsidRPr="007D7190">
        <w:rPr>
          <w:rFonts w:ascii="Palatino Linotype" w:hAnsi="Palatino Linotype"/>
          <w:color w:val="000000" w:themeColor="text1"/>
          <w:lang w:val="es-MX"/>
        </w:rPr>
        <w:t xml:space="preserve"> la presente resolución, vía SAIMEX.</w:t>
      </w:r>
    </w:p>
    <w:p w:rsidR="00685D5F" w:rsidRPr="007D7190" w:rsidRDefault="00685D5F" w:rsidP="007D6F45">
      <w:pPr>
        <w:autoSpaceDE w:val="0"/>
        <w:autoSpaceDN w:val="0"/>
        <w:adjustRightInd w:val="0"/>
        <w:spacing w:line="360" w:lineRule="auto"/>
        <w:jc w:val="both"/>
        <w:rPr>
          <w:rFonts w:ascii="Palatino Linotype" w:hAnsi="Palatino Linotype"/>
          <w:color w:val="000000" w:themeColor="text1"/>
          <w:lang w:val="es-MX"/>
        </w:rPr>
      </w:pPr>
    </w:p>
    <w:p w:rsidR="00685D5F" w:rsidRPr="007D7190" w:rsidRDefault="00685D5F" w:rsidP="007D6F45">
      <w:pPr>
        <w:autoSpaceDE w:val="0"/>
        <w:autoSpaceDN w:val="0"/>
        <w:adjustRightInd w:val="0"/>
        <w:spacing w:line="360" w:lineRule="auto"/>
        <w:jc w:val="both"/>
        <w:rPr>
          <w:rFonts w:ascii="Palatino Linotype" w:eastAsia="Palatino Linotype" w:hAnsi="Palatino Linotype" w:cs="Palatino Linotype"/>
          <w:color w:val="000000" w:themeColor="text1"/>
          <w:lang w:val="es-MX"/>
        </w:rPr>
      </w:pPr>
      <w:r w:rsidRPr="007D7190">
        <w:rPr>
          <w:rFonts w:ascii="Palatino Linotype" w:eastAsia="MS Mincho" w:hAnsi="Palatino Linotype"/>
          <w:b/>
          <w:color w:val="000000" w:themeColor="text1"/>
          <w:lang w:val="es-MX"/>
        </w:rPr>
        <w:t>SEXTO.</w:t>
      </w:r>
      <w:r w:rsidRPr="007D7190">
        <w:rPr>
          <w:rFonts w:ascii="Palatino Linotype" w:eastAsia="MS Mincho" w:hAnsi="Palatino Linotype"/>
          <w:color w:val="000000" w:themeColor="text1"/>
          <w:lang w:val="es-MX"/>
        </w:rPr>
        <w:t xml:space="preserve"> </w:t>
      </w:r>
      <w:r w:rsidRPr="007D7190">
        <w:rPr>
          <w:rFonts w:ascii="Palatino Linotype" w:eastAsia="Times New Roman" w:hAnsi="Palatino Linotype" w:cs="Times New Roman"/>
          <w:color w:val="000000" w:themeColor="text1"/>
          <w:lang w:val="es-MX" w:eastAsia="es-MX"/>
        </w:rPr>
        <w:t xml:space="preserve">Se hace del conocimiento de </w:t>
      </w:r>
      <w:r w:rsidRPr="007D7190">
        <w:rPr>
          <w:rFonts w:ascii="Palatino Linotype" w:eastAsia="Times New Roman" w:hAnsi="Palatino Linotype" w:cs="Times New Roman"/>
          <w:b/>
          <w:color w:val="000000" w:themeColor="text1"/>
          <w:lang w:val="es-MX" w:eastAsia="es-MX"/>
        </w:rPr>
        <w:t>LA RECURRENTE</w:t>
      </w:r>
      <w:r w:rsidRPr="007D7190">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D7190">
        <w:rPr>
          <w:rFonts w:ascii="Palatino Linotype" w:eastAsia="Times New Roman" w:hAnsi="Palatino Linotype" w:cs="Times New Roman"/>
          <w:bCs/>
          <w:color w:val="000000" w:themeColor="text1"/>
          <w:lang w:val="es-MX" w:eastAsia="es-MX"/>
        </w:rPr>
        <w:t>vía juicio de amparo</w:t>
      </w:r>
      <w:r w:rsidRPr="007D7190">
        <w:rPr>
          <w:rFonts w:ascii="Palatino Linotype" w:eastAsia="Times New Roman" w:hAnsi="Palatino Linotype" w:cs="Times New Roman"/>
          <w:color w:val="000000" w:themeColor="text1"/>
          <w:lang w:val="es-MX" w:eastAsia="es-MX"/>
        </w:rPr>
        <w:t> en los términos de las leyes aplicables</w:t>
      </w:r>
      <w:r w:rsidRPr="007D7190">
        <w:rPr>
          <w:rFonts w:ascii="Palatino Linotype" w:eastAsia="Palatino Linotype" w:hAnsi="Palatino Linotype" w:cs="Palatino Linotype"/>
          <w:color w:val="000000" w:themeColor="text1"/>
          <w:lang w:val="es-MX"/>
        </w:rPr>
        <w:t>.</w:t>
      </w:r>
    </w:p>
    <w:p w:rsidR="003A20E8" w:rsidRPr="007D7190" w:rsidRDefault="003A20E8" w:rsidP="007D6F45">
      <w:pPr>
        <w:autoSpaceDE w:val="0"/>
        <w:autoSpaceDN w:val="0"/>
        <w:adjustRightInd w:val="0"/>
        <w:spacing w:line="360" w:lineRule="auto"/>
        <w:jc w:val="both"/>
        <w:rPr>
          <w:rFonts w:ascii="Palatino Linotype" w:eastAsia="MS Mincho" w:hAnsi="Palatino Linotype"/>
          <w:color w:val="000000" w:themeColor="text1"/>
          <w:lang w:val="es-MX"/>
        </w:rPr>
      </w:pPr>
    </w:p>
    <w:p w:rsidR="003A20E8" w:rsidRPr="009B0452" w:rsidRDefault="007D7190" w:rsidP="003A20E8">
      <w:pPr>
        <w:spacing w:line="360" w:lineRule="auto"/>
        <w:ind w:right="49"/>
        <w:jc w:val="both"/>
        <w:rPr>
          <w:rFonts w:ascii="Palatino Linotype" w:eastAsia="Palatino Linotype" w:hAnsi="Palatino Linotype" w:cs="Palatino Linotype"/>
        </w:rPr>
      </w:pPr>
      <w:r w:rsidRPr="007D719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3A20E8" w:rsidRPr="007D7190">
        <w:rPr>
          <w:rFonts w:ascii="Palatino Linotype" w:eastAsia="Palatino Linotype" w:hAnsi="Palatino Linotype" w:cs="Palatino Linotype"/>
        </w:rPr>
        <w:t>.</w:t>
      </w:r>
    </w:p>
    <w:p w:rsidR="003A20E8" w:rsidRPr="009B0452" w:rsidRDefault="003A20E8" w:rsidP="003A20E8">
      <w:pPr>
        <w:spacing w:line="360" w:lineRule="auto"/>
        <w:ind w:right="49"/>
        <w:jc w:val="both"/>
        <w:rPr>
          <w:rFonts w:ascii="Palatino Linotype" w:eastAsia="Palatino Linotype" w:hAnsi="Palatino Linotype" w:cs="Palatino Linotype"/>
        </w:rPr>
      </w:pPr>
    </w:p>
    <w:p w:rsidR="00685D5F" w:rsidRPr="003A20E8" w:rsidRDefault="00685D5F" w:rsidP="007D6F45">
      <w:pPr>
        <w:spacing w:line="360" w:lineRule="auto"/>
        <w:jc w:val="both"/>
        <w:rPr>
          <w:rFonts w:ascii="Palatino Linotype" w:hAnsi="Palatino Linotype"/>
          <w:color w:val="000000" w:themeColor="text1"/>
          <w:lang w:val="es-MX" w:eastAsia="es-MX"/>
        </w:rPr>
      </w:pPr>
    </w:p>
    <w:p w:rsidR="00685D5F" w:rsidRPr="003A20E8" w:rsidRDefault="00685D5F" w:rsidP="007D6F45">
      <w:pPr>
        <w:pStyle w:val="Prrafodelista"/>
        <w:spacing w:line="360" w:lineRule="auto"/>
        <w:ind w:left="0"/>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jc w:val="both"/>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spacing w:line="360" w:lineRule="auto"/>
        <w:rPr>
          <w:rFonts w:ascii="Palatino Linotype" w:hAnsi="Palatino Linotype"/>
          <w:color w:val="000000" w:themeColor="text1"/>
          <w:lang w:val="es-MX"/>
        </w:rPr>
      </w:pPr>
    </w:p>
    <w:p w:rsidR="00685D5F" w:rsidRPr="003A20E8" w:rsidRDefault="00685D5F" w:rsidP="007D6F45">
      <w:pPr>
        <w:tabs>
          <w:tab w:val="left" w:pos="3374"/>
        </w:tabs>
        <w:spacing w:line="360" w:lineRule="auto"/>
        <w:rPr>
          <w:rFonts w:ascii="Palatino Linotype" w:hAnsi="Palatino Linotype"/>
          <w:color w:val="000000" w:themeColor="text1"/>
          <w:lang w:val="es-MX"/>
        </w:rPr>
      </w:pPr>
      <w:r w:rsidRPr="003A20E8">
        <w:rPr>
          <w:rFonts w:ascii="Palatino Linotype" w:hAnsi="Palatino Linotype"/>
          <w:color w:val="000000" w:themeColor="text1"/>
          <w:lang w:val="es-MX"/>
        </w:rPr>
        <w:tab/>
      </w:r>
    </w:p>
    <w:sectPr w:rsidR="00685D5F" w:rsidRPr="003A20E8" w:rsidSect="000442BF">
      <w:headerReference w:type="even" r:id="rId8"/>
      <w:headerReference w:type="default" r:id="rId9"/>
      <w:footerReference w:type="default" r:id="rId10"/>
      <w:headerReference w:type="first" r:id="rId11"/>
      <w:footerReference w:type="first" r:id="rId12"/>
      <w:pgSz w:w="12240" w:h="15840"/>
      <w:pgMar w:top="2269" w:right="104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55" w:rsidRDefault="002C3A55" w:rsidP="00685D5F">
      <w:r>
        <w:separator/>
      </w:r>
    </w:p>
  </w:endnote>
  <w:endnote w:type="continuationSeparator" w:id="0">
    <w:p w:rsidR="002C3A55" w:rsidRDefault="002C3A55"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3995"/>
      <w:docPartObj>
        <w:docPartGallery w:val="Page Numbers (Bottom of Page)"/>
        <w:docPartUnique/>
      </w:docPartObj>
    </w:sdtPr>
    <w:sdtEndPr/>
    <w:sdtContent>
      <w:sdt>
        <w:sdtPr>
          <w:id w:val="1240293646"/>
          <w:docPartObj>
            <w:docPartGallery w:val="Page Numbers (Top of Page)"/>
            <w:docPartUnique/>
          </w:docPartObj>
        </w:sdtPr>
        <w:sdtEndPr/>
        <w:sdtContent>
          <w:p w:rsidR="00D6103D" w:rsidRPr="002D6DD8" w:rsidRDefault="00D6103D"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448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4488">
              <w:rPr>
                <w:rFonts w:ascii="Palatino Linotype" w:hAnsi="Palatino Linotype"/>
                <w:bCs/>
                <w:noProof/>
                <w:sz w:val="20"/>
              </w:rPr>
              <w:t>42</w:t>
            </w:r>
            <w:r>
              <w:rPr>
                <w:rFonts w:ascii="Palatino Linotype" w:hAnsi="Palatino Linotype"/>
                <w:bCs/>
                <w:noProof/>
                <w:sz w:val="20"/>
              </w:rPr>
              <w:fldChar w:fldCharType="end"/>
            </w:r>
          </w:p>
        </w:sdtContent>
      </w:sdt>
    </w:sdtContent>
  </w:sdt>
  <w:p w:rsidR="00D6103D" w:rsidRDefault="00D610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03D" w:rsidRPr="000B69FA" w:rsidRDefault="00D6103D"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44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4488">
      <w:rPr>
        <w:rFonts w:ascii="Palatino Linotype" w:hAnsi="Palatino Linotype"/>
        <w:bCs/>
        <w:noProof/>
        <w:sz w:val="20"/>
      </w:rPr>
      <w:t>42</w:t>
    </w:r>
    <w:r>
      <w:rPr>
        <w:rFonts w:ascii="Palatino Linotype" w:hAnsi="Palatino Linotype"/>
        <w:bCs/>
        <w:noProof/>
        <w:sz w:val="20"/>
      </w:rPr>
      <w:fldChar w:fldCharType="end"/>
    </w:r>
  </w:p>
  <w:p w:rsidR="00D6103D" w:rsidRDefault="00D610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55" w:rsidRDefault="002C3A55" w:rsidP="00685D5F">
      <w:r>
        <w:separator/>
      </w:r>
    </w:p>
  </w:footnote>
  <w:footnote w:type="continuationSeparator" w:id="0">
    <w:p w:rsidR="002C3A55" w:rsidRDefault="002C3A55" w:rsidP="00685D5F">
      <w:r>
        <w:continuationSeparator/>
      </w:r>
    </w:p>
  </w:footnote>
  <w:footnote w:id="1">
    <w:p w:rsidR="00D6103D" w:rsidRDefault="00D6103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D6103D" w:rsidRDefault="00D6103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D6103D" w:rsidRDefault="00D6103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D6103D" w:rsidRDefault="00D6103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03D" w:rsidRDefault="002C3A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CellMar>
        <w:left w:w="70" w:type="dxa"/>
        <w:right w:w="70" w:type="dxa"/>
      </w:tblCellMar>
      <w:tblLook w:val="04A0" w:firstRow="1" w:lastRow="0" w:firstColumn="1" w:lastColumn="0" w:noHBand="0" w:noVBand="1"/>
    </w:tblPr>
    <w:tblGrid>
      <w:gridCol w:w="2976"/>
      <w:gridCol w:w="3543"/>
    </w:tblGrid>
    <w:tr w:rsidR="00D6103D" w:rsidRPr="00061CF1" w:rsidTr="000442BF">
      <w:trPr>
        <w:trHeight w:val="227"/>
      </w:trPr>
      <w:tc>
        <w:tcPr>
          <w:tcW w:w="2976" w:type="dxa"/>
          <w:vAlign w:val="center"/>
          <w:hideMark/>
        </w:tcPr>
        <w:p w:rsidR="00D6103D" w:rsidRPr="007D6F45" w:rsidRDefault="00D6103D" w:rsidP="007D6F45">
          <w:pPr>
            <w:ind w:right="34"/>
            <w:jc w:val="right"/>
            <w:rPr>
              <w:rFonts w:ascii="Palatino Linotype" w:hAnsi="Palatino Linotype"/>
              <w:b/>
            </w:rPr>
          </w:pPr>
          <w:r w:rsidRPr="007D6F45">
            <w:rPr>
              <w:rFonts w:ascii="Palatino Linotype" w:hAnsi="Palatino Linotype"/>
              <w:b/>
            </w:rPr>
            <w:t>Recurso de Revisión:</w:t>
          </w:r>
        </w:p>
      </w:tc>
      <w:tc>
        <w:tcPr>
          <w:tcW w:w="3543" w:type="dxa"/>
          <w:vAlign w:val="center"/>
          <w:hideMark/>
        </w:tcPr>
        <w:p w:rsidR="00D6103D" w:rsidRPr="007D6F45" w:rsidRDefault="00D6103D" w:rsidP="007D6F45">
          <w:pPr>
            <w:pStyle w:val="Encabezado"/>
            <w:ind w:right="-213"/>
            <w:rPr>
              <w:rFonts w:ascii="Palatino Linotype" w:hAnsi="Palatino Linotype" w:cs="Arial"/>
              <w:bCs/>
              <w:lang w:eastAsia="es-MX"/>
            </w:rPr>
          </w:pPr>
          <w:r w:rsidRPr="007D6F45">
            <w:rPr>
              <w:rFonts w:ascii="Palatino Linotype" w:hAnsi="Palatino Linotype" w:cs="Arial"/>
              <w:bCs/>
              <w:lang w:eastAsia="es-MX"/>
            </w:rPr>
            <w:t>06533/INFOEM/IP/RR/2025</w:t>
          </w:r>
        </w:p>
      </w:tc>
    </w:tr>
    <w:tr w:rsidR="00D6103D" w:rsidRPr="00061CF1" w:rsidTr="000442BF">
      <w:trPr>
        <w:trHeight w:val="242"/>
      </w:trPr>
      <w:tc>
        <w:tcPr>
          <w:tcW w:w="2976" w:type="dxa"/>
          <w:vAlign w:val="center"/>
          <w:hideMark/>
        </w:tcPr>
        <w:p w:rsidR="00D6103D" w:rsidRPr="007D6F45" w:rsidRDefault="00D6103D" w:rsidP="007D6F45">
          <w:pPr>
            <w:ind w:right="34"/>
            <w:jc w:val="right"/>
            <w:rPr>
              <w:rFonts w:ascii="Palatino Linotype" w:hAnsi="Palatino Linotype"/>
              <w:b/>
            </w:rPr>
          </w:pPr>
          <w:r w:rsidRPr="007D6F45">
            <w:rPr>
              <w:rFonts w:ascii="Palatino Linotype" w:hAnsi="Palatino Linotype"/>
              <w:b/>
            </w:rPr>
            <w:t>Sujeto Obligado:</w:t>
          </w:r>
        </w:p>
      </w:tc>
      <w:tc>
        <w:tcPr>
          <w:tcW w:w="3543" w:type="dxa"/>
          <w:vAlign w:val="center"/>
          <w:hideMark/>
        </w:tcPr>
        <w:p w:rsidR="00D6103D" w:rsidRPr="007D6F45" w:rsidRDefault="00D6103D" w:rsidP="007D6F45">
          <w:pPr>
            <w:pStyle w:val="Encabezado"/>
            <w:jc w:val="both"/>
            <w:rPr>
              <w:rFonts w:ascii="Palatino Linotype" w:hAnsi="Palatino Linotype"/>
            </w:rPr>
          </w:pPr>
          <w:r w:rsidRPr="007D6F45">
            <w:rPr>
              <w:rFonts w:ascii="Palatino Linotype" w:hAnsi="Palatino Linotype"/>
              <w:bCs/>
              <w:color w:val="000000"/>
            </w:rPr>
            <w:t>Secretaría de Seguridad</w:t>
          </w:r>
        </w:p>
      </w:tc>
    </w:tr>
    <w:tr w:rsidR="00D6103D" w:rsidRPr="00061CF1" w:rsidTr="000442BF">
      <w:trPr>
        <w:trHeight w:val="342"/>
      </w:trPr>
      <w:tc>
        <w:tcPr>
          <w:tcW w:w="2976" w:type="dxa"/>
          <w:vAlign w:val="center"/>
          <w:hideMark/>
        </w:tcPr>
        <w:p w:rsidR="00D6103D" w:rsidRPr="007D6F45" w:rsidRDefault="00D6103D" w:rsidP="007D6F45">
          <w:pPr>
            <w:ind w:right="34"/>
            <w:jc w:val="right"/>
            <w:rPr>
              <w:rFonts w:ascii="Palatino Linotype" w:hAnsi="Palatino Linotype"/>
              <w:b/>
            </w:rPr>
          </w:pPr>
          <w:r w:rsidRPr="007D6F45">
            <w:rPr>
              <w:rFonts w:ascii="Palatino Linotype" w:hAnsi="Palatino Linotype"/>
              <w:b/>
            </w:rPr>
            <w:t>Comisionada Ponente:</w:t>
          </w:r>
        </w:p>
      </w:tc>
      <w:tc>
        <w:tcPr>
          <w:tcW w:w="3543" w:type="dxa"/>
          <w:vAlign w:val="center"/>
          <w:hideMark/>
        </w:tcPr>
        <w:p w:rsidR="00D6103D" w:rsidRPr="007D6F45" w:rsidRDefault="00D6103D" w:rsidP="007D6F45">
          <w:pPr>
            <w:pStyle w:val="Encabezado"/>
            <w:rPr>
              <w:rFonts w:ascii="Palatino Linotype" w:hAnsi="Palatino Linotype"/>
            </w:rPr>
          </w:pPr>
          <w:r w:rsidRPr="007D6F45">
            <w:rPr>
              <w:rFonts w:ascii="Palatino Linotype" w:hAnsi="Palatino Linotype"/>
            </w:rPr>
            <w:t>María del Rosario Mejía Ayala</w:t>
          </w:r>
        </w:p>
      </w:tc>
    </w:tr>
  </w:tbl>
  <w:p w:rsidR="00D6103D" w:rsidRPr="00AE046A" w:rsidRDefault="002C3A55"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CellMar>
        <w:left w:w="70" w:type="dxa"/>
        <w:right w:w="70" w:type="dxa"/>
      </w:tblCellMar>
      <w:tblLook w:val="04A0" w:firstRow="1" w:lastRow="0" w:firstColumn="1" w:lastColumn="0" w:noHBand="0" w:noVBand="1"/>
    </w:tblPr>
    <w:tblGrid>
      <w:gridCol w:w="2977"/>
      <w:gridCol w:w="4394"/>
    </w:tblGrid>
    <w:tr w:rsidR="00D6103D" w:rsidRPr="00061CF1" w:rsidTr="000442BF">
      <w:trPr>
        <w:trHeight w:val="227"/>
      </w:trPr>
      <w:tc>
        <w:tcPr>
          <w:tcW w:w="2977" w:type="dxa"/>
          <w:vAlign w:val="center"/>
          <w:hideMark/>
        </w:tcPr>
        <w:p w:rsidR="00D6103D" w:rsidRPr="007D6F45" w:rsidRDefault="00D6103D" w:rsidP="007D6F45">
          <w:pPr>
            <w:jc w:val="right"/>
            <w:rPr>
              <w:rFonts w:ascii="Palatino Linotype" w:hAnsi="Palatino Linotype"/>
              <w:b/>
            </w:rPr>
          </w:pPr>
          <w:r w:rsidRPr="007D6F45">
            <w:rPr>
              <w:rFonts w:ascii="Palatino Linotype" w:hAnsi="Palatino Linotype"/>
              <w:b/>
            </w:rPr>
            <w:t>Recurso de Revisión:</w:t>
          </w:r>
        </w:p>
      </w:tc>
      <w:tc>
        <w:tcPr>
          <w:tcW w:w="4394" w:type="dxa"/>
          <w:vAlign w:val="center"/>
          <w:hideMark/>
        </w:tcPr>
        <w:p w:rsidR="00D6103D" w:rsidRPr="007D6F45" w:rsidRDefault="00D6103D" w:rsidP="007D6F45">
          <w:pPr>
            <w:pStyle w:val="Encabezado"/>
            <w:rPr>
              <w:rFonts w:ascii="Palatino Linotype" w:hAnsi="Palatino Linotype"/>
            </w:rPr>
          </w:pPr>
          <w:r w:rsidRPr="007D6F45">
            <w:rPr>
              <w:rFonts w:ascii="Palatino Linotype" w:hAnsi="Palatino Linotype" w:cs="Arial"/>
              <w:bCs/>
              <w:lang w:eastAsia="es-MX"/>
            </w:rPr>
            <w:t>06533/INFOEM/IP/RR/2025</w:t>
          </w:r>
        </w:p>
      </w:tc>
    </w:tr>
    <w:tr w:rsidR="00D6103D" w:rsidRPr="00061CF1" w:rsidTr="000442BF">
      <w:trPr>
        <w:trHeight w:val="242"/>
      </w:trPr>
      <w:tc>
        <w:tcPr>
          <w:tcW w:w="2977" w:type="dxa"/>
          <w:vAlign w:val="center"/>
          <w:hideMark/>
        </w:tcPr>
        <w:p w:rsidR="00D6103D" w:rsidRPr="007D6F45" w:rsidRDefault="00D6103D" w:rsidP="007D6F45">
          <w:pPr>
            <w:jc w:val="right"/>
            <w:rPr>
              <w:rFonts w:ascii="Palatino Linotype" w:hAnsi="Palatino Linotype"/>
              <w:b/>
            </w:rPr>
          </w:pPr>
          <w:r w:rsidRPr="007D6F45">
            <w:rPr>
              <w:rFonts w:ascii="Palatino Linotype" w:hAnsi="Palatino Linotype"/>
              <w:b/>
            </w:rPr>
            <w:t>Recurrente:</w:t>
          </w:r>
        </w:p>
      </w:tc>
      <w:tc>
        <w:tcPr>
          <w:tcW w:w="4394" w:type="dxa"/>
          <w:hideMark/>
        </w:tcPr>
        <w:p w:rsidR="00D6103D" w:rsidRPr="007D6F45" w:rsidRDefault="00244488" w:rsidP="007D6F45">
          <w:pPr>
            <w:pStyle w:val="Encabezado"/>
            <w:tabs>
              <w:tab w:val="left" w:pos="521"/>
            </w:tabs>
            <w:rPr>
              <w:rFonts w:ascii="Palatino Linotype" w:hAnsi="Palatino Linotype"/>
            </w:rPr>
          </w:pPr>
          <w:r>
            <w:rPr>
              <w:rFonts w:ascii="Palatino Linotype" w:hAnsi="Palatino Linotype"/>
              <w:bCs/>
            </w:rPr>
            <w:t>XXXX</w:t>
          </w:r>
        </w:p>
      </w:tc>
    </w:tr>
    <w:tr w:rsidR="00D6103D" w:rsidRPr="00061CF1" w:rsidTr="000442BF">
      <w:trPr>
        <w:trHeight w:val="342"/>
      </w:trPr>
      <w:tc>
        <w:tcPr>
          <w:tcW w:w="2977" w:type="dxa"/>
          <w:vAlign w:val="center"/>
        </w:tcPr>
        <w:p w:rsidR="00D6103D" w:rsidRPr="007D6F45" w:rsidRDefault="00D6103D" w:rsidP="007D6F45">
          <w:pPr>
            <w:jc w:val="right"/>
            <w:rPr>
              <w:rFonts w:ascii="Palatino Linotype" w:hAnsi="Palatino Linotype"/>
              <w:b/>
            </w:rPr>
          </w:pPr>
          <w:r w:rsidRPr="007D6F45">
            <w:rPr>
              <w:rFonts w:ascii="Palatino Linotype" w:hAnsi="Palatino Linotype"/>
              <w:b/>
            </w:rPr>
            <w:t>Sujeto Obligado:</w:t>
          </w:r>
        </w:p>
      </w:tc>
      <w:tc>
        <w:tcPr>
          <w:tcW w:w="4394" w:type="dxa"/>
          <w:vAlign w:val="center"/>
        </w:tcPr>
        <w:p w:rsidR="00D6103D" w:rsidRPr="007D6F45" w:rsidRDefault="00D6103D" w:rsidP="007D6F45">
          <w:pPr>
            <w:pStyle w:val="Encabezado"/>
            <w:jc w:val="both"/>
            <w:rPr>
              <w:rFonts w:ascii="Palatino Linotype" w:hAnsi="Palatino Linotype"/>
            </w:rPr>
          </w:pPr>
          <w:r w:rsidRPr="007D6F45">
            <w:rPr>
              <w:rFonts w:ascii="Palatino Linotype" w:hAnsi="Palatino Linotype"/>
              <w:bCs/>
              <w:color w:val="000000"/>
            </w:rPr>
            <w:t>Secretaría de Seguridad</w:t>
          </w:r>
        </w:p>
      </w:tc>
    </w:tr>
    <w:tr w:rsidR="00D6103D" w:rsidRPr="00061CF1" w:rsidTr="000442BF">
      <w:trPr>
        <w:trHeight w:val="342"/>
      </w:trPr>
      <w:tc>
        <w:tcPr>
          <w:tcW w:w="2977" w:type="dxa"/>
          <w:vAlign w:val="center"/>
        </w:tcPr>
        <w:p w:rsidR="00D6103D" w:rsidRPr="007D6F45" w:rsidRDefault="00D6103D" w:rsidP="007D6F45">
          <w:pPr>
            <w:jc w:val="right"/>
            <w:rPr>
              <w:rFonts w:ascii="Palatino Linotype" w:hAnsi="Palatino Linotype"/>
              <w:b/>
            </w:rPr>
          </w:pPr>
          <w:r w:rsidRPr="007D6F45">
            <w:rPr>
              <w:rFonts w:ascii="Palatino Linotype" w:hAnsi="Palatino Linotype"/>
              <w:b/>
            </w:rPr>
            <w:t>Comisionada Ponente:</w:t>
          </w:r>
        </w:p>
      </w:tc>
      <w:tc>
        <w:tcPr>
          <w:tcW w:w="4394" w:type="dxa"/>
          <w:vAlign w:val="center"/>
        </w:tcPr>
        <w:p w:rsidR="00D6103D" w:rsidRPr="007D6F45" w:rsidRDefault="00D6103D" w:rsidP="007D6F45">
          <w:pPr>
            <w:pStyle w:val="Encabezado"/>
            <w:rPr>
              <w:rFonts w:ascii="Palatino Linotype" w:hAnsi="Palatino Linotype"/>
            </w:rPr>
          </w:pPr>
          <w:r w:rsidRPr="007D6F45">
            <w:rPr>
              <w:rFonts w:ascii="Palatino Linotype" w:hAnsi="Palatino Linotype"/>
            </w:rPr>
            <w:t>María del Rosario Mejía Ayala</w:t>
          </w:r>
        </w:p>
      </w:tc>
    </w:tr>
  </w:tbl>
  <w:p w:rsidR="00D6103D" w:rsidRPr="00C222C0" w:rsidRDefault="002C3A5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B58598"/>
    <w:multiLevelType w:val="hybridMultilevel"/>
    <w:tmpl w:val="87BD17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1509D"/>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94788"/>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8475F"/>
    <w:multiLevelType w:val="hybridMultilevel"/>
    <w:tmpl w:val="F7483140"/>
    <w:lvl w:ilvl="0" w:tplc="9CCCCD76">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22019"/>
    <w:multiLevelType w:val="hybridMultilevel"/>
    <w:tmpl w:val="D336520E"/>
    <w:lvl w:ilvl="0" w:tplc="0406C4F0">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888D18"/>
    <w:multiLevelType w:val="hybridMultilevel"/>
    <w:tmpl w:val="0A932A0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68A23BE"/>
    <w:multiLevelType w:val="hybridMultilevel"/>
    <w:tmpl w:val="DA7A1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443A48"/>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26292B"/>
    <w:multiLevelType w:val="hybridMultilevel"/>
    <w:tmpl w:val="13B8F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4317490"/>
    <w:multiLevelType w:val="hybridMultilevel"/>
    <w:tmpl w:val="29424B1A"/>
    <w:lvl w:ilvl="0" w:tplc="AE0ECB3A">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3ACE3897"/>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7" w15:restartNumberingAfterBreak="0">
    <w:nsid w:val="45006424"/>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5F534A"/>
    <w:multiLevelType w:val="multilevel"/>
    <w:tmpl w:val="8CDE896C"/>
    <w:lvl w:ilvl="0">
      <w:start w:val="54"/>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354CE5"/>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3"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5" w15:restartNumberingAfterBreak="0">
    <w:nsid w:val="5EFD4FD3"/>
    <w:multiLevelType w:val="hybridMultilevel"/>
    <w:tmpl w:val="D04EE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4F5675"/>
    <w:multiLevelType w:val="hybridMultilevel"/>
    <w:tmpl w:val="A47C9926"/>
    <w:lvl w:ilvl="0" w:tplc="9CCCCD76">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0"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117CF7"/>
    <w:multiLevelType w:val="hybridMultilevel"/>
    <w:tmpl w:val="D336520E"/>
    <w:lvl w:ilvl="0" w:tplc="0406C4F0">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13"/>
  </w:num>
  <w:num w:numId="3">
    <w:abstractNumId w:val="5"/>
  </w:num>
  <w:num w:numId="4">
    <w:abstractNumId w:val="42"/>
  </w:num>
  <w:num w:numId="5">
    <w:abstractNumId w:val="32"/>
  </w:num>
  <w:num w:numId="6">
    <w:abstractNumId w:val="16"/>
  </w:num>
  <w:num w:numId="7">
    <w:abstractNumId w:val="4"/>
  </w:num>
  <w:num w:numId="8">
    <w:abstractNumId w:val="24"/>
  </w:num>
  <w:num w:numId="9">
    <w:abstractNumId w:val="6"/>
  </w:num>
  <w:num w:numId="10">
    <w:abstractNumId w:val="26"/>
  </w:num>
  <w:num w:numId="11">
    <w:abstractNumId w:val="34"/>
  </w:num>
  <w:num w:numId="12">
    <w:abstractNumId w:val="38"/>
  </w:num>
  <w:num w:numId="13">
    <w:abstractNumId w:val="39"/>
  </w:num>
  <w:num w:numId="14">
    <w:abstractNumId w:val="22"/>
  </w:num>
  <w:num w:numId="15">
    <w:abstractNumId w:val="15"/>
  </w:num>
  <w:num w:numId="16">
    <w:abstractNumId w:val="11"/>
  </w:num>
  <w:num w:numId="17">
    <w:abstractNumId w:val="40"/>
  </w:num>
  <w:num w:numId="18">
    <w:abstractNumId w:val="12"/>
  </w:num>
  <w:num w:numId="19">
    <w:abstractNumId w:val="29"/>
  </w:num>
  <w:num w:numId="20">
    <w:abstractNumId w:val="1"/>
  </w:num>
  <w:num w:numId="21">
    <w:abstractNumId w:val="27"/>
  </w:num>
  <w:num w:numId="22">
    <w:abstractNumId w:val="31"/>
  </w:num>
  <w:num w:numId="23">
    <w:abstractNumId w:val="36"/>
  </w:num>
  <w:num w:numId="24">
    <w:abstractNumId w:val="18"/>
  </w:num>
  <w:num w:numId="25">
    <w:abstractNumId w:val="23"/>
  </w:num>
  <w:num w:numId="26">
    <w:abstractNumId w:val="3"/>
  </w:num>
  <w:num w:numId="27">
    <w:abstractNumId w:val="7"/>
  </w:num>
  <w:num w:numId="28">
    <w:abstractNumId w:val="41"/>
  </w:num>
  <w:num w:numId="29">
    <w:abstractNumId w:val="19"/>
  </w:num>
  <w:num w:numId="30">
    <w:abstractNumId w:val="0"/>
  </w:num>
  <w:num w:numId="31">
    <w:abstractNumId w:val="14"/>
  </w:num>
  <w:num w:numId="32">
    <w:abstractNumId w:val="9"/>
  </w:num>
  <w:num w:numId="33">
    <w:abstractNumId w:val="2"/>
  </w:num>
  <w:num w:numId="34">
    <w:abstractNumId w:val="33"/>
  </w:num>
  <w:num w:numId="35">
    <w:abstractNumId w:val="37"/>
  </w:num>
  <w:num w:numId="36">
    <w:abstractNumId w:val="8"/>
  </w:num>
  <w:num w:numId="37">
    <w:abstractNumId w:val="17"/>
  </w:num>
  <w:num w:numId="38">
    <w:abstractNumId w:val="10"/>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5"/>
  </w:num>
  <w:num w:numId="42">
    <w:abstractNumId w:val="3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59AF"/>
    <w:rsid w:val="000442BF"/>
    <w:rsid w:val="00046A1D"/>
    <w:rsid w:val="00057471"/>
    <w:rsid w:val="00087924"/>
    <w:rsid w:val="000D3123"/>
    <w:rsid w:val="000D4A3F"/>
    <w:rsid w:val="00104F61"/>
    <w:rsid w:val="001157A7"/>
    <w:rsid w:val="001335FA"/>
    <w:rsid w:val="001867E0"/>
    <w:rsid w:val="001B759D"/>
    <w:rsid w:val="001E2962"/>
    <w:rsid w:val="00227A18"/>
    <w:rsid w:val="00233167"/>
    <w:rsid w:val="002361E9"/>
    <w:rsid w:val="00244488"/>
    <w:rsid w:val="002512F0"/>
    <w:rsid w:val="00253465"/>
    <w:rsid w:val="00273C1B"/>
    <w:rsid w:val="00274B47"/>
    <w:rsid w:val="002940E4"/>
    <w:rsid w:val="002A4BF2"/>
    <w:rsid w:val="002C3A55"/>
    <w:rsid w:val="002C5318"/>
    <w:rsid w:val="002C5E93"/>
    <w:rsid w:val="00314F72"/>
    <w:rsid w:val="00320241"/>
    <w:rsid w:val="00326A6D"/>
    <w:rsid w:val="00351DBF"/>
    <w:rsid w:val="003669D1"/>
    <w:rsid w:val="00381726"/>
    <w:rsid w:val="00381FF9"/>
    <w:rsid w:val="003852BE"/>
    <w:rsid w:val="00395D04"/>
    <w:rsid w:val="003A20E8"/>
    <w:rsid w:val="00407A3A"/>
    <w:rsid w:val="00411587"/>
    <w:rsid w:val="00452C7F"/>
    <w:rsid w:val="00457BAE"/>
    <w:rsid w:val="00473826"/>
    <w:rsid w:val="00474BEE"/>
    <w:rsid w:val="00483C15"/>
    <w:rsid w:val="004A159E"/>
    <w:rsid w:val="004D3A51"/>
    <w:rsid w:val="004D7FDF"/>
    <w:rsid w:val="00525732"/>
    <w:rsid w:val="00532E4B"/>
    <w:rsid w:val="00535EF5"/>
    <w:rsid w:val="00570D6F"/>
    <w:rsid w:val="00573EF8"/>
    <w:rsid w:val="00580899"/>
    <w:rsid w:val="00584AFB"/>
    <w:rsid w:val="005A1010"/>
    <w:rsid w:val="005B001A"/>
    <w:rsid w:val="005E514A"/>
    <w:rsid w:val="00612A0B"/>
    <w:rsid w:val="006337F6"/>
    <w:rsid w:val="00637E65"/>
    <w:rsid w:val="006472D6"/>
    <w:rsid w:val="0065742A"/>
    <w:rsid w:val="00675F2A"/>
    <w:rsid w:val="00685D5F"/>
    <w:rsid w:val="00694263"/>
    <w:rsid w:val="0069595D"/>
    <w:rsid w:val="00697DD3"/>
    <w:rsid w:val="006A24BC"/>
    <w:rsid w:val="006C4CF7"/>
    <w:rsid w:val="006D13BB"/>
    <w:rsid w:val="006D2E80"/>
    <w:rsid w:val="006E73A1"/>
    <w:rsid w:val="006F29FB"/>
    <w:rsid w:val="006F6067"/>
    <w:rsid w:val="00712EA7"/>
    <w:rsid w:val="007379BF"/>
    <w:rsid w:val="00762521"/>
    <w:rsid w:val="0079388B"/>
    <w:rsid w:val="007B26C3"/>
    <w:rsid w:val="007C190E"/>
    <w:rsid w:val="007C3ED2"/>
    <w:rsid w:val="007D3C60"/>
    <w:rsid w:val="007D6F45"/>
    <w:rsid w:val="007D7190"/>
    <w:rsid w:val="008238D8"/>
    <w:rsid w:val="00826555"/>
    <w:rsid w:val="0083060C"/>
    <w:rsid w:val="00836A66"/>
    <w:rsid w:val="00845AE9"/>
    <w:rsid w:val="008478F1"/>
    <w:rsid w:val="0086509A"/>
    <w:rsid w:val="00884328"/>
    <w:rsid w:val="00890EFB"/>
    <w:rsid w:val="00892917"/>
    <w:rsid w:val="00892A06"/>
    <w:rsid w:val="00896CA8"/>
    <w:rsid w:val="008E5C62"/>
    <w:rsid w:val="00910330"/>
    <w:rsid w:val="009754A7"/>
    <w:rsid w:val="00981622"/>
    <w:rsid w:val="009D2439"/>
    <w:rsid w:val="009D2BA4"/>
    <w:rsid w:val="009E42C5"/>
    <w:rsid w:val="00A00FA8"/>
    <w:rsid w:val="00A31273"/>
    <w:rsid w:val="00A436C6"/>
    <w:rsid w:val="00A7373F"/>
    <w:rsid w:val="00AC1E67"/>
    <w:rsid w:val="00B1162D"/>
    <w:rsid w:val="00B169B5"/>
    <w:rsid w:val="00B46083"/>
    <w:rsid w:val="00B477AB"/>
    <w:rsid w:val="00B63A76"/>
    <w:rsid w:val="00B64DEC"/>
    <w:rsid w:val="00B72C41"/>
    <w:rsid w:val="00BA6217"/>
    <w:rsid w:val="00BF4813"/>
    <w:rsid w:val="00C407F8"/>
    <w:rsid w:val="00C4661A"/>
    <w:rsid w:val="00C62E1B"/>
    <w:rsid w:val="00CB1D92"/>
    <w:rsid w:val="00CD5BCA"/>
    <w:rsid w:val="00CD759E"/>
    <w:rsid w:val="00D40DA0"/>
    <w:rsid w:val="00D45FD4"/>
    <w:rsid w:val="00D6103D"/>
    <w:rsid w:val="00D65A05"/>
    <w:rsid w:val="00DA17D1"/>
    <w:rsid w:val="00DA45C1"/>
    <w:rsid w:val="00DD3798"/>
    <w:rsid w:val="00DF58E5"/>
    <w:rsid w:val="00E14EDA"/>
    <w:rsid w:val="00E56537"/>
    <w:rsid w:val="00E6479F"/>
    <w:rsid w:val="00E874D6"/>
    <w:rsid w:val="00EA2D4C"/>
    <w:rsid w:val="00EA7B86"/>
    <w:rsid w:val="00EE00F1"/>
    <w:rsid w:val="00EE552F"/>
    <w:rsid w:val="00F013C1"/>
    <w:rsid w:val="00F033B3"/>
    <w:rsid w:val="00F904BF"/>
    <w:rsid w:val="00FA0FFB"/>
    <w:rsid w:val="00FC52BF"/>
    <w:rsid w:val="00FC56A0"/>
    <w:rsid w:val="00FC6B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semiHidden/>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table" w:styleId="Tablaconcuadrcula">
    <w:name w:val="Table Grid"/>
    <w:basedOn w:val="Tablanormal"/>
    <w:uiPriority w:val="39"/>
    <w:rsid w:val="007C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4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020426625">
      <w:bodyDiv w:val="1"/>
      <w:marLeft w:val="0"/>
      <w:marRight w:val="0"/>
      <w:marTop w:val="0"/>
      <w:marBottom w:val="0"/>
      <w:divBdr>
        <w:top w:val="none" w:sz="0" w:space="0" w:color="auto"/>
        <w:left w:val="none" w:sz="0" w:space="0" w:color="auto"/>
        <w:bottom w:val="none" w:sz="0" w:space="0" w:color="auto"/>
        <w:right w:val="none" w:sz="0" w:space="0" w:color="auto"/>
      </w:divBdr>
    </w:div>
    <w:div w:id="1060788712">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CFF5-5415-4E4F-B300-CC291D76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42</Pages>
  <Words>10175</Words>
  <Characters>55968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13</cp:revision>
  <cp:lastPrinted>2025-08-15T18:22:00Z</cp:lastPrinted>
  <dcterms:created xsi:type="dcterms:W3CDTF">2025-08-05T00:55:00Z</dcterms:created>
  <dcterms:modified xsi:type="dcterms:W3CDTF">2025-08-21T19:38:00Z</dcterms:modified>
</cp:coreProperties>
</file>