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C8BFED" w14:textId="77777777" w:rsidR="00C14508" w:rsidRDefault="00C14508">
      <w:pPr>
        <w:widowControl w:val="0"/>
        <w:pBdr>
          <w:top w:val="nil"/>
          <w:left w:val="nil"/>
          <w:bottom w:val="nil"/>
          <w:right w:val="nil"/>
          <w:between w:val="nil"/>
        </w:pBdr>
        <w:spacing w:after="0" w:line="276" w:lineRule="auto"/>
        <w:jc w:val="left"/>
      </w:pPr>
    </w:p>
    <w:p w14:paraId="5E77A7AF" w14:textId="77777777" w:rsidR="00C14508" w:rsidRDefault="00C14508">
      <w:pPr>
        <w:tabs>
          <w:tab w:val="left" w:pos="8931"/>
        </w:tabs>
        <w:spacing w:after="0" w:line="360" w:lineRule="auto"/>
      </w:pPr>
    </w:p>
    <w:p w14:paraId="2F68D472" w14:textId="77777777" w:rsidR="00C14508" w:rsidRPr="002333F0" w:rsidRDefault="003F05B8" w:rsidP="002333F0">
      <w:pPr>
        <w:keepNext/>
        <w:keepLines/>
        <w:pBdr>
          <w:top w:val="nil"/>
          <w:left w:val="nil"/>
          <w:bottom w:val="nil"/>
          <w:right w:val="nil"/>
          <w:between w:val="nil"/>
        </w:pBdr>
        <w:spacing w:after="0" w:line="360" w:lineRule="auto"/>
        <w:jc w:val="center"/>
        <w:rPr>
          <w:color w:val="000000"/>
        </w:rPr>
      </w:pPr>
      <w:r>
        <w:rPr>
          <w:color w:val="000000"/>
        </w:rPr>
        <w:t>RESOLUCIÓN DEL RECURSO DE REVISIÓN 13291/INFOEM/IP/RR/2025</w:t>
      </w:r>
    </w:p>
    <w:p w14:paraId="63AAD428" w14:textId="77777777" w:rsidR="002333F0" w:rsidRDefault="002333F0">
      <w:pPr>
        <w:tabs>
          <w:tab w:val="left" w:pos="8931"/>
        </w:tabs>
        <w:spacing w:after="0" w:line="360" w:lineRule="auto"/>
      </w:pPr>
    </w:p>
    <w:sdt>
      <w:sdtPr>
        <w:rPr>
          <w:rFonts w:ascii="Palatino Linotype" w:eastAsia="Palatino Linotype" w:hAnsi="Palatino Linotype" w:cs="Palatino Linotype"/>
          <w:color w:val="auto"/>
          <w:sz w:val="22"/>
          <w:szCs w:val="22"/>
          <w:lang w:val="es-ES"/>
        </w:rPr>
        <w:id w:val="-1628391064"/>
        <w:docPartObj>
          <w:docPartGallery w:val="Table of Contents"/>
          <w:docPartUnique/>
        </w:docPartObj>
      </w:sdtPr>
      <w:sdtEndPr>
        <w:rPr>
          <w:b/>
          <w:bCs/>
        </w:rPr>
      </w:sdtEndPr>
      <w:sdtContent>
        <w:p w14:paraId="2B99EBF5" w14:textId="77777777" w:rsidR="002333F0" w:rsidRDefault="002333F0">
          <w:pPr>
            <w:pStyle w:val="TtulodeTDC"/>
          </w:pPr>
        </w:p>
        <w:p w14:paraId="4AFDDF49" w14:textId="77777777" w:rsidR="002333F0" w:rsidRDefault="002333F0">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6963819" w:history="1">
            <w:r w:rsidRPr="00647927">
              <w:rPr>
                <w:rStyle w:val="Hipervnculo"/>
                <w:noProof/>
              </w:rPr>
              <w:t>A N T E C E D E N T E S</w:t>
            </w:r>
            <w:r>
              <w:rPr>
                <w:noProof/>
                <w:webHidden/>
              </w:rPr>
              <w:tab/>
            </w:r>
            <w:r>
              <w:rPr>
                <w:noProof/>
                <w:webHidden/>
              </w:rPr>
              <w:fldChar w:fldCharType="begin"/>
            </w:r>
            <w:r>
              <w:rPr>
                <w:noProof/>
                <w:webHidden/>
              </w:rPr>
              <w:instrText xml:space="preserve"> PAGEREF _Toc216963819 \h </w:instrText>
            </w:r>
            <w:r>
              <w:rPr>
                <w:noProof/>
                <w:webHidden/>
              </w:rPr>
            </w:r>
            <w:r>
              <w:rPr>
                <w:noProof/>
                <w:webHidden/>
              </w:rPr>
              <w:fldChar w:fldCharType="separate"/>
            </w:r>
            <w:r w:rsidR="00D00229">
              <w:rPr>
                <w:noProof/>
                <w:webHidden/>
              </w:rPr>
              <w:t>2</w:t>
            </w:r>
            <w:r>
              <w:rPr>
                <w:noProof/>
                <w:webHidden/>
              </w:rPr>
              <w:fldChar w:fldCharType="end"/>
            </w:r>
          </w:hyperlink>
        </w:p>
        <w:p w14:paraId="086BBFBA" w14:textId="77777777" w:rsidR="002333F0" w:rsidRDefault="0036268E">
          <w:pPr>
            <w:pStyle w:val="TDC2"/>
            <w:tabs>
              <w:tab w:val="right" w:leader="dot" w:pos="8921"/>
            </w:tabs>
            <w:rPr>
              <w:rFonts w:asciiTheme="minorHAnsi" w:eastAsiaTheme="minorEastAsia" w:hAnsiTheme="minorHAnsi" w:cstheme="minorBidi"/>
              <w:noProof/>
            </w:rPr>
          </w:pPr>
          <w:hyperlink w:anchor="_Toc216963820" w:history="1">
            <w:r w:rsidR="002333F0" w:rsidRPr="00647927">
              <w:rPr>
                <w:rStyle w:val="Hipervnculo"/>
                <w:noProof/>
              </w:rPr>
              <w:t>I. Presentación de la solicitud de información</w:t>
            </w:r>
            <w:r w:rsidR="002333F0">
              <w:rPr>
                <w:noProof/>
                <w:webHidden/>
              </w:rPr>
              <w:tab/>
            </w:r>
            <w:r w:rsidR="002333F0">
              <w:rPr>
                <w:noProof/>
                <w:webHidden/>
              </w:rPr>
              <w:fldChar w:fldCharType="begin"/>
            </w:r>
            <w:r w:rsidR="002333F0">
              <w:rPr>
                <w:noProof/>
                <w:webHidden/>
              </w:rPr>
              <w:instrText xml:space="preserve"> PAGEREF _Toc216963820 \h </w:instrText>
            </w:r>
            <w:r w:rsidR="002333F0">
              <w:rPr>
                <w:noProof/>
                <w:webHidden/>
              </w:rPr>
            </w:r>
            <w:r w:rsidR="002333F0">
              <w:rPr>
                <w:noProof/>
                <w:webHidden/>
              </w:rPr>
              <w:fldChar w:fldCharType="separate"/>
            </w:r>
            <w:r w:rsidR="00D00229">
              <w:rPr>
                <w:noProof/>
                <w:webHidden/>
              </w:rPr>
              <w:t>2</w:t>
            </w:r>
            <w:r w:rsidR="002333F0">
              <w:rPr>
                <w:noProof/>
                <w:webHidden/>
              </w:rPr>
              <w:fldChar w:fldCharType="end"/>
            </w:r>
          </w:hyperlink>
        </w:p>
        <w:p w14:paraId="28A6EBA2" w14:textId="77777777" w:rsidR="002333F0" w:rsidRDefault="0036268E">
          <w:pPr>
            <w:pStyle w:val="TDC2"/>
            <w:tabs>
              <w:tab w:val="right" w:leader="dot" w:pos="8921"/>
            </w:tabs>
            <w:rPr>
              <w:rFonts w:asciiTheme="minorHAnsi" w:eastAsiaTheme="minorEastAsia" w:hAnsiTheme="minorHAnsi" w:cstheme="minorBidi"/>
              <w:noProof/>
            </w:rPr>
          </w:pPr>
          <w:hyperlink w:anchor="_Toc216963821" w:history="1">
            <w:r w:rsidR="002333F0" w:rsidRPr="00647927">
              <w:rPr>
                <w:rStyle w:val="Hipervnculo"/>
                <w:noProof/>
              </w:rPr>
              <w:t>II. Respuesta del Sujeto Obligado</w:t>
            </w:r>
            <w:r w:rsidR="002333F0">
              <w:rPr>
                <w:noProof/>
                <w:webHidden/>
              </w:rPr>
              <w:tab/>
            </w:r>
            <w:r w:rsidR="002333F0">
              <w:rPr>
                <w:noProof/>
                <w:webHidden/>
              </w:rPr>
              <w:fldChar w:fldCharType="begin"/>
            </w:r>
            <w:r w:rsidR="002333F0">
              <w:rPr>
                <w:noProof/>
                <w:webHidden/>
              </w:rPr>
              <w:instrText xml:space="preserve"> PAGEREF _Toc216963821 \h </w:instrText>
            </w:r>
            <w:r w:rsidR="002333F0">
              <w:rPr>
                <w:noProof/>
                <w:webHidden/>
              </w:rPr>
            </w:r>
            <w:r w:rsidR="002333F0">
              <w:rPr>
                <w:noProof/>
                <w:webHidden/>
              </w:rPr>
              <w:fldChar w:fldCharType="separate"/>
            </w:r>
            <w:r w:rsidR="00D00229">
              <w:rPr>
                <w:noProof/>
                <w:webHidden/>
              </w:rPr>
              <w:t>3</w:t>
            </w:r>
            <w:r w:rsidR="002333F0">
              <w:rPr>
                <w:noProof/>
                <w:webHidden/>
              </w:rPr>
              <w:fldChar w:fldCharType="end"/>
            </w:r>
          </w:hyperlink>
        </w:p>
        <w:p w14:paraId="26AA6E02" w14:textId="77777777" w:rsidR="002333F0" w:rsidRDefault="0036268E">
          <w:pPr>
            <w:pStyle w:val="TDC2"/>
            <w:tabs>
              <w:tab w:val="right" w:leader="dot" w:pos="8921"/>
            </w:tabs>
            <w:rPr>
              <w:rFonts w:asciiTheme="minorHAnsi" w:eastAsiaTheme="minorEastAsia" w:hAnsiTheme="minorHAnsi" w:cstheme="minorBidi"/>
              <w:noProof/>
            </w:rPr>
          </w:pPr>
          <w:hyperlink w:anchor="_Toc216963822" w:history="1">
            <w:r w:rsidR="002333F0" w:rsidRPr="00647927">
              <w:rPr>
                <w:rStyle w:val="Hipervnculo"/>
                <w:noProof/>
              </w:rPr>
              <w:t>III. Interposición del Recurso de Revisión</w:t>
            </w:r>
            <w:r w:rsidR="002333F0">
              <w:rPr>
                <w:noProof/>
                <w:webHidden/>
              </w:rPr>
              <w:tab/>
            </w:r>
            <w:r w:rsidR="002333F0">
              <w:rPr>
                <w:noProof/>
                <w:webHidden/>
              </w:rPr>
              <w:fldChar w:fldCharType="begin"/>
            </w:r>
            <w:r w:rsidR="002333F0">
              <w:rPr>
                <w:noProof/>
                <w:webHidden/>
              </w:rPr>
              <w:instrText xml:space="preserve"> PAGEREF _Toc216963822 \h </w:instrText>
            </w:r>
            <w:r w:rsidR="002333F0">
              <w:rPr>
                <w:noProof/>
                <w:webHidden/>
              </w:rPr>
            </w:r>
            <w:r w:rsidR="002333F0">
              <w:rPr>
                <w:noProof/>
                <w:webHidden/>
              </w:rPr>
              <w:fldChar w:fldCharType="separate"/>
            </w:r>
            <w:r w:rsidR="00D00229">
              <w:rPr>
                <w:noProof/>
                <w:webHidden/>
              </w:rPr>
              <w:t>3</w:t>
            </w:r>
            <w:r w:rsidR="002333F0">
              <w:rPr>
                <w:noProof/>
                <w:webHidden/>
              </w:rPr>
              <w:fldChar w:fldCharType="end"/>
            </w:r>
          </w:hyperlink>
        </w:p>
        <w:p w14:paraId="734B197E" w14:textId="77777777" w:rsidR="002333F0" w:rsidRDefault="0036268E">
          <w:pPr>
            <w:pStyle w:val="TDC2"/>
            <w:tabs>
              <w:tab w:val="right" w:leader="dot" w:pos="8921"/>
            </w:tabs>
            <w:rPr>
              <w:rFonts w:asciiTheme="minorHAnsi" w:eastAsiaTheme="minorEastAsia" w:hAnsiTheme="minorHAnsi" w:cstheme="minorBidi"/>
              <w:noProof/>
            </w:rPr>
          </w:pPr>
          <w:hyperlink w:anchor="_Toc216963823" w:history="1">
            <w:r w:rsidR="002333F0" w:rsidRPr="00647927">
              <w:rPr>
                <w:rStyle w:val="Hipervnculo"/>
                <w:noProof/>
              </w:rPr>
              <w:t>IV. Trámite del Recurso de Revisión ante este Instituto</w:t>
            </w:r>
            <w:r w:rsidR="002333F0">
              <w:rPr>
                <w:noProof/>
                <w:webHidden/>
              </w:rPr>
              <w:tab/>
            </w:r>
            <w:r w:rsidR="002333F0">
              <w:rPr>
                <w:noProof/>
                <w:webHidden/>
              </w:rPr>
              <w:fldChar w:fldCharType="begin"/>
            </w:r>
            <w:r w:rsidR="002333F0">
              <w:rPr>
                <w:noProof/>
                <w:webHidden/>
              </w:rPr>
              <w:instrText xml:space="preserve"> PAGEREF _Toc216963823 \h </w:instrText>
            </w:r>
            <w:r w:rsidR="002333F0">
              <w:rPr>
                <w:noProof/>
                <w:webHidden/>
              </w:rPr>
            </w:r>
            <w:r w:rsidR="002333F0">
              <w:rPr>
                <w:noProof/>
                <w:webHidden/>
              </w:rPr>
              <w:fldChar w:fldCharType="separate"/>
            </w:r>
            <w:r w:rsidR="00D00229">
              <w:rPr>
                <w:noProof/>
                <w:webHidden/>
              </w:rPr>
              <w:t>4</w:t>
            </w:r>
            <w:r w:rsidR="002333F0">
              <w:rPr>
                <w:noProof/>
                <w:webHidden/>
              </w:rPr>
              <w:fldChar w:fldCharType="end"/>
            </w:r>
          </w:hyperlink>
        </w:p>
        <w:p w14:paraId="231DDDA7" w14:textId="77777777" w:rsidR="002333F0" w:rsidRDefault="0036268E">
          <w:pPr>
            <w:pStyle w:val="TDC1"/>
            <w:tabs>
              <w:tab w:val="right" w:leader="dot" w:pos="8921"/>
            </w:tabs>
            <w:rPr>
              <w:rFonts w:asciiTheme="minorHAnsi" w:eastAsiaTheme="minorEastAsia" w:hAnsiTheme="minorHAnsi" w:cstheme="minorBidi"/>
              <w:noProof/>
            </w:rPr>
          </w:pPr>
          <w:hyperlink w:anchor="_Toc216963824" w:history="1">
            <w:r w:rsidR="002333F0" w:rsidRPr="00647927">
              <w:rPr>
                <w:rStyle w:val="Hipervnculo"/>
                <w:noProof/>
              </w:rPr>
              <w:t>C O N S I D E R A N D O S</w:t>
            </w:r>
            <w:r w:rsidR="002333F0">
              <w:rPr>
                <w:noProof/>
                <w:webHidden/>
              </w:rPr>
              <w:tab/>
            </w:r>
            <w:r w:rsidR="002333F0">
              <w:rPr>
                <w:noProof/>
                <w:webHidden/>
              </w:rPr>
              <w:fldChar w:fldCharType="begin"/>
            </w:r>
            <w:r w:rsidR="002333F0">
              <w:rPr>
                <w:noProof/>
                <w:webHidden/>
              </w:rPr>
              <w:instrText xml:space="preserve"> PAGEREF _Toc216963824 \h </w:instrText>
            </w:r>
            <w:r w:rsidR="002333F0">
              <w:rPr>
                <w:noProof/>
                <w:webHidden/>
              </w:rPr>
            </w:r>
            <w:r w:rsidR="002333F0">
              <w:rPr>
                <w:noProof/>
                <w:webHidden/>
              </w:rPr>
              <w:fldChar w:fldCharType="separate"/>
            </w:r>
            <w:r w:rsidR="00D00229">
              <w:rPr>
                <w:noProof/>
                <w:webHidden/>
              </w:rPr>
              <w:t>5</w:t>
            </w:r>
            <w:r w:rsidR="002333F0">
              <w:rPr>
                <w:noProof/>
                <w:webHidden/>
              </w:rPr>
              <w:fldChar w:fldCharType="end"/>
            </w:r>
          </w:hyperlink>
        </w:p>
        <w:p w14:paraId="4BCD1247" w14:textId="77777777" w:rsidR="002333F0" w:rsidRDefault="0036268E">
          <w:pPr>
            <w:pStyle w:val="TDC2"/>
            <w:tabs>
              <w:tab w:val="right" w:leader="dot" w:pos="8921"/>
            </w:tabs>
            <w:rPr>
              <w:rFonts w:asciiTheme="minorHAnsi" w:eastAsiaTheme="minorEastAsia" w:hAnsiTheme="minorHAnsi" w:cstheme="minorBidi"/>
              <w:noProof/>
            </w:rPr>
          </w:pPr>
          <w:hyperlink w:anchor="_Toc216963825" w:history="1">
            <w:r w:rsidR="002333F0" w:rsidRPr="00647927">
              <w:rPr>
                <w:rStyle w:val="Hipervnculo"/>
                <w:noProof/>
              </w:rPr>
              <w:t>PRIMERO. Competencia</w:t>
            </w:r>
            <w:r w:rsidR="002333F0">
              <w:rPr>
                <w:noProof/>
                <w:webHidden/>
              </w:rPr>
              <w:tab/>
            </w:r>
            <w:r w:rsidR="002333F0">
              <w:rPr>
                <w:noProof/>
                <w:webHidden/>
              </w:rPr>
              <w:fldChar w:fldCharType="begin"/>
            </w:r>
            <w:r w:rsidR="002333F0">
              <w:rPr>
                <w:noProof/>
                <w:webHidden/>
              </w:rPr>
              <w:instrText xml:space="preserve"> PAGEREF _Toc216963825 \h </w:instrText>
            </w:r>
            <w:r w:rsidR="002333F0">
              <w:rPr>
                <w:noProof/>
                <w:webHidden/>
              </w:rPr>
            </w:r>
            <w:r w:rsidR="002333F0">
              <w:rPr>
                <w:noProof/>
                <w:webHidden/>
              </w:rPr>
              <w:fldChar w:fldCharType="separate"/>
            </w:r>
            <w:r w:rsidR="00D00229">
              <w:rPr>
                <w:noProof/>
                <w:webHidden/>
              </w:rPr>
              <w:t>5</w:t>
            </w:r>
            <w:r w:rsidR="002333F0">
              <w:rPr>
                <w:noProof/>
                <w:webHidden/>
              </w:rPr>
              <w:fldChar w:fldCharType="end"/>
            </w:r>
          </w:hyperlink>
        </w:p>
        <w:p w14:paraId="154319FE" w14:textId="77777777" w:rsidR="002333F0" w:rsidRDefault="0036268E">
          <w:pPr>
            <w:pStyle w:val="TDC2"/>
            <w:tabs>
              <w:tab w:val="right" w:leader="dot" w:pos="8921"/>
            </w:tabs>
            <w:rPr>
              <w:rFonts w:asciiTheme="minorHAnsi" w:eastAsiaTheme="minorEastAsia" w:hAnsiTheme="minorHAnsi" w:cstheme="minorBidi"/>
              <w:noProof/>
            </w:rPr>
          </w:pPr>
          <w:hyperlink w:anchor="_Toc216963826" w:history="1">
            <w:r w:rsidR="002333F0" w:rsidRPr="00647927">
              <w:rPr>
                <w:rStyle w:val="Hipervnculo"/>
                <w:noProof/>
              </w:rPr>
              <w:t>SEGUNDO. Causales de improcedencia y sobreseimiento</w:t>
            </w:r>
            <w:r w:rsidR="002333F0">
              <w:rPr>
                <w:noProof/>
                <w:webHidden/>
              </w:rPr>
              <w:tab/>
            </w:r>
            <w:r w:rsidR="002333F0">
              <w:rPr>
                <w:noProof/>
                <w:webHidden/>
              </w:rPr>
              <w:fldChar w:fldCharType="begin"/>
            </w:r>
            <w:r w:rsidR="002333F0">
              <w:rPr>
                <w:noProof/>
                <w:webHidden/>
              </w:rPr>
              <w:instrText xml:space="preserve"> PAGEREF _Toc216963826 \h </w:instrText>
            </w:r>
            <w:r w:rsidR="002333F0">
              <w:rPr>
                <w:noProof/>
                <w:webHidden/>
              </w:rPr>
            </w:r>
            <w:r w:rsidR="002333F0">
              <w:rPr>
                <w:noProof/>
                <w:webHidden/>
              </w:rPr>
              <w:fldChar w:fldCharType="separate"/>
            </w:r>
            <w:r w:rsidR="00D00229">
              <w:rPr>
                <w:noProof/>
                <w:webHidden/>
              </w:rPr>
              <w:t>6</w:t>
            </w:r>
            <w:r w:rsidR="002333F0">
              <w:rPr>
                <w:noProof/>
                <w:webHidden/>
              </w:rPr>
              <w:fldChar w:fldCharType="end"/>
            </w:r>
          </w:hyperlink>
        </w:p>
        <w:p w14:paraId="4A48E3D7" w14:textId="77777777" w:rsidR="002333F0" w:rsidRDefault="0036268E">
          <w:pPr>
            <w:pStyle w:val="TDC2"/>
            <w:tabs>
              <w:tab w:val="right" w:leader="dot" w:pos="8921"/>
            </w:tabs>
            <w:rPr>
              <w:rFonts w:asciiTheme="minorHAnsi" w:eastAsiaTheme="minorEastAsia" w:hAnsiTheme="minorHAnsi" w:cstheme="minorBidi"/>
              <w:noProof/>
            </w:rPr>
          </w:pPr>
          <w:hyperlink w:anchor="_Toc216963827" w:history="1">
            <w:r w:rsidR="002333F0" w:rsidRPr="00647927">
              <w:rPr>
                <w:rStyle w:val="Hipervnculo"/>
                <w:noProof/>
              </w:rPr>
              <w:t>TERCERO. Determinación de la Controversia</w:t>
            </w:r>
            <w:r w:rsidR="002333F0">
              <w:rPr>
                <w:noProof/>
                <w:webHidden/>
              </w:rPr>
              <w:tab/>
            </w:r>
            <w:r w:rsidR="002333F0">
              <w:rPr>
                <w:noProof/>
                <w:webHidden/>
              </w:rPr>
              <w:fldChar w:fldCharType="begin"/>
            </w:r>
            <w:r w:rsidR="002333F0">
              <w:rPr>
                <w:noProof/>
                <w:webHidden/>
              </w:rPr>
              <w:instrText xml:space="preserve"> PAGEREF _Toc216963827 \h </w:instrText>
            </w:r>
            <w:r w:rsidR="002333F0">
              <w:rPr>
                <w:noProof/>
                <w:webHidden/>
              </w:rPr>
            </w:r>
            <w:r w:rsidR="002333F0">
              <w:rPr>
                <w:noProof/>
                <w:webHidden/>
              </w:rPr>
              <w:fldChar w:fldCharType="separate"/>
            </w:r>
            <w:r w:rsidR="00D00229">
              <w:rPr>
                <w:noProof/>
                <w:webHidden/>
              </w:rPr>
              <w:t>7</w:t>
            </w:r>
            <w:r w:rsidR="002333F0">
              <w:rPr>
                <w:noProof/>
                <w:webHidden/>
              </w:rPr>
              <w:fldChar w:fldCharType="end"/>
            </w:r>
          </w:hyperlink>
        </w:p>
        <w:p w14:paraId="69597C48" w14:textId="77777777" w:rsidR="002333F0" w:rsidRDefault="0036268E">
          <w:pPr>
            <w:pStyle w:val="TDC2"/>
            <w:tabs>
              <w:tab w:val="right" w:leader="dot" w:pos="8921"/>
            </w:tabs>
            <w:rPr>
              <w:rFonts w:asciiTheme="minorHAnsi" w:eastAsiaTheme="minorEastAsia" w:hAnsiTheme="minorHAnsi" w:cstheme="minorBidi"/>
              <w:noProof/>
            </w:rPr>
          </w:pPr>
          <w:hyperlink w:anchor="_Toc216963828" w:history="1">
            <w:r w:rsidR="002333F0" w:rsidRPr="00647927">
              <w:rPr>
                <w:rStyle w:val="Hipervnculo"/>
                <w:noProof/>
              </w:rPr>
              <w:t>CUARTO. Marco normativo aplicable en materia de transparencia y acceso a la información pública</w:t>
            </w:r>
            <w:r w:rsidR="002333F0">
              <w:rPr>
                <w:noProof/>
                <w:webHidden/>
              </w:rPr>
              <w:tab/>
            </w:r>
            <w:r w:rsidR="002333F0">
              <w:rPr>
                <w:noProof/>
                <w:webHidden/>
              </w:rPr>
              <w:fldChar w:fldCharType="begin"/>
            </w:r>
            <w:r w:rsidR="002333F0">
              <w:rPr>
                <w:noProof/>
                <w:webHidden/>
              </w:rPr>
              <w:instrText xml:space="preserve"> PAGEREF _Toc216963828 \h </w:instrText>
            </w:r>
            <w:r w:rsidR="002333F0">
              <w:rPr>
                <w:noProof/>
                <w:webHidden/>
              </w:rPr>
            </w:r>
            <w:r w:rsidR="002333F0">
              <w:rPr>
                <w:noProof/>
                <w:webHidden/>
              </w:rPr>
              <w:fldChar w:fldCharType="separate"/>
            </w:r>
            <w:r w:rsidR="00D00229">
              <w:rPr>
                <w:noProof/>
                <w:webHidden/>
              </w:rPr>
              <w:t>9</w:t>
            </w:r>
            <w:r w:rsidR="002333F0">
              <w:rPr>
                <w:noProof/>
                <w:webHidden/>
              </w:rPr>
              <w:fldChar w:fldCharType="end"/>
            </w:r>
          </w:hyperlink>
        </w:p>
        <w:p w14:paraId="2901B372" w14:textId="77777777" w:rsidR="002333F0" w:rsidRDefault="0036268E">
          <w:pPr>
            <w:pStyle w:val="TDC2"/>
            <w:tabs>
              <w:tab w:val="right" w:leader="dot" w:pos="8921"/>
            </w:tabs>
            <w:rPr>
              <w:rFonts w:asciiTheme="minorHAnsi" w:eastAsiaTheme="minorEastAsia" w:hAnsiTheme="minorHAnsi" w:cstheme="minorBidi"/>
              <w:noProof/>
            </w:rPr>
          </w:pPr>
          <w:hyperlink w:anchor="_Toc216963829" w:history="1">
            <w:r w:rsidR="002333F0" w:rsidRPr="00647927">
              <w:rPr>
                <w:rStyle w:val="Hipervnculo"/>
                <w:noProof/>
              </w:rPr>
              <w:t>QUINTO. Estudio de Fondo</w:t>
            </w:r>
            <w:r w:rsidR="002333F0">
              <w:rPr>
                <w:noProof/>
                <w:webHidden/>
              </w:rPr>
              <w:tab/>
            </w:r>
            <w:r w:rsidR="002333F0">
              <w:rPr>
                <w:noProof/>
                <w:webHidden/>
              </w:rPr>
              <w:fldChar w:fldCharType="begin"/>
            </w:r>
            <w:r w:rsidR="002333F0">
              <w:rPr>
                <w:noProof/>
                <w:webHidden/>
              </w:rPr>
              <w:instrText xml:space="preserve"> PAGEREF _Toc216963829 \h </w:instrText>
            </w:r>
            <w:r w:rsidR="002333F0">
              <w:rPr>
                <w:noProof/>
                <w:webHidden/>
              </w:rPr>
            </w:r>
            <w:r w:rsidR="002333F0">
              <w:rPr>
                <w:noProof/>
                <w:webHidden/>
              </w:rPr>
              <w:fldChar w:fldCharType="separate"/>
            </w:r>
            <w:r w:rsidR="00D00229">
              <w:rPr>
                <w:noProof/>
                <w:webHidden/>
              </w:rPr>
              <w:t>10</w:t>
            </w:r>
            <w:r w:rsidR="002333F0">
              <w:rPr>
                <w:noProof/>
                <w:webHidden/>
              </w:rPr>
              <w:fldChar w:fldCharType="end"/>
            </w:r>
          </w:hyperlink>
        </w:p>
        <w:p w14:paraId="414DD55C" w14:textId="77777777" w:rsidR="002333F0" w:rsidRDefault="0036268E">
          <w:pPr>
            <w:pStyle w:val="TDC2"/>
            <w:tabs>
              <w:tab w:val="right" w:leader="dot" w:pos="8921"/>
            </w:tabs>
            <w:rPr>
              <w:rFonts w:asciiTheme="minorHAnsi" w:eastAsiaTheme="minorEastAsia" w:hAnsiTheme="minorHAnsi" w:cstheme="minorBidi"/>
              <w:noProof/>
            </w:rPr>
          </w:pPr>
          <w:hyperlink w:anchor="_Toc216963830" w:history="1">
            <w:r w:rsidR="002333F0" w:rsidRPr="00647927">
              <w:rPr>
                <w:rStyle w:val="Hipervnculo"/>
                <w:noProof/>
              </w:rPr>
              <w:t>SEXTO. Decisión</w:t>
            </w:r>
            <w:r w:rsidR="002333F0">
              <w:rPr>
                <w:noProof/>
                <w:webHidden/>
              </w:rPr>
              <w:tab/>
            </w:r>
            <w:r w:rsidR="002333F0">
              <w:rPr>
                <w:noProof/>
                <w:webHidden/>
              </w:rPr>
              <w:fldChar w:fldCharType="begin"/>
            </w:r>
            <w:r w:rsidR="002333F0">
              <w:rPr>
                <w:noProof/>
                <w:webHidden/>
              </w:rPr>
              <w:instrText xml:space="preserve"> PAGEREF _Toc216963830 \h </w:instrText>
            </w:r>
            <w:r w:rsidR="002333F0">
              <w:rPr>
                <w:noProof/>
                <w:webHidden/>
              </w:rPr>
            </w:r>
            <w:r w:rsidR="002333F0">
              <w:rPr>
                <w:noProof/>
                <w:webHidden/>
              </w:rPr>
              <w:fldChar w:fldCharType="separate"/>
            </w:r>
            <w:r w:rsidR="00D00229">
              <w:rPr>
                <w:noProof/>
                <w:webHidden/>
              </w:rPr>
              <w:t>30</w:t>
            </w:r>
            <w:r w:rsidR="002333F0">
              <w:rPr>
                <w:noProof/>
                <w:webHidden/>
              </w:rPr>
              <w:fldChar w:fldCharType="end"/>
            </w:r>
          </w:hyperlink>
        </w:p>
        <w:p w14:paraId="61FF060F" w14:textId="77777777" w:rsidR="002333F0" w:rsidRDefault="0036268E">
          <w:pPr>
            <w:pStyle w:val="TDC1"/>
            <w:tabs>
              <w:tab w:val="right" w:leader="dot" w:pos="8921"/>
            </w:tabs>
            <w:rPr>
              <w:rFonts w:asciiTheme="minorHAnsi" w:eastAsiaTheme="minorEastAsia" w:hAnsiTheme="minorHAnsi" w:cstheme="minorBidi"/>
              <w:noProof/>
            </w:rPr>
          </w:pPr>
          <w:hyperlink w:anchor="_Toc216963831" w:history="1">
            <w:r w:rsidR="002333F0" w:rsidRPr="00647927">
              <w:rPr>
                <w:rStyle w:val="Hipervnculo"/>
                <w:noProof/>
              </w:rPr>
              <w:t>R E S U E L V E</w:t>
            </w:r>
            <w:r w:rsidR="002333F0">
              <w:rPr>
                <w:noProof/>
                <w:webHidden/>
              </w:rPr>
              <w:tab/>
            </w:r>
            <w:r w:rsidR="002333F0">
              <w:rPr>
                <w:noProof/>
                <w:webHidden/>
              </w:rPr>
              <w:fldChar w:fldCharType="begin"/>
            </w:r>
            <w:r w:rsidR="002333F0">
              <w:rPr>
                <w:noProof/>
                <w:webHidden/>
              </w:rPr>
              <w:instrText xml:space="preserve"> PAGEREF _Toc216963831 \h </w:instrText>
            </w:r>
            <w:r w:rsidR="002333F0">
              <w:rPr>
                <w:noProof/>
                <w:webHidden/>
              </w:rPr>
            </w:r>
            <w:r w:rsidR="002333F0">
              <w:rPr>
                <w:noProof/>
                <w:webHidden/>
              </w:rPr>
              <w:fldChar w:fldCharType="separate"/>
            </w:r>
            <w:r w:rsidR="00D00229">
              <w:rPr>
                <w:noProof/>
                <w:webHidden/>
              </w:rPr>
              <w:t>30</w:t>
            </w:r>
            <w:r w:rsidR="002333F0">
              <w:rPr>
                <w:noProof/>
                <w:webHidden/>
              </w:rPr>
              <w:fldChar w:fldCharType="end"/>
            </w:r>
          </w:hyperlink>
        </w:p>
        <w:p w14:paraId="0F984CE9" w14:textId="77777777" w:rsidR="002333F0" w:rsidRDefault="002333F0">
          <w:r>
            <w:rPr>
              <w:b/>
              <w:bCs/>
              <w:lang w:val="es-ES"/>
            </w:rPr>
            <w:fldChar w:fldCharType="end"/>
          </w:r>
        </w:p>
      </w:sdtContent>
    </w:sdt>
    <w:p w14:paraId="60CB49DB" w14:textId="77777777" w:rsidR="002333F0" w:rsidRDefault="002333F0">
      <w:pPr>
        <w:tabs>
          <w:tab w:val="left" w:pos="8931"/>
        </w:tabs>
        <w:spacing w:after="0" w:line="360" w:lineRule="auto"/>
      </w:pPr>
    </w:p>
    <w:p w14:paraId="71DD2DC6" w14:textId="77777777" w:rsidR="002333F0" w:rsidRDefault="002333F0">
      <w:pPr>
        <w:tabs>
          <w:tab w:val="left" w:pos="8931"/>
        </w:tabs>
        <w:spacing w:after="0" w:line="360" w:lineRule="auto"/>
      </w:pPr>
    </w:p>
    <w:p w14:paraId="4D31EF41" w14:textId="77777777" w:rsidR="002333F0" w:rsidRDefault="002333F0">
      <w:pPr>
        <w:tabs>
          <w:tab w:val="left" w:pos="8931"/>
        </w:tabs>
        <w:spacing w:after="0" w:line="360" w:lineRule="auto"/>
      </w:pPr>
    </w:p>
    <w:p w14:paraId="0FB460DD" w14:textId="77777777" w:rsidR="002333F0" w:rsidRDefault="002333F0">
      <w:pPr>
        <w:tabs>
          <w:tab w:val="left" w:pos="8931"/>
        </w:tabs>
        <w:spacing w:after="0" w:line="360" w:lineRule="auto"/>
      </w:pPr>
    </w:p>
    <w:p w14:paraId="15F4C65E" w14:textId="77777777" w:rsidR="002333F0" w:rsidRDefault="002333F0">
      <w:pPr>
        <w:tabs>
          <w:tab w:val="left" w:pos="8931"/>
        </w:tabs>
        <w:spacing w:after="0" w:line="360" w:lineRule="auto"/>
      </w:pPr>
    </w:p>
    <w:p w14:paraId="6A6AD3F2" w14:textId="77777777" w:rsidR="002333F0" w:rsidRDefault="002333F0">
      <w:pPr>
        <w:tabs>
          <w:tab w:val="left" w:pos="8931"/>
        </w:tabs>
        <w:spacing w:after="0" w:line="360" w:lineRule="auto"/>
      </w:pPr>
    </w:p>
    <w:p w14:paraId="1F51D5EA" w14:textId="77777777" w:rsidR="002333F0" w:rsidRDefault="002333F0">
      <w:pPr>
        <w:tabs>
          <w:tab w:val="left" w:pos="8931"/>
        </w:tabs>
        <w:spacing w:after="0" w:line="360" w:lineRule="auto"/>
      </w:pPr>
    </w:p>
    <w:p w14:paraId="2188342C" w14:textId="77777777" w:rsidR="00C14508" w:rsidRDefault="00C14508">
      <w:pPr>
        <w:tabs>
          <w:tab w:val="left" w:pos="8931"/>
        </w:tabs>
        <w:spacing w:after="0" w:line="360" w:lineRule="auto"/>
      </w:pPr>
    </w:p>
    <w:p w14:paraId="01463E60" w14:textId="77777777" w:rsidR="00C14508" w:rsidRDefault="003F05B8">
      <w:pPr>
        <w:tabs>
          <w:tab w:val="left" w:pos="8931"/>
        </w:tabs>
        <w:spacing w:after="0" w:line="360" w:lineRule="auto"/>
      </w:pPr>
      <w:r>
        <w:lastRenderedPageBreak/>
        <w:t>Resolución del Pleno del Instituto de Transparencia, Acceso a la Información Pública y Protección de Datos Personales del Estado de México y Municipios, con domicilio en Metepec, Estado de México, de fecha diecisiete de diciembre de dos mil veinticinco.</w:t>
      </w:r>
    </w:p>
    <w:p w14:paraId="7ED399CD" w14:textId="77777777" w:rsidR="00C14508" w:rsidRDefault="00C14508">
      <w:pPr>
        <w:spacing w:after="0" w:line="360" w:lineRule="auto"/>
        <w:rPr>
          <w:b/>
          <w:bCs/>
        </w:rPr>
      </w:pPr>
    </w:p>
    <w:p w14:paraId="16C03EC5" w14:textId="77777777" w:rsidR="00C14508" w:rsidRDefault="003F05B8">
      <w:pPr>
        <w:spacing w:after="0" w:line="360" w:lineRule="auto"/>
        <w:rPr>
          <w:color w:val="0D0D0D"/>
        </w:rPr>
      </w:pPr>
      <w:r>
        <w:rPr>
          <w:b/>
          <w:bCs/>
        </w:rPr>
        <w:t xml:space="preserve">VISTO </w:t>
      </w:r>
      <w:r>
        <w:t xml:space="preserve">el expediente electrónico conformado con motivo del Recurso de Revisión </w:t>
      </w:r>
      <w:r w:rsidRPr="007549E1">
        <w:rPr>
          <w:b/>
        </w:rPr>
        <w:t>13291/INFOEM/IP/RR/2025</w:t>
      </w:r>
      <w:r>
        <w:t xml:space="preserve">, interpuesto por la persona </w:t>
      </w:r>
      <w:r>
        <w:rPr>
          <w:color w:val="0D0D0D"/>
        </w:rPr>
        <w:t xml:space="preserve">Recurrente o Particular, en contra de la respuesta del Sujeto Obligado, </w:t>
      </w:r>
      <w:bookmarkStart w:id="0" w:name="_GoBack"/>
      <w:r w:rsidRPr="007549E1">
        <w:rPr>
          <w:b/>
          <w:color w:val="0D0D0D"/>
        </w:rPr>
        <w:t xml:space="preserve">Ayuntamiento de </w:t>
      </w:r>
      <w:r w:rsidRPr="007549E1">
        <w:rPr>
          <w:b/>
        </w:rPr>
        <w:t>Atenco</w:t>
      </w:r>
      <w:bookmarkEnd w:id="0"/>
      <w:r>
        <w:t>,</w:t>
      </w:r>
      <w:r>
        <w:rPr>
          <w:color w:val="0D0D0D"/>
        </w:rPr>
        <w:t xml:space="preserve"> a la solicitud de acceso a la información pública </w:t>
      </w:r>
      <w:r>
        <w:t>00148/ATENCO/IP/2025</w:t>
      </w:r>
      <w:r>
        <w:rPr>
          <w:color w:val="000000"/>
        </w:rPr>
        <w:t xml:space="preserve">, </w:t>
      </w:r>
      <w:r>
        <w:rPr>
          <w:color w:val="0D0D0D"/>
        </w:rPr>
        <w:t>se emite la presente Resolución, con base en los Antecedentes y Considerandos que se exponen a continuación:</w:t>
      </w:r>
    </w:p>
    <w:p w14:paraId="6834BCCB" w14:textId="77777777" w:rsidR="00C14508" w:rsidRDefault="00C14508">
      <w:pPr>
        <w:spacing w:after="0" w:line="360" w:lineRule="auto"/>
        <w:rPr>
          <w:b/>
          <w:bCs/>
        </w:rPr>
      </w:pPr>
    </w:p>
    <w:p w14:paraId="4A3B9E8C" w14:textId="77777777" w:rsidR="00C14508" w:rsidRDefault="003F05B8">
      <w:pPr>
        <w:pStyle w:val="Ttulo1"/>
        <w:spacing w:before="0" w:after="0" w:line="360" w:lineRule="auto"/>
        <w:jc w:val="center"/>
        <w:rPr>
          <w:sz w:val="22"/>
          <w:szCs w:val="22"/>
        </w:rPr>
      </w:pPr>
      <w:bookmarkStart w:id="1" w:name="_heading=h.manorm79zpt2" w:colFirst="0" w:colLast="0"/>
      <w:bookmarkStart w:id="2" w:name="_Toc216963819"/>
      <w:bookmarkEnd w:id="1"/>
      <w:r>
        <w:rPr>
          <w:sz w:val="22"/>
          <w:szCs w:val="22"/>
        </w:rPr>
        <w:t>A N T E C E D E N T E S</w:t>
      </w:r>
      <w:bookmarkEnd w:id="2"/>
    </w:p>
    <w:p w14:paraId="6C3E42CA" w14:textId="77777777" w:rsidR="00C14508" w:rsidRDefault="00C14508">
      <w:pPr>
        <w:spacing w:after="0" w:line="360" w:lineRule="auto"/>
        <w:jc w:val="center"/>
        <w:rPr>
          <w:b/>
          <w:bCs/>
        </w:rPr>
      </w:pPr>
    </w:p>
    <w:p w14:paraId="2B9528BC" w14:textId="77777777" w:rsidR="00C14508" w:rsidRDefault="003F05B8">
      <w:pPr>
        <w:pStyle w:val="Ttulo2"/>
        <w:spacing w:before="0" w:after="0" w:line="360" w:lineRule="auto"/>
        <w:rPr>
          <w:sz w:val="22"/>
          <w:szCs w:val="22"/>
        </w:rPr>
      </w:pPr>
      <w:bookmarkStart w:id="3" w:name="_heading=h.94vp3985c3ak" w:colFirst="0" w:colLast="0"/>
      <w:bookmarkStart w:id="4" w:name="_Toc216963820"/>
      <w:bookmarkEnd w:id="3"/>
      <w:r>
        <w:rPr>
          <w:sz w:val="22"/>
          <w:szCs w:val="22"/>
        </w:rPr>
        <w:t>I. Presentación de la solicitud de información</w:t>
      </w:r>
      <w:bookmarkEnd w:id="4"/>
    </w:p>
    <w:p w14:paraId="144876C3" w14:textId="77777777" w:rsidR="00C14508" w:rsidRDefault="00C14508">
      <w:pPr>
        <w:tabs>
          <w:tab w:val="left" w:pos="567"/>
        </w:tabs>
        <w:spacing w:after="0" w:line="360" w:lineRule="auto"/>
      </w:pPr>
    </w:p>
    <w:p w14:paraId="3B00CEBD" w14:textId="77777777" w:rsidR="00C14508" w:rsidRDefault="003F05B8">
      <w:pPr>
        <w:spacing w:after="0" w:line="360" w:lineRule="auto"/>
      </w:pPr>
      <w:r>
        <w:t xml:space="preserve">El catorce de noviembre de dos mil veinticinco, el Particular presentó una solicitud de acceso a la información pública, a través del Sistema de Acceso a la Información Mexiquense (SAIMEX), ante el Ayuntamiento de Atenco, en los siguientes términos: </w:t>
      </w:r>
    </w:p>
    <w:p w14:paraId="2907EF78" w14:textId="77777777" w:rsidR="00C14508" w:rsidRDefault="00C14508">
      <w:pPr>
        <w:spacing w:after="0" w:line="360" w:lineRule="auto"/>
      </w:pPr>
    </w:p>
    <w:p w14:paraId="307A9B06" w14:textId="77777777" w:rsidR="00C14508" w:rsidRDefault="003F05B8">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6A99F325" w14:textId="77777777" w:rsidR="00C14508" w:rsidRDefault="003F05B8">
      <w:pPr>
        <w:tabs>
          <w:tab w:val="left" w:pos="4667"/>
        </w:tabs>
        <w:spacing w:after="0" w:line="360" w:lineRule="auto"/>
        <w:ind w:left="567" w:right="567"/>
        <w:rPr>
          <w:i/>
          <w:iCs/>
          <w:sz w:val="20"/>
          <w:szCs w:val="20"/>
        </w:rPr>
      </w:pPr>
      <w:r>
        <w:rPr>
          <w:i/>
          <w:iCs/>
          <w:sz w:val="20"/>
          <w:szCs w:val="20"/>
        </w:rPr>
        <w:t xml:space="preserve">Solicito saber </w:t>
      </w:r>
      <w:proofErr w:type="spellStart"/>
      <w:r>
        <w:rPr>
          <w:i/>
          <w:iCs/>
          <w:sz w:val="20"/>
          <w:szCs w:val="20"/>
        </w:rPr>
        <w:t>cuanto</w:t>
      </w:r>
      <w:proofErr w:type="spellEnd"/>
      <w:r>
        <w:rPr>
          <w:i/>
          <w:iCs/>
          <w:sz w:val="20"/>
          <w:szCs w:val="20"/>
        </w:rPr>
        <w:t xml:space="preserve"> se ha gastado en papelería en lo que lleva del año (enero-octubre)2025, facturas del o proveedores que surten a la dirección de administración y/o adquisiciones de la papelería que se ha adquirido que sea visible.” (Sic.)</w:t>
      </w:r>
    </w:p>
    <w:p w14:paraId="2F11B499" w14:textId="77777777" w:rsidR="00C14508" w:rsidRDefault="00C14508">
      <w:pPr>
        <w:tabs>
          <w:tab w:val="left" w:pos="4667"/>
        </w:tabs>
        <w:spacing w:after="0" w:line="360" w:lineRule="auto"/>
        <w:ind w:left="567" w:right="567"/>
        <w:rPr>
          <w:b/>
          <w:bCs/>
          <w:i/>
          <w:iCs/>
          <w:sz w:val="20"/>
          <w:szCs w:val="20"/>
        </w:rPr>
      </w:pPr>
    </w:p>
    <w:p w14:paraId="554A2979" w14:textId="77777777" w:rsidR="00C14508" w:rsidRDefault="003F05B8">
      <w:pPr>
        <w:tabs>
          <w:tab w:val="left" w:pos="4667"/>
        </w:tabs>
        <w:spacing w:after="0" w:line="360" w:lineRule="auto"/>
        <w:ind w:left="567" w:right="567"/>
        <w:rPr>
          <w:b/>
          <w:bCs/>
          <w:i/>
          <w:iCs/>
          <w:sz w:val="20"/>
          <w:szCs w:val="20"/>
        </w:rPr>
      </w:pPr>
      <w:r>
        <w:rPr>
          <w:b/>
          <w:bCs/>
          <w:i/>
          <w:iCs/>
          <w:sz w:val="20"/>
          <w:szCs w:val="20"/>
        </w:rPr>
        <w:t>“MODALIDAD DE ENTREGA</w:t>
      </w:r>
    </w:p>
    <w:p w14:paraId="1925E345" w14:textId="77777777" w:rsidR="00C14508" w:rsidRDefault="003F05B8">
      <w:pPr>
        <w:spacing w:after="0" w:line="360" w:lineRule="auto"/>
        <w:ind w:left="567" w:right="567"/>
        <w:rPr>
          <w:i/>
          <w:iCs/>
          <w:sz w:val="20"/>
          <w:szCs w:val="20"/>
        </w:rPr>
      </w:pPr>
      <w:r>
        <w:rPr>
          <w:i/>
          <w:iCs/>
          <w:sz w:val="20"/>
          <w:szCs w:val="20"/>
        </w:rPr>
        <w:t>A través del SAIMEX”</w:t>
      </w:r>
    </w:p>
    <w:p w14:paraId="5D8C9F83" w14:textId="77777777" w:rsidR="00C14508" w:rsidRDefault="00C14508">
      <w:pPr>
        <w:spacing w:after="0" w:line="360" w:lineRule="auto"/>
        <w:ind w:left="567" w:right="567"/>
        <w:rPr>
          <w:i/>
          <w:iCs/>
          <w:sz w:val="20"/>
          <w:szCs w:val="20"/>
        </w:rPr>
      </w:pPr>
    </w:p>
    <w:p w14:paraId="76D04F6F" w14:textId="77777777" w:rsidR="00C14508" w:rsidRDefault="00C14508">
      <w:pPr>
        <w:spacing w:after="0" w:line="360" w:lineRule="auto"/>
        <w:ind w:left="567" w:right="567"/>
        <w:rPr>
          <w:i/>
          <w:iCs/>
          <w:sz w:val="20"/>
          <w:szCs w:val="20"/>
        </w:rPr>
      </w:pPr>
    </w:p>
    <w:p w14:paraId="30845647" w14:textId="77777777" w:rsidR="00C14508" w:rsidRDefault="00C14508">
      <w:pPr>
        <w:spacing w:after="0" w:line="360" w:lineRule="auto"/>
        <w:ind w:left="567" w:right="567"/>
        <w:rPr>
          <w:i/>
          <w:iCs/>
          <w:sz w:val="20"/>
          <w:szCs w:val="20"/>
        </w:rPr>
      </w:pPr>
    </w:p>
    <w:p w14:paraId="5FEEAC7F" w14:textId="77777777" w:rsidR="00C14508" w:rsidRDefault="00C14508">
      <w:pPr>
        <w:spacing w:after="0" w:line="360" w:lineRule="auto"/>
        <w:ind w:right="567"/>
        <w:rPr>
          <w:i/>
          <w:iCs/>
          <w:sz w:val="20"/>
          <w:szCs w:val="20"/>
        </w:rPr>
      </w:pPr>
    </w:p>
    <w:p w14:paraId="625C61A5" w14:textId="77777777" w:rsidR="00C14508" w:rsidRDefault="003F05B8">
      <w:pPr>
        <w:pStyle w:val="Ttulo2"/>
        <w:spacing w:before="0" w:after="0" w:line="360" w:lineRule="auto"/>
        <w:rPr>
          <w:sz w:val="22"/>
          <w:szCs w:val="22"/>
        </w:rPr>
      </w:pPr>
      <w:bookmarkStart w:id="5" w:name="_heading=h.61se9e1x46hv" w:colFirst="0" w:colLast="0"/>
      <w:bookmarkStart w:id="6" w:name="_Toc216963821"/>
      <w:bookmarkEnd w:id="5"/>
      <w:r>
        <w:rPr>
          <w:sz w:val="22"/>
          <w:szCs w:val="22"/>
        </w:rPr>
        <w:t>II. Respuesta del Sujeto Obligado</w:t>
      </w:r>
      <w:bookmarkEnd w:id="6"/>
    </w:p>
    <w:p w14:paraId="0D1AEB29" w14:textId="77777777" w:rsidR="00C14508" w:rsidRDefault="00C14508">
      <w:pPr>
        <w:spacing w:after="0" w:line="360" w:lineRule="auto"/>
        <w:rPr>
          <w:b/>
          <w:bCs/>
        </w:rPr>
      </w:pPr>
    </w:p>
    <w:p w14:paraId="5CBC2CCE" w14:textId="77777777" w:rsidR="00C14508" w:rsidRDefault="003F05B8">
      <w:pPr>
        <w:spacing w:after="0" w:line="360" w:lineRule="auto"/>
      </w:pPr>
      <w:r>
        <w:t>El doce de febrero de dos mil veinticinco, el Sujeto Obligado notificó, a través del Sistema de Acceso a la Información Mexiquense (SAIMEX), la respuesta a la solicitud de acceso a la información pública, a través del siguiente documento:</w:t>
      </w:r>
    </w:p>
    <w:p w14:paraId="3A0FBB6B" w14:textId="77777777" w:rsidR="00C14508" w:rsidRDefault="00C14508">
      <w:pPr>
        <w:spacing w:after="0" w:line="360" w:lineRule="auto"/>
      </w:pPr>
    </w:p>
    <w:p w14:paraId="0895D6E2" w14:textId="77777777" w:rsidR="00C14508" w:rsidRDefault="003F05B8">
      <w:pPr>
        <w:numPr>
          <w:ilvl w:val="0"/>
          <w:numId w:val="7"/>
        </w:numPr>
        <w:pBdr>
          <w:top w:val="nil"/>
          <w:left w:val="nil"/>
          <w:bottom w:val="nil"/>
          <w:right w:val="nil"/>
          <w:between w:val="nil"/>
        </w:pBdr>
        <w:spacing w:after="0" w:line="360" w:lineRule="auto"/>
      </w:pPr>
      <w:r>
        <w:rPr>
          <w:color w:val="000000"/>
        </w:rPr>
        <w:t xml:space="preserve">Oficio con número ATE/ADM/0377/2025, del diecinueve de noviembre de dos mil veinticinco, suscrito por el Director de Administración y dirigido al Titular de la Unidad de Transparencia, por medio del cual refiere lo siguiente:  </w:t>
      </w:r>
    </w:p>
    <w:p w14:paraId="77615BDD" w14:textId="77777777" w:rsidR="00C14508" w:rsidRDefault="00C14508">
      <w:pPr>
        <w:pBdr>
          <w:top w:val="nil"/>
          <w:left w:val="nil"/>
          <w:bottom w:val="nil"/>
          <w:right w:val="nil"/>
          <w:between w:val="nil"/>
        </w:pBdr>
        <w:spacing w:after="0" w:line="360" w:lineRule="auto"/>
        <w:ind w:left="720"/>
        <w:rPr>
          <w:color w:val="000000"/>
        </w:rPr>
      </w:pPr>
    </w:p>
    <w:p w14:paraId="6D0E1D3A" w14:textId="77777777" w:rsidR="00C14508" w:rsidRDefault="003F05B8">
      <w:pPr>
        <w:spacing w:after="0" w:line="360" w:lineRule="auto"/>
        <w:ind w:left="360"/>
        <w:rPr>
          <w:i/>
          <w:iCs/>
          <w:sz w:val="20"/>
          <w:szCs w:val="20"/>
        </w:rPr>
      </w:pPr>
      <w:r>
        <w:t>“</w:t>
      </w:r>
      <w:r>
        <w:rPr>
          <w:i/>
          <w:iCs/>
          <w:sz w:val="20"/>
          <w:szCs w:val="20"/>
        </w:rPr>
        <w:t>Derivado de la solicitud y para fines necesarios, se anexa la información solicitada, integrada por las facturas correspondientes al periodo de enero a octubre, relativas a la papelería surtida a la Dirección de Administración. Se entregan siete facturas con folios A, 213 A279, A 283, A 300, A 278, A 309, A 340.”</w:t>
      </w:r>
    </w:p>
    <w:p w14:paraId="5184224B" w14:textId="77777777" w:rsidR="00C14508" w:rsidRDefault="00C14508">
      <w:pPr>
        <w:spacing w:after="0" w:line="360" w:lineRule="auto"/>
        <w:ind w:left="360"/>
        <w:rPr>
          <w:i/>
          <w:iCs/>
          <w:sz w:val="20"/>
          <w:szCs w:val="20"/>
        </w:rPr>
      </w:pPr>
    </w:p>
    <w:p w14:paraId="55248A8F" w14:textId="77777777" w:rsidR="00C14508" w:rsidRDefault="003F05B8">
      <w:pPr>
        <w:numPr>
          <w:ilvl w:val="0"/>
          <w:numId w:val="7"/>
        </w:numPr>
        <w:pBdr>
          <w:top w:val="nil"/>
          <w:left w:val="nil"/>
          <w:bottom w:val="nil"/>
          <w:right w:val="nil"/>
          <w:between w:val="nil"/>
        </w:pBdr>
        <w:spacing w:after="0" w:line="360" w:lineRule="auto"/>
      </w:pPr>
      <w:r>
        <w:rPr>
          <w:color w:val="000000"/>
        </w:rPr>
        <w:t>Remitió 11 facturas correspondientes a la papelería surtida.</w:t>
      </w:r>
    </w:p>
    <w:p w14:paraId="75E47EB1" w14:textId="77777777" w:rsidR="00C14508" w:rsidRDefault="00C14508">
      <w:pPr>
        <w:spacing w:after="0" w:line="360" w:lineRule="auto"/>
      </w:pPr>
    </w:p>
    <w:p w14:paraId="59DD37F9" w14:textId="77777777" w:rsidR="00C14508" w:rsidRDefault="003F05B8">
      <w:pPr>
        <w:pStyle w:val="Ttulo2"/>
        <w:spacing w:before="0" w:after="0" w:line="360" w:lineRule="auto"/>
        <w:rPr>
          <w:sz w:val="22"/>
          <w:szCs w:val="22"/>
        </w:rPr>
      </w:pPr>
      <w:bookmarkStart w:id="7" w:name="_heading=h.t3azx73cx3dw" w:colFirst="0" w:colLast="0"/>
      <w:bookmarkStart w:id="8" w:name="_Toc216963822"/>
      <w:bookmarkEnd w:id="7"/>
      <w:r>
        <w:rPr>
          <w:sz w:val="22"/>
          <w:szCs w:val="22"/>
        </w:rPr>
        <w:t>III. Interposición del Recurso de Revisión</w:t>
      </w:r>
      <w:bookmarkEnd w:id="8"/>
    </w:p>
    <w:p w14:paraId="16B9260C" w14:textId="77777777" w:rsidR="00C14508" w:rsidRDefault="00C14508">
      <w:pPr>
        <w:spacing w:after="0" w:line="360" w:lineRule="auto"/>
        <w:rPr>
          <w:b/>
          <w:bCs/>
        </w:rPr>
      </w:pPr>
    </w:p>
    <w:p w14:paraId="57F564FD" w14:textId="77777777" w:rsidR="00C14508" w:rsidRDefault="003F05B8">
      <w:pPr>
        <w:spacing w:after="0" w:line="360" w:lineRule="auto"/>
        <w:rPr>
          <w:color w:val="000000"/>
        </w:rPr>
      </w:pPr>
      <w:r>
        <w:rPr>
          <w:color w:val="000000"/>
        </w:rPr>
        <w:t xml:space="preserve">Con fecha veintisiete de noviembre de dos mil veinticinco, se recibió en este Instituto, a través del Sistema de Acceso a la Información Mexiquense (SAIMEX), el Recurso de Revisión interpuesto por la persona Recurrente, en contra de la respuesta del Sujeto Obligado en los siguientes términos: </w:t>
      </w:r>
    </w:p>
    <w:p w14:paraId="7C301473" w14:textId="77777777" w:rsidR="00C14508" w:rsidRDefault="00C14508">
      <w:pPr>
        <w:spacing w:after="0" w:line="360" w:lineRule="auto"/>
        <w:ind w:left="567" w:right="567"/>
        <w:rPr>
          <w:b/>
          <w:bCs/>
          <w:i/>
          <w:iCs/>
          <w:sz w:val="20"/>
          <w:szCs w:val="20"/>
        </w:rPr>
      </w:pPr>
    </w:p>
    <w:p w14:paraId="5B8D781C" w14:textId="77777777" w:rsidR="00C14508" w:rsidRDefault="003F05B8">
      <w:pPr>
        <w:spacing w:after="0" w:line="360" w:lineRule="auto"/>
        <w:ind w:left="567" w:right="567"/>
        <w:rPr>
          <w:i/>
          <w:iCs/>
          <w:sz w:val="20"/>
          <w:szCs w:val="20"/>
        </w:rPr>
      </w:pPr>
      <w:r>
        <w:rPr>
          <w:b/>
          <w:bCs/>
          <w:i/>
          <w:iCs/>
          <w:sz w:val="20"/>
          <w:szCs w:val="20"/>
        </w:rPr>
        <w:t>“ACTO IMPUGNADO</w:t>
      </w:r>
    </w:p>
    <w:p w14:paraId="5D45BF95" w14:textId="77777777" w:rsidR="00C14508" w:rsidRDefault="003F05B8">
      <w:pPr>
        <w:spacing w:after="0" w:line="360" w:lineRule="auto"/>
        <w:ind w:left="567" w:right="567"/>
        <w:rPr>
          <w:i/>
          <w:iCs/>
          <w:sz w:val="20"/>
          <w:szCs w:val="20"/>
        </w:rPr>
      </w:pPr>
      <w:r>
        <w:rPr>
          <w:i/>
          <w:iCs/>
          <w:sz w:val="20"/>
          <w:szCs w:val="20"/>
        </w:rPr>
        <w:lastRenderedPageBreak/>
        <w:t>El sujeto obligado se niega a dar la información, vulnerando mi derecho señalado en la constitución y leyes aplicables a la ley de transparencia, ya que con toda premeditación los documentos que anexan no son legibles” (Sic.)</w:t>
      </w:r>
    </w:p>
    <w:p w14:paraId="57D3A92B" w14:textId="77777777" w:rsidR="00C14508" w:rsidRDefault="00C14508">
      <w:pPr>
        <w:spacing w:after="0" w:line="360" w:lineRule="auto"/>
        <w:ind w:left="567" w:right="567"/>
        <w:rPr>
          <w:i/>
          <w:iCs/>
          <w:sz w:val="20"/>
          <w:szCs w:val="20"/>
        </w:rPr>
      </w:pPr>
    </w:p>
    <w:p w14:paraId="6E0DC1FE" w14:textId="77777777" w:rsidR="00C14508" w:rsidRDefault="003F05B8">
      <w:pPr>
        <w:spacing w:after="0" w:line="360" w:lineRule="auto"/>
        <w:ind w:left="567" w:right="567"/>
        <w:rPr>
          <w:b/>
          <w:bCs/>
          <w:i/>
          <w:iCs/>
          <w:sz w:val="20"/>
          <w:szCs w:val="20"/>
        </w:rPr>
      </w:pPr>
      <w:r>
        <w:rPr>
          <w:b/>
          <w:bCs/>
          <w:i/>
          <w:iCs/>
          <w:sz w:val="20"/>
          <w:szCs w:val="20"/>
        </w:rPr>
        <w:t>“RAZONES O MOTIVOS DE LA INCONFORMIDAD</w:t>
      </w:r>
    </w:p>
    <w:p w14:paraId="20D81247" w14:textId="77777777" w:rsidR="00C14508" w:rsidRDefault="003F05B8">
      <w:pPr>
        <w:spacing w:after="0" w:line="360" w:lineRule="auto"/>
        <w:ind w:left="567" w:right="567" w:firstLine="32"/>
        <w:rPr>
          <w:i/>
          <w:iCs/>
          <w:sz w:val="20"/>
          <w:szCs w:val="20"/>
        </w:rPr>
      </w:pPr>
      <w:r>
        <w:rPr>
          <w:i/>
          <w:iCs/>
          <w:sz w:val="20"/>
          <w:szCs w:val="20"/>
        </w:rPr>
        <w:t>El sujeto obligado se niega a dar la información, vulnerando mi derecho señalado en la constitución y leyes aplicables a la ley de transparencia, ya que con toda premeditación los documentos que anexan no son legibles” (Sic.)</w:t>
      </w:r>
    </w:p>
    <w:p w14:paraId="1C4201F1" w14:textId="77777777" w:rsidR="00C14508" w:rsidRDefault="00C14508">
      <w:pPr>
        <w:spacing w:after="0" w:line="360" w:lineRule="auto"/>
        <w:ind w:left="567" w:right="567" w:firstLine="32"/>
        <w:rPr>
          <w:i/>
          <w:iCs/>
          <w:sz w:val="20"/>
          <w:szCs w:val="20"/>
        </w:rPr>
      </w:pPr>
    </w:p>
    <w:p w14:paraId="2B512D5B" w14:textId="77777777" w:rsidR="00C14508" w:rsidRDefault="003F05B8">
      <w:pPr>
        <w:pStyle w:val="Ttulo2"/>
        <w:spacing w:before="0" w:after="0" w:line="360" w:lineRule="auto"/>
        <w:rPr>
          <w:sz w:val="22"/>
          <w:szCs w:val="22"/>
        </w:rPr>
      </w:pPr>
      <w:bookmarkStart w:id="9" w:name="_heading=h.2y8qmfngdos0" w:colFirst="0" w:colLast="0"/>
      <w:bookmarkStart w:id="10" w:name="_Toc216963823"/>
      <w:bookmarkEnd w:id="9"/>
      <w:r>
        <w:rPr>
          <w:sz w:val="22"/>
          <w:szCs w:val="22"/>
        </w:rPr>
        <w:t>IV. Trámite del Recurso de Revisión ante este Instituto</w:t>
      </w:r>
      <w:bookmarkEnd w:id="10"/>
    </w:p>
    <w:p w14:paraId="6445B560" w14:textId="77777777" w:rsidR="00C14508" w:rsidRDefault="00C14508">
      <w:pPr>
        <w:spacing w:after="0" w:line="360" w:lineRule="auto"/>
        <w:rPr>
          <w:b/>
          <w:bCs/>
        </w:rPr>
      </w:pPr>
    </w:p>
    <w:p w14:paraId="614C225A" w14:textId="77777777" w:rsidR="00C14508" w:rsidRDefault="003F05B8">
      <w:pPr>
        <w:spacing w:after="0" w:line="360" w:lineRule="auto"/>
      </w:pPr>
      <w:r>
        <w:rPr>
          <w:b/>
          <w:bCs/>
        </w:rPr>
        <w:t>a) Turno del Medio de Impugnación.</w:t>
      </w:r>
      <w:r>
        <w:t xml:space="preserve"> El veintisiete de noviembre de dos mil veinticinco, el Sistema de Acceso a la Información Mexiquense (SAIMEX), asignó el número de expediente </w:t>
      </w:r>
      <w:r>
        <w:rPr>
          <w:b/>
          <w:bCs/>
        </w:rPr>
        <w:t>13291/INFOEM/IP/RR/2025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40CEC7EA" w14:textId="77777777" w:rsidR="00C14508" w:rsidRDefault="00C14508">
      <w:pPr>
        <w:spacing w:after="0" w:line="360" w:lineRule="auto"/>
        <w:rPr>
          <w:b/>
          <w:bCs/>
        </w:rPr>
      </w:pPr>
    </w:p>
    <w:p w14:paraId="57D82117" w14:textId="77777777" w:rsidR="00C14508" w:rsidRDefault="003F05B8">
      <w:pPr>
        <w:spacing w:after="0" w:line="360" w:lineRule="auto"/>
      </w:pPr>
      <w:r>
        <w:rPr>
          <w:b/>
          <w:bCs/>
        </w:rPr>
        <w:t xml:space="preserve">b) Admisión del Recurso de Revisión. </w:t>
      </w:r>
      <w:r>
        <w:t>El dos de diciembre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197A5B54" w14:textId="77777777" w:rsidR="00C14508" w:rsidRDefault="003F05B8">
      <w:pPr>
        <w:spacing w:after="0" w:line="360" w:lineRule="auto"/>
      </w:pPr>
      <w:bookmarkStart w:id="11" w:name="_heading=h.izgjwjfzr4rl" w:colFirst="0" w:colLast="0"/>
      <w:bookmarkEnd w:id="11"/>
      <w:r>
        <w:t xml:space="preserve"> </w:t>
      </w:r>
    </w:p>
    <w:p w14:paraId="060E758B" w14:textId="77777777" w:rsidR="00C14508" w:rsidRDefault="00C14508">
      <w:pPr>
        <w:spacing w:after="0" w:line="360" w:lineRule="auto"/>
      </w:pPr>
    </w:p>
    <w:p w14:paraId="73C008AB" w14:textId="77777777" w:rsidR="00C14508" w:rsidRDefault="00C14508">
      <w:pPr>
        <w:spacing w:after="0" w:line="360" w:lineRule="auto"/>
      </w:pPr>
    </w:p>
    <w:p w14:paraId="29198AA6" w14:textId="77777777" w:rsidR="00C14508" w:rsidRDefault="003F05B8">
      <w:pPr>
        <w:spacing w:after="0" w:line="360" w:lineRule="auto"/>
      </w:pPr>
      <w:r>
        <w:rPr>
          <w:b/>
          <w:bCs/>
        </w:rPr>
        <w:t xml:space="preserve">c) Informe Justificado o manifestaciones. </w:t>
      </w:r>
      <w:r>
        <w:t>Las partes fueron omisas en realizar manifestaciones o alegatos.</w:t>
      </w:r>
    </w:p>
    <w:p w14:paraId="53E8C5F7" w14:textId="77777777" w:rsidR="00C14508" w:rsidRDefault="00C14508">
      <w:pPr>
        <w:spacing w:after="0" w:line="360" w:lineRule="auto"/>
        <w:rPr>
          <w:b/>
          <w:bCs/>
          <w:color w:val="000000"/>
        </w:rPr>
      </w:pPr>
    </w:p>
    <w:p w14:paraId="23FF6F65" w14:textId="77777777" w:rsidR="00C14508" w:rsidRDefault="003F05B8">
      <w:pPr>
        <w:spacing w:after="0" w:line="360" w:lineRule="auto"/>
      </w:pPr>
      <w:r>
        <w:rPr>
          <w:b/>
          <w:bCs/>
          <w:color w:val="000000"/>
        </w:rPr>
        <w:t xml:space="preserve">d) </w:t>
      </w:r>
      <w:r>
        <w:rPr>
          <w:b/>
          <w:bCs/>
        </w:rPr>
        <w:t>Cierre de instrucción.</w:t>
      </w:r>
      <w:r>
        <w:t xml:space="preserve"> El doce de diciembre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1961474A" w14:textId="77777777" w:rsidR="00C14508" w:rsidRDefault="00C14508">
      <w:pPr>
        <w:spacing w:after="0" w:line="360" w:lineRule="auto"/>
      </w:pPr>
    </w:p>
    <w:p w14:paraId="43F8B44E" w14:textId="77777777" w:rsidR="00C14508" w:rsidRDefault="003F05B8">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3729E6AF" w14:textId="77777777" w:rsidR="00C14508" w:rsidRDefault="00C14508">
      <w:pPr>
        <w:spacing w:after="0" w:line="360" w:lineRule="auto"/>
        <w:rPr>
          <w:color w:val="000000"/>
        </w:rPr>
      </w:pPr>
    </w:p>
    <w:p w14:paraId="5D8392F3" w14:textId="77777777" w:rsidR="00C14508" w:rsidRDefault="003F05B8">
      <w:pPr>
        <w:pStyle w:val="Ttulo1"/>
        <w:spacing w:before="0" w:after="0" w:line="360" w:lineRule="auto"/>
        <w:jc w:val="center"/>
        <w:rPr>
          <w:sz w:val="22"/>
          <w:szCs w:val="22"/>
        </w:rPr>
      </w:pPr>
      <w:bookmarkStart w:id="12" w:name="_heading=h.9wl4x1pcodyk" w:colFirst="0" w:colLast="0"/>
      <w:bookmarkStart w:id="13" w:name="_Toc216963824"/>
      <w:bookmarkEnd w:id="12"/>
      <w:r>
        <w:rPr>
          <w:sz w:val="22"/>
          <w:szCs w:val="22"/>
        </w:rPr>
        <w:t>C O N S I D E R A N D O S</w:t>
      </w:r>
      <w:bookmarkEnd w:id="13"/>
    </w:p>
    <w:p w14:paraId="1BA96A24" w14:textId="77777777" w:rsidR="00C14508" w:rsidRDefault="00C14508">
      <w:pPr>
        <w:spacing w:after="0" w:line="360" w:lineRule="auto"/>
        <w:jc w:val="center"/>
        <w:rPr>
          <w:b/>
          <w:bCs/>
          <w:color w:val="000000"/>
        </w:rPr>
      </w:pPr>
    </w:p>
    <w:p w14:paraId="4D59B634" w14:textId="77777777" w:rsidR="00C14508" w:rsidRDefault="003F05B8">
      <w:pPr>
        <w:pStyle w:val="Ttulo2"/>
        <w:spacing w:before="0" w:after="0" w:line="360" w:lineRule="auto"/>
        <w:rPr>
          <w:sz w:val="22"/>
          <w:szCs w:val="22"/>
        </w:rPr>
      </w:pPr>
      <w:bookmarkStart w:id="14" w:name="_heading=h.w2v5az2sjh5m" w:colFirst="0" w:colLast="0"/>
      <w:bookmarkStart w:id="15" w:name="_Toc216963825"/>
      <w:bookmarkEnd w:id="14"/>
      <w:r>
        <w:rPr>
          <w:sz w:val="22"/>
          <w:szCs w:val="22"/>
        </w:rPr>
        <w:t>PRIMERO. Competencia</w:t>
      </w:r>
      <w:bookmarkEnd w:id="15"/>
    </w:p>
    <w:p w14:paraId="05AFBB8A" w14:textId="77777777" w:rsidR="00C14508" w:rsidRDefault="00C14508">
      <w:pPr>
        <w:spacing w:after="0" w:line="360" w:lineRule="auto"/>
        <w:rPr>
          <w:b/>
          <w:bCs/>
          <w:color w:val="000000"/>
        </w:rPr>
      </w:pPr>
    </w:p>
    <w:p w14:paraId="41BA5E05" w14:textId="77777777" w:rsidR="00C14508" w:rsidRDefault="003F05B8">
      <w:pPr>
        <w:spacing w:after="0" w:line="360" w:lineRule="auto"/>
      </w:pPr>
      <w:bookmarkStart w:id="16" w:name="_heading=h.30j0zll" w:colFirst="0" w:colLast="0"/>
      <w:bookmarkEnd w:id="16"/>
      <w: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w:t>
      </w:r>
      <w:r>
        <w:lastRenderedPageBreak/>
        <w:t>Estado de México y Municipios; 7°, 9°, fracciones I y XXIII y 11 del Reglamento Interior del Instituto de Transparencia, Acceso a la Información Pública y Protección de Datos Personales del Estado de México y Municipios.</w:t>
      </w:r>
    </w:p>
    <w:p w14:paraId="25B5CB32" w14:textId="77777777" w:rsidR="00C14508" w:rsidRDefault="00C14508">
      <w:pPr>
        <w:spacing w:after="0" w:line="360" w:lineRule="auto"/>
        <w:rPr>
          <w:b/>
          <w:bCs/>
          <w:color w:val="000000"/>
        </w:rPr>
      </w:pPr>
    </w:p>
    <w:p w14:paraId="4A410DC9" w14:textId="77777777" w:rsidR="00C14508" w:rsidRDefault="003F05B8">
      <w:pPr>
        <w:pStyle w:val="Ttulo2"/>
        <w:spacing w:before="0" w:after="0" w:line="360" w:lineRule="auto"/>
        <w:rPr>
          <w:sz w:val="22"/>
          <w:szCs w:val="22"/>
        </w:rPr>
      </w:pPr>
      <w:bookmarkStart w:id="17" w:name="_heading=h.iejpc2f8ljw3" w:colFirst="0" w:colLast="0"/>
      <w:bookmarkStart w:id="18" w:name="_Toc216963826"/>
      <w:bookmarkEnd w:id="17"/>
      <w:r>
        <w:rPr>
          <w:sz w:val="22"/>
          <w:szCs w:val="22"/>
        </w:rPr>
        <w:t>SEGUNDO. Causales de improcedencia y sobreseimiento</w:t>
      </w:r>
      <w:bookmarkEnd w:id="18"/>
    </w:p>
    <w:p w14:paraId="3CBAC2F1" w14:textId="77777777" w:rsidR="00C14508" w:rsidRDefault="00C14508">
      <w:pPr>
        <w:spacing w:after="0" w:line="360" w:lineRule="auto"/>
        <w:rPr>
          <w:color w:val="000000"/>
        </w:rPr>
      </w:pPr>
    </w:p>
    <w:p w14:paraId="63D5791B" w14:textId="77777777" w:rsidR="00C14508" w:rsidRDefault="003F05B8">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0F93EDAF" w14:textId="77777777" w:rsidR="00C14508" w:rsidRDefault="00C14508">
      <w:pPr>
        <w:spacing w:after="0" w:line="360" w:lineRule="auto"/>
        <w:rPr>
          <w:color w:val="000000"/>
        </w:rPr>
      </w:pPr>
    </w:p>
    <w:p w14:paraId="39120321" w14:textId="77777777" w:rsidR="00C14508" w:rsidRDefault="003F05B8">
      <w:pPr>
        <w:spacing w:after="0" w:line="360" w:lineRule="auto"/>
        <w:rPr>
          <w:b/>
          <w:bCs/>
        </w:rPr>
      </w:pPr>
      <w:r>
        <w:rPr>
          <w:b/>
          <w:bCs/>
        </w:rPr>
        <w:t>Causales de improcedencia</w:t>
      </w:r>
    </w:p>
    <w:p w14:paraId="030ED771" w14:textId="77777777" w:rsidR="00C14508" w:rsidRDefault="00C14508">
      <w:pPr>
        <w:spacing w:after="0" w:line="360" w:lineRule="auto"/>
      </w:pPr>
    </w:p>
    <w:p w14:paraId="6B6BC458" w14:textId="77777777" w:rsidR="00C14508" w:rsidRDefault="003F05B8">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05849F3" w14:textId="77777777" w:rsidR="00C14508" w:rsidRDefault="00C14508">
      <w:pPr>
        <w:spacing w:after="0" w:line="360" w:lineRule="auto"/>
        <w:rPr>
          <w:color w:val="000000"/>
        </w:rPr>
      </w:pPr>
    </w:p>
    <w:p w14:paraId="7619C1EC" w14:textId="77777777" w:rsidR="00C14508" w:rsidRDefault="003F05B8">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553161FC" w14:textId="77777777" w:rsidR="00C14508" w:rsidRDefault="00C14508">
      <w:pPr>
        <w:spacing w:after="0" w:line="360" w:lineRule="auto"/>
        <w:rPr>
          <w:color w:val="000000"/>
        </w:rPr>
      </w:pPr>
    </w:p>
    <w:p w14:paraId="6288E613" w14:textId="77777777" w:rsidR="00C14508" w:rsidRDefault="003F05B8">
      <w:pPr>
        <w:spacing w:after="0" w:line="360" w:lineRule="auto"/>
      </w:pPr>
      <w:r>
        <w:t xml:space="preserve">Por lo cual, se actualiza la causal de procedencia del Recurso de Revisión señalada en el artículo 179, fracción IX, de la Ley en cita, pues la persona Recurrente se inconformó de la entrega de información en un formato incomprensible. </w:t>
      </w:r>
    </w:p>
    <w:p w14:paraId="38EF4576" w14:textId="77777777" w:rsidR="00C14508" w:rsidRDefault="00C14508">
      <w:pPr>
        <w:spacing w:after="0" w:line="360" w:lineRule="auto"/>
      </w:pPr>
    </w:p>
    <w:p w14:paraId="4E48A28C" w14:textId="77777777" w:rsidR="00C14508" w:rsidRDefault="003F05B8">
      <w:pPr>
        <w:spacing w:after="0" w:line="360" w:lineRule="auto"/>
        <w:rPr>
          <w:color w:val="0D0D0D"/>
        </w:rPr>
      </w:pPr>
      <w:r>
        <w:rPr>
          <w:b/>
          <w:bCs/>
          <w:color w:val="0D0D0D"/>
        </w:rPr>
        <w:t>Causales de sobreseimiento</w:t>
      </w:r>
    </w:p>
    <w:p w14:paraId="5390B72A" w14:textId="77777777" w:rsidR="00C14508" w:rsidRDefault="00C14508">
      <w:pPr>
        <w:spacing w:after="0" w:line="360" w:lineRule="auto"/>
        <w:rPr>
          <w:color w:val="0D0D0D"/>
        </w:rPr>
      </w:pPr>
    </w:p>
    <w:p w14:paraId="71CFAC15" w14:textId="77777777" w:rsidR="00C14508" w:rsidRDefault="003F05B8">
      <w:pPr>
        <w:spacing w:after="0" w:line="360" w:lineRule="auto"/>
        <w:rPr>
          <w:color w:val="0D0D0D"/>
        </w:rPr>
      </w:pPr>
      <w:r>
        <w:rPr>
          <w:color w:val="0D0D0D"/>
        </w:rPr>
        <w:t>Por ser de previo y especial pronunciamiento, este Instituto analiza si se actualiza alguna causal de sobreseimiento.</w:t>
      </w:r>
    </w:p>
    <w:p w14:paraId="47099C10" w14:textId="77777777" w:rsidR="00C14508" w:rsidRDefault="00C14508">
      <w:pPr>
        <w:spacing w:after="0" w:line="360" w:lineRule="auto"/>
        <w:rPr>
          <w:color w:val="0D0D0D"/>
        </w:rPr>
      </w:pPr>
    </w:p>
    <w:p w14:paraId="56B4E428" w14:textId="77777777" w:rsidR="00C14508" w:rsidRDefault="003F05B8">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74A1C445" w14:textId="77777777" w:rsidR="00C14508" w:rsidRDefault="00C14508">
      <w:pPr>
        <w:spacing w:after="0" w:line="360" w:lineRule="auto"/>
        <w:rPr>
          <w:color w:val="000000"/>
        </w:rPr>
      </w:pPr>
    </w:p>
    <w:p w14:paraId="7CF380ED" w14:textId="77777777" w:rsidR="00C14508" w:rsidRDefault="003F05B8">
      <w:pPr>
        <w:spacing w:after="0" w:line="360" w:lineRule="auto"/>
        <w:rPr>
          <w:color w:val="0D0D0D"/>
        </w:rPr>
      </w:pPr>
      <w:r>
        <w:rPr>
          <w:color w:val="0D0D0D"/>
        </w:rPr>
        <w:t xml:space="preserve">Por tales motivos, se considera procedente entrar al fondo del presente asunto. </w:t>
      </w:r>
    </w:p>
    <w:p w14:paraId="24A5F9AA" w14:textId="77777777" w:rsidR="00C14508" w:rsidRDefault="00C14508">
      <w:pPr>
        <w:spacing w:after="0" w:line="360" w:lineRule="auto"/>
        <w:rPr>
          <w:b/>
          <w:bCs/>
          <w:color w:val="000000"/>
        </w:rPr>
      </w:pPr>
    </w:p>
    <w:p w14:paraId="0E67A216" w14:textId="77777777" w:rsidR="00C14508" w:rsidRDefault="003F05B8">
      <w:pPr>
        <w:pStyle w:val="Ttulo2"/>
        <w:spacing w:before="0" w:after="0" w:line="360" w:lineRule="auto"/>
        <w:rPr>
          <w:sz w:val="22"/>
          <w:szCs w:val="22"/>
        </w:rPr>
      </w:pPr>
      <w:bookmarkStart w:id="19" w:name="_heading=h.o9volhacy64h" w:colFirst="0" w:colLast="0"/>
      <w:bookmarkStart w:id="20" w:name="_Toc216963827"/>
      <w:bookmarkEnd w:id="19"/>
      <w:r>
        <w:rPr>
          <w:sz w:val="22"/>
          <w:szCs w:val="22"/>
        </w:rPr>
        <w:t>TERCERO. Determinación de la Controversia</w:t>
      </w:r>
      <w:bookmarkEnd w:id="20"/>
    </w:p>
    <w:p w14:paraId="38C1E9BA" w14:textId="77777777" w:rsidR="00C14508" w:rsidRDefault="00C14508">
      <w:pPr>
        <w:spacing w:after="0" w:line="360" w:lineRule="auto"/>
        <w:rPr>
          <w:b/>
          <w:bCs/>
          <w:color w:val="000000"/>
        </w:rPr>
      </w:pPr>
    </w:p>
    <w:p w14:paraId="02306635" w14:textId="77777777" w:rsidR="00C14508" w:rsidRDefault="003F05B8">
      <w:pPr>
        <w:spacing w:after="0" w:line="360" w:lineRule="auto"/>
      </w:pPr>
      <w:r>
        <w:t>Con el objetivo de ilustrar la controversia planteada, resulta conveniente precisar, que una vez realizado el estudio de las constancias que integran el expediente en el que se actúa, se desprende que el Particular requirió las facturas por adquisiciones de los proveedores que surten a la dirección de administración de enero a octubre de dos mil veinticinco.</w:t>
      </w:r>
    </w:p>
    <w:p w14:paraId="15CDA65F" w14:textId="77777777" w:rsidR="00C14508" w:rsidRDefault="00C14508">
      <w:pPr>
        <w:spacing w:after="0" w:line="360" w:lineRule="auto"/>
      </w:pPr>
    </w:p>
    <w:p w14:paraId="0D7436F3" w14:textId="77777777" w:rsidR="00C14508" w:rsidRDefault="003F05B8">
      <w:pPr>
        <w:spacing w:after="0" w:line="360" w:lineRule="auto"/>
      </w:pPr>
      <w:r>
        <w:rPr>
          <w:color w:val="000000"/>
        </w:rPr>
        <w:t>En respuesta, el Sujeto Obligado, a través de la Dirección de Administración proporcionó varias facturas en un formato ilegible;</w:t>
      </w:r>
      <w:r>
        <w:t xml:space="preserve"> ante dicha respuesta, el Particular se inconformó de la entrega de información en un formato incomprensible, lo cual actualiza la causal de procedencia prevista en la fracción IX, del artículo 179 de la Ley de Transparencia y Acceso a la Información Pública del Estado de México y Municipios</w:t>
      </w:r>
      <w:r>
        <w:rPr>
          <w:color w:val="0D0D0D"/>
        </w:rPr>
        <w:t xml:space="preserve">. </w:t>
      </w:r>
      <w:r>
        <w:t>Así, las cosas, una vez admitido y notificado el Recurso de Revisión a las partes, fueron omisos en emitir alguna manifestación o alegato.</w:t>
      </w:r>
    </w:p>
    <w:p w14:paraId="3E6CC7BE" w14:textId="77777777" w:rsidR="00C14508" w:rsidRDefault="00C14508">
      <w:pPr>
        <w:spacing w:after="0" w:line="360" w:lineRule="auto"/>
        <w:rPr>
          <w:color w:val="000000"/>
        </w:rPr>
      </w:pPr>
    </w:p>
    <w:p w14:paraId="6E379817" w14:textId="77777777" w:rsidR="00C14508" w:rsidRDefault="003F05B8">
      <w:pPr>
        <w:spacing w:after="0" w:line="360" w:lineRule="auto"/>
        <w:rPr>
          <w:color w:val="000000"/>
        </w:rPr>
      </w:pPr>
      <w:r>
        <w:rPr>
          <w:color w:val="000000"/>
        </w:rPr>
        <w:t>Conforme a lo analizado, se puede advertir que el ahora Recurrente no se inconformó de lo solicitado en relación con la temporalidad y número de las facturas remitidas;  por lo que no se hará pronunciamiento alguno de la información previamente referida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w:t>
      </w:r>
    </w:p>
    <w:p w14:paraId="65D2A2EA" w14:textId="77777777" w:rsidR="00C14508" w:rsidRDefault="003F05B8">
      <w:pPr>
        <w:spacing w:after="0" w:line="360" w:lineRule="auto"/>
        <w:rPr>
          <w:color w:val="000000"/>
        </w:rPr>
      </w:pPr>
      <w:r>
        <w:rPr>
          <w:color w:val="000000"/>
        </w:rPr>
        <w:t> </w:t>
      </w:r>
    </w:p>
    <w:p w14:paraId="5CC0CEE3" w14:textId="77777777" w:rsidR="00C14508" w:rsidRDefault="003F05B8">
      <w:pPr>
        <w:spacing w:after="0" w:line="360" w:lineRule="auto"/>
        <w:rPr>
          <w:color w:val="000000"/>
        </w:rPr>
      </w:pPr>
      <w:r>
        <w:rPr>
          <w:color w:val="000000"/>
        </w:rPr>
        <w:t>De la misma manera resulta aplicable el criterio sostenido por el Poder Judicial de la Federación de rubro ACTOS CONSENTIDOS TÁCITAMENTE,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6BCDB92C" w14:textId="77777777" w:rsidR="00C14508" w:rsidRDefault="003F05B8">
      <w:pPr>
        <w:spacing w:after="0" w:line="360" w:lineRule="auto"/>
        <w:rPr>
          <w:color w:val="000000"/>
        </w:rPr>
      </w:pPr>
      <w:r>
        <w:rPr>
          <w:color w:val="000000"/>
        </w:rPr>
        <w:t> </w:t>
      </w:r>
    </w:p>
    <w:p w14:paraId="4E45BD9A" w14:textId="77777777" w:rsidR="00C14508" w:rsidRDefault="003F05B8">
      <w:pPr>
        <w:spacing w:after="0" w:line="360" w:lineRule="auto"/>
        <w:rPr>
          <w:color w:val="000000"/>
        </w:rPr>
      </w:pPr>
      <w:r>
        <w:rPr>
          <w:color w:val="000000"/>
        </w:rPr>
        <w:lastRenderedPageBreak/>
        <w:t>De acuerdo con el criterio en comento, en el caso de que la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w:t>
      </w:r>
    </w:p>
    <w:p w14:paraId="64879715" w14:textId="77777777" w:rsidR="00C14508" w:rsidRDefault="003F05B8">
      <w:pPr>
        <w:spacing w:after="0" w:line="360" w:lineRule="auto"/>
        <w:rPr>
          <w:color w:val="000000"/>
        </w:rPr>
      </w:pPr>
      <w:r>
        <w:rPr>
          <w:color w:val="000000"/>
        </w:rPr>
        <w:t> </w:t>
      </w:r>
    </w:p>
    <w:p w14:paraId="40BBEE2D" w14:textId="77777777" w:rsidR="00C14508" w:rsidRDefault="003F05B8">
      <w:pPr>
        <w:spacing w:after="0" w:line="360" w:lineRule="auto"/>
        <w:rPr>
          <w:color w:val="000000"/>
        </w:rPr>
      </w:pPr>
      <w:r>
        <w:rPr>
          <w:color w:val="000000"/>
        </w:rPr>
        <w:t>Asimismo, resulta relevante traer a colación el Criterio Orientador, con clave de control SO/001/2020, de la Segunda Época, emitido por el Instituto Nacional de Transparencia, Acceso a la Información y Protección de Datos Personales, el cual establece que es improcedente entrar al análisis de las partes de la respuesta del Sujeto Obligado que no fueron impugnadas por el Recurrente; por lo que, en el presente caso, se tiene por consentida la información entregada por el Sujeto Obligado, para atender lo referente a la temporalidad y número de las facturas remitidas por parte del Ayuntamiento de Atenco; y únicamente se entrará al análisis de la ilegibilidad de los documentos remitidos.</w:t>
      </w:r>
    </w:p>
    <w:p w14:paraId="04ACFD42" w14:textId="77777777" w:rsidR="00C14508" w:rsidRDefault="00C14508">
      <w:pPr>
        <w:spacing w:after="0" w:line="360" w:lineRule="auto"/>
        <w:rPr>
          <w:color w:val="000000"/>
        </w:rPr>
      </w:pPr>
    </w:p>
    <w:p w14:paraId="7B7C7655" w14:textId="77777777" w:rsidR="00C14508" w:rsidRDefault="003F05B8">
      <w:pPr>
        <w:spacing w:after="0" w:line="360" w:lineRule="auto"/>
        <w:rPr>
          <w:color w:val="000000"/>
        </w:rPr>
      </w:pPr>
      <w:r>
        <w:rPr>
          <w:color w:val="000000"/>
        </w:rPr>
        <w:t>Lo anterior, se desprende de las documentales que obran en el expediente de referencia, materia de la presente resolución, consistente en: la solicitud de acceso a la información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70D4A545" w14:textId="77777777" w:rsidR="00C14508" w:rsidRDefault="00C14508">
      <w:pPr>
        <w:spacing w:after="0" w:line="360" w:lineRule="auto"/>
        <w:rPr>
          <w:b/>
          <w:bCs/>
          <w:color w:val="000000"/>
        </w:rPr>
      </w:pPr>
    </w:p>
    <w:p w14:paraId="28D534CA" w14:textId="77777777" w:rsidR="00C14508" w:rsidRDefault="003F05B8">
      <w:pPr>
        <w:pStyle w:val="Ttulo2"/>
        <w:spacing w:before="0" w:after="0" w:line="360" w:lineRule="auto"/>
        <w:rPr>
          <w:sz w:val="22"/>
          <w:szCs w:val="22"/>
        </w:rPr>
      </w:pPr>
      <w:bookmarkStart w:id="21" w:name="_heading=h.c7ppc24lc2a3" w:colFirst="0" w:colLast="0"/>
      <w:bookmarkStart w:id="22" w:name="_Toc216963828"/>
      <w:bookmarkEnd w:id="21"/>
      <w:r>
        <w:rPr>
          <w:sz w:val="22"/>
          <w:szCs w:val="22"/>
        </w:rPr>
        <w:t>CUARTO. Marco normativo aplicable en materia de transparencia y acceso a la información pública</w:t>
      </w:r>
      <w:bookmarkEnd w:id="22"/>
    </w:p>
    <w:p w14:paraId="1656F271" w14:textId="77777777" w:rsidR="00C14508" w:rsidRDefault="00C14508">
      <w:pPr>
        <w:spacing w:after="0" w:line="360" w:lineRule="auto"/>
        <w:rPr>
          <w:color w:val="000000"/>
        </w:rPr>
      </w:pPr>
    </w:p>
    <w:p w14:paraId="209F905A" w14:textId="77777777" w:rsidR="00C14508" w:rsidRDefault="003F05B8">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471821F" w14:textId="77777777" w:rsidR="00C14508" w:rsidRDefault="00C14508">
      <w:pPr>
        <w:spacing w:after="0" w:line="360" w:lineRule="auto"/>
        <w:rPr>
          <w:color w:val="000000"/>
        </w:rPr>
      </w:pPr>
    </w:p>
    <w:p w14:paraId="3199A64C" w14:textId="77777777" w:rsidR="00C14508" w:rsidRDefault="003F05B8">
      <w:pPr>
        <w:spacing w:after="0" w:line="360" w:lineRule="auto"/>
        <w:rPr>
          <w:color w:val="000000"/>
        </w:rPr>
      </w:pPr>
      <w:r>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6E8D6C93" w14:textId="77777777" w:rsidR="00C14508" w:rsidRDefault="00C14508">
      <w:pPr>
        <w:spacing w:after="0" w:line="360" w:lineRule="auto"/>
        <w:rPr>
          <w:color w:val="000000"/>
        </w:rPr>
      </w:pPr>
    </w:p>
    <w:p w14:paraId="428B41BB" w14:textId="77777777" w:rsidR="00C14508" w:rsidRDefault="003F05B8">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365865C" w14:textId="77777777" w:rsidR="00C14508" w:rsidRDefault="00C14508">
      <w:pPr>
        <w:spacing w:after="0" w:line="360" w:lineRule="auto"/>
        <w:rPr>
          <w:color w:val="000000"/>
        </w:rPr>
      </w:pPr>
    </w:p>
    <w:p w14:paraId="18E0790D" w14:textId="77777777" w:rsidR="00C14508" w:rsidRDefault="003F05B8">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7690A47D" w14:textId="77777777" w:rsidR="00C14508" w:rsidRDefault="00C14508">
      <w:pPr>
        <w:spacing w:after="0" w:line="360" w:lineRule="auto"/>
        <w:rPr>
          <w:color w:val="000000"/>
        </w:rPr>
      </w:pPr>
    </w:p>
    <w:p w14:paraId="2603352A" w14:textId="77777777" w:rsidR="00C14508" w:rsidRDefault="003F05B8">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641B5982" w14:textId="77777777" w:rsidR="00C14508" w:rsidRDefault="00C14508">
      <w:pPr>
        <w:spacing w:after="0" w:line="360" w:lineRule="auto"/>
        <w:rPr>
          <w:color w:val="000000"/>
        </w:rPr>
      </w:pPr>
    </w:p>
    <w:p w14:paraId="0845B47C" w14:textId="77777777" w:rsidR="00C14508" w:rsidRDefault="003F05B8">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7529ADDE" w14:textId="77777777" w:rsidR="00C14508" w:rsidRDefault="003F05B8">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B002006" w14:textId="77777777" w:rsidR="00C14508" w:rsidRDefault="00C14508">
      <w:pPr>
        <w:spacing w:after="0" w:line="360" w:lineRule="auto"/>
      </w:pPr>
    </w:p>
    <w:p w14:paraId="2ED9621E" w14:textId="77777777" w:rsidR="00C14508" w:rsidRDefault="003F05B8">
      <w:pPr>
        <w:pStyle w:val="Ttulo2"/>
        <w:spacing w:before="0" w:after="0" w:line="360" w:lineRule="auto"/>
        <w:rPr>
          <w:sz w:val="22"/>
          <w:szCs w:val="22"/>
        </w:rPr>
      </w:pPr>
      <w:bookmarkStart w:id="23" w:name="_heading=h.g32kicm9dm51" w:colFirst="0" w:colLast="0"/>
      <w:bookmarkStart w:id="24" w:name="_Toc216963829"/>
      <w:bookmarkEnd w:id="23"/>
      <w:r>
        <w:rPr>
          <w:sz w:val="22"/>
          <w:szCs w:val="22"/>
        </w:rPr>
        <w:t>QUINTO. Estudio de Fondo</w:t>
      </w:r>
      <w:bookmarkEnd w:id="24"/>
    </w:p>
    <w:p w14:paraId="6495EDDD" w14:textId="77777777" w:rsidR="00C14508" w:rsidRDefault="00C14508">
      <w:pPr>
        <w:spacing w:after="0" w:line="360" w:lineRule="auto"/>
        <w:rPr>
          <w:b/>
          <w:bCs/>
          <w:color w:val="000000"/>
        </w:rPr>
      </w:pPr>
    </w:p>
    <w:p w14:paraId="66D336BC" w14:textId="77777777" w:rsidR="00C14508" w:rsidRDefault="003F05B8">
      <w:pPr>
        <w:spacing w:after="0" w:line="360" w:lineRule="auto"/>
      </w:pPr>
      <w:r>
        <w:rPr>
          <w:color w:val="000000"/>
        </w:rPr>
        <w:lastRenderedPageBreak/>
        <w:t>Expuestas las posturas de las partes, se procede al análisis de los agravios hechos valer por la persona Recurrente</w:t>
      </w:r>
      <w:r>
        <w:t>, referente a la entrega de información en un formato incomprensible, por lo que, en principio es necesario contextualizar la solicitud de información.</w:t>
      </w:r>
    </w:p>
    <w:p w14:paraId="4FE7C960" w14:textId="77777777" w:rsidR="00C14508" w:rsidRDefault="00C14508">
      <w:pPr>
        <w:spacing w:after="0" w:line="360" w:lineRule="auto"/>
      </w:pPr>
    </w:p>
    <w:p w14:paraId="0A25441E" w14:textId="77777777" w:rsidR="00C14508" w:rsidRDefault="003F05B8">
      <w:pPr>
        <w:spacing w:after="0" w:line="360" w:lineRule="auto"/>
        <w:ind w:right="49"/>
        <w:rPr>
          <w:color w:val="000000"/>
        </w:rPr>
      </w:pPr>
      <w:r>
        <w:rPr>
          <w:color w:val="000000"/>
        </w:rPr>
        <w:t xml:space="preserve">Para ello, </w:t>
      </w:r>
      <w:r>
        <w:t xml:space="preserve">es de mencionar lo que establece el Glosario de Términos Hacendarios que emite el Instituto Hacendario del Estado de México, el cual define como </w:t>
      </w:r>
      <w:r>
        <w:rPr>
          <w:i/>
          <w:iCs/>
        </w:rPr>
        <w:t>“factura”</w:t>
      </w:r>
      <w:r>
        <w:t xml:space="preserve"> al documento fiscal que emite la persona física o moral para comprobar la venta o adquisición de un bien y/o servicio.</w:t>
      </w:r>
    </w:p>
    <w:p w14:paraId="52B2D703" w14:textId="77777777" w:rsidR="00C14508" w:rsidRDefault="00C14508">
      <w:pPr>
        <w:pBdr>
          <w:top w:val="nil"/>
          <w:left w:val="nil"/>
          <w:bottom w:val="nil"/>
          <w:right w:val="nil"/>
          <w:between w:val="nil"/>
        </w:pBdr>
        <w:spacing w:after="0" w:line="360" w:lineRule="auto"/>
        <w:ind w:right="49"/>
      </w:pPr>
    </w:p>
    <w:p w14:paraId="31EF7D0F" w14:textId="77777777" w:rsidR="00C14508" w:rsidRDefault="003F05B8">
      <w:pPr>
        <w:spacing w:after="0" w:line="360" w:lineRule="auto"/>
        <w:ind w:right="-7"/>
      </w:pPr>
      <w:r>
        <w:t xml:space="preserve">En ese sentido, es de señalar que cuando las facturas amparan las erogaciones que se realizan con erario público tienen naturaleza pública, pues constituyen un medio idóneo de evidencia del gasto realizado con recursos públicos. </w:t>
      </w:r>
    </w:p>
    <w:p w14:paraId="4B9D82AA" w14:textId="77777777" w:rsidR="00C14508" w:rsidRDefault="00C14508">
      <w:pPr>
        <w:spacing w:after="0" w:line="360" w:lineRule="auto"/>
        <w:ind w:right="-7"/>
      </w:pPr>
    </w:p>
    <w:p w14:paraId="74AA81E8" w14:textId="77777777" w:rsidR="00C14508" w:rsidRDefault="003F05B8">
      <w:pPr>
        <w:spacing w:after="0" w:line="360" w:lineRule="auto"/>
        <w:ind w:right="49"/>
      </w:pPr>
      <w:r>
        <w:t xml:space="preserve">Asimismo, el Código Financiero del Estado de México, establece en su artículo 344 que los entes públicos registrarán contablemente el efecto patrimonial y presupuestal de las operaciones financieras que realicen, en el momento en que ocurran, con base en el sistema y políticas de registro establecidas, a través de su Tesorería. </w:t>
      </w:r>
    </w:p>
    <w:p w14:paraId="4C468C6E" w14:textId="77777777" w:rsidR="00C14508" w:rsidRDefault="00C14508">
      <w:pPr>
        <w:spacing w:after="0" w:line="360" w:lineRule="auto"/>
        <w:ind w:right="49"/>
      </w:pPr>
    </w:p>
    <w:p w14:paraId="49862835" w14:textId="77777777" w:rsidR="00C14508" w:rsidRDefault="003F05B8">
      <w:pPr>
        <w:spacing w:after="0" w:line="360" w:lineRule="auto"/>
        <w:ind w:right="49"/>
      </w:pPr>
      <w:r>
        <w:t xml:space="preserve">Es así que, los entes públicos deberán registrar contablemente las operaciones financieras que realicen, el cual deberá estar soportado con los documentos comprobatorios originales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Glosario de Términos Administrativos y el Glosario de Términos para el Proceso de Planeación, Programación, Presupuestación y Evaluación en la Administración Pública, definen los registros como: </w:t>
      </w:r>
    </w:p>
    <w:p w14:paraId="3AC167B3" w14:textId="77777777" w:rsidR="00C14508" w:rsidRDefault="00C14508">
      <w:pPr>
        <w:spacing w:after="0" w:line="360" w:lineRule="auto"/>
        <w:ind w:left="567" w:right="560"/>
      </w:pPr>
    </w:p>
    <w:p w14:paraId="28B40DD4" w14:textId="77777777" w:rsidR="00C14508" w:rsidRDefault="003F05B8">
      <w:pPr>
        <w:numPr>
          <w:ilvl w:val="0"/>
          <w:numId w:val="8"/>
        </w:numPr>
        <w:pBdr>
          <w:top w:val="nil"/>
          <w:left w:val="nil"/>
          <w:bottom w:val="nil"/>
          <w:right w:val="nil"/>
          <w:between w:val="nil"/>
        </w:pBdr>
        <w:spacing w:after="0" w:line="360" w:lineRule="auto"/>
        <w:ind w:right="560"/>
        <w:rPr>
          <w:color w:val="000000"/>
        </w:rPr>
      </w:pPr>
      <w:r>
        <w:rPr>
          <w:b/>
          <w:bCs/>
          <w:color w:val="000000"/>
        </w:rPr>
        <w:lastRenderedPageBreak/>
        <w:t xml:space="preserve">Registro contable. </w:t>
      </w:r>
      <w:r>
        <w:rPr>
          <w:color w:val="000000"/>
        </w:rPr>
        <w:t xml:space="preserve">Asiento que se realiza en los libros de contabilidad de las actividades relacionadas con el ingreso y egreso de un ente económico. </w:t>
      </w:r>
    </w:p>
    <w:p w14:paraId="1E8342A7" w14:textId="77777777" w:rsidR="00C14508" w:rsidRDefault="00C14508">
      <w:pPr>
        <w:spacing w:after="0" w:line="360" w:lineRule="auto"/>
        <w:ind w:left="567" w:right="560"/>
      </w:pPr>
    </w:p>
    <w:p w14:paraId="2CA0C2D5" w14:textId="77777777" w:rsidR="00C14508" w:rsidRDefault="003F05B8">
      <w:pPr>
        <w:numPr>
          <w:ilvl w:val="0"/>
          <w:numId w:val="8"/>
        </w:numPr>
        <w:pBdr>
          <w:top w:val="nil"/>
          <w:left w:val="nil"/>
          <w:bottom w:val="nil"/>
          <w:right w:val="nil"/>
          <w:between w:val="nil"/>
        </w:pBdr>
        <w:spacing w:after="0" w:line="360" w:lineRule="auto"/>
        <w:ind w:right="560"/>
        <w:rPr>
          <w:color w:val="000000"/>
        </w:rPr>
      </w:pPr>
      <w:r>
        <w:rPr>
          <w:b/>
          <w:bCs/>
          <w:color w:val="000000"/>
        </w:rPr>
        <w:t xml:space="preserve">Registro Presupuestario. </w:t>
      </w:r>
      <w:r>
        <w:rPr>
          <w:color w:val="000000"/>
        </w:rPr>
        <w:t xml:space="preserve">Asiento contable de las erogaciones realizadas por las dependencias y entidades con relación a la asignación, modificación y ejercicio de los recursos presupuestarios que se les hayan autorizado. </w:t>
      </w:r>
    </w:p>
    <w:p w14:paraId="2E5F27C4" w14:textId="77777777" w:rsidR="00C14508" w:rsidRDefault="00C14508">
      <w:pPr>
        <w:spacing w:after="0" w:line="360" w:lineRule="auto"/>
        <w:ind w:right="49"/>
      </w:pPr>
    </w:p>
    <w:p w14:paraId="1385617F" w14:textId="77777777" w:rsidR="00C14508" w:rsidRDefault="003F05B8">
      <w:pPr>
        <w:spacing w:after="0" w:line="360" w:lineRule="auto"/>
        <w:ind w:right="49"/>
      </w:pPr>
      <w:r>
        <w:t>De los preceptos citados, se colige que los entes fiscalizables deben contar con una unidad administrativa que registra contablemente el efecto patrimonial y presupuestal de las operaciones financieras que realizan y por lo general, se encuentran en las denominadas pólizas contables</w:t>
      </w:r>
      <w:r>
        <w:rPr>
          <w:i/>
          <w:iCs/>
        </w:rPr>
        <w:t xml:space="preserve"> </w:t>
      </w:r>
      <w:r>
        <w:t xml:space="preserve">las cuales son aquellos documentos en los que se asientan en forma individual todas y cada una de las operaciones desarrolladas por una institución, así como la información necesaria para la identificación de estas. </w:t>
      </w:r>
    </w:p>
    <w:p w14:paraId="7EFA1010" w14:textId="77777777" w:rsidR="00C14508" w:rsidRDefault="00C14508">
      <w:pPr>
        <w:spacing w:after="0" w:line="360" w:lineRule="auto"/>
      </w:pPr>
    </w:p>
    <w:p w14:paraId="5A47283A" w14:textId="77777777" w:rsidR="00C14508" w:rsidRDefault="003F05B8">
      <w:pPr>
        <w:spacing w:after="0" w:line="360" w:lineRule="auto"/>
      </w:pPr>
      <w:r>
        <w:t xml:space="preserve">Conforme a lo anterior, los artículos 92, 94 y 96, del Bando Municipal, vigente de Atenco, precisa que para el despacho de las atribuciones y funciones, la </w:t>
      </w:r>
      <w:r>
        <w:rPr>
          <w:b/>
          <w:bCs/>
          <w:u w:val="single"/>
        </w:rPr>
        <w:t>Dirección de Administración le corresponderá la contratación, prestación de servicios, ministración y aplicación de la tecnología de la información y comunicaciones, que requieren las diferentes unidades administrativas que integran la administración pública municipal, para la ejecución de sus funciones, buscando siempre las mejores condiciones de oportunidad, precio</w:t>
      </w:r>
      <w:r>
        <w:t xml:space="preserve">, calidad y financiamiento dentro de las cuales contara con las siguientes; Jefatura de Recursos Humanos; </w:t>
      </w:r>
      <w:r>
        <w:rPr>
          <w:b/>
          <w:bCs/>
          <w:u w:val="single"/>
        </w:rPr>
        <w:t>Jefatura de Adquisiciones y Recursos Materiales</w:t>
      </w:r>
      <w:r>
        <w:t xml:space="preserve">; Jefatura de Sistemas; Coordinación de Eventos y Logística; y Coordinación de Comunicación Social, de la cual la jefatura de adquisiciones </w:t>
      </w:r>
      <w:r>
        <w:rPr>
          <w:b/>
          <w:bCs/>
          <w:u w:val="single"/>
        </w:rPr>
        <w:t>se encargara de los procedimientos a realizar, de acuerdo con el monto económico y la naturaleza de los bienes y/o servicio, para proceder a las adjudicaciones, a fin de asegurar las mejores condiciones de precio, calidad</w:t>
      </w:r>
      <w:r>
        <w:t xml:space="preserve">, </w:t>
      </w:r>
      <w:r>
        <w:lastRenderedPageBreak/>
        <w:t>financiamiento, oportunidad u otras circunstancias pertinentes a favor de la administración pública municipal.</w:t>
      </w:r>
    </w:p>
    <w:p w14:paraId="76DF20FE" w14:textId="77777777" w:rsidR="00C14508" w:rsidRDefault="003F05B8">
      <w:pPr>
        <w:spacing w:after="0" w:line="360" w:lineRule="auto"/>
      </w:pPr>
      <w:r>
        <w:t xml:space="preserve"> </w:t>
      </w:r>
    </w:p>
    <w:p w14:paraId="6901AE00" w14:textId="77777777" w:rsidR="00C14508" w:rsidRDefault="003F05B8">
      <w:pPr>
        <w:spacing w:after="0" w:line="360" w:lineRule="auto"/>
        <w:rPr>
          <w:color w:val="000000"/>
        </w:rPr>
      </w:pPr>
      <w:r>
        <w:rPr>
          <w:color w:val="000000"/>
        </w:rPr>
        <w:t xml:space="preserve">Conforme a lo anterior, se logra vislumbrar que la pretensión del ahora Recurrente, es obtener las facturas de los proveedores que surten la papelería a la dirección de administración del primero de enero al treinta y uno de octubre de dos mil veinticinco. </w:t>
      </w:r>
    </w:p>
    <w:p w14:paraId="007D2E6A" w14:textId="77777777" w:rsidR="00C14508" w:rsidRDefault="00C14508">
      <w:pPr>
        <w:spacing w:after="0" w:line="360" w:lineRule="auto"/>
        <w:rPr>
          <w:color w:val="000000"/>
        </w:rPr>
      </w:pPr>
    </w:p>
    <w:p w14:paraId="5D6A4803" w14:textId="77777777" w:rsidR="00C14508" w:rsidRDefault="003F05B8">
      <w:pPr>
        <w:spacing w:after="0" w:line="360" w:lineRule="auto"/>
        <w:rPr>
          <w:color w:val="000000"/>
        </w:rPr>
      </w:pPr>
      <w:r>
        <w:rPr>
          <w:color w:val="000000"/>
        </w:rPr>
        <w:t>Establecida dicha circunstancia, se procede analizar la respuesta entregada, para lo cual, es de señalar que de las constancias que obran en el expediente, se logra vislumbrar que el Sujeto Obligado turno la solicitud de información a la Dirección de Administración;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51597B13" w14:textId="77777777" w:rsidR="00C14508" w:rsidRDefault="00C14508">
      <w:pPr>
        <w:widowControl w:val="0"/>
        <w:spacing w:after="0" w:line="360" w:lineRule="auto"/>
        <w:rPr>
          <w:color w:val="000000"/>
        </w:rPr>
      </w:pPr>
    </w:p>
    <w:p w14:paraId="70D360FD" w14:textId="77777777" w:rsidR="00C14508" w:rsidRDefault="003F05B8">
      <w:pPr>
        <w:spacing w:after="0" w:line="360" w:lineRule="auto"/>
        <w:rPr>
          <w:color w:val="000000"/>
        </w:rPr>
      </w:pPr>
      <w:r>
        <w:rPr>
          <w:color w:val="000000"/>
        </w:rPr>
        <w:t>Conforme a lo expuesto en párrafos anteriores, se advierte que el Sujeto Obligado, cumplió con el procedimiento de búsqueda previsto en el artículo 162 de la Ley de Transparencia y Acceso a la Información Pública del Estado de México y Municipios, toda vez que turnó la solicitud de información al área competente</w:t>
      </w:r>
      <w:r>
        <w:t xml:space="preserve"> de la contratación, prestación de servicios y pago a proveedores.</w:t>
      </w:r>
    </w:p>
    <w:p w14:paraId="783CC8FC" w14:textId="77777777" w:rsidR="00C14508" w:rsidRDefault="00C14508">
      <w:pPr>
        <w:spacing w:after="0" w:line="360" w:lineRule="auto"/>
        <w:rPr>
          <w:color w:val="000000"/>
        </w:rPr>
      </w:pPr>
    </w:p>
    <w:p w14:paraId="4EF76E25" w14:textId="77777777" w:rsidR="00C14508" w:rsidRDefault="003F05B8">
      <w:pPr>
        <w:spacing w:after="0" w:line="360" w:lineRule="auto"/>
        <w:rPr>
          <w:color w:val="000000"/>
        </w:rPr>
      </w:pPr>
      <w:r>
        <w:rPr>
          <w:color w:val="000000"/>
        </w:rPr>
        <w:lastRenderedPageBreak/>
        <w:t>Ahora bien, dicha área proporcionó diversas facturas de proveedores que surten la papelería, correspondiente a la temporalidad solicitada; sin embargo, de su revisión se logra vislumbrar que ésta se encuentra ilegible, tal como se muestra a continuación:</w:t>
      </w:r>
    </w:p>
    <w:p w14:paraId="0549725D" w14:textId="77777777" w:rsidR="00C14508" w:rsidRDefault="00C14508">
      <w:pPr>
        <w:spacing w:after="0" w:line="360" w:lineRule="auto"/>
        <w:rPr>
          <w:color w:val="000000"/>
        </w:rPr>
      </w:pPr>
    </w:p>
    <w:p w14:paraId="6DB502FE" w14:textId="77777777" w:rsidR="00C14508" w:rsidRDefault="003F05B8">
      <w:pPr>
        <w:spacing w:after="0" w:line="360" w:lineRule="auto"/>
        <w:rPr>
          <w:color w:val="000000"/>
        </w:rPr>
      </w:pPr>
      <w:r>
        <w:rPr>
          <w:noProof/>
          <w:color w:val="000000"/>
        </w:rPr>
        <w:drawing>
          <wp:inline distT="0" distB="0" distL="0" distR="0" wp14:anchorId="1F9F22D9" wp14:editId="3708B141">
            <wp:extent cx="6118363" cy="2742336"/>
            <wp:effectExtent l="0" t="0" r="0" b="0"/>
            <wp:docPr id="14325137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118363" cy="2742336"/>
                    </a:xfrm>
                    <a:prstGeom prst="rect">
                      <a:avLst/>
                    </a:prstGeom>
                    <a:ln/>
                  </pic:spPr>
                </pic:pic>
              </a:graphicData>
            </a:graphic>
          </wp:inline>
        </w:drawing>
      </w:r>
    </w:p>
    <w:p w14:paraId="5440C6BA" w14:textId="77777777" w:rsidR="00C14508" w:rsidRDefault="00C14508">
      <w:pPr>
        <w:spacing w:after="0" w:line="360" w:lineRule="auto"/>
        <w:rPr>
          <w:color w:val="000000"/>
        </w:rPr>
      </w:pPr>
    </w:p>
    <w:p w14:paraId="5414C288" w14:textId="77777777" w:rsidR="00C14508" w:rsidRDefault="003F05B8">
      <w:pPr>
        <w:spacing w:after="0" w:line="360" w:lineRule="auto"/>
        <w:rPr>
          <w:color w:val="000000"/>
        </w:rPr>
      </w:pPr>
      <w:r>
        <w:rPr>
          <w:color w:val="000000"/>
        </w:rPr>
        <w:t xml:space="preserve">Conforme a lo anterior, se logra observar que si bien el Sujeto Obligado proporcionó el documento que corresponde con lo solicitado al contener la información relacionada con los pagos a proveedores, también lo es que su contenido es incomprensible, indescifrable, borroso e ilegible, lo cual no permite dar a conocer su información correspondiente a montos, y descripción del servicio, por lo que, es claro que el agravio resulta </w:t>
      </w:r>
      <w:r>
        <w:rPr>
          <w:b/>
          <w:bCs/>
          <w:color w:val="000000"/>
        </w:rPr>
        <w:t>FUNDADO.</w:t>
      </w:r>
    </w:p>
    <w:p w14:paraId="3B77CA00" w14:textId="77777777" w:rsidR="00C14508" w:rsidRDefault="00C14508">
      <w:pPr>
        <w:spacing w:after="0" w:line="360" w:lineRule="auto"/>
        <w:rPr>
          <w:color w:val="000000"/>
        </w:rPr>
      </w:pPr>
    </w:p>
    <w:p w14:paraId="7D8D3FBB" w14:textId="77777777" w:rsidR="00C14508" w:rsidRDefault="003F05B8">
      <w:pPr>
        <w:tabs>
          <w:tab w:val="left" w:pos="4914"/>
        </w:tabs>
        <w:spacing w:after="0" w:line="360" w:lineRule="auto"/>
        <w:rPr>
          <w:color w:val="000000"/>
        </w:rPr>
      </w:pPr>
      <w:r>
        <w:rPr>
          <w:color w:val="000000"/>
        </w:rPr>
        <w:t>Así, este Instituto considera que, para atender el requerimiento de información, el Sujeto Obligado deberá proporcionar en un formato legible y comprensible, las facturas</w:t>
      </w:r>
      <w:r>
        <w:rPr>
          <w:i/>
          <w:iCs/>
          <w:color w:val="000000"/>
        </w:rPr>
        <w:t xml:space="preserve"> </w:t>
      </w:r>
      <w:r>
        <w:rPr>
          <w:color w:val="000000"/>
        </w:rPr>
        <w:t xml:space="preserve">proporcionadas en respuesta; 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w:t>
      </w:r>
      <w:r>
        <w:rPr>
          <w:color w:val="000000"/>
        </w:rPr>
        <w:lastRenderedPageBreak/>
        <w:t>procesamiento de la misma, ni presentarla conforme al interés del solicitante, además, que tampoco deberá generarla, resumirla, efectuar cálculos o practicar investigaciones.</w:t>
      </w:r>
    </w:p>
    <w:p w14:paraId="2ED2F20E" w14:textId="77777777" w:rsidR="00C14508" w:rsidRDefault="00C14508">
      <w:pPr>
        <w:spacing w:after="0" w:line="360" w:lineRule="auto"/>
        <w:rPr>
          <w:color w:val="000000"/>
        </w:rPr>
      </w:pPr>
    </w:p>
    <w:p w14:paraId="6D9CC625" w14:textId="77777777" w:rsidR="00C14508" w:rsidRDefault="003F05B8">
      <w:pPr>
        <w:spacing w:after="0" w:line="360" w:lineRule="auto"/>
        <w:ind w:right="-28"/>
        <w:rPr>
          <w:color w:val="000000"/>
        </w:rPr>
      </w:pPr>
      <w:r>
        <w:rPr>
          <w:color w:val="000000"/>
        </w:rPr>
        <w:t>Finalmente, no pasa desapercibido para este Instituto que en las facturas, de manera enunciativa mas no limitativa pudieran contener los siguientes datos resulta procedente analizar si dichos datos son públicos o privados; para lo cual, el artículo 143, fracción I, de la Ley previamente citada, establece que la información privada y los datos personales, concernientes a una persona física o jurídica colectiva identificada o identificable son confidenciales.</w:t>
      </w:r>
    </w:p>
    <w:p w14:paraId="326A6916" w14:textId="77777777" w:rsidR="00C14508" w:rsidRDefault="00C14508">
      <w:pPr>
        <w:spacing w:after="0" w:line="360" w:lineRule="auto"/>
        <w:rPr>
          <w:color w:val="000000"/>
        </w:rPr>
      </w:pPr>
    </w:p>
    <w:p w14:paraId="374E3D58" w14:textId="77777777" w:rsidR="00C14508" w:rsidRDefault="003F05B8">
      <w:pPr>
        <w:numPr>
          <w:ilvl w:val="0"/>
          <w:numId w:val="10"/>
        </w:numPr>
        <w:spacing w:after="0" w:line="360" w:lineRule="auto"/>
        <w:ind w:left="993" w:hanging="426"/>
        <w:jc w:val="left"/>
        <w:rPr>
          <w:color w:val="000000"/>
        </w:rPr>
      </w:pPr>
      <w:r>
        <w:rPr>
          <w:color w:val="000000"/>
        </w:rPr>
        <w:t>Nombre del proveedor o contratista</w:t>
      </w:r>
    </w:p>
    <w:p w14:paraId="4F943654" w14:textId="77777777" w:rsidR="00C14508" w:rsidRDefault="003F05B8">
      <w:pPr>
        <w:numPr>
          <w:ilvl w:val="0"/>
          <w:numId w:val="10"/>
        </w:numPr>
        <w:spacing w:after="0" w:line="360" w:lineRule="auto"/>
        <w:ind w:left="993" w:hanging="426"/>
        <w:jc w:val="left"/>
        <w:rPr>
          <w:color w:val="000000"/>
        </w:rPr>
      </w:pPr>
      <w:r>
        <w:rPr>
          <w:color w:val="000000"/>
        </w:rPr>
        <w:t>Registro Federal de Contribuyentes (RFC) de proveedores o contratista;</w:t>
      </w:r>
    </w:p>
    <w:p w14:paraId="03F51ACC" w14:textId="77777777" w:rsidR="00C14508" w:rsidRDefault="003F05B8">
      <w:pPr>
        <w:numPr>
          <w:ilvl w:val="0"/>
          <w:numId w:val="10"/>
        </w:numPr>
        <w:spacing w:after="0" w:line="360" w:lineRule="auto"/>
        <w:ind w:left="993" w:hanging="426"/>
        <w:jc w:val="left"/>
        <w:rPr>
          <w:color w:val="000000"/>
        </w:rPr>
      </w:pPr>
      <w:r>
        <w:rPr>
          <w:color w:val="000000"/>
        </w:rPr>
        <w:t>Código Bidimensional o QR;</w:t>
      </w:r>
    </w:p>
    <w:p w14:paraId="6D11B543" w14:textId="77777777" w:rsidR="00C14508" w:rsidRDefault="003F05B8">
      <w:pPr>
        <w:numPr>
          <w:ilvl w:val="0"/>
          <w:numId w:val="10"/>
        </w:numPr>
        <w:spacing w:after="0" w:line="360" w:lineRule="auto"/>
        <w:ind w:left="993" w:hanging="426"/>
        <w:jc w:val="left"/>
        <w:rPr>
          <w:color w:val="000000"/>
        </w:rPr>
      </w:pPr>
      <w:r>
        <w:rPr>
          <w:color w:val="000000"/>
        </w:rPr>
        <w:t>Domicilio Fiscal del proveedor;</w:t>
      </w:r>
    </w:p>
    <w:p w14:paraId="5B63AB2C" w14:textId="77777777" w:rsidR="00C14508" w:rsidRDefault="003F05B8">
      <w:pPr>
        <w:numPr>
          <w:ilvl w:val="0"/>
          <w:numId w:val="10"/>
        </w:numPr>
        <w:spacing w:after="0" w:line="360" w:lineRule="auto"/>
        <w:ind w:left="993" w:hanging="426"/>
        <w:jc w:val="left"/>
        <w:rPr>
          <w:color w:val="000000"/>
        </w:rPr>
      </w:pPr>
      <w:r>
        <w:rPr>
          <w:color w:val="000000"/>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p>
    <w:p w14:paraId="19AA9D1D" w14:textId="77777777" w:rsidR="00C14508" w:rsidRDefault="003F05B8">
      <w:pPr>
        <w:numPr>
          <w:ilvl w:val="0"/>
          <w:numId w:val="10"/>
        </w:numPr>
        <w:spacing w:after="0" w:line="360" w:lineRule="auto"/>
        <w:ind w:left="993" w:hanging="426"/>
        <w:jc w:val="left"/>
        <w:rPr>
          <w:color w:val="000000"/>
        </w:rPr>
      </w:pPr>
      <w:r>
        <w:rPr>
          <w:color w:val="000000"/>
        </w:rPr>
        <w:t>Folio del Comprobante Fiscal Digital por Internet, y</w:t>
      </w:r>
    </w:p>
    <w:p w14:paraId="415A2B1D" w14:textId="77777777" w:rsidR="00C14508" w:rsidRDefault="003F05B8">
      <w:pPr>
        <w:numPr>
          <w:ilvl w:val="0"/>
          <w:numId w:val="10"/>
        </w:numPr>
        <w:spacing w:after="0" w:line="360" w:lineRule="auto"/>
        <w:ind w:left="993" w:hanging="426"/>
        <w:jc w:val="left"/>
        <w:rPr>
          <w:color w:val="000000"/>
        </w:rPr>
      </w:pPr>
      <w:r>
        <w:rPr>
          <w:color w:val="000000"/>
        </w:rPr>
        <w:t>Cuenta e institución bancaria de proveedor.</w:t>
      </w:r>
    </w:p>
    <w:p w14:paraId="3B34DF9C" w14:textId="77777777" w:rsidR="00C14508" w:rsidRDefault="00C14508">
      <w:pPr>
        <w:spacing w:after="0" w:line="360" w:lineRule="auto"/>
        <w:rPr>
          <w:color w:val="000000"/>
        </w:rPr>
      </w:pPr>
    </w:p>
    <w:p w14:paraId="767348F9" w14:textId="77777777" w:rsidR="00C14508" w:rsidRDefault="003F05B8">
      <w:pPr>
        <w:spacing w:after="0" w:line="360" w:lineRule="auto"/>
        <w:rPr>
          <w:color w:val="000000"/>
        </w:rPr>
      </w:pPr>
      <w:r>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w:t>
      </w:r>
      <w:r>
        <w:rPr>
          <w:color w:val="000000"/>
        </w:rPr>
        <w:lastRenderedPageBreak/>
        <w:t>para proteger los derechos de terceros o cuando se transmita entre sujetos obligados en términos de los tratados y los acuerdos interinstitucionales.</w:t>
      </w:r>
    </w:p>
    <w:p w14:paraId="3FC3687A" w14:textId="77777777" w:rsidR="00C14508" w:rsidRDefault="00C14508">
      <w:pPr>
        <w:spacing w:after="0" w:line="360" w:lineRule="auto"/>
        <w:rPr>
          <w:color w:val="000000"/>
        </w:rPr>
      </w:pPr>
    </w:p>
    <w:p w14:paraId="468BD913" w14:textId="77777777" w:rsidR="00C14508" w:rsidRDefault="003F05B8">
      <w:pPr>
        <w:spacing w:after="0" w:line="360" w:lineRule="auto"/>
        <w:rPr>
          <w:color w:val="000000"/>
        </w:rPr>
      </w:pPr>
      <w:r>
        <w:rPr>
          <w:color w:val="000000"/>
        </w:rPr>
        <w:t>En términos de lo expuesto, la documentación y aquellos datos que se consideren confidenciales, serán una limitante del derecho de acceso a la información, siempre y cuando:</w:t>
      </w:r>
    </w:p>
    <w:p w14:paraId="7E13960D" w14:textId="77777777" w:rsidR="00C14508" w:rsidRDefault="00C14508">
      <w:pPr>
        <w:spacing w:after="0" w:line="360" w:lineRule="auto"/>
        <w:rPr>
          <w:color w:val="000000"/>
        </w:rPr>
      </w:pPr>
    </w:p>
    <w:p w14:paraId="50705CFE" w14:textId="77777777" w:rsidR="00C14508" w:rsidRDefault="003F05B8">
      <w:pPr>
        <w:numPr>
          <w:ilvl w:val="0"/>
          <w:numId w:val="2"/>
        </w:numPr>
        <w:pBdr>
          <w:top w:val="nil"/>
          <w:left w:val="nil"/>
          <w:bottom w:val="nil"/>
          <w:right w:val="nil"/>
          <w:between w:val="nil"/>
        </w:pBdr>
        <w:spacing w:after="0" w:line="360" w:lineRule="auto"/>
        <w:rPr>
          <w:color w:val="000000"/>
        </w:rPr>
      </w:pPr>
      <w:r>
        <w:rPr>
          <w:color w:val="000000"/>
        </w:rPr>
        <w:t xml:space="preserve">Se trate de datos personales o información privada; esto es, información concerniente a una persona física o jurídico colectiva y que esta sea identificada o identificable. </w:t>
      </w:r>
    </w:p>
    <w:p w14:paraId="01AC6840" w14:textId="77777777" w:rsidR="00C14508" w:rsidRDefault="003F05B8">
      <w:pPr>
        <w:numPr>
          <w:ilvl w:val="0"/>
          <w:numId w:val="2"/>
        </w:numPr>
        <w:pBdr>
          <w:top w:val="nil"/>
          <w:left w:val="nil"/>
          <w:bottom w:val="nil"/>
          <w:right w:val="nil"/>
          <w:between w:val="nil"/>
        </w:pBdr>
        <w:spacing w:after="0" w:line="360" w:lineRule="auto"/>
        <w:jc w:val="left"/>
        <w:rPr>
          <w:color w:val="000000"/>
        </w:rPr>
      </w:pPr>
      <w:r>
        <w:rPr>
          <w:color w:val="000000"/>
        </w:rPr>
        <w:t xml:space="preserve">Para la difusión de los datos, se requiera el consentimiento del titular. </w:t>
      </w:r>
    </w:p>
    <w:p w14:paraId="4E2808E9" w14:textId="77777777" w:rsidR="00C14508" w:rsidRDefault="00C14508">
      <w:pPr>
        <w:spacing w:after="0" w:line="360" w:lineRule="auto"/>
        <w:rPr>
          <w:color w:val="000000"/>
        </w:rPr>
      </w:pPr>
    </w:p>
    <w:p w14:paraId="70EAAC2F" w14:textId="77777777" w:rsidR="00C14508" w:rsidRDefault="003F05B8">
      <w:pPr>
        <w:spacing w:after="0" w:line="360" w:lineRule="auto"/>
        <w:rPr>
          <w:color w:val="000000"/>
        </w:rPr>
      </w:pPr>
      <w:r>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75DC7A3C" w14:textId="77777777" w:rsidR="00C14508" w:rsidRDefault="00C14508">
      <w:pPr>
        <w:spacing w:after="0" w:line="360" w:lineRule="auto"/>
        <w:rPr>
          <w:color w:val="000000"/>
        </w:rPr>
      </w:pPr>
    </w:p>
    <w:p w14:paraId="264A570B" w14:textId="77777777" w:rsidR="00C14508" w:rsidRDefault="003F05B8">
      <w:pPr>
        <w:spacing w:after="0" w:line="360" w:lineRule="auto"/>
        <w:rPr>
          <w:color w:val="000000"/>
        </w:rPr>
      </w:pPr>
      <w:r>
        <w:rPr>
          <w:color w:val="000000"/>
        </w:rPr>
        <w:t>Además, en el artículo 5° de dicho ordenamiento jurídico, establece que es la Ley aplicable para todo tratamiento de datos personales.</w:t>
      </w:r>
    </w:p>
    <w:p w14:paraId="0CFA1598" w14:textId="77777777" w:rsidR="00C14508" w:rsidRDefault="00C14508">
      <w:pPr>
        <w:spacing w:after="0" w:line="360" w:lineRule="auto"/>
        <w:rPr>
          <w:color w:val="000000"/>
        </w:rPr>
      </w:pPr>
    </w:p>
    <w:p w14:paraId="711B1E77" w14:textId="77777777" w:rsidR="00C14508" w:rsidRDefault="003F05B8">
      <w:pPr>
        <w:spacing w:after="0" w:line="360" w:lineRule="auto"/>
        <w:rPr>
          <w:color w:val="000000"/>
        </w:rPr>
      </w:pPr>
      <w:r>
        <w:rPr>
          <w:color w:val="000000"/>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w:t>
      </w:r>
      <w:r>
        <w:rPr>
          <w:color w:val="000000"/>
        </w:rPr>
        <w:lastRenderedPageBreak/>
        <w:t>atribuciones legales y con el consentimiento de su titular, además de que debe estar justificado en ley (principio de finalidad).</w:t>
      </w:r>
    </w:p>
    <w:p w14:paraId="386CA88D" w14:textId="77777777" w:rsidR="00C14508" w:rsidRDefault="00C14508">
      <w:pPr>
        <w:spacing w:after="0" w:line="360" w:lineRule="auto"/>
        <w:rPr>
          <w:color w:val="000000"/>
        </w:rPr>
      </w:pPr>
    </w:p>
    <w:p w14:paraId="3B8B03A9" w14:textId="77777777" w:rsidR="00C14508" w:rsidRDefault="003F05B8">
      <w:pPr>
        <w:spacing w:after="0" w:line="360" w:lineRule="auto"/>
        <w:rPr>
          <w:color w:val="000000"/>
        </w:rPr>
      </w:pPr>
      <w:r>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5F184D73" w14:textId="77777777" w:rsidR="00C14508" w:rsidRDefault="00C14508">
      <w:pPr>
        <w:spacing w:after="0" w:line="360" w:lineRule="auto"/>
        <w:rPr>
          <w:b/>
          <w:bCs/>
          <w:color w:val="000000"/>
        </w:rPr>
      </w:pPr>
    </w:p>
    <w:p w14:paraId="42601390" w14:textId="77777777" w:rsidR="00C14508" w:rsidRDefault="003F05B8">
      <w:pPr>
        <w:numPr>
          <w:ilvl w:val="0"/>
          <w:numId w:val="6"/>
        </w:numPr>
        <w:spacing w:after="0" w:line="360" w:lineRule="auto"/>
        <w:jc w:val="left"/>
        <w:rPr>
          <w:b/>
          <w:bCs/>
        </w:rPr>
      </w:pPr>
      <w:r>
        <w:rPr>
          <w:b/>
          <w:bCs/>
        </w:rPr>
        <w:t>Nombre de personas físicas proveedores.</w:t>
      </w:r>
    </w:p>
    <w:p w14:paraId="7ADB4C88" w14:textId="77777777" w:rsidR="00C14508" w:rsidRDefault="00C14508">
      <w:pPr>
        <w:spacing w:after="0" w:line="360" w:lineRule="auto"/>
        <w:rPr>
          <w:b/>
          <w:bCs/>
        </w:rPr>
      </w:pPr>
    </w:p>
    <w:p w14:paraId="4A13F9B6" w14:textId="77777777" w:rsidR="00C14508" w:rsidRDefault="003F05B8">
      <w:pPr>
        <w:spacing w:after="0" w:line="360" w:lineRule="auto"/>
        <w:ind w:right="-93"/>
      </w:pPr>
      <w:r>
        <w:t xml:space="preserve">Al respecto, cabe precisar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Pr>
          <w:i/>
          <w:iCs/>
        </w:rPr>
        <w:t>per se</w:t>
      </w:r>
      <w:r>
        <w:t xml:space="preserve"> es un elemento que hace a una persona física identificada o identificable.</w:t>
      </w:r>
    </w:p>
    <w:p w14:paraId="7B5FA224" w14:textId="77777777" w:rsidR="00C14508" w:rsidRDefault="00C14508">
      <w:pPr>
        <w:spacing w:after="0" w:line="360" w:lineRule="auto"/>
        <w:ind w:right="-93"/>
      </w:pPr>
    </w:p>
    <w:p w14:paraId="1EDC35EB" w14:textId="77777777" w:rsidR="00C14508" w:rsidRDefault="003F05B8">
      <w:pPr>
        <w:spacing w:after="0" w:line="360" w:lineRule="auto"/>
        <w:ind w:right="-93"/>
      </w:pPr>
      <w: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Pr>
          <w:b/>
          <w:bCs/>
        </w:rPr>
        <w:t>los nombres de aquellos que reciben recursos públicos (proveedores),</w:t>
      </w:r>
      <w:r>
        <w:t xml:space="preserve"> ya que la difusión de dicho dato constituye una obligación de transparencia por parte de los sujetos obligados.</w:t>
      </w:r>
    </w:p>
    <w:p w14:paraId="010D2F26" w14:textId="77777777" w:rsidR="00C14508" w:rsidRDefault="00C14508">
      <w:pPr>
        <w:spacing w:after="0" w:line="360" w:lineRule="auto"/>
        <w:ind w:right="-93"/>
      </w:pPr>
    </w:p>
    <w:p w14:paraId="71D66FD0" w14:textId="77777777" w:rsidR="00C14508" w:rsidRDefault="003F05B8">
      <w:pPr>
        <w:spacing w:after="0" w:line="360" w:lineRule="auto"/>
        <w:ind w:right="-93"/>
        <w:rPr>
          <w:b/>
          <w:bCs/>
        </w:rPr>
      </w:pPr>
      <w:r>
        <w:t xml:space="preserve">Toma sustento con el artículo 92, fracciones XXXI, de la Ley de la materia, el cual establece que los sujetos obligados tienen la obligación de poner a disposición del público y mantener </w:t>
      </w:r>
      <w:r>
        <w:lastRenderedPageBreak/>
        <w:t xml:space="preserve">actualizada de acuerdo con sus facultades, atribuciones, funciones u objeto social, según corresponda el </w:t>
      </w:r>
      <w:r>
        <w:rPr>
          <w:b/>
          <w:bCs/>
        </w:rPr>
        <w:t>Padrón de proveedores y contratistas.</w:t>
      </w:r>
    </w:p>
    <w:p w14:paraId="4A8C6271" w14:textId="77777777" w:rsidR="00C14508" w:rsidRDefault="00C14508">
      <w:pPr>
        <w:spacing w:after="0" w:line="360" w:lineRule="auto"/>
        <w:ind w:right="-93"/>
        <w:rPr>
          <w:b/>
          <w:bCs/>
        </w:rPr>
      </w:pPr>
    </w:p>
    <w:p w14:paraId="06A97361" w14:textId="77777777" w:rsidR="00C14508" w:rsidRDefault="003F05B8">
      <w:pPr>
        <w:spacing w:after="0" w:line="360" w:lineRule="auto"/>
        <w:ind w:right="-93"/>
      </w:pPr>
      <w:r>
        <w:t>Además, se robustece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2DBBFA0D" w14:textId="77777777" w:rsidR="00C14508" w:rsidRDefault="00C14508">
      <w:pPr>
        <w:spacing w:after="0" w:line="360" w:lineRule="auto"/>
        <w:ind w:right="-93"/>
      </w:pPr>
    </w:p>
    <w:p w14:paraId="1F7485D6" w14:textId="77777777" w:rsidR="00C14508" w:rsidRDefault="003F05B8">
      <w:pPr>
        <w:spacing w:after="0" w:line="360" w:lineRule="auto"/>
        <w:ind w:right="-93"/>
        <w:rPr>
          <w:b/>
          <w:bCs/>
        </w:rPr>
      </w:pPr>
      <w:r>
        <w:rPr>
          <w:rFonts w:ascii="Times New Roman" w:eastAsia="Times New Roman" w:hAnsi="Times New Roman" w:cs="Times New Roman"/>
          <w:noProof/>
          <w:sz w:val="20"/>
          <w:szCs w:val="20"/>
        </w:rPr>
        <w:drawing>
          <wp:inline distT="0" distB="0" distL="0" distR="0" wp14:anchorId="6384DCF5" wp14:editId="7B1D94BE">
            <wp:extent cx="5743575" cy="752475"/>
            <wp:effectExtent l="0" t="0" r="0" b="0"/>
            <wp:docPr id="14325137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b="84505"/>
                    <a:stretch>
                      <a:fillRect/>
                    </a:stretch>
                  </pic:blipFill>
                  <pic:spPr>
                    <a:xfrm>
                      <a:off x="0" y="0"/>
                      <a:ext cx="5743575" cy="752475"/>
                    </a:xfrm>
                    <a:prstGeom prst="rect">
                      <a:avLst/>
                    </a:prstGeom>
                    <a:ln/>
                  </pic:spPr>
                </pic:pic>
              </a:graphicData>
            </a:graphic>
          </wp:inline>
        </w:drawing>
      </w:r>
    </w:p>
    <w:p w14:paraId="543F36A9" w14:textId="77777777" w:rsidR="00C14508" w:rsidRDefault="003F05B8">
      <w:pPr>
        <w:spacing w:after="0" w:line="360" w:lineRule="auto"/>
        <w:ind w:right="-93"/>
        <w:rPr>
          <w:b/>
          <w:bCs/>
        </w:rPr>
      </w:pPr>
      <w:r>
        <w:rPr>
          <w:rFonts w:ascii="Times New Roman" w:eastAsia="Times New Roman" w:hAnsi="Times New Roman" w:cs="Times New Roman"/>
          <w:noProof/>
          <w:sz w:val="20"/>
          <w:szCs w:val="20"/>
        </w:rPr>
        <w:drawing>
          <wp:inline distT="0" distB="0" distL="0" distR="0" wp14:anchorId="38E032E3" wp14:editId="0C0CFDAB">
            <wp:extent cx="5743575" cy="495300"/>
            <wp:effectExtent l="0" t="0" r="0" b="0"/>
            <wp:docPr id="14325137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89838" b="-38"/>
                    <a:stretch>
                      <a:fillRect/>
                    </a:stretch>
                  </pic:blipFill>
                  <pic:spPr>
                    <a:xfrm>
                      <a:off x="0" y="0"/>
                      <a:ext cx="5743575" cy="495300"/>
                    </a:xfrm>
                    <a:prstGeom prst="rect">
                      <a:avLst/>
                    </a:prstGeom>
                    <a:ln/>
                  </pic:spPr>
                </pic:pic>
              </a:graphicData>
            </a:graphic>
          </wp:inline>
        </w:drawing>
      </w:r>
    </w:p>
    <w:p w14:paraId="1820DC05" w14:textId="77777777" w:rsidR="00C14508" w:rsidRDefault="00C14508">
      <w:pPr>
        <w:spacing w:after="0" w:line="360" w:lineRule="auto"/>
        <w:ind w:right="-93"/>
        <w:rPr>
          <w:b/>
          <w:bCs/>
        </w:rPr>
      </w:pPr>
    </w:p>
    <w:p w14:paraId="3FA57180" w14:textId="77777777" w:rsidR="00C14508" w:rsidRDefault="003F05B8">
      <w:pPr>
        <w:spacing w:after="0" w:line="360" w:lineRule="auto"/>
        <w:ind w:right="-93"/>
        <w:rPr>
          <w:b/>
          <w:bCs/>
        </w:rPr>
      </w:pPr>
      <w:r>
        <w:t xml:space="preserve">Por lo tanto, la Ley de Transparencia y Acceso a la Información Pública del Estado de México y Municipios, considera que </w:t>
      </w:r>
      <w:r>
        <w:rPr>
          <w:b/>
          <w:bCs/>
        </w:rPr>
        <w:t xml:space="preserve">los datos de aquellas personas que recibieron recursos públicos, por regla general, </w:t>
      </w:r>
      <w:r>
        <w:t xml:space="preserve">son de naturaleza pública, ya que su publicidad orienta a cumplir los objetivos que persigue la Ley; toda vez, </w:t>
      </w:r>
      <w:r>
        <w:rPr>
          <w:b/>
          <w:bCs/>
        </w:rPr>
        <w:t>que ayuda a transparentar a quienes se les han otorgado recursos públicos, así como, porque razones se les otorgaron dichos montos.</w:t>
      </w:r>
    </w:p>
    <w:p w14:paraId="4900127E" w14:textId="77777777" w:rsidR="00C14508" w:rsidRDefault="00C14508">
      <w:pPr>
        <w:spacing w:after="0" w:line="360" w:lineRule="auto"/>
        <w:rPr>
          <w:b/>
          <w:bCs/>
        </w:rPr>
      </w:pPr>
    </w:p>
    <w:p w14:paraId="22D24132" w14:textId="77777777" w:rsidR="00C14508" w:rsidRDefault="003F05B8">
      <w:pPr>
        <w:spacing w:after="0" w:line="360" w:lineRule="auto"/>
      </w:pPr>
      <w:r>
        <w:t>Por lo que, se considera que no procede la clasificación del nombre de los proveedores, en términos del artículo 143, fracción I de la Ley de Transparencia y Acceso a la Información Pública del Estado de México y Municipios.</w:t>
      </w:r>
    </w:p>
    <w:p w14:paraId="771BD156" w14:textId="77777777" w:rsidR="00C14508" w:rsidRDefault="00C14508">
      <w:pPr>
        <w:spacing w:after="0" w:line="360" w:lineRule="auto"/>
      </w:pPr>
    </w:p>
    <w:p w14:paraId="013AB699" w14:textId="77777777" w:rsidR="00C14508" w:rsidRDefault="003F05B8">
      <w:pPr>
        <w:numPr>
          <w:ilvl w:val="0"/>
          <w:numId w:val="6"/>
        </w:numPr>
        <w:spacing w:after="0" w:line="360" w:lineRule="auto"/>
        <w:jc w:val="left"/>
        <w:rPr>
          <w:b/>
          <w:bCs/>
        </w:rPr>
      </w:pPr>
      <w:r>
        <w:rPr>
          <w:b/>
          <w:bCs/>
        </w:rPr>
        <w:t>Denominación o razón Social de proveedores personas morales.</w:t>
      </w:r>
    </w:p>
    <w:p w14:paraId="447BC3DA" w14:textId="77777777" w:rsidR="00C14508" w:rsidRDefault="00C14508">
      <w:pPr>
        <w:spacing w:after="0" w:line="360" w:lineRule="auto"/>
        <w:rPr>
          <w:b/>
          <w:bCs/>
        </w:rPr>
      </w:pPr>
    </w:p>
    <w:p w14:paraId="5B156BD8" w14:textId="77777777" w:rsidR="00C14508" w:rsidRDefault="003F05B8">
      <w:pPr>
        <w:spacing w:after="0" w:line="360" w:lineRule="auto"/>
      </w:pPr>
      <w:r>
        <w:t>Al respecto, se considera que la denominación o razón social de una persona moral, es pública, pues dichos datos se encuentran inscritos en el Registro Público del Comercio; lo anterior, toma sustento en el Criterio de Interpretación, de la Segunda Época, con número de registro SO/008/2019, emitido por el Instituto Nacional de Transparencia, Acceso a la Información y Protección de Datos Personales, que precisa lo siguiente:</w:t>
      </w:r>
    </w:p>
    <w:p w14:paraId="5FD7271E" w14:textId="77777777" w:rsidR="00C14508" w:rsidRDefault="00C14508">
      <w:pPr>
        <w:spacing w:after="0" w:line="360" w:lineRule="auto"/>
      </w:pPr>
    </w:p>
    <w:p w14:paraId="5C048815" w14:textId="77777777" w:rsidR="00C14508" w:rsidRDefault="003F05B8">
      <w:pPr>
        <w:spacing w:after="0" w:line="360" w:lineRule="auto"/>
        <w:ind w:left="567" w:right="567"/>
        <w:rPr>
          <w:i/>
          <w:iCs/>
          <w:sz w:val="20"/>
          <w:szCs w:val="20"/>
        </w:rPr>
      </w:pPr>
      <w:r>
        <w:rPr>
          <w:b/>
          <w:bCs/>
          <w:i/>
          <w:iCs/>
          <w:sz w:val="20"/>
          <w:szCs w:val="20"/>
        </w:rPr>
        <w:t xml:space="preserve">“Razón social y RFC de personas morales. </w:t>
      </w:r>
      <w:r>
        <w:rPr>
          <w:i/>
          <w:iCs/>
          <w:sz w:val="20"/>
          <w:szCs w:val="20"/>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34E573D5" w14:textId="77777777" w:rsidR="00C14508" w:rsidRDefault="00C14508">
      <w:pPr>
        <w:spacing w:after="0" w:line="360" w:lineRule="auto"/>
        <w:rPr>
          <w:b/>
          <w:bCs/>
        </w:rPr>
      </w:pPr>
    </w:p>
    <w:p w14:paraId="619982ED" w14:textId="77777777" w:rsidR="00C14508" w:rsidRDefault="003F05B8">
      <w:pPr>
        <w:spacing w:after="0" w:line="360" w:lineRule="auto"/>
      </w:pPr>
      <w:r>
        <w:t>Lo anterior, se robustece con el hecho de que el Ente Recurrido tiene como obligación común de transparencia, poner a disposición del público el padrón de proveedores y contratistas, que como se advirtió en párrafos anteriores debe incluir la denominación o razón social del proveedor o contratista,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5940A20D" w14:textId="77777777" w:rsidR="00C14508" w:rsidRDefault="00C14508">
      <w:pPr>
        <w:spacing w:after="0" w:line="360" w:lineRule="auto"/>
      </w:pPr>
    </w:p>
    <w:p w14:paraId="1F95B267" w14:textId="77777777" w:rsidR="00C14508" w:rsidRDefault="003F05B8">
      <w:pPr>
        <w:spacing w:after="0" w:line="360" w:lineRule="auto"/>
      </w:pPr>
      <w:r>
        <w:t>Por lo tanto, no procede la clasificación de la denominación o razón social de los proveedores personas morales, en términos del artículo 143, fracción I de la Ley de Transparencia y Acceso a la Información Pública del Estado de México y Municipios.</w:t>
      </w:r>
    </w:p>
    <w:p w14:paraId="4CE9DF8D" w14:textId="77777777" w:rsidR="00C14508" w:rsidRDefault="00C14508">
      <w:pPr>
        <w:spacing w:after="0" w:line="360" w:lineRule="auto"/>
        <w:rPr>
          <w:b/>
          <w:bCs/>
          <w:color w:val="000000"/>
        </w:rPr>
      </w:pPr>
    </w:p>
    <w:p w14:paraId="4331FEA9" w14:textId="77777777" w:rsidR="00C14508" w:rsidRDefault="003F05B8">
      <w:pPr>
        <w:numPr>
          <w:ilvl w:val="0"/>
          <w:numId w:val="3"/>
        </w:numPr>
        <w:pBdr>
          <w:top w:val="nil"/>
          <w:left w:val="nil"/>
          <w:bottom w:val="nil"/>
          <w:right w:val="nil"/>
          <w:between w:val="nil"/>
        </w:pBdr>
        <w:spacing w:after="0" w:line="360" w:lineRule="auto"/>
        <w:jc w:val="left"/>
        <w:rPr>
          <w:b/>
          <w:bCs/>
          <w:color w:val="000000"/>
        </w:rPr>
      </w:pPr>
      <w:r>
        <w:rPr>
          <w:b/>
          <w:bCs/>
          <w:color w:val="000000"/>
        </w:rPr>
        <w:t>Registro Federal de Contribuyentes del proveedor o contratista</w:t>
      </w:r>
    </w:p>
    <w:p w14:paraId="70037C72" w14:textId="77777777" w:rsidR="00C14508" w:rsidRDefault="00C14508">
      <w:pPr>
        <w:spacing w:after="0" w:line="360" w:lineRule="auto"/>
        <w:rPr>
          <w:color w:val="000000"/>
        </w:rPr>
      </w:pPr>
    </w:p>
    <w:p w14:paraId="50CA2690" w14:textId="77777777" w:rsidR="00C14508" w:rsidRDefault="003F05B8">
      <w:pPr>
        <w:spacing w:after="0" w:line="360" w:lineRule="auto"/>
        <w:rPr>
          <w:b/>
          <w:bCs/>
          <w:color w:val="000000"/>
        </w:rPr>
      </w:pPr>
      <w:r>
        <w:rPr>
          <w:b/>
          <w:bCs/>
          <w:color w:val="000000"/>
        </w:rPr>
        <w:t>Persona física</w:t>
      </w:r>
    </w:p>
    <w:p w14:paraId="7636339B" w14:textId="77777777" w:rsidR="00C14508" w:rsidRDefault="00C14508">
      <w:pPr>
        <w:spacing w:after="0" w:line="360" w:lineRule="auto"/>
        <w:rPr>
          <w:color w:val="000000"/>
        </w:rPr>
      </w:pPr>
    </w:p>
    <w:p w14:paraId="1866C496" w14:textId="77777777" w:rsidR="00C14508" w:rsidRDefault="003F05B8">
      <w:pPr>
        <w:spacing w:after="0" w:line="360" w:lineRule="auto"/>
        <w:rPr>
          <w:color w:val="000000"/>
        </w:rPr>
      </w:pPr>
      <w:r>
        <w:rPr>
          <w:color w:val="000000"/>
        </w:rPr>
        <w:t>Al respecto, es necesario precisar que el proveedor de cualquier Sujeto Obligado de la Ley de la materia, que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la cédula de identificación fiscal (Registro Federal de Contribuyentes); por lo que la entrega de dicho dato permite verificar cumplimiento de esta disposición legal.</w:t>
      </w:r>
    </w:p>
    <w:p w14:paraId="39906AF6" w14:textId="77777777" w:rsidR="00C14508" w:rsidRDefault="00C14508">
      <w:pPr>
        <w:spacing w:after="0" w:line="360" w:lineRule="auto"/>
        <w:rPr>
          <w:color w:val="000000"/>
        </w:rPr>
      </w:pPr>
    </w:p>
    <w:p w14:paraId="7464293E" w14:textId="77777777" w:rsidR="00C14508" w:rsidRDefault="003F05B8">
      <w:pPr>
        <w:spacing w:after="0" w:line="360" w:lineRule="auto"/>
        <w:rPr>
          <w:color w:val="000000"/>
        </w:rPr>
      </w:pPr>
      <w:r>
        <w:rPr>
          <w:color w:val="000000"/>
        </w:rPr>
        <w:t>Por lo tanto, en el presente caso, si bien el Registro Federal de Contribuyentes de personas físicas es un dato personal, también lo es, que corresponde a un requisito indispensable para ser proveedor y poder llevar a cabo actividades comerciales con la Entidad, ya que, sin este, no se pueden realizar dichas acciones, por lo que su entrega es un elemento adicional que respalda la legalidad de los procesos adquisitivos.</w:t>
      </w:r>
    </w:p>
    <w:p w14:paraId="418F3379" w14:textId="77777777" w:rsidR="00C14508" w:rsidRDefault="00C14508">
      <w:pPr>
        <w:spacing w:after="0" w:line="360" w:lineRule="auto"/>
        <w:rPr>
          <w:color w:val="000000"/>
        </w:rPr>
      </w:pPr>
    </w:p>
    <w:p w14:paraId="2DB67DDA" w14:textId="77777777" w:rsidR="00C14508" w:rsidRDefault="003F05B8">
      <w:pPr>
        <w:spacing w:after="0" w:line="360" w:lineRule="auto"/>
        <w:rPr>
          <w:color w:val="000000"/>
        </w:rPr>
      </w:pPr>
      <w:r>
        <w:rPr>
          <w:color w:val="000000"/>
        </w:rPr>
        <w:t>En ese contexto, entregar el Registro Federal de Contribuyentes aún de personas físicas cuando son proveedores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4D06E651" w14:textId="77777777" w:rsidR="00C14508" w:rsidRDefault="00C14508">
      <w:pPr>
        <w:spacing w:after="0" w:line="360" w:lineRule="auto"/>
        <w:rPr>
          <w:color w:val="000000"/>
        </w:rPr>
      </w:pPr>
    </w:p>
    <w:p w14:paraId="1CBE8E44" w14:textId="77777777" w:rsidR="00C14508" w:rsidRDefault="003F05B8">
      <w:pPr>
        <w:tabs>
          <w:tab w:val="center" w:pos="4522"/>
        </w:tabs>
        <w:spacing w:after="0" w:line="360" w:lineRule="auto"/>
        <w:rPr>
          <w:color w:val="000000"/>
        </w:rPr>
      </w:pPr>
      <w:r>
        <w:rPr>
          <w:color w:val="000000"/>
        </w:rPr>
        <w:t xml:space="preserve">Lo anterior, se robustece con el Criterio Orientador, de la Segunda Época, con número de registro SO/004/2021, emitido por el entonces Instituto Nacional de Transparencia, Acceso a </w:t>
      </w:r>
      <w:r>
        <w:rPr>
          <w:color w:val="000000"/>
        </w:rPr>
        <w:lastRenderedPageBreak/>
        <w:t>la Información y Protección de Datos Personales, vigente a la fecha de la solicitud, en el cual se señala lo siguiente:</w:t>
      </w:r>
    </w:p>
    <w:p w14:paraId="55647C33" w14:textId="77777777" w:rsidR="00C14508" w:rsidRDefault="00C14508">
      <w:pPr>
        <w:tabs>
          <w:tab w:val="center" w:pos="4522"/>
        </w:tabs>
        <w:spacing w:after="0" w:line="360" w:lineRule="auto"/>
        <w:rPr>
          <w:color w:val="000000"/>
        </w:rPr>
      </w:pPr>
    </w:p>
    <w:p w14:paraId="0AFDA4E5" w14:textId="77777777" w:rsidR="00C14508" w:rsidRDefault="003F05B8">
      <w:pPr>
        <w:tabs>
          <w:tab w:val="center" w:pos="4522"/>
        </w:tabs>
        <w:spacing w:after="0" w:line="360" w:lineRule="auto"/>
        <w:ind w:left="567" w:right="567"/>
        <w:rPr>
          <w:i/>
          <w:iCs/>
          <w:color w:val="000000"/>
          <w:sz w:val="20"/>
          <w:szCs w:val="20"/>
        </w:rPr>
      </w:pPr>
      <w:r>
        <w:rPr>
          <w:b/>
          <w:bCs/>
          <w:i/>
          <w:iCs/>
          <w:color w:val="000000"/>
          <w:sz w:val="20"/>
          <w:szCs w:val="20"/>
        </w:rPr>
        <w:t xml:space="preserve">“Registro Federal de Contribuyentes (RFC) de personas físicas proveedores o contratistas. </w:t>
      </w:r>
      <w:r>
        <w:rPr>
          <w:i/>
          <w:iCs/>
          <w:color w:val="000000"/>
          <w:sz w:val="20"/>
          <w:szCs w:val="20"/>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3FAB9C0A" w14:textId="77777777" w:rsidR="00C14508" w:rsidRDefault="00C14508">
      <w:pPr>
        <w:tabs>
          <w:tab w:val="center" w:pos="4522"/>
        </w:tabs>
        <w:spacing w:after="0" w:line="360" w:lineRule="auto"/>
        <w:rPr>
          <w:color w:val="000000"/>
        </w:rPr>
      </w:pPr>
    </w:p>
    <w:p w14:paraId="358E03F9" w14:textId="77777777" w:rsidR="00C14508" w:rsidRDefault="003F05B8">
      <w:pPr>
        <w:tabs>
          <w:tab w:val="center" w:pos="4522"/>
        </w:tabs>
        <w:spacing w:after="0" w:line="360" w:lineRule="auto"/>
        <w:rPr>
          <w:b/>
          <w:bCs/>
          <w:color w:val="000000"/>
          <w:u w:val="single"/>
        </w:rPr>
      </w:pPr>
      <w:r>
        <w:rPr>
          <w:color w:val="000000"/>
        </w:rPr>
        <w:t>En conclusión, toda vez, que el Registro Federal de Contribuyentes de proveedores o contratistas, es un requisito indispensable, para poder participar en adquisiciones públicas y contracción de servicios y que abona a la transparencia con la que deben administrarse los recursos públicos, no actualiza la causal de clasificación prevista en el artículo 143, fracción I de la Ley de Transparencia y Acceso a la Información Pública del Estado de México y Municipios.</w:t>
      </w:r>
    </w:p>
    <w:p w14:paraId="243B4738" w14:textId="77777777" w:rsidR="00C14508" w:rsidRDefault="00C14508">
      <w:pPr>
        <w:tabs>
          <w:tab w:val="center" w:pos="4522"/>
        </w:tabs>
        <w:spacing w:after="0" w:line="360" w:lineRule="auto"/>
        <w:rPr>
          <w:b/>
          <w:bCs/>
          <w:color w:val="000000"/>
        </w:rPr>
      </w:pPr>
    </w:p>
    <w:p w14:paraId="1127E811" w14:textId="77777777" w:rsidR="00C14508" w:rsidRDefault="003F05B8">
      <w:pPr>
        <w:tabs>
          <w:tab w:val="center" w:pos="4522"/>
        </w:tabs>
        <w:spacing w:after="0" w:line="360" w:lineRule="auto"/>
        <w:rPr>
          <w:b/>
          <w:bCs/>
          <w:color w:val="000000"/>
        </w:rPr>
      </w:pPr>
      <w:r>
        <w:rPr>
          <w:b/>
          <w:bCs/>
          <w:color w:val="000000"/>
        </w:rPr>
        <w:t>Persona Moral</w:t>
      </w:r>
    </w:p>
    <w:p w14:paraId="42FE9AE9" w14:textId="77777777" w:rsidR="00C14508" w:rsidRDefault="00C14508">
      <w:pPr>
        <w:tabs>
          <w:tab w:val="center" w:pos="4522"/>
        </w:tabs>
        <w:spacing w:after="0" w:line="360" w:lineRule="auto"/>
        <w:rPr>
          <w:color w:val="000000"/>
        </w:rPr>
      </w:pPr>
    </w:p>
    <w:p w14:paraId="3C89A21B" w14:textId="77777777" w:rsidR="00C14508" w:rsidRDefault="003F05B8">
      <w:pPr>
        <w:tabs>
          <w:tab w:val="center" w:pos="4522"/>
        </w:tabs>
        <w:spacing w:after="0" w:line="360" w:lineRule="auto"/>
        <w:rPr>
          <w:color w:val="000000"/>
        </w:rPr>
      </w:pPr>
      <w:r>
        <w:rPr>
          <w:color w:val="000000"/>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w:t>
      </w:r>
      <w:r>
        <w:rPr>
          <w:color w:val="000000"/>
        </w:rPr>
        <w:lastRenderedPageBreak/>
        <w:t>firmas ante las autoridades fiscales o ante notario o fedatario público. Derivado del trámite se obtiene, entre otros, la cédula de identificación fiscal o constancia de registro.</w:t>
      </w:r>
    </w:p>
    <w:p w14:paraId="071CA7E6" w14:textId="77777777" w:rsidR="00C14508" w:rsidRDefault="00C14508">
      <w:pPr>
        <w:tabs>
          <w:tab w:val="center" w:pos="4522"/>
        </w:tabs>
        <w:spacing w:after="0" w:line="360" w:lineRule="auto"/>
        <w:rPr>
          <w:color w:val="000000"/>
        </w:rPr>
      </w:pPr>
    </w:p>
    <w:p w14:paraId="7161DDF8" w14:textId="77777777" w:rsidR="00C14508" w:rsidRDefault="003F05B8">
      <w:pPr>
        <w:tabs>
          <w:tab w:val="center" w:pos="4522"/>
        </w:tabs>
        <w:spacing w:after="0" w:line="360" w:lineRule="auto"/>
        <w:rPr>
          <w:color w:val="000000"/>
        </w:rPr>
      </w:pPr>
      <w:r>
        <w:rPr>
          <w:color w:val="000000"/>
        </w:rPr>
        <w:t>Por ende, la información correspondiente al Registro Federal de Contribuyentes de una persona moral da cuenta del cumplimiento o no en sus obligaciones fiscales; por tanto, no se actualiza su clasificación como confidencial.</w:t>
      </w:r>
    </w:p>
    <w:p w14:paraId="528D74DE" w14:textId="77777777" w:rsidR="00C14508" w:rsidRDefault="00C14508">
      <w:pPr>
        <w:tabs>
          <w:tab w:val="center" w:pos="4522"/>
        </w:tabs>
        <w:spacing w:after="0" w:line="360" w:lineRule="auto"/>
        <w:rPr>
          <w:color w:val="000000"/>
        </w:rPr>
      </w:pPr>
    </w:p>
    <w:p w14:paraId="17C95991" w14:textId="77777777" w:rsidR="00C14508" w:rsidRDefault="003F05B8">
      <w:pPr>
        <w:tabs>
          <w:tab w:val="center" w:pos="4522"/>
        </w:tabs>
        <w:spacing w:after="0" w:line="360" w:lineRule="auto"/>
        <w:rPr>
          <w:color w:val="000000"/>
        </w:rPr>
      </w:pPr>
      <w:r>
        <w:rPr>
          <w:color w:val="000000"/>
        </w:rPr>
        <w:t>Además, resulta aplicable por analogía el Criterio Orientador, de la Segunda Época, con número de registro SO/008/2019, emitido por el entonces Instituto Nacional de Transparencia, Acceso a la Información y Protección de Datos Personales, vigente a la fecha de la solicitud, que precisa que el Registro Federal de Contribuyentes de personas morales, es público, al no referir a hechos o actos de carácter económico, contable, jurídico o administrativo que sean útiles o representen una ventaja a sus competidores.</w:t>
      </w:r>
    </w:p>
    <w:p w14:paraId="227DDF40" w14:textId="77777777" w:rsidR="00C14508" w:rsidRDefault="003F05B8">
      <w:pPr>
        <w:tabs>
          <w:tab w:val="center" w:pos="4522"/>
        </w:tabs>
        <w:spacing w:after="0" w:line="360" w:lineRule="auto"/>
        <w:rPr>
          <w:color w:val="000000"/>
        </w:rPr>
      </w:pPr>
      <w:r>
        <w:rPr>
          <w:color w:val="000000"/>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51EA7058" w14:textId="77777777" w:rsidR="00C14508" w:rsidRDefault="00C14508">
      <w:pPr>
        <w:spacing w:after="0" w:line="360" w:lineRule="auto"/>
        <w:jc w:val="left"/>
        <w:rPr>
          <w:b/>
          <w:bCs/>
          <w:color w:val="000000"/>
        </w:rPr>
      </w:pPr>
    </w:p>
    <w:p w14:paraId="29E4AE7F" w14:textId="77777777" w:rsidR="00C14508" w:rsidRDefault="003F05B8">
      <w:pPr>
        <w:numPr>
          <w:ilvl w:val="0"/>
          <w:numId w:val="3"/>
        </w:numPr>
        <w:pBdr>
          <w:top w:val="nil"/>
          <w:left w:val="nil"/>
          <w:bottom w:val="nil"/>
          <w:right w:val="nil"/>
          <w:between w:val="nil"/>
        </w:pBdr>
        <w:spacing w:after="0" w:line="360" w:lineRule="auto"/>
        <w:jc w:val="left"/>
        <w:rPr>
          <w:b/>
          <w:bCs/>
          <w:color w:val="000000"/>
        </w:rPr>
      </w:pPr>
      <w:r>
        <w:rPr>
          <w:b/>
          <w:bCs/>
          <w:color w:val="000000"/>
        </w:rPr>
        <w:t>Código Bidimensional o QR</w:t>
      </w:r>
    </w:p>
    <w:p w14:paraId="4506FF66" w14:textId="77777777" w:rsidR="00C14508" w:rsidRDefault="00C14508">
      <w:pPr>
        <w:spacing w:after="0" w:line="360" w:lineRule="auto"/>
        <w:jc w:val="left"/>
        <w:rPr>
          <w:b/>
          <w:bCs/>
          <w:color w:val="000000"/>
        </w:rPr>
      </w:pPr>
    </w:p>
    <w:p w14:paraId="3880CDE9" w14:textId="77777777" w:rsidR="00C14508" w:rsidRDefault="003F05B8">
      <w:pPr>
        <w:spacing w:after="0" w:line="360" w:lineRule="auto"/>
        <w:rPr>
          <w:color w:val="000000"/>
        </w:rPr>
      </w:pPr>
      <w:r>
        <w:rPr>
          <w:color w:val="000000"/>
        </w:rPr>
        <w:t>En principio, resulta necesario señalar que los comprobantes fiscales digitales por Internet,</w:t>
      </w:r>
    </w:p>
    <w:p w14:paraId="40684607" w14:textId="77777777" w:rsidR="00C14508" w:rsidRDefault="003F05B8">
      <w:pPr>
        <w:spacing w:after="0" w:line="360" w:lineRule="auto"/>
        <w:rPr>
          <w:color w:val="000000"/>
        </w:rPr>
      </w:pPr>
      <w:r>
        <w:rPr>
          <w:color w:val="000000"/>
        </w:rPr>
        <w:t xml:space="preserve">deben de incluir un código bidimensional conforme al formato QR </w:t>
      </w:r>
      <w:proofErr w:type="spellStart"/>
      <w:r>
        <w:rPr>
          <w:color w:val="000000"/>
        </w:rPr>
        <w:t>Code</w:t>
      </w:r>
      <w:proofErr w:type="spellEnd"/>
      <w:r>
        <w:rPr>
          <w:color w:val="000000"/>
        </w:rPr>
        <w:t xml:space="preserve"> (Quick Response</w:t>
      </w:r>
    </w:p>
    <w:p w14:paraId="7B5340F9" w14:textId="77777777" w:rsidR="00C14508" w:rsidRDefault="003F05B8">
      <w:pPr>
        <w:spacing w:after="0" w:line="360" w:lineRule="auto"/>
        <w:rPr>
          <w:color w:val="000000"/>
        </w:rPr>
      </w:pPr>
      <w:proofErr w:type="spellStart"/>
      <w:r>
        <w:rPr>
          <w:color w:val="000000"/>
        </w:rPr>
        <w:t>Code</w:t>
      </w:r>
      <w:proofErr w:type="spellEnd"/>
      <w:r>
        <w:rPr>
          <w:color w:val="000000"/>
        </w:rPr>
        <w:t xml:space="preserve">), el cual contiene el Registro Federal de Contribuyentes del receptor, del emisor, o de ambos; lo anterior, conforme al Anexo 20 de la Segunda Resolución de modificación a la Resolución Miscelánea Fiscal. Incluso con la captura de dicho código, a través de la aplicación móvil del Servicio de Administración Tributaria, permite el acceso al Registro Federal de </w:t>
      </w:r>
      <w:r>
        <w:rPr>
          <w:color w:val="000000"/>
        </w:rPr>
        <w:lastRenderedPageBreak/>
        <w:t>Contribuyentes, como del Sujeto Obligado, como del proveedor, persona física o moral. En ese orden de ideas, 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14:paraId="43F086C5" w14:textId="77777777" w:rsidR="00C14508" w:rsidRDefault="00C14508">
      <w:pPr>
        <w:spacing w:after="0" w:line="360" w:lineRule="auto"/>
        <w:jc w:val="left"/>
        <w:rPr>
          <w:b/>
          <w:bCs/>
          <w:color w:val="000000"/>
        </w:rPr>
      </w:pPr>
    </w:p>
    <w:p w14:paraId="7D6F0635" w14:textId="77777777" w:rsidR="00C14508" w:rsidRDefault="003F05B8">
      <w:pPr>
        <w:numPr>
          <w:ilvl w:val="0"/>
          <w:numId w:val="3"/>
        </w:numPr>
        <w:pBdr>
          <w:top w:val="nil"/>
          <w:left w:val="nil"/>
          <w:bottom w:val="nil"/>
          <w:right w:val="nil"/>
          <w:between w:val="nil"/>
        </w:pBdr>
        <w:spacing w:after="0" w:line="360" w:lineRule="auto"/>
        <w:jc w:val="left"/>
        <w:rPr>
          <w:b/>
          <w:bCs/>
          <w:color w:val="000000"/>
        </w:rPr>
      </w:pPr>
      <w:r>
        <w:rPr>
          <w:b/>
          <w:bCs/>
          <w:color w:val="000000"/>
        </w:rPr>
        <w:t>Domicilio Fiscal o legal para recibir y oír notificaciones (proveedor o contratista persona física o moral).</w:t>
      </w:r>
    </w:p>
    <w:p w14:paraId="274E2CDF" w14:textId="77777777" w:rsidR="00C14508" w:rsidRDefault="00C14508">
      <w:pPr>
        <w:tabs>
          <w:tab w:val="center" w:pos="4522"/>
        </w:tabs>
        <w:spacing w:after="0" w:line="360" w:lineRule="auto"/>
        <w:rPr>
          <w:color w:val="000000"/>
        </w:rPr>
      </w:pPr>
    </w:p>
    <w:p w14:paraId="7D1C262C" w14:textId="77777777" w:rsidR="00C14508" w:rsidRDefault="003F05B8">
      <w:pPr>
        <w:tabs>
          <w:tab w:val="center" w:pos="4522"/>
        </w:tabs>
        <w:spacing w:after="0" w:line="360" w:lineRule="auto"/>
        <w:rPr>
          <w:color w:val="000000"/>
        </w:rPr>
      </w:pPr>
      <w:r>
        <w:rPr>
          <w:color w:val="000000"/>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14:paraId="3BF16AE8" w14:textId="77777777" w:rsidR="00C14508" w:rsidRDefault="00C14508">
      <w:pPr>
        <w:tabs>
          <w:tab w:val="center" w:pos="4522"/>
        </w:tabs>
        <w:spacing w:after="0" w:line="360" w:lineRule="auto"/>
        <w:rPr>
          <w:color w:val="000000"/>
        </w:rPr>
      </w:pPr>
    </w:p>
    <w:p w14:paraId="379F291D" w14:textId="77777777" w:rsidR="00C14508" w:rsidRDefault="003F05B8">
      <w:pPr>
        <w:tabs>
          <w:tab w:val="center" w:pos="4522"/>
        </w:tabs>
        <w:spacing w:after="0" w:line="360" w:lineRule="auto"/>
        <w:rPr>
          <w:color w:val="000000"/>
        </w:rPr>
      </w:pPr>
      <w:r>
        <w:rPr>
          <w:color w:val="000000"/>
        </w:rPr>
        <w:t>De la misma manera, lo establece los diversos 29 y 33 del Código Civil Federal, al precisar que el domicilio de personas físicas</w:t>
      </w:r>
      <w:r>
        <w:rPr>
          <w:b/>
          <w:bCs/>
          <w:color w:val="000000"/>
        </w:rPr>
        <w:t xml:space="preserve">, es el lugar donde residen habitualmente, el lugar del centro principal de sus negocios, donde residan o el lugar donde se encuentren; </w:t>
      </w:r>
      <w:r>
        <w:rPr>
          <w:color w:val="000000"/>
        </w:rPr>
        <w:t>mientras que, de las personas morales, aquel donde se halle su administración.</w:t>
      </w:r>
    </w:p>
    <w:p w14:paraId="6FF90769" w14:textId="77777777" w:rsidR="00C14508" w:rsidRDefault="00C14508">
      <w:pPr>
        <w:tabs>
          <w:tab w:val="center" w:pos="4522"/>
        </w:tabs>
        <w:spacing w:after="0" w:line="360" w:lineRule="auto"/>
        <w:rPr>
          <w:b/>
          <w:bCs/>
          <w:color w:val="000000"/>
        </w:rPr>
      </w:pPr>
    </w:p>
    <w:p w14:paraId="3F9E4B18" w14:textId="77777777" w:rsidR="00C14508" w:rsidRDefault="003F05B8">
      <w:pPr>
        <w:tabs>
          <w:tab w:val="center" w:pos="4522"/>
        </w:tabs>
        <w:spacing w:after="0" w:line="360" w:lineRule="auto"/>
        <w:rPr>
          <w:color w:val="000000"/>
        </w:rPr>
      </w:pPr>
      <w:r>
        <w:rPr>
          <w:color w:val="000000"/>
        </w:rPr>
        <w:t>Además, respecto al domicilio fiscal, resulta necesario traer el artículo 10 del Código Fiscal de la Federación, que establece que, tratándose de personas físicas, corresponderá dicho dato:</w:t>
      </w:r>
    </w:p>
    <w:p w14:paraId="36B3AC9D" w14:textId="77777777" w:rsidR="00C14508" w:rsidRDefault="00C14508">
      <w:pPr>
        <w:tabs>
          <w:tab w:val="center" w:pos="4522"/>
        </w:tabs>
        <w:spacing w:after="0" w:line="360" w:lineRule="auto"/>
        <w:rPr>
          <w:color w:val="000000"/>
        </w:rPr>
      </w:pPr>
    </w:p>
    <w:p w14:paraId="25F1D529" w14:textId="77777777" w:rsidR="00C14508" w:rsidRDefault="003F05B8">
      <w:pPr>
        <w:numPr>
          <w:ilvl w:val="0"/>
          <w:numId w:val="4"/>
        </w:numPr>
        <w:pBdr>
          <w:top w:val="nil"/>
          <w:left w:val="nil"/>
          <w:bottom w:val="nil"/>
          <w:right w:val="nil"/>
          <w:between w:val="nil"/>
        </w:pBdr>
        <w:tabs>
          <w:tab w:val="center" w:pos="4522"/>
        </w:tabs>
        <w:spacing w:after="0" w:line="360" w:lineRule="auto"/>
        <w:jc w:val="left"/>
        <w:rPr>
          <w:color w:val="000000"/>
        </w:rPr>
      </w:pPr>
      <w:r>
        <w:rPr>
          <w:color w:val="000000"/>
        </w:rPr>
        <w:t>El lugar donde realizan actividades empresariales, el local, en que se encuentre el principal asiente de sus negocios, y</w:t>
      </w:r>
    </w:p>
    <w:p w14:paraId="498B3C5E" w14:textId="77777777" w:rsidR="00C14508" w:rsidRDefault="00C14508">
      <w:pPr>
        <w:tabs>
          <w:tab w:val="center" w:pos="4522"/>
        </w:tabs>
        <w:spacing w:after="0" w:line="360" w:lineRule="auto"/>
        <w:rPr>
          <w:color w:val="000000"/>
        </w:rPr>
      </w:pPr>
    </w:p>
    <w:p w14:paraId="7D97BE02" w14:textId="77777777" w:rsidR="00C14508" w:rsidRDefault="003F05B8">
      <w:pPr>
        <w:numPr>
          <w:ilvl w:val="0"/>
          <w:numId w:val="4"/>
        </w:numPr>
        <w:pBdr>
          <w:top w:val="nil"/>
          <w:left w:val="nil"/>
          <w:bottom w:val="nil"/>
          <w:right w:val="nil"/>
          <w:between w:val="nil"/>
        </w:pBdr>
        <w:tabs>
          <w:tab w:val="center" w:pos="4522"/>
        </w:tabs>
        <w:spacing w:after="0" w:line="360" w:lineRule="auto"/>
        <w:jc w:val="left"/>
        <w:rPr>
          <w:color w:val="000000"/>
        </w:rPr>
      </w:pPr>
      <w:r>
        <w:rPr>
          <w:color w:val="000000"/>
        </w:rPr>
        <w:lastRenderedPageBreak/>
        <w:t>La casa habitación, cuando no cuenta con un local o lugar donde realice las acciones previamente señaladas.</w:t>
      </w:r>
    </w:p>
    <w:p w14:paraId="41614717" w14:textId="77777777" w:rsidR="00C14508" w:rsidRDefault="00C14508">
      <w:pPr>
        <w:tabs>
          <w:tab w:val="center" w:pos="4522"/>
        </w:tabs>
        <w:spacing w:after="0" w:line="360" w:lineRule="auto"/>
        <w:rPr>
          <w:color w:val="000000"/>
        </w:rPr>
      </w:pPr>
    </w:p>
    <w:p w14:paraId="4BF11AA4" w14:textId="77777777" w:rsidR="00C14508" w:rsidRDefault="003F05B8">
      <w:pPr>
        <w:tabs>
          <w:tab w:val="center" w:pos="4522"/>
        </w:tabs>
        <w:spacing w:after="0" w:line="360" w:lineRule="auto"/>
        <w:rPr>
          <w:color w:val="000000"/>
        </w:rPr>
      </w:pPr>
      <w:r>
        <w:rPr>
          <w:color w:val="000000"/>
        </w:rPr>
        <w:t>Mientras que, en el caso de personas morales, el domicilio fiscal, corresponderá al local donde se encuentra la administración principal del negocio. Como se logra observar, el domicilio fiscal de los proveedores personas físicas, se encuentra en dos supuestos, por lo que, se procede a su análisis.</w:t>
      </w:r>
    </w:p>
    <w:p w14:paraId="7B97E4E2" w14:textId="77777777" w:rsidR="00C14508" w:rsidRDefault="00C14508">
      <w:pPr>
        <w:tabs>
          <w:tab w:val="center" w:pos="4522"/>
        </w:tabs>
        <w:spacing w:after="0" w:line="360" w:lineRule="auto"/>
        <w:rPr>
          <w:color w:val="000000"/>
        </w:rPr>
      </w:pPr>
    </w:p>
    <w:p w14:paraId="0D34B41B" w14:textId="77777777" w:rsidR="00C14508" w:rsidRDefault="003F05B8">
      <w:pPr>
        <w:tabs>
          <w:tab w:val="center" w:pos="4522"/>
        </w:tabs>
        <w:spacing w:after="0" w:line="360" w:lineRule="auto"/>
        <w:rPr>
          <w:color w:val="000000"/>
        </w:rPr>
      </w:pPr>
      <w:r>
        <w:rPr>
          <w:color w:val="000000"/>
        </w:rPr>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privada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14:paraId="39EE28FB" w14:textId="77777777" w:rsidR="00C14508" w:rsidRDefault="00C14508">
      <w:pPr>
        <w:tabs>
          <w:tab w:val="center" w:pos="4522"/>
        </w:tabs>
        <w:spacing w:after="0" w:line="360" w:lineRule="auto"/>
        <w:rPr>
          <w:color w:val="000000"/>
        </w:rPr>
      </w:pPr>
    </w:p>
    <w:p w14:paraId="00A6EF5E" w14:textId="77777777" w:rsidR="00C14508" w:rsidRDefault="003F05B8">
      <w:pPr>
        <w:tabs>
          <w:tab w:val="center" w:pos="4522"/>
        </w:tabs>
        <w:spacing w:after="0" w:line="360" w:lineRule="auto"/>
        <w:rPr>
          <w:color w:val="000000"/>
        </w:rPr>
      </w:pPr>
      <w:r>
        <w:rPr>
          <w:color w:val="000000"/>
        </w:rPr>
        <w:t>Como se logra observar, es obligación de transparencia proporcionar el domicilio fiscal de los proveedores, por lo que, se considera que, en el caso, de que dicho dato, corresponda a un local o lugar donde realice sus actividades empresariales, se debe entregar.</w:t>
      </w:r>
    </w:p>
    <w:p w14:paraId="1F3995E2" w14:textId="77777777" w:rsidR="00C14508" w:rsidRDefault="00C14508">
      <w:pPr>
        <w:tabs>
          <w:tab w:val="center" w:pos="4522"/>
        </w:tabs>
        <w:spacing w:after="0" w:line="360" w:lineRule="auto"/>
        <w:rPr>
          <w:color w:val="000000"/>
        </w:rPr>
      </w:pPr>
    </w:p>
    <w:p w14:paraId="7F37C36F" w14:textId="77777777" w:rsidR="00C14508" w:rsidRDefault="003F05B8">
      <w:pPr>
        <w:tabs>
          <w:tab w:val="center" w:pos="4522"/>
        </w:tabs>
        <w:spacing w:after="0" w:line="360" w:lineRule="auto"/>
        <w:rPr>
          <w:color w:val="000000"/>
        </w:rPr>
      </w:pPr>
      <w:r>
        <w:rPr>
          <w:color w:val="000000"/>
        </w:rPr>
        <w:t xml:space="preserve">De tal suerte que, tratándose de proveedores (personas físicas o jurídico-colectivas), el domicilio fiscal, no actualiza la causal de clasificación, establecida en el artículo 143, fracción </w:t>
      </w:r>
      <w:r>
        <w:rPr>
          <w:color w:val="000000"/>
        </w:rPr>
        <w:lastRenderedPageBreak/>
        <w:t>I de la Ley de Transparencia y Acceso a la Información Pública del Estado de México y Municipios.</w:t>
      </w:r>
    </w:p>
    <w:p w14:paraId="195177D8" w14:textId="77777777" w:rsidR="00C14508" w:rsidRDefault="00C14508">
      <w:pPr>
        <w:tabs>
          <w:tab w:val="center" w:pos="4522"/>
        </w:tabs>
        <w:spacing w:after="0" w:line="360" w:lineRule="auto"/>
        <w:rPr>
          <w:color w:val="000000"/>
        </w:rPr>
      </w:pPr>
    </w:p>
    <w:p w14:paraId="656F54BC" w14:textId="77777777" w:rsidR="00C14508" w:rsidRDefault="003F05B8">
      <w:pPr>
        <w:numPr>
          <w:ilvl w:val="0"/>
          <w:numId w:val="9"/>
        </w:numPr>
        <w:pBdr>
          <w:top w:val="nil"/>
          <w:left w:val="nil"/>
          <w:bottom w:val="nil"/>
          <w:right w:val="nil"/>
          <w:between w:val="nil"/>
        </w:pBdr>
        <w:tabs>
          <w:tab w:val="center" w:pos="4522"/>
        </w:tabs>
        <w:spacing w:after="0" w:line="360" w:lineRule="auto"/>
        <w:jc w:val="left"/>
        <w:rPr>
          <w:b/>
          <w:bCs/>
          <w:color w:val="000000"/>
        </w:rPr>
      </w:pPr>
      <w:r>
        <w:rPr>
          <w:b/>
          <w:bCs/>
          <w:color w:val="000000"/>
        </w:rPr>
        <w:t>Cuenta bancaria y clave interbancaria del proveedor</w:t>
      </w:r>
    </w:p>
    <w:p w14:paraId="7B12A422" w14:textId="77777777" w:rsidR="00C14508" w:rsidRDefault="00C14508">
      <w:pPr>
        <w:tabs>
          <w:tab w:val="center" w:pos="4522"/>
        </w:tabs>
        <w:spacing w:after="0" w:line="360" w:lineRule="auto"/>
        <w:rPr>
          <w:b/>
          <w:bCs/>
          <w:color w:val="000000"/>
        </w:rPr>
      </w:pPr>
    </w:p>
    <w:p w14:paraId="152FA583" w14:textId="77777777" w:rsidR="00C14508" w:rsidRDefault="003F05B8">
      <w:pPr>
        <w:tabs>
          <w:tab w:val="center" w:pos="4522"/>
        </w:tabs>
        <w:spacing w:after="0" w:line="360" w:lineRule="auto"/>
        <w:rPr>
          <w:color w:val="000000"/>
        </w:rPr>
      </w:pPr>
      <w:r>
        <w:rPr>
          <w:color w:val="000000"/>
        </w:rPr>
        <w:t>Al respecto, se estima que dichos datos se relacionan con hechos y actos de carácter económico, pues los mismos darían cuenta, de la relación que tiene una institución financiero con un particular, ya sea persona física o moral; además, que con dicha información se podría obtener los recursos enviados a las órdenes de cargo, pago o a las transferencias electrónicas de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5FED617D" w14:textId="77777777" w:rsidR="00C14508" w:rsidRDefault="003F05B8">
      <w:pPr>
        <w:tabs>
          <w:tab w:val="center" w:pos="4522"/>
        </w:tabs>
        <w:spacing w:after="0" w:line="360" w:lineRule="auto"/>
        <w:rPr>
          <w:color w:val="000000"/>
        </w:rPr>
      </w:pPr>
      <w:r>
        <w:rPr>
          <w:color w:val="000000"/>
        </w:rPr>
        <w:t> </w:t>
      </w:r>
    </w:p>
    <w:p w14:paraId="30C1DC84" w14:textId="77777777" w:rsidR="00C14508" w:rsidRDefault="003F05B8">
      <w:pPr>
        <w:tabs>
          <w:tab w:val="center" w:pos="4522"/>
        </w:tabs>
        <w:spacing w:after="0" w:line="360" w:lineRule="auto"/>
        <w:rPr>
          <w:color w:val="000000"/>
        </w:rPr>
      </w:pPr>
      <w:r>
        <w:rPr>
          <w:color w:val="000000"/>
        </w:rPr>
        <w:t>A mayor abundamiento, resulta necesario traer a colación el Criterio Orientador, de la Segunda Época, con número de registro SO/010/2017, emitido por el entonces Instituto Nacional de Transparencia, Acceso a la Información y Protección de Datos Personales, mismo que establece lo siguiente:</w:t>
      </w:r>
    </w:p>
    <w:p w14:paraId="18358135" w14:textId="77777777" w:rsidR="00C14508" w:rsidRDefault="003F05B8">
      <w:pPr>
        <w:tabs>
          <w:tab w:val="center" w:pos="4522"/>
        </w:tabs>
        <w:spacing w:after="0" w:line="360" w:lineRule="auto"/>
        <w:rPr>
          <w:color w:val="000000"/>
        </w:rPr>
      </w:pPr>
      <w:r>
        <w:rPr>
          <w:color w:val="000000"/>
        </w:rPr>
        <w:t> </w:t>
      </w:r>
    </w:p>
    <w:p w14:paraId="57AA8C25" w14:textId="77777777" w:rsidR="00C14508" w:rsidRDefault="003F05B8">
      <w:pPr>
        <w:tabs>
          <w:tab w:val="center" w:pos="4522"/>
        </w:tabs>
        <w:spacing w:after="0" w:line="360" w:lineRule="auto"/>
        <w:ind w:left="567" w:right="567"/>
        <w:rPr>
          <w:i/>
          <w:iCs/>
          <w:color w:val="000000"/>
          <w:sz w:val="20"/>
          <w:szCs w:val="20"/>
        </w:rPr>
      </w:pPr>
      <w:r>
        <w:rPr>
          <w:i/>
          <w:iCs/>
          <w:color w:val="000000"/>
          <w:sz w:val="20"/>
          <w:szCs w:val="20"/>
        </w:rPr>
        <w:t>“</w:t>
      </w:r>
      <w:r>
        <w:rPr>
          <w:b/>
          <w:bCs/>
          <w:i/>
          <w:iCs/>
          <w:color w:val="000000"/>
          <w:sz w:val="20"/>
          <w:szCs w:val="20"/>
        </w:rPr>
        <w:t>Cuentas bancarias y/o CLABE interbancaria de personas físicas y morales privadas.</w:t>
      </w:r>
      <w:r>
        <w:rPr>
          <w:i/>
          <w:iCs/>
          <w:color w:val="000000"/>
          <w:sz w:val="20"/>
          <w:szCs w:val="2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4CF42A1" w14:textId="77777777" w:rsidR="00C14508" w:rsidRDefault="003F05B8">
      <w:pPr>
        <w:tabs>
          <w:tab w:val="center" w:pos="4522"/>
        </w:tabs>
        <w:spacing w:after="0" w:line="360" w:lineRule="auto"/>
        <w:rPr>
          <w:color w:val="000000"/>
        </w:rPr>
      </w:pPr>
      <w:r>
        <w:rPr>
          <w:color w:val="000000"/>
        </w:rPr>
        <w:t> </w:t>
      </w:r>
    </w:p>
    <w:p w14:paraId="5E3BF680" w14:textId="77777777" w:rsidR="00C14508" w:rsidRDefault="003F05B8">
      <w:pPr>
        <w:tabs>
          <w:tab w:val="center" w:pos="4522"/>
        </w:tabs>
        <w:spacing w:after="0" w:line="360" w:lineRule="auto"/>
        <w:rPr>
          <w:color w:val="000000"/>
        </w:rPr>
      </w:pPr>
      <w:r>
        <w:rPr>
          <w:color w:val="000000"/>
        </w:rPr>
        <w:lastRenderedPageBreak/>
        <w:t xml:space="preserve">Por lo cual, se puede colegir que dichos datos no guardan relación con el servicio público ni con los recursos públicos, pues sólo corresponde a información, que le atañe a la institución financiera y al cliente; por lo que este número constituye información confidencial al pertenecer exclusivamente al ámbito de la vida privada del proveedor y procede su eliminación de conformidad con el artículo 143, fracción I, de la Ley de Transparencia y Acceso a la Información Pública del Estado de México y Municipios.  </w:t>
      </w:r>
    </w:p>
    <w:p w14:paraId="3D6C6870" w14:textId="77777777" w:rsidR="00C14508" w:rsidRDefault="00C14508">
      <w:pPr>
        <w:tabs>
          <w:tab w:val="center" w:pos="4522"/>
        </w:tabs>
        <w:spacing w:after="0" w:line="360" w:lineRule="auto"/>
        <w:rPr>
          <w:color w:val="000000"/>
        </w:rPr>
      </w:pPr>
    </w:p>
    <w:p w14:paraId="02EF65A9" w14:textId="77777777" w:rsidR="00C14508" w:rsidRDefault="003F05B8">
      <w:pPr>
        <w:numPr>
          <w:ilvl w:val="0"/>
          <w:numId w:val="9"/>
        </w:numPr>
        <w:pBdr>
          <w:top w:val="nil"/>
          <w:left w:val="nil"/>
          <w:bottom w:val="nil"/>
          <w:right w:val="nil"/>
          <w:between w:val="nil"/>
        </w:pBdr>
        <w:tabs>
          <w:tab w:val="center" w:pos="4522"/>
        </w:tabs>
        <w:spacing w:after="0" w:line="360" w:lineRule="auto"/>
        <w:jc w:val="left"/>
        <w:rPr>
          <w:b/>
          <w:bCs/>
          <w:color w:val="000000"/>
        </w:rPr>
      </w:pPr>
      <w:r>
        <w:rPr>
          <w:b/>
          <w:bCs/>
          <w:color w:val="000000"/>
        </w:rPr>
        <w:t>Nombre de institución bancaria</w:t>
      </w:r>
    </w:p>
    <w:p w14:paraId="351BB71F" w14:textId="77777777" w:rsidR="00C14508" w:rsidRDefault="00C14508">
      <w:pPr>
        <w:tabs>
          <w:tab w:val="center" w:pos="4522"/>
        </w:tabs>
        <w:spacing w:after="0" w:line="360" w:lineRule="auto"/>
        <w:rPr>
          <w:color w:val="000000"/>
        </w:rPr>
      </w:pPr>
    </w:p>
    <w:p w14:paraId="034CF8FC" w14:textId="77777777" w:rsidR="00C14508" w:rsidRDefault="003F05B8">
      <w:pPr>
        <w:tabs>
          <w:tab w:val="center" w:pos="4522"/>
        </w:tabs>
        <w:spacing w:after="0" w:line="360" w:lineRule="auto"/>
        <w:rPr>
          <w:color w:val="000000"/>
        </w:rPr>
      </w:pPr>
      <w:r>
        <w:rPr>
          <w:color w:val="000000"/>
        </w:rPr>
        <w:t>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3AF88210" w14:textId="77777777" w:rsidR="00C14508" w:rsidRDefault="00C14508">
      <w:pPr>
        <w:tabs>
          <w:tab w:val="center" w:pos="4522"/>
        </w:tabs>
        <w:spacing w:after="0" w:line="360" w:lineRule="auto"/>
        <w:rPr>
          <w:color w:val="000000"/>
        </w:rPr>
      </w:pPr>
    </w:p>
    <w:p w14:paraId="6AA2613A" w14:textId="77777777" w:rsidR="00C14508" w:rsidRDefault="003F05B8">
      <w:pPr>
        <w:tabs>
          <w:tab w:val="center" w:pos="4522"/>
        </w:tabs>
        <w:spacing w:after="0" w:line="360" w:lineRule="auto"/>
        <w:rPr>
          <w:color w:val="000000"/>
        </w:rPr>
      </w:pPr>
      <w:r>
        <w:rPr>
          <w:color w:val="000000"/>
        </w:rPr>
        <w:t xml:space="preserve">En ese orden de ideas, en el portal de la Comisión Nacional para la Protección y Defensa de los Usuarios de Servicios Financieros (consultadas el dieciocho de enero de dos mil veintitrés), en </w:t>
      </w:r>
      <w:hyperlink r:id="rId11">
        <w:r>
          <w:rPr>
            <w:color w:val="0000FF"/>
            <w:u w:val="single"/>
          </w:rPr>
          <w:t>https://www.condusef.gob.mx/Revista/index.php/usuario-</w:t>
        </w:r>
        <w:r>
          <w:rPr>
            <w:color w:val="0000FF"/>
            <w:u w:val="single"/>
          </w:rPr>
          <w:lastRenderedPageBreak/>
          <w:t>inteligente/condusef-responde/777-la-condusef-te-puede-ayudar</w:t>
        </w:r>
      </w:hyperlink>
      <w:r>
        <w:rPr>
          <w:color w:val="000000"/>
        </w:rPr>
        <w:t>), se establece que los bancos son instituciones financieras; conforme a lo anterior, se puede advertir que las instituciones bancarias, son personas morales.</w:t>
      </w:r>
    </w:p>
    <w:p w14:paraId="7278CE80" w14:textId="77777777" w:rsidR="00C14508" w:rsidRDefault="00C14508">
      <w:pPr>
        <w:tabs>
          <w:tab w:val="center" w:pos="4522"/>
        </w:tabs>
        <w:spacing w:after="0" w:line="360" w:lineRule="auto"/>
        <w:rPr>
          <w:color w:val="000000"/>
        </w:rPr>
      </w:pPr>
    </w:p>
    <w:p w14:paraId="1F96FBF0" w14:textId="77777777" w:rsidR="00C14508" w:rsidRDefault="003F05B8">
      <w:pPr>
        <w:tabs>
          <w:tab w:val="center" w:pos="4522"/>
        </w:tabs>
        <w:spacing w:after="0" w:line="360" w:lineRule="auto"/>
        <w:rPr>
          <w:color w:val="000000"/>
        </w:rPr>
      </w:pPr>
      <w:r>
        <w:rPr>
          <w:color w:val="000000"/>
        </w:rPr>
        <w:t>En ese orden de ideas, se considera que la denominación o razón social de una persona moral, es pública, pues dichos datos se encuentran inscritos en el Registro Público del Comercio; lo anterior, toma sustento en el Criterio Orientador, de la Segunda Época, con número de registro SO/008/2019, emitido por el entonces Instituto Nacional de Transparencia, Acceso a la Información y Protección de Datos Personales, previamente referido.</w:t>
      </w:r>
    </w:p>
    <w:p w14:paraId="7E4BEE57" w14:textId="77777777" w:rsidR="00C14508" w:rsidRDefault="00C14508">
      <w:pPr>
        <w:tabs>
          <w:tab w:val="center" w:pos="4522"/>
        </w:tabs>
        <w:spacing w:after="0" w:line="360" w:lineRule="auto"/>
        <w:rPr>
          <w:color w:val="000000"/>
        </w:rPr>
      </w:pPr>
    </w:p>
    <w:p w14:paraId="42037CBC" w14:textId="77777777" w:rsidR="00C14508" w:rsidRDefault="003F05B8">
      <w:pPr>
        <w:tabs>
          <w:tab w:val="center" w:pos="4522"/>
        </w:tabs>
        <w:spacing w:after="0" w:line="360" w:lineRule="auto"/>
        <w:rPr>
          <w:color w:val="000000"/>
        </w:rPr>
      </w:pPr>
      <w:r>
        <w:rPr>
          <w:color w:val="000000"/>
        </w:rPr>
        <w:t xml:space="preserve">Lo anterior, se robustece con el hecho de que existe el Sistema de Registro de Prestadores de Servicios Financieros (consultadas el dieciocho de enero de dos mil veintitrés), a las trece horas, en la liga </w:t>
      </w:r>
      <w:hyperlink r:id="rId12">
        <w:r>
          <w:rPr>
            <w:color w:val="0000FF"/>
            <w:u w:val="single"/>
          </w:rPr>
          <w:t>https://webapps.condusef.gob.mx/SIPRES/jsp/pub/index.jsp</w:t>
        </w:r>
      </w:hyperlink>
      <w:r>
        <w:rPr>
          <w:color w:val="000000"/>
        </w:rPr>
        <w:t xml:space="preserve">), que es un registro de </w:t>
      </w:r>
      <w:r>
        <w:rPr>
          <w:b/>
          <w:bCs/>
          <w:color w:val="000000"/>
        </w:rPr>
        <w:t xml:space="preserve">carácter público, </w:t>
      </w:r>
      <w:r>
        <w:rPr>
          <w:color w:val="000000"/>
        </w:rPr>
        <w:t>cuyo objetivo principal, consiste en proporcionar información corporativa y general de las instituciones financieras</w:t>
      </w:r>
      <w:r>
        <w:rPr>
          <w:b/>
          <w:bCs/>
          <w:color w:val="000000"/>
        </w:rPr>
        <w:t xml:space="preserve">; además, que permite conocer al público general, información de dichos entes, </w:t>
      </w:r>
      <w:r>
        <w:rPr>
          <w:color w:val="000000"/>
        </w:rPr>
        <w:t xml:space="preserve">se muestra un ejemplo a continuación: </w:t>
      </w:r>
    </w:p>
    <w:p w14:paraId="1AD51F53" w14:textId="77777777" w:rsidR="00C14508" w:rsidRDefault="00C14508">
      <w:pPr>
        <w:tabs>
          <w:tab w:val="center" w:pos="4522"/>
        </w:tabs>
        <w:spacing w:after="0" w:line="360" w:lineRule="auto"/>
        <w:rPr>
          <w:color w:val="000000"/>
        </w:rPr>
      </w:pPr>
    </w:p>
    <w:p w14:paraId="7D1F839F" w14:textId="77777777" w:rsidR="00C14508" w:rsidRDefault="003F05B8">
      <w:pPr>
        <w:tabs>
          <w:tab w:val="center" w:pos="4522"/>
        </w:tabs>
        <w:spacing w:after="0" w:line="360" w:lineRule="auto"/>
        <w:jc w:val="center"/>
        <w:rPr>
          <w:color w:val="000000"/>
        </w:rPr>
      </w:pPr>
      <w:r>
        <w:rPr>
          <w:noProof/>
          <w:color w:val="000000"/>
        </w:rPr>
        <w:drawing>
          <wp:inline distT="0" distB="0" distL="0" distR="0" wp14:anchorId="696C3C5F" wp14:editId="7854EBA4">
            <wp:extent cx="4777740" cy="2476500"/>
            <wp:effectExtent l="0" t="0" r="0" b="0"/>
            <wp:docPr id="1432513724" name="image3.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magen que contiene Escala de tiempo&#10;&#10;Descripción generada automáticamente"/>
                    <pic:cNvPicPr preferRelativeResize="0"/>
                  </pic:nvPicPr>
                  <pic:blipFill>
                    <a:blip r:embed="rId13"/>
                    <a:srcRect t="2" b="378"/>
                    <a:stretch>
                      <a:fillRect/>
                    </a:stretch>
                  </pic:blipFill>
                  <pic:spPr>
                    <a:xfrm>
                      <a:off x="0" y="0"/>
                      <a:ext cx="4777740" cy="2476500"/>
                    </a:xfrm>
                    <a:prstGeom prst="rect">
                      <a:avLst/>
                    </a:prstGeom>
                    <a:ln/>
                  </pic:spPr>
                </pic:pic>
              </a:graphicData>
            </a:graphic>
          </wp:inline>
        </w:drawing>
      </w:r>
    </w:p>
    <w:p w14:paraId="3D096E1D" w14:textId="77777777" w:rsidR="00C14508" w:rsidRDefault="00C14508">
      <w:pPr>
        <w:tabs>
          <w:tab w:val="center" w:pos="4522"/>
        </w:tabs>
        <w:spacing w:after="0" w:line="360" w:lineRule="auto"/>
        <w:rPr>
          <w:color w:val="000000"/>
        </w:rPr>
      </w:pPr>
    </w:p>
    <w:p w14:paraId="2DD2120C" w14:textId="77777777" w:rsidR="00C14508" w:rsidRDefault="003F05B8">
      <w:pPr>
        <w:tabs>
          <w:tab w:val="center" w:pos="4522"/>
        </w:tabs>
        <w:spacing w:after="0" w:line="360" w:lineRule="auto"/>
        <w:rPr>
          <w:color w:val="000000"/>
        </w:rPr>
      </w:pPr>
      <w:r>
        <w:rPr>
          <w:color w:val="000000"/>
        </w:rPr>
        <w:lastRenderedPageBreak/>
        <w:t>Conforme a lo anterior, se logra vislumbrar que el nombre de las instituciones bancarias en primera instancia es de naturaleza pública; sin embargo, en el presente caso, se relacionada con el hecho de que corresponde al banco en el cual un proveedor o contratista decidió recibir el pago de sus servicios; es decir, daría cuenta de la decisión voluntaria de recibir el pago de sus servicios en una determinada institución; lo cual se relaciona con la cuenta y clave interbancaria, mismos que son confidenciales.</w:t>
      </w:r>
    </w:p>
    <w:p w14:paraId="6F0B2315" w14:textId="77777777" w:rsidR="00C14508" w:rsidRDefault="00C14508">
      <w:pPr>
        <w:tabs>
          <w:tab w:val="center" w:pos="4522"/>
        </w:tabs>
        <w:spacing w:after="0" w:line="360" w:lineRule="auto"/>
        <w:rPr>
          <w:color w:val="000000"/>
        </w:rPr>
      </w:pPr>
    </w:p>
    <w:p w14:paraId="194DDCD5" w14:textId="77777777" w:rsidR="00C14508" w:rsidRDefault="003F05B8">
      <w:pPr>
        <w:tabs>
          <w:tab w:val="center" w:pos="4522"/>
        </w:tabs>
        <w:spacing w:after="0" w:line="360" w:lineRule="auto"/>
        <w:rPr>
          <w:color w:val="000000"/>
        </w:rPr>
      </w:pPr>
      <w:r>
        <w:rPr>
          <w:color w:val="000000"/>
        </w:rPr>
        <w:t>Además, revelaría el lugar en donde el proveedor recibió los recursos por prestar sus servicios, lo cual únicamente está relacionado a su vida íntima o privada de la persona moral; por lo que, este Instituto considera que el nombre de la institución bancaria, actualiza la causal de clasificación prevista en el artículo 143, fracción I, de la Ley de Transparencia y Acceso a la Información Pública del Estado de México y Municipios.</w:t>
      </w:r>
    </w:p>
    <w:p w14:paraId="5B1DA920" w14:textId="77777777" w:rsidR="00C14508" w:rsidRDefault="00C14508">
      <w:pPr>
        <w:tabs>
          <w:tab w:val="center" w:pos="4522"/>
        </w:tabs>
        <w:spacing w:after="0" w:line="360" w:lineRule="auto"/>
        <w:rPr>
          <w:color w:val="000000"/>
        </w:rPr>
      </w:pPr>
    </w:p>
    <w:p w14:paraId="1BEE10FC" w14:textId="77777777" w:rsidR="00C14508" w:rsidRDefault="003F05B8">
      <w:pPr>
        <w:numPr>
          <w:ilvl w:val="0"/>
          <w:numId w:val="5"/>
        </w:numPr>
        <w:pBdr>
          <w:top w:val="nil"/>
          <w:left w:val="nil"/>
          <w:bottom w:val="nil"/>
          <w:right w:val="nil"/>
          <w:between w:val="nil"/>
        </w:pBdr>
        <w:tabs>
          <w:tab w:val="center" w:pos="4522"/>
        </w:tabs>
        <w:spacing w:after="0" w:line="360" w:lineRule="auto"/>
        <w:rPr>
          <w:b/>
          <w:bCs/>
          <w:color w:val="000000"/>
        </w:rPr>
      </w:pPr>
      <w:r>
        <w:rPr>
          <w:b/>
          <w:bCs/>
          <w:color w:val="000000"/>
        </w:rPr>
        <w:t xml:space="preserve">Folio del Comprobante Fiscal Digital por Internet </w:t>
      </w:r>
    </w:p>
    <w:p w14:paraId="170E5DA7" w14:textId="77777777" w:rsidR="00C14508" w:rsidRDefault="00C14508">
      <w:pPr>
        <w:tabs>
          <w:tab w:val="center" w:pos="4522"/>
        </w:tabs>
        <w:spacing w:after="0" w:line="360" w:lineRule="auto"/>
        <w:rPr>
          <w:color w:val="000000"/>
        </w:rPr>
      </w:pPr>
    </w:p>
    <w:p w14:paraId="1D2B9BCC" w14:textId="77777777" w:rsidR="00C14508" w:rsidRDefault="003F05B8">
      <w:pPr>
        <w:tabs>
          <w:tab w:val="center" w:pos="4522"/>
        </w:tabs>
        <w:spacing w:after="0" w:line="360" w:lineRule="auto"/>
        <w:rPr>
          <w:color w:val="000000"/>
        </w:rPr>
      </w:pPr>
      <w:r>
        <w:rPr>
          <w:color w:val="000000"/>
        </w:rPr>
        <w:t>Dicho dato, es una clave o digito, para identificar a la factura, compuesto de una serie de números, y algunos casos, letras o separaciones por guiones, por lo que, no es un dato que contenga información confidencial, o bien, que revele hechos o actos de carácter económico, contable, jurídico o administrativo que sean útiles o representen una ventaja a sus competidores. Conforme a lo anterior, dicho dato, lo único que hace identificable, es a la factura de que se trate, pues son datos meramente de control e identificación, por lo que, no se consideran datos clasificados en términos del artículo 143, fracción I de la Ley de Transparencia y Acceso a la Información Pública del Estado de México y Municipios, al no ser datos confidenciales; lo anterior toma sustento, en que los nombres de las partes, en las facturas, en el presente caso son de naturaleza pública.</w:t>
      </w:r>
    </w:p>
    <w:p w14:paraId="2D04A991" w14:textId="77777777" w:rsidR="00C14508" w:rsidRDefault="00C14508">
      <w:pPr>
        <w:tabs>
          <w:tab w:val="center" w:pos="4522"/>
        </w:tabs>
        <w:spacing w:after="0" w:line="360" w:lineRule="auto"/>
        <w:rPr>
          <w:color w:val="000000"/>
        </w:rPr>
      </w:pPr>
    </w:p>
    <w:p w14:paraId="26E9EBF4" w14:textId="77777777" w:rsidR="00C14508" w:rsidRDefault="003F05B8">
      <w:pPr>
        <w:numPr>
          <w:ilvl w:val="0"/>
          <w:numId w:val="5"/>
        </w:numPr>
        <w:pBdr>
          <w:top w:val="nil"/>
          <w:left w:val="nil"/>
          <w:bottom w:val="nil"/>
          <w:right w:val="nil"/>
          <w:between w:val="nil"/>
        </w:pBdr>
        <w:tabs>
          <w:tab w:val="center" w:pos="4522"/>
        </w:tabs>
        <w:spacing w:after="0" w:line="360" w:lineRule="auto"/>
        <w:rPr>
          <w:b/>
          <w:bCs/>
          <w:color w:val="000000"/>
        </w:rPr>
      </w:pPr>
      <w:r>
        <w:rPr>
          <w:b/>
          <w:bCs/>
          <w:color w:val="000000"/>
        </w:rPr>
        <w:lastRenderedPageBreak/>
        <w:t xml:space="preserve">Lugar de Expedición de la factura </w:t>
      </w:r>
    </w:p>
    <w:p w14:paraId="770DC608" w14:textId="77777777" w:rsidR="00C14508" w:rsidRDefault="00C14508">
      <w:pPr>
        <w:tabs>
          <w:tab w:val="center" w:pos="4522"/>
        </w:tabs>
        <w:spacing w:after="0" w:line="360" w:lineRule="auto"/>
        <w:rPr>
          <w:color w:val="000000"/>
        </w:rPr>
      </w:pPr>
    </w:p>
    <w:p w14:paraId="66730B4D" w14:textId="77777777" w:rsidR="00C14508" w:rsidRDefault="003F05B8">
      <w:pPr>
        <w:tabs>
          <w:tab w:val="center" w:pos="4522"/>
        </w:tabs>
        <w:spacing w:after="0" w:line="360" w:lineRule="auto"/>
        <w:rPr>
          <w:color w:val="000000"/>
        </w:rPr>
      </w:pPr>
      <w:r>
        <w:rPr>
          <w:color w:val="000000"/>
        </w:rPr>
        <w:t>El lugar de expedición es un dato que se debe llenar dentro de las facturas y que corresponde al código postal del lugar de expedición del comprobante digital fiscal por internet (domicilio de la matriz o de la sucursal), mismo que debe concordar con el domicilio fiscal o de expedición de la factura, que tal como se señaló previamente, dichos datos son de naturaleza pública. Por tal circunstancia, el dato en análisis ayuda a verificar que este coincida con el domicilio de la empresa, el cual es público, corre los mismos efectos y, por lo tanto, no actualiza la causal de clasificación establecida en el artículo 143, fracción I, de la Ley de Transparencia y Acceso a la Información Pública del Estado de México y Municipios.</w:t>
      </w:r>
    </w:p>
    <w:p w14:paraId="6685867A" w14:textId="77777777" w:rsidR="00C14508" w:rsidRDefault="00C14508">
      <w:pPr>
        <w:tabs>
          <w:tab w:val="center" w:pos="4522"/>
        </w:tabs>
        <w:spacing w:after="0" w:line="360" w:lineRule="auto"/>
        <w:rPr>
          <w:color w:val="000000"/>
        </w:rPr>
      </w:pPr>
    </w:p>
    <w:p w14:paraId="2B84D9AD" w14:textId="77777777" w:rsidR="00C14508" w:rsidRDefault="003F05B8">
      <w:pPr>
        <w:spacing w:after="0" w:line="360" w:lineRule="auto"/>
        <w:rPr>
          <w:color w:val="000000"/>
        </w:rPr>
      </w:pPr>
      <w:r>
        <w:rPr>
          <w:color w:val="000000"/>
        </w:rPr>
        <w:t xml:space="preserve">Finalmente, el Sujeto Obligado, deberá elaborar la versión pública respectiva, tomando en consideración los datos analizados;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229F9625" w14:textId="77777777" w:rsidR="00C14508" w:rsidRDefault="00C14508">
      <w:pPr>
        <w:spacing w:after="0" w:line="360" w:lineRule="auto"/>
        <w:rPr>
          <w:color w:val="000000"/>
        </w:rPr>
      </w:pPr>
    </w:p>
    <w:p w14:paraId="5F4FCA2E" w14:textId="77777777" w:rsidR="00C14508" w:rsidRDefault="003F05B8">
      <w:pPr>
        <w:spacing w:after="0" w:line="360" w:lineRule="auto"/>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30C1E28" w14:textId="77777777" w:rsidR="00C14508" w:rsidRDefault="00C14508">
      <w:pPr>
        <w:spacing w:after="0" w:line="360" w:lineRule="auto"/>
        <w:rPr>
          <w:color w:val="000000"/>
        </w:rPr>
      </w:pPr>
    </w:p>
    <w:p w14:paraId="52ED9708" w14:textId="77777777" w:rsidR="00C14508" w:rsidRDefault="00C14508">
      <w:pPr>
        <w:spacing w:after="0" w:line="360" w:lineRule="auto"/>
        <w:rPr>
          <w:color w:val="0D0D0D"/>
        </w:rPr>
      </w:pPr>
    </w:p>
    <w:p w14:paraId="7FC7F813" w14:textId="77777777" w:rsidR="00C14508" w:rsidRDefault="003F05B8">
      <w:pPr>
        <w:pStyle w:val="Ttulo2"/>
        <w:spacing w:before="0" w:after="0" w:line="360" w:lineRule="auto"/>
        <w:rPr>
          <w:sz w:val="22"/>
          <w:szCs w:val="22"/>
        </w:rPr>
      </w:pPr>
      <w:bookmarkStart w:id="25" w:name="_heading=h.6ju68gkd53ml" w:colFirst="0" w:colLast="0"/>
      <w:bookmarkStart w:id="26" w:name="_Toc216963830"/>
      <w:bookmarkEnd w:id="25"/>
      <w:r>
        <w:rPr>
          <w:sz w:val="22"/>
          <w:szCs w:val="22"/>
        </w:rPr>
        <w:lastRenderedPageBreak/>
        <w:t>SEXTO. Decisión</w:t>
      </w:r>
      <w:bookmarkEnd w:id="26"/>
    </w:p>
    <w:p w14:paraId="3584FFDE" w14:textId="77777777" w:rsidR="00C14508" w:rsidRDefault="00C14508">
      <w:pPr>
        <w:spacing w:after="0" w:line="360" w:lineRule="auto"/>
        <w:rPr>
          <w:b/>
          <w:bCs/>
        </w:rPr>
      </w:pPr>
    </w:p>
    <w:p w14:paraId="4A58B101" w14:textId="77777777" w:rsidR="00C14508" w:rsidRDefault="003F05B8">
      <w:pPr>
        <w:spacing w:after="0" w:line="360" w:lineRule="auto"/>
      </w:pPr>
      <w:r>
        <w:t xml:space="preserve">De acuerdo con lo expuesto y, con fundamento en el artículo 186, fracción III, de la Ley de Transparencia y Acceso a la Información Pública del Estado de México y Municipios, este Instituto considera procedente </w:t>
      </w:r>
      <w:r>
        <w:rPr>
          <w:b/>
          <w:bCs/>
        </w:rPr>
        <w:t xml:space="preserve">MODIFICAR </w:t>
      </w:r>
      <w:r>
        <w:t>la respuesta del Ayuntamiento de Atenco</w:t>
      </w:r>
      <w:r>
        <w:rPr>
          <w:b/>
          <w:bCs/>
        </w:rPr>
        <w:t xml:space="preserve"> </w:t>
      </w:r>
      <w:r>
        <w:t>a efecto de que entregue las facturas emitidas en respuesta</w:t>
      </w:r>
      <w:r>
        <w:rPr>
          <w:i/>
          <w:iCs/>
        </w:rPr>
        <w:t xml:space="preserve">, </w:t>
      </w:r>
      <w:r>
        <w:t>en un formato legible y en versión pública.</w:t>
      </w:r>
    </w:p>
    <w:p w14:paraId="478B4689" w14:textId="77777777" w:rsidR="00C14508" w:rsidRDefault="00C14508">
      <w:pPr>
        <w:spacing w:after="0" w:line="360" w:lineRule="auto"/>
      </w:pPr>
    </w:p>
    <w:p w14:paraId="451DC113" w14:textId="77777777" w:rsidR="00C14508" w:rsidRDefault="003F05B8">
      <w:pPr>
        <w:spacing w:after="0" w:line="360" w:lineRule="auto"/>
        <w:rPr>
          <w:b/>
          <w:bCs/>
        </w:rPr>
      </w:pPr>
      <w:r>
        <w:rPr>
          <w:b/>
          <w:bCs/>
        </w:rPr>
        <w:t>Términos de la Resolución para conocimiento del Particular</w:t>
      </w:r>
    </w:p>
    <w:p w14:paraId="2184BE6F" w14:textId="77777777" w:rsidR="00C14508" w:rsidRDefault="00C14508">
      <w:pPr>
        <w:spacing w:after="0" w:line="360" w:lineRule="auto"/>
        <w:rPr>
          <w:b/>
          <w:bCs/>
        </w:rPr>
      </w:pPr>
    </w:p>
    <w:p w14:paraId="7C8A7B91" w14:textId="77777777" w:rsidR="00C14508" w:rsidRDefault="003F05B8">
      <w:pPr>
        <w:spacing w:after="0" w:line="360" w:lineRule="auto"/>
      </w:pPr>
      <w:r>
        <w:t xml:space="preserve">Se le hace del conocimiento a la persona Recurrente que, en el presente asunto, se le da la razón, pues el Sujeto Obligado, </w:t>
      </w:r>
      <w:r>
        <w:rPr>
          <w:color w:val="000000"/>
        </w:rPr>
        <w:t>entregó la información de manera ilegible</w:t>
      </w:r>
      <w:r>
        <w:t xml:space="preserve">, por lo que, deberá hacer la entrega de la información solicitada en un formato legible. </w:t>
      </w:r>
    </w:p>
    <w:p w14:paraId="67B3624F" w14:textId="77777777" w:rsidR="00C14508" w:rsidRDefault="00C14508">
      <w:pPr>
        <w:spacing w:after="0" w:line="360" w:lineRule="auto"/>
      </w:pPr>
    </w:p>
    <w:p w14:paraId="67CF5B9F" w14:textId="77777777" w:rsidR="00C14508" w:rsidRDefault="003F05B8">
      <w:pPr>
        <w:spacing w:after="0" w:line="360" w:lineRule="auto"/>
        <w:rPr>
          <w:color w:val="000000"/>
        </w:rPr>
      </w:pPr>
      <w:r>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18FAC452" w14:textId="77777777" w:rsidR="00C14508" w:rsidRDefault="00C14508">
      <w:pPr>
        <w:spacing w:after="0" w:line="360" w:lineRule="auto"/>
      </w:pPr>
    </w:p>
    <w:p w14:paraId="674A444B" w14:textId="77777777" w:rsidR="00C14508" w:rsidRDefault="003F05B8">
      <w:pPr>
        <w:spacing w:after="0" w:line="360" w:lineRule="auto"/>
      </w:pPr>
      <w:r>
        <w:t>Por lo expuesto y fundado, este Pleno:</w:t>
      </w:r>
    </w:p>
    <w:p w14:paraId="272AEE87" w14:textId="77777777" w:rsidR="00C14508" w:rsidRDefault="00C14508">
      <w:pPr>
        <w:spacing w:after="0" w:line="360" w:lineRule="auto"/>
      </w:pPr>
    </w:p>
    <w:p w14:paraId="350D7F7E" w14:textId="77777777" w:rsidR="00C14508" w:rsidRDefault="003F05B8">
      <w:pPr>
        <w:pStyle w:val="Ttulo1"/>
        <w:spacing w:before="0" w:after="0" w:line="360" w:lineRule="auto"/>
        <w:jc w:val="center"/>
        <w:rPr>
          <w:sz w:val="22"/>
          <w:szCs w:val="22"/>
        </w:rPr>
      </w:pPr>
      <w:bookmarkStart w:id="27" w:name="_heading=h.zeuqmgyfpueg" w:colFirst="0" w:colLast="0"/>
      <w:bookmarkStart w:id="28" w:name="_Toc216963831"/>
      <w:bookmarkEnd w:id="27"/>
      <w:r>
        <w:rPr>
          <w:sz w:val="22"/>
          <w:szCs w:val="22"/>
        </w:rPr>
        <w:t>R E S U E L V E</w:t>
      </w:r>
      <w:bookmarkEnd w:id="28"/>
    </w:p>
    <w:p w14:paraId="61E0E56E" w14:textId="77777777" w:rsidR="00C14508" w:rsidRDefault="00C14508">
      <w:pPr>
        <w:spacing w:after="0" w:line="360" w:lineRule="auto"/>
        <w:rPr>
          <w:b/>
          <w:bCs/>
        </w:rPr>
      </w:pPr>
    </w:p>
    <w:p w14:paraId="0BCE92F1" w14:textId="77777777" w:rsidR="00C14508" w:rsidRDefault="003F05B8">
      <w:pPr>
        <w:spacing w:after="0" w:line="360" w:lineRule="auto"/>
      </w:pPr>
      <w:r>
        <w:rPr>
          <w:b/>
          <w:bCs/>
        </w:rPr>
        <w:t xml:space="preserve">PRIMERO. </w:t>
      </w:r>
      <w:r>
        <w:t xml:space="preserve">Se </w:t>
      </w:r>
      <w:r>
        <w:rPr>
          <w:b/>
          <w:bCs/>
        </w:rPr>
        <w:t xml:space="preserve">MODIFICA </w:t>
      </w:r>
      <w:r>
        <w:t xml:space="preserve">la respuesta entregada por el Ayuntamiento de Atenco, a la solicitud de información 00148/ATENCO/IP/2025, por resultar </w:t>
      </w:r>
      <w:r>
        <w:rPr>
          <w:b/>
          <w:bCs/>
        </w:rPr>
        <w:t xml:space="preserve">FUNDADAS </w:t>
      </w:r>
      <w:r>
        <w:t>las razones o motivos de inconformidad hechos valer por el Recurrente, en términos de los considerandos QUINTO y SEXTO de la presente Resolución.</w:t>
      </w:r>
    </w:p>
    <w:p w14:paraId="0EE7E332" w14:textId="77777777" w:rsidR="00C14508" w:rsidRDefault="00C14508">
      <w:pPr>
        <w:spacing w:after="0" w:line="360" w:lineRule="auto"/>
      </w:pPr>
    </w:p>
    <w:p w14:paraId="7103BF1E" w14:textId="77777777" w:rsidR="00C14508" w:rsidRDefault="003F05B8">
      <w:pPr>
        <w:spacing w:after="0" w:line="360" w:lineRule="auto"/>
      </w:pPr>
      <w:r>
        <w:rPr>
          <w:b/>
          <w:bCs/>
        </w:rPr>
        <w:t xml:space="preserve">SEGUNDO. </w:t>
      </w:r>
      <w:r>
        <w:t xml:space="preserve">Se </w:t>
      </w:r>
      <w:r>
        <w:rPr>
          <w:b/>
          <w:bCs/>
        </w:rPr>
        <w:t>ORDENA</w:t>
      </w:r>
      <w:r>
        <w:t xml:space="preserve"> al Ente Recurrido</w:t>
      </w:r>
      <w:r>
        <w:rPr>
          <w:b/>
          <w:bCs/>
        </w:rPr>
        <w:t xml:space="preserve">, </w:t>
      </w:r>
      <w:r>
        <w:t>a efecto de que entregue a través del Sistema de Acceso a la Información Mexiquense (SAIMEX), en su caso, en versión pública, en un formato legible y comprensible, lo siguiente:</w:t>
      </w:r>
    </w:p>
    <w:p w14:paraId="37C7C674" w14:textId="77777777" w:rsidR="00C14508" w:rsidRDefault="00C14508">
      <w:pPr>
        <w:spacing w:after="0" w:line="360" w:lineRule="auto"/>
      </w:pPr>
    </w:p>
    <w:p w14:paraId="061520FE" w14:textId="77777777" w:rsidR="00C14508" w:rsidRDefault="003F05B8">
      <w:pPr>
        <w:numPr>
          <w:ilvl w:val="0"/>
          <w:numId w:val="1"/>
        </w:numPr>
        <w:pBdr>
          <w:top w:val="nil"/>
          <w:left w:val="nil"/>
          <w:bottom w:val="nil"/>
          <w:right w:val="nil"/>
          <w:between w:val="nil"/>
        </w:pBdr>
        <w:spacing w:after="0" w:line="360" w:lineRule="auto"/>
        <w:rPr>
          <w:i/>
          <w:iCs/>
          <w:color w:val="000000"/>
        </w:rPr>
      </w:pPr>
      <w:r>
        <w:rPr>
          <w:color w:val="000000"/>
        </w:rPr>
        <w:t>Las Facturas entregadas en respuesta.</w:t>
      </w:r>
    </w:p>
    <w:p w14:paraId="739F635F" w14:textId="77777777" w:rsidR="00C14508" w:rsidRDefault="00C14508">
      <w:pPr>
        <w:pBdr>
          <w:top w:val="nil"/>
          <w:left w:val="nil"/>
          <w:bottom w:val="nil"/>
          <w:right w:val="nil"/>
          <w:between w:val="nil"/>
        </w:pBdr>
        <w:spacing w:after="0" w:line="360" w:lineRule="auto"/>
        <w:ind w:left="720"/>
        <w:rPr>
          <w:color w:val="000000"/>
        </w:rPr>
      </w:pPr>
    </w:p>
    <w:p w14:paraId="44B42F12" w14:textId="77777777" w:rsidR="00C14508" w:rsidRDefault="003F05B8">
      <w:pPr>
        <w:spacing w:after="0" w:line="360" w:lineRule="auto"/>
      </w:pPr>
      <w:r>
        <w:rPr>
          <w:color w:val="000000"/>
        </w:rPr>
        <w:t xml:space="preserve">Además, </w:t>
      </w:r>
      <w:r>
        <w:t>deberá proporcionar el Acuerdo de Clasificación donde el Comité de Transparencia, confirme la eliminación de los datos, conforme a lo analizado en le Considerando QUINTO, en la versión pública, de conformidad con los artículos 49, fracciones II y VIII y 132, fracción II de la Ley de Transparencia y Acceso a la Información Pública del Estado de México y Municipios.</w:t>
      </w:r>
    </w:p>
    <w:p w14:paraId="4F7E8D3F" w14:textId="77777777" w:rsidR="00C14508" w:rsidRDefault="00C14508">
      <w:pPr>
        <w:spacing w:after="0" w:line="360" w:lineRule="auto"/>
        <w:ind w:right="-91"/>
        <w:rPr>
          <w:b/>
          <w:bCs/>
        </w:rPr>
      </w:pPr>
    </w:p>
    <w:p w14:paraId="44FD7D35" w14:textId="77777777" w:rsidR="00C14508" w:rsidRDefault="003F05B8">
      <w:pPr>
        <w:spacing w:after="0" w:line="360" w:lineRule="auto"/>
        <w:ind w:right="-28"/>
        <w:rPr>
          <w:b/>
          <w:bCs/>
        </w:rPr>
      </w:pPr>
      <w:r>
        <w:rPr>
          <w:b/>
          <w:bCs/>
        </w:rPr>
        <w:t xml:space="preserve">TERCERO. NOTIFÍQUESE POR SAIMEX </w:t>
      </w:r>
      <w: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4BB9337E" w14:textId="77777777" w:rsidR="00C14508" w:rsidRDefault="00C14508">
      <w:pPr>
        <w:spacing w:after="0" w:line="360" w:lineRule="auto"/>
        <w:ind w:right="-28"/>
        <w:rPr>
          <w:color w:val="000000"/>
        </w:rPr>
      </w:pPr>
    </w:p>
    <w:p w14:paraId="1AF94F6E" w14:textId="77777777" w:rsidR="00C14508" w:rsidRDefault="003F05B8">
      <w:pPr>
        <w:spacing w:after="0" w:line="360" w:lineRule="auto"/>
        <w:rPr>
          <w:color w:val="000000"/>
        </w:rPr>
      </w:pPr>
      <w:r>
        <w:rPr>
          <w:color w:val="000000"/>
        </w:rPr>
        <w:t xml:space="preserve">De conformidad con el artículo 198 de la </w:t>
      </w:r>
      <w:r>
        <w:t>Ley de Transparencia y Acceso a la Información Pública del Estado de México y Municipios</w:t>
      </w:r>
      <w:r>
        <w:rPr>
          <w:color w:val="000000"/>
        </w:rPr>
        <w:t xml:space="preserve">, de considerarlo procedente, el Sujeto Obligado </w:t>
      </w:r>
      <w:r>
        <w:rPr>
          <w:color w:val="000000"/>
        </w:rPr>
        <w:lastRenderedPageBreak/>
        <w:t>de manera fundada y motivada, podrá solicitar una ampliación de plazo para el cumplimiento de la presente resolución.</w:t>
      </w:r>
    </w:p>
    <w:p w14:paraId="6968DC97" w14:textId="77777777" w:rsidR="00C14508" w:rsidRDefault="00C14508">
      <w:pPr>
        <w:spacing w:after="0" w:line="360" w:lineRule="auto"/>
        <w:rPr>
          <w:color w:val="000000"/>
        </w:rPr>
      </w:pPr>
    </w:p>
    <w:p w14:paraId="76E37E72" w14:textId="77777777" w:rsidR="00C14508" w:rsidRDefault="003F05B8">
      <w:pPr>
        <w:spacing w:after="0" w:line="360" w:lineRule="auto"/>
      </w:pPr>
      <w:r>
        <w:rPr>
          <w:b/>
          <w:bCs/>
        </w:rPr>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076C358" w14:textId="77777777" w:rsidR="00C14508" w:rsidRDefault="00C14508">
      <w:pPr>
        <w:spacing w:after="0" w:line="360" w:lineRule="auto"/>
        <w:rPr>
          <w:b/>
          <w:bCs/>
        </w:rPr>
      </w:pPr>
    </w:p>
    <w:p w14:paraId="3730B80C" w14:textId="60F757FB" w:rsidR="00C14508" w:rsidRDefault="003F05B8">
      <w:pPr>
        <w:spacing w:after="0" w:line="360" w:lineRule="auto"/>
      </w:pPr>
      <w:r>
        <w:t>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00DB2398">
        <w:t>(</w:t>
      </w:r>
      <w:r>
        <w:t>AUSENCIA JUSTIFICADA</w:t>
      </w:r>
      <w:r w:rsidR="00DB2398">
        <w:t>)</w:t>
      </w:r>
      <w:r>
        <w:t>, EN LA CUADRAGÉSIMA QUINTA SESIÓN ORDINARIA, CELEBRADA EL DIECISIETE DE DICIEMBRE DE DOS MIL VEINTICINCO, ANTE EL SECRETARIO TÉCNICO DEL PLENO, ALEXIS TAPIA RAMÍREZ.</w:t>
      </w:r>
    </w:p>
    <w:p w14:paraId="63117D39" w14:textId="77777777" w:rsidR="00C14508" w:rsidRDefault="00C14508">
      <w:pPr>
        <w:spacing w:after="0" w:line="360" w:lineRule="auto"/>
      </w:pPr>
    </w:p>
    <w:p w14:paraId="30FDDDE2" w14:textId="77777777" w:rsidR="00C14508" w:rsidRDefault="003F05B8">
      <w:pPr>
        <w:spacing w:after="0" w:line="360" w:lineRule="auto"/>
      </w:pPr>
      <w:r>
        <w:br w:type="page"/>
      </w:r>
    </w:p>
    <w:p w14:paraId="1635E957" w14:textId="77777777" w:rsidR="00C14508" w:rsidRDefault="00C14508">
      <w:pPr>
        <w:spacing w:after="0" w:line="360" w:lineRule="auto"/>
        <w:rPr>
          <w:b/>
          <w:bCs/>
        </w:rPr>
      </w:pPr>
    </w:p>
    <w:p w14:paraId="2D4577F6" w14:textId="77777777" w:rsidR="00C14508" w:rsidRDefault="00C14508">
      <w:pPr>
        <w:spacing w:after="0" w:line="360" w:lineRule="auto"/>
      </w:pPr>
    </w:p>
    <w:p w14:paraId="5D17EB89" w14:textId="77777777" w:rsidR="00C14508" w:rsidRDefault="00C14508">
      <w:pPr>
        <w:spacing w:after="0" w:line="360" w:lineRule="auto"/>
      </w:pPr>
    </w:p>
    <w:p w14:paraId="79B3D86F" w14:textId="77777777" w:rsidR="00C14508" w:rsidRDefault="00C14508">
      <w:pPr>
        <w:spacing w:after="0" w:line="360" w:lineRule="auto"/>
        <w:rPr>
          <w:color w:val="000000"/>
        </w:rPr>
      </w:pPr>
    </w:p>
    <w:p w14:paraId="03830939" w14:textId="77777777" w:rsidR="00C14508" w:rsidRDefault="00C14508">
      <w:pPr>
        <w:spacing w:after="0" w:line="360" w:lineRule="auto"/>
        <w:rPr>
          <w:color w:val="000000"/>
        </w:rPr>
      </w:pPr>
    </w:p>
    <w:p w14:paraId="55057C97" w14:textId="77777777" w:rsidR="00C14508" w:rsidRDefault="00C14508">
      <w:pPr>
        <w:tabs>
          <w:tab w:val="right" w:pos="8931"/>
        </w:tabs>
        <w:spacing w:after="0" w:line="360" w:lineRule="auto"/>
      </w:pPr>
    </w:p>
    <w:p w14:paraId="4E897F20" w14:textId="77777777" w:rsidR="00C14508" w:rsidRDefault="00C14508">
      <w:pPr>
        <w:tabs>
          <w:tab w:val="right" w:pos="8931"/>
        </w:tabs>
        <w:spacing w:after="0" w:line="360" w:lineRule="auto"/>
      </w:pPr>
    </w:p>
    <w:p w14:paraId="0BDED967" w14:textId="77777777" w:rsidR="00C14508" w:rsidRDefault="00C14508">
      <w:pPr>
        <w:spacing w:after="0" w:line="360" w:lineRule="auto"/>
      </w:pPr>
    </w:p>
    <w:p w14:paraId="7F46F1AC" w14:textId="77777777" w:rsidR="00C14508" w:rsidRDefault="00C14508">
      <w:pPr>
        <w:spacing w:after="0" w:line="360" w:lineRule="auto"/>
      </w:pPr>
    </w:p>
    <w:p w14:paraId="5FB24898" w14:textId="77777777" w:rsidR="00C14508" w:rsidRDefault="00C14508">
      <w:pPr>
        <w:spacing w:after="0" w:line="360" w:lineRule="auto"/>
      </w:pPr>
    </w:p>
    <w:p w14:paraId="5597EBD3" w14:textId="77777777" w:rsidR="00C14508" w:rsidRDefault="00C14508">
      <w:pPr>
        <w:spacing w:after="0" w:line="360" w:lineRule="auto"/>
      </w:pPr>
    </w:p>
    <w:p w14:paraId="403EDA1D" w14:textId="77777777" w:rsidR="00C14508" w:rsidRDefault="00C14508">
      <w:pPr>
        <w:spacing w:after="0" w:line="360" w:lineRule="auto"/>
      </w:pPr>
    </w:p>
    <w:p w14:paraId="464269EB" w14:textId="77777777" w:rsidR="00C14508" w:rsidRDefault="00C14508">
      <w:pPr>
        <w:spacing w:after="0" w:line="360" w:lineRule="auto"/>
      </w:pPr>
    </w:p>
    <w:p w14:paraId="7CE63EF9" w14:textId="77777777" w:rsidR="00C14508" w:rsidRDefault="00C14508">
      <w:pPr>
        <w:spacing w:after="0" w:line="360" w:lineRule="auto"/>
      </w:pPr>
    </w:p>
    <w:p w14:paraId="280AD829" w14:textId="77777777" w:rsidR="00C14508" w:rsidRDefault="00C14508">
      <w:pPr>
        <w:spacing w:after="0" w:line="360" w:lineRule="auto"/>
      </w:pPr>
    </w:p>
    <w:p w14:paraId="4313608E" w14:textId="77777777" w:rsidR="00C14508" w:rsidRDefault="00C14508">
      <w:pPr>
        <w:spacing w:after="0" w:line="360" w:lineRule="auto"/>
      </w:pPr>
    </w:p>
    <w:p w14:paraId="596C023F" w14:textId="77777777" w:rsidR="00C14508" w:rsidRDefault="00C14508">
      <w:pPr>
        <w:spacing w:after="0" w:line="360" w:lineRule="auto"/>
      </w:pPr>
    </w:p>
    <w:sectPr w:rsidR="00C14508">
      <w:headerReference w:type="even" r:id="rId14"/>
      <w:headerReference w:type="default" r:id="rId15"/>
      <w:footerReference w:type="even" r:id="rId16"/>
      <w:footerReference w:type="default" r:id="rId17"/>
      <w:headerReference w:type="first" r:id="rId18"/>
      <w:footerReference w:type="first" r:id="rId19"/>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F05C86" w14:textId="77777777" w:rsidR="0036268E" w:rsidRDefault="0036268E">
      <w:pPr>
        <w:spacing w:after="0" w:line="240" w:lineRule="auto"/>
      </w:pPr>
      <w:r>
        <w:separator/>
      </w:r>
    </w:p>
  </w:endnote>
  <w:endnote w:type="continuationSeparator" w:id="0">
    <w:p w14:paraId="5C9CA2AB" w14:textId="77777777" w:rsidR="0036268E" w:rsidRDefault="00362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0878D97A-032D-464D-9DD2-4B4631B80EB8}"/>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B6C28FAB-00E6-4BAD-A525-CB03C7BE2F7C}"/>
    <w:embedBold r:id="rId3" w:fontKey="{0ECB77DC-5874-4360-A689-25E692E8389E}"/>
    <w:embedItalic r:id="rId4" w:fontKey="{79CC4555-D92F-48F4-81B0-0F1A4BD26410}"/>
    <w:embedBoldItalic r:id="rId5" w:fontKey="{F573DE42-43A7-443A-A5C0-BBBCC2F52DD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2D87E8A-4CA0-4534-BF4B-2B713D45647F}"/>
  </w:font>
  <w:font w:name="Calibri">
    <w:panose1 w:val="020F0502020204030204"/>
    <w:charset w:val="00"/>
    <w:family w:val="swiss"/>
    <w:pitch w:val="variable"/>
    <w:sig w:usb0="E4002EFF" w:usb1="C200247B" w:usb2="00000009" w:usb3="00000000" w:csb0="000001FF" w:csb1="00000000"/>
    <w:embedRegular r:id="rId7" w:fontKey="{4499F8E3-9F9F-4C07-8C24-601C544C8D10}"/>
  </w:font>
  <w:font w:name="Georgia">
    <w:panose1 w:val="02040502050405020303"/>
    <w:charset w:val="00"/>
    <w:family w:val="roman"/>
    <w:pitch w:val="variable"/>
    <w:sig w:usb0="00000287" w:usb1="00000000" w:usb2="00000000" w:usb3="00000000" w:csb0="0000009F" w:csb1="00000000"/>
    <w:embedItalic r:id="rId8" w:fontKey="{092F8BF5-0887-48E3-92A3-250C0FA31C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05AD6" w14:textId="77777777" w:rsidR="00C14508" w:rsidRDefault="003F05B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D00229">
      <w:rPr>
        <w:b/>
        <w:bCs/>
        <w:color w:val="000000"/>
        <w:sz w:val="24"/>
        <w:szCs w:val="24"/>
      </w:rPr>
      <w:fldChar w:fldCharType="separate"/>
    </w:r>
    <w:r w:rsidR="00D00229">
      <w:rPr>
        <w:b/>
        <w:bCs/>
        <w:noProof/>
        <w:color w:val="000000"/>
        <w:sz w:val="24"/>
        <w:szCs w:val="24"/>
      </w:rPr>
      <w:t>33</w:t>
    </w:r>
    <w:r>
      <w:rPr>
        <w:b/>
        <w:bCs/>
        <w:color w:val="000000"/>
        <w:sz w:val="24"/>
        <w:szCs w:val="24"/>
      </w:rPr>
      <w:fldChar w:fldCharType="end"/>
    </w:r>
  </w:p>
  <w:p w14:paraId="32199950" w14:textId="77777777" w:rsidR="00C14508" w:rsidRDefault="00C1450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5B419" w14:textId="77777777" w:rsidR="00C14508" w:rsidRDefault="003F05B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00229">
      <w:rPr>
        <w:b/>
        <w:bCs/>
        <w:noProof/>
        <w:color w:val="000000"/>
        <w:sz w:val="24"/>
        <w:szCs w:val="24"/>
      </w:rPr>
      <w:t>32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00229">
      <w:rPr>
        <w:b/>
        <w:bCs/>
        <w:noProof/>
        <w:color w:val="000000"/>
        <w:sz w:val="24"/>
        <w:szCs w:val="24"/>
      </w:rPr>
      <w:t>33</w:t>
    </w:r>
    <w:r>
      <w:rPr>
        <w:b/>
        <w:bCs/>
        <w:color w:val="000000"/>
        <w:sz w:val="24"/>
        <w:szCs w:val="24"/>
      </w:rPr>
      <w:fldChar w:fldCharType="end"/>
    </w:r>
  </w:p>
  <w:p w14:paraId="759ADBF3" w14:textId="77777777" w:rsidR="00C14508" w:rsidRDefault="00C1450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718C5" w14:textId="77777777" w:rsidR="00C14508" w:rsidRDefault="003F05B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00229">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00229">
      <w:rPr>
        <w:b/>
        <w:bCs/>
        <w:noProof/>
        <w:color w:val="000000"/>
        <w:sz w:val="24"/>
        <w:szCs w:val="24"/>
      </w:rPr>
      <w:t>33</w:t>
    </w:r>
    <w:r>
      <w:rPr>
        <w:b/>
        <w:bCs/>
        <w:color w:val="000000"/>
        <w:sz w:val="24"/>
        <w:szCs w:val="24"/>
      </w:rPr>
      <w:fldChar w:fldCharType="end"/>
    </w:r>
  </w:p>
  <w:p w14:paraId="116E1F80" w14:textId="77777777" w:rsidR="00C14508" w:rsidRDefault="00C1450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D3C544" w14:textId="77777777" w:rsidR="0036268E" w:rsidRDefault="0036268E">
      <w:pPr>
        <w:spacing w:after="0" w:line="240" w:lineRule="auto"/>
      </w:pPr>
      <w:r>
        <w:separator/>
      </w:r>
    </w:p>
  </w:footnote>
  <w:footnote w:type="continuationSeparator" w:id="0">
    <w:p w14:paraId="4E8A8B78" w14:textId="77777777" w:rsidR="0036268E" w:rsidRDefault="003626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BDC46" w14:textId="77777777" w:rsidR="00C14508" w:rsidRDefault="00C14508">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C14508" w14:paraId="624D9BF1" w14:textId="77777777">
      <w:trPr>
        <w:trHeight w:val="132"/>
      </w:trPr>
      <w:tc>
        <w:tcPr>
          <w:tcW w:w="2691" w:type="dxa"/>
        </w:tcPr>
        <w:p w14:paraId="330E273F" w14:textId="77777777" w:rsidR="00C14508" w:rsidRDefault="003F05B8">
          <w:pPr>
            <w:tabs>
              <w:tab w:val="right" w:pos="8838"/>
            </w:tabs>
            <w:ind w:right="-105"/>
            <w:rPr>
              <w:b/>
              <w:bCs/>
            </w:rPr>
          </w:pPr>
          <w:r>
            <w:rPr>
              <w:b/>
              <w:bCs/>
            </w:rPr>
            <w:t>Recurso de Revisión:</w:t>
          </w:r>
        </w:p>
      </w:tc>
      <w:tc>
        <w:tcPr>
          <w:tcW w:w="3405" w:type="dxa"/>
        </w:tcPr>
        <w:p w14:paraId="4104701B" w14:textId="77777777" w:rsidR="00C14508" w:rsidRDefault="003F05B8">
          <w:pPr>
            <w:tabs>
              <w:tab w:val="right" w:pos="8838"/>
            </w:tabs>
            <w:ind w:left="-28" w:right="-32"/>
          </w:pPr>
          <w:r>
            <w:t>03846/INFOEM/IP/RR/2020</w:t>
          </w:r>
        </w:p>
      </w:tc>
    </w:tr>
    <w:tr w:rsidR="00C14508" w14:paraId="137728E1" w14:textId="77777777">
      <w:trPr>
        <w:trHeight w:val="261"/>
      </w:trPr>
      <w:tc>
        <w:tcPr>
          <w:tcW w:w="2691" w:type="dxa"/>
        </w:tcPr>
        <w:p w14:paraId="5664481D" w14:textId="77777777" w:rsidR="00C14508" w:rsidRDefault="003F05B8">
          <w:pPr>
            <w:tabs>
              <w:tab w:val="right" w:pos="8838"/>
            </w:tabs>
            <w:ind w:right="-105"/>
            <w:rPr>
              <w:b/>
              <w:bCs/>
            </w:rPr>
          </w:pPr>
          <w:r>
            <w:rPr>
              <w:b/>
              <w:bCs/>
            </w:rPr>
            <w:t>Sujeto Obligado:</w:t>
          </w:r>
        </w:p>
      </w:tc>
      <w:tc>
        <w:tcPr>
          <w:tcW w:w="3405" w:type="dxa"/>
        </w:tcPr>
        <w:p w14:paraId="602F5906" w14:textId="77777777" w:rsidR="00C14508" w:rsidRDefault="003F05B8">
          <w:pPr>
            <w:tabs>
              <w:tab w:val="right" w:pos="8838"/>
            </w:tabs>
            <w:ind w:right="-32"/>
          </w:pPr>
          <w:r>
            <w:t>Ayuntamiento de Temascalcingo</w:t>
          </w:r>
        </w:p>
      </w:tc>
    </w:tr>
    <w:tr w:rsidR="00C14508" w14:paraId="390A926F" w14:textId="77777777">
      <w:trPr>
        <w:trHeight w:val="261"/>
      </w:trPr>
      <w:tc>
        <w:tcPr>
          <w:tcW w:w="2691" w:type="dxa"/>
        </w:tcPr>
        <w:p w14:paraId="5D67F037" w14:textId="77777777" w:rsidR="00C14508" w:rsidRDefault="003F05B8">
          <w:pPr>
            <w:tabs>
              <w:tab w:val="right" w:pos="8838"/>
            </w:tabs>
            <w:ind w:right="-105"/>
            <w:rPr>
              <w:b/>
              <w:bCs/>
            </w:rPr>
          </w:pPr>
          <w:r>
            <w:rPr>
              <w:b/>
              <w:bCs/>
            </w:rPr>
            <w:t>Comisionado Ponente:</w:t>
          </w:r>
        </w:p>
      </w:tc>
      <w:tc>
        <w:tcPr>
          <w:tcW w:w="3405" w:type="dxa"/>
        </w:tcPr>
        <w:p w14:paraId="77775BD3" w14:textId="77777777" w:rsidR="00C14508" w:rsidRDefault="003F05B8">
          <w:pPr>
            <w:tabs>
              <w:tab w:val="right" w:pos="8838"/>
            </w:tabs>
            <w:ind w:right="-32"/>
            <w:rPr>
              <w:b/>
              <w:bCs/>
            </w:rPr>
          </w:pPr>
          <w:r>
            <w:t>Luis Gustavo Parra Noriega</w:t>
          </w:r>
        </w:p>
      </w:tc>
    </w:tr>
  </w:tbl>
  <w:p w14:paraId="65A06BA3" w14:textId="77777777" w:rsidR="00C14508" w:rsidRDefault="0036268E">
    <w:pPr>
      <w:pBdr>
        <w:top w:val="nil"/>
        <w:left w:val="nil"/>
        <w:bottom w:val="nil"/>
        <w:right w:val="nil"/>
        <w:between w:val="nil"/>
      </w:pBdr>
      <w:tabs>
        <w:tab w:val="center" w:pos="4419"/>
        <w:tab w:val="right" w:pos="8838"/>
      </w:tabs>
      <w:spacing w:after="0" w:line="240" w:lineRule="auto"/>
      <w:rPr>
        <w:color w:val="000000"/>
      </w:rPr>
    </w:pPr>
    <w:r>
      <w:rPr>
        <w:color w:val="000000"/>
      </w:rPr>
      <w:pict w14:anchorId="3E86C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2788F" w14:textId="77777777" w:rsidR="00C14508" w:rsidRDefault="0036268E">
    <w:pPr>
      <w:widowControl w:val="0"/>
      <w:pBdr>
        <w:top w:val="nil"/>
        <w:left w:val="nil"/>
        <w:bottom w:val="nil"/>
        <w:right w:val="nil"/>
        <w:between w:val="nil"/>
      </w:pBdr>
      <w:spacing w:after="0" w:line="276" w:lineRule="auto"/>
      <w:jc w:val="left"/>
    </w:pPr>
    <w:r>
      <w:rPr>
        <w:color w:val="000000"/>
      </w:rPr>
      <w:pict w14:anchorId="537B1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6662"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C14508" w14:paraId="3CD50613" w14:textId="77777777">
      <w:trPr>
        <w:trHeight w:val="138"/>
      </w:trPr>
      <w:tc>
        <w:tcPr>
          <w:tcW w:w="2693" w:type="dxa"/>
          <w:vAlign w:val="center"/>
        </w:tcPr>
        <w:p w14:paraId="3837C2A4" w14:textId="77777777" w:rsidR="00C14508" w:rsidRDefault="00C14508">
          <w:pPr>
            <w:tabs>
              <w:tab w:val="right" w:pos="8838"/>
            </w:tabs>
            <w:ind w:left="-108" w:right="-105"/>
            <w:jc w:val="left"/>
            <w:rPr>
              <w:b/>
              <w:bCs/>
            </w:rPr>
          </w:pPr>
        </w:p>
        <w:p w14:paraId="4E32EC5D" w14:textId="77777777" w:rsidR="00C14508" w:rsidRDefault="003F05B8">
          <w:pPr>
            <w:tabs>
              <w:tab w:val="right" w:pos="8838"/>
            </w:tabs>
            <w:ind w:left="-108" w:right="-105"/>
            <w:jc w:val="left"/>
            <w:rPr>
              <w:b/>
              <w:bCs/>
            </w:rPr>
          </w:pPr>
          <w:r>
            <w:rPr>
              <w:b/>
              <w:bCs/>
            </w:rPr>
            <w:t>Recurso de Revisión:</w:t>
          </w:r>
        </w:p>
      </w:tc>
      <w:tc>
        <w:tcPr>
          <w:tcW w:w="3969" w:type="dxa"/>
        </w:tcPr>
        <w:p w14:paraId="12A27D03" w14:textId="77777777" w:rsidR="00C14508" w:rsidRDefault="00C14508">
          <w:pPr>
            <w:tabs>
              <w:tab w:val="right" w:pos="8838"/>
            </w:tabs>
            <w:ind w:right="57"/>
          </w:pPr>
        </w:p>
        <w:p w14:paraId="7EA28BAA" w14:textId="77777777" w:rsidR="00C14508" w:rsidRDefault="003F05B8">
          <w:pPr>
            <w:tabs>
              <w:tab w:val="right" w:pos="8838"/>
            </w:tabs>
            <w:ind w:right="57"/>
          </w:pPr>
          <w:r>
            <w:t>13291/INFOEM/IP/RR/2025</w:t>
          </w:r>
        </w:p>
      </w:tc>
    </w:tr>
    <w:tr w:rsidR="00C14508" w14:paraId="414FEFAC" w14:textId="77777777">
      <w:trPr>
        <w:trHeight w:val="273"/>
      </w:trPr>
      <w:tc>
        <w:tcPr>
          <w:tcW w:w="2693" w:type="dxa"/>
        </w:tcPr>
        <w:p w14:paraId="5356D08E" w14:textId="77777777" w:rsidR="00C14508" w:rsidRDefault="003F05B8">
          <w:pPr>
            <w:tabs>
              <w:tab w:val="right" w:pos="8838"/>
            </w:tabs>
            <w:ind w:left="-108" w:right="-105"/>
            <w:rPr>
              <w:b/>
              <w:bCs/>
            </w:rPr>
          </w:pPr>
          <w:r>
            <w:rPr>
              <w:b/>
              <w:bCs/>
            </w:rPr>
            <w:t>Sujeto Obligado:</w:t>
          </w:r>
        </w:p>
      </w:tc>
      <w:tc>
        <w:tcPr>
          <w:tcW w:w="3969" w:type="dxa"/>
        </w:tcPr>
        <w:p w14:paraId="448BC6A1" w14:textId="77777777" w:rsidR="00C14508" w:rsidRDefault="003F05B8">
          <w:pPr>
            <w:tabs>
              <w:tab w:val="right" w:pos="8838"/>
            </w:tabs>
            <w:ind w:right="1167"/>
          </w:pPr>
          <w:r>
            <w:t>Ayuntamiento de Atenco</w:t>
          </w:r>
        </w:p>
      </w:tc>
    </w:tr>
    <w:tr w:rsidR="00C14508" w14:paraId="371D3970" w14:textId="77777777">
      <w:trPr>
        <w:trHeight w:val="273"/>
      </w:trPr>
      <w:tc>
        <w:tcPr>
          <w:tcW w:w="2693" w:type="dxa"/>
        </w:tcPr>
        <w:p w14:paraId="32AA6384" w14:textId="77777777" w:rsidR="00C14508" w:rsidRDefault="003F05B8">
          <w:pPr>
            <w:tabs>
              <w:tab w:val="right" w:pos="8838"/>
            </w:tabs>
            <w:ind w:left="-108" w:right="-105"/>
            <w:rPr>
              <w:b/>
              <w:bCs/>
            </w:rPr>
          </w:pPr>
          <w:r>
            <w:rPr>
              <w:b/>
              <w:bCs/>
            </w:rPr>
            <w:t>Comisionado Ponente:</w:t>
          </w:r>
        </w:p>
      </w:tc>
      <w:tc>
        <w:tcPr>
          <w:tcW w:w="3969" w:type="dxa"/>
        </w:tcPr>
        <w:p w14:paraId="4DB8841D" w14:textId="77777777" w:rsidR="00C14508" w:rsidRDefault="003F05B8">
          <w:pPr>
            <w:tabs>
              <w:tab w:val="right" w:pos="8838"/>
            </w:tabs>
            <w:ind w:right="-170"/>
          </w:pPr>
          <w:r>
            <w:t>Luis Gustavo Parra Noriega</w:t>
          </w:r>
        </w:p>
        <w:p w14:paraId="3AB1191D" w14:textId="77777777" w:rsidR="00C14508" w:rsidRDefault="00C14508">
          <w:pPr>
            <w:tabs>
              <w:tab w:val="right" w:pos="8838"/>
            </w:tabs>
            <w:ind w:right="-170"/>
            <w:rPr>
              <w:b/>
              <w:bCs/>
            </w:rPr>
          </w:pPr>
        </w:p>
      </w:tc>
    </w:tr>
  </w:tbl>
  <w:p w14:paraId="77315799" w14:textId="77777777" w:rsidR="00C14508" w:rsidRDefault="00C14508">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D755B" w14:textId="77777777" w:rsidR="00C14508" w:rsidRDefault="00C14508">
    <w:pPr>
      <w:widowControl w:val="0"/>
      <w:pBdr>
        <w:top w:val="nil"/>
        <w:left w:val="nil"/>
        <w:bottom w:val="nil"/>
        <w:right w:val="nil"/>
        <w:between w:val="nil"/>
      </w:pBdr>
      <w:spacing w:after="0" w:line="276" w:lineRule="auto"/>
      <w:jc w:val="left"/>
      <w:rPr>
        <w:color w:val="000000"/>
      </w:rPr>
    </w:pPr>
  </w:p>
  <w:tbl>
    <w:tblPr>
      <w:tblStyle w:val="a1"/>
      <w:tblW w:w="6804"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C14508" w14:paraId="6C0AEB1B" w14:textId="77777777">
      <w:trPr>
        <w:trHeight w:val="132"/>
      </w:trPr>
      <w:tc>
        <w:tcPr>
          <w:tcW w:w="2551" w:type="dxa"/>
        </w:tcPr>
        <w:p w14:paraId="169C0B2A" w14:textId="77777777" w:rsidR="00C14508" w:rsidRDefault="003F05B8">
          <w:pPr>
            <w:tabs>
              <w:tab w:val="right" w:pos="8838"/>
            </w:tabs>
            <w:ind w:right="-105"/>
            <w:rPr>
              <w:b/>
              <w:bCs/>
            </w:rPr>
          </w:pPr>
          <w:r>
            <w:rPr>
              <w:b/>
              <w:bCs/>
            </w:rPr>
            <w:t>Recurso de Revisión:</w:t>
          </w:r>
        </w:p>
      </w:tc>
      <w:tc>
        <w:tcPr>
          <w:tcW w:w="4253" w:type="dxa"/>
        </w:tcPr>
        <w:p w14:paraId="7B64FB55" w14:textId="77777777" w:rsidR="00C14508" w:rsidRDefault="003F05B8">
          <w:r>
            <w:t>13291/INFOEM/IP/RR/2025</w:t>
          </w:r>
        </w:p>
      </w:tc>
    </w:tr>
    <w:tr w:rsidR="00C14508" w14:paraId="3DD2E11A" w14:textId="77777777">
      <w:trPr>
        <w:trHeight w:val="132"/>
      </w:trPr>
      <w:tc>
        <w:tcPr>
          <w:tcW w:w="2551" w:type="dxa"/>
          <w:shd w:val="clear" w:color="auto" w:fill="auto"/>
        </w:tcPr>
        <w:p w14:paraId="79EA5521" w14:textId="77777777" w:rsidR="00C14508" w:rsidRDefault="003F05B8">
          <w:pPr>
            <w:tabs>
              <w:tab w:val="left" w:pos="1875"/>
            </w:tabs>
            <w:ind w:right="-105"/>
            <w:rPr>
              <w:b/>
              <w:bCs/>
            </w:rPr>
          </w:pPr>
          <w:r>
            <w:rPr>
              <w:b/>
              <w:bCs/>
            </w:rPr>
            <w:t>Recurrente:</w:t>
          </w:r>
          <w:r>
            <w:rPr>
              <w:b/>
              <w:bCs/>
            </w:rPr>
            <w:tab/>
          </w:r>
        </w:p>
      </w:tc>
      <w:tc>
        <w:tcPr>
          <w:tcW w:w="4253" w:type="dxa"/>
          <w:shd w:val="clear" w:color="auto" w:fill="auto"/>
        </w:tcPr>
        <w:p w14:paraId="2DD0C99A" w14:textId="77777777" w:rsidR="00C14508" w:rsidRDefault="00C14508">
          <w:pPr>
            <w:tabs>
              <w:tab w:val="left" w:pos="2728"/>
              <w:tab w:val="right" w:pos="8838"/>
            </w:tabs>
            <w:ind w:right="1026"/>
          </w:pPr>
        </w:p>
      </w:tc>
    </w:tr>
    <w:tr w:rsidR="00C14508" w14:paraId="564A11AC" w14:textId="77777777">
      <w:trPr>
        <w:trHeight w:val="261"/>
      </w:trPr>
      <w:tc>
        <w:tcPr>
          <w:tcW w:w="2551" w:type="dxa"/>
        </w:tcPr>
        <w:p w14:paraId="5E127936" w14:textId="77777777" w:rsidR="00C14508" w:rsidRDefault="003F05B8">
          <w:pPr>
            <w:tabs>
              <w:tab w:val="right" w:pos="8838"/>
            </w:tabs>
            <w:ind w:right="-105"/>
            <w:rPr>
              <w:b/>
              <w:bCs/>
            </w:rPr>
          </w:pPr>
          <w:r>
            <w:rPr>
              <w:b/>
              <w:bCs/>
            </w:rPr>
            <w:t>Sujeto Obligado:</w:t>
          </w:r>
        </w:p>
      </w:tc>
      <w:tc>
        <w:tcPr>
          <w:tcW w:w="4253" w:type="dxa"/>
        </w:tcPr>
        <w:p w14:paraId="05C0F37F" w14:textId="77777777" w:rsidR="00C14508" w:rsidRDefault="003F05B8">
          <w:pPr>
            <w:ind w:right="1168"/>
          </w:pPr>
          <w:r>
            <w:t>Ayuntamiento de Atenco</w:t>
          </w:r>
        </w:p>
      </w:tc>
    </w:tr>
    <w:tr w:rsidR="00C14508" w14:paraId="71FBE992" w14:textId="77777777">
      <w:trPr>
        <w:trHeight w:val="261"/>
      </w:trPr>
      <w:tc>
        <w:tcPr>
          <w:tcW w:w="2551" w:type="dxa"/>
        </w:tcPr>
        <w:p w14:paraId="7294D8B6" w14:textId="77777777" w:rsidR="00C14508" w:rsidRDefault="003F05B8">
          <w:pPr>
            <w:tabs>
              <w:tab w:val="right" w:pos="8838"/>
            </w:tabs>
            <w:ind w:right="-105"/>
            <w:rPr>
              <w:b/>
              <w:bCs/>
            </w:rPr>
          </w:pPr>
          <w:r>
            <w:rPr>
              <w:b/>
              <w:bCs/>
            </w:rPr>
            <w:t>Comisionado Ponente:</w:t>
          </w:r>
        </w:p>
      </w:tc>
      <w:tc>
        <w:tcPr>
          <w:tcW w:w="4253" w:type="dxa"/>
        </w:tcPr>
        <w:p w14:paraId="534AA72A" w14:textId="77777777" w:rsidR="00C14508" w:rsidRDefault="003F05B8">
          <w:pPr>
            <w:tabs>
              <w:tab w:val="right" w:pos="8838"/>
            </w:tabs>
            <w:ind w:right="-32"/>
            <w:rPr>
              <w:b/>
              <w:bCs/>
            </w:rPr>
          </w:pPr>
          <w:r>
            <w:t>Luis Gustavo Parra Noriega</w:t>
          </w:r>
        </w:p>
      </w:tc>
    </w:tr>
  </w:tbl>
  <w:p w14:paraId="683C74C8" w14:textId="77777777" w:rsidR="00C14508" w:rsidRDefault="0036268E">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54C3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41CC"/>
    <w:multiLevelType w:val="multilevel"/>
    <w:tmpl w:val="CF4E98D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A4544F0"/>
    <w:multiLevelType w:val="multilevel"/>
    <w:tmpl w:val="DE1C7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7F092C"/>
    <w:multiLevelType w:val="multilevel"/>
    <w:tmpl w:val="035C5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5752E1"/>
    <w:multiLevelType w:val="multilevel"/>
    <w:tmpl w:val="A5566880"/>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5E335D"/>
    <w:multiLevelType w:val="multilevel"/>
    <w:tmpl w:val="5600A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C9286C"/>
    <w:multiLevelType w:val="multilevel"/>
    <w:tmpl w:val="BFF82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CC0ED1"/>
    <w:multiLevelType w:val="multilevel"/>
    <w:tmpl w:val="2D7C5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E447B8"/>
    <w:multiLevelType w:val="multilevel"/>
    <w:tmpl w:val="2068C05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E8C6E6A"/>
    <w:multiLevelType w:val="multilevel"/>
    <w:tmpl w:val="4D5415C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4530D7"/>
    <w:multiLevelType w:val="multilevel"/>
    <w:tmpl w:val="C1A6B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7"/>
  </w:num>
  <w:num w:numId="3">
    <w:abstractNumId w:val="2"/>
  </w:num>
  <w:num w:numId="4">
    <w:abstractNumId w:val="1"/>
  </w:num>
  <w:num w:numId="5">
    <w:abstractNumId w:val="6"/>
  </w:num>
  <w:num w:numId="6">
    <w:abstractNumId w:val="8"/>
  </w:num>
  <w:num w:numId="7">
    <w:abstractNumId w:val="3"/>
  </w:num>
  <w:num w:numId="8">
    <w:abstractNumId w:val="4"/>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508"/>
    <w:rsid w:val="002333F0"/>
    <w:rsid w:val="00246355"/>
    <w:rsid w:val="0036268E"/>
    <w:rsid w:val="003F05B8"/>
    <w:rsid w:val="007549E1"/>
    <w:rsid w:val="009F0036"/>
    <w:rsid w:val="00C14508"/>
    <w:rsid w:val="00CE3149"/>
    <w:rsid w:val="00D00229"/>
    <w:rsid w:val="00DB23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CE24A2"/>
  <w15:docId w15:val="{5442A83D-4B7E-46E2-BF78-C481C2908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ebapps.condusef.gob.mx/SIPRES/jsp/pub/index.jsp"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dusef.gob.mx/Revista/index.php/usuario-inteligente/condusef-responde/777-la-condusef-te-puede-ayudar"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IsrV4/8cn+lVwPXD3LzuaXePYA==">CgMxLjAyDmgubWFub3JtNzl6cHQyMg5oLjk0dnAzOTg1YzNhazIOaC42MXNlOWUxeDQ2aHYyDmgudDNheng3M2N4M2R3Mg5oLjJ5OHFtZm5nZG9zMDIOaC5pemdqd2pmenI0cmwyDmguOXdsNHgxcGNvZHlrMg5oLncydjVhejJzamg1bTIJaC4zMGowemxsMg5oLmllanBjMmY4bGp3MzIOaC5vOXZvbGhhY3k2NGgyDmguYzdwcGMyNGxjMmEzMg5oLmczMmtpY205ZG01MTIOaC42anU2OGdrZDUzbWwyDmguemV1cW1neWZwdWVnOAByITFGVjRSWFVWMEhobWtGSnZPc1JkY1VabFNvOHBsMVNF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4443AF-21A8-4DD6-A524-EAB65F0CE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8064</Words>
  <Characters>44355</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52315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2025-12-19T16:56:00Z</cp:lastPrinted>
  <dcterms:created xsi:type="dcterms:W3CDTF">2025-12-19T16:56:00Z</dcterms:created>
  <dcterms:modified xsi:type="dcterms:W3CDTF">2025-12-19T16:57:00Z</dcterms:modified>
</cp:coreProperties>
</file>