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91799027"/>
        <w:docPartObj>
          <w:docPartGallery w:val="Table of Contents"/>
          <w:docPartUnique/>
        </w:docPartObj>
      </w:sdtPr>
      <w:sdtEndPr>
        <w:rPr>
          <w:b/>
          <w:bCs/>
        </w:rPr>
      </w:sdtEndPr>
      <w:sdtContent>
        <w:p w14:paraId="692CDD4C" w14:textId="77777777" w:rsidR="00162BD6" w:rsidRPr="004F7A38" w:rsidRDefault="00162BD6" w:rsidP="00162BD6">
          <w:pPr>
            <w:pStyle w:val="TtulodeTDC"/>
            <w:rPr>
              <w:color w:val="auto"/>
            </w:rPr>
          </w:pPr>
          <w:r w:rsidRPr="004F7A38">
            <w:rPr>
              <w:color w:val="auto"/>
              <w:lang w:val="es-ES"/>
            </w:rPr>
            <w:t>Contenido</w:t>
          </w:r>
        </w:p>
        <w:p w14:paraId="7932ADB5" w14:textId="77777777" w:rsidR="00162BD6" w:rsidRPr="004F7A38" w:rsidRDefault="00162BD6" w:rsidP="00162BD6">
          <w:pPr>
            <w:pStyle w:val="TDC1"/>
            <w:tabs>
              <w:tab w:val="right" w:leader="dot" w:pos="9034"/>
            </w:tabs>
            <w:rPr>
              <w:rFonts w:asciiTheme="minorHAnsi" w:eastAsiaTheme="minorEastAsia" w:hAnsiTheme="minorHAnsi" w:cstheme="minorBidi"/>
              <w:noProof/>
            </w:rPr>
          </w:pPr>
          <w:r w:rsidRPr="004F7A38">
            <w:fldChar w:fldCharType="begin"/>
          </w:r>
          <w:r w:rsidRPr="004F7A38">
            <w:instrText xml:space="preserve"> TOC \o "1-3" \h \z \u </w:instrText>
          </w:r>
          <w:r w:rsidRPr="004F7A38">
            <w:fldChar w:fldCharType="separate"/>
          </w:r>
          <w:hyperlink w:anchor="_Toc208357858" w:history="1">
            <w:r w:rsidRPr="004F7A38">
              <w:rPr>
                <w:rStyle w:val="Hipervnculo"/>
                <w:noProof/>
                <w:color w:val="auto"/>
              </w:rPr>
              <w:t>ANTECEDENTES</w:t>
            </w:r>
            <w:r w:rsidRPr="004F7A38">
              <w:rPr>
                <w:noProof/>
                <w:webHidden/>
              </w:rPr>
              <w:tab/>
            </w:r>
            <w:r w:rsidRPr="004F7A38">
              <w:rPr>
                <w:noProof/>
                <w:webHidden/>
              </w:rPr>
              <w:fldChar w:fldCharType="begin"/>
            </w:r>
            <w:r w:rsidRPr="004F7A38">
              <w:rPr>
                <w:noProof/>
                <w:webHidden/>
              </w:rPr>
              <w:instrText xml:space="preserve"> PAGEREF _Toc208357858 \h </w:instrText>
            </w:r>
            <w:r w:rsidRPr="004F7A38">
              <w:rPr>
                <w:noProof/>
                <w:webHidden/>
              </w:rPr>
            </w:r>
            <w:r w:rsidRPr="004F7A38">
              <w:rPr>
                <w:noProof/>
                <w:webHidden/>
              </w:rPr>
              <w:fldChar w:fldCharType="separate"/>
            </w:r>
            <w:r w:rsidR="004F7A38">
              <w:rPr>
                <w:noProof/>
                <w:webHidden/>
              </w:rPr>
              <w:t>1</w:t>
            </w:r>
            <w:r w:rsidRPr="004F7A38">
              <w:rPr>
                <w:noProof/>
                <w:webHidden/>
              </w:rPr>
              <w:fldChar w:fldCharType="end"/>
            </w:r>
          </w:hyperlink>
        </w:p>
        <w:p w14:paraId="283EF7AF" w14:textId="77777777" w:rsidR="00162BD6" w:rsidRPr="004F7A38" w:rsidRDefault="008A1DFC" w:rsidP="00162BD6">
          <w:pPr>
            <w:pStyle w:val="TDC2"/>
            <w:tabs>
              <w:tab w:val="right" w:leader="dot" w:pos="9034"/>
            </w:tabs>
            <w:rPr>
              <w:rFonts w:asciiTheme="minorHAnsi" w:eastAsiaTheme="minorEastAsia" w:hAnsiTheme="minorHAnsi" w:cstheme="minorBidi"/>
              <w:noProof/>
            </w:rPr>
          </w:pPr>
          <w:hyperlink w:anchor="_Toc208357859" w:history="1">
            <w:r w:rsidR="00162BD6" w:rsidRPr="004F7A38">
              <w:rPr>
                <w:rStyle w:val="Hipervnculo"/>
                <w:noProof/>
                <w:color w:val="auto"/>
              </w:rPr>
              <w:t>DE LA SOLICITUD DE INFORMACIÓN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_Toc208357859 \h </w:instrText>
            </w:r>
            <w:r w:rsidR="00162BD6" w:rsidRPr="004F7A38">
              <w:rPr>
                <w:noProof/>
                <w:webHidden/>
              </w:rPr>
            </w:r>
            <w:r w:rsidR="00162BD6" w:rsidRPr="004F7A38">
              <w:rPr>
                <w:noProof/>
                <w:webHidden/>
              </w:rPr>
              <w:fldChar w:fldCharType="separate"/>
            </w:r>
            <w:r w:rsidR="004F7A38">
              <w:rPr>
                <w:noProof/>
                <w:webHidden/>
              </w:rPr>
              <w:t>1</w:t>
            </w:r>
            <w:r w:rsidR="00162BD6" w:rsidRPr="004F7A38">
              <w:rPr>
                <w:noProof/>
                <w:webHidden/>
              </w:rPr>
              <w:fldChar w:fldCharType="end"/>
            </w:r>
          </w:hyperlink>
        </w:p>
        <w:p w14:paraId="12B0C307"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0" w:history="1">
            <w:r w:rsidR="00162BD6" w:rsidRPr="004F7A38">
              <w:rPr>
                <w:rStyle w:val="Hipervnculo"/>
                <w:noProof/>
                <w:color w:val="auto"/>
              </w:rPr>
              <w:t>a) Solicitud de información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_Toc208357860 \h </w:instrText>
            </w:r>
            <w:r w:rsidR="00162BD6" w:rsidRPr="004F7A38">
              <w:rPr>
                <w:noProof/>
                <w:webHidden/>
              </w:rPr>
            </w:r>
            <w:r w:rsidR="00162BD6" w:rsidRPr="004F7A38">
              <w:rPr>
                <w:noProof/>
                <w:webHidden/>
              </w:rPr>
              <w:fldChar w:fldCharType="separate"/>
            </w:r>
            <w:r w:rsidR="004F7A38">
              <w:rPr>
                <w:noProof/>
                <w:webHidden/>
              </w:rPr>
              <w:t>1</w:t>
            </w:r>
            <w:r w:rsidR="00162BD6" w:rsidRPr="004F7A38">
              <w:rPr>
                <w:noProof/>
                <w:webHidden/>
              </w:rPr>
              <w:fldChar w:fldCharType="end"/>
            </w:r>
          </w:hyperlink>
        </w:p>
        <w:p w14:paraId="22369DD7"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1" w:history="1">
            <w:r w:rsidR="00162BD6" w:rsidRPr="004F7A38">
              <w:rPr>
                <w:rStyle w:val="Hipervnculo"/>
                <w:noProof/>
                <w:color w:val="auto"/>
              </w:rPr>
              <w:t>b) Turno de la solicitud de información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_Toc208357861 \h </w:instrText>
            </w:r>
            <w:r w:rsidR="00162BD6" w:rsidRPr="004F7A38">
              <w:rPr>
                <w:noProof/>
                <w:webHidden/>
              </w:rPr>
            </w:r>
            <w:r w:rsidR="00162BD6" w:rsidRPr="004F7A38">
              <w:rPr>
                <w:noProof/>
                <w:webHidden/>
              </w:rPr>
              <w:fldChar w:fldCharType="separate"/>
            </w:r>
            <w:r w:rsidR="004F7A38">
              <w:rPr>
                <w:noProof/>
                <w:webHidden/>
              </w:rPr>
              <w:t>2</w:t>
            </w:r>
            <w:r w:rsidR="00162BD6" w:rsidRPr="004F7A38">
              <w:rPr>
                <w:noProof/>
                <w:webHidden/>
              </w:rPr>
              <w:fldChar w:fldCharType="end"/>
            </w:r>
          </w:hyperlink>
        </w:p>
        <w:p w14:paraId="245200B9"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2" w:history="1">
            <w:r w:rsidR="00162BD6" w:rsidRPr="004F7A38">
              <w:rPr>
                <w:rStyle w:val="Hipervnculo"/>
                <w:noProof/>
                <w:color w:val="auto"/>
              </w:rPr>
              <w:t>c) Prórroga</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_Toc208357862 \h </w:instrText>
            </w:r>
            <w:r w:rsidR="00162BD6" w:rsidRPr="004F7A38">
              <w:rPr>
                <w:noProof/>
                <w:webHidden/>
              </w:rPr>
            </w:r>
            <w:r w:rsidR="00162BD6" w:rsidRPr="004F7A38">
              <w:rPr>
                <w:noProof/>
                <w:webHidden/>
              </w:rPr>
              <w:fldChar w:fldCharType="separate"/>
            </w:r>
            <w:r w:rsidR="004F7A38">
              <w:rPr>
                <w:noProof/>
                <w:webHidden/>
              </w:rPr>
              <w:t>2</w:t>
            </w:r>
            <w:r w:rsidR="00162BD6" w:rsidRPr="004F7A38">
              <w:rPr>
                <w:noProof/>
                <w:webHidden/>
              </w:rPr>
              <w:fldChar w:fldCharType="end"/>
            </w:r>
          </w:hyperlink>
        </w:p>
        <w:p w14:paraId="78F274D9"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3" w:history="1">
            <w:r w:rsidR="00162BD6" w:rsidRPr="004F7A38">
              <w:rPr>
                <w:rStyle w:val="Hipervnculo"/>
                <w:noProof/>
                <w:color w:val="auto"/>
              </w:rPr>
              <w:t>d) Respuesta del Sujeto Obligado</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_Toc208357863 \h </w:instrText>
            </w:r>
            <w:r w:rsidR="00162BD6" w:rsidRPr="004F7A38">
              <w:rPr>
                <w:noProof/>
                <w:webHidden/>
              </w:rPr>
            </w:r>
            <w:r w:rsidR="00162BD6" w:rsidRPr="004F7A38">
              <w:rPr>
                <w:noProof/>
                <w:webHidden/>
              </w:rPr>
              <w:fldChar w:fldCharType="separate"/>
            </w:r>
            <w:r w:rsidR="004F7A38">
              <w:rPr>
                <w:noProof/>
                <w:webHidden/>
              </w:rPr>
              <w:t>3</w:t>
            </w:r>
            <w:r w:rsidR="00162BD6" w:rsidRPr="004F7A38">
              <w:rPr>
                <w:noProof/>
                <w:webHidden/>
              </w:rPr>
              <w:fldChar w:fldCharType="end"/>
            </w:r>
          </w:hyperlink>
        </w:p>
        <w:p w14:paraId="08799927" w14:textId="77777777" w:rsidR="00162BD6" w:rsidRPr="004F7A38" w:rsidRDefault="008A1DFC" w:rsidP="00162BD6">
          <w:pPr>
            <w:pStyle w:val="TDC2"/>
            <w:tabs>
              <w:tab w:val="right" w:leader="dot" w:pos="9034"/>
            </w:tabs>
            <w:rPr>
              <w:rFonts w:asciiTheme="minorHAnsi" w:eastAsiaTheme="minorEastAsia" w:hAnsiTheme="minorHAnsi" w:cstheme="minorBidi"/>
              <w:noProof/>
            </w:rPr>
          </w:pPr>
          <w:hyperlink w:anchor="_Toc208357864" w:history="1">
            <w:r w:rsidR="00162BD6" w:rsidRPr="004F7A38">
              <w:rPr>
                <w:rStyle w:val="Hipervnculo"/>
                <w:noProof/>
                <w:color w:val="auto"/>
              </w:rPr>
              <w:t>DEL RECURSO DE REVISIÓN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_Toc208357864 \h </w:instrText>
            </w:r>
            <w:r w:rsidR="00162BD6" w:rsidRPr="004F7A38">
              <w:rPr>
                <w:noProof/>
                <w:webHidden/>
              </w:rPr>
            </w:r>
            <w:r w:rsidR="00162BD6" w:rsidRPr="004F7A38">
              <w:rPr>
                <w:noProof/>
                <w:webHidden/>
              </w:rPr>
              <w:fldChar w:fldCharType="separate"/>
            </w:r>
            <w:r w:rsidR="004F7A38">
              <w:rPr>
                <w:noProof/>
                <w:webHidden/>
              </w:rPr>
              <w:t>4</w:t>
            </w:r>
            <w:r w:rsidR="00162BD6" w:rsidRPr="004F7A38">
              <w:rPr>
                <w:noProof/>
                <w:webHidden/>
              </w:rPr>
              <w:fldChar w:fldCharType="end"/>
            </w:r>
          </w:hyperlink>
        </w:p>
        <w:p w14:paraId="3BF52B6F"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5" w:history="1">
            <w:r w:rsidR="00162BD6" w:rsidRPr="004F7A38">
              <w:rPr>
                <w:rStyle w:val="Hipervnculo"/>
                <w:noProof/>
                <w:color w:val="auto"/>
              </w:rPr>
              <w:t>a) Interposición del Recurso de Revisión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_Toc208357865 \h </w:instrText>
            </w:r>
            <w:r w:rsidR="00162BD6" w:rsidRPr="004F7A38">
              <w:rPr>
                <w:noProof/>
                <w:webHidden/>
              </w:rPr>
            </w:r>
            <w:r w:rsidR="00162BD6" w:rsidRPr="004F7A38">
              <w:rPr>
                <w:noProof/>
                <w:webHidden/>
              </w:rPr>
              <w:fldChar w:fldCharType="separate"/>
            </w:r>
            <w:r w:rsidR="004F7A38">
              <w:rPr>
                <w:noProof/>
                <w:webHidden/>
              </w:rPr>
              <w:t>4</w:t>
            </w:r>
            <w:r w:rsidR="00162BD6" w:rsidRPr="004F7A38">
              <w:rPr>
                <w:noProof/>
                <w:webHidden/>
              </w:rPr>
              <w:fldChar w:fldCharType="end"/>
            </w:r>
          </w:hyperlink>
        </w:p>
        <w:p w14:paraId="479018FD"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6" w:history="1">
            <w:r w:rsidR="00162BD6" w:rsidRPr="004F7A38">
              <w:rPr>
                <w:rStyle w:val="Hipervnculo"/>
                <w:noProof/>
                <w:color w:val="auto"/>
              </w:rPr>
              <w:t>b) Turno del Recurso de Revisión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_Toc208357866 \h </w:instrText>
            </w:r>
            <w:r w:rsidR="00162BD6" w:rsidRPr="004F7A38">
              <w:rPr>
                <w:noProof/>
                <w:webHidden/>
              </w:rPr>
            </w:r>
            <w:r w:rsidR="00162BD6" w:rsidRPr="004F7A38">
              <w:rPr>
                <w:noProof/>
                <w:webHidden/>
              </w:rPr>
              <w:fldChar w:fldCharType="separate"/>
            </w:r>
            <w:r w:rsidR="004F7A38">
              <w:rPr>
                <w:noProof/>
                <w:webHidden/>
              </w:rPr>
              <w:t>5</w:t>
            </w:r>
            <w:r w:rsidR="00162BD6" w:rsidRPr="004F7A38">
              <w:rPr>
                <w:noProof/>
                <w:webHidden/>
              </w:rPr>
              <w:fldChar w:fldCharType="end"/>
            </w:r>
          </w:hyperlink>
        </w:p>
        <w:p w14:paraId="7E1B8FAD"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7" w:history="1">
            <w:r w:rsidR="00162BD6" w:rsidRPr="004F7A38">
              <w:rPr>
                <w:rStyle w:val="Hipervnculo"/>
                <w:noProof/>
                <w:color w:val="auto"/>
              </w:rPr>
              <w:t>c) Admisión del Recurso de Revisión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_Toc208357867 \h </w:instrText>
            </w:r>
            <w:r w:rsidR="00162BD6" w:rsidRPr="004F7A38">
              <w:rPr>
                <w:noProof/>
                <w:webHidden/>
              </w:rPr>
            </w:r>
            <w:r w:rsidR="00162BD6" w:rsidRPr="004F7A38">
              <w:rPr>
                <w:noProof/>
                <w:webHidden/>
              </w:rPr>
              <w:fldChar w:fldCharType="separate"/>
            </w:r>
            <w:r w:rsidR="004F7A38">
              <w:rPr>
                <w:noProof/>
                <w:webHidden/>
              </w:rPr>
              <w:t>5</w:t>
            </w:r>
            <w:r w:rsidR="00162BD6" w:rsidRPr="004F7A38">
              <w:rPr>
                <w:noProof/>
                <w:webHidden/>
              </w:rPr>
              <w:fldChar w:fldCharType="end"/>
            </w:r>
          </w:hyperlink>
        </w:p>
        <w:p w14:paraId="0263E406"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8" w:history="1">
            <w:r w:rsidR="00162BD6" w:rsidRPr="004F7A38">
              <w:rPr>
                <w:rStyle w:val="Hipervnculo"/>
                <w:noProof/>
                <w:color w:val="auto"/>
              </w:rPr>
              <w:t>d) Informe Justificado del Sujeto Obligado</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_Toc208357868 \h </w:instrText>
            </w:r>
            <w:r w:rsidR="00162BD6" w:rsidRPr="004F7A38">
              <w:rPr>
                <w:noProof/>
                <w:webHidden/>
              </w:rPr>
            </w:r>
            <w:r w:rsidR="00162BD6" w:rsidRPr="004F7A38">
              <w:rPr>
                <w:noProof/>
                <w:webHidden/>
              </w:rPr>
              <w:fldChar w:fldCharType="separate"/>
            </w:r>
            <w:r w:rsidR="004F7A38">
              <w:rPr>
                <w:noProof/>
                <w:webHidden/>
              </w:rPr>
              <w:t>5</w:t>
            </w:r>
            <w:r w:rsidR="00162BD6" w:rsidRPr="004F7A38">
              <w:rPr>
                <w:noProof/>
                <w:webHidden/>
              </w:rPr>
              <w:fldChar w:fldCharType="end"/>
            </w:r>
          </w:hyperlink>
        </w:p>
        <w:p w14:paraId="4D2F7D8A"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69" w:history="1">
            <w:r w:rsidR="00162BD6" w:rsidRPr="004F7A38">
              <w:rPr>
                <w:rStyle w:val="Hipervnculo"/>
                <w:noProof/>
                <w:color w:val="auto"/>
              </w:rPr>
              <w:t>e) Manifestaciones de la Parte Recurrente</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_Toc208357869 \h </w:instrText>
            </w:r>
            <w:r w:rsidR="00162BD6" w:rsidRPr="004F7A38">
              <w:rPr>
                <w:noProof/>
                <w:webHidden/>
              </w:rPr>
            </w:r>
            <w:r w:rsidR="00162BD6" w:rsidRPr="004F7A38">
              <w:rPr>
                <w:noProof/>
                <w:webHidden/>
              </w:rPr>
              <w:fldChar w:fldCharType="separate"/>
            </w:r>
            <w:r w:rsidR="004F7A38">
              <w:rPr>
                <w:noProof/>
                <w:webHidden/>
              </w:rPr>
              <w:t>6</w:t>
            </w:r>
            <w:r w:rsidR="00162BD6" w:rsidRPr="004F7A38">
              <w:rPr>
                <w:noProof/>
                <w:webHidden/>
              </w:rPr>
              <w:fldChar w:fldCharType="end"/>
            </w:r>
          </w:hyperlink>
        </w:p>
        <w:p w14:paraId="31EFFC4A"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70" w:history="1">
            <w:r w:rsidR="00162BD6" w:rsidRPr="004F7A38">
              <w:rPr>
                <w:rStyle w:val="Hipervnculo"/>
                <w:noProof/>
                <w:color w:val="auto"/>
              </w:rPr>
              <w:t>f) Cierre de instrucción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_Toc208357870 \h </w:instrText>
            </w:r>
            <w:r w:rsidR="00162BD6" w:rsidRPr="004F7A38">
              <w:rPr>
                <w:noProof/>
                <w:webHidden/>
              </w:rPr>
            </w:r>
            <w:r w:rsidR="00162BD6" w:rsidRPr="004F7A38">
              <w:rPr>
                <w:noProof/>
                <w:webHidden/>
              </w:rPr>
              <w:fldChar w:fldCharType="separate"/>
            </w:r>
            <w:r w:rsidR="004F7A38">
              <w:rPr>
                <w:noProof/>
                <w:webHidden/>
              </w:rPr>
              <w:t>6</w:t>
            </w:r>
            <w:r w:rsidR="00162BD6" w:rsidRPr="004F7A38">
              <w:rPr>
                <w:noProof/>
                <w:webHidden/>
              </w:rPr>
              <w:fldChar w:fldCharType="end"/>
            </w:r>
          </w:hyperlink>
        </w:p>
        <w:p w14:paraId="5EAE759A" w14:textId="77777777" w:rsidR="00162BD6" w:rsidRPr="004F7A38" w:rsidRDefault="008A1DFC" w:rsidP="00162BD6">
          <w:pPr>
            <w:pStyle w:val="TDC1"/>
            <w:tabs>
              <w:tab w:val="right" w:leader="dot" w:pos="9034"/>
            </w:tabs>
            <w:rPr>
              <w:rFonts w:asciiTheme="minorHAnsi" w:eastAsiaTheme="minorEastAsia" w:hAnsiTheme="minorHAnsi" w:cstheme="minorBidi"/>
              <w:noProof/>
            </w:rPr>
          </w:pPr>
          <w:hyperlink w:anchor="_Toc208357871" w:history="1">
            <w:r w:rsidR="00162BD6" w:rsidRPr="004F7A38">
              <w:rPr>
                <w:rStyle w:val="Hipervnculo"/>
                <w:noProof/>
                <w:color w:val="auto"/>
              </w:rPr>
              <w:t>CONSIDERANDOS</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_Toc208357871 \h </w:instrText>
            </w:r>
            <w:r w:rsidR="00162BD6" w:rsidRPr="004F7A38">
              <w:rPr>
                <w:noProof/>
                <w:webHidden/>
              </w:rPr>
            </w:r>
            <w:r w:rsidR="00162BD6" w:rsidRPr="004F7A38">
              <w:rPr>
                <w:noProof/>
                <w:webHidden/>
              </w:rPr>
              <w:fldChar w:fldCharType="separate"/>
            </w:r>
            <w:r w:rsidR="004F7A38">
              <w:rPr>
                <w:noProof/>
                <w:webHidden/>
              </w:rPr>
              <w:t>7</w:t>
            </w:r>
            <w:r w:rsidR="00162BD6" w:rsidRPr="004F7A38">
              <w:rPr>
                <w:noProof/>
                <w:webHidden/>
              </w:rPr>
              <w:fldChar w:fldCharType="end"/>
            </w:r>
          </w:hyperlink>
        </w:p>
        <w:p w14:paraId="65E2832A" w14:textId="77777777" w:rsidR="00162BD6" w:rsidRPr="004F7A38" w:rsidRDefault="008A1DFC" w:rsidP="00162BD6">
          <w:pPr>
            <w:pStyle w:val="TDC2"/>
            <w:tabs>
              <w:tab w:val="right" w:leader="dot" w:pos="9034"/>
            </w:tabs>
            <w:rPr>
              <w:rFonts w:asciiTheme="minorHAnsi" w:eastAsiaTheme="minorEastAsia" w:hAnsiTheme="minorHAnsi" w:cstheme="minorBidi"/>
              <w:noProof/>
            </w:rPr>
          </w:pPr>
          <w:hyperlink w:anchor="_Toc208357872" w:history="1">
            <w:r w:rsidR="00162BD6" w:rsidRPr="004F7A38">
              <w:rPr>
                <w:rStyle w:val="Hipervnculo"/>
                <w:noProof/>
                <w:color w:val="auto"/>
              </w:rPr>
              <w:t>PRIMERO. Procedibilidad</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_Toc208357872 \h </w:instrText>
            </w:r>
            <w:r w:rsidR="00162BD6" w:rsidRPr="004F7A38">
              <w:rPr>
                <w:noProof/>
                <w:webHidden/>
              </w:rPr>
            </w:r>
            <w:r w:rsidR="00162BD6" w:rsidRPr="004F7A38">
              <w:rPr>
                <w:noProof/>
                <w:webHidden/>
              </w:rPr>
              <w:fldChar w:fldCharType="separate"/>
            </w:r>
            <w:r w:rsidR="004F7A38">
              <w:rPr>
                <w:noProof/>
                <w:webHidden/>
              </w:rPr>
              <w:t>7</w:t>
            </w:r>
            <w:r w:rsidR="00162BD6" w:rsidRPr="004F7A38">
              <w:rPr>
                <w:noProof/>
                <w:webHidden/>
              </w:rPr>
              <w:fldChar w:fldCharType="end"/>
            </w:r>
          </w:hyperlink>
        </w:p>
        <w:p w14:paraId="3DCEC384"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73" w:history="1">
            <w:r w:rsidR="00162BD6" w:rsidRPr="004F7A38">
              <w:rPr>
                <w:rStyle w:val="Hipervnculo"/>
                <w:noProof/>
                <w:color w:val="auto"/>
              </w:rPr>
              <w:t>a) Competencia del Instituto</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_Toc208357873 \h </w:instrText>
            </w:r>
            <w:r w:rsidR="00162BD6" w:rsidRPr="004F7A38">
              <w:rPr>
                <w:noProof/>
                <w:webHidden/>
              </w:rPr>
            </w:r>
            <w:r w:rsidR="00162BD6" w:rsidRPr="004F7A38">
              <w:rPr>
                <w:noProof/>
                <w:webHidden/>
              </w:rPr>
              <w:fldChar w:fldCharType="separate"/>
            </w:r>
            <w:r w:rsidR="004F7A38">
              <w:rPr>
                <w:noProof/>
                <w:webHidden/>
              </w:rPr>
              <w:t>7</w:t>
            </w:r>
            <w:r w:rsidR="00162BD6" w:rsidRPr="004F7A38">
              <w:rPr>
                <w:noProof/>
                <w:webHidden/>
              </w:rPr>
              <w:fldChar w:fldCharType="end"/>
            </w:r>
          </w:hyperlink>
        </w:p>
        <w:p w14:paraId="402F6FF3"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74" w:history="1">
            <w:r w:rsidR="00162BD6" w:rsidRPr="004F7A38">
              <w:rPr>
                <w:rStyle w:val="Hipervnculo"/>
                <w:noProof/>
                <w:color w:val="auto"/>
              </w:rPr>
              <w:t>b) Legitimidad de la parte recurrente</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_Toc208357874 \h </w:instrText>
            </w:r>
            <w:r w:rsidR="00162BD6" w:rsidRPr="004F7A38">
              <w:rPr>
                <w:noProof/>
                <w:webHidden/>
              </w:rPr>
            </w:r>
            <w:r w:rsidR="00162BD6" w:rsidRPr="004F7A38">
              <w:rPr>
                <w:noProof/>
                <w:webHidden/>
              </w:rPr>
              <w:fldChar w:fldCharType="separate"/>
            </w:r>
            <w:r w:rsidR="004F7A38">
              <w:rPr>
                <w:noProof/>
                <w:webHidden/>
              </w:rPr>
              <w:t>7</w:t>
            </w:r>
            <w:r w:rsidR="00162BD6" w:rsidRPr="004F7A38">
              <w:rPr>
                <w:noProof/>
                <w:webHidden/>
              </w:rPr>
              <w:fldChar w:fldCharType="end"/>
            </w:r>
          </w:hyperlink>
        </w:p>
        <w:p w14:paraId="76E6A4AD"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75" w:history="1">
            <w:r w:rsidR="00162BD6" w:rsidRPr="004F7A38">
              <w:rPr>
                <w:rStyle w:val="Hipervnculo"/>
                <w:noProof/>
                <w:color w:val="auto"/>
              </w:rPr>
              <w:t>c) Plazo para interponer el recurso</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_Toc208357875 \h </w:instrText>
            </w:r>
            <w:r w:rsidR="00162BD6" w:rsidRPr="004F7A38">
              <w:rPr>
                <w:noProof/>
                <w:webHidden/>
              </w:rPr>
            </w:r>
            <w:r w:rsidR="00162BD6" w:rsidRPr="004F7A38">
              <w:rPr>
                <w:noProof/>
                <w:webHidden/>
              </w:rPr>
              <w:fldChar w:fldCharType="separate"/>
            </w:r>
            <w:r w:rsidR="004F7A38">
              <w:rPr>
                <w:noProof/>
                <w:webHidden/>
              </w:rPr>
              <w:t>8</w:t>
            </w:r>
            <w:r w:rsidR="00162BD6" w:rsidRPr="004F7A38">
              <w:rPr>
                <w:noProof/>
                <w:webHidden/>
              </w:rPr>
              <w:fldChar w:fldCharType="end"/>
            </w:r>
          </w:hyperlink>
        </w:p>
        <w:p w14:paraId="0948742A"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76" w:history="1">
            <w:r w:rsidR="00162BD6" w:rsidRPr="004F7A38">
              <w:rPr>
                <w:rStyle w:val="Hipervnculo"/>
                <w:noProof/>
                <w:color w:val="auto"/>
              </w:rPr>
              <w:t>d) Causal de Procedencia</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_Toc208357876 \h </w:instrText>
            </w:r>
            <w:r w:rsidR="00162BD6" w:rsidRPr="004F7A38">
              <w:rPr>
                <w:noProof/>
                <w:webHidden/>
              </w:rPr>
            </w:r>
            <w:r w:rsidR="00162BD6" w:rsidRPr="004F7A38">
              <w:rPr>
                <w:noProof/>
                <w:webHidden/>
              </w:rPr>
              <w:fldChar w:fldCharType="separate"/>
            </w:r>
            <w:r w:rsidR="004F7A38">
              <w:rPr>
                <w:noProof/>
                <w:webHidden/>
              </w:rPr>
              <w:t>8</w:t>
            </w:r>
            <w:r w:rsidR="00162BD6" w:rsidRPr="004F7A38">
              <w:rPr>
                <w:noProof/>
                <w:webHidden/>
              </w:rPr>
              <w:fldChar w:fldCharType="end"/>
            </w:r>
          </w:hyperlink>
        </w:p>
        <w:p w14:paraId="3B9D37B7"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77" w:history="1">
            <w:r w:rsidR="00162BD6" w:rsidRPr="004F7A38">
              <w:rPr>
                <w:rStyle w:val="Hipervnculo"/>
                <w:noProof/>
                <w:color w:val="auto"/>
              </w:rPr>
              <w:t>e) Requisitos formales para la interposición del recurso</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_Toc208357877 \h </w:instrText>
            </w:r>
            <w:r w:rsidR="00162BD6" w:rsidRPr="004F7A38">
              <w:rPr>
                <w:noProof/>
                <w:webHidden/>
              </w:rPr>
            </w:r>
            <w:r w:rsidR="00162BD6" w:rsidRPr="004F7A38">
              <w:rPr>
                <w:noProof/>
                <w:webHidden/>
              </w:rPr>
              <w:fldChar w:fldCharType="separate"/>
            </w:r>
            <w:r w:rsidR="004F7A38">
              <w:rPr>
                <w:noProof/>
                <w:webHidden/>
              </w:rPr>
              <w:t>8</w:t>
            </w:r>
            <w:r w:rsidR="00162BD6" w:rsidRPr="004F7A38">
              <w:rPr>
                <w:noProof/>
                <w:webHidden/>
              </w:rPr>
              <w:fldChar w:fldCharType="end"/>
            </w:r>
          </w:hyperlink>
        </w:p>
        <w:p w14:paraId="196F33C3" w14:textId="77777777" w:rsidR="00162BD6" w:rsidRPr="004F7A38" w:rsidRDefault="008A1DFC" w:rsidP="00162BD6">
          <w:pPr>
            <w:pStyle w:val="TDC2"/>
            <w:tabs>
              <w:tab w:val="right" w:leader="dot" w:pos="9034"/>
            </w:tabs>
            <w:rPr>
              <w:rFonts w:asciiTheme="minorHAnsi" w:eastAsiaTheme="minorEastAsia" w:hAnsiTheme="minorHAnsi" w:cstheme="minorBidi"/>
              <w:noProof/>
            </w:rPr>
          </w:pPr>
          <w:hyperlink w:anchor="_Toc208357878" w:history="1">
            <w:r w:rsidR="00162BD6" w:rsidRPr="004F7A38">
              <w:rPr>
                <w:rStyle w:val="Hipervnculo"/>
                <w:noProof/>
                <w:color w:val="auto"/>
              </w:rPr>
              <w:t>SEGUNDO. Estudio de Fondo</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_Toc208357878 \h </w:instrText>
            </w:r>
            <w:r w:rsidR="00162BD6" w:rsidRPr="004F7A38">
              <w:rPr>
                <w:noProof/>
                <w:webHidden/>
              </w:rPr>
            </w:r>
            <w:r w:rsidR="00162BD6" w:rsidRPr="004F7A38">
              <w:rPr>
                <w:noProof/>
                <w:webHidden/>
              </w:rPr>
              <w:fldChar w:fldCharType="separate"/>
            </w:r>
            <w:r w:rsidR="004F7A38">
              <w:rPr>
                <w:noProof/>
                <w:webHidden/>
              </w:rPr>
              <w:t>9</w:t>
            </w:r>
            <w:r w:rsidR="00162BD6" w:rsidRPr="004F7A38">
              <w:rPr>
                <w:noProof/>
                <w:webHidden/>
              </w:rPr>
              <w:fldChar w:fldCharType="end"/>
            </w:r>
          </w:hyperlink>
        </w:p>
        <w:p w14:paraId="5A216FDE"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79" w:history="1">
            <w:r w:rsidR="00162BD6" w:rsidRPr="004F7A38">
              <w:rPr>
                <w:rStyle w:val="Hipervnculo"/>
                <w:noProof/>
                <w:color w:val="auto"/>
              </w:rPr>
              <w:t>a) Mandato de transparencia y responsabilidad del Sujeto Obligado</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_Toc208357879 \h </w:instrText>
            </w:r>
            <w:r w:rsidR="00162BD6" w:rsidRPr="004F7A38">
              <w:rPr>
                <w:noProof/>
                <w:webHidden/>
              </w:rPr>
            </w:r>
            <w:r w:rsidR="00162BD6" w:rsidRPr="004F7A38">
              <w:rPr>
                <w:noProof/>
                <w:webHidden/>
              </w:rPr>
              <w:fldChar w:fldCharType="separate"/>
            </w:r>
            <w:r w:rsidR="004F7A38">
              <w:rPr>
                <w:noProof/>
                <w:webHidden/>
              </w:rPr>
              <w:t>9</w:t>
            </w:r>
            <w:r w:rsidR="00162BD6" w:rsidRPr="004F7A38">
              <w:rPr>
                <w:noProof/>
                <w:webHidden/>
              </w:rPr>
              <w:fldChar w:fldCharType="end"/>
            </w:r>
          </w:hyperlink>
        </w:p>
        <w:p w14:paraId="4FCD820C"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80" w:history="1">
            <w:r w:rsidR="00162BD6" w:rsidRPr="004F7A38">
              <w:rPr>
                <w:rStyle w:val="Hipervnculo"/>
                <w:noProof/>
                <w:color w:val="auto"/>
              </w:rPr>
              <w:t>b) Controversia a resolver</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_Toc208357880 \h </w:instrText>
            </w:r>
            <w:r w:rsidR="00162BD6" w:rsidRPr="004F7A38">
              <w:rPr>
                <w:noProof/>
                <w:webHidden/>
              </w:rPr>
            </w:r>
            <w:r w:rsidR="00162BD6" w:rsidRPr="004F7A38">
              <w:rPr>
                <w:noProof/>
                <w:webHidden/>
              </w:rPr>
              <w:fldChar w:fldCharType="separate"/>
            </w:r>
            <w:r w:rsidR="004F7A38">
              <w:rPr>
                <w:noProof/>
                <w:webHidden/>
              </w:rPr>
              <w:t>11</w:t>
            </w:r>
            <w:r w:rsidR="00162BD6" w:rsidRPr="004F7A38">
              <w:rPr>
                <w:noProof/>
                <w:webHidden/>
              </w:rPr>
              <w:fldChar w:fldCharType="end"/>
            </w:r>
          </w:hyperlink>
        </w:p>
        <w:p w14:paraId="1A02DD81"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81" w:history="1">
            <w:r w:rsidR="00162BD6" w:rsidRPr="004F7A38">
              <w:rPr>
                <w:rStyle w:val="Hipervnculo"/>
                <w:noProof/>
                <w:color w:val="auto"/>
              </w:rPr>
              <w:t>c) Estudio de la controversia</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_Toc208357881 \h </w:instrText>
            </w:r>
            <w:r w:rsidR="00162BD6" w:rsidRPr="004F7A38">
              <w:rPr>
                <w:noProof/>
                <w:webHidden/>
              </w:rPr>
            </w:r>
            <w:r w:rsidR="00162BD6" w:rsidRPr="004F7A38">
              <w:rPr>
                <w:noProof/>
                <w:webHidden/>
              </w:rPr>
              <w:fldChar w:fldCharType="separate"/>
            </w:r>
            <w:r w:rsidR="004F7A38">
              <w:rPr>
                <w:noProof/>
                <w:webHidden/>
              </w:rPr>
              <w:t>13</w:t>
            </w:r>
            <w:r w:rsidR="00162BD6" w:rsidRPr="004F7A38">
              <w:rPr>
                <w:noProof/>
                <w:webHidden/>
              </w:rPr>
              <w:fldChar w:fldCharType="end"/>
            </w:r>
          </w:hyperlink>
        </w:p>
        <w:p w14:paraId="7AF85ADA"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82" w:history="1">
            <w:r w:rsidR="00162BD6" w:rsidRPr="004F7A38">
              <w:rPr>
                <w:rStyle w:val="Hipervnculo"/>
                <w:noProof/>
                <w:color w:val="auto"/>
              </w:rPr>
              <w:t>d) Versión pública</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_Toc208357882 \h </w:instrText>
            </w:r>
            <w:r w:rsidR="00162BD6" w:rsidRPr="004F7A38">
              <w:rPr>
                <w:noProof/>
                <w:webHidden/>
              </w:rPr>
            </w:r>
            <w:r w:rsidR="00162BD6" w:rsidRPr="004F7A38">
              <w:rPr>
                <w:noProof/>
                <w:webHidden/>
              </w:rPr>
              <w:fldChar w:fldCharType="separate"/>
            </w:r>
            <w:r w:rsidR="004F7A38">
              <w:rPr>
                <w:noProof/>
                <w:webHidden/>
              </w:rPr>
              <w:t>43</w:t>
            </w:r>
            <w:r w:rsidR="00162BD6" w:rsidRPr="004F7A38">
              <w:rPr>
                <w:noProof/>
                <w:webHidden/>
              </w:rPr>
              <w:fldChar w:fldCharType="end"/>
            </w:r>
          </w:hyperlink>
        </w:p>
        <w:p w14:paraId="24C257DB" w14:textId="77777777" w:rsidR="00162BD6" w:rsidRPr="004F7A38" w:rsidRDefault="008A1DFC" w:rsidP="00162BD6">
          <w:pPr>
            <w:pStyle w:val="TDC3"/>
            <w:tabs>
              <w:tab w:val="right" w:leader="dot" w:pos="9034"/>
            </w:tabs>
            <w:rPr>
              <w:rFonts w:asciiTheme="minorHAnsi" w:eastAsiaTheme="minorEastAsia" w:hAnsiTheme="minorHAnsi" w:cstheme="minorBidi"/>
              <w:noProof/>
            </w:rPr>
          </w:pPr>
          <w:hyperlink w:anchor="_Toc208357883" w:history="1">
            <w:r w:rsidR="00162BD6" w:rsidRPr="004F7A38">
              <w:rPr>
                <w:rStyle w:val="Hipervnculo"/>
                <w:noProof/>
                <w:color w:val="auto"/>
              </w:rPr>
              <w:t>e) Conclusión</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_Toc208357883 \h </w:instrText>
            </w:r>
            <w:r w:rsidR="00162BD6" w:rsidRPr="004F7A38">
              <w:rPr>
                <w:noProof/>
                <w:webHidden/>
              </w:rPr>
            </w:r>
            <w:r w:rsidR="00162BD6" w:rsidRPr="004F7A38">
              <w:rPr>
                <w:noProof/>
                <w:webHidden/>
              </w:rPr>
              <w:fldChar w:fldCharType="separate"/>
            </w:r>
            <w:r w:rsidR="004F7A38">
              <w:rPr>
                <w:noProof/>
                <w:webHidden/>
              </w:rPr>
              <w:t>54</w:t>
            </w:r>
            <w:r w:rsidR="00162BD6" w:rsidRPr="004F7A38">
              <w:rPr>
                <w:noProof/>
                <w:webHidden/>
              </w:rPr>
              <w:fldChar w:fldCharType="end"/>
            </w:r>
          </w:hyperlink>
        </w:p>
        <w:p w14:paraId="4EB12D5F" w14:textId="77777777" w:rsidR="00162BD6" w:rsidRPr="004F7A38" w:rsidRDefault="008A1DFC" w:rsidP="00162BD6">
          <w:pPr>
            <w:pStyle w:val="TDC1"/>
            <w:tabs>
              <w:tab w:val="right" w:leader="dot" w:pos="9034"/>
            </w:tabs>
            <w:rPr>
              <w:rFonts w:asciiTheme="minorHAnsi" w:eastAsiaTheme="minorEastAsia" w:hAnsiTheme="minorHAnsi" w:cstheme="minorBidi"/>
              <w:noProof/>
            </w:rPr>
          </w:pPr>
          <w:hyperlink w:anchor="_Toc208357884" w:history="1">
            <w:r w:rsidR="00162BD6" w:rsidRPr="004F7A38">
              <w:rPr>
                <w:rStyle w:val="Hipervnculo"/>
                <w:noProof/>
                <w:color w:val="auto"/>
              </w:rPr>
              <w:t>RESUELVE</w:t>
            </w:r>
            <w:r w:rsidR="00162BD6" w:rsidRPr="004F7A38">
              <w:rPr>
                <w:noProof/>
                <w:webHidden/>
              </w:rPr>
              <w:tab/>
            </w:r>
            <w:r w:rsidR="00162BD6" w:rsidRPr="004F7A38">
              <w:rPr>
                <w:noProof/>
                <w:webHidden/>
              </w:rPr>
              <w:fldChar w:fldCharType="begin"/>
            </w:r>
            <w:r w:rsidR="00162BD6" w:rsidRPr="004F7A38">
              <w:rPr>
                <w:noProof/>
                <w:webHidden/>
              </w:rPr>
              <w:instrText xml:space="preserve"> PAGEREF _Toc208357884 \h </w:instrText>
            </w:r>
            <w:r w:rsidR="00162BD6" w:rsidRPr="004F7A38">
              <w:rPr>
                <w:noProof/>
                <w:webHidden/>
              </w:rPr>
            </w:r>
            <w:r w:rsidR="00162BD6" w:rsidRPr="004F7A38">
              <w:rPr>
                <w:noProof/>
                <w:webHidden/>
              </w:rPr>
              <w:fldChar w:fldCharType="separate"/>
            </w:r>
            <w:r w:rsidR="004F7A38">
              <w:rPr>
                <w:noProof/>
                <w:webHidden/>
              </w:rPr>
              <w:t>54</w:t>
            </w:r>
            <w:r w:rsidR="00162BD6" w:rsidRPr="004F7A38">
              <w:rPr>
                <w:noProof/>
                <w:webHidden/>
              </w:rPr>
              <w:fldChar w:fldCharType="end"/>
            </w:r>
          </w:hyperlink>
        </w:p>
        <w:p w14:paraId="7E2673EB" w14:textId="77777777" w:rsidR="00162BD6" w:rsidRPr="004F7A38" w:rsidRDefault="00162BD6" w:rsidP="00162BD6">
          <w:r w:rsidRPr="004F7A38">
            <w:rPr>
              <w:b/>
              <w:bCs/>
              <w:lang w:val="es-ES"/>
            </w:rPr>
            <w:fldChar w:fldCharType="end"/>
          </w:r>
        </w:p>
      </w:sdtContent>
    </w:sdt>
    <w:p w14:paraId="2439F97B" w14:textId="77777777" w:rsidR="00006DCB" w:rsidRPr="004F7A38" w:rsidRDefault="00006DCB" w:rsidP="00162BD6">
      <w:pPr>
        <w:pBdr>
          <w:top w:val="nil"/>
          <w:left w:val="nil"/>
          <w:bottom w:val="nil"/>
          <w:right w:val="nil"/>
          <w:between w:val="nil"/>
        </w:pBdr>
        <w:tabs>
          <w:tab w:val="right" w:pos="9034"/>
        </w:tabs>
        <w:spacing w:after="100"/>
        <w:rPr>
          <w:b/>
        </w:rPr>
        <w:sectPr w:rsidR="00006DCB" w:rsidRPr="004F7A38">
          <w:headerReference w:type="default" r:id="rId8"/>
          <w:footerReference w:type="default" r:id="rId9"/>
          <w:headerReference w:type="first" r:id="rId10"/>
          <w:pgSz w:w="12240" w:h="15840"/>
          <w:pgMar w:top="2552" w:right="1608" w:bottom="1134" w:left="1588" w:header="709" w:footer="737" w:gutter="0"/>
          <w:pgNumType w:start="1"/>
          <w:cols w:space="720"/>
          <w:titlePg/>
        </w:sectPr>
      </w:pPr>
    </w:p>
    <w:p w14:paraId="5F24A7F1" w14:textId="77777777" w:rsidR="00006DCB" w:rsidRPr="004F7A38" w:rsidRDefault="0006513B" w:rsidP="00162BD6">
      <w:pPr>
        <w:rPr>
          <w:b/>
        </w:rPr>
      </w:pPr>
      <w:r w:rsidRPr="004F7A38">
        <w:lastRenderedPageBreak/>
        <w:t xml:space="preserve">Resolución del Pleno del Instituto de Transparencia, Acceso a la Información Pública y Protección de Datos Personales del Estado de México y Municipios, con domicilio en Metepec, Estado de México, del </w:t>
      </w:r>
      <w:r w:rsidRPr="004F7A38">
        <w:rPr>
          <w:b/>
        </w:rPr>
        <w:t>diez de septiembre de dos mil veinticinco.</w:t>
      </w:r>
    </w:p>
    <w:p w14:paraId="1C4BB49A" w14:textId="77777777" w:rsidR="00006DCB" w:rsidRPr="004F7A38" w:rsidRDefault="00006DCB" w:rsidP="00162BD6"/>
    <w:p w14:paraId="1F5C2893" w14:textId="77777777" w:rsidR="00006DCB" w:rsidRPr="004F7A38" w:rsidRDefault="0006513B" w:rsidP="00162BD6">
      <w:r w:rsidRPr="004F7A38">
        <w:rPr>
          <w:b/>
        </w:rPr>
        <w:t xml:space="preserve">VISTO </w:t>
      </w:r>
      <w:r w:rsidRPr="004F7A38">
        <w:t xml:space="preserve">el expediente formado con motivo del Recurso de Revisión </w:t>
      </w:r>
      <w:r w:rsidRPr="004F7A38">
        <w:rPr>
          <w:b/>
        </w:rPr>
        <w:t xml:space="preserve">08822/INFOEM/IP/RR/2025 </w:t>
      </w:r>
      <w:r w:rsidRPr="004F7A38">
        <w:t xml:space="preserve">interpuesto por </w:t>
      </w:r>
      <w:r w:rsidRPr="004F7A38">
        <w:rPr>
          <w:b/>
        </w:rPr>
        <w:t>una persona de manera anónima</w:t>
      </w:r>
      <w:r w:rsidRPr="004F7A38">
        <w:t xml:space="preserve">, a quien en lo subsecuente se le denominará </w:t>
      </w:r>
      <w:r w:rsidRPr="004F7A38">
        <w:rPr>
          <w:b/>
        </w:rPr>
        <w:t>LA PARTE RECURRENTE</w:t>
      </w:r>
      <w:r w:rsidRPr="004F7A38">
        <w:t xml:space="preserve">, en contra de la respuesta emitida por el </w:t>
      </w:r>
      <w:r w:rsidRPr="004F7A38">
        <w:rPr>
          <w:b/>
        </w:rPr>
        <w:t>Ayuntamiento de Toluca</w:t>
      </w:r>
      <w:r w:rsidRPr="004F7A38">
        <w:t xml:space="preserve">, en adelante </w:t>
      </w:r>
      <w:r w:rsidRPr="004F7A38">
        <w:rPr>
          <w:b/>
        </w:rPr>
        <w:t>EL SUJETO OBLIGADO</w:t>
      </w:r>
      <w:r w:rsidRPr="004F7A38">
        <w:t>, se emite la presente Resolución con base en los Antecedentes y Considerandos que se exponen a continuación:</w:t>
      </w:r>
    </w:p>
    <w:p w14:paraId="2D8D64D2" w14:textId="77777777" w:rsidR="00006DCB" w:rsidRPr="004F7A38" w:rsidRDefault="00006DCB" w:rsidP="00162BD6"/>
    <w:p w14:paraId="2461A8D4" w14:textId="77777777" w:rsidR="00006DCB" w:rsidRPr="004F7A38" w:rsidRDefault="0006513B" w:rsidP="00162BD6">
      <w:pPr>
        <w:pStyle w:val="Ttulo1"/>
      </w:pPr>
      <w:bookmarkStart w:id="2" w:name="_Toc208357858"/>
      <w:r w:rsidRPr="004F7A38">
        <w:t>ANTECEDENTES</w:t>
      </w:r>
      <w:bookmarkEnd w:id="2"/>
    </w:p>
    <w:p w14:paraId="51968D01" w14:textId="77777777" w:rsidR="00006DCB" w:rsidRPr="004F7A38" w:rsidRDefault="00006DCB" w:rsidP="00162BD6"/>
    <w:p w14:paraId="17AC3DDA" w14:textId="77777777" w:rsidR="00006DCB" w:rsidRPr="004F7A38" w:rsidRDefault="0006513B" w:rsidP="00162BD6">
      <w:pPr>
        <w:pStyle w:val="Ttulo2"/>
      </w:pPr>
      <w:bookmarkStart w:id="3" w:name="_Toc208357859"/>
      <w:r w:rsidRPr="004F7A38">
        <w:t>DE LA SOLICITUD DE INFORMACIÓN</w:t>
      </w:r>
      <w:bookmarkEnd w:id="3"/>
    </w:p>
    <w:p w14:paraId="45CD898B" w14:textId="77777777" w:rsidR="00006DCB" w:rsidRPr="004F7A38" w:rsidRDefault="0006513B" w:rsidP="00162BD6">
      <w:pPr>
        <w:pStyle w:val="Ttulo3"/>
      </w:pPr>
      <w:bookmarkStart w:id="4" w:name="_Toc208357860"/>
      <w:r w:rsidRPr="004F7A38">
        <w:t>a) Solicitud de información</w:t>
      </w:r>
      <w:bookmarkEnd w:id="4"/>
    </w:p>
    <w:p w14:paraId="79227FEB" w14:textId="77777777" w:rsidR="00006DCB" w:rsidRPr="004F7A38" w:rsidRDefault="0006513B" w:rsidP="00162BD6">
      <w:r w:rsidRPr="004F7A38">
        <w:t xml:space="preserve">El </w:t>
      </w:r>
      <w:r w:rsidRPr="004F7A38">
        <w:rPr>
          <w:b/>
        </w:rPr>
        <w:t>trece de mayo de dos mil veinticinco,</w:t>
      </w:r>
      <w:r w:rsidRPr="004F7A38">
        <w:t xml:space="preserve"> </w:t>
      </w:r>
      <w:r w:rsidRPr="004F7A38">
        <w:rPr>
          <w:b/>
        </w:rPr>
        <w:t>LA PARTE RECURRENTE</w:t>
      </w:r>
      <w:r w:rsidRPr="004F7A38">
        <w:t xml:space="preserve"> presentó una solicitud de acceso a la información pública ante el </w:t>
      </w:r>
      <w:r w:rsidRPr="004F7A38">
        <w:rPr>
          <w:b/>
        </w:rPr>
        <w:t>SUJETO OBLIGADO</w:t>
      </w:r>
      <w:r w:rsidRPr="004F7A38">
        <w:t>, a través del Sistema de Acceso a la Información Mexiquense (</w:t>
      </w:r>
      <w:r w:rsidRPr="004F7A38">
        <w:rPr>
          <w:b/>
        </w:rPr>
        <w:t>SAIMEX).</w:t>
      </w:r>
      <w:r w:rsidRPr="004F7A38">
        <w:t xml:space="preserve"> Dicha solicitud quedó registrada con el número de folio</w:t>
      </w:r>
      <w:r w:rsidRPr="004F7A38">
        <w:rPr>
          <w:b/>
        </w:rPr>
        <w:t xml:space="preserve"> 02753/TOLUCA/IP/2025 </w:t>
      </w:r>
      <w:r w:rsidRPr="004F7A38">
        <w:t>y en ella se requirió la siguiente información:</w:t>
      </w:r>
    </w:p>
    <w:p w14:paraId="3B926630" w14:textId="77777777" w:rsidR="00006DCB" w:rsidRPr="004F7A38" w:rsidRDefault="00006DCB" w:rsidP="00162BD6">
      <w:pPr>
        <w:tabs>
          <w:tab w:val="left" w:pos="4667"/>
        </w:tabs>
        <w:ind w:right="567"/>
        <w:rPr>
          <w:i/>
        </w:rPr>
      </w:pPr>
    </w:p>
    <w:p w14:paraId="7A67172D" w14:textId="77777777" w:rsidR="00006DCB" w:rsidRPr="004F7A38" w:rsidRDefault="0006513B" w:rsidP="00162BD6">
      <w:pPr>
        <w:pStyle w:val="Puesto"/>
        <w:ind w:firstLine="0"/>
        <w:rPr>
          <w:color w:val="auto"/>
        </w:rPr>
      </w:pPr>
      <w:bookmarkStart w:id="5" w:name="_heading=h.9kjanwsfvsso" w:colFirst="0" w:colLast="0"/>
      <w:bookmarkEnd w:id="5"/>
      <w:r w:rsidRPr="004F7A38">
        <w:rPr>
          <w:color w:val="auto"/>
        </w:rPr>
        <w:t>“YA QUE NO ESTA EN IPOMEX TODAS LAS ADQUSISICONES, SE SOLICITAN LAS ADQUSIISONES DE SERVICIOS, COMPRAS TODO LOS CONCEPTOS PAPAELRIA, ENCESERES CAFETERIA, VEHCIULOS TODAS LAS ADQUSISIONES Y SERVICIOS CONTRATADOS DEL 1 DE ENERO A LA FECHA, CONTRATOS, EXPEDIENTE TECNICO EL PRESUPEUTO ASIGNADO, LOS DOCUMENTOS QUE DEMUESTREN LO PAGADO Y LAS FACTURAS PAGADAS POR CADA SERVICIOS O ADSUISICIÓN” (sic)</w:t>
      </w:r>
    </w:p>
    <w:p w14:paraId="5FF10E16" w14:textId="77777777" w:rsidR="00006DCB" w:rsidRPr="004F7A38" w:rsidRDefault="00006DCB" w:rsidP="00162BD6"/>
    <w:p w14:paraId="3DB63BD5" w14:textId="77777777" w:rsidR="00006DCB" w:rsidRPr="004F7A38" w:rsidRDefault="0006513B" w:rsidP="00162BD6">
      <w:pPr>
        <w:tabs>
          <w:tab w:val="left" w:pos="4667"/>
        </w:tabs>
        <w:ind w:right="567"/>
        <w:rPr>
          <w:i/>
        </w:rPr>
      </w:pPr>
      <w:r w:rsidRPr="004F7A38">
        <w:rPr>
          <w:b/>
        </w:rPr>
        <w:t>Modalidad de entrega</w:t>
      </w:r>
      <w:r w:rsidRPr="004F7A38">
        <w:t>: a</w:t>
      </w:r>
      <w:r w:rsidRPr="004F7A38">
        <w:rPr>
          <w:i/>
        </w:rPr>
        <w:t xml:space="preserve"> través del </w:t>
      </w:r>
      <w:r w:rsidRPr="004F7A38">
        <w:rPr>
          <w:b/>
          <w:i/>
        </w:rPr>
        <w:t>SAIMEX</w:t>
      </w:r>
      <w:r w:rsidRPr="004F7A38">
        <w:rPr>
          <w:i/>
        </w:rPr>
        <w:t>.</w:t>
      </w:r>
    </w:p>
    <w:p w14:paraId="13222C0E" w14:textId="77777777" w:rsidR="00006DCB" w:rsidRPr="004F7A38" w:rsidRDefault="0006513B" w:rsidP="00162BD6">
      <w:pPr>
        <w:pStyle w:val="Ttulo3"/>
      </w:pPr>
      <w:bookmarkStart w:id="6" w:name="_Toc208357861"/>
      <w:r w:rsidRPr="004F7A38">
        <w:lastRenderedPageBreak/>
        <w:t>b) Turno de la solicitud de información</w:t>
      </w:r>
      <w:bookmarkEnd w:id="6"/>
    </w:p>
    <w:p w14:paraId="2100C81D" w14:textId="77777777" w:rsidR="00006DCB" w:rsidRPr="004F7A38" w:rsidRDefault="0006513B" w:rsidP="00162BD6">
      <w:r w:rsidRPr="004F7A38">
        <w:t xml:space="preserve">En cumplimiento al artículo 162 de la Ley de Transparencia y Acceso a la Información Pública del Estado de México y Municipios, el </w:t>
      </w:r>
      <w:r w:rsidRPr="004F7A38">
        <w:rPr>
          <w:b/>
        </w:rPr>
        <w:t>catorce de mayo de dos mil veinticinco</w:t>
      </w:r>
      <w:r w:rsidRPr="004F7A38">
        <w:t xml:space="preserve">, el Titular de la Unidad de Transparencia del </w:t>
      </w:r>
      <w:r w:rsidRPr="004F7A38">
        <w:rPr>
          <w:b/>
        </w:rPr>
        <w:t>SUJETO OBLIGADO</w:t>
      </w:r>
      <w:r w:rsidRPr="004F7A38">
        <w:t xml:space="preserve"> turnó la solicitud de información al servidor público habilitado que estimó pertinente.</w:t>
      </w:r>
    </w:p>
    <w:p w14:paraId="3609CEC3" w14:textId="77777777" w:rsidR="00006DCB" w:rsidRPr="004F7A38" w:rsidRDefault="00006DCB" w:rsidP="00162BD6"/>
    <w:p w14:paraId="314DDA98" w14:textId="77777777" w:rsidR="00006DCB" w:rsidRPr="004F7A38" w:rsidRDefault="0006513B" w:rsidP="00162BD6">
      <w:pPr>
        <w:pStyle w:val="Ttulo3"/>
      </w:pPr>
      <w:bookmarkStart w:id="7" w:name="_Toc208357862"/>
      <w:r w:rsidRPr="004F7A38">
        <w:t>c) Prórroga</w:t>
      </w:r>
      <w:bookmarkEnd w:id="7"/>
    </w:p>
    <w:p w14:paraId="12C7C533" w14:textId="77777777" w:rsidR="00006DCB" w:rsidRPr="004F7A38" w:rsidRDefault="0006513B" w:rsidP="00162BD6">
      <w:r w:rsidRPr="004F7A38">
        <w:t xml:space="preserve">De las constancias que obran en </w:t>
      </w:r>
      <w:r w:rsidRPr="004F7A38">
        <w:rPr>
          <w:b/>
        </w:rPr>
        <w:t>EL SAIMEX</w:t>
      </w:r>
      <w:r w:rsidRPr="004F7A38">
        <w:t xml:space="preserve">, se advierte que el </w:t>
      </w:r>
      <w:r w:rsidRPr="004F7A38">
        <w:rPr>
          <w:b/>
        </w:rPr>
        <w:t>seis de junio de dos mil veinticinco</w:t>
      </w:r>
      <w:r w:rsidRPr="004F7A38">
        <w:t xml:space="preserve">, </w:t>
      </w:r>
      <w:r w:rsidRPr="004F7A38">
        <w:rPr>
          <w:b/>
        </w:rPr>
        <w:t>EL SUJETO OBLIGADO</w:t>
      </w:r>
      <w:r w:rsidRPr="004F7A38">
        <w:t xml:space="preserve"> notificó una prórroga de siete días para dar respuesta a la solicitud de información planteada por </w:t>
      </w:r>
      <w:r w:rsidRPr="004F7A38">
        <w:rPr>
          <w:b/>
        </w:rPr>
        <w:t>LA PARTE RECURRENTE</w:t>
      </w:r>
      <w:r w:rsidRPr="004F7A38">
        <w:t>, en los siguientes términos:</w:t>
      </w:r>
    </w:p>
    <w:p w14:paraId="14E4F00D" w14:textId="77777777" w:rsidR="00006DCB" w:rsidRPr="004F7A38" w:rsidRDefault="00006DCB" w:rsidP="00162BD6"/>
    <w:p w14:paraId="2DD9D0E1" w14:textId="77777777" w:rsidR="00006DCB" w:rsidRPr="004F7A38" w:rsidRDefault="0006513B" w:rsidP="00162BD6">
      <w:pPr>
        <w:spacing w:line="240" w:lineRule="auto"/>
        <w:ind w:left="851" w:right="822"/>
        <w:jc w:val="right"/>
        <w:rPr>
          <w:i/>
        </w:rPr>
      </w:pPr>
      <w:r w:rsidRPr="004F7A38">
        <w:rPr>
          <w:i/>
        </w:rPr>
        <w:t>“Folio de la solicitud: 02753/TOLUCA/IP/2025</w:t>
      </w:r>
    </w:p>
    <w:p w14:paraId="182F1D62" w14:textId="77777777" w:rsidR="00006DCB" w:rsidRPr="004F7A38" w:rsidRDefault="00006DCB" w:rsidP="00162BD6">
      <w:pPr>
        <w:spacing w:line="240" w:lineRule="auto"/>
        <w:ind w:left="851" w:right="822"/>
        <w:jc w:val="right"/>
        <w:rPr>
          <w:i/>
        </w:rPr>
      </w:pPr>
    </w:p>
    <w:p w14:paraId="628703AE" w14:textId="77777777" w:rsidR="00006DCB" w:rsidRPr="004F7A38" w:rsidRDefault="0006513B" w:rsidP="00162BD6">
      <w:pPr>
        <w:spacing w:line="240" w:lineRule="auto"/>
        <w:ind w:left="851" w:right="822"/>
        <w:rPr>
          <w:i/>
        </w:rPr>
      </w:pPr>
      <w:r w:rsidRPr="004F7A38">
        <w:rPr>
          <w:i/>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70A50432" w14:textId="77777777" w:rsidR="00006DCB" w:rsidRPr="004F7A38" w:rsidRDefault="00006DCB" w:rsidP="00162BD6">
      <w:pPr>
        <w:spacing w:line="240" w:lineRule="auto"/>
        <w:ind w:left="851" w:right="822"/>
        <w:rPr>
          <w:i/>
        </w:rPr>
      </w:pPr>
    </w:p>
    <w:p w14:paraId="059EF824" w14:textId="77777777" w:rsidR="00006DCB" w:rsidRPr="004F7A38" w:rsidRDefault="0006513B" w:rsidP="00162BD6">
      <w:pPr>
        <w:spacing w:line="240" w:lineRule="auto"/>
        <w:ind w:left="851" w:right="822"/>
        <w:rPr>
          <w:i/>
        </w:rPr>
      </w:pPr>
      <w:r w:rsidRPr="004F7A38">
        <w:rPr>
          <w:i/>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02753/TOLUCA/IP/2025, recibida a través del Sistema de Acceso a la Información Mexiquense (SAIMEX), misma que fue procedente, quedando bajo el acuerdo CT/SE/690 /2025., en la Sexcentésima Nonagésima Sesión Extraordinaria 2025 del Comité de Transparencia del Municipio de Toluca, Administración 2025- 2027, de fecha 03/06/2025,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3EA227DD" w14:textId="77777777" w:rsidR="00006DCB" w:rsidRPr="004F7A38" w:rsidRDefault="00006DCB" w:rsidP="00162BD6">
      <w:pPr>
        <w:spacing w:line="240" w:lineRule="auto"/>
        <w:ind w:left="851" w:right="822"/>
        <w:rPr>
          <w:i/>
        </w:rPr>
      </w:pPr>
    </w:p>
    <w:p w14:paraId="6DE01842" w14:textId="77777777" w:rsidR="00006DCB" w:rsidRPr="004F7A38" w:rsidRDefault="0006513B" w:rsidP="00162BD6">
      <w:pPr>
        <w:spacing w:line="240" w:lineRule="auto"/>
        <w:ind w:left="851" w:right="822"/>
        <w:rPr>
          <w:i/>
        </w:rPr>
      </w:pPr>
      <w:r w:rsidRPr="004F7A38">
        <w:rPr>
          <w:i/>
        </w:rPr>
        <w:lastRenderedPageBreak/>
        <w:t>Dr. Nahum Miguel Mendoza Morales</w:t>
      </w:r>
    </w:p>
    <w:p w14:paraId="490F870D" w14:textId="77777777" w:rsidR="00006DCB" w:rsidRPr="004F7A38" w:rsidRDefault="0006513B" w:rsidP="00162BD6">
      <w:pPr>
        <w:spacing w:line="240" w:lineRule="auto"/>
        <w:ind w:left="851" w:right="822"/>
        <w:rPr>
          <w:i/>
        </w:rPr>
      </w:pPr>
      <w:r w:rsidRPr="004F7A38">
        <w:rPr>
          <w:i/>
        </w:rPr>
        <w:t>Responsable de la Unidad de Transparencia”</w:t>
      </w:r>
    </w:p>
    <w:p w14:paraId="73BCC6ED" w14:textId="77777777" w:rsidR="00006DCB" w:rsidRPr="004F7A38" w:rsidRDefault="00006DCB" w:rsidP="00162BD6"/>
    <w:p w14:paraId="2C285DB2" w14:textId="77777777" w:rsidR="00006DCB" w:rsidRPr="004F7A38" w:rsidRDefault="0006513B" w:rsidP="00162BD6">
      <w:r w:rsidRPr="004F7A38">
        <w:t xml:space="preserve">Advirtiendo que </w:t>
      </w:r>
      <w:r w:rsidRPr="004F7A38">
        <w:rPr>
          <w:b/>
        </w:rPr>
        <w:t xml:space="preserve">EL SUJETO OBLIGADO </w:t>
      </w:r>
      <w:r w:rsidRPr="004F7A38">
        <w:t xml:space="preserve">acompañó a la solicitud de prórroga el archivo </w:t>
      </w:r>
      <w:r w:rsidRPr="004F7A38">
        <w:rPr>
          <w:b/>
          <w:i/>
        </w:rPr>
        <w:t>ACTA SEXCENTÉSIMA NONAGÉSIMA SESIÓN EXTRAORDINARIA 2025.pdf</w:t>
      </w:r>
      <w:r w:rsidRPr="004F7A38">
        <w:t xml:space="preserve"> en el que se contiene el acuerdo mediante el cual el Comité de Transparencia aprobó la ampliación de plazo para dar respuesta a la solicitud de información, en términos de lo establecido en los artículos 49, fracción II y 163, segundo párrafo, de la Ley de Transparencia y Acceso a la Información Pública del Estado de México y Municipios.</w:t>
      </w:r>
    </w:p>
    <w:p w14:paraId="239F4936" w14:textId="77777777" w:rsidR="00006DCB" w:rsidRPr="004F7A38" w:rsidRDefault="00006DCB" w:rsidP="00162BD6"/>
    <w:p w14:paraId="30C86466" w14:textId="77777777" w:rsidR="00006DCB" w:rsidRPr="004F7A38" w:rsidRDefault="0006513B" w:rsidP="00162BD6">
      <w:pPr>
        <w:pStyle w:val="Ttulo3"/>
      </w:pPr>
      <w:bookmarkStart w:id="8" w:name="_Toc208357863"/>
      <w:r w:rsidRPr="004F7A38">
        <w:t>d) Respuesta del Sujeto Obligado</w:t>
      </w:r>
      <w:bookmarkEnd w:id="8"/>
    </w:p>
    <w:p w14:paraId="12C07759" w14:textId="77777777" w:rsidR="00006DCB" w:rsidRPr="004F7A38" w:rsidRDefault="0006513B" w:rsidP="00162BD6">
      <w:pPr>
        <w:pBdr>
          <w:top w:val="nil"/>
          <w:left w:val="nil"/>
          <w:bottom w:val="nil"/>
          <w:right w:val="nil"/>
          <w:between w:val="nil"/>
        </w:pBdr>
      </w:pPr>
      <w:r w:rsidRPr="004F7A38">
        <w:t xml:space="preserve">El </w:t>
      </w:r>
      <w:r w:rsidRPr="004F7A38">
        <w:rPr>
          <w:b/>
        </w:rPr>
        <w:t xml:space="preserve">veintisiete de junio de dos mil veinticinco, </w:t>
      </w:r>
      <w:r w:rsidRPr="004F7A38">
        <w:t xml:space="preserve">el Titular de la Unidad de Transparencia del </w:t>
      </w:r>
      <w:r w:rsidRPr="004F7A38">
        <w:rPr>
          <w:b/>
        </w:rPr>
        <w:t>SUJETO OBLIGADO</w:t>
      </w:r>
      <w:r w:rsidRPr="004F7A38">
        <w:t xml:space="preserve"> notificó a través del </w:t>
      </w:r>
      <w:r w:rsidRPr="004F7A38">
        <w:rPr>
          <w:b/>
        </w:rPr>
        <w:t>SAIMEX</w:t>
      </w:r>
      <w:r w:rsidRPr="004F7A38">
        <w:t xml:space="preserve"> la siguiente respuesta:</w:t>
      </w:r>
    </w:p>
    <w:p w14:paraId="7CAF4015" w14:textId="77777777" w:rsidR="00006DCB" w:rsidRPr="004F7A38" w:rsidRDefault="00006DCB" w:rsidP="00162BD6">
      <w:pPr>
        <w:pStyle w:val="Puesto"/>
        <w:ind w:left="0" w:firstLine="0"/>
        <w:rPr>
          <w:color w:val="auto"/>
        </w:rPr>
      </w:pPr>
    </w:p>
    <w:p w14:paraId="6A3A7304" w14:textId="77777777" w:rsidR="00006DCB" w:rsidRPr="004F7A38" w:rsidRDefault="0006513B" w:rsidP="00162BD6">
      <w:pPr>
        <w:pStyle w:val="Puesto"/>
        <w:jc w:val="right"/>
        <w:rPr>
          <w:color w:val="auto"/>
        </w:rPr>
      </w:pPr>
      <w:r w:rsidRPr="004F7A38">
        <w:rPr>
          <w:color w:val="auto"/>
        </w:rPr>
        <w:t>“Folio de la solicitud: 02753/TOLUCA/IP/2025</w:t>
      </w:r>
    </w:p>
    <w:p w14:paraId="5F5B575D" w14:textId="77777777" w:rsidR="00006DCB" w:rsidRPr="004F7A38" w:rsidRDefault="00006DCB" w:rsidP="00162BD6">
      <w:pPr>
        <w:pStyle w:val="Puesto"/>
        <w:ind w:firstLine="0"/>
        <w:jc w:val="left"/>
        <w:rPr>
          <w:color w:val="auto"/>
        </w:rPr>
      </w:pPr>
    </w:p>
    <w:p w14:paraId="4E336EBD" w14:textId="77777777" w:rsidR="00006DCB" w:rsidRPr="004F7A38" w:rsidRDefault="0006513B" w:rsidP="00162BD6">
      <w:pPr>
        <w:pStyle w:val="Puesto"/>
        <w:ind w:firstLine="0"/>
        <w:rPr>
          <w:color w:val="auto"/>
        </w:rPr>
      </w:pPr>
      <w:r w:rsidRPr="004F7A38">
        <w:rPr>
          <w:color w:val="auto"/>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62C2E57" w14:textId="77777777" w:rsidR="00006DCB" w:rsidRPr="004F7A38" w:rsidRDefault="00006DCB" w:rsidP="00162BD6">
      <w:pPr>
        <w:pStyle w:val="Puesto"/>
        <w:ind w:firstLine="0"/>
        <w:rPr>
          <w:color w:val="auto"/>
        </w:rPr>
      </w:pPr>
    </w:p>
    <w:p w14:paraId="07FA85BE" w14:textId="77777777" w:rsidR="00006DCB" w:rsidRPr="004F7A38" w:rsidRDefault="0006513B" w:rsidP="00162BD6">
      <w:pPr>
        <w:pStyle w:val="Puesto"/>
        <w:ind w:firstLine="0"/>
        <w:rPr>
          <w:color w:val="auto"/>
        </w:rPr>
      </w:pPr>
      <w:r w:rsidRPr="004F7A38">
        <w:rPr>
          <w:color w:val="auto"/>
        </w:rPr>
        <w:t>En atención a la solicitud con folio 02753/TOLUCA/IP/2025, me permito adjuntar al presente la respuesta correspondiente, Sin más por el momento, reciba un saludo.</w:t>
      </w:r>
    </w:p>
    <w:p w14:paraId="30E97E1A" w14:textId="77777777" w:rsidR="00006DCB" w:rsidRPr="004F7A38" w:rsidRDefault="00006DCB" w:rsidP="00162BD6">
      <w:pPr>
        <w:pStyle w:val="Puesto"/>
        <w:ind w:firstLine="0"/>
        <w:rPr>
          <w:color w:val="auto"/>
        </w:rPr>
      </w:pPr>
    </w:p>
    <w:p w14:paraId="08976824" w14:textId="77777777" w:rsidR="00006DCB" w:rsidRPr="004F7A38" w:rsidRDefault="0006513B" w:rsidP="00162BD6">
      <w:pPr>
        <w:pStyle w:val="Puesto"/>
        <w:ind w:firstLine="0"/>
        <w:rPr>
          <w:color w:val="auto"/>
        </w:rPr>
      </w:pPr>
      <w:r w:rsidRPr="004F7A38">
        <w:rPr>
          <w:color w:val="auto"/>
        </w:rPr>
        <w:t>ATENTAMENTE</w:t>
      </w:r>
    </w:p>
    <w:p w14:paraId="3382E580" w14:textId="77777777" w:rsidR="00006DCB" w:rsidRPr="004F7A38" w:rsidRDefault="0006513B" w:rsidP="00162BD6">
      <w:pPr>
        <w:pStyle w:val="Puesto"/>
        <w:ind w:firstLine="0"/>
        <w:rPr>
          <w:color w:val="auto"/>
        </w:rPr>
      </w:pPr>
      <w:r w:rsidRPr="004F7A38">
        <w:rPr>
          <w:color w:val="auto"/>
        </w:rPr>
        <w:t>Dr. Nahum Miguel Mendoza Morales” (sic)</w:t>
      </w:r>
    </w:p>
    <w:p w14:paraId="3FAB30B9" w14:textId="77777777" w:rsidR="00006DCB" w:rsidRPr="004F7A38" w:rsidRDefault="00006DCB" w:rsidP="00162BD6">
      <w:pPr>
        <w:ind w:right="-28"/>
      </w:pPr>
    </w:p>
    <w:p w14:paraId="2578FF27" w14:textId="77777777" w:rsidR="00006DCB" w:rsidRPr="004F7A38" w:rsidRDefault="0006513B" w:rsidP="00162BD6">
      <w:pPr>
        <w:ind w:right="-28"/>
      </w:pPr>
      <w:r w:rsidRPr="004F7A38">
        <w:t xml:space="preserve">Asimismo, </w:t>
      </w:r>
      <w:r w:rsidRPr="004F7A38">
        <w:rPr>
          <w:b/>
        </w:rPr>
        <w:t xml:space="preserve">EL SUJETO OBLIGADO </w:t>
      </w:r>
      <w:r w:rsidRPr="004F7A38">
        <w:t>adjuntó a su respuesta lo que se describe enseguida:</w:t>
      </w:r>
    </w:p>
    <w:p w14:paraId="2DE13BC2" w14:textId="77777777" w:rsidR="00006DCB" w:rsidRPr="004F7A38" w:rsidRDefault="00006DCB" w:rsidP="00162BD6">
      <w:pPr>
        <w:ind w:right="-28"/>
      </w:pPr>
    </w:p>
    <w:p w14:paraId="34BE4AFB" w14:textId="77777777" w:rsidR="00006DCB" w:rsidRPr="004F7A38" w:rsidRDefault="0006513B" w:rsidP="00162BD6">
      <w:pPr>
        <w:numPr>
          <w:ilvl w:val="0"/>
          <w:numId w:val="2"/>
        </w:numPr>
        <w:pBdr>
          <w:top w:val="nil"/>
          <w:left w:val="nil"/>
          <w:bottom w:val="nil"/>
          <w:right w:val="nil"/>
          <w:between w:val="nil"/>
        </w:pBdr>
        <w:rPr>
          <w:b/>
          <w:i/>
        </w:rPr>
      </w:pPr>
      <w:r w:rsidRPr="004F7A38">
        <w:rPr>
          <w:b/>
          <w:i/>
        </w:rPr>
        <w:t xml:space="preserve">Respsol 02753-2025 VP.pdf.- </w:t>
      </w:r>
      <w:r w:rsidRPr="004F7A38">
        <w:t xml:space="preserve">Oficio 200F10300/363/2025 de fecha 15 de mayo de 2025, suscrito por la Coordinadora de Administración y Finanzas del Instituto Municipal de </w:t>
      </w:r>
      <w:r w:rsidRPr="004F7A38">
        <w:lastRenderedPageBreak/>
        <w:t>la Mujer, en el que le indicó que dicha información se encuentra registrada en la plataforma del CONAC en el link:</w:t>
      </w:r>
    </w:p>
    <w:p w14:paraId="034F604B" w14:textId="77777777" w:rsidR="00006DCB" w:rsidRPr="004F7A38" w:rsidRDefault="00006DCB" w:rsidP="00162BD6">
      <w:pPr>
        <w:pBdr>
          <w:top w:val="nil"/>
          <w:left w:val="nil"/>
          <w:bottom w:val="nil"/>
          <w:right w:val="nil"/>
          <w:between w:val="nil"/>
        </w:pBdr>
        <w:ind w:left="720"/>
        <w:rPr>
          <w:b/>
          <w:i/>
        </w:rPr>
      </w:pPr>
    </w:p>
    <w:p w14:paraId="172DE04F" w14:textId="77777777" w:rsidR="00006DCB" w:rsidRPr="004F7A38" w:rsidRDefault="0006513B" w:rsidP="00162BD6">
      <w:pPr>
        <w:pBdr>
          <w:top w:val="nil"/>
          <w:left w:val="nil"/>
          <w:bottom w:val="nil"/>
          <w:right w:val="nil"/>
          <w:between w:val="nil"/>
        </w:pBdr>
        <w:ind w:left="720"/>
        <w:rPr>
          <w:b/>
          <w:i/>
        </w:rPr>
      </w:pPr>
      <w:r w:rsidRPr="004F7A38">
        <w:rPr>
          <w:b/>
          <w:i/>
          <w:noProof/>
        </w:rPr>
        <w:drawing>
          <wp:inline distT="0" distB="0" distL="0" distR="0" wp14:anchorId="1D9C3E9B" wp14:editId="0E1A7656">
            <wp:extent cx="2629267" cy="238158"/>
            <wp:effectExtent l="0" t="0" r="0" b="0"/>
            <wp:docPr id="77020157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29267" cy="238158"/>
                    </a:xfrm>
                    <a:prstGeom prst="rect">
                      <a:avLst/>
                    </a:prstGeom>
                    <a:ln/>
                  </pic:spPr>
                </pic:pic>
              </a:graphicData>
            </a:graphic>
          </wp:inline>
        </w:drawing>
      </w:r>
    </w:p>
    <w:p w14:paraId="5602FFFB" w14:textId="77777777" w:rsidR="00006DCB" w:rsidRPr="004F7A38" w:rsidRDefault="00006DCB" w:rsidP="00162BD6">
      <w:pPr>
        <w:pBdr>
          <w:top w:val="nil"/>
          <w:left w:val="nil"/>
          <w:bottom w:val="nil"/>
          <w:right w:val="nil"/>
          <w:between w:val="nil"/>
        </w:pBdr>
        <w:rPr>
          <w:b/>
          <w:i/>
        </w:rPr>
      </w:pPr>
    </w:p>
    <w:p w14:paraId="4C232363" w14:textId="77777777" w:rsidR="00006DCB" w:rsidRPr="004F7A38" w:rsidRDefault="0006513B" w:rsidP="00162BD6">
      <w:pPr>
        <w:numPr>
          <w:ilvl w:val="0"/>
          <w:numId w:val="2"/>
        </w:numPr>
        <w:pBdr>
          <w:top w:val="nil"/>
          <w:left w:val="nil"/>
          <w:bottom w:val="nil"/>
          <w:right w:val="nil"/>
          <w:between w:val="nil"/>
        </w:pBdr>
        <w:rPr>
          <w:b/>
          <w:i/>
        </w:rPr>
      </w:pPr>
      <w:r w:rsidRPr="004F7A38">
        <w:rPr>
          <w:b/>
          <w:i/>
        </w:rPr>
        <w:t xml:space="preserve">respuesta saimex 2753.pdf.- </w:t>
      </w:r>
      <w:r w:rsidRPr="004F7A38">
        <w:t xml:space="preserve">Oficio 202010000/01750/2025 de fecha 19 de mayo de 2025, suscrito por el Tesorero Municipal, en el que indicó que adjunta una liga en donde puede consultar la información solicitada, así como adjunta en </w:t>
      </w:r>
      <w:r w:rsidRPr="004F7A38">
        <w:rPr>
          <w:i/>
        </w:rPr>
        <w:t>pdf</w:t>
      </w:r>
      <w:r w:rsidRPr="004F7A38">
        <w:t xml:space="preserve"> el Estado Analítico del ejercicio del presupuesto de egresos, clasificación por  objeto del gasto del 2025.</w:t>
      </w:r>
    </w:p>
    <w:p w14:paraId="7B1179AF" w14:textId="77777777" w:rsidR="00006DCB" w:rsidRPr="004F7A38" w:rsidRDefault="00006DCB" w:rsidP="00162BD6">
      <w:pPr>
        <w:pBdr>
          <w:top w:val="nil"/>
          <w:left w:val="nil"/>
          <w:bottom w:val="nil"/>
          <w:right w:val="nil"/>
          <w:between w:val="nil"/>
        </w:pBdr>
        <w:ind w:left="720"/>
        <w:rPr>
          <w:b/>
          <w:i/>
        </w:rPr>
      </w:pPr>
    </w:p>
    <w:p w14:paraId="68761DEA" w14:textId="77777777" w:rsidR="00006DCB" w:rsidRPr="004F7A38" w:rsidRDefault="0006513B" w:rsidP="00162BD6">
      <w:pPr>
        <w:numPr>
          <w:ilvl w:val="0"/>
          <w:numId w:val="2"/>
        </w:numPr>
        <w:pBdr>
          <w:top w:val="nil"/>
          <w:left w:val="nil"/>
          <w:bottom w:val="nil"/>
          <w:right w:val="nil"/>
          <w:between w:val="nil"/>
        </w:pBdr>
        <w:rPr>
          <w:b/>
          <w:i/>
        </w:rPr>
      </w:pPr>
      <w:r w:rsidRPr="004F7A38">
        <w:rPr>
          <w:b/>
          <w:i/>
        </w:rPr>
        <w:t xml:space="preserve">ESTADO-ANALITICO-DEL-EJERC.-DE-PRES-DE-EGRESOS-CLAS-POR-OBJ-DEL-GAS-ENERO-A-MARZO-2025 (1).pdf.- </w:t>
      </w:r>
      <w:r w:rsidRPr="004F7A38">
        <w:t>Contiene el Estado Analítico del ejercicio del presupuesto de egresos, clasificación por  objeto del gasto del 01 de enero al 31 de marzo de 2025.</w:t>
      </w:r>
    </w:p>
    <w:p w14:paraId="16669737" w14:textId="77777777" w:rsidR="00006DCB" w:rsidRPr="004F7A38" w:rsidRDefault="00006DCB" w:rsidP="00162BD6">
      <w:pPr>
        <w:pBdr>
          <w:top w:val="nil"/>
          <w:left w:val="nil"/>
          <w:bottom w:val="nil"/>
          <w:right w:val="nil"/>
          <w:between w:val="nil"/>
        </w:pBdr>
        <w:rPr>
          <w:b/>
          <w:i/>
        </w:rPr>
      </w:pPr>
    </w:p>
    <w:p w14:paraId="78C3E075" w14:textId="77777777" w:rsidR="00006DCB" w:rsidRPr="004F7A38" w:rsidRDefault="0006513B" w:rsidP="00162BD6">
      <w:pPr>
        <w:numPr>
          <w:ilvl w:val="0"/>
          <w:numId w:val="2"/>
        </w:numPr>
        <w:pBdr>
          <w:top w:val="nil"/>
          <w:left w:val="nil"/>
          <w:bottom w:val="nil"/>
          <w:right w:val="nil"/>
          <w:between w:val="nil"/>
        </w:pBdr>
        <w:rPr>
          <w:b/>
          <w:i/>
        </w:rPr>
      </w:pPr>
      <w:r w:rsidRPr="004F7A38">
        <w:rPr>
          <w:b/>
          <w:i/>
        </w:rPr>
        <w:t xml:space="preserve">NOT. CIUD. CAMBIO DE MODALIDAD.pdf.- </w:t>
      </w:r>
      <w:r w:rsidRPr="004F7A38">
        <w:t>Oficio número 206010000/3560/2025 de fecha 26 de junio de 2025, suscrito por la Directora General de Administración, mediante el cual informa que el Comité de Transparencia, aprobó un cambio de modalidad a consulta directa de la información requerida.</w:t>
      </w:r>
    </w:p>
    <w:p w14:paraId="0D86F3A6" w14:textId="77777777" w:rsidR="00006DCB" w:rsidRPr="004F7A38" w:rsidRDefault="00006DCB" w:rsidP="00162BD6">
      <w:pPr>
        <w:pBdr>
          <w:top w:val="nil"/>
          <w:left w:val="nil"/>
          <w:bottom w:val="nil"/>
          <w:right w:val="nil"/>
          <w:between w:val="nil"/>
        </w:pBdr>
        <w:rPr>
          <w:b/>
        </w:rPr>
      </w:pPr>
    </w:p>
    <w:p w14:paraId="0D3DE69F" w14:textId="77777777" w:rsidR="00006DCB" w:rsidRPr="004F7A38" w:rsidRDefault="0006513B" w:rsidP="00162BD6">
      <w:pPr>
        <w:pStyle w:val="Ttulo2"/>
        <w:jc w:val="left"/>
      </w:pPr>
      <w:bookmarkStart w:id="9" w:name="_Toc208357864"/>
      <w:r w:rsidRPr="004F7A38">
        <w:t>DEL RECURSO DE REVISIÓN</w:t>
      </w:r>
      <w:bookmarkEnd w:id="9"/>
    </w:p>
    <w:p w14:paraId="1AC527E6" w14:textId="77777777" w:rsidR="00006DCB" w:rsidRPr="004F7A38" w:rsidRDefault="0006513B" w:rsidP="00162BD6">
      <w:pPr>
        <w:pStyle w:val="Ttulo3"/>
      </w:pPr>
      <w:bookmarkStart w:id="10" w:name="_Toc208357865"/>
      <w:r w:rsidRPr="004F7A38">
        <w:t>a) Interposición del Recurso de Revisión</w:t>
      </w:r>
      <w:bookmarkEnd w:id="10"/>
    </w:p>
    <w:p w14:paraId="189856A2" w14:textId="77777777" w:rsidR="00006DCB" w:rsidRPr="004F7A38" w:rsidRDefault="0006513B" w:rsidP="00162BD6">
      <w:pPr>
        <w:ind w:right="-28"/>
        <w:rPr>
          <w:b/>
        </w:rPr>
      </w:pPr>
      <w:r w:rsidRPr="004F7A38">
        <w:t>El</w:t>
      </w:r>
      <w:r w:rsidRPr="004F7A38">
        <w:rPr>
          <w:b/>
        </w:rPr>
        <w:t xml:space="preserve"> dieciocho de julio de dos mil veinticinco,</w:t>
      </w:r>
      <w:r w:rsidRPr="004F7A38">
        <w:t xml:space="preserve"> </w:t>
      </w:r>
      <w:r w:rsidRPr="004F7A38">
        <w:rPr>
          <w:b/>
        </w:rPr>
        <w:t>LA PARTE RECURRENTE</w:t>
      </w:r>
      <w:r w:rsidRPr="004F7A38">
        <w:t xml:space="preserve"> interpuso el recurso de revisión en contra de la respuesta emitida por el </w:t>
      </w:r>
      <w:r w:rsidRPr="004F7A38">
        <w:rPr>
          <w:b/>
        </w:rPr>
        <w:t>SUJETO OBLIGADO</w:t>
      </w:r>
      <w:r w:rsidRPr="004F7A38">
        <w:t xml:space="preserve">, mismo que fue </w:t>
      </w:r>
      <w:r w:rsidRPr="004F7A38">
        <w:lastRenderedPageBreak/>
        <w:t xml:space="preserve">registrado en el </w:t>
      </w:r>
      <w:r w:rsidRPr="004F7A38">
        <w:rPr>
          <w:b/>
        </w:rPr>
        <w:t>SAIMEX</w:t>
      </w:r>
      <w:r w:rsidRPr="004F7A38">
        <w:t xml:space="preserve"> con el número de expediente </w:t>
      </w:r>
      <w:r w:rsidRPr="004F7A38">
        <w:rPr>
          <w:b/>
        </w:rPr>
        <w:t>08822/INFOEM/IP/RR/2025</w:t>
      </w:r>
      <w:r w:rsidRPr="004F7A38">
        <w:t>, y en el cual manifestó lo siguiente:</w:t>
      </w:r>
    </w:p>
    <w:p w14:paraId="2740418C" w14:textId="77777777" w:rsidR="00006DCB" w:rsidRPr="004F7A38" w:rsidRDefault="00006DCB" w:rsidP="00162BD6">
      <w:pPr>
        <w:tabs>
          <w:tab w:val="left" w:pos="4667"/>
        </w:tabs>
        <w:ind w:right="539"/>
      </w:pPr>
    </w:p>
    <w:p w14:paraId="671F5047" w14:textId="77777777" w:rsidR="00006DCB" w:rsidRPr="004F7A38" w:rsidRDefault="0006513B" w:rsidP="00162BD6">
      <w:pPr>
        <w:tabs>
          <w:tab w:val="left" w:pos="4667"/>
        </w:tabs>
        <w:ind w:left="567" w:right="539"/>
        <w:rPr>
          <w:b/>
        </w:rPr>
      </w:pPr>
      <w:r w:rsidRPr="004F7A38">
        <w:rPr>
          <w:b/>
        </w:rPr>
        <w:t>ACTO IMPUGNADO</w:t>
      </w:r>
    </w:p>
    <w:p w14:paraId="3757AB61" w14:textId="77777777" w:rsidR="00006DCB" w:rsidRPr="004F7A38" w:rsidRDefault="0006513B" w:rsidP="00162BD6">
      <w:pPr>
        <w:tabs>
          <w:tab w:val="left" w:pos="4667"/>
        </w:tabs>
        <w:ind w:left="567" w:right="539"/>
        <w:rPr>
          <w:i/>
        </w:rPr>
      </w:pPr>
      <w:r w:rsidRPr="004F7A38">
        <w:rPr>
          <w:i/>
        </w:rPr>
        <w:t>“la respuesta esta incompleta no entrega lo solicitud” (sic)</w:t>
      </w:r>
    </w:p>
    <w:p w14:paraId="39567E2F" w14:textId="77777777" w:rsidR="00006DCB" w:rsidRPr="004F7A38" w:rsidRDefault="00006DCB" w:rsidP="00162BD6">
      <w:pPr>
        <w:tabs>
          <w:tab w:val="left" w:pos="4667"/>
        </w:tabs>
        <w:ind w:left="567" w:right="539"/>
        <w:rPr>
          <w:b/>
        </w:rPr>
      </w:pPr>
    </w:p>
    <w:p w14:paraId="463391AA" w14:textId="77777777" w:rsidR="00006DCB" w:rsidRPr="004F7A38" w:rsidRDefault="0006513B" w:rsidP="00162BD6">
      <w:pPr>
        <w:tabs>
          <w:tab w:val="left" w:pos="4667"/>
        </w:tabs>
        <w:ind w:left="567" w:right="539"/>
        <w:rPr>
          <w:b/>
        </w:rPr>
      </w:pPr>
      <w:r w:rsidRPr="004F7A38">
        <w:rPr>
          <w:b/>
        </w:rPr>
        <w:t>RAZONES O MOTIVOS DE LA INCONFORMIDAD</w:t>
      </w:r>
      <w:r w:rsidRPr="004F7A38">
        <w:rPr>
          <w:b/>
        </w:rPr>
        <w:tab/>
      </w:r>
    </w:p>
    <w:p w14:paraId="4367F043" w14:textId="77777777" w:rsidR="00006DCB" w:rsidRPr="004F7A38" w:rsidRDefault="0006513B" w:rsidP="00162BD6">
      <w:pPr>
        <w:pStyle w:val="Puesto"/>
        <w:ind w:firstLine="0"/>
        <w:rPr>
          <w:color w:val="auto"/>
        </w:rPr>
      </w:pPr>
      <w:r w:rsidRPr="004F7A38">
        <w:rPr>
          <w:color w:val="auto"/>
        </w:rPr>
        <w:t>“la respuesta esta incompleta no entrega lo solicitud” (sic)</w:t>
      </w:r>
    </w:p>
    <w:p w14:paraId="05791B73" w14:textId="77777777" w:rsidR="00006DCB" w:rsidRPr="004F7A38" w:rsidRDefault="00006DCB" w:rsidP="00162BD6">
      <w:pPr>
        <w:ind w:left="567"/>
      </w:pPr>
    </w:p>
    <w:p w14:paraId="121ECDD7" w14:textId="77777777" w:rsidR="00006DCB" w:rsidRPr="004F7A38" w:rsidRDefault="0006513B" w:rsidP="00162BD6">
      <w:pPr>
        <w:pStyle w:val="Ttulo3"/>
      </w:pPr>
      <w:bookmarkStart w:id="11" w:name="_Toc208357866"/>
      <w:r w:rsidRPr="004F7A38">
        <w:t>b) Turno del Recurso de Revisión</w:t>
      </w:r>
      <w:bookmarkEnd w:id="11"/>
    </w:p>
    <w:p w14:paraId="42CB7A63" w14:textId="77777777" w:rsidR="00006DCB" w:rsidRPr="004F7A38" w:rsidRDefault="0006513B" w:rsidP="00162BD6">
      <w:pPr>
        <w:rPr>
          <w:b/>
        </w:rPr>
      </w:pPr>
      <w:r w:rsidRPr="004F7A38">
        <w:t>Con fundamento en el artículo 185, fracción I de la Ley de Transparencia y Acceso a la Información Pública del Estado de México y Municipios, el</w:t>
      </w:r>
      <w:r w:rsidRPr="004F7A38">
        <w:rPr>
          <w:b/>
        </w:rPr>
        <w:t xml:space="preserve"> dieciocho de julio de dos mil veinticinco,</w:t>
      </w:r>
      <w:r w:rsidRPr="004F7A38">
        <w:t xml:space="preserve"> se turnó el recurso de revisión a través del SAIMEX a la </w:t>
      </w:r>
      <w:r w:rsidRPr="004F7A38">
        <w:rPr>
          <w:b/>
        </w:rPr>
        <w:t>Comisionada Sharon Cristina Morales Martínez</w:t>
      </w:r>
      <w:r w:rsidRPr="004F7A38">
        <w:t xml:space="preserve">, a efecto de decretar su admisión o desechamiento. </w:t>
      </w:r>
    </w:p>
    <w:p w14:paraId="1322F42C" w14:textId="77777777" w:rsidR="00006DCB" w:rsidRPr="004F7A38" w:rsidRDefault="00006DCB" w:rsidP="00162BD6"/>
    <w:p w14:paraId="3EFDE50C" w14:textId="77777777" w:rsidR="00006DCB" w:rsidRPr="004F7A38" w:rsidRDefault="0006513B" w:rsidP="00162BD6">
      <w:pPr>
        <w:pStyle w:val="Ttulo3"/>
      </w:pPr>
      <w:bookmarkStart w:id="12" w:name="_Toc208357867"/>
      <w:r w:rsidRPr="004F7A38">
        <w:t>c) Admisión del Recurso de Revisión</w:t>
      </w:r>
      <w:bookmarkEnd w:id="12"/>
    </w:p>
    <w:p w14:paraId="2D48C584" w14:textId="77777777" w:rsidR="00006DCB" w:rsidRPr="004F7A38" w:rsidRDefault="0006513B" w:rsidP="00162BD6">
      <w:r w:rsidRPr="004F7A38">
        <w:t xml:space="preserve">El </w:t>
      </w:r>
      <w:r w:rsidRPr="004F7A38">
        <w:rPr>
          <w:b/>
        </w:rPr>
        <w:t>seis de agosto de dos mil veinticinco,</w:t>
      </w:r>
      <w:r w:rsidRPr="004F7A38">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5BCE2FB8" w14:textId="77777777" w:rsidR="00006DCB" w:rsidRPr="004F7A38" w:rsidRDefault="00006DCB" w:rsidP="00162BD6"/>
    <w:p w14:paraId="10098CB9" w14:textId="77777777" w:rsidR="00006DCB" w:rsidRPr="004F7A38" w:rsidRDefault="0006513B" w:rsidP="00162BD6">
      <w:pPr>
        <w:pStyle w:val="Ttulo3"/>
      </w:pPr>
      <w:bookmarkStart w:id="13" w:name="_Toc208357868"/>
      <w:r w:rsidRPr="004F7A38">
        <w:t>d) Informe Justificado del Sujeto Obligado</w:t>
      </w:r>
      <w:bookmarkEnd w:id="13"/>
    </w:p>
    <w:p w14:paraId="596857BE" w14:textId="77777777" w:rsidR="00006DCB" w:rsidRPr="004F7A38" w:rsidRDefault="0006513B" w:rsidP="00162BD6">
      <w:r w:rsidRPr="004F7A38">
        <w:t xml:space="preserve">El </w:t>
      </w:r>
      <w:r w:rsidRPr="004F7A38">
        <w:rPr>
          <w:b/>
        </w:rPr>
        <w:t>quince de agosto de dos mil veinticinco EL SUJETO OBLIGADO</w:t>
      </w:r>
      <w:r w:rsidRPr="004F7A38">
        <w:t xml:space="preserve"> rindió su informe justificado a través del </w:t>
      </w:r>
      <w:r w:rsidRPr="004F7A38">
        <w:rPr>
          <w:b/>
        </w:rPr>
        <w:t>SAIMEX</w:t>
      </w:r>
      <w:r w:rsidRPr="004F7A38">
        <w:t>, que contienen lo siguiente:</w:t>
      </w:r>
    </w:p>
    <w:p w14:paraId="12FAF941" w14:textId="77777777" w:rsidR="00006DCB" w:rsidRPr="004F7A38" w:rsidRDefault="0006513B" w:rsidP="00162BD6">
      <w:pPr>
        <w:numPr>
          <w:ilvl w:val="0"/>
          <w:numId w:val="1"/>
        </w:numPr>
        <w:pBdr>
          <w:top w:val="nil"/>
          <w:left w:val="nil"/>
          <w:bottom w:val="nil"/>
          <w:right w:val="nil"/>
          <w:between w:val="nil"/>
        </w:pBdr>
        <w:rPr>
          <w:b/>
        </w:rPr>
      </w:pPr>
      <w:r w:rsidRPr="004F7A38">
        <w:rPr>
          <w:b/>
          <w:i/>
        </w:rPr>
        <w:lastRenderedPageBreak/>
        <w:t>Ratificacion 8822 2025.pdf</w:t>
      </w:r>
      <w:r w:rsidRPr="004F7A38">
        <w:rPr>
          <w:b/>
        </w:rPr>
        <w:t xml:space="preserve">.- </w:t>
      </w:r>
      <w:r w:rsidRPr="004F7A38">
        <w:t xml:space="preserve">Escrito de fecha 15 de agosto de 2025, dirigido a la Comisionada Ponente, suscrito por el Titular de la Unidad de Transparencia, por medio del cual remite el informe justificado, ratificando en términos generales la respuesta primigenia. </w:t>
      </w:r>
    </w:p>
    <w:p w14:paraId="4138F54D" w14:textId="77777777" w:rsidR="00006DCB" w:rsidRPr="004F7A38" w:rsidRDefault="00006DCB" w:rsidP="00162BD6">
      <w:pPr>
        <w:pBdr>
          <w:top w:val="nil"/>
          <w:left w:val="nil"/>
          <w:bottom w:val="nil"/>
          <w:right w:val="nil"/>
          <w:between w:val="nil"/>
        </w:pBdr>
        <w:ind w:left="720"/>
        <w:rPr>
          <w:b/>
        </w:rPr>
      </w:pPr>
    </w:p>
    <w:p w14:paraId="412757C6" w14:textId="77777777" w:rsidR="00006DCB" w:rsidRPr="004F7A38" w:rsidRDefault="0006513B" w:rsidP="00162BD6">
      <w:pPr>
        <w:numPr>
          <w:ilvl w:val="0"/>
          <w:numId w:val="1"/>
        </w:numPr>
        <w:pBdr>
          <w:top w:val="nil"/>
          <w:left w:val="nil"/>
          <w:bottom w:val="nil"/>
          <w:right w:val="nil"/>
          <w:between w:val="nil"/>
        </w:pBdr>
        <w:rPr>
          <w:b/>
        </w:rPr>
      </w:pPr>
      <w:r w:rsidRPr="004F7A38">
        <w:rPr>
          <w:b/>
          <w:i/>
        </w:rPr>
        <w:t>ANEXOS 8822-2025.pdf</w:t>
      </w:r>
      <w:r w:rsidRPr="004F7A38">
        <w:t>.</w:t>
      </w:r>
      <w:r w:rsidRPr="004F7A38">
        <w:rPr>
          <w:b/>
        </w:rPr>
        <w:t>-</w:t>
      </w:r>
      <w:r w:rsidRPr="004F7A38">
        <w:t xml:space="preserve"> Oficio 206010000/4672/2025 de fecha 12 de agosto de 2025, suscrito por la Directora General de Administración, por medio del cual ratifica la respuesta primigenia.</w:t>
      </w:r>
    </w:p>
    <w:p w14:paraId="1D5F27BD" w14:textId="77777777" w:rsidR="00006DCB" w:rsidRPr="004F7A38" w:rsidRDefault="00006DCB" w:rsidP="00162BD6">
      <w:pPr>
        <w:pBdr>
          <w:top w:val="nil"/>
          <w:left w:val="nil"/>
          <w:bottom w:val="nil"/>
          <w:right w:val="nil"/>
          <w:between w:val="nil"/>
        </w:pBdr>
        <w:ind w:left="720"/>
        <w:rPr>
          <w:b/>
        </w:rPr>
      </w:pPr>
    </w:p>
    <w:p w14:paraId="66844B35" w14:textId="77777777" w:rsidR="00006DCB" w:rsidRPr="004F7A38" w:rsidRDefault="0006513B" w:rsidP="00162BD6">
      <w:pPr>
        <w:numPr>
          <w:ilvl w:val="0"/>
          <w:numId w:val="2"/>
        </w:numPr>
        <w:pBdr>
          <w:top w:val="nil"/>
          <w:left w:val="nil"/>
          <w:bottom w:val="nil"/>
          <w:right w:val="nil"/>
          <w:between w:val="nil"/>
        </w:pBdr>
        <w:rPr>
          <w:b/>
        </w:rPr>
      </w:pPr>
      <w:r w:rsidRPr="004F7A38">
        <w:rPr>
          <w:b/>
          <w:i/>
        </w:rPr>
        <w:t>ANEXOS 8822-2025.pdf</w:t>
      </w:r>
      <w:r w:rsidRPr="004F7A38">
        <w:t>.</w:t>
      </w:r>
      <w:r w:rsidRPr="004F7A38">
        <w:rPr>
          <w:b/>
        </w:rPr>
        <w:t>-</w:t>
      </w:r>
      <w:r w:rsidRPr="004F7A38">
        <w:t xml:space="preserve"> Oficio 200F10000/363/2025 de fecha 12 de agosto de 2025, suscrito por la Directora General del Instituto Municipal de la Mujer, en el que le indicó que ratifica la respuesta primigenia.</w:t>
      </w:r>
    </w:p>
    <w:p w14:paraId="7C463061" w14:textId="77777777" w:rsidR="00006DCB" w:rsidRPr="004F7A38" w:rsidRDefault="00006DCB" w:rsidP="00162BD6">
      <w:pPr>
        <w:pBdr>
          <w:top w:val="nil"/>
          <w:left w:val="nil"/>
          <w:bottom w:val="nil"/>
          <w:right w:val="nil"/>
          <w:between w:val="nil"/>
        </w:pBdr>
        <w:rPr>
          <w:b/>
        </w:rPr>
      </w:pPr>
    </w:p>
    <w:p w14:paraId="2BBAEA4F" w14:textId="77777777" w:rsidR="00006DCB" w:rsidRPr="004F7A38" w:rsidRDefault="0006513B" w:rsidP="00162BD6">
      <w:r w:rsidRPr="004F7A38">
        <w:t xml:space="preserve">Esta información fue puesta a la vista de </w:t>
      </w:r>
      <w:r w:rsidRPr="004F7A38">
        <w:rPr>
          <w:b/>
        </w:rPr>
        <w:t xml:space="preserve">LA PARTE RECURRENTE </w:t>
      </w:r>
      <w:r w:rsidRPr="004F7A38">
        <w:t xml:space="preserve">el </w:t>
      </w:r>
      <w:r w:rsidRPr="004F7A38">
        <w:rPr>
          <w:b/>
        </w:rPr>
        <w:t>dos de septiembre de dos mil veinticinco</w:t>
      </w:r>
      <w:r w:rsidRPr="004F7A38">
        <w:t xml:space="preserve"> para que, en un plazo de tres días hábiles, manifestara lo que a su derecho conviniera, de conformidad con lo establecido en el artículo 185, fracción III de la Ley de Transparencia y Acceso a la Información Pública del Estado de México y Municipios.</w:t>
      </w:r>
    </w:p>
    <w:p w14:paraId="3CBB8FEC" w14:textId="77777777" w:rsidR="00006DCB" w:rsidRPr="004F7A38" w:rsidRDefault="00006DCB" w:rsidP="00162BD6"/>
    <w:p w14:paraId="028D258F" w14:textId="77777777" w:rsidR="00006DCB" w:rsidRPr="004F7A38" w:rsidRDefault="0006513B" w:rsidP="00162BD6">
      <w:pPr>
        <w:pStyle w:val="Ttulo3"/>
      </w:pPr>
      <w:bookmarkStart w:id="14" w:name="_Toc208357869"/>
      <w:r w:rsidRPr="004F7A38">
        <w:t>e) Manifestaciones de la Parte Recurrente</w:t>
      </w:r>
      <w:bookmarkEnd w:id="14"/>
    </w:p>
    <w:p w14:paraId="7BE683BC" w14:textId="77777777" w:rsidR="00006DCB" w:rsidRPr="004F7A38" w:rsidRDefault="0006513B" w:rsidP="00162BD6">
      <w:r w:rsidRPr="004F7A38">
        <w:rPr>
          <w:b/>
        </w:rPr>
        <w:t xml:space="preserve">LA PARTE RECURRENTE </w:t>
      </w:r>
      <w:r w:rsidRPr="004F7A38">
        <w:t>no realizó manifestación alguna dentro del término legalmente concedido para tal efecto, ni presentó pruebas o alegatos.</w:t>
      </w:r>
    </w:p>
    <w:p w14:paraId="5558CA9E" w14:textId="77777777" w:rsidR="00006DCB" w:rsidRPr="004F7A38" w:rsidRDefault="00006DCB" w:rsidP="00162BD6">
      <w:pPr>
        <w:pStyle w:val="Puesto"/>
        <w:ind w:left="0" w:firstLine="0"/>
        <w:rPr>
          <w:color w:val="auto"/>
        </w:rPr>
      </w:pPr>
    </w:p>
    <w:p w14:paraId="4A6201F7" w14:textId="77777777" w:rsidR="00006DCB" w:rsidRPr="004F7A38" w:rsidRDefault="0006513B" w:rsidP="00162BD6">
      <w:pPr>
        <w:pStyle w:val="Ttulo3"/>
      </w:pPr>
      <w:bookmarkStart w:id="15" w:name="_Toc208357870"/>
      <w:r w:rsidRPr="004F7A38">
        <w:t>f) Cierre de instrucción</w:t>
      </w:r>
      <w:bookmarkEnd w:id="15"/>
    </w:p>
    <w:p w14:paraId="2CF23028" w14:textId="77777777" w:rsidR="00006DCB" w:rsidRPr="004F7A38" w:rsidRDefault="0006513B" w:rsidP="00162BD6">
      <w:r w:rsidRPr="004F7A38">
        <w:t xml:space="preserve">Al no existir diligencias pendientes por desahogar, el </w:t>
      </w:r>
      <w:r w:rsidRPr="004F7A38">
        <w:rPr>
          <w:b/>
        </w:rPr>
        <w:t>nueve de septiembre de dos mil veinticinco,</w:t>
      </w:r>
      <w:r w:rsidRPr="004F7A38">
        <w:t xml:space="preserve"> la </w:t>
      </w:r>
      <w:r w:rsidRPr="004F7A38">
        <w:rPr>
          <w:b/>
        </w:rPr>
        <w:t xml:space="preserve">Comisionada Sharon Cristina Morales Martínez </w:t>
      </w:r>
      <w:r w:rsidRPr="004F7A38">
        <w:t xml:space="preserve">acordó el cierre de instrucción y la remisión del expediente a efecto de ser resuelto, de conformidad con lo </w:t>
      </w:r>
      <w:r w:rsidRPr="004F7A38">
        <w:lastRenderedPageBreak/>
        <w:t xml:space="preserve">establecido en el artículo 185 fracciones VI y VIII de la Ley de Transparencia y Acceso a la Información Pública del Estado de México y Municipios. Dicho acuerdo fue notificado a las partes el mismo día a través del </w:t>
      </w:r>
      <w:r w:rsidRPr="004F7A38">
        <w:rPr>
          <w:b/>
        </w:rPr>
        <w:t>SAIMEX</w:t>
      </w:r>
      <w:r w:rsidRPr="004F7A38">
        <w:t>.</w:t>
      </w:r>
    </w:p>
    <w:p w14:paraId="622E36AF" w14:textId="77777777" w:rsidR="00006DCB" w:rsidRPr="004F7A38" w:rsidRDefault="00006DCB" w:rsidP="00162BD6"/>
    <w:p w14:paraId="21F4D4B5" w14:textId="77777777" w:rsidR="00006DCB" w:rsidRPr="004F7A38" w:rsidRDefault="0006513B" w:rsidP="00162BD6">
      <w:pPr>
        <w:pStyle w:val="Ttulo1"/>
      </w:pPr>
      <w:bookmarkStart w:id="16" w:name="_Toc208357871"/>
      <w:r w:rsidRPr="004F7A38">
        <w:t>CONSIDERANDOS</w:t>
      </w:r>
      <w:bookmarkEnd w:id="16"/>
    </w:p>
    <w:p w14:paraId="4890E444" w14:textId="77777777" w:rsidR="00006DCB" w:rsidRPr="004F7A38" w:rsidRDefault="00006DCB" w:rsidP="00162BD6">
      <w:pPr>
        <w:jc w:val="center"/>
        <w:rPr>
          <w:b/>
        </w:rPr>
      </w:pPr>
    </w:p>
    <w:p w14:paraId="7991ED99" w14:textId="77777777" w:rsidR="00006DCB" w:rsidRPr="004F7A38" w:rsidRDefault="0006513B" w:rsidP="00162BD6">
      <w:pPr>
        <w:pStyle w:val="Ttulo2"/>
      </w:pPr>
      <w:bookmarkStart w:id="17" w:name="_Toc208357872"/>
      <w:r w:rsidRPr="004F7A38">
        <w:t>PRIMERO. Procedibilidad</w:t>
      </w:r>
      <w:bookmarkEnd w:id="17"/>
    </w:p>
    <w:p w14:paraId="6E55122C" w14:textId="77777777" w:rsidR="00006DCB" w:rsidRPr="004F7A38" w:rsidRDefault="0006513B" w:rsidP="00162BD6">
      <w:pPr>
        <w:pStyle w:val="Ttulo3"/>
      </w:pPr>
      <w:bookmarkStart w:id="18" w:name="_Toc208357873"/>
      <w:r w:rsidRPr="004F7A38">
        <w:t>a) Competencia del Instituto</w:t>
      </w:r>
      <w:bookmarkEnd w:id="18"/>
    </w:p>
    <w:p w14:paraId="50A70B1C" w14:textId="77777777" w:rsidR="00006DCB" w:rsidRPr="004F7A38" w:rsidRDefault="0006513B" w:rsidP="00162BD6">
      <w:r w:rsidRPr="004F7A38">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noveno, cuadragésimo, cuadragésimo primero,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33620505" w14:textId="77777777" w:rsidR="00006DCB" w:rsidRPr="004F7A38" w:rsidRDefault="00006DCB" w:rsidP="00162BD6"/>
    <w:p w14:paraId="52674E1B" w14:textId="77777777" w:rsidR="00006DCB" w:rsidRPr="004F7A38" w:rsidRDefault="0006513B" w:rsidP="00162BD6">
      <w:pPr>
        <w:pStyle w:val="Ttulo3"/>
      </w:pPr>
      <w:bookmarkStart w:id="19" w:name="_Toc208357874"/>
      <w:r w:rsidRPr="004F7A38">
        <w:t>b) Legitimidad de la parte recurrente</w:t>
      </w:r>
      <w:bookmarkEnd w:id="19"/>
    </w:p>
    <w:p w14:paraId="602C51F9" w14:textId="77777777" w:rsidR="00006DCB" w:rsidRPr="004F7A38" w:rsidRDefault="0006513B" w:rsidP="00162BD6">
      <w:r w:rsidRPr="004F7A38">
        <w:t>El recurso de revisión fue interpuesto por parte legítima, ya que se presentó por la misma persona que formuló la solicitud de acceso a la Información Pública,</w:t>
      </w:r>
      <w:r w:rsidRPr="004F7A38">
        <w:rPr>
          <w:b/>
        </w:rPr>
        <w:t xml:space="preserve"> </w:t>
      </w:r>
      <w:r w:rsidRPr="004F7A38">
        <w:t>debido a que los datos de acceso</w:t>
      </w:r>
      <w:r w:rsidRPr="004F7A38">
        <w:rPr>
          <w:b/>
        </w:rPr>
        <w:t xml:space="preserve"> SAIMEX</w:t>
      </w:r>
      <w:r w:rsidRPr="004F7A38">
        <w:t xml:space="preserve"> son personales e irrepetibles.</w:t>
      </w:r>
    </w:p>
    <w:p w14:paraId="1F51BA71" w14:textId="77777777" w:rsidR="00006DCB" w:rsidRPr="004F7A38" w:rsidRDefault="00006DCB" w:rsidP="00162BD6"/>
    <w:p w14:paraId="1D6A33A1" w14:textId="77777777" w:rsidR="00006DCB" w:rsidRPr="004F7A38" w:rsidRDefault="0006513B" w:rsidP="00162BD6">
      <w:pPr>
        <w:pStyle w:val="Ttulo3"/>
      </w:pPr>
      <w:bookmarkStart w:id="20" w:name="_Toc208357875"/>
      <w:r w:rsidRPr="004F7A38">
        <w:lastRenderedPageBreak/>
        <w:t>c) Plazo para interponer el recurso</w:t>
      </w:r>
      <w:bookmarkEnd w:id="20"/>
    </w:p>
    <w:p w14:paraId="0E4B7245" w14:textId="77777777" w:rsidR="00006DCB" w:rsidRPr="004F7A38" w:rsidRDefault="0006513B" w:rsidP="00162BD6">
      <w:r w:rsidRPr="004F7A38">
        <w:rPr>
          <w:b/>
        </w:rPr>
        <w:t>EL SUJETO OBLIGADO</w:t>
      </w:r>
      <w:r w:rsidRPr="004F7A38">
        <w:t xml:space="preserve"> notificó la respuesta a la solicitud de acceso a la Información Pública el </w:t>
      </w:r>
      <w:r w:rsidRPr="004F7A38">
        <w:rPr>
          <w:b/>
        </w:rPr>
        <w:t>veintisiete de junio de dos mil veinticinco,</w:t>
      </w:r>
      <w:r w:rsidRPr="004F7A38">
        <w:t xml:space="preserve"> y el recurso que nos ocupa se tuvo por presentado el </w:t>
      </w:r>
      <w:r w:rsidRPr="004F7A38">
        <w:rPr>
          <w:b/>
        </w:rPr>
        <w:t>dieciocho de julio de dos mil veinticinco</w:t>
      </w:r>
      <w:r w:rsidRPr="004F7A38">
        <w:t>; por lo tanto, éste se encuentra dentro del margen temporal previsto en el artículo 178 de la Ley de Transparencia y Acceso a la Información Pública del Estado de México y Municipios.</w:t>
      </w:r>
    </w:p>
    <w:p w14:paraId="7F6B7F2E" w14:textId="77777777" w:rsidR="00006DCB" w:rsidRPr="004F7A38" w:rsidRDefault="00006DCB" w:rsidP="00162BD6"/>
    <w:p w14:paraId="59FAF7CD" w14:textId="77777777" w:rsidR="00006DCB" w:rsidRPr="004F7A38" w:rsidRDefault="0006513B" w:rsidP="00162BD6">
      <w:pPr>
        <w:pStyle w:val="Ttulo3"/>
      </w:pPr>
      <w:bookmarkStart w:id="21" w:name="_Toc208357876"/>
      <w:r w:rsidRPr="004F7A38">
        <w:t>d) Causal de Procedencia</w:t>
      </w:r>
      <w:bookmarkEnd w:id="21"/>
    </w:p>
    <w:p w14:paraId="0C01697D" w14:textId="77777777" w:rsidR="00006DCB" w:rsidRPr="004F7A38" w:rsidRDefault="0006513B" w:rsidP="00162BD6">
      <w:r w:rsidRPr="004F7A38">
        <w:t>Resulta procedente la interposición del recurso de revisión, ya que se actualiza la causal de procedencia señalada en el artículo 179, fracción V de la Ley de Transparencia y Acceso a la Información Pública del Estado de México y Municipios.</w:t>
      </w:r>
    </w:p>
    <w:p w14:paraId="2D38971C" w14:textId="77777777" w:rsidR="00006DCB" w:rsidRPr="004F7A38" w:rsidRDefault="00006DCB" w:rsidP="00162BD6"/>
    <w:p w14:paraId="6F09D793" w14:textId="77777777" w:rsidR="00006DCB" w:rsidRPr="004F7A38" w:rsidRDefault="0006513B" w:rsidP="00162BD6">
      <w:pPr>
        <w:pStyle w:val="Ttulo3"/>
      </w:pPr>
      <w:bookmarkStart w:id="22" w:name="_Toc208357877"/>
      <w:r w:rsidRPr="004F7A38">
        <w:t>e) Requisitos formales para la interposición del recurso</w:t>
      </w:r>
      <w:bookmarkEnd w:id="22"/>
    </w:p>
    <w:p w14:paraId="67A00A67" w14:textId="77777777" w:rsidR="00006DCB" w:rsidRPr="004F7A38" w:rsidRDefault="0006513B" w:rsidP="00162BD6">
      <w:r w:rsidRPr="004F7A38">
        <w:t xml:space="preserve">Es importante mencionar que, de la revisión del expediente electrónico del </w:t>
      </w:r>
      <w:r w:rsidRPr="004F7A38">
        <w:rPr>
          <w:b/>
        </w:rPr>
        <w:t>SAIMEX</w:t>
      </w:r>
      <w:r w:rsidRPr="004F7A38">
        <w:t xml:space="preserve">, se observa que </w:t>
      </w:r>
      <w:r w:rsidRPr="004F7A38">
        <w:rPr>
          <w:b/>
        </w:rPr>
        <w:t>LA PARTE RECURRENTE</w:t>
      </w:r>
      <w:r w:rsidRPr="004F7A38">
        <w:t xml:space="preserve"> no proporcionó su nombre para ser identificado, lo que en estricto sentido provoca que no se colmen los requisitos establecidos en el artículo 180 de la Ley de Transparencia; sin embargo, el artículo 15 de Ley de Transparencia y Acceso a la Información Pública del Estado de México y Municipios prevé que toda persona tendrá acceso a la información sin necesidad de acreditar interés alguno o justificar su utilización, de lo que se infiere que </w:t>
      </w:r>
      <w:r w:rsidRPr="004F7A38">
        <w:rPr>
          <w:b/>
          <w:u w:val="single"/>
        </w:rPr>
        <w:t>el nombre no es un requisito indispensable</w:t>
      </w:r>
      <w:r w:rsidRPr="004F7A38">
        <w:t xml:space="preserve"> para que las y los ciudadanos ejerzan el derecho de acceso a la información pública. </w:t>
      </w:r>
    </w:p>
    <w:p w14:paraId="01BBEFC2" w14:textId="77777777" w:rsidR="00006DCB" w:rsidRPr="004F7A38" w:rsidRDefault="00006DCB" w:rsidP="00162BD6"/>
    <w:p w14:paraId="21E98CE4" w14:textId="77777777" w:rsidR="00006DCB" w:rsidRPr="004F7A38" w:rsidRDefault="0006513B" w:rsidP="00162BD6">
      <w:r w:rsidRPr="004F7A38">
        <w:t xml:space="preserve">Asimismo, la Ley de la materia prevé en su artículo 155, párrafo segundo la posibilidad de que las solicitudes de información sean anónimas, al utilizar un nombre incompleto o, inclusive un seudónimo. En adición a lo anterior, el propio artículo 180, en su último párrafo, </w:t>
      </w:r>
      <w:r w:rsidRPr="004F7A38">
        <w:lastRenderedPageBreak/>
        <w:t xml:space="preserve">establece que cuando el recurso de revisión se interponga de manera electrónica no será indispensable que contenga algunos requisitos, entre ellos, el nombre de </w:t>
      </w:r>
      <w:r w:rsidRPr="004F7A38">
        <w:rPr>
          <w:b/>
        </w:rPr>
        <w:t>LA PARTE RECURRENTE</w:t>
      </w:r>
      <w:r w:rsidRPr="004F7A38">
        <w:t xml:space="preserve">; por lo que, en el presente caso, al haber sido presentado el recurso de revisión vía </w:t>
      </w:r>
      <w:r w:rsidRPr="004F7A38">
        <w:rPr>
          <w:b/>
        </w:rPr>
        <w:t>SAIMEX</w:t>
      </w:r>
      <w:r w:rsidRPr="004F7A38">
        <w:t>, dicho requisito resulta innecesario.</w:t>
      </w:r>
    </w:p>
    <w:p w14:paraId="17CECF24" w14:textId="77777777" w:rsidR="00006DCB" w:rsidRPr="004F7A38" w:rsidRDefault="00006DCB" w:rsidP="00162BD6"/>
    <w:p w14:paraId="73ED470E" w14:textId="77777777" w:rsidR="00006DCB" w:rsidRPr="004F7A38" w:rsidRDefault="0006513B" w:rsidP="00162BD6">
      <w:pPr>
        <w:pStyle w:val="Ttulo2"/>
      </w:pPr>
      <w:bookmarkStart w:id="23" w:name="_Toc208357878"/>
      <w:r w:rsidRPr="004F7A38">
        <w:t>SEGUNDO. Estudio de Fondo</w:t>
      </w:r>
      <w:bookmarkEnd w:id="23"/>
    </w:p>
    <w:p w14:paraId="70CBE004" w14:textId="77777777" w:rsidR="00006DCB" w:rsidRPr="004F7A38" w:rsidRDefault="0006513B" w:rsidP="00162BD6">
      <w:pPr>
        <w:pStyle w:val="Ttulo3"/>
      </w:pPr>
      <w:bookmarkStart w:id="24" w:name="_Toc208357879"/>
      <w:r w:rsidRPr="004F7A38">
        <w:t>a) Mandato de transparencia y responsabilidad del Sujeto Obligado</w:t>
      </w:r>
      <w:bookmarkEnd w:id="24"/>
    </w:p>
    <w:p w14:paraId="585DE413" w14:textId="77777777" w:rsidR="00006DCB" w:rsidRPr="004F7A38" w:rsidRDefault="0006513B" w:rsidP="00162BD6">
      <w:r w:rsidRPr="004F7A38">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5039907" w14:textId="77777777" w:rsidR="00006DCB" w:rsidRPr="004F7A38" w:rsidRDefault="00006DCB" w:rsidP="00162BD6"/>
    <w:p w14:paraId="16125925" w14:textId="77777777" w:rsidR="00006DCB" w:rsidRPr="004F7A38" w:rsidRDefault="0006513B" w:rsidP="00162BD6">
      <w:pPr>
        <w:spacing w:line="240" w:lineRule="auto"/>
        <w:ind w:left="567" w:right="539"/>
        <w:rPr>
          <w:b/>
          <w:i/>
        </w:rPr>
      </w:pPr>
      <w:r w:rsidRPr="004F7A38">
        <w:rPr>
          <w:b/>
          <w:i/>
        </w:rPr>
        <w:t>Constitución Política de los Estados Unidos Mexicanos</w:t>
      </w:r>
    </w:p>
    <w:p w14:paraId="58F28B60" w14:textId="77777777" w:rsidR="00006DCB" w:rsidRPr="004F7A38" w:rsidRDefault="0006513B" w:rsidP="00162BD6">
      <w:pPr>
        <w:spacing w:line="240" w:lineRule="auto"/>
        <w:ind w:left="567" w:right="539"/>
        <w:rPr>
          <w:b/>
          <w:i/>
        </w:rPr>
      </w:pPr>
      <w:r w:rsidRPr="004F7A38">
        <w:rPr>
          <w:b/>
          <w:i/>
        </w:rPr>
        <w:t>“Artículo 6.</w:t>
      </w:r>
    </w:p>
    <w:p w14:paraId="6BD9BEC9" w14:textId="77777777" w:rsidR="00006DCB" w:rsidRPr="004F7A38" w:rsidRDefault="0006513B" w:rsidP="00162BD6">
      <w:pPr>
        <w:spacing w:line="240" w:lineRule="auto"/>
        <w:ind w:left="567" w:right="539"/>
        <w:rPr>
          <w:i/>
        </w:rPr>
      </w:pPr>
      <w:r w:rsidRPr="004F7A38">
        <w:rPr>
          <w:i/>
        </w:rPr>
        <w:t>(…)</w:t>
      </w:r>
    </w:p>
    <w:p w14:paraId="1B7907DA" w14:textId="77777777" w:rsidR="00006DCB" w:rsidRPr="004F7A38" w:rsidRDefault="0006513B" w:rsidP="00162BD6">
      <w:pPr>
        <w:spacing w:line="240" w:lineRule="auto"/>
        <w:ind w:left="567" w:right="539"/>
        <w:rPr>
          <w:i/>
        </w:rPr>
      </w:pPr>
      <w:r w:rsidRPr="004F7A38">
        <w:rPr>
          <w:i/>
        </w:rPr>
        <w:t>Para efectos de lo dispuesto en el presente artículo se observará lo siguiente:</w:t>
      </w:r>
    </w:p>
    <w:p w14:paraId="0D2F0027" w14:textId="77777777" w:rsidR="00006DCB" w:rsidRPr="004F7A38" w:rsidRDefault="0006513B" w:rsidP="00162BD6">
      <w:pPr>
        <w:spacing w:line="240" w:lineRule="auto"/>
        <w:ind w:left="567" w:right="539"/>
        <w:rPr>
          <w:b/>
          <w:i/>
        </w:rPr>
      </w:pPr>
      <w:r w:rsidRPr="004F7A38">
        <w:rPr>
          <w:b/>
          <w:i/>
        </w:rPr>
        <w:t>A</w:t>
      </w:r>
      <w:r w:rsidRPr="004F7A38">
        <w:rPr>
          <w:i/>
        </w:rPr>
        <w:t xml:space="preserve">. </w:t>
      </w:r>
      <w:r w:rsidRPr="004F7A38">
        <w:rPr>
          <w:b/>
          <w:i/>
        </w:rPr>
        <w:t>Para el ejercicio del derecho de acceso a la información</w:t>
      </w:r>
      <w:r w:rsidRPr="004F7A38">
        <w:rPr>
          <w:i/>
        </w:rPr>
        <w:t xml:space="preserve">, la Federación y </w:t>
      </w:r>
      <w:r w:rsidRPr="004F7A38">
        <w:rPr>
          <w:b/>
          <w:i/>
        </w:rPr>
        <w:t>las entidades federativas, en el ámbito de sus respectivas competencias, se regirán por los siguientes principios y bases:</w:t>
      </w:r>
    </w:p>
    <w:p w14:paraId="5F25965B" w14:textId="77777777" w:rsidR="00006DCB" w:rsidRPr="004F7A38" w:rsidRDefault="0006513B" w:rsidP="00162BD6">
      <w:pPr>
        <w:spacing w:line="240" w:lineRule="auto"/>
        <w:ind w:left="567" w:right="539"/>
        <w:rPr>
          <w:i/>
        </w:rPr>
      </w:pPr>
      <w:r w:rsidRPr="004F7A38">
        <w:rPr>
          <w:b/>
          <w:i/>
        </w:rPr>
        <w:t xml:space="preserve">I. </w:t>
      </w:r>
      <w:r w:rsidRPr="004F7A38">
        <w:rPr>
          <w:b/>
          <w:i/>
        </w:rPr>
        <w:tab/>
        <w:t>Toda la información en posesión de cualquier</w:t>
      </w:r>
      <w:r w:rsidRPr="004F7A38">
        <w:rPr>
          <w:i/>
        </w:rPr>
        <w:t xml:space="preserve"> </w:t>
      </w:r>
      <w:r w:rsidRPr="004F7A38">
        <w:rPr>
          <w:b/>
          <w:i/>
        </w:rPr>
        <w:t>autoridad</w:t>
      </w:r>
      <w:r w:rsidRPr="004F7A38">
        <w:rPr>
          <w:i/>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4F7A38">
        <w:rPr>
          <w:b/>
          <w:i/>
        </w:rPr>
        <w:t>municipal</w:t>
      </w:r>
      <w:r w:rsidRPr="004F7A38">
        <w:rPr>
          <w:i/>
        </w:rPr>
        <w:t xml:space="preserve">, </w:t>
      </w:r>
      <w:r w:rsidRPr="004F7A38">
        <w:rPr>
          <w:b/>
          <w:i/>
        </w:rPr>
        <w:t>es pública</w:t>
      </w:r>
      <w:r w:rsidRPr="004F7A38">
        <w:rPr>
          <w:i/>
        </w:rPr>
        <w:t xml:space="preserve"> y sólo podrá ser reservada temporalmente por razones de interés público y seguridad nacional, en los términos que fijen las leyes. </w:t>
      </w:r>
      <w:r w:rsidRPr="004F7A38">
        <w:rPr>
          <w:b/>
          <w:i/>
        </w:rPr>
        <w:t>En la interpretación de este derecho deberá prevalecer el principio de máxima publicidad. Los sujetos obligados deberán documentar todo acto que derive del ejercicio de sus facultades, competencias o funciones</w:t>
      </w:r>
      <w:r w:rsidRPr="004F7A38">
        <w:rPr>
          <w:i/>
        </w:rPr>
        <w:t>, la ley determinará los supuestos específicos bajo los cuales procederá la declaración de inexistencia de la información.”</w:t>
      </w:r>
    </w:p>
    <w:p w14:paraId="4006181F" w14:textId="77777777" w:rsidR="00006DCB" w:rsidRPr="004F7A38" w:rsidRDefault="00006DCB" w:rsidP="00162BD6">
      <w:pPr>
        <w:spacing w:line="240" w:lineRule="auto"/>
        <w:ind w:left="567" w:right="539"/>
        <w:rPr>
          <w:b/>
          <w:i/>
        </w:rPr>
      </w:pPr>
    </w:p>
    <w:p w14:paraId="44D828CA" w14:textId="77777777" w:rsidR="00006DCB" w:rsidRPr="004F7A38" w:rsidRDefault="0006513B" w:rsidP="00162BD6">
      <w:pPr>
        <w:spacing w:line="240" w:lineRule="auto"/>
        <w:ind w:left="567" w:right="539"/>
        <w:rPr>
          <w:b/>
          <w:i/>
        </w:rPr>
      </w:pPr>
      <w:r w:rsidRPr="004F7A38">
        <w:rPr>
          <w:b/>
          <w:i/>
        </w:rPr>
        <w:t>Constitución Política del Estado Libre y Soberano de México</w:t>
      </w:r>
    </w:p>
    <w:p w14:paraId="33A1AAD2" w14:textId="77777777" w:rsidR="00006DCB" w:rsidRPr="004F7A38" w:rsidRDefault="0006513B" w:rsidP="00162BD6">
      <w:pPr>
        <w:spacing w:line="240" w:lineRule="auto"/>
        <w:ind w:left="567" w:right="539"/>
        <w:rPr>
          <w:i/>
        </w:rPr>
      </w:pPr>
      <w:r w:rsidRPr="004F7A38">
        <w:rPr>
          <w:b/>
          <w:i/>
        </w:rPr>
        <w:t>“Artículo 5</w:t>
      </w:r>
      <w:r w:rsidRPr="004F7A38">
        <w:rPr>
          <w:i/>
        </w:rPr>
        <w:t xml:space="preserve">.- </w:t>
      </w:r>
    </w:p>
    <w:p w14:paraId="5C23012B" w14:textId="77777777" w:rsidR="00006DCB" w:rsidRPr="004F7A38" w:rsidRDefault="0006513B" w:rsidP="00162BD6">
      <w:pPr>
        <w:spacing w:line="240" w:lineRule="auto"/>
        <w:ind w:left="567" w:right="539"/>
        <w:rPr>
          <w:i/>
        </w:rPr>
      </w:pPr>
      <w:r w:rsidRPr="004F7A38">
        <w:rPr>
          <w:i/>
        </w:rPr>
        <w:t>(…)</w:t>
      </w:r>
    </w:p>
    <w:p w14:paraId="45F0C861" w14:textId="77777777" w:rsidR="00006DCB" w:rsidRPr="004F7A38" w:rsidRDefault="0006513B" w:rsidP="00162BD6">
      <w:pPr>
        <w:spacing w:line="240" w:lineRule="auto"/>
        <w:ind w:left="567" w:right="539"/>
        <w:rPr>
          <w:i/>
        </w:rPr>
      </w:pPr>
      <w:r w:rsidRPr="004F7A38">
        <w:rPr>
          <w:b/>
          <w:i/>
        </w:rPr>
        <w:lastRenderedPageBreak/>
        <w:t>El derecho a la información será garantizado por el Estado. La ley establecerá las previsiones que permitan asegurar la protección, el respeto y la difusión de este derecho</w:t>
      </w:r>
      <w:r w:rsidRPr="004F7A38">
        <w:rPr>
          <w:i/>
        </w:rPr>
        <w:t>.</w:t>
      </w:r>
    </w:p>
    <w:p w14:paraId="41441172" w14:textId="77777777" w:rsidR="00006DCB" w:rsidRPr="004F7A38" w:rsidRDefault="0006513B" w:rsidP="00162BD6">
      <w:pPr>
        <w:spacing w:line="240" w:lineRule="auto"/>
        <w:ind w:left="567" w:right="539"/>
        <w:rPr>
          <w:i/>
        </w:rPr>
      </w:pPr>
      <w:r w:rsidRPr="004F7A38">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B5E24F1" w14:textId="77777777" w:rsidR="00006DCB" w:rsidRPr="004F7A38" w:rsidRDefault="0006513B" w:rsidP="00162BD6">
      <w:pPr>
        <w:spacing w:line="240" w:lineRule="auto"/>
        <w:ind w:left="567" w:right="539"/>
        <w:rPr>
          <w:i/>
        </w:rPr>
      </w:pPr>
      <w:r w:rsidRPr="004F7A38">
        <w:rPr>
          <w:b/>
          <w:i/>
        </w:rPr>
        <w:t>Este derecho se regirá por los principios y bases siguientes</w:t>
      </w:r>
      <w:r w:rsidRPr="004F7A38">
        <w:rPr>
          <w:i/>
        </w:rPr>
        <w:t>:</w:t>
      </w:r>
    </w:p>
    <w:p w14:paraId="15BC2C49" w14:textId="77777777" w:rsidR="00006DCB" w:rsidRPr="004F7A38" w:rsidRDefault="0006513B" w:rsidP="00162BD6">
      <w:pPr>
        <w:spacing w:line="240" w:lineRule="auto"/>
        <w:ind w:left="567" w:right="539"/>
        <w:rPr>
          <w:i/>
        </w:rPr>
      </w:pPr>
      <w:r w:rsidRPr="004F7A38">
        <w:rPr>
          <w:b/>
          <w:i/>
        </w:rPr>
        <w:t>I. Toda la información en posesión de cualquier autoridad, entidad, órgano y organismos de los</w:t>
      </w:r>
      <w:r w:rsidRPr="004F7A38">
        <w:rPr>
          <w:i/>
        </w:rPr>
        <w:t xml:space="preserve"> Poderes Ejecutivo, Legislativo y Judicial, órganos autónomos, partidos políticos, fideicomisos y fondos públicos estatales y </w:t>
      </w:r>
      <w:r w:rsidRPr="004F7A38">
        <w:rPr>
          <w:b/>
          <w:i/>
        </w:rPr>
        <w:t>municipales</w:t>
      </w:r>
      <w:r w:rsidRPr="004F7A38">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4F7A38">
        <w:rPr>
          <w:b/>
          <w:i/>
        </w:rPr>
        <w:t>es pública</w:t>
      </w:r>
      <w:r w:rsidRPr="004F7A38">
        <w:rPr>
          <w:i/>
        </w:rPr>
        <w:t xml:space="preserve"> y sólo podrá ser reservada temporalmente por razones previstas en la Constitución Política de los Estados Unidos Mexicanos de interés público y seguridad, en los términos que fijen las leyes. </w:t>
      </w:r>
      <w:r w:rsidRPr="004F7A38">
        <w:rPr>
          <w:b/>
          <w:i/>
        </w:rPr>
        <w:t>En la interpretación de este derecho deberá prevalecer el principio de máxima publicidad</w:t>
      </w:r>
      <w:r w:rsidRPr="004F7A38">
        <w:rPr>
          <w:i/>
        </w:rPr>
        <w:t xml:space="preserve">. </w:t>
      </w:r>
      <w:r w:rsidRPr="004F7A38">
        <w:rPr>
          <w:b/>
          <w:i/>
        </w:rPr>
        <w:t>Los sujetos obligados deberán documentar todo acto que derive del ejercicio de sus facultades, competencias o funciones</w:t>
      </w:r>
      <w:r w:rsidRPr="004F7A38">
        <w:rPr>
          <w:i/>
        </w:rPr>
        <w:t>, la ley determinará los supuestos específicos bajo los cuales procederá la declaración de inexistencia de la información.”</w:t>
      </w:r>
    </w:p>
    <w:p w14:paraId="6EFBB460" w14:textId="77777777" w:rsidR="00006DCB" w:rsidRPr="004F7A38" w:rsidRDefault="00006DCB" w:rsidP="00162BD6">
      <w:pPr>
        <w:rPr>
          <w:b/>
          <w:i/>
        </w:rPr>
      </w:pPr>
    </w:p>
    <w:p w14:paraId="4943A822" w14:textId="77777777" w:rsidR="00006DCB" w:rsidRPr="004F7A38" w:rsidRDefault="0006513B" w:rsidP="00162BD6">
      <w:pPr>
        <w:rPr>
          <w:i/>
        </w:rPr>
      </w:pPr>
      <w:r w:rsidRPr="004F7A38">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4F7A38">
        <w:rPr>
          <w:i/>
        </w:rPr>
        <w:t>por los principios de simplicidad, rapidez, gratuidad del procedimiento, auxilio y orientación a los particulares.</w:t>
      </w:r>
    </w:p>
    <w:p w14:paraId="4395F180" w14:textId="77777777" w:rsidR="00006DCB" w:rsidRPr="004F7A38" w:rsidRDefault="00006DCB" w:rsidP="00162BD6">
      <w:pPr>
        <w:rPr>
          <w:i/>
        </w:rPr>
      </w:pPr>
    </w:p>
    <w:p w14:paraId="6A5E8A79" w14:textId="77777777" w:rsidR="00006DCB" w:rsidRPr="004F7A38" w:rsidRDefault="0006513B" w:rsidP="00162BD6">
      <w:pPr>
        <w:rPr>
          <w:i/>
        </w:rPr>
      </w:pPr>
      <w:r w:rsidRPr="004F7A38">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47F32F08" w14:textId="77777777" w:rsidR="00006DCB" w:rsidRPr="004F7A38" w:rsidRDefault="00006DCB" w:rsidP="00162BD6"/>
    <w:p w14:paraId="57600F09" w14:textId="77777777" w:rsidR="00006DCB" w:rsidRPr="004F7A38" w:rsidRDefault="0006513B" w:rsidP="00162BD6">
      <w:r w:rsidRPr="004F7A38">
        <w:t xml:space="preserve">Esto es, que los Sujetos Obligados deben atender las solicitudes de acceso a la información pública que se les sean realizadas, y proporcionar la información pública que obre en su poder, </w:t>
      </w:r>
      <w:r w:rsidRPr="004F7A38">
        <w:lastRenderedPageBreak/>
        <w:t>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1B2DB0E7" w14:textId="77777777" w:rsidR="00006DCB" w:rsidRPr="004F7A38" w:rsidRDefault="00006DCB" w:rsidP="00162BD6"/>
    <w:p w14:paraId="42E83F39" w14:textId="77777777" w:rsidR="00006DCB" w:rsidRPr="004F7A38" w:rsidRDefault="0006513B" w:rsidP="00162BD6">
      <w:r w:rsidRPr="004F7A38">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62CE351D" w14:textId="77777777" w:rsidR="00006DCB" w:rsidRPr="004F7A38" w:rsidRDefault="00006DCB" w:rsidP="00162BD6"/>
    <w:p w14:paraId="1BD87759" w14:textId="77777777" w:rsidR="00006DCB" w:rsidRPr="004F7A38" w:rsidRDefault="0006513B" w:rsidP="00162BD6">
      <w:r w:rsidRPr="004F7A38">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5A6754B1" w14:textId="77777777" w:rsidR="00006DCB" w:rsidRPr="004F7A38" w:rsidRDefault="00006DCB" w:rsidP="00162BD6"/>
    <w:p w14:paraId="4928EF74" w14:textId="77777777" w:rsidR="00006DCB" w:rsidRPr="004F7A38" w:rsidRDefault="0006513B" w:rsidP="00162BD6">
      <w:pPr>
        <w:pStyle w:val="Ttulo3"/>
      </w:pPr>
      <w:r w:rsidRPr="004F7A38">
        <w:t xml:space="preserve"> </w:t>
      </w:r>
      <w:bookmarkStart w:id="25" w:name="_Toc208357880"/>
      <w:r w:rsidRPr="004F7A38">
        <w:t>b) Controversia a resolver</w:t>
      </w:r>
      <w:bookmarkEnd w:id="25"/>
    </w:p>
    <w:p w14:paraId="42771739" w14:textId="77777777" w:rsidR="00006DCB" w:rsidRPr="004F7A38" w:rsidRDefault="0006513B" w:rsidP="00162BD6">
      <w:r w:rsidRPr="004F7A38">
        <w:t xml:space="preserve">Con el objeto de ilustrar la controversia planteada, resulta conveniente precisar que, una vez realizado el estudio de las constancias que integran el expediente en que se actúa, se desprende que </w:t>
      </w:r>
      <w:r w:rsidRPr="004F7A38">
        <w:rPr>
          <w:b/>
        </w:rPr>
        <w:t>LA PARTE RECURRENTE</w:t>
      </w:r>
      <w:r w:rsidRPr="004F7A38">
        <w:t xml:space="preserve"> solicitó:</w:t>
      </w:r>
    </w:p>
    <w:p w14:paraId="6DC2B6A1" w14:textId="77777777" w:rsidR="00006DCB" w:rsidRPr="004F7A38" w:rsidRDefault="00006DCB" w:rsidP="00162BD6">
      <w:pPr>
        <w:pBdr>
          <w:top w:val="nil"/>
          <w:left w:val="nil"/>
          <w:bottom w:val="nil"/>
          <w:right w:val="nil"/>
          <w:between w:val="nil"/>
        </w:pBdr>
        <w:ind w:left="720"/>
      </w:pPr>
    </w:p>
    <w:p w14:paraId="61E51EEB" w14:textId="77777777" w:rsidR="00006DCB" w:rsidRPr="004F7A38" w:rsidRDefault="0006513B" w:rsidP="00162BD6">
      <w:pPr>
        <w:numPr>
          <w:ilvl w:val="0"/>
          <w:numId w:val="2"/>
        </w:numPr>
        <w:pBdr>
          <w:top w:val="nil"/>
          <w:left w:val="nil"/>
          <w:bottom w:val="nil"/>
          <w:right w:val="nil"/>
          <w:between w:val="nil"/>
        </w:pBdr>
      </w:pPr>
      <w:r w:rsidRPr="004F7A38">
        <w:t>Las adquisiciones de servicios, compras todo los conceptos papelería, enseres cafetería, vehículos todas las adquisiciones y servicios contratados del 1 de enero a la fecha;</w:t>
      </w:r>
    </w:p>
    <w:p w14:paraId="2DE014E2" w14:textId="77777777" w:rsidR="00006DCB" w:rsidRPr="004F7A38" w:rsidRDefault="0006513B" w:rsidP="00162BD6">
      <w:pPr>
        <w:numPr>
          <w:ilvl w:val="0"/>
          <w:numId w:val="2"/>
        </w:numPr>
        <w:pBdr>
          <w:top w:val="nil"/>
          <w:left w:val="nil"/>
          <w:bottom w:val="nil"/>
          <w:right w:val="nil"/>
          <w:between w:val="nil"/>
        </w:pBdr>
      </w:pPr>
      <w:r w:rsidRPr="004F7A38">
        <w:lastRenderedPageBreak/>
        <w:t>Contratos;</w:t>
      </w:r>
    </w:p>
    <w:p w14:paraId="088DF114" w14:textId="77777777" w:rsidR="00006DCB" w:rsidRPr="004F7A38" w:rsidRDefault="0006513B" w:rsidP="00162BD6">
      <w:pPr>
        <w:numPr>
          <w:ilvl w:val="0"/>
          <w:numId w:val="2"/>
        </w:numPr>
        <w:pBdr>
          <w:top w:val="nil"/>
          <w:left w:val="nil"/>
          <w:bottom w:val="nil"/>
          <w:right w:val="nil"/>
          <w:between w:val="nil"/>
        </w:pBdr>
      </w:pPr>
      <w:r w:rsidRPr="004F7A38">
        <w:t>Expediente técnico;</w:t>
      </w:r>
    </w:p>
    <w:p w14:paraId="486650FA" w14:textId="77777777" w:rsidR="00006DCB" w:rsidRPr="004F7A38" w:rsidRDefault="0006513B" w:rsidP="00162BD6">
      <w:pPr>
        <w:numPr>
          <w:ilvl w:val="0"/>
          <w:numId w:val="2"/>
        </w:numPr>
        <w:pBdr>
          <w:top w:val="nil"/>
          <w:left w:val="nil"/>
          <w:bottom w:val="nil"/>
          <w:right w:val="nil"/>
          <w:between w:val="nil"/>
        </w:pBdr>
      </w:pPr>
      <w:r w:rsidRPr="004F7A38">
        <w:t>Presupuesto asignado;</w:t>
      </w:r>
    </w:p>
    <w:p w14:paraId="183D4FF4" w14:textId="77777777" w:rsidR="00006DCB" w:rsidRPr="004F7A38" w:rsidRDefault="0006513B" w:rsidP="00162BD6">
      <w:pPr>
        <w:numPr>
          <w:ilvl w:val="0"/>
          <w:numId w:val="2"/>
        </w:numPr>
        <w:pBdr>
          <w:top w:val="nil"/>
          <w:left w:val="nil"/>
          <w:bottom w:val="nil"/>
          <w:right w:val="nil"/>
          <w:between w:val="nil"/>
        </w:pBdr>
      </w:pPr>
      <w:r w:rsidRPr="004F7A38">
        <w:t>Documentos que demuestren lo pagado y las facturas pagadas por cada servicio o adquisición.</w:t>
      </w:r>
    </w:p>
    <w:p w14:paraId="033101E9" w14:textId="77777777" w:rsidR="00006DCB" w:rsidRPr="004F7A38" w:rsidRDefault="00006DCB" w:rsidP="00162BD6">
      <w:pPr>
        <w:pBdr>
          <w:top w:val="nil"/>
          <w:left w:val="nil"/>
          <w:bottom w:val="nil"/>
          <w:right w:val="nil"/>
          <w:between w:val="nil"/>
        </w:pBdr>
      </w:pPr>
    </w:p>
    <w:p w14:paraId="0A22F8F3" w14:textId="77777777" w:rsidR="00006DCB" w:rsidRPr="004F7A38" w:rsidRDefault="0006513B" w:rsidP="00162BD6">
      <w:pPr>
        <w:pBdr>
          <w:top w:val="nil"/>
          <w:left w:val="nil"/>
          <w:bottom w:val="nil"/>
          <w:right w:val="nil"/>
          <w:between w:val="nil"/>
        </w:pBdr>
      </w:pPr>
      <w:r w:rsidRPr="004F7A38">
        <w:t xml:space="preserve">En respuesta </w:t>
      </w:r>
      <w:r w:rsidRPr="004F7A38">
        <w:rPr>
          <w:b/>
        </w:rPr>
        <w:t>EL SUJETO OBLIGADO</w:t>
      </w:r>
      <w:r w:rsidRPr="004F7A38">
        <w:t xml:space="preserve"> informó lo siguiente:</w:t>
      </w:r>
    </w:p>
    <w:p w14:paraId="7AB549AF" w14:textId="77777777" w:rsidR="00006DCB" w:rsidRPr="004F7A38" w:rsidRDefault="00006DCB" w:rsidP="00162BD6">
      <w:pPr>
        <w:ind w:right="-28"/>
      </w:pPr>
    </w:p>
    <w:p w14:paraId="17D8B361" w14:textId="77777777" w:rsidR="00006DCB" w:rsidRPr="004F7A38" w:rsidRDefault="0006513B" w:rsidP="00162BD6">
      <w:pPr>
        <w:numPr>
          <w:ilvl w:val="0"/>
          <w:numId w:val="2"/>
        </w:numPr>
        <w:pBdr>
          <w:top w:val="nil"/>
          <w:left w:val="nil"/>
          <w:bottom w:val="nil"/>
          <w:right w:val="nil"/>
          <w:between w:val="nil"/>
        </w:pBdr>
        <w:rPr>
          <w:b/>
          <w:i/>
        </w:rPr>
      </w:pPr>
      <w:r w:rsidRPr="004F7A38">
        <w:t>Coordinadora de Administración y Finanzas del Instituto Municipal de la Mujer: La información se encuentra registrada en la plataforma del CONAC en el link:</w:t>
      </w:r>
    </w:p>
    <w:p w14:paraId="6F6661AF" w14:textId="77777777" w:rsidR="00006DCB" w:rsidRPr="004F7A38" w:rsidRDefault="00006DCB" w:rsidP="00162BD6">
      <w:pPr>
        <w:pBdr>
          <w:top w:val="nil"/>
          <w:left w:val="nil"/>
          <w:bottom w:val="nil"/>
          <w:right w:val="nil"/>
          <w:between w:val="nil"/>
        </w:pBdr>
        <w:ind w:left="720"/>
        <w:rPr>
          <w:b/>
          <w:i/>
        </w:rPr>
      </w:pPr>
    </w:p>
    <w:p w14:paraId="45BE616C" w14:textId="77777777" w:rsidR="00006DCB" w:rsidRPr="004F7A38" w:rsidRDefault="0006513B" w:rsidP="00162BD6">
      <w:pPr>
        <w:pBdr>
          <w:top w:val="nil"/>
          <w:left w:val="nil"/>
          <w:bottom w:val="nil"/>
          <w:right w:val="nil"/>
          <w:between w:val="nil"/>
        </w:pBdr>
        <w:ind w:left="720"/>
        <w:rPr>
          <w:b/>
          <w:i/>
        </w:rPr>
      </w:pPr>
      <w:r w:rsidRPr="004F7A38">
        <w:rPr>
          <w:b/>
          <w:i/>
          <w:noProof/>
        </w:rPr>
        <w:drawing>
          <wp:inline distT="0" distB="0" distL="0" distR="0" wp14:anchorId="283A734C" wp14:editId="6565EAF9">
            <wp:extent cx="2629267" cy="238158"/>
            <wp:effectExtent l="0" t="0" r="0" b="0"/>
            <wp:docPr id="77020157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29267" cy="238158"/>
                    </a:xfrm>
                    <a:prstGeom prst="rect">
                      <a:avLst/>
                    </a:prstGeom>
                    <a:ln/>
                  </pic:spPr>
                </pic:pic>
              </a:graphicData>
            </a:graphic>
          </wp:inline>
        </w:drawing>
      </w:r>
    </w:p>
    <w:p w14:paraId="33AC46F9" w14:textId="77777777" w:rsidR="00006DCB" w:rsidRPr="004F7A38" w:rsidRDefault="00006DCB" w:rsidP="00162BD6">
      <w:pPr>
        <w:pBdr>
          <w:top w:val="nil"/>
          <w:left w:val="nil"/>
          <w:bottom w:val="nil"/>
          <w:right w:val="nil"/>
          <w:between w:val="nil"/>
        </w:pBdr>
        <w:rPr>
          <w:b/>
          <w:i/>
        </w:rPr>
      </w:pPr>
    </w:p>
    <w:p w14:paraId="732B9705" w14:textId="77777777" w:rsidR="00006DCB" w:rsidRPr="004F7A38" w:rsidRDefault="0006513B" w:rsidP="00162BD6">
      <w:pPr>
        <w:numPr>
          <w:ilvl w:val="0"/>
          <w:numId w:val="2"/>
        </w:numPr>
        <w:pBdr>
          <w:top w:val="nil"/>
          <w:left w:val="nil"/>
          <w:bottom w:val="nil"/>
          <w:right w:val="nil"/>
          <w:between w:val="nil"/>
        </w:pBdr>
        <w:rPr>
          <w:b/>
          <w:i/>
        </w:rPr>
      </w:pPr>
      <w:r w:rsidRPr="004F7A38">
        <w:t xml:space="preserve">Tesorero Municipal: Señaló una liga en donde puede consultar la información solicitada, así como adjunta en </w:t>
      </w:r>
      <w:r w:rsidRPr="004F7A38">
        <w:rPr>
          <w:i/>
        </w:rPr>
        <w:t>pdf</w:t>
      </w:r>
      <w:r w:rsidRPr="004F7A38">
        <w:t xml:space="preserve"> el Estado Analítico del ejercicio del presupuesto de egresos, clasificación por  objeto del gasto del 2025.</w:t>
      </w:r>
    </w:p>
    <w:p w14:paraId="6A4D8F7A" w14:textId="77777777" w:rsidR="00006DCB" w:rsidRPr="004F7A38" w:rsidRDefault="00006DCB" w:rsidP="00162BD6">
      <w:pPr>
        <w:pBdr>
          <w:top w:val="nil"/>
          <w:left w:val="nil"/>
          <w:bottom w:val="nil"/>
          <w:right w:val="nil"/>
          <w:between w:val="nil"/>
        </w:pBdr>
        <w:rPr>
          <w:b/>
          <w:i/>
        </w:rPr>
      </w:pPr>
    </w:p>
    <w:p w14:paraId="3C86347B" w14:textId="77777777" w:rsidR="00006DCB" w:rsidRPr="004F7A38" w:rsidRDefault="0006513B" w:rsidP="00162BD6">
      <w:pPr>
        <w:numPr>
          <w:ilvl w:val="0"/>
          <w:numId w:val="2"/>
        </w:numPr>
        <w:pBdr>
          <w:top w:val="nil"/>
          <w:left w:val="nil"/>
          <w:bottom w:val="nil"/>
          <w:right w:val="nil"/>
          <w:between w:val="nil"/>
        </w:pBdr>
        <w:rPr>
          <w:b/>
          <w:i/>
        </w:rPr>
      </w:pPr>
      <w:r w:rsidRPr="004F7A38">
        <w:t>Directora General de Administración: Informa que el Comité de Transparencia, aprobó un cambio de modalidad a consulta directa de la información requerida.</w:t>
      </w:r>
    </w:p>
    <w:p w14:paraId="03982183" w14:textId="77777777" w:rsidR="00006DCB" w:rsidRPr="004F7A38" w:rsidRDefault="00006DCB" w:rsidP="00162BD6">
      <w:pPr>
        <w:pBdr>
          <w:top w:val="nil"/>
          <w:left w:val="nil"/>
          <w:bottom w:val="nil"/>
          <w:right w:val="nil"/>
          <w:between w:val="nil"/>
        </w:pBdr>
      </w:pPr>
    </w:p>
    <w:p w14:paraId="7E4A555C" w14:textId="77777777" w:rsidR="00006DCB" w:rsidRPr="004F7A38" w:rsidRDefault="0006513B" w:rsidP="00162BD6">
      <w:r w:rsidRPr="004F7A38">
        <w:t xml:space="preserve">En esta tesitura, una vez conocida la respuesta, </w:t>
      </w:r>
      <w:r w:rsidRPr="004F7A38">
        <w:rPr>
          <w:b/>
        </w:rPr>
        <w:t>LA PARTE RECURRENTE</w:t>
      </w:r>
      <w:r w:rsidRPr="004F7A38">
        <w:t xml:space="preserve"> se inconformó por la entrega de información incompleta. </w:t>
      </w:r>
    </w:p>
    <w:p w14:paraId="04B9A229" w14:textId="77777777" w:rsidR="00006DCB" w:rsidRPr="004F7A38" w:rsidRDefault="00006DCB" w:rsidP="00162BD6"/>
    <w:p w14:paraId="608EBC8F" w14:textId="77777777" w:rsidR="00006DCB" w:rsidRPr="004F7A38" w:rsidRDefault="0006513B" w:rsidP="00162BD6">
      <w:r w:rsidRPr="004F7A38">
        <w:t xml:space="preserve">Abierta la etapa de instrucción, </w:t>
      </w:r>
      <w:r w:rsidRPr="004F7A38">
        <w:rPr>
          <w:b/>
        </w:rPr>
        <w:t>EL SUJETO OBLIGADO</w:t>
      </w:r>
      <w:r w:rsidRPr="004F7A38">
        <w:t xml:space="preserve"> rindió su Informe Justificado, ratificando en todas y cada una de sus partes la respuesta primigenia proporcionada. </w:t>
      </w:r>
      <w:r w:rsidRPr="004F7A38">
        <w:rPr>
          <w:b/>
        </w:rPr>
        <w:t xml:space="preserve">LA PARTE RECURRENTE </w:t>
      </w:r>
      <w:r w:rsidRPr="004F7A38">
        <w:t>omitió realizar las manifestaciones que a su derecho conviniera.</w:t>
      </w:r>
    </w:p>
    <w:p w14:paraId="5EE4A698" w14:textId="77777777" w:rsidR="00006DCB" w:rsidRPr="004F7A38" w:rsidRDefault="00006DCB" w:rsidP="00162BD6"/>
    <w:p w14:paraId="04D7FD99" w14:textId="77777777" w:rsidR="00006DCB" w:rsidRPr="004F7A38" w:rsidRDefault="0006513B" w:rsidP="00162BD6">
      <w:pPr>
        <w:tabs>
          <w:tab w:val="left" w:pos="709"/>
        </w:tabs>
      </w:pPr>
      <w:r w:rsidRPr="004F7A38">
        <w:t xml:space="preserve">Bajo las premisas anteriores, se concluye que la controversia a dilucidar en el presente medio de impugnación será verificar si la información proporcionada por </w:t>
      </w:r>
      <w:r w:rsidRPr="004F7A38">
        <w:rPr>
          <w:b/>
        </w:rPr>
        <w:t xml:space="preserve">EL SUJETO OBLIGADO </w:t>
      </w:r>
      <w:r w:rsidRPr="004F7A38">
        <w:t xml:space="preserve">en respuesta y en informe justificado, es adecuada y suficiente para tener por satisfecho el derecho de acceso a la información pública de </w:t>
      </w:r>
      <w:r w:rsidRPr="004F7A38">
        <w:rPr>
          <w:b/>
        </w:rPr>
        <w:t>LA PARTE RECURRENTE</w:t>
      </w:r>
      <w:r w:rsidRPr="004F7A38">
        <w:t xml:space="preserve"> o, en su caso, ordenar la entrega de la información que corresponda. </w:t>
      </w:r>
    </w:p>
    <w:p w14:paraId="6D288B08" w14:textId="77777777" w:rsidR="00006DCB" w:rsidRPr="004F7A38" w:rsidRDefault="00006DCB" w:rsidP="00162BD6">
      <w:pPr>
        <w:tabs>
          <w:tab w:val="left" w:pos="709"/>
        </w:tabs>
      </w:pPr>
    </w:p>
    <w:p w14:paraId="476A9171" w14:textId="77777777" w:rsidR="00006DCB" w:rsidRPr="004F7A38" w:rsidRDefault="0006513B" w:rsidP="00162BD6">
      <w:pPr>
        <w:pStyle w:val="Ttulo3"/>
      </w:pPr>
      <w:bookmarkStart w:id="26" w:name="_Toc208357881"/>
      <w:r w:rsidRPr="004F7A38">
        <w:t>c) Estudio de la controversia</w:t>
      </w:r>
      <w:bookmarkEnd w:id="26"/>
    </w:p>
    <w:p w14:paraId="5E5A664E" w14:textId="77777777" w:rsidR="00006DCB" w:rsidRPr="004F7A38" w:rsidRDefault="0006513B" w:rsidP="00162BD6">
      <w:pPr>
        <w:ind w:right="49"/>
      </w:pPr>
      <w:r w:rsidRPr="004F7A38">
        <w:t>Una vez establecidas las posturas de las partes, es indispensable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4D139866" w14:textId="77777777" w:rsidR="00006DCB" w:rsidRPr="004F7A38" w:rsidRDefault="00006DCB" w:rsidP="00162BD6">
      <w:pPr>
        <w:ind w:right="49"/>
      </w:pPr>
    </w:p>
    <w:p w14:paraId="03CA67A3" w14:textId="77777777" w:rsidR="00006DCB" w:rsidRPr="004F7A38" w:rsidRDefault="0006513B" w:rsidP="00162BD6">
      <w:r w:rsidRPr="004F7A38">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06F67EE2" w14:textId="77777777" w:rsidR="00006DCB" w:rsidRPr="004F7A38" w:rsidRDefault="00006DCB" w:rsidP="00162BD6"/>
    <w:p w14:paraId="396E4D17" w14:textId="77777777" w:rsidR="00006DCB" w:rsidRPr="004F7A38" w:rsidRDefault="0006513B" w:rsidP="00162BD6">
      <w:pPr>
        <w:ind w:right="51"/>
      </w:pPr>
      <w:r w:rsidRPr="004F7A38">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Sujetos Obligados, de apoyar, gestionar y entregar la información o datos personales que se ubiquen en la misma, a sus respectivas unidades de transparencia; respecto de las solicitudes </w:t>
      </w:r>
      <w:r w:rsidRPr="004F7A38">
        <w:lastRenderedPageBreak/>
        <w:t>presentadas, y aportar en primera instancia el fundamento y motivación de la clasificación de la información, teniendo como función buscar, localizar y en su caso entregar la información solicitada, así como integrar y presentar al responsable de la Unidad 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57902C8B" w14:textId="77777777" w:rsidR="00006DCB" w:rsidRPr="004F7A38" w:rsidRDefault="0006513B" w:rsidP="00162BD6">
      <w:pPr>
        <w:spacing w:before="240" w:after="240"/>
      </w:pPr>
      <w:r w:rsidRPr="004F7A38">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109AB62" w14:textId="77777777" w:rsidR="00006DCB" w:rsidRPr="004F7A38" w:rsidRDefault="00006DCB" w:rsidP="00162BD6">
      <w:pPr>
        <w:spacing w:before="240" w:after="240"/>
      </w:pPr>
    </w:p>
    <w:p w14:paraId="7B00B51A" w14:textId="77777777" w:rsidR="00006DCB" w:rsidRPr="004F7A38" w:rsidRDefault="0006513B" w:rsidP="00162BD6">
      <w:pPr>
        <w:pBdr>
          <w:top w:val="nil"/>
          <w:left w:val="nil"/>
          <w:bottom w:val="nil"/>
          <w:right w:val="nil"/>
          <w:between w:val="nil"/>
        </w:pBdr>
        <w:ind w:right="-25"/>
      </w:pPr>
      <w:r w:rsidRPr="004F7A38">
        <w:t>En esta línea de pensamiento, derivado del análisis de las constancias que obran en el expediente electrónico en el que se actúa, se advirtió que la Unidad de Transparencia, turnó la solicitud de información para su atención al Instituto Municipal de la Mujer, Tesorero Municipal y a la Dirección General de Administración, al considerarlas las competentes que en el ejercicio de sus funciones, pudiesen poseer con la información materia de la solicitud.</w:t>
      </w:r>
    </w:p>
    <w:p w14:paraId="653092DD" w14:textId="77777777" w:rsidR="00006DCB" w:rsidRPr="004F7A38" w:rsidRDefault="0006513B" w:rsidP="00162BD6">
      <w:pPr>
        <w:spacing w:before="280" w:after="280"/>
      </w:pPr>
      <w:r w:rsidRPr="004F7A38">
        <w:t>En este tenor, el Instituto Municipal de la Mujer cuenta con su propia estructura orgánica para el estudio, planeación y despacho de los asuntos de su competencia, así como para atender las acciones de control y evaluación que le corresponden, como se desprende del artículo 13 del Reglamento Interno de dicho Instituto, a saber:</w:t>
      </w:r>
    </w:p>
    <w:p w14:paraId="137F2232" w14:textId="77777777" w:rsidR="00006DCB" w:rsidRPr="004F7A38" w:rsidRDefault="0006513B" w:rsidP="00162BD6">
      <w:pPr>
        <w:spacing w:before="120" w:after="120" w:line="240" w:lineRule="auto"/>
        <w:ind w:left="851" w:right="902"/>
        <w:rPr>
          <w:i/>
        </w:rPr>
      </w:pPr>
      <w:r w:rsidRPr="004F7A38">
        <w:rPr>
          <w:i/>
        </w:rPr>
        <w:lastRenderedPageBreak/>
        <w:t>“</w:t>
      </w:r>
      <w:r w:rsidRPr="004F7A38">
        <w:rPr>
          <w:b/>
          <w:i/>
        </w:rPr>
        <w:t>Artículo 13.</w:t>
      </w:r>
      <w:r w:rsidRPr="004F7A38">
        <w:rPr>
          <w:i/>
        </w:rPr>
        <w:t xml:space="preserve"> Para el estudio, planeación y despacho de los asuntos de su competencia, así como para atender las acciones de control y evaluación que le corresponden, la persona titular de la Dirección General se auxiliará de las siguientes unidades administrativas básicas:</w:t>
      </w:r>
    </w:p>
    <w:p w14:paraId="0F4F9FF3" w14:textId="77777777" w:rsidR="00006DCB" w:rsidRPr="004F7A38" w:rsidRDefault="0006513B" w:rsidP="00162BD6">
      <w:pPr>
        <w:spacing w:line="240" w:lineRule="auto"/>
        <w:ind w:left="851" w:right="902"/>
        <w:rPr>
          <w:i/>
        </w:rPr>
      </w:pPr>
      <w:r w:rsidRPr="004F7A38">
        <w:rPr>
          <w:i/>
        </w:rPr>
        <w:t xml:space="preserve">I. Órgano Interno de Control; </w:t>
      </w:r>
    </w:p>
    <w:p w14:paraId="7CB7E133" w14:textId="77777777" w:rsidR="00006DCB" w:rsidRPr="004F7A38" w:rsidRDefault="0006513B" w:rsidP="00162BD6">
      <w:pPr>
        <w:spacing w:line="240" w:lineRule="auto"/>
        <w:ind w:left="851" w:right="902"/>
        <w:rPr>
          <w:i/>
        </w:rPr>
      </w:pPr>
      <w:r w:rsidRPr="004F7A38">
        <w:rPr>
          <w:i/>
        </w:rPr>
        <w:t xml:space="preserve">II. Unidad de Información, Planeación, Programación y Evaluación; </w:t>
      </w:r>
    </w:p>
    <w:p w14:paraId="35475D03" w14:textId="77777777" w:rsidR="00006DCB" w:rsidRPr="004F7A38" w:rsidRDefault="0006513B" w:rsidP="00162BD6">
      <w:pPr>
        <w:spacing w:line="240" w:lineRule="auto"/>
        <w:ind w:left="851" w:right="902"/>
        <w:rPr>
          <w:i/>
        </w:rPr>
      </w:pPr>
      <w:r w:rsidRPr="004F7A38">
        <w:rPr>
          <w:b/>
          <w:i/>
        </w:rPr>
        <w:t>III. Coordinación de Administración y Finanzas</w:t>
      </w:r>
      <w:r w:rsidRPr="004F7A38">
        <w:rPr>
          <w:i/>
        </w:rPr>
        <w:t xml:space="preserve">; </w:t>
      </w:r>
    </w:p>
    <w:p w14:paraId="0DC7FCC2" w14:textId="77777777" w:rsidR="00006DCB" w:rsidRPr="004F7A38" w:rsidRDefault="0006513B" w:rsidP="00162BD6">
      <w:pPr>
        <w:spacing w:line="240" w:lineRule="auto"/>
        <w:ind w:left="851" w:right="902"/>
        <w:rPr>
          <w:i/>
        </w:rPr>
      </w:pPr>
      <w:r w:rsidRPr="004F7A38">
        <w:rPr>
          <w:i/>
        </w:rPr>
        <w:t xml:space="preserve">IV. Coordinación Integral para la Atención a la Violencia de Género; y </w:t>
      </w:r>
    </w:p>
    <w:p w14:paraId="4C384896" w14:textId="77777777" w:rsidR="00006DCB" w:rsidRPr="004F7A38" w:rsidRDefault="0006513B" w:rsidP="00162BD6">
      <w:pPr>
        <w:spacing w:line="240" w:lineRule="auto"/>
        <w:ind w:left="851" w:right="902"/>
        <w:rPr>
          <w:i/>
        </w:rPr>
      </w:pPr>
      <w:r w:rsidRPr="004F7A38">
        <w:rPr>
          <w:i/>
        </w:rPr>
        <w:t xml:space="preserve">V. Coordinación para el Bienestar Integral de la Mujer. </w:t>
      </w:r>
    </w:p>
    <w:p w14:paraId="26457F7B" w14:textId="77777777" w:rsidR="00006DCB" w:rsidRPr="004F7A38" w:rsidRDefault="0006513B" w:rsidP="00162BD6">
      <w:pPr>
        <w:spacing w:line="240" w:lineRule="auto"/>
        <w:ind w:left="851" w:right="902"/>
        <w:rPr>
          <w:i/>
        </w:rPr>
      </w:pPr>
      <w:r w:rsidRPr="004F7A38">
        <w:rPr>
          <w:i/>
        </w:rPr>
        <w:t>El Instituto contará además, con las unidades administrativas que le sean autorizadas y se auxiliará del personal necesario para el cumplimiento de sus atribuciones, de acuerdo con la estructura orgánica y presupuesto.”</w:t>
      </w:r>
    </w:p>
    <w:p w14:paraId="5338551E" w14:textId="77777777" w:rsidR="00006DCB" w:rsidRPr="004F7A38" w:rsidRDefault="00006DCB" w:rsidP="00162BD6">
      <w:pPr>
        <w:pBdr>
          <w:top w:val="nil"/>
          <w:left w:val="nil"/>
          <w:bottom w:val="nil"/>
          <w:right w:val="nil"/>
          <w:between w:val="nil"/>
        </w:pBdr>
        <w:tabs>
          <w:tab w:val="left" w:pos="284"/>
        </w:tabs>
        <w:ind w:right="49"/>
      </w:pPr>
    </w:p>
    <w:p w14:paraId="33264C05" w14:textId="77777777" w:rsidR="00006DCB" w:rsidRPr="004F7A38" w:rsidRDefault="0006513B" w:rsidP="00162BD6">
      <w:pPr>
        <w:pBdr>
          <w:top w:val="nil"/>
          <w:left w:val="nil"/>
          <w:bottom w:val="nil"/>
          <w:right w:val="nil"/>
          <w:between w:val="nil"/>
        </w:pBdr>
        <w:tabs>
          <w:tab w:val="left" w:pos="284"/>
        </w:tabs>
        <w:ind w:right="49"/>
      </w:pPr>
      <w:r w:rsidRPr="004F7A38">
        <w:t xml:space="preserve">La </w:t>
      </w:r>
      <w:r w:rsidRPr="004F7A38">
        <w:rPr>
          <w:b/>
        </w:rPr>
        <w:t>Coordinación de Administración y Finanzas</w:t>
      </w:r>
      <w:r w:rsidRPr="004F7A38">
        <w:t>, en términos del artículo 17, fracciones VII,VII y IX del Reglamento Interno del Instituto Municipal de la Mujer, es responsable de formular conjuntamente con las demás unidades administrativas del Instituto, los programas anuales de adquisiciones, arrendamientos y servicios, de acuerdo con las disposiciones legales aplicables, programas de trabajo y proyectos de presupuesto respectivo; de coordinar, y en su caso, ejecutar los procedimientos de adquisición y/o arrendamiento de bienes y servicios de acuerdo a los lineamientos y/o reglas de operación de los recursos gestionados por el Instituto; y de proponer a la Dirección General la suscripción de contratos y convenios derivados de los procedimientos adquisitivos de bienes y servicios, con base en la normatividad aplicable.</w:t>
      </w:r>
    </w:p>
    <w:p w14:paraId="5F3F39C6" w14:textId="77777777" w:rsidR="00006DCB" w:rsidRPr="004F7A38" w:rsidRDefault="00006DCB" w:rsidP="00162BD6">
      <w:pPr>
        <w:pBdr>
          <w:top w:val="nil"/>
          <w:left w:val="nil"/>
          <w:bottom w:val="nil"/>
          <w:right w:val="nil"/>
          <w:between w:val="nil"/>
        </w:pBdr>
        <w:ind w:right="-25"/>
      </w:pPr>
    </w:p>
    <w:p w14:paraId="17985898" w14:textId="77777777" w:rsidR="00006DCB" w:rsidRPr="004F7A38" w:rsidRDefault="0006513B" w:rsidP="00162BD6">
      <w:pPr>
        <w:pBdr>
          <w:top w:val="nil"/>
          <w:left w:val="nil"/>
          <w:bottom w:val="nil"/>
          <w:right w:val="nil"/>
          <w:between w:val="nil"/>
        </w:pBdr>
        <w:tabs>
          <w:tab w:val="left" w:pos="284"/>
        </w:tabs>
        <w:ind w:right="49"/>
      </w:pPr>
      <w:r w:rsidRPr="004F7A38">
        <w:t>Por su parte, la Dirección General de Administración, de conformidad con el artículo 3.40, del Código Reglamentario Municipal de Toluca, posee las atribuciones siguientes:</w:t>
      </w:r>
    </w:p>
    <w:p w14:paraId="4A8B75C4" w14:textId="77777777" w:rsidR="00006DCB" w:rsidRPr="004F7A38" w:rsidRDefault="00006DCB" w:rsidP="00162BD6">
      <w:pPr>
        <w:pBdr>
          <w:top w:val="nil"/>
          <w:left w:val="nil"/>
          <w:bottom w:val="nil"/>
          <w:right w:val="nil"/>
          <w:between w:val="nil"/>
        </w:pBdr>
        <w:tabs>
          <w:tab w:val="left" w:pos="284"/>
        </w:tabs>
        <w:ind w:right="49"/>
      </w:pPr>
    </w:p>
    <w:p w14:paraId="6331C308" w14:textId="77777777" w:rsidR="00006DCB" w:rsidRPr="004F7A38" w:rsidRDefault="0006513B" w:rsidP="00162BD6">
      <w:pPr>
        <w:pBdr>
          <w:top w:val="nil"/>
          <w:left w:val="nil"/>
          <w:bottom w:val="nil"/>
          <w:right w:val="nil"/>
          <w:between w:val="nil"/>
        </w:pBdr>
        <w:tabs>
          <w:tab w:val="left" w:pos="284"/>
        </w:tabs>
        <w:spacing w:before="120" w:after="120" w:line="240" w:lineRule="auto"/>
        <w:ind w:left="851" w:right="902"/>
        <w:rPr>
          <w:i/>
        </w:rPr>
      </w:pPr>
      <w:r w:rsidRPr="004F7A38">
        <w:rPr>
          <w:i/>
        </w:rPr>
        <w:t>“</w:t>
      </w:r>
      <w:r w:rsidRPr="004F7A38">
        <w:rPr>
          <w:b/>
          <w:i/>
        </w:rPr>
        <w:t>Artículo 3.40.</w:t>
      </w:r>
      <w:r w:rsidRPr="004F7A38">
        <w:rPr>
          <w:i/>
        </w:rPr>
        <w:t xml:space="preserve"> La o el titular de la Dirección General de Administración, tiene las siguientes atribuciones:</w:t>
      </w:r>
    </w:p>
    <w:p w14:paraId="0713FA27" w14:textId="77777777" w:rsidR="00006DCB" w:rsidRPr="004F7A38" w:rsidRDefault="0006513B" w:rsidP="00162BD6">
      <w:pPr>
        <w:pBdr>
          <w:top w:val="nil"/>
          <w:left w:val="nil"/>
          <w:bottom w:val="nil"/>
          <w:right w:val="nil"/>
          <w:between w:val="nil"/>
        </w:pBdr>
        <w:tabs>
          <w:tab w:val="left" w:pos="284"/>
        </w:tabs>
        <w:spacing w:before="120" w:after="120" w:line="240" w:lineRule="auto"/>
        <w:ind w:left="851" w:right="902"/>
        <w:rPr>
          <w:i/>
        </w:rPr>
      </w:pPr>
      <w:r w:rsidRPr="004F7A38">
        <w:rPr>
          <w:i/>
        </w:rPr>
        <w:t>...</w:t>
      </w:r>
    </w:p>
    <w:p w14:paraId="24706164" w14:textId="77777777" w:rsidR="00006DCB" w:rsidRPr="004F7A38" w:rsidRDefault="0006513B" w:rsidP="00162BD6">
      <w:pPr>
        <w:pBdr>
          <w:top w:val="nil"/>
          <w:left w:val="nil"/>
          <w:bottom w:val="nil"/>
          <w:right w:val="nil"/>
          <w:between w:val="nil"/>
        </w:pBdr>
        <w:tabs>
          <w:tab w:val="left" w:pos="284"/>
        </w:tabs>
        <w:spacing w:before="120" w:after="120" w:line="240" w:lineRule="auto"/>
        <w:ind w:left="851" w:right="902"/>
        <w:rPr>
          <w:i/>
        </w:rPr>
      </w:pPr>
      <w:r w:rsidRPr="004F7A38">
        <w:rPr>
          <w:b/>
          <w:i/>
        </w:rPr>
        <w:lastRenderedPageBreak/>
        <w:t>VII</w:t>
      </w:r>
      <w:r w:rsidRPr="004F7A38">
        <w:rPr>
          <w:i/>
        </w:rPr>
        <w:t xml:space="preserve">. </w:t>
      </w:r>
      <w:r w:rsidRPr="004F7A38">
        <w:rPr>
          <w:b/>
          <w:i/>
        </w:rPr>
        <w:t>Intervenir, vigilar y dar el seguimiento correspondiente a todos los procedimientos de adquisición, arrendamiento de inmuebles, contratación de servicios, enajenación y subasta de bienes</w:t>
      </w:r>
      <w:r w:rsidRPr="004F7A38">
        <w:rPr>
          <w:i/>
        </w:rPr>
        <w:t>, conforme a los lineamientos establecidos en la normatividad correspondiente;</w:t>
      </w:r>
    </w:p>
    <w:p w14:paraId="06550E27" w14:textId="77777777" w:rsidR="00006DCB" w:rsidRPr="004F7A38" w:rsidRDefault="0006513B" w:rsidP="00162BD6">
      <w:pPr>
        <w:pBdr>
          <w:top w:val="nil"/>
          <w:left w:val="nil"/>
          <w:bottom w:val="nil"/>
          <w:right w:val="nil"/>
          <w:between w:val="nil"/>
        </w:pBdr>
        <w:tabs>
          <w:tab w:val="left" w:pos="284"/>
        </w:tabs>
        <w:spacing w:before="120" w:after="120" w:line="240" w:lineRule="auto"/>
        <w:ind w:left="851" w:right="902"/>
        <w:rPr>
          <w:i/>
        </w:rPr>
      </w:pPr>
      <w:r w:rsidRPr="004F7A38">
        <w:rPr>
          <w:i/>
        </w:rPr>
        <w:t>...</w:t>
      </w:r>
    </w:p>
    <w:p w14:paraId="080C92F6" w14:textId="77777777" w:rsidR="00006DCB" w:rsidRPr="004F7A38" w:rsidRDefault="0006513B" w:rsidP="00162BD6">
      <w:pPr>
        <w:pBdr>
          <w:top w:val="nil"/>
          <w:left w:val="nil"/>
          <w:bottom w:val="nil"/>
          <w:right w:val="nil"/>
          <w:between w:val="nil"/>
        </w:pBdr>
        <w:tabs>
          <w:tab w:val="left" w:pos="284"/>
        </w:tabs>
        <w:spacing w:before="120" w:after="120" w:line="240" w:lineRule="auto"/>
        <w:ind w:left="851" w:right="902"/>
        <w:rPr>
          <w:i/>
        </w:rPr>
      </w:pPr>
      <w:r w:rsidRPr="004F7A38">
        <w:rPr>
          <w:b/>
          <w:i/>
        </w:rPr>
        <w:t>X.</w:t>
      </w:r>
      <w:r w:rsidRPr="004F7A38">
        <w:rPr>
          <w:i/>
        </w:rPr>
        <w:t xml:space="preserve"> </w:t>
      </w:r>
      <w:r w:rsidRPr="004F7A38">
        <w:rPr>
          <w:b/>
          <w:i/>
        </w:rPr>
        <w:t>Supervisar y vigilar que los procedimientos de licitaciones públicas, así como sus excepciones,</w:t>
      </w:r>
      <w:r w:rsidRPr="004F7A38">
        <w:rPr>
          <w:i/>
        </w:rPr>
        <w:t xml:space="preserve"> se desarrollen conforme lo establece la normatividad respectiva y en estricto apego a los lineamientos establecidos de eficiencia, eficacia, honradez y transparencia;</w:t>
      </w:r>
    </w:p>
    <w:p w14:paraId="656EA1F6" w14:textId="77777777" w:rsidR="00006DCB" w:rsidRPr="004F7A38" w:rsidRDefault="00006DCB" w:rsidP="00162BD6">
      <w:pPr>
        <w:pBdr>
          <w:top w:val="nil"/>
          <w:left w:val="nil"/>
          <w:bottom w:val="nil"/>
          <w:right w:val="nil"/>
          <w:between w:val="nil"/>
        </w:pBdr>
        <w:tabs>
          <w:tab w:val="left" w:pos="284"/>
        </w:tabs>
        <w:ind w:right="49"/>
      </w:pPr>
    </w:p>
    <w:p w14:paraId="604835DA" w14:textId="77777777" w:rsidR="00006DCB" w:rsidRPr="004F7A38" w:rsidRDefault="0006513B" w:rsidP="00162BD6">
      <w:pPr>
        <w:pBdr>
          <w:top w:val="nil"/>
          <w:left w:val="nil"/>
          <w:bottom w:val="nil"/>
          <w:right w:val="nil"/>
          <w:between w:val="nil"/>
        </w:pBdr>
        <w:tabs>
          <w:tab w:val="left" w:pos="284"/>
        </w:tabs>
        <w:ind w:right="49"/>
      </w:pPr>
      <w:r w:rsidRPr="004F7A38">
        <w:t>Del precepto citado, se desprende que la Dirección General de Administración, cuenta con facultades para conocer de los procedimientos de adquisición en todas sus modalidades, en el ámbito de sus competencias, lo cual realiza a través de la Dirección de Recursos Materiales, cuyas funciones se encuentran establecidas en el artículo 3.43 del Código Reglamentario Municipal de Toluca, entre las que destacan las siguientes para el tema que nos ocupa:</w:t>
      </w:r>
    </w:p>
    <w:p w14:paraId="4D46E415" w14:textId="77777777" w:rsidR="00006DCB" w:rsidRPr="004F7A38" w:rsidRDefault="00006DCB" w:rsidP="00162BD6">
      <w:pPr>
        <w:pBdr>
          <w:top w:val="nil"/>
          <w:left w:val="nil"/>
          <w:bottom w:val="nil"/>
          <w:right w:val="nil"/>
          <w:between w:val="nil"/>
        </w:pBdr>
        <w:tabs>
          <w:tab w:val="left" w:pos="284"/>
        </w:tabs>
        <w:ind w:right="49"/>
      </w:pPr>
    </w:p>
    <w:p w14:paraId="33A8C515" w14:textId="77777777" w:rsidR="00006DCB" w:rsidRPr="004F7A38" w:rsidRDefault="0006513B" w:rsidP="00162BD6">
      <w:pPr>
        <w:pBdr>
          <w:top w:val="nil"/>
          <w:left w:val="nil"/>
          <w:bottom w:val="nil"/>
          <w:right w:val="nil"/>
          <w:between w:val="nil"/>
        </w:pBdr>
        <w:tabs>
          <w:tab w:val="left" w:pos="284"/>
        </w:tabs>
        <w:ind w:left="284" w:right="49"/>
      </w:pPr>
      <w:r w:rsidRPr="004F7A38">
        <w:t>- Llevar a cabo los procedimientos para la adquisición de los bienes y servicios y el arrendamiento, adquisición y enajenación de inmuebles en estricto apego a las disposiciones legales aplicables;</w:t>
      </w:r>
    </w:p>
    <w:p w14:paraId="6C9D8D18" w14:textId="77777777" w:rsidR="00006DCB" w:rsidRPr="004F7A38" w:rsidRDefault="0006513B" w:rsidP="00162BD6">
      <w:pPr>
        <w:pBdr>
          <w:top w:val="nil"/>
          <w:left w:val="nil"/>
          <w:bottom w:val="nil"/>
          <w:right w:val="nil"/>
          <w:between w:val="nil"/>
        </w:pBdr>
        <w:tabs>
          <w:tab w:val="left" w:pos="284"/>
        </w:tabs>
        <w:ind w:left="284" w:right="49"/>
      </w:pPr>
      <w:r w:rsidRPr="004F7A38">
        <w:t xml:space="preserve">- Autorizar y suscribir los pedidos-contrato que se finquen relativos a procedimientos de adquisiciones y compras de bienes, materiales y suministros; </w:t>
      </w:r>
    </w:p>
    <w:p w14:paraId="733AC315" w14:textId="77777777" w:rsidR="00006DCB" w:rsidRPr="004F7A38" w:rsidRDefault="0006513B" w:rsidP="00162BD6">
      <w:pPr>
        <w:pBdr>
          <w:top w:val="nil"/>
          <w:left w:val="nil"/>
          <w:bottom w:val="nil"/>
          <w:right w:val="nil"/>
          <w:between w:val="nil"/>
        </w:pBdr>
        <w:tabs>
          <w:tab w:val="left" w:pos="284"/>
        </w:tabs>
        <w:ind w:left="284" w:right="49"/>
      </w:pPr>
      <w:r w:rsidRPr="004F7A38">
        <w:t>- Elaborar los contratos de adquisición de los bienes y servicios y de arrendamiento, adquisición y enajenación de inmuebles de competencia municipal;</w:t>
      </w:r>
    </w:p>
    <w:p w14:paraId="305AF617" w14:textId="77777777" w:rsidR="00006DCB" w:rsidRPr="004F7A38" w:rsidRDefault="0006513B" w:rsidP="00162BD6">
      <w:pPr>
        <w:spacing w:before="240" w:after="240"/>
      </w:pPr>
      <w:r w:rsidRPr="004F7A38">
        <w:lastRenderedPageBreak/>
        <w:t>Finalmente, al área de Tesorería le compete de conformidad con el Manual General de Organización de la Tesorería Municipal del Ayuntamiento de Toluca</w:t>
      </w:r>
      <w:r w:rsidRPr="004F7A38">
        <w:rPr>
          <w:vertAlign w:val="superscript"/>
        </w:rPr>
        <w:footnoteReference w:id="1"/>
      </w:r>
      <w:r w:rsidRPr="004F7A38">
        <w:t xml:space="preserve">, las siguientes atribuciones: </w:t>
      </w:r>
    </w:p>
    <w:p w14:paraId="2C9F94C4" w14:textId="77777777" w:rsidR="00006DCB" w:rsidRPr="004F7A38" w:rsidRDefault="0006513B" w:rsidP="00162BD6">
      <w:pPr>
        <w:spacing w:line="276" w:lineRule="auto"/>
        <w:ind w:left="851" w:right="616"/>
        <w:rPr>
          <w:b/>
          <w:i/>
        </w:rPr>
      </w:pPr>
      <w:r w:rsidRPr="004F7A38">
        <w:rPr>
          <w:b/>
          <w:i/>
        </w:rPr>
        <w:t>“202010000 Tesorería Municipal</w:t>
      </w:r>
    </w:p>
    <w:p w14:paraId="011AF6D4" w14:textId="77777777" w:rsidR="00006DCB" w:rsidRPr="004F7A38" w:rsidRDefault="0006513B" w:rsidP="00162BD6">
      <w:pPr>
        <w:spacing w:line="276" w:lineRule="auto"/>
        <w:ind w:left="851" w:right="616"/>
        <w:rPr>
          <w:i/>
        </w:rPr>
      </w:pPr>
      <w:r w:rsidRPr="004F7A38">
        <w:rPr>
          <w:b/>
          <w:i/>
        </w:rPr>
        <w:t>OBJETIVO:</w:t>
      </w:r>
      <w:r w:rsidRPr="004F7A38">
        <w:rPr>
          <w:i/>
        </w:rPr>
        <w:t xml:space="preserve"> Recaudar, administrar, operar, registrar y glosar los recursos que componen la hacienda pública con la finalidad de mantener finanzas sanas y contar con la suficiencia económica para cumplir con las obligaciones, funciones y atribuciones del gobierno municipal de Toluca..</w:t>
      </w:r>
    </w:p>
    <w:p w14:paraId="027BCB68" w14:textId="77777777" w:rsidR="00006DCB" w:rsidRPr="004F7A38" w:rsidRDefault="00006DCB" w:rsidP="00162BD6">
      <w:pPr>
        <w:spacing w:line="276" w:lineRule="auto"/>
        <w:ind w:left="851" w:right="616"/>
        <w:rPr>
          <w:i/>
        </w:rPr>
      </w:pPr>
    </w:p>
    <w:p w14:paraId="62370496" w14:textId="77777777" w:rsidR="00006DCB" w:rsidRPr="004F7A38" w:rsidRDefault="0006513B" w:rsidP="00162BD6">
      <w:pPr>
        <w:spacing w:line="276" w:lineRule="auto"/>
        <w:ind w:left="851" w:right="616"/>
        <w:rPr>
          <w:b/>
          <w:i/>
        </w:rPr>
      </w:pPr>
      <w:r w:rsidRPr="004F7A38">
        <w:rPr>
          <w:b/>
          <w:i/>
        </w:rPr>
        <w:t xml:space="preserve">FUNCIONES: </w:t>
      </w:r>
    </w:p>
    <w:p w14:paraId="73B7CF7B" w14:textId="77777777" w:rsidR="00006DCB" w:rsidRPr="004F7A38" w:rsidRDefault="0006513B" w:rsidP="00162BD6">
      <w:pPr>
        <w:spacing w:line="276" w:lineRule="auto"/>
        <w:ind w:left="851" w:right="616"/>
        <w:rPr>
          <w:i/>
        </w:rPr>
      </w:pPr>
      <w:r w:rsidRPr="004F7A38">
        <w:rPr>
          <w:i/>
        </w:rPr>
        <w:t xml:space="preserve">… </w:t>
      </w:r>
    </w:p>
    <w:p w14:paraId="6D9FA33B" w14:textId="77777777" w:rsidR="00006DCB" w:rsidRPr="004F7A38" w:rsidRDefault="0006513B" w:rsidP="00162BD6">
      <w:pPr>
        <w:spacing w:line="276" w:lineRule="auto"/>
        <w:ind w:left="851" w:right="616"/>
        <w:rPr>
          <w:i/>
        </w:rPr>
      </w:pPr>
      <w:r w:rsidRPr="004F7A38">
        <w:rPr>
          <w:i/>
        </w:rPr>
        <w:t xml:space="preserve">14. Administrar la hacienda pública municipal de conformidad con las disposiciones legales;   </w:t>
      </w:r>
    </w:p>
    <w:p w14:paraId="204610E3" w14:textId="77777777" w:rsidR="00006DCB" w:rsidRPr="004F7A38" w:rsidRDefault="00006DCB" w:rsidP="00162BD6">
      <w:pPr>
        <w:spacing w:line="276" w:lineRule="auto"/>
        <w:ind w:left="851" w:right="616"/>
        <w:rPr>
          <w:i/>
        </w:rPr>
      </w:pPr>
    </w:p>
    <w:p w14:paraId="3B029115" w14:textId="77777777" w:rsidR="00006DCB" w:rsidRPr="004F7A38" w:rsidRDefault="0006513B" w:rsidP="00162BD6">
      <w:pPr>
        <w:spacing w:line="276" w:lineRule="auto"/>
        <w:ind w:left="851" w:right="616"/>
        <w:rPr>
          <w:b/>
          <w:i/>
        </w:rPr>
      </w:pPr>
      <w:r w:rsidRPr="004F7A38">
        <w:rPr>
          <w:b/>
          <w:i/>
        </w:rPr>
        <w:t xml:space="preserve">202010002 Delegación Administrativa </w:t>
      </w:r>
    </w:p>
    <w:p w14:paraId="6C84AA71" w14:textId="77777777" w:rsidR="00006DCB" w:rsidRPr="004F7A38" w:rsidRDefault="0006513B" w:rsidP="00162BD6">
      <w:pPr>
        <w:spacing w:line="276" w:lineRule="auto"/>
        <w:ind w:left="851" w:right="616"/>
        <w:rPr>
          <w:b/>
          <w:i/>
        </w:rPr>
      </w:pPr>
      <w:r w:rsidRPr="004F7A38">
        <w:rPr>
          <w:b/>
          <w:i/>
        </w:rPr>
        <w:t>…</w:t>
      </w:r>
    </w:p>
    <w:p w14:paraId="388BACC2" w14:textId="77777777" w:rsidR="00006DCB" w:rsidRPr="004F7A38" w:rsidRDefault="0006513B" w:rsidP="00162BD6">
      <w:pPr>
        <w:spacing w:line="276" w:lineRule="auto"/>
        <w:ind w:left="851" w:right="616"/>
        <w:rPr>
          <w:i/>
        </w:rPr>
      </w:pPr>
      <w:r w:rsidRPr="004F7A38">
        <w:rPr>
          <w:i/>
        </w:rPr>
        <w:t xml:space="preserve">5. Verificar el cumplimiento de los requisitos fiscales en la documentación soporte y comprobatoria que genere el egreso del presupuesto autorizado, a efecto de tramitar el pago de facturas a los proveedores o prestadores de servicios y darle seguimiento;  </w:t>
      </w:r>
    </w:p>
    <w:p w14:paraId="616F641E" w14:textId="77777777" w:rsidR="00006DCB" w:rsidRPr="004F7A38" w:rsidRDefault="0006513B" w:rsidP="00162BD6">
      <w:pPr>
        <w:spacing w:line="276" w:lineRule="auto"/>
        <w:ind w:left="851" w:right="616"/>
        <w:rPr>
          <w:i/>
        </w:rPr>
      </w:pPr>
      <w:r w:rsidRPr="004F7A38">
        <w:rPr>
          <w:i/>
        </w:rPr>
        <w:t>…</w:t>
      </w:r>
    </w:p>
    <w:p w14:paraId="0960C458" w14:textId="77777777" w:rsidR="00006DCB" w:rsidRPr="004F7A38" w:rsidRDefault="0006513B" w:rsidP="00162BD6">
      <w:pPr>
        <w:spacing w:line="276" w:lineRule="auto"/>
        <w:ind w:left="851" w:right="616"/>
        <w:rPr>
          <w:i/>
        </w:rPr>
      </w:pPr>
      <w:r w:rsidRPr="004F7A38">
        <w:rPr>
          <w:i/>
        </w:rPr>
        <w:t>13. Recibir, revisar y validar en su caso, las facturas presentadas por los proveedores de bienes y servicios para garantizar que cumplan con todos los requisitos fiscales de acuerdo al Código Fiscal de la Federación;</w:t>
      </w:r>
    </w:p>
    <w:p w14:paraId="60591798" w14:textId="77777777" w:rsidR="00006DCB" w:rsidRPr="004F7A38" w:rsidRDefault="00006DCB" w:rsidP="00162BD6">
      <w:pPr>
        <w:spacing w:line="276" w:lineRule="auto"/>
        <w:ind w:left="851" w:right="616"/>
        <w:rPr>
          <w:i/>
        </w:rPr>
      </w:pPr>
    </w:p>
    <w:p w14:paraId="54EB01D4" w14:textId="77777777" w:rsidR="00006DCB" w:rsidRPr="004F7A38" w:rsidRDefault="0006513B" w:rsidP="00162BD6">
      <w:pPr>
        <w:ind w:left="142" w:right="49"/>
      </w:pPr>
      <w:r w:rsidRPr="004F7A38">
        <w:t xml:space="preserve">Por lo anterior, se determina que </w:t>
      </w:r>
      <w:r w:rsidRPr="004F7A38">
        <w:rPr>
          <w:b/>
        </w:rPr>
        <w:t>EL SUJETO OBLIGADO</w:t>
      </w:r>
      <w:r w:rsidRPr="004F7A38">
        <w:t xml:space="preserve"> siguió el procedimiento establecido por el artículo 162 de la Ley de Transparencia y Acceso a la Información Pública del Estado de México y Municipios, ya que turnó la solicitud al área en la que podría obrar la información de conformidad con la fracción XXXIX del artículo tercero de la legislación local vigente en materia de transparencia: </w:t>
      </w:r>
    </w:p>
    <w:p w14:paraId="56B1F329" w14:textId="77777777" w:rsidR="00006DCB" w:rsidRPr="004F7A38" w:rsidRDefault="00006DCB" w:rsidP="00162BD6">
      <w:pPr>
        <w:ind w:left="142" w:right="49"/>
      </w:pPr>
    </w:p>
    <w:p w14:paraId="03CA613C" w14:textId="77777777" w:rsidR="00006DCB" w:rsidRPr="004F7A38" w:rsidRDefault="0006513B" w:rsidP="00162BD6">
      <w:pPr>
        <w:pStyle w:val="Puesto"/>
        <w:ind w:firstLine="0"/>
        <w:rPr>
          <w:color w:val="auto"/>
        </w:rPr>
      </w:pPr>
      <w:r w:rsidRPr="004F7A38">
        <w:rPr>
          <w:b/>
          <w:color w:val="auto"/>
        </w:rPr>
        <w:t>XXXIX. Servidor público habilitado</w:t>
      </w:r>
      <w:r w:rsidRPr="004F7A38">
        <w:rPr>
          <w:color w:val="auto"/>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w:t>
      </w:r>
    </w:p>
    <w:p w14:paraId="0600FF83" w14:textId="77777777" w:rsidR="00006DCB" w:rsidRPr="004F7A38" w:rsidRDefault="00006DCB" w:rsidP="00162BD6"/>
    <w:p w14:paraId="6F56E75B" w14:textId="77777777" w:rsidR="00006DCB" w:rsidRPr="004F7A38" w:rsidRDefault="0006513B" w:rsidP="00162BD6">
      <w:pPr>
        <w:pBdr>
          <w:top w:val="nil"/>
          <w:left w:val="nil"/>
          <w:bottom w:val="nil"/>
          <w:right w:val="nil"/>
          <w:between w:val="nil"/>
        </w:pBdr>
      </w:pPr>
      <w:r w:rsidRPr="004F7A38">
        <w:t>En este orden de ideas, se advierte que efectivamente la Unidad de Transparencia cumplió con lo expresado en el artículo 162 de la Ley de Transparencia y Acceso a la Información Pública del Estado de México y Municipios, el cual menciona lo siguiente:</w:t>
      </w:r>
    </w:p>
    <w:p w14:paraId="73F672AF" w14:textId="77777777" w:rsidR="00006DCB" w:rsidRPr="004F7A38" w:rsidRDefault="00006DCB" w:rsidP="00162BD6"/>
    <w:p w14:paraId="509AA1AE" w14:textId="77777777" w:rsidR="00006DCB" w:rsidRPr="004F7A38" w:rsidRDefault="0006513B" w:rsidP="00162BD6">
      <w:pPr>
        <w:pStyle w:val="Puesto"/>
        <w:ind w:firstLine="0"/>
        <w:rPr>
          <w:color w:val="auto"/>
        </w:rPr>
      </w:pPr>
      <w:r w:rsidRPr="004F7A38">
        <w:rPr>
          <w:color w:val="auto"/>
        </w:rPr>
        <w:t>“</w:t>
      </w:r>
      <w:r w:rsidRPr="004F7A38">
        <w:rPr>
          <w:b/>
          <w:color w:val="auto"/>
        </w:rPr>
        <w:t>Artículo 162.</w:t>
      </w:r>
      <w:r w:rsidRPr="004F7A38">
        <w:rPr>
          <w:color w:val="auto"/>
        </w:rPr>
        <w:t xml:space="preserve"> Las unidades de transparencia deberán garantizar que las solicitudes </w:t>
      </w:r>
      <w:r w:rsidRPr="004F7A38">
        <w:rPr>
          <w:b/>
          <w:color w:val="auto"/>
        </w:rPr>
        <w:t xml:space="preserve">se turnen a todas las Áreas competentes </w:t>
      </w:r>
      <w:r w:rsidRPr="004F7A38">
        <w:rPr>
          <w:color w:val="auto"/>
        </w:rPr>
        <w:t>que cuenten con la información o deban tenerla de acuerdo a sus facultades, competencias y funciones, con el objeto de que realicen una búsqueda exhaustiva y razonable de la información solicitada.”</w:t>
      </w:r>
    </w:p>
    <w:p w14:paraId="57395EA9" w14:textId="77777777" w:rsidR="00006DCB" w:rsidRPr="004F7A38" w:rsidRDefault="00006DCB" w:rsidP="00162BD6">
      <w:pPr>
        <w:pBdr>
          <w:top w:val="nil"/>
          <w:left w:val="nil"/>
          <w:bottom w:val="nil"/>
          <w:right w:val="nil"/>
          <w:between w:val="nil"/>
        </w:pBdr>
        <w:ind w:right="-25"/>
      </w:pPr>
    </w:p>
    <w:p w14:paraId="4EF15A0D" w14:textId="77777777" w:rsidR="00006DCB" w:rsidRPr="004F7A38" w:rsidRDefault="0006513B" w:rsidP="00162BD6">
      <w:pPr>
        <w:pBdr>
          <w:top w:val="nil"/>
          <w:left w:val="nil"/>
          <w:bottom w:val="nil"/>
          <w:right w:val="nil"/>
          <w:between w:val="nil"/>
        </w:pBdr>
        <w:ind w:right="-25"/>
      </w:pPr>
      <w:r w:rsidRPr="004F7A38">
        <w:t xml:space="preserve">Establecido lo anterior, por lo que corresponde a la materia de la solicitud, de las constancias que obran en EL SAIMEX, se advierte que el pronunciamiento del </w:t>
      </w:r>
      <w:r w:rsidRPr="004F7A38">
        <w:rPr>
          <w:b/>
        </w:rPr>
        <w:t xml:space="preserve">SUJETO OBLIGADO </w:t>
      </w:r>
      <w:r w:rsidRPr="004F7A38">
        <w:t>a fin de atender el requerimiento en cuestión, de manera medular refirió lo siguiente:</w:t>
      </w:r>
    </w:p>
    <w:p w14:paraId="1C188AB4" w14:textId="77777777" w:rsidR="00006DCB" w:rsidRPr="004F7A38" w:rsidRDefault="00006DCB" w:rsidP="00162BD6">
      <w:pPr>
        <w:pBdr>
          <w:top w:val="nil"/>
          <w:left w:val="nil"/>
          <w:bottom w:val="nil"/>
          <w:right w:val="nil"/>
          <w:between w:val="nil"/>
        </w:pBdr>
        <w:ind w:right="-25"/>
      </w:pPr>
    </w:p>
    <w:p w14:paraId="748DD708" w14:textId="77777777" w:rsidR="00006DCB" w:rsidRPr="004F7A38" w:rsidRDefault="0006513B" w:rsidP="00162BD6">
      <w:pPr>
        <w:numPr>
          <w:ilvl w:val="0"/>
          <w:numId w:val="3"/>
        </w:numPr>
        <w:pBdr>
          <w:top w:val="nil"/>
          <w:left w:val="nil"/>
          <w:bottom w:val="nil"/>
          <w:right w:val="nil"/>
          <w:between w:val="nil"/>
        </w:pBdr>
        <w:ind w:right="-25"/>
      </w:pPr>
      <w:r w:rsidRPr="004F7A38">
        <w:t>Manifestó que la información obraba en un link.</w:t>
      </w:r>
    </w:p>
    <w:p w14:paraId="007F3E3A" w14:textId="77777777" w:rsidR="00006DCB" w:rsidRPr="004F7A38" w:rsidRDefault="0006513B" w:rsidP="00162BD6">
      <w:pPr>
        <w:numPr>
          <w:ilvl w:val="0"/>
          <w:numId w:val="3"/>
        </w:numPr>
        <w:pBdr>
          <w:top w:val="nil"/>
          <w:left w:val="nil"/>
          <w:bottom w:val="nil"/>
          <w:right w:val="nil"/>
          <w:between w:val="nil"/>
        </w:pBdr>
        <w:ind w:right="-25"/>
      </w:pPr>
      <w:r w:rsidRPr="004F7A38">
        <w:t>Señaló que la información obra en el Estado Analítico del ejercicio del presupuesto de egresos, clasificación por  objeto del gasto del 2025.</w:t>
      </w:r>
    </w:p>
    <w:p w14:paraId="2C82F556" w14:textId="77777777" w:rsidR="00006DCB" w:rsidRPr="004F7A38" w:rsidRDefault="0006513B" w:rsidP="00162BD6">
      <w:pPr>
        <w:numPr>
          <w:ilvl w:val="0"/>
          <w:numId w:val="3"/>
        </w:numPr>
        <w:pBdr>
          <w:top w:val="nil"/>
          <w:left w:val="nil"/>
          <w:bottom w:val="nil"/>
          <w:right w:val="nil"/>
          <w:between w:val="nil"/>
        </w:pBdr>
        <w:ind w:right="-25"/>
      </w:pPr>
      <w:r w:rsidRPr="004F7A38">
        <w:t>Realizó un cambio de modalidad.</w:t>
      </w:r>
    </w:p>
    <w:p w14:paraId="370ABBE9" w14:textId="77777777" w:rsidR="00006DCB" w:rsidRPr="004F7A38" w:rsidRDefault="00006DCB" w:rsidP="00162BD6">
      <w:pPr>
        <w:pBdr>
          <w:top w:val="nil"/>
          <w:left w:val="nil"/>
          <w:bottom w:val="nil"/>
          <w:right w:val="nil"/>
          <w:between w:val="nil"/>
        </w:pBdr>
        <w:ind w:right="-25"/>
      </w:pPr>
    </w:p>
    <w:p w14:paraId="31D7AC8E" w14:textId="77777777" w:rsidR="00006DCB" w:rsidRPr="004F7A38" w:rsidRDefault="0006513B" w:rsidP="00162BD6">
      <w:pPr>
        <w:pBdr>
          <w:top w:val="nil"/>
          <w:left w:val="nil"/>
          <w:bottom w:val="nil"/>
          <w:right w:val="nil"/>
          <w:between w:val="nil"/>
        </w:pBdr>
        <w:ind w:right="-25"/>
      </w:pPr>
      <w:r w:rsidRPr="004F7A38">
        <w:t>En ese tenor, por cuanto hace al link referido, siendo de manera específica el siguiente:</w:t>
      </w:r>
    </w:p>
    <w:p w14:paraId="3A0389B8" w14:textId="77777777" w:rsidR="00006DCB" w:rsidRPr="004F7A38" w:rsidRDefault="00006DCB" w:rsidP="00162BD6">
      <w:pPr>
        <w:pBdr>
          <w:top w:val="nil"/>
          <w:left w:val="nil"/>
          <w:bottom w:val="nil"/>
          <w:right w:val="nil"/>
          <w:between w:val="nil"/>
        </w:pBdr>
        <w:ind w:right="-25"/>
      </w:pPr>
    </w:p>
    <w:p w14:paraId="34C73249" w14:textId="77777777" w:rsidR="00006DCB" w:rsidRPr="004F7A38" w:rsidRDefault="0006513B" w:rsidP="00162BD6">
      <w:pPr>
        <w:pBdr>
          <w:top w:val="nil"/>
          <w:left w:val="nil"/>
          <w:bottom w:val="nil"/>
          <w:right w:val="nil"/>
          <w:between w:val="nil"/>
        </w:pBdr>
        <w:ind w:right="-25"/>
        <w:jc w:val="center"/>
      </w:pPr>
      <w:r w:rsidRPr="004F7A38">
        <w:rPr>
          <w:b/>
          <w:i/>
          <w:noProof/>
        </w:rPr>
        <w:drawing>
          <wp:inline distT="0" distB="0" distL="0" distR="0" wp14:anchorId="11F42D6C" wp14:editId="5F7F4F57">
            <wp:extent cx="2629267" cy="238158"/>
            <wp:effectExtent l="0" t="0" r="0" b="0"/>
            <wp:docPr id="77020157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2629267" cy="238158"/>
                    </a:xfrm>
                    <a:prstGeom prst="rect">
                      <a:avLst/>
                    </a:prstGeom>
                    <a:ln/>
                  </pic:spPr>
                </pic:pic>
              </a:graphicData>
            </a:graphic>
          </wp:inline>
        </w:drawing>
      </w:r>
    </w:p>
    <w:p w14:paraId="58E0D736" w14:textId="77777777" w:rsidR="00006DCB" w:rsidRPr="004F7A38" w:rsidRDefault="0006513B" w:rsidP="00162BD6">
      <w:pPr>
        <w:pBdr>
          <w:top w:val="nil"/>
          <w:left w:val="nil"/>
          <w:bottom w:val="nil"/>
          <w:right w:val="nil"/>
          <w:between w:val="nil"/>
        </w:pBdr>
        <w:ind w:right="-25"/>
      </w:pPr>
      <w:r w:rsidRPr="004F7A38">
        <w:lastRenderedPageBreak/>
        <w:t xml:space="preserve">En ese sentido, se considera conveniente señalar que el artículo 161 de la de Transparencia y Acceso a la Información Pública del Estado de México y Municipios, dispone que cuando la información pública requerida por el solicitante ya esté disponible al público en formatos electrónicos disponibles en internet se deberá hacer del conocimiento del particular por el medio requerido la fuente, el lugar y la forma en que se puede consultar la información, dentro de un plazo no mayor a cinco días, como a continuación se observa: </w:t>
      </w:r>
    </w:p>
    <w:p w14:paraId="44AD1167" w14:textId="77777777" w:rsidR="00006DCB" w:rsidRPr="004F7A38" w:rsidRDefault="00006DCB" w:rsidP="00162BD6">
      <w:pPr>
        <w:pBdr>
          <w:top w:val="nil"/>
          <w:left w:val="nil"/>
          <w:bottom w:val="nil"/>
          <w:right w:val="nil"/>
          <w:between w:val="nil"/>
        </w:pBdr>
        <w:ind w:right="-25"/>
        <w:rPr>
          <w:i/>
        </w:rPr>
      </w:pPr>
    </w:p>
    <w:p w14:paraId="3E816DA4" w14:textId="77777777" w:rsidR="00006DCB" w:rsidRPr="004F7A38" w:rsidRDefault="0006513B" w:rsidP="00162BD6">
      <w:pPr>
        <w:pStyle w:val="Puesto"/>
        <w:ind w:firstLine="0"/>
        <w:rPr>
          <w:color w:val="auto"/>
        </w:rPr>
      </w:pPr>
      <w:r w:rsidRPr="004F7A38">
        <w:rPr>
          <w:color w:val="auto"/>
        </w:rPr>
        <w:t>“</w:t>
      </w:r>
      <w:r w:rsidRPr="004F7A38">
        <w:rPr>
          <w:b/>
          <w:color w:val="auto"/>
        </w:rPr>
        <w:t>Artículo 161.</w:t>
      </w:r>
      <w:r w:rsidRPr="004F7A38">
        <w:rPr>
          <w:color w:val="auto"/>
        </w:rPr>
        <w:t xml:space="preserve">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w:t>
      </w:r>
      <w:r w:rsidRPr="004F7A38">
        <w:rPr>
          <w:b/>
          <w:color w:val="auto"/>
        </w:rPr>
        <w:t>la forma</w:t>
      </w:r>
      <w:r w:rsidRPr="004F7A38">
        <w:rPr>
          <w:color w:val="auto"/>
        </w:rPr>
        <w:t xml:space="preserve"> en que puede consultar, reproducir o adquirir dicha información en un plazo no mayor a cinco días hábiles.</w:t>
      </w:r>
      <w:r w:rsidRPr="004F7A38">
        <w:rPr>
          <w:b/>
          <w:color w:val="auto"/>
        </w:rPr>
        <w:t xml:space="preserve"> La fuente deberá ser precisa y concreta y no debe implicar que el solicitante realice una búsqueda en toda la información que se encuentre disponible.</w:t>
      </w:r>
      <w:r w:rsidRPr="004F7A38">
        <w:rPr>
          <w:color w:val="auto"/>
        </w:rPr>
        <w:t>”</w:t>
      </w:r>
    </w:p>
    <w:p w14:paraId="06580286" w14:textId="77777777" w:rsidR="00006DCB" w:rsidRPr="004F7A38" w:rsidRDefault="00006DCB" w:rsidP="00162BD6">
      <w:pPr>
        <w:pBdr>
          <w:top w:val="nil"/>
          <w:left w:val="nil"/>
          <w:bottom w:val="nil"/>
          <w:right w:val="nil"/>
          <w:between w:val="nil"/>
        </w:pBdr>
        <w:ind w:right="-25"/>
      </w:pPr>
    </w:p>
    <w:p w14:paraId="79658F44" w14:textId="77777777" w:rsidR="00006DCB" w:rsidRPr="004F7A38" w:rsidRDefault="0006513B" w:rsidP="00162BD6">
      <w:pPr>
        <w:pBdr>
          <w:top w:val="nil"/>
          <w:left w:val="nil"/>
          <w:bottom w:val="nil"/>
          <w:right w:val="nil"/>
          <w:between w:val="nil"/>
        </w:pBdr>
        <w:ind w:right="-25"/>
      </w:pPr>
      <w:r w:rsidRPr="004F7A38">
        <w:t xml:space="preserve">Así las cosas este Órgano Garante advierte que la información que pretendía entregar </w:t>
      </w:r>
      <w:r w:rsidRPr="004F7A38">
        <w:rPr>
          <w:b/>
        </w:rPr>
        <w:t>EL</w:t>
      </w:r>
      <w:r w:rsidRPr="004F7A38">
        <w:t xml:space="preserve"> </w:t>
      </w:r>
      <w:r w:rsidRPr="004F7A38">
        <w:rPr>
          <w:b/>
        </w:rPr>
        <w:t xml:space="preserve">SUJETO OBLIGADO </w:t>
      </w:r>
      <w:r w:rsidRPr="004F7A38">
        <w:t xml:space="preserve">mediante respuesta, no se encuentra acorde a lo que establece la Ley de la materia, pues en primer término no se realizó dentro de los primero cinco días; pues la solicitud fue recibida el </w:t>
      </w:r>
      <w:r w:rsidRPr="004F7A38">
        <w:rPr>
          <w:b/>
          <w:u w:val="single"/>
        </w:rPr>
        <w:t>trece de mayo de dos mil veinticinco</w:t>
      </w:r>
      <w:r w:rsidRPr="004F7A38">
        <w:t xml:space="preserve"> y la respuesta fue proporcionada </w:t>
      </w:r>
      <w:r w:rsidRPr="004F7A38">
        <w:rPr>
          <w:b/>
          <w:u w:val="single"/>
        </w:rPr>
        <w:t>veintisiete de junio de dos mil veinticinco</w:t>
      </w:r>
      <w:r w:rsidRPr="004F7A38">
        <w:t xml:space="preserve">; es decir al décimo quinto día hábil, cuando la solicitud debió ser atendida a más tardar el </w:t>
      </w:r>
      <w:r w:rsidRPr="004F7A38">
        <w:rPr>
          <w:b/>
          <w:u w:val="single"/>
        </w:rPr>
        <w:t>veinte de mayo de dos mil veinticinco</w:t>
      </w:r>
      <w:r w:rsidRPr="004F7A38">
        <w:t>.</w:t>
      </w:r>
    </w:p>
    <w:p w14:paraId="48361392" w14:textId="77777777" w:rsidR="00006DCB" w:rsidRPr="004F7A38" w:rsidRDefault="00006DCB" w:rsidP="00162BD6">
      <w:pPr>
        <w:pBdr>
          <w:top w:val="nil"/>
          <w:left w:val="nil"/>
          <w:bottom w:val="nil"/>
          <w:right w:val="nil"/>
          <w:between w:val="nil"/>
        </w:pBdr>
        <w:ind w:right="-25"/>
      </w:pPr>
    </w:p>
    <w:p w14:paraId="5D99A938" w14:textId="77777777" w:rsidR="00006DCB" w:rsidRPr="004F7A38" w:rsidRDefault="0006513B" w:rsidP="00162BD6">
      <w:pPr>
        <w:pBdr>
          <w:top w:val="nil"/>
          <w:left w:val="nil"/>
          <w:bottom w:val="nil"/>
          <w:right w:val="nil"/>
          <w:between w:val="nil"/>
        </w:pBdr>
        <w:ind w:right="-25"/>
      </w:pPr>
      <w:r w:rsidRPr="004F7A38">
        <w:t>De lo que, se estima que la orientación no cumple con lo dispuesto en el artículo 161 de la Ley de Transparencia y Acceso a la Información Pública del Estado de México y Municipios</w:t>
      </w:r>
      <w:r w:rsidRPr="004F7A38">
        <w:rPr>
          <w:i/>
        </w:rPr>
        <w:t xml:space="preserve">, </w:t>
      </w:r>
      <w:r w:rsidRPr="004F7A38">
        <w:t xml:space="preserve">el cual establece las características que debe tener la información desde el momento en el que se genera, su publicación y entrega; así como el procedimiento a seguir por los Sujetos Obligados para informar a los solicitantes sobre información que se encuentre disponible en libros, compendios, formatos electrónicos, entre otros, haciéndole saber al solicitante como podrá </w:t>
      </w:r>
      <w:r w:rsidRPr="004F7A38">
        <w:lastRenderedPageBreak/>
        <w:t xml:space="preserve">consultar, reproducir o adquirir la información, en un plazo no mayor </w:t>
      </w:r>
      <w:r w:rsidRPr="004F7A38">
        <w:rPr>
          <w:b/>
          <w:u w:val="single"/>
        </w:rPr>
        <w:t>a cinco días hábiles</w:t>
      </w:r>
      <w:r w:rsidRPr="004F7A38">
        <w:t>, comprendiendo:</w:t>
      </w:r>
    </w:p>
    <w:p w14:paraId="6AFDB9BC" w14:textId="77777777" w:rsidR="00006DCB" w:rsidRPr="004F7A38" w:rsidRDefault="00006DCB" w:rsidP="00162BD6">
      <w:pPr>
        <w:pBdr>
          <w:top w:val="nil"/>
          <w:left w:val="nil"/>
          <w:bottom w:val="nil"/>
          <w:right w:val="nil"/>
          <w:between w:val="nil"/>
        </w:pBdr>
        <w:ind w:right="-25"/>
      </w:pPr>
    </w:p>
    <w:p w14:paraId="22CB4CD2" w14:textId="77777777" w:rsidR="00006DCB" w:rsidRPr="004F7A38" w:rsidRDefault="0006513B" w:rsidP="00162BD6">
      <w:pPr>
        <w:pBdr>
          <w:top w:val="nil"/>
          <w:left w:val="nil"/>
          <w:bottom w:val="nil"/>
          <w:right w:val="nil"/>
          <w:between w:val="nil"/>
        </w:pBdr>
        <w:ind w:right="-25"/>
      </w:pPr>
      <w:r w:rsidRPr="004F7A38">
        <w:t>a) La fuente</w:t>
      </w:r>
    </w:p>
    <w:p w14:paraId="6C4EE0F0" w14:textId="77777777" w:rsidR="00006DCB" w:rsidRPr="004F7A38" w:rsidRDefault="0006513B" w:rsidP="00162BD6">
      <w:pPr>
        <w:pBdr>
          <w:top w:val="nil"/>
          <w:left w:val="nil"/>
          <w:bottom w:val="nil"/>
          <w:right w:val="nil"/>
          <w:between w:val="nil"/>
        </w:pBdr>
        <w:ind w:right="-25"/>
      </w:pPr>
      <w:r w:rsidRPr="004F7A38">
        <w:t>b) El lugar y</w:t>
      </w:r>
    </w:p>
    <w:p w14:paraId="2918506C" w14:textId="77777777" w:rsidR="00006DCB" w:rsidRPr="004F7A38" w:rsidRDefault="0006513B" w:rsidP="00162BD6">
      <w:pPr>
        <w:pBdr>
          <w:top w:val="nil"/>
          <w:left w:val="nil"/>
          <w:bottom w:val="nil"/>
          <w:right w:val="nil"/>
          <w:between w:val="nil"/>
        </w:pBdr>
        <w:ind w:right="-25"/>
      </w:pPr>
      <w:r w:rsidRPr="004F7A38">
        <w:t>c) La forma</w:t>
      </w:r>
    </w:p>
    <w:p w14:paraId="24D2152E" w14:textId="77777777" w:rsidR="00006DCB" w:rsidRPr="004F7A38" w:rsidRDefault="0006513B" w:rsidP="00162BD6">
      <w:pPr>
        <w:pBdr>
          <w:top w:val="nil"/>
          <w:left w:val="nil"/>
          <w:bottom w:val="nil"/>
          <w:right w:val="nil"/>
          <w:between w:val="nil"/>
        </w:pBdr>
        <w:ind w:right="-25"/>
      </w:pPr>
      <w:r w:rsidRPr="004F7A38">
        <w:t>Asimismo, se establece que la fuente de la información deberá ser:</w:t>
      </w:r>
    </w:p>
    <w:p w14:paraId="2A83464D" w14:textId="77777777" w:rsidR="00006DCB" w:rsidRPr="004F7A38" w:rsidRDefault="0006513B" w:rsidP="00162BD6">
      <w:pPr>
        <w:pBdr>
          <w:top w:val="nil"/>
          <w:left w:val="nil"/>
          <w:bottom w:val="nil"/>
          <w:right w:val="nil"/>
          <w:between w:val="nil"/>
        </w:pBdr>
        <w:ind w:right="-25"/>
      </w:pPr>
      <w:r w:rsidRPr="004F7A38">
        <w:t>a) Precisa</w:t>
      </w:r>
    </w:p>
    <w:p w14:paraId="092CC17B" w14:textId="77777777" w:rsidR="00006DCB" w:rsidRPr="004F7A38" w:rsidRDefault="0006513B" w:rsidP="00162BD6">
      <w:pPr>
        <w:pBdr>
          <w:top w:val="nil"/>
          <w:left w:val="nil"/>
          <w:bottom w:val="nil"/>
          <w:right w:val="nil"/>
          <w:between w:val="nil"/>
        </w:pBdr>
        <w:ind w:right="-25"/>
      </w:pPr>
      <w:r w:rsidRPr="004F7A38">
        <w:t>b) Concreta</w:t>
      </w:r>
    </w:p>
    <w:p w14:paraId="1507466E" w14:textId="77777777" w:rsidR="00006DCB" w:rsidRPr="004F7A38" w:rsidRDefault="0006513B" w:rsidP="00162BD6">
      <w:pPr>
        <w:pBdr>
          <w:top w:val="nil"/>
          <w:left w:val="nil"/>
          <w:bottom w:val="nil"/>
          <w:right w:val="nil"/>
          <w:between w:val="nil"/>
        </w:pBdr>
        <w:ind w:right="-25"/>
      </w:pPr>
      <w:r w:rsidRPr="004F7A38">
        <w:t>c) Y no debe implicar que el solicitante realice una búsqueda en toda la información que se encuentre disponible.</w:t>
      </w:r>
    </w:p>
    <w:p w14:paraId="5325AD05" w14:textId="77777777" w:rsidR="00006DCB" w:rsidRPr="004F7A38" w:rsidRDefault="00006DCB" w:rsidP="00162BD6">
      <w:pPr>
        <w:pBdr>
          <w:top w:val="nil"/>
          <w:left w:val="nil"/>
          <w:bottom w:val="nil"/>
          <w:right w:val="nil"/>
          <w:between w:val="nil"/>
        </w:pBdr>
        <w:ind w:right="-25"/>
      </w:pPr>
    </w:p>
    <w:p w14:paraId="676B8875" w14:textId="77777777" w:rsidR="00006DCB" w:rsidRPr="004F7A38" w:rsidRDefault="0006513B" w:rsidP="00162BD6">
      <w:pPr>
        <w:pBdr>
          <w:top w:val="nil"/>
          <w:left w:val="nil"/>
          <w:bottom w:val="nil"/>
          <w:right w:val="nil"/>
          <w:between w:val="nil"/>
        </w:pBdr>
        <w:ind w:right="-25"/>
      </w:pPr>
      <w:r w:rsidRPr="004F7A38">
        <w:t>Imperativos legales que establecen el procedimiento que deben seguir los Sujetos Obligados para que pueda tomarse como válida su orientación sobre la forma en que puede consultar la información requerida.</w:t>
      </w:r>
    </w:p>
    <w:p w14:paraId="235EE312" w14:textId="77777777" w:rsidR="00006DCB" w:rsidRPr="004F7A38" w:rsidRDefault="00006DCB" w:rsidP="00162BD6">
      <w:pPr>
        <w:pBdr>
          <w:top w:val="nil"/>
          <w:left w:val="nil"/>
          <w:bottom w:val="nil"/>
          <w:right w:val="nil"/>
          <w:between w:val="nil"/>
        </w:pBdr>
        <w:ind w:right="-25"/>
      </w:pPr>
    </w:p>
    <w:p w14:paraId="0A39F8F7" w14:textId="77777777" w:rsidR="00006DCB" w:rsidRPr="004F7A38" w:rsidRDefault="0006513B" w:rsidP="00162BD6">
      <w:pPr>
        <w:pBdr>
          <w:top w:val="nil"/>
          <w:left w:val="nil"/>
          <w:bottom w:val="nil"/>
          <w:right w:val="nil"/>
          <w:between w:val="nil"/>
        </w:pBdr>
        <w:ind w:right="-25"/>
      </w:pPr>
      <w:r w:rsidRPr="004F7A38">
        <w:t>Los cuales en el presente asunto no aconteció, pues si bien es cierto le proporcionó un link, también lo es que él mismo se encuentra en un formato cerrado, además de que no le señaló el procedimiento a seguir para consultar la información.</w:t>
      </w:r>
    </w:p>
    <w:p w14:paraId="6D10E3E2" w14:textId="77777777" w:rsidR="00006DCB" w:rsidRPr="004F7A38" w:rsidRDefault="00006DCB" w:rsidP="00162BD6">
      <w:pPr>
        <w:pBdr>
          <w:top w:val="nil"/>
          <w:left w:val="nil"/>
          <w:bottom w:val="nil"/>
          <w:right w:val="nil"/>
          <w:between w:val="nil"/>
        </w:pBdr>
        <w:ind w:right="-25"/>
      </w:pPr>
    </w:p>
    <w:p w14:paraId="3C03523B" w14:textId="77777777" w:rsidR="00006DCB" w:rsidRPr="004F7A38" w:rsidRDefault="0006513B" w:rsidP="00162BD6">
      <w:pPr>
        <w:pBdr>
          <w:top w:val="nil"/>
          <w:left w:val="nil"/>
          <w:bottom w:val="nil"/>
          <w:right w:val="nil"/>
          <w:between w:val="nil"/>
        </w:pBdr>
        <w:ind w:right="-25"/>
      </w:pPr>
      <w:r w:rsidRPr="004F7A38">
        <w:t>Al respecto, cabe destacar que Trujillo, Humberto (2019), en el “Diccionario de Transparencia y Acceso a la Información Pública” (p. 136 y 137), precisa que cuando un Sujeto Obligado proporciona información pública de manera electrónica es necesario garantizar su interoperabilidad, lo cual se traduce al hecho a que la información contenga datos en formatos y estándares abiertos para su reproducción y reutilización electrónica de manera libre y sin ninguna restricción.</w:t>
      </w:r>
    </w:p>
    <w:p w14:paraId="66768875" w14:textId="77777777" w:rsidR="00006DCB" w:rsidRPr="004F7A38" w:rsidRDefault="0006513B" w:rsidP="00162BD6">
      <w:pPr>
        <w:pBdr>
          <w:top w:val="nil"/>
          <w:left w:val="nil"/>
          <w:bottom w:val="nil"/>
          <w:right w:val="nil"/>
          <w:between w:val="nil"/>
        </w:pBdr>
        <w:ind w:right="-25"/>
      </w:pPr>
      <w:r w:rsidRPr="004F7A38">
        <w:lastRenderedPageBreak/>
        <w:t> </w:t>
      </w:r>
    </w:p>
    <w:p w14:paraId="6C5DE756" w14:textId="77777777" w:rsidR="00006DCB" w:rsidRPr="004F7A38" w:rsidRDefault="0006513B" w:rsidP="00162BD6">
      <w:pPr>
        <w:pBdr>
          <w:top w:val="nil"/>
          <w:left w:val="nil"/>
          <w:bottom w:val="nil"/>
          <w:right w:val="nil"/>
          <w:between w:val="nil"/>
        </w:pBdr>
        <w:ind w:right="-25"/>
      </w:pPr>
      <w:r w:rsidRPr="004F7A38">
        <w:t>Asimismo, establece que al proporcionar información pública es necesario que sea en un formato que no tenga ninguna restricción en el acceso o reutilización, por lo que, es necesario que los datos digitales (como ligas electrónicas), se proporcionen en un formato abierto.</w:t>
      </w:r>
    </w:p>
    <w:p w14:paraId="6980D197" w14:textId="77777777" w:rsidR="00006DCB" w:rsidRPr="004F7A38" w:rsidRDefault="0006513B" w:rsidP="00162BD6">
      <w:pPr>
        <w:pBdr>
          <w:top w:val="nil"/>
          <w:left w:val="nil"/>
          <w:bottom w:val="nil"/>
          <w:right w:val="nil"/>
          <w:between w:val="nil"/>
        </w:pBdr>
        <w:ind w:right="-25"/>
      </w:pPr>
      <w:r w:rsidRPr="004F7A38">
        <w:t> </w:t>
      </w:r>
    </w:p>
    <w:p w14:paraId="0DF577BC" w14:textId="77777777" w:rsidR="00006DCB" w:rsidRPr="004F7A38" w:rsidRDefault="0006513B" w:rsidP="00162BD6">
      <w:pPr>
        <w:pBdr>
          <w:top w:val="nil"/>
          <w:left w:val="nil"/>
          <w:bottom w:val="nil"/>
          <w:right w:val="nil"/>
          <w:between w:val="nil"/>
        </w:pBdr>
        <w:ind w:right="-25"/>
        <w:rPr>
          <w:b/>
          <w:i/>
        </w:rPr>
      </w:pPr>
      <w:r w:rsidRPr="004F7A38">
        <w:t>Derivado de lo anterior, se considera necesario precisar que datos abiertos, conforme a la Carta Internacional de Datos Abiertos</w:t>
      </w:r>
      <w:r w:rsidRPr="004F7A38">
        <w:rPr>
          <w:vertAlign w:val="superscript"/>
        </w:rPr>
        <w:footnoteReference w:id="2"/>
      </w:r>
      <w:r w:rsidRPr="004F7A38">
        <w:t xml:space="preserve"> </w:t>
      </w:r>
      <w:r w:rsidRPr="004F7A38">
        <w:rPr>
          <w:i/>
        </w:rPr>
        <w:t xml:space="preserve">son datos digitales que son puestos a disposición con las características técnicas y jurídicas necesarias para que </w:t>
      </w:r>
      <w:r w:rsidRPr="004F7A38">
        <w:rPr>
          <w:b/>
          <w:i/>
        </w:rPr>
        <w:t xml:space="preserve">puedan ser </w:t>
      </w:r>
      <w:r w:rsidRPr="004F7A38">
        <w:rPr>
          <w:b/>
          <w:i/>
          <w:u w:val="single"/>
        </w:rPr>
        <w:t>usados, reutilizados y redistribuidos</w:t>
      </w:r>
      <w:r w:rsidRPr="004F7A38">
        <w:rPr>
          <w:b/>
          <w:i/>
        </w:rPr>
        <w:t xml:space="preserve"> libremente por cualquier persona, en cualquier momento y en cualquier lugar.</w:t>
      </w:r>
    </w:p>
    <w:p w14:paraId="1CFF0DAA" w14:textId="77777777" w:rsidR="00006DCB" w:rsidRPr="004F7A38" w:rsidRDefault="00006DCB" w:rsidP="00162BD6">
      <w:pPr>
        <w:pBdr>
          <w:top w:val="nil"/>
          <w:left w:val="nil"/>
          <w:bottom w:val="nil"/>
          <w:right w:val="nil"/>
          <w:between w:val="nil"/>
        </w:pBdr>
        <w:ind w:right="-25"/>
      </w:pPr>
    </w:p>
    <w:p w14:paraId="7FBBE63B" w14:textId="77777777" w:rsidR="00006DCB" w:rsidRPr="004F7A38" w:rsidRDefault="0006513B" w:rsidP="00162BD6">
      <w:pPr>
        <w:pBdr>
          <w:top w:val="nil"/>
          <w:left w:val="nil"/>
          <w:bottom w:val="nil"/>
          <w:right w:val="nil"/>
          <w:between w:val="nil"/>
        </w:pBdr>
        <w:ind w:right="-25"/>
      </w:pPr>
      <w:r w:rsidRPr="004F7A38">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667C5D77" w14:textId="77777777" w:rsidR="00006DCB" w:rsidRPr="004F7A38" w:rsidRDefault="0006513B" w:rsidP="00162BD6">
      <w:pPr>
        <w:pBdr>
          <w:top w:val="nil"/>
          <w:left w:val="nil"/>
          <w:bottom w:val="nil"/>
          <w:right w:val="nil"/>
          <w:between w:val="nil"/>
        </w:pBdr>
        <w:ind w:right="-25"/>
      </w:pPr>
      <w:r w:rsidRPr="004F7A38">
        <w:t> </w:t>
      </w:r>
    </w:p>
    <w:p w14:paraId="4C1A9E22" w14:textId="77777777" w:rsidR="00006DCB" w:rsidRPr="004F7A38" w:rsidRDefault="0006513B" w:rsidP="00162BD6">
      <w:pPr>
        <w:pBdr>
          <w:top w:val="nil"/>
          <w:left w:val="nil"/>
          <w:bottom w:val="nil"/>
          <w:right w:val="nil"/>
          <w:between w:val="nil"/>
        </w:pBdr>
        <w:ind w:right="-25"/>
      </w:pPr>
      <w:r w:rsidRPr="004F7A38">
        <w:t xml:space="preserve">·         </w:t>
      </w:r>
      <w:r w:rsidRPr="004F7A38">
        <w:rPr>
          <w:b/>
        </w:rPr>
        <w:t xml:space="preserve">Dato abierto: </w:t>
      </w:r>
      <w:r w:rsidRPr="004F7A38">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34315A84" w14:textId="77777777" w:rsidR="00006DCB" w:rsidRPr="004F7A38" w:rsidRDefault="0006513B" w:rsidP="00162BD6">
      <w:pPr>
        <w:pBdr>
          <w:top w:val="nil"/>
          <w:left w:val="nil"/>
          <w:bottom w:val="nil"/>
          <w:right w:val="nil"/>
          <w:between w:val="nil"/>
        </w:pBdr>
        <w:ind w:right="-25"/>
      </w:pPr>
      <w:r w:rsidRPr="004F7A38">
        <w:rPr>
          <w:b/>
        </w:rPr>
        <w:t> </w:t>
      </w:r>
    </w:p>
    <w:p w14:paraId="646A3D76" w14:textId="77777777" w:rsidR="00006DCB" w:rsidRPr="004F7A38" w:rsidRDefault="0006513B" w:rsidP="00162BD6">
      <w:pPr>
        <w:pBdr>
          <w:top w:val="nil"/>
          <w:left w:val="nil"/>
          <w:bottom w:val="nil"/>
          <w:right w:val="nil"/>
          <w:between w:val="nil"/>
        </w:pBdr>
        <w:ind w:right="-25"/>
      </w:pPr>
      <w:r w:rsidRPr="004F7A38">
        <w:t xml:space="preserve">·         </w:t>
      </w:r>
      <w:r w:rsidRPr="004F7A38">
        <w:rPr>
          <w:b/>
        </w:rPr>
        <w:t xml:space="preserve">Formato accesible: </w:t>
      </w:r>
      <w:r w:rsidRPr="004F7A38">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AC4CAF5" w14:textId="77777777" w:rsidR="00006DCB" w:rsidRPr="004F7A38" w:rsidRDefault="00006DCB" w:rsidP="00162BD6">
      <w:pPr>
        <w:pBdr>
          <w:top w:val="nil"/>
          <w:left w:val="nil"/>
          <w:bottom w:val="nil"/>
          <w:right w:val="nil"/>
          <w:between w:val="nil"/>
        </w:pBdr>
        <w:ind w:right="-25"/>
      </w:pPr>
    </w:p>
    <w:p w14:paraId="4AAAF2D8" w14:textId="77777777" w:rsidR="00006DCB" w:rsidRPr="004F7A38" w:rsidRDefault="0006513B" w:rsidP="00162BD6">
      <w:pPr>
        <w:pBdr>
          <w:top w:val="nil"/>
          <w:left w:val="nil"/>
          <w:bottom w:val="nil"/>
          <w:right w:val="nil"/>
          <w:between w:val="nil"/>
        </w:pBdr>
        <w:ind w:right="-25"/>
      </w:pPr>
      <w:r w:rsidRPr="004F7A38">
        <w:lastRenderedPageBreak/>
        <w:t xml:space="preserve">Es así que, los datos abiertos cumplen con la finalidad de poder ser utilizados, </w:t>
      </w:r>
      <w:r w:rsidRPr="004F7A38">
        <w:rPr>
          <w:b/>
          <w:u w:val="single"/>
        </w:rPr>
        <w:t xml:space="preserve">reutilizados </w:t>
      </w:r>
      <w:r w:rsidRPr="004F7A38">
        <w:t xml:space="preserve">y redistribuidos; y que el formato de datos abiertos, </w:t>
      </w:r>
      <w:r w:rsidRPr="004F7A38">
        <w:rPr>
          <w:b/>
        </w:rPr>
        <w:t>debe permitir la aplicación y reproducción</w:t>
      </w:r>
      <w:r w:rsidRPr="004F7A38">
        <w:t xml:space="preserve"> de la información sin estar condicionados a contraprestaciones; lo anterior no debe traducirse en la posibilidad de alteración, edición o modificación del original; entonces, podemos advertir que el documento entregado en formato pdf, no permite seleccionar texto, copiarlo y pegarlo; por tanto, tampoco permite que la información pueda ser utilizada, reutilizada o redistribuida.</w:t>
      </w:r>
    </w:p>
    <w:p w14:paraId="1B331A25" w14:textId="77777777" w:rsidR="00006DCB" w:rsidRPr="004F7A38" w:rsidRDefault="00006DCB" w:rsidP="00162BD6">
      <w:pPr>
        <w:pBdr>
          <w:top w:val="nil"/>
          <w:left w:val="nil"/>
          <w:bottom w:val="nil"/>
          <w:right w:val="nil"/>
          <w:between w:val="nil"/>
        </w:pBdr>
        <w:ind w:right="-25"/>
      </w:pPr>
    </w:p>
    <w:p w14:paraId="127EB078" w14:textId="77777777" w:rsidR="00006DCB" w:rsidRPr="004F7A38" w:rsidRDefault="0006513B" w:rsidP="00162BD6">
      <w:pPr>
        <w:pBdr>
          <w:top w:val="nil"/>
          <w:left w:val="nil"/>
          <w:bottom w:val="nil"/>
          <w:right w:val="nil"/>
          <w:between w:val="nil"/>
        </w:pBdr>
        <w:ind w:right="-25"/>
      </w:pPr>
      <w:r w:rsidRPr="004F7A38">
        <w:t xml:space="preserve">Además es de reiterar que, la dirección electrónica se proporcionó a través de un documento digitalizado, por lo tanto, al no ser posible la edición, modificación, procesamiento, o manipulación de su contenido, es necesario capturar la dirección electrónica dígito por dígito, tarea que resulta compleja si tomamos en consideración la longitud de la dirección electrónica, que además está compuesta por símbolos y caracteres, así como por mayúsculas y minúsculas, lo cual es altamente susceptible a la comisión de errores que impedirían acceder a la página que aloja la información. </w:t>
      </w:r>
    </w:p>
    <w:p w14:paraId="2144B9D2" w14:textId="77777777" w:rsidR="00006DCB" w:rsidRPr="004F7A38" w:rsidRDefault="00006DCB" w:rsidP="00162BD6">
      <w:pPr>
        <w:pBdr>
          <w:top w:val="nil"/>
          <w:left w:val="nil"/>
          <w:bottom w:val="nil"/>
          <w:right w:val="nil"/>
          <w:between w:val="nil"/>
        </w:pBdr>
        <w:ind w:right="-25"/>
      </w:pPr>
    </w:p>
    <w:p w14:paraId="6499790A" w14:textId="559D9DB9" w:rsidR="00006DCB" w:rsidRPr="004F7A38" w:rsidRDefault="0006513B" w:rsidP="00162BD6">
      <w:pPr>
        <w:pBdr>
          <w:top w:val="nil"/>
          <w:left w:val="nil"/>
          <w:bottom w:val="nil"/>
          <w:right w:val="nil"/>
          <w:between w:val="nil"/>
        </w:pBdr>
        <w:ind w:right="-25"/>
      </w:pPr>
      <w:r w:rsidRPr="004F7A38">
        <w:t>Ahora bien, del pronunciamiento del área de Tesorería Municipal, en el sentido de señalar que la información obra en Señaló que la información obra en el Estado Analítico del ejercicio del presupuesto de egresos, clasificación por objeto del gasto del 2025, por principio debe mencionarse que no corresponde a la totalidad de la temporalidad requerida, es decir, únicamente comprende del 01 de enero al 31 de marzo de 2025, tal y como se aprecia:</w:t>
      </w:r>
    </w:p>
    <w:p w14:paraId="6EC566F9" w14:textId="77777777" w:rsidR="00006DCB" w:rsidRPr="004F7A38" w:rsidRDefault="00006DCB" w:rsidP="00162BD6">
      <w:pPr>
        <w:pBdr>
          <w:top w:val="nil"/>
          <w:left w:val="nil"/>
          <w:bottom w:val="nil"/>
          <w:right w:val="nil"/>
          <w:between w:val="nil"/>
        </w:pBdr>
        <w:ind w:right="-25"/>
      </w:pPr>
    </w:p>
    <w:p w14:paraId="260C3F57" w14:textId="77777777" w:rsidR="00006DCB" w:rsidRPr="004F7A38" w:rsidRDefault="0006513B" w:rsidP="00162BD6">
      <w:pPr>
        <w:pBdr>
          <w:top w:val="nil"/>
          <w:left w:val="nil"/>
          <w:bottom w:val="nil"/>
          <w:right w:val="nil"/>
          <w:between w:val="nil"/>
        </w:pBdr>
        <w:ind w:right="-25"/>
      </w:pPr>
      <w:r w:rsidRPr="004F7A38">
        <w:rPr>
          <w:noProof/>
        </w:rPr>
        <w:drawing>
          <wp:inline distT="0" distB="0" distL="0" distR="0" wp14:anchorId="3213A4E8" wp14:editId="36AA2C20">
            <wp:extent cx="5742940" cy="577215"/>
            <wp:effectExtent l="38100" t="38100" r="38100" b="38100"/>
            <wp:docPr id="7702015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5742940" cy="577215"/>
                    </a:xfrm>
                    <a:prstGeom prst="rect">
                      <a:avLst/>
                    </a:prstGeom>
                    <a:ln w="38100">
                      <a:solidFill>
                        <a:srgbClr val="FF0000"/>
                      </a:solidFill>
                      <a:prstDash val="solid"/>
                    </a:ln>
                  </pic:spPr>
                </pic:pic>
              </a:graphicData>
            </a:graphic>
          </wp:inline>
        </w:drawing>
      </w:r>
    </w:p>
    <w:p w14:paraId="3EE6C133" w14:textId="77777777" w:rsidR="00006DCB" w:rsidRPr="004F7A38" w:rsidRDefault="00006DCB" w:rsidP="00162BD6">
      <w:pPr>
        <w:pBdr>
          <w:top w:val="nil"/>
          <w:left w:val="nil"/>
          <w:bottom w:val="nil"/>
          <w:right w:val="nil"/>
          <w:between w:val="nil"/>
        </w:pBdr>
        <w:ind w:right="-25"/>
      </w:pPr>
    </w:p>
    <w:p w14:paraId="358E9E24" w14:textId="77777777" w:rsidR="00006DCB" w:rsidRPr="004F7A38" w:rsidRDefault="0006513B" w:rsidP="00162BD6">
      <w:pPr>
        <w:pBdr>
          <w:top w:val="nil"/>
          <w:left w:val="nil"/>
          <w:bottom w:val="nil"/>
          <w:right w:val="nil"/>
          <w:between w:val="nil"/>
        </w:pBdr>
        <w:ind w:right="-25"/>
      </w:pPr>
      <w:r w:rsidRPr="004F7A38">
        <w:lastRenderedPageBreak/>
        <w:t xml:space="preserve">Además, de que no se logra visualizar con exactitud, los montos correspondientes a adquisiciones por concepto de papelería, enseres cafetería, vehículos todas las adquisiciones y servicios contratados. </w:t>
      </w:r>
    </w:p>
    <w:p w14:paraId="3B559209" w14:textId="77777777" w:rsidR="00006DCB" w:rsidRPr="004F7A38" w:rsidRDefault="00006DCB" w:rsidP="00162BD6">
      <w:pPr>
        <w:pBdr>
          <w:top w:val="nil"/>
          <w:left w:val="nil"/>
          <w:bottom w:val="nil"/>
          <w:right w:val="nil"/>
          <w:between w:val="nil"/>
        </w:pBdr>
        <w:ind w:right="-25"/>
      </w:pPr>
    </w:p>
    <w:p w14:paraId="5CD03DA2" w14:textId="77777777" w:rsidR="00006DCB" w:rsidRPr="004F7A38" w:rsidRDefault="0006513B" w:rsidP="00162BD6">
      <w:pPr>
        <w:pBdr>
          <w:top w:val="nil"/>
          <w:left w:val="nil"/>
          <w:bottom w:val="nil"/>
          <w:right w:val="nil"/>
          <w:between w:val="nil"/>
        </w:pBdr>
      </w:pPr>
      <w:r w:rsidRPr="004F7A38">
        <w:t xml:space="preserve">Finalmente, por lo que respecta al cambio de modalidad referido, por la Dirección General de Administración, es de resaltar que </w:t>
      </w:r>
      <w:r w:rsidRPr="004F7A38">
        <w:rPr>
          <w:b/>
        </w:rPr>
        <w:t>LA PARTE RECURRENTE</w:t>
      </w:r>
      <w:r w:rsidRPr="004F7A38">
        <w:t xml:space="preserve"> al momento de presentar la solicitud de información que dio origen al Recurso de Revisión que nos ocupa, eligió como modalidad de entrega </w:t>
      </w:r>
      <w:r w:rsidRPr="004F7A38">
        <w:rPr>
          <w:i/>
        </w:rPr>
        <w:t>“Sistema de Acceso a la Información Pública Mexiquense”</w:t>
      </w:r>
      <w:r w:rsidRPr="004F7A38">
        <w:t>, tal como se aprecia a continuación:</w:t>
      </w:r>
    </w:p>
    <w:p w14:paraId="3BD94BF0" w14:textId="77777777" w:rsidR="00006DCB" w:rsidRPr="004F7A38" w:rsidRDefault="0006513B" w:rsidP="00162BD6">
      <w:pPr>
        <w:pBdr>
          <w:top w:val="nil"/>
          <w:left w:val="nil"/>
          <w:bottom w:val="nil"/>
          <w:right w:val="nil"/>
          <w:between w:val="nil"/>
        </w:pBdr>
      </w:pPr>
      <w:r w:rsidRPr="004F7A38">
        <w:rPr>
          <w:noProof/>
        </w:rPr>
        <w:drawing>
          <wp:inline distT="0" distB="0" distL="0" distR="0" wp14:anchorId="396BAB48" wp14:editId="7296B2F5">
            <wp:extent cx="5612130" cy="649605"/>
            <wp:effectExtent l="0" t="0" r="0" b="0"/>
            <wp:docPr id="77020158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5612130" cy="649605"/>
                    </a:xfrm>
                    <a:prstGeom prst="rect">
                      <a:avLst/>
                    </a:prstGeom>
                    <a:ln/>
                  </pic:spPr>
                </pic:pic>
              </a:graphicData>
            </a:graphic>
          </wp:inline>
        </w:drawing>
      </w:r>
    </w:p>
    <w:p w14:paraId="1A431918" w14:textId="77777777" w:rsidR="00006DCB" w:rsidRPr="004F7A38" w:rsidRDefault="00006DCB" w:rsidP="00162BD6">
      <w:pPr>
        <w:pBdr>
          <w:top w:val="nil"/>
          <w:left w:val="nil"/>
          <w:bottom w:val="nil"/>
          <w:right w:val="nil"/>
          <w:between w:val="nil"/>
        </w:pBdr>
        <w:ind w:right="-25"/>
      </w:pPr>
    </w:p>
    <w:p w14:paraId="1B267E92" w14:textId="77777777" w:rsidR="00006DCB" w:rsidRPr="004F7A38" w:rsidRDefault="0006513B" w:rsidP="00162BD6">
      <w:pPr>
        <w:widowControl w:val="0"/>
      </w:pPr>
      <w:r w:rsidRPr="004F7A38">
        <w:t>Dicho lo anterior, es necesario señalar que, la Ley de Transparencia y Acceso a la Información Pública del Estado de México y Municipios establece en los artículos 155 fracción V, 158 y 164 lo siguiente:</w:t>
      </w:r>
    </w:p>
    <w:p w14:paraId="2ED25A24" w14:textId="77777777" w:rsidR="00006DCB" w:rsidRPr="004F7A38" w:rsidRDefault="00006DCB" w:rsidP="00162BD6">
      <w:pPr>
        <w:widowControl w:val="0"/>
      </w:pPr>
    </w:p>
    <w:p w14:paraId="56D8EC45" w14:textId="77777777" w:rsidR="00006DCB" w:rsidRPr="004F7A38" w:rsidRDefault="0006513B" w:rsidP="00162BD6">
      <w:pPr>
        <w:pStyle w:val="Puesto"/>
        <w:ind w:firstLine="0"/>
        <w:rPr>
          <w:color w:val="auto"/>
        </w:rPr>
      </w:pPr>
      <w:r w:rsidRPr="004F7A38">
        <w:rPr>
          <w:color w:val="auto"/>
        </w:rPr>
        <w:t>“</w:t>
      </w:r>
      <w:r w:rsidRPr="004F7A38">
        <w:rPr>
          <w:b/>
          <w:color w:val="auto"/>
        </w:rPr>
        <w:t>Artículo 155.</w:t>
      </w:r>
      <w:r w:rsidRPr="004F7A38">
        <w:rPr>
          <w:color w:val="auto"/>
        </w:rPr>
        <w:t xml:space="preserve"> Para presentar una solicitud por escrito, no se podrán exigir mayores requisitos que los siguientes:</w:t>
      </w:r>
    </w:p>
    <w:p w14:paraId="5AED010F" w14:textId="77777777" w:rsidR="00006DCB" w:rsidRPr="004F7A38" w:rsidRDefault="0006513B" w:rsidP="00162BD6">
      <w:pPr>
        <w:pStyle w:val="Puesto"/>
        <w:ind w:firstLine="0"/>
        <w:rPr>
          <w:color w:val="auto"/>
        </w:rPr>
      </w:pPr>
      <w:r w:rsidRPr="004F7A38">
        <w:rPr>
          <w:color w:val="auto"/>
        </w:rPr>
        <w:t>I. a IV. …</w:t>
      </w:r>
    </w:p>
    <w:p w14:paraId="514E8F2A" w14:textId="77777777" w:rsidR="00006DCB" w:rsidRPr="004F7A38" w:rsidRDefault="0006513B" w:rsidP="00162BD6">
      <w:pPr>
        <w:pStyle w:val="Puesto"/>
        <w:ind w:firstLine="0"/>
        <w:rPr>
          <w:color w:val="auto"/>
        </w:rPr>
      </w:pPr>
      <w:r w:rsidRPr="004F7A38">
        <w:rPr>
          <w:b/>
          <w:color w:val="auto"/>
        </w:rPr>
        <w:t>V. La modalidad en la que prefiere se otorgue el acceso a la información</w:t>
      </w:r>
      <w:r w:rsidRPr="004F7A38">
        <w:rPr>
          <w:color w:val="auto"/>
        </w:rPr>
        <w:t>, la cual podrá ser verbal, siempre y cuando sea para fines de orientación, mediante consulta directa, mediante la expedición de copias simples o certificadas o la reproducción en cualquier otro medio, incluidos los electrónicos</w:t>
      </w:r>
    </w:p>
    <w:p w14:paraId="4DD71B9E" w14:textId="77777777" w:rsidR="00006DCB" w:rsidRPr="004F7A38" w:rsidRDefault="0006513B" w:rsidP="00162BD6">
      <w:pPr>
        <w:pStyle w:val="Puesto"/>
        <w:ind w:firstLine="0"/>
        <w:rPr>
          <w:color w:val="auto"/>
        </w:rPr>
      </w:pPr>
      <w:r w:rsidRPr="004F7A38">
        <w:rPr>
          <w:color w:val="auto"/>
        </w:rPr>
        <w:t>…</w:t>
      </w:r>
    </w:p>
    <w:p w14:paraId="504B62AD" w14:textId="77777777" w:rsidR="00006DCB" w:rsidRPr="004F7A38" w:rsidRDefault="0006513B" w:rsidP="00162BD6">
      <w:pPr>
        <w:pStyle w:val="Puesto"/>
        <w:ind w:firstLine="0"/>
        <w:rPr>
          <w:color w:val="auto"/>
        </w:rPr>
      </w:pPr>
      <w:r w:rsidRPr="004F7A38">
        <w:rPr>
          <w:b/>
          <w:color w:val="auto"/>
        </w:rPr>
        <w:t>Artículo 158.</w:t>
      </w:r>
      <w:r w:rsidRPr="004F7A38">
        <w:rPr>
          <w:color w:val="auto"/>
        </w:rPr>
        <w:t xml:space="preserve"> </w:t>
      </w:r>
      <w:r w:rsidRPr="004F7A38">
        <w:rPr>
          <w:b/>
          <w:color w:val="auto"/>
        </w:rPr>
        <w:t>De manera excepcional</w:t>
      </w:r>
      <w:r w:rsidRPr="004F7A38">
        <w:rPr>
          <w:color w:val="auto"/>
        </w:rPr>
        <w:t xml:space="preserve">,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administrativas y humanas del sujeto obligado para cumplir con la solicitud, en los plazos establecidos para dichos efectos, </w:t>
      </w:r>
      <w:r w:rsidRPr="004F7A38">
        <w:rPr>
          <w:color w:val="auto"/>
        </w:rPr>
        <w:lastRenderedPageBreak/>
        <w:t xml:space="preserve">se podrá poner a disposición del solicitante los documentos en consulta directa, salvo la información clasificada. </w:t>
      </w:r>
    </w:p>
    <w:p w14:paraId="77155E5C" w14:textId="77777777" w:rsidR="00006DCB" w:rsidRPr="004F7A38" w:rsidRDefault="0006513B" w:rsidP="00162BD6">
      <w:pPr>
        <w:pStyle w:val="Puesto"/>
        <w:ind w:firstLine="0"/>
        <w:rPr>
          <w:color w:val="auto"/>
        </w:rPr>
      </w:pPr>
      <w:r w:rsidRPr="004F7A38">
        <w:rPr>
          <w:color w:val="auto"/>
        </w:rPr>
        <w:t>En todo caso, se facilitará su copia simple o certificada, así como su reproducción por cualquier medio disponible en las instalaciones del sujeto obligado o que, en su caso, aporte el solicitante</w:t>
      </w:r>
    </w:p>
    <w:p w14:paraId="09D1F59F" w14:textId="77777777" w:rsidR="00006DCB" w:rsidRPr="004F7A38" w:rsidRDefault="0006513B" w:rsidP="00162BD6">
      <w:pPr>
        <w:pStyle w:val="Puesto"/>
        <w:ind w:firstLine="0"/>
        <w:rPr>
          <w:color w:val="auto"/>
        </w:rPr>
      </w:pPr>
      <w:r w:rsidRPr="004F7A38">
        <w:rPr>
          <w:b/>
          <w:color w:val="auto"/>
        </w:rPr>
        <w:t>Artículo 164.</w:t>
      </w:r>
      <w:r w:rsidRPr="004F7A38">
        <w:rPr>
          <w:color w:val="auto"/>
        </w:rPr>
        <w:t xml:space="preserve"> El acceso se dará en la modalidad de entrega y, en su caso, de envío elegidos por el solicitante. Cuando la información no pueda entregarse o enviarse en la modalidad solicitada, el sujeto obligado deberá ofrecer otra u otras modalidades de entrega.” Sic. </w:t>
      </w:r>
    </w:p>
    <w:p w14:paraId="56C89486" w14:textId="77777777" w:rsidR="00006DCB" w:rsidRPr="004F7A38" w:rsidRDefault="00006DCB" w:rsidP="00162BD6"/>
    <w:p w14:paraId="67F6C89F" w14:textId="77777777" w:rsidR="00006DCB" w:rsidRPr="004F7A38" w:rsidRDefault="0006513B" w:rsidP="00162BD6">
      <w:pPr>
        <w:pBdr>
          <w:top w:val="nil"/>
          <w:left w:val="nil"/>
          <w:bottom w:val="nil"/>
          <w:right w:val="nil"/>
          <w:between w:val="nil"/>
        </w:pBdr>
        <w:tabs>
          <w:tab w:val="left" w:pos="851"/>
        </w:tabs>
        <w:spacing w:before="240"/>
        <w:ind w:right="49"/>
      </w:pPr>
      <w:r w:rsidRPr="004F7A38">
        <w:t xml:space="preserve">La normatividad en materia establece que la solicitudes de acceso a la información que formulen los recurrentes deberán contener, entre otros elementos, </w:t>
      </w:r>
      <w:r w:rsidRPr="004F7A38">
        <w:rPr>
          <w:b/>
        </w:rPr>
        <w:t>la modalidad de entrega de la información</w:t>
      </w:r>
      <w:r w:rsidRPr="004F7A38">
        <w:t xml:space="preserve">, misma que deberá privilegiarse y será excepcional un cambio de modalidad cuando la información sobrepase las capacidades técnicas administrativas y humanas, </w:t>
      </w:r>
      <w:r w:rsidRPr="004F7A38">
        <w:rPr>
          <w:b/>
        </w:rPr>
        <w:t>dicho cambio será debidamente fundado y motivado</w:t>
      </w:r>
      <w:r w:rsidRPr="004F7A38">
        <w:t>.</w:t>
      </w:r>
    </w:p>
    <w:p w14:paraId="017B63D7" w14:textId="77777777" w:rsidR="00006DCB" w:rsidRPr="004F7A38" w:rsidRDefault="00006DCB" w:rsidP="00162BD6">
      <w:pPr>
        <w:pBdr>
          <w:top w:val="nil"/>
          <w:left w:val="nil"/>
          <w:bottom w:val="nil"/>
          <w:right w:val="nil"/>
          <w:between w:val="nil"/>
        </w:pBdr>
        <w:tabs>
          <w:tab w:val="left" w:pos="851"/>
        </w:tabs>
        <w:ind w:right="49"/>
      </w:pPr>
    </w:p>
    <w:p w14:paraId="75B1EE0B" w14:textId="77777777" w:rsidR="00006DCB" w:rsidRPr="004F7A38" w:rsidRDefault="0006513B" w:rsidP="00162BD6">
      <w:pPr>
        <w:pBdr>
          <w:top w:val="nil"/>
          <w:left w:val="nil"/>
          <w:bottom w:val="nil"/>
          <w:right w:val="nil"/>
          <w:between w:val="nil"/>
        </w:pBdr>
        <w:tabs>
          <w:tab w:val="left" w:pos="426"/>
        </w:tabs>
        <w:ind w:right="51"/>
      </w:pPr>
      <w:r w:rsidRPr="004F7A38">
        <w:t xml:space="preserve">Referente a la capacidad administrativa, ésta es definida como la habilidad institucional de un gobierno, para formular y realizar planes, políticas, programas, actividades, operaciones u otras medidas para cumplir con los propósitos de desarrollo. En palabras más simples, es la </w:t>
      </w:r>
      <w:r w:rsidRPr="004F7A38">
        <w:rPr>
          <w:b/>
        </w:rPr>
        <w:t>eficiencia organizacional para efectuar funciones esenciales</w:t>
      </w:r>
      <w:r w:rsidRPr="004F7A38">
        <w:t>.</w:t>
      </w:r>
    </w:p>
    <w:p w14:paraId="46060C04" w14:textId="77777777" w:rsidR="00006DCB" w:rsidRPr="004F7A38" w:rsidRDefault="00006DCB" w:rsidP="00162BD6">
      <w:pPr>
        <w:pBdr>
          <w:top w:val="nil"/>
          <w:left w:val="nil"/>
          <w:bottom w:val="nil"/>
          <w:right w:val="nil"/>
          <w:between w:val="nil"/>
        </w:pBdr>
        <w:tabs>
          <w:tab w:val="left" w:pos="426"/>
        </w:tabs>
        <w:ind w:right="51"/>
      </w:pPr>
    </w:p>
    <w:p w14:paraId="7107C9BF" w14:textId="77777777" w:rsidR="00006DCB" w:rsidRPr="004F7A38" w:rsidRDefault="0006513B" w:rsidP="00162BD6">
      <w:pPr>
        <w:pBdr>
          <w:top w:val="nil"/>
          <w:left w:val="nil"/>
          <w:bottom w:val="nil"/>
          <w:right w:val="nil"/>
          <w:between w:val="nil"/>
        </w:pBdr>
        <w:tabs>
          <w:tab w:val="left" w:pos="426"/>
        </w:tabs>
        <w:ind w:right="51"/>
      </w:pPr>
      <w:r w:rsidRPr="004F7A38">
        <w:t xml:space="preserve">La capacidad administrativa resulta ser un mandato para un gobierno eficaz, la cual engloba, previsión, organización, coordinación y control en actos y esfuerzos con la finalidad de cumplir con sus responsabilidades y funciones de manera eficaz, eficiente y sostenible. </w:t>
      </w:r>
    </w:p>
    <w:p w14:paraId="52D38B7D" w14:textId="77777777" w:rsidR="00006DCB" w:rsidRPr="004F7A38" w:rsidRDefault="00006DCB" w:rsidP="00162BD6">
      <w:pPr>
        <w:pBdr>
          <w:top w:val="nil"/>
          <w:left w:val="nil"/>
          <w:bottom w:val="nil"/>
          <w:right w:val="nil"/>
          <w:between w:val="nil"/>
        </w:pBdr>
        <w:tabs>
          <w:tab w:val="left" w:pos="426"/>
        </w:tabs>
        <w:ind w:right="51"/>
      </w:pPr>
    </w:p>
    <w:p w14:paraId="189B11DB" w14:textId="77777777" w:rsidR="00006DCB" w:rsidRPr="004F7A38" w:rsidRDefault="0006513B" w:rsidP="00162BD6">
      <w:pPr>
        <w:pBdr>
          <w:top w:val="nil"/>
          <w:left w:val="nil"/>
          <w:bottom w:val="nil"/>
          <w:right w:val="nil"/>
          <w:between w:val="nil"/>
        </w:pBdr>
        <w:tabs>
          <w:tab w:val="left" w:pos="426"/>
        </w:tabs>
        <w:ind w:right="51"/>
      </w:pPr>
      <w:r w:rsidRPr="004F7A38">
        <w:t xml:space="preserve">Desde una perspectiva institucional, la </w:t>
      </w:r>
      <w:r w:rsidRPr="004F7A38">
        <w:rPr>
          <w:b/>
        </w:rPr>
        <w:t>capacidad administrativa</w:t>
      </w:r>
      <w:r w:rsidRPr="004F7A38">
        <w:t xml:space="preserve"> es entendida como “</w:t>
      </w:r>
      <w:r w:rsidRPr="004F7A38">
        <w:rPr>
          <w:i/>
        </w:rPr>
        <w:t xml:space="preserve">las habilidades técnico-burocráticas del aparato estatal requeridas para alcanzar sus objetos. En este componente se ubican el nivel micro y meso de la Capacidad Institucional. El </w:t>
      </w:r>
      <w:r w:rsidRPr="004F7A38">
        <w:rPr>
          <w:b/>
          <w:i/>
        </w:rPr>
        <w:t>primero</w:t>
      </w:r>
      <w:r w:rsidRPr="004F7A38">
        <w:rPr>
          <w:i/>
        </w:rPr>
        <w:t xml:space="preserve"> hace alusión al individuo, al </w:t>
      </w:r>
      <w:r w:rsidRPr="004F7A38">
        <w:rPr>
          <w:b/>
          <w:i/>
        </w:rPr>
        <w:t>recurso humano</w:t>
      </w:r>
      <w:r w:rsidRPr="004F7A38">
        <w:rPr>
          <w:i/>
        </w:rPr>
        <w:t xml:space="preserve">. En el segundo nivel, se ubica la </w:t>
      </w:r>
      <w:r w:rsidRPr="004F7A38">
        <w:rPr>
          <w:b/>
          <w:i/>
        </w:rPr>
        <w:t>capacidad de gestión</w:t>
      </w:r>
      <w:r w:rsidRPr="004F7A38">
        <w:rPr>
          <w:i/>
        </w:rPr>
        <w:t xml:space="preserve">, el cual se </w:t>
      </w:r>
      <w:r w:rsidRPr="004F7A38">
        <w:rPr>
          <w:i/>
        </w:rPr>
        <w:lastRenderedPageBreak/>
        <w:t>centra en el fortalecimiento organizacional como área de intervención para construir capacidad; cultura organizacional, sistemas de comunicación u organización</w:t>
      </w:r>
      <w:r w:rsidRPr="004F7A38">
        <w:t>”</w:t>
      </w:r>
      <w:r w:rsidRPr="004F7A38">
        <w:rPr>
          <w:i/>
          <w:vertAlign w:val="superscript"/>
        </w:rPr>
        <w:t xml:space="preserve"> </w:t>
      </w:r>
      <w:r w:rsidRPr="004F7A38">
        <w:rPr>
          <w:i/>
          <w:vertAlign w:val="superscript"/>
        </w:rPr>
        <w:footnoteReference w:id="3"/>
      </w:r>
      <w:r w:rsidRPr="004F7A38">
        <w:t xml:space="preserve">. </w:t>
      </w:r>
    </w:p>
    <w:p w14:paraId="1008B110" w14:textId="77777777" w:rsidR="00006DCB" w:rsidRPr="004F7A38" w:rsidRDefault="00006DCB" w:rsidP="00162BD6">
      <w:pPr>
        <w:pBdr>
          <w:top w:val="nil"/>
          <w:left w:val="nil"/>
          <w:bottom w:val="nil"/>
          <w:right w:val="nil"/>
          <w:between w:val="nil"/>
        </w:pBdr>
        <w:tabs>
          <w:tab w:val="left" w:pos="426"/>
        </w:tabs>
        <w:ind w:right="51"/>
      </w:pPr>
    </w:p>
    <w:p w14:paraId="387D76A0" w14:textId="77777777" w:rsidR="00006DCB" w:rsidRPr="004F7A38" w:rsidRDefault="0006513B" w:rsidP="00162BD6">
      <w:pPr>
        <w:pBdr>
          <w:top w:val="nil"/>
          <w:left w:val="nil"/>
          <w:bottom w:val="nil"/>
          <w:right w:val="nil"/>
          <w:between w:val="nil"/>
        </w:pBdr>
        <w:tabs>
          <w:tab w:val="left" w:pos="426"/>
        </w:tabs>
        <w:ind w:right="51"/>
      </w:pPr>
      <w:r w:rsidRPr="004F7A38">
        <w:t xml:space="preserve">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 </w:t>
      </w:r>
    </w:p>
    <w:p w14:paraId="403C9A5D" w14:textId="77777777" w:rsidR="00006DCB" w:rsidRPr="004F7A38" w:rsidRDefault="00006DCB" w:rsidP="00162BD6">
      <w:pPr>
        <w:pBdr>
          <w:top w:val="nil"/>
          <w:left w:val="nil"/>
          <w:bottom w:val="nil"/>
          <w:right w:val="nil"/>
          <w:between w:val="nil"/>
        </w:pBdr>
        <w:tabs>
          <w:tab w:val="left" w:pos="426"/>
        </w:tabs>
        <w:ind w:right="51"/>
      </w:pPr>
    </w:p>
    <w:p w14:paraId="6FFAAB23" w14:textId="77777777" w:rsidR="00006DCB" w:rsidRPr="004F7A38" w:rsidRDefault="0006513B" w:rsidP="00162BD6">
      <w:pPr>
        <w:pBdr>
          <w:top w:val="nil"/>
          <w:left w:val="nil"/>
          <w:bottom w:val="nil"/>
          <w:right w:val="nil"/>
          <w:between w:val="nil"/>
        </w:pBdr>
        <w:tabs>
          <w:tab w:val="left" w:pos="426"/>
        </w:tabs>
        <w:ind w:right="51"/>
      </w:pPr>
      <w:r w:rsidRPr="004F7A38">
        <w:t xml:space="preserve">Ahora bien, respecto de las capacidades humanas, vale la pena precisar lo que se denomina por </w:t>
      </w:r>
      <w:r w:rsidRPr="004F7A38">
        <w:rPr>
          <w:b/>
          <w:i/>
        </w:rPr>
        <w:t>recursos humanos</w:t>
      </w:r>
      <w:r w:rsidRPr="004F7A38">
        <w:t xml:space="preserve">, lo cual podemos identificar como el conjunto de personas con las que cuenta una determinada organización, para desarrollar y ejecutar de manera correcta las acciones, actividades, labores y tareas que deben realizarse y que han sido solicitadas. </w:t>
      </w:r>
    </w:p>
    <w:p w14:paraId="7E84573F" w14:textId="77777777" w:rsidR="00006DCB" w:rsidRPr="004F7A38" w:rsidRDefault="00006DCB" w:rsidP="00162BD6">
      <w:pPr>
        <w:pBdr>
          <w:top w:val="nil"/>
          <w:left w:val="nil"/>
          <w:bottom w:val="nil"/>
          <w:right w:val="nil"/>
          <w:between w:val="nil"/>
        </w:pBdr>
        <w:tabs>
          <w:tab w:val="left" w:pos="426"/>
        </w:tabs>
        <w:ind w:right="51"/>
      </w:pPr>
    </w:p>
    <w:p w14:paraId="3613FDB4" w14:textId="77777777" w:rsidR="00006DCB" w:rsidRPr="004F7A38" w:rsidRDefault="0006513B" w:rsidP="00162BD6">
      <w:pPr>
        <w:pBdr>
          <w:top w:val="nil"/>
          <w:left w:val="nil"/>
          <w:bottom w:val="nil"/>
          <w:right w:val="nil"/>
          <w:between w:val="nil"/>
        </w:pBdr>
        <w:tabs>
          <w:tab w:val="left" w:pos="426"/>
        </w:tabs>
        <w:ind w:right="51"/>
      </w:pPr>
      <w:r w:rsidRPr="004F7A38">
        <w:t xml:space="preserve">El personal es parte fundamental de una organización, y junto con los recursos materiales, financieros e intangibles, conforman el “todo” que una organización necesita para el correcto funcionamiento, materialización y alcance de sus objetivos; los recursos deben coexistir uno con otro, de otra forma, el desarrollo no sería el apropiado y el cumplimiento de metas, inasequible. </w:t>
      </w:r>
    </w:p>
    <w:p w14:paraId="37F8B8EF" w14:textId="77777777" w:rsidR="00006DCB" w:rsidRPr="004F7A38" w:rsidRDefault="00006DCB" w:rsidP="00162BD6">
      <w:pPr>
        <w:pBdr>
          <w:top w:val="nil"/>
          <w:left w:val="nil"/>
          <w:bottom w:val="nil"/>
          <w:right w:val="nil"/>
          <w:between w:val="nil"/>
        </w:pBdr>
        <w:tabs>
          <w:tab w:val="left" w:pos="426"/>
        </w:tabs>
        <w:ind w:right="51"/>
      </w:pPr>
    </w:p>
    <w:p w14:paraId="5BDB7ACB" w14:textId="77777777" w:rsidR="00006DCB" w:rsidRPr="004F7A38" w:rsidRDefault="0006513B" w:rsidP="00162BD6">
      <w:pPr>
        <w:pBdr>
          <w:top w:val="nil"/>
          <w:left w:val="nil"/>
          <w:bottom w:val="nil"/>
          <w:right w:val="nil"/>
          <w:between w:val="nil"/>
        </w:pBdr>
        <w:tabs>
          <w:tab w:val="left" w:pos="426"/>
        </w:tabs>
        <w:ind w:right="51"/>
      </w:pPr>
      <w:r w:rsidRPr="004F7A38">
        <w:t xml:space="preserve">Es así que, el </w:t>
      </w:r>
      <w:r w:rsidRPr="004F7A38">
        <w:rPr>
          <w:b/>
        </w:rPr>
        <w:t>SUJETO OBLIGADO</w:t>
      </w:r>
      <w:r w:rsidRPr="004F7A38">
        <w:t xml:space="preserve"> pretendió realizar el cambio de modalidad ofreciendo consulta directa, sin embargo, es necesario traer a contexto el Criterio orientador número </w:t>
      </w:r>
      <w:r w:rsidRPr="004F7A38">
        <w:rPr>
          <w:b/>
        </w:rPr>
        <w:lastRenderedPageBreak/>
        <w:t>8/2013</w:t>
      </w:r>
      <w:r w:rsidRPr="004F7A38">
        <w:t xml:space="preserve"> del entonces Instituto Federal de Acceso a la Información, cuyo texto y sentido literal es el siguiente:</w:t>
      </w:r>
    </w:p>
    <w:p w14:paraId="0E02B303" w14:textId="77777777" w:rsidR="00006DCB" w:rsidRPr="004F7A38" w:rsidRDefault="00006DCB" w:rsidP="00162BD6">
      <w:pPr>
        <w:pBdr>
          <w:top w:val="nil"/>
          <w:left w:val="nil"/>
          <w:bottom w:val="nil"/>
          <w:right w:val="nil"/>
          <w:between w:val="nil"/>
        </w:pBdr>
      </w:pPr>
    </w:p>
    <w:p w14:paraId="189A37D5" w14:textId="77777777" w:rsidR="00006DCB" w:rsidRPr="004F7A38" w:rsidRDefault="0006513B" w:rsidP="00162BD6">
      <w:pPr>
        <w:pStyle w:val="Puesto"/>
        <w:ind w:firstLine="0"/>
        <w:rPr>
          <w:color w:val="auto"/>
        </w:rPr>
      </w:pPr>
      <w:r w:rsidRPr="004F7A38">
        <w:rPr>
          <w:b/>
          <w:color w:val="auto"/>
        </w:rPr>
        <w:t>Cuando exista impedimento justificado de atender la modalidad de entrega elegida por el solicitante, procede ofrecer todas las demás opciones previstas en la Ley</w:t>
      </w:r>
      <w:r w:rsidRPr="004F7A38">
        <w:rPr>
          <w:color w:val="auto"/>
        </w:rPr>
        <w:t xml:space="preserve">. De conformidad con lo dispuesto en los artículos 42 y 44 de la Ley Federal de Transparencia y Acceso a la Información Pública Gubernamental, y 54 de su Reglamento, la entrega de la información debe hacerse, en la medida de lo posible, en la forma solicitada por el interesado, salvo que exista un impedimento justificado para atenderla, en cuyo caso, deberán exponerse las razones por las cuales no es posible utilizar el medio de reproducción solicitado. 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6F5CB3A1" w14:textId="77777777" w:rsidR="00006DCB" w:rsidRPr="004F7A38" w:rsidRDefault="0006513B" w:rsidP="00162BD6">
      <w:pPr>
        <w:pStyle w:val="Puesto"/>
        <w:ind w:firstLine="0"/>
        <w:rPr>
          <w:color w:val="auto"/>
        </w:rPr>
      </w:pPr>
      <w:r w:rsidRPr="004F7A38">
        <w:rPr>
          <w:color w:val="auto"/>
        </w:rPr>
        <w:t xml:space="preserve">Resoluciones </w:t>
      </w:r>
    </w:p>
    <w:p w14:paraId="52640BBE" w14:textId="77777777" w:rsidR="00006DCB" w:rsidRPr="004F7A38" w:rsidRDefault="0006513B" w:rsidP="00162BD6">
      <w:pPr>
        <w:pStyle w:val="Puesto"/>
        <w:ind w:firstLine="0"/>
        <w:rPr>
          <w:color w:val="auto"/>
        </w:rPr>
      </w:pPr>
      <w:r w:rsidRPr="004F7A38">
        <w:rPr>
          <w:color w:val="auto"/>
        </w:rPr>
        <w:t xml:space="preserve">RDA 2012/12. Interpuesto en contra de la Secretaría de Comunicaciones y Transportes. Comisionada Ponente Jacqueline Peschard Mariscal. </w:t>
      </w:r>
    </w:p>
    <w:p w14:paraId="6323535C" w14:textId="77777777" w:rsidR="00006DCB" w:rsidRPr="004F7A38" w:rsidRDefault="0006513B" w:rsidP="00162BD6">
      <w:pPr>
        <w:pStyle w:val="Puesto"/>
        <w:ind w:firstLine="0"/>
        <w:rPr>
          <w:color w:val="auto"/>
        </w:rPr>
      </w:pPr>
      <w:r w:rsidRPr="004F7A38">
        <w:rPr>
          <w:color w:val="auto"/>
        </w:rPr>
        <w:t xml:space="preserve">RDA 0973/12. Interpuesto en contra de la Secretaría de Educación Pública. Comisionada Ponente Sigrid Arzt Colunga. </w:t>
      </w:r>
    </w:p>
    <w:p w14:paraId="5D41DA5E" w14:textId="77777777" w:rsidR="00006DCB" w:rsidRPr="004F7A38" w:rsidRDefault="0006513B" w:rsidP="00162BD6">
      <w:pPr>
        <w:pStyle w:val="Puesto"/>
        <w:ind w:firstLine="0"/>
        <w:rPr>
          <w:color w:val="auto"/>
        </w:rPr>
      </w:pPr>
      <w:r w:rsidRPr="004F7A38">
        <w:rPr>
          <w:color w:val="auto"/>
        </w:rPr>
        <w:t xml:space="preserve">RDA 0112/12. Interpuesto en contra de Petróleos Mexicanos. Comisionado Ponente Ángel Trinidad Zaldívar. </w:t>
      </w:r>
    </w:p>
    <w:p w14:paraId="42634235" w14:textId="77777777" w:rsidR="00006DCB" w:rsidRPr="004F7A38" w:rsidRDefault="0006513B" w:rsidP="00162BD6">
      <w:pPr>
        <w:pStyle w:val="Puesto"/>
        <w:ind w:firstLine="0"/>
        <w:rPr>
          <w:color w:val="auto"/>
        </w:rPr>
      </w:pPr>
      <w:r w:rsidRPr="004F7A38">
        <w:rPr>
          <w:color w:val="auto"/>
        </w:rPr>
        <w:t xml:space="preserve">RDA 0085/12. Interpuesto en contra del Instituto Nacional de Ciencias Médicas y Nutrición Salvador Zubirán. Comisionada Ponente Sigrid Arzt Colunga. </w:t>
      </w:r>
    </w:p>
    <w:p w14:paraId="74EFC0F8" w14:textId="77777777" w:rsidR="00006DCB" w:rsidRPr="004F7A38" w:rsidRDefault="0006513B" w:rsidP="00162BD6">
      <w:pPr>
        <w:pStyle w:val="Puesto"/>
        <w:ind w:firstLine="0"/>
        <w:rPr>
          <w:color w:val="auto"/>
        </w:rPr>
      </w:pPr>
      <w:r w:rsidRPr="004F7A38">
        <w:rPr>
          <w:color w:val="auto"/>
        </w:rPr>
        <w:t>3068/11. Interpuesto en contra de la Presidencia de la República. Comisionada Ponente María Elena Pérez-Jaén Zermeño. “</w:t>
      </w:r>
    </w:p>
    <w:p w14:paraId="2CCAE281" w14:textId="77777777" w:rsidR="00006DCB" w:rsidRPr="004F7A38" w:rsidRDefault="0006513B" w:rsidP="00162BD6">
      <w:pPr>
        <w:pBdr>
          <w:top w:val="nil"/>
          <w:left w:val="nil"/>
          <w:bottom w:val="nil"/>
          <w:right w:val="nil"/>
          <w:between w:val="nil"/>
        </w:pBdr>
        <w:tabs>
          <w:tab w:val="left" w:pos="851"/>
        </w:tabs>
        <w:spacing w:before="240"/>
        <w:ind w:right="49"/>
      </w:pPr>
      <w:r w:rsidRPr="004F7A38">
        <w:lastRenderedPageBreak/>
        <w:t xml:space="preserve">Los criterios refieren puntualmente que, cuando exista </w:t>
      </w:r>
      <w:r w:rsidRPr="004F7A38">
        <w:rPr>
          <w:b/>
        </w:rPr>
        <w:t xml:space="preserve">impedimento justificado </w:t>
      </w:r>
      <w:r w:rsidRPr="004F7A38">
        <w:t xml:space="preserve">para entregar la información solicitada, sólo entonces se procederá a ofrecer otras modalidades, tal como lo establece el Criterio orientador 08/17 emitido por el entonces Pleno del Instituto Nacional de Transparencia, Acceso a la Información y Protección de Datos Personales, el cual establece lo siguiente: </w:t>
      </w:r>
    </w:p>
    <w:p w14:paraId="7E6044CD" w14:textId="77777777" w:rsidR="00006DCB" w:rsidRPr="004F7A38" w:rsidRDefault="00006DCB" w:rsidP="00162BD6">
      <w:pPr>
        <w:ind w:right="49"/>
      </w:pPr>
    </w:p>
    <w:p w14:paraId="4E3C79C9" w14:textId="77777777" w:rsidR="00006DCB" w:rsidRPr="004F7A38" w:rsidRDefault="0006513B" w:rsidP="00162BD6">
      <w:pPr>
        <w:pStyle w:val="Puesto"/>
        <w:ind w:firstLine="0"/>
        <w:rPr>
          <w:color w:val="auto"/>
        </w:rPr>
      </w:pPr>
      <w:r w:rsidRPr="004F7A38">
        <w:rPr>
          <w:color w:val="auto"/>
        </w:rPr>
        <w:t>“</w:t>
      </w:r>
      <w:r w:rsidRPr="004F7A38">
        <w:rPr>
          <w:b/>
          <w:color w:val="auto"/>
        </w:rPr>
        <w:t>Modalidad de entrega. Procedencia de proporcionar la información solicitada en una diversa a la elegida por el solicitante.</w:t>
      </w:r>
      <w:r w:rsidRPr="004F7A38">
        <w:rPr>
          <w:color w:val="auto"/>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w:t>
      </w:r>
      <w:r w:rsidRPr="004F7A38">
        <w:rPr>
          <w:b/>
          <w:color w:val="auto"/>
        </w:rPr>
        <w:t>a) justifique el impedimento para atender la misma y b) se notifique al particular la disposición de la información en todas las modalidades que permita el documento de que se trate, procurando reducir, en todo momento, los costos de entrega</w:t>
      </w:r>
      <w:r w:rsidRPr="004F7A38">
        <w:rPr>
          <w:color w:val="auto"/>
        </w:rPr>
        <w:t>.”</w:t>
      </w:r>
    </w:p>
    <w:p w14:paraId="0119040B" w14:textId="77777777" w:rsidR="00006DCB" w:rsidRPr="004F7A38" w:rsidRDefault="00006DCB" w:rsidP="00162BD6">
      <w:pPr>
        <w:ind w:right="49"/>
      </w:pPr>
    </w:p>
    <w:p w14:paraId="37BCBC50" w14:textId="77777777" w:rsidR="00006DCB" w:rsidRPr="004F7A38" w:rsidRDefault="0006513B" w:rsidP="00162BD6">
      <w:pPr>
        <w:ind w:right="49"/>
      </w:pPr>
      <w:r w:rsidRPr="004F7A38">
        <w:t xml:space="preserve">Es así que, se desprende que, cuando no sea posible atender la modalidad elegida por los solicitantes, el sujeto obligado deberá justificar el impedimento para atender esta y notificar al particular la puesta a disposición de la información en todas las modalidades que lo permitan, procurando reducir los costos de entrega. </w:t>
      </w:r>
    </w:p>
    <w:p w14:paraId="5E912A3E" w14:textId="77777777" w:rsidR="00006DCB" w:rsidRPr="004F7A38" w:rsidRDefault="00006DCB" w:rsidP="00162BD6">
      <w:pPr>
        <w:pBdr>
          <w:top w:val="nil"/>
          <w:left w:val="nil"/>
          <w:bottom w:val="nil"/>
          <w:right w:val="nil"/>
          <w:between w:val="nil"/>
        </w:pBdr>
        <w:tabs>
          <w:tab w:val="left" w:pos="851"/>
        </w:tabs>
        <w:ind w:right="49"/>
      </w:pPr>
    </w:p>
    <w:p w14:paraId="020E8862" w14:textId="77777777" w:rsidR="00006DCB" w:rsidRPr="004F7A38" w:rsidRDefault="0006513B" w:rsidP="00162BD6">
      <w:pPr>
        <w:pBdr>
          <w:top w:val="nil"/>
          <w:left w:val="nil"/>
          <w:bottom w:val="nil"/>
          <w:right w:val="nil"/>
          <w:between w:val="nil"/>
        </w:pBdr>
        <w:tabs>
          <w:tab w:val="left" w:pos="426"/>
        </w:tabs>
        <w:ind w:right="51"/>
      </w:pPr>
      <w:r w:rsidRPr="004F7A38">
        <w:t xml:space="preserve">Correlativo a lo anterior, los </w:t>
      </w:r>
      <w:r w:rsidRPr="004F7A38">
        <w:rPr>
          <w:i/>
        </w:rPr>
        <w:t>Lineamientos Generales en Materia de Clasificación y Desclasificación de la Información, así como para la Elaboración de Versiones Públicas</w:t>
      </w:r>
      <w:r w:rsidRPr="004F7A38">
        <w:t>, publicados por el Sistema Nacional de Transparencia, Acceso a la Información Pública y Protección de Datos Personales, en su Capítulo X, contemplan una serie de elementos, los cuales, los Sujetos Obligados deberán acreditar, a fin de realizar un cambio de modalidad a Consulta Directa apegada a derecho, establecido en los lineamientos que se citan a continuación:</w:t>
      </w:r>
    </w:p>
    <w:p w14:paraId="0292D4BF" w14:textId="77777777" w:rsidR="00006DCB" w:rsidRPr="004F7A38" w:rsidRDefault="00006DCB" w:rsidP="00162BD6">
      <w:pPr>
        <w:pBdr>
          <w:top w:val="nil"/>
          <w:left w:val="nil"/>
          <w:bottom w:val="nil"/>
          <w:right w:val="nil"/>
          <w:between w:val="nil"/>
        </w:pBdr>
        <w:tabs>
          <w:tab w:val="left" w:pos="426"/>
        </w:tabs>
        <w:ind w:right="51"/>
      </w:pPr>
    </w:p>
    <w:p w14:paraId="55F85F41" w14:textId="77777777" w:rsidR="00006DCB" w:rsidRPr="004F7A38" w:rsidRDefault="0006513B" w:rsidP="00162BD6">
      <w:pPr>
        <w:pStyle w:val="Puesto"/>
        <w:ind w:firstLine="0"/>
        <w:rPr>
          <w:color w:val="auto"/>
        </w:rPr>
      </w:pPr>
      <w:r w:rsidRPr="004F7A38">
        <w:rPr>
          <w:color w:val="auto"/>
        </w:rPr>
        <w:lastRenderedPageBreak/>
        <w:t>“</w:t>
      </w:r>
      <w:r w:rsidRPr="004F7A38">
        <w:rPr>
          <w:b/>
          <w:color w:val="auto"/>
        </w:rPr>
        <w:t>Sexagésimo séptimo. </w:t>
      </w:r>
      <w:r w:rsidRPr="004F7A38">
        <w:rPr>
          <w:color w:val="auto"/>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p>
    <w:p w14:paraId="346B3679" w14:textId="77777777" w:rsidR="00006DCB" w:rsidRPr="004F7A38" w:rsidRDefault="0006513B" w:rsidP="00162BD6">
      <w:pPr>
        <w:pStyle w:val="Puesto"/>
        <w:ind w:firstLine="0"/>
        <w:rPr>
          <w:color w:val="auto"/>
        </w:rPr>
      </w:pPr>
      <w:r w:rsidRPr="004F7A38">
        <w:rPr>
          <w:b/>
          <w:color w:val="auto"/>
        </w:rPr>
        <w:t>Sexagésimo octavo. </w:t>
      </w:r>
      <w:r w:rsidRPr="004F7A38">
        <w:rPr>
          <w:color w:val="auto"/>
        </w:rPr>
        <w:t>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w:t>
      </w:r>
    </w:p>
    <w:p w14:paraId="10158771" w14:textId="77777777" w:rsidR="00006DCB" w:rsidRPr="004F7A38" w:rsidRDefault="0006513B" w:rsidP="00162BD6">
      <w:pPr>
        <w:pStyle w:val="Puesto"/>
        <w:ind w:firstLine="0"/>
        <w:rPr>
          <w:color w:val="auto"/>
        </w:rPr>
      </w:pPr>
      <w:r w:rsidRPr="004F7A38">
        <w:rPr>
          <w:b/>
          <w:color w:val="auto"/>
        </w:rPr>
        <w:t>Sexagésimo noveno. </w:t>
      </w:r>
      <w:r w:rsidRPr="004F7A38">
        <w:rPr>
          <w:color w:val="auto"/>
        </w:rPr>
        <w:t>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w:t>
      </w:r>
    </w:p>
    <w:p w14:paraId="24F9B878" w14:textId="77777777" w:rsidR="00006DCB" w:rsidRPr="004F7A38" w:rsidRDefault="0006513B" w:rsidP="00162BD6">
      <w:pPr>
        <w:pStyle w:val="Puesto"/>
        <w:ind w:firstLine="0"/>
        <w:rPr>
          <w:color w:val="auto"/>
        </w:rPr>
      </w:pPr>
      <w:r w:rsidRPr="004F7A38">
        <w:rPr>
          <w:b/>
          <w:color w:val="auto"/>
        </w:rPr>
        <w:t>Septuagésimo. </w:t>
      </w:r>
      <w:r w:rsidRPr="004F7A38">
        <w:rPr>
          <w:color w:val="auto"/>
        </w:rPr>
        <w:t>Para el desahogo de las actuaciones tendientes a permitir la consulta directa, en los casos en que ésta resulte procedente, los sujetos obligados deberán observar lo siguiente:</w:t>
      </w:r>
    </w:p>
    <w:p w14:paraId="1B2692D6" w14:textId="77777777" w:rsidR="00006DCB" w:rsidRPr="004F7A38" w:rsidRDefault="0006513B" w:rsidP="00162BD6">
      <w:pPr>
        <w:pStyle w:val="Puesto"/>
        <w:ind w:firstLine="0"/>
        <w:rPr>
          <w:color w:val="auto"/>
        </w:rPr>
      </w:pPr>
      <w:r w:rsidRPr="004F7A38">
        <w:rPr>
          <w:b/>
          <w:color w:val="auto"/>
        </w:rPr>
        <w:t>I.</w:t>
      </w:r>
      <w:r w:rsidRPr="004F7A38">
        <w:rPr>
          <w:color w:val="auto"/>
        </w:rPr>
        <w:t> Señalar claramente al particular, en la respuesta a su solicitud, el lugar, día y hora en que se podrá llevar a cabo la consulta de la documentación solicitada.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w:t>
      </w:r>
    </w:p>
    <w:p w14:paraId="31DBDAE8" w14:textId="77777777" w:rsidR="00006DCB" w:rsidRPr="004F7A38" w:rsidRDefault="0006513B" w:rsidP="00162BD6">
      <w:pPr>
        <w:pStyle w:val="Puesto"/>
        <w:ind w:firstLine="0"/>
        <w:rPr>
          <w:color w:val="auto"/>
        </w:rPr>
      </w:pPr>
      <w:r w:rsidRPr="004F7A38">
        <w:rPr>
          <w:b/>
          <w:color w:val="auto"/>
        </w:rPr>
        <w:t>II.</w:t>
      </w:r>
      <w:r w:rsidRPr="004F7A38">
        <w:rPr>
          <w:color w:val="auto"/>
        </w:rPr>
        <w:t> En su caso, la procedencia de los ajustes razonables solicitados y/o la procedencia de acceso en la lengua indígena requerida;</w:t>
      </w:r>
    </w:p>
    <w:p w14:paraId="5A69D4D7" w14:textId="77777777" w:rsidR="00006DCB" w:rsidRPr="004F7A38" w:rsidRDefault="0006513B" w:rsidP="00162BD6">
      <w:pPr>
        <w:pStyle w:val="Puesto"/>
        <w:ind w:firstLine="0"/>
        <w:rPr>
          <w:color w:val="auto"/>
        </w:rPr>
      </w:pPr>
      <w:r w:rsidRPr="004F7A38">
        <w:rPr>
          <w:b/>
          <w:color w:val="auto"/>
        </w:rPr>
        <w:t>III.</w:t>
      </w:r>
      <w:r w:rsidRPr="004F7A38">
        <w:rPr>
          <w:color w:val="auto"/>
        </w:rPr>
        <w:t xml:space="preserve"> Indicar claramente la ubicación del lugar en que el solicitante podrá llevar a cabo la consulta de la información debiendo ser éste, en la medida de lo posible, el domicilio de la Unidad de Transparencia, así como el nombre, cargo y datos de contacto del personal que le permitirá el acceso;</w:t>
      </w:r>
    </w:p>
    <w:p w14:paraId="29171ECA" w14:textId="77777777" w:rsidR="00006DCB" w:rsidRPr="004F7A38" w:rsidRDefault="0006513B" w:rsidP="00162BD6">
      <w:pPr>
        <w:pStyle w:val="Puesto"/>
        <w:ind w:firstLine="0"/>
        <w:rPr>
          <w:color w:val="auto"/>
        </w:rPr>
      </w:pPr>
      <w:r w:rsidRPr="004F7A38">
        <w:rPr>
          <w:b/>
          <w:color w:val="auto"/>
        </w:rPr>
        <w:t>IV.</w:t>
      </w:r>
      <w:r w:rsidRPr="004F7A38">
        <w:rPr>
          <w:color w:val="auto"/>
        </w:rPr>
        <w:t xml:space="preserve"> Proporcionar al solicitante las facilidades y asistencia requerida para la consulta de los documentos;</w:t>
      </w:r>
    </w:p>
    <w:p w14:paraId="7704E753" w14:textId="77777777" w:rsidR="00006DCB" w:rsidRPr="004F7A38" w:rsidRDefault="0006513B" w:rsidP="00162BD6">
      <w:pPr>
        <w:pStyle w:val="Puesto"/>
        <w:ind w:firstLine="0"/>
        <w:rPr>
          <w:color w:val="auto"/>
        </w:rPr>
      </w:pPr>
      <w:r w:rsidRPr="004F7A38">
        <w:rPr>
          <w:b/>
          <w:color w:val="auto"/>
        </w:rPr>
        <w:t>V.</w:t>
      </w:r>
      <w:r w:rsidRPr="004F7A38">
        <w:rPr>
          <w:color w:val="auto"/>
        </w:rPr>
        <w:t> Abstenerse de requerir al solicitante que acredite interés alguno;</w:t>
      </w:r>
    </w:p>
    <w:p w14:paraId="122B40FC" w14:textId="77777777" w:rsidR="00006DCB" w:rsidRPr="004F7A38" w:rsidRDefault="0006513B" w:rsidP="00162BD6">
      <w:pPr>
        <w:pStyle w:val="Puesto"/>
        <w:ind w:firstLine="0"/>
        <w:rPr>
          <w:color w:val="auto"/>
        </w:rPr>
      </w:pPr>
      <w:r w:rsidRPr="004F7A38">
        <w:rPr>
          <w:b/>
          <w:color w:val="auto"/>
        </w:rPr>
        <w:t>VI.</w:t>
      </w:r>
      <w:r w:rsidRPr="004F7A38">
        <w:rPr>
          <w:color w:val="auto"/>
        </w:rPr>
        <w:t> Adoptar las medidas técnicas, físicas, administrativas y demás que resulten necesarias para garantizar la integridad de la información a consultar, de conformidad con las características específicas del documento solicitado, tales como:</w:t>
      </w:r>
    </w:p>
    <w:p w14:paraId="2068B155" w14:textId="77777777" w:rsidR="00006DCB" w:rsidRPr="004F7A38" w:rsidRDefault="0006513B" w:rsidP="00162BD6">
      <w:pPr>
        <w:pStyle w:val="Puesto"/>
        <w:ind w:firstLine="0"/>
        <w:rPr>
          <w:color w:val="auto"/>
        </w:rPr>
      </w:pPr>
      <w:r w:rsidRPr="004F7A38">
        <w:rPr>
          <w:b/>
          <w:color w:val="auto"/>
        </w:rPr>
        <w:lastRenderedPageBreak/>
        <w:t>a)</w:t>
      </w:r>
      <w:r w:rsidRPr="004F7A38">
        <w:rPr>
          <w:color w:val="auto"/>
        </w:rPr>
        <w:t xml:space="preserve"> Contar con instalaciones y mobiliario adecuado para asegurar tanto la integridad del documento consultado, como para proporcionar al solicitante las mejores condiciones para poder llevar a cabo la consulta directa;</w:t>
      </w:r>
    </w:p>
    <w:p w14:paraId="6B67BCAE" w14:textId="77777777" w:rsidR="00006DCB" w:rsidRPr="004F7A38" w:rsidRDefault="0006513B" w:rsidP="00162BD6">
      <w:pPr>
        <w:pStyle w:val="Puesto"/>
        <w:ind w:firstLine="0"/>
        <w:rPr>
          <w:color w:val="auto"/>
        </w:rPr>
      </w:pPr>
      <w:r w:rsidRPr="004F7A38">
        <w:rPr>
          <w:b/>
          <w:color w:val="auto"/>
        </w:rPr>
        <w:t>b)</w:t>
      </w:r>
      <w:r w:rsidRPr="004F7A38">
        <w:rPr>
          <w:color w:val="auto"/>
        </w:rPr>
        <w:t> Equipo y personal de vigilancia;</w:t>
      </w:r>
    </w:p>
    <w:p w14:paraId="05BE3EE6" w14:textId="77777777" w:rsidR="00006DCB" w:rsidRPr="004F7A38" w:rsidRDefault="0006513B" w:rsidP="00162BD6">
      <w:pPr>
        <w:pStyle w:val="Puesto"/>
        <w:ind w:firstLine="0"/>
        <w:rPr>
          <w:color w:val="auto"/>
        </w:rPr>
      </w:pPr>
      <w:r w:rsidRPr="004F7A38">
        <w:rPr>
          <w:b/>
          <w:color w:val="auto"/>
        </w:rPr>
        <w:t>c)</w:t>
      </w:r>
      <w:r w:rsidRPr="004F7A38">
        <w:rPr>
          <w:color w:val="auto"/>
        </w:rPr>
        <w:t> Plan de acción contra robo o vandalismo;</w:t>
      </w:r>
    </w:p>
    <w:p w14:paraId="6E7FAF61" w14:textId="77777777" w:rsidR="00006DCB" w:rsidRPr="004F7A38" w:rsidRDefault="0006513B" w:rsidP="00162BD6">
      <w:pPr>
        <w:pStyle w:val="Puesto"/>
        <w:ind w:firstLine="0"/>
        <w:rPr>
          <w:color w:val="auto"/>
        </w:rPr>
      </w:pPr>
      <w:r w:rsidRPr="004F7A38">
        <w:rPr>
          <w:b/>
          <w:color w:val="auto"/>
        </w:rPr>
        <w:t>d)</w:t>
      </w:r>
      <w:r w:rsidRPr="004F7A38">
        <w:rPr>
          <w:color w:val="auto"/>
        </w:rPr>
        <w:t> Extintores de fuego de gas inocuo;</w:t>
      </w:r>
    </w:p>
    <w:p w14:paraId="3378146D" w14:textId="77777777" w:rsidR="00006DCB" w:rsidRPr="004F7A38" w:rsidRDefault="0006513B" w:rsidP="00162BD6">
      <w:pPr>
        <w:pStyle w:val="Puesto"/>
        <w:ind w:firstLine="0"/>
        <w:rPr>
          <w:color w:val="auto"/>
        </w:rPr>
      </w:pPr>
      <w:r w:rsidRPr="004F7A38">
        <w:rPr>
          <w:b/>
          <w:color w:val="auto"/>
        </w:rPr>
        <w:t>e)</w:t>
      </w:r>
      <w:r w:rsidRPr="004F7A38">
        <w:rPr>
          <w:color w:val="auto"/>
        </w:rPr>
        <w:t> Registro e identificación del personal autorizado para el tratamiento de los documentos o expedientes a revisar;</w:t>
      </w:r>
    </w:p>
    <w:p w14:paraId="20B45A90" w14:textId="77777777" w:rsidR="00006DCB" w:rsidRPr="004F7A38" w:rsidRDefault="0006513B" w:rsidP="00162BD6">
      <w:pPr>
        <w:pStyle w:val="Puesto"/>
        <w:ind w:firstLine="0"/>
        <w:rPr>
          <w:color w:val="auto"/>
        </w:rPr>
      </w:pPr>
      <w:r w:rsidRPr="004F7A38">
        <w:rPr>
          <w:b/>
          <w:color w:val="auto"/>
        </w:rPr>
        <w:t>f)</w:t>
      </w:r>
      <w:r w:rsidRPr="004F7A38">
        <w:rPr>
          <w:color w:val="auto"/>
        </w:rPr>
        <w:t> Registro e identificación de los particulares autorizados para llevar a cabo la consulta directa, y</w:t>
      </w:r>
    </w:p>
    <w:p w14:paraId="42030C4C" w14:textId="77777777" w:rsidR="00006DCB" w:rsidRPr="004F7A38" w:rsidRDefault="0006513B" w:rsidP="00162BD6">
      <w:pPr>
        <w:pStyle w:val="Puesto"/>
        <w:ind w:firstLine="0"/>
        <w:rPr>
          <w:color w:val="auto"/>
        </w:rPr>
      </w:pPr>
      <w:r w:rsidRPr="004F7A38">
        <w:rPr>
          <w:b/>
          <w:color w:val="auto"/>
        </w:rPr>
        <w:t>g)</w:t>
      </w:r>
      <w:r w:rsidRPr="004F7A38">
        <w:rPr>
          <w:color w:val="auto"/>
        </w:rPr>
        <w:t> Las demás que, a criterio de los sujetos obligados, resulten necesarias.</w:t>
      </w:r>
    </w:p>
    <w:p w14:paraId="09FB8C1D" w14:textId="77777777" w:rsidR="00006DCB" w:rsidRPr="004F7A38" w:rsidRDefault="0006513B" w:rsidP="00162BD6">
      <w:pPr>
        <w:pStyle w:val="Puesto"/>
        <w:ind w:firstLine="0"/>
        <w:rPr>
          <w:color w:val="auto"/>
        </w:rPr>
      </w:pPr>
      <w:r w:rsidRPr="004F7A38">
        <w:rPr>
          <w:b/>
          <w:color w:val="auto"/>
        </w:rPr>
        <w:t>VII. </w:t>
      </w:r>
      <w:r w:rsidRPr="004F7A38">
        <w:rPr>
          <w:color w:val="auto"/>
        </w:rPr>
        <w:t>Hacer del conocimiento del solicitante, previo al acceso a la información, las reglas a que se sujetará la consulta para garantizar la integridad de los documentos, y</w:t>
      </w:r>
    </w:p>
    <w:p w14:paraId="123AF979" w14:textId="77777777" w:rsidR="00006DCB" w:rsidRPr="004F7A38" w:rsidRDefault="0006513B" w:rsidP="00162BD6">
      <w:pPr>
        <w:pStyle w:val="Puesto"/>
        <w:ind w:firstLine="0"/>
        <w:rPr>
          <w:color w:val="auto"/>
        </w:rPr>
      </w:pPr>
      <w:r w:rsidRPr="004F7A38">
        <w:rPr>
          <w:b/>
          <w:color w:val="auto"/>
        </w:rPr>
        <w:t>VIII.</w:t>
      </w:r>
      <w:r w:rsidRPr="004F7A38">
        <w:rPr>
          <w:color w:val="auto"/>
        </w:rPr>
        <w:t xml:space="preserve"> 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p>
    <w:p w14:paraId="7B814EA0" w14:textId="77777777" w:rsidR="00006DCB" w:rsidRPr="004F7A38" w:rsidRDefault="0006513B" w:rsidP="00162BD6">
      <w:pPr>
        <w:pStyle w:val="Puesto"/>
        <w:ind w:firstLine="0"/>
        <w:rPr>
          <w:color w:val="auto"/>
        </w:rPr>
      </w:pPr>
      <w:r w:rsidRPr="004F7A38">
        <w:rPr>
          <w:b/>
          <w:color w:val="auto"/>
        </w:rPr>
        <w:t>Septuagésimo primero. </w:t>
      </w:r>
      <w:r w:rsidRPr="004F7A38">
        <w:rPr>
          <w:color w:val="auto"/>
        </w:rPr>
        <w:t>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w:t>
      </w:r>
    </w:p>
    <w:p w14:paraId="2AB24EC1" w14:textId="77777777" w:rsidR="00006DCB" w:rsidRPr="004F7A38" w:rsidRDefault="0006513B" w:rsidP="00162BD6">
      <w:pPr>
        <w:pStyle w:val="Puesto"/>
        <w:ind w:firstLine="0"/>
        <w:rPr>
          <w:color w:val="auto"/>
        </w:rPr>
      </w:pPr>
      <w:r w:rsidRPr="004F7A38">
        <w:rPr>
          <w:color w:val="auto"/>
        </w:rPr>
        <w:t>El solicitante deberá observar en todo momento las reglas que el sujeto obligado haya hecho de su conocimiento para efectos de la conservación de los documentos.</w:t>
      </w:r>
    </w:p>
    <w:p w14:paraId="15841B0E" w14:textId="77777777" w:rsidR="00006DCB" w:rsidRPr="004F7A38" w:rsidRDefault="0006513B" w:rsidP="00162BD6">
      <w:pPr>
        <w:pStyle w:val="Puesto"/>
        <w:ind w:firstLine="0"/>
        <w:rPr>
          <w:color w:val="auto"/>
        </w:rPr>
      </w:pPr>
      <w:r w:rsidRPr="004F7A38">
        <w:rPr>
          <w:b/>
          <w:color w:val="auto"/>
        </w:rPr>
        <w:t>Septuagésimo segundo. </w:t>
      </w:r>
      <w:r w:rsidRPr="004F7A38">
        <w:rPr>
          <w:color w:val="auto"/>
        </w:rPr>
        <w:t>El solicitante deberá realizar la consulta de los documentos requeridos en el lugar, horarios y con la persona destinada para tal efecto.</w:t>
      </w:r>
    </w:p>
    <w:p w14:paraId="080EB2DE" w14:textId="77777777" w:rsidR="00006DCB" w:rsidRPr="004F7A38" w:rsidRDefault="0006513B" w:rsidP="00162BD6">
      <w:pPr>
        <w:pStyle w:val="Puesto"/>
        <w:ind w:firstLine="0"/>
        <w:rPr>
          <w:color w:val="auto"/>
        </w:rPr>
      </w:pPr>
      <w:r w:rsidRPr="004F7A38">
        <w:rPr>
          <w:color w:val="auto"/>
        </w:rPr>
        <w:t>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w:t>
      </w:r>
    </w:p>
    <w:p w14:paraId="36F0ACC4" w14:textId="77777777" w:rsidR="00006DCB" w:rsidRPr="004F7A38" w:rsidRDefault="0006513B" w:rsidP="00162BD6">
      <w:pPr>
        <w:pStyle w:val="Puesto"/>
        <w:ind w:firstLine="0"/>
        <w:rPr>
          <w:color w:val="auto"/>
        </w:rPr>
      </w:pPr>
      <w:r w:rsidRPr="004F7A38">
        <w:rPr>
          <w:b/>
          <w:color w:val="auto"/>
        </w:rPr>
        <w:t>Septuagésimo tercero. </w:t>
      </w:r>
      <w:r w:rsidRPr="004F7A38">
        <w:rPr>
          <w:color w:val="auto"/>
        </w:rPr>
        <w:t>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w:t>
      </w:r>
    </w:p>
    <w:p w14:paraId="4A20A4EF" w14:textId="77777777" w:rsidR="00006DCB" w:rsidRPr="004F7A38" w:rsidRDefault="0006513B" w:rsidP="00162BD6">
      <w:pPr>
        <w:pStyle w:val="Puesto"/>
        <w:ind w:firstLine="0"/>
        <w:rPr>
          <w:color w:val="auto"/>
        </w:rPr>
      </w:pPr>
      <w:r w:rsidRPr="004F7A38">
        <w:rPr>
          <w:color w:val="auto"/>
        </w:rPr>
        <w:t>La información deberá ser entregada sin costo, cuando implique la entrega de no más de veinte hojas simples.”</w:t>
      </w:r>
    </w:p>
    <w:p w14:paraId="61643479" w14:textId="77777777" w:rsidR="00006DCB" w:rsidRPr="004F7A38" w:rsidRDefault="0006513B" w:rsidP="00162BD6">
      <w:pPr>
        <w:pBdr>
          <w:top w:val="nil"/>
          <w:left w:val="nil"/>
          <w:bottom w:val="nil"/>
          <w:right w:val="nil"/>
          <w:between w:val="nil"/>
        </w:pBdr>
        <w:spacing w:before="240" w:after="240"/>
        <w:ind w:right="49"/>
      </w:pPr>
      <w:r w:rsidRPr="004F7A38">
        <w:lastRenderedPageBreak/>
        <w:t xml:space="preserve">Dicho lo anterior, es necesario resaltar que </w:t>
      </w:r>
      <w:r w:rsidRPr="004F7A38">
        <w:rPr>
          <w:b/>
        </w:rPr>
        <w:t>EL SUJETO OBLIGADO</w:t>
      </w:r>
      <w:r w:rsidRPr="004F7A38">
        <w:t xml:space="preserve"> a través de su respuesta únicamente señaló que el Comité de Transparencia, aprobó un cambio de modalidad a consulta directa de la información requerida sin fundar y motivar el cambio de modalidad aducido.</w:t>
      </w:r>
    </w:p>
    <w:p w14:paraId="5C3DE304" w14:textId="77777777" w:rsidR="00006DCB" w:rsidRPr="004F7A38" w:rsidRDefault="0006513B" w:rsidP="00162BD6">
      <w:pPr>
        <w:pBdr>
          <w:top w:val="nil"/>
          <w:left w:val="nil"/>
          <w:bottom w:val="nil"/>
          <w:right w:val="nil"/>
          <w:between w:val="nil"/>
        </w:pBdr>
        <w:spacing w:before="240" w:after="240"/>
        <w:ind w:right="49"/>
        <w:rPr>
          <w:b/>
        </w:rPr>
      </w:pPr>
      <w:r w:rsidRPr="004F7A38">
        <w:t xml:space="preserve">Aunado a ello, cabe destacar que respecto de la naturaleza versa de manera primordial respecto de adquisiciones realizadas por </w:t>
      </w:r>
      <w:r w:rsidRPr="004F7A38">
        <w:rPr>
          <w:b/>
        </w:rPr>
        <w:t>EL SUJETO OBLIGADO.</w:t>
      </w:r>
    </w:p>
    <w:p w14:paraId="4D3B0138" w14:textId="77777777" w:rsidR="00006DCB" w:rsidRPr="004F7A38" w:rsidRDefault="0006513B" w:rsidP="00162BD6">
      <w:pPr>
        <w:spacing w:before="240" w:after="240"/>
        <w:ind w:right="49"/>
      </w:pPr>
      <w:r w:rsidRPr="004F7A38">
        <w:t xml:space="preserve">Para tales efectos, conviene hacer alusión a lo dispuesto en la Ley de Contratación Pública del Estado de México y Municipios, la cual tiene por objeto regular los actos relativos a la </w:t>
      </w:r>
      <w:r w:rsidRPr="004F7A38">
        <w:rPr>
          <w:b/>
          <w:u w:val="single"/>
        </w:rPr>
        <w:t>planeación, programación, presupuestación</w:t>
      </w:r>
      <w:r w:rsidRPr="004F7A38">
        <w:t xml:space="preserve">, ejecución y control de la </w:t>
      </w:r>
      <w:r w:rsidRPr="004F7A38">
        <w:rPr>
          <w:b/>
          <w:u w:val="single"/>
        </w:rPr>
        <w:t>adquisición</w:t>
      </w:r>
      <w:r w:rsidRPr="004F7A38">
        <w:t xml:space="preserve">, enajenación y arrendamiento de bienes, y la </w:t>
      </w:r>
      <w:r w:rsidRPr="004F7A38">
        <w:rPr>
          <w:b/>
          <w:u w:val="single"/>
        </w:rPr>
        <w:t>contratación de servicios de cualquier naturaleza, que realicen los Ayuntamientos del Estado</w:t>
      </w:r>
      <w:r w:rsidRPr="004F7A38">
        <w:t>; entre ellos el Sujeto Obligado, los cuales se adjudicarán a través de licitación pública, invitación restringida o adjudicación directa, mediante convocatoria pública, tal y como lo establecen los artículos 4, 26 y 27 de dicha Ley, los cuales son del tenor siguiente:</w:t>
      </w:r>
    </w:p>
    <w:p w14:paraId="6BAAA958" w14:textId="77777777" w:rsidR="00006DCB" w:rsidRPr="004F7A38" w:rsidRDefault="0006513B" w:rsidP="00162BD6">
      <w:pPr>
        <w:spacing w:before="120" w:after="120" w:line="240" w:lineRule="auto"/>
        <w:ind w:left="851" w:right="902"/>
        <w:rPr>
          <w:i/>
        </w:rPr>
      </w:pPr>
      <w:r w:rsidRPr="004F7A38">
        <w:rPr>
          <w:b/>
          <w:i/>
        </w:rPr>
        <w:t>“Artículo 4.-</w:t>
      </w:r>
      <w:r w:rsidRPr="004F7A38">
        <w:rPr>
          <w:i/>
        </w:rPr>
        <w:t xml:space="preserve"> Para los efectos de esta Ley, </w:t>
      </w:r>
      <w:r w:rsidRPr="004F7A38">
        <w:rPr>
          <w:b/>
          <w:i/>
        </w:rPr>
        <w:t>en las adquisiciones, enajenaciones, arrendamientos y servicios, quedan comprendidos</w:t>
      </w:r>
      <w:r w:rsidRPr="004F7A38">
        <w:rPr>
          <w:i/>
        </w:rPr>
        <w:t>:</w:t>
      </w:r>
    </w:p>
    <w:p w14:paraId="0D2F734F" w14:textId="77777777" w:rsidR="00006DCB" w:rsidRPr="004F7A38" w:rsidRDefault="0006513B" w:rsidP="00162BD6">
      <w:pPr>
        <w:spacing w:before="120" w:after="120" w:line="240" w:lineRule="auto"/>
        <w:ind w:left="1134" w:right="902"/>
        <w:rPr>
          <w:i/>
        </w:rPr>
      </w:pPr>
      <w:r w:rsidRPr="004F7A38">
        <w:rPr>
          <w:b/>
          <w:i/>
        </w:rPr>
        <w:t>I.</w:t>
      </w:r>
      <w:r w:rsidRPr="004F7A38">
        <w:rPr>
          <w:i/>
        </w:rPr>
        <w:t xml:space="preserve"> La adquisición de bienes muebles.</w:t>
      </w:r>
    </w:p>
    <w:p w14:paraId="7067452F" w14:textId="77777777" w:rsidR="00006DCB" w:rsidRPr="004F7A38" w:rsidRDefault="0006513B" w:rsidP="00162BD6">
      <w:pPr>
        <w:spacing w:before="120" w:after="120" w:line="240" w:lineRule="auto"/>
        <w:ind w:left="1134" w:right="902"/>
        <w:rPr>
          <w:i/>
        </w:rPr>
      </w:pPr>
      <w:r w:rsidRPr="004F7A38">
        <w:rPr>
          <w:b/>
          <w:i/>
        </w:rPr>
        <w:t>II</w:t>
      </w:r>
      <w:r w:rsidRPr="004F7A38">
        <w:rPr>
          <w:i/>
        </w:rPr>
        <w:t>. La adquisición de bienes inmuebles, a través de compraventa.</w:t>
      </w:r>
    </w:p>
    <w:p w14:paraId="44D611B6" w14:textId="77777777" w:rsidR="00006DCB" w:rsidRPr="004F7A38" w:rsidRDefault="0006513B" w:rsidP="00162BD6">
      <w:pPr>
        <w:spacing w:before="120" w:after="120" w:line="240" w:lineRule="auto"/>
        <w:ind w:left="1134" w:right="902"/>
        <w:rPr>
          <w:i/>
        </w:rPr>
      </w:pPr>
      <w:r w:rsidRPr="004F7A38">
        <w:rPr>
          <w:b/>
          <w:i/>
        </w:rPr>
        <w:t>III.</w:t>
      </w:r>
      <w:r w:rsidRPr="004F7A38">
        <w:rPr>
          <w:i/>
        </w:rPr>
        <w:t xml:space="preserve"> La enajenación de bienes muebles e inmuebles.</w:t>
      </w:r>
    </w:p>
    <w:p w14:paraId="637253D9" w14:textId="77777777" w:rsidR="00006DCB" w:rsidRPr="004F7A38" w:rsidRDefault="0006513B" w:rsidP="00162BD6">
      <w:pPr>
        <w:spacing w:before="120" w:after="120" w:line="240" w:lineRule="auto"/>
        <w:ind w:left="1134" w:right="902"/>
        <w:rPr>
          <w:i/>
        </w:rPr>
      </w:pPr>
      <w:r w:rsidRPr="004F7A38">
        <w:rPr>
          <w:b/>
          <w:i/>
        </w:rPr>
        <w:t>IV.</w:t>
      </w:r>
      <w:r w:rsidRPr="004F7A38">
        <w:rPr>
          <w:i/>
        </w:rPr>
        <w:t xml:space="preserve"> El arrendamiento de bienes muebles e inmuebles. </w:t>
      </w:r>
    </w:p>
    <w:p w14:paraId="340798C7" w14:textId="77777777" w:rsidR="00006DCB" w:rsidRPr="004F7A38" w:rsidRDefault="0006513B" w:rsidP="00162BD6">
      <w:pPr>
        <w:spacing w:before="120" w:after="120" w:line="240" w:lineRule="auto"/>
        <w:ind w:left="1134" w:right="902"/>
        <w:rPr>
          <w:i/>
        </w:rPr>
      </w:pPr>
      <w:r w:rsidRPr="004F7A38">
        <w:rPr>
          <w:b/>
          <w:i/>
        </w:rPr>
        <w:t>V</w:t>
      </w:r>
      <w:r w:rsidRPr="004F7A38">
        <w:rPr>
          <w:i/>
        </w:rPr>
        <w:t>. La contratación de los servicios, relacionados con bienes muebles que se encuentran incorporados o adheridos a bienes inmuebles, cuya instalación o mantenimiento no implique modificación al bien inmueble.</w:t>
      </w:r>
    </w:p>
    <w:p w14:paraId="227CE82E" w14:textId="77777777" w:rsidR="00006DCB" w:rsidRPr="004F7A38" w:rsidRDefault="0006513B" w:rsidP="00162BD6">
      <w:pPr>
        <w:spacing w:before="120" w:after="120" w:line="240" w:lineRule="auto"/>
        <w:ind w:left="1134" w:right="902"/>
        <w:rPr>
          <w:i/>
        </w:rPr>
      </w:pPr>
      <w:r w:rsidRPr="004F7A38">
        <w:rPr>
          <w:b/>
          <w:i/>
        </w:rPr>
        <w:t>VI.</w:t>
      </w:r>
      <w:r w:rsidRPr="004F7A38">
        <w:rPr>
          <w:i/>
        </w:rPr>
        <w:t xml:space="preserve"> La contratación de los servicios de reconstrucción y mantenimiento de bienes muebles. </w:t>
      </w:r>
    </w:p>
    <w:p w14:paraId="2CE3F70B" w14:textId="77777777" w:rsidR="00006DCB" w:rsidRPr="004F7A38" w:rsidRDefault="0006513B" w:rsidP="00162BD6">
      <w:pPr>
        <w:spacing w:before="120" w:after="120" w:line="240" w:lineRule="auto"/>
        <w:ind w:left="1134" w:right="902"/>
        <w:rPr>
          <w:i/>
        </w:rPr>
      </w:pPr>
      <w:r w:rsidRPr="004F7A38">
        <w:rPr>
          <w:b/>
          <w:i/>
        </w:rPr>
        <w:lastRenderedPageBreak/>
        <w:t>VII.</w:t>
      </w:r>
      <w:r w:rsidRPr="004F7A38">
        <w:rPr>
          <w:i/>
        </w:rPr>
        <w:t xml:space="preserve"> La contratación de los servicios de maquila, seguros y transportación, así como de los de limpieza y vigilancia de bienes inmuebles. </w:t>
      </w:r>
    </w:p>
    <w:p w14:paraId="40891BAA" w14:textId="77777777" w:rsidR="00006DCB" w:rsidRPr="004F7A38" w:rsidRDefault="0006513B" w:rsidP="00162BD6">
      <w:pPr>
        <w:spacing w:before="120" w:after="120" w:line="240" w:lineRule="auto"/>
        <w:ind w:left="1134" w:right="902"/>
        <w:rPr>
          <w:i/>
        </w:rPr>
      </w:pPr>
      <w:r w:rsidRPr="004F7A38">
        <w:rPr>
          <w:b/>
          <w:i/>
        </w:rPr>
        <w:t>VIII.</w:t>
      </w:r>
      <w:r w:rsidRPr="004F7A38">
        <w:rPr>
          <w:i/>
        </w:rPr>
        <w:t xml:space="preserve"> La prestación de servicios profesionales, la contratación de consultorías, asesorías y estudios e investigaciones, excepto la contratación de servicios personales de personas físicas bajo el régimen de honorarios. </w:t>
      </w:r>
    </w:p>
    <w:p w14:paraId="66F72B36" w14:textId="77777777" w:rsidR="00006DCB" w:rsidRPr="004F7A38" w:rsidRDefault="0006513B" w:rsidP="00162BD6">
      <w:pPr>
        <w:spacing w:before="120" w:after="120" w:line="240" w:lineRule="auto"/>
        <w:ind w:left="851" w:right="902"/>
        <w:rPr>
          <w:i/>
        </w:rPr>
      </w:pPr>
      <w:r w:rsidRPr="004F7A38">
        <w:rPr>
          <w:i/>
        </w:rPr>
        <w:t>En general, otros actos que impliquen la contratación de servicios de cualquier naturaleza</w:t>
      </w:r>
    </w:p>
    <w:p w14:paraId="3341AA62" w14:textId="77777777" w:rsidR="00006DCB" w:rsidRPr="004F7A38" w:rsidRDefault="0006513B" w:rsidP="00162BD6">
      <w:pPr>
        <w:spacing w:before="120" w:after="120" w:line="240" w:lineRule="auto"/>
        <w:ind w:left="851" w:right="902"/>
        <w:rPr>
          <w:i/>
        </w:rPr>
      </w:pPr>
      <w:r w:rsidRPr="004F7A38">
        <w:rPr>
          <w:b/>
          <w:i/>
        </w:rPr>
        <w:t>Artículo 26.-</w:t>
      </w:r>
      <w:r w:rsidRPr="004F7A38">
        <w:rPr>
          <w:i/>
        </w:rPr>
        <w:t xml:space="preserve"> </w:t>
      </w:r>
      <w:r w:rsidRPr="004F7A38">
        <w:rPr>
          <w:b/>
          <w:i/>
        </w:rPr>
        <w:t>Las adquisiciones, arrendamientos y servicios se adjudicarán a través de licitaciones públicas</w:t>
      </w:r>
      <w:r w:rsidRPr="004F7A38">
        <w:rPr>
          <w:i/>
        </w:rPr>
        <w:t xml:space="preserve">, mediante convocatoria pública. </w:t>
      </w:r>
    </w:p>
    <w:p w14:paraId="79323D6D" w14:textId="77777777" w:rsidR="00006DCB" w:rsidRPr="004F7A38" w:rsidRDefault="0006513B" w:rsidP="00162BD6">
      <w:pPr>
        <w:spacing w:before="120" w:after="120" w:line="240" w:lineRule="auto"/>
        <w:ind w:left="851" w:right="902"/>
        <w:rPr>
          <w:i/>
        </w:rPr>
      </w:pPr>
      <w:r w:rsidRPr="004F7A38">
        <w:rPr>
          <w:b/>
          <w:i/>
        </w:rPr>
        <w:t>Artículo 27.</w:t>
      </w:r>
      <w:r w:rsidRPr="004F7A38">
        <w:rPr>
          <w:i/>
        </w:rPr>
        <w:t xml:space="preserve">- La Secretaría, las entidades, los tribunales administrativos y los ayuntamientos podrán </w:t>
      </w:r>
      <w:r w:rsidRPr="004F7A38">
        <w:rPr>
          <w:b/>
          <w:i/>
        </w:rPr>
        <w:t>adjudicar adquisiciones, arrendamientos y servicios, mediante las excepciones al procedimiento de licitación</w:t>
      </w:r>
      <w:r w:rsidRPr="004F7A38">
        <w:rPr>
          <w:i/>
        </w:rPr>
        <w:t xml:space="preserve"> que a continuación se señalan:</w:t>
      </w:r>
    </w:p>
    <w:p w14:paraId="176B77E9" w14:textId="77777777" w:rsidR="00006DCB" w:rsidRPr="004F7A38" w:rsidRDefault="0006513B" w:rsidP="00162BD6">
      <w:pPr>
        <w:spacing w:before="120" w:after="120" w:line="240" w:lineRule="auto"/>
        <w:ind w:left="1134" w:right="902"/>
        <w:rPr>
          <w:i/>
        </w:rPr>
      </w:pPr>
      <w:r w:rsidRPr="004F7A38">
        <w:rPr>
          <w:b/>
          <w:i/>
        </w:rPr>
        <w:t>I</w:t>
      </w:r>
      <w:r w:rsidRPr="004F7A38">
        <w:rPr>
          <w:i/>
        </w:rPr>
        <w:t>. Invitación restringida.</w:t>
      </w:r>
    </w:p>
    <w:p w14:paraId="10E3DC1F" w14:textId="77777777" w:rsidR="00006DCB" w:rsidRPr="004F7A38" w:rsidRDefault="0006513B" w:rsidP="00162BD6">
      <w:pPr>
        <w:spacing w:before="120" w:after="120" w:line="240" w:lineRule="auto"/>
        <w:ind w:left="1134" w:right="902"/>
        <w:rPr>
          <w:i/>
        </w:rPr>
      </w:pPr>
      <w:r w:rsidRPr="004F7A38">
        <w:rPr>
          <w:b/>
          <w:i/>
        </w:rPr>
        <w:t xml:space="preserve">II. </w:t>
      </w:r>
      <w:r w:rsidRPr="004F7A38">
        <w:rPr>
          <w:i/>
        </w:rPr>
        <w:t>Adjudicación directa.”</w:t>
      </w:r>
    </w:p>
    <w:p w14:paraId="108046C4" w14:textId="77777777" w:rsidR="00006DCB" w:rsidRPr="004F7A38" w:rsidRDefault="0006513B" w:rsidP="00162BD6">
      <w:pPr>
        <w:spacing w:before="240" w:after="240"/>
        <w:ind w:right="49"/>
      </w:pPr>
      <w:r w:rsidRPr="004F7A38">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242774D8" w14:textId="77777777" w:rsidR="00006DCB" w:rsidRPr="004F7A38" w:rsidRDefault="0006513B" w:rsidP="00162BD6">
      <w:pPr>
        <w:spacing w:before="240" w:after="240"/>
        <w:ind w:right="49"/>
      </w:pPr>
      <w:r w:rsidRPr="004F7A38">
        <w:t>En efecto, con base en los preceptos citados se advierte que, por regla general, las adquisiciones, enajenaciones, arrendamientos y servicios, que celebren los entes públicos, deben adjudicarse mediante licitación pública, sin embargo, también se contemplan como excepciones a dicho proceso, la invitación restringida y la adjudicación directa.</w:t>
      </w:r>
    </w:p>
    <w:p w14:paraId="18BA3952" w14:textId="77777777" w:rsidR="00006DCB" w:rsidRPr="004F7A38" w:rsidRDefault="0006513B" w:rsidP="00162BD6">
      <w:pPr>
        <w:spacing w:before="240" w:after="240"/>
      </w:pPr>
      <w:r w:rsidRPr="004F7A38">
        <w:t xml:space="preserve">Por ello, de acuerdo con el artículo 44 de la Ley de Contratación Pública del Estado de México y Municipios, las entidades públicas podrán adquirir y contratar servicios mediante invitación restringida en los siguientes casos: </w:t>
      </w:r>
    </w:p>
    <w:p w14:paraId="3B35B0C4" w14:textId="77777777" w:rsidR="00006DCB" w:rsidRPr="004F7A38" w:rsidRDefault="0006513B" w:rsidP="00162BD6">
      <w:pPr>
        <w:spacing w:before="120" w:after="120" w:line="240" w:lineRule="auto"/>
        <w:ind w:left="851" w:right="902"/>
        <w:rPr>
          <w:i/>
        </w:rPr>
      </w:pPr>
      <w:r w:rsidRPr="004F7A38">
        <w:rPr>
          <w:b/>
          <w:i/>
        </w:rPr>
        <w:lastRenderedPageBreak/>
        <w:t>“Artículo 44.-</w:t>
      </w:r>
      <w:r w:rsidRPr="004F7A38">
        <w:rPr>
          <w:i/>
        </w:rPr>
        <w:t xml:space="preserve"> La Secretaría, las entidades, los tribunales administrativos y los ayuntamientos podrán adquirir y contratar servicios mediante invitación restringida, cuando:</w:t>
      </w:r>
    </w:p>
    <w:p w14:paraId="15CB2EF7" w14:textId="77777777" w:rsidR="00006DCB" w:rsidRPr="004F7A38" w:rsidRDefault="0006513B" w:rsidP="00162BD6">
      <w:pPr>
        <w:spacing w:before="120" w:after="120" w:line="240" w:lineRule="auto"/>
        <w:ind w:left="1134" w:right="902"/>
        <w:rPr>
          <w:i/>
        </w:rPr>
      </w:pPr>
      <w:r w:rsidRPr="004F7A38">
        <w:rPr>
          <w:b/>
          <w:i/>
        </w:rPr>
        <w:t>I.</w:t>
      </w:r>
      <w:r w:rsidRPr="004F7A38">
        <w:rPr>
          <w:i/>
        </w:rPr>
        <w:t xml:space="preserve"> Se hubiere declarado desierto un procedimiento de licitación, o</w:t>
      </w:r>
    </w:p>
    <w:p w14:paraId="2ED57274" w14:textId="77777777" w:rsidR="00006DCB" w:rsidRPr="004F7A38" w:rsidRDefault="0006513B" w:rsidP="00162BD6">
      <w:pPr>
        <w:spacing w:before="120" w:after="120" w:line="240" w:lineRule="auto"/>
        <w:ind w:left="1134" w:right="902"/>
        <w:rPr>
          <w:i/>
        </w:rPr>
      </w:pPr>
      <w:r w:rsidRPr="004F7A38">
        <w:rPr>
          <w:b/>
          <w:i/>
        </w:rPr>
        <w:t>II</w:t>
      </w:r>
      <w:r w:rsidRPr="004F7A38">
        <w:rPr>
          <w:i/>
        </w:rPr>
        <w:t>. El importe de la operación no exceda de los montos establecidos por el Presupuesto de Egresos del Gobierno del Estado de México del ejercicio correspondiente.</w:t>
      </w:r>
    </w:p>
    <w:p w14:paraId="4D9492DF" w14:textId="77777777" w:rsidR="00006DCB" w:rsidRPr="004F7A38" w:rsidRDefault="0006513B" w:rsidP="00162BD6">
      <w:pPr>
        <w:spacing w:before="120" w:after="120" w:line="240" w:lineRule="auto"/>
        <w:ind w:left="851" w:right="902"/>
        <w:rPr>
          <w:i/>
        </w:rPr>
      </w:pPr>
      <w:r w:rsidRPr="004F7A38">
        <w:rPr>
          <w:i/>
        </w:rPr>
        <w:t xml:space="preserve"> 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57D360D5" w14:textId="77777777" w:rsidR="00006DCB" w:rsidRPr="004F7A38" w:rsidRDefault="0006513B" w:rsidP="00162BD6">
      <w:pPr>
        <w:spacing w:before="120" w:after="120" w:line="240" w:lineRule="auto"/>
        <w:ind w:left="851" w:right="902"/>
        <w:rPr>
          <w:i/>
        </w:rPr>
      </w:pPr>
      <w:r w:rsidRPr="004F7A38">
        <w:rPr>
          <w:i/>
        </w:rPr>
        <w:t>En la invitación deberá especificarse si en el proceso de asignación aplicará la modalidad de subasta inversa.”</w:t>
      </w:r>
    </w:p>
    <w:p w14:paraId="6336B3D4" w14:textId="77777777" w:rsidR="00006DCB" w:rsidRPr="004F7A38" w:rsidRDefault="0006513B" w:rsidP="00162BD6">
      <w:pPr>
        <w:spacing w:before="240" w:after="240"/>
        <w:ind w:right="49"/>
        <w:rPr>
          <w:i/>
        </w:rPr>
      </w:pPr>
      <w:r w:rsidRPr="004F7A38">
        <w:t>Asimismo, el artículo 46 de la Ley referida, menciona que:</w:t>
      </w:r>
    </w:p>
    <w:p w14:paraId="449DADCC" w14:textId="77777777" w:rsidR="00006DCB" w:rsidRPr="004F7A38" w:rsidRDefault="0006513B" w:rsidP="00162BD6">
      <w:pPr>
        <w:spacing w:before="120" w:after="120" w:line="240" w:lineRule="auto"/>
        <w:ind w:left="851" w:right="902"/>
        <w:rPr>
          <w:i/>
        </w:rPr>
      </w:pPr>
      <w:r w:rsidRPr="004F7A38">
        <w:t xml:space="preserve"> “</w:t>
      </w:r>
      <w:r w:rsidRPr="004F7A38">
        <w:rPr>
          <w:b/>
          <w:i/>
        </w:rPr>
        <w:t>Artículo 46.-</w:t>
      </w:r>
      <w:r w:rsidRPr="004F7A38">
        <w:rPr>
          <w:i/>
        </w:rPr>
        <w:t xml:space="preserve"> El procedimiento de invitación restringida se desarrollará en los términos de la licitación pública, a excepción de la publicación de la convocatoria.”</w:t>
      </w:r>
    </w:p>
    <w:p w14:paraId="70214685" w14:textId="77777777" w:rsidR="00006DCB" w:rsidRPr="004F7A38" w:rsidRDefault="00006DCB" w:rsidP="00162BD6">
      <w:pPr>
        <w:spacing w:before="120" w:after="120" w:line="240" w:lineRule="auto"/>
        <w:ind w:left="851" w:right="902"/>
        <w:rPr>
          <w:i/>
        </w:rPr>
      </w:pPr>
    </w:p>
    <w:p w14:paraId="479B4D3C" w14:textId="77777777" w:rsidR="00006DCB" w:rsidRPr="004F7A38" w:rsidRDefault="0006513B" w:rsidP="00162BD6">
      <w:pPr>
        <w:ind w:right="49"/>
      </w:pPr>
      <w:r w:rsidRPr="004F7A38">
        <w:t xml:space="preserve">Por otra parte, el artículo 48 de la Ley en cita precisa que, respecto a los procedimientos de Adjudicación Directa, las entidades públicas podrán adquirir bienes, arrendar bienes muebles e inmuebles y contratar servicios mediante adjudicación directa cuando: </w:t>
      </w:r>
    </w:p>
    <w:p w14:paraId="2BEEC672" w14:textId="77777777" w:rsidR="00006DCB" w:rsidRPr="004F7A38" w:rsidRDefault="0006513B" w:rsidP="00162BD6">
      <w:pPr>
        <w:tabs>
          <w:tab w:val="left" w:pos="7938"/>
        </w:tabs>
        <w:spacing w:before="120" w:after="120" w:line="240" w:lineRule="auto"/>
        <w:ind w:left="851" w:right="900"/>
        <w:rPr>
          <w:i/>
        </w:rPr>
      </w:pPr>
      <w:r w:rsidRPr="004F7A38">
        <w:rPr>
          <w:b/>
          <w:i/>
        </w:rPr>
        <w:t>“Artículo 48.-</w:t>
      </w:r>
      <w:r w:rsidRPr="004F7A38">
        <w:rPr>
          <w:i/>
        </w:rPr>
        <w:t xml:space="preserve"> La Secretaría, las entidades, los tribunales administrativos y los ayuntamientos podrán adquirir bienes, arrendar bienes muebles e inmuebles y contratar servicios, mediante adjudicación directa, cuando:</w:t>
      </w:r>
    </w:p>
    <w:p w14:paraId="023FE07B" w14:textId="77777777" w:rsidR="00006DCB" w:rsidRPr="004F7A38" w:rsidRDefault="0006513B" w:rsidP="00162BD6">
      <w:pPr>
        <w:tabs>
          <w:tab w:val="left" w:pos="7938"/>
        </w:tabs>
        <w:spacing w:before="120" w:after="120" w:line="240" w:lineRule="auto"/>
        <w:ind w:left="1134" w:right="900"/>
        <w:rPr>
          <w:i/>
        </w:rPr>
      </w:pPr>
      <w:r w:rsidRPr="004F7A38">
        <w:rPr>
          <w:b/>
          <w:i/>
        </w:rPr>
        <w:t>I</w:t>
      </w:r>
      <w:r w:rsidRPr="004F7A38">
        <w:rPr>
          <w:i/>
        </w:rPr>
        <w:t>. La adquisición o el servicio sólo puedan realizarse con una determinada persona, por tratarse de obras de arte, titularidad de patentes, registros, marcas específicas, derechos de autor u otros derechos exclusivos.</w:t>
      </w:r>
    </w:p>
    <w:p w14:paraId="679372B9" w14:textId="77777777" w:rsidR="00006DCB" w:rsidRPr="004F7A38" w:rsidRDefault="0006513B" w:rsidP="00162BD6">
      <w:pPr>
        <w:tabs>
          <w:tab w:val="left" w:pos="7938"/>
        </w:tabs>
        <w:spacing w:before="120" w:after="120" w:line="240" w:lineRule="auto"/>
        <w:ind w:left="1134" w:right="900"/>
        <w:rPr>
          <w:i/>
        </w:rPr>
      </w:pPr>
      <w:r w:rsidRPr="004F7A38">
        <w:rPr>
          <w:b/>
          <w:i/>
        </w:rPr>
        <w:t>II</w:t>
      </w:r>
      <w:r w:rsidRPr="004F7A38">
        <w:rPr>
          <w:i/>
        </w:rPr>
        <w:t xml:space="preserve">. La adquisición o el arrendamiento de algún inmueble sólo puedan realizarse con determinada persona, por ser el único bien disponible en el mercado inmobiliario que reúna las características de dimensión, ubicación, servicios y otras que requieran las dependencias, las entidades, los tribunales </w:t>
      </w:r>
      <w:r w:rsidRPr="004F7A38">
        <w:rPr>
          <w:i/>
        </w:rPr>
        <w:lastRenderedPageBreak/>
        <w:t>administrativos o los ayuntamientos para su buen funcionamiento o para la adecuada prestación de los servicios públicos a su cargo.</w:t>
      </w:r>
    </w:p>
    <w:p w14:paraId="1EA50B36" w14:textId="77777777" w:rsidR="00006DCB" w:rsidRPr="004F7A38" w:rsidRDefault="0006513B" w:rsidP="00162BD6">
      <w:pPr>
        <w:tabs>
          <w:tab w:val="left" w:pos="7938"/>
        </w:tabs>
        <w:spacing w:before="120" w:after="120" w:line="240" w:lineRule="auto"/>
        <w:ind w:left="1134" w:right="900"/>
        <w:rPr>
          <w:i/>
        </w:rPr>
      </w:pPr>
      <w:r w:rsidRPr="004F7A38">
        <w:rPr>
          <w:b/>
          <w:i/>
        </w:rPr>
        <w:t>III.</w:t>
      </w:r>
      <w:r w:rsidRPr="004F7A38">
        <w:rPr>
          <w:i/>
        </w:rPr>
        <w:t xml:space="preserve"> Se trate de servicios que requieran de experiencia, técnicas o equipos especiales, o se trate de la adquisición de bienes usados o de características especiales que solamente puedan ser prestados o suministrados por una sola persona.</w:t>
      </w:r>
    </w:p>
    <w:p w14:paraId="3CABE598" w14:textId="77777777" w:rsidR="00006DCB" w:rsidRPr="004F7A38" w:rsidRDefault="0006513B" w:rsidP="00162BD6">
      <w:pPr>
        <w:tabs>
          <w:tab w:val="left" w:pos="7938"/>
        </w:tabs>
        <w:spacing w:before="120" w:after="120" w:line="240" w:lineRule="auto"/>
        <w:ind w:left="1134" w:right="900"/>
        <w:rPr>
          <w:i/>
        </w:rPr>
      </w:pPr>
      <w:r w:rsidRPr="004F7A38">
        <w:rPr>
          <w:b/>
          <w:i/>
        </w:rPr>
        <w:t>IV.</w:t>
      </w:r>
      <w:r w:rsidRPr="004F7A38">
        <w:rPr>
          <w:i/>
        </w:rPr>
        <w:t xml:space="preserve"> Sea urgente la adquisición de bienes, arrendamientos o servicios por estar en riesgo el orden social, la salubridad, la seguridad pública o el ambiente, de alguna zona o región del Estado; se paralicen los servicios públicos; se trate de programas o acciones de apoyo a la población para atender necesidades apremiantes, o concurra alguna causa similar de interés público.</w:t>
      </w:r>
    </w:p>
    <w:p w14:paraId="2993BCEE" w14:textId="77777777" w:rsidR="00006DCB" w:rsidRPr="004F7A38" w:rsidRDefault="0006513B" w:rsidP="00162BD6">
      <w:pPr>
        <w:tabs>
          <w:tab w:val="left" w:pos="7938"/>
        </w:tabs>
        <w:spacing w:before="120" w:after="120" w:line="240" w:lineRule="auto"/>
        <w:ind w:left="1134" w:right="900"/>
        <w:rPr>
          <w:i/>
        </w:rPr>
      </w:pPr>
      <w:r w:rsidRPr="004F7A38">
        <w:rPr>
          <w:b/>
          <w:i/>
        </w:rPr>
        <w:t>V</w:t>
      </w:r>
      <w:r w:rsidRPr="004F7A38">
        <w:rPr>
          <w:i/>
        </w:rPr>
        <w:t>. Existan circunstancias que puedan provocar pérdidas o costos adicionales importantes al erario.</w:t>
      </w:r>
    </w:p>
    <w:p w14:paraId="23C3BF98" w14:textId="77777777" w:rsidR="00006DCB" w:rsidRPr="004F7A38" w:rsidRDefault="0006513B" w:rsidP="00162BD6">
      <w:pPr>
        <w:tabs>
          <w:tab w:val="left" w:pos="7938"/>
        </w:tabs>
        <w:spacing w:before="120" w:after="120" w:line="240" w:lineRule="auto"/>
        <w:ind w:left="1134" w:right="900"/>
        <w:rPr>
          <w:i/>
        </w:rPr>
      </w:pPr>
      <w:r w:rsidRPr="004F7A38">
        <w:rPr>
          <w:b/>
          <w:i/>
        </w:rPr>
        <w:t>VI</w:t>
      </w:r>
      <w:r w:rsidRPr="004F7A38">
        <w:rPr>
          <w:i/>
        </w:rPr>
        <w:t>. Pueda comprometerse información de naturaleza confidencial para el Estado o municipios, por razones de seguridad pública.</w:t>
      </w:r>
    </w:p>
    <w:p w14:paraId="2799E87C" w14:textId="77777777" w:rsidR="00006DCB" w:rsidRPr="004F7A38" w:rsidRDefault="0006513B" w:rsidP="00162BD6">
      <w:pPr>
        <w:tabs>
          <w:tab w:val="left" w:pos="7938"/>
        </w:tabs>
        <w:spacing w:before="120" w:after="120" w:line="240" w:lineRule="auto"/>
        <w:ind w:left="1134" w:right="900"/>
        <w:rPr>
          <w:i/>
        </w:rPr>
      </w:pPr>
      <w:r w:rsidRPr="004F7A38">
        <w:rPr>
          <w:b/>
          <w:i/>
        </w:rPr>
        <w:t>VII</w:t>
      </w:r>
      <w:r w:rsidRPr="004F7A38">
        <w:rPr>
          <w:i/>
        </w:rPr>
        <w:t>. Existan circunstancias extraordinarias o imprevisibles derivadas de riesgo o desastre. En este supuesto, la adquisición, arrendamiento y servicio deberá limitarse a lo estrictamente necesario para enfrentar tal eventualidad.</w:t>
      </w:r>
    </w:p>
    <w:p w14:paraId="5678B4B6" w14:textId="77777777" w:rsidR="00006DCB" w:rsidRPr="004F7A38" w:rsidRDefault="0006513B" w:rsidP="00162BD6">
      <w:pPr>
        <w:tabs>
          <w:tab w:val="left" w:pos="7938"/>
        </w:tabs>
        <w:spacing w:before="120" w:after="120" w:line="240" w:lineRule="auto"/>
        <w:ind w:left="1134" w:right="900"/>
        <w:rPr>
          <w:i/>
        </w:rPr>
      </w:pPr>
      <w:r w:rsidRPr="004F7A38">
        <w:rPr>
          <w:b/>
          <w:i/>
        </w:rPr>
        <w:t>VIII</w:t>
      </w:r>
      <w:r w:rsidRPr="004F7A38">
        <w:rPr>
          <w:i/>
        </w:rPr>
        <w:t>. Se hubiere rescindido un contrato, por causas imputables al proveedor o que la persona que habiendo resultado ganadora en una licitación, no concurra a la suscripción del contrato dentro del plazo establecido en esta Ley. En estos supuestos, la Secretaría, la entidad, el tribunal administrativo o el ayuntamiento podrá adjudicar el contrato al licitante que haya presentado la propuesta solvente más cercana a la ganadora y así, sucesivamente. En todo caso, la diferencia de precio no deberá de ser superior al diez por ciento, respecto de la propuesta ganadora.</w:t>
      </w:r>
    </w:p>
    <w:p w14:paraId="6FB997E2" w14:textId="77777777" w:rsidR="00006DCB" w:rsidRPr="004F7A38" w:rsidRDefault="0006513B" w:rsidP="00162BD6">
      <w:pPr>
        <w:tabs>
          <w:tab w:val="left" w:pos="7938"/>
        </w:tabs>
        <w:spacing w:before="120" w:after="120" w:line="240" w:lineRule="auto"/>
        <w:ind w:left="1134" w:right="900"/>
        <w:rPr>
          <w:i/>
        </w:rPr>
      </w:pPr>
      <w:r w:rsidRPr="004F7A38">
        <w:rPr>
          <w:b/>
          <w:i/>
        </w:rPr>
        <w:t>IX</w:t>
      </w:r>
      <w:r w:rsidRPr="004F7A38">
        <w:rPr>
          <w:i/>
        </w:rPr>
        <w:t>. Se hubiere declarado desierto un procedimiento de invitación restringida.</w:t>
      </w:r>
    </w:p>
    <w:p w14:paraId="3E04BD47" w14:textId="77777777" w:rsidR="00006DCB" w:rsidRPr="004F7A38" w:rsidRDefault="0006513B" w:rsidP="00162BD6">
      <w:pPr>
        <w:tabs>
          <w:tab w:val="left" w:pos="7938"/>
        </w:tabs>
        <w:spacing w:before="120" w:after="120" w:line="240" w:lineRule="auto"/>
        <w:ind w:left="1134" w:right="900"/>
        <w:rPr>
          <w:i/>
        </w:rPr>
      </w:pPr>
      <w:r w:rsidRPr="004F7A38">
        <w:rPr>
          <w:b/>
          <w:i/>
        </w:rPr>
        <w:t>X</w:t>
      </w:r>
      <w:r w:rsidRPr="004F7A38">
        <w:rPr>
          <w:i/>
        </w:rPr>
        <w:t>. Cuando se aseguren condiciones financieras que permitan al Estado o a los municipios cumplir con la obligación de pago de manera diferida, sin que ello implique un costo financiero adicional o que habiéndolo, sea inferior al del mercado, o</w:t>
      </w:r>
    </w:p>
    <w:p w14:paraId="56DE1027" w14:textId="77777777" w:rsidR="00006DCB" w:rsidRPr="004F7A38" w:rsidRDefault="0006513B" w:rsidP="00162BD6">
      <w:pPr>
        <w:tabs>
          <w:tab w:val="left" w:pos="7938"/>
        </w:tabs>
        <w:spacing w:before="120" w:after="120" w:line="240" w:lineRule="auto"/>
        <w:ind w:left="1134" w:right="900"/>
        <w:rPr>
          <w:i/>
        </w:rPr>
      </w:pPr>
      <w:r w:rsidRPr="004F7A38">
        <w:rPr>
          <w:b/>
          <w:i/>
        </w:rPr>
        <w:t>XI</w:t>
      </w:r>
      <w:r w:rsidRPr="004F7A38">
        <w:rPr>
          <w:i/>
        </w:rPr>
        <w:t xml:space="preserve">. El importe de la operación no rebase los montos establecidos en el Presupuesto de Egresos del Gobierno del Estado del ejercicio correspondiente. Tratándose de arrendamientos de inmuebles se entenderá por importe de la operación el monto mensual de la renta. Las dependencias, las entidades, los </w:t>
      </w:r>
      <w:r w:rsidRPr="004F7A38">
        <w:rPr>
          <w:i/>
        </w:rPr>
        <w:lastRenderedPageBreak/>
        <w:t>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201E8D53" w14:textId="77777777" w:rsidR="00006DCB" w:rsidRPr="004F7A38" w:rsidRDefault="0006513B" w:rsidP="00162BD6">
      <w:pPr>
        <w:tabs>
          <w:tab w:val="left" w:pos="7938"/>
        </w:tabs>
        <w:spacing w:before="120" w:after="120" w:line="240" w:lineRule="auto"/>
        <w:ind w:left="1134" w:right="900"/>
        <w:rPr>
          <w:i/>
        </w:rPr>
      </w:pPr>
      <w:r w:rsidRPr="004F7A38">
        <w:rPr>
          <w:b/>
          <w:i/>
        </w:rPr>
        <w:t>XII</w:t>
      </w:r>
      <w:r w:rsidRPr="004F7A38">
        <w:rPr>
          <w:i/>
        </w:rPr>
        <w:t>. Se trate de bienes producidos por sociedades cooperativas, de producción rural, de interés colectivo, de solidaridad social, sociedades y asociaciones de fin social, cuyo objeto no sea preponderantemente lucrativo, producidos en el Estado de México y adquiridos directamente a éstas.</w:t>
      </w:r>
    </w:p>
    <w:p w14:paraId="4F2064DF" w14:textId="77777777" w:rsidR="00006DCB" w:rsidRPr="004F7A38" w:rsidRDefault="0006513B" w:rsidP="00162BD6">
      <w:pPr>
        <w:tabs>
          <w:tab w:val="left" w:pos="7938"/>
        </w:tabs>
        <w:spacing w:before="120" w:after="120" w:line="240" w:lineRule="auto"/>
        <w:ind w:left="851" w:right="900"/>
        <w:rPr>
          <w:i/>
        </w:rPr>
      </w:pPr>
      <w:r w:rsidRPr="004F7A38">
        <w:rPr>
          <w:b/>
          <w:i/>
        </w:rPr>
        <w:t>Artículo 49.-</w:t>
      </w:r>
      <w:r w:rsidRPr="004F7A38">
        <w:rPr>
          <w:i/>
        </w:rPr>
        <w:t xml:space="preserve"> El procedimiento de adjudicación directa se substanciará con arreglo a el reglamento de esta Ley.”</w:t>
      </w:r>
    </w:p>
    <w:p w14:paraId="28CA8FF0" w14:textId="77777777" w:rsidR="00006DCB" w:rsidRPr="004F7A38" w:rsidRDefault="00006DCB" w:rsidP="00162BD6">
      <w:pPr>
        <w:spacing w:before="240" w:after="240"/>
        <w:ind w:right="51"/>
      </w:pPr>
    </w:p>
    <w:p w14:paraId="7E00A441" w14:textId="77777777" w:rsidR="00006DCB" w:rsidRPr="004F7A38" w:rsidRDefault="0006513B" w:rsidP="00162BD6">
      <w:pPr>
        <w:spacing w:before="240" w:after="240"/>
        <w:ind w:right="51"/>
      </w:pPr>
      <w:r w:rsidRPr="004F7A38">
        <w:t xml:space="preserve">Ahora bien, a través del cumplimiento a la obligación de transparencia señalada en la fracción XXIX del artículo 92 de la Ley de la Materia, los sujetos obligados deben poner a disposición del público de manera constante y actualizada, de forma sencilla, precisa y entendible, en los respectivos medios electrónicos, información relativa a los procesos y resultados sobre procedimientos de adjudicación directa, invitación restringida, y licitación de cualquier naturaleza, </w:t>
      </w:r>
      <w:r w:rsidRPr="004F7A38">
        <w:rPr>
          <w:b/>
        </w:rPr>
        <w:t>incluyendo la versión pública del expediente respectivo y de los contratos celebrados</w:t>
      </w:r>
      <w:r w:rsidRPr="004F7A38">
        <w:t>, a saber:</w:t>
      </w:r>
    </w:p>
    <w:p w14:paraId="79AA490C" w14:textId="77777777" w:rsidR="00006DCB" w:rsidRPr="004F7A38" w:rsidRDefault="0006513B" w:rsidP="00162BD6">
      <w:pPr>
        <w:spacing w:line="240" w:lineRule="auto"/>
        <w:ind w:left="851" w:right="902"/>
        <w:rPr>
          <w:i/>
        </w:rPr>
      </w:pPr>
      <w:r w:rsidRPr="004F7A38">
        <w:rPr>
          <w:i/>
        </w:rPr>
        <w:t>“</w:t>
      </w:r>
      <w:r w:rsidRPr="004F7A38">
        <w:rPr>
          <w:b/>
          <w:i/>
        </w:rPr>
        <w:t>Artículo 92</w:t>
      </w:r>
      <w:r w:rsidRPr="004F7A38">
        <w:rPr>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4C13FE2" w14:textId="77777777" w:rsidR="00006DCB" w:rsidRPr="004F7A38" w:rsidRDefault="0006513B" w:rsidP="00162BD6">
      <w:pPr>
        <w:tabs>
          <w:tab w:val="left" w:pos="426"/>
          <w:tab w:val="left" w:pos="2145"/>
        </w:tabs>
        <w:spacing w:before="120" w:after="120" w:line="240" w:lineRule="auto"/>
        <w:ind w:left="1134" w:right="902"/>
        <w:rPr>
          <w:i/>
        </w:rPr>
      </w:pPr>
      <w:r w:rsidRPr="004F7A38">
        <w:rPr>
          <w:i/>
        </w:rPr>
        <w:t>(…)</w:t>
      </w:r>
      <w:r w:rsidRPr="004F7A38">
        <w:rPr>
          <w:i/>
        </w:rPr>
        <w:tab/>
      </w:r>
    </w:p>
    <w:p w14:paraId="54BC7194" w14:textId="77777777" w:rsidR="00006DCB" w:rsidRPr="004F7A38" w:rsidRDefault="0006513B" w:rsidP="00162BD6">
      <w:pPr>
        <w:tabs>
          <w:tab w:val="left" w:pos="426"/>
        </w:tabs>
        <w:spacing w:before="120" w:after="120" w:line="240" w:lineRule="auto"/>
        <w:ind w:left="1134" w:right="902"/>
        <w:rPr>
          <w:i/>
        </w:rPr>
      </w:pPr>
      <w:r w:rsidRPr="004F7A38">
        <w:rPr>
          <w:b/>
          <w:i/>
        </w:rPr>
        <w:t>XXIX.</w:t>
      </w:r>
      <w:r w:rsidRPr="004F7A38">
        <w:rPr>
          <w:i/>
        </w:rPr>
        <w:t xml:space="preserve"> La </w:t>
      </w:r>
      <w:r w:rsidRPr="004F7A38">
        <w:rPr>
          <w:b/>
          <w:i/>
        </w:rPr>
        <w:t xml:space="preserve">información sobre los procesos y resultados </w:t>
      </w:r>
      <w:r w:rsidRPr="004F7A38">
        <w:rPr>
          <w:b/>
          <w:i/>
          <w:u w:val="single"/>
        </w:rPr>
        <w:t>sobre procedimientos de adjudicación directa, invitación restringida y licitación de cualquier naturaleza</w:t>
      </w:r>
      <w:r w:rsidRPr="004F7A38">
        <w:rPr>
          <w:i/>
          <w:u w:val="single"/>
        </w:rPr>
        <w:t xml:space="preserve">, </w:t>
      </w:r>
      <w:r w:rsidRPr="004F7A38">
        <w:rPr>
          <w:b/>
          <w:i/>
        </w:rPr>
        <w:t>incluyendo la versión pública</w:t>
      </w:r>
      <w:r w:rsidRPr="004F7A38">
        <w:rPr>
          <w:i/>
        </w:rPr>
        <w:t xml:space="preserve"> del expediente respectivo y </w:t>
      </w:r>
      <w:r w:rsidRPr="004F7A38">
        <w:rPr>
          <w:b/>
          <w:i/>
        </w:rPr>
        <w:t>de los contratos celebrados</w:t>
      </w:r>
      <w:r w:rsidRPr="004F7A38">
        <w:rPr>
          <w:i/>
        </w:rPr>
        <w:t>, que deberán contener, por los menos, lo siguiente:</w:t>
      </w:r>
    </w:p>
    <w:p w14:paraId="5C5E289C" w14:textId="77777777" w:rsidR="00006DCB" w:rsidRPr="004F7A38" w:rsidRDefault="0006513B" w:rsidP="00162BD6">
      <w:pPr>
        <w:tabs>
          <w:tab w:val="left" w:pos="426"/>
        </w:tabs>
        <w:spacing w:before="120" w:after="120" w:line="240" w:lineRule="auto"/>
        <w:ind w:left="1418" w:right="902"/>
        <w:rPr>
          <w:b/>
          <w:i/>
        </w:rPr>
      </w:pPr>
      <w:r w:rsidRPr="004F7A38">
        <w:rPr>
          <w:b/>
          <w:i/>
        </w:rPr>
        <w:lastRenderedPageBreak/>
        <w:t>a) De licitaciones públicas o procedimientos de invitación restringida:</w:t>
      </w:r>
    </w:p>
    <w:p w14:paraId="2348CD74" w14:textId="77777777" w:rsidR="00006DCB" w:rsidRPr="004F7A38" w:rsidRDefault="0006513B" w:rsidP="00162BD6">
      <w:pPr>
        <w:tabs>
          <w:tab w:val="left" w:pos="426"/>
        </w:tabs>
        <w:spacing w:before="120" w:after="120" w:line="240" w:lineRule="auto"/>
        <w:ind w:left="1701" w:right="902"/>
        <w:rPr>
          <w:i/>
        </w:rPr>
      </w:pPr>
      <w:r w:rsidRPr="004F7A38">
        <w:rPr>
          <w:b/>
          <w:i/>
        </w:rPr>
        <w:t>1)</w:t>
      </w:r>
      <w:r w:rsidRPr="004F7A38">
        <w:rPr>
          <w:i/>
        </w:rPr>
        <w:t xml:space="preserve"> La convocatoria o invitación emitida, así como los fundamentos legales aplicados para llevarla a cabo;</w:t>
      </w:r>
    </w:p>
    <w:p w14:paraId="3AFE9A61" w14:textId="77777777" w:rsidR="00006DCB" w:rsidRPr="004F7A38" w:rsidRDefault="0006513B" w:rsidP="00162BD6">
      <w:pPr>
        <w:tabs>
          <w:tab w:val="left" w:pos="426"/>
        </w:tabs>
        <w:spacing w:before="120" w:after="120" w:line="240" w:lineRule="auto"/>
        <w:ind w:left="1701" w:right="902"/>
        <w:rPr>
          <w:i/>
        </w:rPr>
      </w:pPr>
      <w:r w:rsidRPr="004F7A38">
        <w:rPr>
          <w:b/>
          <w:i/>
        </w:rPr>
        <w:t>2)</w:t>
      </w:r>
      <w:r w:rsidRPr="004F7A38">
        <w:rPr>
          <w:i/>
        </w:rPr>
        <w:t xml:space="preserve"> Los nombres de los participantes o invitados;</w:t>
      </w:r>
    </w:p>
    <w:p w14:paraId="547560C4" w14:textId="77777777" w:rsidR="00006DCB" w:rsidRPr="004F7A38" w:rsidRDefault="0006513B" w:rsidP="00162BD6">
      <w:pPr>
        <w:tabs>
          <w:tab w:val="left" w:pos="426"/>
        </w:tabs>
        <w:spacing w:before="120" w:after="120" w:line="240" w:lineRule="auto"/>
        <w:ind w:left="1701" w:right="902"/>
        <w:rPr>
          <w:i/>
        </w:rPr>
      </w:pPr>
      <w:r w:rsidRPr="004F7A38">
        <w:rPr>
          <w:b/>
          <w:i/>
        </w:rPr>
        <w:t>3)</w:t>
      </w:r>
      <w:r w:rsidRPr="004F7A38">
        <w:rPr>
          <w:i/>
        </w:rPr>
        <w:t xml:space="preserve"> El nombre del ganador y las razones que lo justifican;</w:t>
      </w:r>
    </w:p>
    <w:p w14:paraId="360E1DC3" w14:textId="77777777" w:rsidR="00006DCB" w:rsidRPr="004F7A38" w:rsidRDefault="0006513B" w:rsidP="00162BD6">
      <w:pPr>
        <w:tabs>
          <w:tab w:val="left" w:pos="426"/>
        </w:tabs>
        <w:spacing w:before="120" w:after="120" w:line="240" w:lineRule="auto"/>
        <w:ind w:left="1701" w:right="902"/>
        <w:rPr>
          <w:i/>
        </w:rPr>
      </w:pPr>
      <w:r w:rsidRPr="004F7A38">
        <w:rPr>
          <w:b/>
          <w:i/>
        </w:rPr>
        <w:t>4)</w:t>
      </w:r>
      <w:r w:rsidRPr="004F7A38">
        <w:rPr>
          <w:i/>
        </w:rPr>
        <w:t xml:space="preserve"> El área solicitante y la responsable de su ejecución;</w:t>
      </w:r>
    </w:p>
    <w:p w14:paraId="5698A485" w14:textId="77777777" w:rsidR="00006DCB" w:rsidRPr="004F7A38" w:rsidRDefault="0006513B" w:rsidP="00162BD6">
      <w:pPr>
        <w:tabs>
          <w:tab w:val="left" w:pos="426"/>
        </w:tabs>
        <w:spacing w:before="120" w:after="120" w:line="240" w:lineRule="auto"/>
        <w:ind w:left="1701" w:right="902"/>
        <w:rPr>
          <w:i/>
        </w:rPr>
      </w:pPr>
      <w:r w:rsidRPr="004F7A38">
        <w:rPr>
          <w:b/>
          <w:i/>
        </w:rPr>
        <w:t>5)</w:t>
      </w:r>
      <w:r w:rsidRPr="004F7A38">
        <w:rPr>
          <w:i/>
        </w:rPr>
        <w:t xml:space="preserve"> Las convocatorias e invitaciones emitidas; </w:t>
      </w:r>
    </w:p>
    <w:p w14:paraId="38EC64A0" w14:textId="77777777" w:rsidR="00006DCB" w:rsidRPr="004F7A38" w:rsidRDefault="0006513B" w:rsidP="00162BD6">
      <w:pPr>
        <w:tabs>
          <w:tab w:val="left" w:pos="426"/>
        </w:tabs>
        <w:spacing w:before="120" w:after="120" w:line="240" w:lineRule="auto"/>
        <w:ind w:left="1701" w:right="902"/>
        <w:rPr>
          <w:i/>
        </w:rPr>
      </w:pPr>
      <w:r w:rsidRPr="004F7A38">
        <w:rPr>
          <w:b/>
          <w:i/>
        </w:rPr>
        <w:t>6)</w:t>
      </w:r>
      <w:r w:rsidRPr="004F7A38">
        <w:rPr>
          <w:i/>
        </w:rPr>
        <w:t xml:space="preserve"> Los dictámenes y fallo de adjudicación;</w:t>
      </w:r>
    </w:p>
    <w:p w14:paraId="5FDD0D96" w14:textId="77777777" w:rsidR="00006DCB" w:rsidRPr="004F7A38" w:rsidRDefault="0006513B" w:rsidP="00162BD6">
      <w:pPr>
        <w:tabs>
          <w:tab w:val="left" w:pos="426"/>
        </w:tabs>
        <w:spacing w:before="120" w:after="120" w:line="240" w:lineRule="auto"/>
        <w:ind w:left="1701" w:right="902"/>
        <w:rPr>
          <w:i/>
        </w:rPr>
      </w:pPr>
      <w:r w:rsidRPr="004F7A38">
        <w:rPr>
          <w:b/>
          <w:i/>
        </w:rPr>
        <w:t xml:space="preserve">7) </w:t>
      </w:r>
      <w:r w:rsidRPr="004F7A38">
        <w:rPr>
          <w:i/>
        </w:rPr>
        <w:t xml:space="preserve">El contrato y, en su caso, sus anexos; </w:t>
      </w:r>
    </w:p>
    <w:p w14:paraId="3E5F2DED" w14:textId="77777777" w:rsidR="00006DCB" w:rsidRPr="004F7A38" w:rsidRDefault="0006513B" w:rsidP="00162BD6">
      <w:pPr>
        <w:tabs>
          <w:tab w:val="left" w:pos="426"/>
        </w:tabs>
        <w:spacing w:before="120" w:after="120" w:line="240" w:lineRule="auto"/>
        <w:ind w:left="1701" w:right="902"/>
        <w:rPr>
          <w:i/>
        </w:rPr>
      </w:pPr>
      <w:r w:rsidRPr="004F7A38">
        <w:rPr>
          <w:b/>
          <w:i/>
        </w:rPr>
        <w:t>8)</w:t>
      </w:r>
      <w:r w:rsidRPr="004F7A38">
        <w:rPr>
          <w:i/>
        </w:rPr>
        <w:t xml:space="preserve"> Los mecanismos de vigilancia y supervisión, incluyendo en su caso, los estudios de impacto urbano y ambiental, según corresponda;</w:t>
      </w:r>
    </w:p>
    <w:p w14:paraId="6471AF4B" w14:textId="77777777" w:rsidR="00006DCB" w:rsidRPr="004F7A38" w:rsidRDefault="0006513B" w:rsidP="00162BD6">
      <w:pPr>
        <w:tabs>
          <w:tab w:val="left" w:pos="426"/>
        </w:tabs>
        <w:spacing w:before="120" w:after="120" w:line="240" w:lineRule="auto"/>
        <w:ind w:left="1701" w:right="902"/>
        <w:rPr>
          <w:i/>
        </w:rPr>
      </w:pPr>
      <w:r w:rsidRPr="004F7A38">
        <w:rPr>
          <w:b/>
          <w:i/>
        </w:rPr>
        <w:t>9)</w:t>
      </w:r>
      <w:r w:rsidRPr="004F7A38">
        <w:rPr>
          <w:i/>
        </w:rPr>
        <w:t xml:space="preserve"> La partida presupuestal, de conformidad con el clasificador por objeto del gasto, en el caso de ser aplicable; </w:t>
      </w:r>
    </w:p>
    <w:p w14:paraId="785EB40C" w14:textId="77777777" w:rsidR="00006DCB" w:rsidRPr="004F7A38" w:rsidRDefault="0006513B" w:rsidP="00162BD6">
      <w:pPr>
        <w:tabs>
          <w:tab w:val="left" w:pos="426"/>
        </w:tabs>
        <w:spacing w:before="120" w:after="120" w:line="240" w:lineRule="auto"/>
        <w:ind w:left="1701" w:right="902"/>
        <w:rPr>
          <w:i/>
        </w:rPr>
      </w:pPr>
      <w:r w:rsidRPr="004F7A38">
        <w:rPr>
          <w:b/>
          <w:i/>
        </w:rPr>
        <w:t>10)</w:t>
      </w:r>
      <w:r w:rsidRPr="004F7A38">
        <w:rPr>
          <w:i/>
        </w:rPr>
        <w:t xml:space="preserve"> Origen de los recursos especificando si son federales, estatales o municipales, así como el tipo de fondo de participación o aportación respectiva;</w:t>
      </w:r>
    </w:p>
    <w:p w14:paraId="642E2E76" w14:textId="77777777" w:rsidR="00006DCB" w:rsidRPr="004F7A38" w:rsidRDefault="0006513B" w:rsidP="00162BD6">
      <w:pPr>
        <w:tabs>
          <w:tab w:val="left" w:pos="426"/>
        </w:tabs>
        <w:spacing w:before="120" w:after="120" w:line="240" w:lineRule="auto"/>
        <w:ind w:left="1701" w:right="902"/>
        <w:rPr>
          <w:i/>
        </w:rPr>
      </w:pPr>
      <w:r w:rsidRPr="004F7A38">
        <w:rPr>
          <w:b/>
          <w:i/>
        </w:rPr>
        <w:t>11)</w:t>
      </w:r>
      <w:r w:rsidRPr="004F7A38">
        <w:rPr>
          <w:i/>
        </w:rPr>
        <w:t xml:space="preserve"> Los convenios modificatorios que, en su caso, sean firmados, precisando el objeto y la fecha de celebración;</w:t>
      </w:r>
    </w:p>
    <w:p w14:paraId="5AB959AE" w14:textId="77777777" w:rsidR="00006DCB" w:rsidRPr="004F7A38" w:rsidRDefault="0006513B" w:rsidP="00162BD6">
      <w:pPr>
        <w:tabs>
          <w:tab w:val="left" w:pos="426"/>
        </w:tabs>
        <w:spacing w:before="120" w:after="120" w:line="240" w:lineRule="auto"/>
        <w:ind w:left="1701" w:right="902"/>
        <w:rPr>
          <w:i/>
        </w:rPr>
      </w:pPr>
      <w:r w:rsidRPr="004F7A38">
        <w:rPr>
          <w:b/>
          <w:i/>
        </w:rPr>
        <w:t>12)</w:t>
      </w:r>
      <w:r w:rsidRPr="004F7A38">
        <w:rPr>
          <w:i/>
        </w:rPr>
        <w:t xml:space="preserve"> Los informes de avance físico y financiero sobre las obras o servicios contratados; </w:t>
      </w:r>
    </w:p>
    <w:p w14:paraId="13B248DF" w14:textId="77777777" w:rsidR="00006DCB" w:rsidRPr="004F7A38" w:rsidRDefault="0006513B" w:rsidP="00162BD6">
      <w:pPr>
        <w:tabs>
          <w:tab w:val="left" w:pos="426"/>
        </w:tabs>
        <w:spacing w:before="120" w:after="120" w:line="240" w:lineRule="auto"/>
        <w:ind w:left="1701" w:right="902"/>
        <w:rPr>
          <w:i/>
        </w:rPr>
      </w:pPr>
      <w:r w:rsidRPr="004F7A38">
        <w:rPr>
          <w:b/>
          <w:i/>
        </w:rPr>
        <w:t>13)</w:t>
      </w:r>
      <w:r w:rsidRPr="004F7A38">
        <w:rPr>
          <w:i/>
        </w:rPr>
        <w:t xml:space="preserve"> El convenio de terminación; </w:t>
      </w:r>
    </w:p>
    <w:p w14:paraId="39A252A0" w14:textId="77777777" w:rsidR="00006DCB" w:rsidRPr="004F7A38" w:rsidRDefault="0006513B" w:rsidP="00162BD6">
      <w:pPr>
        <w:tabs>
          <w:tab w:val="left" w:pos="426"/>
        </w:tabs>
        <w:spacing w:before="120" w:after="120" w:line="240" w:lineRule="auto"/>
        <w:ind w:left="1701" w:right="902"/>
        <w:rPr>
          <w:i/>
        </w:rPr>
      </w:pPr>
      <w:r w:rsidRPr="004F7A38">
        <w:rPr>
          <w:b/>
          <w:i/>
        </w:rPr>
        <w:t>14)</w:t>
      </w:r>
      <w:r w:rsidRPr="004F7A38">
        <w:rPr>
          <w:i/>
        </w:rPr>
        <w:t xml:space="preserve"> El finiquito.</w:t>
      </w:r>
    </w:p>
    <w:p w14:paraId="2348A622" w14:textId="77777777" w:rsidR="00006DCB" w:rsidRPr="004F7A38" w:rsidRDefault="0006513B" w:rsidP="00162BD6">
      <w:pPr>
        <w:tabs>
          <w:tab w:val="left" w:pos="426"/>
        </w:tabs>
        <w:spacing w:before="120" w:after="120" w:line="240" w:lineRule="auto"/>
        <w:ind w:left="1418" w:right="902"/>
        <w:rPr>
          <w:b/>
          <w:i/>
        </w:rPr>
      </w:pPr>
      <w:r w:rsidRPr="004F7A38">
        <w:rPr>
          <w:b/>
          <w:i/>
        </w:rPr>
        <w:t xml:space="preserve">b) De las adjudicaciones directas: </w:t>
      </w:r>
    </w:p>
    <w:p w14:paraId="351A304F" w14:textId="77777777" w:rsidR="00006DCB" w:rsidRPr="004F7A38" w:rsidRDefault="0006513B" w:rsidP="00162BD6">
      <w:pPr>
        <w:tabs>
          <w:tab w:val="left" w:pos="426"/>
        </w:tabs>
        <w:spacing w:before="120" w:after="120" w:line="240" w:lineRule="auto"/>
        <w:ind w:left="1701" w:right="902"/>
        <w:rPr>
          <w:i/>
        </w:rPr>
      </w:pPr>
      <w:r w:rsidRPr="004F7A38">
        <w:rPr>
          <w:b/>
          <w:i/>
        </w:rPr>
        <w:t>1)</w:t>
      </w:r>
      <w:r w:rsidRPr="004F7A38">
        <w:rPr>
          <w:i/>
        </w:rPr>
        <w:t xml:space="preserve"> La propuesta enviada por el participante; </w:t>
      </w:r>
    </w:p>
    <w:p w14:paraId="48BC04E4" w14:textId="77777777" w:rsidR="00006DCB" w:rsidRPr="004F7A38" w:rsidRDefault="0006513B" w:rsidP="00162BD6">
      <w:pPr>
        <w:tabs>
          <w:tab w:val="left" w:pos="426"/>
        </w:tabs>
        <w:spacing w:before="120" w:after="120" w:line="240" w:lineRule="auto"/>
        <w:ind w:left="1701" w:right="902"/>
        <w:rPr>
          <w:i/>
        </w:rPr>
      </w:pPr>
      <w:r w:rsidRPr="004F7A38">
        <w:rPr>
          <w:b/>
          <w:i/>
        </w:rPr>
        <w:t>2)</w:t>
      </w:r>
      <w:r w:rsidRPr="004F7A38">
        <w:rPr>
          <w:i/>
        </w:rPr>
        <w:t xml:space="preserve"> Los motivos y fundamentos legales aplicados para llevarla a cabo;</w:t>
      </w:r>
    </w:p>
    <w:p w14:paraId="70146F86" w14:textId="77777777" w:rsidR="00006DCB" w:rsidRPr="004F7A38" w:rsidRDefault="0006513B" w:rsidP="00162BD6">
      <w:pPr>
        <w:tabs>
          <w:tab w:val="left" w:pos="426"/>
        </w:tabs>
        <w:spacing w:before="120" w:after="120" w:line="240" w:lineRule="auto"/>
        <w:ind w:left="1701" w:right="902"/>
        <w:rPr>
          <w:i/>
        </w:rPr>
      </w:pPr>
      <w:r w:rsidRPr="004F7A38">
        <w:rPr>
          <w:b/>
          <w:i/>
        </w:rPr>
        <w:t>3)</w:t>
      </w:r>
      <w:r w:rsidRPr="004F7A38">
        <w:rPr>
          <w:i/>
        </w:rPr>
        <w:t xml:space="preserve"> La autorización del ejercicio de la opción; </w:t>
      </w:r>
    </w:p>
    <w:p w14:paraId="5B075992" w14:textId="77777777" w:rsidR="00006DCB" w:rsidRPr="004F7A38" w:rsidRDefault="0006513B" w:rsidP="00162BD6">
      <w:pPr>
        <w:tabs>
          <w:tab w:val="left" w:pos="426"/>
        </w:tabs>
        <w:spacing w:before="120" w:after="120" w:line="240" w:lineRule="auto"/>
        <w:ind w:left="1701" w:right="902"/>
        <w:rPr>
          <w:b/>
          <w:i/>
        </w:rPr>
      </w:pPr>
      <w:r w:rsidRPr="004F7A38">
        <w:rPr>
          <w:b/>
          <w:i/>
        </w:rPr>
        <w:t xml:space="preserve">4) </w:t>
      </w:r>
      <w:r w:rsidRPr="004F7A38">
        <w:rPr>
          <w:i/>
        </w:rPr>
        <w:t>En su caso, las cotizaciones consideradas, especificando los nombres de los proveedores y sus montos;</w:t>
      </w:r>
      <w:r w:rsidRPr="004F7A38">
        <w:rPr>
          <w:b/>
          <w:i/>
        </w:rPr>
        <w:t xml:space="preserve"> </w:t>
      </w:r>
    </w:p>
    <w:p w14:paraId="4404137A" w14:textId="77777777" w:rsidR="00006DCB" w:rsidRPr="004F7A38" w:rsidRDefault="0006513B" w:rsidP="00162BD6">
      <w:pPr>
        <w:tabs>
          <w:tab w:val="left" w:pos="426"/>
        </w:tabs>
        <w:spacing w:before="120" w:after="120" w:line="240" w:lineRule="auto"/>
        <w:ind w:left="1701" w:right="902"/>
        <w:rPr>
          <w:i/>
        </w:rPr>
      </w:pPr>
      <w:r w:rsidRPr="004F7A38">
        <w:rPr>
          <w:b/>
          <w:i/>
        </w:rPr>
        <w:t>5)</w:t>
      </w:r>
      <w:r w:rsidRPr="004F7A38">
        <w:rPr>
          <w:i/>
        </w:rPr>
        <w:t xml:space="preserve"> El nombre de la persona física o jurídica colectiva adjudicada; </w:t>
      </w:r>
    </w:p>
    <w:p w14:paraId="6B6BF633" w14:textId="77777777" w:rsidR="00006DCB" w:rsidRPr="004F7A38" w:rsidRDefault="0006513B" w:rsidP="00162BD6">
      <w:pPr>
        <w:tabs>
          <w:tab w:val="left" w:pos="426"/>
        </w:tabs>
        <w:spacing w:before="120" w:after="120" w:line="240" w:lineRule="auto"/>
        <w:ind w:left="1701" w:right="902"/>
        <w:rPr>
          <w:i/>
        </w:rPr>
      </w:pPr>
      <w:r w:rsidRPr="004F7A38">
        <w:rPr>
          <w:b/>
          <w:i/>
        </w:rPr>
        <w:lastRenderedPageBreak/>
        <w:t>6)</w:t>
      </w:r>
      <w:r w:rsidRPr="004F7A38">
        <w:rPr>
          <w:i/>
        </w:rPr>
        <w:t xml:space="preserve"> La unidad administrativa solicitante y la responsable de su ejecución; </w:t>
      </w:r>
    </w:p>
    <w:p w14:paraId="27D0FC4A" w14:textId="77777777" w:rsidR="00006DCB" w:rsidRPr="004F7A38" w:rsidRDefault="0006513B" w:rsidP="00162BD6">
      <w:pPr>
        <w:tabs>
          <w:tab w:val="left" w:pos="426"/>
        </w:tabs>
        <w:spacing w:before="120" w:after="120" w:line="240" w:lineRule="auto"/>
        <w:ind w:left="1701" w:right="902"/>
        <w:rPr>
          <w:i/>
        </w:rPr>
      </w:pPr>
      <w:r w:rsidRPr="004F7A38">
        <w:rPr>
          <w:b/>
          <w:i/>
        </w:rPr>
        <w:t xml:space="preserve">7) </w:t>
      </w:r>
      <w:r w:rsidRPr="004F7A38">
        <w:rPr>
          <w:i/>
        </w:rPr>
        <w:t xml:space="preserve">El número, fecha, el monto del contrato y el plazo de entrega o de ejecución de los servicios u obra; </w:t>
      </w:r>
    </w:p>
    <w:p w14:paraId="176B5CCE" w14:textId="77777777" w:rsidR="00006DCB" w:rsidRPr="004F7A38" w:rsidRDefault="0006513B" w:rsidP="00162BD6">
      <w:pPr>
        <w:tabs>
          <w:tab w:val="left" w:pos="426"/>
        </w:tabs>
        <w:spacing w:before="120" w:after="120" w:line="240" w:lineRule="auto"/>
        <w:ind w:left="1701" w:right="902"/>
        <w:rPr>
          <w:i/>
        </w:rPr>
      </w:pPr>
      <w:r w:rsidRPr="004F7A38">
        <w:rPr>
          <w:b/>
          <w:i/>
        </w:rPr>
        <w:t>8)</w:t>
      </w:r>
      <w:r w:rsidRPr="004F7A38">
        <w:rPr>
          <w:i/>
        </w:rPr>
        <w:t xml:space="preserve"> Los mecanismos de vigilancia y supervisión, incluyendo, en su caso, los estudios de impacto urbano y ambiental, según corresponda; </w:t>
      </w:r>
    </w:p>
    <w:p w14:paraId="0CD40DFA" w14:textId="77777777" w:rsidR="00006DCB" w:rsidRPr="004F7A38" w:rsidRDefault="0006513B" w:rsidP="00162BD6">
      <w:pPr>
        <w:tabs>
          <w:tab w:val="left" w:pos="426"/>
        </w:tabs>
        <w:spacing w:before="120" w:after="120" w:line="240" w:lineRule="auto"/>
        <w:ind w:left="1701" w:right="902"/>
        <w:rPr>
          <w:i/>
        </w:rPr>
      </w:pPr>
      <w:r w:rsidRPr="004F7A38">
        <w:rPr>
          <w:b/>
          <w:i/>
        </w:rPr>
        <w:t>9)</w:t>
      </w:r>
      <w:r w:rsidRPr="004F7A38">
        <w:rPr>
          <w:i/>
        </w:rPr>
        <w:t xml:space="preserve"> Los informes de avance sobre las obras o servicios contratados; </w:t>
      </w:r>
    </w:p>
    <w:p w14:paraId="3E28D9B5" w14:textId="77777777" w:rsidR="00006DCB" w:rsidRPr="004F7A38" w:rsidRDefault="0006513B" w:rsidP="00162BD6">
      <w:pPr>
        <w:tabs>
          <w:tab w:val="left" w:pos="426"/>
        </w:tabs>
        <w:spacing w:before="120" w:after="120" w:line="240" w:lineRule="auto"/>
        <w:ind w:left="1701" w:right="902"/>
        <w:rPr>
          <w:i/>
        </w:rPr>
      </w:pPr>
      <w:r w:rsidRPr="004F7A38">
        <w:rPr>
          <w:b/>
          <w:i/>
        </w:rPr>
        <w:t>10)</w:t>
      </w:r>
      <w:r w:rsidRPr="004F7A38">
        <w:rPr>
          <w:i/>
        </w:rPr>
        <w:t xml:space="preserve"> El convenio de terminación; y </w:t>
      </w:r>
    </w:p>
    <w:p w14:paraId="4034BCD6" w14:textId="77777777" w:rsidR="00006DCB" w:rsidRPr="004F7A38" w:rsidRDefault="0006513B" w:rsidP="00162BD6">
      <w:pPr>
        <w:tabs>
          <w:tab w:val="left" w:pos="426"/>
        </w:tabs>
        <w:spacing w:before="120" w:after="120" w:line="240" w:lineRule="auto"/>
        <w:ind w:left="1701" w:right="902"/>
        <w:rPr>
          <w:i/>
        </w:rPr>
      </w:pPr>
      <w:r w:rsidRPr="004F7A38">
        <w:rPr>
          <w:b/>
          <w:i/>
        </w:rPr>
        <w:t>11)</w:t>
      </w:r>
      <w:r w:rsidRPr="004F7A38">
        <w:rPr>
          <w:i/>
        </w:rPr>
        <w:t xml:space="preserve"> El finiquito;”</w:t>
      </w:r>
    </w:p>
    <w:p w14:paraId="423D2D8A" w14:textId="77777777" w:rsidR="00006DCB" w:rsidRPr="004F7A38" w:rsidRDefault="00006DCB" w:rsidP="00162BD6">
      <w:pPr>
        <w:spacing w:before="240" w:after="240"/>
      </w:pPr>
    </w:p>
    <w:p w14:paraId="4008F221" w14:textId="77777777" w:rsidR="00006DCB" w:rsidRPr="004F7A38" w:rsidRDefault="0006513B" w:rsidP="00162BD6">
      <w:pPr>
        <w:spacing w:before="240" w:after="240"/>
      </w:pPr>
      <w:r w:rsidRPr="004F7A38">
        <w:t>De esto, se advierte que, los Sujetos Obligados deberán poner a disposición del público la información relativa a procesos y resultados sobre procedimientos de adjudicación directa, invitación restringida y licitación de cualquier naturaleza, donde se incluya, en versión pública, el expediente respectivo y los contratos celebrados que, para el caso en particular, los expedientes deberán contener:</w:t>
      </w:r>
    </w:p>
    <w:p w14:paraId="323DC484" w14:textId="77777777" w:rsidR="00006DCB" w:rsidRPr="004F7A38" w:rsidRDefault="0006513B" w:rsidP="00162BD6">
      <w:pPr>
        <w:spacing w:before="240" w:after="240"/>
        <w:ind w:left="426"/>
      </w:pPr>
      <w:r w:rsidRPr="004F7A38">
        <w:t>●</w:t>
      </w:r>
      <w:r w:rsidRPr="004F7A38">
        <w:rPr>
          <w:sz w:val="16"/>
          <w:szCs w:val="16"/>
        </w:rPr>
        <w:t xml:space="preserve">        </w:t>
      </w:r>
      <w:r w:rsidRPr="004F7A38">
        <w:rPr>
          <w:b/>
        </w:rPr>
        <w:t xml:space="preserve">Invitación restringida: </w:t>
      </w:r>
      <w:r w:rsidRPr="004F7A38">
        <w:t>invitación emitida y fundamentos legales aplicables para llevarla a cabo, nombre de los participantes o invitados, nombre del ganador y razones, área solicitante y responsable de su ejecución, invitaciones emitidas, dictámenes y fallo de adjudicación, contrato y anexos, mecanismos de vigilancia y supervisión, de ser el caso, con los estudios de impacto urbano y ambiental, partida presupuestal de conformidad con el clasificador por objeto del gasto, origen de los recursos especificando si son federales, estatales o municipales, tipo de fondo de participación o aportación respectiva, convenios modificatorios, informes de avances, convenio de terminación y finiquito.</w:t>
      </w:r>
    </w:p>
    <w:p w14:paraId="06A8BE58" w14:textId="77777777" w:rsidR="00006DCB" w:rsidRPr="004F7A38" w:rsidRDefault="0006513B" w:rsidP="00162BD6">
      <w:pPr>
        <w:spacing w:before="240" w:after="240"/>
        <w:ind w:left="426"/>
      </w:pPr>
      <w:r w:rsidRPr="004F7A38">
        <w:t>●</w:t>
      </w:r>
      <w:r w:rsidRPr="004F7A38">
        <w:rPr>
          <w:sz w:val="16"/>
          <w:szCs w:val="16"/>
        </w:rPr>
        <w:t xml:space="preserve">        </w:t>
      </w:r>
      <w:r w:rsidRPr="004F7A38">
        <w:rPr>
          <w:b/>
        </w:rPr>
        <w:t xml:space="preserve">Adjudicaciones directas: </w:t>
      </w:r>
      <w:r w:rsidRPr="004F7A38">
        <w:t xml:space="preserve">Propuestas enviadas por el participante, motivos y fundamentos legales, autorización del ejercicio de la opción, cotizaciones consideradas, nombre de persona física o jurídica adjudicada, número, fecha, monto del contrato, plazo </w:t>
      </w:r>
      <w:r w:rsidRPr="004F7A38">
        <w:lastRenderedPageBreak/>
        <w:t xml:space="preserve">de entrega o ejecución, mecanismos de vigilancia y supervisión, informes de avance sobre las obras o servicios, convenio de terminación y finiquito. </w:t>
      </w:r>
    </w:p>
    <w:p w14:paraId="129AE6E6" w14:textId="77777777" w:rsidR="00006DCB" w:rsidRPr="004F7A38" w:rsidRDefault="0006513B" w:rsidP="00162BD6">
      <w:pPr>
        <w:spacing w:before="240" w:after="240"/>
        <w:ind w:right="51"/>
      </w:pPr>
      <w:r w:rsidRPr="004F7A38">
        <w:t xml:space="preserve">Por ende, de acuerdo a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para el cumplimiento de la obligación de transparencia señalada en el artículo 70  fracción XXVIII de la Ley General de Transparencia y Acceso a la Información Pública, vigentes a la fecha de la solicitud, los sujetos obligados deben publicar información sobre los actos, contratos y convenios celebrados, misma que </w:t>
      </w:r>
      <w:r w:rsidRPr="004F7A38">
        <w:rPr>
          <w:b/>
        </w:rPr>
        <w:t>debe presentarse en una base de datos en la que cada registro se hará por tipo de procedimiento, ya sea licitación pública, invitación restringida o adjudicación directa,</w:t>
      </w:r>
      <w:r w:rsidRPr="004F7A38">
        <w:t xml:space="preserve"> especificando para cada tipo de procedimiento la materia, pudiendo ser obra pública, servicios relacionados con obra pública, arrendamiento, adquisiciones, o servicios, así como el carácter de cada uno, es decir, nacional o internacional, además se debe elaborar versión pública los documentos fuente que deban ser publicados en este apartado, tales como contratos, convenios, actas, dictámenes, fallos, convenios modificatorios, informes, entre otros, incluyendo sus anexos correspondientes, información que debe ser actualizada de manera trimestral, y conservarse la generada en el ejercicio en curso y la correspondiente a dos ejercicios anteriores.</w:t>
      </w:r>
    </w:p>
    <w:p w14:paraId="5B98D07B" w14:textId="77777777" w:rsidR="00006DCB" w:rsidRPr="004F7A38" w:rsidRDefault="0006513B" w:rsidP="00162BD6">
      <w:bookmarkStart w:id="27" w:name="_heading=h.17dp8vu" w:colFirst="0" w:colLast="0"/>
      <w:bookmarkEnd w:id="27"/>
      <w:r w:rsidRPr="004F7A38">
        <w:t>Por otro lado, resulta conveniente señalar que por cuanto hace a las facturas, el Glosario de Términos Hacendarios que emite el Instituto Hacendario del Estado de México, define el término “factura” como el documento fiscal que emite la persona física o moral para comprobar la venta o adquisición de un bien y/o servicio.</w:t>
      </w:r>
    </w:p>
    <w:p w14:paraId="1082F11A" w14:textId="77777777" w:rsidR="00006DCB" w:rsidRPr="004F7A38" w:rsidRDefault="00006DCB" w:rsidP="00162BD6"/>
    <w:p w14:paraId="0A6833F0" w14:textId="77777777" w:rsidR="00006DCB" w:rsidRPr="004F7A38" w:rsidRDefault="0006513B" w:rsidP="00162BD6">
      <w:r w:rsidRPr="004F7A38">
        <w:lastRenderedPageBreak/>
        <w:t xml:space="preserve">Así, las facturas o comprobantes que amparan las erogaciones que se realizan con erario público tienen naturaleza pública pues, constituyen los medios idóneos de evidencia del gasto realizado con recursos públicos, de ahí que convenga precisar que la Constitución Política del Estado Libre y Soberano de México en su artículo 129 señala que los recursos económicos del Estado, de los Municipios, así como de los Organismos Autónomos, se administrarán con eficiencia, eficacia y honradez, para cumplir con los objetivos y programas a los que estén destinados. </w:t>
      </w:r>
    </w:p>
    <w:p w14:paraId="5A9D2839" w14:textId="77777777" w:rsidR="00006DCB" w:rsidRPr="004F7A38" w:rsidRDefault="00006DCB" w:rsidP="00162BD6"/>
    <w:p w14:paraId="5A1CE8B9" w14:textId="77777777" w:rsidR="00006DCB" w:rsidRPr="004F7A38" w:rsidRDefault="0006513B" w:rsidP="00162BD6">
      <w:pPr>
        <w:ind w:right="49"/>
      </w:pPr>
      <w:r w:rsidRPr="004F7A38">
        <w:t>Aunado a ello, los artículos 342, 343, 344 y 345 del Código Financiero del Estado de México y Municipios, disponen el sistema y las políticas que deben seguirse para llevar el registro contable y presupuestal de las operaciones financieras, en los siguientes términos:</w:t>
      </w:r>
    </w:p>
    <w:p w14:paraId="2218EF21" w14:textId="77777777" w:rsidR="00006DCB" w:rsidRPr="004F7A38" w:rsidRDefault="00006DCB" w:rsidP="00162BD6">
      <w:pPr>
        <w:ind w:right="49"/>
      </w:pPr>
    </w:p>
    <w:p w14:paraId="319A8A60" w14:textId="77777777" w:rsidR="00006DCB" w:rsidRPr="004F7A38" w:rsidRDefault="0006513B" w:rsidP="00162BD6">
      <w:pPr>
        <w:spacing w:line="276" w:lineRule="auto"/>
        <w:ind w:left="862" w:right="616"/>
        <w:rPr>
          <w:i/>
        </w:rPr>
      </w:pPr>
      <w:r w:rsidRPr="004F7A38">
        <w:rPr>
          <w:i/>
        </w:rPr>
        <w:t>“</w:t>
      </w:r>
      <w:r w:rsidRPr="004F7A38">
        <w:rPr>
          <w:b/>
          <w:i/>
        </w:rPr>
        <w:t>Artículo 342.-</w:t>
      </w:r>
      <w:r w:rsidRPr="004F7A38">
        <w:rPr>
          <w:i/>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10BB3FFF" w14:textId="77777777" w:rsidR="00006DCB" w:rsidRPr="004F7A38" w:rsidRDefault="0006513B" w:rsidP="00162BD6">
      <w:pPr>
        <w:spacing w:line="276" w:lineRule="auto"/>
        <w:ind w:left="862" w:right="616"/>
        <w:rPr>
          <w:i/>
        </w:rPr>
      </w:pPr>
      <w:r w:rsidRPr="004F7A38">
        <w:rPr>
          <w:b/>
          <w:i/>
        </w:rPr>
        <w:t>En el caso de los municipios,</w:t>
      </w:r>
      <w:r w:rsidRPr="004F7A38">
        <w:rPr>
          <w:i/>
        </w:rPr>
        <w:t xml:space="preserve"> el registro a que se refiere el párrafo anterior, se realizará conforme al sistema y a las disposiciones en materia de </w:t>
      </w:r>
      <w:r w:rsidRPr="004F7A38">
        <w:rPr>
          <w:b/>
          <w:i/>
        </w:rPr>
        <w:t>planeación, programación, presupuestación, evaluación y contabilidad gubernamental</w:t>
      </w:r>
      <w:r w:rsidRPr="004F7A38">
        <w:rPr>
          <w:i/>
        </w:rPr>
        <w:t>, que se aprueben en el marco del Sistema de Coordinación Hacendaria del Estado de México.</w:t>
      </w:r>
    </w:p>
    <w:p w14:paraId="7A92D92C" w14:textId="77777777" w:rsidR="00006DCB" w:rsidRPr="004F7A38" w:rsidRDefault="0006513B" w:rsidP="00162BD6">
      <w:pPr>
        <w:spacing w:line="276" w:lineRule="auto"/>
        <w:ind w:left="862" w:right="616"/>
        <w:rPr>
          <w:i/>
        </w:rPr>
      </w:pPr>
      <w:r w:rsidRPr="004F7A38">
        <w:rPr>
          <w:b/>
          <w:i/>
        </w:rPr>
        <w:t>Artículo 343.-</w:t>
      </w:r>
      <w:r w:rsidRPr="004F7A38">
        <w:rPr>
          <w:i/>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6EA26E62" w14:textId="77777777" w:rsidR="00006DCB" w:rsidRPr="004F7A38" w:rsidRDefault="0006513B" w:rsidP="00162BD6">
      <w:pPr>
        <w:spacing w:line="276" w:lineRule="auto"/>
        <w:ind w:left="862" w:right="616"/>
        <w:rPr>
          <w:i/>
        </w:rPr>
      </w:pPr>
      <w:r w:rsidRPr="004F7A38">
        <w:rPr>
          <w:i/>
        </w:rPr>
        <w:t>El sistema de contabilidad sobre base acumulativa total, se sustentará en las normas emitidas por el Consejo Nacional de Armonización Contable.</w:t>
      </w:r>
    </w:p>
    <w:p w14:paraId="68719A1D" w14:textId="77777777" w:rsidR="00006DCB" w:rsidRPr="004F7A38" w:rsidRDefault="0006513B" w:rsidP="00162BD6">
      <w:pPr>
        <w:spacing w:line="276" w:lineRule="auto"/>
        <w:ind w:left="862" w:right="616"/>
        <w:rPr>
          <w:b/>
          <w:i/>
        </w:rPr>
      </w:pPr>
      <w:r w:rsidRPr="004F7A38">
        <w:rPr>
          <w:b/>
          <w:i/>
        </w:rPr>
        <w:t xml:space="preserve">Artículo 344.- Los Entes Públicos, a través de cualquiera de sus unidades administrativas, de acuerdo con su naturaleza jurídica y según corresponda, </w:t>
      </w:r>
      <w:r w:rsidRPr="004F7A38">
        <w:rPr>
          <w:b/>
          <w:i/>
          <w:u w:val="single"/>
        </w:rPr>
        <w:lastRenderedPageBreak/>
        <w:t>registrarán contablemente el efecto patrimonial y presupuestal de las operaciones financieras que realicen, en el momento en que ocurran, con base en el sistema y políticas de registro establecidas, en el caso de los Municipios, se hará por la Tesorería</w:t>
      </w:r>
      <w:r w:rsidRPr="004F7A38">
        <w:rPr>
          <w:b/>
          <w:i/>
        </w:rPr>
        <w:t>.</w:t>
      </w:r>
    </w:p>
    <w:p w14:paraId="693235C1" w14:textId="77777777" w:rsidR="00006DCB" w:rsidRPr="004F7A38" w:rsidRDefault="0006513B" w:rsidP="00162BD6">
      <w:pPr>
        <w:spacing w:line="276" w:lineRule="auto"/>
        <w:ind w:left="862" w:right="616"/>
        <w:rPr>
          <w:b/>
          <w:i/>
        </w:rPr>
      </w:pPr>
      <w:r w:rsidRPr="004F7A38">
        <w:rPr>
          <w:b/>
          <w:i/>
          <w:u w:val="single"/>
        </w:rPr>
        <w:t>Todo registro contable y presupuestal deberá estar soportado con los documentos comprobatorios originales o en medios electrónicos</w:t>
      </w:r>
      <w:r w:rsidRPr="004F7A38">
        <w:rPr>
          <w:b/>
          <w:i/>
        </w:rPr>
        <w:t xml:space="preserve">, los que deberán permanecer en custodia y conservación de los Entes Públicos a través de las unidades administrativas que ejercieron el gasto y a disposición de los Órganos de Fiscalización locales y federales, </w:t>
      </w:r>
      <w:r w:rsidRPr="004F7A38">
        <w:rPr>
          <w:i/>
        </w:rPr>
        <w:t xml:space="preserve">según corresponda, así como de los órganos internos de control, </w:t>
      </w:r>
      <w:r w:rsidRPr="004F7A38">
        <w:rPr>
          <w:b/>
          <w:i/>
        </w:rPr>
        <w:t>por un término de cinco años,</w:t>
      </w:r>
      <w:r w:rsidRPr="004F7A38">
        <w:rPr>
          <w:i/>
        </w:rPr>
        <w:t xml:space="preserve"> contados a partir del ejercicio presupuestal siguiente al que corresponda,</w:t>
      </w:r>
      <w:r w:rsidRPr="004F7A38">
        <w:rPr>
          <w:b/>
          <w:i/>
        </w:rPr>
        <w:t xml:space="preserve"> en el caso de los Municipios, dicha obligación corresponderá a la Tesorería.</w:t>
      </w:r>
    </w:p>
    <w:p w14:paraId="46452A8B" w14:textId="77777777" w:rsidR="00006DCB" w:rsidRPr="004F7A38" w:rsidRDefault="0006513B" w:rsidP="00162BD6">
      <w:pPr>
        <w:spacing w:line="276" w:lineRule="auto"/>
        <w:ind w:left="862" w:right="616"/>
        <w:rPr>
          <w:i/>
        </w:rPr>
      </w:pPr>
      <w:r w:rsidRPr="004F7A38">
        <w:rPr>
          <w:i/>
        </w:rPr>
        <w:t>Tratándose de documentos de carácter histórico, se estará a lo dispuesto por la legislación de la materia.</w:t>
      </w:r>
    </w:p>
    <w:p w14:paraId="667DF2E1" w14:textId="77777777" w:rsidR="00006DCB" w:rsidRPr="004F7A38" w:rsidRDefault="0006513B" w:rsidP="00162BD6">
      <w:pPr>
        <w:spacing w:line="276" w:lineRule="auto"/>
        <w:ind w:left="862" w:right="616"/>
        <w:rPr>
          <w:i/>
        </w:rPr>
      </w:pPr>
      <w:r w:rsidRPr="004F7A38">
        <w:rPr>
          <w:i/>
        </w:rPr>
        <w:t>…</w:t>
      </w:r>
    </w:p>
    <w:p w14:paraId="08DBA085" w14:textId="77777777" w:rsidR="00006DCB" w:rsidRPr="004F7A38" w:rsidRDefault="0006513B" w:rsidP="00162BD6">
      <w:pPr>
        <w:spacing w:line="276" w:lineRule="auto"/>
        <w:ind w:left="862" w:right="616"/>
        <w:rPr>
          <w:b/>
          <w:i/>
        </w:rPr>
      </w:pPr>
      <w:r w:rsidRPr="004F7A38">
        <w:rPr>
          <w:b/>
          <w:i/>
        </w:rPr>
        <w:t>Artículo 345.-</w:t>
      </w:r>
      <w:r w:rsidRPr="004F7A38">
        <w:rPr>
          <w:i/>
        </w:rPr>
        <w:t xml:space="preserve"> </w:t>
      </w:r>
      <w:r w:rsidRPr="004F7A38">
        <w:rPr>
          <w:b/>
          <w:i/>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w:t>
      </w:r>
      <w:r w:rsidRPr="004F7A38">
        <w:rPr>
          <w:b/>
          <w:i/>
          <w:u w:val="single"/>
        </w:rPr>
        <w:t>Tratándose de los comprobantes fiscales digitales, estos deberán estar agregados en forma electrónica a cada póliza de registro contable</w:t>
      </w:r>
      <w:r w:rsidRPr="004F7A38">
        <w:rPr>
          <w:b/>
          <w:i/>
        </w:rPr>
        <w:t>.</w:t>
      </w:r>
    </w:p>
    <w:p w14:paraId="6CA9CEAD" w14:textId="77777777" w:rsidR="00006DCB" w:rsidRPr="004F7A38" w:rsidRDefault="0006513B" w:rsidP="00162BD6">
      <w:pPr>
        <w:spacing w:line="276" w:lineRule="auto"/>
        <w:ind w:left="862" w:right="616"/>
        <w:rPr>
          <w:i/>
        </w:rPr>
      </w:pPr>
      <w:r w:rsidRPr="004F7A38">
        <w:rPr>
          <w:i/>
        </w:rPr>
        <w:t xml:space="preserve">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w:t>
      </w:r>
      <w:r w:rsidRPr="004F7A38">
        <w:rPr>
          <w:b/>
          <w:i/>
        </w:rPr>
        <w:t>deberán estar agregados en forma electrónica a cada póliza de registro contable</w:t>
      </w:r>
      <w:r w:rsidRPr="004F7A38">
        <w:rPr>
          <w:i/>
        </w:rPr>
        <w:t>.</w:t>
      </w:r>
    </w:p>
    <w:p w14:paraId="496AC42C" w14:textId="77777777" w:rsidR="00006DCB" w:rsidRPr="004F7A38" w:rsidRDefault="0006513B" w:rsidP="00162BD6">
      <w:pPr>
        <w:spacing w:line="276" w:lineRule="auto"/>
        <w:ind w:left="862" w:right="616"/>
        <w:rPr>
          <w:b/>
          <w:i/>
        </w:rPr>
      </w:pPr>
      <w:r w:rsidRPr="004F7A38">
        <w:rPr>
          <w:i/>
        </w:rPr>
        <w:t>El plazo señalado en este artículo empezará a contar a partir de la publicación en el Periódico Oficial, del decreto correspondiente.</w:t>
      </w:r>
      <w:r w:rsidRPr="004F7A38">
        <w:rPr>
          <w:b/>
          <w:i/>
        </w:rPr>
        <w:t>”</w:t>
      </w:r>
    </w:p>
    <w:p w14:paraId="1FF4B99B" w14:textId="77777777" w:rsidR="00006DCB" w:rsidRPr="004F7A38" w:rsidRDefault="0006513B" w:rsidP="00162BD6">
      <w:pPr>
        <w:spacing w:line="276" w:lineRule="auto"/>
        <w:ind w:left="862" w:right="616"/>
        <w:rPr>
          <w:b/>
          <w:i/>
        </w:rPr>
      </w:pPr>
      <w:r w:rsidRPr="004F7A38">
        <w:rPr>
          <w:i/>
        </w:rPr>
        <w:t>(Énfasis Añadido)</w:t>
      </w:r>
    </w:p>
    <w:p w14:paraId="0A813F30" w14:textId="77777777" w:rsidR="00006DCB" w:rsidRPr="004F7A38" w:rsidRDefault="00006DCB" w:rsidP="00162BD6"/>
    <w:p w14:paraId="1B61B9AE" w14:textId="77777777" w:rsidR="00006DCB" w:rsidRPr="004F7A38" w:rsidRDefault="0006513B" w:rsidP="00162BD6">
      <w:r w:rsidRPr="004F7A38">
        <w:t xml:space="preserve">De una interpretación sistemática de los artículos transcritos, se desprende, primeramente, que el registro contable del efecto patrimonial y presupuestal de las operaciones financieras </w:t>
      </w:r>
      <w:r w:rsidRPr="004F7A38">
        <w:lastRenderedPageBreak/>
        <w:t>se realizará conforme al sistema y a las disposiciones que se aprueben en materia de planeación, programación, presupuestación, evaluación y contabilidad gubernamental.</w:t>
      </w:r>
    </w:p>
    <w:p w14:paraId="0F1D0641" w14:textId="77777777" w:rsidR="00006DCB" w:rsidRPr="004F7A38" w:rsidRDefault="00006DCB" w:rsidP="00162BD6"/>
    <w:p w14:paraId="6785AE5F" w14:textId="77777777" w:rsidR="00006DCB" w:rsidRPr="004F7A38" w:rsidRDefault="0006513B" w:rsidP="00162BD6">
      <w:r w:rsidRPr="004F7A38">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4F7A38">
        <w:rPr>
          <w:vertAlign w:val="superscript"/>
        </w:rPr>
        <w:footnoteReference w:id="4"/>
      </w:r>
      <w:r w:rsidRPr="004F7A38">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0E7F6CA6" w14:textId="77777777" w:rsidR="00006DCB" w:rsidRPr="004F7A38" w:rsidRDefault="00006DCB" w:rsidP="00162BD6">
      <w:pPr>
        <w:tabs>
          <w:tab w:val="left" w:pos="7655"/>
        </w:tabs>
        <w:spacing w:line="276" w:lineRule="auto"/>
        <w:ind w:left="851" w:right="616" w:hanging="9"/>
        <w:rPr>
          <w:b/>
          <w:i/>
        </w:rPr>
      </w:pPr>
    </w:p>
    <w:p w14:paraId="4977D2A1" w14:textId="77777777" w:rsidR="00006DCB" w:rsidRPr="004F7A38" w:rsidRDefault="0006513B" w:rsidP="00162BD6">
      <w:pPr>
        <w:tabs>
          <w:tab w:val="left" w:pos="7655"/>
        </w:tabs>
        <w:spacing w:line="276" w:lineRule="auto"/>
        <w:ind w:left="851" w:right="616" w:hanging="9"/>
        <w:rPr>
          <w:b/>
          <w:i/>
        </w:rPr>
      </w:pPr>
      <w:r w:rsidRPr="004F7A38">
        <w:rPr>
          <w:i/>
        </w:rPr>
        <w:t>“</w:t>
      </w:r>
      <w:r w:rsidRPr="004F7A38">
        <w:rPr>
          <w:b/>
          <w:i/>
        </w:rPr>
        <w:t>REGISTRO CONTABLE</w:t>
      </w:r>
    </w:p>
    <w:p w14:paraId="14D8386B" w14:textId="77777777" w:rsidR="00006DCB" w:rsidRPr="004F7A38" w:rsidRDefault="0006513B" w:rsidP="00162BD6">
      <w:pPr>
        <w:tabs>
          <w:tab w:val="left" w:pos="7655"/>
        </w:tabs>
        <w:spacing w:line="276" w:lineRule="auto"/>
        <w:ind w:left="851" w:right="616" w:hanging="9"/>
        <w:rPr>
          <w:i/>
        </w:rPr>
      </w:pPr>
      <w:r w:rsidRPr="004F7A38">
        <w:rPr>
          <w:i/>
        </w:rPr>
        <w:t>Asiento que se realiza en los libros de contabilidad de las actividades relacionadas con el ingreso y egresos de un ente económico.”</w:t>
      </w:r>
    </w:p>
    <w:p w14:paraId="45F910C0" w14:textId="77777777" w:rsidR="00006DCB" w:rsidRPr="004F7A38" w:rsidRDefault="00006DCB" w:rsidP="00162BD6">
      <w:pPr>
        <w:tabs>
          <w:tab w:val="left" w:pos="7655"/>
        </w:tabs>
        <w:spacing w:line="276" w:lineRule="auto"/>
        <w:ind w:left="851" w:right="616" w:hanging="9"/>
        <w:rPr>
          <w:i/>
        </w:rPr>
      </w:pPr>
    </w:p>
    <w:p w14:paraId="7F047235" w14:textId="77777777" w:rsidR="00006DCB" w:rsidRPr="004F7A38" w:rsidRDefault="0006513B" w:rsidP="00162BD6">
      <w:pPr>
        <w:tabs>
          <w:tab w:val="left" w:pos="7655"/>
        </w:tabs>
        <w:spacing w:line="276" w:lineRule="auto"/>
        <w:ind w:left="851" w:right="616" w:hanging="9"/>
        <w:rPr>
          <w:b/>
          <w:i/>
        </w:rPr>
      </w:pPr>
      <w:r w:rsidRPr="004F7A38">
        <w:rPr>
          <w:i/>
        </w:rPr>
        <w:t>“</w:t>
      </w:r>
      <w:r w:rsidRPr="004F7A38">
        <w:rPr>
          <w:b/>
          <w:i/>
        </w:rPr>
        <w:t>REGISTRO PRESUPUESTARIO</w:t>
      </w:r>
    </w:p>
    <w:p w14:paraId="689E6100" w14:textId="77777777" w:rsidR="00006DCB" w:rsidRPr="004F7A38" w:rsidRDefault="0006513B" w:rsidP="00162BD6">
      <w:pPr>
        <w:tabs>
          <w:tab w:val="left" w:pos="7655"/>
        </w:tabs>
        <w:spacing w:line="276" w:lineRule="auto"/>
        <w:ind w:left="851" w:right="616" w:hanging="9"/>
        <w:rPr>
          <w:i/>
        </w:rPr>
      </w:pPr>
      <w:r w:rsidRPr="004F7A38">
        <w:rPr>
          <w:i/>
        </w:rPr>
        <w:t>Asiento contable de las erogaciones realizadas por las dependencias y entidades con relación a la asignación, modificación y ejercicio de los recursos presupuestarios que se les hayan autorizado.”</w:t>
      </w:r>
    </w:p>
    <w:p w14:paraId="1EFC1FAF" w14:textId="77777777" w:rsidR="00006DCB" w:rsidRPr="004F7A38" w:rsidRDefault="00006DCB" w:rsidP="00162BD6">
      <w:pPr>
        <w:ind w:right="51"/>
      </w:pPr>
    </w:p>
    <w:p w14:paraId="49583884" w14:textId="77777777" w:rsidR="00006DCB" w:rsidRPr="004F7A38" w:rsidRDefault="0006513B" w:rsidP="00162BD6">
      <w:pPr>
        <w:ind w:right="51"/>
      </w:pPr>
      <w:r w:rsidRPr="004F7A38">
        <w:t xml:space="preserve">Como bien se desprende de las definiciones, los registros contables y presupuestarios son asientos o anotaciones contables que se realizan tanto de los ingresos como de los egresos, a </w:t>
      </w:r>
      <w:r w:rsidRPr="004F7A38">
        <w:lastRenderedPageBreak/>
        <w:t>decir se trata de un control financiero en el que se reconoce la obligación del Tesorero de llevar dicho registro.</w:t>
      </w:r>
    </w:p>
    <w:p w14:paraId="587D05C8" w14:textId="77777777" w:rsidR="00006DCB" w:rsidRPr="004F7A38" w:rsidRDefault="00006DCB" w:rsidP="00162BD6">
      <w:pPr>
        <w:ind w:right="51"/>
      </w:pPr>
    </w:p>
    <w:p w14:paraId="4F539DBA" w14:textId="77777777" w:rsidR="00006DCB" w:rsidRPr="004F7A38" w:rsidRDefault="0006513B" w:rsidP="00162BD6">
      <w:r w:rsidRPr="004F7A38">
        <w:t>Por otra parte, se establece que el sistema de contabilidad sobre base acumulativa total se sustentará en los principios de contabilidad gubernamental.</w:t>
      </w:r>
    </w:p>
    <w:p w14:paraId="55D6BAC4" w14:textId="77777777" w:rsidR="00006DCB" w:rsidRPr="004F7A38" w:rsidRDefault="00006DCB" w:rsidP="00162BD6"/>
    <w:p w14:paraId="29C7D502" w14:textId="77777777" w:rsidR="00006DCB" w:rsidRPr="004F7A38" w:rsidRDefault="0006513B" w:rsidP="00162BD6">
      <w:r w:rsidRPr="004F7A38">
        <w:t>Igualmente, los preceptos legales citados señalan que los Sujetos Obligados deben contar con una unidad administrativa que registra contablemente el efecto patrimonial y presupuestal de las operaciones financieras que realizan, en el momento en que ocurran, con base en el sistema y políticas de registro establecidas.</w:t>
      </w:r>
    </w:p>
    <w:p w14:paraId="72438577" w14:textId="77777777" w:rsidR="00006DCB" w:rsidRPr="004F7A38" w:rsidRDefault="0006513B" w:rsidP="00162BD6">
      <w:r w:rsidRPr="004F7A38">
        <w:t xml:space="preserve">Correlativo a lo anterior, es preciso referir una definición de </w:t>
      </w:r>
      <w:r w:rsidRPr="004F7A38">
        <w:rPr>
          <w:i/>
        </w:rPr>
        <w:t>póliza contable</w:t>
      </w:r>
      <w:r w:rsidRPr="004F7A38">
        <w:t>, la cual, primeramente, no está definida en el Código Financiero del Estado de México y Municipios; no obstante, el ya mencionado Glosario la define como:</w:t>
      </w:r>
    </w:p>
    <w:p w14:paraId="23641AF9" w14:textId="77777777" w:rsidR="00006DCB" w:rsidRPr="004F7A38" w:rsidRDefault="00006DCB" w:rsidP="00162BD6">
      <w:pPr>
        <w:spacing w:line="276" w:lineRule="auto"/>
        <w:ind w:left="862" w:right="758"/>
        <w:rPr>
          <w:i/>
        </w:rPr>
      </w:pPr>
    </w:p>
    <w:p w14:paraId="526B75EF" w14:textId="77777777" w:rsidR="00006DCB" w:rsidRPr="004F7A38" w:rsidRDefault="0006513B" w:rsidP="00162BD6">
      <w:pPr>
        <w:spacing w:line="276" w:lineRule="auto"/>
        <w:ind w:left="862" w:right="758"/>
        <w:rPr>
          <w:b/>
          <w:i/>
        </w:rPr>
      </w:pPr>
      <w:r w:rsidRPr="004F7A38">
        <w:rPr>
          <w:i/>
        </w:rPr>
        <w:t>“</w:t>
      </w:r>
      <w:r w:rsidRPr="004F7A38">
        <w:rPr>
          <w:b/>
          <w:i/>
        </w:rPr>
        <w:t>PÓLIZA CONTABLE</w:t>
      </w:r>
    </w:p>
    <w:p w14:paraId="7F98237E" w14:textId="77777777" w:rsidR="00006DCB" w:rsidRPr="004F7A38" w:rsidRDefault="0006513B" w:rsidP="00162BD6">
      <w:pPr>
        <w:spacing w:line="276" w:lineRule="auto"/>
        <w:ind w:left="862" w:right="758"/>
        <w:rPr>
          <w:i/>
        </w:rPr>
      </w:pPr>
      <w:r w:rsidRPr="004F7A38">
        <w:rPr>
          <w:i/>
        </w:rPr>
        <w:t xml:space="preserve">Documento en el cual se asientan en forma individual todas y cada una de las operaciones desarrolladas por una institución, así como la información necesaria para la identificación de dichas operaciones.” </w:t>
      </w:r>
    </w:p>
    <w:p w14:paraId="0A969888" w14:textId="77777777" w:rsidR="00006DCB" w:rsidRPr="004F7A38" w:rsidRDefault="00006DCB" w:rsidP="00162BD6"/>
    <w:p w14:paraId="4E664158" w14:textId="77777777" w:rsidR="00006DCB" w:rsidRPr="004F7A38" w:rsidRDefault="0006513B" w:rsidP="00162BD6">
      <w:r w:rsidRPr="004F7A38">
        <w:t xml:space="preserve">Así, se advierte que la </w:t>
      </w:r>
      <w:r w:rsidRPr="004F7A38">
        <w:rPr>
          <w:i/>
        </w:rPr>
        <w:t>póliza contable</w:t>
      </w:r>
      <w:r w:rsidRPr="004F7A38">
        <w:t xml:space="preserve"> constituye un registro contable y presupuestal con el que cuentan los Municipios para el registro de operaciones relacionadas con ingresos y egresos y </w:t>
      </w:r>
      <w:r w:rsidRPr="004F7A38">
        <w:rPr>
          <w:b/>
          <w:u w:val="single"/>
        </w:rPr>
        <w:t>se anexan los documentos o comprobantes que justifiquen las anotaciones y cantidades en ellas registradas</w:t>
      </w:r>
      <w:r w:rsidRPr="004F7A38">
        <w:t>, lo que permite la identificación plena de dichas operaciones.</w:t>
      </w:r>
    </w:p>
    <w:p w14:paraId="43E59FB1" w14:textId="77777777" w:rsidR="00006DCB" w:rsidRPr="004F7A38" w:rsidRDefault="00006DCB" w:rsidP="00162BD6">
      <w:pPr>
        <w:rPr>
          <w:i/>
        </w:rPr>
      </w:pPr>
    </w:p>
    <w:p w14:paraId="5B2C1128" w14:textId="77777777" w:rsidR="00006DCB" w:rsidRPr="004F7A38" w:rsidRDefault="0006513B" w:rsidP="00162BD6">
      <w:r w:rsidRPr="004F7A38">
        <w:t xml:space="preserve">En este sentido, existen diversos tipos de pólizas contables de acuerdo a las operaciones realizadas, dentro de las cuales, encontramos las llamadas </w:t>
      </w:r>
      <w:r w:rsidRPr="004F7A38">
        <w:rPr>
          <w:i/>
        </w:rPr>
        <w:t>pólizas de egresos</w:t>
      </w:r>
      <w:r w:rsidRPr="004F7A38">
        <w:t xml:space="preserve">, que </w:t>
      </w:r>
      <w:r w:rsidRPr="004F7A38">
        <w:rPr>
          <w:b/>
        </w:rPr>
        <w:t xml:space="preserve">son aquellas en las cuales </w:t>
      </w:r>
      <w:r w:rsidRPr="004F7A38">
        <w:rPr>
          <w:b/>
          <w:u w:val="single"/>
        </w:rPr>
        <w:t xml:space="preserve">se anotan diariamente las operaciones que representan gastos, es decir, salidas </w:t>
      </w:r>
      <w:r w:rsidRPr="004F7A38">
        <w:rPr>
          <w:b/>
          <w:u w:val="single"/>
        </w:rPr>
        <w:lastRenderedPageBreak/>
        <w:t>de dinero</w:t>
      </w:r>
      <w:r w:rsidRPr="004F7A38">
        <w:t xml:space="preserve"> para el </w:t>
      </w:r>
      <w:r w:rsidRPr="004F7A38">
        <w:rPr>
          <w:b/>
        </w:rPr>
        <w:t>Sujeto Obligado,</w:t>
      </w:r>
      <w:r w:rsidRPr="004F7A38">
        <w:t xml:space="preserve"> las que además, </w:t>
      </w:r>
      <w:r w:rsidRPr="004F7A38">
        <w:rPr>
          <w:b/>
          <w:u w:val="single"/>
        </w:rPr>
        <w:t>deben encontrarse acompañadas de las documentales que sirven de soporte de dicho movimiento</w:t>
      </w:r>
      <w:r w:rsidRPr="004F7A38">
        <w:t>, como por ejemplo las facturas.</w:t>
      </w:r>
    </w:p>
    <w:p w14:paraId="449B0CCA" w14:textId="77777777" w:rsidR="00006DCB" w:rsidRPr="004F7A38" w:rsidRDefault="00006DCB" w:rsidP="00162BD6"/>
    <w:p w14:paraId="0B467262" w14:textId="77777777" w:rsidR="00006DCB" w:rsidRPr="004F7A38" w:rsidRDefault="0006513B" w:rsidP="00162BD6">
      <w:r w:rsidRPr="004F7A38">
        <w:t xml:space="preserve">De igual forma, es de suma importancia destacar que el penúltimo párrafo, del artículo 23 de la Ley de Transparencia y Acceso a la Información Pública del Estado de México y Municipios, establece como deber de los sujetos obligados de hacer pública toda la información relativa a los montos y personas a quienes se entreguen recursos públicos, con la única finalidad de dar a conocer a la ciudadanía la forma, términos y montos en que se aplican los recursos públicos y con ello transparentar la forma, términos, causas y finalidad en la disposición de esos recursos; ya que este precepto legal que establece: </w:t>
      </w:r>
    </w:p>
    <w:p w14:paraId="289EDAA4" w14:textId="77777777" w:rsidR="00006DCB" w:rsidRPr="004F7A38" w:rsidRDefault="00006DCB" w:rsidP="00162BD6">
      <w:pPr>
        <w:spacing w:line="276" w:lineRule="auto"/>
        <w:ind w:left="851" w:right="616"/>
        <w:rPr>
          <w:i/>
        </w:rPr>
      </w:pPr>
    </w:p>
    <w:p w14:paraId="71369287" w14:textId="77777777" w:rsidR="00006DCB" w:rsidRPr="004F7A38" w:rsidRDefault="0006513B" w:rsidP="00162BD6">
      <w:pPr>
        <w:spacing w:line="276" w:lineRule="auto"/>
        <w:ind w:left="851" w:right="616"/>
        <w:rPr>
          <w:b/>
          <w:i/>
        </w:rPr>
      </w:pPr>
      <w:r w:rsidRPr="004F7A38">
        <w:rPr>
          <w:i/>
        </w:rPr>
        <w:t>“</w:t>
      </w:r>
      <w:r w:rsidRPr="004F7A38">
        <w:rPr>
          <w:b/>
          <w:i/>
        </w:rPr>
        <w:t>Artículo 23…</w:t>
      </w:r>
    </w:p>
    <w:p w14:paraId="55A033C9" w14:textId="77777777" w:rsidR="00006DCB" w:rsidRPr="004F7A38" w:rsidRDefault="0006513B" w:rsidP="00162BD6">
      <w:pPr>
        <w:spacing w:line="276" w:lineRule="auto"/>
        <w:ind w:left="851" w:right="616"/>
        <w:rPr>
          <w:i/>
        </w:rPr>
      </w:pPr>
      <w:r w:rsidRPr="004F7A38">
        <w:rPr>
          <w:i/>
        </w:rPr>
        <w:t>Los sujetos obligados deberán hacer pública toda aquella información relativa a los montos y las personas a quienes entreguen, por cualquier motivo, recursos públicos, así como los informes que dichas personas les entreguen sobre el uso y destino de dichos recursos…(Sic)”</w:t>
      </w:r>
    </w:p>
    <w:p w14:paraId="7DEF91D6" w14:textId="77777777" w:rsidR="00006DCB" w:rsidRPr="004F7A38" w:rsidRDefault="0006513B" w:rsidP="00162BD6">
      <w:pPr>
        <w:spacing w:before="240" w:after="240"/>
      </w:pPr>
      <w:r w:rsidRPr="004F7A38">
        <w:t xml:space="preserve">En este sentido, se colige que la información requerida por la persona solicitante versa sobre obligaciones de transparencia de oficio, y que por tal motivo el </w:t>
      </w:r>
      <w:r w:rsidRPr="004F7A38">
        <w:rPr>
          <w:b/>
        </w:rPr>
        <w:t>Sujeto Obligado</w:t>
      </w:r>
      <w:r w:rsidRPr="004F7A38">
        <w:t xml:space="preserve"> se encuentra constreñido a poner a disposición del público dicha información, de manera permanente y actualizada a través de los portales de internet y en la Plataforma Nacional de Transparencia, no obstante, si bien ha quedado claro que la información que es hoy tema de estudio, por su naturaleza debe encontrarse pública a través del portal referido,  no es óbice para que éste sea el único medio por el cual la solicitud pueda ser atendida, en virtud de que los sujetos obligados se encuentran constreñidos a documentar todo acto que derive del ejercicio de sus facultades, competencias o funciones considerando su eventual publicación, en términos de los artículos 18 y 24 fracción XXII de la Ley de la Materia, que a la letra señalan lo siguiente:</w:t>
      </w:r>
    </w:p>
    <w:p w14:paraId="6ABACD8E" w14:textId="77777777" w:rsidR="00006DCB" w:rsidRPr="004F7A38" w:rsidRDefault="0006513B" w:rsidP="00162BD6">
      <w:pPr>
        <w:spacing w:before="120" w:after="120" w:line="240" w:lineRule="auto"/>
        <w:ind w:left="851" w:right="902"/>
        <w:rPr>
          <w:i/>
        </w:rPr>
      </w:pPr>
      <w:r w:rsidRPr="004F7A38">
        <w:rPr>
          <w:i/>
        </w:rPr>
        <w:lastRenderedPageBreak/>
        <w:t>“</w:t>
      </w:r>
      <w:r w:rsidRPr="004F7A38">
        <w:rPr>
          <w:b/>
          <w:i/>
        </w:rPr>
        <w:t>Artículo 18.</w:t>
      </w:r>
      <w:r w:rsidRPr="004F7A38">
        <w:rPr>
          <w:i/>
        </w:rPr>
        <w:t xml:space="preserve"> Los sujetos obligados </w:t>
      </w:r>
      <w:r w:rsidRPr="004F7A38">
        <w:rPr>
          <w:b/>
          <w:i/>
        </w:rPr>
        <w:t>deberán documentar todo acto</w:t>
      </w:r>
      <w:r w:rsidRPr="004F7A38">
        <w:rPr>
          <w:i/>
        </w:rPr>
        <w:t xml:space="preserve"> </w:t>
      </w:r>
      <w:r w:rsidRPr="004F7A38">
        <w:rPr>
          <w:b/>
          <w:i/>
        </w:rPr>
        <w:t>que derive del ejercicio de sus facultades, competencias o funciones</w:t>
      </w:r>
      <w:r w:rsidRPr="004F7A38">
        <w:rPr>
          <w:i/>
        </w:rPr>
        <w:t>, considerando desde su origen la eventual publicidad y reutilización de la información que generen.</w:t>
      </w:r>
    </w:p>
    <w:p w14:paraId="1B6CA285" w14:textId="77777777" w:rsidR="00006DCB" w:rsidRPr="004F7A38" w:rsidRDefault="0006513B" w:rsidP="00162BD6">
      <w:pPr>
        <w:spacing w:before="120" w:after="120" w:line="240" w:lineRule="auto"/>
        <w:ind w:left="851" w:right="902"/>
        <w:rPr>
          <w:i/>
        </w:rPr>
      </w:pPr>
      <w:r w:rsidRPr="004F7A38">
        <w:rPr>
          <w:i/>
        </w:rPr>
        <w:t>…</w:t>
      </w:r>
    </w:p>
    <w:p w14:paraId="31A38B4E" w14:textId="77777777" w:rsidR="00006DCB" w:rsidRPr="004F7A38" w:rsidRDefault="0006513B" w:rsidP="00162BD6">
      <w:pPr>
        <w:spacing w:before="120" w:after="120" w:line="240" w:lineRule="auto"/>
        <w:ind w:left="851" w:right="902"/>
        <w:rPr>
          <w:i/>
        </w:rPr>
      </w:pPr>
      <w:r w:rsidRPr="004F7A38">
        <w:rPr>
          <w:b/>
          <w:i/>
        </w:rPr>
        <w:t>Artículo 24.</w:t>
      </w:r>
      <w:r w:rsidRPr="004F7A38">
        <w:rPr>
          <w:i/>
        </w:rPr>
        <w:t xml:space="preserve"> Para el cumplimiento de los objetivos de esta Ley</w:t>
      </w:r>
      <w:r w:rsidRPr="004F7A38">
        <w:rPr>
          <w:b/>
          <w:i/>
        </w:rPr>
        <w:t>, los sujetos obligados deberán cumplir con las siguientes obligaciones</w:t>
      </w:r>
      <w:r w:rsidRPr="004F7A38">
        <w:rPr>
          <w:i/>
        </w:rPr>
        <w:t>, según corresponda, de acuerdo a su naturaleza:</w:t>
      </w:r>
    </w:p>
    <w:p w14:paraId="6A23F1A5" w14:textId="77777777" w:rsidR="00006DCB" w:rsidRPr="004F7A38" w:rsidRDefault="0006513B" w:rsidP="00162BD6">
      <w:pPr>
        <w:spacing w:before="120" w:after="120" w:line="240" w:lineRule="auto"/>
        <w:ind w:left="1134" w:right="902"/>
        <w:rPr>
          <w:i/>
        </w:rPr>
      </w:pPr>
      <w:r w:rsidRPr="004F7A38">
        <w:rPr>
          <w:i/>
        </w:rPr>
        <w:t>…</w:t>
      </w:r>
    </w:p>
    <w:p w14:paraId="7FFA3DA0" w14:textId="77777777" w:rsidR="00006DCB" w:rsidRPr="004F7A38" w:rsidRDefault="0006513B" w:rsidP="00162BD6">
      <w:pPr>
        <w:spacing w:before="120" w:after="120" w:line="240" w:lineRule="auto"/>
        <w:ind w:left="1134" w:right="902"/>
        <w:rPr>
          <w:i/>
        </w:rPr>
      </w:pPr>
      <w:r w:rsidRPr="004F7A38">
        <w:rPr>
          <w:b/>
          <w:i/>
        </w:rPr>
        <w:t>XXII.</w:t>
      </w:r>
      <w:r w:rsidRPr="004F7A38">
        <w:rPr>
          <w:i/>
        </w:rPr>
        <w:t xml:space="preserve"> </w:t>
      </w:r>
      <w:r w:rsidRPr="004F7A38">
        <w:rPr>
          <w:b/>
          <w:i/>
        </w:rPr>
        <w:t>Documentar todo acto que derive del ejercicio de sus facultades, competencias o funciones</w:t>
      </w:r>
      <w:r w:rsidRPr="004F7A38">
        <w:rPr>
          <w:i/>
        </w:rPr>
        <w:t xml:space="preserve"> y abstenerse de destruirlos u ocultarlos, dentro de los que destacan los procesos deliberativos y de decisión definitiva;”</w:t>
      </w:r>
    </w:p>
    <w:p w14:paraId="3E1B188A" w14:textId="77777777" w:rsidR="00006DCB" w:rsidRPr="004F7A38" w:rsidRDefault="0006513B" w:rsidP="00162BD6">
      <w:pPr>
        <w:pBdr>
          <w:top w:val="nil"/>
          <w:left w:val="nil"/>
          <w:bottom w:val="nil"/>
          <w:right w:val="nil"/>
          <w:between w:val="nil"/>
        </w:pBdr>
        <w:spacing w:before="240" w:after="240"/>
        <w:ind w:right="49"/>
      </w:pPr>
      <w:r w:rsidRPr="004F7A38">
        <w:t xml:space="preserve">Por consiguiente, al tratarse de información Pública, que el ente recurrido debe de poner a disposición de la ciudadanía, y no estar debidamente justificado y motivado el cambio de modalidad alegado por </w:t>
      </w:r>
      <w:r w:rsidRPr="004F7A38">
        <w:rPr>
          <w:b/>
        </w:rPr>
        <w:t xml:space="preserve">EL SUJETO OBLIGADO, </w:t>
      </w:r>
      <w:r w:rsidRPr="004F7A38">
        <w:t>el mismo no resulta procedente, por ello este Órgano Garante, determina la entrega de la información requerida vía SAIMEX, de ser procedente en versión pública.</w:t>
      </w:r>
    </w:p>
    <w:p w14:paraId="308931E3" w14:textId="77777777" w:rsidR="00006DCB" w:rsidRPr="004F7A38" w:rsidRDefault="0006513B" w:rsidP="00162BD6">
      <w:pPr>
        <w:pStyle w:val="Ttulo3"/>
      </w:pPr>
      <w:bookmarkStart w:id="28" w:name="_Toc208357882"/>
      <w:r w:rsidRPr="004F7A38">
        <w:t>d) Versión pública</w:t>
      </w:r>
      <w:bookmarkEnd w:id="28"/>
    </w:p>
    <w:p w14:paraId="1A4B9D72" w14:textId="77777777" w:rsidR="00006DCB" w:rsidRPr="004F7A38" w:rsidRDefault="0006513B" w:rsidP="00162BD6">
      <w:r w:rsidRPr="004F7A38">
        <w:t xml:space="preserve">Para el caso de que el o los documentos de los cuales se ordena su entrega contengan datos personales susceptibles de ser testados, deberán ser entregados en </w:t>
      </w:r>
      <w:r w:rsidRPr="004F7A38">
        <w:rPr>
          <w:b/>
        </w:rPr>
        <w:t>versión pública</w:t>
      </w:r>
      <w:r w:rsidRPr="004F7A38">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E3D8EE" w14:textId="77777777" w:rsidR="00006DCB" w:rsidRPr="004F7A38" w:rsidRDefault="00006DCB" w:rsidP="00162BD6"/>
    <w:p w14:paraId="7D061D57" w14:textId="77777777" w:rsidR="00006DCB" w:rsidRPr="004F7A38" w:rsidRDefault="0006513B" w:rsidP="00162BD6">
      <w:r w:rsidRPr="004F7A38">
        <w:t>A este respecto, los artículos 3, fracciones IX, XX, XXI y XLV; 51 y 52 de la Ley de Transparencia y Acceso a la Información Pública del Estado de México y Municipios establecen:</w:t>
      </w:r>
    </w:p>
    <w:p w14:paraId="6EA08E9C" w14:textId="77777777" w:rsidR="00006DCB" w:rsidRPr="004F7A38" w:rsidRDefault="00006DCB" w:rsidP="00162BD6"/>
    <w:p w14:paraId="208BE831" w14:textId="77777777" w:rsidR="00006DCB" w:rsidRPr="004F7A38" w:rsidRDefault="0006513B" w:rsidP="00162BD6">
      <w:pPr>
        <w:pStyle w:val="Puesto"/>
        <w:ind w:firstLine="0"/>
        <w:rPr>
          <w:color w:val="auto"/>
        </w:rPr>
      </w:pPr>
      <w:r w:rsidRPr="004F7A38">
        <w:rPr>
          <w:b/>
          <w:color w:val="auto"/>
        </w:rPr>
        <w:t xml:space="preserve">“Artículo 3. </w:t>
      </w:r>
      <w:r w:rsidRPr="004F7A38">
        <w:rPr>
          <w:color w:val="auto"/>
        </w:rPr>
        <w:t xml:space="preserve">Para los efectos de la presente Ley se entenderá por: </w:t>
      </w:r>
    </w:p>
    <w:p w14:paraId="32575A79" w14:textId="77777777" w:rsidR="00006DCB" w:rsidRPr="004F7A38" w:rsidRDefault="0006513B" w:rsidP="00162BD6">
      <w:pPr>
        <w:pStyle w:val="Puesto"/>
        <w:ind w:firstLine="0"/>
        <w:rPr>
          <w:color w:val="auto"/>
        </w:rPr>
      </w:pPr>
      <w:r w:rsidRPr="004F7A38">
        <w:rPr>
          <w:b/>
          <w:color w:val="auto"/>
        </w:rPr>
        <w:t>IX.</w:t>
      </w:r>
      <w:r w:rsidRPr="004F7A38">
        <w:rPr>
          <w:color w:val="auto"/>
        </w:rPr>
        <w:t xml:space="preserve"> </w:t>
      </w:r>
      <w:r w:rsidRPr="004F7A38">
        <w:rPr>
          <w:b/>
          <w:color w:val="auto"/>
        </w:rPr>
        <w:t xml:space="preserve">Datos personales: </w:t>
      </w:r>
      <w:r w:rsidRPr="004F7A38">
        <w:rPr>
          <w:color w:val="auto"/>
        </w:rPr>
        <w:t xml:space="preserve">La información concerniente a una persona, identificada o identificable según lo dispuesto por la Ley de Protección de Datos Personales del Estado de México; </w:t>
      </w:r>
    </w:p>
    <w:p w14:paraId="5C36900C" w14:textId="77777777" w:rsidR="00006DCB" w:rsidRPr="004F7A38" w:rsidRDefault="00006DCB" w:rsidP="00162BD6"/>
    <w:p w14:paraId="34411020" w14:textId="77777777" w:rsidR="00006DCB" w:rsidRPr="004F7A38" w:rsidRDefault="0006513B" w:rsidP="00162BD6">
      <w:pPr>
        <w:pStyle w:val="Puesto"/>
        <w:ind w:firstLine="0"/>
        <w:rPr>
          <w:color w:val="auto"/>
        </w:rPr>
      </w:pPr>
      <w:r w:rsidRPr="004F7A38">
        <w:rPr>
          <w:b/>
          <w:color w:val="auto"/>
        </w:rPr>
        <w:t>XX.</w:t>
      </w:r>
      <w:r w:rsidRPr="004F7A38">
        <w:rPr>
          <w:color w:val="auto"/>
        </w:rPr>
        <w:t xml:space="preserve"> </w:t>
      </w:r>
      <w:r w:rsidRPr="004F7A38">
        <w:rPr>
          <w:b/>
          <w:color w:val="auto"/>
        </w:rPr>
        <w:t>Información clasificada:</w:t>
      </w:r>
      <w:r w:rsidRPr="004F7A38">
        <w:rPr>
          <w:color w:val="auto"/>
        </w:rPr>
        <w:t xml:space="preserve"> Aquella considerada por la presente Ley como reservada o confidencial; </w:t>
      </w:r>
    </w:p>
    <w:p w14:paraId="3F146774" w14:textId="77777777" w:rsidR="00006DCB" w:rsidRPr="004F7A38" w:rsidRDefault="00006DCB" w:rsidP="00162BD6"/>
    <w:p w14:paraId="0CD1A017" w14:textId="77777777" w:rsidR="00006DCB" w:rsidRPr="004F7A38" w:rsidRDefault="0006513B" w:rsidP="00162BD6">
      <w:pPr>
        <w:pStyle w:val="Puesto"/>
        <w:ind w:firstLine="0"/>
        <w:rPr>
          <w:color w:val="auto"/>
        </w:rPr>
      </w:pPr>
      <w:r w:rsidRPr="004F7A38">
        <w:rPr>
          <w:b/>
          <w:color w:val="auto"/>
        </w:rPr>
        <w:t>XXI.</w:t>
      </w:r>
      <w:r w:rsidRPr="004F7A38">
        <w:rPr>
          <w:color w:val="auto"/>
        </w:rPr>
        <w:t xml:space="preserve"> </w:t>
      </w:r>
      <w:r w:rsidRPr="004F7A38">
        <w:rPr>
          <w:b/>
          <w:color w:val="auto"/>
        </w:rPr>
        <w:t>Información confidencial</w:t>
      </w:r>
      <w:r w:rsidRPr="004F7A38">
        <w:rPr>
          <w:color w:val="auto"/>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60F748C0" w14:textId="77777777" w:rsidR="00006DCB" w:rsidRPr="004F7A38" w:rsidRDefault="00006DCB" w:rsidP="00162BD6"/>
    <w:p w14:paraId="09AEE903" w14:textId="77777777" w:rsidR="00006DCB" w:rsidRPr="004F7A38" w:rsidRDefault="0006513B" w:rsidP="00162BD6">
      <w:pPr>
        <w:pStyle w:val="Puesto"/>
        <w:ind w:firstLine="0"/>
        <w:rPr>
          <w:color w:val="auto"/>
        </w:rPr>
      </w:pPr>
      <w:r w:rsidRPr="004F7A38">
        <w:rPr>
          <w:b/>
          <w:color w:val="auto"/>
        </w:rPr>
        <w:t>XLV. Versión pública:</w:t>
      </w:r>
      <w:r w:rsidRPr="004F7A38">
        <w:rPr>
          <w:color w:val="auto"/>
        </w:rPr>
        <w:t xml:space="preserve"> Documento en el que se elimine, suprime o borra la información clasificada como reservada o confidencial para permitir su acceso. </w:t>
      </w:r>
    </w:p>
    <w:p w14:paraId="162DC3DA" w14:textId="77777777" w:rsidR="00006DCB" w:rsidRPr="004F7A38" w:rsidRDefault="00006DCB" w:rsidP="00162BD6"/>
    <w:p w14:paraId="74BF38AA" w14:textId="77777777" w:rsidR="00006DCB" w:rsidRPr="004F7A38" w:rsidRDefault="0006513B" w:rsidP="00162BD6">
      <w:pPr>
        <w:pStyle w:val="Puesto"/>
        <w:ind w:firstLine="0"/>
        <w:rPr>
          <w:color w:val="auto"/>
        </w:rPr>
      </w:pPr>
      <w:r w:rsidRPr="004F7A38">
        <w:rPr>
          <w:b/>
          <w:color w:val="auto"/>
        </w:rPr>
        <w:t>Artículo 51.</w:t>
      </w:r>
      <w:r w:rsidRPr="004F7A38">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F7A38">
        <w:rPr>
          <w:b/>
          <w:color w:val="auto"/>
        </w:rPr>
        <w:t xml:space="preserve">y tendrá la responsabilidad de verificar en cada caso que la misma no sea confidencial o reservada. </w:t>
      </w:r>
      <w:r w:rsidRPr="004F7A38">
        <w:rPr>
          <w:color w:val="auto"/>
        </w:rPr>
        <w:t>Dicha Unidad contará con las facultades internas necesarias para gestionar la atención a las solicitudes de información en los términos de la Ley General y la presente Ley.</w:t>
      </w:r>
    </w:p>
    <w:p w14:paraId="66EDD3FB" w14:textId="77777777" w:rsidR="00006DCB" w:rsidRPr="004F7A38" w:rsidRDefault="00006DCB" w:rsidP="00162BD6"/>
    <w:p w14:paraId="4CEA38B2" w14:textId="77777777" w:rsidR="00006DCB" w:rsidRPr="004F7A38" w:rsidRDefault="0006513B" w:rsidP="00162BD6">
      <w:pPr>
        <w:pStyle w:val="Puesto"/>
        <w:ind w:firstLine="0"/>
        <w:rPr>
          <w:color w:val="auto"/>
        </w:rPr>
      </w:pPr>
      <w:r w:rsidRPr="004F7A38">
        <w:rPr>
          <w:b/>
          <w:color w:val="auto"/>
        </w:rPr>
        <w:t>Artículo 52.</w:t>
      </w:r>
      <w:r w:rsidRPr="004F7A38">
        <w:rPr>
          <w:color w:val="auto"/>
        </w:rPr>
        <w:t xml:space="preserve"> Las solicitudes de acceso a la información y las respuestas que se les dé, incluyendo, en su caso, </w:t>
      </w:r>
      <w:r w:rsidRPr="004F7A38">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4F7A38">
        <w:rPr>
          <w:color w:val="auto"/>
        </w:rPr>
        <w:t xml:space="preserve">, siempre y cuando la resolución de referencia se someta a un proceso de disociación, es decir, no haga identificable al titular de tales datos personales.” </w:t>
      </w:r>
    </w:p>
    <w:p w14:paraId="508DEFD0" w14:textId="77777777" w:rsidR="00006DCB" w:rsidRPr="004F7A38" w:rsidRDefault="00006DCB" w:rsidP="00162BD6">
      <w:pPr>
        <w:pStyle w:val="Puesto"/>
        <w:ind w:firstLine="0"/>
        <w:rPr>
          <w:i w:val="0"/>
          <w:color w:val="auto"/>
        </w:rPr>
      </w:pPr>
    </w:p>
    <w:p w14:paraId="7035CEA9" w14:textId="77777777" w:rsidR="00006DCB" w:rsidRPr="004F7A38" w:rsidRDefault="0006513B" w:rsidP="00162BD6">
      <w:pPr>
        <w:pStyle w:val="Puesto"/>
        <w:ind w:firstLine="0"/>
        <w:rPr>
          <w:color w:val="auto"/>
        </w:rPr>
      </w:pPr>
      <w:r w:rsidRPr="004F7A38">
        <w:rPr>
          <w:i w:val="0"/>
          <w:color w:val="auto"/>
        </w:rPr>
        <w:t>(Énfasis añadido)</w:t>
      </w:r>
    </w:p>
    <w:p w14:paraId="5B4609E7" w14:textId="77777777" w:rsidR="00006DCB" w:rsidRPr="004F7A38" w:rsidRDefault="00006DCB" w:rsidP="00162BD6"/>
    <w:p w14:paraId="28F6BAF6" w14:textId="77777777" w:rsidR="00006DCB" w:rsidRPr="004F7A38" w:rsidRDefault="0006513B" w:rsidP="00162BD6">
      <w:r w:rsidRPr="004F7A38">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1C6F3341" w14:textId="77777777" w:rsidR="00006DCB" w:rsidRPr="004F7A38" w:rsidRDefault="00006DCB" w:rsidP="00162BD6"/>
    <w:p w14:paraId="710E0DD1" w14:textId="77777777" w:rsidR="00006DCB" w:rsidRPr="004F7A38" w:rsidRDefault="0006513B" w:rsidP="00162BD6">
      <w:pPr>
        <w:pStyle w:val="Puesto"/>
        <w:ind w:firstLine="0"/>
        <w:rPr>
          <w:color w:val="auto"/>
        </w:rPr>
      </w:pPr>
      <w:r w:rsidRPr="004F7A38">
        <w:rPr>
          <w:b/>
          <w:color w:val="auto"/>
        </w:rPr>
        <w:t>“Artículo 22.</w:t>
      </w:r>
      <w:r w:rsidRPr="004F7A38">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4334F686" w14:textId="77777777" w:rsidR="00006DCB" w:rsidRPr="004F7A38" w:rsidRDefault="00006DCB" w:rsidP="00162BD6"/>
    <w:p w14:paraId="61E24639" w14:textId="77777777" w:rsidR="00006DCB" w:rsidRPr="004F7A38" w:rsidRDefault="0006513B" w:rsidP="00162BD6">
      <w:pPr>
        <w:pStyle w:val="Puesto"/>
        <w:ind w:firstLine="0"/>
        <w:rPr>
          <w:color w:val="auto"/>
        </w:rPr>
      </w:pPr>
      <w:r w:rsidRPr="004F7A38">
        <w:rPr>
          <w:b/>
          <w:color w:val="auto"/>
        </w:rPr>
        <w:t>Artículo 38.</w:t>
      </w:r>
      <w:r w:rsidRPr="004F7A38">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F7A38">
        <w:rPr>
          <w:b/>
          <w:color w:val="auto"/>
        </w:rPr>
        <w:t>”</w:t>
      </w:r>
      <w:r w:rsidRPr="004F7A38">
        <w:rPr>
          <w:color w:val="auto"/>
        </w:rPr>
        <w:t xml:space="preserve"> </w:t>
      </w:r>
    </w:p>
    <w:p w14:paraId="40ACE6DA" w14:textId="77777777" w:rsidR="00006DCB" w:rsidRPr="004F7A38" w:rsidRDefault="00006DCB" w:rsidP="00162BD6">
      <w:pPr>
        <w:rPr>
          <w:i/>
        </w:rPr>
      </w:pPr>
    </w:p>
    <w:p w14:paraId="4421137C" w14:textId="77777777" w:rsidR="00006DCB" w:rsidRPr="004F7A38" w:rsidRDefault="0006513B" w:rsidP="00162BD6">
      <w:r w:rsidRPr="004F7A38">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43F5512A" w14:textId="77777777" w:rsidR="00006DCB" w:rsidRPr="004F7A38" w:rsidRDefault="00006DCB" w:rsidP="00162BD6"/>
    <w:p w14:paraId="35379F49" w14:textId="77777777" w:rsidR="00006DCB" w:rsidRPr="004F7A38" w:rsidRDefault="0006513B" w:rsidP="00162BD6">
      <w:r w:rsidRPr="004F7A38">
        <w:lastRenderedPageBreak/>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4F7A38">
        <w:rPr>
          <w:b/>
        </w:rPr>
        <w:t>EL SUJETO OBLIGADO,</w:t>
      </w:r>
      <w:r w:rsidRPr="004F7A38">
        <w:t xml:space="preserve"> por lo que, todo dato personal susceptible de clasificación debe ser protegido.</w:t>
      </w:r>
    </w:p>
    <w:p w14:paraId="31E683FE" w14:textId="77777777" w:rsidR="00006DCB" w:rsidRPr="004F7A38" w:rsidRDefault="00006DCB" w:rsidP="00162BD6"/>
    <w:p w14:paraId="73628442" w14:textId="77777777" w:rsidR="00006DCB" w:rsidRPr="004F7A38" w:rsidRDefault="0006513B" w:rsidP="00162BD6">
      <w:r w:rsidRPr="004F7A38">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2578C1C7" w14:textId="77777777" w:rsidR="00006DCB" w:rsidRPr="004F7A38" w:rsidRDefault="00006DCB" w:rsidP="00162BD6"/>
    <w:p w14:paraId="24AEB50E" w14:textId="77777777" w:rsidR="00006DCB" w:rsidRPr="004F7A38" w:rsidRDefault="0006513B" w:rsidP="00162BD6">
      <w:r w:rsidRPr="004F7A38">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5D6491AE" w14:textId="77777777" w:rsidR="00006DCB" w:rsidRPr="004F7A38" w:rsidRDefault="00006DCB" w:rsidP="00162BD6"/>
    <w:p w14:paraId="7635B7DE" w14:textId="77777777" w:rsidR="00006DCB" w:rsidRPr="004F7A38" w:rsidRDefault="0006513B" w:rsidP="00162BD6">
      <w:pPr>
        <w:pStyle w:val="Puesto"/>
        <w:ind w:firstLine="0"/>
        <w:jc w:val="center"/>
        <w:rPr>
          <w:b/>
          <w:color w:val="auto"/>
        </w:rPr>
      </w:pPr>
      <w:r w:rsidRPr="004F7A38">
        <w:rPr>
          <w:b/>
          <w:color w:val="auto"/>
        </w:rPr>
        <w:t>Ley de Transparencia y Acceso a la Información Pública del Estado de México y Municipios</w:t>
      </w:r>
    </w:p>
    <w:p w14:paraId="05DBC2ED" w14:textId="77777777" w:rsidR="00006DCB" w:rsidRPr="004F7A38" w:rsidRDefault="00006DCB" w:rsidP="00162BD6">
      <w:pPr>
        <w:pStyle w:val="Puesto"/>
        <w:ind w:firstLine="0"/>
        <w:rPr>
          <w:color w:val="auto"/>
        </w:rPr>
      </w:pPr>
    </w:p>
    <w:p w14:paraId="5AD1BA90" w14:textId="77777777" w:rsidR="00006DCB" w:rsidRPr="004F7A38" w:rsidRDefault="0006513B" w:rsidP="00162BD6">
      <w:pPr>
        <w:pStyle w:val="Puesto"/>
        <w:ind w:firstLine="0"/>
        <w:rPr>
          <w:color w:val="auto"/>
        </w:rPr>
      </w:pPr>
      <w:r w:rsidRPr="004F7A38">
        <w:rPr>
          <w:color w:val="auto"/>
        </w:rPr>
        <w:t>“</w:t>
      </w:r>
      <w:r w:rsidRPr="004F7A38">
        <w:rPr>
          <w:b/>
          <w:color w:val="auto"/>
        </w:rPr>
        <w:t>Artículo 49.</w:t>
      </w:r>
      <w:r w:rsidRPr="004F7A38">
        <w:rPr>
          <w:color w:val="auto"/>
        </w:rPr>
        <w:t xml:space="preserve"> Los Comités de Transparencia tendrán las siguientes atribuciones:</w:t>
      </w:r>
    </w:p>
    <w:p w14:paraId="3AEF168E" w14:textId="77777777" w:rsidR="00006DCB" w:rsidRPr="004F7A38" w:rsidRDefault="0006513B" w:rsidP="00162BD6">
      <w:pPr>
        <w:pStyle w:val="Puesto"/>
        <w:ind w:firstLine="0"/>
        <w:rPr>
          <w:color w:val="auto"/>
        </w:rPr>
      </w:pPr>
      <w:r w:rsidRPr="004F7A38">
        <w:rPr>
          <w:color w:val="auto"/>
        </w:rPr>
        <w:t>VIII. Aprobar, modificar o revocar la clasificación de la información;</w:t>
      </w:r>
    </w:p>
    <w:p w14:paraId="0141232D" w14:textId="77777777" w:rsidR="00006DCB" w:rsidRPr="004F7A38" w:rsidRDefault="00006DCB" w:rsidP="00162BD6">
      <w:pPr>
        <w:pStyle w:val="Puesto"/>
        <w:ind w:firstLine="0"/>
        <w:rPr>
          <w:color w:val="auto"/>
        </w:rPr>
      </w:pPr>
    </w:p>
    <w:p w14:paraId="3AEF23CE" w14:textId="77777777" w:rsidR="00006DCB" w:rsidRPr="004F7A38" w:rsidRDefault="0006513B" w:rsidP="00162BD6">
      <w:pPr>
        <w:pStyle w:val="Puesto"/>
        <w:ind w:firstLine="0"/>
        <w:rPr>
          <w:color w:val="auto"/>
        </w:rPr>
      </w:pPr>
      <w:r w:rsidRPr="004F7A38">
        <w:rPr>
          <w:b/>
          <w:color w:val="auto"/>
        </w:rPr>
        <w:t>Artículo 132.</w:t>
      </w:r>
      <w:r w:rsidRPr="004F7A38">
        <w:rPr>
          <w:color w:val="auto"/>
        </w:rPr>
        <w:t xml:space="preserve"> La clasificación de la información se llevará a cabo en el momento en que:</w:t>
      </w:r>
    </w:p>
    <w:p w14:paraId="033D60FF" w14:textId="77777777" w:rsidR="00006DCB" w:rsidRPr="004F7A38" w:rsidRDefault="0006513B" w:rsidP="00162BD6">
      <w:pPr>
        <w:pStyle w:val="Puesto"/>
        <w:ind w:firstLine="0"/>
        <w:rPr>
          <w:color w:val="auto"/>
        </w:rPr>
      </w:pPr>
      <w:r w:rsidRPr="004F7A38">
        <w:rPr>
          <w:color w:val="auto"/>
        </w:rPr>
        <w:lastRenderedPageBreak/>
        <w:t>I. Se reciba una solicitud de acceso a la información;</w:t>
      </w:r>
    </w:p>
    <w:p w14:paraId="64BEB654" w14:textId="77777777" w:rsidR="00006DCB" w:rsidRPr="004F7A38" w:rsidRDefault="0006513B" w:rsidP="00162BD6">
      <w:pPr>
        <w:pStyle w:val="Puesto"/>
        <w:ind w:firstLine="0"/>
        <w:rPr>
          <w:color w:val="auto"/>
        </w:rPr>
      </w:pPr>
      <w:r w:rsidRPr="004F7A38">
        <w:rPr>
          <w:color w:val="auto"/>
        </w:rPr>
        <w:t>II. Se determine mediante resolución de autoridad competente; o</w:t>
      </w:r>
    </w:p>
    <w:p w14:paraId="0365AE5B" w14:textId="77777777" w:rsidR="00006DCB" w:rsidRPr="004F7A38" w:rsidRDefault="0006513B" w:rsidP="00162BD6">
      <w:pPr>
        <w:pStyle w:val="Puesto"/>
        <w:ind w:firstLine="0"/>
        <w:rPr>
          <w:color w:val="auto"/>
        </w:rPr>
      </w:pPr>
      <w:r w:rsidRPr="004F7A38">
        <w:rPr>
          <w:color w:val="auto"/>
        </w:rPr>
        <w:t>III. Se generen versiones públicas para dar cumplimiento a las obligaciones de transparencia previstas en esta Ley.”</w:t>
      </w:r>
    </w:p>
    <w:p w14:paraId="6EDE8A82" w14:textId="77777777" w:rsidR="00006DCB" w:rsidRPr="004F7A38" w:rsidRDefault="00006DCB" w:rsidP="00162BD6">
      <w:pPr>
        <w:pStyle w:val="Puesto"/>
        <w:ind w:firstLine="0"/>
        <w:rPr>
          <w:color w:val="auto"/>
        </w:rPr>
      </w:pPr>
    </w:p>
    <w:p w14:paraId="6A7498EE" w14:textId="77777777" w:rsidR="00006DCB" w:rsidRPr="004F7A38" w:rsidRDefault="0006513B" w:rsidP="00162BD6">
      <w:pPr>
        <w:pStyle w:val="Puesto"/>
        <w:ind w:firstLine="0"/>
        <w:rPr>
          <w:color w:val="auto"/>
        </w:rPr>
      </w:pPr>
      <w:r w:rsidRPr="004F7A38">
        <w:rPr>
          <w:color w:val="auto"/>
        </w:rPr>
        <w:t>“</w:t>
      </w:r>
      <w:r w:rsidRPr="004F7A38">
        <w:rPr>
          <w:b/>
          <w:color w:val="auto"/>
        </w:rPr>
        <w:t>Segundo. -</w:t>
      </w:r>
      <w:r w:rsidRPr="004F7A38">
        <w:rPr>
          <w:color w:val="auto"/>
        </w:rPr>
        <w:t xml:space="preserve"> Para efectos de los presentes Lineamientos Generales, se entenderá por:</w:t>
      </w:r>
    </w:p>
    <w:p w14:paraId="161BDE78" w14:textId="77777777" w:rsidR="00006DCB" w:rsidRPr="004F7A38" w:rsidRDefault="0006513B" w:rsidP="00162BD6">
      <w:pPr>
        <w:pStyle w:val="Puesto"/>
        <w:ind w:firstLine="0"/>
        <w:rPr>
          <w:color w:val="auto"/>
        </w:rPr>
      </w:pPr>
      <w:r w:rsidRPr="004F7A38">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6326CAC" w14:textId="77777777" w:rsidR="00006DCB" w:rsidRPr="004F7A38" w:rsidRDefault="00006DCB" w:rsidP="00162BD6">
      <w:pPr>
        <w:pStyle w:val="Puesto"/>
        <w:ind w:firstLine="0"/>
        <w:rPr>
          <w:color w:val="auto"/>
        </w:rPr>
      </w:pPr>
    </w:p>
    <w:p w14:paraId="177FDC7A" w14:textId="77777777" w:rsidR="00006DCB" w:rsidRPr="004F7A38" w:rsidRDefault="0006513B" w:rsidP="00162BD6">
      <w:pPr>
        <w:pStyle w:val="Puesto"/>
        <w:ind w:firstLine="0"/>
        <w:jc w:val="center"/>
        <w:rPr>
          <w:b/>
          <w:color w:val="auto"/>
        </w:rPr>
      </w:pPr>
      <w:r w:rsidRPr="004F7A38">
        <w:rPr>
          <w:b/>
          <w:color w:val="auto"/>
        </w:rPr>
        <w:t>Lineamientos Generales en materia de Clasificación y Desclasificación de la Información</w:t>
      </w:r>
    </w:p>
    <w:p w14:paraId="1F39ED91" w14:textId="77777777" w:rsidR="00006DCB" w:rsidRPr="004F7A38" w:rsidRDefault="00006DCB" w:rsidP="00162BD6">
      <w:pPr>
        <w:pStyle w:val="Puesto"/>
        <w:ind w:firstLine="0"/>
        <w:jc w:val="center"/>
        <w:rPr>
          <w:b/>
          <w:color w:val="auto"/>
        </w:rPr>
      </w:pPr>
    </w:p>
    <w:p w14:paraId="0C5BA4D4" w14:textId="77777777" w:rsidR="00006DCB" w:rsidRPr="004F7A38" w:rsidRDefault="0006513B" w:rsidP="00162BD6">
      <w:pPr>
        <w:pStyle w:val="Puesto"/>
        <w:ind w:firstLine="0"/>
        <w:rPr>
          <w:color w:val="auto"/>
        </w:rPr>
      </w:pPr>
      <w:r w:rsidRPr="004F7A38">
        <w:rPr>
          <w:b/>
          <w:color w:val="auto"/>
        </w:rPr>
        <w:t>Cuarto.</w:t>
      </w:r>
      <w:r w:rsidRPr="004F7A38">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2CF01A1" w14:textId="77777777" w:rsidR="00006DCB" w:rsidRPr="004F7A38" w:rsidRDefault="0006513B" w:rsidP="00162BD6">
      <w:pPr>
        <w:pStyle w:val="Puesto"/>
        <w:ind w:firstLine="0"/>
        <w:rPr>
          <w:color w:val="auto"/>
        </w:rPr>
      </w:pPr>
      <w:r w:rsidRPr="004F7A38">
        <w:rPr>
          <w:color w:val="auto"/>
        </w:rPr>
        <w:t>Los sujetos obligados deberán aplicar, de manera estricta, las excepciones al derecho de acceso a la información y sólo podrán invocarlas cuando acrediten su procedencia.</w:t>
      </w:r>
    </w:p>
    <w:p w14:paraId="4A7E4232" w14:textId="77777777" w:rsidR="00006DCB" w:rsidRPr="004F7A38" w:rsidRDefault="00006DCB" w:rsidP="00162BD6">
      <w:pPr>
        <w:pStyle w:val="Puesto"/>
        <w:ind w:firstLine="0"/>
        <w:rPr>
          <w:color w:val="auto"/>
        </w:rPr>
      </w:pPr>
    </w:p>
    <w:p w14:paraId="68BE67A8" w14:textId="77777777" w:rsidR="00006DCB" w:rsidRPr="004F7A38" w:rsidRDefault="0006513B" w:rsidP="00162BD6">
      <w:pPr>
        <w:pStyle w:val="Puesto"/>
        <w:ind w:firstLine="0"/>
        <w:rPr>
          <w:color w:val="auto"/>
        </w:rPr>
      </w:pPr>
      <w:r w:rsidRPr="004F7A38">
        <w:rPr>
          <w:b/>
          <w:color w:val="auto"/>
        </w:rPr>
        <w:t>Quinto.</w:t>
      </w:r>
      <w:r w:rsidRPr="004F7A38">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B9B7CA8" w14:textId="77777777" w:rsidR="00006DCB" w:rsidRPr="004F7A38" w:rsidRDefault="00006DCB" w:rsidP="00162BD6">
      <w:pPr>
        <w:pStyle w:val="Puesto"/>
        <w:ind w:firstLine="0"/>
        <w:rPr>
          <w:color w:val="auto"/>
        </w:rPr>
      </w:pPr>
    </w:p>
    <w:p w14:paraId="470A370F" w14:textId="77777777" w:rsidR="00006DCB" w:rsidRPr="004F7A38" w:rsidRDefault="0006513B" w:rsidP="00162BD6">
      <w:pPr>
        <w:pStyle w:val="Puesto"/>
        <w:ind w:firstLine="0"/>
        <w:rPr>
          <w:color w:val="auto"/>
        </w:rPr>
      </w:pPr>
      <w:r w:rsidRPr="004F7A38">
        <w:rPr>
          <w:b/>
          <w:color w:val="auto"/>
        </w:rPr>
        <w:t>Sexto.</w:t>
      </w:r>
      <w:r w:rsidRPr="004F7A38">
        <w:rPr>
          <w:color w:val="auto"/>
        </w:rPr>
        <w:t xml:space="preserve"> Se deroga.</w:t>
      </w:r>
    </w:p>
    <w:p w14:paraId="6DEF285E" w14:textId="77777777" w:rsidR="00006DCB" w:rsidRPr="004F7A38" w:rsidRDefault="00006DCB" w:rsidP="00162BD6">
      <w:pPr>
        <w:pStyle w:val="Puesto"/>
        <w:ind w:firstLine="0"/>
        <w:rPr>
          <w:color w:val="auto"/>
        </w:rPr>
      </w:pPr>
    </w:p>
    <w:p w14:paraId="0AEC89E6" w14:textId="77777777" w:rsidR="00006DCB" w:rsidRPr="004F7A38" w:rsidRDefault="0006513B" w:rsidP="00162BD6">
      <w:pPr>
        <w:pStyle w:val="Puesto"/>
        <w:ind w:firstLine="0"/>
        <w:rPr>
          <w:color w:val="auto"/>
        </w:rPr>
      </w:pPr>
      <w:r w:rsidRPr="004F7A38">
        <w:rPr>
          <w:b/>
          <w:color w:val="auto"/>
        </w:rPr>
        <w:t>Séptimo.</w:t>
      </w:r>
      <w:r w:rsidRPr="004F7A38">
        <w:rPr>
          <w:color w:val="auto"/>
        </w:rPr>
        <w:t xml:space="preserve"> La clasificación de la información se llevará a cabo en el momento en que:</w:t>
      </w:r>
    </w:p>
    <w:p w14:paraId="2F72F7D3" w14:textId="77777777" w:rsidR="00006DCB" w:rsidRPr="004F7A38" w:rsidRDefault="0006513B" w:rsidP="00162BD6">
      <w:pPr>
        <w:pStyle w:val="Puesto"/>
        <w:ind w:firstLine="0"/>
        <w:rPr>
          <w:color w:val="auto"/>
        </w:rPr>
      </w:pPr>
      <w:r w:rsidRPr="004F7A38">
        <w:rPr>
          <w:color w:val="auto"/>
        </w:rPr>
        <w:t>I.        Se reciba una solicitud de acceso a la información;</w:t>
      </w:r>
    </w:p>
    <w:p w14:paraId="689A2720" w14:textId="77777777" w:rsidR="00006DCB" w:rsidRPr="004F7A38" w:rsidRDefault="0006513B" w:rsidP="00162BD6">
      <w:pPr>
        <w:pStyle w:val="Puesto"/>
        <w:ind w:firstLine="0"/>
        <w:rPr>
          <w:color w:val="auto"/>
        </w:rPr>
      </w:pPr>
      <w:r w:rsidRPr="004F7A38">
        <w:rPr>
          <w:color w:val="auto"/>
        </w:rPr>
        <w:t>II.       Se determine mediante resolución del Comité de Transparencia, el órgano garante competente, o en cumplimiento a una sentencia del Poder Judicial; o</w:t>
      </w:r>
    </w:p>
    <w:p w14:paraId="7CDBEFC8" w14:textId="77777777" w:rsidR="00006DCB" w:rsidRPr="004F7A38" w:rsidRDefault="0006513B" w:rsidP="00162BD6">
      <w:pPr>
        <w:pStyle w:val="Puesto"/>
        <w:ind w:firstLine="0"/>
        <w:rPr>
          <w:color w:val="auto"/>
        </w:rPr>
      </w:pPr>
      <w:r w:rsidRPr="004F7A38">
        <w:rPr>
          <w:color w:val="auto"/>
        </w:rPr>
        <w:lastRenderedPageBreak/>
        <w:t>III.      Se generen versiones públicas para dar cumplimiento a las obligaciones de transparencia previstas en la Ley General, la Ley Federal y las correspondientes de las entidades federativas.</w:t>
      </w:r>
    </w:p>
    <w:p w14:paraId="1C8AC0D9" w14:textId="77777777" w:rsidR="00006DCB" w:rsidRPr="004F7A38" w:rsidRDefault="0006513B" w:rsidP="00162BD6">
      <w:pPr>
        <w:pStyle w:val="Puesto"/>
        <w:ind w:firstLine="0"/>
        <w:rPr>
          <w:color w:val="auto"/>
        </w:rPr>
      </w:pPr>
      <w:r w:rsidRPr="004F7A38">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1214FB9C" w14:textId="77777777" w:rsidR="00006DCB" w:rsidRPr="004F7A38" w:rsidRDefault="00006DCB" w:rsidP="00162BD6">
      <w:pPr>
        <w:pStyle w:val="Puesto"/>
        <w:ind w:firstLine="0"/>
        <w:rPr>
          <w:color w:val="auto"/>
        </w:rPr>
      </w:pPr>
    </w:p>
    <w:p w14:paraId="4A053AAE" w14:textId="77777777" w:rsidR="00006DCB" w:rsidRPr="004F7A38" w:rsidRDefault="0006513B" w:rsidP="00162BD6">
      <w:pPr>
        <w:pStyle w:val="Puesto"/>
        <w:ind w:firstLine="0"/>
        <w:rPr>
          <w:color w:val="auto"/>
        </w:rPr>
      </w:pPr>
      <w:r w:rsidRPr="004F7A38">
        <w:rPr>
          <w:b/>
          <w:color w:val="auto"/>
        </w:rPr>
        <w:t>Octavo.</w:t>
      </w:r>
      <w:r w:rsidRPr="004F7A38">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5A90917" w14:textId="77777777" w:rsidR="00006DCB" w:rsidRPr="004F7A38" w:rsidRDefault="0006513B" w:rsidP="00162BD6">
      <w:pPr>
        <w:pStyle w:val="Puesto"/>
        <w:ind w:firstLine="0"/>
        <w:rPr>
          <w:color w:val="auto"/>
        </w:rPr>
      </w:pPr>
      <w:r w:rsidRPr="004F7A38">
        <w:rPr>
          <w:color w:val="auto"/>
        </w:rPr>
        <w:t>Para motivar la clasificación se deberán señalar las razones o circunstancias especiales que lo llevaron a concluir que el caso particular se ajusta al supuesto previsto por la norma legal invocada como fundamento.</w:t>
      </w:r>
    </w:p>
    <w:p w14:paraId="00CE9612" w14:textId="77777777" w:rsidR="00006DCB" w:rsidRPr="004F7A38" w:rsidRDefault="0006513B" w:rsidP="00162BD6">
      <w:pPr>
        <w:pStyle w:val="Puesto"/>
        <w:ind w:firstLine="0"/>
        <w:rPr>
          <w:color w:val="auto"/>
        </w:rPr>
      </w:pPr>
      <w:r w:rsidRPr="004F7A38">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105FD46F" w14:textId="77777777" w:rsidR="00006DCB" w:rsidRPr="004F7A38" w:rsidRDefault="00006DCB" w:rsidP="00162BD6">
      <w:pPr>
        <w:pStyle w:val="Puesto"/>
        <w:ind w:firstLine="0"/>
        <w:rPr>
          <w:color w:val="auto"/>
        </w:rPr>
      </w:pPr>
    </w:p>
    <w:p w14:paraId="47655A07" w14:textId="77777777" w:rsidR="00006DCB" w:rsidRPr="004F7A38" w:rsidRDefault="0006513B" w:rsidP="00162BD6">
      <w:pPr>
        <w:pStyle w:val="Puesto"/>
        <w:ind w:firstLine="0"/>
        <w:rPr>
          <w:color w:val="auto"/>
        </w:rPr>
      </w:pPr>
      <w:r w:rsidRPr="004F7A38">
        <w:rPr>
          <w:b/>
          <w:color w:val="auto"/>
        </w:rPr>
        <w:t>Noveno.</w:t>
      </w:r>
      <w:r w:rsidRPr="004F7A38">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63B8A43" w14:textId="77777777" w:rsidR="00006DCB" w:rsidRPr="004F7A38" w:rsidRDefault="00006DCB" w:rsidP="00162BD6">
      <w:pPr>
        <w:pStyle w:val="Puesto"/>
        <w:ind w:firstLine="0"/>
        <w:rPr>
          <w:color w:val="auto"/>
        </w:rPr>
      </w:pPr>
    </w:p>
    <w:p w14:paraId="0533E1B1" w14:textId="77777777" w:rsidR="00006DCB" w:rsidRPr="004F7A38" w:rsidRDefault="0006513B" w:rsidP="00162BD6">
      <w:pPr>
        <w:pStyle w:val="Puesto"/>
        <w:ind w:firstLine="0"/>
        <w:rPr>
          <w:color w:val="auto"/>
        </w:rPr>
      </w:pPr>
      <w:r w:rsidRPr="004F7A38">
        <w:rPr>
          <w:b/>
          <w:color w:val="auto"/>
        </w:rPr>
        <w:t>Décimo.</w:t>
      </w:r>
      <w:r w:rsidRPr="004F7A38">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3266035E" w14:textId="77777777" w:rsidR="00006DCB" w:rsidRPr="004F7A38" w:rsidRDefault="0006513B" w:rsidP="00162BD6">
      <w:pPr>
        <w:pStyle w:val="Puesto"/>
        <w:ind w:firstLine="0"/>
        <w:rPr>
          <w:color w:val="auto"/>
        </w:rPr>
      </w:pPr>
      <w:r w:rsidRPr="004F7A38">
        <w:rPr>
          <w:color w:val="auto"/>
        </w:rPr>
        <w:t>En ausencia de los titulares de las áreas, la información será clasificada o desclasificada por la persona que lo supla, en términos de la normativa que rija la actuación del sujeto obligado.</w:t>
      </w:r>
    </w:p>
    <w:p w14:paraId="0E9BEC3E" w14:textId="77777777" w:rsidR="00006DCB" w:rsidRPr="004F7A38" w:rsidRDefault="0006513B" w:rsidP="00162BD6">
      <w:pPr>
        <w:pStyle w:val="Puesto"/>
        <w:ind w:firstLine="0"/>
        <w:rPr>
          <w:color w:val="auto"/>
        </w:rPr>
      </w:pPr>
      <w:r w:rsidRPr="004F7A38">
        <w:rPr>
          <w:b/>
          <w:color w:val="auto"/>
        </w:rPr>
        <w:t xml:space="preserve">Décimo primero. </w:t>
      </w:r>
      <w:r w:rsidRPr="004F7A38">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0EC2B7C1" w14:textId="77777777" w:rsidR="00006DCB" w:rsidRPr="004F7A38" w:rsidRDefault="00006DCB" w:rsidP="00162BD6"/>
    <w:p w14:paraId="5F10278D" w14:textId="77777777" w:rsidR="00006DCB" w:rsidRPr="004F7A38" w:rsidRDefault="0006513B" w:rsidP="00162BD6">
      <w:r w:rsidRPr="004F7A38">
        <w:lastRenderedPageBreak/>
        <w:t xml:space="preserve">Consecuentemente, se destaca que la versión pública que elabore </w:t>
      </w:r>
      <w:r w:rsidRPr="004F7A38">
        <w:rPr>
          <w:b/>
        </w:rPr>
        <w:t>EL SUJETO OBLIGADO</w:t>
      </w:r>
      <w:r w:rsidRPr="004F7A38">
        <w:t xml:space="preserve"> debe cumplir con las formalidades exigidas en la Ley, por lo que para tal efecto emitirá el </w:t>
      </w:r>
      <w:r w:rsidRPr="004F7A38">
        <w:rPr>
          <w:b/>
        </w:rPr>
        <w:t>Acuerdo del Comité de Transparencia</w:t>
      </w:r>
      <w:r w:rsidRPr="004F7A38">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9CA2E28" w14:textId="77777777" w:rsidR="00006DCB" w:rsidRPr="004F7A38" w:rsidRDefault="00006DCB" w:rsidP="00162BD6"/>
    <w:p w14:paraId="2C597785" w14:textId="77777777" w:rsidR="00006DCB" w:rsidRPr="004F7A38" w:rsidRDefault="0006513B" w:rsidP="00162BD6">
      <w:r w:rsidRPr="004F7A38">
        <w:t>Es importante señalar que, para el caso en concreto, se deben tomar en consideración los siguientes criterios de manera enunciativa más no limitativa respecto a la información que debe ser, o no, clasificada como confidencial:</w:t>
      </w:r>
    </w:p>
    <w:p w14:paraId="7F4AEBA0" w14:textId="77777777" w:rsidR="00006DCB" w:rsidRPr="004F7A38" w:rsidRDefault="00006DCB" w:rsidP="00162BD6">
      <w:pPr>
        <w:rPr>
          <w:b/>
          <w:i/>
        </w:rPr>
      </w:pPr>
    </w:p>
    <w:p w14:paraId="783E4FCF" w14:textId="77777777" w:rsidR="00006DCB" w:rsidRPr="004F7A38" w:rsidRDefault="0006513B" w:rsidP="00162BD6">
      <w:pPr>
        <w:rPr>
          <w:b/>
        </w:rPr>
      </w:pPr>
      <w:r w:rsidRPr="004F7A38">
        <w:t xml:space="preserve">Por lo que concierne a los datos referentes al nombre y firma autógrafa de particulares, se tiene que en relación al </w:t>
      </w:r>
      <w:r w:rsidRPr="004F7A38">
        <w:rPr>
          <w:b/>
        </w:rPr>
        <w:t xml:space="preserve">Nombre de particulares, </w:t>
      </w:r>
      <w:r w:rsidRPr="004F7A38">
        <w:t xml:space="preserve">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4F7A38">
        <w:rPr>
          <w:i/>
        </w:rPr>
        <w:t>per se</w:t>
      </w:r>
      <w:r w:rsidRPr="004F7A38">
        <w:t xml:space="preserve"> es un elemento que hace a una persona física identificada o identificable, por lo que, </w:t>
      </w:r>
      <w:r w:rsidRPr="004F7A38">
        <w:rPr>
          <w:b/>
        </w:rPr>
        <w:t xml:space="preserve">se considera un dato personal. </w:t>
      </w:r>
    </w:p>
    <w:p w14:paraId="0988AD9E" w14:textId="77777777" w:rsidR="00006DCB" w:rsidRPr="004F7A38" w:rsidRDefault="00006DCB" w:rsidP="00162BD6">
      <w:pPr>
        <w:rPr>
          <w:b/>
        </w:rPr>
      </w:pPr>
    </w:p>
    <w:p w14:paraId="5B792BC9" w14:textId="77777777" w:rsidR="00006DCB" w:rsidRPr="004F7A38" w:rsidRDefault="0006513B" w:rsidP="00162BD6">
      <w:r w:rsidRPr="004F7A38">
        <w:lastRenderedPageBreak/>
        <w:t xml:space="preserve">Al respecto cabe señalar lo previsto en la tesis aislada número 1a. CCXIV/2009, emitida por la Primera Sala de la Suprema Corte de Justicia de la Nación, publicada en la Gaceta del Semanario Judicial de la Federación, Tomo XXX, de diciembre de 2009, página 277, de la Novena Época, previamente referida, que establece el derecho a la vida privada de una persona. De conformidad con lo señalado, se colige que </w:t>
      </w:r>
      <w:r w:rsidRPr="004F7A38">
        <w:rPr>
          <w:b/>
        </w:rPr>
        <w:t xml:space="preserve">las actividades que realicen los particulares, dentro del ámbito privado, o dentro de la esfera particular, es información que debe protegerse, </w:t>
      </w:r>
      <w:r w:rsidRPr="004F7A38">
        <w:t xml:space="preserve">razón por la cual es procedente clasificar dicho dato como confidencial. </w:t>
      </w:r>
    </w:p>
    <w:p w14:paraId="5291B05C" w14:textId="77777777" w:rsidR="00006DCB" w:rsidRPr="004F7A38" w:rsidRDefault="00006DCB" w:rsidP="00162BD6"/>
    <w:p w14:paraId="3A279A4E" w14:textId="77777777" w:rsidR="00006DCB" w:rsidRPr="004F7A38" w:rsidRDefault="0006513B" w:rsidP="00162BD6">
      <w:r w:rsidRPr="004F7A38">
        <w:t xml:space="preserve">En tal sentido, se debe puntualizar que el nombre de una persona física identificada o identificable, al ser uno de los atributos de la personalidad y la manifestación principal del derecho subjetivo a la identidad, es un dato personal que, por regla general, debe considerarse como un dato confidencial en términos del artículo 143, fracción I de la Ley de Transparencia y Acceso a la Información Pública del Estado de México y Municipios, </w:t>
      </w:r>
      <w:r w:rsidRPr="004F7A38">
        <w:rPr>
          <w:b/>
          <w:u w:val="single"/>
        </w:rPr>
        <w:t>cuando ésta no se desempeña en la función pública, o bien, no celebra actos jurídicos en el ámbito del derecho público</w:t>
      </w:r>
      <w:r w:rsidRPr="004F7A38">
        <w:t>, ya que por sí solo es un dato que identifica a su titular o lo hace identificable, por lo que con su publicidad se vulneraría su ámbito de privacidad.</w:t>
      </w:r>
    </w:p>
    <w:p w14:paraId="1C5776DC" w14:textId="77777777" w:rsidR="00006DCB" w:rsidRPr="004F7A38" w:rsidRDefault="00006DCB" w:rsidP="00162BD6"/>
    <w:p w14:paraId="62778533" w14:textId="77777777" w:rsidR="00006DCB" w:rsidRPr="004F7A38" w:rsidRDefault="0006513B" w:rsidP="00162BD6">
      <w:r w:rsidRPr="004F7A38">
        <w:t>Es en ese orden de ideas, el nombre del donatario, pues, dar el nombre del donatario, permite inhibir actos de corrupción, toda vez que otorga una herramienta para dar seguimiento a las relaciones que derivan de una donación gubernamental.</w:t>
      </w:r>
    </w:p>
    <w:p w14:paraId="1E3DE6F9" w14:textId="77777777" w:rsidR="00006DCB" w:rsidRPr="004F7A38" w:rsidRDefault="00006DCB" w:rsidP="00162BD6"/>
    <w:p w14:paraId="47D29215" w14:textId="77777777" w:rsidR="00006DCB" w:rsidRPr="004F7A38" w:rsidRDefault="0006513B" w:rsidP="00162BD6">
      <w:r w:rsidRPr="004F7A38">
        <w:t xml:space="preserve">Atento a lo anterior, el nombre de particulares, en su carácter de propietarios de predios colindantes con bienes inmuebles propiedad del </w:t>
      </w:r>
      <w:r w:rsidRPr="004F7A38">
        <w:rPr>
          <w:b/>
        </w:rPr>
        <w:t>SUJETO OBLIGADO</w:t>
      </w:r>
      <w:r w:rsidRPr="004F7A38">
        <w:t>, deberá ser clasificado como confidencial.</w:t>
      </w:r>
    </w:p>
    <w:p w14:paraId="743B0F3C" w14:textId="77777777" w:rsidR="00006DCB" w:rsidRPr="004F7A38" w:rsidRDefault="00006DCB" w:rsidP="00162BD6"/>
    <w:p w14:paraId="18C4684F" w14:textId="77777777" w:rsidR="00006DCB" w:rsidRPr="004F7A38" w:rsidRDefault="0006513B" w:rsidP="00162BD6">
      <w:r w:rsidRPr="004F7A38">
        <w:lastRenderedPageBreak/>
        <w:t xml:space="preserve">Respecto a la </w:t>
      </w:r>
      <w:r w:rsidRPr="004F7A38">
        <w:rPr>
          <w:b/>
        </w:rPr>
        <w:t>Firma</w:t>
      </w:r>
      <w:r w:rsidRPr="004F7A38">
        <w:t>, debe señalarse que tratándose de personas físicas en el rol de ciudadanos, es considerada como un atributo de la personalidad, en virtud de que a través de esta se puede identificar a una persona, por lo que se considera un dato personal y, dado que para otorgar su acceso se necesita el consentimiento de su titular, es información clasificada como confidencial.</w:t>
      </w:r>
    </w:p>
    <w:p w14:paraId="41E26DC0" w14:textId="77777777" w:rsidR="00006DCB" w:rsidRPr="004F7A38" w:rsidRDefault="00006DCB" w:rsidP="00162BD6"/>
    <w:p w14:paraId="26992A6E" w14:textId="77777777" w:rsidR="00006DCB" w:rsidRPr="004F7A38" w:rsidRDefault="0006513B" w:rsidP="00162BD6">
      <w:pPr>
        <w:rPr>
          <w:b/>
          <w:u w:val="single"/>
        </w:rPr>
      </w:pPr>
      <w:r w:rsidRPr="004F7A38">
        <w:t xml:space="preserve">En contraste, tratándose de servidores públicos cuando se emite un acto de autoridad en ejercicio de las atribuciones que tiene conferidas, la firma mediante la cual valida dicho acto jurídico es pública. Lo anterior, en virtud de que la firma se plasmó en cumplimiento de las obligaciones que le corresponden en términos de las disposiciones jurídicas aplicables, estribando entonces en un requisito de validez. Por tanto, la </w:t>
      </w:r>
      <w:r w:rsidRPr="004F7A38">
        <w:rPr>
          <w:b/>
          <w:u w:val="single"/>
        </w:rPr>
        <w:t>firma de los servidores públicos vinculada al ejercicio de la función pública es información pública, dado que documenta y rinde cuentas sobre el debido ejercicio de sus atribuciones con motivo del empleo, cargo o comisión que le han sido encomendados.</w:t>
      </w:r>
    </w:p>
    <w:p w14:paraId="5CFD82F8" w14:textId="77777777" w:rsidR="00006DCB" w:rsidRPr="004F7A38" w:rsidRDefault="00006DCB" w:rsidP="00162BD6">
      <w:pPr>
        <w:rPr>
          <w:b/>
          <w:u w:val="single"/>
        </w:rPr>
      </w:pPr>
    </w:p>
    <w:p w14:paraId="0496491A" w14:textId="77777777" w:rsidR="00006DCB" w:rsidRPr="004F7A38" w:rsidRDefault="0006513B" w:rsidP="00162BD6">
      <w:r w:rsidRPr="004F7A38">
        <w:t>Sirva de poyo a lo anterior, el criterio 002/2019 emitido por el entonces INAI, que a continuación se transcribe para mayor referencia:</w:t>
      </w:r>
    </w:p>
    <w:p w14:paraId="147F183B" w14:textId="77777777" w:rsidR="00006DCB" w:rsidRPr="004F7A38" w:rsidRDefault="00006DCB" w:rsidP="00162BD6"/>
    <w:p w14:paraId="6AD1423C" w14:textId="77777777" w:rsidR="00006DCB" w:rsidRPr="004F7A38" w:rsidRDefault="0006513B" w:rsidP="00162BD6">
      <w:pPr>
        <w:spacing w:line="240" w:lineRule="auto"/>
        <w:ind w:left="851" w:right="822"/>
        <w:rPr>
          <w:i/>
        </w:rPr>
      </w:pPr>
      <w:r w:rsidRPr="004F7A38">
        <w:rPr>
          <w:i/>
        </w:rPr>
        <w:t>“</w:t>
      </w:r>
      <w:r w:rsidRPr="004F7A38">
        <w:rPr>
          <w:b/>
          <w:i/>
          <w:u w:val="single"/>
        </w:rPr>
        <w:t>Firma y rúbrica de servidores públicos</w:t>
      </w:r>
      <w:r w:rsidRPr="004F7A38">
        <w:rPr>
          <w:i/>
        </w:rPr>
        <w:t>. Si bien la firma y la rúbrica son datos personales confidenciales, cuando un servidor público emite un acto como autoridad, en ejercicio de las funciones que tiene conferidas, la firma o rúbrica mediante la cual se valida dicho acto es pública.”</w:t>
      </w:r>
    </w:p>
    <w:p w14:paraId="78E6D77A" w14:textId="77777777" w:rsidR="00006DCB" w:rsidRPr="004F7A38" w:rsidRDefault="00006DCB" w:rsidP="00162BD6"/>
    <w:p w14:paraId="4AE561E0" w14:textId="77777777" w:rsidR="00006DCB" w:rsidRPr="004F7A38" w:rsidRDefault="0006513B" w:rsidP="00162BD6">
      <w:r w:rsidRPr="004F7A38">
        <w:t xml:space="preserve">En sentido contrario, tratándose de servidores públicos en ejercicio de las atribuciones que tiene conferidas, la firma reviste de validez documentos que son emitidos por el cargo o comisión que le han sido encomendados, dando certeza a los actos de autoridad que sean </w:t>
      </w:r>
      <w:r w:rsidRPr="004F7A38">
        <w:lastRenderedPageBreak/>
        <w:t>ejercidos por los funcionarios y como consecuencia, su publicidad abona a la transparencia y la rendición de cuentas.</w:t>
      </w:r>
    </w:p>
    <w:p w14:paraId="5CE8A045" w14:textId="77777777" w:rsidR="00006DCB" w:rsidRPr="004F7A38" w:rsidRDefault="00006DCB" w:rsidP="00162BD6"/>
    <w:p w14:paraId="6359655C" w14:textId="77777777" w:rsidR="00006DCB" w:rsidRPr="004F7A38" w:rsidRDefault="0006513B" w:rsidP="00162BD6">
      <w:r w:rsidRPr="004F7A38">
        <w:t>Es así, que 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14:paraId="779262A5" w14:textId="77777777" w:rsidR="00006DCB" w:rsidRPr="004F7A38" w:rsidRDefault="00006DCB" w:rsidP="00162BD6"/>
    <w:p w14:paraId="45DF472E" w14:textId="77777777" w:rsidR="00006DCB" w:rsidRPr="004F7A38" w:rsidRDefault="0006513B" w:rsidP="00162BD6">
      <w:r w:rsidRPr="004F7A38">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14:paraId="21BA97A3" w14:textId="77777777" w:rsidR="00006DCB" w:rsidRPr="004F7A38" w:rsidRDefault="00006DCB" w:rsidP="00162BD6"/>
    <w:p w14:paraId="0E581F96" w14:textId="77777777" w:rsidR="00006DCB" w:rsidRPr="004F7A38" w:rsidRDefault="0006513B" w:rsidP="00162BD6">
      <w:r w:rsidRPr="004F7A38">
        <w:t>Lo anterior encuentra sustento en el criterio 10/17 emitido por el Instituto Nacional de Transparencia y Acceso a la Información Pública del Estado de México y Municipios, que a la letra dicen:</w:t>
      </w:r>
    </w:p>
    <w:p w14:paraId="65C06906" w14:textId="77777777" w:rsidR="00006DCB" w:rsidRPr="004F7A38" w:rsidRDefault="00006DCB" w:rsidP="00162BD6"/>
    <w:p w14:paraId="2189F97A" w14:textId="77777777" w:rsidR="00006DCB" w:rsidRPr="004F7A38" w:rsidRDefault="0006513B" w:rsidP="00162BD6">
      <w:pPr>
        <w:spacing w:line="240" w:lineRule="auto"/>
        <w:ind w:left="851" w:right="822"/>
        <w:rPr>
          <w:i/>
        </w:rPr>
      </w:pPr>
      <w:r w:rsidRPr="004F7A38">
        <w:rPr>
          <w:b/>
          <w:i/>
        </w:rPr>
        <w:t>“Cuentas bancarias y/o CLABE interbancaria de personas físicas y morales privadas.</w:t>
      </w:r>
      <w:r w:rsidRPr="004F7A38">
        <w:rPr>
          <w:i/>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5347F2F" w14:textId="77777777" w:rsidR="00006DCB" w:rsidRPr="004F7A38" w:rsidRDefault="00006DCB" w:rsidP="00162BD6">
      <w:pPr>
        <w:rPr>
          <w:b/>
          <w:i/>
        </w:rPr>
      </w:pPr>
    </w:p>
    <w:p w14:paraId="09FFFAF4" w14:textId="77777777" w:rsidR="00006DCB" w:rsidRPr="004F7A38" w:rsidRDefault="0006513B" w:rsidP="00162BD6">
      <w:r w:rsidRPr="004F7A38">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14:paraId="3C4B240E" w14:textId="77777777" w:rsidR="00006DCB" w:rsidRPr="004F7A38" w:rsidRDefault="00006DCB" w:rsidP="00162BD6"/>
    <w:p w14:paraId="29B2F684" w14:textId="77777777" w:rsidR="00006DCB" w:rsidRPr="004F7A38" w:rsidRDefault="0006513B" w:rsidP="00162BD6">
      <w:pPr>
        <w:spacing w:line="240" w:lineRule="auto"/>
        <w:ind w:left="851" w:right="822"/>
        <w:rPr>
          <w:i/>
        </w:rPr>
      </w:pPr>
      <w:r w:rsidRPr="004F7A38">
        <w:rPr>
          <w:i/>
        </w:rPr>
        <w:t>“</w:t>
      </w:r>
      <w:r w:rsidRPr="004F7A38">
        <w:rPr>
          <w:b/>
          <w:i/>
        </w:rPr>
        <w:t>Cuentas bancarias y/o CLABE interbancaria de sujetos obligados que reciben y/o transfieren recursos públicos, son información pública.</w:t>
      </w:r>
      <w:r w:rsidRPr="004F7A38">
        <w:rPr>
          <w:i/>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“(Sic)</w:t>
      </w:r>
    </w:p>
    <w:p w14:paraId="51A80017" w14:textId="77777777" w:rsidR="00006DCB" w:rsidRPr="004F7A38" w:rsidRDefault="00006DCB" w:rsidP="00162BD6"/>
    <w:p w14:paraId="35185FE7" w14:textId="77777777" w:rsidR="00006DCB" w:rsidRPr="004F7A38" w:rsidRDefault="0006513B" w:rsidP="00162BD6">
      <w:r w:rsidRPr="004F7A38">
        <w:t>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contratistas, dichos datos no deben ser suprimidos de las facturas y contratos que vayan a ser entregados.</w:t>
      </w:r>
    </w:p>
    <w:p w14:paraId="0323E9D4" w14:textId="77777777" w:rsidR="00006DCB" w:rsidRPr="004F7A38" w:rsidRDefault="00006DCB" w:rsidP="00162BD6"/>
    <w:p w14:paraId="13CE1361" w14:textId="77777777" w:rsidR="00006DCB" w:rsidRPr="004F7A38" w:rsidRDefault="0006513B" w:rsidP="00162BD6">
      <w:r w:rsidRPr="004F7A38">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14:paraId="63CA2DE8" w14:textId="77777777" w:rsidR="00006DCB" w:rsidRPr="004F7A38" w:rsidRDefault="00006DCB" w:rsidP="00162BD6"/>
    <w:p w14:paraId="5E4FFA91" w14:textId="77777777" w:rsidR="00006DCB" w:rsidRPr="004F7A38" w:rsidRDefault="0006513B" w:rsidP="00162BD6">
      <w:r w:rsidRPr="004F7A38">
        <w:lastRenderedPageBreak/>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14:paraId="3D4C6BFC" w14:textId="77777777" w:rsidR="00006DCB" w:rsidRPr="004F7A38" w:rsidRDefault="00006DCB" w:rsidP="00162BD6"/>
    <w:p w14:paraId="37D77E2F" w14:textId="77777777" w:rsidR="00006DCB" w:rsidRPr="004F7A38" w:rsidRDefault="0006513B" w:rsidP="00162BD6">
      <w:pPr>
        <w:pStyle w:val="Ttulo3"/>
        <w:spacing w:line="360" w:lineRule="auto"/>
        <w:ind w:right="-312"/>
      </w:pPr>
      <w:bookmarkStart w:id="29" w:name="_Toc208357883"/>
      <w:r w:rsidRPr="004F7A38">
        <w:t>e) Conclusión</w:t>
      </w:r>
      <w:bookmarkEnd w:id="29"/>
    </w:p>
    <w:p w14:paraId="6110B088" w14:textId="77777777" w:rsidR="00006DCB" w:rsidRPr="004F7A38" w:rsidRDefault="0006513B" w:rsidP="00162BD6">
      <w:pPr>
        <w:widowControl w:val="0"/>
        <w:tabs>
          <w:tab w:val="left" w:pos="1701"/>
          <w:tab w:val="left" w:pos="1843"/>
        </w:tabs>
      </w:pPr>
      <w:r w:rsidRPr="004F7A38">
        <w:t xml:space="preserve">En razón de lo anteriormente expuesto, este Instituto estima que las razones o motivos de inconformidad hechos valer por </w:t>
      </w:r>
      <w:r w:rsidRPr="004F7A38">
        <w:rPr>
          <w:b/>
        </w:rPr>
        <w:t>LA PARTE RECURRENTE</w:t>
      </w:r>
      <w:r w:rsidRPr="004F7A38">
        <w:t xml:space="preserve"> devienen </w:t>
      </w:r>
      <w:r w:rsidRPr="004F7A38">
        <w:rPr>
          <w:b/>
        </w:rPr>
        <w:t>fundadas</w:t>
      </w:r>
      <w:r w:rsidRPr="004F7A38">
        <w:t xml:space="preserve"> y suficientes para </w:t>
      </w:r>
      <w:r w:rsidRPr="004F7A38">
        <w:rPr>
          <w:b/>
        </w:rPr>
        <w:t>REVOCAR</w:t>
      </w:r>
      <w:r w:rsidRPr="004F7A38">
        <w:t xml:space="preserve"> la respuesta del </w:t>
      </w:r>
      <w:r w:rsidRPr="004F7A38">
        <w:rPr>
          <w:b/>
        </w:rPr>
        <w:t>SUJETO OBLIGADO</w:t>
      </w:r>
      <w:r w:rsidRPr="004F7A38">
        <w:t xml:space="preserve"> y ordenarle haga entrega de la información materia de la solicitud.</w:t>
      </w:r>
    </w:p>
    <w:p w14:paraId="58513AFB" w14:textId="77777777" w:rsidR="00006DCB" w:rsidRPr="004F7A38" w:rsidRDefault="00006DCB" w:rsidP="00162BD6">
      <w:pPr>
        <w:widowControl w:val="0"/>
        <w:tabs>
          <w:tab w:val="left" w:pos="1701"/>
          <w:tab w:val="left" w:pos="1843"/>
        </w:tabs>
      </w:pPr>
    </w:p>
    <w:p w14:paraId="3F508667" w14:textId="77777777" w:rsidR="00006DCB" w:rsidRPr="004F7A38" w:rsidRDefault="0006513B" w:rsidP="00162BD6">
      <w:pPr>
        <w:ind w:right="-93"/>
      </w:pPr>
      <w:bookmarkStart w:id="30" w:name="_heading=h.mqnvgwcxoib9" w:colFirst="0" w:colLast="0"/>
      <w:bookmarkEnd w:id="30"/>
      <w:r w:rsidRPr="004F7A38">
        <w:t>Así, con fundamento en lo establecido en los artículos 5, párrafos trigésimo noveno, cuadragésimo, cuadragésimo primero,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0F40E162" w14:textId="77777777" w:rsidR="00006DCB" w:rsidRPr="004F7A38" w:rsidRDefault="00006DCB" w:rsidP="00162BD6"/>
    <w:p w14:paraId="47131669" w14:textId="77777777" w:rsidR="00006DCB" w:rsidRPr="004F7A38" w:rsidRDefault="0006513B" w:rsidP="00162BD6">
      <w:pPr>
        <w:pStyle w:val="Ttulo1"/>
      </w:pPr>
      <w:bookmarkStart w:id="31" w:name="_Toc208357884"/>
      <w:r w:rsidRPr="004F7A38">
        <w:t>RESUELVE</w:t>
      </w:r>
      <w:bookmarkEnd w:id="31"/>
    </w:p>
    <w:p w14:paraId="424FA19F" w14:textId="77777777" w:rsidR="00006DCB" w:rsidRPr="004F7A38" w:rsidRDefault="00006DCB" w:rsidP="00162BD6">
      <w:pPr>
        <w:ind w:right="113"/>
        <w:rPr>
          <w:b/>
        </w:rPr>
      </w:pPr>
    </w:p>
    <w:p w14:paraId="03F824AF" w14:textId="77777777" w:rsidR="00006DCB" w:rsidRPr="004F7A38" w:rsidRDefault="0006513B" w:rsidP="00162BD6">
      <w:pPr>
        <w:widowControl w:val="0"/>
      </w:pPr>
      <w:r w:rsidRPr="004F7A38">
        <w:rPr>
          <w:b/>
        </w:rPr>
        <w:t>PRIMERO.</w:t>
      </w:r>
      <w:r w:rsidRPr="004F7A38">
        <w:t xml:space="preserve"> Se</w:t>
      </w:r>
      <w:r w:rsidRPr="004F7A38">
        <w:rPr>
          <w:b/>
        </w:rPr>
        <w:t xml:space="preserve"> REVOCA</w:t>
      </w:r>
      <w:r w:rsidRPr="004F7A38">
        <w:t xml:space="preserve"> la respuesta entregada por el </w:t>
      </w:r>
      <w:r w:rsidRPr="004F7A38">
        <w:rPr>
          <w:b/>
        </w:rPr>
        <w:t>SUJETO OBLIGADO</w:t>
      </w:r>
      <w:r w:rsidRPr="004F7A38">
        <w:t xml:space="preserve"> en la solicitud de información </w:t>
      </w:r>
      <w:r w:rsidRPr="004F7A38">
        <w:rPr>
          <w:b/>
        </w:rPr>
        <w:t>02753/TOLUCA/IP/2025</w:t>
      </w:r>
      <w:r w:rsidRPr="004F7A38">
        <w:t xml:space="preserve">, por resultar </w:t>
      </w:r>
      <w:r w:rsidRPr="004F7A38">
        <w:rPr>
          <w:b/>
        </w:rPr>
        <w:t>FUNDADAS</w:t>
      </w:r>
      <w:r w:rsidRPr="004F7A38">
        <w:t xml:space="preserve"> las razones o motivos de inconformidad hechos valer por </w:t>
      </w:r>
      <w:r w:rsidRPr="004F7A38">
        <w:rPr>
          <w:b/>
        </w:rPr>
        <w:t>LA PARTE RECURRENTE</w:t>
      </w:r>
      <w:r w:rsidRPr="004F7A38">
        <w:t xml:space="preserve"> en el Recurso de Revisión </w:t>
      </w:r>
      <w:r w:rsidRPr="004F7A38">
        <w:rPr>
          <w:b/>
        </w:rPr>
        <w:t>08822/INFOEM/IP/RR/2025</w:t>
      </w:r>
      <w:r w:rsidRPr="004F7A38">
        <w:t>,</w:t>
      </w:r>
      <w:r w:rsidRPr="004F7A38">
        <w:rPr>
          <w:b/>
        </w:rPr>
        <w:t xml:space="preserve"> </w:t>
      </w:r>
      <w:r w:rsidRPr="004F7A38">
        <w:t xml:space="preserve">en términos del considerando </w:t>
      </w:r>
      <w:r w:rsidRPr="004F7A38">
        <w:rPr>
          <w:b/>
        </w:rPr>
        <w:t>SEGUNDO</w:t>
      </w:r>
      <w:r w:rsidRPr="004F7A38">
        <w:t xml:space="preserve"> de la presente Resolución.</w:t>
      </w:r>
    </w:p>
    <w:p w14:paraId="61A411D5" w14:textId="77777777" w:rsidR="00006DCB" w:rsidRPr="004F7A38" w:rsidRDefault="00006DCB" w:rsidP="00162BD6">
      <w:pPr>
        <w:widowControl w:val="0"/>
      </w:pPr>
    </w:p>
    <w:p w14:paraId="6E4D046C" w14:textId="77777777" w:rsidR="00006DCB" w:rsidRPr="004F7A38" w:rsidRDefault="0006513B" w:rsidP="00162BD6">
      <w:pPr>
        <w:ind w:right="-93"/>
      </w:pPr>
      <w:r w:rsidRPr="004F7A38">
        <w:rPr>
          <w:b/>
        </w:rPr>
        <w:t>SEGUNDO.</w:t>
      </w:r>
      <w:r w:rsidRPr="004F7A38">
        <w:t xml:space="preserve"> Se </w:t>
      </w:r>
      <w:r w:rsidRPr="004F7A38">
        <w:rPr>
          <w:b/>
        </w:rPr>
        <w:t xml:space="preserve">ORDENA </w:t>
      </w:r>
      <w:r w:rsidRPr="004F7A38">
        <w:t xml:space="preserve">al </w:t>
      </w:r>
      <w:r w:rsidRPr="004F7A38">
        <w:rPr>
          <w:b/>
        </w:rPr>
        <w:t>SUJETO OBLIGADO</w:t>
      </w:r>
      <w:r w:rsidRPr="004F7A38">
        <w:t xml:space="preserve">, a efecto de que entregue, a través del </w:t>
      </w:r>
      <w:r w:rsidRPr="004F7A38">
        <w:rPr>
          <w:b/>
        </w:rPr>
        <w:t>SAIMEX</w:t>
      </w:r>
      <w:r w:rsidRPr="004F7A38">
        <w:t xml:space="preserve">, de ser procedente en </w:t>
      </w:r>
      <w:r w:rsidRPr="004F7A38">
        <w:rPr>
          <w:b/>
          <w:i/>
        </w:rPr>
        <w:t>versión pública</w:t>
      </w:r>
      <w:r w:rsidRPr="004F7A38">
        <w:t>, de lo siguiente:</w:t>
      </w:r>
    </w:p>
    <w:p w14:paraId="1BAFA098" w14:textId="77777777" w:rsidR="00006DCB" w:rsidRPr="004F7A38" w:rsidRDefault="00006DCB" w:rsidP="00162BD6">
      <w:pPr>
        <w:ind w:right="-93"/>
      </w:pPr>
    </w:p>
    <w:p w14:paraId="3BB09659" w14:textId="77777777" w:rsidR="00006DCB" w:rsidRPr="004F7A38" w:rsidRDefault="0006513B" w:rsidP="00162BD6">
      <w:pPr>
        <w:pStyle w:val="Puesto"/>
        <w:spacing w:line="276" w:lineRule="auto"/>
        <w:ind w:firstLine="0"/>
        <w:rPr>
          <w:color w:val="auto"/>
        </w:rPr>
      </w:pPr>
      <w:bookmarkStart w:id="32" w:name="_heading=h.l2nnitpqepv3" w:colFirst="0" w:colLast="0"/>
      <w:bookmarkEnd w:id="32"/>
      <w:r w:rsidRPr="004F7A38">
        <w:rPr>
          <w:color w:val="auto"/>
        </w:rPr>
        <w:t xml:space="preserve">Los expedientes completos de los procedimientos de adquisición y contratación de servicios del 01 de enero al 13 de mayo de 2025; así como, los documentos donde consten los montos pagados y las facturas correspondientes. </w:t>
      </w:r>
    </w:p>
    <w:p w14:paraId="0084B7D7" w14:textId="77777777" w:rsidR="00006DCB" w:rsidRPr="004F7A38" w:rsidRDefault="00006DCB" w:rsidP="00162BD6">
      <w:pPr>
        <w:spacing w:line="276" w:lineRule="auto"/>
        <w:ind w:left="1440" w:right="-93"/>
      </w:pPr>
    </w:p>
    <w:p w14:paraId="7E8D6EF8" w14:textId="77777777" w:rsidR="00006DCB" w:rsidRPr="004F7A38" w:rsidRDefault="0006513B" w:rsidP="00162BD6">
      <w:r w:rsidRPr="004F7A38">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2E72552" w14:textId="77777777" w:rsidR="00006DCB" w:rsidRPr="004F7A38" w:rsidRDefault="00006DCB" w:rsidP="00162BD6">
      <w:pPr>
        <w:ind w:right="822"/>
        <w:rPr>
          <w:i/>
        </w:rPr>
      </w:pPr>
    </w:p>
    <w:p w14:paraId="488F7828" w14:textId="77777777" w:rsidR="00006DCB" w:rsidRPr="004F7A38" w:rsidRDefault="0006513B" w:rsidP="00162BD6">
      <w:bookmarkStart w:id="33" w:name="_heading=h.qffin7z8zpqs" w:colFirst="0" w:colLast="0"/>
      <w:bookmarkEnd w:id="33"/>
      <w:r w:rsidRPr="004F7A38">
        <w:rPr>
          <w:b/>
        </w:rPr>
        <w:t>TERCERO.</w:t>
      </w:r>
      <w:r w:rsidRPr="004F7A38">
        <w:t xml:space="preserve"> </w:t>
      </w:r>
      <w:r w:rsidRPr="004F7A38">
        <w:rPr>
          <w:b/>
        </w:rPr>
        <w:t xml:space="preserve">Notifíquese </w:t>
      </w:r>
      <w:r w:rsidRPr="004F7A38">
        <w:t>vía Sistema de Acceso a la Información Mexiquense (</w:t>
      </w:r>
      <w:r w:rsidRPr="004F7A38">
        <w:rPr>
          <w:b/>
        </w:rPr>
        <w:t>SAIMEX</w:t>
      </w:r>
      <w:r w:rsidRPr="004F7A38">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301674E" w14:textId="77777777" w:rsidR="00006DCB" w:rsidRPr="004F7A38" w:rsidRDefault="00006DCB" w:rsidP="00162BD6"/>
    <w:p w14:paraId="27E4EDD5" w14:textId="77777777" w:rsidR="00006DCB" w:rsidRPr="004F7A38" w:rsidRDefault="0006513B" w:rsidP="00162BD6">
      <w:r w:rsidRPr="004F7A38">
        <w:rPr>
          <w:b/>
        </w:rPr>
        <w:t>CUARTO.</w:t>
      </w:r>
      <w:r w:rsidRPr="004F7A38">
        <w:t xml:space="preserve"> Notifíquese a </w:t>
      </w:r>
      <w:r w:rsidRPr="004F7A38">
        <w:rPr>
          <w:b/>
        </w:rPr>
        <w:t>LA PARTE RECURRENTE</w:t>
      </w:r>
      <w:r w:rsidRPr="004F7A38">
        <w:t xml:space="preserve"> la presente resolución vía Sistema de Acceso a la Información Mexiquense (</w:t>
      </w:r>
      <w:r w:rsidRPr="004F7A38">
        <w:rPr>
          <w:b/>
        </w:rPr>
        <w:t>SAIMEX</w:t>
      </w:r>
      <w:r w:rsidRPr="004F7A38">
        <w:t>).</w:t>
      </w:r>
    </w:p>
    <w:p w14:paraId="1484DDB2" w14:textId="77777777" w:rsidR="00006DCB" w:rsidRPr="004F7A38" w:rsidRDefault="00006DCB" w:rsidP="00162BD6"/>
    <w:p w14:paraId="4839BCEC" w14:textId="77777777" w:rsidR="00006DCB" w:rsidRPr="004F7A38" w:rsidRDefault="0006513B" w:rsidP="00162BD6">
      <w:r w:rsidRPr="004F7A38">
        <w:rPr>
          <w:b/>
        </w:rPr>
        <w:lastRenderedPageBreak/>
        <w:t>QUINTO</w:t>
      </w:r>
      <w:r w:rsidRPr="004F7A38">
        <w:t xml:space="preserve">. Hágase del conocimiento a </w:t>
      </w:r>
      <w:r w:rsidRPr="004F7A38">
        <w:rPr>
          <w:b/>
        </w:rPr>
        <w:t>LA PARTE RECURRENTE</w:t>
      </w:r>
      <w:r w:rsidRPr="004F7A38">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6A11799B" w14:textId="77777777" w:rsidR="00006DCB" w:rsidRPr="004F7A38" w:rsidRDefault="00006DCB" w:rsidP="00162BD6"/>
    <w:p w14:paraId="3B732146" w14:textId="77777777" w:rsidR="00006DCB" w:rsidRPr="004F7A38" w:rsidRDefault="0006513B" w:rsidP="00162BD6">
      <w:r w:rsidRPr="004F7A38">
        <w:rPr>
          <w:b/>
        </w:rPr>
        <w:t>SEXTO.</w:t>
      </w:r>
      <w:r w:rsidRPr="004F7A38">
        <w:t xml:space="preserve"> De conformidad con el artículo 198 de la Ley de Transparencia y Acceso a la Información Pública del Estado de México y Municipios, el </w:t>
      </w:r>
      <w:r w:rsidRPr="004F7A38">
        <w:rPr>
          <w:b/>
        </w:rPr>
        <w:t>SUJETO OBLIGADO</w:t>
      </w:r>
      <w:r w:rsidRPr="004F7A38">
        <w:t xml:space="preserve"> podrá solicitar una ampliación de plazo de manera fundada y motivada, para el cumplimiento de la presente resolución.</w:t>
      </w:r>
    </w:p>
    <w:p w14:paraId="4AD05ED5" w14:textId="77777777" w:rsidR="00006DCB" w:rsidRPr="004F7A38" w:rsidRDefault="00006DCB" w:rsidP="00162BD6"/>
    <w:p w14:paraId="36D2FA81" w14:textId="1938573F" w:rsidR="00006DCB" w:rsidRPr="004F7A38" w:rsidRDefault="0006513B" w:rsidP="00162BD6">
      <w:pPr>
        <w:ind w:right="-93"/>
      </w:pPr>
      <w:r w:rsidRPr="004F7A38">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CELEBRADA EL DIEZ DE SEPTIEMBRE DE DOS MIL VEINTICINCO</w:t>
      </w:r>
      <w:r w:rsidR="00FD5DE5" w:rsidRPr="004F7A38">
        <w:t>,</w:t>
      </w:r>
      <w:r w:rsidRPr="004F7A38">
        <w:t xml:space="preserve"> ANTE EL SECRETARIO TÉCNICO DEL PLENO, ALEXIS TAPIA RAMÍREZ.</w:t>
      </w:r>
      <w:r w:rsidR="004F7A38" w:rsidRPr="004F7A38">
        <w:t>-----------------------------------</w:t>
      </w:r>
    </w:p>
    <w:p w14:paraId="56E0FAA2" w14:textId="77777777" w:rsidR="00006DCB" w:rsidRPr="00162BD6" w:rsidRDefault="0006513B" w:rsidP="00162BD6">
      <w:pPr>
        <w:ind w:right="-93"/>
      </w:pPr>
      <w:bookmarkStart w:id="34" w:name="_heading=h.qxgq53ks1kt3" w:colFirst="0" w:colLast="0"/>
      <w:bookmarkEnd w:id="34"/>
      <w:r w:rsidRPr="004F7A38">
        <w:t>SCMM/AGZ/DEMF/PAG</w:t>
      </w:r>
    </w:p>
    <w:p w14:paraId="0FFBF58B" w14:textId="77777777" w:rsidR="00006DCB" w:rsidRPr="00162BD6" w:rsidRDefault="00006DCB" w:rsidP="00162BD6">
      <w:pPr>
        <w:ind w:right="-93"/>
      </w:pPr>
      <w:bookmarkStart w:id="35" w:name="_GoBack"/>
      <w:bookmarkEnd w:id="35"/>
    </w:p>
    <w:p w14:paraId="50077D0F" w14:textId="77777777" w:rsidR="00006DCB" w:rsidRPr="00162BD6" w:rsidRDefault="00006DCB" w:rsidP="00162BD6">
      <w:pPr>
        <w:ind w:right="-93"/>
      </w:pPr>
    </w:p>
    <w:p w14:paraId="4A557EB1" w14:textId="77777777" w:rsidR="00006DCB" w:rsidRPr="00162BD6" w:rsidRDefault="00006DCB" w:rsidP="00162BD6">
      <w:pPr>
        <w:ind w:right="-93"/>
      </w:pPr>
    </w:p>
    <w:p w14:paraId="4CEA28C3" w14:textId="77777777" w:rsidR="00006DCB" w:rsidRPr="00162BD6" w:rsidRDefault="00006DCB" w:rsidP="00162BD6">
      <w:pPr>
        <w:ind w:right="-93"/>
      </w:pPr>
    </w:p>
    <w:p w14:paraId="4E2AA039" w14:textId="77777777" w:rsidR="00006DCB" w:rsidRPr="00162BD6" w:rsidRDefault="00006DCB" w:rsidP="00162BD6">
      <w:pPr>
        <w:ind w:right="-93"/>
      </w:pPr>
    </w:p>
    <w:p w14:paraId="54518D50" w14:textId="77777777" w:rsidR="00006DCB" w:rsidRPr="00162BD6" w:rsidRDefault="00006DCB" w:rsidP="00162BD6">
      <w:pPr>
        <w:ind w:right="-93"/>
      </w:pPr>
    </w:p>
    <w:p w14:paraId="57A71166" w14:textId="77777777" w:rsidR="00006DCB" w:rsidRPr="00162BD6" w:rsidRDefault="00006DCB" w:rsidP="00162BD6">
      <w:pPr>
        <w:ind w:right="-93"/>
      </w:pPr>
    </w:p>
    <w:p w14:paraId="3F536001" w14:textId="77777777" w:rsidR="00006DCB" w:rsidRPr="00162BD6" w:rsidRDefault="00006DCB" w:rsidP="00162BD6">
      <w:pPr>
        <w:ind w:right="-93"/>
      </w:pPr>
    </w:p>
    <w:p w14:paraId="7C96DA0E" w14:textId="77777777" w:rsidR="00006DCB" w:rsidRPr="00162BD6" w:rsidRDefault="00006DCB" w:rsidP="00162BD6">
      <w:pPr>
        <w:tabs>
          <w:tab w:val="center" w:pos="4568"/>
        </w:tabs>
        <w:ind w:right="-93"/>
      </w:pPr>
    </w:p>
    <w:p w14:paraId="4238472B" w14:textId="77777777" w:rsidR="00006DCB" w:rsidRPr="00162BD6" w:rsidRDefault="00006DCB" w:rsidP="00162BD6">
      <w:pPr>
        <w:tabs>
          <w:tab w:val="center" w:pos="4568"/>
        </w:tabs>
        <w:ind w:right="-93"/>
      </w:pPr>
    </w:p>
    <w:p w14:paraId="040F0EAC" w14:textId="77777777" w:rsidR="00006DCB" w:rsidRPr="00162BD6" w:rsidRDefault="00006DCB" w:rsidP="00162BD6">
      <w:pPr>
        <w:tabs>
          <w:tab w:val="center" w:pos="4568"/>
        </w:tabs>
        <w:ind w:right="-93"/>
      </w:pPr>
    </w:p>
    <w:p w14:paraId="50B28BFD" w14:textId="77777777" w:rsidR="00006DCB" w:rsidRPr="00162BD6" w:rsidRDefault="00006DCB" w:rsidP="00162BD6">
      <w:pPr>
        <w:tabs>
          <w:tab w:val="center" w:pos="4568"/>
        </w:tabs>
        <w:ind w:right="-93"/>
      </w:pPr>
    </w:p>
    <w:p w14:paraId="6CB148E4" w14:textId="77777777" w:rsidR="00006DCB" w:rsidRPr="00162BD6" w:rsidRDefault="00006DCB" w:rsidP="00162BD6">
      <w:pPr>
        <w:tabs>
          <w:tab w:val="center" w:pos="4568"/>
        </w:tabs>
        <w:ind w:right="-93"/>
      </w:pPr>
    </w:p>
    <w:p w14:paraId="684646D1" w14:textId="77777777" w:rsidR="00006DCB" w:rsidRPr="00162BD6" w:rsidRDefault="00006DCB" w:rsidP="00162BD6">
      <w:pPr>
        <w:tabs>
          <w:tab w:val="center" w:pos="4568"/>
        </w:tabs>
        <w:ind w:right="-93"/>
      </w:pPr>
    </w:p>
    <w:p w14:paraId="6B17A0A8" w14:textId="77777777" w:rsidR="00006DCB" w:rsidRPr="00162BD6" w:rsidRDefault="00006DCB" w:rsidP="00162BD6">
      <w:pPr>
        <w:tabs>
          <w:tab w:val="center" w:pos="4568"/>
        </w:tabs>
        <w:ind w:right="-93"/>
      </w:pPr>
    </w:p>
    <w:p w14:paraId="047B39FB" w14:textId="77777777" w:rsidR="00006DCB" w:rsidRPr="00162BD6" w:rsidRDefault="00006DCB" w:rsidP="00162BD6">
      <w:pPr>
        <w:tabs>
          <w:tab w:val="center" w:pos="4568"/>
        </w:tabs>
        <w:ind w:right="-93"/>
      </w:pPr>
    </w:p>
    <w:p w14:paraId="066C09DC" w14:textId="77777777" w:rsidR="00006DCB" w:rsidRPr="00162BD6" w:rsidRDefault="00006DCB" w:rsidP="00162BD6">
      <w:pPr>
        <w:tabs>
          <w:tab w:val="center" w:pos="4568"/>
        </w:tabs>
        <w:ind w:right="-93"/>
      </w:pPr>
    </w:p>
    <w:p w14:paraId="79C2EED2" w14:textId="77777777" w:rsidR="00006DCB" w:rsidRPr="00162BD6" w:rsidRDefault="00006DCB" w:rsidP="00162BD6">
      <w:pPr>
        <w:tabs>
          <w:tab w:val="center" w:pos="4568"/>
        </w:tabs>
        <w:ind w:right="-93"/>
      </w:pPr>
    </w:p>
    <w:p w14:paraId="4650ED71" w14:textId="77777777" w:rsidR="00006DCB" w:rsidRPr="00162BD6" w:rsidRDefault="00006DCB" w:rsidP="00162BD6">
      <w:pPr>
        <w:tabs>
          <w:tab w:val="center" w:pos="4568"/>
        </w:tabs>
        <w:ind w:right="-93"/>
      </w:pPr>
    </w:p>
    <w:p w14:paraId="29B1EB55" w14:textId="77777777" w:rsidR="00006DCB" w:rsidRPr="00162BD6" w:rsidRDefault="00006DCB" w:rsidP="00162BD6">
      <w:pPr>
        <w:tabs>
          <w:tab w:val="center" w:pos="4568"/>
        </w:tabs>
        <w:ind w:right="-93"/>
      </w:pPr>
    </w:p>
    <w:p w14:paraId="299DE935" w14:textId="77777777" w:rsidR="00006DCB" w:rsidRPr="00162BD6" w:rsidRDefault="00006DCB" w:rsidP="00162BD6">
      <w:pPr>
        <w:tabs>
          <w:tab w:val="center" w:pos="4568"/>
        </w:tabs>
        <w:ind w:right="-93"/>
      </w:pPr>
    </w:p>
    <w:p w14:paraId="2A085B1D" w14:textId="77777777" w:rsidR="00006DCB" w:rsidRPr="00162BD6" w:rsidRDefault="00006DCB" w:rsidP="00162BD6"/>
    <w:sectPr w:rsidR="00006DCB" w:rsidRPr="00162BD6">
      <w:footerReference w:type="default" r:id="rId14"/>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55C81" w14:textId="77777777" w:rsidR="008A1DFC" w:rsidRDefault="008A1DFC">
      <w:pPr>
        <w:spacing w:line="240" w:lineRule="auto"/>
      </w:pPr>
      <w:r>
        <w:separator/>
      </w:r>
    </w:p>
  </w:endnote>
  <w:endnote w:type="continuationSeparator" w:id="0">
    <w:p w14:paraId="2873BD1F" w14:textId="77777777" w:rsidR="008A1DFC" w:rsidRDefault="008A1D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1DAF8" w14:textId="77777777" w:rsidR="00006DCB" w:rsidRDefault="00006DCB">
    <w:pPr>
      <w:tabs>
        <w:tab w:val="center" w:pos="4550"/>
        <w:tab w:val="left" w:pos="5818"/>
      </w:tabs>
      <w:ind w:right="260"/>
      <w:jc w:val="right"/>
      <w:rPr>
        <w:color w:val="071320"/>
        <w:sz w:val="24"/>
        <w:szCs w:val="24"/>
      </w:rPr>
    </w:pPr>
  </w:p>
  <w:p w14:paraId="606A2359" w14:textId="77777777" w:rsidR="00006DCB" w:rsidRDefault="00006DCB">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552F5" w14:textId="77777777" w:rsidR="00006DCB" w:rsidRDefault="0006513B">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4F7A38">
      <w:rPr>
        <w:noProof/>
        <w:color w:val="0A1D30"/>
        <w:sz w:val="24"/>
        <w:szCs w:val="24"/>
      </w:rPr>
      <w:t>55</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4F7A38">
      <w:rPr>
        <w:noProof/>
        <w:color w:val="0A1D30"/>
        <w:sz w:val="24"/>
        <w:szCs w:val="24"/>
      </w:rPr>
      <w:t>59</w:t>
    </w:r>
    <w:r>
      <w:rPr>
        <w:color w:val="0A1D30"/>
        <w:sz w:val="24"/>
        <w:szCs w:val="24"/>
      </w:rPr>
      <w:fldChar w:fldCharType="end"/>
    </w:r>
  </w:p>
  <w:p w14:paraId="5A7C3C32" w14:textId="77777777" w:rsidR="00006DCB" w:rsidRDefault="00006DCB">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69EF0" w14:textId="77777777" w:rsidR="008A1DFC" w:rsidRDefault="008A1DFC">
      <w:pPr>
        <w:spacing w:line="240" w:lineRule="auto"/>
      </w:pPr>
      <w:r>
        <w:separator/>
      </w:r>
    </w:p>
  </w:footnote>
  <w:footnote w:type="continuationSeparator" w:id="0">
    <w:p w14:paraId="6008B2C3" w14:textId="77777777" w:rsidR="008A1DFC" w:rsidRDefault="008A1DFC">
      <w:pPr>
        <w:spacing w:line="240" w:lineRule="auto"/>
      </w:pPr>
      <w:r>
        <w:continuationSeparator/>
      </w:r>
    </w:p>
  </w:footnote>
  <w:footnote w:id="1">
    <w:p w14:paraId="3B931453" w14:textId="77777777" w:rsidR="00006DCB" w:rsidRDefault="0006513B">
      <w:pPr>
        <w:pBdr>
          <w:top w:val="nil"/>
          <w:left w:val="nil"/>
          <w:bottom w:val="nil"/>
          <w:right w:val="nil"/>
          <w:between w:val="nil"/>
        </w:pBdr>
        <w:spacing w:line="240" w:lineRule="auto"/>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03 MO-TM.pdf</w:t>
        </w:r>
      </w:hyperlink>
    </w:p>
  </w:footnote>
  <w:footnote w:id="2">
    <w:p w14:paraId="147F969C" w14:textId="77777777" w:rsidR="00006DCB" w:rsidRDefault="0006513B">
      <w:pPr>
        <w:pBdr>
          <w:top w:val="nil"/>
          <w:left w:val="nil"/>
          <w:bottom w:val="nil"/>
          <w:right w:val="nil"/>
          <w:between w:val="nil"/>
        </w:pBdr>
        <w:spacing w:line="240" w:lineRule="auto"/>
        <w:rPr>
          <w:i/>
          <w:color w:val="000000"/>
          <w:sz w:val="18"/>
          <w:szCs w:val="18"/>
        </w:rPr>
      </w:pPr>
      <w:r>
        <w:rPr>
          <w:vertAlign w:val="superscript"/>
        </w:rPr>
        <w:footnoteRef/>
      </w:r>
      <w:r>
        <w:rPr>
          <w:color w:val="000000"/>
          <w:sz w:val="20"/>
          <w:szCs w:val="20"/>
        </w:rPr>
        <w:t xml:space="preserve"> </w:t>
      </w:r>
      <w:hyperlink r:id="rId2">
        <w:r>
          <w:rPr>
            <w:i/>
            <w:color w:val="0000FF"/>
            <w:sz w:val="18"/>
            <w:szCs w:val="18"/>
            <w:u w:val="single"/>
          </w:rPr>
          <w:t>https://opendatacharter.net/principles-es/</w:t>
        </w:r>
      </w:hyperlink>
    </w:p>
  </w:footnote>
  <w:footnote w:id="3">
    <w:p w14:paraId="7DC1AC12" w14:textId="77777777" w:rsidR="00006DCB" w:rsidRDefault="0006513B">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Políticas Públicas y Cambio Climático. Angélica Rosas Huerta. Profesora- investigadora. Departamento Política y Cultura. División de Ciencias Sociales y Humanidades. </w:t>
      </w:r>
    </w:p>
  </w:footnote>
  <w:footnote w:id="4">
    <w:p w14:paraId="09F320BC" w14:textId="77777777" w:rsidR="00006DCB" w:rsidRDefault="0006513B">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Consultable en: </w:t>
      </w:r>
    </w:p>
    <w:p w14:paraId="4F3B78E1" w14:textId="77777777" w:rsidR="00006DCB" w:rsidRDefault="008A1DFC">
      <w:pPr>
        <w:pBdr>
          <w:top w:val="nil"/>
          <w:left w:val="nil"/>
          <w:bottom w:val="nil"/>
          <w:right w:val="nil"/>
          <w:between w:val="nil"/>
        </w:pBdr>
        <w:rPr>
          <w:color w:val="000000"/>
          <w:sz w:val="16"/>
          <w:szCs w:val="16"/>
        </w:rPr>
      </w:pPr>
      <w:hyperlink r:id="rId3">
        <w:r w:rsidR="0006513B">
          <w:rPr>
            <w:color w:val="0000FF"/>
            <w:sz w:val="16"/>
            <w:szCs w:val="16"/>
            <w:u w:val="single"/>
          </w:rPr>
          <w:t>https://www.indetec.gob.mx/delivery?srv=0&amp;sl=3&amp;path=/biblioteca/Especiales/386_Glosario_Terminos_Proceso_Planeacion.pdf</w:t>
        </w:r>
      </w:hyperlink>
      <w:r w:rsidR="0006513B">
        <w:rPr>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9FA535" w14:textId="77777777" w:rsidR="00006DCB" w:rsidRDefault="00006DCB">
    <w:pPr>
      <w:widowControl w:val="0"/>
      <w:pBdr>
        <w:top w:val="nil"/>
        <w:left w:val="nil"/>
        <w:bottom w:val="nil"/>
        <w:right w:val="nil"/>
        <w:between w:val="nil"/>
      </w:pBdr>
      <w:spacing w:line="276" w:lineRule="auto"/>
      <w:jc w:val="left"/>
      <w:rPr>
        <w:color w:val="000000"/>
        <w:sz w:val="20"/>
        <w:szCs w:val="20"/>
      </w:rPr>
    </w:pPr>
  </w:p>
  <w:tbl>
    <w:tblPr>
      <w:tblStyle w:val="a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006DCB" w14:paraId="5AF701DE" w14:textId="77777777">
      <w:trPr>
        <w:trHeight w:val="144"/>
        <w:jc w:val="right"/>
      </w:trPr>
      <w:tc>
        <w:tcPr>
          <w:tcW w:w="2727" w:type="dxa"/>
        </w:tcPr>
        <w:p w14:paraId="6B91B861" w14:textId="77777777" w:rsidR="00006DCB" w:rsidRDefault="0006513B">
          <w:pPr>
            <w:tabs>
              <w:tab w:val="right" w:pos="8838"/>
            </w:tabs>
            <w:ind w:left="-74" w:right="-105"/>
            <w:rPr>
              <w:b/>
            </w:rPr>
          </w:pPr>
          <w:r>
            <w:rPr>
              <w:b/>
            </w:rPr>
            <w:t>Recurso de Revisión:</w:t>
          </w:r>
        </w:p>
      </w:tc>
      <w:tc>
        <w:tcPr>
          <w:tcW w:w="3402" w:type="dxa"/>
        </w:tcPr>
        <w:p w14:paraId="505B55CA" w14:textId="77777777" w:rsidR="00006DCB" w:rsidRDefault="0006513B">
          <w:pPr>
            <w:tabs>
              <w:tab w:val="right" w:pos="8838"/>
            </w:tabs>
            <w:ind w:left="-74" w:right="-105"/>
          </w:pPr>
          <w:r>
            <w:t>08822/INFOEM/IP/RR/2025</w:t>
          </w:r>
        </w:p>
      </w:tc>
    </w:tr>
    <w:tr w:rsidR="00006DCB" w14:paraId="38B6A92D" w14:textId="77777777">
      <w:trPr>
        <w:trHeight w:val="283"/>
        <w:jc w:val="right"/>
      </w:trPr>
      <w:tc>
        <w:tcPr>
          <w:tcW w:w="2727" w:type="dxa"/>
        </w:tcPr>
        <w:p w14:paraId="510F9988" w14:textId="77777777" w:rsidR="00006DCB" w:rsidRDefault="0006513B">
          <w:pPr>
            <w:tabs>
              <w:tab w:val="right" w:pos="8838"/>
            </w:tabs>
            <w:ind w:left="-74" w:right="-105"/>
            <w:rPr>
              <w:b/>
            </w:rPr>
          </w:pPr>
          <w:r>
            <w:rPr>
              <w:b/>
            </w:rPr>
            <w:t>Sujeto Obligado:</w:t>
          </w:r>
        </w:p>
      </w:tc>
      <w:tc>
        <w:tcPr>
          <w:tcW w:w="3402" w:type="dxa"/>
        </w:tcPr>
        <w:p w14:paraId="5E81E839" w14:textId="77777777" w:rsidR="00006DCB" w:rsidRDefault="0006513B">
          <w:pPr>
            <w:tabs>
              <w:tab w:val="left" w:pos="2834"/>
              <w:tab w:val="right" w:pos="8838"/>
            </w:tabs>
            <w:ind w:left="-108" w:right="-105"/>
          </w:pPr>
          <w:r>
            <w:t>Ayuntamiento de Toluca</w:t>
          </w:r>
        </w:p>
      </w:tc>
    </w:tr>
    <w:tr w:rsidR="00006DCB" w14:paraId="5B85E135" w14:textId="77777777">
      <w:trPr>
        <w:trHeight w:val="283"/>
        <w:jc w:val="right"/>
      </w:trPr>
      <w:tc>
        <w:tcPr>
          <w:tcW w:w="2727" w:type="dxa"/>
        </w:tcPr>
        <w:p w14:paraId="5284EE5A" w14:textId="77777777" w:rsidR="00006DCB" w:rsidRDefault="0006513B">
          <w:pPr>
            <w:tabs>
              <w:tab w:val="right" w:pos="8838"/>
            </w:tabs>
            <w:ind w:left="-74" w:right="-105"/>
            <w:rPr>
              <w:b/>
            </w:rPr>
          </w:pPr>
          <w:r>
            <w:rPr>
              <w:b/>
            </w:rPr>
            <w:t>Comisionada Ponente:</w:t>
          </w:r>
        </w:p>
      </w:tc>
      <w:tc>
        <w:tcPr>
          <w:tcW w:w="3402" w:type="dxa"/>
        </w:tcPr>
        <w:p w14:paraId="50B8C5B7" w14:textId="77777777" w:rsidR="00006DCB" w:rsidRDefault="0006513B">
          <w:pPr>
            <w:tabs>
              <w:tab w:val="right" w:pos="8838"/>
            </w:tabs>
            <w:ind w:left="-108" w:right="-105"/>
          </w:pPr>
          <w:r>
            <w:t>Sharon Cristina Morales Martínez</w:t>
          </w:r>
        </w:p>
      </w:tc>
    </w:tr>
  </w:tbl>
  <w:p w14:paraId="3A1DA564" w14:textId="77777777" w:rsidR="00006DCB" w:rsidRDefault="0006513B">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7CAF9EE2" wp14:editId="786F4B1F">
          <wp:simplePos x="0" y="0"/>
          <wp:positionH relativeFrom="margin">
            <wp:posOffset>-995039</wp:posOffset>
          </wp:positionH>
          <wp:positionV relativeFrom="margin">
            <wp:posOffset>-1782440</wp:posOffset>
          </wp:positionV>
          <wp:extent cx="8426450" cy="10972800"/>
          <wp:effectExtent l="0" t="0" r="0" b="0"/>
          <wp:wrapNone/>
          <wp:docPr id="77020157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24C3A5" w14:textId="77777777" w:rsidR="00006DCB" w:rsidRDefault="00006DCB">
    <w:pPr>
      <w:widowControl w:val="0"/>
      <w:pBdr>
        <w:top w:val="nil"/>
        <w:left w:val="nil"/>
        <w:bottom w:val="nil"/>
        <w:right w:val="nil"/>
        <w:between w:val="nil"/>
      </w:pBdr>
      <w:spacing w:line="276" w:lineRule="auto"/>
      <w:jc w:val="left"/>
      <w:rPr>
        <w:color w:val="000000"/>
        <w:sz w:val="14"/>
        <w:szCs w:val="14"/>
      </w:rPr>
    </w:pPr>
  </w:p>
  <w:tbl>
    <w:tblPr>
      <w:tblStyle w:val="ab"/>
      <w:tblW w:w="6660" w:type="dxa"/>
      <w:tblInd w:w="2552" w:type="dxa"/>
      <w:tblLayout w:type="fixed"/>
      <w:tblLook w:val="0400" w:firstRow="0" w:lastRow="0" w:firstColumn="0" w:lastColumn="0" w:noHBand="0" w:noVBand="1"/>
    </w:tblPr>
    <w:tblGrid>
      <w:gridCol w:w="283"/>
      <w:gridCol w:w="6377"/>
    </w:tblGrid>
    <w:tr w:rsidR="00006DCB" w14:paraId="1BA4FC6D" w14:textId="77777777">
      <w:trPr>
        <w:trHeight w:val="1435"/>
      </w:trPr>
      <w:tc>
        <w:tcPr>
          <w:tcW w:w="283" w:type="dxa"/>
        </w:tcPr>
        <w:p w14:paraId="28724EFC" w14:textId="77777777" w:rsidR="00006DCB" w:rsidRDefault="00006DCB">
          <w:pPr>
            <w:tabs>
              <w:tab w:val="right" w:pos="4273"/>
            </w:tabs>
            <w:rPr>
              <w:rFonts w:ascii="Garamond" w:eastAsia="Garamond" w:hAnsi="Garamond" w:cs="Garamond"/>
            </w:rPr>
          </w:pPr>
        </w:p>
      </w:tc>
      <w:tc>
        <w:tcPr>
          <w:tcW w:w="6377" w:type="dxa"/>
        </w:tcPr>
        <w:p w14:paraId="444CDC4F" w14:textId="77777777" w:rsidR="00006DCB" w:rsidRDefault="00006DCB">
          <w:pPr>
            <w:widowControl w:val="0"/>
            <w:pBdr>
              <w:top w:val="nil"/>
              <w:left w:val="nil"/>
              <w:bottom w:val="nil"/>
              <w:right w:val="nil"/>
              <w:between w:val="nil"/>
            </w:pBdr>
            <w:spacing w:line="276" w:lineRule="auto"/>
            <w:jc w:val="left"/>
            <w:rPr>
              <w:rFonts w:ascii="Garamond" w:eastAsia="Garamond" w:hAnsi="Garamond" w:cs="Garamond"/>
            </w:rPr>
          </w:pPr>
        </w:p>
        <w:tbl>
          <w:tblPr>
            <w:tblStyle w:val="ac"/>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006DCB" w14:paraId="4570B9DF" w14:textId="77777777">
            <w:trPr>
              <w:trHeight w:val="144"/>
            </w:trPr>
            <w:tc>
              <w:tcPr>
                <w:tcW w:w="2581" w:type="dxa"/>
              </w:tcPr>
              <w:p w14:paraId="53AC9678" w14:textId="77777777" w:rsidR="00006DCB" w:rsidRDefault="0006513B">
                <w:pPr>
                  <w:tabs>
                    <w:tab w:val="right" w:pos="8838"/>
                  </w:tabs>
                  <w:ind w:left="-74" w:right="-108"/>
                  <w:rPr>
                    <w:b/>
                  </w:rPr>
                </w:pPr>
                <w:bookmarkStart w:id="0" w:name="_heading=h.d9zvx1ipjpdw" w:colFirst="0" w:colLast="0"/>
                <w:bookmarkEnd w:id="0"/>
                <w:r>
                  <w:rPr>
                    <w:b/>
                  </w:rPr>
                  <w:t>Recurso de Revisión:</w:t>
                </w:r>
              </w:p>
            </w:tc>
            <w:tc>
              <w:tcPr>
                <w:tcW w:w="3548" w:type="dxa"/>
              </w:tcPr>
              <w:p w14:paraId="1F155648" w14:textId="77777777" w:rsidR="00006DCB" w:rsidRDefault="0006513B">
                <w:pPr>
                  <w:tabs>
                    <w:tab w:val="left" w:pos="3122"/>
                    <w:tab w:val="right" w:pos="8838"/>
                  </w:tabs>
                  <w:ind w:left="-105" w:right="-108"/>
                </w:pPr>
                <w:r>
                  <w:t>08822/INFOEM/IP/RR/2025</w:t>
                </w:r>
              </w:p>
            </w:tc>
            <w:tc>
              <w:tcPr>
                <w:tcW w:w="3402" w:type="dxa"/>
              </w:tcPr>
              <w:p w14:paraId="109BD616" w14:textId="77777777" w:rsidR="00006DCB" w:rsidRDefault="00006DCB">
                <w:pPr>
                  <w:tabs>
                    <w:tab w:val="right" w:pos="8838"/>
                  </w:tabs>
                  <w:ind w:left="-74" w:right="-108"/>
                </w:pPr>
              </w:p>
            </w:tc>
          </w:tr>
          <w:tr w:rsidR="00006DCB" w14:paraId="1A71E3F5" w14:textId="77777777">
            <w:trPr>
              <w:trHeight w:val="144"/>
            </w:trPr>
            <w:tc>
              <w:tcPr>
                <w:tcW w:w="2581" w:type="dxa"/>
              </w:tcPr>
              <w:p w14:paraId="10977C7A" w14:textId="77777777" w:rsidR="00006DCB" w:rsidRDefault="0006513B">
                <w:pPr>
                  <w:tabs>
                    <w:tab w:val="right" w:pos="8838"/>
                  </w:tabs>
                  <w:ind w:left="-74" w:right="-108"/>
                  <w:rPr>
                    <w:b/>
                  </w:rPr>
                </w:pPr>
                <w:bookmarkStart w:id="1" w:name="_heading=h.c9y95bv301qu" w:colFirst="0" w:colLast="0"/>
                <w:bookmarkEnd w:id="1"/>
                <w:r>
                  <w:rPr>
                    <w:b/>
                  </w:rPr>
                  <w:t>Recurrente:</w:t>
                </w:r>
              </w:p>
            </w:tc>
            <w:tc>
              <w:tcPr>
                <w:tcW w:w="3548" w:type="dxa"/>
              </w:tcPr>
              <w:p w14:paraId="1E8F0D58" w14:textId="77777777" w:rsidR="00006DCB" w:rsidRDefault="00006DCB">
                <w:pPr>
                  <w:tabs>
                    <w:tab w:val="left" w:pos="3122"/>
                    <w:tab w:val="right" w:pos="8838"/>
                  </w:tabs>
                  <w:ind w:left="-105" w:right="-108"/>
                </w:pPr>
              </w:p>
            </w:tc>
            <w:tc>
              <w:tcPr>
                <w:tcW w:w="3402" w:type="dxa"/>
              </w:tcPr>
              <w:p w14:paraId="70FFA535" w14:textId="77777777" w:rsidR="00006DCB" w:rsidRDefault="00006DCB">
                <w:pPr>
                  <w:tabs>
                    <w:tab w:val="left" w:pos="3122"/>
                    <w:tab w:val="right" w:pos="8838"/>
                  </w:tabs>
                  <w:ind w:left="-105" w:right="-108"/>
                </w:pPr>
              </w:p>
            </w:tc>
          </w:tr>
          <w:tr w:rsidR="00006DCB" w14:paraId="126866CE" w14:textId="77777777">
            <w:trPr>
              <w:trHeight w:val="283"/>
            </w:trPr>
            <w:tc>
              <w:tcPr>
                <w:tcW w:w="2581" w:type="dxa"/>
              </w:tcPr>
              <w:p w14:paraId="1E42F1AB" w14:textId="77777777" w:rsidR="00006DCB" w:rsidRDefault="0006513B">
                <w:pPr>
                  <w:tabs>
                    <w:tab w:val="right" w:pos="8838"/>
                  </w:tabs>
                  <w:ind w:left="-74" w:right="-108"/>
                  <w:rPr>
                    <w:b/>
                  </w:rPr>
                </w:pPr>
                <w:r>
                  <w:rPr>
                    <w:b/>
                  </w:rPr>
                  <w:t>Sujeto Obligado:</w:t>
                </w:r>
              </w:p>
            </w:tc>
            <w:tc>
              <w:tcPr>
                <w:tcW w:w="3548" w:type="dxa"/>
              </w:tcPr>
              <w:p w14:paraId="093DE16D" w14:textId="77777777" w:rsidR="00006DCB" w:rsidRDefault="0006513B">
                <w:pPr>
                  <w:tabs>
                    <w:tab w:val="left" w:pos="2834"/>
                    <w:tab w:val="right" w:pos="8838"/>
                  </w:tabs>
                  <w:ind w:left="-108" w:right="-108"/>
                </w:pPr>
                <w:r>
                  <w:t>Ayuntamiento de Toluca</w:t>
                </w:r>
              </w:p>
            </w:tc>
            <w:tc>
              <w:tcPr>
                <w:tcW w:w="3402" w:type="dxa"/>
              </w:tcPr>
              <w:p w14:paraId="25FDBDD5" w14:textId="77777777" w:rsidR="00006DCB" w:rsidRDefault="00006DCB">
                <w:pPr>
                  <w:tabs>
                    <w:tab w:val="left" w:pos="2834"/>
                    <w:tab w:val="right" w:pos="8838"/>
                  </w:tabs>
                  <w:ind w:left="-108" w:right="-108"/>
                </w:pPr>
              </w:p>
            </w:tc>
          </w:tr>
          <w:tr w:rsidR="00006DCB" w14:paraId="3EBB88E3" w14:textId="77777777">
            <w:trPr>
              <w:trHeight w:val="283"/>
            </w:trPr>
            <w:tc>
              <w:tcPr>
                <w:tcW w:w="2581" w:type="dxa"/>
              </w:tcPr>
              <w:p w14:paraId="4A3C98D2" w14:textId="77777777" w:rsidR="00006DCB" w:rsidRDefault="0006513B">
                <w:pPr>
                  <w:tabs>
                    <w:tab w:val="right" w:pos="8838"/>
                  </w:tabs>
                  <w:ind w:left="-74" w:right="-108"/>
                  <w:rPr>
                    <w:b/>
                  </w:rPr>
                </w:pPr>
                <w:r>
                  <w:rPr>
                    <w:b/>
                  </w:rPr>
                  <w:t>Comisionada Ponente:</w:t>
                </w:r>
              </w:p>
            </w:tc>
            <w:tc>
              <w:tcPr>
                <w:tcW w:w="3548" w:type="dxa"/>
              </w:tcPr>
              <w:p w14:paraId="11BF7BAC" w14:textId="77777777" w:rsidR="00006DCB" w:rsidRDefault="0006513B">
                <w:pPr>
                  <w:tabs>
                    <w:tab w:val="right" w:pos="8838"/>
                  </w:tabs>
                  <w:ind w:left="-108" w:right="-108"/>
                </w:pPr>
                <w:r>
                  <w:t>Sharon Cristina Morales Martínez</w:t>
                </w:r>
              </w:p>
            </w:tc>
            <w:tc>
              <w:tcPr>
                <w:tcW w:w="3402" w:type="dxa"/>
              </w:tcPr>
              <w:p w14:paraId="79F81E9E" w14:textId="77777777" w:rsidR="00006DCB" w:rsidRDefault="00006DCB">
                <w:pPr>
                  <w:tabs>
                    <w:tab w:val="right" w:pos="8838"/>
                  </w:tabs>
                  <w:ind w:left="-108" w:right="-108"/>
                </w:pPr>
              </w:p>
            </w:tc>
          </w:tr>
        </w:tbl>
        <w:p w14:paraId="3B7F3F1D" w14:textId="77777777" w:rsidR="00006DCB" w:rsidRDefault="00006DCB">
          <w:pPr>
            <w:tabs>
              <w:tab w:val="right" w:pos="8838"/>
            </w:tabs>
            <w:ind w:left="-28"/>
            <w:rPr>
              <w:rFonts w:ascii="Arial" w:eastAsia="Arial" w:hAnsi="Arial" w:cs="Arial"/>
              <w:b/>
            </w:rPr>
          </w:pPr>
        </w:p>
      </w:tc>
    </w:tr>
  </w:tbl>
  <w:p w14:paraId="2374A09D" w14:textId="77777777" w:rsidR="00006DCB" w:rsidRDefault="008A1DFC">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60A1D5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4"/>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50323"/>
    <w:multiLevelType w:val="multilevel"/>
    <w:tmpl w:val="05EECE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8085B17"/>
    <w:multiLevelType w:val="multilevel"/>
    <w:tmpl w:val="A372E484"/>
    <w:lvl w:ilvl="0">
      <w:start w:val="1"/>
      <w:numFmt w:val="decimal"/>
      <w:pStyle w:val="Listaconvieta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575A6418"/>
    <w:multiLevelType w:val="multilevel"/>
    <w:tmpl w:val="905A73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671B3362"/>
    <w:multiLevelType w:val="multilevel"/>
    <w:tmpl w:val="0C4C265C"/>
    <w:lvl w:ilvl="0">
      <w:start w:val="3"/>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0"/>
  </w:num>
  <w:num w:numId="3">
    <w:abstractNumId w:val="3"/>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6DCB"/>
    <w:rsid w:val="00006DCB"/>
    <w:rsid w:val="0006513B"/>
    <w:rsid w:val="00162BD6"/>
    <w:rsid w:val="004F7A38"/>
    <w:rsid w:val="00626367"/>
    <w:rsid w:val="008A1DFC"/>
    <w:rsid w:val="00EF7216"/>
    <w:rsid w:val="00FD5D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6EE97D0"/>
  <w15:docId w15:val="{CA8F8888-B945-4097-AA7D-485C91C85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Puesto">
    <w:name w:val="Title"/>
    <w:basedOn w:val="Normal"/>
    <w:next w:val="Normal"/>
    <w:pPr>
      <w:pBdr>
        <w:top w:val="nil"/>
        <w:left w:val="nil"/>
        <w:bottom w:val="nil"/>
        <w:right w:val="nil"/>
        <w:between w:val="nil"/>
      </w:pBdr>
      <w:spacing w:line="240" w:lineRule="auto"/>
      <w:ind w:left="567" w:right="567" w:hanging="567"/>
    </w:pPr>
    <w:rPr>
      <w:i/>
      <w:color w:val="000000"/>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a">
    <w:basedOn w:val="TableNormal2"/>
    <w:pPr>
      <w:spacing w:line="240" w:lineRule="auto"/>
    </w:pPr>
    <w:tblPr>
      <w:tblStyleRowBandSize w:val="1"/>
      <w:tblStyleColBandSize w:val="1"/>
      <w:tblCellMar>
        <w:left w:w="108" w:type="dxa"/>
        <w:right w:w="108"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uiPriority w:val="10"/>
    <w:rsid w:val="002D613C"/>
    <w:rPr>
      <w:i/>
      <w:color w:val="000000"/>
    </w:rPr>
  </w:style>
  <w:style w:type="paragraph" w:styleId="TtulodeTDC">
    <w:name w:val="TOC Heading"/>
    <w:next w:val="Normal"/>
    <w:uiPriority w:val="39"/>
    <w:unhideWhenUsed/>
    <w:qFormat/>
    <w:rsid w:val="00FD20C4"/>
    <w:pPr>
      <w:spacing w:before="240" w:line="259" w:lineRule="auto"/>
      <w:jc w:val="left"/>
    </w:pPr>
    <w:rPr>
      <w:rFonts w:asciiTheme="majorHAnsi" w:eastAsiaTheme="majorEastAsia" w:hAnsiTheme="majorHAnsi" w:cstheme="majorBidi"/>
      <w:color w:val="365F91" w:themeColor="accent1" w:themeShade="BF"/>
      <w:sz w:val="32"/>
      <w:szCs w:val="32"/>
    </w:rPr>
  </w:style>
  <w:style w:type="paragraph" w:styleId="TDC1">
    <w:name w:val="toc 1"/>
    <w:basedOn w:val="Normal"/>
    <w:next w:val="Normal"/>
    <w:autoRedefine/>
    <w:uiPriority w:val="39"/>
    <w:unhideWhenUsed/>
    <w:rsid w:val="00764F1A"/>
    <w:pPr>
      <w:spacing w:line="240" w:lineRule="auto"/>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aliases w:val="Hipervínculo1,Hipervínculo11,Hipervínculo12,Hipervínculo13,Hipervínculo14,Hipervínculo15"/>
    <w:basedOn w:val="Fuentedeprrafopredeter"/>
    <w:uiPriority w:val="99"/>
    <w:unhideWhenUsed/>
    <w:qFormat/>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styleId="nfasissutil">
    <w:name w:val="Subtle Emphasis"/>
    <w:basedOn w:val="Fuentedeprrafopredeter"/>
    <w:uiPriority w:val="19"/>
    <w:qFormat/>
    <w:rsid w:val="00475509"/>
    <w:rPr>
      <w:i/>
      <w:iCs/>
      <w:color w:val="404040" w:themeColor="text1" w:themeTint="BF"/>
    </w:rPr>
  </w:style>
  <w:style w:type="table" w:styleId="Tablaconcuadrcula">
    <w:name w:val="Table Grid"/>
    <w:basedOn w:val="Tablanormal"/>
    <w:uiPriority w:val="39"/>
    <w:rsid w:val="003D322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61315A"/>
    <w:pPr>
      <w:spacing w:line="240" w:lineRule="auto"/>
    </w:pPr>
    <w:rPr>
      <w:rFonts w:eastAsia="Times New Roman" w:cs="Times New Roman"/>
      <w:szCs w:val="20"/>
      <w:lang w:eastAsia="es-ES"/>
    </w:rPr>
  </w:style>
  <w:style w:type="character" w:customStyle="1" w:styleId="SinespaciadoCar">
    <w:name w:val="Sin espaciado Car"/>
    <w:aliases w:val="Francesa Car,INAI Car"/>
    <w:link w:val="Sinespaciado"/>
    <w:uiPriority w:val="1"/>
    <w:locked/>
    <w:rsid w:val="0061315A"/>
    <w:rPr>
      <w:rFonts w:eastAsia="Times New Roman" w:cs="Times New Roman"/>
      <w:szCs w:val="20"/>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1315A"/>
    <w:pPr>
      <w:spacing w:line="240" w:lineRule="auto"/>
    </w:pPr>
    <w:rPr>
      <w:rFonts w:eastAsia="Times New Roman" w:cs="Times New Roman"/>
      <w:sz w:val="20"/>
      <w:szCs w:val="20"/>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1315A"/>
    <w:rPr>
      <w:rFonts w:eastAsia="Times New Roman" w:cs="Times New Roman"/>
      <w:sz w:val="20"/>
      <w:szCs w:val="20"/>
      <w:lang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315A"/>
    <w:rPr>
      <w:vertAlign w:val="superscript"/>
    </w:rPr>
  </w:style>
  <w:style w:type="character" w:customStyle="1" w:styleId="apple-converted-space">
    <w:name w:val="apple-converted-space"/>
    <w:basedOn w:val="Fuentedeprrafopredeter"/>
    <w:rsid w:val="00E22793"/>
  </w:style>
  <w:style w:type="character" w:customStyle="1" w:styleId="il">
    <w:name w:val="il"/>
    <w:basedOn w:val="Fuentedeprrafopredeter"/>
    <w:rsid w:val="00E22793"/>
    <w:rPr>
      <w:rFonts w:cs="Times New Roman"/>
    </w:rPr>
  </w:style>
  <w:style w:type="paragraph" w:styleId="NormalWeb">
    <w:name w:val="Normal (Web)"/>
    <w:basedOn w:val="Normal"/>
    <w:uiPriority w:val="99"/>
    <w:unhideWhenUsed/>
    <w:rsid w:val="004B77C8"/>
    <w:pPr>
      <w:spacing w:before="100" w:beforeAutospacing="1" w:after="100" w:afterAutospacing="1" w:line="240" w:lineRule="auto"/>
      <w:jc w:val="left"/>
    </w:pPr>
    <w:rPr>
      <w:rFonts w:ascii="Times New Roman" w:eastAsia="Times New Roman" w:hAnsi="Times New Roman" w:cs="Times New Roman"/>
      <w:sz w:val="24"/>
      <w:szCs w:val="24"/>
    </w:rPr>
  </w:style>
  <w:style w:type="table" w:customStyle="1" w:styleId="a2">
    <w:basedOn w:val="TableNormal2"/>
    <w:pPr>
      <w:spacing w:line="240" w:lineRule="auto"/>
    </w:pPr>
    <w:tblPr>
      <w:tblStyleRowBandSize w:val="1"/>
      <w:tblStyleColBandSize w:val="1"/>
      <w:tblCellMar>
        <w:left w:w="108" w:type="dxa"/>
        <w:right w:w="108"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pPr>
      <w:spacing w:line="240" w:lineRule="auto"/>
    </w:pPr>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pPr>
      <w:spacing w:line="240" w:lineRule="auto"/>
    </w:pPr>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pPr>
      <w:spacing w:line="240" w:lineRule="auto"/>
    </w:pPr>
    <w:tblPr>
      <w:tblStyleRowBandSize w:val="1"/>
      <w:tblStyleColBandSize w:val="1"/>
      <w:tblCellMar>
        <w:left w:w="108" w:type="dxa"/>
        <w:right w:w="108" w:type="dxa"/>
      </w:tblCellMar>
    </w:tblPr>
  </w:style>
  <w:style w:type="character" w:customStyle="1" w:styleId="Mencinsinresolver2">
    <w:name w:val="Mención sin resolver2"/>
    <w:basedOn w:val="Fuentedeprrafopredeter"/>
    <w:uiPriority w:val="99"/>
    <w:semiHidden/>
    <w:unhideWhenUsed/>
    <w:rsid w:val="00AA68D2"/>
    <w:rPr>
      <w:color w:val="605E5C"/>
      <w:shd w:val="clear" w:color="auto" w:fill="E1DFDD"/>
    </w:rPr>
  </w:style>
  <w:style w:type="character" w:styleId="Hipervnculovisitado">
    <w:name w:val="FollowedHyperlink"/>
    <w:basedOn w:val="Fuentedeprrafopredeter"/>
    <w:uiPriority w:val="99"/>
    <w:semiHidden/>
    <w:unhideWhenUsed/>
    <w:rsid w:val="0063529B"/>
    <w:rPr>
      <w:color w:val="800080" w:themeColor="followedHyperlink"/>
      <w:u w:val="single"/>
    </w:rPr>
  </w:style>
  <w:style w:type="paragraph" w:styleId="Lista2">
    <w:name w:val="List 2"/>
    <w:basedOn w:val="Normal"/>
    <w:uiPriority w:val="99"/>
    <w:unhideWhenUsed/>
    <w:rsid w:val="005447F6"/>
    <w:pPr>
      <w:ind w:left="566" w:hanging="283"/>
      <w:contextualSpacing/>
    </w:pPr>
  </w:style>
  <w:style w:type="paragraph" w:styleId="Lista3">
    <w:name w:val="List 3"/>
    <w:basedOn w:val="Normal"/>
    <w:uiPriority w:val="99"/>
    <w:unhideWhenUsed/>
    <w:rsid w:val="005447F6"/>
    <w:pPr>
      <w:ind w:left="849" w:hanging="283"/>
      <w:contextualSpacing/>
    </w:pPr>
  </w:style>
  <w:style w:type="paragraph" w:styleId="Saludo">
    <w:name w:val="Salutation"/>
    <w:basedOn w:val="Normal"/>
    <w:next w:val="Normal"/>
    <w:link w:val="SaludoCar"/>
    <w:uiPriority w:val="99"/>
    <w:unhideWhenUsed/>
    <w:rsid w:val="005447F6"/>
  </w:style>
  <w:style w:type="character" w:customStyle="1" w:styleId="SaludoCar">
    <w:name w:val="Saludo Car"/>
    <w:basedOn w:val="Fuentedeprrafopredeter"/>
    <w:link w:val="Saludo"/>
    <w:uiPriority w:val="99"/>
    <w:rsid w:val="005447F6"/>
  </w:style>
  <w:style w:type="paragraph" w:styleId="Listaconvietas">
    <w:name w:val="List Bullet"/>
    <w:basedOn w:val="Normal"/>
    <w:uiPriority w:val="99"/>
    <w:unhideWhenUsed/>
    <w:rsid w:val="005447F6"/>
    <w:pPr>
      <w:numPr>
        <w:numId w:val="4"/>
      </w:numPr>
      <w:contextualSpacing/>
    </w:pPr>
  </w:style>
  <w:style w:type="paragraph" w:styleId="Listaconvietas2">
    <w:name w:val="List Bullet 2"/>
    <w:basedOn w:val="Normal"/>
    <w:uiPriority w:val="99"/>
    <w:unhideWhenUsed/>
    <w:rsid w:val="005447F6"/>
    <w:pPr>
      <w:tabs>
        <w:tab w:val="num" w:pos="720"/>
      </w:tabs>
      <w:ind w:left="720" w:hanging="720"/>
      <w:contextualSpacing/>
    </w:pPr>
  </w:style>
  <w:style w:type="paragraph" w:styleId="Textoindependiente">
    <w:name w:val="Body Text"/>
    <w:basedOn w:val="Normal"/>
    <w:link w:val="TextoindependienteCar"/>
    <w:uiPriority w:val="99"/>
    <w:unhideWhenUsed/>
    <w:rsid w:val="005447F6"/>
    <w:pPr>
      <w:spacing w:after="120"/>
    </w:pPr>
  </w:style>
  <w:style w:type="character" w:customStyle="1" w:styleId="TextoindependienteCar">
    <w:name w:val="Texto independiente Car"/>
    <w:basedOn w:val="Fuentedeprrafopredeter"/>
    <w:link w:val="Textoindependiente"/>
    <w:uiPriority w:val="99"/>
    <w:rsid w:val="005447F6"/>
  </w:style>
  <w:style w:type="paragraph" w:styleId="Sangradetextonormal">
    <w:name w:val="Body Text Indent"/>
    <w:basedOn w:val="Normal"/>
    <w:link w:val="SangradetextonormalCar"/>
    <w:uiPriority w:val="99"/>
    <w:unhideWhenUsed/>
    <w:rsid w:val="005447F6"/>
    <w:pPr>
      <w:spacing w:after="120"/>
      <w:ind w:left="283"/>
    </w:pPr>
  </w:style>
  <w:style w:type="character" w:customStyle="1" w:styleId="SangradetextonormalCar">
    <w:name w:val="Sangría de texto normal Car"/>
    <w:basedOn w:val="Fuentedeprrafopredeter"/>
    <w:link w:val="Sangradetextonormal"/>
    <w:uiPriority w:val="99"/>
    <w:rsid w:val="005447F6"/>
  </w:style>
  <w:style w:type="paragraph" w:styleId="Textoindependienteprimerasangra2">
    <w:name w:val="Body Text First Indent 2"/>
    <w:basedOn w:val="Sangradetextonormal"/>
    <w:link w:val="Textoindependienteprimerasangra2Car"/>
    <w:uiPriority w:val="99"/>
    <w:unhideWhenUsed/>
    <w:rsid w:val="005447F6"/>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5447F6"/>
  </w:style>
  <w:style w:type="paragraph" w:customStyle="1" w:styleId="Citas">
    <w:name w:val="Citas"/>
    <w:basedOn w:val="Normal"/>
    <w:qFormat/>
    <w:rsid w:val="00B41EEF"/>
    <w:pPr>
      <w:spacing w:before="240" w:after="160"/>
      <w:ind w:left="851" w:right="851"/>
    </w:pPr>
    <w:rPr>
      <w:rFonts w:eastAsiaTheme="minorHAnsi" w:cs="Arial"/>
      <w:i/>
      <w:lang w:eastAsia="en-US"/>
    </w:rPr>
  </w:style>
  <w:style w:type="paragraph" w:styleId="Cita">
    <w:name w:val="Quote"/>
    <w:basedOn w:val="Normal"/>
    <w:next w:val="Normal"/>
    <w:link w:val="CitaCar"/>
    <w:uiPriority w:val="29"/>
    <w:qFormat/>
    <w:rsid w:val="00291041"/>
    <w:pPr>
      <w:spacing w:before="160"/>
      <w:jc w:val="center"/>
    </w:pPr>
    <w:rPr>
      <w:rFonts w:eastAsia="Times New Roman" w:cs="Times New Roman"/>
      <w:i/>
      <w:iCs/>
      <w:color w:val="404040" w:themeColor="text1" w:themeTint="BF"/>
      <w:szCs w:val="20"/>
      <w:lang w:eastAsia="es-ES"/>
    </w:rPr>
  </w:style>
  <w:style w:type="character" w:customStyle="1" w:styleId="CitaCar">
    <w:name w:val="Cita Car"/>
    <w:basedOn w:val="Fuentedeprrafopredeter"/>
    <w:link w:val="Cita"/>
    <w:uiPriority w:val="29"/>
    <w:rsid w:val="00291041"/>
    <w:rPr>
      <w:rFonts w:eastAsia="Times New Roman" w:cs="Times New Roman"/>
      <w:i/>
      <w:iCs/>
      <w:color w:val="404040" w:themeColor="text1" w:themeTint="BF"/>
      <w:szCs w:val="20"/>
      <w:lang w:eastAsia="es-ES"/>
    </w:rPr>
  </w:style>
  <w:style w:type="character" w:customStyle="1" w:styleId="Mencinsinresolver3">
    <w:name w:val="Mención sin resolver3"/>
    <w:basedOn w:val="Fuentedeprrafopredeter"/>
    <w:uiPriority w:val="99"/>
    <w:semiHidden/>
    <w:unhideWhenUsed/>
    <w:rsid w:val="003C6858"/>
    <w:rPr>
      <w:color w:val="605E5C"/>
      <w:shd w:val="clear" w:color="auto" w:fill="E1DFDD"/>
    </w:rPr>
  </w:style>
  <w:style w:type="paragraph" w:styleId="Subttulo">
    <w:name w:val="Subtitle"/>
    <w:basedOn w:val="Normal"/>
    <w:next w:val="Normal"/>
    <w:rPr>
      <w:color w:val="595959"/>
      <w:sz w:val="28"/>
      <w:szCs w:val="28"/>
    </w:rPr>
  </w:style>
  <w:style w:type="table" w:customStyle="1" w:styleId="aa">
    <w:basedOn w:val="TableNormal0"/>
    <w:pPr>
      <w:spacing w:line="240" w:lineRule="auto"/>
    </w:pPr>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pPr>
      <w:spacing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indetec.gob.mx/delivery?srv=0&amp;sl=3&amp;path=/biblioteca/Especiales/386_Glosario_Terminos_Proceso_Planeacion.pdf" TargetMode="External"/><Relationship Id="rId2" Type="http://schemas.openxmlformats.org/officeDocument/2006/relationships/hyperlink" Target="https://opendatacharter.net/principles-es/" TargetMode="External"/><Relationship Id="rId1" Type="http://schemas.openxmlformats.org/officeDocument/2006/relationships/hyperlink" Target="http://transparencia.toluca.gob.mx/planeacion/2021/2806/03%20MO-TM.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8rm7+lyiUY3rukiuAvT0PeiZlA==">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59</Pages>
  <Words>16170</Words>
  <Characters>88937</Characters>
  <Application>Microsoft Office Word</Application>
  <DocSecurity>0</DocSecurity>
  <Lines>741</Lines>
  <Paragraphs>209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USUARIO</cp:lastModifiedBy>
  <cp:revision>5</cp:revision>
  <cp:lastPrinted>2025-09-11T23:31:00Z</cp:lastPrinted>
  <dcterms:created xsi:type="dcterms:W3CDTF">2025-09-04T16:50:00Z</dcterms:created>
  <dcterms:modified xsi:type="dcterms:W3CDTF">2025-09-11T23:31:00Z</dcterms:modified>
</cp:coreProperties>
</file>