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65C798" w14:textId="77777777" w:rsidR="00AA685F" w:rsidRPr="00FC0BE9" w:rsidRDefault="00B85946">
      <w:pPr>
        <w:spacing w:before="240" w:after="240" w:line="360" w:lineRule="auto"/>
        <w:jc w:val="both"/>
        <w:rPr>
          <w:rFonts w:ascii="Palatino Linotype" w:eastAsia="Palatino Linotype" w:hAnsi="Palatino Linotype" w:cs="Palatino Linotype"/>
          <w:b/>
          <w:sz w:val="22"/>
          <w:szCs w:val="22"/>
        </w:rPr>
      </w:pPr>
      <w:bookmarkStart w:id="0" w:name="_heading=h.1fob9te" w:colFirst="0" w:colLast="0"/>
      <w:bookmarkStart w:id="1" w:name="_GoBack"/>
      <w:bookmarkEnd w:id="0"/>
      <w:bookmarkEnd w:id="1"/>
      <w:r w:rsidRPr="00FC0BE9">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w:t>
      </w:r>
      <w:r w:rsidRPr="00FC0BE9">
        <w:rPr>
          <w:rFonts w:ascii="Palatino Linotype" w:eastAsia="Palatino Linotype" w:hAnsi="Palatino Linotype" w:cs="Palatino Linotype"/>
          <w:b/>
          <w:sz w:val="22"/>
          <w:szCs w:val="22"/>
        </w:rPr>
        <w:t>a quince de octubre de dos mil veinticinco</w:t>
      </w:r>
      <w:r w:rsidRPr="00FC0BE9">
        <w:rPr>
          <w:rFonts w:ascii="Palatino Linotype" w:eastAsia="Palatino Linotype" w:hAnsi="Palatino Linotype" w:cs="Palatino Linotype"/>
          <w:sz w:val="22"/>
          <w:szCs w:val="22"/>
        </w:rPr>
        <w:t xml:space="preserve">. </w:t>
      </w:r>
    </w:p>
    <w:p w14:paraId="4DA6D488" w14:textId="77777777" w:rsidR="00AA685F" w:rsidRPr="00FC0BE9" w:rsidRDefault="00B85946">
      <w:pPr>
        <w:spacing w:before="240" w:after="240" w:line="360" w:lineRule="auto"/>
        <w:jc w:val="both"/>
        <w:rPr>
          <w:rFonts w:ascii="Palatino Linotype" w:eastAsia="Palatino Linotype" w:hAnsi="Palatino Linotype" w:cs="Palatino Linotype"/>
          <w:sz w:val="22"/>
          <w:szCs w:val="22"/>
        </w:rPr>
      </w:pPr>
      <w:bookmarkStart w:id="2" w:name="_heading=h.4d34og8" w:colFirst="0" w:colLast="0"/>
      <w:bookmarkEnd w:id="2"/>
      <w:r w:rsidRPr="00FC0BE9">
        <w:rPr>
          <w:rFonts w:ascii="Palatino Linotype" w:eastAsia="Palatino Linotype" w:hAnsi="Palatino Linotype" w:cs="Palatino Linotype"/>
          <w:b/>
          <w:sz w:val="22"/>
          <w:szCs w:val="22"/>
        </w:rPr>
        <w:t>Visto</w:t>
      </w:r>
      <w:r w:rsidRPr="00FC0BE9">
        <w:rPr>
          <w:rFonts w:ascii="Palatino Linotype" w:eastAsia="Palatino Linotype" w:hAnsi="Palatino Linotype" w:cs="Palatino Linotype"/>
          <w:sz w:val="22"/>
          <w:szCs w:val="22"/>
        </w:rPr>
        <w:t xml:space="preserve"> el expediente formado con motivo del recurso de revisión </w:t>
      </w:r>
      <w:r w:rsidRPr="00FC0BE9">
        <w:rPr>
          <w:rFonts w:ascii="Palatino Linotype" w:eastAsia="Palatino Linotype" w:hAnsi="Palatino Linotype" w:cs="Palatino Linotype"/>
          <w:b/>
          <w:sz w:val="22"/>
          <w:szCs w:val="22"/>
        </w:rPr>
        <w:t>06849/INFOEM/IP/RR/2025</w:t>
      </w:r>
      <w:r w:rsidRPr="00FC0BE9">
        <w:rPr>
          <w:rFonts w:ascii="Palatino Linotype" w:eastAsia="Palatino Linotype" w:hAnsi="Palatino Linotype" w:cs="Palatino Linotype"/>
          <w:sz w:val="22"/>
          <w:szCs w:val="22"/>
        </w:rPr>
        <w:t>, interpuesto por</w:t>
      </w:r>
      <w:r w:rsidRPr="00FC0BE9">
        <w:t xml:space="preserve"> </w:t>
      </w:r>
      <w:r w:rsidRPr="00FC0BE9">
        <w:rPr>
          <w:rFonts w:ascii="Palatino Linotype" w:eastAsia="Palatino Linotype" w:hAnsi="Palatino Linotype" w:cs="Palatino Linotype"/>
          <w:b/>
          <w:sz w:val="22"/>
          <w:szCs w:val="22"/>
        </w:rPr>
        <w:t>una persona usuaria del Sistema de Acceso a la Información Mexiquense que no proporcionó nombre,</w:t>
      </w:r>
      <w:r w:rsidRPr="00FC0BE9">
        <w:rPr>
          <w:rFonts w:ascii="Palatino Linotype" w:eastAsia="Palatino Linotype" w:hAnsi="Palatino Linotype" w:cs="Palatino Linotype"/>
          <w:sz w:val="22"/>
          <w:szCs w:val="22"/>
        </w:rPr>
        <w:t xml:space="preserve"> en lo sucesivo</w:t>
      </w:r>
      <w:r w:rsidRPr="00FC0BE9">
        <w:rPr>
          <w:rFonts w:ascii="Palatino Linotype" w:eastAsia="Palatino Linotype" w:hAnsi="Palatino Linotype" w:cs="Palatino Linotype"/>
          <w:b/>
          <w:sz w:val="22"/>
          <w:szCs w:val="22"/>
        </w:rPr>
        <w:t xml:space="preserve"> la parte</w:t>
      </w:r>
      <w:r w:rsidRPr="00FC0BE9">
        <w:rPr>
          <w:rFonts w:ascii="Palatino Linotype" w:eastAsia="Palatino Linotype" w:hAnsi="Palatino Linotype" w:cs="Palatino Linotype"/>
          <w:sz w:val="22"/>
          <w:szCs w:val="22"/>
        </w:rPr>
        <w:t xml:space="preserve"> </w:t>
      </w:r>
      <w:r w:rsidRPr="00FC0BE9">
        <w:rPr>
          <w:rFonts w:ascii="Palatino Linotype" w:eastAsia="Palatino Linotype" w:hAnsi="Palatino Linotype" w:cs="Palatino Linotype"/>
          <w:b/>
          <w:sz w:val="22"/>
          <w:szCs w:val="22"/>
        </w:rPr>
        <w:t>Recurrente,</w:t>
      </w:r>
      <w:r w:rsidRPr="00FC0BE9">
        <w:rPr>
          <w:rFonts w:ascii="Palatino Linotype" w:eastAsia="Palatino Linotype" w:hAnsi="Palatino Linotype" w:cs="Palatino Linotype"/>
          <w:sz w:val="22"/>
          <w:szCs w:val="22"/>
        </w:rPr>
        <w:t xml:space="preserve"> en contra de la respuesta a su solicitud por parte del </w:t>
      </w:r>
      <w:r w:rsidRPr="00FC0BE9">
        <w:rPr>
          <w:rFonts w:ascii="Palatino Linotype" w:eastAsia="Palatino Linotype" w:hAnsi="Palatino Linotype" w:cs="Palatino Linotype"/>
          <w:b/>
          <w:sz w:val="22"/>
          <w:szCs w:val="22"/>
        </w:rPr>
        <w:t xml:space="preserve">Ayuntamiento de Toluca, </w:t>
      </w:r>
      <w:r w:rsidRPr="00FC0BE9">
        <w:rPr>
          <w:rFonts w:ascii="Palatino Linotype" w:eastAsia="Palatino Linotype" w:hAnsi="Palatino Linotype" w:cs="Palatino Linotype"/>
          <w:sz w:val="22"/>
          <w:szCs w:val="22"/>
        </w:rPr>
        <w:t xml:space="preserve">en lo sucesivo el </w:t>
      </w:r>
      <w:r w:rsidRPr="00FC0BE9">
        <w:rPr>
          <w:rFonts w:ascii="Palatino Linotype" w:eastAsia="Palatino Linotype" w:hAnsi="Palatino Linotype" w:cs="Palatino Linotype"/>
          <w:b/>
          <w:sz w:val="22"/>
          <w:szCs w:val="22"/>
        </w:rPr>
        <w:t xml:space="preserve">Sujeto Obligado, </w:t>
      </w:r>
      <w:r w:rsidRPr="00FC0BE9">
        <w:rPr>
          <w:rFonts w:ascii="Palatino Linotype" w:eastAsia="Palatino Linotype" w:hAnsi="Palatino Linotype" w:cs="Palatino Linotype"/>
          <w:sz w:val="22"/>
          <w:szCs w:val="22"/>
        </w:rPr>
        <w:t xml:space="preserve">se procede a dictar la presente resolución con base en los siguientes: </w:t>
      </w:r>
    </w:p>
    <w:p w14:paraId="143435BB" w14:textId="77777777" w:rsidR="00AA685F" w:rsidRPr="00FC0BE9" w:rsidRDefault="00B85946">
      <w:pPr>
        <w:spacing w:before="240" w:after="240" w:line="360" w:lineRule="auto"/>
        <w:jc w:val="center"/>
        <w:rPr>
          <w:rFonts w:ascii="Palatino Linotype" w:eastAsia="Palatino Linotype" w:hAnsi="Palatino Linotype" w:cs="Palatino Linotype"/>
          <w:b/>
          <w:sz w:val="22"/>
          <w:szCs w:val="22"/>
        </w:rPr>
      </w:pPr>
      <w:r w:rsidRPr="00FC0BE9">
        <w:rPr>
          <w:rFonts w:ascii="Palatino Linotype" w:eastAsia="Palatino Linotype" w:hAnsi="Palatino Linotype" w:cs="Palatino Linotype"/>
          <w:b/>
          <w:sz w:val="22"/>
          <w:szCs w:val="22"/>
        </w:rPr>
        <w:t>I. A N T E C E D E N T E S</w:t>
      </w:r>
    </w:p>
    <w:p w14:paraId="31FE15FC" w14:textId="77777777" w:rsidR="00AA685F" w:rsidRPr="00FC0BE9" w:rsidRDefault="00B85946">
      <w:pPr>
        <w:spacing w:before="240" w:after="240"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b/>
          <w:sz w:val="22"/>
          <w:szCs w:val="22"/>
        </w:rPr>
        <w:t>1. Solicitud de acceso a la información.</w:t>
      </w:r>
      <w:r w:rsidRPr="00FC0BE9">
        <w:rPr>
          <w:rFonts w:ascii="Palatino Linotype" w:eastAsia="Palatino Linotype" w:hAnsi="Palatino Linotype" w:cs="Palatino Linotype"/>
          <w:sz w:val="22"/>
          <w:szCs w:val="22"/>
        </w:rPr>
        <w:t xml:space="preserve"> El </w:t>
      </w:r>
      <w:r w:rsidRPr="00FC0BE9">
        <w:rPr>
          <w:rFonts w:ascii="Palatino Linotype" w:eastAsia="Palatino Linotype" w:hAnsi="Palatino Linotype" w:cs="Palatino Linotype"/>
          <w:b/>
          <w:sz w:val="22"/>
          <w:szCs w:val="22"/>
        </w:rPr>
        <w:t>veintiocho de abril de dos mil veinticinco,</w:t>
      </w:r>
      <w:r w:rsidRPr="00FC0BE9">
        <w:rPr>
          <w:rFonts w:ascii="Palatino Linotype" w:eastAsia="Palatino Linotype" w:hAnsi="Palatino Linotype" w:cs="Palatino Linotype"/>
          <w:sz w:val="22"/>
          <w:szCs w:val="22"/>
        </w:rPr>
        <w:t xml:space="preserve"> </w:t>
      </w:r>
      <w:r w:rsidRPr="00FC0BE9">
        <w:rPr>
          <w:rFonts w:ascii="Palatino Linotype" w:eastAsia="Palatino Linotype" w:hAnsi="Palatino Linotype" w:cs="Palatino Linotype"/>
          <w:b/>
          <w:sz w:val="22"/>
          <w:szCs w:val="22"/>
        </w:rPr>
        <w:t>la parte</w:t>
      </w:r>
      <w:r w:rsidRPr="00FC0BE9">
        <w:rPr>
          <w:rFonts w:ascii="Palatino Linotype" w:eastAsia="Palatino Linotype" w:hAnsi="Palatino Linotype" w:cs="Palatino Linotype"/>
          <w:sz w:val="22"/>
          <w:szCs w:val="22"/>
        </w:rPr>
        <w:t xml:space="preserve"> </w:t>
      </w:r>
      <w:r w:rsidRPr="00FC0BE9">
        <w:rPr>
          <w:rFonts w:ascii="Palatino Linotype" w:eastAsia="Palatino Linotype" w:hAnsi="Palatino Linotype" w:cs="Palatino Linotype"/>
          <w:b/>
          <w:sz w:val="22"/>
          <w:szCs w:val="22"/>
        </w:rPr>
        <w:t xml:space="preserve">Recurrente </w:t>
      </w:r>
      <w:r w:rsidRPr="00FC0BE9">
        <w:rPr>
          <w:rFonts w:ascii="Palatino Linotype" w:eastAsia="Palatino Linotype" w:hAnsi="Palatino Linotype" w:cs="Palatino Linotype"/>
          <w:sz w:val="22"/>
          <w:szCs w:val="22"/>
        </w:rPr>
        <w:t xml:space="preserve">a través del Sistema de Acceso a la Información Mexiquense, en lo subsecuente el SAIMEX, formuló ante el </w:t>
      </w:r>
      <w:r w:rsidRPr="00FC0BE9">
        <w:rPr>
          <w:rFonts w:ascii="Palatino Linotype" w:eastAsia="Palatino Linotype" w:hAnsi="Palatino Linotype" w:cs="Palatino Linotype"/>
          <w:b/>
          <w:sz w:val="22"/>
          <w:szCs w:val="22"/>
        </w:rPr>
        <w:t>Sujeto Obligado</w:t>
      </w:r>
      <w:r w:rsidRPr="00FC0BE9">
        <w:rPr>
          <w:rFonts w:ascii="Palatino Linotype" w:eastAsia="Palatino Linotype" w:hAnsi="Palatino Linotype" w:cs="Palatino Linotype"/>
          <w:sz w:val="22"/>
          <w:szCs w:val="22"/>
        </w:rPr>
        <w:t xml:space="preserve">, la solicitud de acceso a la información pública a la que se le asignó el número </w:t>
      </w:r>
      <w:r w:rsidRPr="00FC0BE9">
        <w:rPr>
          <w:rFonts w:ascii="Palatino Linotype" w:eastAsia="Palatino Linotype" w:hAnsi="Palatino Linotype" w:cs="Palatino Linotype"/>
          <w:b/>
          <w:sz w:val="22"/>
          <w:szCs w:val="22"/>
        </w:rPr>
        <w:t>02543/TOLUCA/IP/2025;</w:t>
      </w:r>
      <w:r w:rsidRPr="00FC0BE9">
        <w:rPr>
          <w:rFonts w:ascii="Palatino Linotype" w:eastAsia="Palatino Linotype" w:hAnsi="Palatino Linotype" w:cs="Palatino Linotype"/>
          <w:sz w:val="22"/>
          <w:szCs w:val="22"/>
        </w:rPr>
        <w:t xml:space="preserve"> mediante la cual requirió la información siguiente: </w:t>
      </w:r>
    </w:p>
    <w:p w14:paraId="7B9E3039" w14:textId="77777777" w:rsidR="00AA685F" w:rsidRPr="00FC0BE9" w:rsidRDefault="00B85946">
      <w:pPr>
        <w:spacing w:before="240" w:after="240"/>
        <w:ind w:left="567" w:right="474"/>
        <w:jc w:val="both"/>
        <w:rPr>
          <w:rFonts w:ascii="Palatino Linotype" w:eastAsia="Palatino Linotype" w:hAnsi="Palatino Linotype" w:cs="Palatino Linotype"/>
          <w:i/>
          <w:sz w:val="22"/>
          <w:szCs w:val="22"/>
        </w:rPr>
      </w:pPr>
      <w:bookmarkStart w:id="3" w:name="_heading=h.gjdgxs" w:colFirst="0" w:colLast="0"/>
      <w:bookmarkEnd w:id="3"/>
      <w:r w:rsidRPr="00FC0BE9">
        <w:rPr>
          <w:rFonts w:ascii="Palatino Linotype" w:eastAsia="Palatino Linotype" w:hAnsi="Palatino Linotype" w:cs="Palatino Linotype"/>
          <w:i/>
          <w:sz w:val="22"/>
          <w:szCs w:val="22"/>
        </w:rPr>
        <w:t xml:space="preserve">“El expediente laboral completo con los antecedentes no penales y los requsistos para ser contralor del contralor de 2024.” (Sic) </w:t>
      </w:r>
    </w:p>
    <w:p w14:paraId="7EACE613" w14:textId="77777777" w:rsidR="00AA685F" w:rsidRPr="00FC0BE9" w:rsidRDefault="00B85946">
      <w:pPr>
        <w:spacing w:before="240" w:after="240" w:line="360" w:lineRule="auto"/>
        <w:ind w:right="49"/>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b/>
          <w:sz w:val="22"/>
          <w:szCs w:val="22"/>
        </w:rPr>
        <w:t>Modalidad de Entrega:</w:t>
      </w:r>
      <w:r w:rsidRPr="00FC0BE9">
        <w:rPr>
          <w:rFonts w:ascii="Palatino Linotype" w:eastAsia="Palatino Linotype" w:hAnsi="Palatino Linotype" w:cs="Palatino Linotype"/>
          <w:sz w:val="22"/>
          <w:szCs w:val="22"/>
        </w:rPr>
        <w:t xml:space="preserve"> a través del Sistema de Acceso a la Información Mexiquense (SAIMEX).</w:t>
      </w:r>
    </w:p>
    <w:p w14:paraId="4A037258" w14:textId="77777777" w:rsidR="00AA685F" w:rsidRPr="00FC0BE9" w:rsidRDefault="00B85946">
      <w:pPr>
        <w:pBdr>
          <w:top w:val="nil"/>
          <w:left w:val="nil"/>
          <w:bottom w:val="nil"/>
          <w:right w:val="nil"/>
          <w:between w:val="nil"/>
        </w:pBdr>
        <w:tabs>
          <w:tab w:val="left" w:pos="142"/>
          <w:tab w:val="left" w:pos="284"/>
        </w:tabs>
        <w:spacing w:before="240" w:after="240" w:line="360" w:lineRule="auto"/>
        <w:jc w:val="both"/>
        <w:rPr>
          <w:rFonts w:ascii="Palatino Linotype" w:eastAsia="Palatino Linotype" w:hAnsi="Palatino Linotype" w:cs="Palatino Linotype"/>
          <w:b/>
          <w:sz w:val="22"/>
          <w:szCs w:val="22"/>
        </w:rPr>
      </w:pPr>
      <w:bookmarkStart w:id="4" w:name="_heading=h.3dy6vkm" w:colFirst="0" w:colLast="0"/>
      <w:bookmarkEnd w:id="4"/>
      <w:r w:rsidRPr="00FC0BE9">
        <w:rPr>
          <w:rFonts w:ascii="Palatino Linotype" w:eastAsia="Palatino Linotype" w:hAnsi="Palatino Linotype" w:cs="Palatino Linotype"/>
          <w:b/>
          <w:sz w:val="22"/>
          <w:szCs w:val="22"/>
        </w:rPr>
        <w:t>2.</w:t>
      </w:r>
      <w:r w:rsidRPr="00FC0BE9">
        <w:t xml:space="preserve"> </w:t>
      </w:r>
      <w:r w:rsidRPr="00FC0BE9">
        <w:rPr>
          <w:rFonts w:ascii="Palatino Linotype" w:eastAsia="Palatino Linotype" w:hAnsi="Palatino Linotype" w:cs="Palatino Linotype"/>
          <w:b/>
          <w:sz w:val="22"/>
          <w:szCs w:val="22"/>
        </w:rPr>
        <w:t xml:space="preserve">Respuesta. </w:t>
      </w:r>
      <w:r w:rsidRPr="00FC0BE9">
        <w:rPr>
          <w:rFonts w:ascii="Palatino Linotype" w:eastAsia="Palatino Linotype" w:hAnsi="Palatino Linotype" w:cs="Palatino Linotype"/>
          <w:sz w:val="22"/>
          <w:szCs w:val="22"/>
        </w:rPr>
        <w:t xml:space="preserve">El </w:t>
      </w:r>
      <w:r w:rsidRPr="00FC0BE9">
        <w:rPr>
          <w:rFonts w:ascii="Palatino Linotype" w:eastAsia="Palatino Linotype" w:hAnsi="Palatino Linotype" w:cs="Palatino Linotype"/>
          <w:b/>
          <w:sz w:val="22"/>
          <w:szCs w:val="22"/>
        </w:rPr>
        <w:t>veintiuno de mayo de dos mil veinticinco</w:t>
      </w:r>
      <w:r w:rsidRPr="00FC0BE9">
        <w:rPr>
          <w:rFonts w:ascii="Palatino Linotype" w:eastAsia="Palatino Linotype" w:hAnsi="Palatino Linotype" w:cs="Palatino Linotype"/>
          <w:sz w:val="22"/>
          <w:szCs w:val="22"/>
        </w:rPr>
        <w:t xml:space="preserve">, el </w:t>
      </w:r>
      <w:r w:rsidRPr="00FC0BE9">
        <w:rPr>
          <w:rFonts w:ascii="Palatino Linotype" w:eastAsia="Palatino Linotype" w:hAnsi="Palatino Linotype" w:cs="Palatino Linotype"/>
          <w:b/>
          <w:sz w:val="22"/>
          <w:szCs w:val="22"/>
        </w:rPr>
        <w:t xml:space="preserve">Sujeto Obligado </w:t>
      </w:r>
      <w:r w:rsidRPr="00FC0BE9">
        <w:rPr>
          <w:rFonts w:ascii="Palatino Linotype" w:eastAsia="Palatino Linotype" w:hAnsi="Palatino Linotype" w:cs="Palatino Linotype"/>
          <w:sz w:val="22"/>
          <w:szCs w:val="22"/>
        </w:rPr>
        <w:t>envió su respuesta a la solicitud de acceso a la información a través de SAIMEX, sustancialmente en los términos siguientes:</w:t>
      </w:r>
    </w:p>
    <w:p w14:paraId="01467529" w14:textId="77777777" w:rsidR="00AA685F" w:rsidRPr="00FC0BE9" w:rsidRDefault="00B85946">
      <w:pPr>
        <w:spacing w:before="240" w:after="240"/>
        <w:ind w:left="567" w:right="902"/>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lastRenderedPageBreak/>
        <w:t>“En atención a la solicitud con folio 02543/TOLUCA/IP/2025, me permito adjuntar al presente la respuesta correspondiente de la Dirección General de Obras Públicas, Dirección General de Servicios Públicos, Tesorería Municipal, Sin más por el momento, reciba un saludo.” (Sic)</w:t>
      </w:r>
    </w:p>
    <w:p w14:paraId="07095B8C" w14:textId="77777777" w:rsidR="00AA685F" w:rsidRPr="00FC0BE9" w:rsidRDefault="00B85946">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 xml:space="preserve">Adjunto a la respuesta, el </w:t>
      </w:r>
      <w:r w:rsidRPr="00FC0BE9">
        <w:rPr>
          <w:rFonts w:ascii="Palatino Linotype" w:eastAsia="Palatino Linotype" w:hAnsi="Palatino Linotype" w:cs="Palatino Linotype"/>
          <w:b/>
          <w:sz w:val="22"/>
          <w:szCs w:val="22"/>
        </w:rPr>
        <w:t xml:space="preserve">Sujeto Obligado </w:t>
      </w:r>
      <w:r w:rsidRPr="00FC0BE9">
        <w:rPr>
          <w:rFonts w:ascii="Palatino Linotype" w:eastAsia="Palatino Linotype" w:hAnsi="Palatino Linotype" w:cs="Palatino Linotype"/>
          <w:sz w:val="22"/>
          <w:szCs w:val="22"/>
        </w:rPr>
        <w:t>hizo entrega de la siguiente información:</w:t>
      </w:r>
    </w:p>
    <w:p w14:paraId="0D09BF70" w14:textId="77777777" w:rsidR="00AA685F" w:rsidRPr="00FC0BE9" w:rsidRDefault="00AA685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4A01E5CB" w14:textId="77777777" w:rsidR="00AA685F" w:rsidRPr="00FC0BE9" w:rsidRDefault="00B85946">
      <w:pPr>
        <w:numPr>
          <w:ilvl w:val="0"/>
          <w:numId w:val="5"/>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Oficio de 15 de mayo de 2025, a través del cual el Titular del Órgano Interno de Control Municipal refirió que no genera, posee o administra la documentación requerida.</w:t>
      </w:r>
    </w:p>
    <w:p w14:paraId="45D9847C" w14:textId="77777777" w:rsidR="00AA685F" w:rsidRPr="00FC0BE9" w:rsidRDefault="00AA685F">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44BC6236" w14:textId="77777777" w:rsidR="00AA685F" w:rsidRPr="00FC0BE9" w:rsidRDefault="00B85946">
      <w:pPr>
        <w:numPr>
          <w:ilvl w:val="0"/>
          <w:numId w:val="5"/>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Oficio del 21 de mayo de 2025, a través del cual el Secretario del Ayuntamiento indica que remite la Convocatoria que se emitió para participar en el proceso de selección y designación de la persona titular de la Contraloría Municipal, en el año 2024.</w:t>
      </w:r>
    </w:p>
    <w:p w14:paraId="0A10914E" w14:textId="77777777" w:rsidR="00AA685F" w:rsidRPr="00FC0BE9" w:rsidRDefault="00AA685F">
      <w:pPr>
        <w:pBdr>
          <w:top w:val="nil"/>
          <w:left w:val="nil"/>
          <w:bottom w:val="nil"/>
          <w:right w:val="nil"/>
          <w:between w:val="nil"/>
        </w:pBdr>
        <w:ind w:left="720"/>
        <w:rPr>
          <w:rFonts w:ascii="Palatino Linotype" w:eastAsia="Palatino Linotype" w:hAnsi="Palatino Linotype" w:cs="Palatino Linotype"/>
          <w:sz w:val="22"/>
          <w:szCs w:val="22"/>
        </w:rPr>
      </w:pPr>
    </w:p>
    <w:p w14:paraId="38A30F17" w14:textId="77777777" w:rsidR="00AA685F" w:rsidRPr="00FC0BE9" w:rsidRDefault="00B85946">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Asimismo, indicó que adjunta el archivo que contiene el expediente en versión pública que, de acuerdo a la Ley Orgánica Municipal del Estado de México, presento el Titular de la Contraloría Municipal en el año 2024.</w:t>
      </w:r>
    </w:p>
    <w:p w14:paraId="6286B035" w14:textId="77777777" w:rsidR="00AA685F" w:rsidRPr="00FC0BE9" w:rsidRDefault="00AA685F">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6422CCB3" w14:textId="77777777" w:rsidR="00AA685F" w:rsidRPr="00FC0BE9" w:rsidRDefault="00B85946">
      <w:pPr>
        <w:numPr>
          <w:ilvl w:val="0"/>
          <w:numId w:val="5"/>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Convocatoria para participar en el proceso de selección y designación de la persona Titular de la Contraloría Municipal.</w:t>
      </w:r>
    </w:p>
    <w:p w14:paraId="2613DB00" w14:textId="77777777" w:rsidR="00AA685F" w:rsidRPr="00FC0BE9" w:rsidRDefault="00AA685F">
      <w:pPr>
        <w:pBdr>
          <w:top w:val="nil"/>
          <w:left w:val="nil"/>
          <w:bottom w:val="nil"/>
          <w:right w:val="nil"/>
          <w:between w:val="nil"/>
        </w:pBdr>
        <w:ind w:left="720"/>
        <w:rPr>
          <w:rFonts w:ascii="Palatino Linotype" w:eastAsia="Palatino Linotype" w:hAnsi="Palatino Linotype" w:cs="Palatino Linotype"/>
          <w:sz w:val="22"/>
          <w:szCs w:val="22"/>
        </w:rPr>
      </w:pPr>
    </w:p>
    <w:p w14:paraId="62C55F06" w14:textId="77777777" w:rsidR="00AA685F" w:rsidRPr="00FC0BE9" w:rsidRDefault="00B85946">
      <w:pPr>
        <w:numPr>
          <w:ilvl w:val="0"/>
          <w:numId w:val="5"/>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Archivo que contiene la documentación que presentó una persona para participar en el proceso de selección y designación de la persona Titular de la Contraloría Municipal del mes de enero 2024, consistente en lo siguiente:</w:t>
      </w:r>
    </w:p>
    <w:p w14:paraId="48DB42B8" w14:textId="77777777" w:rsidR="00AA685F" w:rsidRPr="00FC0BE9" w:rsidRDefault="00AA685F">
      <w:pPr>
        <w:pBdr>
          <w:top w:val="nil"/>
          <w:left w:val="nil"/>
          <w:bottom w:val="nil"/>
          <w:right w:val="nil"/>
          <w:between w:val="nil"/>
        </w:pBdr>
        <w:ind w:left="720"/>
        <w:rPr>
          <w:rFonts w:ascii="Palatino Linotype" w:eastAsia="Palatino Linotype" w:hAnsi="Palatino Linotype" w:cs="Palatino Linotype"/>
          <w:sz w:val="22"/>
          <w:szCs w:val="22"/>
        </w:rPr>
      </w:pPr>
    </w:p>
    <w:p w14:paraId="1E9B6902" w14:textId="77777777" w:rsidR="00AA685F" w:rsidRPr="00FC0BE9" w:rsidRDefault="00B85946">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-Hoja con la leyenda de clasificación en su totalidad del acta de nacimiento.</w:t>
      </w:r>
    </w:p>
    <w:p w14:paraId="4B18353D" w14:textId="77777777" w:rsidR="00AA685F" w:rsidRPr="00FC0BE9" w:rsidRDefault="00B85946">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-Hoja con la leyenda de clasificación en su totalidad de la credencial para votar.</w:t>
      </w:r>
    </w:p>
    <w:p w14:paraId="7ABF31E2" w14:textId="77777777" w:rsidR="00AA685F" w:rsidRPr="00FC0BE9" w:rsidRDefault="00B85946">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-Hoja con la leyenda de clasificación en su totalidad de la constancia domiciliaria.</w:t>
      </w:r>
    </w:p>
    <w:p w14:paraId="13E9AB4F" w14:textId="77777777" w:rsidR="00AA685F" w:rsidRPr="00FC0BE9" w:rsidRDefault="00B85946">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-Versión pública de la ficha curricular, en donde se testó: RFC, Teléfono particular, dirección particular y fotografía.</w:t>
      </w:r>
    </w:p>
    <w:p w14:paraId="065DA116" w14:textId="77777777" w:rsidR="00AA685F" w:rsidRPr="00FC0BE9" w:rsidRDefault="00B85946">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-Versión pública del Título profesional de Licenciado en Administración de Empresas, donde se testó la fotografía.</w:t>
      </w:r>
    </w:p>
    <w:p w14:paraId="50F982FC" w14:textId="77777777" w:rsidR="00AA685F" w:rsidRPr="00FC0BE9" w:rsidRDefault="00B85946">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-Versión pública del Grado de Maestro en Auditoría, donde se testó la fotografía.</w:t>
      </w:r>
    </w:p>
    <w:p w14:paraId="0F22EE04" w14:textId="77777777" w:rsidR="00AA685F" w:rsidRPr="00FC0BE9" w:rsidRDefault="00B85946">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lastRenderedPageBreak/>
        <w:t>-Versión pública del Certificado de Competencia Laboral en la Norma Institucional “Dirigir las acciones del Órgano Interno de Control” donde se testó la fotografía.</w:t>
      </w:r>
    </w:p>
    <w:p w14:paraId="4A11DB94" w14:textId="77777777" w:rsidR="00AA685F" w:rsidRPr="00FC0BE9" w:rsidRDefault="00B85946">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-Documento del 30 de noviembre de 2023, donde el Vocal Ejecutivo del IHAEM refrenda la validez del certificado de competencia laboral indicado en el punto anterior hasta el 11 de noviembre de 2024.</w:t>
      </w:r>
    </w:p>
    <w:p w14:paraId="2A21AB96" w14:textId="77777777" w:rsidR="00AA685F" w:rsidRPr="00FC0BE9" w:rsidRDefault="00B85946">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-Carta con firma autógrafa de aceptación de las bases, procedimientos, deliberaciones y resoluciones de la convocatoria indicada;</w:t>
      </w:r>
    </w:p>
    <w:p w14:paraId="68C065C4" w14:textId="77777777" w:rsidR="00AA685F" w:rsidRPr="00FC0BE9" w:rsidRDefault="00B85946">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-Hoja con la leyenda de clasificación en su totalidad de la constancia de no inhabilitación.</w:t>
      </w:r>
    </w:p>
    <w:p w14:paraId="380D0CF6" w14:textId="77777777" w:rsidR="00AA685F" w:rsidRPr="00FC0BE9" w:rsidRDefault="00B85946">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-Hoja con la leyenda de clasificación en su totalidad del Certificado de no deudor alimentario moroso.</w:t>
      </w:r>
    </w:p>
    <w:p w14:paraId="67B6FD66" w14:textId="77777777" w:rsidR="00AA685F" w:rsidRPr="00FC0BE9" w:rsidRDefault="00B85946">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-Hoja con la leyenda de clasificación en su totalidad del informe de no antecedentes penales.</w:t>
      </w:r>
    </w:p>
    <w:p w14:paraId="72242F8F" w14:textId="77777777" w:rsidR="00AA685F" w:rsidRPr="00FC0BE9" w:rsidRDefault="00AA685F">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7141644D" w14:textId="77777777" w:rsidR="00AA685F" w:rsidRPr="00FC0BE9" w:rsidRDefault="00B85946">
      <w:pPr>
        <w:numPr>
          <w:ilvl w:val="0"/>
          <w:numId w:val="5"/>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 xml:space="preserve">Archivo en </w:t>
      </w:r>
      <w:r w:rsidRPr="00FC0BE9">
        <w:rPr>
          <w:rFonts w:ascii="Palatino Linotype" w:eastAsia="Palatino Linotype" w:hAnsi="Palatino Linotype" w:cs="Palatino Linotype"/>
          <w:b/>
          <w:i/>
          <w:sz w:val="22"/>
          <w:szCs w:val="22"/>
        </w:rPr>
        <w:t>rar</w:t>
      </w:r>
      <w:r w:rsidRPr="00FC0BE9">
        <w:rPr>
          <w:rFonts w:ascii="Palatino Linotype" w:eastAsia="Palatino Linotype" w:hAnsi="Palatino Linotype" w:cs="Palatino Linotype"/>
          <w:sz w:val="22"/>
          <w:szCs w:val="22"/>
        </w:rPr>
        <w:t xml:space="preserve"> que contiene lo siguiente:</w:t>
      </w:r>
    </w:p>
    <w:p w14:paraId="74B1D8C7" w14:textId="77777777" w:rsidR="00AA685F" w:rsidRPr="00FC0BE9" w:rsidRDefault="00AA685F">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65D63F67" w14:textId="77777777" w:rsidR="00AA685F" w:rsidRPr="00FC0BE9" w:rsidRDefault="00B85946">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-Ficha curricular del Contralor Interno Municipal el C. Rubén Quiterio Tlachino.</w:t>
      </w:r>
    </w:p>
    <w:p w14:paraId="674B4F06" w14:textId="77777777" w:rsidR="00AA685F" w:rsidRPr="00FC0BE9" w:rsidRDefault="00B85946">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-Versión pública de la cédula profesional del Contralor Interno Municipal, donde se testó firma del titular y CURP.</w:t>
      </w:r>
    </w:p>
    <w:p w14:paraId="4F2375A4" w14:textId="77777777" w:rsidR="00AA685F" w:rsidRPr="00FC0BE9" w:rsidRDefault="00B85946">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-En versión íntegra el Certificado de Competencia Laboral en la Norma Institucional “Dirigir las acciones del Órgano Interno de Control”.</w:t>
      </w:r>
    </w:p>
    <w:p w14:paraId="1E64F3F7" w14:textId="77777777" w:rsidR="00AA685F" w:rsidRPr="00FC0BE9" w:rsidRDefault="00AA685F">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21F006FA" w14:textId="77777777" w:rsidR="00AA685F" w:rsidRPr="00FC0BE9" w:rsidRDefault="00B85946">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FC0BE9">
        <w:rPr>
          <w:rFonts w:ascii="Palatino Linotype" w:eastAsia="Palatino Linotype" w:hAnsi="Palatino Linotype" w:cs="Palatino Linotype"/>
          <w:b/>
          <w:sz w:val="22"/>
          <w:szCs w:val="22"/>
        </w:rPr>
        <w:t xml:space="preserve">3. Interposición del recurso de revisión. </w:t>
      </w:r>
      <w:r w:rsidRPr="00FC0BE9">
        <w:rPr>
          <w:rFonts w:ascii="Palatino Linotype" w:eastAsia="Palatino Linotype" w:hAnsi="Palatino Linotype" w:cs="Palatino Linotype"/>
          <w:sz w:val="22"/>
          <w:szCs w:val="22"/>
        </w:rPr>
        <w:t xml:space="preserve">Inconforme con los términos de la respuesta emitida por parte del </w:t>
      </w:r>
      <w:r w:rsidRPr="00FC0BE9">
        <w:rPr>
          <w:rFonts w:ascii="Palatino Linotype" w:eastAsia="Palatino Linotype" w:hAnsi="Palatino Linotype" w:cs="Palatino Linotype"/>
          <w:b/>
          <w:sz w:val="22"/>
          <w:szCs w:val="22"/>
        </w:rPr>
        <w:t>Sujeto Obligado</w:t>
      </w:r>
      <w:r w:rsidRPr="00FC0BE9">
        <w:rPr>
          <w:rFonts w:ascii="Palatino Linotype" w:eastAsia="Palatino Linotype" w:hAnsi="Palatino Linotype" w:cs="Palatino Linotype"/>
          <w:sz w:val="22"/>
          <w:szCs w:val="22"/>
        </w:rPr>
        <w:t>, el</w:t>
      </w:r>
      <w:r w:rsidRPr="00FC0BE9">
        <w:rPr>
          <w:rFonts w:ascii="Palatino Linotype" w:eastAsia="Palatino Linotype" w:hAnsi="Palatino Linotype" w:cs="Palatino Linotype"/>
          <w:b/>
          <w:sz w:val="22"/>
          <w:szCs w:val="22"/>
        </w:rPr>
        <w:t xml:space="preserve"> once de junio de dos mil veinticinco,</w:t>
      </w:r>
      <w:r w:rsidRPr="00FC0BE9">
        <w:rPr>
          <w:rFonts w:ascii="Palatino Linotype" w:eastAsia="Palatino Linotype" w:hAnsi="Palatino Linotype" w:cs="Palatino Linotype"/>
          <w:sz w:val="22"/>
          <w:szCs w:val="22"/>
        </w:rPr>
        <w:t xml:space="preserve"> </w:t>
      </w:r>
      <w:r w:rsidRPr="00FC0BE9">
        <w:rPr>
          <w:rFonts w:ascii="Palatino Linotype" w:eastAsia="Palatino Linotype" w:hAnsi="Palatino Linotype" w:cs="Palatino Linotype"/>
          <w:b/>
          <w:sz w:val="22"/>
          <w:szCs w:val="22"/>
        </w:rPr>
        <w:t>la parte</w:t>
      </w:r>
      <w:r w:rsidRPr="00FC0BE9">
        <w:rPr>
          <w:rFonts w:ascii="Palatino Linotype" w:eastAsia="Palatino Linotype" w:hAnsi="Palatino Linotype" w:cs="Palatino Linotype"/>
          <w:sz w:val="22"/>
          <w:szCs w:val="22"/>
        </w:rPr>
        <w:t xml:space="preserve"> </w:t>
      </w:r>
      <w:r w:rsidRPr="00FC0BE9">
        <w:rPr>
          <w:rFonts w:ascii="Palatino Linotype" w:eastAsia="Palatino Linotype" w:hAnsi="Palatino Linotype" w:cs="Palatino Linotype"/>
          <w:b/>
          <w:sz w:val="22"/>
          <w:szCs w:val="22"/>
        </w:rPr>
        <w:t>Recurrente</w:t>
      </w:r>
      <w:r w:rsidRPr="00FC0BE9">
        <w:rPr>
          <w:rFonts w:ascii="Palatino Linotype" w:eastAsia="Palatino Linotype" w:hAnsi="Palatino Linotype" w:cs="Palatino Linotype"/>
          <w:sz w:val="22"/>
          <w:szCs w:val="22"/>
        </w:rPr>
        <w:t xml:space="preserve"> interpuso el recurso de revisión a través de </w:t>
      </w:r>
      <w:r w:rsidRPr="00FC0BE9">
        <w:rPr>
          <w:rFonts w:ascii="Palatino Linotype" w:eastAsia="Palatino Linotype" w:hAnsi="Palatino Linotype" w:cs="Palatino Linotype"/>
          <w:b/>
          <w:sz w:val="22"/>
          <w:szCs w:val="22"/>
        </w:rPr>
        <w:t xml:space="preserve">SAIMEX, </w:t>
      </w:r>
      <w:r w:rsidRPr="00FC0BE9">
        <w:rPr>
          <w:rFonts w:ascii="Palatino Linotype" w:eastAsia="Palatino Linotype" w:hAnsi="Palatino Linotype" w:cs="Palatino Linotype"/>
          <w:sz w:val="22"/>
          <w:szCs w:val="22"/>
        </w:rPr>
        <w:t>en donde se manifestó de la siguiente manera:</w:t>
      </w:r>
    </w:p>
    <w:p w14:paraId="104859CC" w14:textId="77777777" w:rsidR="00AA685F" w:rsidRPr="00FC0BE9" w:rsidRDefault="00B85946">
      <w:pPr>
        <w:tabs>
          <w:tab w:val="left" w:pos="2745"/>
        </w:tabs>
        <w:spacing w:before="240" w:after="240" w:line="276" w:lineRule="auto"/>
        <w:ind w:left="567" w:right="900"/>
        <w:jc w:val="both"/>
        <w:rPr>
          <w:rFonts w:ascii="Palatino Linotype" w:eastAsia="Palatino Linotype" w:hAnsi="Palatino Linotype" w:cs="Palatino Linotype"/>
          <w:b/>
          <w:sz w:val="22"/>
          <w:szCs w:val="22"/>
        </w:rPr>
      </w:pPr>
      <w:r w:rsidRPr="00FC0BE9">
        <w:rPr>
          <w:rFonts w:ascii="Palatino Linotype" w:eastAsia="Palatino Linotype" w:hAnsi="Palatino Linotype" w:cs="Palatino Linotype"/>
          <w:b/>
          <w:sz w:val="22"/>
          <w:szCs w:val="22"/>
        </w:rPr>
        <w:t xml:space="preserve">a) Acto impugnado: </w:t>
      </w:r>
      <w:r w:rsidRPr="00FC0BE9">
        <w:rPr>
          <w:rFonts w:ascii="Palatino Linotype" w:eastAsia="Palatino Linotype" w:hAnsi="Palatino Linotype" w:cs="Palatino Linotype"/>
          <w:i/>
          <w:sz w:val="22"/>
          <w:szCs w:val="22"/>
        </w:rPr>
        <w:t>“la entrega de la información esta incompleta” (Sic)</w:t>
      </w:r>
    </w:p>
    <w:p w14:paraId="42A9AAB2" w14:textId="77777777" w:rsidR="00AA685F" w:rsidRPr="00FC0BE9" w:rsidRDefault="00B85946">
      <w:pPr>
        <w:spacing w:line="276" w:lineRule="auto"/>
        <w:ind w:left="567" w:right="900"/>
        <w:jc w:val="both"/>
        <w:rPr>
          <w:rFonts w:ascii="Palatino Linotype" w:eastAsia="Palatino Linotype" w:hAnsi="Palatino Linotype" w:cs="Palatino Linotype"/>
          <w:i/>
          <w:sz w:val="22"/>
          <w:szCs w:val="22"/>
        </w:rPr>
      </w:pPr>
      <w:bookmarkStart w:id="5" w:name="_heading=h.30j0zll" w:colFirst="0" w:colLast="0"/>
      <w:bookmarkEnd w:id="5"/>
      <w:r w:rsidRPr="00FC0BE9">
        <w:rPr>
          <w:rFonts w:ascii="Palatino Linotype" w:eastAsia="Palatino Linotype" w:hAnsi="Palatino Linotype" w:cs="Palatino Linotype"/>
          <w:b/>
          <w:sz w:val="22"/>
          <w:szCs w:val="22"/>
        </w:rPr>
        <w:t>b) Razones o motivos de inconformidad</w:t>
      </w:r>
      <w:r w:rsidRPr="00FC0BE9">
        <w:rPr>
          <w:rFonts w:ascii="Palatino Linotype" w:eastAsia="Palatino Linotype" w:hAnsi="Palatino Linotype" w:cs="Palatino Linotype"/>
          <w:sz w:val="22"/>
          <w:szCs w:val="22"/>
        </w:rPr>
        <w:t xml:space="preserve">: </w:t>
      </w:r>
      <w:r w:rsidRPr="00FC0BE9">
        <w:rPr>
          <w:rFonts w:ascii="Palatino Linotype" w:eastAsia="Palatino Linotype" w:hAnsi="Palatino Linotype" w:cs="Palatino Linotype"/>
          <w:i/>
          <w:sz w:val="22"/>
          <w:szCs w:val="22"/>
        </w:rPr>
        <w:t>“la entrega de la información esta incompleta” (Sic)</w:t>
      </w:r>
    </w:p>
    <w:p w14:paraId="0206425D" w14:textId="77777777" w:rsidR="00AA685F" w:rsidRPr="00FC0BE9" w:rsidRDefault="00AA685F">
      <w:pPr>
        <w:spacing w:line="276" w:lineRule="auto"/>
        <w:ind w:left="567" w:right="900"/>
        <w:jc w:val="both"/>
        <w:rPr>
          <w:rFonts w:ascii="Palatino Linotype" w:eastAsia="Palatino Linotype" w:hAnsi="Palatino Linotype" w:cs="Palatino Linotype"/>
          <w:i/>
          <w:sz w:val="22"/>
          <w:szCs w:val="22"/>
        </w:rPr>
      </w:pPr>
    </w:p>
    <w:p w14:paraId="452C9924" w14:textId="77777777" w:rsidR="00AA685F" w:rsidRPr="00FC0BE9" w:rsidRDefault="00B85946">
      <w:pPr>
        <w:spacing w:line="360" w:lineRule="auto"/>
        <w:ind w:right="51"/>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b/>
          <w:sz w:val="22"/>
          <w:szCs w:val="22"/>
        </w:rPr>
        <w:t xml:space="preserve">4. Turno. </w:t>
      </w:r>
      <w:r w:rsidRPr="00FC0BE9">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FC0BE9">
        <w:rPr>
          <w:rFonts w:ascii="Palatino Linotype" w:eastAsia="Palatino Linotype" w:hAnsi="Palatino Linotype" w:cs="Palatino Linotype"/>
          <w:b/>
          <w:sz w:val="22"/>
          <w:szCs w:val="22"/>
        </w:rPr>
        <w:t xml:space="preserve">Guadalupe Ramírez Peña, </w:t>
      </w:r>
      <w:r w:rsidRPr="00FC0BE9">
        <w:rPr>
          <w:rFonts w:ascii="Palatino Linotype" w:eastAsia="Palatino Linotype" w:hAnsi="Palatino Linotype" w:cs="Palatino Linotype"/>
          <w:sz w:val="22"/>
          <w:szCs w:val="22"/>
        </w:rPr>
        <w:t>a efecto de que analizara sobre su admisión o su desechamiento.</w:t>
      </w:r>
    </w:p>
    <w:p w14:paraId="5AFBCC20" w14:textId="77777777" w:rsidR="00AA685F" w:rsidRPr="00FC0BE9" w:rsidRDefault="00AA685F">
      <w:pPr>
        <w:spacing w:line="360" w:lineRule="auto"/>
        <w:ind w:right="51"/>
        <w:jc w:val="both"/>
        <w:rPr>
          <w:rFonts w:ascii="Palatino Linotype" w:eastAsia="Palatino Linotype" w:hAnsi="Palatino Linotype" w:cs="Palatino Linotype"/>
          <w:sz w:val="22"/>
          <w:szCs w:val="22"/>
        </w:rPr>
      </w:pPr>
    </w:p>
    <w:p w14:paraId="08D2D480"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b/>
          <w:sz w:val="22"/>
          <w:szCs w:val="22"/>
        </w:rPr>
        <w:t>5. Admisión del Recurso de revisión.</w:t>
      </w:r>
      <w:r w:rsidRPr="00FC0BE9">
        <w:rPr>
          <w:rFonts w:ascii="Palatino Linotype" w:eastAsia="Palatino Linotype" w:hAnsi="Palatino Linotype" w:cs="Palatino Linotype"/>
          <w:sz w:val="22"/>
          <w:szCs w:val="22"/>
        </w:rPr>
        <w:t xml:space="preserve"> El </w:t>
      </w:r>
      <w:r w:rsidRPr="00FC0BE9">
        <w:rPr>
          <w:rFonts w:ascii="Palatino Linotype" w:eastAsia="Palatino Linotype" w:hAnsi="Palatino Linotype" w:cs="Palatino Linotype"/>
          <w:b/>
          <w:sz w:val="22"/>
          <w:szCs w:val="22"/>
        </w:rPr>
        <w:t xml:space="preserve">dieciséis de junio de dos mil veinticinco, </w:t>
      </w:r>
      <w:r w:rsidRPr="00FC0BE9">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FC0BE9">
        <w:rPr>
          <w:rFonts w:ascii="Palatino Linotype" w:eastAsia="Palatino Linotype" w:hAnsi="Palatino Linotype" w:cs="Palatino Linotype"/>
          <w:b/>
          <w:sz w:val="22"/>
          <w:szCs w:val="22"/>
        </w:rPr>
        <w:t xml:space="preserve">Sujeto Obligado </w:t>
      </w:r>
      <w:r w:rsidRPr="00FC0BE9">
        <w:rPr>
          <w:rFonts w:ascii="Palatino Linotype" w:eastAsia="Palatino Linotype" w:hAnsi="Palatino Linotype" w:cs="Palatino Linotype"/>
          <w:sz w:val="22"/>
          <w:szCs w:val="22"/>
        </w:rPr>
        <w:t>presentara su informe justificado.</w:t>
      </w:r>
    </w:p>
    <w:p w14:paraId="1B2EE30E"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70C95E89" w14:textId="77777777" w:rsidR="00AA685F" w:rsidRPr="00FC0BE9" w:rsidRDefault="00B85946">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bookmarkStart w:id="6" w:name="_heading=h.2s8eyo1" w:colFirst="0" w:colLast="0"/>
      <w:bookmarkEnd w:id="6"/>
      <w:r w:rsidRPr="00FC0BE9">
        <w:rPr>
          <w:rFonts w:ascii="Palatino Linotype" w:eastAsia="Palatino Linotype" w:hAnsi="Palatino Linotype" w:cs="Palatino Linotype"/>
          <w:b/>
          <w:sz w:val="22"/>
          <w:szCs w:val="22"/>
        </w:rPr>
        <w:t>6. Manifestaciones</w:t>
      </w:r>
      <w:r w:rsidRPr="00FC0BE9">
        <w:rPr>
          <w:rFonts w:ascii="Palatino Linotype" w:eastAsia="Palatino Linotype" w:hAnsi="Palatino Linotype" w:cs="Palatino Linotype"/>
          <w:sz w:val="22"/>
          <w:szCs w:val="22"/>
        </w:rPr>
        <w:t xml:space="preserve">. De las constancias que integran el expediente en que se actúa se advierte que durante el periodo de manifestaciones, el </w:t>
      </w:r>
      <w:r w:rsidRPr="00FC0BE9">
        <w:rPr>
          <w:rFonts w:ascii="Palatino Linotype" w:eastAsia="Palatino Linotype" w:hAnsi="Palatino Linotype" w:cs="Palatino Linotype"/>
          <w:b/>
          <w:sz w:val="22"/>
          <w:szCs w:val="22"/>
        </w:rPr>
        <w:t xml:space="preserve">Sujeto Obligado </w:t>
      </w:r>
      <w:r w:rsidRPr="00FC0BE9">
        <w:rPr>
          <w:rFonts w:ascii="Palatino Linotype" w:eastAsia="Palatino Linotype" w:hAnsi="Palatino Linotype" w:cs="Palatino Linotype"/>
          <w:sz w:val="22"/>
          <w:szCs w:val="22"/>
        </w:rPr>
        <w:t>en fecha diez de junio de dos mil veinticinco rindió su informe su informe justificado, a través del archivo electrónico denominado “</w:t>
      </w:r>
      <w:r w:rsidRPr="00FC0BE9">
        <w:rPr>
          <w:rFonts w:ascii="Palatino Linotype" w:eastAsia="Palatino Linotype" w:hAnsi="Palatino Linotype" w:cs="Palatino Linotype"/>
          <w:b/>
          <w:i/>
          <w:sz w:val="22"/>
          <w:szCs w:val="22"/>
        </w:rPr>
        <w:t>2. Ratificación RR-6849-2025.pdf</w:t>
      </w:r>
      <w:r w:rsidRPr="00FC0BE9">
        <w:rPr>
          <w:rFonts w:ascii="Palatino Linotype" w:eastAsia="Palatino Linotype" w:hAnsi="Palatino Linotype" w:cs="Palatino Linotype"/>
          <w:sz w:val="22"/>
          <w:szCs w:val="22"/>
        </w:rPr>
        <w:t xml:space="preserve">” a través del cual medularmente se </w:t>
      </w:r>
      <w:r w:rsidRPr="00FC0BE9">
        <w:rPr>
          <w:rFonts w:ascii="Palatino Linotype" w:eastAsia="Palatino Linotype" w:hAnsi="Palatino Linotype" w:cs="Palatino Linotype"/>
          <w:b/>
          <w:sz w:val="22"/>
          <w:szCs w:val="22"/>
        </w:rPr>
        <w:t>ratificó la respuesta inicial.</w:t>
      </w:r>
    </w:p>
    <w:p w14:paraId="783C8E6D" w14:textId="77777777" w:rsidR="00AA685F" w:rsidRPr="00FC0BE9" w:rsidRDefault="00AA685F">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4630D1BA" w14:textId="77777777" w:rsidR="00AA685F" w:rsidRPr="00FC0BE9" w:rsidRDefault="00B85946">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 xml:space="preserve">Documento el anterior que se puso a la vista de la parte </w:t>
      </w:r>
      <w:r w:rsidRPr="00FC0BE9">
        <w:rPr>
          <w:rFonts w:ascii="Palatino Linotype" w:eastAsia="Palatino Linotype" w:hAnsi="Palatino Linotype" w:cs="Palatino Linotype"/>
          <w:b/>
          <w:sz w:val="22"/>
          <w:szCs w:val="22"/>
        </w:rPr>
        <w:t>Recurrente</w:t>
      </w:r>
      <w:r w:rsidRPr="00FC0BE9">
        <w:rPr>
          <w:rFonts w:ascii="Palatino Linotype" w:eastAsia="Palatino Linotype" w:hAnsi="Palatino Linotype" w:cs="Palatino Linotype"/>
          <w:sz w:val="22"/>
          <w:szCs w:val="22"/>
        </w:rPr>
        <w:t>, a fin de que hiciera valer manifestaciones o alegatos que conforme a derecho resultaran procedentes; no obstante, fue omisa en ejercer dicha prerrogativa.</w:t>
      </w:r>
    </w:p>
    <w:p w14:paraId="59EA9639" w14:textId="77777777" w:rsidR="00AA685F" w:rsidRPr="00FC0BE9" w:rsidRDefault="00AA685F">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sz w:val="22"/>
          <w:szCs w:val="22"/>
        </w:rPr>
      </w:pPr>
    </w:p>
    <w:p w14:paraId="1791F7C1" w14:textId="77777777" w:rsidR="00AA685F" w:rsidRPr="00FC0BE9" w:rsidRDefault="00B85946">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b/>
          <w:sz w:val="22"/>
          <w:szCs w:val="22"/>
        </w:rPr>
        <w:t>7. Ampliación del término para resolver</w:t>
      </w:r>
      <w:r w:rsidRPr="00FC0BE9">
        <w:rPr>
          <w:rFonts w:ascii="Palatino Linotype" w:eastAsia="Palatino Linotype" w:hAnsi="Palatino Linotype" w:cs="Palatino Linotype"/>
          <w:sz w:val="22"/>
          <w:szCs w:val="22"/>
        </w:rPr>
        <w:t xml:space="preserve">. Mediante acuerdo del </w:t>
      </w:r>
      <w:r w:rsidRPr="00FC0BE9">
        <w:rPr>
          <w:rFonts w:ascii="Palatino Linotype" w:eastAsia="Palatino Linotype" w:hAnsi="Palatino Linotype" w:cs="Palatino Linotype"/>
          <w:b/>
          <w:sz w:val="22"/>
          <w:szCs w:val="22"/>
        </w:rPr>
        <w:t>treinta de septiembre de dos mil veinticinco</w:t>
      </w:r>
      <w:r w:rsidRPr="00FC0BE9">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p>
    <w:p w14:paraId="55DA61EE"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35EBD7DB"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33C4B1B8"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1BE2AC6C"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61FD7723"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53D053A1"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A252020"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7D4E6741"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3DC1DBA"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6E6D3ECF" w14:textId="77777777" w:rsidR="00AA685F" w:rsidRPr="00FC0BE9" w:rsidRDefault="00B85946">
      <w:pPr>
        <w:spacing w:line="360" w:lineRule="auto"/>
        <w:jc w:val="both"/>
        <w:rPr>
          <w:rFonts w:ascii="Palatino Linotype" w:eastAsia="Palatino Linotype" w:hAnsi="Palatino Linotype" w:cs="Palatino Linotype"/>
          <w:strike/>
          <w:sz w:val="22"/>
          <w:szCs w:val="22"/>
        </w:rPr>
      </w:pPr>
      <w:r w:rsidRPr="00FC0BE9">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700F8E05"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1FC85BB7" w14:textId="77777777" w:rsidR="00AA685F" w:rsidRPr="00FC0BE9" w:rsidRDefault="00B85946">
      <w:pPr>
        <w:numPr>
          <w:ilvl w:val="0"/>
          <w:numId w:val="6"/>
        </w:num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b/>
          <w:sz w:val="22"/>
          <w:szCs w:val="22"/>
        </w:rPr>
        <w:t>Complejidad del Asunto:</w:t>
      </w:r>
      <w:r w:rsidRPr="00FC0BE9">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647345BC" w14:textId="77777777" w:rsidR="00AA685F" w:rsidRPr="00FC0BE9" w:rsidRDefault="00AA685F">
      <w:pPr>
        <w:spacing w:line="360" w:lineRule="auto"/>
        <w:ind w:left="927"/>
        <w:jc w:val="both"/>
        <w:rPr>
          <w:rFonts w:ascii="Palatino Linotype" w:eastAsia="Palatino Linotype" w:hAnsi="Palatino Linotype" w:cs="Palatino Linotype"/>
          <w:sz w:val="22"/>
          <w:szCs w:val="22"/>
        </w:rPr>
      </w:pPr>
    </w:p>
    <w:p w14:paraId="3547175D" w14:textId="77777777" w:rsidR="00AA685F" w:rsidRPr="00FC0BE9" w:rsidRDefault="00B85946">
      <w:pPr>
        <w:numPr>
          <w:ilvl w:val="0"/>
          <w:numId w:val="6"/>
        </w:num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b/>
          <w:sz w:val="22"/>
          <w:szCs w:val="22"/>
        </w:rPr>
        <w:t>Actividad Procesal del interesado.</w:t>
      </w:r>
      <w:r w:rsidRPr="00FC0BE9">
        <w:rPr>
          <w:rFonts w:ascii="Palatino Linotype" w:eastAsia="Palatino Linotype" w:hAnsi="Palatino Linotype" w:cs="Palatino Linotype"/>
          <w:sz w:val="22"/>
          <w:szCs w:val="22"/>
        </w:rPr>
        <w:t xml:space="preserve"> Acciones u omisiones del interesado.</w:t>
      </w:r>
    </w:p>
    <w:p w14:paraId="03580B01" w14:textId="77777777" w:rsidR="00AA685F" w:rsidRPr="00FC0BE9" w:rsidRDefault="00AA685F">
      <w:pPr>
        <w:spacing w:line="360" w:lineRule="auto"/>
        <w:ind w:left="927"/>
        <w:jc w:val="both"/>
        <w:rPr>
          <w:rFonts w:ascii="Palatino Linotype" w:eastAsia="Palatino Linotype" w:hAnsi="Palatino Linotype" w:cs="Palatino Linotype"/>
          <w:sz w:val="22"/>
          <w:szCs w:val="22"/>
        </w:rPr>
      </w:pPr>
    </w:p>
    <w:p w14:paraId="63AACC06" w14:textId="77777777" w:rsidR="00AA685F" w:rsidRPr="00FC0BE9" w:rsidRDefault="00B85946">
      <w:pPr>
        <w:numPr>
          <w:ilvl w:val="0"/>
          <w:numId w:val="6"/>
        </w:num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b/>
          <w:sz w:val="22"/>
          <w:szCs w:val="22"/>
        </w:rPr>
        <w:t>Conducta de la Autoridad:</w:t>
      </w:r>
      <w:r w:rsidRPr="00FC0BE9">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2A61F7E5" w14:textId="77777777" w:rsidR="00AA685F" w:rsidRPr="00FC0BE9" w:rsidRDefault="00AA685F">
      <w:pPr>
        <w:spacing w:line="360" w:lineRule="auto"/>
        <w:ind w:left="927"/>
        <w:jc w:val="both"/>
        <w:rPr>
          <w:rFonts w:ascii="Palatino Linotype" w:eastAsia="Palatino Linotype" w:hAnsi="Palatino Linotype" w:cs="Palatino Linotype"/>
          <w:sz w:val="22"/>
          <w:szCs w:val="22"/>
        </w:rPr>
      </w:pPr>
    </w:p>
    <w:p w14:paraId="0B6FCD62" w14:textId="77777777" w:rsidR="00AA685F" w:rsidRPr="00FC0BE9" w:rsidRDefault="00B85946">
      <w:pPr>
        <w:numPr>
          <w:ilvl w:val="0"/>
          <w:numId w:val="6"/>
        </w:num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 xml:space="preserve"> </w:t>
      </w:r>
      <w:r w:rsidRPr="00FC0BE9">
        <w:rPr>
          <w:rFonts w:ascii="Palatino Linotype" w:eastAsia="Palatino Linotype" w:hAnsi="Palatino Linotype" w:cs="Palatino Linotype"/>
          <w:b/>
          <w:sz w:val="22"/>
          <w:szCs w:val="22"/>
        </w:rPr>
        <w:t xml:space="preserve">La afectación generada en la situación jurídica de la persona involucrada en el proceso: </w:t>
      </w:r>
      <w:r w:rsidRPr="00FC0BE9">
        <w:rPr>
          <w:rFonts w:ascii="Palatino Linotype" w:eastAsia="Palatino Linotype" w:hAnsi="Palatino Linotype" w:cs="Palatino Linotype"/>
          <w:sz w:val="22"/>
          <w:szCs w:val="22"/>
        </w:rPr>
        <w:t>Violación a sus derechos humanos.</w:t>
      </w:r>
    </w:p>
    <w:p w14:paraId="5B26DD20"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7CFDFB20"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697E70C"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7C878AE7" w14:textId="77777777" w:rsidR="00AA685F" w:rsidRPr="00FC0BE9" w:rsidRDefault="00B85946">
      <w:pPr>
        <w:spacing w:line="360" w:lineRule="auto"/>
        <w:jc w:val="both"/>
        <w:rPr>
          <w:rFonts w:ascii="Palatino Linotype" w:eastAsia="Palatino Linotype" w:hAnsi="Palatino Linotype" w:cs="Palatino Linotype"/>
          <w:b/>
          <w:sz w:val="22"/>
          <w:szCs w:val="22"/>
        </w:rPr>
      </w:pPr>
      <w:r w:rsidRPr="00FC0BE9">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FC0BE9">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FC0BE9">
        <w:rPr>
          <w:rFonts w:ascii="Palatino Linotype" w:eastAsia="Palatino Linotype" w:hAnsi="Palatino Linotype" w:cs="Palatino Linotype"/>
          <w:sz w:val="22"/>
          <w:szCs w:val="22"/>
        </w:rPr>
        <w:t>, visible en la Gaceta del Seminario Judicial de la Federación con el registro digital 205635.</w:t>
      </w:r>
    </w:p>
    <w:p w14:paraId="76E8AE0F"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576A7640"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A475862"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0E1666FF"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0C79EB61"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3C479831" w14:textId="77777777" w:rsidR="00AA685F" w:rsidRPr="00FC0BE9" w:rsidRDefault="00B85946">
      <w:pPr>
        <w:spacing w:line="360" w:lineRule="auto"/>
        <w:ind w:left="567" w:right="616"/>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 xml:space="preserve"> </w:t>
      </w:r>
      <w:r w:rsidRPr="00FC0BE9">
        <w:rPr>
          <w:rFonts w:ascii="Palatino Linotype" w:eastAsia="Palatino Linotype" w:hAnsi="Palatino Linotype" w:cs="Palatino Linotype"/>
          <w:i/>
          <w:sz w:val="22"/>
          <w:szCs w:val="22"/>
        </w:rPr>
        <w:t>“PLAZO RAZONABLE PARA RESOLVER. DIMENSIÓN Y EFECTOS DE ESTE CONCEPTO CUANDO SE ADUCE EXCESIVA CARGA DE TRABAJO.”</w:t>
      </w:r>
      <w:r w:rsidRPr="00FC0BE9">
        <w:rPr>
          <w:rFonts w:ascii="Palatino Linotype" w:eastAsia="Palatino Linotype" w:hAnsi="Palatino Linotype" w:cs="Palatino Linotype"/>
          <w:sz w:val="22"/>
          <w:szCs w:val="22"/>
        </w:rPr>
        <w:t xml:space="preserve"> consultable en el Seminario Judicial de la Federación y su gaceta, con el registro digital 2002351.</w:t>
      </w:r>
    </w:p>
    <w:p w14:paraId="21A6733C" w14:textId="77777777" w:rsidR="00AA685F" w:rsidRPr="00FC0BE9" w:rsidRDefault="00AA685F">
      <w:pPr>
        <w:spacing w:line="360" w:lineRule="auto"/>
        <w:ind w:left="567" w:right="616"/>
        <w:jc w:val="both"/>
        <w:rPr>
          <w:rFonts w:ascii="Palatino Linotype" w:eastAsia="Palatino Linotype" w:hAnsi="Palatino Linotype" w:cs="Palatino Linotype"/>
          <w:b/>
          <w:sz w:val="22"/>
          <w:szCs w:val="22"/>
        </w:rPr>
      </w:pPr>
    </w:p>
    <w:p w14:paraId="099F79B3" w14:textId="77777777" w:rsidR="00AA685F" w:rsidRPr="00FC0BE9" w:rsidRDefault="00B85946">
      <w:pPr>
        <w:spacing w:line="360" w:lineRule="auto"/>
        <w:ind w:left="567" w:right="616"/>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i/>
          <w:sz w:val="22"/>
          <w:szCs w:val="22"/>
        </w:rPr>
        <w:t>“PLAZO RAZONABLE PARA RESOLVER. CONCEPTO Y ELEMENTOS QUE LO INTEGRAN A LA LUZ DEL DERECHO INTERNACIONAL DE LOS DERECHOS HUMANOS.”</w:t>
      </w:r>
      <w:r w:rsidRPr="00FC0BE9">
        <w:rPr>
          <w:rFonts w:ascii="Palatino Linotype" w:eastAsia="Palatino Linotype" w:hAnsi="Palatino Linotype" w:cs="Palatino Linotype"/>
          <w:sz w:val="22"/>
          <w:szCs w:val="22"/>
        </w:rPr>
        <w:t>, visible en el Seminario Judicial de la Federación y su gaceta, con el registro digital 2002350.</w:t>
      </w:r>
    </w:p>
    <w:p w14:paraId="460C84A5" w14:textId="77777777" w:rsidR="00AA685F" w:rsidRPr="00FC0BE9" w:rsidRDefault="00AA685F">
      <w:pPr>
        <w:spacing w:line="360" w:lineRule="auto"/>
        <w:ind w:left="567" w:right="616"/>
        <w:jc w:val="both"/>
        <w:rPr>
          <w:rFonts w:ascii="Palatino Linotype" w:eastAsia="Palatino Linotype" w:hAnsi="Palatino Linotype" w:cs="Palatino Linotype"/>
          <w:sz w:val="22"/>
          <w:szCs w:val="22"/>
        </w:rPr>
      </w:pPr>
    </w:p>
    <w:p w14:paraId="694985C1"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Por ello, este organismo garante comprometido con la tutela de los derechos humanos confiados, señala que este exceso de plazo legal para resolver el presente asunto, resulta de carácter excepcional.</w:t>
      </w:r>
    </w:p>
    <w:p w14:paraId="449D38D2"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5E99A5DB" w14:textId="77777777" w:rsidR="00AA685F" w:rsidRPr="00FC0BE9" w:rsidRDefault="00B85946">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b/>
          <w:sz w:val="22"/>
          <w:szCs w:val="22"/>
        </w:rPr>
        <w:t xml:space="preserve">8. Cierre de instrucción. </w:t>
      </w:r>
      <w:r w:rsidRPr="00FC0BE9">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Pr="00FC0BE9">
        <w:rPr>
          <w:rFonts w:ascii="Palatino Linotype" w:eastAsia="Palatino Linotype" w:hAnsi="Palatino Linotype" w:cs="Palatino Linotype"/>
          <w:b/>
          <w:sz w:val="22"/>
          <w:szCs w:val="22"/>
        </w:rPr>
        <w:t>seis de octubre de dos mil veinticinco,</w:t>
      </w:r>
      <w:r w:rsidRPr="00FC0BE9">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14:paraId="477CAD08" w14:textId="77777777" w:rsidR="00AA685F" w:rsidRPr="00FC0BE9" w:rsidRDefault="00AA685F">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sz w:val="22"/>
          <w:szCs w:val="22"/>
        </w:rPr>
      </w:pPr>
    </w:p>
    <w:p w14:paraId="1506EA05" w14:textId="77777777" w:rsidR="00AA685F" w:rsidRPr="00FC0BE9" w:rsidRDefault="00B85946">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454C7AB0" w14:textId="77777777" w:rsidR="00AA685F" w:rsidRPr="00FC0BE9" w:rsidRDefault="00B85946">
      <w:pPr>
        <w:widowControl w:val="0"/>
        <w:spacing w:before="240" w:after="240" w:line="360" w:lineRule="auto"/>
        <w:jc w:val="center"/>
        <w:rPr>
          <w:rFonts w:ascii="Palatino Linotype" w:eastAsia="Palatino Linotype" w:hAnsi="Palatino Linotype" w:cs="Palatino Linotype"/>
          <w:b/>
          <w:sz w:val="22"/>
          <w:szCs w:val="22"/>
        </w:rPr>
      </w:pPr>
      <w:r w:rsidRPr="00FC0BE9">
        <w:rPr>
          <w:rFonts w:ascii="Palatino Linotype" w:eastAsia="Palatino Linotype" w:hAnsi="Palatino Linotype" w:cs="Palatino Linotype"/>
          <w:b/>
          <w:sz w:val="22"/>
          <w:szCs w:val="22"/>
        </w:rPr>
        <w:t>II. C O N S I D E R A N D O S</w:t>
      </w:r>
    </w:p>
    <w:p w14:paraId="220B869C"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b/>
          <w:sz w:val="22"/>
          <w:szCs w:val="22"/>
        </w:rPr>
        <w:t>Primero. Competencia.</w:t>
      </w:r>
      <w:r w:rsidRPr="00FC0BE9">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noveno, cuadragésimo y cuadragésimo primero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F37CBE4"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0A95ACAB" w14:textId="77777777" w:rsidR="00AA685F" w:rsidRPr="00FC0BE9" w:rsidRDefault="00B85946">
      <w:pPr>
        <w:spacing w:line="360" w:lineRule="auto"/>
        <w:jc w:val="both"/>
        <w:rPr>
          <w:rFonts w:ascii="Palatino Linotype" w:eastAsia="Palatino Linotype" w:hAnsi="Palatino Linotype" w:cs="Palatino Linotype"/>
          <w:sz w:val="22"/>
          <w:szCs w:val="22"/>
        </w:rPr>
      </w:pPr>
      <w:bookmarkStart w:id="7" w:name="_heading=h.tyjcwt" w:colFirst="0" w:colLast="0"/>
      <w:bookmarkEnd w:id="7"/>
      <w:r w:rsidRPr="00FC0BE9">
        <w:rPr>
          <w:rFonts w:ascii="Palatino Linotype" w:eastAsia="Palatino Linotype" w:hAnsi="Palatino Linotype" w:cs="Palatino Linotype"/>
          <w:b/>
          <w:sz w:val="22"/>
          <w:szCs w:val="22"/>
        </w:rPr>
        <w:t>Segundo. Oportunidad y Procedibilidad del Recurso de Revisión</w:t>
      </w:r>
      <w:r w:rsidRPr="00FC0BE9">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2B0DD07F"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4C0470B4"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FC0BE9">
        <w:rPr>
          <w:rFonts w:ascii="Palatino Linotype" w:eastAsia="Palatino Linotype" w:hAnsi="Palatino Linotype" w:cs="Palatino Linotype"/>
          <w:b/>
          <w:sz w:val="22"/>
          <w:szCs w:val="22"/>
        </w:rPr>
        <w:t xml:space="preserve">Sujeto Obligado </w:t>
      </w:r>
      <w:r w:rsidRPr="00FC0BE9">
        <w:rPr>
          <w:rFonts w:ascii="Palatino Linotype" w:eastAsia="Palatino Linotype" w:hAnsi="Palatino Linotype" w:cs="Palatino Linotype"/>
          <w:sz w:val="22"/>
          <w:szCs w:val="22"/>
        </w:rPr>
        <w:t>remitió la respuesta a la solicitud de información el</w:t>
      </w:r>
      <w:r w:rsidRPr="00FC0BE9">
        <w:t xml:space="preserve"> </w:t>
      </w:r>
      <w:r w:rsidRPr="00FC0BE9">
        <w:rPr>
          <w:rFonts w:ascii="Palatino Linotype" w:eastAsia="Palatino Linotype" w:hAnsi="Palatino Linotype" w:cs="Palatino Linotype"/>
          <w:b/>
          <w:sz w:val="22"/>
          <w:szCs w:val="22"/>
        </w:rPr>
        <w:t xml:space="preserve">veintiuno de mayo de dos mil veinticinco, </w:t>
      </w:r>
      <w:r w:rsidRPr="00FC0BE9">
        <w:rPr>
          <w:rFonts w:ascii="Palatino Linotype" w:eastAsia="Palatino Linotype" w:hAnsi="Palatino Linotype" w:cs="Palatino Linotype"/>
          <w:sz w:val="22"/>
          <w:szCs w:val="22"/>
        </w:rPr>
        <w:t xml:space="preserve">mientras que el recurso de revisión interpuesto por </w:t>
      </w:r>
      <w:r w:rsidRPr="00FC0BE9">
        <w:rPr>
          <w:rFonts w:ascii="Palatino Linotype" w:eastAsia="Palatino Linotype" w:hAnsi="Palatino Linotype" w:cs="Palatino Linotype"/>
          <w:b/>
          <w:sz w:val="22"/>
          <w:szCs w:val="22"/>
        </w:rPr>
        <w:t>la parte</w:t>
      </w:r>
      <w:r w:rsidRPr="00FC0BE9">
        <w:rPr>
          <w:rFonts w:ascii="Palatino Linotype" w:eastAsia="Palatino Linotype" w:hAnsi="Palatino Linotype" w:cs="Palatino Linotype"/>
          <w:sz w:val="22"/>
          <w:szCs w:val="22"/>
        </w:rPr>
        <w:t xml:space="preserve"> </w:t>
      </w:r>
      <w:r w:rsidRPr="00FC0BE9">
        <w:rPr>
          <w:rFonts w:ascii="Palatino Linotype" w:eastAsia="Palatino Linotype" w:hAnsi="Palatino Linotype" w:cs="Palatino Linotype"/>
          <w:b/>
          <w:sz w:val="22"/>
          <w:szCs w:val="22"/>
        </w:rPr>
        <w:t>Recurrente</w:t>
      </w:r>
      <w:r w:rsidRPr="00FC0BE9">
        <w:rPr>
          <w:rFonts w:ascii="Palatino Linotype" w:eastAsia="Palatino Linotype" w:hAnsi="Palatino Linotype" w:cs="Palatino Linotype"/>
          <w:sz w:val="22"/>
          <w:szCs w:val="22"/>
        </w:rPr>
        <w:t xml:space="preserve">, se tuvo por presentado el </w:t>
      </w:r>
      <w:r w:rsidRPr="00FC0BE9">
        <w:rPr>
          <w:rFonts w:ascii="Palatino Linotype" w:eastAsia="Palatino Linotype" w:hAnsi="Palatino Linotype" w:cs="Palatino Linotype"/>
          <w:b/>
          <w:sz w:val="22"/>
          <w:szCs w:val="22"/>
        </w:rPr>
        <w:t>once de junio de dos mil veinticinco</w:t>
      </w:r>
      <w:r w:rsidRPr="00FC0BE9">
        <w:rPr>
          <w:rFonts w:ascii="Palatino Linotype" w:eastAsia="Palatino Linotype" w:hAnsi="Palatino Linotype" w:cs="Palatino Linotype"/>
          <w:sz w:val="22"/>
          <w:szCs w:val="22"/>
        </w:rPr>
        <w:t xml:space="preserve"> esto es, el </w:t>
      </w:r>
      <w:r w:rsidRPr="00FC0BE9">
        <w:rPr>
          <w:rFonts w:ascii="Palatino Linotype" w:eastAsia="Palatino Linotype" w:hAnsi="Palatino Linotype" w:cs="Palatino Linotype"/>
          <w:b/>
          <w:sz w:val="22"/>
          <w:szCs w:val="22"/>
          <w:u w:val="single"/>
        </w:rPr>
        <w:t>décimo quinto</w:t>
      </w:r>
      <w:r w:rsidRPr="00FC0BE9">
        <w:rPr>
          <w:rFonts w:ascii="Palatino Linotype" w:eastAsia="Palatino Linotype" w:hAnsi="Palatino Linotype" w:cs="Palatino Linotype"/>
          <w:sz w:val="22"/>
          <w:szCs w:val="22"/>
        </w:rPr>
        <w:t xml:space="preserve"> día hábil siguiente a aquel </w:t>
      </w:r>
      <w:r w:rsidRPr="00FC0BE9">
        <w:rPr>
          <w:rFonts w:ascii="Palatino Linotype" w:eastAsia="Palatino Linotype" w:hAnsi="Palatino Linotype" w:cs="Palatino Linotype"/>
          <w:b/>
          <w:sz w:val="22"/>
          <w:szCs w:val="22"/>
        </w:rPr>
        <w:t>en que se tuvo conocimiento de la respuesta impugnada</w:t>
      </w:r>
      <w:r w:rsidRPr="00FC0BE9">
        <w:rPr>
          <w:rFonts w:ascii="Palatino Linotype" w:eastAsia="Palatino Linotype" w:hAnsi="Palatino Linotype" w:cs="Palatino Linotype"/>
          <w:sz w:val="22"/>
          <w:szCs w:val="22"/>
        </w:rPr>
        <w:t xml:space="preserve">. </w:t>
      </w:r>
    </w:p>
    <w:p w14:paraId="616477B0"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66509405"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En este sentido, se concluye que el presente recurso de revisión se encuentra dentro de los márgenes temporales previstos en las disposiciones legales referidas.</w:t>
      </w:r>
    </w:p>
    <w:p w14:paraId="3C4B7209"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3562A487" w14:textId="77777777" w:rsidR="00AA685F" w:rsidRPr="00FC0BE9" w:rsidRDefault="00B85946">
      <w:pPr>
        <w:tabs>
          <w:tab w:val="left" w:pos="7938"/>
        </w:tabs>
        <w:spacing w:line="360" w:lineRule="auto"/>
        <w:jc w:val="both"/>
        <w:rPr>
          <w:rFonts w:ascii="Palatino Linotype" w:eastAsia="Palatino Linotype" w:hAnsi="Palatino Linotype" w:cs="Palatino Linotype"/>
          <w:sz w:val="22"/>
          <w:szCs w:val="22"/>
        </w:rPr>
      </w:pPr>
      <w:bookmarkStart w:id="8" w:name="_heading=h.3znysh7" w:colFirst="0" w:colLast="0"/>
      <w:bookmarkEnd w:id="8"/>
      <w:r w:rsidRPr="00FC0BE9">
        <w:rPr>
          <w:rFonts w:ascii="Palatino Linotype" w:eastAsia="Palatino Linotype" w:hAnsi="Palatino Linotype" w:cs="Palatino Linotype"/>
          <w:sz w:val="22"/>
          <w:szCs w:val="22"/>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244EA00B" w14:textId="77777777" w:rsidR="00AA685F" w:rsidRPr="00FC0BE9" w:rsidRDefault="00AA685F">
      <w:pPr>
        <w:tabs>
          <w:tab w:val="left" w:pos="7938"/>
        </w:tabs>
        <w:spacing w:line="360" w:lineRule="auto"/>
        <w:jc w:val="both"/>
        <w:rPr>
          <w:rFonts w:ascii="Palatino Linotype" w:eastAsia="Palatino Linotype" w:hAnsi="Palatino Linotype" w:cs="Palatino Linotype"/>
          <w:sz w:val="22"/>
          <w:szCs w:val="22"/>
        </w:rPr>
      </w:pPr>
    </w:p>
    <w:p w14:paraId="775E8708"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Por otro lado, es de suma importancia mencionar que, si bien la parte</w:t>
      </w:r>
      <w:r w:rsidRPr="00FC0BE9">
        <w:rPr>
          <w:rFonts w:ascii="Palatino Linotype" w:eastAsia="Palatino Linotype" w:hAnsi="Palatino Linotype" w:cs="Palatino Linotype"/>
          <w:b/>
          <w:sz w:val="22"/>
          <w:szCs w:val="22"/>
        </w:rPr>
        <w:t xml:space="preserve"> Recurrente</w:t>
      </w:r>
      <w:r w:rsidRPr="00FC0BE9">
        <w:rPr>
          <w:rFonts w:ascii="Palatino Linotype" w:eastAsia="Palatino Linotype" w:hAnsi="Palatino Linotype" w:cs="Palatino Linotype"/>
          <w:sz w:val="22"/>
          <w:szCs w:val="22"/>
        </w:rPr>
        <w:t xml:space="preserve"> </w:t>
      </w:r>
      <w:r w:rsidRPr="00FC0BE9">
        <w:rPr>
          <w:rFonts w:ascii="Palatino Linotype" w:eastAsia="Palatino Linotype" w:hAnsi="Palatino Linotype" w:cs="Palatino Linotype"/>
          <w:b/>
          <w:sz w:val="22"/>
          <w:szCs w:val="22"/>
        </w:rPr>
        <w:t>no</w:t>
      </w:r>
      <w:r w:rsidRPr="00FC0BE9">
        <w:rPr>
          <w:rFonts w:ascii="Palatino Linotype" w:eastAsia="Palatino Linotype" w:hAnsi="Palatino Linotype" w:cs="Palatino Linotype"/>
          <w:sz w:val="22"/>
          <w:szCs w:val="22"/>
        </w:rPr>
        <w:t xml:space="preserve"> </w:t>
      </w:r>
      <w:r w:rsidRPr="00FC0BE9">
        <w:rPr>
          <w:rFonts w:ascii="Palatino Linotype" w:eastAsia="Palatino Linotype" w:hAnsi="Palatino Linotype" w:cs="Palatino Linotype"/>
          <w:b/>
          <w:sz w:val="22"/>
          <w:szCs w:val="22"/>
        </w:rPr>
        <w:t>proporcionó nombre,</w:t>
      </w:r>
      <w:r w:rsidRPr="00FC0BE9">
        <w:rPr>
          <w:rFonts w:ascii="Palatino Linotype" w:eastAsia="Palatino Linotype" w:hAnsi="Palatino Linotype" w:cs="Palatino Linotype"/>
          <w:sz w:val="22"/>
          <w:szCs w:val="22"/>
        </w:rPr>
        <w:t xml:space="preserv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006F313A"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44C0202A" w14:textId="77777777" w:rsidR="00AA685F" w:rsidRPr="00FC0BE9" w:rsidRDefault="00B85946">
      <w:pPr>
        <w:spacing w:line="276" w:lineRule="auto"/>
        <w:ind w:left="851" w:right="902"/>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i/>
          <w:sz w:val="22"/>
          <w:szCs w:val="22"/>
        </w:rPr>
        <w:t>"</w:t>
      </w:r>
      <w:r w:rsidRPr="00FC0BE9">
        <w:rPr>
          <w:rFonts w:ascii="Palatino Linotype" w:eastAsia="Palatino Linotype" w:hAnsi="Palatino Linotype" w:cs="Palatino Linotype"/>
          <w:b/>
          <w:i/>
          <w:sz w:val="22"/>
          <w:szCs w:val="22"/>
        </w:rPr>
        <w:t>Las solicitudes anónimas,</w:t>
      </w:r>
      <w:r w:rsidRPr="00FC0BE9">
        <w:rPr>
          <w:rFonts w:ascii="Palatino Linotype" w:eastAsia="Palatino Linotype" w:hAnsi="Palatino Linotype" w:cs="Palatino Linotype"/>
          <w:i/>
          <w:sz w:val="22"/>
          <w:szCs w:val="22"/>
        </w:rPr>
        <w:t xml:space="preserve"> con nombre incompleto o seudónimo </w:t>
      </w:r>
      <w:r w:rsidRPr="00FC0BE9">
        <w:rPr>
          <w:rFonts w:ascii="Palatino Linotype" w:eastAsia="Palatino Linotype" w:hAnsi="Palatino Linotype" w:cs="Palatino Linotype"/>
          <w:b/>
          <w:i/>
          <w:sz w:val="22"/>
          <w:szCs w:val="22"/>
        </w:rPr>
        <w:t>serán procedentes para su trámite por parte del sujeto obligado ante quien se presente</w:t>
      </w:r>
      <w:r w:rsidRPr="00FC0BE9">
        <w:rPr>
          <w:rFonts w:ascii="Palatino Linotype" w:eastAsia="Palatino Linotype" w:hAnsi="Palatino Linotype" w:cs="Palatino Linotype"/>
          <w:i/>
          <w:sz w:val="22"/>
          <w:szCs w:val="22"/>
        </w:rPr>
        <w:t>. No podrá requerirse información adicional con motivo del nombre proporcionado por el solicitante."</w:t>
      </w:r>
    </w:p>
    <w:p w14:paraId="199EB78A" w14:textId="77777777" w:rsidR="00AA685F" w:rsidRPr="00FC0BE9" w:rsidRDefault="00AA685F">
      <w:pPr>
        <w:tabs>
          <w:tab w:val="left" w:pos="7938"/>
        </w:tabs>
        <w:spacing w:line="360" w:lineRule="auto"/>
        <w:jc w:val="both"/>
        <w:rPr>
          <w:rFonts w:ascii="Palatino Linotype" w:eastAsia="Palatino Linotype" w:hAnsi="Palatino Linotype" w:cs="Palatino Linotype"/>
          <w:sz w:val="22"/>
          <w:szCs w:val="22"/>
        </w:rPr>
      </w:pPr>
    </w:p>
    <w:p w14:paraId="78F3E49F"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 xml:space="preserve">Finalmente, se advierte que resulta procedente la interposición del recurso, según lo manifestado por </w:t>
      </w:r>
      <w:r w:rsidRPr="00FC0BE9">
        <w:rPr>
          <w:rFonts w:ascii="Palatino Linotype" w:eastAsia="Palatino Linotype" w:hAnsi="Palatino Linotype" w:cs="Palatino Linotype"/>
          <w:b/>
          <w:sz w:val="22"/>
          <w:szCs w:val="22"/>
        </w:rPr>
        <w:t>la parte</w:t>
      </w:r>
      <w:r w:rsidRPr="00FC0BE9">
        <w:rPr>
          <w:rFonts w:ascii="Palatino Linotype" w:eastAsia="Palatino Linotype" w:hAnsi="Palatino Linotype" w:cs="Palatino Linotype"/>
          <w:sz w:val="22"/>
          <w:szCs w:val="22"/>
        </w:rPr>
        <w:t xml:space="preserve"> </w:t>
      </w:r>
      <w:r w:rsidRPr="00FC0BE9">
        <w:rPr>
          <w:rFonts w:ascii="Palatino Linotype" w:eastAsia="Palatino Linotype" w:hAnsi="Palatino Linotype" w:cs="Palatino Linotype"/>
          <w:b/>
          <w:sz w:val="22"/>
          <w:szCs w:val="22"/>
        </w:rPr>
        <w:t>Recurrente</w:t>
      </w:r>
      <w:r w:rsidRPr="00FC0BE9">
        <w:rPr>
          <w:rFonts w:ascii="Palatino Linotype" w:eastAsia="Palatino Linotype" w:hAnsi="Palatino Linotype" w:cs="Palatino Linotype"/>
          <w:sz w:val="22"/>
          <w:szCs w:val="22"/>
        </w:rPr>
        <w:t xml:space="preserve"> en sus motivos de inconformidad, de acuerdo al artículo 179, fracción V del ordenamiento legal citado, que a la letra dice: </w:t>
      </w:r>
    </w:p>
    <w:p w14:paraId="3F96B082"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12FE31BD" w14:textId="77777777" w:rsidR="00AA685F" w:rsidRPr="00FC0BE9" w:rsidRDefault="00B85946">
      <w:pPr>
        <w:ind w:left="567" w:right="902"/>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w:t>
      </w:r>
      <w:r w:rsidRPr="00FC0BE9">
        <w:rPr>
          <w:rFonts w:ascii="Palatino Linotype" w:eastAsia="Palatino Linotype" w:hAnsi="Palatino Linotype" w:cs="Palatino Linotype"/>
          <w:b/>
          <w:i/>
          <w:sz w:val="22"/>
          <w:szCs w:val="22"/>
        </w:rPr>
        <w:t>Artículo 179.</w:t>
      </w:r>
      <w:r w:rsidRPr="00FC0BE9">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3CC6D037" w14:textId="77777777" w:rsidR="00AA685F" w:rsidRPr="00FC0BE9" w:rsidRDefault="00B85946">
      <w:pPr>
        <w:ind w:left="567" w:right="902"/>
        <w:jc w:val="both"/>
        <w:rPr>
          <w:rFonts w:ascii="Palatino Linotype" w:eastAsia="Palatino Linotype" w:hAnsi="Palatino Linotype" w:cs="Palatino Linotype"/>
          <w:b/>
          <w:i/>
          <w:sz w:val="22"/>
          <w:szCs w:val="22"/>
        </w:rPr>
      </w:pPr>
      <w:r w:rsidRPr="00FC0BE9">
        <w:rPr>
          <w:rFonts w:ascii="Palatino Linotype" w:eastAsia="Palatino Linotype" w:hAnsi="Palatino Linotype" w:cs="Palatino Linotype"/>
          <w:b/>
          <w:i/>
          <w:sz w:val="22"/>
          <w:szCs w:val="22"/>
        </w:rPr>
        <w:t>[…]</w:t>
      </w:r>
    </w:p>
    <w:p w14:paraId="322E9C6E" w14:textId="77777777" w:rsidR="00AA685F" w:rsidRPr="00FC0BE9" w:rsidRDefault="00B85946">
      <w:pPr>
        <w:ind w:left="567" w:right="902"/>
        <w:jc w:val="both"/>
        <w:rPr>
          <w:rFonts w:ascii="Palatino Linotype" w:eastAsia="Palatino Linotype" w:hAnsi="Palatino Linotype" w:cs="Palatino Linotype"/>
          <w:b/>
          <w:i/>
          <w:sz w:val="22"/>
          <w:szCs w:val="22"/>
        </w:rPr>
      </w:pPr>
      <w:r w:rsidRPr="00FC0BE9">
        <w:rPr>
          <w:rFonts w:ascii="Palatino Linotype" w:eastAsia="Palatino Linotype" w:hAnsi="Palatino Linotype" w:cs="Palatino Linotype"/>
          <w:b/>
          <w:i/>
          <w:sz w:val="22"/>
          <w:szCs w:val="22"/>
        </w:rPr>
        <w:t>V. La entrega de información incompleta;</w:t>
      </w:r>
    </w:p>
    <w:p w14:paraId="4134089E" w14:textId="77777777" w:rsidR="00AA685F" w:rsidRPr="00FC0BE9" w:rsidRDefault="00B85946">
      <w:pPr>
        <w:ind w:left="567" w:right="902"/>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w:t>
      </w:r>
    </w:p>
    <w:p w14:paraId="043B7B61" w14:textId="77777777" w:rsidR="00AA685F" w:rsidRPr="00FC0BE9" w:rsidRDefault="00AA685F">
      <w:pPr>
        <w:ind w:left="567"/>
        <w:rPr>
          <w:rFonts w:ascii="Palatino Linotype" w:eastAsia="Palatino Linotype" w:hAnsi="Palatino Linotype" w:cs="Palatino Linotype"/>
          <w:b/>
          <w:i/>
          <w:sz w:val="22"/>
          <w:szCs w:val="22"/>
        </w:rPr>
      </w:pPr>
    </w:p>
    <w:p w14:paraId="78F8F3E1" w14:textId="77777777" w:rsidR="00AA685F" w:rsidRPr="00FC0BE9" w:rsidRDefault="00B85946">
      <w:pPr>
        <w:ind w:left="567" w:right="900"/>
        <w:jc w:val="right"/>
        <w:rPr>
          <w:rFonts w:ascii="Palatino Linotype" w:eastAsia="Palatino Linotype" w:hAnsi="Palatino Linotype" w:cs="Palatino Linotype"/>
          <w:i/>
          <w:sz w:val="22"/>
          <w:szCs w:val="22"/>
        </w:rPr>
      </w:pPr>
      <w:r w:rsidRPr="00FC0BE9">
        <w:rPr>
          <w:rFonts w:ascii="Palatino Linotype" w:eastAsia="Palatino Linotype" w:hAnsi="Palatino Linotype" w:cs="Palatino Linotype"/>
          <w:b/>
          <w:i/>
          <w:sz w:val="22"/>
          <w:szCs w:val="22"/>
        </w:rPr>
        <w:t xml:space="preserve"> </w:t>
      </w:r>
      <w:r w:rsidRPr="00FC0BE9">
        <w:rPr>
          <w:rFonts w:ascii="Palatino Linotype" w:eastAsia="Palatino Linotype" w:hAnsi="Palatino Linotype" w:cs="Palatino Linotype"/>
          <w:i/>
          <w:sz w:val="22"/>
          <w:szCs w:val="22"/>
        </w:rPr>
        <w:t>(Énfasis añadido)</w:t>
      </w:r>
    </w:p>
    <w:p w14:paraId="01B0EF0F" w14:textId="77777777" w:rsidR="00AA685F" w:rsidRPr="00FC0BE9" w:rsidRDefault="00AA685F">
      <w:pPr>
        <w:ind w:left="567" w:right="900"/>
        <w:jc w:val="right"/>
        <w:rPr>
          <w:rFonts w:ascii="Palatino Linotype" w:eastAsia="Palatino Linotype" w:hAnsi="Palatino Linotype" w:cs="Palatino Linotype"/>
          <w:b/>
          <w:i/>
          <w:sz w:val="22"/>
          <w:szCs w:val="22"/>
        </w:rPr>
      </w:pPr>
    </w:p>
    <w:p w14:paraId="7BCFD0B6" w14:textId="77777777" w:rsidR="00AA685F" w:rsidRPr="00FC0BE9" w:rsidRDefault="00B85946">
      <w:pPr>
        <w:spacing w:line="360" w:lineRule="auto"/>
        <w:jc w:val="both"/>
        <w:rPr>
          <w:rFonts w:ascii="Palatino Linotype" w:eastAsia="Palatino Linotype" w:hAnsi="Palatino Linotype" w:cs="Palatino Linotype"/>
          <w:b/>
          <w:sz w:val="22"/>
          <w:szCs w:val="22"/>
        </w:rPr>
      </w:pPr>
      <w:r w:rsidRPr="00FC0BE9">
        <w:rPr>
          <w:rFonts w:ascii="Palatino Linotype" w:eastAsia="Palatino Linotype" w:hAnsi="Palatino Linotype" w:cs="Palatino Linotype"/>
          <w:b/>
          <w:sz w:val="22"/>
          <w:szCs w:val="22"/>
        </w:rPr>
        <w:t xml:space="preserve">Tercero. Materia de la revisión. </w:t>
      </w:r>
      <w:r w:rsidRPr="00FC0BE9">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FC0BE9">
        <w:rPr>
          <w:rFonts w:ascii="Palatino Linotype" w:eastAsia="Palatino Linotype" w:hAnsi="Palatino Linotype" w:cs="Palatino Linotype"/>
          <w:b/>
          <w:sz w:val="22"/>
          <w:szCs w:val="22"/>
        </w:rPr>
        <w:t>verificar si la información otorgada por el Sujeto Obligado es adecuada y suficiente para satisfacer el derecho de acceso a la información pública de la parte Recurrente,</w:t>
      </w:r>
      <w:r w:rsidRPr="00FC0BE9">
        <w:rPr>
          <w:rFonts w:ascii="Palatino Linotype" w:eastAsia="Palatino Linotype" w:hAnsi="Palatino Linotype" w:cs="Palatino Linotype"/>
          <w:sz w:val="22"/>
          <w:szCs w:val="22"/>
        </w:rPr>
        <w:t xml:space="preserve"> o en su defecto, en caso de ser procedente, ordenar la entrega de la información oportuna.</w:t>
      </w:r>
    </w:p>
    <w:p w14:paraId="6E86D425"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4585944A"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b/>
          <w:sz w:val="22"/>
          <w:szCs w:val="22"/>
        </w:rPr>
        <w:t xml:space="preserve">Cuarto. Estudio del asunto. </w:t>
      </w:r>
      <w:r w:rsidRPr="00FC0BE9">
        <w:rPr>
          <w:rFonts w:ascii="Palatino Linotype" w:eastAsia="Palatino Linotype" w:hAnsi="Palatino Linotype" w:cs="Palatino Linotype"/>
          <w:sz w:val="22"/>
          <w:szCs w:val="22"/>
        </w:rPr>
        <w:t xml:space="preserve">Antes de entrar al análisis de los pronunciamientos del </w:t>
      </w:r>
      <w:r w:rsidRPr="00FC0BE9">
        <w:rPr>
          <w:rFonts w:ascii="Palatino Linotype" w:eastAsia="Palatino Linotype" w:hAnsi="Palatino Linotype" w:cs="Palatino Linotype"/>
          <w:b/>
          <w:sz w:val="22"/>
          <w:szCs w:val="22"/>
        </w:rPr>
        <w:t>Sujeto Obligado</w:t>
      </w:r>
      <w:r w:rsidRPr="00FC0BE9">
        <w:rPr>
          <w:rFonts w:ascii="Palatino Linotype" w:eastAsia="Palatino Linotype" w:hAnsi="Palatino Linotype" w:cs="Palatino Linotype"/>
          <w:sz w:val="22"/>
          <w:szCs w:val="22"/>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3096B6AC"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20EAAB85" w14:textId="77777777" w:rsidR="00AA685F" w:rsidRPr="00FC0BE9" w:rsidRDefault="00B85946">
      <w:pPr>
        <w:spacing w:line="276" w:lineRule="auto"/>
        <w:ind w:left="851" w:right="850"/>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FC0BE9">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65C2C848" w14:textId="77777777" w:rsidR="00AA685F" w:rsidRPr="00FC0BE9" w:rsidRDefault="00B85946">
      <w:pPr>
        <w:spacing w:line="276" w:lineRule="auto"/>
        <w:ind w:left="851" w:right="850"/>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7C8A707B" w14:textId="77777777" w:rsidR="00AA685F" w:rsidRPr="00FC0BE9" w:rsidRDefault="00B85946">
      <w:pPr>
        <w:spacing w:line="276" w:lineRule="auto"/>
        <w:ind w:left="851" w:right="850"/>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FC0BE9">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660A2853" w14:textId="77777777" w:rsidR="00AA685F" w:rsidRPr="00FC0BE9" w:rsidRDefault="00B85946">
      <w:pPr>
        <w:spacing w:line="276" w:lineRule="auto"/>
        <w:ind w:left="851" w:right="850"/>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i/>
          <w:sz w:val="22"/>
          <w:szCs w:val="22"/>
        </w:rPr>
        <w:t>[…]</w:t>
      </w:r>
    </w:p>
    <w:p w14:paraId="2EB9EBEB" w14:textId="77777777" w:rsidR="00AA685F" w:rsidRPr="00FC0BE9" w:rsidRDefault="00B85946">
      <w:pPr>
        <w:spacing w:line="276" w:lineRule="auto"/>
        <w:ind w:left="851" w:right="901"/>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b/>
          <w:i/>
          <w:sz w:val="22"/>
          <w:szCs w:val="22"/>
        </w:rPr>
        <w:t>“Artículo 6o.</w:t>
      </w:r>
    </w:p>
    <w:p w14:paraId="2D9C6233" w14:textId="77777777" w:rsidR="00AA685F" w:rsidRPr="00FC0BE9" w:rsidRDefault="00B85946">
      <w:pPr>
        <w:spacing w:line="276" w:lineRule="auto"/>
        <w:ind w:left="851" w:right="901"/>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i/>
          <w:sz w:val="22"/>
          <w:szCs w:val="22"/>
        </w:rPr>
        <w:t>[...]</w:t>
      </w:r>
    </w:p>
    <w:p w14:paraId="63701179" w14:textId="77777777" w:rsidR="00AA685F" w:rsidRPr="00FC0BE9" w:rsidRDefault="00B85946">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b/>
          <w:i/>
          <w:sz w:val="22"/>
          <w:szCs w:val="22"/>
        </w:rPr>
        <w:t xml:space="preserve">A. Para el ejercicio del derecho de acceso a la información, la Federación y </w:t>
      </w:r>
      <w:r w:rsidRPr="00FC0BE9">
        <w:rPr>
          <w:rFonts w:ascii="Palatino Linotype" w:eastAsia="Palatino Linotype" w:hAnsi="Palatino Linotype" w:cs="Palatino Linotype"/>
          <w:b/>
          <w:i/>
          <w:sz w:val="22"/>
          <w:szCs w:val="22"/>
          <w:u w:val="single"/>
        </w:rPr>
        <w:t>las entidades federativas</w:t>
      </w:r>
      <w:r w:rsidRPr="00FC0BE9">
        <w:rPr>
          <w:rFonts w:ascii="Palatino Linotype" w:eastAsia="Palatino Linotype" w:hAnsi="Palatino Linotype" w:cs="Palatino Linotype"/>
          <w:b/>
          <w:i/>
          <w:sz w:val="22"/>
          <w:szCs w:val="22"/>
        </w:rPr>
        <w:t>,</w:t>
      </w:r>
      <w:r w:rsidRPr="00FC0BE9">
        <w:rPr>
          <w:rFonts w:ascii="Palatino Linotype" w:eastAsia="Palatino Linotype" w:hAnsi="Palatino Linotype" w:cs="Palatino Linotype"/>
          <w:i/>
          <w:sz w:val="22"/>
          <w:szCs w:val="22"/>
        </w:rPr>
        <w:t xml:space="preserve"> en el ámbito de sus respectivas competencias, se regirán por los siguientes principios y bases:</w:t>
      </w:r>
    </w:p>
    <w:p w14:paraId="5D5B2BB7" w14:textId="77777777" w:rsidR="00AA685F" w:rsidRPr="00FC0BE9" w:rsidRDefault="00B85946">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 </w:t>
      </w:r>
      <w:r w:rsidRPr="00FC0BE9">
        <w:rPr>
          <w:rFonts w:ascii="Palatino Linotype" w:eastAsia="Palatino Linotype" w:hAnsi="Palatino Linotype" w:cs="Palatino Linotype"/>
          <w:b/>
          <w:i/>
          <w:sz w:val="22"/>
          <w:szCs w:val="22"/>
        </w:rPr>
        <w:t xml:space="preserve">I. </w:t>
      </w:r>
      <w:r w:rsidRPr="00FC0BE9">
        <w:rPr>
          <w:rFonts w:ascii="Palatino Linotype" w:eastAsia="Palatino Linotype" w:hAnsi="Palatino Linotype" w:cs="Palatino Linotype"/>
          <w:b/>
          <w:i/>
          <w:sz w:val="22"/>
          <w:szCs w:val="22"/>
          <w:u w:val="single"/>
        </w:rPr>
        <w:t>Toda la información en posesión de cualquier autoridad, entidad, órgano y organismo de los Poderes</w:t>
      </w:r>
      <w:r w:rsidRPr="00FC0BE9">
        <w:rPr>
          <w:rFonts w:ascii="Palatino Linotype" w:eastAsia="Palatino Linotype" w:hAnsi="Palatino Linotype" w:cs="Palatino Linotype"/>
          <w:i/>
          <w:sz w:val="22"/>
          <w:szCs w:val="22"/>
        </w:rPr>
        <w:t xml:space="preserve">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FC0BE9">
        <w:rPr>
          <w:rFonts w:ascii="Palatino Linotype" w:eastAsia="Palatino Linotype" w:hAnsi="Palatino Linotype" w:cs="Palatino Linotype"/>
          <w:b/>
          <w:i/>
          <w:sz w:val="22"/>
          <w:szCs w:val="22"/>
        </w:rPr>
        <w:t>es pública y sólo podrá ser reservada temporalmente por razones de interés público y seguridad nacional,</w:t>
      </w:r>
      <w:r w:rsidRPr="00FC0BE9">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DA906BE" w14:textId="77777777" w:rsidR="00AA685F" w:rsidRPr="00FC0BE9" w:rsidRDefault="00B85946">
      <w:pPr>
        <w:pBdr>
          <w:top w:val="nil"/>
          <w:left w:val="nil"/>
          <w:bottom w:val="nil"/>
          <w:right w:val="nil"/>
          <w:between w:val="nil"/>
        </w:pBdr>
        <w:spacing w:before="240" w:after="240"/>
        <w:ind w:left="851" w:right="851"/>
        <w:jc w:val="both"/>
        <w:rPr>
          <w:rFonts w:ascii="Palatino Linotype" w:eastAsia="Palatino Linotype" w:hAnsi="Palatino Linotype" w:cs="Palatino Linotype"/>
          <w:b/>
          <w:i/>
          <w:sz w:val="22"/>
          <w:szCs w:val="22"/>
        </w:rPr>
      </w:pPr>
      <w:r w:rsidRPr="00FC0BE9">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 Para tal efecto, los sujetos obligados contarán con las facultades suficientes para su atención.</w:t>
      </w:r>
    </w:p>
    <w:p w14:paraId="287452C9" w14:textId="77777777" w:rsidR="00AA685F" w:rsidRPr="00FC0BE9" w:rsidRDefault="00B85946">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 </w:t>
      </w:r>
      <w:r w:rsidRPr="00FC0BE9">
        <w:rPr>
          <w:rFonts w:ascii="Palatino Linotype" w:eastAsia="Palatino Linotype" w:hAnsi="Palatino Linotype" w:cs="Palatino Linotype"/>
          <w:b/>
          <w:i/>
          <w:sz w:val="22"/>
          <w:szCs w:val="22"/>
        </w:rPr>
        <w:t xml:space="preserve">III. </w:t>
      </w:r>
      <w:r w:rsidRPr="00FC0BE9">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FC0BE9">
        <w:rPr>
          <w:rFonts w:ascii="Palatino Linotype" w:eastAsia="Palatino Linotype" w:hAnsi="Palatino Linotype" w:cs="Palatino Linotype"/>
          <w:i/>
          <w:sz w:val="22"/>
          <w:szCs w:val="22"/>
        </w:rPr>
        <w:t xml:space="preserve"> a sus datos personales o a la rectificación de éstos.</w:t>
      </w:r>
    </w:p>
    <w:p w14:paraId="11989F7F" w14:textId="77777777" w:rsidR="00AA685F" w:rsidRPr="00FC0BE9" w:rsidRDefault="00B85946">
      <w:pPr>
        <w:pBdr>
          <w:top w:val="nil"/>
          <w:left w:val="nil"/>
          <w:bottom w:val="nil"/>
          <w:right w:val="nil"/>
          <w:between w:val="nil"/>
        </w:pBdr>
        <w:spacing w:before="240" w:after="240"/>
        <w:ind w:left="851" w:right="851"/>
        <w:jc w:val="both"/>
      </w:pPr>
      <w:r w:rsidRPr="00FC0BE9">
        <w:rPr>
          <w:rFonts w:ascii="Palatino Linotype" w:eastAsia="Palatino Linotype" w:hAnsi="Palatino Linotype" w:cs="Palatino Linotype"/>
          <w:b/>
          <w:i/>
          <w:sz w:val="22"/>
          <w:szCs w:val="22"/>
        </w:rPr>
        <w:t>…</w:t>
      </w:r>
    </w:p>
    <w:p w14:paraId="272B80A3" w14:textId="77777777" w:rsidR="00AA685F" w:rsidRPr="00FC0BE9" w:rsidRDefault="00B85946">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b/>
          <w:i/>
          <w:sz w:val="22"/>
          <w:szCs w:val="22"/>
        </w:rPr>
        <w:t>IV.</w:t>
      </w:r>
      <w:r w:rsidRPr="00FC0BE9">
        <w:rPr>
          <w:rFonts w:ascii="Palatino Linotype" w:eastAsia="Palatino Linotype" w:hAnsi="Palatino Linotype" w:cs="Palatino Linotype"/>
          <w:i/>
          <w:sz w:val="22"/>
          <w:szCs w:val="22"/>
        </w:rPr>
        <w:t xml:space="preserve"> Se establecerán mecanismos de acceso a la información pública y procedimientos de revisión expeditos que se sustanciarán ante las instancias competentes en los términos que fija esta Constitución y las leyes.</w:t>
      </w:r>
    </w:p>
    <w:p w14:paraId="4AF2BB37" w14:textId="77777777" w:rsidR="00AA685F" w:rsidRPr="00FC0BE9" w:rsidRDefault="00B85946">
      <w:pPr>
        <w:pBdr>
          <w:top w:val="nil"/>
          <w:left w:val="nil"/>
          <w:bottom w:val="nil"/>
          <w:right w:val="nil"/>
          <w:between w:val="nil"/>
        </w:pBdr>
        <w:spacing w:before="240" w:after="240"/>
        <w:ind w:left="851" w:right="851"/>
        <w:jc w:val="both"/>
      </w:pPr>
      <w:r w:rsidRPr="00FC0BE9">
        <w:rPr>
          <w:rFonts w:ascii="Palatino Linotype" w:eastAsia="Palatino Linotype" w:hAnsi="Palatino Linotype" w:cs="Palatino Linotype"/>
          <w:b/>
          <w:i/>
          <w:sz w:val="22"/>
          <w:szCs w:val="22"/>
        </w:rPr>
        <w:t xml:space="preserve">V. </w:t>
      </w:r>
      <w:r w:rsidRPr="00FC0BE9">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D050A31" w14:textId="77777777" w:rsidR="00AA685F" w:rsidRPr="00FC0BE9" w:rsidRDefault="00B85946">
      <w:pPr>
        <w:pBdr>
          <w:top w:val="nil"/>
          <w:left w:val="nil"/>
          <w:bottom w:val="nil"/>
          <w:right w:val="nil"/>
          <w:between w:val="nil"/>
        </w:pBdr>
        <w:spacing w:before="240" w:after="240"/>
        <w:ind w:left="851" w:right="851"/>
        <w:jc w:val="both"/>
      </w:pPr>
      <w:r w:rsidRPr="00FC0BE9">
        <w:rPr>
          <w:rFonts w:ascii="Palatino Linotype" w:eastAsia="Palatino Linotype" w:hAnsi="Palatino Linotype" w:cs="Palatino Linotype"/>
          <w:i/>
          <w:sz w:val="22"/>
          <w:szCs w:val="22"/>
        </w:rPr>
        <w:t> </w:t>
      </w:r>
      <w:r w:rsidRPr="00FC0BE9">
        <w:rPr>
          <w:rFonts w:ascii="Palatino Linotype" w:eastAsia="Palatino Linotype" w:hAnsi="Palatino Linotype" w:cs="Palatino Linotype"/>
          <w:b/>
          <w:i/>
          <w:sz w:val="22"/>
          <w:szCs w:val="22"/>
        </w:rPr>
        <w:t xml:space="preserve">VI. </w:t>
      </w:r>
      <w:r w:rsidRPr="00FC0BE9">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2564D225" w14:textId="77777777" w:rsidR="00AA685F" w:rsidRPr="00FC0BE9" w:rsidRDefault="00B85946">
      <w:pPr>
        <w:pBdr>
          <w:top w:val="nil"/>
          <w:left w:val="nil"/>
          <w:bottom w:val="nil"/>
          <w:right w:val="nil"/>
          <w:between w:val="nil"/>
        </w:pBdr>
        <w:spacing w:before="240" w:after="240"/>
        <w:ind w:left="851" w:right="851"/>
        <w:jc w:val="both"/>
      </w:pPr>
      <w:r w:rsidRPr="00FC0BE9">
        <w:rPr>
          <w:rFonts w:ascii="Palatino Linotype" w:eastAsia="Palatino Linotype" w:hAnsi="Palatino Linotype" w:cs="Palatino Linotype"/>
          <w:i/>
          <w:sz w:val="22"/>
          <w:szCs w:val="22"/>
        </w:rPr>
        <w:t> </w:t>
      </w:r>
      <w:r w:rsidRPr="00FC0BE9">
        <w:rPr>
          <w:rFonts w:ascii="Palatino Linotype" w:eastAsia="Palatino Linotype" w:hAnsi="Palatino Linotype" w:cs="Palatino Linotype"/>
          <w:b/>
          <w:i/>
          <w:sz w:val="22"/>
          <w:szCs w:val="22"/>
        </w:rPr>
        <w:t xml:space="preserve">VII. </w:t>
      </w:r>
      <w:r w:rsidRPr="00FC0BE9">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27DE8ED7" w14:textId="77777777" w:rsidR="00AA685F" w:rsidRPr="00FC0BE9" w:rsidRDefault="00AA685F">
      <w:pPr>
        <w:spacing w:line="276" w:lineRule="auto"/>
        <w:ind w:left="851" w:right="851"/>
        <w:jc w:val="both"/>
        <w:rPr>
          <w:rFonts w:ascii="Palatino Linotype" w:eastAsia="Palatino Linotype" w:hAnsi="Palatino Linotype" w:cs="Palatino Linotype"/>
          <w:sz w:val="22"/>
          <w:szCs w:val="22"/>
        </w:rPr>
      </w:pPr>
    </w:p>
    <w:p w14:paraId="201A86D4"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34B339C0"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5ABB4035" w14:textId="77777777" w:rsidR="00AA685F" w:rsidRPr="00FC0BE9" w:rsidRDefault="00B85946">
      <w:pPr>
        <w:spacing w:line="276" w:lineRule="auto"/>
        <w:ind w:left="567" w:right="616"/>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w:t>
      </w:r>
      <w:r w:rsidRPr="00FC0BE9">
        <w:rPr>
          <w:rFonts w:ascii="Palatino Linotype" w:eastAsia="Palatino Linotype" w:hAnsi="Palatino Linotype" w:cs="Palatino Linotype"/>
          <w:b/>
          <w:i/>
          <w:sz w:val="22"/>
          <w:szCs w:val="22"/>
        </w:rPr>
        <w:t>Artículo 4</w:t>
      </w:r>
      <w:r w:rsidRPr="00FC0BE9">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C9B19B4" w14:textId="77777777" w:rsidR="00AA685F" w:rsidRPr="00FC0BE9" w:rsidRDefault="00AA685F">
      <w:pPr>
        <w:spacing w:line="276" w:lineRule="auto"/>
        <w:ind w:left="567" w:right="616"/>
        <w:jc w:val="both"/>
        <w:rPr>
          <w:rFonts w:ascii="Palatino Linotype" w:eastAsia="Palatino Linotype" w:hAnsi="Palatino Linotype" w:cs="Palatino Linotype"/>
          <w:i/>
          <w:sz w:val="22"/>
          <w:szCs w:val="22"/>
        </w:rPr>
      </w:pPr>
    </w:p>
    <w:p w14:paraId="4535F02C" w14:textId="77777777" w:rsidR="00AA685F" w:rsidRPr="00FC0BE9" w:rsidRDefault="00B85946">
      <w:pPr>
        <w:spacing w:line="276" w:lineRule="auto"/>
        <w:ind w:left="567" w:right="616"/>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FC0BE9">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14BA366" w14:textId="77777777" w:rsidR="00AA685F" w:rsidRPr="00FC0BE9" w:rsidRDefault="00AA685F">
      <w:pPr>
        <w:spacing w:line="276" w:lineRule="auto"/>
        <w:ind w:left="567" w:right="616"/>
        <w:jc w:val="both"/>
        <w:rPr>
          <w:rFonts w:ascii="Palatino Linotype" w:eastAsia="Palatino Linotype" w:hAnsi="Palatino Linotype" w:cs="Palatino Linotype"/>
          <w:i/>
          <w:sz w:val="22"/>
          <w:szCs w:val="22"/>
        </w:rPr>
      </w:pPr>
    </w:p>
    <w:p w14:paraId="0DC84A9D" w14:textId="77777777" w:rsidR="00AA685F" w:rsidRPr="00FC0BE9" w:rsidRDefault="00B85946">
      <w:pPr>
        <w:spacing w:line="276" w:lineRule="auto"/>
        <w:ind w:left="567" w:right="616"/>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FC0BE9">
        <w:rPr>
          <w:rFonts w:ascii="Palatino Linotype" w:eastAsia="Palatino Linotype" w:hAnsi="Palatino Linotype" w:cs="Palatino Linotype"/>
          <w:i/>
          <w:sz w:val="22"/>
          <w:szCs w:val="22"/>
        </w:rPr>
        <w:t>.”</w:t>
      </w:r>
    </w:p>
    <w:p w14:paraId="57E3123F"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3D3FD0FB"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5440FBB5"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5C053661" w14:textId="77777777" w:rsidR="00AA685F" w:rsidRPr="00FC0BE9" w:rsidRDefault="00B85946">
      <w:pPr>
        <w:spacing w:line="276" w:lineRule="auto"/>
        <w:ind w:left="567" w:right="616"/>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b/>
          <w:i/>
          <w:sz w:val="22"/>
          <w:szCs w:val="22"/>
        </w:rPr>
        <w:t>“Artículo 12.-</w:t>
      </w:r>
      <w:r w:rsidRPr="00FC0BE9">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4F040918" w14:textId="77777777" w:rsidR="00AA685F" w:rsidRPr="00FC0BE9" w:rsidRDefault="00AA685F">
      <w:pPr>
        <w:spacing w:line="276" w:lineRule="auto"/>
        <w:ind w:left="567" w:right="616"/>
        <w:jc w:val="both"/>
        <w:rPr>
          <w:rFonts w:ascii="Palatino Linotype" w:eastAsia="Palatino Linotype" w:hAnsi="Palatino Linotype" w:cs="Palatino Linotype"/>
          <w:i/>
          <w:sz w:val="22"/>
          <w:szCs w:val="22"/>
        </w:rPr>
      </w:pPr>
    </w:p>
    <w:p w14:paraId="68DDC019" w14:textId="77777777" w:rsidR="00AA685F" w:rsidRPr="00FC0BE9" w:rsidRDefault="00B85946">
      <w:pPr>
        <w:spacing w:line="276" w:lineRule="auto"/>
        <w:ind w:left="567" w:right="616"/>
        <w:jc w:val="both"/>
        <w:rPr>
          <w:rFonts w:ascii="Palatino Linotype" w:eastAsia="Palatino Linotype" w:hAnsi="Palatino Linotype" w:cs="Palatino Linotype"/>
          <w:b/>
          <w:i/>
          <w:sz w:val="22"/>
          <w:szCs w:val="22"/>
        </w:rPr>
      </w:pPr>
      <w:r w:rsidRPr="00FC0BE9">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FC0BE9">
        <w:rPr>
          <w:rFonts w:ascii="Palatino Linotype" w:eastAsia="Palatino Linotype" w:hAnsi="Palatino Linotype" w:cs="Palatino Linotype"/>
          <w:i/>
          <w:sz w:val="22"/>
          <w:szCs w:val="22"/>
        </w:rPr>
        <w:t xml:space="preserve">. </w:t>
      </w:r>
      <w:r w:rsidRPr="00FC0BE9">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1E1F6BE1" w14:textId="77777777" w:rsidR="00AA685F" w:rsidRPr="00FC0BE9" w:rsidRDefault="00AA685F">
      <w:pPr>
        <w:spacing w:line="360" w:lineRule="auto"/>
        <w:ind w:left="567" w:right="616"/>
        <w:jc w:val="both"/>
        <w:rPr>
          <w:rFonts w:ascii="Palatino Linotype" w:eastAsia="Palatino Linotype" w:hAnsi="Palatino Linotype" w:cs="Palatino Linotype"/>
          <w:i/>
          <w:sz w:val="22"/>
          <w:szCs w:val="22"/>
        </w:rPr>
      </w:pPr>
    </w:p>
    <w:p w14:paraId="367A66B0" w14:textId="77777777" w:rsidR="00AA685F" w:rsidRPr="00FC0BE9" w:rsidRDefault="00B85946">
      <w:pPr>
        <w:spacing w:line="360" w:lineRule="auto"/>
        <w:ind w:right="-93"/>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10C24083" w14:textId="77777777" w:rsidR="00AA685F" w:rsidRPr="00FC0BE9" w:rsidRDefault="00AA685F">
      <w:pPr>
        <w:spacing w:line="360" w:lineRule="auto"/>
        <w:ind w:right="-93"/>
        <w:jc w:val="both"/>
        <w:rPr>
          <w:rFonts w:ascii="Palatino Linotype" w:eastAsia="Palatino Linotype" w:hAnsi="Palatino Linotype" w:cs="Palatino Linotype"/>
          <w:sz w:val="22"/>
          <w:szCs w:val="22"/>
        </w:rPr>
      </w:pPr>
    </w:p>
    <w:p w14:paraId="07319B83" w14:textId="77777777" w:rsidR="00AA685F" w:rsidRPr="00FC0BE9" w:rsidRDefault="00B85946">
      <w:pPr>
        <w:spacing w:line="360" w:lineRule="auto"/>
        <w:jc w:val="both"/>
        <w:rPr>
          <w:rFonts w:ascii="Palatino Linotype" w:eastAsia="Palatino Linotype" w:hAnsi="Palatino Linotype" w:cs="Palatino Linotype"/>
          <w:b/>
          <w:sz w:val="22"/>
          <w:szCs w:val="22"/>
        </w:rPr>
      </w:pPr>
      <w:r w:rsidRPr="00FC0BE9">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FC0BE9">
        <w:rPr>
          <w:rFonts w:ascii="Palatino Linotype" w:eastAsia="Palatino Linotype" w:hAnsi="Palatino Linotype" w:cs="Palatino Linotype"/>
          <w:b/>
          <w:sz w:val="22"/>
          <w:szCs w:val="22"/>
        </w:rPr>
        <w:t xml:space="preserve"> </w:t>
      </w:r>
    </w:p>
    <w:p w14:paraId="1527B3BB" w14:textId="77777777" w:rsidR="00AA685F" w:rsidRPr="00FC0BE9" w:rsidRDefault="00B85946">
      <w:pPr>
        <w:spacing w:line="276" w:lineRule="auto"/>
        <w:ind w:left="567" w:right="616"/>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w:t>
      </w:r>
      <w:r w:rsidRPr="00FC0BE9">
        <w:rPr>
          <w:rFonts w:ascii="Palatino Linotype" w:eastAsia="Palatino Linotype" w:hAnsi="Palatino Linotype" w:cs="Palatino Linotype"/>
          <w:b/>
          <w:i/>
          <w:sz w:val="22"/>
          <w:szCs w:val="22"/>
        </w:rPr>
        <w:t>No existe obligación de elaborar documentos ad hoc para atender las solicitudes de acceso a la información.</w:t>
      </w:r>
      <w:r w:rsidRPr="00FC0BE9">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2F26B6D2" w14:textId="77777777" w:rsidR="00AA685F" w:rsidRPr="00FC0BE9" w:rsidRDefault="00AA685F">
      <w:pPr>
        <w:spacing w:line="360" w:lineRule="auto"/>
        <w:ind w:right="-93"/>
        <w:jc w:val="both"/>
        <w:rPr>
          <w:rFonts w:ascii="Palatino Linotype" w:eastAsia="Palatino Linotype" w:hAnsi="Palatino Linotype" w:cs="Palatino Linotype"/>
          <w:sz w:val="22"/>
          <w:szCs w:val="22"/>
        </w:rPr>
      </w:pPr>
    </w:p>
    <w:p w14:paraId="7B405E5E"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F71324F"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64A3EBC5" w14:textId="77777777" w:rsidR="00AA685F" w:rsidRPr="00FC0BE9" w:rsidRDefault="00B85946">
      <w:pPr>
        <w:spacing w:line="360" w:lineRule="auto"/>
        <w:ind w:right="49"/>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F98D422" w14:textId="77777777" w:rsidR="00AA685F" w:rsidRPr="00FC0BE9" w:rsidRDefault="00AA685F">
      <w:pPr>
        <w:spacing w:line="360" w:lineRule="auto"/>
        <w:ind w:right="49"/>
        <w:jc w:val="both"/>
        <w:rPr>
          <w:rFonts w:ascii="Palatino Linotype" w:eastAsia="Palatino Linotype" w:hAnsi="Palatino Linotype" w:cs="Palatino Linotype"/>
          <w:sz w:val="22"/>
          <w:szCs w:val="22"/>
        </w:rPr>
      </w:pPr>
    </w:p>
    <w:p w14:paraId="250F07F3"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CB0C8D2" w14:textId="77777777" w:rsidR="00AA685F" w:rsidRPr="00FC0BE9" w:rsidRDefault="00AA685F">
      <w:pPr>
        <w:spacing w:line="360" w:lineRule="auto"/>
        <w:ind w:left="851" w:right="899"/>
        <w:jc w:val="both"/>
        <w:rPr>
          <w:rFonts w:ascii="Palatino Linotype" w:eastAsia="Palatino Linotype" w:hAnsi="Palatino Linotype" w:cs="Palatino Linotype"/>
          <w:i/>
          <w:sz w:val="22"/>
          <w:szCs w:val="22"/>
        </w:rPr>
      </w:pPr>
    </w:p>
    <w:p w14:paraId="35150E6F" w14:textId="77777777" w:rsidR="00AA685F" w:rsidRPr="00FC0BE9" w:rsidRDefault="00B85946">
      <w:pPr>
        <w:spacing w:line="276" w:lineRule="auto"/>
        <w:ind w:left="567" w:right="616"/>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w:t>
      </w:r>
      <w:r w:rsidRPr="00FC0BE9">
        <w:rPr>
          <w:rFonts w:ascii="Palatino Linotype" w:eastAsia="Palatino Linotype" w:hAnsi="Palatino Linotype" w:cs="Palatino Linotype"/>
          <w:b/>
          <w:i/>
          <w:sz w:val="22"/>
          <w:szCs w:val="22"/>
        </w:rPr>
        <w:t xml:space="preserve">Artículo 3. </w:t>
      </w:r>
      <w:r w:rsidRPr="00FC0BE9">
        <w:rPr>
          <w:rFonts w:ascii="Palatino Linotype" w:eastAsia="Palatino Linotype" w:hAnsi="Palatino Linotype" w:cs="Palatino Linotype"/>
          <w:i/>
          <w:sz w:val="22"/>
          <w:szCs w:val="22"/>
        </w:rPr>
        <w:t>Para los efectos de la presente Ley se entenderá por:</w:t>
      </w:r>
    </w:p>
    <w:p w14:paraId="03D7929E" w14:textId="77777777" w:rsidR="00AA685F" w:rsidRPr="00FC0BE9" w:rsidRDefault="00B85946">
      <w:pPr>
        <w:spacing w:line="276" w:lineRule="auto"/>
        <w:ind w:left="567" w:right="616"/>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w:t>
      </w:r>
    </w:p>
    <w:p w14:paraId="00206628" w14:textId="77777777" w:rsidR="00AA685F" w:rsidRPr="00FC0BE9" w:rsidRDefault="00B85946">
      <w:pPr>
        <w:spacing w:line="276" w:lineRule="auto"/>
        <w:ind w:left="567" w:right="616"/>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b/>
          <w:i/>
          <w:sz w:val="22"/>
          <w:szCs w:val="22"/>
        </w:rPr>
        <w:t>XI. Documento:</w:t>
      </w:r>
      <w:r w:rsidRPr="00FC0BE9">
        <w:rPr>
          <w:rFonts w:ascii="Palatino Linotype" w:eastAsia="Palatino Linotype" w:hAnsi="Palatino Linotype" w:cs="Palatino Linotype"/>
          <w:i/>
          <w:sz w:val="22"/>
          <w:szCs w:val="22"/>
        </w:rPr>
        <w:t xml:space="preserve"> Los expedientes, reportes, estudios, actas</w:t>
      </w:r>
      <w:r w:rsidRPr="00FC0BE9">
        <w:rPr>
          <w:rFonts w:ascii="Palatino Linotype" w:eastAsia="Palatino Linotype" w:hAnsi="Palatino Linotype" w:cs="Palatino Linotype"/>
          <w:b/>
          <w:i/>
          <w:sz w:val="22"/>
          <w:szCs w:val="22"/>
        </w:rPr>
        <w:t>,</w:t>
      </w:r>
      <w:r w:rsidRPr="00FC0BE9">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75FBCD31" w14:textId="77777777" w:rsidR="00AA685F" w:rsidRPr="00FC0BE9" w:rsidRDefault="00AA685F">
      <w:pPr>
        <w:spacing w:line="360" w:lineRule="auto"/>
        <w:ind w:left="851" w:right="899"/>
        <w:jc w:val="both"/>
        <w:rPr>
          <w:rFonts w:ascii="Palatino Linotype" w:eastAsia="Palatino Linotype" w:hAnsi="Palatino Linotype" w:cs="Palatino Linotype"/>
          <w:sz w:val="22"/>
          <w:szCs w:val="22"/>
        </w:rPr>
      </w:pPr>
    </w:p>
    <w:p w14:paraId="57FBC7A3"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126A396"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725E967E" w14:textId="77777777" w:rsidR="00AA685F" w:rsidRPr="00FC0BE9" w:rsidRDefault="00B85946">
      <w:pPr>
        <w:spacing w:line="276" w:lineRule="auto"/>
        <w:ind w:left="567" w:right="616"/>
        <w:jc w:val="both"/>
        <w:rPr>
          <w:rFonts w:ascii="Palatino Linotype" w:eastAsia="Palatino Linotype" w:hAnsi="Palatino Linotype" w:cs="Palatino Linotype"/>
          <w:b/>
          <w:i/>
          <w:sz w:val="22"/>
          <w:szCs w:val="22"/>
        </w:rPr>
      </w:pPr>
      <w:r w:rsidRPr="00FC0BE9">
        <w:rPr>
          <w:rFonts w:ascii="Palatino Linotype" w:eastAsia="Palatino Linotype" w:hAnsi="Palatino Linotype" w:cs="Palatino Linotype"/>
          <w:b/>
          <w:sz w:val="22"/>
          <w:szCs w:val="22"/>
        </w:rPr>
        <w:t>“</w:t>
      </w:r>
      <w:r w:rsidRPr="00FC0BE9">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FC0BE9">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1C05A48" w14:textId="77777777" w:rsidR="00AA685F" w:rsidRPr="00FC0BE9" w:rsidRDefault="00B85946">
      <w:pPr>
        <w:spacing w:line="276" w:lineRule="auto"/>
        <w:ind w:left="567" w:right="616"/>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3B545565" w14:textId="77777777" w:rsidR="00AA685F" w:rsidRPr="00FC0BE9" w:rsidRDefault="00B85946">
      <w:pPr>
        <w:spacing w:line="276" w:lineRule="auto"/>
        <w:ind w:left="567" w:right="616"/>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2D5CEA58" w14:textId="77777777" w:rsidR="00AA685F" w:rsidRPr="00FC0BE9" w:rsidRDefault="00B85946">
      <w:pPr>
        <w:spacing w:line="276" w:lineRule="auto"/>
        <w:ind w:left="567" w:right="616"/>
        <w:jc w:val="both"/>
        <w:rPr>
          <w:rFonts w:ascii="Palatino Linotype" w:eastAsia="Palatino Linotype" w:hAnsi="Palatino Linotype" w:cs="Palatino Linotype"/>
          <w:b/>
          <w:i/>
          <w:sz w:val="22"/>
          <w:szCs w:val="22"/>
        </w:rPr>
      </w:pPr>
      <w:r w:rsidRPr="00FC0BE9">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609705F6" w14:textId="77777777" w:rsidR="00AA685F" w:rsidRPr="00FC0BE9" w:rsidRDefault="00B85946">
      <w:pPr>
        <w:spacing w:line="276" w:lineRule="auto"/>
        <w:ind w:left="567" w:right="616"/>
        <w:jc w:val="both"/>
        <w:rPr>
          <w:rFonts w:ascii="Palatino Linotype" w:eastAsia="Palatino Linotype" w:hAnsi="Palatino Linotype" w:cs="Palatino Linotype"/>
          <w:b/>
          <w:i/>
          <w:sz w:val="22"/>
          <w:szCs w:val="22"/>
        </w:rPr>
      </w:pPr>
      <w:r w:rsidRPr="00FC0BE9">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1CCC9FF6" w14:textId="77777777" w:rsidR="00AA685F" w:rsidRPr="00FC0BE9" w:rsidRDefault="00AA685F">
      <w:pPr>
        <w:spacing w:line="276" w:lineRule="auto"/>
        <w:ind w:left="567" w:right="616"/>
        <w:jc w:val="both"/>
        <w:rPr>
          <w:rFonts w:ascii="Palatino Linotype" w:eastAsia="Palatino Linotype" w:hAnsi="Palatino Linotype" w:cs="Palatino Linotype"/>
          <w:b/>
          <w:i/>
          <w:sz w:val="22"/>
          <w:szCs w:val="22"/>
        </w:rPr>
      </w:pPr>
    </w:p>
    <w:p w14:paraId="712161ED"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 xml:space="preserve">De ahí que el </w:t>
      </w:r>
      <w:r w:rsidRPr="00FC0BE9">
        <w:rPr>
          <w:rFonts w:ascii="Palatino Linotype" w:eastAsia="Palatino Linotype" w:hAnsi="Palatino Linotype" w:cs="Palatino Linotype"/>
          <w:b/>
          <w:sz w:val="22"/>
          <w:szCs w:val="22"/>
        </w:rPr>
        <w:t>Sujeto Obligado</w:t>
      </w:r>
      <w:r w:rsidRPr="00FC0BE9">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FC0BE9">
        <w:rPr>
          <w:rFonts w:ascii="Palatino Linotype" w:eastAsia="Palatino Linotype" w:hAnsi="Palatino Linotype" w:cs="Palatino Linotype"/>
          <w:sz w:val="22"/>
          <w:szCs w:val="22"/>
          <w:vertAlign w:val="superscript"/>
        </w:rPr>
        <w:footnoteReference w:id="1"/>
      </w:r>
      <w:r w:rsidRPr="00FC0BE9">
        <w:rPr>
          <w:rFonts w:ascii="Palatino Linotype" w:eastAsia="Palatino Linotype" w:hAnsi="Palatino Linotype" w:cs="Palatino Linotype"/>
          <w:sz w:val="22"/>
          <w:szCs w:val="22"/>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FC0BE9">
        <w:rPr>
          <w:rFonts w:ascii="Palatino Linotype" w:eastAsia="Palatino Linotype" w:hAnsi="Palatino Linotype" w:cs="Palatino Linotype"/>
          <w:sz w:val="22"/>
          <w:szCs w:val="22"/>
          <w:vertAlign w:val="superscript"/>
        </w:rPr>
        <w:footnoteReference w:id="2"/>
      </w:r>
      <w:r w:rsidRPr="00FC0BE9">
        <w:rPr>
          <w:rFonts w:ascii="Palatino Linotype" w:eastAsia="Palatino Linotype" w:hAnsi="Palatino Linotype" w:cs="Palatino Linotype"/>
          <w:sz w:val="22"/>
          <w:szCs w:val="22"/>
        </w:rPr>
        <w:t>, como pudiera tratarse de aquella relacionada con las obligaciones de transparencia señaladas en los artículos 92 y 100 de la Ley de la Materia.</w:t>
      </w:r>
    </w:p>
    <w:p w14:paraId="28B6BED4" w14:textId="77777777" w:rsidR="00AA685F" w:rsidRPr="00FC0BE9" w:rsidRDefault="00AA685F">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05C39D11" w14:textId="77777777" w:rsidR="00AA685F" w:rsidRPr="00FC0BE9" w:rsidRDefault="00B85946">
      <w:p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bookmarkStart w:id="9" w:name="_heading=h.1y810tw" w:colFirst="0" w:colLast="0"/>
      <w:bookmarkEnd w:id="9"/>
      <w:r w:rsidRPr="00FC0BE9">
        <w:rPr>
          <w:rFonts w:ascii="Palatino Linotype" w:eastAsia="Palatino Linotype" w:hAnsi="Palatino Linotype" w:cs="Palatino Linotype"/>
          <w:sz w:val="22"/>
          <w:szCs w:val="22"/>
        </w:rPr>
        <w:t xml:space="preserve">Conviene iniciar el presente estudio señalando que, del análisis a la solicitud de información se advierte que la persona solicitante requirió del </w:t>
      </w:r>
      <w:r w:rsidRPr="00FC0BE9">
        <w:rPr>
          <w:rFonts w:ascii="Palatino Linotype" w:eastAsia="Palatino Linotype" w:hAnsi="Palatino Linotype" w:cs="Palatino Linotype"/>
          <w:b/>
          <w:sz w:val="22"/>
          <w:szCs w:val="22"/>
        </w:rPr>
        <w:t>Sujeto Obligado,</w:t>
      </w:r>
      <w:r w:rsidRPr="00FC0BE9">
        <w:rPr>
          <w:rFonts w:ascii="Palatino Linotype" w:eastAsia="Palatino Linotype" w:hAnsi="Palatino Linotype" w:cs="Palatino Linotype"/>
          <w:sz w:val="22"/>
          <w:szCs w:val="22"/>
        </w:rPr>
        <w:t xml:space="preserve"> </w:t>
      </w:r>
      <w:r w:rsidRPr="00FC0BE9">
        <w:rPr>
          <w:rFonts w:ascii="Palatino Linotype" w:eastAsia="Palatino Linotype" w:hAnsi="Palatino Linotype" w:cs="Palatino Linotype"/>
          <w:b/>
          <w:sz w:val="22"/>
          <w:szCs w:val="22"/>
        </w:rPr>
        <w:t>respecto del Titular de la Contraloría Interna Municipal en 2024, lo siguiente:</w:t>
      </w:r>
    </w:p>
    <w:p w14:paraId="3C6D44AE" w14:textId="77777777" w:rsidR="00AA685F" w:rsidRPr="00FC0BE9" w:rsidRDefault="00AA685F">
      <w:p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p>
    <w:p w14:paraId="46F0A732" w14:textId="77777777" w:rsidR="00AA685F" w:rsidRPr="00FC0BE9" w:rsidRDefault="00B85946">
      <w:pPr>
        <w:numPr>
          <w:ilvl w:val="0"/>
          <w:numId w:val="5"/>
        </w:num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r w:rsidRPr="00FC0BE9">
        <w:rPr>
          <w:rFonts w:ascii="Palatino Linotype" w:eastAsia="Palatino Linotype" w:hAnsi="Palatino Linotype" w:cs="Palatino Linotype"/>
          <w:b/>
          <w:sz w:val="22"/>
          <w:szCs w:val="22"/>
        </w:rPr>
        <w:t xml:space="preserve">Expediente laboral completo que incluya el informe o certificado de no antecedentes penales; y, </w:t>
      </w:r>
    </w:p>
    <w:p w14:paraId="194AF6CB" w14:textId="77777777" w:rsidR="00AA685F" w:rsidRPr="00FC0BE9" w:rsidRDefault="00B85946">
      <w:pPr>
        <w:numPr>
          <w:ilvl w:val="0"/>
          <w:numId w:val="5"/>
        </w:num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r w:rsidRPr="00FC0BE9">
        <w:rPr>
          <w:rFonts w:ascii="Palatino Linotype" w:eastAsia="Palatino Linotype" w:hAnsi="Palatino Linotype" w:cs="Palatino Linotype"/>
          <w:b/>
          <w:sz w:val="22"/>
          <w:szCs w:val="22"/>
        </w:rPr>
        <w:t>La documentación que avale el cumplimiento de los requisitos para ser Contralor.</w:t>
      </w:r>
    </w:p>
    <w:p w14:paraId="6BEA841D" w14:textId="77777777" w:rsidR="00AA685F" w:rsidRPr="00FC0BE9" w:rsidRDefault="00AA685F">
      <w:pPr>
        <w:pBdr>
          <w:top w:val="nil"/>
          <w:left w:val="nil"/>
          <w:bottom w:val="nil"/>
          <w:right w:val="nil"/>
          <w:between w:val="nil"/>
        </w:pBdr>
        <w:spacing w:line="360" w:lineRule="auto"/>
        <w:ind w:left="360" w:right="-150"/>
        <w:jc w:val="both"/>
        <w:rPr>
          <w:rFonts w:ascii="Palatino Linotype" w:eastAsia="Palatino Linotype" w:hAnsi="Palatino Linotype" w:cs="Palatino Linotype"/>
          <w:b/>
          <w:sz w:val="22"/>
          <w:szCs w:val="22"/>
        </w:rPr>
      </w:pPr>
    </w:p>
    <w:p w14:paraId="1EDB397C" w14:textId="77777777" w:rsidR="00AA685F" w:rsidRPr="00FC0BE9" w:rsidRDefault="00B85946">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 xml:space="preserve">En respuesta </w:t>
      </w:r>
      <w:r w:rsidRPr="00FC0BE9">
        <w:rPr>
          <w:rFonts w:ascii="Palatino Linotype" w:eastAsia="Palatino Linotype" w:hAnsi="Palatino Linotype" w:cs="Palatino Linotype"/>
          <w:b/>
          <w:sz w:val="22"/>
          <w:szCs w:val="22"/>
        </w:rPr>
        <w:t xml:space="preserve">el Sujeto Obligado </w:t>
      </w:r>
      <w:r w:rsidRPr="00FC0BE9">
        <w:rPr>
          <w:rFonts w:ascii="Palatino Linotype" w:eastAsia="Palatino Linotype" w:hAnsi="Palatino Linotype" w:cs="Palatino Linotype"/>
          <w:sz w:val="22"/>
          <w:szCs w:val="22"/>
        </w:rPr>
        <w:t>se pronunció por conducto del Secretario del Ayuntamiento quien hizo entrega de la información precisada en el antecedente segundo de la presente resolución y que será objeto de análisis más adelante.</w:t>
      </w:r>
    </w:p>
    <w:p w14:paraId="5B3901B8" w14:textId="77777777" w:rsidR="00AA685F" w:rsidRPr="00FC0BE9" w:rsidRDefault="00AA685F">
      <w:pPr>
        <w:spacing w:line="360" w:lineRule="auto"/>
        <w:ind w:right="49"/>
        <w:jc w:val="both"/>
        <w:rPr>
          <w:rFonts w:ascii="Palatino Linotype" w:eastAsia="Palatino Linotype" w:hAnsi="Palatino Linotype" w:cs="Palatino Linotype"/>
          <w:sz w:val="22"/>
          <w:szCs w:val="22"/>
        </w:rPr>
      </w:pPr>
    </w:p>
    <w:p w14:paraId="3503C81C" w14:textId="77777777" w:rsidR="00AA685F" w:rsidRPr="00FC0BE9" w:rsidRDefault="00B85946">
      <w:pPr>
        <w:spacing w:line="360" w:lineRule="auto"/>
        <w:ind w:right="49"/>
        <w:jc w:val="both"/>
        <w:rPr>
          <w:rFonts w:ascii="Palatino Linotype" w:eastAsia="Palatino Linotype" w:hAnsi="Palatino Linotype" w:cs="Palatino Linotype"/>
          <w:b/>
          <w:sz w:val="22"/>
          <w:szCs w:val="22"/>
        </w:rPr>
      </w:pPr>
      <w:r w:rsidRPr="00FC0BE9">
        <w:rPr>
          <w:rFonts w:ascii="Palatino Linotype" w:eastAsia="Palatino Linotype" w:hAnsi="Palatino Linotype" w:cs="Palatino Linotype"/>
          <w:sz w:val="22"/>
          <w:szCs w:val="22"/>
        </w:rPr>
        <w:t xml:space="preserve">Inconforme con la respuesta, la parte </w:t>
      </w:r>
      <w:r w:rsidRPr="00FC0BE9">
        <w:rPr>
          <w:rFonts w:ascii="Palatino Linotype" w:eastAsia="Palatino Linotype" w:hAnsi="Palatino Linotype" w:cs="Palatino Linotype"/>
          <w:b/>
          <w:sz w:val="22"/>
          <w:szCs w:val="22"/>
        </w:rPr>
        <w:t xml:space="preserve">Recurrente </w:t>
      </w:r>
      <w:r w:rsidRPr="00FC0BE9">
        <w:rPr>
          <w:rFonts w:ascii="Palatino Linotype" w:eastAsia="Palatino Linotype" w:hAnsi="Palatino Linotype" w:cs="Palatino Linotype"/>
          <w:sz w:val="22"/>
          <w:szCs w:val="22"/>
        </w:rPr>
        <w:t xml:space="preserve">promovió el presente recurso de revisión en el que a manera de motivos de inconformidad </w:t>
      </w:r>
      <w:r w:rsidRPr="00FC0BE9">
        <w:rPr>
          <w:rFonts w:ascii="Palatino Linotype" w:eastAsia="Palatino Linotype" w:hAnsi="Palatino Linotype" w:cs="Palatino Linotype"/>
          <w:b/>
          <w:sz w:val="22"/>
          <w:szCs w:val="22"/>
        </w:rPr>
        <w:t>se adolece medularmente de la entrega de información incompleta.</w:t>
      </w:r>
    </w:p>
    <w:p w14:paraId="6D20B2F6" w14:textId="77777777" w:rsidR="00AA685F" w:rsidRPr="00FC0BE9" w:rsidRDefault="00AA685F">
      <w:pPr>
        <w:spacing w:line="360" w:lineRule="auto"/>
        <w:ind w:right="49"/>
        <w:jc w:val="both"/>
        <w:rPr>
          <w:rFonts w:ascii="Palatino Linotype" w:eastAsia="Palatino Linotype" w:hAnsi="Palatino Linotype" w:cs="Palatino Linotype"/>
          <w:sz w:val="22"/>
          <w:szCs w:val="22"/>
        </w:rPr>
      </w:pPr>
    </w:p>
    <w:p w14:paraId="1A7E6A93"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Admitido el presente recurso de revisión, en términos del artículo 185 fracción II</w:t>
      </w:r>
      <w:r w:rsidRPr="00FC0BE9">
        <w:rPr>
          <w:rFonts w:ascii="Palatino Linotype" w:eastAsia="Palatino Linotype" w:hAnsi="Palatino Linotype" w:cs="Palatino Linotype"/>
          <w:sz w:val="22"/>
          <w:szCs w:val="22"/>
          <w:vertAlign w:val="superscript"/>
        </w:rPr>
        <w:footnoteReference w:id="3"/>
      </w:r>
      <w:r w:rsidRPr="00FC0BE9">
        <w:rPr>
          <w:rFonts w:ascii="Palatino Linotype" w:eastAsia="Palatino Linotype" w:hAnsi="Palatino Linotype" w:cs="Palatino Linotype"/>
          <w:sz w:val="22"/>
          <w:szCs w:val="22"/>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7ECB4FC2"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58BFB4D2"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Cabe resaltar que, durante la etapa de manifestaciones</w:t>
      </w:r>
      <w:r w:rsidRPr="00FC0BE9">
        <w:rPr>
          <w:rFonts w:ascii="Palatino Linotype" w:eastAsia="Palatino Linotype" w:hAnsi="Palatino Linotype" w:cs="Palatino Linotype"/>
          <w:b/>
          <w:sz w:val="22"/>
          <w:szCs w:val="22"/>
        </w:rPr>
        <w:t xml:space="preserve">, </w:t>
      </w:r>
      <w:r w:rsidRPr="00FC0BE9">
        <w:rPr>
          <w:rFonts w:ascii="Palatino Linotype" w:eastAsia="Palatino Linotype" w:hAnsi="Palatino Linotype" w:cs="Palatino Linotype"/>
          <w:sz w:val="22"/>
          <w:szCs w:val="22"/>
        </w:rPr>
        <w:t xml:space="preserve">el </w:t>
      </w:r>
      <w:r w:rsidRPr="00FC0BE9">
        <w:rPr>
          <w:rFonts w:ascii="Palatino Linotype" w:eastAsia="Palatino Linotype" w:hAnsi="Palatino Linotype" w:cs="Palatino Linotype"/>
          <w:b/>
          <w:sz w:val="22"/>
          <w:szCs w:val="22"/>
        </w:rPr>
        <w:t xml:space="preserve">Sujeto Obligado </w:t>
      </w:r>
      <w:r w:rsidRPr="00FC0BE9">
        <w:rPr>
          <w:rFonts w:ascii="Palatino Linotype" w:eastAsia="Palatino Linotype" w:hAnsi="Palatino Linotype" w:cs="Palatino Linotype"/>
          <w:sz w:val="22"/>
          <w:szCs w:val="22"/>
        </w:rPr>
        <w:t>rindió su informe justificado, en el que medularmente ratificó la respuesta inicial.</w:t>
      </w:r>
    </w:p>
    <w:p w14:paraId="4D88B321"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104CE6D6"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 xml:space="preserve">Por su lado, la parte </w:t>
      </w:r>
      <w:r w:rsidRPr="00FC0BE9">
        <w:rPr>
          <w:rFonts w:ascii="Palatino Linotype" w:eastAsia="Palatino Linotype" w:hAnsi="Palatino Linotype" w:cs="Palatino Linotype"/>
          <w:b/>
          <w:sz w:val="22"/>
          <w:szCs w:val="22"/>
        </w:rPr>
        <w:t xml:space="preserve">Recurrente </w:t>
      </w:r>
      <w:r w:rsidRPr="00FC0BE9">
        <w:rPr>
          <w:rFonts w:ascii="Palatino Linotype" w:eastAsia="Palatino Linotype" w:hAnsi="Palatino Linotype" w:cs="Palatino Linotype"/>
          <w:sz w:val="22"/>
          <w:szCs w:val="22"/>
        </w:rPr>
        <w:t>fue omisa en rendir manifestaciones o alegatos que conforme a derecho resultaran procedentes.</w:t>
      </w:r>
    </w:p>
    <w:p w14:paraId="71405E28"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4D690A22" w14:textId="77777777" w:rsidR="00AA685F" w:rsidRPr="00FC0BE9" w:rsidRDefault="00B85946">
      <w:pPr>
        <w:tabs>
          <w:tab w:val="left" w:pos="709"/>
        </w:tabs>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Ahora bien, en cuanto a la materia de los documentos que integran los expedientes laborales de servidores públicos, se procede a señalar los requisitos generales contenidos en los articulados 47, 48 y 49, de la Ley del Trabado de los Servidores Públicos del Estado de México y Municipios, así como el documento idóneo con el que se pudiera acreditar, son los siguientes:</w:t>
      </w:r>
    </w:p>
    <w:p w14:paraId="51B69FE1" w14:textId="77777777" w:rsidR="00AA685F" w:rsidRPr="00FC0BE9" w:rsidRDefault="00AA685F"/>
    <w:tbl>
      <w:tblPr>
        <w:tblStyle w:val="a7"/>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67"/>
        <w:gridCol w:w="2607"/>
        <w:gridCol w:w="2410"/>
      </w:tblGrid>
      <w:tr w:rsidR="00A10666" w:rsidRPr="00FC0BE9" w14:paraId="0CA63F45" w14:textId="77777777">
        <w:trPr>
          <w:tblHeader/>
        </w:trPr>
        <w:tc>
          <w:tcPr>
            <w:tcW w:w="3767" w:type="dxa"/>
            <w:shd w:val="clear" w:color="auto" w:fill="DDD9C4"/>
            <w:vAlign w:val="center"/>
          </w:tcPr>
          <w:p w14:paraId="6620594C" w14:textId="77777777" w:rsidR="00AA685F" w:rsidRPr="00FC0BE9" w:rsidRDefault="00B85946">
            <w:pPr>
              <w:tabs>
                <w:tab w:val="left" w:pos="284"/>
                <w:tab w:val="left" w:pos="426"/>
              </w:tabs>
              <w:ind w:right="49"/>
              <w:jc w:val="center"/>
              <w:rPr>
                <w:rFonts w:ascii="Palatino Linotype" w:eastAsia="Palatino Linotype" w:hAnsi="Palatino Linotype" w:cs="Palatino Linotype"/>
                <w:b/>
                <w:sz w:val="20"/>
                <w:szCs w:val="20"/>
              </w:rPr>
            </w:pPr>
            <w:r w:rsidRPr="00FC0BE9">
              <w:rPr>
                <w:rFonts w:ascii="Palatino Linotype" w:eastAsia="Palatino Linotype" w:hAnsi="Palatino Linotype" w:cs="Palatino Linotype"/>
                <w:b/>
                <w:sz w:val="20"/>
                <w:szCs w:val="20"/>
              </w:rPr>
              <w:t>Requisito establecido en la Ley del Trabajo de los Servidores Públicos del Estado y Municipios</w:t>
            </w:r>
          </w:p>
        </w:tc>
        <w:tc>
          <w:tcPr>
            <w:tcW w:w="2607" w:type="dxa"/>
            <w:shd w:val="clear" w:color="auto" w:fill="DDD9C4"/>
            <w:vAlign w:val="center"/>
          </w:tcPr>
          <w:p w14:paraId="020E9B4B" w14:textId="77777777" w:rsidR="00AA685F" w:rsidRPr="00FC0BE9" w:rsidRDefault="00B85946">
            <w:pPr>
              <w:tabs>
                <w:tab w:val="left" w:pos="284"/>
                <w:tab w:val="left" w:pos="426"/>
              </w:tabs>
              <w:ind w:right="49"/>
              <w:jc w:val="center"/>
              <w:rPr>
                <w:rFonts w:ascii="Palatino Linotype" w:eastAsia="Palatino Linotype" w:hAnsi="Palatino Linotype" w:cs="Palatino Linotype"/>
                <w:b/>
                <w:sz w:val="20"/>
                <w:szCs w:val="20"/>
              </w:rPr>
            </w:pPr>
            <w:r w:rsidRPr="00FC0BE9">
              <w:rPr>
                <w:rFonts w:ascii="Palatino Linotype" w:eastAsia="Palatino Linotype" w:hAnsi="Palatino Linotype" w:cs="Palatino Linotype"/>
                <w:b/>
                <w:sz w:val="20"/>
                <w:szCs w:val="20"/>
              </w:rPr>
              <w:t>Documento que lo acredita</w:t>
            </w:r>
          </w:p>
        </w:tc>
        <w:tc>
          <w:tcPr>
            <w:tcW w:w="2410" w:type="dxa"/>
            <w:shd w:val="clear" w:color="auto" w:fill="DDD9C4"/>
            <w:vAlign w:val="center"/>
          </w:tcPr>
          <w:p w14:paraId="05684831" w14:textId="77777777" w:rsidR="00AA685F" w:rsidRPr="00FC0BE9" w:rsidRDefault="00B85946">
            <w:pPr>
              <w:tabs>
                <w:tab w:val="left" w:pos="284"/>
                <w:tab w:val="left" w:pos="426"/>
              </w:tabs>
              <w:ind w:right="49"/>
              <w:jc w:val="center"/>
              <w:rPr>
                <w:rFonts w:ascii="Palatino Linotype" w:eastAsia="Palatino Linotype" w:hAnsi="Palatino Linotype" w:cs="Palatino Linotype"/>
                <w:b/>
                <w:sz w:val="20"/>
                <w:szCs w:val="20"/>
              </w:rPr>
            </w:pPr>
            <w:r w:rsidRPr="00FC0BE9">
              <w:rPr>
                <w:rFonts w:ascii="Palatino Linotype" w:eastAsia="Palatino Linotype" w:hAnsi="Palatino Linotype" w:cs="Palatino Linotype"/>
                <w:b/>
                <w:sz w:val="20"/>
                <w:szCs w:val="20"/>
              </w:rPr>
              <w:t>Clasificación de la Información</w:t>
            </w:r>
          </w:p>
        </w:tc>
      </w:tr>
      <w:tr w:rsidR="00A10666" w:rsidRPr="00FC0BE9" w14:paraId="4FA757E9" w14:textId="77777777">
        <w:tc>
          <w:tcPr>
            <w:tcW w:w="3767" w:type="dxa"/>
            <w:vAlign w:val="center"/>
          </w:tcPr>
          <w:p w14:paraId="60D5FEC4" w14:textId="77777777" w:rsidR="00AA685F" w:rsidRPr="00FC0BE9" w:rsidRDefault="00B85946">
            <w:pPr>
              <w:tabs>
                <w:tab w:val="left" w:pos="284"/>
                <w:tab w:val="left" w:pos="426"/>
              </w:tabs>
              <w:ind w:right="49"/>
              <w:jc w:val="both"/>
              <w:rPr>
                <w:rFonts w:ascii="Palatino Linotype" w:eastAsia="Palatino Linotype" w:hAnsi="Palatino Linotype" w:cs="Palatino Linotype"/>
                <w:sz w:val="18"/>
                <w:szCs w:val="18"/>
              </w:rPr>
            </w:pPr>
            <w:r w:rsidRPr="00FC0BE9">
              <w:rPr>
                <w:rFonts w:ascii="Palatino Linotype" w:eastAsia="Palatino Linotype" w:hAnsi="Palatino Linotype" w:cs="Palatino Linotype"/>
                <w:sz w:val="18"/>
                <w:szCs w:val="18"/>
              </w:rPr>
              <w:t>Presentar una solicitud utilizando la forma oficial que se autorice por la institución pública o dependencia correspondiente.</w:t>
            </w:r>
          </w:p>
        </w:tc>
        <w:tc>
          <w:tcPr>
            <w:tcW w:w="2607" w:type="dxa"/>
            <w:vAlign w:val="center"/>
          </w:tcPr>
          <w:p w14:paraId="0C9B8571" w14:textId="77777777" w:rsidR="00AA685F" w:rsidRPr="00FC0BE9" w:rsidRDefault="00B85946">
            <w:pPr>
              <w:tabs>
                <w:tab w:val="left" w:pos="284"/>
                <w:tab w:val="left" w:pos="426"/>
              </w:tabs>
              <w:ind w:right="49"/>
              <w:jc w:val="both"/>
              <w:rPr>
                <w:rFonts w:ascii="Palatino Linotype" w:eastAsia="Palatino Linotype" w:hAnsi="Palatino Linotype" w:cs="Palatino Linotype"/>
                <w:sz w:val="18"/>
                <w:szCs w:val="18"/>
              </w:rPr>
            </w:pPr>
            <w:r w:rsidRPr="00FC0BE9">
              <w:rPr>
                <w:rFonts w:ascii="Palatino Linotype" w:eastAsia="Palatino Linotype" w:hAnsi="Palatino Linotype" w:cs="Palatino Linotype"/>
                <w:sz w:val="18"/>
                <w:szCs w:val="18"/>
              </w:rPr>
              <w:t>Solicitud de empleo, ficha curricular, curriculum vitae o documento análogo</w:t>
            </w:r>
          </w:p>
        </w:tc>
        <w:tc>
          <w:tcPr>
            <w:tcW w:w="2410" w:type="dxa"/>
            <w:vAlign w:val="center"/>
          </w:tcPr>
          <w:p w14:paraId="455B03A3" w14:textId="77777777" w:rsidR="00AA685F" w:rsidRPr="00FC0BE9" w:rsidRDefault="00B85946">
            <w:pPr>
              <w:tabs>
                <w:tab w:val="left" w:pos="284"/>
                <w:tab w:val="left" w:pos="426"/>
              </w:tabs>
              <w:ind w:right="49"/>
              <w:jc w:val="center"/>
              <w:rPr>
                <w:rFonts w:ascii="Palatino Linotype" w:eastAsia="Palatino Linotype" w:hAnsi="Palatino Linotype" w:cs="Palatino Linotype"/>
                <w:sz w:val="18"/>
                <w:szCs w:val="18"/>
              </w:rPr>
            </w:pPr>
            <w:r w:rsidRPr="00FC0BE9">
              <w:rPr>
                <w:rFonts w:ascii="Palatino Linotype" w:eastAsia="Palatino Linotype" w:hAnsi="Palatino Linotype" w:cs="Palatino Linotype"/>
                <w:sz w:val="18"/>
                <w:szCs w:val="18"/>
              </w:rPr>
              <w:t>En versión pública.</w:t>
            </w:r>
          </w:p>
        </w:tc>
      </w:tr>
      <w:tr w:rsidR="00A10666" w:rsidRPr="00FC0BE9" w14:paraId="780ABDDE" w14:textId="77777777">
        <w:trPr>
          <w:trHeight w:val="517"/>
        </w:trPr>
        <w:tc>
          <w:tcPr>
            <w:tcW w:w="3767" w:type="dxa"/>
            <w:vAlign w:val="center"/>
          </w:tcPr>
          <w:p w14:paraId="61E45B5C" w14:textId="77777777" w:rsidR="00AA685F" w:rsidRPr="00FC0BE9" w:rsidRDefault="00B85946">
            <w:pPr>
              <w:tabs>
                <w:tab w:val="left" w:pos="284"/>
                <w:tab w:val="left" w:pos="426"/>
              </w:tabs>
              <w:ind w:right="49"/>
              <w:jc w:val="both"/>
              <w:rPr>
                <w:rFonts w:ascii="Palatino Linotype" w:eastAsia="Palatino Linotype" w:hAnsi="Palatino Linotype" w:cs="Palatino Linotype"/>
                <w:sz w:val="18"/>
                <w:szCs w:val="18"/>
              </w:rPr>
            </w:pPr>
            <w:r w:rsidRPr="00FC0BE9">
              <w:rPr>
                <w:rFonts w:ascii="Palatino Linotype" w:eastAsia="Palatino Linotype" w:hAnsi="Palatino Linotype" w:cs="Palatino Linotype"/>
                <w:sz w:val="18"/>
                <w:szCs w:val="18"/>
              </w:rPr>
              <w:t>Ser de nacionalidad mexicana.</w:t>
            </w:r>
          </w:p>
        </w:tc>
        <w:tc>
          <w:tcPr>
            <w:tcW w:w="2607" w:type="dxa"/>
            <w:vAlign w:val="center"/>
          </w:tcPr>
          <w:p w14:paraId="1091D0D6" w14:textId="77777777" w:rsidR="00AA685F" w:rsidRPr="00FC0BE9" w:rsidRDefault="00B85946">
            <w:pPr>
              <w:tabs>
                <w:tab w:val="left" w:pos="284"/>
                <w:tab w:val="left" w:pos="426"/>
              </w:tabs>
              <w:ind w:right="49"/>
              <w:jc w:val="both"/>
              <w:rPr>
                <w:rFonts w:ascii="Palatino Linotype" w:eastAsia="Palatino Linotype" w:hAnsi="Palatino Linotype" w:cs="Palatino Linotype"/>
                <w:sz w:val="18"/>
                <w:szCs w:val="18"/>
              </w:rPr>
            </w:pPr>
            <w:r w:rsidRPr="00FC0BE9">
              <w:rPr>
                <w:rFonts w:ascii="Palatino Linotype" w:eastAsia="Palatino Linotype" w:hAnsi="Palatino Linotype" w:cs="Palatino Linotype"/>
                <w:sz w:val="18"/>
                <w:szCs w:val="18"/>
              </w:rPr>
              <w:t>Acta de nacimiento</w:t>
            </w:r>
          </w:p>
        </w:tc>
        <w:tc>
          <w:tcPr>
            <w:tcW w:w="2410" w:type="dxa"/>
            <w:vAlign w:val="center"/>
          </w:tcPr>
          <w:p w14:paraId="4505513F" w14:textId="77777777" w:rsidR="00AA685F" w:rsidRPr="00FC0BE9" w:rsidRDefault="00B85946">
            <w:pPr>
              <w:tabs>
                <w:tab w:val="left" w:pos="284"/>
                <w:tab w:val="left" w:pos="426"/>
              </w:tabs>
              <w:ind w:right="49"/>
              <w:jc w:val="center"/>
              <w:rPr>
                <w:rFonts w:ascii="Palatino Linotype" w:eastAsia="Palatino Linotype" w:hAnsi="Palatino Linotype" w:cs="Palatino Linotype"/>
                <w:sz w:val="18"/>
                <w:szCs w:val="18"/>
              </w:rPr>
            </w:pPr>
            <w:r w:rsidRPr="00FC0BE9">
              <w:rPr>
                <w:rFonts w:ascii="Palatino Linotype" w:eastAsia="Palatino Linotype" w:hAnsi="Palatino Linotype" w:cs="Palatino Linotype"/>
                <w:sz w:val="18"/>
                <w:szCs w:val="18"/>
              </w:rPr>
              <w:t>Confidencial</w:t>
            </w:r>
          </w:p>
        </w:tc>
      </w:tr>
      <w:tr w:rsidR="00A10666" w:rsidRPr="00FC0BE9" w14:paraId="54C51FCE" w14:textId="77777777">
        <w:tc>
          <w:tcPr>
            <w:tcW w:w="3767" w:type="dxa"/>
            <w:vAlign w:val="center"/>
          </w:tcPr>
          <w:p w14:paraId="4F22E1A3" w14:textId="77777777" w:rsidR="00AA685F" w:rsidRPr="00FC0BE9" w:rsidRDefault="00B85946">
            <w:pPr>
              <w:tabs>
                <w:tab w:val="left" w:pos="284"/>
                <w:tab w:val="left" w:pos="426"/>
              </w:tabs>
              <w:ind w:right="49"/>
              <w:jc w:val="both"/>
              <w:rPr>
                <w:rFonts w:ascii="Palatino Linotype" w:eastAsia="Palatino Linotype" w:hAnsi="Palatino Linotype" w:cs="Palatino Linotype"/>
                <w:sz w:val="18"/>
                <w:szCs w:val="18"/>
              </w:rPr>
            </w:pPr>
            <w:r w:rsidRPr="00FC0BE9">
              <w:rPr>
                <w:rFonts w:ascii="Palatino Linotype" w:eastAsia="Palatino Linotype" w:hAnsi="Palatino Linotype" w:cs="Palatino Linotype"/>
                <w:sz w:val="18"/>
                <w:szCs w:val="18"/>
              </w:rPr>
              <w:t>Estar en pleno ejercicio de sus derechos civiles y políticos.</w:t>
            </w:r>
          </w:p>
        </w:tc>
        <w:tc>
          <w:tcPr>
            <w:tcW w:w="2607" w:type="dxa"/>
            <w:vAlign w:val="center"/>
          </w:tcPr>
          <w:p w14:paraId="08370AF3" w14:textId="77777777" w:rsidR="00AA685F" w:rsidRPr="00FC0BE9" w:rsidRDefault="00B85946">
            <w:pPr>
              <w:tabs>
                <w:tab w:val="left" w:pos="284"/>
                <w:tab w:val="left" w:pos="426"/>
              </w:tabs>
              <w:ind w:right="49"/>
              <w:jc w:val="both"/>
              <w:rPr>
                <w:rFonts w:ascii="Palatino Linotype" w:eastAsia="Palatino Linotype" w:hAnsi="Palatino Linotype" w:cs="Palatino Linotype"/>
                <w:sz w:val="18"/>
                <w:szCs w:val="18"/>
              </w:rPr>
            </w:pPr>
            <w:r w:rsidRPr="00FC0BE9">
              <w:rPr>
                <w:rFonts w:ascii="Palatino Linotype" w:eastAsia="Palatino Linotype" w:hAnsi="Palatino Linotype" w:cs="Palatino Linotype"/>
                <w:sz w:val="18"/>
                <w:szCs w:val="18"/>
              </w:rPr>
              <w:t>Credencial de elector e Informe o certificado de no antecedentes penales.</w:t>
            </w:r>
          </w:p>
        </w:tc>
        <w:tc>
          <w:tcPr>
            <w:tcW w:w="2410" w:type="dxa"/>
            <w:vAlign w:val="center"/>
          </w:tcPr>
          <w:p w14:paraId="42ABD2DC" w14:textId="77777777" w:rsidR="00AA685F" w:rsidRPr="00FC0BE9" w:rsidRDefault="00B85946">
            <w:pPr>
              <w:tabs>
                <w:tab w:val="left" w:pos="284"/>
                <w:tab w:val="left" w:pos="426"/>
              </w:tabs>
              <w:ind w:right="49"/>
              <w:jc w:val="center"/>
              <w:rPr>
                <w:rFonts w:ascii="Palatino Linotype" w:eastAsia="Palatino Linotype" w:hAnsi="Palatino Linotype" w:cs="Palatino Linotype"/>
                <w:sz w:val="18"/>
                <w:szCs w:val="18"/>
              </w:rPr>
            </w:pPr>
            <w:r w:rsidRPr="00FC0BE9">
              <w:rPr>
                <w:rFonts w:ascii="Palatino Linotype" w:eastAsia="Palatino Linotype" w:hAnsi="Palatino Linotype" w:cs="Palatino Linotype"/>
                <w:sz w:val="18"/>
                <w:szCs w:val="18"/>
              </w:rPr>
              <w:t>En versión pública.</w:t>
            </w:r>
          </w:p>
        </w:tc>
      </w:tr>
      <w:tr w:rsidR="00A10666" w:rsidRPr="00FC0BE9" w14:paraId="2B38DBD3" w14:textId="77777777">
        <w:tc>
          <w:tcPr>
            <w:tcW w:w="3767" w:type="dxa"/>
            <w:vAlign w:val="center"/>
          </w:tcPr>
          <w:p w14:paraId="29621288" w14:textId="77777777" w:rsidR="00AA685F" w:rsidRPr="00FC0BE9" w:rsidRDefault="00B85946">
            <w:pPr>
              <w:tabs>
                <w:tab w:val="left" w:pos="284"/>
                <w:tab w:val="left" w:pos="426"/>
              </w:tabs>
              <w:ind w:right="49"/>
              <w:jc w:val="both"/>
              <w:rPr>
                <w:rFonts w:ascii="Palatino Linotype" w:eastAsia="Palatino Linotype" w:hAnsi="Palatino Linotype" w:cs="Palatino Linotype"/>
                <w:sz w:val="18"/>
                <w:szCs w:val="18"/>
              </w:rPr>
            </w:pPr>
            <w:r w:rsidRPr="00FC0BE9">
              <w:rPr>
                <w:rFonts w:ascii="Palatino Linotype" w:eastAsia="Palatino Linotype" w:hAnsi="Palatino Linotype" w:cs="Palatino Linotype"/>
                <w:sz w:val="18"/>
                <w:szCs w:val="18"/>
              </w:rPr>
              <w:t>Acreditar, cuando proceda, el cumplimiento de la Ley del Servicio Militar Nacional.</w:t>
            </w:r>
          </w:p>
        </w:tc>
        <w:tc>
          <w:tcPr>
            <w:tcW w:w="2607" w:type="dxa"/>
            <w:vAlign w:val="center"/>
          </w:tcPr>
          <w:p w14:paraId="326DA614" w14:textId="77777777" w:rsidR="00AA685F" w:rsidRPr="00FC0BE9" w:rsidRDefault="00B85946">
            <w:pPr>
              <w:tabs>
                <w:tab w:val="left" w:pos="284"/>
                <w:tab w:val="left" w:pos="426"/>
              </w:tabs>
              <w:ind w:right="49"/>
              <w:jc w:val="both"/>
              <w:rPr>
                <w:rFonts w:ascii="Palatino Linotype" w:eastAsia="Palatino Linotype" w:hAnsi="Palatino Linotype" w:cs="Palatino Linotype"/>
                <w:sz w:val="18"/>
                <w:szCs w:val="18"/>
              </w:rPr>
            </w:pPr>
            <w:r w:rsidRPr="00FC0BE9">
              <w:rPr>
                <w:rFonts w:ascii="Palatino Linotype" w:eastAsia="Palatino Linotype" w:hAnsi="Palatino Linotype" w:cs="Palatino Linotype"/>
                <w:sz w:val="18"/>
                <w:szCs w:val="18"/>
              </w:rPr>
              <w:t>Cartilla del Servicio Militar</w:t>
            </w:r>
          </w:p>
        </w:tc>
        <w:tc>
          <w:tcPr>
            <w:tcW w:w="2410" w:type="dxa"/>
            <w:vAlign w:val="center"/>
          </w:tcPr>
          <w:p w14:paraId="3389095C" w14:textId="77777777" w:rsidR="00AA685F" w:rsidRPr="00FC0BE9" w:rsidRDefault="00B85946">
            <w:pPr>
              <w:tabs>
                <w:tab w:val="left" w:pos="284"/>
                <w:tab w:val="left" w:pos="426"/>
              </w:tabs>
              <w:ind w:right="49"/>
              <w:jc w:val="center"/>
              <w:rPr>
                <w:rFonts w:ascii="Palatino Linotype" w:eastAsia="Palatino Linotype" w:hAnsi="Palatino Linotype" w:cs="Palatino Linotype"/>
                <w:sz w:val="18"/>
                <w:szCs w:val="18"/>
              </w:rPr>
            </w:pPr>
            <w:r w:rsidRPr="00FC0BE9">
              <w:rPr>
                <w:rFonts w:ascii="Palatino Linotype" w:eastAsia="Palatino Linotype" w:hAnsi="Palatino Linotype" w:cs="Palatino Linotype"/>
                <w:sz w:val="18"/>
                <w:szCs w:val="18"/>
              </w:rPr>
              <w:t>Confidencial</w:t>
            </w:r>
          </w:p>
        </w:tc>
      </w:tr>
      <w:tr w:rsidR="00A10666" w:rsidRPr="00FC0BE9" w14:paraId="74D13B24" w14:textId="77777777">
        <w:tc>
          <w:tcPr>
            <w:tcW w:w="3767" w:type="dxa"/>
            <w:vAlign w:val="center"/>
          </w:tcPr>
          <w:p w14:paraId="3F55F97B" w14:textId="77777777" w:rsidR="00AA685F" w:rsidRPr="00FC0BE9" w:rsidRDefault="00B85946">
            <w:pPr>
              <w:tabs>
                <w:tab w:val="left" w:pos="284"/>
                <w:tab w:val="left" w:pos="426"/>
              </w:tabs>
              <w:ind w:right="49"/>
              <w:jc w:val="both"/>
              <w:rPr>
                <w:rFonts w:ascii="Palatino Linotype" w:eastAsia="Palatino Linotype" w:hAnsi="Palatino Linotype" w:cs="Palatino Linotype"/>
                <w:sz w:val="18"/>
                <w:szCs w:val="18"/>
              </w:rPr>
            </w:pPr>
            <w:r w:rsidRPr="00FC0BE9">
              <w:rPr>
                <w:rFonts w:ascii="Palatino Linotype" w:eastAsia="Palatino Linotype" w:hAnsi="Palatino Linotype" w:cs="Palatino Linotype"/>
                <w:sz w:val="18"/>
                <w:szCs w:val="18"/>
              </w:rPr>
              <w:t>No haber sido separado anteriormente del servicio por las causas previstas en el artículo 93 de la presente ley.</w:t>
            </w:r>
          </w:p>
        </w:tc>
        <w:tc>
          <w:tcPr>
            <w:tcW w:w="2607" w:type="dxa"/>
            <w:vAlign w:val="center"/>
          </w:tcPr>
          <w:p w14:paraId="6050B6A1" w14:textId="77777777" w:rsidR="00AA685F" w:rsidRPr="00FC0BE9" w:rsidRDefault="00B85946">
            <w:pPr>
              <w:tabs>
                <w:tab w:val="left" w:pos="284"/>
                <w:tab w:val="left" w:pos="426"/>
              </w:tabs>
              <w:ind w:right="49"/>
              <w:jc w:val="both"/>
              <w:rPr>
                <w:rFonts w:ascii="Palatino Linotype" w:eastAsia="Palatino Linotype" w:hAnsi="Palatino Linotype" w:cs="Palatino Linotype"/>
                <w:sz w:val="18"/>
                <w:szCs w:val="18"/>
              </w:rPr>
            </w:pPr>
            <w:r w:rsidRPr="00FC0BE9">
              <w:rPr>
                <w:rFonts w:ascii="Palatino Linotype" w:eastAsia="Palatino Linotype" w:hAnsi="Palatino Linotype" w:cs="Palatino Linotype"/>
                <w:sz w:val="18"/>
                <w:szCs w:val="18"/>
              </w:rPr>
              <w:t>Constancia de no inhabilitación.</w:t>
            </w:r>
          </w:p>
        </w:tc>
        <w:tc>
          <w:tcPr>
            <w:tcW w:w="2410" w:type="dxa"/>
            <w:vAlign w:val="center"/>
          </w:tcPr>
          <w:p w14:paraId="137B1B41" w14:textId="77777777" w:rsidR="00AA685F" w:rsidRPr="00FC0BE9" w:rsidRDefault="00B85946">
            <w:pPr>
              <w:tabs>
                <w:tab w:val="left" w:pos="284"/>
                <w:tab w:val="left" w:pos="426"/>
              </w:tabs>
              <w:ind w:right="49"/>
              <w:jc w:val="center"/>
              <w:rPr>
                <w:rFonts w:ascii="Palatino Linotype" w:eastAsia="Palatino Linotype" w:hAnsi="Palatino Linotype" w:cs="Palatino Linotype"/>
                <w:sz w:val="18"/>
                <w:szCs w:val="18"/>
              </w:rPr>
            </w:pPr>
            <w:r w:rsidRPr="00FC0BE9">
              <w:rPr>
                <w:rFonts w:ascii="Palatino Linotype" w:eastAsia="Palatino Linotype" w:hAnsi="Palatino Linotype" w:cs="Palatino Linotype"/>
                <w:sz w:val="18"/>
                <w:szCs w:val="18"/>
              </w:rPr>
              <w:t>En versión pública</w:t>
            </w:r>
          </w:p>
        </w:tc>
      </w:tr>
      <w:tr w:rsidR="00A10666" w:rsidRPr="00FC0BE9" w14:paraId="30DB5C1F" w14:textId="77777777">
        <w:tc>
          <w:tcPr>
            <w:tcW w:w="3767" w:type="dxa"/>
            <w:vAlign w:val="center"/>
          </w:tcPr>
          <w:p w14:paraId="19D6CC91" w14:textId="77777777" w:rsidR="00AA685F" w:rsidRPr="00FC0BE9" w:rsidRDefault="00B85946">
            <w:pPr>
              <w:tabs>
                <w:tab w:val="left" w:pos="284"/>
                <w:tab w:val="left" w:pos="426"/>
              </w:tabs>
              <w:ind w:right="49"/>
              <w:jc w:val="both"/>
              <w:rPr>
                <w:rFonts w:ascii="Palatino Linotype" w:eastAsia="Palatino Linotype" w:hAnsi="Palatino Linotype" w:cs="Palatino Linotype"/>
                <w:sz w:val="18"/>
                <w:szCs w:val="18"/>
              </w:rPr>
            </w:pPr>
            <w:r w:rsidRPr="00FC0BE9">
              <w:rPr>
                <w:rFonts w:ascii="Palatino Linotype" w:eastAsia="Palatino Linotype" w:hAnsi="Palatino Linotype" w:cs="Palatino Linotype"/>
                <w:sz w:val="18"/>
                <w:szCs w:val="18"/>
              </w:rPr>
              <w:t>Tener buena salud, lo que se comprobará con los certificados médicos.</w:t>
            </w:r>
          </w:p>
        </w:tc>
        <w:tc>
          <w:tcPr>
            <w:tcW w:w="2607" w:type="dxa"/>
            <w:vAlign w:val="center"/>
          </w:tcPr>
          <w:p w14:paraId="60728D26" w14:textId="77777777" w:rsidR="00AA685F" w:rsidRPr="00FC0BE9" w:rsidRDefault="00B85946">
            <w:pPr>
              <w:tabs>
                <w:tab w:val="left" w:pos="284"/>
                <w:tab w:val="left" w:pos="426"/>
              </w:tabs>
              <w:ind w:right="49"/>
              <w:jc w:val="both"/>
              <w:rPr>
                <w:rFonts w:ascii="Palatino Linotype" w:eastAsia="Palatino Linotype" w:hAnsi="Palatino Linotype" w:cs="Palatino Linotype"/>
                <w:sz w:val="18"/>
                <w:szCs w:val="18"/>
              </w:rPr>
            </w:pPr>
            <w:r w:rsidRPr="00FC0BE9">
              <w:rPr>
                <w:rFonts w:ascii="Palatino Linotype" w:eastAsia="Palatino Linotype" w:hAnsi="Palatino Linotype" w:cs="Palatino Linotype"/>
                <w:sz w:val="18"/>
                <w:szCs w:val="18"/>
              </w:rPr>
              <w:t>Certificado Médico</w:t>
            </w:r>
          </w:p>
        </w:tc>
        <w:tc>
          <w:tcPr>
            <w:tcW w:w="2410" w:type="dxa"/>
            <w:vAlign w:val="center"/>
          </w:tcPr>
          <w:p w14:paraId="259DC6AB" w14:textId="77777777" w:rsidR="00AA685F" w:rsidRPr="00FC0BE9" w:rsidRDefault="00B85946">
            <w:pPr>
              <w:tabs>
                <w:tab w:val="left" w:pos="284"/>
                <w:tab w:val="left" w:pos="426"/>
              </w:tabs>
              <w:ind w:right="49"/>
              <w:jc w:val="center"/>
              <w:rPr>
                <w:rFonts w:ascii="Palatino Linotype" w:eastAsia="Palatino Linotype" w:hAnsi="Palatino Linotype" w:cs="Palatino Linotype"/>
                <w:sz w:val="18"/>
                <w:szCs w:val="18"/>
              </w:rPr>
            </w:pPr>
            <w:r w:rsidRPr="00FC0BE9">
              <w:rPr>
                <w:rFonts w:ascii="Palatino Linotype" w:eastAsia="Palatino Linotype" w:hAnsi="Palatino Linotype" w:cs="Palatino Linotype"/>
                <w:sz w:val="18"/>
                <w:szCs w:val="18"/>
              </w:rPr>
              <w:t>Confidencial</w:t>
            </w:r>
          </w:p>
        </w:tc>
      </w:tr>
      <w:tr w:rsidR="00A10666" w:rsidRPr="00FC0BE9" w14:paraId="28F05046" w14:textId="77777777">
        <w:tc>
          <w:tcPr>
            <w:tcW w:w="3767" w:type="dxa"/>
            <w:vAlign w:val="center"/>
          </w:tcPr>
          <w:p w14:paraId="6A69EE78" w14:textId="77777777" w:rsidR="00AA685F" w:rsidRPr="00FC0BE9" w:rsidRDefault="00B85946">
            <w:pPr>
              <w:tabs>
                <w:tab w:val="left" w:pos="284"/>
                <w:tab w:val="left" w:pos="426"/>
              </w:tabs>
              <w:ind w:right="49"/>
              <w:jc w:val="both"/>
              <w:rPr>
                <w:rFonts w:ascii="Palatino Linotype" w:eastAsia="Palatino Linotype" w:hAnsi="Palatino Linotype" w:cs="Palatino Linotype"/>
                <w:sz w:val="18"/>
                <w:szCs w:val="18"/>
              </w:rPr>
            </w:pPr>
            <w:r w:rsidRPr="00FC0BE9">
              <w:rPr>
                <w:rFonts w:ascii="Palatino Linotype" w:eastAsia="Palatino Linotype" w:hAnsi="Palatino Linotype" w:cs="Palatino Linotype"/>
                <w:sz w:val="18"/>
                <w:szCs w:val="18"/>
              </w:rPr>
              <w:t>Cumplir con los requisitos que se establezcan para los diferentes puestos.</w:t>
            </w:r>
          </w:p>
        </w:tc>
        <w:tc>
          <w:tcPr>
            <w:tcW w:w="2607" w:type="dxa"/>
            <w:vAlign w:val="center"/>
          </w:tcPr>
          <w:p w14:paraId="7CEE704B" w14:textId="77777777" w:rsidR="00AA685F" w:rsidRPr="00FC0BE9" w:rsidRDefault="00B85946">
            <w:pPr>
              <w:tabs>
                <w:tab w:val="left" w:pos="284"/>
                <w:tab w:val="left" w:pos="426"/>
              </w:tabs>
              <w:ind w:right="49"/>
              <w:jc w:val="both"/>
              <w:rPr>
                <w:rFonts w:ascii="Palatino Linotype" w:eastAsia="Palatino Linotype" w:hAnsi="Palatino Linotype" w:cs="Palatino Linotype"/>
                <w:sz w:val="18"/>
                <w:szCs w:val="18"/>
              </w:rPr>
            </w:pPr>
            <w:r w:rsidRPr="00FC0BE9">
              <w:rPr>
                <w:rFonts w:ascii="Palatino Linotype" w:eastAsia="Palatino Linotype" w:hAnsi="Palatino Linotype" w:cs="Palatino Linotype"/>
                <w:sz w:val="18"/>
                <w:szCs w:val="18"/>
              </w:rPr>
              <w:t>En el caso, se advierte que para 2024 se emitió convocatoria para participar en el proceso de selección y designación de la persona Titular de la Contraloría Municipal que establece determinados documentos que se tuvieron que entregar, y que son susceptibles de entregarse en versión pública.</w:t>
            </w:r>
          </w:p>
        </w:tc>
        <w:tc>
          <w:tcPr>
            <w:tcW w:w="2410" w:type="dxa"/>
            <w:vAlign w:val="center"/>
          </w:tcPr>
          <w:p w14:paraId="6256F35E" w14:textId="77777777" w:rsidR="00AA685F" w:rsidRPr="00FC0BE9" w:rsidRDefault="00B85946">
            <w:pPr>
              <w:tabs>
                <w:tab w:val="left" w:pos="284"/>
                <w:tab w:val="left" w:pos="426"/>
              </w:tabs>
              <w:ind w:right="49"/>
              <w:jc w:val="center"/>
              <w:rPr>
                <w:rFonts w:ascii="Palatino Linotype" w:eastAsia="Palatino Linotype" w:hAnsi="Palatino Linotype" w:cs="Palatino Linotype"/>
                <w:sz w:val="18"/>
                <w:szCs w:val="18"/>
              </w:rPr>
            </w:pPr>
            <w:r w:rsidRPr="00FC0BE9">
              <w:rPr>
                <w:rFonts w:ascii="Palatino Linotype" w:eastAsia="Palatino Linotype" w:hAnsi="Palatino Linotype" w:cs="Palatino Linotype"/>
                <w:sz w:val="18"/>
                <w:szCs w:val="18"/>
              </w:rPr>
              <w:t>En versión pública</w:t>
            </w:r>
          </w:p>
          <w:p w14:paraId="3CC33C62" w14:textId="77777777" w:rsidR="00AA685F" w:rsidRPr="00FC0BE9" w:rsidRDefault="00AA685F">
            <w:pPr>
              <w:tabs>
                <w:tab w:val="left" w:pos="284"/>
                <w:tab w:val="left" w:pos="426"/>
              </w:tabs>
              <w:ind w:right="49"/>
              <w:jc w:val="center"/>
              <w:rPr>
                <w:rFonts w:ascii="Palatino Linotype" w:eastAsia="Palatino Linotype" w:hAnsi="Palatino Linotype" w:cs="Palatino Linotype"/>
                <w:sz w:val="20"/>
                <w:szCs w:val="20"/>
              </w:rPr>
            </w:pPr>
          </w:p>
        </w:tc>
      </w:tr>
      <w:tr w:rsidR="00A10666" w:rsidRPr="00FC0BE9" w14:paraId="02D80214" w14:textId="77777777">
        <w:tc>
          <w:tcPr>
            <w:tcW w:w="3767" w:type="dxa"/>
            <w:vAlign w:val="center"/>
          </w:tcPr>
          <w:p w14:paraId="26444AA6" w14:textId="77777777" w:rsidR="00AA685F" w:rsidRPr="00FC0BE9" w:rsidRDefault="00B85946">
            <w:pPr>
              <w:tabs>
                <w:tab w:val="left" w:pos="284"/>
                <w:tab w:val="left" w:pos="426"/>
              </w:tabs>
              <w:ind w:right="49"/>
              <w:jc w:val="both"/>
              <w:rPr>
                <w:rFonts w:ascii="Palatino Linotype" w:eastAsia="Palatino Linotype" w:hAnsi="Palatino Linotype" w:cs="Palatino Linotype"/>
                <w:sz w:val="18"/>
                <w:szCs w:val="18"/>
              </w:rPr>
            </w:pPr>
            <w:r w:rsidRPr="00FC0BE9">
              <w:rPr>
                <w:rFonts w:ascii="Palatino Linotype" w:eastAsia="Palatino Linotype" w:hAnsi="Palatino Linotype" w:cs="Palatino Linotype"/>
                <w:sz w:val="18"/>
                <w:szCs w:val="18"/>
              </w:rPr>
              <w:t>Acreditar por medio de los exámenes correspondientes los conocimientos y aptitudes necesarios para el desempeño del puesto.</w:t>
            </w:r>
          </w:p>
        </w:tc>
        <w:tc>
          <w:tcPr>
            <w:tcW w:w="2607" w:type="dxa"/>
            <w:vAlign w:val="center"/>
          </w:tcPr>
          <w:p w14:paraId="24F08525" w14:textId="77777777" w:rsidR="00AA685F" w:rsidRPr="00FC0BE9" w:rsidRDefault="00B85946">
            <w:pPr>
              <w:tabs>
                <w:tab w:val="left" w:pos="284"/>
                <w:tab w:val="left" w:pos="426"/>
              </w:tabs>
              <w:ind w:right="49"/>
              <w:jc w:val="both"/>
              <w:rPr>
                <w:rFonts w:ascii="Palatino Linotype" w:eastAsia="Palatino Linotype" w:hAnsi="Palatino Linotype" w:cs="Palatino Linotype"/>
                <w:sz w:val="18"/>
                <w:szCs w:val="18"/>
              </w:rPr>
            </w:pPr>
            <w:r w:rsidRPr="00FC0BE9">
              <w:rPr>
                <w:rFonts w:ascii="Palatino Linotype" w:eastAsia="Palatino Linotype" w:hAnsi="Palatino Linotype" w:cs="Palatino Linotype"/>
                <w:sz w:val="18"/>
                <w:szCs w:val="18"/>
              </w:rPr>
              <w:t>Para el caso en particular, no se localizó que dentro de los requisitos para ser Titular de la Contraloría Interna Municipal sea requisito presentar examen de conocimientos para ocupar el cargo.</w:t>
            </w:r>
          </w:p>
        </w:tc>
        <w:tc>
          <w:tcPr>
            <w:tcW w:w="2410" w:type="dxa"/>
            <w:vAlign w:val="center"/>
          </w:tcPr>
          <w:p w14:paraId="3A3090D1" w14:textId="77777777" w:rsidR="00AA685F" w:rsidRPr="00FC0BE9" w:rsidRDefault="00B85946">
            <w:pPr>
              <w:tabs>
                <w:tab w:val="left" w:pos="284"/>
                <w:tab w:val="left" w:pos="426"/>
              </w:tabs>
              <w:ind w:right="49"/>
              <w:jc w:val="center"/>
              <w:rPr>
                <w:rFonts w:ascii="Palatino Linotype" w:eastAsia="Palatino Linotype" w:hAnsi="Palatino Linotype" w:cs="Palatino Linotype"/>
                <w:sz w:val="18"/>
                <w:szCs w:val="18"/>
              </w:rPr>
            </w:pPr>
            <w:r w:rsidRPr="00FC0BE9">
              <w:rPr>
                <w:rFonts w:ascii="Palatino Linotype" w:eastAsia="Palatino Linotype" w:hAnsi="Palatino Linotype" w:cs="Palatino Linotype"/>
                <w:sz w:val="18"/>
                <w:szCs w:val="18"/>
              </w:rPr>
              <w:t>No aplica</w:t>
            </w:r>
          </w:p>
          <w:p w14:paraId="74307A7D" w14:textId="77777777" w:rsidR="00AA685F" w:rsidRPr="00FC0BE9" w:rsidRDefault="00AA685F">
            <w:pPr>
              <w:tabs>
                <w:tab w:val="left" w:pos="284"/>
                <w:tab w:val="left" w:pos="426"/>
              </w:tabs>
              <w:ind w:right="49"/>
              <w:jc w:val="center"/>
              <w:rPr>
                <w:rFonts w:ascii="Palatino Linotype" w:eastAsia="Palatino Linotype" w:hAnsi="Palatino Linotype" w:cs="Palatino Linotype"/>
                <w:sz w:val="18"/>
                <w:szCs w:val="18"/>
              </w:rPr>
            </w:pPr>
          </w:p>
        </w:tc>
      </w:tr>
      <w:tr w:rsidR="00A10666" w:rsidRPr="00FC0BE9" w14:paraId="244ED0B3" w14:textId="77777777">
        <w:tc>
          <w:tcPr>
            <w:tcW w:w="3767" w:type="dxa"/>
            <w:vAlign w:val="center"/>
          </w:tcPr>
          <w:p w14:paraId="33D465B3" w14:textId="77777777" w:rsidR="00AA685F" w:rsidRPr="00FC0BE9" w:rsidRDefault="00B85946">
            <w:pPr>
              <w:tabs>
                <w:tab w:val="left" w:pos="284"/>
                <w:tab w:val="left" w:pos="426"/>
              </w:tabs>
              <w:ind w:right="49"/>
              <w:jc w:val="both"/>
              <w:rPr>
                <w:rFonts w:ascii="Palatino Linotype" w:eastAsia="Palatino Linotype" w:hAnsi="Palatino Linotype" w:cs="Palatino Linotype"/>
                <w:sz w:val="18"/>
                <w:szCs w:val="18"/>
              </w:rPr>
            </w:pPr>
            <w:r w:rsidRPr="00FC0BE9">
              <w:rPr>
                <w:rFonts w:ascii="Palatino Linotype" w:eastAsia="Palatino Linotype" w:hAnsi="Palatino Linotype" w:cs="Palatino Linotype"/>
                <w:sz w:val="18"/>
                <w:szCs w:val="18"/>
              </w:rPr>
              <w:t>No estar inhabilitado para el ejercicio del servicio público.</w:t>
            </w:r>
          </w:p>
        </w:tc>
        <w:tc>
          <w:tcPr>
            <w:tcW w:w="2607" w:type="dxa"/>
            <w:vAlign w:val="center"/>
          </w:tcPr>
          <w:p w14:paraId="764E52DA" w14:textId="77777777" w:rsidR="00AA685F" w:rsidRPr="00FC0BE9" w:rsidRDefault="00B85946">
            <w:pPr>
              <w:tabs>
                <w:tab w:val="left" w:pos="284"/>
                <w:tab w:val="left" w:pos="426"/>
              </w:tabs>
              <w:ind w:right="49"/>
              <w:jc w:val="both"/>
              <w:rPr>
                <w:rFonts w:ascii="Palatino Linotype" w:eastAsia="Palatino Linotype" w:hAnsi="Palatino Linotype" w:cs="Palatino Linotype"/>
                <w:sz w:val="18"/>
                <w:szCs w:val="18"/>
              </w:rPr>
            </w:pPr>
            <w:r w:rsidRPr="00FC0BE9">
              <w:rPr>
                <w:rFonts w:ascii="Palatino Linotype" w:eastAsia="Palatino Linotype" w:hAnsi="Palatino Linotype" w:cs="Palatino Linotype"/>
                <w:sz w:val="18"/>
                <w:szCs w:val="18"/>
              </w:rPr>
              <w:t>Constancia de no inhabilitación.</w:t>
            </w:r>
          </w:p>
        </w:tc>
        <w:tc>
          <w:tcPr>
            <w:tcW w:w="2410" w:type="dxa"/>
            <w:vAlign w:val="center"/>
          </w:tcPr>
          <w:p w14:paraId="35CD6956" w14:textId="77777777" w:rsidR="00AA685F" w:rsidRPr="00FC0BE9" w:rsidRDefault="00B85946">
            <w:pPr>
              <w:tabs>
                <w:tab w:val="left" w:pos="284"/>
                <w:tab w:val="left" w:pos="426"/>
              </w:tabs>
              <w:ind w:right="49"/>
              <w:jc w:val="center"/>
              <w:rPr>
                <w:rFonts w:ascii="Palatino Linotype" w:eastAsia="Palatino Linotype" w:hAnsi="Palatino Linotype" w:cs="Palatino Linotype"/>
                <w:sz w:val="18"/>
                <w:szCs w:val="18"/>
              </w:rPr>
            </w:pPr>
            <w:r w:rsidRPr="00FC0BE9">
              <w:rPr>
                <w:rFonts w:ascii="Palatino Linotype" w:eastAsia="Palatino Linotype" w:hAnsi="Palatino Linotype" w:cs="Palatino Linotype"/>
                <w:sz w:val="18"/>
                <w:szCs w:val="18"/>
              </w:rPr>
              <w:t>En versión Pública.</w:t>
            </w:r>
          </w:p>
        </w:tc>
      </w:tr>
      <w:tr w:rsidR="00A10666" w:rsidRPr="00FC0BE9" w14:paraId="4511071B" w14:textId="77777777">
        <w:tc>
          <w:tcPr>
            <w:tcW w:w="3767" w:type="dxa"/>
            <w:vAlign w:val="center"/>
          </w:tcPr>
          <w:p w14:paraId="7EA92F4D" w14:textId="77777777" w:rsidR="00AA685F" w:rsidRPr="00FC0BE9" w:rsidRDefault="00B85946">
            <w:pPr>
              <w:tabs>
                <w:tab w:val="left" w:pos="284"/>
                <w:tab w:val="left" w:pos="426"/>
              </w:tabs>
              <w:ind w:right="49"/>
              <w:jc w:val="both"/>
              <w:rPr>
                <w:rFonts w:ascii="Palatino Linotype" w:eastAsia="Palatino Linotype" w:hAnsi="Palatino Linotype" w:cs="Palatino Linotype"/>
                <w:sz w:val="18"/>
                <w:szCs w:val="18"/>
              </w:rPr>
            </w:pPr>
            <w:r w:rsidRPr="00FC0BE9">
              <w:rPr>
                <w:rFonts w:ascii="Palatino Linotype" w:eastAsia="Palatino Linotype" w:hAnsi="Palatino Linotype" w:cs="Palatino Linotype"/>
                <w:sz w:val="18"/>
                <w:szCs w:val="18"/>
              </w:rPr>
              <w:t>Presentar certificado expedido por la Unidad del Registro de Deudores Alimentarios Morosos en el que conste, si se encuentra inscrito o no en el mismo.</w:t>
            </w:r>
          </w:p>
        </w:tc>
        <w:tc>
          <w:tcPr>
            <w:tcW w:w="2607" w:type="dxa"/>
            <w:vAlign w:val="center"/>
          </w:tcPr>
          <w:p w14:paraId="3B8899BB" w14:textId="77777777" w:rsidR="00AA685F" w:rsidRPr="00FC0BE9" w:rsidRDefault="00B85946">
            <w:pPr>
              <w:tabs>
                <w:tab w:val="left" w:pos="284"/>
                <w:tab w:val="left" w:pos="426"/>
              </w:tabs>
              <w:ind w:right="49"/>
              <w:jc w:val="both"/>
              <w:rPr>
                <w:rFonts w:ascii="Palatino Linotype" w:eastAsia="Palatino Linotype" w:hAnsi="Palatino Linotype" w:cs="Palatino Linotype"/>
                <w:sz w:val="18"/>
                <w:szCs w:val="18"/>
              </w:rPr>
            </w:pPr>
            <w:r w:rsidRPr="00FC0BE9">
              <w:rPr>
                <w:rFonts w:ascii="Palatino Linotype" w:eastAsia="Palatino Linotype" w:hAnsi="Palatino Linotype" w:cs="Palatino Linotype"/>
                <w:sz w:val="18"/>
                <w:szCs w:val="18"/>
              </w:rPr>
              <w:t>Certificado de No Deudor Alimentario Moroso.</w:t>
            </w:r>
          </w:p>
        </w:tc>
        <w:tc>
          <w:tcPr>
            <w:tcW w:w="2410" w:type="dxa"/>
            <w:vAlign w:val="center"/>
          </w:tcPr>
          <w:p w14:paraId="027E5F0C" w14:textId="77777777" w:rsidR="00AA685F" w:rsidRPr="00FC0BE9" w:rsidRDefault="00B85946">
            <w:pPr>
              <w:tabs>
                <w:tab w:val="left" w:pos="284"/>
                <w:tab w:val="left" w:pos="426"/>
              </w:tabs>
              <w:ind w:right="49"/>
              <w:jc w:val="center"/>
              <w:rPr>
                <w:rFonts w:ascii="Palatino Linotype" w:eastAsia="Palatino Linotype" w:hAnsi="Palatino Linotype" w:cs="Palatino Linotype"/>
                <w:sz w:val="18"/>
                <w:szCs w:val="18"/>
              </w:rPr>
            </w:pPr>
            <w:r w:rsidRPr="00FC0BE9">
              <w:rPr>
                <w:rFonts w:ascii="Palatino Linotype" w:eastAsia="Palatino Linotype" w:hAnsi="Palatino Linotype" w:cs="Palatino Linotype"/>
                <w:sz w:val="18"/>
                <w:szCs w:val="18"/>
              </w:rPr>
              <w:t>En versión Pública.</w:t>
            </w:r>
          </w:p>
        </w:tc>
      </w:tr>
      <w:tr w:rsidR="00A10666" w:rsidRPr="00FC0BE9" w14:paraId="695CA9DF" w14:textId="77777777">
        <w:tc>
          <w:tcPr>
            <w:tcW w:w="3767" w:type="dxa"/>
            <w:shd w:val="clear" w:color="auto" w:fill="auto"/>
            <w:vAlign w:val="center"/>
          </w:tcPr>
          <w:p w14:paraId="394A760C" w14:textId="77777777" w:rsidR="00AA685F" w:rsidRPr="00FC0BE9" w:rsidRDefault="00B85946">
            <w:pPr>
              <w:tabs>
                <w:tab w:val="left" w:pos="284"/>
                <w:tab w:val="left" w:pos="426"/>
              </w:tabs>
              <w:ind w:right="49"/>
              <w:jc w:val="both"/>
              <w:rPr>
                <w:rFonts w:ascii="Palatino Linotype" w:eastAsia="Palatino Linotype" w:hAnsi="Palatino Linotype" w:cs="Palatino Linotype"/>
                <w:sz w:val="18"/>
                <w:szCs w:val="18"/>
              </w:rPr>
            </w:pPr>
            <w:r w:rsidRPr="00FC0BE9">
              <w:rPr>
                <w:rFonts w:ascii="Palatino Linotype" w:eastAsia="Palatino Linotype" w:hAnsi="Palatino Linotype" w:cs="Palatino Linotype"/>
                <w:sz w:val="18"/>
                <w:szCs w:val="18"/>
              </w:rPr>
              <w:t>Para iniciar la prestación de los servicios</w:t>
            </w:r>
          </w:p>
        </w:tc>
        <w:tc>
          <w:tcPr>
            <w:tcW w:w="2607" w:type="dxa"/>
            <w:shd w:val="clear" w:color="auto" w:fill="auto"/>
            <w:vAlign w:val="center"/>
          </w:tcPr>
          <w:p w14:paraId="789F6FAA" w14:textId="77777777" w:rsidR="00AA685F" w:rsidRPr="00FC0BE9" w:rsidRDefault="00B85946">
            <w:pPr>
              <w:tabs>
                <w:tab w:val="left" w:pos="284"/>
                <w:tab w:val="left" w:pos="426"/>
              </w:tabs>
              <w:ind w:right="49"/>
              <w:jc w:val="both"/>
              <w:rPr>
                <w:rFonts w:ascii="Palatino Linotype" w:eastAsia="Palatino Linotype" w:hAnsi="Palatino Linotype" w:cs="Palatino Linotype"/>
                <w:sz w:val="18"/>
                <w:szCs w:val="18"/>
              </w:rPr>
            </w:pPr>
            <w:r w:rsidRPr="00FC0BE9">
              <w:rPr>
                <w:rFonts w:ascii="Palatino Linotype" w:eastAsia="Palatino Linotype" w:hAnsi="Palatino Linotype" w:cs="Palatino Linotype"/>
                <w:sz w:val="18"/>
                <w:szCs w:val="18"/>
              </w:rPr>
              <w:t>Nombramiento, contrato o formato único de Movimientos de Personal.</w:t>
            </w:r>
          </w:p>
        </w:tc>
        <w:tc>
          <w:tcPr>
            <w:tcW w:w="2410" w:type="dxa"/>
            <w:vAlign w:val="center"/>
          </w:tcPr>
          <w:p w14:paraId="178BCDA3" w14:textId="77777777" w:rsidR="00AA685F" w:rsidRPr="00FC0BE9" w:rsidRDefault="00B85946">
            <w:pPr>
              <w:tabs>
                <w:tab w:val="left" w:pos="284"/>
                <w:tab w:val="left" w:pos="426"/>
              </w:tabs>
              <w:ind w:right="49"/>
              <w:jc w:val="center"/>
              <w:rPr>
                <w:rFonts w:ascii="Palatino Linotype" w:eastAsia="Palatino Linotype" w:hAnsi="Palatino Linotype" w:cs="Palatino Linotype"/>
                <w:sz w:val="18"/>
                <w:szCs w:val="18"/>
              </w:rPr>
            </w:pPr>
            <w:r w:rsidRPr="00FC0BE9">
              <w:rPr>
                <w:rFonts w:ascii="Palatino Linotype" w:eastAsia="Palatino Linotype" w:hAnsi="Palatino Linotype" w:cs="Palatino Linotype"/>
                <w:sz w:val="18"/>
                <w:szCs w:val="18"/>
              </w:rPr>
              <w:t>En versión Pública.</w:t>
            </w:r>
          </w:p>
        </w:tc>
      </w:tr>
    </w:tbl>
    <w:p w14:paraId="22EDD10A" w14:textId="77777777" w:rsidR="00AA685F" w:rsidRPr="00FC0BE9" w:rsidRDefault="00AA685F">
      <w:pPr>
        <w:tabs>
          <w:tab w:val="left" w:pos="8222"/>
        </w:tabs>
        <w:spacing w:line="360" w:lineRule="auto"/>
        <w:ind w:right="49"/>
        <w:jc w:val="both"/>
        <w:rPr>
          <w:rFonts w:ascii="Palatino Linotype" w:eastAsia="Palatino Linotype" w:hAnsi="Palatino Linotype" w:cs="Palatino Linotype"/>
          <w:sz w:val="22"/>
          <w:szCs w:val="22"/>
        </w:rPr>
      </w:pPr>
    </w:p>
    <w:p w14:paraId="18793E3C" w14:textId="77777777" w:rsidR="00AA685F" w:rsidRPr="00FC0BE9" w:rsidRDefault="00B85946">
      <w:pPr>
        <w:tabs>
          <w:tab w:val="left" w:pos="8222"/>
        </w:tabs>
        <w:spacing w:line="360" w:lineRule="auto"/>
        <w:ind w:right="49"/>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De este modo, es de referir que es de interés público de la ciudadanía, conocer que los trabajadores gubernamentales cumplen con todos los requisitos establecidos en la  normatividad respectiva, pues solo así, se puede saber, si los empleados, son aptos para ocupar determinados puestos; por otra parte, la publicidad de la información ayuda a rendir cuentas a la población, respecto a que las dependencias gubernamentales cumplen con lo establecido en los ordenamientos jurídicos, ya que permite a las personas verificar que una Dependencia o Ayuntamiento, contrata a servidores públicos capaces e idóneos para cumplir con sus funciones y cumplen con los requisitos respectivos.</w:t>
      </w:r>
    </w:p>
    <w:p w14:paraId="7E552FDA" w14:textId="77777777" w:rsidR="00AA685F" w:rsidRPr="00FC0BE9" w:rsidRDefault="00AA685F">
      <w:pPr>
        <w:tabs>
          <w:tab w:val="left" w:pos="8222"/>
        </w:tabs>
        <w:spacing w:line="360" w:lineRule="auto"/>
        <w:ind w:right="49"/>
        <w:jc w:val="both"/>
        <w:rPr>
          <w:rFonts w:ascii="Palatino Linotype" w:eastAsia="Palatino Linotype" w:hAnsi="Palatino Linotype" w:cs="Palatino Linotype"/>
          <w:sz w:val="22"/>
          <w:szCs w:val="22"/>
        </w:rPr>
      </w:pPr>
    </w:p>
    <w:p w14:paraId="2519B6E8" w14:textId="77777777" w:rsidR="00AA685F" w:rsidRPr="00FC0BE9" w:rsidRDefault="00B85946">
      <w:pPr>
        <w:tabs>
          <w:tab w:val="left" w:pos="8222"/>
        </w:tabs>
        <w:spacing w:line="360" w:lineRule="auto"/>
        <w:ind w:right="49"/>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En atención a lo anterior, se procede al análisis pormenorizado de las documentales que conforman los expedientes laborales del personal, para efecto de determinar la procedencia de su entrega:</w:t>
      </w:r>
    </w:p>
    <w:p w14:paraId="668AADBB" w14:textId="77777777" w:rsidR="00AA685F" w:rsidRPr="00FC0BE9" w:rsidRDefault="00AA685F">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7137DBC3" w14:textId="77777777" w:rsidR="00AA685F" w:rsidRPr="00FC0BE9" w:rsidRDefault="00B85946">
      <w:pPr>
        <w:numPr>
          <w:ilvl w:val="0"/>
          <w:numId w:val="9"/>
        </w:numPr>
        <w:pBdr>
          <w:top w:val="nil"/>
          <w:left w:val="nil"/>
          <w:bottom w:val="nil"/>
          <w:right w:val="nil"/>
          <w:between w:val="nil"/>
        </w:pBdr>
        <w:tabs>
          <w:tab w:val="left" w:pos="8222"/>
        </w:tabs>
        <w:spacing w:after="160" w:line="360" w:lineRule="auto"/>
        <w:ind w:right="49"/>
        <w:jc w:val="both"/>
        <w:rPr>
          <w:rFonts w:ascii="Palatino Linotype" w:eastAsia="Palatino Linotype" w:hAnsi="Palatino Linotype" w:cs="Palatino Linotype"/>
          <w:b/>
          <w:sz w:val="22"/>
          <w:szCs w:val="22"/>
          <w:u w:val="single"/>
        </w:rPr>
      </w:pPr>
      <w:r w:rsidRPr="00FC0BE9">
        <w:rPr>
          <w:rFonts w:ascii="Palatino Linotype" w:eastAsia="Palatino Linotype" w:hAnsi="Palatino Linotype" w:cs="Palatino Linotype"/>
          <w:b/>
          <w:sz w:val="22"/>
          <w:szCs w:val="22"/>
          <w:u w:val="single"/>
        </w:rPr>
        <w:t>Solicitud de empleo.</w:t>
      </w:r>
    </w:p>
    <w:p w14:paraId="06F6B936" w14:textId="77777777" w:rsidR="00AA685F" w:rsidRPr="00FC0BE9" w:rsidRDefault="00AA685F">
      <w:pPr>
        <w:tabs>
          <w:tab w:val="left" w:pos="8222"/>
        </w:tabs>
        <w:spacing w:line="360" w:lineRule="auto"/>
        <w:ind w:right="49"/>
        <w:jc w:val="both"/>
        <w:rPr>
          <w:rFonts w:ascii="Palatino Linotype" w:eastAsia="Palatino Linotype" w:hAnsi="Palatino Linotype" w:cs="Palatino Linotype"/>
          <w:b/>
          <w:sz w:val="22"/>
          <w:szCs w:val="22"/>
        </w:rPr>
      </w:pPr>
    </w:p>
    <w:p w14:paraId="422BF959" w14:textId="77777777" w:rsidR="00AA685F" w:rsidRPr="00FC0BE9" w:rsidRDefault="00B85946">
      <w:pPr>
        <w:tabs>
          <w:tab w:val="left" w:pos="8222"/>
        </w:tabs>
        <w:spacing w:line="360" w:lineRule="auto"/>
        <w:ind w:right="49"/>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La solicitud de empleo es un documento físico o digital, que se estructura a modo de formulario y tiene como finalidad recoger información que el empleador requiere conocer del aspirante. En ese sentido, es importante mencionar que este documento se constituye por diversos datos personales como: nombre, domicilio particular, correo electrónico y número de teléfono particular e incluso, en ciertos formatos, información de estado de salud, hábitos personales o de consanguíneos, sin embargo, también da cuenta de información que en el presente caso resulta ser de interés público, como experiencia laboral y grados de estudio.</w:t>
      </w:r>
    </w:p>
    <w:p w14:paraId="2C09B608" w14:textId="77777777" w:rsidR="00AA685F" w:rsidRPr="00FC0BE9" w:rsidRDefault="00AA685F">
      <w:pPr>
        <w:tabs>
          <w:tab w:val="left" w:pos="8222"/>
        </w:tabs>
        <w:spacing w:line="360" w:lineRule="auto"/>
        <w:ind w:right="49"/>
        <w:jc w:val="both"/>
        <w:rPr>
          <w:rFonts w:ascii="Palatino Linotype" w:eastAsia="Palatino Linotype" w:hAnsi="Palatino Linotype" w:cs="Palatino Linotype"/>
          <w:sz w:val="22"/>
          <w:szCs w:val="22"/>
        </w:rPr>
      </w:pPr>
    </w:p>
    <w:p w14:paraId="0B991D90" w14:textId="77777777" w:rsidR="00AA685F" w:rsidRPr="00FC0BE9" w:rsidRDefault="00B85946">
      <w:pPr>
        <w:tabs>
          <w:tab w:val="left" w:pos="8222"/>
        </w:tabs>
        <w:spacing w:line="360" w:lineRule="auto"/>
        <w:ind w:right="49"/>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Por otro lado, es necesario referir que de acuerdo con el artículo 47 de la Ley de Trabajo de los Servidores Públicos del Estado de México, establece que para ingresar al servicio público se requiere presentar una solicitud de empleo, es decir, la entrega de este documento resulta ser un requisito indispensable para poder prestar servicios dentro de la Administración Pública del Estado de México.</w:t>
      </w:r>
    </w:p>
    <w:p w14:paraId="0C0FC9D3" w14:textId="77777777" w:rsidR="00AA685F" w:rsidRPr="00FC0BE9" w:rsidRDefault="00AA685F">
      <w:pPr>
        <w:tabs>
          <w:tab w:val="left" w:pos="8222"/>
        </w:tabs>
        <w:spacing w:line="360" w:lineRule="auto"/>
        <w:ind w:right="49"/>
        <w:jc w:val="both"/>
        <w:rPr>
          <w:rFonts w:ascii="Palatino Linotype" w:eastAsia="Palatino Linotype" w:hAnsi="Palatino Linotype" w:cs="Palatino Linotype"/>
          <w:sz w:val="22"/>
          <w:szCs w:val="22"/>
        </w:rPr>
      </w:pPr>
    </w:p>
    <w:p w14:paraId="54BE5315" w14:textId="77777777" w:rsidR="00AA685F" w:rsidRPr="00FC0BE9" w:rsidRDefault="00B85946">
      <w:pPr>
        <w:tabs>
          <w:tab w:val="left" w:pos="8222"/>
        </w:tabs>
        <w:spacing w:line="360" w:lineRule="auto"/>
        <w:ind w:right="49"/>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Bajo este orden de ideas, este documento si bien, cuenta con datos personales que en nada abonan a la transparencia y rendición de cuentas, ya que atañen únicamente a la esfera privada del servidor público, también lo es que además de contener información que acredita el nivel académico o preparación de los servidores públicos, es un requisito indispensable de ingreso al servicio público, por lo que, su acceso toma relevancia al guardar relación directa con la contratación del servidor público y con el ejercicio de sus atribuciones.</w:t>
      </w:r>
    </w:p>
    <w:p w14:paraId="248625A5" w14:textId="77777777" w:rsidR="00AA685F" w:rsidRPr="00FC0BE9" w:rsidRDefault="00AA685F">
      <w:pPr>
        <w:tabs>
          <w:tab w:val="left" w:pos="8222"/>
        </w:tabs>
        <w:spacing w:line="360" w:lineRule="auto"/>
        <w:ind w:right="49"/>
        <w:jc w:val="both"/>
        <w:rPr>
          <w:rFonts w:ascii="Palatino Linotype" w:eastAsia="Palatino Linotype" w:hAnsi="Palatino Linotype" w:cs="Palatino Linotype"/>
          <w:sz w:val="22"/>
          <w:szCs w:val="22"/>
        </w:rPr>
      </w:pPr>
    </w:p>
    <w:p w14:paraId="495EFCB0" w14:textId="77777777" w:rsidR="00AA685F" w:rsidRPr="00FC0BE9" w:rsidRDefault="00B85946">
      <w:pPr>
        <w:tabs>
          <w:tab w:val="left" w:pos="8222"/>
        </w:tabs>
        <w:spacing w:line="360" w:lineRule="auto"/>
        <w:ind w:right="49"/>
        <w:jc w:val="both"/>
        <w:rPr>
          <w:rFonts w:ascii="Palatino Linotype" w:eastAsia="Palatino Linotype" w:hAnsi="Palatino Linotype" w:cs="Palatino Linotype"/>
          <w:b/>
          <w:sz w:val="22"/>
          <w:szCs w:val="22"/>
        </w:rPr>
      </w:pPr>
      <w:r w:rsidRPr="00FC0BE9">
        <w:rPr>
          <w:rFonts w:ascii="Palatino Linotype" w:eastAsia="Palatino Linotype" w:hAnsi="Palatino Linotype" w:cs="Palatino Linotype"/>
          <w:sz w:val="22"/>
          <w:szCs w:val="22"/>
        </w:rPr>
        <w:t xml:space="preserve">De esta manera, se trata de un documento de interés público, que contiene datos que actualizan la causal de clasificación parcial de información confidencial establecida en el artículo 143, fracción I, de la Ley de Transparencia y Acceso a la Información Pública del Estado de México y Municipios, </w:t>
      </w:r>
      <w:r w:rsidRPr="00FC0BE9">
        <w:rPr>
          <w:rFonts w:ascii="Palatino Linotype" w:eastAsia="Palatino Linotype" w:hAnsi="Palatino Linotype" w:cs="Palatino Linotype"/>
          <w:b/>
          <w:sz w:val="22"/>
          <w:szCs w:val="22"/>
        </w:rPr>
        <w:t>por lo tanto, procede su entrega en versión pública.</w:t>
      </w:r>
    </w:p>
    <w:p w14:paraId="5C10CC4B" w14:textId="77777777" w:rsidR="00AA685F" w:rsidRPr="00FC0BE9" w:rsidRDefault="00AA685F">
      <w:pPr>
        <w:tabs>
          <w:tab w:val="left" w:pos="8222"/>
        </w:tabs>
        <w:spacing w:line="360" w:lineRule="auto"/>
        <w:ind w:right="49"/>
        <w:jc w:val="both"/>
        <w:rPr>
          <w:rFonts w:ascii="Palatino Linotype" w:eastAsia="Palatino Linotype" w:hAnsi="Palatino Linotype" w:cs="Palatino Linotype"/>
          <w:sz w:val="22"/>
          <w:szCs w:val="22"/>
        </w:rPr>
      </w:pPr>
    </w:p>
    <w:p w14:paraId="0B7A49B8" w14:textId="77777777" w:rsidR="00AA685F" w:rsidRPr="00FC0BE9" w:rsidRDefault="00B85946">
      <w:pPr>
        <w:numPr>
          <w:ilvl w:val="0"/>
          <w:numId w:val="9"/>
        </w:numPr>
        <w:pBdr>
          <w:top w:val="nil"/>
          <w:left w:val="nil"/>
          <w:bottom w:val="nil"/>
          <w:right w:val="nil"/>
          <w:between w:val="nil"/>
        </w:pBdr>
        <w:tabs>
          <w:tab w:val="left" w:pos="8222"/>
        </w:tabs>
        <w:spacing w:after="160" w:line="360" w:lineRule="auto"/>
        <w:ind w:right="49"/>
        <w:jc w:val="both"/>
        <w:rPr>
          <w:rFonts w:ascii="Palatino Linotype" w:eastAsia="Palatino Linotype" w:hAnsi="Palatino Linotype" w:cs="Palatino Linotype"/>
          <w:b/>
          <w:sz w:val="22"/>
          <w:szCs w:val="22"/>
          <w:u w:val="single"/>
        </w:rPr>
      </w:pPr>
      <w:r w:rsidRPr="00FC0BE9">
        <w:rPr>
          <w:rFonts w:ascii="Palatino Linotype" w:eastAsia="Palatino Linotype" w:hAnsi="Palatino Linotype" w:cs="Palatino Linotype"/>
          <w:b/>
          <w:sz w:val="22"/>
          <w:szCs w:val="22"/>
          <w:u w:val="single"/>
        </w:rPr>
        <w:t>Curriculum vitae.</w:t>
      </w:r>
    </w:p>
    <w:p w14:paraId="6D6ABD9B"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32F8D221"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 xml:space="preserve">El </w:t>
      </w:r>
      <w:r w:rsidRPr="00FC0BE9">
        <w:rPr>
          <w:rFonts w:ascii="Palatino Linotype" w:eastAsia="Palatino Linotype" w:hAnsi="Palatino Linotype" w:cs="Palatino Linotype"/>
          <w:i/>
          <w:sz w:val="22"/>
          <w:szCs w:val="22"/>
        </w:rPr>
        <w:t>curriculum vitae</w:t>
      </w:r>
      <w:r w:rsidRPr="00FC0BE9">
        <w:rPr>
          <w:rFonts w:ascii="Palatino Linotype" w:eastAsia="Palatino Linotype" w:hAnsi="Palatino Linotype" w:cs="Palatino Linotype"/>
          <w:sz w:val="22"/>
          <w:szCs w:val="22"/>
        </w:rPr>
        <w:t>, es el documento que las personas elaboran con los datos de identificación y contacto</w:t>
      </w:r>
      <w:r w:rsidRPr="00FC0BE9">
        <w:rPr>
          <w:rFonts w:ascii="Palatino Linotype" w:eastAsia="Palatino Linotype" w:hAnsi="Palatino Linotype" w:cs="Palatino Linotype"/>
          <w:sz w:val="22"/>
          <w:szCs w:val="22"/>
          <w:u w:val="single"/>
        </w:rPr>
        <w:t xml:space="preserve">, </w:t>
      </w:r>
      <w:r w:rsidRPr="00FC0BE9">
        <w:rPr>
          <w:rFonts w:ascii="Palatino Linotype" w:eastAsia="Palatino Linotype" w:hAnsi="Palatino Linotype" w:cs="Palatino Linotype"/>
          <w:b/>
          <w:sz w:val="22"/>
          <w:szCs w:val="22"/>
          <w:u w:val="single"/>
        </w:rPr>
        <w:t>preparación académica y experiencia profesion</w:t>
      </w:r>
      <w:r w:rsidRPr="00FC0BE9">
        <w:rPr>
          <w:rFonts w:ascii="Palatino Linotype" w:eastAsia="Palatino Linotype" w:hAnsi="Palatino Linotype" w:cs="Palatino Linotype"/>
          <w:b/>
          <w:sz w:val="22"/>
          <w:szCs w:val="22"/>
        </w:rPr>
        <w:t>al,</w:t>
      </w:r>
      <w:r w:rsidRPr="00FC0BE9">
        <w:rPr>
          <w:rFonts w:ascii="Palatino Linotype" w:eastAsia="Palatino Linotype" w:hAnsi="Palatino Linotype" w:cs="Palatino Linotype"/>
          <w:sz w:val="22"/>
          <w:szCs w:val="22"/>
        </w:rPr>
        <w:t xml:space="preserve"> para presentarse ante un posible empleador. En este sentido, los documentos que dan cuenta de la preparación académica sirven como medios de identificación para que a su titular lo relacionen con el nivel de estudios con que cuenta y, por lo que hace al </w:t>
      </w:r>
      <w:r w:rsidRPr="00FC0BE9">
        <w:rPr>
          <w:rFonts w:ascii="Palatino Linotype" w:eastAsia="Palatino Linotype" w:hAnsi="Palatino Linotype" w:cs="Palatino Linotype"/>
          <w:i/>
          <w:sz w:val="22"/>
          <w:szCs w:val="22"/>
        </w:rPr>
        <w:t>curriculum vitae</w:t>
      </w:r>
      <w:r w:rsidRPr="00FC0BE9">
        <w:rPr>
          <w:rFonts w:ascii="Palatino Linotype" w:eastAsia="Palatino Linotype" w:hAnsi="Palatino Linotype" w:cs="Palatino Linotype"/>
          <w:b/>
          <w:sz w:val="22"/>
          <w:szCs w:val="22"/>
          <w:u w:val="single"/>
        </w:rPr>
        <w:t>, se le suma la experiencia laboral</w:t>
      </w:r>
      <w:r w:rsidRPr="00FC0BE9">
        <w:rPr>
          <w:rFonts w:ascii="Palatino Linotype" w:eastAsia="Palatino Linotype" w:hAnsi="Palatino Linotype" w:cs="Palatino Linotype"/>
          <w:sz w:val="22"/>
          <w:szCs w:val="22"/>
        </w:rPr>
        <w:t xml:space="preserve"> </w:t>
      </w:r>
      <w:r w:rsidRPr="00FC0BE9">
        <w:rPr>
          <w:rFonts w:ascii="Palatino Linotype" w:eastAsia="Palatino Linotype" w:hAnsi="Palatino Linotype" w:cs="Palatino Linotype"/>
          <w:b/>
          <w:sz w:val="22"/>
          <w:szCs w:val="22"/>
          <w:u w:val="single"/>
        </w:rPr>
        <w:t xml:space="preserve">pues permiten identificar el nivel y tipo de preparación de su titular y en su caso su perfil </w:t>
      </w:r>
      <w:r w:rsidRPr="00FC0BE9">
        <w:rPr>
          <w:rFonts w:ascii="Palatino Linotype" w:eastAsia="Palatino Linotype" w:hAnsi="Palatino Linotype" w:cs="Palatino Linotype"/>
          <w:b/>
          <w:sz w:val="22"/>
          <w:szCs w:val="22"/>
        </w:rPr>
        <w:t xml:space="preserve">profesional </w:t>
      </w:r>
      <w:r w:rsidRPr="00FC0BE9">
        <w:rPr>
          <w:rFonts w:ascii="Palatino Linotype" w:eastAsia="Palatino Linotype" w:hAnsi="Palatino Linotype" w:cs="Palatino Linotype"/>
          <w:b/>
          <w:sz w:val="22"/>
          <w:szCs w:val="22"/>
          <w:u w:val="single"/>
        </w:rPr>
        <w:t>o laboral.</w:t>
      </w:r>
    </w:p>
    <w:p w14:paraId="0EA20858"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7926CEF7"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 xml:space="preserve">Desde esta perspectiva, a través del currículum vite la persona solicitante puede advertir los estudios realizados o bien el nivel académico, así como la experiencia laboral de los servidores públicos que se encuentran adscritos al </w:t>
      </w:r>
      <w:r w:rsidRPr="00FC0BE9">
        <w:rPr>
          <w:rFonts w:ascii="Palatino Linotype" w:eastAsia="Palatino Linotype" w:hAnsi="Palatino Linotype" w:cs="Palatino Linotype"/>
          <w:b/>
          <w:sz w:val="22"/>
          <w:szCs w:val="22"/>
        </w:rPr>
        <w:t>Sujeto Obligado</w:t>
      </w:r>
      <w:r w:rsidRPr="00FC0BE9">
        <w:rPr>
          <w:rFonts w:ascii="Palatino Linotype" w:eastAsia="Palatino Linotype" w:hAnsi="Palatino Linotype" w:cs="Palatino Linotype"/>
          <w:sz w:val="22"/>
          <w:szCs w:val="22"/>
        </w:rPr>
        <w:t xml:space="preserve">, información que es de carácter público de conformidad con el criterio orientador 03/2009, emitido por el entonces Instituto Nacional de Transparencia Acceso a la Información Pública y Protección de Datos Personales (INAI), que establece que una de las formas en que los ciudadanos puedan evaluar las aptitudes de los servidores públicos para desempeñar el cargo público que les ha sido encomendado, </w:t>
      </w:r>
      <w:r w:rsidRPr="00FC0BE9">
        <w:rPr>
          <w:rFonts w:ascii="Palatino Linotype" w:eastAsia="Palatino Linotype" w:hAnsi="Palatino Linotype" w:cs="Palatino Linotype"/>
          <w:b/>
          <w:sz w:val="22"/>
          <w:szCs w:val="22"/>
          <w:u w:val="single"/>
        </w:rPr>
        <w:t>es mediante la publicidad de ciertos datos contenidos en los currículos, o bien en las solicitudes de empleo,</w:t>
      </w:r>
      <w:r w:rsidRPr="00FC0BE9">
        <w:rPr>
          <w:rFonts w:ascii="Palatino Linotype" w:eastAsia="Palatino Linotype" w:hAnsi="Palatino Linotype" w:cs="Palatino Linotype"/>
          <w:sz w:val="22"/>
          <w:szCs w:val="22"/>
        </w:rPr>
        <w:t xml:space="preserve"> el cual, para mayor ilustración se transcribe a continuación:</w:t>
      </w:r>
    </w:p>
    <w:p w14:paraId="60DEC002"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5C78E451" w14:textId="77777777" w:rsidR="00AA685F" w:rsidRPr="00FC0BE9" w:rsidRDefault="00B85946">
      <w:pPr>
        <w:ind w:left="567" w:right="612"/>
        <w:jc w:val="both"/>
        <w:rPr>
          <w:rFonts w:ascii="Palatino Linotype" w:eastAsia="Palatino Linotype" w:hAnsi="Palatino Linotype" w:cs="Palatino Linotype"/>
          <w:i/>
          <w:sz w:val="20"/>
          <w:szCs w:val="20"/>
        </w:rPr>
      </w:pPr>
      <w:r w:rsidRPr="00FC0BE9">
        <w:rPr>
          <w:rFonts w:ascii="Palatino Linotype" w:eastAsia="Palatino Linotype" w:hAnsi="Palatino Linotype" w:cs="Palatino Linotype"/>
          <w:i/>
          <w:sz w:val="22"/>
          <w:szCs w:val="22"/>
        </w:rPr>
        <w:t xml:space="preserve"> “</w:t>
      </w:r>
      <w:r w:rsidRPr="00FC0BE9">
        <w:rPr>
          <w:rFonts w:ascii="Palatino Linotype" w:eastAsia="Palatino Linotype" w:hAnsi="Palatino Linotype" w:cs="Palatino Linotype"/>
          <w:b/>
          <w:i/>
          <w:sz w:val="22"/>
          <w:szCs w:val="22"/>
        </w:rPr>
        <w:t>Curriculum Vitae de servidores públicos.</w:t>
      </w:r>
      <w:r w:rsidRPr="00FC0BE9">
        <w:rPr>
          <w:rFonts w:ascii="Palatino Linotype" w:eastAsia="Palatino Linotype" w:hAnsi="Palatino Linotype" w:cs="Palatino Linotype"/>
          <w:i/>
          <w:sz w:val="22"/>
          <w:szCs w:val="22"/>
        </w:rPr>
        <w:t xml:space="preserve"> Es obligación de los sujetos obligados otorgar acceso a versiones públicas de los mismos ante una solicitud de acceso.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curriculum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curriculum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curriculum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 (Sic)</w:t>
      </w:r>
    </w:p>
    <w:p w14:paraId="24DBDE3B" w14:textId="77777777" w:rsidR="00AA685F" w:rsidRPr="00FC0BE9" w:rsidRDefault="00AA685F">
      <w:pPr>
        <w:spacing w:line="276" w:lineRule="auto"/>
        <w:jc w:val="both"/>
        <w:rPr>
          <w:rFonts w:ascii="Palatino Linotype" w:eastAsia="Palatino Linotype" w:hAnsi="Palatino Linotype" w:cs="Palatino Linotype"/>
          <w:i/>
          <w:sz w:val="22"/>
          <w:szCs w:val="22"/>
        </w:rPr>
      </w:pPr>
    </w:p>
    <w:p w14:paraId="21E93901" w14:textId="77777777" w:rsidR="00AA685F" w:rsidRPr="00FC0BE9" w:rsidRDefault="00B85946">
      <w:pPr>
        <w:spacing w:line="360" w:lineRule="auto"/>
        <w:jc w:val="both"/>
        <w:rPr>
          <w:rFonts w:ascii="Palatino Linotype" w:eastAsia="Palatino Linotype" w:hAnsi="Palatino Linotype" w:cs="Palatino Linotype"/>
          <w:b/>
          <w:sz w:val="22"/>
          <w:szCs w:val="22"/>
        </w:rPr>
      </w:pPr>
      <w:r w:rsidRPr="00FC0BE9">
        <w:rPr>
          <w:rFonts w:ascii="Palatino Linotype" w:eastAsia="Palatino Linotype" w:hAnsi="Palatino Linotype" w:cs="Palatino Linotype"/>
          <w:sz w:val="22"/>
          <w:szCs w:val="22"/>
        </w:rPr>
        <w:t xml:space="preserve">Del cual se advierte que si bien en el currículum vitae se describe información de una persona relacionada con su formación académica, trayectoria profesional y datos de contacto entre otros que pudieran constituir datos personales; tratándose de servidores públicos, el conocimiento de los mismos por los gobernados contribuye a la evaluación de sus aptitudes </w:t>
      </w:r>
      <w:r w:rsidRPr="00FC0BE9">
        <w:rPr>
          <w:rFonts w:ascii="Palatino Linotype" w:eastAsia="Palatino Linotype" w:hAnsi="Palatino Linotype" w:cs="Palatino Linotype"/>
          <w:b/>
          <w:sz w:val="22"/>
          <w:szCs w:val="22"/>
        </w:rPr>
        <w:t>de acuerdo a su nivel profesional y laboral</w:t>
      </w:r>
      <w:r w:rsidRPr="00FC0BE9">
        <w:rPr>
          <w:rFonts w:ascii="Palatino Linotype" w:eastAsia="Palatino Linotype" w:hAnsi="Palatino Linotype" w:cs="Palatino Linotype"/>
          <w:sz w:val="22"/>
          <w:szCs w:val="22"/>
        </w:rPr>
        <w:t xml:space="preserve">, para el desempeño de sus funciones en el cargo que ostenten, razón que resulta suficiente para que sean de conocimiento público </w:t>
      </w:r>
      <w:r w:rsidRPr="00FC0BE9">
        <w:rPr>
          <w:rFonts w:ascii="Palatino Linotype" w:eastAsia="Palatino Linotype" w:hAnsi="Palatino Linotype" w:cs="Palatino Linotype"/>
          <w:sz w:val="22"/>
          <w:szCs w:val="22"/>
          <w:u w:val="single"/>
        </w:rPr>
        <w:t>y si bien es cierto que no existe disposición legal que ordene de manera expresa que el sujeto obligado, deba contar en sus archivos con un documento denominado “currículum vitae”</w:t>
      </w:r>
      <w:r w:rsidRPr="00FC0BE9">
        <w:rPr>
          <w:rFonts w:ascii="Palatino Linotype" w:eastAsia="Palatino Linotype" w:hAnsi="Palatino Linotype" w:cs="Palatino Linotype"/>
          <w:sz w:val="22"/>
          <w:szCs w:val="22"/>
        </w:rPr>
        <w:t xml:space="preserve"> de sus servidores públicos, </w:t>
      </w:r>
      <w:r w:rsidRPr="00FC0BE9">
        <w:rPr>
          <w:rFonts w:ascii="Palatino Linotype" w:eastAsia="Palatino Linotype" w:hAnsi="Palatino Linotype" w:cs="Palatino Linotype"/>
          <w:b/>
          <w:sz w:val="22"/>
          <w:szCs w:val="22"/>
        </w:rPr>
        <w:t>también lo es que para el desempeño de un empleo, cargo o comisión en el servicio público sí es requisito, entre otros, presentar una solicitud del empleo, como se desprende del artículo 47 fracción I de la Ley del Trabajo para los Servidores Públicos del Estado y Municipios, a saber:</w:t>
      </w:r>
    </w:p>
    <w:p w14:paraId="0B3C9E5A" w14:textId="77777777" w:rsidR="00AA685F" w:rsidRPr="00FC0BE9" w:rsidRDefault="00AA685F">
      <w:pPr>
        <w:spacing w:line="360" w:lineRule="auto"/>
        <w:jc w:val="both"/>
        <w:rPr>
          <w:rFonts w:ascii="Palatino Linotype" w:eastAsia="Palatino Linotype" w:hAnsi="Palatino Linotype" w:cs="Palatino Linotype"/>
          <w:b/>
          <w:sz w:val="22"/>
          <w:szCs w:val="22"/>
        </w:rPr>
      </w:pPr>
    </w:p>
    <w:p w14:paraId="2F93A502" w14:textId="77777777" w:rsidR="00AA685F" w:rsidRPr="00FC0BE9" w:rsidRDefault="00B85946">
      <w:pPr>
        <w:spacing w:line="276" w:lineRule="auto"/>
        <w:ind w:left="567" w:right="560"/>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 xml:space="preserve">“ARTÍCULO 47. Para ingresar al servicio público se requiere: </w:t>
      </w:r>
    </w:p>
    <w:p w14:paraId="4E2E0E0D" w14:textId="77777777" w:rsidR="00AA685F" w:rsidRPr="00FC0BE9" w:rsidRDefault="00B85946">
      <w:pPr>
        <w:spacing w:line="276" w:lineRule="auto"/>
        <w:ind w:left="567" w:right="560"/>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I. Presentar una solicitud utilizando la forma oficial que se autorice por la institución pública o dependencia correspondiente, a la cual se le prohíbe incluir la fotografía de quien solicita el empleo;[…]”</w:t>
      </w:r>
    </w:p>
    <w:p w14:paraId="57DDD7C5"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74AB929B"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b/>
          <w:sz w:val="22"/>
          <w:szCs w:val="22"/>
        </w:rPr>
        <w:t>Por lo que es posible determinar que, el currículum vítae, ficha curricular, solicitud de empleo o documento análogo, contienen información relacionada con la trayectoria académica, profesional y laboral,</w:t>
      </w:r>
      <w:r w:rsidRPr="00FC0BE9">
        <w:rPr>
          <w:rFonts w:ascii="Palatino Linotype" w:eastAsia="Palatino Linotype" w:hAnsi="Palatino Linotype" w:cs="Palatino Linotype"/>
          <w:sz w:val="22"/>
          <w:szCs w:val="22"/>
        </w:rPr>
        <w:t xml:space="preserve"> por medio del cual se acredita la capacidad, habilidades, experiencia o pericia de una persona para ocupar un cargo, puesto o comisión, que permitan realizar una comparación de las actividades que ha realizado con las que habrá de desarrollar, y determinar si cumple con el perfil del cargo a ocupar.</w:t>
      </w:r>
    </w:p>
    <w:p w14:paraId="75242FAE"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08460B4B"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 xml:space="preserve">En esa tesitura, debe apuntarse que la información curricular constituye una obligación de transparencia, pues </w:t>
      </w:r>
      <w:r w:rsidRPr="00FC0BE9">
        <w:rPr>
          <w:rFonts w:ascii="Palatino Linotype" w:eastAsia="Palatino Linotype" w:hAnsi="Palatino Linotype" w:cs="Palatino Linotype"/>
          <w:b/>
          <w:sz w:val="22"/>
          <w:szCs w:val="22"/>
        </w:rPr>
        <w:t>el Sujeto Obligado</w:t>
      </w:r>
      <w:r w:rsidRPr="00FC0BE9">
        <w:rPr>
          <w:rFonts w:ascii="Palatino Linotype" w:eastAsia="Palatino Linotype" w:hAnsi="Palatino Linotype" w:cs="Palatino Linotype"/>
          <w:sz w:val="22"/>
          <w:szCs w:val="22"/>
        </w:rPr>
        <w:t xml:space="preserve"> se encuentra constreñido a poner a disposición del público en su portal de Información Pública de Oficio Mexiquense (IPOMEX), la información curricular de sus servidores públicos, ello con la finalidad de enaltecer los principios de máxima publicidad, transparencia y certeza, como lo estipula  el artículo 92, fracción XXI de la ley aplicable a la materia, que es del tenor literal siguiente: </w:t>
      </w:r>
    </w:p>
    <w:p w14:paraId="022BF113"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6ACC1B8C" w14:textId="77777777" w:rsidR="00AA685F" w:rsidRPr="00FC0BE9" w:rsidRDefault="00B85946">
      <w:pPr>
        <w:ind w:left="567" w:right="612"/>
        <w:jc w:val="both"/>
        <w:rPr>
          <w:rFonts w:ascii="Palatino Linotype" w:eastAsia="Palatino Linotype" w:hAnsi="Palatino Linotype" w:cs="Palatino Linotype"/>
          <w:i/>
          <w:sz w:val="20"/>
          <w:szCs w:val="20"/>
        </w:rPr>
      </w:pPr>
      <w:r w:rsidRPr="00FC0BE9">
        <w:rPr>
          <w:rFonts w:ascii="Palatino Linotype" w:eastAsia="Palatino Linotype" w:hAnsi="Palatino Linotype" w:cs="Palatino Linotype"/>
          <w:i/>
          <w:sz w:val="22"/>
          <w:szCs w:val="22"/>
        </w:rPr>
        <w:t xml:space="preserve">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349CC2A" w14:textId="77777777" w:rsidR="00AA685F" w:rsidRPr="00FC0BE9" w:rsidRDefault="00B85946">
      <w:pPr>
        <w:ind w:left="567" w:right="612"/>
        <w:jc w:val="both"/>
        <w:rPr>
          <w:rFonts w:ascii="Palatino Linotype" w:eastAsia="Palatino Linotype" w:hAnsi="Palatino Linotype" w:cs="Palatino Linotype"/>
          <w:i/>
          <w:sz w:val="20"/>
          <w:szCs w:val="20"/>
        </w:rPr>
      </w:pPr>
      <w:r w:rsidRPr="00FC0BE9">
        <w:rPr>
          <w:rFonts w:ascii="Palatino Linotype" w:eastAsia="Palatino Linotype" w:hAnsi="Palatino Linotype" w:cs="Palatino Linotype"/>
          <w:i/>
          <w:sz w:val="22"/>
          <w:szCs w:val="22"/>
        </w:rPr>
        <w:t>...</w:t>
      </w:r>
    </w:p>
    <w:p w14:paraId="312A2CDE" w14:textId="77777777" w:rsidR="00AA685F" w:rsidRPr="00FC0BE9" w:rsidRDefault="00B85946">
      <w:pPr>
        <w:ind w:left="567" w:right="612"/>
        <w:jc w:val="both"/>
        <w:rPr>
          <w:rFonts w:ascii="Palatino Linotype" w:eastAsia="Palatino Linotype" w:hAnsi="Palatino Linotype" w:cs="Palatino Linotype"/>
          <w:i/>
          <w:sz w:val="20"/>
          <w:szCs w:val="20"/>
        </w:rPr>
      </w:pPr>
      <w:r w:rsidRPr="00FC0BE9">
        <w:rPr>
          <w:rFonts w:ascii="Palatino Linotype" w:eastAsia="Palatino Linotype" w:hAnsi="Palatino Linotype" w:cs="Palatino Linotype"/>
          <w:i/>
          <w:sz w:val="22"/>
          <w:szCs w:val="22"/>
        </w:rPr>
        <w:t>XXI. La información curricular, desde el nivel de jefe de departamento o equivalente, hasta el titular del sujeto obligado, así como, en su caso, las sanciones administrativas de que haya sido objeto;”</w:t>
      </w:r>
    </w:p>
    <w:p w14:paraId="3A0810AC" w14:textId="77777777" w:rsidR="00AA685F" w:rsidRPr="00FC0BE9" w:rsidRDefault="00AA685F">
      <w:pPr>
        <w:spacing w:line="360" w:lineRule="auto"/>
        <w:ind w:right="49"/>
        <w:jc w:val="both"/>
        <w:rPr>
          <w:rFonts w:ascii="Palatino Linotype" w:eastAsia="Palatino Linotype" w:hAnsi="Palatino Linotype" w:cs="Palatino Linotype"/>
          <w:sz w:val="22"/>
          <w:szCs w:val="22"/>
        </w:rPr>
      </w:pPr>
    </w:p>
    <w:p w14:paraId="62747006" w14:textId="77777777" w:rsidR="00AA685F" w:rsidRPr="00FC0BE9" w:rsidRDefault="00B85946">
      <w:pPr>
        <w:spacing w:line="360" w:lineRule="auto"/>
        <w:jc w:val="both"/>
        <w:rPr>
          <w:rFonts w:ascii="Palatino Linotype" w:eastAsia="Palatino Linotype" w:hAnsi="Palatino Linotype" w:cs="Palatino Linotype"/>
          <w:b/>
          <w:sz w:val="22"/>
          <w:szCs w:val="22"/>
        </w:rPr>
      </w:pPr>
      <w:r w:rsidRPr="00FC0BE9">
        <w:rPr>
          <w:rFonts w:ascii="Palatino Linotype" w:eastAsia="Palatino Linotype" w:hAnsi="Palatino Linotype" w:cs="Palatino Linotype"/>
          <w:sz w:val="22"/>
          <w:szCs w:val="22"/>
        </w:rPr>
        <w:t xml:space="preserve">En ese contexto, según Islas, Jorge (2016), en la “Ley General de Transparencia y Acceso a la Información Pública Comentada” (p. 244), refirió que el </w:t>
      </w:r>
      <w:r w:rsidRPr="00FC0BE9">
        <w:rPr>
          <w:rFonts w:ascii="Palatino Linotype" w:eastAsia="Palatino Linotype" w:hAnsi="Palatino Linotype" w:cs="Palatino Linotype"/>
          <w:b/>
          <w:i/>
          <w:sz w:val="22"/>
          <w:szCs w:val="22"/>
        </w:rPr>
        <w:t>curriculum vitae</w:t>
      </w:r>
      <w:r w:rsidRPr="00FC0BE9">
        <w:rPr>
          <w:rFonts w:ascii="Palatino Linotype" w:eastAsia="Palatino Linotype" w:hAnsi="Palatino Linotype" w:cs="Palatino Linotype"/>
          <w:b/>
          <w:sz w:val="22"/>
          <w:szCs w:val="22"/>
        </w:rPr>
        <w:t xml:space="preserve"> </w:t>
      </w:r>
      <w:r w:rsidRPr="00FC0BE9">
        <w:rPr>
          <w:rFonts w:ascii="Palatino Linotype" w:eastAsia="Palatino Linotype" w:hAnsi="Palatino Linotype" w:cs="Palatino Linotype"/>
          <w:sz w:val="22"/>
          <w:szCs w:val="22"/>
        </w:rPr>
        <w:t>d</w:t>
      </w:r>
      <w:r w:rsidRPr="00FC0BE9">
        <w:rPr>
          <w:rFonts w:ascii="Palatino Linotype" w:eastAsia="Palatino Linotype" w:hAnsi="Palatino Linotype" w:cs="Palatino Linotype"/>
          <w:b/>
          <w:sz w:val="22"/>
          <w:szCs w:val="22"/>
        </w:rPr>
        <w:t>e un servidor público, justifica que su formación académica resulta viable para el desempeño eficiente y correcto de su encargo; lo anterior, con el fin de acreditar que dichos trabajadores sean los más capacitados acordes al área solicitada.</w:t>
      </w:r>
    </w:p>
    <w:p w14:paraId="27FA7258"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4E015D7B"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De esta manera, con la entrega que se realice del curriculum vitae, ficha curricular, solicitud de empleo o documento análogo, se colmaría el requisito previsto en la fracción I del artículo 47 de la Ley del Trabajo de la Entidad, y proceden su entrega en versión pública de advertirse datos de índole confidencial.</w:t>
      </w:r>
    </w:p>
    <w:p w14:paraId="256C046A"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3BF209FC"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 xml:space="preserve">Ahora, en el caso, es de recordar que en respuesta el </w:t>
      </w:r>
      <w:r w:rsidRPr="00FC0BE9">
        <w:rPr>
          <w:rFonts w:ascii="Palatino Linotype" w:eastAsia="Palatino Linotype" w:hAnsi="Palatino Linotype" w:cs="Palatino Linotype"/>
          <w:b/>
          <w:sz w:val="22"/>
          <w:szCs w:val="22"/>
        </w:rPr>
        <w:t xml:space="preserve">Sujeto Obligado </w:t>
      </w:r>
      <w:r w:rsidRPr="00FC0BE9">
        <w:rPr>
          <w:rFonts w:ascii="Palatino Linotype" w:eastAsia="Palatino Linotype" w:hAnsi="Palatino Linotype" w:cs="Palatino Linotype"/>
          <w:sz w:val="22"/>
          <w:szCs w:val="22"/>
        </w:rPr>
        <w:t xml:space="preserve">con relación al requisito previsto en la fracción I del artículo 47 de la Ley del Trabajo de la Entidad, remitió </w:t>
      </w:r>
      <w:r w:rsidRPr="00FC0BE9">
        <w:rPr>
          <w:rFonts w:ascii="Palatino Linotype" w:eastAsia="Palatino Linotype" w:hAnsi="Palatino Linotype" w:cs="Palatino Linotype"/>
          <w:b/>
          <w:sz w:val="22"/>
          <w:szCs w:val="22"/>
          <w:u w:val="single"/>
        </w:rPr>
        <w:t>dos fichas curriculares</w:t>
      </w:r>
      <w:r w:rsidRPr="00FC0BE9">
        <w:rPr>
          <w:rFonts w:ascii="Palatino Linotype" w:eastAsia="Palatino Linotype" w:hAnsi="Palatino Linotype" w:cs="Palatino Linotype"/>
          <w:sz w:val="22"/>
          <w:szCs w:val="22"/>
        </w:rPr>
        <w:t>, una en versión íntegra de la persona que fungió como Titular de la Contraloría Interna Municipal en 2024 y otra en versión pública más desglosada que fue la que presentó el servidor público de referencia para poder participar en la convocatoria para participar en el proceso de selección y designación de la persona Titular de la Contraloría Municipal en dicho ejercicio, donde indebidamente clasificó la fotografía, misma que se considera pública.</w:t>
      </w:r>
    </w:p>
    <w:p w14:paraId="4F75DA38"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77416FBB"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 xml:space="preserve">Lo anterior, en razón de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14:paraId="24684D86"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5072D96E"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 xml:space="preserve">Por lo anterior, cuando las fotografías de los servidores públicos obran en documentos que dan cuenta del cumplimiento de funciones, requisitos legales o los acredita como servidores públicos, </w:t>
      </w:r>
      <w:r w:rsidRPr="00FC0BE9">
        <w:rPr>
          <w:rFonts w:ascii="Palatino Linotype" w:eastAsia="Palatino Linotype" w:hAnsi="Palatino Linotype" w:cs="Palatino Linotype"/>
          <w:b/>
          <w:sz w:val="22"/>
          <w:szCs w:val="22"/>
        </w:rPr>
        <w:t>deben ser consideradas un dato personal, que no puede ser clasificado como confidencial,</w:t>
      </w:r>
      <w:r w:rsidRPr="00FC0BE9">
        <w:rPr>
          <w:rFonts w:ascii="Palatino Linotype" w:eastAsia="Palatino Linotype" w:hAnsi="Palatino Linotype" w:cs="Palatino Linotype"/>
          <w:sz w:val="22"/>
          <w:szCs w:val="22"/>
        </w:rPr>
        <w:t xml:space="preserve">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610C434D"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2E7EC1DB" w14:textId="77777777" w:rsidR="00AA685F" w:rsidRPr="00FC0BE9" w:rsidRDefault="00B85946">
      <w:pPr>
        <w:tabs>
          <w:tab w:val="left" w:pos="8222"/>
        </w:tabs>
        <w:spacing w:line="360" w:lineRule="auto"/>
        <w:ind w:right="49"/>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 xml:space="preserve">Por tanto, en cumplimiento a la presente resolución, se deberá entregar </w:t>
      </w:r>
      <w:r w:rsidRPr="00FC0BE9">
        <w:rPr>
          <w:rFonts w:ascii="Palatino Linotype" w:eastAsia="Palatino Linotype" w:hAnsi="Palatino Linotype" w:cs="Palatino Linotype"/>
          <w:b/>
          <w:sz w:val="22"/>
          <w:szCs w:val="22"/>
          <w:u w:val="single"/>
        </w:rPr>
        <w:t>en versión pública correcta, la ficha curricular que presentó el Titular de la Contraloría Interna Municipal de 2024 para participar en la convocatoria para participar en el proceso de selección y designación, remitida en respuesta.</w:t>
      </w:r>
    </w:p>
    <w:p w14:paraId="4FDFC314"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564BABE8" w14:textId="77777777" w:rsidR="00AA685F" w:rsidRPr="00FC0BE9" w:rsidRDefault="00B85946">
      <w:pPr>
        <w:numPr>
          <w:ilvl w:val="0"/>
          <w:numId w:val="9"/>
        </w:numPr>
        <w:pBdr>
          <w:top w:val="nil"/>
          <w:left w:val="nil"/>
          <w:bottom w:val="nil"/>
          <w:right w:val="nil"/>
          <w:between w:val="nil"/>
        </w:pBdr>
        <w:tabs>
          <w:tab w:val="left" w:pos="8222"/>
        </w:tabs>
        <w:spacing w:after="160" w:line="360" w:lineRule="auto"/>
        <w:ind w:right="49"/>
        <w:jc w:val="both"/>
        <w:rPr>
          <w:rFonts w:ascii="Palatino Linotype" w:eastAsia="Palatino Linotype" w:hAnsi="Palatino Linotype" w:cs="Palatino Linotype"/>
          <w:b/>
          <w:sz w:val="22"/>
          <w:szCs w:val="22"/>
          <w:u w:val="single"/>
        </w:rPr>
      </w:pPr>
      <w:r w:rsidRPr="00FC0BE9">
        <w:rPr>
          <w:rFonts w:ascii="Palatino Linotype" w:eastAsia="Palatino Linotype" w:hAnsi="Palatino Linotype" w:cs="Palatino Linotype"/>
          <w:b/>
          <w:sz w:val="22"/>
          <w:szCs w:val="22"/>
          <w:u w:val="single"/>
        </w:rPr>
        <w:t>Documento que acredite la nacionalidad (acta de nacimiento)</w:t>
      </w:r>
    </w:p>
    <w:p w14:paraId="300ED4B9" w14:textId="77777777" w:rsidR="00AA685F" w:rsidRPr="00FC0BE9" w:rsidRDefault="00AA685F">
      <w:pPr>
        <w:pBdr>
          <w:top w:val="nil"/>
          <w:left w:val="nil"/>
          <w:bottom w:val="nil"/>
          <w:right w:val="nil"/>
          <w:between w:val="nil"/>
        </w:pBdr>
        <w:tabs>
          <w:tab w:val="left" w:pos="8222"/>
        </w:tabs>
        <w:spacing w:line="360" w:lineRule="auto"/>
        <w:ind w:left="360" w:right="49"/>
        <w:jc w:val="both"/>
        <w:rPr>
          <w:rFonts w:ascii="Palatino Linotype" w:eastAsia="Palatino Linotype" w:hAnsi="Palatino Linotype" w:cs="Palatino Linotype"/>
          <w:b/>
          <w:sz w:val="22"/>
          <w:szCs w:val="22"/>
          <w:u w:val="single"/>
        </w:rPr>
      </w:pPr>
    </w:p>
    <w:p w14:paraId="44039732"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 xml:space="preserve">Dentro de la fracción II del artículo 47 de la Ley del Trabajo de los Servidores Públicos del Estado de México, el requisito consiste en ser de nacionalidad mexicana, por lo que el documento que colmaría este punto de la solicitud de manera enunciativa más no limitativa sería </w:t>
      </w:r>
      <w:r w:rsidRPr="00FC0BE9">
        <w:rPr>
          <w:rFonts w:ascii="Palatino Linotype" w:eastAsia="Palatino Linotype" w:hAnsi="Palatino Linotype" w:cs="Palatino Linotype"/>
          <w:b/>
          <w:sz w:val="22"/>
          <w:szCs w:val="22"/>
          <w:u w:val="single"/>
        </w:rPr>
        <w:t>el acta de nacimiento</w:t>
      </w:r>
      <w:r w:rsidRPr="00FC0BE9">
        <w:rPr>
          <w:rFonts w:ascii="Palatino Linotype" w:eastAsia="Palatino Linotype" w:hAnsi="Palatino Linotype" w:cs="Palatino Linotype"/>
          <w:sz w:val="22"/>
          <w:szCs w:val="22"/>
        </w:rPr>
        <w:t xml:space="preserve">, es por ello que conviene precisar que las actas emitidas por el Registro Civil dan cuenta de un atributo de la personalidad, tal como lo establece el artículo 2.3 del Código Civil del Estado México. En ese orden de ideas, el artículo 3.5 del citado Código Civil establece que el estado civil de las personas sólo se comprueba con las constancias relativas del Registro Civil, tal como lo es el Acta de Nacimiento. </w:t>
      </w:r>
    </w:p>
    <w:p w14:paraId="58CC38C5"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2DAAD514"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 xml:space="preserve">Ahora bien, de acuerdo con el Formato Único del Acta de Nacimiento publicado por la Secretaría de Gobernación en el enlace </w:t>
      </w:r>
      <w:hyperlink r:id="rId8">
        <w:r w:rsidRPr="00FC0BE9">
          <w:rPr>
            <w:rFonts w:ascii="Palatino Linotype" w:eastAsia="Palatino Linotype" w:hAnsi="Palatino Linotype" w:cs="Palatino Linotype"/>
            <w:sz w:val="22"/>
            <w:szCs w:val="22"/>
            <w:u w:val="single"/>
          </w:rPr>
          <w:t>http://www.diputados.gob.mx/documentos/N_Acta_Nacimiento.pdf</w:t>
        </w:r>
      </w:hyperlink>
      <w:r w:rsidRPr="00FC0BE9">
        <w:rPr>
          <w:rFonts w:ascii="Palatino Linotype" w:eastAsia="Palatino Linotype" w:hAnsi="Palatino Linotype" w:cs="Palatino Linotype"/>
          <w:sz w:val="22"/>
          <w:szCs w:val="22"/>
        </w:rPr>
        <w:t xml:space="preserve"> , se advierte que el Acta de Nacimiento se componte de quince elementos siendo los siguientes: </w:t>
      </w:r>
    </w:p>
    <w:p w14:paraId="0DBD2F3E"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2DCA223C"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a) Folio de Impresión.</w:t>
      </w:r>
    </w:p>
    <w:p w14:paraId="3E9020ED"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b) Denominación del Documento.</w:t>
      </w:r>
    </w:p>
    <w:p w14:paraId="3A4C08BA"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 xml:space="preserve">c) Identificador Electrónico. </w:t>
      </w:r>
    </w:p>
    <w:p w14:paraId="11F79F3D"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 xml:space="preserve">d) Elementos del Registro. </w:t>
      </w:r>
    </w:p>
    <w:p w14:paraId="63A4AE91"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 xml:space="preserve">e) Datos de la Persona Registrada. </w:t>
      </w:r>
    </w:p>
    <w:p w14:paraId="3FC9CE7D"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 xml:space="preserve">f) Datos de Filiación de la Persona Registrada. </w:t>
      </w:r>
    </w:p>
    <w:p w14:paraId="3C0354C5"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 xml:space="preserve">g) Anotaciones Marginales. </w:t>
      </w:r>
    </w:p>
    <w:p w14:paraId="66D7EEB8"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 xml:space="preserve">h) Certificación. </w:t>
      </w:r>
    </w:p>
    <w:p w14:paraId="04EDEAEE"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 xml:space="preserve">i) Código Bidimensional QR que contiene información encriptada del acta. </w:t>
      </w:r>
    </w:p>
    <w:p w14:paraId="365A5705"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 xml:space="preserve">j) Leyenda “Soy México” </w:t>
      </w:r>
    </w:p>
    <w:p w14:paraId="42C93B40"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 xml:space="preserve">k) Firma Electrónica Avanzada. </w:t>
      </w:r>
    </w:p>
    <w:p w14:paraId="3CF2D753"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 xml:space="preserve">l) Firma y datos de la autoridad emisora. </w:t>
      </w:r>
    </w:p>
    <w:p w14:paraId="4B3B5328"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 xml:space="preserve">m) Código QR. </w:t>
      </w:r>
    </w:p>
    <w:p w14:paraId="3DF214BA"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n) Código de Verificación.</w:t>
      </w:r>
    </w:p>
    <w:p w14:paraId="0B11EC54"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 xml:space="preserve">o) Leyenda de instrucciones para la verificación del documento. </w:t>
      </w:r>
    </w:p>
    <w:p w14:paraId="49A4144D"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36ABBA3F"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 xml:space="preserve">Siendo de suma importancia mencionar que la información relativa a los incisos </w:t>
      </w:r>
      <w:r w:rsidRPr="00FC0BE9">
        <w:rPr>
          <w:rFonts w:ascii="Palatino Linotype" w:eastAsia="Palatino Linotype" w:hAnsi="Palatino Linotype" w:cs="Palatino Linotype"/>
          <w:b/>
          <w:sz w:val="22"/>
          <w:szCs w:val="22"/>
        </w:rPr>
        <w:t>d) elementos de registro, e) datos de la persona registrada, f) datos de filiación de la persona registrada</w:t>
      </w:r>
      <w:r w:rsidRPr="00FC0BE9">
        <w:rPr>
          <w:rFonts w:ascii="Palatino Linotype" w:eastAsia="Palatino Linotype" w:hAnsi="Palatino Linotype" w:cs="Palatino Linotype"/>
          <w:sz w:val="22"/>
          <w:szCs w:val="22"/>
        </w:rPr>
        <w:t xml:space="preserve">, </w:t>
      </w:r>
      <w:r w:rsidRPr="00FC0BE9">
        <w:rPr>
          <w:rFonts w:ascii="Palatino Linotype" w:eastAsia="Palatino Linotype" w:hAnsi="Palatino Linotype" w:cs="Palatino Linotype"/>
          <w:b/>
          <w:sz w:val="22"/>
          <w:szCs w:val="22"/>
        </w:rPr>
        <w:t xml:space="preserve">g), anotaciones marginales </w:t>
      </w:r>
      <w:r w:rsidRPr="00FC0BE9">
        <w:rPr>
          <w:rFonts w:ascii="Palatino Linotype" w:eastAsia="Palatino Linotype" w:hAnsi="Palatino Linotype" w:cs="Palatino Linotype"/>
          <w:sz w:val="22"/>
          <w:szCs w:val="22"/>
        </w:rPr>
        <w:t>y</w:t>
      </w:r>
      <w:r w:rsidRPr="00FC0BE9">
        <w:rPr>
          <w:rFonts w:ascii="Palatino Linotype" w:eastAsia="Palatino Linotype" w:hAnsi="Palatino Linotype" w:cs="Palatino Linotype"/>
          <w:b/>
          <w:sz w:val="22"/>
          <w:szCs w:val="22"/>
        </w:rPr>
        <w:t xml:space="preserve"> m) Código QR, </w:t>
      </w:r>
      <w:r w:rsidRPr="00FC0BE9">
        <w:rPr>
          <w:rFonts w:ascii="Palatino Linotype" w:eastAsia="Palatino Linotype" w:hAnsi="Palatino Linotype" w:cs="Palatino Linotype"/>
          <w:sz w:val="22"/>
          <w:szCs w:val="22"/>
        </w:rPr>
        <w:t>se encuentra intrínsecamente relacionada con la esfera privada de una persona haciéndole identificada o identificable, como al contener los siguientes datos:</w:t>
      </w:r>
    </w:p>
    <w:p w14:paraId="7514C86B" w14:textId="77777777" w:rsidR="00AA685F" w:rsidRPr="00FC0BE9" w:rsidRDefault="00B85946">
      <w:pPr>
        <w:spacing w:before="240" w:after="240"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noProof/>
          <w:sz w:val="22"/>
          <w:szCs w:val="22"/>
        </w:rPr>
        <w:drawing>
          <wp:inline distT="0" distB="0" distL="0" distR="0" wp14:anchorId="651F9231" wp14:editId="07385292">
            <wp:extent cx="5610225" cy="1476375"/>
            <wp:effectExtent l="0" t="0" r="0" b="0"/>
            <wp:docPr id="214310827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610225" cy="1476375"/>
                    </a:xfrm>
                    <a:prstGeom prst="rect">
                      <a:avLst/>
                    </a:prstGeom>
                    <a:ln/>
                  </pic:spPr>
                </pic:pic>
              </a:graphicData>
            </a:graphic>
          </wp:inline>
        </w:drawing>
      </w:r>
    </w:p>
    <w:p w14:paraId="3959A04A" w14:textId="77777777" w:rsidR="00AA685F" w:rsidRPr="00FC0BE9" w:rsidRDefault="00B85946">
      <w:pPr>
        <w:spacing w:before="240" w:after="240"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noProof/>
          <w:sz w:val="22"/>
          <w:szCs w:val="22"/>
        </w:rPr>
        <w:drawing>
          <wp:inline distT="0" distB="0" distL="0" distR="0" wp14:anchorId="16C46CAE" wp14:editId="088A0730">
            <wp:extent cx="5610225" cy="1695450"/>
            <wp:effectExtent l="0" t="0" r="0" b="0"/>
            <wp:docPr id="214310827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b="60179"/>
                    <a:stretch>
                      <a:fillRect/>
                    </a:stretch>
                  </pic:blipFill>
                  <pic:spPr>
                    <a:xfrm>
                      <a:off x="0" y="0"/>
                      <a:ext cx="5610225" cy="1695450"/>
                    </a:xfrm>
                    <a:prstGeom prst="rect">
                      <a:avLst/>
                    </a:prstGeom>
                    <a:ln/>
                  </pic:spPr>
                </pic:pic>
              </a:graphicData>
            </a:graphic>
          </wp:inline>
        </w:drawing>
      </w:r>
    </w:p>
    <w:p w14:paraId="3E67149E" w14:textId="77777777" w:rsidR="00AA685F" w:rsidRPr="00FC0BE9" w:rsidRDefault="00B85946">
      <w:pPr>
        <w:spacing w:before="240" w:after="240"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noProof/>
          <w:sz w:val="22"/>
          <w:szCs w:val="22"/>
        </w:rPr>
        <w:drawing>
          <wp:inline distT="0" distB="0" distL="0" distR="0" wp14:anchorId="324263DA" wp14:editId="37FD6A80">
            <wp:extent cx="5610225" cy="1543050"/>
            <wp:effectExtent l="0" t="0" r="0" b="0"/>
            <wp:docPr id="214310827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t="42281" b="-222"/>
                    <a:stretch>
                      <a:fillRect/>
                    </a:stretch>
                  </pic:blipFill>
                  <pic:spPr>
                    <a:xfrm>
                      <a:off x="0" y="0"/>
                      <a:ext cx="5610225" cy="1543050"/>
                    </a:xfrm>
                    <a:prstGeom prst="rect">
                      <a:avLst/>
                    </a:prstGeom>
                    <a:ln/>
                  </pic:spPr>
                </pic:pic>
              </a:graphicData>
            </a:graphic>
          </wp:inline>
        </w:drawing>
      </w:r>
    </w:p>
    <w:p w14:paraId="138ED428" w14:textId="77777777" w:rsidR="00AA685F" w:rsidRPr="00FC0BE9" w:rsidRDefault="00B85946">
      <w:pPr>
        <w:spacing w:before="240" w:after="240"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noProof/>
          <w:sz w:val="22"/>
          <w:szCs w:val="22"/>
        </w:rPr>
        <w:drawing>
          <wp:inline distT="0" distB="0" distL="0" distR="0" wp14:anchorId="0FEB9535" wp14:editId="5BC7CA86">
            <wp:extent cx="5577840" cy="914400"/>
            <wp:effectExtent l="0" t="0" r="0" b="0"/>
            <wp:docPr id="214310828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5577840" cy="914400"/>
                    </a:xfrm>
                    <a:prstGeom prst="rect">
                      <a:avLst/>
                    </a:prstGeom>
                    <a:ln/>
                  </pic:spPr>
                </pic:pic>
              </a:graphicData>
            </a:graphic>
          </wp:inline>
        </w:drawing>
      </w:r>
    </w:p>
    <w:p w14:paraId="696DC571"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 xml:space="preserve">Dada esta relevancia, al ser el acta de nacimiento un documento mediante el cual se le otorga identidad a una persona, además de tratarse de información que no se encuentra relacionada con el ejercicio de un cargo público, sino con el ejercicio de los derechos personales de su titular, </w:t>
      </w:r>
      <w:r w:rsidRPr="00FC0BE9">
        <w:rPr>
          <w:rFonts w:ascii="Palatino Linotype" w:eastAsia="Palatino Linotype" w:hAnsi="Palatino Linotype" w:cs="Palatino Linotype"/>
          <w:b/>
          <w:sz w:val="22"/>
          <w:szCs w:val="22"/>
        </w:rPr>
        <w:t>se estima que dicho documento debe ser clasificado como información confidencial en su totalidad,</w:t>
      </w:r>
      <w:r w:rsidRPr="00FC0BE9">
        <w:rPr>
          <w:rFonts w:ascii="Palatino Linotype" w:eastAsia="Palatino Linotype" w:hAnsi="Palatino Linotype" w:cs="Palatino Linotype"/>
          <w:sz w:val="22"/>
          <w:szCs w:val="22"/>
        </w:rPr>
        <w:t xml:space="preserve"> al considerar que actualiza la causal de clasificación establecida en el artículo 143, fracción I, de la Ley de Transparencia y Acceso a la Información Pública del Estado de México y Municipios.</w:t>
      </w:r>
    </w:p>
    <w:p w14:paraId="333C61C2"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2E7F23EC" w14:textId="77777777" w:rsidR="00AA685F" w:rsidRPr="00FC0BE9" w:rsidRDefault="00B85946">
      <w:pPr>
        <w:spacing w:line="360" w:lineRule="auto"/>
        <w:jc w:val="both"/>
        <w:rPr>
          <w:rFonts w:ascii="Palatino Linotype" w:eastAsia="Palatino Linotype" w:hAnsi="Palatino Linotype" w:cs="Palatino Linotype"/>
          <w:b/>
          <w:sz w:val="22"/>
          <w:szCs w:val="22"/>
        </w:rPr>
      </w:pPr>
      <w:r w:rsidRPr="00FC0BE9">
        <w:rPr>
          <w:rFonts w:ascii="Palatino Linotype" w:eastAsia="Palatino Linotype" w:hAnsi="Palatino Linotype" w:cs="Palatino Linotype"/>
          <w:sz w:val="22"/>
          <w:szCs w:val="22"/>
        </w:rPr>
        <w:t xml:space="preserve">Sobre el requisito en análisis, el </w:t>
      </w:r>
      <w:r w:rsidRPr="00FC0BE9">
        <w:rPr>
          <w:rFonts w:ascii="Palatino Linotype" w:eastAsia="Palatino Linotype" w:hAnsi="Palatino Linotype" w:cs="Palatino Linotype"/>
          <w:b/>
          <w:sz w:val="22"/>
          <w:szCs w:val="22"/>
        </w:rPr>
        <w:t>Sujeto Obligado si bien en respuesta remitió una hoja donde se aprecia la clasificación en su totalidad del acta de nacimiento, no entregó el</w:t>
      </w:r>
      <w:r w:rsidRPr="00FC0BE9">
        <w:rPr>
          <w:rFonts w:ascii="Palatino Linotype" w:eastAsia="Palatino Linotype" w:hAnsi="Palatino Linotype" w:cs="Palatino Linotype"/>
          <w:sz w:val="22"/>
          <w:szCs w:val="22"/>
        </w:rPr>
        <w:t xml:space="preserve"> </w:t>
      </w:r>
      <w:r w:rsidRPr="00FC0BE9">
        <w:rPr>
          <w:rFonts w:ascii="Palatino Linotype" w:eastAsia="Palatino Linotype" w:hAnsi="Palatino Linotype" w:cs="Palatino Linotype"/>
          <w:b/>
          <w:sz w:val="22"/>
          <w:szCs w:val="22"/>
        </w:rPr>
        <w:t>Acta del Comité de Transparencia, mediante la cual se fundó y motivo la clasificación de dicha documental.</w:t>
      </w:r>
    </w:p>
    <w:p w14:paraId="5E91E368" w14:textId="77777777" w:rsidR="00AA685F" w:rsidRPr="00FC0BE9" w:rsidRDefault="00AA685F">
      <w:pPr>
        <w:spacing w:line="360" w:lineRule="auto"/>
        <w:jc w:val="both"/>
        <w:rPr>
          <w:rFonts w:ascii="Palatino Linotype" w:eastAsia="Palatino Linotype" w:hAnsi="Palatino Linotype" w:cs="Palatino Linotype"/>
          <w:b/>
          <w:sz w:val="22"/>
          <w:szCs w:val="22"/>
        </w:rPr>
      </w:pPr>
    </w:p>
    <w:p w14:paraId="1DCE0259" w14:textId="77777777" w:rsidR="00AA685F" w:rsidRPr="00FC0BE9" w:rsidRDefault="00B85946">
      <w:pPr>
        <w:shd w:val="clear" w:color="auto" w:fill="FFFFFF"/>
        <w:spacing w:line="360" w:lineRule="auto"/>
        <w:ind w:right="51"/>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 xml:space="preserve">Por lo tanto, la entrega de documentos en su versión pública debe acompañarse necesariamente del Acuerdo del Comité de Transparencia que la sustente, en el que se expongan los fundamentos y razonamientos que llevaron al </w:t>
      </w:r>
      <w:r w:rsidRPr="00FC0BE9">
        <w:rPr>
          <w:rFonts w:ascii="Palatino Linotype" w:eastAsia="Palatino Linotype" w:hAnsi="Palatino Linotype" w:cs="Palatino Linotype"/>
          <w:b/>
          <w:sz w:val="22"/>
          <w:szCs w:val="22"/>
        </w:rPr>
        <w:t>Sujeto Obligado</w:t>
      </w:r>
      <w:r w:rsidRPr="00FC0BE9">
        <w:rPr>
          <w:rFonts w:ascii="Palatino Linotype" w:eastAsia="Palatino Linotype" w:hAnsi="Palatino Linotype" w:cs="Palatino Linotype"/>
          <w:sz w:val="22"/>
          <w:szCs w:val="22"/>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FC0BE9">
        <w:rPr>
          <w:rFonts w:ascii="Palatino Linotype" w:eastAsia="Palatino Linotype" w:hAnsi="Palatino Linotype" w:cs="Palatino Linotype"/>
          <w:b/>
          <w:sz w:val="22"/>
          <w:szCs w:val="22"/>
        </w:rPr>
        <w:t>Recurrente</w:t>
      </w:r>
      <w:r w:rsidRPr="00FC0BE9">
        <w:rPr>
          <w:rFonts w:ascii="Palatino Linotype" w:eastAsia="Palatino Linotype" w:hAnsi="Palatino Linotype" w:cs="Palatino Linotype"/>
          <w:sz w:val="22"/>
          <w:szCs w:val="22"/>
        </w:rPr>
        <w:t>.</w:t>
      </w:r>
    </w:p>
    <w:p w14:paraId="033CC396" w14:textId="77777777" w:rsidR="00AA685F" w:rsidRPr="00FC0BE9" w:rsidRDefault="00AA685F">
      <w:pPr>
        <w:spacing w:line="360" w:lineRule="auto"/>
        <w:jc w:val="both"/>
        <w:rPr>
          <w:rFonts w:ascii="Palatino Linotype" w:eastAsia="Palatino Linotype" w:hAnsi="Palatino Linotype" w:cs="Palatino Linotype"/>
          <w:b/>
          <w:sz w:val="22"/>
          <w:szCs w:val="22"/>
        </w:rPr>
      </w:pPr>
    </w:p>
    <w:p w14:paraId="4D280E42" w14:textId="77777777" w:rsidR="00AA685F" w:rsidRPr="00FC0BE9" w:rsidRDefault="00B85946">
      <w:pPr>
        <w:spacing w:line="360" w:lineRule="auto"/>
        <w:jc w:val="both"/>
        <w:rPr>
          <w:rFonts w:ascii="Palatino Linotype" w:eastAsia="Palatino Linotype" w:hAnsi="Palatino Linotype" w:cs="Palatino Linotype"/>
          <w:b/>
          <w:sz w:val="22"/>
          <w:szCs w:val="22"/>
        </w:rPr>
      </w:pPr>
      <w:r w:rsidRPr="00FC0BE9">
        <w:rPr>
          <w:rFonts w:ascii="Palatino Linotype" w:eastAsia="Palatino Linotype" w:hAnsi="Palatino Linotype" w:cs="Palatino Linotype"/>
          <w:b/>
          <w:sz w:val="22"/>
          <w:szCs w:val="22"/>
        </w:rPr>
        <w:t>De esta manera, en cumplimiento a la presente se deberá hacer entrega del referido acuerdo que sustente la clasificación en su totalidad del acta de nacimiento.</w:t>
      </w:r>
    </w:p>
    <w:p w14:paraId="14B7DFBC"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6D0EED09" w14:textId="77777777" w:rsidR="00AA685F" w:rsidRPr="00FC0BE9" w:rsidRDefault="00B85946">
      <w:pPr>
        <w:numPr>
          <w:ilvl w:val="0"/>
          <w:numId w:val="7"/>
        </w:numPr>
        <w:pBdr>
          <w:top w:val="nil"/>
          <w:left w:val="nil"/>
          <w:bottom w:val="nil"/>
          <w:right w:val="nil"/>
          <w:between w:val="nil"/>
        </w:pBdr>
        <w:spacing w:after="160" w:line="360" w:lineRule="auto"/>
        <w:jc w:val="both"/>
        <w:rPr>
          <w:rFonts w:ascii="Palatino Linotype" w:eastAsia="Palatino Linotype" w:hAnsi="Palatino Linotype" w:cs="Palatino Linotype"/>
          <w:b/>
          <w:sz w:val="22"/>
          <w:szCs w:val="22"/>
          <w:u w:val="single"/>
        </w:rPr>
      </w:pPr>
      <w:r w:rsidRPr="00FC0BE9">
        <w:rPr>
          <w:rFonts w:ascii="Palatino Linotype" w:eastAsia="Palatino Linotype" w:hAnsi="Palatino Linotype" w:cs="Palatino Linotype"/>
          <w:b/>
          <w:sz w:val="22"/>
          <w:szCs w:val="22"/>
          <w:u w:val="single"/>
        </w:rPr>
        <w:t>La credencial para votar:</w:t>
      </w:r>
    </w:p>
    <w:p w14:paraId="70A865E2" w14:textId="77777777" w:rsidR="00AA685F" w:rsidRPr="00FC0BE9" w:rsidRDefault="00AA685F">
      <w:pPr>
        <w:spacing w:line="360" w:lineRule="auto"/>
        <w:jc w:val="both"/>
        <w:rPr>
          <w:rFonts w:ascii="Palatino Linotype" w:eastAsia="Palatino Linotype" w:hAnsi="Palatino Linotype" w:cs="Palatino Linotype"/>
          <w:b/>
          <w:sz w:val="22"/>
          <w:szCs w:val="22"/>
        </w:rPr>
      </w:pPr>
    </w:p>
    <w:p w14:paraId="0759736F"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Por lo que corresponde a dicha documental, se considera que la misma puede colmar el requisito previsto en el artículo 47 fracción III de la Ley del Trabajo de los Servidores Públicos del Estado y Municipios, relativo a “</w:t>
      </w:r>
      <w:r w:rsidRPr="00FC0BE9">
        <w:rPr>
          <w:rFonts w:ascii="Palatino Linotype" w:eastAsia="Palatino Linotype" w:hAnsi="Palatino Linotype" w:cs="Palatino Linotype"/>
          <w:b/>
          <w:i/>
          <w:sz w:val="22"/>
          <w:szCs w:val="22"/>
        </w:rPr>
        <w:t>Estar en pleno ejercicio de sus derechos civiles y políticos, en su caso</w:t>
      </w:r>
      <w:r w:rsidRPr="00FC0BE9">
        <w:rPr>
          <w:rFonts w:ascii="Palatino Linotype" w:eastAsia="Palatino Linotype" w:hAnsi="Palatino Linotype" w:cs="Palatino Linotype"/>
          <w:sz w:val="22"/>
          <w:szCs w:val="22"/>
        </w:rPr>
        <w:t>”.</w:t>
      </w:r>
    </w:p>
    <w:p w14:paraId="0DAE2532"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6CD5A7A8"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Se afirma lo anterior, pues los derechos civiles y políticos son aquellos que garantizan las libertades individuales y la participación de las personas en la vida política y social, en igualdad y sin discriminación.</w:t>
      </w:r>
    </w:p>
    <w:p w14:paraId="5B8DD695"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6B6E0A63"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 xml:space="preserve">Para efectos de garantizar el ejercicio de dichos derechos, la credencial de elector cumple un papel importante, pues dicha documental al obtenerse a partir de que los ciudadanos mexicanos cumplen la mayoría de edad que es a los 18 años, por tanto, estos últimos adquieren derechos establecidos en nuestra Constitución Política de los Estados Unidos Mexicanos, entre ellos el </w:t>
      </w:r>
      <w:r w:rsidRPr="00FC0BE9">
        <w:rPr>
          <w:rFonts w:ascii="Palatino Linotype" w:eastAsia="Palatino Linotype" w:hAnsi="Palatino Linotype" w:cs="Palatino Linotype"/>
          <w:b/>
          <w:sz w:val="22"/>
          <w:szCs w:val="22"/>
        </w:rPr>
        <w:t>derecho al voto.</w:t>
      </w:r>
    </w:p>
    <w:p w14:paraId="77916642"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200CDA34"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De ahí que la credencial de elector es una documental que puede colmar el requisito antes señalado.</w:t>
      </w:r>
    </w:p>
    <w:p w14:paraId="281BC9D8"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4D1B2BD9"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 xml:space="preserve">No obstante, no debe perderse de vista que la credencial para votar se constituye de diversos datos personales como el nombre, domicilio, huella digital, fotografía del elector, clave de registro o elector, Clave Única del Registro de Población y firma, tal como se refiere en el artículo 156 numeral 1, incisos d), g) e i) de la Ley General de Instituciones y Procedimientos Electorales que enlista los datos que, cuando menos, debe contener la credencial para votar, como son: </w:t>
      </w:r>
    </w:p>
    <w:p w14:paraId="266E0F82"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6755A260" w14:textId="77777777" w:rsidR="00AA685F" w:rsidRPr="00FC0BE9" w:rsidRDefault="00B85946">
      <w:pPr>
        <w:tabs>
          <w:tab w:val="left" w:pos="8222"/>
        </w:tabs>
        <w:spacing w:line="276" w:lineRule="auto"/>
        <w:ind w:left="851" w:right="851"/>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w:t>
      </w:r>
      <w:r w:rsidRPr="00FC0BE9">
        <w:rPr>
          <w:rFonts w:ascii="Palatino Linotype" w:eastAsia="Palatino Linotype" w:hAnsi="Palatino Linotype" w:cs="Palatino Linotype"/>
          <w:b/>
          <w:i/>
          <w:sz w:val="22"/>
          <w:szCs w:val="22"/>
        </w:rPr>
        <w:t>Artículo 156</w:t>
      </w:r>
      <w:r w:rsidRPr="00FC0BE9">
        <w:rPr>
          <w:rFonts w:ascii="Palatino Linotype" w:eastAsia="Palatino Linotype" w:hAnsi="Palatino Linotype" w:cs="Palatino Linotype"/>
          <w:i/>
          <w:sz w:val="22"/>
          <w:szCs w:val="22"/>
        </w:rPr>
        <w:t>.</w:t>
      </w:r>
    </w:p>
    <w:p w14:paraId="5B4326E6" w14:textId="77777777" w:rsidR="00AA685F" w:rsidRPr="00FC0BE9" w:rsidRDefault="00B85946">
      <w:pPr>
        <w:tabs>
          <w:tab w:val="left" w:pos="8222"/>
        </w:tabs>
        <w:spacing w:line="276" w:lineRule="auto"/>
        <w:ind w:left="851" w:right="851"/>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b/>
          <w:i/>
          <w:sz w:val="22"/>
          <w:szCs w:val="22"/>
        </w:rPr>
        <w:t>1.</w:t>
      </w:r>
      <w:r w:rsidRPr="00FC0BE9">
        <w:rPr>
          <w:rFonts w:ascii="Palatino Linotype" w:eastAsia="Palatino Linotype" w:hAnsi="Palatino Linotype" w:cs="Palatino Linotype"/>
          <w:i/>
          <w:sz w:val="22"/>
          <w:szCs w:val="22"/>
        </w:rPr>
        <w:t xml:space="preserve"> </w:t>
      </w:r>
      <w:r w:rsidRPr="00FC0BE9">
        <w:rPr>
          <w:rFonts w:ascii="Palatino Linotype" w:eastAsia="Palatino Linotype" w:hAnsi="Palatino Linotype" w:cs="Palatino Linotype"/>
          <w:b/>
          <w:i/>
          <w:sz w:val="22"/>
          <w:szCs w:val="22"/>
          <w:u w:val="single"/>
        </w:rPr>
        <w:t>La credencial para votar deberá contener, cuando menos, los siguientes datos del elector</w:t>
      </w:r>
      <w:r w:rsidRPr="00FC0BE9">
        <w:rPr>
          <w:rFonts w:ascii="Palatino Linotype" w:eastAsia="Palatino Linotype" w:hAnsi="Palatino Linotype" w:cs="Palatino Linotype"/>
          <w:i/>
          <w:sz w:val="22"/>
          <w:szCs w:val="22"/>
        </w:rPr>
        <w:t>:</w:t>
      </w:r>
    </w:p>
    <w:p w14:paraId="3A382038" w14:textId="77777777" w:rsidR="00AA685F" w:rsidRPr="00FC0BE9" w:rsidRDefault="00B85946">
      <w:pPr>
        <w:tabs>
          <w:tab w:val="left" w:pos="8222"/>
        </w:tabs>
        <w:spacing w:line="276" w:lineRule="auto"/>
        <w:ind w:left="851" w:right="851"/>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w:t>
      </w:r>
    </w:p>
    <w:p w14:paraId="1638D5F2" w14:textId="77777777" w:rsidR="00AA685F" w:rsidRPr="00FC0BE9" w:rsidRDefault="00B85946">
      <w:pPr>
        <w:tabs>
          <w:tab w:val="left" w:pos="8222"/>
        </w:tabs>
        <w:spacing w:line="276" w:lineRule="auto"/>
        <w:ind w:left="851" w:right="851"/>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 xml:space="preserve">d) </w:t>
      </w:r>
      <w:r w:rsidRPr="00FC0BE9">
        <w:rPr>
          <w:rFonts w:ascii="Palatino Linotype" w:eastAsia="Palatino Linotype" w:hAnsi="Palatino Linotype" w:cs="Palatino Linotype"/>
          <w:b/>
          <w:i/>
          <w:sz w:val="22"/>
          <w:szCs w:val="22"/>
          <w:u w:val="single"/>
        </w:rPr>
        <w:t>Domicilio</w:t>
      </w:r>
      <w:r w:rsidRPr="00FC0BE9">
        <w:rPr>
          <w:rFonts w:ascii="Palatino Linotype" w:eastAsia="Palatino Linotype" w:hAnsi="Palatino Linotype" w:cs="Palatino Linotype"/>
          <w:i/>
          <w:sz w:val="22"/>
          <w:szCs w:val="22"/>
        </w:rPr>
        <w:t>;</w:t>
      </w:r>
    </w:p>
    <w:p w14:paraId="1D7450F9" w14:textId="77777777" w:rsidR="00AA685F" w:rsidRPr="00FC0BE9" w:rsidRDefault="00B85946">
      <w:pPr>
        <w:tabs>
          <w:tab w:val="left" w:pos="8222"/>
        </w:tabs>
        <w:spacing w:line="276" w:lineRule="auto"/>
        <w:ind w:left="851" w:right="851"/>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w:t>
      </w:r>
    </w:p>
    <w:p w14:paraId="125332CE" w14:textId="77777777" w:rsidR="00AA685F" w:rsidRPr="00FC0BE9" w:rsidRDefault="00B85946">
      <w:pPr>
        <w:tabs>
          <w:tab w:val="left" w:pos="8222"/>
        </w:tabs>
        <w:spacing w:line="276" w:lineRule="auto"/>
        <w:ind w:left="851" w:right="851"/>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 xml:space="preserve">g) </w:t>
      </w:r>
      <w:r w:rsidRPr="00FC0BE9">
        <w:rPr>
          <w:rFonts w:ascii="Palatino Linotype" w:eastAsia="Palatino Linotype" w:hAnsi="Palatino Linotype" w:cs="Palatino Linotype"/>
          <w:b/>
          <w:i/>
          <w:sz w:val="22"/>
          <w:szCs w:val="22"/>
        </w:rPr>
        <w:t>Firma</w:t>
      </w:r>
      <w:r w:rsidRPr="00FC0BE9">
        <w:rPr>
          <w:rFonts w:ascii="Palatino Linotype" w:eastAsia="Palatino Linotype" w:hAnsi="Palatino Linotype" w:cs="Palatino Linotype"/>
          <w:i/>
          <w:sz w:val="22"/>
          <w:szCs w:val="22"/>
        </w:rPr>
        <w:t xml:space="preserve">, </w:t>
      </w:r>
      <w:r w:rsidRPr="00FC0BE9">
        <w:rPr>
          <w:rFonts w:ascii="Palatino Linotype" w:eastAsia="Palatino Linotype" w:hAnsi="Palatino Linotype" w:cs="Palatino Linotype"/>
          <w:b/>
          <w:i/>
          <w:sz w:val="22"/>
          <w:szCs w:val="22"/>
          <w:u w:val="single"/>
        </w:rPr>
        <w:t>huella digital</w:t>
      </w:r>
      <w:r w:rsidRPr="00FC0BE9">
        <w:rPr>
          <w:rFonts w:ascii="Palatino Linotype" w:eastAsia="Palatino Linotype" w:hAnsi="Palatino Linotype" w:cs="Palatino Linotype"/>
          <w:i/>
          <w:sz w:val="22"/>
          <w:szCs w:val="22"/>
        </w:rPr>
        <w:t xml:space="preserve"> y </w:t>
      </w:r>
      <w:r w:rsidRPr="00FC0BE9">
        <w:rPr>
          <w:rFonts w:ascii="Palatino Linotype" w:eastAsia="Palatino Linotype" w:hAnsi="Palatino Linotype" w:cs="Palatino Linotype"/>
          <w:b/>
          <w:i/>
          <w:sz w:val="22"/>
          <w:szCs w:val="22"/>
          <w:u w:val="single"/>
        </w:rPr>
        <w:t>fotografía del elector</w:t>
      </w:r>
      <w:r w:rsidRPr="00FC0BE9">
        <w:rPr>
          <w:rFonts w:ascii="Palatino Linotype" w:eastAsia="Palatino Linotype" w:hAnsi="Palatino Linotype" w:cs="Palatino Linotype"/>
          <w:i/>
          <w:sz w:val="22"/>
          <w:szCs w:val="22"/>
        </w:rPr>
        <w:t>;</w:t>
      </w:r>
    </w:p>
    <w:p w14:paraId="1CD0D437" w14:textId="77777777" w:rsidR="00AA685F" w:rsidRPr="00FC0BE9" w:rsidRDefault="00B85946">
      <w:pPr>
        <w:tabs>
          <w:tab w:val="left" w:pos="8222"/>
        </w:tabs>
        <w:spacing w:line="276" w:lineRule="auto"/>
        <w:ind w:left="851" w:right="851"/>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w:t>
      </w:r>
    </w:p>
    <w:p w14:paraId="126A117C" w14:textId="77777777" w:rsidR="00AA685F" w:rsidRPr="00FC0BE9" w:rsidRDefault="00B85946">
      <w:pPr>
        <w:tabs>
          <w:tab w:val="left" w:pos="8222"/>
        </w:tabs>
        <w:spacing w:line="276" w:lineRule="auto"/>
        <w:ind w:left="851" w:right="851"/>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 xml:space="preserve">i) </w:t>
      </w:r>
      <w:r w:rsidRPr="00FC0BE9">
        <w:rPr>
          <w:rFonts w:ascii="Palatino Linotype" w:eastAsia="Palatino Linotype" w:hAnsi="Palatino Linotype" w:cs="Palatino Linotype"/>
          <w:b/>
          <w:i/>
          <w:sz w:val="22"/>
          <w:szCs w:val="22"/>
          <w:u w:val="single"/>
        </w:rPr>
        <w:t>Clave Única del Registro de Población</w:t>
      </w:r>
      <w:r w:rsidRPr="00FC0BE9">
        <w:rPr>
          <w:rFonts w:ascii="Palatino Linotype" w:eastAsia="Palatino Linotype" w:hAnsi="Palatino Linotype" w:cs="Palatino Linotype"/>
          <w:i/>
          <w:sz w:val="22"/>
          <w:szCs w:val="22"/>
        </w:rPr>
        <w:t>. ” (Sic)</w:t>
      </w:r>
    </w:p>
    <w:p w14:paraId="0A2D6AD0" w14:textId="77777777" w:rsidR="00AA685F" w:rsidRPr="00FC0BE9" w:rsidRDefault="00AA685F">
      <w:pPr>
        <w:tabs>
          <w:tab w:val="left" w:pos="8222"/>
        </w:tabs>
        <w:spacing w:line="276" w:lineRule="auto"/>
        <w:ind w:left="851" w:right="851"/>
        <w:jc w:val="both"/>
        <w:rPr>
          <w:rFonts w:ascii="Palatino Linotype" w:eastAsia="Palatino Linotype" w:hAnsi="Palatino Linotype" w:cs="Palatino Linotype"/>
          <w:i/>
          <w:sz w:val="22"/>
          <w:szCs w:val="22"/>
        </w:rPr>
      </w:pPr>
    </w:p>
    <w:p w14:paraId="0B6759D9"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Por tanto, el conocimiento de dichos datos afecta la esfera más íntima de su Titular, en razón de que su utilización indebida pueda dar origen a un riesgo grave para éste.</w:t>
      </w:r>
    </w:p>
    <w:p w14:paraId="16EE9AB9"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5AB26A38"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Asimismo, en el caso particular de la clave de elector, debe precisarse que es un código alfa numérico compuesto por letras de los apellidos y nombre de la persona, seguido de la fecha de nacimiento y finalmente una serie de números indispensables para su inscripción en el Registro Federal de Electores que, a su vez, hace identificable a la persona que corresponde dicha credencial para votar, tan es así, que el Sistema de Administración Tributaria en su catálogo de trámites contempla como identificación oficial la credencial para votar expedida por el Instituto Nacional Electoral.</w:t>
      </w:r>
    </w:p>
    <w:p w14:paraId="09A1DD55"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21B4CA71"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 xml:space="preserve">Respecto a la edad, número identificador (OCR) y código de barras bidimensional y cifrado contenidos en las credenciales para votar, se advierte que se trata de elementos de información, control y presentación, de conformidad a lo señalado por el Instituto Nacional Electoral, en la página de Internet Institucional, http://portalanterior.ine.mx/archivos2/portal/credencial/pdf credencial/ABC_credenciales_ INE_2015.pdf, como se muestra a continuación, en su parte medular: </w:t>
      </w:r>
    </w:p>
    <w:p w14:paraId="2FC70C3F" w14:textId="77777777" w:rsidR="00AA685F" w:rsidRPr="00FC0BE9" w:rsidRDefault="00B85946">
      <w:pPr>
        <w:spacing w:before="240" w:after="240" w:line="360" w:lineRule="auto"/>
        <w:jc w:val="center"/>
        <w:rPr>
          <w:rFonts w:ascii="Palatino Linotype" w:eastAsia="Palatino Linotype" w:hAnsi="Palatino Linotype" w:cs="Palatino Linotype"/>
          <w:sz w:val="22"/>
          <w:szCs w:val="22"/>
        </w:rPr>
      </w:pPr>
      <w:r w:rsidRPr="00FC0BE9">
        <w:rPr>
          <w:rFonts w:ascii="Palatino Linotype" w:eastAsia="Palatino Linotype" w:hAnsi="Palatino Linotype" w:cs="Palatino Linotype"/>
          <w:noProof/>
          <w:sz w:val="22"/>
          <w:szCs w:val="22"/>
        </w:rPr>
        <w:drawing>
          <wp:inline distT="0" distB="0" distL="0" distR="0" wp14:anchorId="1AB16055" wp14:editId="21C954B4">
            <wp:extent cx="5726099" cy="1553002"/>
            <wp:effectExtent l="0" t="0" r="0" b="0"/>
            <wp:docPr id="214310827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726099" cy="1553002"/>
                    </a:xfrm>
                    <a:prstGeom prst="rect">
                      <a:avLst/>
                    </a:prstGeom>
                    <a:ln/>
                  </pic:spPr>
                </pic:pic>
              </a:graphicData>
            </a:graphic>
          </wp:inline>
        </w:drawing>
      </w:r>
      <w:r w:rsidRPr="00FC0BE9">
        <w:rPr>
          <w:noProof/>
        </w:rPr>
        <mc:AlternateContent>
          <mc:Choice Requires="wps">
            <w:drawing>
              <wp:anchor distT="0" distB="0" distL="114300" distR="114300" simplePos="0" relativeHeight="251658240" behindDoc="0" locked="0" layoutInCell="1" hidden="0" allowOverlap="1" wp14:anchorId="43C33D3B" wp14:editId="3410D0FC">
                <wp:simplePos x="0" y="0"/>
                <wp:positionH relativeFrom="column">
                  <wp:posOffset>1250950</wp:posOffset>
                </wp:positionH>
                <wp:positionV relativeFrom="paragraph">
                  <wp:posOffset>260350</wp:posOffset>
                </wp:positionV>
                <wp:extent cx="2764809" cy="374650"/>
                <wp:effectExtent l="0" t="0" r="0" b="0"/>
                <wp:wrapNone/>
                <wp:docPr id="2143108270" name="Rectángulo 2143108270"/>
                <wp:cNvGraphicFramePr/>
                <a:graphic xmlns:a="http://schemas.openxmlformats.org/drawingml/2006/main">
                  <a:graphicData uri="http://schemas.microsoft.com/office/word/2010/wordprocessingShape">
                    <wps:wsp>
                      <wps:cNvSpPr/>
                      <wps:spPr>
                        <a:xfrm>
                          <a:off x="4001696" y="3630775"/>
                          <a:ext cx="2688609" cy="298450"/>
                        </a:xfrm>
                        <a:prstGeom prst="rect">
                          <a:avLst/>
                        </a:prstGeom>
                        <a:noFill/>
                        <a:ln w="19050" cap="flat" cmpd="sng">
                          <a:solidFill>
                            <a:srgbClr val="FF0000"/>
                          </a:solidFill>
                          <a:prstDash val="solid"/>
                          <a:miter lim="800000"/>
                          <a:headEnd type="none" w="sm" len="sm"/>
                          <a:tailEnd type="none" w="sm" len="sm"/>
                        </a:ln>
                      </wps:spPr>
                      <wps:txbx>
                        <w:txbxContent>
                          <w:p w14:paraId="0397CD16" w14:textId="77777777" w:rsidR="00AA685F" w:rsidRDefault="00AA685F">
                            <w:pPr>
                              <w:textDirection w:val="btLr"/>
                            </w:pPr>
                          </w:p>
                        </w:txbxContent>
                      </wps:txbx>
                      <wps:bodyPr spcFirstLastPara="1" wrap="square" lIns="91425" tIns="91425" rIns="91425" bIns="91425" anchor="ctr" anchorCtr="0">
                        <a:noAutofit/>
                      </wps:bodyPr>
                    </wps:wsp>
                  </a:graphicData>
                </a:graphic>
              </wp:anchor>
            </w:drawing>
          </mc:Choice>
          <mc:Fallback>
            <w:pict>
              <v:rect w14:anchorId="43C33D3B" id="Rectángulo 2143108270" o:spid="_x0000_s1026" style="position:absolute;left:0;text-align:left;margin-left:98.5pt;margin-top:20.5pt;width:217.7pt;height:29.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" filled="f" strokecolor="red" strokeweight="1.5pt">
                <v:stroke startarrowwidth="narrow" startarrowlength="short" endarrowwidth="narrow" endarrowlength="short"/>
                <v:textbox inset="2.53958mm,2.53958mm,2.53958mm,2.53958mm">
                  <w:txbxContent>
                    <w:p w14:paraId="0397CD16" w14:textId="77777777" w:rsidR="00AA685F" w:rsidRDefault="00AA685F">
                      <w:pPr>
                        <w:textDirection w:val="btLr"/>
                      </w:pPr>
                    </w:p>
                  </w:txbxContent>
                </v:textbox>
              </v:rect>
            </w:pict>
          </mc:Fallback>
        </mc:AlternateContent>
      </w:r>
      <w:r w:rsidRPr="00FC0BE9">
        <w:rPr>
          <w:noProof/>
        </w:rPr>
        <mc:AlternateContent>
          <mc:Choice Requires="wps">
            <w:drawing>
              <wp:anchor distT="0" distB="0" distL="114300" distR="114300" simplePos="0" relativeHeight="251659264" behindDoc="0" locked="0" layoutInCell="1" hidden="0" allowOverlap="1" wp14:anchorId="042E1124" wp14:editId="76545164">
                <wp:simplePos x="0" y="0"/>
                <wp:positionH relativeFrom="column">
                  <wp:posOffset>171450</wp:posOffset>
                </wp:positionH>
                <wp:positionV relativeFrom="paragraph">
                  <wp:posOffset>768350</wp:posOffset>
                </wp:positionV>
                <wp:extent cx="840474" cy="601639"/>
                <wp:effectExtent l="0" t="0" r="0" b="0"/>
                <wp:wrapNone/>
                <wp:docPr id="2143108273" name="Rectángulo 2143108273"/>
                <wp:cNvGraphicFramePr/>
                <a:graphic xmlns:a="http://schemas.openxmlformats.org/drawingml/2006/main">
                  <a:graphicData uri="http://schemas.microsoft.com/office/word/2010/wordprocessingShape">
                    <wps:wsp>
                      <wps:cNvSpPr/>
                      <wps:spPr>
                        <a:xfrm>
                          <a:off x="4963863" y="3517281"/>
                          <a:ext cx="764274" cy="525439"/>
                        </a:xfrm>
                        <a:prstGeom prst="rect">
                          <a:avLst/>
                        </a:prstGeom>
                        <a:noFill/>
                        <a:ln w="19050" cap="flat" cmpd="sng">
                          <a:solidFill>
                            <a:srgbClr val="FF0000"/>
                          </a:solidFill>
                          <a:prstDash val="solid"/>
                          <a:miter lim="800000"/>
                          <a:headEnd type="none" w="sm" len="sm"/>
                          <a:tailEnd type="none" w="sm" len="sm"/>
                        </a:ln>
                      </wps:spPr>
                      <wps:txbx>
                        <w:txbxContent>
                          <w:p w14:paraId="250CBF64" w14:textId="77777777" w:rsidR="00AA685F" w:rsidRDefault="00AA685F">
                            <w:pPr>
                              <w:textDirection w:val="btLr"/>
                            </w:pPr>
                          </w:p>
                        </w:txbxContent>
                      </wps:txbx>
                      <wps:bodyPr spcFirstLastPara="1" wrap="square" lIns="91425" tIns="91425" rIns="91425" bIns="91425" anchor="ctr" anchorCtr="0">
                        <a:noAutofit/>
                      </wps:bodyPr>
                    </wps:wsp>
                  </a:graphicData>
                </a:graphic>
              </wp:anchor>
            </w:drawing>
          </mc:Choice>
          <mc:Fallback>
            <w:pict>
              <v:rect w14:anchorId="042E1124" id="Rectángulo 2143108273" o:spid="_x0000_s1027" style="position:absolute;left:0;text-align:left;margin-left:13.5pt;margin-top:60.5pt;width:66.2pt;height:47.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" filled="f" strokecolor="red" strokeweight="1.5pt">
                <v:stroke startarrowwidth="narrow" startarrowlength="short" endarrowwidth="narrow" endarrowlength="short"/>
                <v:textbox inset="2.53958mm,2.53958mm,2.53958mm,2.53958mm">
                  <w:txbxContent>
                    <w:p w14:paraId="250CBF64" w14:textId="77777777" w:rsidR="00AA685F" w:rsidRDefault="00AA685F">
                      <w:pPr>
                        <w:textDirection w:val="btLr"/>
                      </w:pPr>
                    </w:p>
                  </w:txbxContent>
                </v:textbox>
              </v:rect>
            </w:pict>
          </mc:Fallback>
        </mc:AlternateContent>
      </w:r>
    </w:p>
    <w:p w14:paraId="022D9366" w14:textId="77777777" w:rsidR="00AA685F" w:rsidRPr="00FC0BE9" w:rsidRDefault="00B85946">
      <w:pPr>
        <w:widowControl w:val="0"/>
        <w:spacing w:before="240" w:after="240" w:line="360" w:lineRule="auto"/>
        <w:jc w:val="center"/>
        <w:rPr>
          <w:rFonts w:ascii="Palatino Linotype" w:eastAsia="Palatino Linotype" w:hAnsi="Palatino Linotype" w:cs="Palatino Linotype"/>
          <w:sz w:val="22"/>
          <w:szCs w:val="22"/>
        </w:rPr>
      </w:pPr>
      <w:r w:rsidRPr="00FC0BE9">
        <w:rPr>
          <w:rFonts w:ascii="Palatino Linotype" w:eastAsia="Palatino Linotype" w:hAnsi="Palatino Linotype" w:cs="Palatino Linotype"/>
          <w:noProof/>
          <w:sz w:val="22"/>
          <w:szCs w:val="22"/>
        </w:rPr>
        <w:drawing>
          <wp:inline distT="0" distB="0" distL="0" distR="0" wp14:anchorId="1BC355D4" wp14:editId="2FC05A18">
            <wp:extent cx="5871618" cy="2084929"/>
            <wp:effectExtent l="0" t="0" r="0" b="0"/>
            <wp:docPr id="214310828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871618" cy="2084929"/>
                    </a:xfrm>
                    <a:prstGeom prst="rect">
                      <a:avLst/>
                    </a:prstGeom>
                    <a:ln/>
                  </pic:spPr>
                </pic:pic>
              </a:graphicData>
            </a:graphic>
          </wp:inline>
        </w:drawing>
      </w:r>
      <w:r w:rsidRPr="00FC0BE9">
        <w:rPr>
          <w:noProof/>
        </w:rPr>
        <mc:AlternateContent>
          <mc:Choice Requires="wps">
            <w:drawing>
              <wp:anchor distT="0" distB="0" distL="114300" distR="114300" simplePos="0" relativeHeight="251660288" behindDoc="0" locked="0" layoutInCell="1" hidden="0" allowOverlap="1" wp14:anchorId="014D076A" wp14:editId="032225EF">
                <wp:simplePos x="0" y="0"/>
                <wp:positionH relativeFrom="column">
                  <wp:posOffset>1098550</wp:posOffset>
                </wp:positionH>
                <wp:positionV relativeFrom="paragraph">
                  <wp:posOffset>158750</wp:posOffset>
                </wp:positionV>
                <wp:extent cx="2580564" cy="526576"/>
                <wp:effectExtent l="0" t="0" r="0" b="0"/>
                <wp:wrapNone/>
                <wp:docPr id="2143108272" name="Rectángulo 2143108272"/>
                <wp:cNvGraphicFramePr/>
                <a:graphic xmlns:a="http://schemas.openxmlformats.org/drawingml/2006/main">
                  <a:graphicData uri="http://schemas.microsoft.com/office/word/2010/wordprocessingShape">
                    <wps:wsp>
                      <wps:cNvSpPr/>
                      <wps:spPr>
                        <a:xfrm>
                          <a:off x="4093818" y="3554812"/>
                          <a:ext cx="2504364" cy="450376"/>
                        </a:xfrm>
                        <a:prstGeom prst="rect">
                          <a:avLst/>
                        </a:prstGeom>
                        <a:noFill/>
                        <a:ln w="19050" cap="flat" cmpd="sng">
                          <a:solidFill>
                            <a:srgbClr val="FF0000"/>
                          </a:solidFill>
                          <a:prstDash val="solid"/>
                          <a:miter lim="800000"/>
                          <a:headEnd type="none" w="sm" len="sm"/>
                          <a:tailEnd type="none" w="sm" len="sm"/>
                        </a:ln>
                      </wps:spPr>
                      <wps:txbx>
                        <w:txbxContent>
                          <w:p w14:paraId="152D0CFD" w14:textId="77777777" w:rsidR="00AA685F" w:rsidRDefault="00AA685F">
                            <w:pPr>
                              <w:textDirection w:val="btLr"/>
                            </w:pPr>
                          </w:p>
                        </w:txbxContent>
                      </wps:txbx>
                      <wps:bodyPr spcFirstLastPara="1" wrap="square" lIns="91425" tIns="91425" rIns="91425" bIns="91425" anchor="ctr" anchorCtr="0">
                        <a:noAutofit/>
                      </wps:bodyPr>
                    </wps:wsp>
                  </a:graphicData>
                </a:graphic>
              </wp:anchor>
            </w:drawing>
          </mc:Choice>
          <mc:Fallback>
            <w:pict>
              <v:rect w14:anchorId="014D076A" id="Rectángulo 2143108272" o:spid="_x0000_s1028" style="position:absolute;left:0;text-align:left;margin-left:86.5pt;margin-top:12.5pt;width:203.2pt;height:41.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" filled="f" strokecolor="red" strokeweight="1.5pt">
                <v:stroke startarrowwidth="narrow" startarrowlength="short" endarrowwidth="narrow" endarrowlength="short"/>
                <v:textbox inset="2.53958mm,2.53958mm,2.53958mm,2.53958mm">
                  <w:txbxContent>
                    <w:p w14:paraId="152D0CFD" w14:textId="77777777" w:rsidR="00AA685F" w:rsidRDefault="00AA685F">
                      <w:pPr>
                        <w:textDirection w:val="btLr"/>
                      </w:pPr>
                    </w:p>
                  </w:txbxContent>
                </v:textbox>
              </v:rect>
            </w:pict>
          </mc:Fallback>
        </mc:AlternateContent>
      </w:r>
      <w:r w:rsidRPr="00FC0BE9">
        <w:rPr>
          <w:noProof/>
        </w:rPr>
        <mc:AlternateContent>
          <mc:Choice Requires="wps">
            <w:drawing>
              <wp:anchor distT="0" distB="0" distL="114300" distR="114300" simplePos="0" relativeHeight="251661312" behindDoc="0" locked="0" layoutInCell="1" hidden="0" allowOverlap="1" wp14:anchorId="5015ECAF" wp14:editId="7425D703">
                <wp:simplePos x="0" y="0"/>
                <wp:positionH relativeFrom="column">
                  <wp:posOffset>1122404</wp:posOffset>
                </wp:positionH>
                <wp:positionV relativeFrom="paragraph">
                  <wp:posOffset>977513</wp:posOffset>
                </wp:positionV>
                <wp:extent cx="2580564" cy="412750"/>
                <wp:effectExtent l="0" t="0" r="0" b="0"/>
                <wp:wrapNone/>
                <wp:docPr id="2143108271" name="Rectángulo 2143108271"/>
                <wp:cNvGraphicFramePr/>
                <a:graphic xmlns:a="http://schemas.openxmlformats.org/drawingml/2006/main">
                  <a:graphicData uri="http://schemas.microsoft.com/office/word/2010/wordprocessingShape">
                    <wps:wsp>
                      <wps:cNvSpPr/>
                      <wps:spPr>
                        <a:xfrm>
                          <a:off x="4065243" y="3583150"/>
                          <a:ext cx="2561514" cy="393700"/>
                        </a:xfrm>
                        <a:prstGeom prst="rect">
                          <a:avLst/>
                        </a:prstGeom>
                        <a:noFill/>
                        <a:ln w="19050" cap="flat" cmpd="sng">
                          <a:solidFill>
                            <a:srgbClr val="FF0000"/>
                          </a:solidFill>
                          <a:prstDash val="solid"/>
                          <a:miter lim="800000"/>
                          <a:headEnd type="none" w="sm" len="sm"/>
                          <a:tailEnd type="none" w="sm" len="sm"/>
                        </a:ln>
                      </wps:spPr>
                      <wps:txbx>
                        <w:txbxContent>
                          <w:p w14:paraId="570F90BD" w14:textId="77777777" w:rsidR="00AA685F" w:rsidRDefault="00AA685F">
                            <w:pPr>
                              <w:textDirection w:val="btLr"/>
                            </w:pPr>
                          </w:p>
                        </w:txbxContent>
                      </wps:txbx>
                      <wps:bodyPr spcFirstLastPara="1" wrap="square" lIns="91425" tIns="91425" rIns="91425" bIns="91425" anchor="ctr" anchorCtr="0">
                        <a:noAutofit/>
                      </wps:bodyPr>
                    </wps:wsp>
                  </a:graphicData>
                </a:graphic>
              </wp:anchor>
            </w:drawing>
          </mc:Choice>
          <mc:Fallback>
            <w:pict>
              <v:rect w14:anchorId="5015ECAF" id="Rectángulo 2143108271" o:spid="_x0000_s1029" style="position:absolute;left:0;text-align:left;margin-left:88.4pt;margin-top:76.95pt;width:203.2pt;height:3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" filled="f" strokecolor="red" strokeweight="1.5pt">
                <v:stroke startarrowwidth="narrow" startarrowlength="short" endarrowwidth="narrow" endarrowlength="short"/>
                <v:textbox inset="2.53958mm,2.53958mm,2.53958mm,2.53958mm">
                  <w:txbxContent>
                    <w:p w14:paraId="570F90BD" w14:textId="77777777" w:rsidR="00AA685F" w:rsidRDefault="00AA685F">
                      <w:pPr>
                        <w:textDirection w:val="btLr"/>
                      </w:pPr>
                    </w:p>
                  </w:txbxContent>
                </v:textbox>
              </v:rect>
            </w:pict>
          </mc:Fallback>
        </mc:AlternateContent>
      </w:r>
      <w:r w:rsidRPr="00FC0BE9">
        <w:rPr>
          <w:noProof/>
        </w:rPr>
        <mc:AlternateContent>
          <mc:Choice Requires="wps">
            <w:drawing>
              <wp:anchor distT="0" distB="0" distL="114300" distR="114300" simplePos="0" relativeHeight="251662336" behindDoc="0" locked="0" layoutInCell="1" hidden="0" allowOverlap="1" wp14:anchorId="6AB69316" wp14:editId="79359CB6">
                <wp:simplePos x="0" y="0"/>
                <wp:positionH relativeFrom="column">
                  <wp:posOffset>333623</wp:posOffset>
                </wp:positionH>
                <wp:positionV relativeFrom="paragraph">
                  <wp:posOffset>338483</wp:posOffset>
                </wp:positionV>
                <wp:extent cx="394335" cy="1299210"/>
                <wp:effectExtent l="0" t="0" r="0" b="0"/>
                <wp:wrapNone/>
                <wp:docPr id="2143108274" name="Rectángulo 2143108274"/>
                <wp:cNvGraphicFramePr/>
                <a:graphic xmlns:a="http://schemas.openxmlformats.org/drawingml/2006/main">
                  <a:graphicData uri="http://schemas.microsoft.com/office/word/2010/wordprocessingShape">
                    <wps:wsp>
                      <wps:cNvSpPr/>
                      <wps:spPr>
                        <a:xfrm>
                          <a:off x="5158358" y="3139920"/>
                          <a:ext cx="375285" cy="1280160"/>
                        </a:xfrm>
                        <a:prstGeom prst="rect">
                          <a:avLst/>
                        </a:prstGeom>
                        <a:noFill/>
                        <a:ln w="19050" cap="flat" cmpd="sng">
                          <a:solidFill>
                            <a:srgbClr val="FF0000"/>
                          </a:solidFill>
                          <a:prstDash val="solid"/>
                          <a:miter lim="800000"/>
                          <a:headEnd type="none" w="sm" len="sm"/>
                          <a:tailEnd type="none" w="sm" len="sm"/>
                        </a:ln>
                      </wps:spPr>
                      <wps:txbx>
                        <w:txbxContent>
                          <w:p w14:paraId="5EC604EE" w14:textId="77777777" w:rsidR="00AA685F" w:rsidRDefault="00AA685F">
                            <w:pPr>
                              <w:textDirection w:val="btLr"/>
                            </w:pPr>
                          </w:p>
                        </w:txbxContent>
                      </wps:txbx>
                      <wps:bodyPr spcFirstLastPara="1" wrap="square" lIns="91425" tIns="91425" rIns="91425" bIns="91425" anchor="ctr" anchorCtr="0">
                        <a:noAutofit/>
                      </wps:bodyPr>
                    </wps:wsp>
                  </a:graphicData>
                </a:graphic>
              </wp:anchor>
            </w:drawing>
          </mc:Choice>
          <mc:Fallback>
            <w:pict>
              <v:rect w14:anchorId="6AB69316" id="Rectángulo 2143108274" o:spid="_x0000_s1030" style="position:absolute;left:0;text-align:left;margin-left:26.25pt;margin-top:26.65pt;width:31.05pt;height:102.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" filled="f" strokecolor="red" strokeweight="1.5pt">
                <v:stroke startarrowwidth="narrow" startarrowlength="short" endarrowwidth="narrow" endarrowlength="short"/>
                <v:textbox inset="2.53958mm,2.53958mm,2.53958mm,2.53958mm">
                  <w:txbxContent>
                    <w:p w14:paraId="5EC604EE" w14:textId="77777777" w:rsidR="00AA685F" w:rsidRDefault="00AA685F">
                      <w:pPr>
                        <w:textDirection w:val="btLr"/>
                      </w:pPr>
                    </w:p>
                  </w:txbxContent>
                </v:textbox>
              </v:rect>
            </w:pict>
          </mc:Fallback>
        </mc:AlternateContent>
      </w:r>
    </w:p>
    <w:p w14:paraId="297C609C" w14:textId="77777777" w:rsidR="00AA685F" w:rsidRPr="00FC0BE9" w:rsidRDefault="00B85946">
      <w:pPr>
        <w:widowControl w:val="0"/>
        <w:spacing w:before="240"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 xml:space="preserve">En esa tesitura, en el caso del número identificador (OCR), debe precisarse que éste es generalmente utilizado en la realización de diversas operaciones bancarias y, en algunos casos, como un medio de identificación de las personas, por lo cual, su conocimiento y utilización, concierne únicamente a su titular. </w:t>
      </w:r>
    </w:p>
    <w:p w14:paraId="23930F20" w14:textId="77777777" w:rsidR="00AA685F" w:rsidRPr="00FC0BE9" w:rsidRDefault="00AA685F">
      <w:pPr>
        <w:widowControl w:val="0"/>
        <w:spacing w:line="360" w:lineRule="auto"/>
        <w:jc w:val="both"/>
        <w:rPr>
          <w:rFonts w:ascii="Palatino Linotype" w:eastAsia="Palatino Linotype" w:hAnsi="Palatino Linotype" w:cs="Palatino Linotype"/>
          <w:sz w:val="22"/>
          <w:szCs w:val="22"/>
        </w:rPr>
      </w:pPr>
    </w:p>
    <w:p w14:paraId="5BB80FEC" w14:textId="77777777" w:rsidR="00AA685F" w:rsidRPr="00FC0BE9" w:rsidRDefault="00B85946">
      <w:pPr>
        <w:widowControl w:val="0"/>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 xml:space="preserve">En el caso de la edad, se trata de un dato personal sensible que concierne únicamente a su titular, al corresponder a su esfera más íntima. </w:t>
      </w:r>
    </w:p>
    <w:p w14:paraId="3F47ADA5" w14:textId="77777777" w:rsidR="00AA685F" w:rsidRPr="00FC0BE9" w:rsidRDefault="00AA685F">
      <w:pPr>
        <w:widowControl w:val="0"/>
        <w:spacing w:line="360" w:lineRule="auto"/>
        <w:jc w:val="both"/>
        <w:rPr>
          <w:rFonts w:ascii="Palatino Linotype" w:eastAsia="Palatino Linotype" w:hAnsi="Palatino Linotype" w:cs="Palatino Linotype"/>
          <w:sz w:val="22"/>
          <w:szCs w:val="22"/>
        </w:rPr>
      </w:pPr>
    </w:p>
    <w:p w14:paraId="3BDD75C6" w14:textId="77777777" w:rsidR="00AA685F" w:rsidRPr="00FC0BE9" w:rsidRDefault="00B85946">
      <w:pPr>
        <w:widowControl w:val="0"/>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El código de barras bidimensional y cifrado, como fue anteriormente mencionado, se trata de un medio de almacenamiento de información, que en el caso de las credenciales para votar, contiene datos e información, utilizada para efectos electorales, misma, que únicamente concierne a las autoridades competentes en la materia y a su propio titular.</w:t>
      </w:r>
    </w:p>
    <w:p w14:paraId="39FBF6CF" w14:textId="77777777" w:rsidR="00AA685F" w:rsidRPr="00FC0BE9" w:rsidRDefault="00AA685F">
      <w:pPr>
        <w:widowControl w:val="0"/>
        <w:spacing w:line="360" w:lineRule="auto"/>
        <w:jc w:val="both"/>
        <w:rPr>
          <w:rFonts w:ascii="Palatino Linotype" w:eastAsia="Palatino Linotype" w:hAnsi="Palatino Linotype" w:cs="Palatino Linotype"/>
          <w:sz w:val="22"/>
          <w:szCs w:val="22"/>
        </w:rPr>
      </w:pPr>
    </w:p>
    <w:p w14:paraId="123840CA" w14:textId="77777777" w:rsidR="00AA685F" w:rsidRPr="00FC0BE9" w:rsidRDefault="00B85946">
      <w:pPr>
        <w:widowControl w:val="0"/>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Por lo tanto, aún y cuando la credencial de elector puede dar cuenta del requisito previsto en la fracción III del artículo 47 de la Ley del Trabajo de la Entidad, atendiendo los datos personales que la conforman, procede su clasificación en su totalidad.</w:t>
      </w:r>
    </w:p>
    <w:p w14:paraId="131A33D7" w14:textId="77777777" w:rsidR="00AA685F" w:rsidRPr="00FC0BE9" w:rsidRDefault="00AA685F">
      <w:pPr>
        <w:widowControl w:val="0"/>
        <w:spacing w:line="360" w:lineRule="auto"/>
        <w:jc w:val="both"/>
        <w:rPr>
          <w:rFonts w:ascii="Palatino Linotype" w:eastAsia="Palatino Linotype" w:hAnsi="Palatino Linotype" w:cs="Palatino Linotype"/>
          <w:sz w:val="22"/>
          <w:szCs w:val="22"/>
        </w:rPr>
      </w:pPr>
    </w:p>
    <w:p w14:paraId="6F438A42" w14:textId="77777777" w:rsidR="00AA685F" w:rsidRPr="00FC0BE9" w:rsidRDefault="00B85946">
      <w:pPr>
        <w:spacing w:line="360" w:lineRule="auto"/>
        <w:jc w:val="both"/>
        <w:rPr>
          <w:rFonts w:ascii="Palatino Linotype" w:eastAsia="Palatino Linotype" w:hAnsi="Palatino Linotype" w:cs="Palatino Linotype"/>
          <w:b/>
          <w:sz w:val="22"/>
          <w:szCs w:val="22"/>
        </w:rPr>
      </w:pPr>
      <w:r w:rsidRPr="00FC0BE9">
        <w:rPr>
          <w:rFonts w:ascii="Palatino Linotype" w:eastAsia="Palatino Linotype" w:hAnsi="Palatino Linotype" w:cs="Palatino Linotype"/>
          <w:sz w:val="22"/>
          <w:szCs w:val="22"/>
        </w:rPr>
        <w:t xml:space="preserve">Sobre el requisito en análisis, el </w:t>
      </w:r>
      <w:r w:rsidRPr="00FC0BE9">
        <w:rPr>
          <w:rFonts w:ascii="Palatino Linotype" w:eastAsia="Palatino Linotype" w:hAnsi="Palatino Linotype" w:cs="Palatino Linotype"/>
          <w:b/>
          <w:sz w:val="22"/>
          <w:szCs w:val="22"/>
        </w:rPr>
        <w:t>Sujeto Obligado si bien en respuesta remitió una hoja donde se aprecia la clasificación en su totalidad de la credencial para votar, tampoco entregó el</w:t>
      </w:r>
      <w:r w:rsidRPr="00FC0BE9">
        <w:rPr>
          <w:rFonts w:ascii="Palatino Linotype" w:eastAsia="Palatino Linotype" w:hAnsi="Palatino Linotype" w:cs="Palatino Linotype"/>
          <w:sz w:val="22"/>
          <w:szCs w:val="22"/>
        </w:rPr>
        <w:t xml:space="preserve"> </w:t>
      </w:r>
      <w:r w:rsidRPr="00FC0BE9">
        <w:rPr>
          <w:rFonts w:ascii="Palatino Linotype" w:eastAsia="Palatino Linotype" w:hAnsi="Palatino Linotype" w:cs="Palatino Linotype"/>
          <w:b/>
          <w:sz w:val="22"/>
          <w:szCs w:val="22"/>
        </w:rPr>
        <w:t>Acta del Comité de Transparencia, mediante la cual se fundó y motivo la clasificación de dicha documental.</w:t>
      </w:r>
    </w:p>
    <w:p w14:paraId="0D1BE6F0" w14:textId="77777777" w:rsidR="00AA685F" w:rsidRPr="00FC0BE9" w:rsidRDefault="00AA685F">
      <w:pPr>
        <w:spacing w:line="360" w:lineRule="auto"/>
        <w:jc w:val="both"/>
        <w:rPr>
          <w:rFonts w:ascii="Palatino Linotype" w:eastAsia="Palatino Linotype" w:hAnsi="Palatino Linotype" w:cs="Palatino Linotype"/>
          <w:b/>
          <w:sz w:val="22"/>
          <w:szCs w:val="22"/>
        </w:rPr>
      </w:pPr>
    </w:p>
    <w:p w14:paraId="02773A77" w14:textId="77777777" w:rsidR="00AA685F" w:rsidRPr="00FC0BE9" w:rsidRDefault="00B85946">
      <w:pPr>
        <w:spacing w:line="360" w:lineRule="auto"/>
        <w:jc w:val="both"/>
        <w:rPr>
          <w:rFonts w:ascii="Palatino Linotype" w:eastAsia="Palatino Linotype" w:hAnsi="Palatino Linotype" w:cs="Palatino Linotype"/>
          <w:b/>
          <w:sz w:val="22"/>
          <w:szCs w:val="22"/>
        </w:rPr>
      </w:pPr>
      <w:r w:rsidRPr="00FC0BE9">
        <w:rPr>
          <w:rFonts w:ascii="Palatino Linotype" w:eastAsia="Palatino Linotype" w:hAnsi="Palatino Linotype" w:cs="Palatino Linotype"/>
          <w:b/>
          <w:sz w:val="22"/>
          <w:szCs w:val="22"/>
        </w:rPr>
        <w:t>De esta manera, en cumplimiento a la presente se deberá hacer entrega del referido acuerdo que sustente la clasificación en su totalidad del credencial para votar.</w:t>
      </w:r>
    </w:p>
    <w:p w14:paraId="330AA054" w14:textId="77777777" w:rsidR="00AA685F" w:rsidRPr="00FC0BE9" w:rsidRDefault="00AA685F">
      <w:pPr>
        <w:widowControl w:val="0"/>
        <w:spacing w:line="360" w:lineRule="auto"/>
        <w:jc w:val="both"/>
        <w:rPr>
          <w:rFonts w:ascii="Palatino Linotype" w:eastAsia="Palatino Linotype" w:hAnsi="Palatino Linotype" w:cs="Palatino Linotype"/>
          <w:sz w:val="22"/>
          <w:szCs w:val="22"/>
        </w:rPr>
      </w:pPr>
    </w:p>
    <w:p w14:paraId="39B579BB" w14:textId="77777777" w:rsidR="00AA685F" w:rsidRPr="00FC0BE9" w:rsidRDefault="00B85946">
      <w:pPr>
        <w:numPr>
          <w:ilvl w:val="0"/>
          <w:numId w:val="9"/>
        </w:numPr>
        <w:pBdr>
          <w:top w:val="nil"/>
          <w:left w:val="nil"/>
          <w:bottom w:val="nil"/>
          <w:right w:val="nil"/>
          <w:between w:val="nil"/>
        </w:pBdr>
        <w:spacing w:after="240" w:line="360" w:lineRule="auto"/>
        <w:jc w:val="both"/>
        <w:rPr>
          <w:rFonts w:ascii="Palatino Linotype" w:eastAsia="Palatino Linotype" w:hAnsi="Palatino Linotype" w:cs="Palatino Linotype"/>
          <w:b/>
          <w:sz w:val="22"/>
          <w:szCs w:val="22"/>
          <w:u w:val="single"/>
        </w:rPr>
      </w:pPr>
      <w:r w:rsidRPr="00FC0BE9">
        <w:rPr>
          <w:rFonts w:ascii="Palatino Linotype" w:eastAsia="Palatino Linotype" w:hAnsi="Palatino Linotype" w:cs="Palatino Linotype"/>
          <w:b/>
          <w:sz w:val="22"/>
          <w:szCs w:val="22"/>
          <w:u w:val="single"/>
        </w:rPr>
        <w:t>Informe o Certificado de no antecedentes penales.</w:t>
      </w:r>
    </w:p>
    <w:p w14:paraId="020BC2CB" w14:textId="77777777" w:rsidR="00AA685F" w:rsidRPr="00FC0BE9" w:rsidRDefault="00B85946">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 xml:space="preserve">Al respecto, mediante el Decreto Número 109, publicado en el periódico oficial “Gaceta de Gobierno” el 3 de agosto de 2016, se derogó la fracción V del artículo 47 de la Ley del Trabajo de los Servidores Públicos del Estado y Municipios, por lo que derivado de esta reforma ya no se mandata a las personas que deseen ingresar al servicio público a presentar el documento en el que acrediten “no contar con antecedentes penales por delitos intencionales”, lo anterior en virtud de que se contempla como una forma de discriminación, dicha premisa encuentra sustento en el dictamen que obra en la exposición de motivos de dicho decreto, mismo que se inserta a continuación: </w:t>
      </w:r>
    </w:p>
    <w:p w14:paraId="183CA0A4" w14:textId="77777777" w:rsidR="00AA685F" w:rsidRPr="00FC0BE9" w:rsidRDefault="00AA685F">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68EB8493" w14:textId="77777777" w:rsidR="00AA685F" w:rsidRPr="00FC0BE9" w:rsidRDefault="00B85946">
      <w:pPr>
        <w:spacing w:line="276" w:lineRule="auto"/>
        <w:ind w:left="567" w:right="851"/>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w:t>
      </w:r>
      <w:r w:rsidRPr="00FC0BE9">
        <w:rPr>
          <w:rFonts w:ascii="Palatino Linotype" w:eastAsia="Palatino Linotype" w:hAnsi="Palatino Linotype" w:cs="Palatino Linotype"/>
          <w:b/>
          <w:i/>
          <w:sz w:val="22"/>
          <w:szCs w:val="22"/>
          <w:u w:val="single"/>
        </w:rPr>
        <w:t>Por otra parte, como se menciona en la iniciativa de decreto, reconocemos que el artículo 47 de la Ley del Trabajo para los Servidores Públicos del Estado y Municipios contempla una forma de discriminación que se traduce en lo dispuesto por su fracción V, en virtud que  dicho precepto establece como requisito para ingresar al servicio público el no contar con antecedentes penales por delitos intencionales</w:t>
      </w:r>
      <w:r w:rsidRPr="00FC0BE9">
        <w:rPr>
          <w:rFonts w:ascii="Palatino Linotype" w:eastAsia="Palatino Linotype" w:hAnsi="Palatino Linotype" w:cs="Palatino Linotype"/>
          <w:i/>
          <w:sz w:val="22"/>
          <w:szCs w:val="22"/>
        </w:rPr>
        <w:t>, lo que se traduce en una violación de derecho y libertades consagrados en nuestra Carta Magna y en la propia Ley Federal para Prevenir y Eliminar la Discriminación, específicamente en su artículo 1, fracción III.</w:t>
      </w:r>
    </w:p>
    <w:p w14:paraId="2E49F9CF" w14:textId="77777777" w:rsidR="00AA685F" w:rsidRPr="00FC0BE9" w:rsidRDefault="00B85946">
      <w:pPr>
        <w:spacing w:line="276" w:lineRule="auto"/>
        <w:ind w:left="567" w:right="851"/>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b/>
          <w:i/>
          <w:sz w:val="22"/>
          <w:szCs w:val="22"/>
          <w:u w:val="single"/>
        </w:rPr>
        <w:t>Por ello, resulta procedente derogar la fracción del citado precepto normativo de la Ley del Trabajo de los Servidores Públicos del Estado y Municipios, y suprimir este requisito, y de esta manera, no se distinga negativamente a las personas que deseen ingresar a laborar al  servicio público, ya que quienes hayan compurgado una pena son aptos de reinserción social y deben contar con la oportunidad de obtener  un trabajo que les permita ejercer una forma digna de vida, sin ningún tipo de distinción o discriminación y con ello garantizar el pleno respeto de sus derechos de igualdad y trabajo…</w:t>
      </w:r>
      <w:r w:rsidRPr="00FC0BE9">
        <w:rPr>
          <w:rFonts w:ascii="Palatino Linotype" w:eastAsia="Palatino Linotype" w:hAnsi="Palatino Linotype" w:cs="Palatino Linotype"/>
          <w:i/>
          <w:sz w:val="22"/>
          <w:szCs w:val="22"/>
        </w:rPr>
        <w:t>” (Énfasis añadido)</w:t>
      </w:r>
    </w:p>
    <w:p w14:paraId="67013E15" w14:textId="77777777" w:rsidR="00AA685F" w:rsidRPr="00FC0BE9" w:rsidRDefault="00AA685F">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35B79B33" w14:textId="77777777" w:rsidR="00AA685F" w:rsidRPr="00FC0BE9" w:rsidRDefault="00B85946">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En tal caso, es a partir de la publicación de la derogación de este precepto legal en el periódico oficial “Gaceta de Gobierno”, que la obligación de requerir a los servidores públicos el documento referido como condicionante para ingresar al servicio público es inexistente.</w:t>
      </w:r>
    </w:p>
    <w:p w14:paraId="5FC9B8C2" w14:textId="77777777" w:rsidR="00AA685F" w:rsidRPr="00FC0BE9" w:rsidRDefault="00AA685F">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58C1E462" w14:textId="77777777" w:rsidR="00AA685F" w:rsidRPr="00FC0BE9" w:rsidRDefault="00B85946">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 xml:space="preserve">No obstante lo anterior, debe tenerse en cuenta que el artículo 47 de la Ley del Trabajo de los Servidores Públicos del Estado y Municipios, refiere en la fracción III que para ingresar al servicio público, se requiere, estar en pleno ejercicio de sus derechos civiles y políticos, en su caso. </w:t>
      </w:r>
    </w:p>
    <w:p w14:paraId="216371C0" w14:textId="77777777" w:rsidR="00AA685F" w:rsidRPr="00FC0BE9" w:rsidRDefault="00AA685F">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7F0F86AC" w14:textId="77777777" w:rsidR="00AA685F" w:rsidRPr="00FC0BE9" w:rsidRDefault="00B85946">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Bajo este orden de ideas, se tiene que en el caso particular, si bien es cierto, la presentación del certificado de no antecedentes penales ya no es una condicionante para ingresar al servicio público, no menos cierto es que como se refirió anteriormente, el artículo 47 fracción III de la Ley del Trabajo de los Servidores Públicos del Estado de México y Municipios, contempla la acreditación del ejercicio de los derechos civiles y políticos, el cual se puede acreditar de manera enunciativa más no limitativa, mediante el informe o certificado de no antecedentes penales.</w:t>
      </w:r>
    </w:p>
    <w:p w14:paraId="11AE6FF8" w14:textId="77777777" w:rsidR="00AA685F" w:rsidRPr="00FC0BE9" w:rsidRDefault="00AA685F">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6C0A3DC1" w14:textId="77777777" w:rsidR="00AA685F" w:rsidRPr="00FC0BE9" w:rsidRDefault="00B85946">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u w:val="single"/>
        </w:rPr>
      </w:pPr>
      <w:r w:rsidRPr="00FC0BE9">
        <w:rPr>
          <w:rFonts w:ascii="Palatino Linotype" w:eastAsia="Palatino Linotype" w:hAnsi="Palatino Linotype" w:cs="Palatino Linotype"/>
          <w:sz w:val="22"/>
          <w:szCs w:val="22"/>
          <w:u w:val="single"/>
        </w:rPr>
        <w:t>Máxime que dichas documentales también dan cuenta del cumplimiento del requisito en cuestión, pues en materia de derecho penal, una persona que tiene la imputación de un delito del cual ha resultado responsable mediante sentencia ejecutoriada y cuya pena haya sido la prisión, por tanto, sus derechos civiles y políticos pueden verse suspendidos.</w:t>
      </w:r>
    </w:p>
    <w:p w14:paraId="5FF00BF3" w14:textId="77777777" w:rsidR="00AA685F" w:rsidRPr="00FC0BE9" w:rsidRDefault="00AA685F">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1707466B" w14:textId="77777777" w:rsidR="00AA685F" w:rsidRPr="00FC0BE9" w:rsidRDefault="00B85946">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 xml:space="preserve">Por lo que, en el caso, dado que también fue omiso en pronunciarse el </w:t>
      </w:r>
      <w:r w:rsidRPr="00FC0BE9">
        <w:rPr>
          <w:rFonts w:ascii="Palatino Linotype" w:eastAsia="Palatino Linotype" w:hAnsi="Palatino Linotype" w:cs="Palatino Linotype"/>
          <w:b/>
          <w:sz w:val="22"/>
          <w:szCs w:val="22"/>
        </w:rPr>
        <w:t xml:space="preserve">Sujeto Obligado </w:t>
      </w:r>
      <w:r w:rsidRPr="00FC0BE9">
        <w:rPr>
          <w:rFonts w:ascii="Palatino Linotype" w:eastAsia="Palatino Linotype" w:hAnsi="Palatino Linotype" w:cs="Palatino Linotype"/>
          <w:sz w:val="22"/>
          <w:szCs w:val="22"/>
        </w:rPr>
        <w:t xml:space="preserve">de manera específica sobre la existencia en sus archivos del informe o certificado de no antecedentes penales; </w:t>
      </w:r>
      <w:r w:rsidRPr="00FC0BE9">
        <w:rPr>
          <w:rFonts w:ascii="Palatino Linotype" w:eastAsia="Palatino Linotype" w:hAnsi="Palatino Linotype" w:cs="Palatino Linotype"/>
          <w:b/>
          <w:sz w:val="22"/>
          <w:szCs w:val="22"/>
        </w:rPr>
        <w:t>para colmar el requisito de mérito, procede ordenarse la entrega del informe o certificado de no antecedentes penales de los servidores públicos solicitados</w:t>
      </w:r>
      <w:r w:rsidRPr="00FC0BE9">
        <w:rPr>
          <w:rFonts w:ascii="Palatino Linotype" w:eastAsia="Palatino Linotype" w:hAnsi="Palatino Linotype" w:cs="Palatino Linotype"/>
          <w:sz w:val="22"/>
          <w:szCs w:val="22"/>
        </w:rPr>
        <w:t>, en versión pública, en virtud de que puede contener datos personales de índole confidencial tales como: el Registro Federal de Contribuyentes y Clave Única de Registro de Población.</w:t>
      </w:r>
    </w:p>
    <w:p w14:paraId="0D2521E2" w14:textId="77777777" w:rsidR="00AA685F" w:rsidRPr="00FC0BE9" w:rsidRDefault="00AA685F">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6491989E" w14:textId="77777777" w:rsidR="00AA685F" w:rsidRPr="00FC0BE9" w:rsidRDefault="00B85946">
      <w:pPr>
        <w:spacing w:line="360" w:lineRule="auto"/>
        <w:jc w:val="both"/>
        <w:rPr>
          <w:rFonts w:ascii="Palatino Linotype" w:eastAsia="Palatino Linotype" w:hAnsi="Palatino Linotype" w:cs="Palatino Linotype"/>
          <w:b/>
          <w:sz w:val="22"/>
          <w:szCs w:val="22"/>
        </w:rPr>
      </w:pPr>
      <w:r w:rsidRPr="00FC0BE9">
        <w:rPr>
          <w:rFonts w:ascii="Palatino Linotype" w:eastAsia="Palatino Linotype" w:hAnsi="Palatino Linotype" w:cs="Palatino Linotype"/>
          <w:sz w:val="22"/>
          <w:szCs w:val="22"/>
        </w:rPr>
        <w:t xml:space="preserve">Sobre el requisito en análisis, se aprecia que el </w:t>
      </w:r>
      <w:r w:rsidRPr="00FC0BE9">
        <w:rPr>
          <w:rFonts w:ascii="Palatino Linotype" w:eastAsia="Palatino Linotype" w:hAnsi="Palatino Linotype" w:cs="Palatino Linotype"/>
          <w:b/>
          <w:sz w:val="22"/>
          <w:szCs w:val="22"/>
        </w:rPr>
        <w:t>Sujeto Obligado en respuesta remitió una hoja donde se aprecia la clasificación en su totalidad del informe de no antecedentes penales; por tanto, atendiendo que dicha documental es susceptible de entregarse en versión pública, en cumplimiento a la presente se deberá hacer entrega de la documental de referencia en versión pública.</w:t>
      </w:r>
    </w:p>
    <w:p w14:paraId="4098C41C" w14:textId="77777777" w:rsidR="00AA685F" w:rsidRPr="00FC0BE9" w:rsidRDefault="00AA685F">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3FA8306D" w14:textId="77777777" w:rsidR="00AA685F" w:rsidRPr="00FC0BE9" w:rsidRDefault="00B85946">
      <w:pPr>
        <w:numPr>
          <w:ilvl w:val="0"/>
          <w:numId w:val="9"/>
        </w:num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b/>
          <w:sz w:val="22"/>
          <w:szCs w:val="22"/>
        </w:rPr>
      </w:pPr>
      <w:r w:rsidRPr="00FC0BE9">
        <w:rPr>
          <w:rFonts w:ascii="Palatino Linotype" w:eastAsia="Palatino Linotype" w:hAnsi="Palatino Linotype" w:cs="Palatino Linotype"/>
          <w:b/>
          <w:sz w:val="22"/>
          <w:szCs w:val="22"/>
          <w:u w:val="single"/>
        </w:rPr>
        <w:t xml:space="preserve">Constancia o certificado médico: </w:t>
      </w:r>
    </w:p>
    <w:p w14:paraId="32569FAA" w14:textId="77777777" w:rsidR="00AA685F" w:rsidRPr="00FC0BE9" w:rsidRDefault="00B85946">
      <w:pPr>
        <w:spacing w:before="240" w:after="240" w:line="360" w:lineRule="auto"/>
        <w:ind w:right="51"/>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En principio, es de señalar que cualquier información que dé cuenta del estado de salud de una persona, concierne a su vida íntima y privada; lo anterior, pues el artículo 4°, fracción XII, de la Ley de Protección de Datos Personales en Posesión de Sujetos Obligados del Estado de México y Municipios, establece que los datos personales sensibles, son aquellos cuya utilización indebida, puedan dar origen a discriminación o conlleven a un riesgo grave para éste, entre los cuales se encuentran los que den cuenta del estado de salud, ya sea físico o mental.</w:t>
      </w:r>
    </w:p>
    <w:p w14:paraId="4037FCF9" w14:textId="77777777" w:rsidR="00AA685F" w:rsidRPr="00FC0BE9" w:rsidRDefault="00B85946">
      <w:pPr>
        <w:spacing w:before="240" w:after="240" w:line="360" w:lineRule="auto"/>
        <w:ind w:right="51"/>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De tales circunstancias, se considera que la información contenida en el certificado médico únicamente identifica el estado de salud físico y mental del servidor público, lo cual guarda el carácter confidencial, en términos del artículo 143, fracción I, de la Ley de Transparencia y Acceso a la Información Pública del Estado de México y Municipios, por lo que si bien es requisito tener buena salud, no se prevé como requisito obligatorio para ingresar al servicio público la entrega de certificado o constancia médica, sino sólo su comprobación mediante dichos documentos.</w:t>
      </w:r>
    </w:p>
    <w:p w14:paraId="3EF0A97C" w14:textId="77777777" w:rsidR="00AA685F" w:rsidRPr="00FC0BE9" w:rsidRDefault="00B85946">
      <w:pPr>
        <w:spacing w:before="240" w:after="240" w:line="360" w:lineRule="auto"/>
        <w:ind w:right="51"/>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De ahí que el servidor público de quien se requiere no está constreñido en hacer entrega de dicho documento.</w:t>
      </w:r>
    </w:p>
    <w:p w14:paraId="31A2C966" w14:textId="77777777" w:rsidR="00AA685F" w:rsidRPr="00FC0BE9" w:rsidRDefault="00AA685F">
      <w:pPr>
        <w:spacing w:before="240" w:after="240" w:line="360" w:lineRule="auto"/>
        <w:ind w:right="51"/>
        <w:jc w:val="both"/>
        <w:rPr>
          <w:rFonts w:ascii="Palatino Linotype" w:eastAsia="Palatino Linotype" w:hAnsi="Palatino Linotype" w:cs="Palatino Linotype"/>
          <w:sz w:val="22"/>
          <w:szCs w:val="22"/>
        </w:rPr>
      </w:pPr>
    </w:p>
    <w:p w14:paraId="4D150F3E" w14:textId="77777777" w:rsidR="00AA685F" w:rsidRPr="00FC0BE9" w:rsidRDefault="00B85946">
      <w:pPr>
        <w:spacing w:before="240" w:after="240" w:line="360" w:lineRule="auto"/>
        <w:ind w:right="51"/>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 xml:space="preserve">Ahora, en el caso de la respuesta se advierte que el </w:t>
      </w:r>
      <w:r w:rsidRPr="00FC0BE9">
        <w:rPr>
          <w:rFonts w:ascii="Palatino Linotype" w:eastAsia="Palatino Linotype" w:hAnsi="Palatino Linotype" w:cs="Palatino Linotype"/>
          <w:b/>
          <w:sz w:val="22"/>
          <w:szCs w:val="22"/>
        </w:rPr>
        <w:t xml:space="preserve">Sujeto Obligado </w:t>
      </w:r>
      <w:r w:rsidRPr="00FC0BE9">
        <w:rPr>
          <w:rFonts w:ascii="Palatino Linotype" w:eastAsia="Palatino Linotype" w:hAnsi="Palatino Linotype" w:cs="Palatino Linotype"/>
          <w:sz w:val="22"/>
          <w:szCs w:val="22"/>
        </w:rPr>
        <w:t xml:space="preserve">fue omiso en pronunciarse, por lo que, </w:t>
      </w:r>
      <w:r w:rsidRPr="00FC0BE9">
        <w:rPr>
          <w:rFonts w:ascii="Palatino Linotype" w:eastAsia="Palatino Linotype" w:hAnsi="Palatino Linotype" w:cs="Palatino Linotype"/>
          <w:b/>
          <w:sz w:val="22"/>
          <w:szCs w:val="22"/>
        </w:rPr>
        <w:t>para colmar el  mismo deberá entregar el acuerdo que sustente la clasificación en su totalidad del certificado médico del servidor público que fungió como Titular de la Contraloría Interna Municipal en 2024.</w:t>
      </w:r>
    </w:p>
    <w:p w14:paraId="3BF69869" w14:textId="77777777" w:rsidR="00AA685F" w:rsidRPr="00FC0BE9" w:rsidRDefault="00B85946">
      <w:pPr>
        <w:numPr>
          <w:ilvl w:val="0"/>
          <w:numId w:val="9"/>
        </w:numPr>
        <w:pBdr>
          <w:top w:val="nil"/>
          <w:left w:val="nil"/>
          <w:bottom w:val="nil"/>
          <w:right w:val="nil"/>
          <w:between w:val="nil"/>
        </w:pBdr>
        <w:spacing w:before="240" w:after="240" w:line="360" w:lineRule="auto"/>
        <w:jc w:val="both"/>
        <w:rPr>
          <w:rFonts w:ascii="Palatino Linotype" w:eastAsia="Palatino Linotype" w:hAnsi="Palatino Linotype" w:cs="Palatino Linotype"/>
          <w:b/>
          <w:sz w:val="22"/>
          <w:szCs w:val="22"/>
          <w:u w:val="single"/>
        </w:rPr>
      </w:pPr>
      <w:r w:rsidRPr="00FC0BE9">
        <w:rPr>
          <w:rFonts w:ascii="Palatino Linotype" w:eastAsia="Palatino Linotype" w:hAnsi="Palatino Linotype" w:cs="Palatino Linotype"/>
          <w:b/>
          <w:sz w:val="22"/>
          <w:szCs w:val="22"/>
          <w:u w:val="single"/>
        </w:rPr>
        <w:t>Constancia de no inhabilitación.</w:t>
      </w:r>
    </w:p>
    <w:p w14:paraId="7E41DAA5"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 xml:space="preserve">Al respecto dicho documento se encuentra regulado en el artículo 27 y 28 de la Ley General de Responsabilidades Administrativas, 28 de la Ley de Responsabilidades Administrativas, 28 quinto párrafo de la Ley de Responsabilidades Administrativas del Estado de México, con relación al 47, fracción X de la Ley del Trabajo de los Servidores públicos del Estado de México y Municipios. </w:t>
      </w:r>
    </w:p>
    <w:p w14:paraId="3F6DD85D"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74123B54"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 xml:space="preserve">Es el documento que expide la Secretaría de la Contraloría del Estado de México por medio del sistema electrónico extranet </w:t>
      </w:r>
      <w:hyperlink r:id="rId14">
        <w:r w:rsidRPr="00FC0BE9">
          <w:rPr>
            <w:rFonts w:ascii="Palatino Linotype" w:eastAsia="Palatino Linotype" w:hAnsi="Palatino Linotype" w:cs="Palatino Linotype"/>
            <w:sz w:val="22"/>
            <w:szCs w:val="22"/>
            <w:u w:val="single"/>
          </w:rPr>
          <w:t>www.secogem.gob.mx/constancias/</w:t>
        </w:r>
      </w:hyperlink>
      <w:r w:rsidRPr="00FC0BE9">
        <w:rPr>
          <w:rFonts w:ascii="Palatino Linotype" w:eastAsia="Palatino Linotype" w:hAnsi="Palatino Linotype" w:cs="Palatino Linotype"/>
          <w:sz w:val="22"/>
          <w:szCs w:val="22"/>
        </w:rPr>
        <w:t xml:space="preserve"> en el cual se informa si las personas físicas cuentan con alguna sanción o inhabilitación para ocupar un empleo, cargo o comisión de carácter público. </w:t>
      </w:r>
    </w:p>
    <w:p w14:paraId="7A7AF3A8"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59E274D5"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Por lo anterior, este documento es de naturaleza pública, sin embargo, no pasa desapercibido mencionar que puede contener datos que actualizan la causal prevista en la fracción I del artículo 143 de la Ley de Transparencia del Estado de México y Municipios, ya que puede contener datos como la CURP y RFC; y, por tanto, procede su entrega en versión pública.</w:t>
      </w:r>
    </w:p>
    <w:p w14:paraId="5FA8F282"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6F6C4AFA" w14:textId="77777777" w:rsidR="00AA685F" w:rsidRPr="00FC0BE9" w:rsidRDefault="00B85946">
      <w:pPr>
        <w:spacing w:line="360" w:lineRule="auto"/>
        <w:ind w:right="51"/>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Además, es de precisar que con la entrega de dicha constancias de no inhabilitación se colma el requisito relativo a “</w:t>
      </w:r>
      <w:r w:rsidRPr="00FC0BE9">
        <w:rPr>
          <w:rFonts w:ascii="Palatino Linotype" w:eastAsia="Palatino Linotype" w:hAnsi="Palatino Linotype" w:cs="Palatino Linotype"/>
          <w:b/>
          <w:i/>
          <w:sz w:val="22"/>
          <w:szCs w:val="22"/>
        </w:rPr>
        <w:t>No haber sido separado anteriormente del servicio por las causas previstas en el artículo 93 de la Ley de Trabajo de los Servidores Públicos de la Entidad</w:t>
      </w:r>
      <w:r w:rsidRPr="00FC0BE9">
        <w:rPr>
          <w:rFonts w:ascii="Palatino Linotype" w:eastAsia="Palatino Linotype" w:hAnsi="Palatino Linotype" w:cs="Palatino Linotype"/>
          <w:sz w:val="22"/>
          <w:szCs w:val="22"/>
        </w:rPr>
        <w:t>”.</w:t>
      </w:r>
    </w:p>
    <w:p w14:paraId="28854C49" w14:textId="77777777" w:rsidR="00AA685F" w:rsidRPr="00FC0BE9" w:rsidRDefault="00AA685F">
      <w:pPr>
        <w:spacing w:line="360" w:lineRule="auto"/>
        <w:jc w:val="both"/>
        <w:rPr>
          <w:rFonts w:ascii="Palatino Linotype" w:eastAsia="Palatino Linotype" w:hAnsi="Palatino Linotype" w:cs="Palatino Linotype"/>
          <w:b/>
          <w:sz w:val="22"/>
          <w:szCs w:val="22"/>
        </w:rPr>
      </w:pPr>
    </w:p>
    <w:p w14:paraId="1CCC62EA"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Conviene citar el contenido del artículo 93 de la Ley del Trabajo de la Entidad, en la parte de nuestro interés:</w:t>
      </w:r>
    </w:p>
    <w:p w14:paraId="67FB6F0A" w14:textId="77777777" w:rsidR="00AA685F" w:rsidRPr="00FC0BE9" w:rsidRDefault="00AA685F">
      <w:pPr>
        <w:spacing w:line="360" w:lineRule="auto"/>
        <w:jc w:val="both"/>
        <w:rPr>
          <w:rFonts w:ascii="Palatino Linotype" w:eastAsia="Palatino Linotype" w:hAnsi="Palatino Linotype" w:cs="Palatino Linotype"/>
          <w:b/>
          <w:sz w:val="22"/>
          <w:szCs w:val="22"/>
        </w:rPr>
      </w:pPr>
    </w:p>
    <w:p w14:paraId="33DFD024" w14:textId="77777777" w:rsidR="00AA685F" w:rsidRPr="00FC0BE9" w:rsidRDefault="00B85946">
      <w:pPr>
        <w:spacing w:line="276" w:lineRule="auto"/>
        <w:ind w:left="567" w:right="560"/>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w:t>
      </w:r>
      <w:r w:rsidRPr="00FC0BE9">
        <w:rPr>
          <w:rFonts w:ascii="Palatino Linotype" w:eastAsia="Palatino Linotype" w:hAnsi="Palatino Linotype" w:cs="Palatino Linotype"/>
          <w:b/>
          <w:i/>
          <w:sz w:val="22"/>
          <w:szCs w:val="22"/>
        </w:rPr>
        <w:t>ARTÍCULO 93. Son causas de rescisión de la relación laboral, sin responsabilidad para las instituciones públicas:</w:t>
      </w:r>
      <w:r w:rsidRPr="00FC0BE9">
        <w:rPr>
          <w:rFonts w:ascii="Palatino Linotype" w:eastAsia="Palatino Linotype" w:hAnsi="Palatino Linotype" w:cs="Palatino Linotype"/>
          <w:i/>
          <w:sz w:val="22"/>
          <w:szCs w:val="22"/>
        </w:rPr>
        <w:t xml:space="preserve"> </w:t>
      </w:r>
    </w:p>
    <w:p w14:paraId="2C40B212" w14:textId="77777777" w:rsidR="00AA685F" w:rsidRPr="00FC0BE9" w:rsidRDefault="00AA685F">
      <w:pPr>
        <w:spacing w:line="276" w:lineRule="auto"/>
        <w:ind w:left="567" w:right="560"/>
        <w:jc w:val="both"/>
        <w:rPr>
          <w:rFonts w:ascii="Palatino Linotype" w:eastAsia="Palatino Linotype" w:hAnsi="Palatino Linotype" w:cs="Palatino Linotype"/>
          <w:i/>
          <w:sz w:val="22"/>
          <w:szCs w:val="22"/>
        </w:rPr>
      </w:pPr>
    </w:p>
    <w:p w14:paraId="48FC30D5" w14:textId="77777777" w:rsidR="00AA685F" w:rsidRPr="00FC0BE9" w:rsidRDefault="00B85946">
      <w:pPr>
        <w:spacing w:line="276" w:lineRule="auto"/>
        <w:ind w:left="567" w:right="560"/>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 xml:space="preserve">I. Engañar el servidor público con documentación o referencias falsas que le atribuyan capacidad, aptitudes o grados académicos de los que carezca. Esta causa dejará de tener efecto después de treinta días naturales de conocido el hecho; </w:t>
      </w:r>
    </w:p>
    <w:p w14:paraId="0DEA427C" w14:textId="77777777" w:rsidR="00AA685F" w:rsidRPr="00FC0BE9" w:rsidRDefault="00AA685F">
      <w:pPr>
        <w:spacing w:line="276" w:lineRule="auto"/>
        <w:ind w:left="567" w:right="560"/>
        <w:jc w:val="both"/>
        <w:rPr>
          <w:rFonts w:ascii="Palatino Linotype" w:eastAsia="Palatino Linotype" w:hAnsi="Palatino Linotype" w:cs="Palatino Linotype"/>
          <w:i/>
          <w:sz w:val="22"/>
          <w:szCs w:val="22"/>
        </w:rPr>
      </w:pPr>
    </w:p>
    <w:p w14:paraId="6F05401F" w14:textId="77777777" w:rsidR="00AA685F" w:rsidRPr="00FC0BE9" w:rsidRDefault="00B85946">
      <w:pPr>
        <w:spacing w:line="276" w:lineRule="auto"/>
        <w:ind w:left="567" w:right="560"/>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 xml:space="preserve">II. Tener asignada más de una plaza en la misma o en diferentes instituciones públicas o dependencias, con las excepciones que esta ley señala, o bien cobrar un sueldo sin desempeñar funciones; </w:t>
      </w:r>
    </w:p>
    <w:p w14:paraId="3779E47E" w14:textId="77777777" w:rsidR="00AA685F" w:rsidRPr="00FC0BE9" w:rsidRDefault="00AA685F">
      <w:pPr>
        <w:spacing w:line="276" w:lineRule="auto"/>
        <w:ind w:left="567" w:right="560"/>
        <w:jc w:val="both"/>
        <w:rPr>
          <w:rFonts w:ascii="Palatino Linotype" w:eastAsia="Palatino Linotype" w:hAnsi="Palatino Linotype" w:cs="Palatino Linotype"/>
          <w:i/>
          <w:sz w:val="22"/>
          <w:szCs w:val="22"/>
        </w:rPr>
      </w:pPr>
    </w:p>
    <w:p w14:paraId="5A3F79BB" w14:textId="77777777" w:rsidR="00AA685F" w:rsidRPr="00FC0BE9" w:rsidRDefault="00B85946">
      <w:pPr>
        <w:spacing w:line="276" w:lineRule="auto"/>
        <w:ind w:left="567" w:right="560"/>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 xml:space="preserve">III. Incurrir durante sus labores en faltas de probidad u honradez, o bien en actos de violencia, amenazas, injurias o malos tratos en contra de sus superiores, compañeros o familiares de unos u otros, ya sea dentro o fuera de las horas de servicio, salvo que obre en defensa propia; </w:t>
      </w:r>
    </w:p>
    <w:p w14:paraId="502DF178" w14:textId="77777777" w:rsidR="00AA685F" w:rsidRPr="00FC0BE9" w:rsidRDefault="00AA685F">
      <w:pPr>
        <w:spacing w:line="276" w:lineRule="auto"/>
        <w:ind w:left="567" w:right="560"/>
        <w:jc w:val="both"/>
        <w:rPr>
          <w:rFonts w:ascii="Palatino Linotype" w:eastAsia="Palatino Linotype" w:hAnsi="Palatino Linotype" w:cs="Palatino Linotype"/>
          <w:i/>
          <w:sz w:val="22"/>
          <w:szCs w:val="22"/>
        </w:rPr>
      </w:pPr>
    </w:p>
    <w:p w14:paraId="0D957013" w14:textId="77777777" w:rsidR="00AA685F" w:rsidRPr="00FC0BE9" w:rsidRDefault="00B85946">
      <w:pPr>
        <w:spacing w:line="276" w:lineRule="auto"/>
        <w:ind w:left="567" w:right="560"/>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 xml:space="preserve">IV. Incurrir en cuatro o más faltas de asistencia a sus labores sin causa justificada, dentro de un lapso de treinta días; V. Abandonar las labores sin autorización previa o razón plenamente justificada, en contravención a lo establecido en las condiciones generales de trabajo; </w:t>
      </w:r>
    </w:p>
    <w:p w14:paraId="38F93676" w14:textId="77777777" w:rsidR="00AA685F" w:rsidRPr="00FC0BE9" w:rsidRDefault="00AA685F">
      <w:pPr>
        <w:spacing w:line="276" w:lineRule="auto"/>
        <w:ind w:left="567" w:right="560"/>
        <w:jc w:val="both"/>
        <w:rPr>
          <w:rFonts w:ascii="Palatino Linotype" w:eastAsia="Palatino Linotype" w:hAnsi="Palatino Linotype" w:cs="Palatino Linotype"/>
          <w:i/>
          <w:sz w:val="22"/>
          <w:szCs w:val="22"/>
        </w:rPr>
      </w:pPr>
    </w:p>
    <w:p w14:paraId="4BAB1120" w14:textId="77777777" w:rsidR="00AA685F" w:rsidRPr="00FC0BE9" w:rsidRDefault="00B85946">
      <w:pPr>
        <w:spacing w:line="276" w:lineRule="auto"/>
        <w:ind w:left="567" w:right="560"/>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 xml:space="preserve">VI. Causar daños intencionalmente a edificios, obras, equipo, maquinaria, instrumentos, materias primas y demás objetos relacionados con el trabajo, o por sustraerlos en beneficio propio; </w:t>
      </w:r>
    </w:p>
    <w:p w14:paraId="7CBCE4AB" w14:textId="77777777" w:rsidR="00AA685F" w:rsidRPr="00FC0BE9" w:rsidRDefault="00AA685F">
      <w:pPr>
        <w:spacing w:line="276" w:lineRule="auto"/>
        <w:ind w:left="567" w:right="560"/>
        <w:jc w:val="both"/>
        <w:rPr>
          <w:rFonts w:ascii="Palatino Linotype" w:eastAsia="Palatino Linotype" w:hAnsi="Palatino Linotype" w:cs="Palatino Linotype"/>
          <w:i/>
          <w:sz w:val="22"/>
          <w:szCs w:val="22"/>
        </w:rPr>
      </w:pPr>
    </w:p>
    <w:p w14:paraId="759D7179" w14:textId="77777777" w:rsidR="00AA685F" w:rsidRPr="00FC0BE9" w:rsidRDefault="00B85946">
      <w:pPr>
        <w:spacing w:line="276" w:lineRule="auto"/>
        <w:ind w:left="567" w:right="560"/>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 xml:space="preserve">VII. Cometer actos inmorales durante el trabajo; </w:t>
      </w:r>
    </w:p>
    <w:p w14:paraId="34172AD1" w14:textId="77777777" w:rsidR="00AA685F" w:rsidRPr="00FC0BE9" w:rsidRDefault="00AA685F">
      <w:pPr>
        <w:spacing w:line="276" w:lineRule="auto"/>
        <w:ind w:left="567" w:right="560"/>
        <w:jc w:val="both"/>
        <w:rPr>
          <w:rFonts w:ascii="Palatino Linotype" w:eastAsia="Palatino Linotype" w:hAnsi="Palatino Linotype" w:cs="Palatino Linotype"/>
          <w:i/>
          <w:sz w:val="22"/>
          <w:szCs w:val="22"/>
        </w:rPr>
      </w:pPr>
    </w:p>
    <w:p w14:paraId="77D25124" w14:textId="77777777" w:rsidR="00AA685F" w:rsidRPr="00FC0BE9" w:rsidRDefault="00B85946">
      <w:pPr>
        <w:spacing w:line="276" w:lineRule="auto"/>
        <w:ind w:left="567" w:right="560"/>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VIII. Revelar los asuntos confidenciales o reservados así calificados por la institución pública o dependencia donde labore, de los cuales tuviese conocimiento con motivo de su trabajo; […]”</w:t>
      </w:r>
    </w:p>
    <w:p w14:paraId="5A7FBB47" w14:textId="77777777" w:rsidR="00AA685F" w:rsidRPr="00FC0BE9" w:rsidRDefault="00AA685F">
      <w:pPr>
        <w:spacing w:line="276" w:lineRule="auto"/>
        <w:ind w:left="567" w:right="560"/>
        <w:jc w:val="both"/>
        <w:rPr>
          <w:rFonts w:ascii="Palatino Linotype" w:eastAsia="Palatino Linotype" w:hAnsi="Palatino Linotype" w:cs="Palatino Linotype"/>
          <w:i/>
          <w:sz w:val="22"/>
          <w:szCs w:val="22"/>
        </w:rPr>
      </w:pPr>
    </w:p>
    <w:p w14:paraId="71406D87" w14:textId="77777777" w:rsidR="00AA685F" w:rsidRPr="00FC0BE9" w:rsidRDefault="00B85946">
      <w:pPr>
        <w:spacing w:line="276" w:lineRule="auto"/>
        <w:ind w:left="567" w:right="560"/>
        <w:jc w:val="right"/>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(Énfasis añadido)</w:t>
      </w:r>
    </w:p>
    <w:p w14:paraId="4FB6D2F9"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33C868E8" w14:textId="77777777" w:rsidR="00AA685F" w:rsidRPr="00FC0BE9" w:rsidRDefault="00B85946">
      <w:pPr>
        <w:spacing w:line="360" w:lineRule="auto"/>
        <w:jc w:val="both"/>
        <w:rPr>
          <w:rFonts w:ascii="Palatino Linotype" w:eastAsia="Palatino Linotype" w:hAnsi="Palatino Linotype" w:cs="Palatino Linotype"/>
          <w:b/>
          <w:sz w:val="22"/>
          <w:szCs w:val="22"/>
        </w:rPr>
      </w:pPr>
      <w:r w:rsidRPr="00FC0BE9">
        <w:rPr>
          <w:rFonts w:ascii="Palatino Linotype" w:eastAsia="Palatino Linotype" w:hAnsi="Palatino Linotype" w:cs="Palatino Linotype"/>
          <w:sz w:val="22"/>
          <w:szCs w:val="22"/>
        </w:rPr>
        <w:t xml:space="preserve">Sobre el requisito en análisis, el </w:t>
      </w:r>
      <w:r w:rsidRPr="00FC0BE9">
        <w:rPr>
          <w:rFonts w:ascii="Palatino Linotype" w:eastAsia="Palatino Linotype" w:hAnsi="Palatino Linotype" w:cs="Palatino Linotype"/>
          <w:b/>
          <w:sz w:val="22"/>
          <w:szCs w:val="22"/>
        </w:rPr>
        <w:t>Sujeto Obligado si bien en respuesta remitió una hoja donde se aprecia la clasificación en su totalidad de la constancia de no inhabilitación; atendiendo que dicha documental es susceptible de entregarse en versión pública, en cumplimiento a la presente se deberá hacer entrega de la documental de referencia en versión pública.</w:t>
      </w:r>
    </w:p>
    <w:p w14:paraId="2A6D6CF1"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42F9192A" w14:textId="77777777" w:rsidR="00AA685F" w:rsidRPr="00FC0BE9" w:rsidRDefault="00B85946">
      <w:pPr>
        <w:numPr>
          <w:ilvl w:val="0"/>
          <w:numId w:val="10"/>
        </w:numPr>
        <w:spacing w:after="160" w:line="360" w:lineRule="auto"/>
        <w:jc w:val="both"/>
        <w:rPr>
          <w:rFonts w:ascii="Palatino Linotype" w:eastAsia="Palatino Linotype" w:hAnsi="Palatino Linotype" w:cs="Palatino Linotype"/>
          <w:b/>
          <w:sz w:val="22"/>
          <w:szCs w:val="22"/>
          <w:u w:val="single"/>
        </w:rPr>
      </w:pPr>
      <w:r w:rsidRPr="00FC0BE9">
        <w:rPr>
          <w:rFonts w:ascii="Palatino Linotype" w:eastAsia="Palatino Linotype" w:hAnsi="Palatino Linotype" w:cs="Palatino Linotype"/>
          <w:b/>
          <w:sz w:val="22"/>
          <w:szCs w:val="22"/>
          <w:u w:val="single"/>
        </w:rPr>
        <w:t>Cartilla militar.</w:t>
      </w:r>
    </w:p>
    <w:p w14:paraId="69474243" w14:textId="77777777" w:rsidR="00AA685F" w:rsidRPr="00FC0BE9" w:rsidRDefault="00AA685F">
      <w:pPr>
        <w:spacing w:line="360" w:lineRule="auto"/>
        <w:ind w:left="360"/>
        <w:jc w:val="both"/>
        <w:rPr>
          <w:rFonts w:ascii="Palatino Linotype" w:eastAsia="Palatino Linotype" w:hAnsi="Palatino Linotype" w:cs="Palatino Linotype"/>
          <w:b/>
          <w:sz w:val="22"/>
          <w:szCs w:val="22"/>
          <w:u w:val="single"/>
        </w:rPr>
      </w:pPr>
    </w:p>
    <w:p w14:paraId="6DC5F4A8" w14:textId="77777777" w:rsidR="00AA685F" w:rsidRPr="00FC0BE9" w:rsidRDefault="00B85946">
      <w:pPr>
        <w:pBdr>
          <w:top w:val="nil"/>
          <w:left w:val="nil"/>
          <w:bottom w:val="nil"/>
          <w:right w:val="nil"/>
          <w:between w:val="nil"/>
        </w:pBdr>
        <w:spacing w:after="240"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Respecto del cumplimiento a la Ley del Servicios Militar Nacional se tiene que el artículo 1º de esta Ley establece que el servicio de las armas para todos los mexicanos por nacimiento o naturalización es obligatorio y de orden público. Asimismo, el artículo 151 del Reglamento de la Ley establece que la cartilla de identificación que acredita la identidad y el cumplimiento de los deberes militares contendrá lo siguiente:</w:t>
      </w:r>
    </w:p>
    <w:p w14:paraId="5E47B595" w14:textId="77777777" w:rsidR="00AA685F" w:rsidRPr="00FC0BE9" w:rsidRDefault="00B85946">
      <w:pPr>
        <w:pBdr>
          <w:top w:val="nil"/>
          <w:left w:val="nil"/>
          <w:bottom w:val="nil"/>
          <w:right w:val="nil"/>
          <w:between w:val="nil"/>
        </w:pBdr>
        <w:spacing w:before="240" w:after="240" w:line="276" w:lineRule="auto"/>
        <w:ind w:left="567" w:right="559"/>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b/>
          <w:i/>
          <w:sz w:val="22"/>
          <w:szCs w:val="22"/>
        </w:rPr>
        <w:t>“ARTÍCULO 151.-</w:t>
      </w:r>
      <w:r w:rsidRPr="00FC0BE9">
        <w:rPr>
          <w:rFonts w:ascii="Palatino Linotype" w:eastAsia="Palatino Linotype" w:hAnsi="Palatino Linotype" w:cs="Palatino Linotype"/>
          <w:i/>
          <w:sz w:val="22"/>
          <w:szCs w:val="22"/>
        </w:rPr>
        <w:t xml:space="preserve"> Una vez inscritos los mexicanos, se les expedirá gratuitamente la cartilla de identificación que acreditará su identidad y el cumplimiento de sus deberes militares, y contendrá:</w:t>
      </w:r>
    </w:p>
    <w:p w14:paraId="000E0C58" w14:textId="77777777" w:rsidR="00AA685F" w:rsidRPr="00FC0BE9" w:rsidRDefault="00B85946">
      <w:pPr>
        <w:pBdr>
          <w:top w:val="nil"/>
          <w:left w:val="nil"/>
          <w:bottom w:val="nil"/>
          <w:right w:val="nil"/>
          <w:between w:val="nil"/>
        </w:pBdr>
        <w:spacing w:before="240" w:after="240" w:line="276" w:lineRule="auto"/>
        <w:ind w:left="567" w:right="559"/>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I.- Un retrato de frente;</w:t>
      </w:r>
    </w:p>
    <w:p w14:paraId="35FC3F12" w14:textId="77777777" w:rsidR="00AA685F" w:rsidRPr="00FC0BE9" w:rsidRDefault="00B85946">
      <w:pPr>
        <w:pBdr>
          <w:top w:val="nil"/>
          <w:left w:val="nil"/>
          <w:bottom w:val="nil"/>
          <w:right w:val="nil"/>
          <w:between w:val="nil"/>
        </w:pBdr>
        <w:spacing w:before="240" w:after="240" w:line="276" w:lineRule="auto"/>
        <w:ind w:left="567" w:right="559"/>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II.- Sus generales (nombre y apellidos paterno y materno, edad, ocupación, estado civil y domicilio);</w:t>
      </w:r>
    </w:p>
    <w:p w14:paraId="290C6ABC" w14:textId="77777777" w:rsidR="00AA685F" w:rsidRPr="00FC0BE9" w:rsidRDefault="00B85946">
      <w:pPr>
        <w:pBdr>
          <w:top w:val="nil"/>
          <w:left w:val="nil"/>
          <w:bottom w:val="nil"/>
          <w:right w:val="nil"/>
          <w:between w:val="nil"/>
        </w:pBdr>
        <w:spacing w:before="240" w:after="240" w:line="276" w:lineRule="auto"/>
        <w:ind w:left="567" w:right="559"/>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III.- Matrícula;</w:t>
      </w:r>
    </w:p>
    <w:p w14:paraId="5C678390" w14:textId="77777777" w:rsidR="00AA685F" w:rsidRPr="00FC0BE9" w:rsidRDefault="00B85946">
      <w:pPr>
        <w:pBdr>
          <w:top w:val="nil"/>
          <w:left w:val="nil"/>
          <w:bottom w:val="nil"/>
          <w:right w:val="nil"/>
          <w:between w:val="nil"/>
        </w:pBdr>
        <w:spacing w:before="240" w:after="240" w:line="276" w:lineRule="auto"/>
        <w:ind w:left="567" w:right="559"/>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IV.- Clase a que pertenece;</w:t>
      </w:r>
    </w:p>
    <w:p w14:paraId="0A2F2047" w14:textId="77777777" w:rsidR="00AA685F" w:rsidRPr="00FC0BE9" w:rsidRDefault="00B85946">
      <w:pPr>
        <w:pBdr>
          <w:top w:val="nil"/>
          <w:left w:val="nil"/>
          <w:bottom w:val="nil"/>
          <w:right w:val="nil"/>
          <w:between w:val="nil"/>
        </w:pBdr>
        <w:spacing w:before="240" w:after="240" w:line="276" w:lineRule="auto"/>
        <w:ind w:left="567" w:right="559"/>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V.- Corporación a que se le destine;</w:t>
      </w:r>
    </w:p>
    <w:p w14:paraId="4CF60C06" w14:textId="77777777" w:rsidR="00AA685F" w:rsidRPr="00FC0BE9" w:rsidRDefault="00B85946">
      <w:pPr>
        <w:pBdr>
          <w:top w:val="nil"/>
          <w:left w:val="nil"/>
          <w:bottom w:val="nil"/>
          <w:right w:val="nil"/>
          <w:between w:val="nil"/>
        </w:pBdr>
        <w:spacing w:before="240" w:after="240" w:line="276" w:lineRule="auto"/>
        <w:ind w:left="567" w:right="559"/>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VI.- Unidad a la que deba incorporarse en caso de movilización;</w:t>
      </w:r>
    </w:p>
    <w:p w14:paraId="16381FEB" w14:textId="77777777" w:rsidR="00AA685F" w:rsidRPr="00FC0BE9" w:rsidRDefault="00B85946">
      <w:pPr>
        <w:pBdr>
          <w:top w:val="nil"/>
          <w:left w:val="nil"/>
          <w:bottom w:val="nil"/>
          <w:right w:val="nil"/>
          <w:between w:val="nil"/>
        </w:pBdr>
        <w:spacing w:before="240" w:after="240" w:line="276" w:lineRule="auto"/>
        <w:ind w:left="567" w:right="559"/>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VII.- Firma de la autoridad que la expida;</w:t>
      </w:r>
    </w:p>
    <w:p w14:paraId="022D36C4" w14:textId="77777777" w:rsidR="00AA685F" w:rsidRPr="00FC0BE9" w:rsidRDefault="00B85946">
      <w:pPr>
        <w:pBdr>
          <w:top w:val="nil"/>
          <w:left w:val="nil"/>
          <w:bottom w:val="nil"/>
          <w:right w:val="nil"/>
          <w:between w:val="nil"/>
        </w:pBdr>
        <w:spacing w:before="240" w:after="240" w:line="276" w:lineRule="auto"/>
        <w:ind w:left="567" w:right="559"/>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VIII.- Firma del interesado, si sabe hacerlo;</w:t>
      </w:r>
    </w:p>
    <w:p w14:paraId="1B9AC01E" w14:textId="77777777" w:rsidR="00AA685F" w:rsidRPr="00FC0BE9" w:rsidRDefault="00B85946">
      <w:pPr>
        <w:pBdr>
          <w:top w:val="nil"/>
          <w:left w:val="nil"/>
          <w:bottom w:val="nil"/>
          <w:right w:val="nil"/>
          <w:between w:val="nil"/>
        </w:pBdr>
        <w:spacing w:before="240" w:after="240" w:line="276" w:lineRule="auto"/>
        <w:ind w:left="567" w:right="559"/>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IX.- Sello de la Junta Municipal de Reclutamiento o Consulado;</w:t>
      </w:r>
    </w:p>
    <w:p w14:paraId="1AC8FA3F" w14:textId="77777777" w:rsidR="00AA685F" w:rsidRPr="00FC0BE9" w:rsidRDefault="00B85946">
      <w:pPr>
        <w:pBdr>
          <w:top w:val="nil"/>
          <w:left w:val="nil"/>
          <w:bottom w:val="nil"/>
          <w:right w:val="nil"/>
          <w:between w:val="nil"/>
        </w:pBdr>
        <w:spacing w:before="240" w:after="240" w:line="276" w:lineRule="auto"/>
        <w:ind w:left="567" w:right="559"/>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X.- Huella digital.</w:t>
      </w:r>
    </w:p>
    <w:p w14:paraId="2B3507F9" w14:textId="77777777" w:rsidR="00AA685F" w:rsidRPr="00FC0BE9" w:rsidRDefault="00B85946">
      <w:pPr>
        <w:spacing w:before="240" w:after="240"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Mientras que el artículo 17 y 18 del Reglamento de la Ley del Servicio Militar, rezan así:</w:t>
      </w:r>
    </w:p>
    <w:p w14:paraId="2C7FA111" w14:textId="77777777" w:rsidR="00AA685F" w:rsidRPr="00FC0BE9" w:rsidRDefault="00B85946">
      <w:pPr>
        <w:spacing w:before="240" w:after="240" w:line="276" w:lineRule="auto"/>
        <w:ind w:left="567" w:right="902"/>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b/>
          <w:i/>
          <w:sz w:val="22"/>
          <w:szCs w:val="22"/>
        </w:rPr>
        <w:t>“ARTÍCULO 17.</w:t>
      </w:r>
      <w:r w:rsidRPr="00FC0BE9">
        <w:rPr>
          <w:rFonts w:ascii="Palatino Linotype" w:eastAsia="Palatino Linotype" w:hAnsi="Palatino Linotype" w:cs="Palatino Linotype"/>
          <w:i/>
          <w:sz w:val="22"/>
          <w:szCs w:val="22"/>
        </w:rPr>
        <w:t>- La inscripción de cada mexicano se hará una sola vez, entregándole gratuitamente una cartilla de identificación según modelo número uno.</w:t>
      </w:r>
    </w:p>
    <w:p w14:paraId="3752D933" w14:textId="77777777" w:rsidR="00AA685F" w:rsidRPr="00FC0BE9" w:rsidRDefault="00B85946">
      <w:pPr>
        <w:spacing w:before="240" w:after="240" w:line="276" w:lineRule="auto"/>
        <w:ind w:left="567" w:right="902"/>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 </w:t>
      </w:r>
      <w:r w:rsidRPr="00FC0BE9">
        <w:rPr>
          <w:rFonts w:ascii="Palatino Linotype" w:eastAsia="Palatino Linotype" w:hAnsi="Palatino Linotype" w:cs="Palatino Linotype"/>
          <w:b/>
          <w:i/>
          <w:sz w:val="22"/>
          <w:szCs w:val="22"/>
        </w:rPr>
        <w:t>ARTÍCULO 18.-</w:t>
      </w:r>
      <w:r w:rsidRPr="00FC0BE9">
        <w:rPr>
          <w:rFonts w:ascii="Palatino Linotype" w:eastAsia="Palatino Linotype" w:hAnsi="Palatino Linotype" w:cs="Palatino Linotype"/>
          <w:i/>
          <w:sz w:val="22"/>
          <w:szCs w:val="22"/>
        </w:rPr>
        <w:t> Una vez hecha la inscripción ante las juntas municipales de reclutamiento o consulados y como consecuencia inmediata, se formarán en dichas oficinas los siguientes documentos:</w:t>
      </w:r>
    </w:p>
    <w:p w14:paraId="00635312" w14:textId="77777777" w:rsidR="00AA685F" w:rsidRPr="00FC0BE9" w:rsidRDefault="00B85946">
      <w:pPr>
        <w:spacing w:before="240" w:after="240" w:line="276" w:lineRule="auto"/>
        <w:ind w:left="567" w:right="902"/>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b/>
          <w:i/>
          <w:sz w:val="22"/>
          <w:szCs w:val="22"/>
        </w:rPr>
        <w:t>I.-</w:t>
      </w:r>
      <w:r w:rsidRPr="00FC0BE9">
        <w:rPr>
          <w:rFonts w:ascii="Palatino Linotype" w:eastAsia="Palatino Linotype" w:hAnsi="Palatino Linotype" w:cs="Palatino Linotype"/>
          <w:i/>
          <w:sz w:val="22"/>
          <w:szCs w:val="22"/>
        </w:rPr>
        <w:t> Cartilla de identificación que se entregará al interesado...” </w:t>
      </w:r>
    </w:p>
    <w:p w14:paraId="7D768F56" w14:textId="77777777" w:rsidR="00AA685F" w:rsidRPr="00FC0BE9" w:rsidRDefault="00B85946">
      <w:pPr>
        <w:spacing w:before="240" w:after="240" w:line="360" w:lineRule="auto"/>
        <w:ind w:right="49"/>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De los preceptos legales trascritos, se obtiene que el documento que permite acreditar la inscripción de cada mexicano, en cumplimiento a la Ley del Servicio Militar, lo es la cartilla de identificación que se entrega al interesado.</w:t>
      </w:r>
    </w:p>
    <w:p w14:paraId="4865C01E" w14:textId="77777777" w:rsidR="00AA685F" w:rsidRPr="00FC0BE9" w:rsidRDefault="00B85946">
      <w:pPr>
        <w:spacing w:before="240" w:after="240" w:line="360" w:lineRule="auto"/>
        <w:ind w:right="49"/>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La cual contiene entre otra información, el retrato de frente; sus generales (nombre y apellidos paterno y materno, edad, ocupación, estado civil y domicilio); matrícula; clase a que pertenece; corporación a que se le destine; unidad a la que deba incorporarse en caso de movilización; firma de la autoridad que la expida; firma del interesado, si sabe hacerlo; sello de la Junta Municipal de Reclutamiento o Consulado; y huella digital, por lo que se puede observar, el dato que puede considerarse de interés público es el nombre del servidor público, puesto que el resto consiste en información que no abona a la transparencia ni a la correcta rendición de cuentas de los sujetos obligados, pues es relativa a la relación que se tiene en cuanto a la obligación de realizar el servicios militar, y no así de las funciones que ejerza como servidor público.</w:t>
      </w:r>
    </w:p>
    <w:p w14:paraId="02881A17" w14:textId="77777777" w:rsidR="00AA685F" w:rsidRPr="00FC0BE9" w:rsidRDefault="00B85946">
      <w:pPr>
        <w:spacing w:before="240" w:after="240" w:line="360" w:lineRule="auto"/>
        <w:ind w:right="49"/>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 xml:space="preserve">Ahora, en el caso de la respuesta se advierte que el </w:t>
      </w:r>
      <w:r w:rsidRPr="00FC0BE9">
        <w:rPr>
          <w:rFonts w:ascii="Palatino Linotype" w:eastAsia="Palatino Linotype" w:hAnsi="Palatino Linotype" w:cs="Palatino Linotype"/>
          <w:b/>
          <w:sz w:val="22"/>
          <w:szCs w:val="22"/>
        </w:rPr>
        <w:t xml:space="preserve">Sujeto Obligado </w:t>
      </w:r>
      <w:r w:rsidRPr="00FC0BE9">
        <w:rPr>
          <w:rFonts w:ascii="Palatino Linotype" w:eastAsia="Palatino Linotype" w:hAnsi="Palatino Linotype" w:cs="Palatino Linotype"/>
          <w:sz w:val="22"/>
          <w:szCs w:val="22"/>
        </w:rPr>
        <w:t xml:space="preserve">fue omiso en pronunciarse, por lo que, </w:t>
      </w:r>
      <w:r w:rsidRPr="00FC0BE9">
        <w:rPr>
          <w:rFonts w:ascii="Palatino Linotype" w:eastAsia="Palatino Linotype" w:hAnsi="Palatino Linotype" w:cs="Palatino Linotype"/>
          <w:b/>
          <w:sz w:val="22"/>
          <w:szCs w:val="22"/>
        </w:rPr>
        <w:t>para colmar el  mismo deberá entregar el acuerdo que sustente la clasificación en su totalidad de la cartilla militar del servidor público que fungió como Titular de la Contraloría Interna Municipal en 2024.</w:t>
      </w:r>
    </w:p>
    <w:p w14:paraId="3A5D9A01" w14:textId="77777777" w:rsidR="00AA685F" w:rsidRPr="00FC0BE9" w:rsidRDefault="00B85946">
      <w:pPr>
        <w:numPr>
          <w:ilvl w:val="0"/>
          <w:numId w:val="9"/>
        </w:numPr>
        <w:pBdr>
          <w:top w:val="nil"/>
          <w:left w:val="nil"/>
          <w:bottom w:val="nil"/>
          <w:right w:val="nil"/>
          <w:between w:val="nil"/>
        </w:pBdr>
        <w:spacing w:before="240" w:after="160" w:line="360" w:lineRule="auto"/>
        <w:jc w:val="both"/>
        <w:rPr>
          <w:rFonts w:ascii="Palatino Linotype" w:eastAsia="Palatino Linotype" w:hAnsi="Palatino Linotype" w:cs="Palatino Linotype"/>
          <w:b/>
          <w:sz w:val="22"/>
          <w:szCs w:val="22"/>
        </w:rPr>
      </w:pPr>
      <w:r w:rsidRPr="00FC0BE9">
        <w:rPr>
          <w:rFonts w:ascii="Palatino Linotype" w:eastAsia="Palatino Linotype" w:hAnsi="Palatino Linotype" w:cs="Palatino Linotype"/>
          <w:b/>
          <w:sz w:val="22"/>
          <w:szCs w:val="22"/>
        </w:rPr>
        <w:t>Certificado de no deudor alimentario moroso:</w:t>
      </w:r>
    </w:p>
    <w:p w14:paraId="33E9F44E" w14:textId="77777777" w:rsidR="00AA685F" w:rsidRPr="00FC0BE9" w:rsidRDefault="00AA685F">
      <w:pPr>
        <w:pBdr>
          <w:top w:val="nil"/>
          <w:left w:val="nil"/>
          <w:bottom w:val="nil"/>
          <w:right w:val="nil"/>
          <w:between w:val="nil"/>
        </w:pBdr>
        <w:spacing w:after="240" w:line="360" w:lineRule="auto"/>
        <w:ind w:left="360"/>
        <w:jc w:val="both"/>
        <w:rPr>
          <w:rFonts w:ascii="Palatino Linotype" w:eastAsia="Palatino Linotype" w:hAnsi="Palatino Linotype" w:cs="Palatino Linotype"/>
          <w:b/>
          <w:sz w:val="6"/>
          <w:szCs w:val="6"/>
          <w:u w:val="single"/>
        </w:rPr>
      </w:pPr>
    </w:p>
    <w:p w14:paraId="314E19F2"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 xml:space="preserve">Por lo que hace los certificados de no deudor alimentario moroso, es de indicar que la Ley General de los Derechos de las Niñas, Niños y Adolescentes </w:t>
      </w:r>
      <w:hyperlink r:id="rId15">
        <w:r w:rsidRPr="00FC0BE9">
          <w:rPr>
            <w:rFonts w:ascii="Palatino Linotype" w:eastAsia="Palatino Linotype" w:hAnsi="Palatino Linotype" w:cs="Palatino Linotype"/>
            <w:sz w:val="22"/>
            <w:szCs w:val="22"/>
          </w:rPr>
          <w:t>https://www.diputados.gob.mx/LeyesBiblio/pdf/LGDNNA.pdf</w:t>
        </w:r>
      </w:hyperlink>
      <w:r w:rsidRPr="00FC0BE9">
        <w:rPr>
          <w:rFonts w:ascii="Palatino Linotype" w:eastAsia="Palatino Linotype" w:hAnsi="Palatino Linotype" w:cs="Palatino Linotype"/>
          <w:sz w:val="22"/>
          <w:szCs w:val="22"/>
        </w:rPr>
        <w:t xml:space="preserve"> en sus artículos 1, 13, 18 y 46, regula de manera enunciativa y no limitativa, entre otros derechos, garantizar el pleno ejercicio, respeto, protección y promoción de los derechos humanos, derecho a la vida, a la paz, a la supervivencia y al desarrollo, el recibir alimentos para lograr el sano desarrollo del menor en su ámbito, bio-psico-social, y establece como obligación de los progenitores para con sus hijos, el proporcionarles, apoyo, cuidados, educación y protección a su salud.</w:t>
      </w:r>
    </w:p>
    <w:p w14:paraId="1C4628F1"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4A9D58BA"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De ahí que, se crea el Registro Nacional de Obligaciones Alimentarias cuyo objeto es concentrar la información de deudores y acreedores de obligaciones alimentarias, a fin de dar efectiva protección y restitución de los derechos de niñas, niños y adolescentes. Los Tribunales Superiores de las entidades federativas y de la Ciudad de México suministrarán, intercambiarán, sistematizarán, consultarán, analizarán y actualizarán, la información que se genere sobre el incumplimiento de las obligaciones alimentarias en el ámbito de sus competencias utilizando los sistemas e instrumentos tecnológicos del Sistema Nacional DIF para que con ella integre al Registro Nacional de Obligaciones.</w:t>
      </w:r>
    </w:p>
    <w:p w14:paraId="1161B3BC"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6C38F6CE"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b/>
          <w:sz w:val="22"/>
          <w:szCs w:val="22"/>
        </w:rPr>
        <w:t>La calidad de deudor moroso se difundirá en el Registro Nacional de Obligaciones Alimentarias, el cual, será público con base en lo dispuesto en la Ley General de Protección de Datos Personales en Posesión de Sujetos Obligados.</w:t>
      </w:r>
      <w:r w:rsidRPr="00FC0BE9">
        <w:rPr>
          <w:rFonts w:ascii="Palatino Linotype" w:eastAsia="Palatino Linotype" w:hAnsi="Palatino Linotype" w:cs="Palatino Linotype"/>
          <w:sz w:val="22"/>
          <w:szCs w:val="22"/>
        </w:rPr>
        <w:t xml:space="preserve"> Es de recalcar que las Autoridades de los tres órdenes de gobierno (Federal, Estatal y Municipal) en el ámbito de sus competencias, dispondrán lo necesario a fin de establecer como requisito la presentación del certificado de no inscripción en el Registro Nacional de Obligaciones Alimentarias; es decir, la denominación que se le dio fue el de Registro de Deudores Alimentarios Morosos, ya que, la palabra moroso deriva de mora; la mora es el retraso en el cumplimiento de las obligaciones y se incurre en ella desde el momento en que feneció el plazo que se señaló para el cumplimiento de una obligación.</w:t>
      </w:r>
    </w:p>
    <w:p w14:paraId="60612FED" w14:textId="77777777" w:rsidR="00AA685F" w:rsidRPr="00FC0BE9" w:rsidRDefault="00AA685F">
      <w:pPr>
        <w:tabs>
          <w:tab w:val="left" w:pos="4962"/>
        </w:tabs>
        <w:spacing w:line="360" w:lineRule="auto"/>
        <w:jc w:val="both"/>
        <w:rPr>
          <w:rFonts w:ascii="Palatino Linotype" w:eastAsia="Palatino Linotype" w:hAnsi="Palatino Linotype" w:cs="Palatino Linotype"/>
          <w:sz w:val="22"/>
          <w:szCs w:val="22"/>
        </w:rPr>
      </w:pPr>
    </w:p>
    <w:p w14:paraId="0B7870F1"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 xml:space="preserve">Al respecto, en el Proyecto de Decreto por el que se Reforman y Adicionan Diversas Disposiciones para crear el Registro de Deudores Alimentarios del Estado de México, disponible en la dirección electrónica </w:t>
      </w:r>
      <w:hyperlink r:id="rId16">
        <w:r w:rsidRPr="00FC0BE9">
          <w:rPr>
            <w:rFonts w:ascii="Palatino Linotype" w:eastAsia="Palatino Linotype" w:hAnsi="Palatino Linotype" w:cs="Palatino Linotype"/>
            <w:sz w:val="22"/>
            <w:szCs w:val="22"/>
          </w:rPr>
          <w:t>https://legislacion.edomex.gob.mx/sites/legislacion.edomex.gob.mx/files/files/pdf/gct/2014/nov144.PDF</w:t>
        </w:r>
      </w:hyperlink>
      <w:r w:rsidRPr="00FC0BE9">
        <w:rPr>
          <w:rFonts w:ascii="Palatino Linotype" w:eastAsia="Palatino Linotype" w:hAnsi="Palatino Linotype" w:cs="Palatino Linotype"/>
          <w:sz w:val="22"/>
          <w:szCs w:val="22"/>
        </w:rPr>
        <w:t xml:space="preserve">, advierte lo siguiente: </w:t>
      </w:r>
    </w:p>
    <w:p w14:paraId="269178DC" w14:textId="77777777" w:rsidR="00AA685F" w:rsidRPr="00FC0BE9" w:rsidRDefault="00AA685F">
      <w:pPr>
        <w:spacing w:line="360" w:lineRule="auto"/>
        <w:ind w:left="567" w:right="567"/>
        <w:jc w:val="both"/>
        <w:rPr>
          <w:rFonts w:ascii="Palatino Linotype" w:eastAsia="Palatino Linotype" w:hAnsi="Palatino Linotype" w:cs="Palatino Linotype"/>
          <w:b/>
          <w:i/>
          <w:sz w:val="22"/>
          <w:szCs w:val="22"/>
        </w:rPr>
      </w:pPr>
    </w:p>
    <w:p w14:paraId="35D66950" w14:textId="77777777" w:rsidR="00AA685F" w:rsidRPr="00FC0BE9" w:rsidRDefault="00B85946">
      <w:pPr>
        <w:ind w:left="567" w:right="567"/>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b/>
          <w:i/>
          <w:sz w:val="22"/>
          <w:szCs w:val="22"/>
        </w:rPr>
        <w:t>“</w:t>
      </w:r>
      <w:r w:rsidRPr="00FC0BE9">
        <w:rPr>
          <w:rFonts w:ascii="Palatino Linotype" w:eastAsia="Palatino Linotype" w:hAnsi="Palatino Linotype" w:cs="Palatino Linotype"/>
          <w:i/>
          <w:sz w:val="22"/>
          <w:szCs w:val="22"/>
        </w:rPr>
        <w:t xml:space="preserve">4.146 Bis.- El área del Registro de Deudores Alimentarios Morosos, es una unidad administrativa del Registro Civil. Actos inscribibles en el Registro de Deudores Alimentarios Morosos </w:t>
      </w:r>
    </w:p>
    <w:p w14:paraId="7D92F049" w14:textId="77777777" w:rsidR="00AA685F" w:rsidRPr="00FC0BE9" w:rsidRDefault="00AA685F">
      <w:pPr>
        <w:ind w:left="567" w:right="567"/>
        <w:jc w:val="both"/>
        <w:rPr>
          <w:rFonts w:ascii="Palatino Linotype" w:eastAsia="Palatino Linotype" w:hAnsi="Palatino Linotype" w:cs="Palatino Linotype"/>
          <w:i/>
          <w:sz w:val="22"/>
          <w:szCs w:val="22"/>
        </w:rPr>
      </w:pPr>
    </w:p>
    <w:p w14:paraId="091912A4" w14:textId="77777777" w:rsidR="00AA685F" w:rsidRPr="00FC0BE9" w:rsidRDefault="00B85946">
      <w:pPr>
        <w:ind w:left="567" w:right="567"/>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 xml:space="preserve">4.146 Ter.- En el Registro de Deudores Alimentarios Morosos se inscriben a las personas que el Juez de lo Familiar determina en términos del artículo 4.136 del presente Código. </w:t>
      </w:r>
    </w:p>
    <w:p w14:paraId="21ECC345" w14:textId="77777777" w:rsidR="00AA685F" w:rsidRPr="00FC0BE9" w:rsidRDefault="00B85946">
      <w:pPr>
        <w:ind w:left="567" w:right="567"/>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Serán objeto de registro los empleadores que incumplan una orden de descuento para alimentos ordenada por el órgano jurisdiccional.</w:t>
      </w:r>
    </w:p>
    <w:p w14:paraId="130BEF8F" w14:textId="77777777" w:rsidR="00AA685F" w:rsidRPr="00FC0BE9" w:rsidRDefault="00AA685F">
      <w:pPr>
        <w:ind w:left="567" w:right="567"/>
        <w:jc w:val="both"/>
        <w:rPr>
          <w:rFonts w:ascii="Palatino Linotype" w:eastAsia="Palatino Linotype" w:hAnsi="Palatino Linotype" w:cs="Palatino Linotype"/>
          <w:i/>
          <w:sz w:val="22"/>
          <w:szCs w:val="22"/>
        </w:rPr>
      </w:pPr>
    </w:p>
    <w:p w14:paraId="4BF1EAFC" w14:textId="77777777" w:rsidR="00AA685F" w:rsidRPr="00FC0BE9" w:rsidRDefault="00B85946">
      <w:pPr>
        <w:ind w:left="567" w:right="567"/>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 xml:space="preserve">De los datos que contendrá el Registro de Deudores Alimentarios Morosos </w:t>
      </w:r>
    </w:p>
    <w:p w14:paraId="1AD09B91" w14:textId="77777777" w:rsidR="00AA685F" w:rsidRPr="00FC0BE9" w:rsidRDefault="00AA685F">
      <w:pPr>
        <w:ind w:left="567" w:right="567"/>
        <w:jc w:val="both"/>
        <w:rPr>
          <w:rFonts w:ascii="Palatino Linotype" w:eastAsia="Palatino Linotype" w:hAnsi="Palatino Linotype" w:cs="Palatino Linotype"/>
          <w:i/>
          <w:sz w:val="22"/>
          <w:szCs w:val="22"/>
        </w:rPr>
      </w:pPr>
    </w:p>
    <w:p w14:paraId="4FECD13B" w14:textId="77777777" w:rsidR="00AA685F" w:rsidRPr="00FC0BE9" w:rsidRDefault="00B85946">
      <w:pPr>
        <w:ind w:left="567" w:right="567"/>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 xml:space="preserve">Artículo. 4.146 Quáter.- El Registro de Deudores Alimentarios Morosos contendrá: </w:t>
      </w:r>
    </w:p>
    <w:p w14:paraId="4B23B02E" w14:textId="77777777" w:rsidR="00AA685F" w:rsidRPr="00FC0BE9" w:rsidRDefault="00AA685F">
      <w:pPr>
        <w:ind w:left="567" w:right="567"/>
        <w:jc w:val="both"/>
        <w:rPr>
          <w:rFonts w:ascii="Palatino Linotype" w:eastAsia="Palatino Linotype" w:hAnsi="Palatino Linotype" w:cs="Palatino Linotype"/>
          <w:i/>
          <w:sz w:val="22"/>
          <w:szCs w:val="22"/>
        </w:rPr>
      </w:pPr>
    </w:p>
    <w:p w14:paraId="332AB632" w14:textId="77777777" w:rsidR="00AA685F" w:rsidRPr="00FC0BE9" w:rsidRDefault="00B85946">
      <w:pPr>
        <w:ind w:left="567" w:right="567"/>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 xml:space="preserve">I. Nombre y Clave Única del Registro de Población del deudor alimentario; </w:t>
      </w:r>
    </w:p>
    <w:p w14:paraId="089C5BB5" w14:textId="77777777" w:rsidR="00AA685F" w:rsidRPr="00FC0BE9" w:rsidRDefault="00B85946">
      <w:pPr>
        <w:ind w:left="567" w:right="567"/>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 xml:space="preserve">II. Nombre del acreedor o acreedores alimentarios; </w:t>
      </w:r>
    </w:p>
    <w:p w14:paraId="7176E36D" w14:textId="77777777" w:rsidR="00AA685F" w:rsidRPr="00FC0BE9" w:rsidRDefault="00B85946">
      <w:pPr>
        <w:ind w:left="567" w:right="567"/>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 xml:space="preserve">III. Datos del acta que acredite el vínculo entre deudor y acreedor alimentario, en su caso; </w:t>
      </w:r>
    </w:p>
    <w:p w14:paraId="78FFC108" w14:textId="77777777" w:rsidR="00AA685F" w:rsidRPr="00FC0BE9" w:rsidRDefault="00B85946">
      <w:pPr>
        <w:ind w:left="567" w:right="567"/>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 xml:space="preserve">IV. Monto de la pensión decretada o convenida, en su caso, número de pagos incumplidos y monto del adeudo alimentario; </w:t>
      </w:r>
    </w:p>
    <w:p w14:paraId="069D5A9A" w14:textId="77777777" w:rsidR="00AA685F" w:rsidRPr="00FC0BE9" w:rsidRDefault="00B85946">
      <w:pPr>
        <w:ind w:left="567" w:right="567"/>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 xml:space="preserve">V. Órgano jurisdiccional que ordenó el registro; </w:t>
      </w:r>
    </w:p>
    <w:p w14:paraId="5DA981D0" w14:textId="77777777" w:rsidR="00AA685F" w:rsidRPr="00FC0BE9" w:rsidRDefault="00B85946">
      <w:pPr>
        <w:ind w:left="567" w:right="567"/>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 xml:space="preserve">VI. Datos del expediente jurisdiccional de la que deriva su inscripción. </w:t>
      </w:r>
    </w:p>
    <w:p w14:paraId="4AE5E76C" w14:textId="77777777" w:rsidR="00AA685F" w:rsidRPr="00FC0BE9" w:rsidRDefault="00AA685F">
      <w:pPr>
        <w:ind w:left="567" w:right="567"/>
        <w:jc w:val="both"/>
        <w:rPr>
          <w:rFonts w:ascii="Palatino Linotype" w:eastAsia="Palatino Linotype" w:hAnsi="Palatino Linotype" w:cs="Palatino Linotype"/>
          <w:i/>
          <w:sz w:val="22"/>
          <w:szCs w:val="22"/>
        </w:rPr>
      </w:pPr>
    </w:p>
    <w:p w14:paraId="70EBF26C" w14:textId="77777777" w:rsidR="00AA685F" w:rsidRPr="00FC0BE9" w:rsidRDefault="00B85946">
      <w:pPr>
        <w:ind w:left="567" w:right="567"/>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Una vez hecha la inscripción a que se refiere el párrafo anterior se girará oficio al Instituto de la Función Registral del Estado de México, a efecto de que se anote el certificado de deudor alimentario en los folios reales de que sea propietario el deudor alimentario. El Instituto de la Función Registral informará al Registro Civil si fue procedente la anotación, en cuyo caso dará aviso al Juez del conocimiento para que el acreedor alimentario haga cobrable las cantidades adeudadas en la vía judicial respectiva.</w:t>
      </w:r>
    </w:p>
    <w:p w14:paraId="26C0116C" w14:textId="77777777" w:rsidR="00AA685F" w:rsidRPr="00FC0BE9" w:rsidRDefault="00AA685F">
      <w:pPr>
        <w:ind w:left="567" w:right="567"/>
        <w:jc w:val="both"/>
        <w:rPr>
          <w:rFonts w:ascii="Palatino Linotype" w:eastAsia="Palatino Linotype" w:hAnsi="Palatino Linotype" w:cs="Palatino Linotype"/>
          <w:i/>
          <w:sz w:val="22"/>
          <w:szCs w:val="22"/>
        </w:rPr>
      </w:pPr>
    </w:p>
    <w:p w14:paraId="31691D33" w14:textId="77777777" w:rsidR="00AA685F" w:rsidRPr="00FC0BE9" w:rsidRDefault="00B85946">
      <w:pPr>
        <w:ind w:left="567" w:right="567"/>
        <w:jc w:val="both"/>
        <w:rPr>
          <w:rFonts w:ascii="Palatino Linotype" w:eastAsia="Palatino Linotype" w:hAnsi="Palatino Linotype" w:cs="Palatino Linotype"/>
          <w:b/>
          <w:i/>
          <w:sz w:val="22"/>
          <w:szCs w:val="22"/>
        </w:rPr>
      </w:pPr>
      <w:r w:rsidRPr="00FC0BE9">
        <w:rPr>
          <w:rFonts w:ascii="Palatino Linotype" w:eastAsia="Palatino Linotype" w:hAnsi="Palatino Linotype" w:cs="Palatino Linotype"/>
          <w:b/>
          <w:i/>
          <w:sz w:val="22"/>
          <w:szCs w:val="22"/>
        </w:rPr>
        <w:t xml:space="preserve">Datos del Certificado expedido por la Unidad del Registro de Deudores Alimentarios Morosos </w:t>
      </w:r>
    </w:p>
    <w:p w14:paraId="2891F383" w14:textId="77777777" w:rsidR="00AA685F" w:rsidRPr="00FC0BE9" w:rsidRDefault="00AA685F">
      <w:pPr>
        <w:ind w:left="567" w:right="567"/>
        <w:jc w:val="both"/>
        <w:rPr>
          <w:rFonts w:ascii="Palatino Linotype" w:eastAsia="Palatino Linotype" w:hAnsi="Palatino Linotype" w:cs="Palatino Linotype"/>
          <w:i/>
          <w:sz w:val="22"/>
          <w:szCs w:val="22"/>
        </w:rPr>
      </w:pPr>
    </w:p>
    <w:p w14:paraId="0237B519" w14:textId="77777777" w:rsidR="00AA685F" w:rsidRPr="00FC0BE9" w:rsidRDefault="00B85946">
      <w:pPr>
        <w:ind w:left="567" w:right="567"/>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 xml:space="preserve">Artículo 4.146 Quinquies.- </w:t>
      </w:r>
      <w:r w:rsidRPr="00FC0BE9">
        <w:rPr>
          <w:rFonts w:ascii="Palatino Linotype" w:eastAsia="Palatino Linotype" w:hAnsi="Palatino Linotype" w:cs="Palatino Linotype"/>
          <w:b/>
          <w:i/>
          <w:sz w:val="22"/>
          <w:szCs w:val="22"/>
        </w:rPr>
        <w:t>El Certificado expedido por la Unidad del Registro de Deudores Alimentarios Morosos contendrá lo siguiente:</w:t>
      </w:r>
      <w:r w:rsidRPr="00FC0BE9">
        <w:rPr>
          <w:rFonts w:ascii="Palatino Linotype" w:eastAsia="Palatino Linotype" w:hAnsi="Palatino Linotype" w:cs="Palatino Linotype"/>
          <w:i/>
          <w:sz w:val="22"/>
          <w:szCs w:val="22"/>
        </w:rPr>
        <w:t xml:space="preserve"> </w:t>
      </w:r>
    </w:p>
    <w:p w14:paraId="2E2B1EA7" w14:textId="77777777" w:rsidR="00AA685F" w:rsidRPr="00FC0BE9" w:rsidRDefault="00AA685F">
      <w:pPr>
        <w:ind w:left="567" w:right="567"/>
        <w:jc w:val="both"/>
        <w:rPr>
          <w:rFonts w:ascii="Palatino Linotype" w:eastAsia="Palatino Linotype" w:hAnsi="Palatino Linotype" w:cs="Palatino Linotype"/>
          <w:i/>
          <w:sz w:val="22"/>
          <w:szCs w:val="22"/>
        </w:rPr>
      </w:pPr>
    </w:p>
    <w:p w14:paraId="4743CAB5" w14:textId="77777777" w:rsidR="00AA685F" w:rsidRPr="00FC0BE9" w:rsidRDefault="00B85946">
      <w:pPr>
        <w:ind w:left="567" w:right="567"/>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 xml:space="preserve">I. Nombre y Clave Única de Registro de Población del solicitante; </w:t>
      </w:r>
    </w:p>
    <w:p w14:paraId="0EC44AAA" w14:textId="77777777" w:rsidR="00AA685F" w:rsidRPr="00FC0BE9" w:rsidRDefault="00B85946">
      <w:pPr>
        <w:ind w:left="567" w:right="567"/>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II. La información sobre su inscripción o no en el registro de deudores alimentarios morosos.</w:t>
      </w:r>
    </w:p>
    <w:p w14:paraId="1B71051F" w14:textId="77777777" w:rsidR="00AA685F" w:rsidRPr="00FC0BE9" w:rsidRDefault="00AA685F">
      <w:pPr>
        <w:ind w:left="567" w:right="567"/>
        <w:jc w:val="both"/>
        <w:rPr>
          <w:rFonts w:ascii="Palatino Linotype" w:eastAsia="Palatino Linotype" w:hAnsi="Palatino Linotype" w:cs="Palatino Linotype"/>
          <w:i/>
          <w:sz w:val="22"/>
          <w:szCs w:val="22"/>
        </w:rPr>
      </w:pPr>
    </w:p>
    <w:p w14:paraId="59DE33ED" w14:textId="77777777" w:rsidR="00AA685F" w:rsidRPr="00FC0BE9" w:rsidRDefault="00B85946">
      <w:pPr>
        <w:ind w:left="567" w:right="567"/>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De ser el caso que el solicitante se encuentre inscrito en el registro, la constancia incluirá además lo siguiente:</w:t>
      </w:r>
    </w:p>
    <w:p w14:paraId="3C7AF7BF" w14:textId="77777777" w:rsidR="00AA685F" w:rsidRPr="00FC0BE9" w:rsidRDefault="00AA685F">
      <w:pPr>
        <w:ind w:left="567" w:right="567"/>
        <w:jc w:val="both"/>
        <w:rPr>
          <w:rFonts w:ascii="Palatino Linotype" w:eastAsia="Palatino Linotype" w:hAnsi="Palatino Linotype" w:cs="Palatino Linotype"/>
          <w:i/>
          <w:sz w:val="22"/>
          <w:szCs w:val="22"/>
        </w:rPr>
      </w:pPr>
    </w:p>
    <w:p w14:paraId="547F1C66" w14:textId="77777777" w:rsidR="00AA685F" w:rsidRPr="00FC0BE9" w:rsidRDefault="00B85946">
      <w:pPr>
        <w:ind w:left="567" w:right="567"/>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I. Número de acreedores alimentarios;</w:t>
      </w:r>
    </w:p>
    <w:p w14:paraId="2B714FDF" w14:textId="77777777" w:rsidR="00AA685F" w:rsidRPr="00FC0BE9" w:rsidRDefault="00B85946">
      <w:pPr>
        <w:ind w:left="567" w:right="567"/>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II. Monto de la pensión alimenticia decretada o convenida;</w:t>
      </w:r>
    </w:p>
    <w:p w14:paraId="3511D72F" w14:textId="77777777" w:rsidR="00AA685F" w:rsidRPr="00FC0BE9" w:rsidRDefault="00B85946">
      <w:pPr>
        <w:ind w:left="567" w:right="567"/>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III. Órgano jurisdiccional que ordenó el registro;</w:t>
      </w:r>
    </w:p>
    <w:p w14:paraId="0878F042" w14:textId="77777777" w:rsidR="00AA685F" w:rsidRPr="00FC0BE9" w:rsidRDefault="00B85946">
      <w:pPr>
        <w:ind w:left="567" w:right="567"/>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IV. Datos del expediente jurisdiccional de la que deriva su inscripción.</w:t>
      </w:r>
    </w:p>
    <w:p w14:paraId="22A5C0B6" w14:textId="77777777" w:rsidR="00AA685F" w:rsidRPr="00FC0BE9" w:rsidRDefault="00AA685F">
      <w:pPr>
        <w:ind w:left="567" w:right="567"/>
        <w:jc w:val="both"/>
        <w:rPr>
          <w:rFonts w:ascii="Palatino Linotype" w:eastAsia="Palatino Linotype" w:hAnsi="Palatino Linotype" w:cs="Palatino Linotype"/>
          <w:i/>
          <w:sz w:val="22"/>
          <w:szCs w:val="22"/>
        </w:rPr>
      </w:pPr>
    </w:p>
    <w:p w14:paraId="4BDECA74" w14:textId="77777777" w:rsidR="00AA685F" w:rsidRPr="00FC0BE9" w:rsidRDefault="00B85946">
      <w:pPr>
        <w:ind w:left="567" w:right="567"/>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El Certificado a que se refiere el presente artículo será expedido el mismo día hábil de su solicitud.</w:t>
      </w:r>
    </w:p>
    <w:p w14:paraId="3D0990CB" w14:textId="77777777" w:rsidR="00AA685F" w:rsidRPr="00FC0BE9" w:rsidRDefault="00B85946">
      <w:pPr>
        <w:ind w:left="567" w:right="567"/>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w:t>
      </w:r>
    </w:p>
    <w:p w14:paraId="33048E9E"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50E01931"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 xml:space="preserve">Ahora bien, respecto a aquellos servidores públicos que se encuentren o no inscritos en dicho registro, procede su entrega en versión pública, ya que al ser un requisito </w:t>
      </w:r>
      <w:r w:rsidRPr="00FC0BE9">
        <w:rPr>
          <w:rFonts w:ascii="Palatino Linotype" w:eastAsia="Palatino Linotype" w:hAnsi="Palatino Linotype" w:cs="Palatino Linotype"/>
          <w:b/>
          <w:i/>
          <w:sz w:val="22"/>
          <w:szCs w:val="22"/>
        </w:rPr>
        <w:t xml:space="preserve">sine qua non </w:t>
      </w:r>
      <w:r w:rsidRPr="00FC0BE9">
        <w:rPr>
          <w:rFonts w:ascii="Palatino Linotype" w:eastAsia="Palatino Linotype" w:hAnsi="Palatino Linotype" w:cs="Palatino Linotype"/>
          <w:sz w:val="22"/>
          <w:szCs w:val="22"/>
        </w:rPr>
        <w:t xml:space="preserve">para ingresar al servicio público, se convierte en información que da certeza a la ciudadanía de que el Servidor Público que ostenta un cargo de Titular cumplió con los requisitos señalados en la Ley del Trabajo de los Servidores Públicos del Estado y Municipios, tan es así, que se trae a colación lo señalado en la nota periodística </w:t>
      </w:r>
      <w:hyperlink r:id="rId17">
        <w:r w:rsidRPr="00FC0BE9">
          <w:rPr>
            <w:rFonts w:ascii="Palatino Linotype" w:eastAsia="Palatino Linotype" w:hAnsi="Palatino Linotype" w:cs="Palatino Linotype"/>
            <w:sz w:val="22"/>
            <w:szCs w:val="22"/>
          </w:rPr>
          <w:t>https://www.unionedomex.mx/2023/03/24/busqueda-de-deudores-alimentarios-morosos-estado-de-mexico-2023/</w:t>
        </w:r>
      </w:hyperlink>
      <w:r w:rsidRPr="00FC0BE9">
        <w:rPr>
          <w:rFonts w:ascii="Palatino Linotype" w:eastAsia="Palatino Linotype" w:hAnsi="Palatino Linotype" w:cs="Palatino Linotype"/>
          <w:sz w:val="22"/>
          <w:szCs w:val="22"/>
        </w:rPr>
        <w:t>, que a manera de referencia, se inserta:</w:t>
      </w:r>
    </w:p>
    <w:p w14:paraId="403345D1"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0A0A34AD"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noProof/>
          <w:sz w:val="22"/>
          <w:szCs w:val="22"/>
        </w:rPr>
        <w:drawing>
          <wp:inline distT="0" distB="0" distL="0" distR="0" wp14:anchorId="18C9FDA3" wp14:editId="18141216">
            <wp:extent cx="5708780" cy="2172645"/>
            <wp:effectExtent l="3175" t="3175" r="3175" b="3175"/>
            <wp:docPr id="214310828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t="19894"/>
                    <a:stretch>
                      <a:fillRect/>
                    </a:stretch>
                  </pic:blipFill>
                  <pic:spPr>
                    <a:xfrm>
                      <a:off x="0" y="0"/>
                      <a:ext cx="5708780" cy="2172645"/>
                    </a:xfrm>
                    <a:prstGeom prst="rect">
                      <a:avLst/>
                    </a:prstGeom>
                    <a:ln w="3175">
                      <a:solidFill>
                        <a:srgbClr val="000000"/>
                      </a:solidFill>
                      <a:prstDash val="solid"/>
                    </a:ln>
                  </pic:spPr>
                </pic:pic>
              </a:graphicData>
            </a:graphic>
          </wp:inline>
        </w:drawing>
      </w:r>
    </w:p>
    <w:p w14:paraId="44938AD8"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6B424A92"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 xml:space="preserve">Derivado de lo anterior, cualquier ciudadano que desee obtener dicha información, podrá ingresar a la Ventanilla Electrónica Única, en la que accederá con su CUTS y contraseña, capturando los datos como son CURP, nombre, primer y segundo apellido, y se comenzará la búsqueda de lo solicitado, en el que arrojará si se encuentra en calidad de deudor o no. </w:t>
      </w:r>
    </w:p>
    <w:p w14:paraId="6933B587"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7FC7EADC"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Ahora, no pasa desapercibido, que el Certificado de No Deudor Alimentario pudiera contener información confidencial, como lo es de manera enunciativa más no limitativa el CURP; por lo tanto, procede su entrega en versión pública.</w:t>
      </w:r>
    </w:p>
    <w:p w14:paraId="3389EC90"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4D4526DB" w14:textId="77777777" w:rsidR="00AA685F" w:rsidRPr="00FC0BE9" w:rsidRDefault="00B85946">
      <w:pPr>
        <w:spacing w:line="360" w:lineRule="auto"/>
        <w:jc w:val="both"/>
        <w:rPr>
          <w:rFonts w:ascii="Palatino Linotype" w:eastAsia="Palatino Linotype" w:hAnsi="Palatino Linotype" w:cs="Palatino Linotype"/>
          <w:b/>
          <w:sz w:val="22"/>
          <w:szCs w:val="22"/>
        </w:rPr>
      </w:pPr>
      <w:r w:rsidRPr="00FC0BE9">
        <w:rPr>
          <w:rFonts w:ascii="Palatino Linotype" w:eastAsia="Palatino Linotype" w:hAnsi="Palatino Linotype" w:cs="Palatino Linotype"/>
          <w:sz w:val="22"/>
          <w:szCs w:val="22"/>
        </w:rPr>
        <w:t xml:space="preserve">Sobre el requisito en análisis, el </w:t>
      </w:r>
      <w:r w:rsidRPr="00FC0BE9">
        <w:rPr>
          <w:rFonts w:ascii="Palatino Linotype" w:eastAsia="Palatino Linotype" w:hAnsi="Palatino Linotype" w:cs="Palatino Linotype"/>
          <w:b/>
          <w:sz w:val="22"/>
          <w:szCs w:val="22"/>
        </w:rPr>
        <w:t>Sujeto Obligado si bien en respuesta remitió una hoja donde se aprecia la clasificación en su totalidad del certificado de no deudor alimentario moroso; atendiendo que dicha documental es susceptible de entregarse en versión pública, en cumplimiento a la presente se deberá hacer entrega de la documental de referencia en versión pública.</w:t>
      </w:r>
    </w:p>
    <w:p w14:paraId="70F07187" w14:textId="77777777" w:rsidR="00AA685F" w:rsidRPr="00FC0BE9" w:rsidRDefault="00AA685F">
      <w:pPr>
        <w:spacing w:line="360" w:lineRule="auto"/>
        <w:jc w:val="both"/>
        <w:rPr>
          <w:rFonts w:ascii="Palatino Linotype" w:eastAsia="Palatino Linotype" w:hAnsi="Palatino Linotype" w:cs="Palatino Linotype"/>
          <w:b/>
          <w:sz w:val="22"/>
          <w:szCs w:val="22"/>
        </w:rPr>
      </w:pPr>
    </w:p>
    <w:p w14:paraId="53403D4E" w14:textId="77777777" w:rsidR="00AA685F" w:rsidRPr="00FC0BE9" w:rsidRDefault="00B85946">
      <w:pPr>
        <w:numPr>
          <w:ilvl w:val="0"/>
          <w:numId w:val="9"/>
        </w:numPr>
        <w:pBdr>
          <w:top w:val="nil"/>
          <w:left w:val="nil"/>
          <w:bottom w:val="nil"/>
          <w:right w:val="nil"/>
          <w:between w:val="nil"/>
        </w:pBdr>
        <w:spacing w:after="160" w:line="360" w:lineRule="auto"/>
        <w:jc w:val="both"/>
        <w:rPr>
          <w:rFonts w:ascii="Palatino Linotype" w:eastAsia="Palatino Linotype" w:hAnsi="Palatino Linotype" w:cs="Palatino Linotype"/>
          <w:b/>
          <w:sz w:val="22"/>
          <w:szCs w:val="22"/>
          <w:u w:val="single"/>
        </w:rPr>
      </w:pPr>
      <w:r w:rsidRPr="00FC0BE9">
        <w:rPr>
          <w:rFonts w:ascii="Palatino Linotype" w:eastAsia="Palatino Linotype" w:hAnsi="Palatino Linotype" w:cs="Palatino Linotype"/>
          <w:b/>
          <w:sz w:val="22"/>
          <w:szCs w:val="22"/>
          <w:u w:val="single"/>
        </w:rPr>
        <w:t>Nombramiento, contrato o formato único de movimientos de personal:</w:t>
      </w:r>
    </w:p>
    <w:p w14:paraId="627CBD83" w14:textId="77777777" w:rsidR="00AA685F" w:rsidRPr="00FC0BE9" w:rsidRDefault="00AA685F">
      <w:pPr>
        <w:spacing w:line="360" w:lineRule="auto"/>
        <w:jc w:val="both"/>
        <w:rPr>
          <w:rFonts w:ascii="Palatino Linotype" w:eastAsia="Palatino Linotype" w:hAnsi="Palatino Linotype" w:cs="Palatino Linotype"/>
          <w:sz w:val="20"/>
          <w:szCs w:val="20"/>
        </w:rPr>
      </w:pPr>
    </w:p>
    <w:p w14:paraId="667F452C"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 xml:space="preserve">Conforme los artículos 48 fracción I y 49 de la Ley del Trabajo de los Servidores Públicos del Estado de México y Municipios, se indica que las Instituciones Públicas entre ellas la Secretaría de Movilidad, para acreditar su relación laboral con sus Servidores Públicos, se establecerá mediante </w:t>
      </w:r>
      <w:r w:rsidRPr="00FC0BE9">
        <w:rPr>
          <w:rFonts w:ascii="Palatino Linotype" w:eastAsia="Palatino Linotype" w:hAnsi="Palatino Linotype" w:cs="Palatino Linotype"/>
          <w:b/>
          <w:sz w:val="22"/>
          <w:szCs w:val="22"/>
        </w:rPr>
        <w:t>nombramiento, formato único de movimiento de personal, contrato</w:t>
      </w:r>
      <w:r w:rsidRPr="00FC0BE9">
        <w:rPr>
          <w:rFonts w:ascii="Palatino Linotype" w:eastAsia="Palatino Linotype" w:hAnsi="Palatino Linotype" w:cs="Palatino Linotype"/>
          <w:sz w:val="22"/>
          <w:szCs w:val="22"/>
        </w:rPr>
        <w:t xml:space="preserve"> o por cualquier otro acto que tenga como consecuencia la prestación personal subordinada del servicio y la percepción de un sueldo.</w:t>
      </w:r>
    </w:p>
    <w:p w14:paraId="3B8D891E"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3FD21F76" w14:textId="77777777" w:rsidR="00AA685F" w:rsidRPr="00FC0BE9" w:rsidRDefault="00B85946">
      <w:pPr>
        <w:tabs>
          <w:tab w:val="left" w:pos="4962"/>
        </w:tabs>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A mayor abundamiento, con relación al Formato Único de Personal, se indica que el servidor público al iniciar la prestación de los servicios se le confiere un formato único de personal (de alta), el cual contiene, entre otra información, el cargo para el que es designado, la fecha de inicio de sus servicios y el lugar de adscripción; asimismo, dicho formato se emite con relación a las bajas en el servicio público, como en cambios de adscripción.</w:t>
      </w:r>
    </w:p>
    <w:p w14:paraId="7B0DCA5B" w14:textId="77777777" w:rsidR="00AA685F" w:rsidRPr="00FC0BE9" w:rsidRDefault="00AA685F">
      <w:pPr>
        <w:tabs>
          <w:tab w:val="left" w:pos="4962"/>
        </w:tabs>
        <w:spacing w:line="360" w:lineRule="auto"/>
        <w:jc w:val="both"/>
        <w:rPr>
          <w:rFonts w:ascii="Palatino Linotype" w:eastAsia="Palatino Linotype" w:hAnsi="Palatino Linotype" w:cs="Palatino Linotype"/>
          <w:sz w:val="22"/>
          <w:szCs w:val="22"/>
        </w:rPr>
      </w:pPr>
    </w:p>
    <w:p w14:paraId="5B18F2C1"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 xml:space="preserve">Por tanto, para colmar el requisito de mérito, atendiendo que el </w:t>
      </w:r>
      <w:r w:rsidRPr="00FC0BE9">
        <w:rPr>
          <w:rFonts w:ascii="Palatino Linotype" w:eastAsia="Palatino Linotype" w:hAnsi="Palatino Linotype" w:cs="Palatino Linotype"/>
          <w:b/>
          <w:sz w:val="22"/>
          <w:szCs w:val="22"/>
        </w:rPr>
        <w:t xml:space="preserve">Sujeto Obligado </w:t>
      </w:r>
      <w:r w:rsidRPr="00FC0BE9">
        <w:rPr>
          <w:rFonts w:ascii="Palatino Linotype" w:eastAsia="Palatino Linotype" w:hAnsi="Palatino Linotype" w:cs="Palatino Linotype"/>
          <w:sz w:val="22"/>
          <w:szCs w:val="22"/>
        </w:rPr>
        <w:t xml:space="preserve">fue omiso en pronunciarse; procede la entrega </w:t>
      </w:r>
      <w:r w:rsidRPr="00FC0BE9">
        <w:rPr>
          <w:rFonts w:ascii="Palatino Linotype" w:eastAsia="Palatino Linotype" w:hAnsi="Palatino Linotype" w:cs="Palatino Linotype"/>
          <w:b/>
          <w:sz w:val="22"/>
          <w:szCs w:val="22"/>
        </w:rPr>
        <w:t>del nombramiento, formato único de movimientos de personal o documento análogo, del servidor público solicitado, en versión pública.</w:t>
      </w:r>
    </w:p>
    <w:p w14:paraId="6725ACF4" w14:textId="77777777" w:rsidR="00AA685F" w:rsidRPr="00FC0BE9" w:rsidRDefault="00AA685F">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2B68FA7D" w14:textId="77777777" w:rsidR="00AA685F" w:rsidRPr="00FC0BE9" w:rsidRDefault="00B85946">
      <w:pPr>
        <w:numPr>
          <w:ilvl w:val="0"/>
          <w:numId w:val="8"/>
        </w:numPr>
        <w:pBdr>
          <w:top w:val="nil"/>
          <w:left w:val="nil"/>
          <w:bottom w:val="nil"/>
          <w:right w:val="nil"/>
          <w:between w:val="nil"/>
        </w:pBdr>
        <w:spacing w:after="160" w:line="360" w:lineRule="auto"/>
        <w:ind w:right="-150"/>
        <w:jc w:val="both"/>
        <w:rPr>
          <w:rFonts w:ascii="Palatino Linotype" w:eastAsia="Palatino Linotype" w:hAnsi="Palatino Linotype" w:cs="Palatino Linotype"/>
          <w:b/>
          <w:sz w:val="22"/>
          <w:szCs w:val="22"/>
        </w:rPr>
      </w:pPr>
      <w:r w:rsidRPr="00FC0BE9">
        <w:rPr>
          <w:rFonts w:ascii="Palatino Linotype" w:eastAsia="Palatino Linotype" w:hAnsi="Palatino Linotype" w:cs="Palatino Linotype"/>
          <w:b/>
          <w:sz w:val="22"/>
          <w:szCs w:val="22"/>
        </w:rPr>
        <w:t>Cumplir con los requisitos que se establezcan para los diferentes puestos.</w:t>
      </w:r>
    </w:p>
    <w:p w14:paraId="755E4BD3" w14:textId="77777777" w:rsidR="00AA685F" w:rsidRPr="00FC0BE9" w:rsidRDefault="00B85946">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En el caso, se advierte que para 2024 se emitió convocatoria para participar en el proceso de selección y designación de la persona Titular de la Contraloría Municipal que establece determinados documentos que se tuvieron que entregar, misma que tuvo a bien adjuntar el ente obligado, a saber:</w:t>
      </w:r>
    </w:p>
    <w:p w14:paraId="3D8FC341" w14:textId="77777777" w:rsidR="00AA685F" w:rsidRPr="00FC0BE9" w:rsidRDefault="00B85946">
      <w:pPr>
        <w:pBdr>
          <w:top w:val="nil"/>
          <w:left w:val="nil"/>
          <w:bottom w:val="nil"/>
          <w:right w:val="nil"/>
          <w:between w:val="nil"/>
        </w:pBdr>
        <w:spacing w:line="360" w:lineRule="auto"/>
        <w:ind w:right="49"/>
        <w:jc w:val="center"/>
        <w:rPr>
          <w:rFonts w:ascii="Palatino Linotype" w:eastAsia="Palatino Linotype" w:hAnsi="Palatino Linotype" w:cs="Palatino Linotype"/>
          <w:sz w:val="28"/>
          <w:szCs w:val="28"/>
        </w:rPr>
      </w:pPr>
      <w:r w:rsidRPr="00FC0BE9">
        <w:rPr>
          <w:rFonts w:ascii="Palatino Linotype" w:eastAsia="Palatino Linotype" w:hAnsi="Palatino Linotype" w:cs="Palatino Linotype"/>
          <w:noProof/>
          <w:sz w:val="28"/>
          <w:szCs w:val="28"/>
        </w:rPr>
        <w:drawing>
          <wp:inline distT="0" distB="0" distL="0" distR="0" wp14:anchorId="55068E7D" wp14:editId="77952999">
            <wp:extent cx="4000478" cy="2614752"/>
            <wp:effectExtent l="0" t="0" r="0" b="0"/>
            <wp:docPr id="214310828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4000478" cy="2614752"/>
                    </a:xfrm>
                    <a:prstGeom prst="rect">
                      <a:avLst/>
                    </a:prstGeom>
                    <a:ln/>
                  </pic:spPr>
                </pic:pic>
              </a:graphicData>
            </a:graphic>
          </wp:inline>
        </w:drawing>
      </w:r>
    </w:p>
    <w:p w14:paraId="4F427A24" w14:textId="77777777" w:rsidR="00AA685F" w:rsidRPr="00FC0BE9" w:rsidRDefault="00B85946">
      <w:pPr>
        <w:pBdr>
          <w:top w:val="nil"/>
          <w:left w:val="nil"/>
          <w:bottom w:val="nil"/>
          <w:right w:val="nil"/>
          <w:between w:val="nil"/>
        </w:pBdr>
        <w:spacing w:line="360" w:lineRule="auto"/>
        <w:ind w:right="49"/>
        <w:jc w:val="center"/>
        <w:rPr>
          <w:rFonts w:ascii="Palatino Linotype" w:eastAsia="Palatino Linotype" w:hAnsi="Palatino Linotype" w:cs="Palatino Linotype"/>
          <w:sz w:val="28"/>
          <w:szCs w:val="28"/>
        </w:rPr>
      </w:pPr>
      <w:r w:rsidRPr="00FC0BE9">
        <w:rPr>
          <w:rFonts w:ascii="Palatino Linotype" w:eastAsia="Palatino Linotype" w:hAnsi="Palatino Linotype" w:cs="Palatino Linotype"/>
          <w:noProof/>
          <w:sz w:val="28"/>
          <w:szCs w:val="28"/>
        </w:rPr>
        <w:drawing>
          <wp:inline distT="0" distB="0" distL="0" distR="0" wp14:anchorId="3069CAC5" wp14:editId="6594A887">
            <wp:extent cx="4098911" cy="2250766"/>
            <wp:effectExtent l="0" t="0" r="0" b="0"/>
            <wp:docPr id="214310828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4098911" cy="2250766"/>
                    </a:xfrm>
                    <a:prstGeom prst="rect">
                      <a:avLst/>
                    </a:prstGeom>
                    <a:ln/>
                  </pic:spPr>
                </pic:pic>
              </a:graphicData>
            </a:graphic>
          </wp:inline>
        </w:drawing>
      </w:r>
      <w:r w:rsidRPr="00FC0BE9">
        <w:rPr>
          <w:rFonts w:ascii="Palatino Linotype" w:eastAsia="Palatino Linotype" w:hAnsi="Palatino Linotype" w:cs="Palatino Linotype"/>
          <w:noProof/>
          <w:sz w:val="28"/>
          <w:szCs w:val="28"/>
        </w:rPr>
        <w:drawing>
          <wp:inline distT="0" distB="0" distL="0" distR="0" wp14:anchorId="13122F64" wp14:editId="3BB0DBD5">
            <wp:extent cx="4048700" cy="1811311"/>
            <wp:effectExtent l="0" t="0" r="0" b="0"/>
            <wp:docPr id="214310828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4048700" cy="1811311"/>
                    </a:xfrm>
                    <a:prstGeom prst="rect">
                      <a:avLst/>
                    </a:prstGeom>
                    <a:ln/>
                  </pic:spPr>
                </pic:pic>
              </a:graphicData>
            </a:graphic>
          </wp:inline>
        </w:drawing>
      </w:r>
    </w:p>
    <w:p w14:paraId="445495A3"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De lo anterior, se advierte que para ser Titular de la Contraloría Interna Municipal en 2024, se expidió convocatoria que determinó documentación que los aspirantes debían entregar para ser considerados, dentro de los cuales algunos corresponden con los requisitos que se entregan al momento de ingresar al servicio público y que forman parte del expediente laboral del servidor público en cuestión.</w:t>
      </w:r>
    </w:p>
    <w:p w14:paraId="7BFD70E4"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44E0E37F"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Por lo que, atendiendo que en el caso algunos de los documentos remitidos en respuesta que fueron presentados por el Titular de la Contraloría Interna Municipal en 2024 para participar en la convocatoria para ser designado con dicho cargo, coinciden con los que debió entregar para ingresar oficialmente al servicio público y que formaron parte de su expediente laboral, en este apartado se omite el análisis de las documentales relativas a</w:t>
      </w:r>
      <w:r w:rsidRPr="00FC0BE9">
        <w:rPr>
          <w:rFonts w:ascii="Palatino Linotype" w:eastAsia="Palatino Linotype" w:hAnsi="Palatino Linotype" w:cs="Palatino Linotype"/>
          <w:b/>
          <w:sz w:val="22"/>
          <w:szCs w:val="22"/>
          <w:u w:val="single"/>
        </w:rPr>
        <w:t>: acta de nacimiento, credencial para votar, curriculum vitae o ficha curricular, constancia de no deudor alimentario, constancia de no inhabilitación e informe de no antecedentes penales</w:t>
      </w:r>
      <w:r w:rsidRPr="00FC0BE9">
        <w:rPr>
          <w:rFonts w:ascii="Palatino Linotype" w:eastAsia="Palatino Linotype" w:hAnsi="Palatino Linotype" w:cs="Palatino Linotype"/>
          <w:sz w:val="22"/>
          <w:szCs w:val="22"/>
        </w:rPr>
        <w:t>, en razón de haber sido analizadas con antelación y en el cumplimiento a la presente el ente obligado deberá sujetarse a lo determinado en párrafos que anteceden.</w:t>
      </w:r>
    </w:p>
    <w:p w14:paraId="028464F8"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2C222BCD"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 xml:space="preserve">Ahora, se procede al análisis particular del resto de los requisitos que presentó el Titular de la Contraloría Interna Municipal en 2024 para participar en la convocatoria para ser designado con dicho cargo </w:t>
      </w:r>
    </w:p>
    <w:p w14:paraId="35F729AC"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66067FED" w14:textId="77777777" w:rsidR="00AA685F" w:rsidRPr="00FC0BE9" w:rsidRDefault="00B85946">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FC0BE9">
        <w:rPr>
          <w:rFonts w:ascii="Palatino Linotype" w:eastAsia="Palatino Linotype" w:hAnsi="Palatino Linotype" w:cs="Palatino Linotype"/>
          <w:b/>
          <w:sz w:val="22"/>
          <w:szCs w:val="22"/>
        </w:rPr>
        <w:t>Constancia de vecindad:</w:t>
      </w:r>
    </w:p>
    <w:p w14:paraId="22669C23"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5580B9EA"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En primera instancia es de señalar que la Ley Orgánica Municipal para el Estado de México dispone lo siguiente:</w:t>
      </w:r>
    </w:p>
    <w:p w14:paraId="46691F9F"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49EEF9E4" w14:textId="77777777" w:rsidR="00AA685F" w:rsidRPr="00FC0BE9" w:rsidRDefault="00B85946">
      <w:pPr>
        <w:spacing w:line="276" w:lineRule="auto"/>
        <w:ind w:left="851" w:right="902"/>
        <w:jc w:val="both"/>
        <w:rPr>
          <w:rFonts w:ascii="Palatino Linotype" w:eastAsia="Palatino Linotype" w:hAnsi="Palatino Linotype" w:cs="Palatino Linotype"/>
          <w:b/>
          <w:i/>
          <w:sz w:val="22"/>
          <w:szCs w:val="22"/>
        </w:rPr>
      </w:pPr>
      <w:r w:rsidRPr="00FC0BE9">
        <w:rPr>
          <w:rFonts w:ascii="Palatino Linotype" w:eastAsia="Palatino Linotype" w:hAnsi="Palatino Linotype" w:cs="Palatino Linotype"/>
          <w:b/>
          <w:i/>
          <w:sz w:val="22"/>
          <w:szCs w:val="22"/>
        </w:rPr>
        <w:t>“LEY ORGÁNICA MUNICIPAL DEL ESTADO DE MÉXICO.</w:t>
      </w:r>
    </w:p>
    <w:p w14:paraId="6FF58594" w14:textId="77777777" w:rsidR="00AA685F" w:rsidRPr="00FC0BE9" w:rsidRDefault="00AA685F">
      <w:pPr>
        <w:spacing w:line="276" w:lineRule="auto"/>
        <w:ind w:left="851" w:right="902"/>
        <w:jc w:val="both"/>
        <w:rPr>
          <w:rFonts w:ascii="Palatino Linotype" w:eastAsia="Palatino Linotype" w:hAnsi="Palatino Linotype" w:cs="Palatino Linotype"/>
          <w:i/>
          <w:sz w:val="22"/>
          <w:szCs w:val="22"/>
        </w:rPr>
      </w:pPr>
    </w:p>
    <w:p w14:paraId="3912723B" w14:textId="77777777" w:rsidR="00AA685F" w:rsidRPr="00FC0BE9" w:rsidRDefault="00B85946">
      <w:pPr>
        <w:spacing w:line="276" w:lineRule="auto"/>
        <w:ind w:left="851" w:right="902"/>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Artículo 91.-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r w:rsidRPr="00FC0BE9">
        <w:rPr>
          <w:rFonts w:ascii="Palatino Linotype" w:eastAsia="Palatino Linotype" w:hAnsi="Palatino Linotype" w:cs="Palatino Linotype"/>
          <w:i/>
          <w:sz w:val="22"/>
          <w:szCs w:val="22"/>
        </w:rPr>
        <w:br/>
        <w:t xml:space="preserve"> (…)</w:t>
      </w:r>
    </w:p>
    <w:p w14:paraId="13B517D4" w14:textId="77777777" w:rsidR="00AA685F" w:rsidRPr="00FC0BE9" w:rsidRDefault="00B85946">
      <w:pPr>
        <w:spacing w:line="276" w:lineRule="auto"/>
        <w:ind w:left="851" w:right="902"/>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b/>
          <w:i/>
          <w:sz w:val="22"/>
          <w:szCs w:val="22"/>
        </w:rPr>
        <w:t>X. Expedir las constancias de vecindad,</w:t>
      </w:r>
      <w:r w:rsidRPr="00FC0BE9">
        <w:rPr>
          <w:rFonts w:ascii="Palatino Linotype" w:eastAsia="Palatino Linotype" w:hAnsi="Palatino Linotype" w:cs="Palatino Linotype"/>
          <w:i/>
          <w:sz w:val="22"/>
          <w:szCs w:val="22"/>
        </w:rPr>
        <w:t xml:space="preserve"> de identidad o de última residencia que soliciten los habitantes del municipio, en un plazo no mayor de 24 horas, así como las certificaciones y demás documentos públicos que legalmente procedan, o los que acuerde el ayuntamiento;”</w:t>
      </w:r>
    </w:p>
    <w:p w14:paraId="255FE40D" w14:textId="77777777" w:rsidR="00AA685F" w:rsidRPr="00FC0BE9" w:rsidRDefault="00AA685F">
      <w:pPr>
        <w:spacing w:line="276" w:lineRule="auto"/>
        <w:ind w:left="851" w:right="902"/>
        <w:jc w:val="both"/>
        <w:rPr>
          <w:rFonts w:ascii="Palatino Linotype" w:eastAsia="Palatino Linotype" w:hAnsi="Palatino Linotype" w:cs="Palatino Linotype"/>
          <w:i/>
          <w:sz w:val="22"/>
          <w:szCs w:val="22"/>
        </w:rPr>
      </w:pPr>
    </w:p>
    <w:p w14:paraId="6ABC9DDD"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De lo anterior, se desprende que la Secretaría del Ayuntamiento es la responsable de expedir las constancias de vecindad, de identidad o de última residencia que soliciten los habitantes del municipio.</w:t>
      </w:r>
    </w:p>
    <w:p w14:paraId="61010AA3"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000209E0"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Por tanto, una constancia de vecindad es un documento oficial expedido por una autoridad municipal que acredita el domicilio de una persona y, en muchos casos, el tiempo que ha vivido en dicho lugar. Contiene la información del interesado, incluyendo su nombre completo y dirección exacta de su domicilio particular.</w:t>
      </w:r>
    </w:p>
    <w:p w14:paraId="6941971C"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144F0AFB" w14:textId="77777777" w:rsidR="00AA685F" w:rsidRPr="00FC0BE9" w:rsidRDefault="00B85946">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u w:val="single"/>
        </w:rPr>
      </w:pPr>
      <w:r w:rsidRPr="00FC0BE9">
        <w:rPr>
          <w:rFonts w:ascii="Palatino Linotype" w:eastAsia="Palatino Linotype" w:hAnsi="Palatino Linotype" w:cs="Palatino Linotype"/>
          <w:sz w:val="22"/>
          <w:szCs w:val="22"/>
        </w:rPr>
        <w:t xml:space="preserve">Al respecto, </w:t>
      </w:r>
      <w:r w:rsidRPr="00FC0BE9">
        <w:rPr>
          <w:rFonts w:ascii="Palatino Linotype" w:eastAsia="Palatino Linotype" w:hAnsi="Palatino Linotype" w:cs="Palatino Linotype"/>
          <w:b/>
          <w:sz w:val="22"/>
          <w:szCs w:val="22"/>
          <w:u w:val="single"/>
        </w:rPr>
        <w:t>por cuanto hace al domicilio particular</w:t>
      </w:r>
      <w:r w:rsidRPr="00FC0BE9">
        <w:rPr>
          <w:rFonts w:ascii="Palatino Linotype" w:eastAsia="Palatino Linotype" w:hAnsi="Palatino Linotype" w:cs="Palatino Linotype"/>
          <w:sz w:val="22"/>
          <w:szCs w:val="22"/>
        </w:rPr>
        <w:t>, de acuerdo a lo señalado en los artículos 2.3 y 2.5 del Código Civil del Estado de México, es un atributo de la personalidad y un derecho de las personas; además que tiene como propósito que una persona pueda establecerse temporal o permanentemente en un lugar determinado, para habitar, establecer su centro de trabajo o negocios. De la misma manera, lo establece el artículo 29 del Código Civil Federal, al precisar que el domicilio de personas físicas, es el lugar donde residen habitualmente, el lugar del centro principal de sus negocios, donde residan o el lugar donde se encuentren. 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w:t>
      </w:r>
      <w:r w:rsidRPr="00FC0BE9">
        <w:rPr>
          <w:rFonts w:ascii="Palatino Linotype" w:eastAsia="Palatino Linotype" w:hAnsi="Palatino Linotype" w:cs="Palatino Linotype"/>
          <w:b/>
          <w:sz w:val="22"/>
          <w:szCs w:val="22"/>
          <w:u w:val="single"/>
        </w:rPr>
        <w:t xml:space="preserve"> y, por ende, confidencial, ya que incide directamente en la privacidad de personas físicas identificadas y su difusión podría afectar la esfera privada de las mismas.</w:t>
      </w:r>
    </w:p>
    <w:p w14:paraId="3764FF8C" w14:textId="77777777" w:rsidR="00AA685F" w:rsidRPr="00FC0BE9" w:rsidRDefault="00AA685F">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u w:val="single"/>
        </w:rPr>
      </w:pPr>
    </w:p>
    <w:p w14:paraId="38AC78D3" w14:textId="77777777" w:rsidR="00AA685F" w:rsidRPr="00FC0BE9" w:rsidRDefault="00B85946">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u w:val="single"/>
        </w:rPr>
      </w:pPr>
      <w:r w:rsidRPr="00FC0BE9">
        <w:rPr>
          <w:rFonts w:ascii="Palatino Linotype" w:eastAsia="Palatino Linotype" w:hAnsi="Palatino Linotype" w:cs="Palatino Linotype"/>
          <w:b/>
          <w:sz w:val="22"/>
          <w:szCs w:val="22"/>
          <w:u w:val="single"/>
        </w:rPr>
        <w:t>De ahí que, la constancia de vecindad al dar cuenta del domicilio particular de una persona, se considera que se le debe dar el tratamiento como un comprobante de domicilio, es decir procede su clasificación en su totalidad, en términos de la fracción I del artículo 143 de la Ley de Transparencia Local.</w:t>
      </w:r>
    </w:p>
    <w:p w14:paraId="4BA3FDC2" w14:textId="77777777" w:rsidR="00AA685F" w:rsidRPr="00FC0BE9" w:rsidRDefault="00AA685F">
      <w:pPr>
        <w:pBdr>
          <w:top w:val="nil"/>
          <w:left w:val="nil"/>
          <w:bottom w:val="nil"/>
          <w:right w:val="nil"/>
          <w:between w:val="nil"/>
        </w:pBdr>
        <w:spacing w:line="360" w:lineRule="auto"/>
        <w:ind w:right="49"/>
        <w:jc w:val="both"/>
        <w:rPr>
          <w:rFonts w:ascii="Palatino Linotype" w:eastAsia="Palatino Linotype" w:hAnsi="Palatino Linotype" w:cs="Palatino Linotype"/>
          <w:b/>
          <w:u w:val="single"/>
        </w:rPr>
      </w:pPr>
    </w:p>
    <w:p w14:paraId="6D4AE3C6" w14:textId="77777777" w:rsidR="00AA685F" w:rsidRPr="00FC0BE9" w:rsidRDefault="00B85946">
      <w:pPr>
        <w:spacing w:line="360" w:lineRule="auto"/>
        <w:jc w:val="both"/>
        <w:rPr>
          <w:rFonts w:ascii="Palatino Linotype" w:eastAsia="Palatino Linotype" w:hAnsi="Palatino Linotype" w:cs="Palatino Linotype"/>
          <w:b/>
          <w:sz w:val="22"/>
          <w:szCs w:val="22"/>
        </w:rPr>
      </w:pPr>
      <w:r w:rsidRPr="00FC0BE9">
        <w:rPr>
          <w:rFonts w:ascii="Palatino Linotype" w:eastAsia="Palatino Linotype" w:hAnsi="Palatino Linotype" w:cs="Palatino Linotype"/>
          <w:sz w:val="22"/>
          <w:szCs w:val="22"/>
        </w:rPr>
        <w:t xml:space="preserve">Sobre el requisito en análisis, el </w:t>
      </w:r>
      <w:r w:rsidRPr="00FC0BE9">
        <w:rPr>
          <w:rFonts w:ascii="Palatino Linotype" w:eastAsia="Palatino Linotype" w:hAnsi="Palatino Linotype" w:cs="Palatino Linotype"/>
          <w:b/>
          <w:sz w:val="22"/>
          <w:szCs w:val="22"/>
        </w:rPr>
        <w:t>Sujeto Obligado si bien en respuesta remitió una hoja donde se aprecia la clasificación en su totalidad de la constancia domiciliaria, tampoco entregó el</w:t>
      </w:r>
      <w:r w:rsidRPr="00FC0BE9">
        <w:rPr>
          <w:rFonts w:ascii="Palatino Linotype" w:eastAsia="Palatino Linotype" w:hAnsi="Palatino Linotype" w:cs="Palatino Linotype"/>
          <w:sz w:val="22"/>
          <w:szCs w:val="22"/>
        </w:rPr>
        <w:t xml:space="preserve"> </w:t>
      </w:r>
      <w:r w:rsidRPr="00FC0BE9">
        <w:rPr>
          <w:rFonts w:ascii="Palatino Linotype" w:eastAsia="Palatino Linotype" w:hAnsi="Palatino Linotype" w:cs="Palatino Linotype"/>
          <w:b/>
          <w:sz w:val="22"/>
          <w:szCs w:val="22"/>
        </w:rPr>
        <w:t>Acta del Comité de Transparencia, mediante la cual se fundó y motivo la clasificación de dicha documental.</w:t>
      </w:r>
    </w:p>
    <w:p w14:paraId="6D111D23" w14:textId="77777777" w:rsidR="00AA685F" w:rsidRPr="00FC0BE9" w:rsidRDefault="00AA685F">
      <w:pPr>
        <w:spacing w:line="360" w:lineRule="auto"/>
        <w:jc w:val="both"/>
        <w:rPr>
          <w:rFonts w:ascii="Palatino Linotype" w:eastAsia="Palatino Linotype" w:hAnsi="Palatino Linotype" w:cs="Palatino Linotype"/>
          <w:b/>
          <w:sz w:val="22"/>
          <w:szCs w:val="22"/>
        </w:rPr>
      </w:pPr>
    </w:p>
    <w:p w14:paraId="4497AB72" w14:textId="77777777" w:rsidR="00AA685F" w:rsidRPr="00FC0BE9" w:rsidRDefault="00B85946">
      <w:pPr>
        <w:spacing w:line="360" w:lineRule="auto"/>
        <w:jc w:val="both"/>
        <w:rPr>
          <w:rFonts w:ascii="Palatino Linotype" w:eastAsia="Palatino Linotype" w:hAnsi="Palatino Linotype" w:cs="Palatino Linotype"/>
          <w:b/>
          <w:sz w:val="22"/>
          <w:szCs w:val="22"/>
        </w:rPr>
      </w:pPr>
      <w:r w:rsidRPr="00FC0BE9">
        <w:rPr>
          <w:rFonts w:ascii="Palatino Linotype" w:eastAsia="Palatino Linotype" w:hAnsi="Palatino Linotype" w:cs="Palatino Linotype"/>
          <w:b/>
          <w:sz w:val="22"/>
          <w:szCs w:val="22"/>
        </w:rPr>
        <w:t>De esta manera, en cumplimiento a la presente se deberá hacer entrega del referido acuerdo que sustente la clasificación en su totalidad de la constancia domiciliaria.</w:t>
      </w:r>
    </w:p>
    <w:p w14:paraId="09990544"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4E6BB4CE" w14:textId="77777777" w:rsidR="00AA685F" w:rsidRPr="00FC0BE9" w:rsidRDefault="00B85946">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FC0BE9">
        <w:rPr>
          <w:rFonts w:ascii="Palatino Linotype" w:eastAsia="Palatino Linotype" w:hAnsi="Palatino Linotype" w:cs="Palatino Linotype"/>
          <w:b/>
          <w:sz w:val="22"/>
          <w:szCs w:val="22"/>
        </w:rPr>
        <w:t>Título profesional legalmente expedido en las áreas jurídicas, económicas o contables administrativas.</w:t>
      </w:r>
    </w:p>
    <w:p w14:paraId="15041808"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591AB289"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 xml:space="preserve">Sobre el requisito en análisis, de la respuesta se advierte que el </w:t>
      </w:r>
      <w:r w:rsidRPr="00FC0BE9">
        <w:rPr>
          <w:rFonts w:ascii="Palatino Linotype" w:eastAsia="Palatino Linotype" w:hAnsi="Palatino Linotype" w:cs="Palatino Linotype"/>
          <w:b/>
          <w:sz w:val="22"/>
          <w:szCs w:val="22"/>
        </w:rPr>
        <w:t xml:space="preserve">Sujeto Obligado </w:t>
      </w:r>
      <w:r w:rsidRPr="00FC0BE9">
        <w:rPr>
          <w:rFonts w:ascii="Palatino Linotype" w:eastAsia="Palatino Linotype" w:hAnsi="Palatino Linotype" w:cs="Palatino Linotype"/>
          <w:sz w:val="22"/>
          <w:szCs w:val="22"/>
        </w:rPr>
        <w:t>hizo entrega en versión pública del Título profesional de Licenciado en Administración de Empresas y del Grado de Maestro en Auditoría; sin embargo, en dichos documentos se testó la fotografía del servidor público.</w:t>
      </w:r>
    </w:p>
    <w:p w14:paraId="7040247B"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67C48668"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 xml:space="preserve">Por lo que, retomando los argumentos antes vertidos sobre la fotografía, en cumplimiento a la presente se deberá hacer entrega, </w:t>
      </w:r>
      <w:r w:rsidRPr="00FC0BE9">
        <w:rPr>
          <w:rFonts w:ascii="Palatino Linotype" w:eastAsia="Palatino Linotype" w:hAnsi="Palatino Linotype" w:cs="Palatino Linotype"/>
          <w:b/>
          <w:sz w:val="22"/>
          <w:szCs w:val="22"/>
        </w:rPr>
        <w:t>de manera íntegra del Título profesional de Licenciado en Administración de Empresas y del Grado de Maestro en Auditoría, remitidos en respuesta.</w:t>
      </w:r>
    </w:p>
    <w:p w14:paraId="79652A34"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391118B5" w14:textId="77777777" w:rsidR="00AA685F" w:rsidRPr="00FC0BE9" w:rsidRDefault="00B85946">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FC0BE9">
        <w:rPr>
          <w:rFonts w:ascii="Palatino Linotype" w:eastAsia="Palatino Linotype" w:hAnsi="Palatino Linotype" w:cs="Palatino Linotype"/>
          <w:b/>
          <w:sz w:val="22"/>
          <w:szCs w:val="22"/>
        </w:rPr>
        <w:t>Carta bajo protesta de decir verdad, en la que la o el aspirante manifieste que, no ha sido condenado(a) por delito intencional que amerite pena privativa de la libertad; y que no ha sido condenado(a) por delito que se tratare de robo, fraude, falsificación, abuso de confianza o enriquecimiento ilícito cometido contra la administración pública; que no ha sido condenado(a) por sentencia ejecutoriada por delito de violencia política contra las mujeres en razón de género; y además, que no ha sido condenado(a) por sentencia ejecutoriada por delitos de violencia familiar, contra la libertad sexual o la violencia de género.</w:t>
      </w:r>
    </w:p>
    <w:p w14:paraId="5FEDAF7E"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3C726983"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 xml:space="preserve">Sobre el requisito en cuestión, el </w:t>
      </w:r>
      <w:r w:rsidRPr="00FC0BE9">
        <w:rPr>
          <w:rFonts w:ascii="Palatino Linotype" w:eastAsia="Palatino Linotype" w:hAnsi="Palatino Linotype" w:cs="Palatino Linotype"/>
          <w:b/>
          <w:sz w:val="22"/>
          <w:szCs w:val="22"/>
        </w:rPr>
        <w:t>Sujeto Obligado</w:t>
      </w:r>
      <w:r w:rsidRPr="00FC0BE9">
        <w:rPr>
          <w:rFonts w:ascii="Palatino Linotype" w:eastAsia="Palatino Linotype" w:hAnsi="Palatino Linotype" w:cs="Palatino Linotype"/>
          <w:sz w:val="22"/>
          <w:szCs w:val="22"/>
        </w:rPr>
        <w:t xml:space="preserve"> fue omiso en pronunciarse; por lo que, al ser un requisito que el Titular de la Contraloría Interna Municipal en 2024 tuvo que presentar para participar en la convocatoria emitida para ocupar dicho cargo, se ordena la entrega de dicha carta, de ser procedente en versión pública.</w:t>
      </w:r>
    </w:p>
    <w:p w14:paraId="0C46A048"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0C7FADE5" w14:textId="77777777" w:rsidR="00AA685F" w:rsidRPr="00FC0BE9" w:rsidRDefault="00B85946">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FC0BE9">
        <w:rPr>
          <w:rFonts w:ascii="Palatino Linotype" w:eastAsia="Palatino Linotype" w:hAnsi="Palatino Linotype" w:cs="Palatino Linotype"/>
          <w:b/>
          <w:sz w:val="22"/>
          <w:szCs w:val="22"/>
        </w:rPr>
        <w:t>Carta con firma autógrafa de aceptación de las bases, procedimientos, deliberaciones y resoluciones de la presente convocatoria.</w:t>
      </w:r>
    </w:p>
    <w:p w14:paraId="193EE576"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1CF5AD58"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 xml:space="preserve">Sobre el requisito en cuestión, en respuesta el </w:t>
      </w:r>
      <w:r w:rsidRPr="00FC0BE9">
        <w:rPr>
          <w:rFonts w:ascii="Palatino Linotype" w:eastAsia="Palatino Linotype" w:hAnsi="Palatino Linotype" w:cs="Palatino Linotype"/>
          <w:b/>
          <w:sz w:val="22"/>
          <w:szCs w:val="22"/>
        </w:rPr>
        <w:t xml:space="preserve">Sujeto Obligado </w:t>
      </w:r>
      <w:r w:rsidRPr="00FC0BE9">
        <w:rPr>
          <w:rFonts w:ascii="Palatino Linotype" w:eastAsia="Palatino Linotype" w:hAnsi="Palatino Linotype" w:cs="Palatino Linotype"/>
          <w:sz w:val="22"/>
          <w:szCs w:val="22"/>
        </w:rPr>
        <w:t>hizo entrega, en versión íntegra de la carta con firma autógrafa de aceptación de las bases, procedimientos, deliberaciones y resoluciones de la convocatoria indicada.</w:t>
      </w:r>
    </w:p>
    <w:p w14:paraId="1807DBC4"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0086BD08"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Por lo que, se tiene por satisfecho dicho requisito.</w:t>
      </w:r>
    </w:p>
    <w:p w14:paraId="4C0E92AE"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661DEE95"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 xml:space="preserve">Ahora, no escapa de la óptica de este Órgano Garante que conforme el artículo 113 de la Ley Orgánica Municipal para el Estado de México, se dispone que para ser contralor se deben cumplir los requisitos que para ser Tesorero Municipal, localizando adicionalmente a los antes expuestos, </w:t>
      </w:r>
      <w:r w:rsidRPr="00FC0BE9">
        <w:rPr>
          <w:rFonts w:ascii="Palatino Linotype" w:eastAsia="Palatino Linotype" w:hAnsi="Palatino Linotype" w:cs="Palatino Linotype"/>
          <w:b/>
          <w:sz w:val="22"/>
          <w:szCs w:val="22"/>
        </w:rPr>
        <w:t>el relativo a contar con certificación de competencia laboral en funciones expedida por el Instituto Hacendario del Estado de México o por alguna institución con reconocimiento de validez oficial, debiendo acreditarse esta dentro de los seis meses siguientes a la fecha en que inicie funciones</w:t>
      </w:r>
      <w:r w:rsidRPr="00FC0BE9">
        <w:rPr>
          <w:rFonts w:ascii="Palatino Linotype" w:eastAsia="Palatino Linotype" w:hAnsi="Palatino Linotype" w:cs="Palatino Linotype"/>
          <w:sz w:val="22"/>
          <w:szCs w:val="22"/>
        </w:rPr>
        <w:t>.</w:t>
      </w:r>
    </w:p>
    <w:p w14:paraId="2556B979"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0B162DA7"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 xml:space="preserve">Sobre el requisito en cuestión, del análisis a la respuesta se advierte que el </w:t>
      </w:r>
      <w:r w:rsidRPr="00FC0BE9">
        <w:rPr>
          <w:rFonts w:ascii="Palatino Linotype" w:eastAsia="Palatino Linotype" w:hAnsi="Palatino Linotype" w:cs="Palatino Linotype"/>
          <w:b/>
          <w:sz w:val="22"/>
          <w:szCs w:val="22"/>
        </w:rPr>
        <w:t xml:space="preserve">Sujeto Obligado </w:t>
      </w:r>
      <w:r w:rsidRPr="00FC0BE9">
        <w:rPr>
          <w:rFonts w:ascii="Palatino Linotype" w:eastAsia="Palatino Linotype" w:hAnsi="Palatino Linotype" w:cs="Palatino Linotype"/>
          <w:sz w:val="22"/>
          <w:szCs w:val="22"/>
        </w:rPr>
        <w:t>hizo entrega de lo siguiente:</w:t>
      </w:r>
    </w:p>
    <w:p w14:paraId="6CE21936"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38EE19A3" w14:textId="77777777" w:rsidR="00AA685F" w:rsidRPr="00FC0BE9" w:rsidRDefault="00B85946">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En versión íntegra el Certificado de Competencia Laboral en la Norma Institucional “Dirigir las acciones del Órgano Interno de Control” de 2021;</w:t>
      </w:r>
    </w:p>
    <w:p w14:paraId="215A6725" w14:textId="77777777" w:rsidR="00AA685F" w:rsidRPr="00FC0BE9" w:rsidRDefault="00B85946">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 xml:space="preserve">Documento del 30 de noviembre de 2023, donde el Vocal Ejecutivo del IHAEM refrenda la validez del certificado de competencia laboral indicado en el punto anterior hasta el 11 de noviembre de 2024. </w:t>
      </w:r>
    </w:p>
    <w:p w14:paraId="2433C39F"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70E461AE"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Por lo que, se tiene por satisfecho dicho requisito.</w:t>
      </w:r>
    </w:p>
    <w:p w14:paraId="048455E3"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63DF9ABD"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 xml:space="preserve">Conforme lo antes expuesto, se advierte que los motivos de inconformidad hechos valer por la parte </w:t>
      </w:r>
      <w:r w:rsidRPr="00FC0BE9">
        <w:rPr>
          <w:rFonts w:ascii="Palatino Linotype" w:eastAsia="Palatino Linotype" w:hAnsi="Palatino Linotype" w:cs="Palatino Linotype"/>
          <w:b/>
          <w:sz w:val="22"/>
          <w:szCs w:val="22"/>
        </w:rPr>
        <w:t xml:space="preserve">Recurrente, </w:t>
      </w:r>
      <w:r w:rsidRPr="00FC0BE9">
        <w:rPr>
          <w:rFonts w:ascii="Palatino Linotype" w:eastAsia="Palatino Linotype" w:hAnsi="Palatino Linotype" w:cs="Palatino Linotype"/>
          <w:sz w:val="22"/>
          <w:szCs w:val="22"/>
        </w:rPr>
        <w:t xml:space="preserve">siendo procedente </w:t>
      </w:r>
      <w:r w:rsidRPr="00FC0BE9">
        <w:rPr>
          <w:rFonts w:ascii="Palatino Linotype" w:eastAsia="Palatino Linotype" w:hAnsi="Palatino Linotype" w:cs="Palatino Linotype"/>
          <w:b/>
          <w:sz w:val="22"/>
          <w:szCs w:val="22"/>
        </w:rPr>
        <w:t xml:space="preserve">Modificar </w:t>
      </w:r>
      <w:r w:rsidRPr="00FC0BE9">
        <w:rPr>
          <w:rFonts w:ascii="Palatino Linotype" w:eastAsia="Palatino Linotype" w:hAnsi="Palatino Linotype" w:cs="Palatino Linotype"/>
          <w:sz w:val="22"/>
          <w:szCs w:val="22"/>
        </w:rPr>
        <w:t xml:space="preserve">la respuesta del </w:t>
      </w:r>
      <w:r w:rsidRPr="00FC0BE9">
        <w:rPr>
          <w:rFonts w:ascii="Palatino Linotype" w:eastAsia="Palatino Linotype" w:hAnsi="Palatino Linotype" w:cs="Palatino Linotype"/>
          <w:b/>
          <w:sz w:val="22"/>
          <w:szCs w:val="22"/>
        </w:rPr>
        <w:t xml:space="preserve">Sujeto Obligado, </w:t>
      </w:r>
      <w:r w:rsidRPr="00FC0BE9">
        <w:rPr>
          <w:rFonts w:ascii="Palatino Linotype" w:eastAsia="Palatino Linotype" w:hAnsi="Palatino Linotype" w:cs="Palatino Linotype"/>
          <w:sz w:val="22"/>
          <w:szCs w:val="22"/>
        </w:rPr>
        <w:t xml:space="preserve">y ordenar, </w:t>
      </w:r>
      <w:r w:rsidRPr="00FC0BE9">
        <w:rPr>
          <w:rFonts w:ascii="Palatino Linotype" w:eastAsia="Palatino Linotype" w:hAnsi="Palatino Linotype" w:cs="Palatino Linotype"/>
          <w:b/>
          <w:sz w:val="22"/>
          <w:szCs w:val="22"/>
        </w:rPr>
        <w:t>del servidor público que ostentó el cargo como Titular de la Contraloría Interna Municipal en 2024, respecto los documentos que integran su expediente laboral y documentos que presentó para participar en la convocatoria para ocupar dicho cargo</w:t>
      </w:r>
      <w:r w:rsidRPr="00FC0BE9">
        <w:rPr>
          <w:rFonts w:ascii="Palatino Linotype" w:eastAsia="Palatino Linotype" w:hAnsi="Palatino Linotype" w:cs="Palatino Linotype"/>
          <w:sz w:val="22"/>
          <w:szCs w:val="22"/>
        </w:rPr>
        <w:t>, lo siguiente:</w:t>
      </w:r>
    </w:p>
    <w:p w14:paraId="1440241F"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7BB67C78" w14:textId="77777777" w:rsidR="00AA685F" w:rsidRPr="00FC0BE9" w:rsidRDefault="00B85946">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En versión pública correcta:</w:t>
      </w:r>
    </w:p>
    <w:p w14:paraId="22D2052D" w14:textId="77777777" w:rsidR="00AA685F" w:rsidRPr="00FC0BE9" w:rsidRDefault="00B85946">
      <w:pPr>
        <w:pBdr>
          <w:top w:val="nil"/>
          <w:left w:val="nil"/>
          <w:bottom w:val="nil"/>
          <w:right w:val="nil"/>
          <w:between w:val="nil"/>
        </w:pBdr>
        <w:spacing w:line="360" w:lineRule="auto"/>
        <w:ind w:left="360"/>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-La ficha curricular que presentó para participar en la convocatoria para participar en el proceso de selección y designación, remitida en respuesta.</w:t>
      </w:r>
    </w:p>
    <w:p w14:paraId="6E1D534E"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7611CDDF" w14:textId="77777777" w:rsidR="00AA685F" w:rsidRPr="00FC0BE9" w:rsidRDefault="00B85946">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De ser procedente en versión pública:</w:t>
      </w:r>
    </w:p>
    <w:p w14:paraId="2413CBA4" w14:textId="77777777" w:rsidR="00AA685F" w:rsidRPr="00FC0BE9" w:rsidRDefault="00B85946">
      <w:pPr>
        <w:pBdr>
          <w:top w:val="nil"/>
          <w:left w:val="nil"/>
          <w:bottom w:val="nil"/>
          <w:right w:val="nil"/>
          <w:between w:val="nil"/>
        </w:pBdr>
        <w:spacing w:line="360" w:lineRule="auto"/>
        <w:ind w:left="360"/>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-El informe de no antecedentes penales, referido en respuesta.</w:t>
      </w:r>
    </w:p>
    <w:p w14:paraId="26780E26" w14:textId="77777777" w:rsidR="00AA685F" w:rsidRPr="00FC0BE9" w:rsidRDefault="00B85946">
      <w:pPr>
        <w:pBdr>
          <w:top w:val="nil"/>
          <w:left w:val="nil"/>
          <w:bottom w:val="nil"/>
          <w:right w:val="nil"/>
          <w:between w:val="nil"/>
        </w:pBdr>
        <w:spacing w:line="360" w:lineRule="auto"/>
        <w:ind w:left="360"/>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w:t>
      </w:r>
      <w:r w:rsidRPr="00FC0BE9">
        <w:t xml:space="preserve">El </w:t>
      </w:r>
      <w:r w:rsidRPr="00FC0BE9">
        <w:rPr>
          <w:rFonts w:ascii="Palatino Linotype" w:eastAsia="Palatino Linotype" w:hAnsi="Palatino Linotype" w:cs="Palatino Linotype"/>
          <w:sz w:val="22"/>
          <w:szCs w:val="22"/>
        </w:rPr>
        <w:t>certificado de no deudor alimentario moroso, referido en respuesta.</w:t>
      </w:r>
    </w:p>
    <w:p w14:paraId="66C38ACA" w14:textId="77777777" w:rsidR="00AA685F" w:rsidRPr="00FC0BE9" w:rsidRDefault="00B85946">
      <w:pPr>
        <w:pBdr>
          <w:top w:val="nil"/>
          <w:left w:val="nil"/>
          <w:bottom w:val="nil"/>
          <w:right w:val="nil"/>
          <w:between w:val="nil"/>
        </w:pBdr>
        <w:spacing w:line="360" w:lineRule="auto"/>
        <w:ind w:left="360"/>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w:t>
      </w:r>
      <w:r w:rsidRPr="00FC0BE9">
        <w:t xml:space="preserve">El </w:t>
      </w:r>
      <w:r w:rsidRPr="00FC0BE9">
        <w:rPr>
          <w:rFonts w:ascii="Palatino Linotype" w:eastAsia="Palatino Linotype" w:hAnsi="Palatino Linotype" w:cs="Palatino Linotype"/>
          <w:sz w:val="22"/>
          <w:szCs w:val="22"/>
        </w:rPr>
        <w:t>nombramiento, formato único de movimientos de personal o documento análogo.</w:t>
      </w:r>
    </w:p>
    <w:p w14:paraId="76B0500E" w14:textId="77777777" w:rsidR="00AA685F" w:rsidRPr="00FC0BE9" w:rsidRDefault="00B85946">
      <w:pPr>
        <w:pBdr>
          <w:top w:val="nil"/>
          <w:left w:val="nil"/>
          <w:bottom w:val="nil"/>
          <w:right w:val="nil"/>
          <w:between w:val="nil"/>
        </w:pBdr>
        <w:spacing w:line="360" w:lineRule="auto"/>
        <w:ind w:left="360"/>
        <w:jc w:val="both"/>
        <w:rPr>
          <w:rFonts w:ascii="Palatino Linotype" w:eastAsia="Palatino Linotype" w:hAnsi="Palatino Linotype" w:cs="Palatino Linotype"/>
          <w:b/>
          <w:sz w:val="22"/>
          <w:szCs w:val="22"/>
        </w:rPr>
      </w:pPr>
      <w:r w:rsidRPr="00FC0BE9">
        <w:rPr>
          <w:rFonts w:ascii="Palatino Linotype" w:eastAsia="Palatino Linotype" w:hAnsi="Palatino Linotype" w:cs="Palatino Linotype"/>
          <w:sz w:val="22"/>
          <w:szCs w:val="22"/>
        </w:rPr>
        <w:t>-La carta bajo protesta de decir verdad, en la que la o el aspirante manifieste que, no ha sido condenado(a) por delito intencional que amerite pena privativa de la libertad; y que no ha sido condenado(a) por delito que se tratare de robo, fraude, falsificación, abuso de confianza o enriquecimiento ilícito cometido contra la administración pública; que no ha sido condenado(a) por sentencia ejecutoriada por delito de violencia política contra las mujeres en razón de género; y además, que no ha sido condenado(a) por sentencia ejecutoriada por delitos de violencia familiar, contra la libertad sexual o la violencia de género.</w:t>
      </w:r>
    </w:p>
    <w:p w14:paraId="64FC1FC5" w14:textId="77777777" w:rsidR="00AA685F" w:rsidRPr="00FC0BE9" w:rsidRDefault="00AA685F">
      <w:pPr>
        <w:pBdr>
          <w:top w:val="nil"/>
          <w:left w:val="nil"/>
          <w:bottom w:val="nil"/>
          <w:right w:val="nil"/>
          <w:between w:val="nil"/>
        </w:pBdr>
        <w:spacing w:line="360" w:lineRule="auto"/>
        <w:ind w:left="360"/>
        <w:jc w:val="both"/>
        <w:rPr>
          <w:rFonts w:ascii="Palatino Linotype" w:eastAsia="Palatino Linotype" w:hAnsi="Palatino Linotype" w:cs="Palatino Linotype"/>
          <w:sz w:val="22"/>
          <w:szCs w:val="22"/>
        </w:rPr>
      </w:pPr>
    </w:p>
    <w:p w14:paraId="375BBDFB" w14:textId="77777777" w:rsidR="00AA685F" w:rsidRPr="00FC0BE9" w:rsidRDefault="00B85946">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En versión íntegra:</w:t>
      </w:r>
    </w:p>
    <w:p w14:paraId="559411DC" w14:textId="77777777" w:rsidR="00AA685F" w:rsidRPr="00FC0BE9" w:rsidRDefault="00B85946">
      <w:pPr>
        <w:pBdr>
          <w:top w:val="nil"/>
          <w:left w:val="nil"/>
          <w:bottom w:val="nil"/>
          <w:right w:val="nil"/>
          <w:between w:val="nil"/>
        </w:pBdr>
        <w:spacing w:line="360" w:lineRule="auto"/>
        <w:ind w:left="360"/>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w:t>
      </w:r>
      <w:r w:rsidRPr="00FC0BE9">
        <w:t xml:space="preserve">El </w:t>
      </w:r>
      <w:r w:rsidRPr="00FC0BE9">
        <w:rPr>
          <w:rFonts w:ascii="Palatino Linotype" w:eastAsia="Palatino Linotype" w:hAnsi="Palatino Linotype" w:cs="Palatino Linotype"/>
          <w:sz w:val="22"/>
          <w:szCs w:val="22"/>
        </w:rPr>
        <w:t>Título profesional de Licenciado en Administración de Empresas y el Grado de Maestro en Auditoría, remitidos en respuesta</w:t>
      </w:r>
    </w:p>
    <w:p w14:paraId="2C7E104C"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7B43F23F"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w:t>
      </w:r>
      <w:r w:rsidRPr="00FC0BE9">
        <w:rPr>
          <w:rFonts w:ascii="Palatino Linotype" w:eastAsia="Palatino Linotype" w:hAnsi="Palatino Linotype" w:cs="Palatino Linotype"/>
          <w:b/>
          <w:sz w:val="22"/>
          <w:szCs w:val="22"/>
        </w:rPr>
        <w:t>la parte Recurrente</w:t>
      </w:r>
      <w:r w:rsidRPr="00FC0BE9">
        <w:rPr>
          <w:rFonts w:ascii="Palatino Linotype" w:eastAsia="Palatino Linotype" w:hAnsi="Palatino Linotype" w:cs="Palatino Linotype"/>
          <w:sz w:val="22"/>
          <w:szCs w:val="22"/>
        </w:rPr>
        <w:t xml:space="preserve">, mismo que igualmente hará de su conocimiento, en el que se incluyan los fundamentos y motivos de la clasificación </w:t>
      </w:r>
      <w:r w:rsidRPr="00FC0BE9">
        <w:rPr>
          <w:rFonts w:ascii="Palatino Linotype" w:eastAsia="Palatino Linotype" w:hAnsi="Palatino Linotype" w:cs="Palatino Linotype"/>
          <w:b/>
          <w:sz w:val="22"/>
          <w:szCs w:val="22"/>
          <w:u w:val="single"/>
        </w:rPr>
        <w:t>en su totalidad como información confidencial las documentales correspondientes.</w:t>
      </w:r>
    </w:p>
    <w:p w14:paraId="78B15564" w14:textId="77777777" w:rsidR="00AA685F" w:rsidRPr="00FC0BE9" w:rsidRDefault="00AA685F">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4625DCEE" w14:textId="77777777" w:rsidR="00AA685F" w:rsidRPr="00FC0BE9" w:rsidRDefault="00B8594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b/>
          <w:sz w:val="22"/>
          <w:szCs w:val="22"/>
        </w:rPr>
        <w:t xml:space="preserve">Quinto. Versión Pública. </w:t>
      </w:r>
      <w:r w:rsidRPr="00FC0BE9">
        <w:rPr>
          <w:rFonts w:ascii="Palatino Linotype" w:eastAsia="Palatino Linotype" w:hAnsi="Palatino Linotype" w:cs="Palatino Linotype"/>
          <w:sz w:val="22"/>
          <w:szCs w:val="22"/>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w:t>
      </w:r>
      <w:r w:rsidRPr="00FC0BE9">
        <w:rPr>
          <w:rFonts w:ascii="Palatino Linotype" w:eastAsia="Palatino Linotype" w:hAnsi="Palatino Linotype" w:cs="Palatino Linotype"/>
          <w:b/>
          <w:sz w:val="22"/>
          <w:szCs w:val="22"/>
        </w:rPr>
        <w:t>Sujeto Obligado</w:t>
      </w:r>
      <w:r w:rsidRPr="00FC0BE9">
        <w:rPr>
          <w:rFonts w:ascii="Palatino Linotype" w:eastAsia="Palatino Linotype" w:hAnsi="Palatino Linotype" w:cs="Palatino Linotype"/>
          <w:sz w:val="22"/>
          <w:szCs w:val="22"/>
        </w:rPr>
        <w:t xml:space="preserve"> 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 lo anterior, de conformidad a lo que señalan los artículos 3, fracciones IX, XX, XXXII, XLV; 6, 137 y 143 fracción I, de la Ley de Transparencia y Acceso a la Información Pública del Estado de México y Municipios vigente, los cuales establecen lo siguiente:</w:t>
      </w:r>
    </w:p>
    <w:p w14:paraId="35997D30" w14:textId="77777777" w:rsidR="00AA685F" w:rsidRPr="00FC0BE9" w:rsidRDefault="00AA685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C647566" w14:textId="77777777" w:rsidR="00AA685F" w:rsidRPr="00FC0BE9" w:rsidRDefault="00B85946">
      <w:pPr>
        <w:tabs>
          <w:tab w:val="left" w:pos="709"/>
        </w:tabs>
        <w:ind w:left="851" w:right="567"/>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w:t>
      </w:r>
      <w:r w:rsidRPr="00FC0BE9">
        <w:rPr>
          <w:rFonts w:ascii="Palatino Linotype" w:eastAsia="Palatino Linotype" w:hAnsi="Palatino Linotype" w:cs="Palatino Linotype"/>
          <w:b/>
          <w:i/>
          <w:sz w:val="22"/>
          <w:szCs w:val="22"/>
        </w:rPr>
        <w:t>Artículo 3.</w:t>
      </w:r>
      <w:r w:rsidRPr="00FC0BE9">
        <w:rPr>
          <w:rFonts w:ascii="Palatino Linotype" w:eastAsia="Palatino Linotype" w:hAnsi="Palatino Linotype" w:cs="Palatino Linotype"/>
          <w:i/>
          <w:sz w:val="22"/>
          <w:szCs w:val="22"/>
        </w:rPr>
        <w:t xml:space="preserve"> Para los efectos de la presente Ley se entenderá por:…</w:t>
      </w:r>
    </w:p>
    <w:p w14:paraId="14F8B787" w14:textId="77777777" w:rsidR="00AA685F" w:rsidRPr="00FC0BE9" w:rsidRDefault="00B85946">
      <w:pPr>
        <w:tabs>
          <w:tab w:val="left" w:pos="709"/>
        </w:tabs>
        <w:ind w:left="851" w:right="567"/>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b/>
          <w:i/>
          <w:sz w:val="22"/>
          <w:szCs w:val="22"/>
        </w:rPr>
        <w:t>XX.</w:t>
      </w:r>
      <w:r w:rsidRPr="00FC0BE9">
        <w:rPr>
          <w:rFonts w:ascii="Palatino Linotype" w:eastAsia="Palatino Linotype" w:hAnsi="Palatino Linotype" w:cs="Palatino Linotype"/>
          <w:i/>
          <w:sz w:val="22"/>
          <w:szCs w:val="22"/>
        </w:rPr>
        <w:t xml:space="preserve"> Información clasificada: Aquella considerada por la presente Ley como reservada o confidencial; </w:t>
      </w:r>
    </w:p>
    <w:p w14:paraId="24A577FB" w14:textId="77777777" w:rsidR="00AA685F" w:rsidRPr="00FC0BE9" w:rsidRDefault="00B85946">
      <w:pPr>
        <w:tabs>
          <w:tab w:val="left" w:pos="709"/>
        </w:tabs>
        <w:ind w:left="851" w:right="567"/>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b/>
          <w:i/>
          <w:sz w:val="22"/>
          <w:szCs w:val="22"/>
        </w:rPr>
        <w:t>XXI.</w:t>
      </w:r>
      <w:r w:rsidRPr="00FC0BE9">
        <w:rPr>
          <w:rFonts w:ascii="Palatino Linotype" w:eastAsia="Palatino Linotype" w:hAnsi="Palatino Linotype" w:cs="Palatino Linotype"/>
          <w:i/>
          <w:sz w:val="22"/>
          <w:szCs w:val="22"/>
        </w:rPr>
        <w:t xml:space="preserve">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AF8AC06" w14:textId="77777777" w:rsidR="00AA685F" w:rsidRPr="00FC0BE9" w:rsidRDefault="00B85946">
      <w:pPr>
        <w:tabs>
          <w:tab w:val="left" w:pos="709"/>
        </w:tabs>
        <w:ind w:left="851" w:right="567"/>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w:t>
      </w:r>
    </w:p>
    <w:p w14:paraId="30EC6C33" w14:textId="77777777" w:rsidR="00AA685F" w:rsidRPr="00FC0BE9" w:rsidRDefault="00B85946">
      <w:pPr>
        <w:tabs>
          <w:tab w:val="left" w:pos="709"/>
        </w:tabs>
        <w:ind w:left="851" w:right="567"/>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b/>
          <w:i/>
          <w:sz w:val="22"/>
          <w:szCs w:val="22"/>
        </w:rPr>
        <w:t>XXXIV</w:t>
      </w:r>
      <w:r w:rsidRPr="00FC0BE9">
        <w:rPr>
          <w:rFonts w:ascii="Palatino Linotype" w:eastAsia="Palatino Linotype" w:hAnsi="Palatino Linotype" w:cs="Palatino Linotype"/>
          <w:i/>
          <w:sz w:val="22"/>
          <w:szCs w:val="22"/>
        </w:rPr>
        <w:t>. Prueba de interés público: Es el proceso de ponderación entre el beneficio que reporta dar a conocer la información confidencial solicitada contra el daño que su divulgación genera en los derechos de las personas, llevado a cabo por el Instituto en el ámbito de sus respectivas competencias</w:t>
      </w:r>
    </w:p>
    <w:p w14:paraId="78FFAA7A" w14:textId="77777777" w:rsidR="00AA685F" w:rsidRPr="00FC0BE9" w:rsidRDefault="00B85946">
      <w:pPr>
        <w:tabs>
          <w:tab w:val="left" w:pos="709"/>
        </w:tabs>
        <w:ind w:left="851" w:right="567"/>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w:t>
      </w:r>
    </w:p>
    <w:p w14:paraId="033C153E" w14:textId="77777777" w:rsidR="00AA685F" w:rsidRPr="00FC0BE9" w:rsidRDefault="00B85946">
      <w:pPr>
        <w:tabs>
          <w:tab w:val="left" w:pos="709"/>
        </w:tabs>
        <w:ind w:left="851" w:right="567"/>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b/>
          <w:i/>
          <w:sz w:val="22"/>
          <w:szCs w:val="22"/>
        </w:rPr>
        <w:t>XLV.</w:t>
      </w:r>
      <w:r w:rsidRPr="00FC0BE9">
        <w:rPr>
          <w:rFonts w:ascii="Palatino Linotype" w:eastAsia="Palatino Linotype" w:hAnsi="Palatino Linotype" w:cs="Palatino Linotype"/>
          <w:i/>
          <w:sz w:val="22"/>
          <w:szCs w:val="22"/>
        </w:rPr>
        <w:t xml:space="preserve"> Versión pública: Documento en el que se elimine, suprime o borra la información clasificada como reservada o confidencial para permitir su acceso</w:t>
      </w:r>
    </w:p>
    <w:p w14:paraId="33079602" w14:textId="77777777" w:rsidR="00AA685F" w:rsidRPr="00FC0BE9" w:rsidRDefault="00B85946">
      <w:pPr>
        <w:tabs>
          <w:tab w:val="left" w:pos="709"/>
        </w:tabs>
        <w:ind w:left="851" w:right="567"/>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b/>
          <w:i/>
          <w:sz w:val="22"/>
          <w:szCs w:val="22"/>
        </w:rPr>
        <w:t>Artículo 91.</w:t>
      </w:r>
      <w:r w:rsidRPr="00FC0BE9">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4512A431" w14:textId="77777777" w:rsidR="00AA685F" w:rsidRPr="00FC0BE9" w:rsidRDefault="00B85946">
      <w:pPr>
        <w:tabs>
          <w:tab w:val="left" w:pos="709"/>
        </w:tabs>
        <w:ind w:left="851" w:right="567"/>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b/>
          <w:i/>
          <w:sz w:val="22"/>
          <w:szCs w:val="22"/>
        </w:rPr>
        <w:t>Artículo 122.</w:t>
      </w:r>
      <w:r w:rsidRPr="00FC0BE9">
        <w:rPr>
          <w:rFonts w:ascii="Palatino Linotype" w:eastAsia="Palatino Linotype" w:hAnsi="Palatino Linotype" w:cs="Palatino Linotype"/>
          <w:i/>
          <w:sz w:val="22"/>
          <w:szCs w:val="22"/>
        </w:rPr>
        <w:t xml:space="preserve"> La clasificación es el proceso mediante el cual el sujeto obligado determina que la información en su poder actualiza alguno de los supuestos de reserva o confidencialidad, de conformidad con lo dispuesto en el presente título.</w:t>
      </w:r>
    </w:p>
    <w:p w14:paraId="7731D7FF" w14:textId="77777777" w:rsidR="00AA685F" w:rsidRPr="00FC0BE9" w:rsidRDefault="00B85946">
      <w:pPr>
        <w:tabs>
          <w:tab w:val="left" w:pos="709"/>
        </w:tabs>
        <w:ind w:left="851" w:right="567"/>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Los supuestos de reserva o confidencialidad previstos en las leyes deberán ser acordes con las bases, principios y disposiciones establecidos en la Ley General y, en ningún caso, podrán contravenirla.</w:t>
      </w:r>
    </w:p>
    <w:p w14:paraId="4E383691" w14:textId="77777777" w:rsidR="00AA685F" w:rsidRPr="00FC0BE9" w:rsidRDefault="00B85946">
      <w:pPr>
        <w:tabs>
          <w:tab w:val="left" w:pos="709"/>
        </w:tabs>
        <w:ind w:left="851" w:right="567"/>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Los titulares de las áreas de los sujetos obligados serán los responsables de clasificar la información, de conformidad con lo dispuesto en la presente Ley y demás disposiciones jurídicas aplicables</w:t>
      </w:r>
    </w:p>
    <w:p w14:paraId="5D9225ED" w14:textId="77777777" w:rsidR="00AA685F" w:rsidRPr="00FC0BE9" w:rsidRDefault="00B85946">
      <w:pPr>
        <w:tabs>
          <w:tab w:val="left" w:pos="709"/>
        </w:tabs>
        <w:ind w:left="851" w:right="567"/>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b/>
          <w:i/>
          <w:sz w:val="22"/>
          <w:szCs w:val="22"/>
        </w:rPr>
        <w:t>Artículo 135.</w:t>
      </w:r>
      <w:r w:rsidRPr="00FC0BE9">
        <w:rPr>
          <w:rFonts w:ascii="Palatino Linotype" w:eastAsia="Palatino Linotype" w:hAnsi="Palatino Linotype" w:cs="Palatino Linotype"/>
          <w:i/>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w:t>
      </w:r>
    </w:p>
    <w:p w14:paraId="4AC5D95A" w14:textId="77777777" w:rsidR="00AA685F" w:rsidRPr="00FC0BE9" w:rsidRDefault="00B85946">
      <w:pPr>
        <w:tabs>
          <w:tab w:val="left" w:pos="709"/>
        </w:tabs>
        <w:ind w:left="851" w:right="567"/>
        <w:jc w:val="both"/>
        <w:rPr>
          <w:rFonts w:ascii="Palatino Linotype" w:eastAsia="Palatino Linotype" w:hAnsi="Palatino Linotype" w:cs="Palatino Linotype"/>
          <w:b/>
          <w:i/>
          <w:sz w:val="22"/>
          <w:szCs w:val="22"/>
        </w:rPr>
      </w:pPr>
      <w:r w:rsidRPr="00FC0BE9">
        <w:rPr>
          <w:rFonts w:ascii="Palatino Linotype" w:eastAsia="Palatino Linotype" w:hAnsi="Palatino Linotype" w:cs="Palatino Linotype"/>
          <w:b/>
          <w:i/>
          <w:sz w:val="22"/>
          <w:szCs w:val="22"/>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23302CE3" w14:textId="77777777" w:rsidR="00AA685F" w:rsidRPr="00FC0BE9" w:rsidRDefault="00B85946">
      <w:pPr>
        <w:tabs>
          <w:tab w:val="left" w:pos="709"/>
        </w:tabs>
        <w:ind w:left="851" w:right="567"/>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b/>
          <w:i/>
          <w:sz w:val="22"/>
          <w:szCs w:val="22"/>
        </w:rPr>
        <w:t>Artículo 143</w:t>
      </w:r>
      <w:r w:rsidRPr="00FC0BE9">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0A36B61E" w14:textId="77777777" w:rsidR="00AA685F" w:rsidRPr="00FC0BE9" w:rsidRDefault="00B85946">
      <w:pPr>
        <w:tabs>
          <w:tab w:val="left" w:pos="709"/>
        </w:tabs>
        <w:ind w:left="851" w:right="567"/>
        <w:jc w:val="both"/>
        <w:rPr>
          <w:rFonts w:ascii="Palatino Linotype" w:eastAsia="Palatino Linotype" w:hAnsi="Palatino Linotype" w:cs="Palatino Linotype"/>
          <w:b/>
          <w:i/>
          <w:sz w:val="22"/>
          <w:szCs w:val="22"/>
        </w:rPr>
      </w:pPr>
      <w:r w:rsidRPr="00FC0BE9">
        <w:rPr>
          <w:rFonts w:ascii="Palatino Linotype" w:eastAsia="Palatino Linotype" w:hAnsi="Palatino Linotype" w:cs="Palatino Linotype"/>
          <w:b/>
          <w:i/>
          <w:sz w:val="22"/>
          <w:szCs w:val="22"/>
        </w:rPr>
        <w:t xml:space="preserve">I. Se refiera a la información privada y los datos personales concernientes a una persona física o jurídica colectiva identificada o identificable; </w:t>
      </w:r>
    </w:p>
    <w:p w14:paraId="6FF55278" w14:textId="77777777" w:rsidR="00AA685F" w:rsidRPr="00FC0BE9" w:rsidRDefault="00B85946">
      <w:pPr>
        <w:tabs>
          <w:tab w:val="left" w:pos="709"/>
        </w:tabs>
        <w:ind w:left="851" w:right="567"/>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b/>
          <w:i/>
          <w:sz w:val="22"/>
          <w:szCs w:val="22"/>
        </w:rPr>
        <w:t>II.</w:t>
      </w:r>
      <w:r w:rsidRPr="00FC0BE9">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 </w:t>
      </w:r>
    </w:p>
    <w:p w14:paraId="3169C0ED" w14:textId="77777777" w:rsidR="00AA685F" w:rsidRPr="00FC0BE9" w:rsidRDefault="00B85946">
      <w:pPr>
        <w:tabs>
          <w:tab w:val="left" w:pos="709"/>
        </w:tabs>
        <w:ind w:left="851" w:right="567"/>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b/>
          <w:i/>
          <w:sz w:val="22"/>
          <w:szCs w:val="22"/>
        </w:rPr>
        <w:t>III.</w:t>
      </w:r>
      <w:r w:rsidRPr="00FC0BE9">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14:paraId="411B1D56" w14:textId="77777777" w:rsidR="00AA685F" w:rsidRPr="00FC0BE9" w:rsidRDefault="00B85946">
      <w:pPr>
        <w:tabs>
          <w:tab w:val="left" w:pos="709"/>
        </w:tabs>
        <w:ind w:left="851" w:right="567"/>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484152E5" w14:textId="77777777" w:rsidR="00AA685F" w:rsidRPr="00FC0BE9" w:rsidRDefault="00B85946">
      <w:pPr>
        <w:tabs>
          <w:tab w:val="left" w:pos="709"/>
        </w:tabs>
        <w:ind w:left="851" w:right="567"/>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0D15EF31" w14:textId="77777777" w:rsidR="00AA685F" w:rsidRPr="00FC0BE9" w:rsidRDefault="00B85946">
      <w:pPr>
        <w:tabs>
          <w:tab w:val="left" w:pos="709"/>
        </w:tabs>
        <w:ind w:left="851" w:right="567"/>
        <w:jc w:val="both"/>
        <w:rPr>
          <w:rFonts w:ascii="Palatino Linotype" w:eastAsia="Palatino Linotype" w:hAnsi="Palatino Linotype" w:cs="Palatino Linotype"/>
          <w:b/>
          <w:i/>
          <w:sz w:val="22"/>
          <w:szCs w:val="22"/>
        </w:rPr>
      </w:pPr>
      <w:r w:rsidRPr="00FC0BE9">
        <w:rPr>
          <w:rFonts w:ascii="Palatino Linotype" w:eastAsia="Palatino Linotype" w:hAnsi="Palatino Linotype" w:cs="Palatino Linotype"/>
          <w:b/>
          <w:i/>
          <w:sz w:val="22"/>
          <w:szCs w:val="22"/>
        </w:rPr>
        <w:t>Artículo 147. Para que los sujetos obligados puedan permitir el acceso a información confidencial requieren obtener el consentimiento de los particulares titulares de la información.</w:t>
      </w:r>
    </w:p>
    <w:p w14:paraId="1D85CFAB" w14:textId="77777777" w:rsidR="00AA685F" w:rsidRPr="00FC0BE9" w:rsidRDefault="00B85946">
      <w:pPr>
        <w:tabs>
          <w:tab w:val="left" w:pos="709"/>
        </w:tabs>
        <w:ind w:left="851" w:right="567"/>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b/>
          <w:i/>
          <w:sz w:val="22"/>
          <w:szCs w:val="22"/>
        </w:rPr>
        <w:t>Artículo 148.</w:t>
      </w:r>
      <w:r w:rsidRPr="00FC0BE9">
        <w:rPr>
          <w:rFonts w:ascii="Palatino Linotype" w:eastAsia="Palatino Linotype" w:hAnsi="Palatino Linotype" w:cs="Palatino Linotype"/>
          <w:i/>
          <w:sz w:val="22"/>
          <w:szCs w:val="22"/>
        </w:rPr>
        <w:t xml:space="preserve"> No se requerirá el consentimiento del titular de la información confidencial cuando:</w:t>
      </w:r>
    </w:p>
    <w:p w14:paraId="317C94AF" w14:textId="77777777" w:rsidR="00AA685F" w:rsidRPr="00FC0BE9" w:rsidRDefault="00B85946">
      <w:pPr>
        <w:tabs>
          <w:tab w:val="left" w:pos="709"/>
        </w:tabs>
        <w:ind w:left="851" w:right="567"/>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b/>
          <w:i/>
          <w:sz w:val="22"/>
          <w:szCs w:val="22"/>
        </w:rPr>
        <w:t>I.</w:t>
      </w:r>
      <w:r w:rsidRPr="00FC0BE9">
        <w:rPr>
          <w:rFonts w:ascii="Palatino Linotype" w:eastAsia="Palatino Linotype" w:hAnsi="Palatino Linotype" w:cs="Palatino Linotype"/>
          <w:i/>
          <w:sz w:val="22"/>
          <w:szCs w:val="22"/>
        </w:rPr>
        <w:t xml:space="preserve"> La información se encuentre en registros públicos o fuentes de acceso público;</w:t>
      </w:r>
    </w:p>
    <w:p w14:paraId="1360D4F2" w14:textId="77777777" w:rsidR="00AA685F" w:rsidRPr="00FC0BE9" w:rsidRDefault="00B85946">
      <w:pPr>
        <w:tabs>
          <w:tab w:val="left" w:pos="709"/>
        </w:tabs>
        <w:ind w:left="851" w:right="567"/>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b/>
          <w:i/>
          <w:sz w:val="22"/>
          <w:szCs w:val="22"/>
        </w:rPr>
        <w:t>II.</w:t>
      </w:r>
      <w:r w:rsidRPr="00FC0BE9">
        <w:rPr>
          <w:rFonts w:ascii="Palatino Linotype" w:eastAsia="Palatino Linotype" w:hAnsi="Palatino Linotype" w:cs="Palatino Linotype"/>
          <w:i/>
          <w:sz w:val="22"/>
          <w:szCs w:val="22"/>
        </w:rPr>
        <w:t xml:space="preserve"> Por Ley tenga el carácter de pública;</w:t>
      </w:r>
    </w:p>
    <w:p w14:paraId="04D5F374" w14:textId="77777777" w:rsidR="00AA685F" w:rsidRPr="00FC0BE9" w:rsidRDefault="00B85946">
      <w:pPr>
        <w:tabs>
          <w:tab w:val="left" w:pos="709"/>
        </w:tabs>
        <w:ind w:left="851" w:right="567"/>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b/>
          <w:i/>
          <w:sz w:val="22"/>
          <w:szCs w:val="22"/>
        </w:rPr>
        <w:t>III</w:t>
      </w:r>
      <w:r w:rsidRPr="00FC0BE9">
        <w:rPr>
          <w:rFonts w:ascii="Palatino Linotype" w:eastAsia="Palatino Linotype" w:hAnsi="Palatino Linotype" w:cs="Palatino Linotype"/>
          <w:i/>
          <w:sz w:val="22"/>
          <w:szCs w:val="22"/>
        </w:rPr>
        <w:t>. Exista una orden judicial;</w:t>
      </w:r>
    </w:p>
    <w:p w14:paraId="1EE94AB6" w14:textId="77777777" w:rsidR="00AA685F" w:rsidRPr="00FC0BE9" w:rsidRDefault="00B85946">
      <w:pPr>
        <w:tabs>
          <w:tab w:val="left" w:pos="709"/>
        </w:tabs>
        <w:ind w:left="851" w:right="567"/>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b/>
          <w:i/>
          <w:sz w:val="22"/>
          <w:szCs w:val="22"/>
        </w:rPr>
        <w:t>IV.</w:t>
      </w:r>
      <w:r w:rsidRPr="00FC0BE9">
        <w:rPr>
          <w:rFonts w:ascii="Palatino Linotype" w:eastAsia="Palatino Linotype" w:hAnsi="Palatino Linotype" w:cs="Palatino Linotype"/>
          <w:i/>
          <w:sz w:val="22"/>
          <w:szCs w:val="22"/>
        </w:rPr>
        <w:t xml:space="preserve"> Por razones de seguridad pública, o para proteger los derechos de terceros, se requiera su publicación; o</w:t>
      </w:r>
    </w:p>
    <w:p w14:paraId="76E3E9FA" w14:textId="77777777" w:rsidR="00AA685F" w:rsidRPr="00FC0BE9" w:rsidRDefault="00B85946">
      <w:pPr>
        <w:tabs>
          <w:tab w:val="left" w:pos="709"/>
        </w:tabs>
        <w:ind w:left="851" w:right="567"/>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b/>
          <w:i/>
          <w:sz w:val="22"/>
          <w:szCs w:val="22"/>
        </w:rPr>
        <w:t>V.</w:t>
      </w:r>
      <w:r w:rsidRPr="00FC0BE9">
        <w:rPr>
          <w:rFonts w:ascii="Palatino Linotype" w:eastAsia="Palatino Linotype" w:hAnsi="Palatino Linotype" w:cs="Palatino Linotype"/>
          <w:i/>
          <w:sz w:val="22"/>
          <w:szCs w:val="22"/>
        </w:rPr>
        <w:t xml:space="preserve"> Cuando se transmita entre sujetos obligados y entre éstos y los sujetos de derecho internacional, en términos de los tratados y los acuerdos interinstitucionales, siempre y cuando la información se utilice para el ejercicio de facultades propias de los mismos. Para efectos de la fracción I del presente artículo, deberá sujetarse a lo previsto en las disposiciones jurídicas aplicables.</w:t>
      </w:r>
    </w:p>
    <w:p w14:paraId="20940F10" w14:textId="77777777" w:rsidR="00AA685F" w:rsidRPr="00FC0BE9" w:rsidRDefault="00B85946">
      <w:pPr>
        <w:tabs>
          <w:tab w:val="left" w:pos="709"/>
        </w:tabs>
        <w:ind w:left="851" w:right="567"/>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 xml:space="preserve">Para efectos de la fracción IV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 </w:t>
      </w:r>
    </w:p>
    <w:p w14:paraId="6B129A5F" w14:textId="77777777" w:rsidR="00AA685F" w:rsidRPr="00FC0BE9" w:rsidRDefault="00B85946">
      <w:pPr>
        <w:tabs>
          <w:tab w:val="left" w:pos="709"/>
        </w:tabs>
        <w:ind w:left="851" w:right="567"/>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b/>
          <w:i/>
          <w:sz w:val="22"/>
          <w:szCs w:val="22"/>
        </w:rPr>
        <w:t>Artículo 149.</w:t>
      </w:r>
      <w:r w:rsidRPr="00FC0BE9">
        <w:rPr>
          <w:rFonts w:ascii="Palatino Linotype" w:eastAsia="Palatino Linotype" w:hAnsi="Palatino Linotype" w:cs="Palatino Linotype"/>
          <w:i/>
          <w:sz w:val="22"/>
          <w:szCs w:val="22"/>
        </w:rPr>
        <w:t xml:space="preserve"> El acuerdo que clasifique la información como confidencial deberá contener un razonamiento lógico en el que demuestre que la información se encuentra en alguna o algunas de las hipótesis previstas en la presente Ley.” (Sic)</w:t>
      </w:r>
    </w:p>
    <w:p w14:paraId="43B92C3E" w14:textId="77777777" w:rsidR="00AA685F" w:rsidRPr="00FC0BE9" w:rsidRDefault="00AA685F">
      <w:pPr>
        <w:spacing w:line="360" w:lineRule="auto"/>
        <w:ind w:right="49"/>
        <w:jc w:val="both"/>
        <w:rPr>
          <w:rFonts w:ascii="Palatino Linotype" w:eastAsia="Palatino Linotype" w:hAnsi="Palatino Linotype" w:cs="Palatino Linotype"/>
          <w:sz w:val="22"/>
          <w:szCs w:val="22"/>
        </w:rPr>
      </w:pPr>
    </w:p>
    <w:p w14:paraId="31E31892"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De los artículos transcritos anteriormente, se observan las excepciones que tiene el derecho de acceso a la información pública, respecto a algunos tipos de información, lo cual restringe su acceso, precisando de manera clara las hipótesis que dan lugar a clasificar la información, la cual puede ser de dos maneras: Reservada o Confidencial.</w:t>
      </w:r>
    </w:p>
    <w:p w14:paraId="70326EE7"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59D59A43"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En otras palabras, la información confidencial será cuando por su naturaleza, contenga datos personales concernientes a una persona física o jurídico colectiva identificada o identificable, los secretos bancario, fiduciario, industrial, comercial, fiscal, bursátil y postal, cuya titularidad corresponda a particulares, sujetos de derecho internacional o a Sujetos Obligados cuando no involucren el ejercicio de recursos públicos y la que presenten los particulares a los Sujetos Obligados, de conformidad con lo dispuesto por las leyes o los tratados internacionales.</w:t>
      </w:r>
    </w:p>
    <w:p w14:paraId="728BF067"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7D92871E"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De igual forma, para el caso de la información confidencial se aprecia, que se establece un procedimiento para clasificar la información como confidencial, mediante el cual se fundamentará y motivará la necesidad de clasificar la información, en el que se precisen los motivos que obliguen a la clasificación; lo que se consolida con lo señalado por el artículo 168 de la Ley en la Materia, que señala:</w:t>
      </w:r>
    </w:p>
    <w:p w14:paraId="795672B8"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047C018C" w14:textId="77777777" w:rsidR="00AA685F" w:rsidRPr="00FC0BE9" w:rsidRDefault="00B85946">
      <w:pPr>
        <w:ind w:left="851" w:right="616"/>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w:t>
      </w:r>
      <w:r w:rsidRPr="00FC0BE9">
        <w:rPr>
          <w:rFonts w:ascii="Palatino Linotype" w:eastAsia="Palatino Linotype" w:hAnsi="Palatino Linotype" w:cs="Palatino Linotype"/>
          <w:b/>
          <w:i/>
          <w:sz w:val="22"/>
          <w:szCs w:val="22"/>
        </w:rPr>
        <w:t>Artículo 168</w:t>
      </w:r>
      <w:r w:rsidRPr="00FC0BE9">
        <w:rPr>
          <w:rFonts w:ascii="Palatino Linotype" w:eastAsia="Palatino Linotype" w:hAnsi="Palatino Linotype" w:cs="Palatino Linotype"/>
          <w:i/>
          <w:sz w:val="22"/>
          <w:szCs w:val="22"/>
        </w:rPr>
        <w:t>. En caso de que los sujetos obligados consideren que los documentos o la información deban ser clasificados, se sujetará a lo siguiente:</w:t>
      </w:r>
    </w:p>
    <w:p w14:paraId="2453FF59" w14:textId="77777777" w:rsidR="00AA685F" w:rsidRPr="00FC0BE9" w:rsidRDefault="00B85946">
      <w:pPr>
        <w:ind w:left="851" w:right="616"/>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b/>
          <w:i/>
          <w:sz w:val="22"/>
          <w:szCs w:val="22"/>
        </w:rPr>
        <w:t>I.</w:t>
      </w:r>
      <w:r w:rsidRPr="00FC0BE9">
        <w:rPr>
          <w:rFonts w:ascii="Palatino Linotype" w:eastAsia="Palatino Linotype" w:hAnsi="Palatino Linotype" w:cs="Palatino Linotype"/>
          <w:i/>
          <w:sz w:val="22"/>
          <w:szCs w:val="22"/>
        </w:rPr>
        <w:t xml:space="preserve"> El Área deberá remitir la solicitud, así como un escrito en el que </w:t>
      </w:r>
      <w:r w:rsidRPr="00FC0BE9">
        <w:rPr>
          <w:rFonts w:ascii="Palatino Linotype" w:eastAsia="Palatino Linotype" w:hAnsi="Palatino Linotype" w:cs="Palatino Linotype"/>
          <w:b/>
          <w:i/>
          <w:sz w:val="22"/>
          <w:szCs w:val="22"/>
        </w:rPr>
        <w:t>funde y motive la clasificación al Comité de Transparencia</w:t>
      </w:r>
      <w:r w:rsidRPr="00FC0BE9">
        <w:rPr>
          <w:rFonts w:ascii="Palatino Linotype" w:eastAsia="Palatino Linotype" w:hAnsi="Palatino Linotype" w:cs="Palatino Linotype"/>
          <w:i/>
          <w:sz w:val="22"/>
          <w:szCs w:val="22"/>
        </w:rPr>
        <w:t>, mismo que deberá resolver para:</w:t>
      </w:r>
    </w:p>
    <w:p w14:paraId="4577C89B" w14:textId="77777777" w:rsidR="00AA685F" w:rsidRPr="00FC0BE9" w:rsidRDefault="00B85946">
      <w:pPr>
        <w:ind w:left="851" w:right="616"/>
        <w:jc w:val="both"/>
        <w:rPr>
          <w:rFonts w:ascii="Palatino Linotype" w:eastAsia="Palatino Linotype" w:hAnsi="Palatino Linotype" w:cs="Palatino Linotype"/>
          <w:b/>
          <w:i/>
          <w:sz w:val="22"/>
          <w:szCs w:val="22"/>
        </w:rPr>
      </w:pPr>
      <w:r w:rsidRPr="00FC0BE9">
        <w:rPr>
          <w:rFonts w:ascii="Palatino Linotype" w:eastAsia="Palatino Linotype" w:hAnsi="Palatino Linotype" w:cs="Palatino Linotype"/>
          <w:i/>
          <w:sz w:val="22"/>
          <w:szCs w:val="22"/>
        </w:rPr>
        <w:t>a</w:t>
      </w:r>
      <w:r w:rsidRPr="00FC0BE9">
        <w:rPr>
          <w:rFonts w:ascii="Palatino Linotype" w:eastAsia="Palatino Linotype" w:hAnsi="Palatino Linotype" w:cs="Palatino Linotype"/>
          <w:b/>
          <w:i/>
          <w:sz w:val="22"/>
          <w:szCs w:val="22"/>
        </w:rPr>
        <w:t>) Confirmar la clasificación;</w:t>
      </w:r>
    </w:p>
    <w:p w14:paraId="1F57C2E5" w14:textId="77777777" w:rsidR="00AA685F" w:rsidRPr="00FC0BE9" w:rsidRDefault="00B85946">
      <w:pPr>
        <w:ind w:left="851" w:right="616"/>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b) Modificar la clasificación y otorgar total o parcialmente el acceso a la información; y c) Revocar la clasificación y conceder el acceso a la información.</w:t>
      </w:r>
    </w:p>
    <w:p w14:paraId="04DC83D7" w14:textId="77777777" w:rsidR="00AA685F" w:rsidRPr="00FC0BE9" w:rsidRDefault="00B85946">
      <w:pPr>
        <w:ind w:left="851" w:right="616"/>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b/>
          <w:i/>
          <w:sz w:val="22"/>
          <w:szCs w:val="22"/>
        </w:rPr>
        <w:t>II.</w:t>
      </w:r>
      <w:r w:rsidRPr="00FC0BE9">
        <w:rPr>
          <w:rFonts w:ascii="Palatino Linotype" w:eastAsia="Palatino Linotype" w:hAnsi="Palatino Linotype" w:cs="Palatino Linotype"/>
          <w:i/>
          <w:sz w:val="22"/>
          <w:szCs w:val="22"/>
        </w:rPr>
        <w:t xml:space="preserve"> El Comité de Transparencia podrá tener acceso a la información que esté en poder del Área correspondiente, de la cual se haya solicitado su clasificación; y</w:t>
      </w:r>
    </w:p>
    <w:p w14:paraId="1ABA8EDF" w14:textId="77777777" w:rsidR="00AA685F" w:rsidRPr="00FC0BE9" w:rsidRDefault="00B85946">
      <w:pPr>
        <w:ind w:left="851" w:right="616"/>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b/>
          <w:i/>
          <w:sz w:val="22"/>
          <w:szCs w:val="22"/>
        </w:rPr>
        <w:t>III.</w:t>
      </w:r>
      <w:r w:rsidRPr="00FC0BE9">
        <w:rPr>
          <w:rFonts w:ascii="Palatino Linotype" w:eastAsia="Palatino Linotype" w:hAnsi="Palatino Linotype" w:cs="Palatino Linotype"/>
          <w:i/>
          <w:sz w:val="22"/>
          <w:szCs w:val="22"/>
        </w:rPr>
        <w:t xml:space="preserve"> La resolución del Comité de Transparencia será notificada al interesado en el plazo de respuesta a la solicitud que establece esta Ley.” (Sic)</w:t>
      </w:r>
    </w:p>
    <w:p w14:paraId="0207CA98"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7FF3EAED" w14:textId="77777777" w:rsidR="00AA685F" w:rsidRPr="00FC0BE9" w:rsidRDefault="00B85946">
      <w:pPr>
        <w:spacing w:line="360" w:lineRule="auto"/>
        <w:ind w:right="51"/>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FC0BE9">
        <w:rPr>
          <w:rFonts w:ascii="Palatino Linotype" w:eastAsia="Palatino Linotype" w:hAnsi="Palatino Linotype" w:cs="Palatino Linotype"/>
          <w:b/>
          <w:sz w:val="22"/>
          <w:szCs w:val="22"/>
        </w:rPr>
        <w:t>Sujeto Obligado</w:t>
      </w:r>
      <w:r w:rsidRPr="00FC0BE9">
        <w:rPr>
          <w:rFonts w:ascii="Palatino Linotype" w:eastAsia="Palatino Linotype" w:hAnsi="Palatino Linotype" w:cs="Palatino Linotype"/>
          <w:sz w:val="22"/>
          <w:szCs w:val="22"/>
        </w:rPr>
        <w:t xml:space="preserve"> deberá proceder a testar los datos personales que se encuentren contenidos en los documentos a entregar por parte del </w:t>
      </w:r>
      <w:r w:rsidRPr="00FC0BE9">
        <w:rPr>
          <w:rFonts w:ascii="Palatino Linotype" w:eastAsia="Palatino Linotype" w:hAnsi="Palatino Linotype" w:cs="Palatino Linotype"/>
          <w:b/>
          <w:sz w:val="22"/>
          <w:szCs w:val="22"/>
        </w:rPr>
        <w:t>Sujeto Obligado</w:t>
      </w:r>
      <w:r w:rsidRPr="00FC0BE9">
        <w:rPr>
          <w:rFonts w:ascii="Palatino Linotype" w:eastAsia="Palatino Linotype" w:hAnsi="Palatino Linotype" w:cs="Palatino Linotype"/>
          <w:sz w:val="22"/>
          <w:szCs w:val="22"/>
        </w:rPr>
        <w:t xml:space="preserve">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4B8891C4" w14:textId="77777777" w:rsidR="00AA685F" w:rsidRPr="00FC0BE9" w:rsidRDefault="00AA685F">
      <w:pPr>
        <w:spacing w:line="360" w:lineRule="auto"/>
        <w:ind w:right="51"/>
        <w:jc w:val="both"/>
        <w:rPr>
          <w:rFonts w:ascii="Palatino Linotype" w:eastAsia="Palatino Linotype" w:hAnsi="Palatino Linotype" w:cs="Palatino Linotype"/>
          <w:sz w:val="22"/>
          <w:szCs w:val="22"/>
        </w:rPr>
      </w:pPr>
    </w:p>
    <w:p w14:paraId="514CECEF"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 xml:space="preserve">En el caso específico, es criterio reiterado de este Instituto que además de los datos especificados en la Ley de Transparencia y Acceso a la Información Pública del Estado de México y Municipios, se consideran confidenciales y por tanto deben testarse al momento de la elaboración de versiones públicas el </w:t>
      </w:r>
      <w:r w:rsidRPr="00FC0BE9">
        <w:rPr>
          <w:rFonts w:ascii="Palatino Linotype" w:eastAsia="Palatino Linotype" w:hAnsi="Palatino Linotype" w:cs="Palatino Linotype"/>
          <w:b/>
          <w:sz w:val="22"/>
          <w:szCs w:val="22"/>
        </w:rPr>
        <w:t>Registro Federal de Contribuyentes</w:t>
      </w:r>
      <w:r w:rsidRPr="00FC0BE9">
        <w:rPr>
          <w:rFonts w:ascii="Palatino Linotype" w:eastAsia="Palatino Linotype" w:hAnsi="Palatino Linotype" w:cs="Palatino Linotype"/>
          <w:sz w:val="22"/>
          <w:szCs w:val="22"/>
        </w:rPr>
        <w:t xml:space="preserve"> (RFC), la </w:t>
      </w:r>
      <w:r w:rsidRPr="00FC0BE9">
        <w:rPr>
          <w:rFonts w:ascii="Palatino Linotype" w:eastAsia="Palatino Linotype" w:hAnsi="Palatino Linotype" w:cs="Palatino Linotype"/>
          <w:b/>
          <w:sz w:val="22"/>
          <w:szCs w:val="22"/>
        </w:rPr>
        <w:t>Clave Única de Registro de Población</w:t>
      </w:r>
      <w:r w:rsidRPr="00FC0BE9">
        <w:rPr>
          <w:rFonts w:ascii="Palatino Linotype" w:eastAsia="Palatino Linotype" w:hAnsi="Palatino Linotype" w:cs="Palatino Linotype"/>
          <w:sz w:val="22"/>
          <w:szCs w:val="22"/>
        </w:rPr>
        <w:t xml:space="preserve"> (CURP), la </w:t>
      </w:r>
      <w:r w:rsidRPr="00FC0BE9">
        <w:rPr>
          <w:rFonts w:ascii="Palatino Linotype" w:eastAsia="Palatino Linotype" w:hAnsi="Palatino Linotype" w:cs="Palatino Linotype"/>
          <w:b/>
          <w:sz w:val="22"/>
          <w:szCs w:val="22"/>
        </w:rPr>
        <w:t>Clave de cualquier tipo de seguridad social</w:t>
      </w:r>
      <w:r w:rsidRPr="00FC0BE9">
        <w:rPr>
          <w:rFonts w:ascii="Palatino Linotype" w:eastAsia="Palatino Linotype" w:hAnsi="Palatino Linotype" w:cs="Palatino Linotype"/>
          <w:sz w:val="22"/>
          <w:szCs w:val="22"/>
        </w:rPr>
        <w:t xml:space="preserve"> (ISSEMYM, u otros), así como, el</w:t>
      </w:r>
      <w:r w:rsidRPr="00FC0BE9">
        <w:rPr>
          <w:rFonts w:ascii="Palatino Linotype" w:eastAsia="Palatino Linotype" w:hAnsi="Palatino Linotype" w:cs="Palatino Linotype"/>
          <w:b/>
          <w:sz w:val="22"/>
          <w:szCs w:val="22"/>
        </w:rPr>
        <w:t xml:space="preserve"> número de empleado y calificaciones</w:t>
      </w:r>
      <w:r w:rsidRPr="00FC0BE9">
        <w:rPr>
          <w:rFonts w:ascii="Palatino Linotype" w:eastAsia="Palatino Linotype" w:hAnsi="Palatino Linotype" w:cs="Palatino Linotype"/>
          <w:sz w:val="22"/>
          <w:szCs w:val="22"/>
        </w:rPr>
        <w:t xml:space="preserve">, bajo las siguientes consideraciones. </w:t>
      </w:r>
    </w:p>
    <w:p w14:paraId="0F2A79C6"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6B8E5873" w14:textId="77777777" w:rsidR="00AA685F" w:rsidRPr="00FC0BE9" w:rsidRDefault="00B85946">
      <w:pPr>
        <w:spacing w:line="360" w:lineRule="auto"/>
        <w:ind w:right="49"/>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En cuanto al RFC, este constituye un dato personal, ya que para su obtención es necesario acreditar ante la autoridad fiscal previamente la identidad de la persona, su fecha de nacimiento, entre otros aspectos.</w:t>
      </w:r>
    </w:p>
    <w:p w14:paraId="4EE42478" w14:textId="77777777" w:rsidR="00AA685F" w:rsidRPr="00FC0BE9" w:rsidRDefault="00AA685F">
      <w:pPr>
        <w:spacing w:line="360" w:lineRule="auto"/>
        <w:ind w:right="49"/>
        <w:jc w:val="both"/>
        <w:rPr>
          <w:rFonts w:ascii="Palatino Linotype" w:eastAsia="Palatino Linotype" w:hAnsi="Palatino Linotype" w:cs="Palatino Linotype"/>
          <w:sz w:val="22"/>
          <w:szCs w:val="22"/>
        </w:rPr>
      </w:pPr>
    </w:p>
    <w:p w14:paraId="2157F0A1"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45B70C95"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1A6A7D88"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Lo anterior era compartido por el entonces Instituto Nacional de Transparencia, Acceso a la Información y Protección de Datos (INAI) a través del Criterio orientador 19/17, el cual es del tenor literal siguiente:</w:t>
      </w:r>
    </w:p>
    <w:p w14:paraId="025E963D"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01B64EBF" w14:textId="77777777" w:rsidR="00AA685F" w:rsidRPr="00FC0BE9" w:rsidRDefault="00B85946">
      <w:pPr>
        <w:ind w:left="851" w:right="616"/>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w:t>
      </w:r>
      <w:r w:rsidRPr="00FC0BE9">
        <w:rPr>
          <w:rFonts w:ascii="Palatino Linotype" w:eastAsia="Palatino Linotype" w:hAnsi="Palatino Linotype" w:cs="Palatino Linotype"/>
          <w:b/>
          <w:i/>
          <w:sz w:val="22"/>
          <w:szCs w:val="22"/>
        </w:rPr>
        <w:t xml:space="preserve">Registro Federal de Contribuyentes (RFC) de personas físicas. </w:t>
      </w:r>
      <w:r w:rsidRPr="00FC0BE9">
        <w:rPr>
          <w:rFonts w:ascii="Palatino Linotype" w:eastAsia="Palatino Linotype" w:hAnsi="Palatino Linotype" w:cs="Palatino Linotype"/>
          <w:i/>
          <w:sz w:val="22"/>
          <w:szCs w:val="22"/>
        </w:rPr>
        <w:t>El RFC es una clave de carácter fiscal, única e irrepetible, que permite identificar al titular, su edad y fecha de nacimiento, por lo que es un dato personal de carácter confidencial.” (Sic)</w:t>
      </w:r>
    </w:p>
    <w:p w14:paraId="49F7ABC9" w14:textId="77777777" w:rsidR="00AA685F" w:rsidRPr="00FC0BE9" w:rsidRDefault="00AA685F">
      <w:pPr>
        <w:ind w:left="851" w:right="616"/>
        <w:jc w:val="both"/>
        <w:rPr>
          <w:rFonts w:ascii="Palatino Linotype" w:eastAsia="Palatino Linotype" w:hAnsi="Palatino Linotype" w:cs="Palatino Linotype"/>
          <w:sz w:val="22"/>
          <w:szCs w:val="22"/>
        </w:rPr>
      </w:pPr>
    </w:p>
    <w:p w14:paraId="3D8629E9" w14:textId="77777777" w:rsidR="00AA685F" w:rsidRPr="00FC0BE9" w:rsidRDefault="00B8594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5F02B76B" w14:textId="77777777" w:rsidR="00AA685F" w:rsidRPr="00FC0BE9" w:rsidRDefault="00AA685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64373AB" w14:textId="77777777" w:rsidR="00AA685F" w:rsidRPr="00FC0BE9" w:rsidRDefault="00B8594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64B91AE5" w14:textId="77777777" w:rsidR="00AA685F" w:rsidRPr="00FC0BE9" w:rsidRDefault="00AA685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C49B0BD"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Argumento que era compartido por el entonces Instituto Nacional de Transparencia, Acceso a la Información y Protección de Datos (INAI), conforme al</w:t>
      </w:r>
      <w:r w:rsidRPr="00FC0BE9">
        <w:rPr>
          <w:rFonts w:ascii="Palatino Linotype" w:eastAsia="Palatino Linotype" w:hAnsi="Palatino Linotype" w:cs="Palatino Linotype"/>
          <w:b/>
          <w:sz w:val="22"/>
          <w:szCs w:val="22"/>
        </w:rPr>
        <w:t xml:space="preserve"> </w:t>
      </w:r>
      <w:r w:rsidRPr="00FC0BE9">
        <w:rPr>
          <w:rFonts w:ascii="Palatino Linotype" w:eastAsia="Palatino Linotype" w:hAnsi="Palatino Linotype" w:cs="Palatino Linotype"/>
          <w:sz w:val="22"/>
          <w:szCs w:val="22"/>
        </w:rPr>
        <w:t xml:space="preserve">criterio orientador número 18/17, el cual refiere: </w:t>
      </w:r>
    </w:p>
    <w:p w14:paraId="220E0B91"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0FDE8967" w14:textId="77777777" w:rsidR="00AA685F" w:rsidRPr="00FC0BE9" w:rsidRDefault="00B85946">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w:t>
      </w:r>
      <w:r w:rsidRPr="00FC0BE9">
        <w:rPr>
          <w:rFonts w:ascii="Palatino Linotype" w:eastAsia="Palatino Linotype" w:hAnsi="Palatino Linotype" w:cs="Palatino Linotype"/>
          <w:b/>
          <w:i/>
          <w:sz w:val="22"/>
          <w:szCs w:val="22"/>
        </w:rPr>
        <w:t xml:space="preserve">Clave Única de Registro de Población (CURP). </w:t>
      </w:r>
      <w:r w:rsidRPr="00FC0BE9">
        <w:rPr>
          <w:rFonts w:ascii="Palatino Linotype" w:eastAsia="Palatino Linotype" w:hAnsi="Palatino Linotype" w:cs="Palatino Linotype"/>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14:paraId="6749F215" w14:textId="77777777" w:rsidR="00AA685F" w:rsidRPr="00FC0BE9" w:rsidRDefault="00AA685F">
      <w:pPr>
        <w:pBdr>
          <w:top w:val="nil"/>
          <w:left w:val="nil"/>
          <w:bottom w:val="nil"/>
          <w:right w:val="nil"/>
          <w:between w:val="nil"/>
        </w:pBdr>
        <w:ind w:left="851" w:right="616"/>
        <w:jc w:val="both"/>
        <w:rPr>
          <w:rFonts w:ascii="Palatino Linotype" w:eastAsia="Palatino Linotype" w:hAnsi="Palatino Linotype" w:cs="Palatino Linotype"/>
          <w:b/>
          <w:sz w:val="22"/>
          <w:szCs w:val="22"/>
        </w:rPr>
      </w:pPr>
    </w:p>
    <w:p w14:paraId="1AD8FC47"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Por otra parte y respecto a la clave de seguridad social y en su caso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orientador número 15/10 emitido por el entonces Instituto Federal de Transparencia y Acceso a la Información (INAI, cuyo texto y sentido literal es el siguiente:</w:t>
      </w:r>
    </w:p>
    <w:p w14:paraId="1152F1CF"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361346A6" w14:textId="77777777" w:rsidR="00AA685F" w:rsidRPr="00FC0BE9" w:rsidRDefault="00B85946">
      <w:pPr>
        <w:ind w:left="851" w:right="616"/>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w:t>
      </w:r>
      <w:r w:rsidRPr="00FC0BE9">
        <w:rPr>
          <w:rFonts w:ascii="Palatino Linotype" w:eastAsia="Palatino Linotype" w:hAnsi="Palatino Linotype" w:cs="Palatino Linotype"/>
          <w:b/>
          <w:i/>
          <w:sz w:val="22"/>
          <w:szCs w:val="22"/>
        </w:rPr>
        <w:t>El número de ficha de identificación única de los trabajadores es información de carácter confidencial.</w:t>
      </w:r>
      <w:r w:rsidRPr="00FC0BE9">
        <w:rPr>
          <w:rFonts w:ascii="Palatino Linotype" w:eastAsia="Palatino Linotype" w:hAnsi="Palatino Linotype" w:cs="Palatino Linotype"/>
          <w:i/>
          <w:sz w:val="22"/>
          <w:szCs w:val="22"/>
        </w:rPr>
        <w:t xml:space="preserve"> </w:t>
      </w:r>
      <w:r w:rsidRPr="00FC0BE9">
        <w:rPr>
          <w:rFonts w:ascii="Palatino Linotype" w:eastAsia="Palatino Linotype" w:hAnsi="Palatino Linotype" w:cs="Palatino Linotype"/>
          <w:i/>
          <w:sz w:val="22"/>
          <w:szCs w:val="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FC0BE9">
        <w:rPr>
          <w:rFonts w:ascii="Palatino Linotype" w:eastAsia="Palatino Linotype" w:hAnsi="Palatino Linotype" w:cs="Palatino Linotype"/>
          <w:i/>
          <w:sz w:val="22"/>
          <w:szCs w:val="22"/>
        </w:rPr>
        <w:t xml:space="preserve">, </w:t>
      </w:r>
      <w:r w:rsidRPr="00FC0BE9">
        <w:rPr>
          <w:rFonts w:ascii="Palatino Linotype" w:eastAsia="Palatino Linotype" w:hAnsi="Palatino Linotype" w:cs="Palatino Linotype"/>
          <w:i/>
          <w:sz w:val="22"/>
          <w:szCs w:val="22"/>
          <w:u w:val="single"/>
        </w:rPr>
        <w:t>dicha información es susceptible de clasificarse con el carácter de confidencial</w:t>
      </w:r>
      <w:r w:rsidRPr="00FC0BE9">
        <w:rPr>
          <w:rFonts w:ascii="Palatino Linotype" w:eastAsia="Palatino Linotype" w:hAnsi="Palatino Linotype" w:cs="Palatino Linotype"/>
          <w:i/>
          <w:sz w:val="22"/>
          <w:szCs w:val="22"/>
        </w:rPr>
        <w:t>, en términos de lo establecido en el artículo 18, fracción II de la Ley Federal de Transparencia y Acceso a la Información Pública Gubernamental, en virtud de que a través de la misma es posible conocer información personal de su titular.” (Sic)</w:t>
      </w:r>
    </w:p>
    <w:p w14:paraId="1C8A2DD7" w14:textId="77777777" w:rsidR="00AA685F" w:rsidRPr="00FC0BE9" w:rsidRDefault="00AA685F">
      <w:pPr>
        <w:spacing w:line="360" w:lineRule="auto"/>
        <w:jc w:val="both"/>
        <w:rPr>
          <w:rFonts w:ascii="Palatino Linotype" w:eastAsia="Palatino Linotype" w:hAnsi="Palatino Linotype" w:cs="Palatino Linotype"/>
          <w:b/>
          <w:sz w:val="22"/>
          <w:szCs w:val="22"/>
        </w:rPr>
      </w:pPr>
    </w:p>
    <w:p w14:paraId="7C0D5B48"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 xml:space="preserve">Finalmente, </w:t>
      </w:r>
      <w:r w:rsidRPr="00FC0BE9">
        <w:rPr>
          <w:rFonts w:ascii="Palatino Linotype" w:eastAsia="Palatino Linotype" w:hAnsi="Palatino Linotype" w:cs="Palatino Linotype"/>
          <w:b/>
          <w:sz w:val="22"/>
          <w:szCs w:val="22"/>
        </w:rPr>
        <w:t xml:space="preserve">con relación a la firma de servidores públicos en documentos que comprueban su formación profesional, entre los que pueden estar aquellos que dan cuenta de su grado académico o de estudios, como el título y cédula profesional, </w:t>
      </w:r>
      <w:r w:rsidRPr="00FC0BE9">
        <w:rPr>
          <w:rFonts w:ascii="Palatino Linotype" w:eastAsia="Palatino Linotype" w:hAnsi="Palatino Linotype" w:cs="Palatino Linotype"/>
          <w:sz w:val="22"/>
          <w:szCs w:val="22"/>
        </w:rPr>
        <w:t>se debe precisar que, se trata de servidores públicos en su calidad de particular, por lo que, es de señalar que la firma es un dato personal confidencial y únicamente será público dicho dato cuando sirva para la emisión de un acto de autoridad, en ejercicio de sus funciones.</w:t>
      </w:r>
    </w:p>
    <w:p w14:paraId="2773D29E"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2163BBCF"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Lo anterior, es así, toda vez que la firma de servidores públicos, vinculada al ejercicio de la función pública es información de naturaleza pública, pues documenta y rinde cuentas sobre el debido ejercicio de sus atribuciones, lo cual no acontece en el caso de los documentos que acreditan la formación académica.</w:t>
      </w:r>
    </w:p>
    <w:p w14:paraId="0A28C7D3"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5986920A"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La publicidad de dicho dato, se robustece con el criterio orientador 02/19, emitido por el entonces Instituto Nacional de Transparencia, Acceso a la Información y Protección de Datos Personales, que establece lo siguiente:</w:t>
      </w:r>
    </w:p>
    <w:p w14:paraId="1A9D5FCE" w14:textId="77777777" w:rsidR="00AA685F" w:rsidRPr="00FC0BE9" w:rsidRDefault="00B85946">
      <w:pPr>
        <w:spacing w:before="120" w:after="120"/>
        <w:ind w:left="851" w:right="902"/>
        <w:jc w:val="both"/>
        <w:rPr>
          <w:rFonts w:ascii="Palatino Linotype" w:eastAsia="Palatino Linotype" w:hAnsi="Palatino Linotype" w:cs="Palatino Linotype"/>
          <w:b/>
          <w:i/>
          <w:sz w:val="22"/>
          <w:szCs w:val="22"/>
        </w:rPr>
      </w:pPr>
      <w:r w:rsidRPr="00FC0BE9">
        <w:rPr>
          <w:rFonts w:ascii="Palatino Linotype" w:eastAsia="Palatino Linotype" w:hAnsi="Palatino Linotype" w:cs="Palatino Linotype"/>
          <w:b/>
          <w:i/>
          <w:sz w:val="22"/>
          <w:szCs w:val="22"/>
        </w:rPr>
        <w:t>“Firma</w:t>
      </w:r>
    </w:p>
    <w:p w14:paraId="227110F8" w14:textId="77777777" w:rsidR="00AA685F" w:rsidRPr="00FC0BE9" w:rsidRDefault="00B85946">
      <w:pPr>
        <w:spacing w:before="120" w:after="120"/>
        <w:ind w:left="851" w:right="902"/>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b/>
          <w:i/>
          <w:sz w:val="22"/>
          <w:szCs w:val="22"/>
        </w:rPr>
        <w:t xml:space="preserve"> y rúbrica de servidores públicos.</w:t>
      </w:r>
      <w:r w:rsidRPr="00FC0BE9">
        <w:rPr>
          <w:rFonts w:ascii="Palatino Linotype" w:eastAsia="Palatino Linotype" w:hAnsi="Palatino Linotype" w:cs="Palatino Linotype"/>
          <w:i/>
          <w:sz w:val="22"/>
          <w:szCs w:val="22"/>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66A4B73C" w14:textId="77777777" w:rsidR="00AA685F" w:rsidRPr="00FC0BE9" w:rsidRDefault="00AA685F">
      <w:pPr>
        <w:spacing w:before="120" w:after="120"/>
        <w:ind w:left="851" w:right="902"/>
        <w:jc w:val="both"/>
        <w:rPr>
          <w:rFonts w:ascii="Palatino Linotype" w:eastAsia="Palatino Linotype" w:hAnsi="Palatino Linotype" w:cs="Palatino Linotype"/>
          <w:i/>
          <w:sz w:val="22"/>
          <w:szCs w:val="22"/>
        </w:rPr>
      </w:pPr>
    </w:p>
    <w:p w14:paraId="58165B07"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Conforme a lo expuesto, de obrar la firma del servidor público en documentos que acrediten su grado académico o de estudios, procede la clasificación, en términos del artículo 143, fracción I de la Ley de Transparencia y Acceso a la Información Pública del Estado de México y Municipios, pues da cuenta de la aceptación de un grado ante la Secretaría de Educación Pública.</w:t>
      </w:r>
    </w:p>
    <w:p w14:paraId="6CAEFA66" w14:textId="77777777" w:rsidR="00AA685F" w:rsidRPr="00FC0BE9" w:rsidRDefault="00AA685F">
      <w:pPr>
        <w:spacing w:line="360" w:lineRule="auto"/>
        <w:jc w:val="both"/>
        <w:rPr>
          <w:rFonts w:ascii="Palatino Linotype" w:eastAsia="Palatino Linotype" w:hAnsi="Palatino Linotype" w:cs="Palatino Linotype"/>
          <w:b/>
          <w:sz w:val="22"/>
          <w:szCs w:val="22"/>
        </w:rPr>
      </w:pPr>
    </w:p>
    <w:p w14:paraId="0FC9199D" w14:textId="77777777" w:rsidR="00AA685F" w:rsidRPr="00FC0BE9" w:rsidRDefault="00B85946">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b/>
          <w:sz w:val="22"/>
          <w:szCs w:val="22"/>
        </w:rPr>
        <w:t>Fotografía de servidores públicos</w:t>
      </w:r>
      <w:r w:rsidRPr="00FC0BE9">
        <w:rPr>
          <w:rFonts w:ascii="Palatino Linotype" w:eastAsia="Palatino Linotype" w:hAnsi="Palatino Linotype" w:cs="Palatino Linotype"/>
          <w:sz w:val="22"/>
          <w:szCs w:val="22"/>
        </w:rPr>
        <w:t xml:space="preserve">: </w:t>
      </w:r>
    </w:p>
    <w:p w14:paraId="30E84792"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5A0E73F8"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7783D951"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14:paraId="1834EBAB"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4141C0AF"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w:t>
      </w:r>
      <w:r w:rsidRPr="00FC0BE9">
        <w:rPr>
          <w:rFonts w:ascii="Palatino Linotype" w:eastAsia="Palatino Linotype" w:hAnsi="Palatino Linotype" w:cs="Palatino Linotype"/>
          <w:b/>
          <w:sz w:val="22"/>
          <w:szCs w:val="22"/>
        </w:rPr>
        <w:t>con excepción del personal operativo en materia de seguridad, respecto del cual el Pleno de este Instituto ya se ha pronunciado en el sentido de que la información que los haga identificados o identificables debe clasificarse como reservada</w:t>
      </w:r>
      <w:r w:rsidRPr="00FC0BE9">
        <w:rPr>
          <w:rFonts w:ascii="Palatino Linotype" w:eastAsia="Palatino Linotype" w:hAnsi="Palatino Linotype" w:cs="Palatino Linotype"/>
          <w:sz w:val="22"/>
          <w:szCs w:val="22"/>
        </w:rPr>
        <w:t>).</w:t>
      </w:r>
    </w:p>
    <w:p w14:paraId="1289D0F2"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4C217F72"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En este sentido, resultan aplicables por analogía, los Criterios orientadores SO/015/2017 y SO/001/2013 del entonces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3C2326B6"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2B90D5FB"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14:paraId="6E6DCB0F"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0513E63B"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67740893"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6979D082"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14:paraId="0140F4A8"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33F673F3"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Conforme a lo anterior, las fotografías de servidores públicos sin importar el nivel o rango guardan la naturaleza de públicas (</w:t>
      </w:r>
      <w:r w:rsidRPr="00FC0BE9">
        <w:rPr>
          <w:rFonts w:ascii="Palatino Linotype" w:eastAsia="Palatino Linotype" w:hAnsi="Palatino Linotype" w:cs="Palatino Linotype"/>
          <w:b/>
          <w:sz w:val="22"/>
          <w:szCs w:val="22"/>
        </w:rPr>
        <w:t>con excepción del personal operativo en materia de seguridad</w:t>
      </w:r>
      <w:r w:rsidRPr="00FC0BE9">
        <w:rPr>
          <w:rFonts w:ascii="Palatino Linotype" w:eastAsia="Palatino Linotype" w:hAnsi="Palatino Linotype" w:cs="Palatino Linotype"/>
          <w:sz w:val="22"/>
          <w:szCs w:val="22"/>
        </w:rPr>
        <w:t>) y no procede su clasificación, en términos del artículo 143, fracción I, de la Ley de Transparencia y Acceso a la Información Pública del Estado de México y Municipios, por lo que en las versiones públicas que se ordenen, no podrá clasificarse esa información.</w:t>
      </w:r>
    </w:p>
    <w:p w14:paraId="10CAFD7C" w14:textId="77777777" w:rsidR="00AA685F" w:rsidRPr="00FC0BE9" w:rsidRDefault="00AA685F">
      <w:pPr>
        <w:spacing w:line="360" w:lineRule="auto"/>
        <w:ind w:right="51"/>
        <w:jc w:val="both"/>
        <w:rPr>
          <w:rFonts w:ascii="Palatino Linotype" w:eastAsia="Palatino Linotype" w:hAnsi="Palatino Linotype" w:cs="Palatino Linotype"/>
          <w:sz w:val="22"/>
          <w:szCs w:val="22"/>
        </w:rPr>
      </w:pPr>
    </w:p>
    <w:p w14:paraId="566B329C" w14:textId="77777777" w:rsidR="00AA685F" w:rsidRPr="00FC0BE9" w:rsidRDefault="00B85946">
      <w:pPr>
        <w:spacing w:line="360" w:lineRule="auto"/>
        <w:ind w:right="51"/>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69816179" w14:textId="77777777" w:rsidR="00AA685F" w:rsidRPr="00FC0BE9" w:rsidRDefault="00AA685F">
      <w:pPr>
        <w:spacing w:line="360" w:lineRule="auto"/>
        <w:ind w:right="51"/>
        <w:jc w:val="both"/>
        <w:rPr>
          <w:rFonts w:ascii="Palatino Linotype" w:eastAsia="Palatino Linotype" w:hAnsi="Palatino Linotype" w:cs="Palatino Linotype"/>
          <w:sz w:val="22"/>
          <w:szCs w:val="22"/>
        </w:rPr>
      </w:pPr>
    </w:p>
    <w:p w14:paraId="23855C8A" w14:textId="77777777" w:rsidR="00AA685F" w:rsidRPr="00FC0BE9" w:rsidRDefault="00B85946">
      <w:pPr>
        <w:ind w:left="851" w:right="616"/>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b/>
          <w:i/>
          <w:sz w:val="22"/>
          <w:szCs w:val="22"/>
        </w:rPr>
        <w:t>“Artículo 49.</w:t>
      </w:r>
      <w:r w:rsidRPr="00FC0BE9">
        <w:rPr>
          <w:rFonts w:ascii="Palatino Linotype" w:eastAsia="Palatino Linotype" w:hAnsi="Palatino Linotype" w:cs="Palatino Linotype"/>
          <w:i/>
          <w:sz w:val="22"/>
          <w:szCs w:val="22"/>
        </w:rPr>
        <w:t xml:space="preserve"> </w:t>
      </w:r>
      <w:r w:rsidRPr="00FC0BE9">
        <w:rPr>
          <w:rFonts w:ascii="Palatino Linotype" w:eastAsia="Palatino Linotype" w:hAnsi="Palatino Linotype" w:cs="Palatino Linotype"/>
          <w:b/>
          <w:i/>
          <w:sz w:val="22"/>
          <w:szCs w:val="22"/>
        </w:rPr>
        <w:t>Los Comités de Transparencia</w:t>
      </w:r>
      <w:r w:rsidRPr="00FC0BE9">
        <w:rPr>
          <w:rFonts w:ascii="Palatino Linotype" w:eastAsia="Palatino Linotype" w:hAnsi="Palatino Linotype" w:cs="Palatino Linotype"/>
          <w:i/>
          <w:sz w:val="22"/>
          <w:szCs w:val="22"/>
        </w:rPr>
        <w:t xml:space="preserve"> tendrán las siguientes atribuciones:</w:t>
      </w:r>
    </w:p>
    <w:p w14:paraId="4E3BDE18" w14:textId="77777777" w:rsidR="00AA685F" w:rsidRPr="00FC0BE9" w:rsidRDefault="00B85946">
      <w:pPr>
        <w:ind w:left="851" w:right="616"/>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b/>
          <w:i/>
          <w:sz w:val="22"/>
          <w:szCs w:val="22"/>
        </w:rPr>
        <w:t>VIII. Aprobar, modificar o revocar la clasificación de la información</w:t>
      </w:r>
      <w:r w:rsidRPr="00FC0BE9">
        <w:rPr>
          <w:rFonts w:ascii="Palatino Linotype" w:eastAsia="Palatino Linotype" w:hAnsi="Palatino Linotype" w:cs="Palatino Linotype"/>
          <w:i/>
          <w:sz w:val="22"/>
          <w:szCs w:val="22"/>
        </w:rPr>
        <w:t>…”</w:t>
      </w:r>
    </w:p>
    <w:p w14:paraId="69C40EE4" w14:textId="77777777" w:rsidR="00AA685F" w:rsidRPr="00FC0BE9" w:rsidRDefault="00B85946">
      <w:pPr>
        <w:ind w:left="851" w:right="616"/>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w:t>
      </w:r>
      <w:r w:rsidRPr="00FC0BE9">
        <w:rPr>
          <w:rFonts w:ascii="Palatino Linotype" w:eastAsia="Palatino Linotype" w:hAnsi="Palatino Linotype" w:cs="Palatino Linotype"/>
          <w:b/>
          <w:i/>
          <w:sz w:val="22"/>
          <w:szCs w:val="22"/>
        </w:rPr>
        <w:t>Artículo 53.</w:t>
      </w:r>
      <w:r w:rsidRPr="00FC0BE9">
        <w:rPr>
          <w:rFonts w:ascii="Palatino Linotype" w:eastAsia="Palatino Linotype" w:hAnsi="Palatino Linotype" w:cs="Palatino Linotype"/>
          <w:i/>
          <w:sz w:val="22"/>
          <w:szCs w:val="22"/>
        </w:rPr>
        <w:t xml:space="preserve"> Las </w:t>
      </w:r>
      <w:r w:rsidRPr="00FC0BE9">
        <w:rPr>
          <w:rFonts w:ascii="Palatino Linotype" w:eastAsia="Palatino Linotype" w:hAnsi="Palatino Linotype" w:cs="Palatino Linotype"/>
          <w:b/>
          <w:i/>
          <w:sz w:val="22"/>
          <w:szCs w:val="22"/>
        </w:rPr>
        <w:t>Unidades de Transparencia</w:t>
      </w:r>
      <w:r w:rsidRPr="00FC0BE9">
        <w:rPr>
          <w:rFonts w:ascii="Palatino Linotype" w:eastAsia="Palatino Linotype" w:hAnsi="Palatino Linotype" w:cs="Palatino Linotype"/>
          <w:i/>
          <w:sz w:val="22"/>
          <w:szCs w:val="22"/>
        </w:rPr>
        <w:t xml:space="preserve"> tendrán las siguientes </w:t>
      </w:r>
      <w:r w:rsidRPr="00FC0BE9">
        <w:rPr>
          <w:rFonts w:ascii="Palatino Linotype" w:eastAsia="Palatino Linotype" w:hAnsi="Palatino Linotype" w:cs="Palatino Linotype"/>
          <w:b/>
          <w:i/>
          <w:sz w:val="22"/>
          <w:szCs w:val="22"/>
        </w:rPr>
        <w:t>funciones</w:t>
      </w:r>
      <w:r w:rsidRPr="00FC0BE9">
        <w:rPr>
          <w:rFonts w:ascii="Palatino Linotype" w:eastAsia="Palatino Linotype" w:hAnsi="Palatino Linotype" w:cs="Palatino Linotype"/>
          <w:i/>
          <w:sz w:val="22"/>
          <w:szCs w:val="22"/>
        </w:rPr>
        <w:t>:</w:t>
      </w:r>
    </w:p>
    <w:p w14:paraId="217C284E" w14:textId="77777777" w:rsidR="00AA685F" w:rsidRPr="00FC0BE9" w:rsidRDefault="00B85946">
      <w:pPr>
        <w:ind w:left="851" w:right="616"/>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b/>
          <w:i/>
          <w:sz w:val="22"/>
          <w:szCs w:val="22"/>
        </w:rPr>
        <w:t>X. Presentar ante el Comité, el proyecto de clasificación de información</w:t>
      </w:r>
      <w:r w:rsidRPr="00FC0BE9">
        <w:rPr>
          <w:rFonts w:ascii="Palatino Linotype" w:eastAsia="Palatino Linotype" w:hAnsi="Palatino Linotype" w:cs="Palatino Linotype"/>
          <w:i/>
          <w:sz w:val="22"/>
          <w:szCs w:val="22"/>
        </w:rPr>
        <w:t xml:space="preserve">…” </w:t>
      </w:r>
    </w:p>
    <w:p w14:paraId="33230C42" w14:textId="77777777" w:rsidR="00AA685F" w:rsidRPr="00FC0BE9" w:rsidRDefault="00B85946">
      <w:pPr>
        <w:ind w:left="851" w:right="616"/>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b/>
          <w:i/>
          <w:sz w:val="22"/>
          <w:szCs w:val="22"/>
        </w:rPr>
        <w:t>“Artículo 59.</w:t>
      </w:r>
      <w:r w:rsidRPr="00FC0BE9">
        <w:rPr>
          <w:rFonts w:ascii="Palatino Linotype" w:eastAsia="Palatino Linotype" w:hAnsi="Palatino Linotype" w:cs="Palatino Linotype"/>
          <w:i/>
          <w:sz w:val="22"/>
          <w:szCs w:val="22"/>
        </w:rPr>
        <w:t xml:space="preserve"> Los </w:t>
      </w:r>
      <w:r w:rsidRPr="00FC0BE9">
        <w:rPr>
          <w:rFonts w:ascii="Palatino Linotype" w:eastAsia="Palatino Linotype" w:hAnsi="Palatino Linotype" w:cs="Palatino Linotype"/>
          <w:b/>
          <w:i/>
          <w:sz w:val="22"/>
          <w:szCs w:val="22"/>
        </w:rPr>
        <w:t>servidores públicos habilitados</w:t>
      </w:r>
      <w:r w:rsidRPr="00FC0BE9">
        <w:rPr>
          <w:rFonts w:ascii="Palatino Linotype" w:eastAsia="Palatino Linotype" w:hAnsi="Palatino Linotype" w:cs="Palatino Linotype"/>
          <w:i/>
          <w:sz w:val="22"/>
          <w:szCs w:val="22"/>
        </w:rPr>
        <w:t xml:space="preserve"> tendrán las </w:t>
      </w:r>
      <w:r w:rsidRPr="00FC0BE9">
        <w:rPr>
          <w:rFonts w:ascii="Palatino Linotype" w:eastAsia="Palatino Linotype" w:hAnsi="Palatino Linotype" w:cs="Palatino Linotype"/>
          <w:b/>
          <w:i/>
          <w:sz w:val="22"/>
          <w:szCs w:val="22"/>
        </w:rPr>
        <w:t>funciones</w:t>
      </w:r>
      <w:r w:rsidRPr="00FC0BE9">
        <w:rPr>
          <w:rFonts w:ascii="Palatino Linotype" w:eastAsia="Palatino Linotype" w:hAnsi="Palatino Linotype" w:cs="Palatino Linotype"/>
          <w:i/>
          <w:sz w:val="22"/>
          <w:szCs w:val="22"/>
        </w:rPr>
        <w:t xml:space="preserve"> siguientes:</w:t>
      </w:r>
    </w:p>
    <w:p w14:paraId="629A043C" w14:textId="77777777" w:rsidR="00AA685F" w:rsidRPr="00FC0BE9" w:rsidRDefault="00B85946">
      <w:pPr>
        <w:ind w:left="851" w:right="616"/>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FC0BE9">
        <w:rPr>
          <w:rFonts w:ascii="Palatino Linotype" w:eastAsia="Palatino Linotype" w:hAnsi="Palatino Linotype" w:cs="Palatino Linotype"/>
          <w:i/>
          <w:sz w:val="22"/>
          <w:szCs w:val="22"/>
        </w:rPr>
        <w:t>, la cual tendrá los fundamentos y argumentos en que se basa dicha propuesta…”(Sic)</w:t>
      </w:r>
    </w:p>
    <w:p w14:paraId="49A15DD8" w14:textId="77777777" w:rsidR="00AA685F" w:rsidRPr="00FC0BE9" w:rsidRDefault="00AA685F">
      <w:pPr>
        <w:ind w:left="992" w:right="1043"/>
        <w:jc w:val="both"/>
        <w:rPr>
          <w:rFonts w:ascii="Palatino Linotype" w:eastAsia="Palatino Linotype" w:hAnsi="Palatino Linotype" w:cs="Palatino Linotype"/>
          <w:i/>
          <w:sz w:val="22"/>
          <w:szCs w:val="22"/>
        </w:rPr>
      </w:pPr>
    </w:p>
    <w:p w14:paraId="4E99FE76"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 xml:space="preserve">Denotándose de dichos elementos normativos que el determinar la clasificación de la información es un trabajo en conjunto tanto de los Servidores Públicos Habilitados, de las Unidades de Transparencia y del Comité de Transparencia del </w:t>
      </w:r>
      <w:r w:rsidRPr="00FC0BE9">
        <w:rPr>
          <w:rFonts w:ascii="Palatino Linotype" w:eastAsia="Palatino Linotype" w:hAnsi="Palatino Linotype" w:cs="Palatino Linotype"/>
          <w:b/>
          <w:sz w:val="22"/>
          <w:szCs w:val="22"/>
        </w:rPr>
        <w:t>Sujeto Obligado</w:t>
      </w:r>
      <w:r w:rsidRPr="00FC0BE9">
        <w:rPr>
          <w:rFonts w:ascii="Palatino Linotype" w:eastAsia="Palatino Linotype" w:hAnsi="Palatino Linotype" w:cs="Palatino Linotype"/>
          <w:sz w:val="22"/>
          <w:szCs w:val="22"/>
        </w:rPr>
        <w:t>,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04C3CA4A"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66342F0E"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7AFE126F"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0016312D" w14:textId="77777777" w:rsidR="00AA685F" w:rsidRPr="00FC0BE9" w:rsidRDefault="00B85946">
      <w:pPr>
        <w:ind w:left="851" w:right="616"/>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w:t>
      </w:r>
      <w:r w:rsidRPr="00FC0BE9">
        <w:rPr>
          <w:rFonts w:ascii="Palatino Linotype" w:eastAsia="Palatino Linotype" w:hAnsi="Palatino Linotype" w:cs="Palatino Linotype"/>
          <w:b/>
          <w:i/>
          <w:sz w:val="22"/>
          <w:szCs w:val="22"/>
        </w:rPr>
        <w:t>Artículo 149.</w:t>
      </w:r>
      <w:r w:rsidRPr="00FC0BE9">
        <w:rPr>
          <w:rFonts w:ascii="Palatino Linotype" w:eastAsia="Palatino Linotype" w:hAnsi="Palatino Linotype" w:cs="Palatino Linotype"/>
          <w:i/>
          <w:sz w:val="22"/>
          <w:szCs w:val="22"/>
        </w:rPr>
        <w:t xml:space="preserve"> El </w:t>
      </w:r>
      <w:r w:rsidRPr="00FC0BE9">
        <w:rPr>
          <w:rFonts w:ascii="Palatino Linotype" w:eastAsia="Palatino Linotype" w:hAnsi="Palatino Linotype" w:cs="Palatino Linotype"/>
          <w:b/>
          <w:i/>
          <w:sz w:val="22"/>
          <w:szCs w:val="22"/>
        </w:rPr>
        <w:t>acuerdo que clasifique la información como confidencial</w:t>
      </w:r>
      <w:r w:rsidRPr="00FC0BE9">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w:t>
      </w:r>
    </w:p>
    <w:p w14:paraId="6E6940C5" w14:textId="77777777" w:rsidR="00AA685F" w:rsidRPr="00FC0BE9" w:rsidRDefault="00AA685F">
      <w:pPr>
        <w:spacing w:line="360" w:lineRule="auto"/>
        <w:ind w:right="51"/>
        <w:jc w:val="both"/>
        <w:rPr>
          <w:rFonts w:ascii="Palatino Linotype" w:eastAsia="Palatino Linotype" w:hAnsi="Palatino Linotype" w:cs="Palatino Linotype"/>
          <w:sz w:val="22"/>
          <w:szCs w:val="22"/>
        </w:rPr>
      </w:pPr>
    </w:p>
    <w:p w14:paraId="56E6B2F6" w14:textId="77777777" w:rsidR="00AA685F" w:rsidRPr="00FC0BE9" w:rsidRDefault="00B85946">
      <w:pPr>
        <w:spacing w:line="360" w:lineRule="auto"/>
        <w:ind w:right="51"/>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 xml:space="preserve">Es decir, el </w:t>
      </w:r>
      <w:r w:rsidRPr="00FC0BE9">
        <w:rPr>
          <w:rFonts w:ascii="Palatino Linotype" w:eastAsia="Palatino Linotype" w:hAnsi="Palatino Linotype" w:cs="Palatino Linotype"/>
          <w:b/>
          <w:sz w:val="22"/>
          <w:szCs w:val="22"/>
        </w:rPr>
        <w:t>Sujeto Obligado</w:t>
      </w:r>
      <w:r w:rsidRPr="00FC0BE9">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6B6C767C" w14:textId="77777777" w:rsidR="00AA685F" w:rsidRPr="00FC0BE9" w:rsidRDefault="00AA685F">
      <w:pPr>
        <w:spacing w:line="360" w:lineRule="auto"/>
        <w:ind w:right="51"/>
        <w:jc w:val="both"/>
        <w:rPr>
          <w:rFonts w:ascii="Palatino Linotype" w:eastAsia="Palatino Linotype" w:hAnsi="Palatino Linotype" w:cs="Palatino Linotype"/>
          <w:sz w:val="22"/>
          <w:szCs w:val="22"/>
        </w:rPr>
      </w:pPr>
    </w:p>
    <w:p w14:paraId="3B0A5B33"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 xml:space="preserve">Al respecto, se destaca que la versión pública que elabore el </w:t>
      </w:r>
      <w:r w:rsidRPr="00FC0BE9">
        <w:rPr>
          <w:rFonts w:ascii="Palatino Linotype" w:eastAsia="Palatino Linotype" w:hAnsi="Palatino Linotype" w:cs="Palatino Linotype"/>
          <w:b/>
          <w:sz w:val="22"/>
          <w:szCs w:val="22"/>
        </w:rPr>
        <w:t>Sujeto Obligado</w:t>
      </w:r>
      <w:r w:rsidRPr="00FC0BE9">
        <w:rPr>
          <w:rFonts w:ascii="Palatino Linotype" w:eastAsia="Palatino Linotype" w:hAnsi="Palatino Linotype" w:cs="Palatino Linotype"/>
          <w:sz w:val="22"/>
          <w:szCs w:val="22"/>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FC0BE9">
        <w:rPr>
          <w:rFonts w:ascii="Palatino Linotype" w:eastAsia="Palatino Linotype" w:hAnsi="Palatino Linotype" w:cs="Palatino Linotype"/>
          <w:b/>
          <w:sz w:val="22"/>
          <w:szCs w:val="22"/>
        </w:rPr>
        <w:t>LINEAMIENTOS GENERALES EN MATERIA DE CLASIFICACIÓN Y DESCLASIFICACIÓN DE LA INFORMACIÓN, ASÍ COMO PARA LA ELABORACIÓN DE VERSIONES PÚBLICAS</w:t>
      </w:r>
      <w:r w:rsidRPr="00FC0BE9">
        <w:rPr>
          <w:rFonts w:ascii="Palatino Linotype" w:eastAsia="Palatino Linotype" w:hAnsi="Palatino Linotype" w:cs="Palatino Linotype"/>
          <w:sz w:val="22"/>
          <w:szCs w:val="22"/>
        </w:rPr>
        <w:t>, publicados en el Diario Oficial de la Federación en fecha dieciocho de noviembre del año dos mil veintidós, mediante Acuerdo del Consejo Nacional del Sistema Nacional de Transparencia, Acceso a la Información Pública y Protección de Datos Personales, vigentes a la fecha de la solicitud, que literalmente expresan:</w:t>
      </w:r>
    </w:p>
    <w:p w14:paraId="17597997" w14:textId="77777777" w:rsidR="00AA685F" w:rsidRPr="00FC0BE9" w:rsidRDefault="00AA685F">
      <w:pPr>
        <w:ind w:left="709" w:right="709"/>
        <w:jc w:val="both"/>
        <w:rPr>
          <w:rFonts w:ascii="Palatino Linotype" w:eastAsia="Palatino Linotype" w:hAnsi="Palatino Linotype" w:cs="Palatino Linotype"/>
          <w:b/>
          <w:i/>
          <w:sz w:val="22"/>
          <w:szCs w:val="22"/>
        </w:rPr>
      </w:pPr>
    </w:p>
    <w:p w14:paraId="5E9A42F6" w14:textId="77777777" w:rsidR="00AA685F" w:rsidRPr="00FC0BE9" w:rsidRDefault="00B85946">
      <w:pPr>
        <w:tabs>
          <w:tab w:val="left" w:pos="851"/>
          <w:tab w:val="left" w:pos="8080"/>
        </w:tabs>
        <w:ind w:left="851" w:right="616"/>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i/>
          <w:sz w:val="22"/>
          <w:szCs w:val="22"/>
        </w:rPr>
        <w:t>“</w:t>
      </w:r>
      <w:r w:rsidRPr="00FC0BE9">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5F07BE8B" w14:textId="77777777" w:rsidR="00AA685F" w:rsidRPr="00FC0BE9" w:rsidRDefault="00B85946">
      <w:pPr>
        <w:tabs>
          <w:tab w:val="left" w:pos="851"/>
          <w:tab w:val="left" w:pos="8080"/>
        </w:tabs>
        <w:ind w:left="851" w:right="616"/>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i/>
          <w:sz w:val="22"/>
          <w:szCs w:val="22"/>
        </w:rPr>
        <w:t>“</w:t>
      </w:r>
      <w:r w:rsidRPr="00FC0BE9">
        <w:rPr>
          <w:rFonts w:ascii="Palatino Linotype" w:eastAsia="Palatino Linotype" w:hAnsi="Palatino Linotype" w:cs="Palatino Linotype"/>
          <w:b/>
          <w:i/>
          <w:sz w:val="22"/>
          <w:szCs w:val="22"/>
        </w:rPr>
        <w:t>Segundo.-</w:t>
      </w:r>
      <w:r w:rsidRPr="00FC0BE9">
        <w:rPr>
          <w:rFonts w:ascii="Palatino Linotype" w:eastAsia="Palatino Linotype" w:hAnsi="Palatino Linotype" w:cs="Palatino Linotype"/>
          <w:i/>
          <w:sz w:val="22"/>
          <w:szCs w:val="22"/>
        </w:rPr>
        <w:t xml:space="preserve"> Para efectos de los presentes Lineamientos Generales, se entenderá por:</w:t>
      </w:r>
    </w:p>
    <w:p w14:paraId="4725B8E8" w14:textId="77777777" w:rsidR="00AA685F" w:rsidRPr="00FC0BE9" w:rsidRDefault="00B85946">
      <w:pPr>
        <w:tabs>
          <w:tab w:val="left" w:pos="851"/>
          <w:tab w:val="left" w:pos="8080"/>
        </w:tabs>
        <w:ind w:left="851" w:right="616"/>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b/>
          <w:i/>
          <w:sz w:val="22"/>
          <w:szCs w:val="22"/>
        </w:rPr>
        <w:t>XVIII.</w:t>
      </w:r>
      <w:r w:rsidRPr="00FC0BE9">
        <w:rPr>
          <w:rFonts w:ascii="Palatino Linotype" w:eastAsia="Palatino Linotype" w:hAnsi="Palatino Linotype" w:cs="Palatino Linotype"/>
          <w:i/>
          <w:sz w:val="22"/>
          <w:szCs w:val="22"/>
        </w:rPr>
        <w:t xml:space="preserve"> </w:t>
      </w:r>
      <w:r w:rsidRPr="00FC0BE9">
        <w:rPr>
          <w:rFonts w:ascii="Palatino Linotype" w:eastAsia="Palatino Linotype" w:hAnsi="Palatino Linotype" w:cs="Palatino Linotype"/>
          <w:b/>
          <w:i/>
          <w:sz w:val="22"/>
          <w:szCs w:val="22"/>
        </w:rPr>
        <w:t>Versión pública:</w:t>
      </w:r>
      <w:r w:rsidRPr="00FC0BE9">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FC0BE9">
        <w:rPr>
          <w:rFonts w:ascii="Palatino Linotype" w:eastAsia="Palatino Linotype" w:hAnsi="Palatino Linotype" w:cs="Palatino Linotype"/>
          <w:b/>
          <w:i/>
          <w:sz w:val="22"/>
          <w:szCs w:val="22"/>
          <w:u w:val="single"/>
        </w:rPr>
        <w:t>fundando y motivando la</w:t>
      </w:r>
      <w:r w:rsidRPr="00FC0BE9">
        <w:rPr>
          <w:rFonts w:ascii="Palatino Linotype" w:eastAsia="Palatino Linotype" w:hAnsi="Palatino Linotype" w:cs="Palatino Linotype"/>
          <w:i/>
          <w:sz w:val="22"/>
          <w:szCs w:val="22"/>
        </w:rPr>
        <w:t xml:space="preserve"> reserva o </w:t>
      </w:r>
      <w:r w:rsidRPr="00FC0BE9">
        <w:rPr>
          <w:rFonts w:ascii="Palatino Linotype" w:eastAsia="Palatino Linotype" w:hAnsi="Palatino Linotype" w:cs="Palatino Linotype"/>
          <w:b/>
          <w:i/>
          <w:sz w:val="22"/>
          <w:szCs w:val="22"/>
          <w:u w:val="single"/>
        </w:rPr>
        <w:t>confidencialidad</w:t>
      </w:r>
      <w:r w:rsidRPr="00FC0BE9">
        <w:rPr>
          <w:rFonts w:ascii="Palatino Linotype" w:eastAsia="Palatino Linotype" w:hAnsi="Palatino Linotype" w:cs="Palatino Linotype"/>
          <w:i/>
          <w:sz w:val="22"/>
          <w:szCs w:val="22"/>
        </w:rPr>
        <w:t>, a través de la resolución que para tal efecto emita el Comité de Transparencia.</w:t>
      </w:r>
    </w:p>
    <w:p w14:paraId="0D337107" w14:textId="77777777" w:rsidR="00AA685F" w:rsidRPr="00FC0BE9" w:rsidRDefault="00B85946">
      <w:pPr>
        <w:tabs>
          <w:tab w:val="left" w:pos="851"/>
          <w:tab w:val="left" w:pos="8080"/>
        </w:tabs>
        <w:ind w:left="851" w:right="616"/>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b/>
          <w:i/>
          <w:sz w:val="22"/>
          <w:szCs w:val="22"/>
        </w:rPr>
        <w:t>Cuarto.</w:t>
      </w:r>
      <w:r w:rsidRPr="00FC0BE9">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983DDBB" w14:textId="77777777" w:rsidR="00AA685F" w:rsidRPr="00FC0BE9" w:rsidRDefault="00B85946">
      <w:pPr>
        <w:tabs>
          <w:tab w:val="left" w:pos="851"/>
          <w:tab w:val="left" w:pos="8080"/>
        </w:tabs>
        <w:ind w:left="851" w:right="616"/>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22DE0DA7" w14:textId="77777777" w:rsidR="00AA685F" w:rsidRPr="00FC0BE9" w:rsidRDefault="00B85946">
      <w:pPr>
        <w:tabs>
          <w:tab w:val="left" w:pos="851"/>
          <w:tab w:val="left" w:pos="8080"/>
        </w:tabs>
        <w:ind w:left="851" w:right="616"/>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b/>
          <w:i/>
          <w:sz w:val="22"/>
          <w:szCs w:val="22"/>
        </w:rPr>
        <w:t>Quinto.</w:t>
      </w:r>
      <w:r w:rsidRPr="00FC0BE9">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BBE746B" w14:textId="77777777" w:rsidR="00AA685F" w:rsidRPr="00FC0BE9" w:rsidRDefault="00B85946">
      <w:pPr>
        <w:tabs>
          <w:tab w:val="left" w:pos="851"/>
          <w:tab w:val="left" w:pos="8080"/>
        </w:tabs>
        <w:ind w:left="851" w:right="616"/>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b/>
          <w:i/>
          <w:sz w:val="22"/>
          <w:szCs w:val="22"/>
        </w:rPr>
        <w:t>…</w:t>
      </w:r>
    </w:p>
    <w:p w14:paraId="148501EB" w14:textId="77777777" w:rsidR="00AA685F" w:rsidRPr="00FC0BE9" w:rsidRDefault="00B85946">
      <w:pPr>
        <w:tabs>
          <w:tab w:val="left" w:pos="851"/>
          <w:tab w:val="left" w:pos="8080"/>
        </w:tabs>
        <w:ind w:left="851" w:right="616"/>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b/>
          <w:i/>
          <w:sz w:val="22"/>
          <w:szCs w:val="22"/>
        </w:rPr>
        <w:t>Séptimo.</w:t>
      </w:r>
      <w:r w:rsidRPr="00FC0BE9">
        <w:rPr>
          <w:rFonts w:ascii="Palatino Linotype" w:eastAsia="Palatino Linotype" w:hAnsi="Palatino Linotype" w:cs="Palatino Linotype"/>
          <w:i/>
          <w:sz w:val="22"/>
          <w:szCs w:val="22"/>
        </w:rPr>
        <w:t xml:space="preserve"> La clasificación de la información se llevará a cabo en el momento en que:</w:t>
      </w:r>
    </w:p>
    <w:p w14:paraId="4DA74E11" w14:textId="77777777" w:rsidR="00AA685F" w:rsidRPr="00FC0BE9" w:rsidRDefault="00B85946">
      <w:pPr>
        <w:tabs>
          <w:tab w:val="left" w:pos="851"/>
          <w:tab w:val="left" w:pos="8080"/>
        </w:tabs>
        <w:ind w:left="851" w:right="616"/>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b/>
          <w:i/>
          <w:sz w:val="22"/>
          <w:szCs w:val="22"/>
        </w:rPr>
        <w:t>I.</w:t>
      </w:r>
      <w:r w:rsidRPr="00FC0BE9">
        <w:rPr>
          <w:rFonts w:ascii="Palatino Linotype" w:eastAsia="Palatino Linotype" w:hAnsi="Palatino Linotype" w:cs="Palatino Linotype"/>
          <w:i/>
          <w:sz w:val="22"/>
          <w:szCs w:val="22"/>
        </w:rPr>
        <w:t xml:space="preserve"> Se reciba una solicitud de acceso a la información;</w:t>
      </w:r>
    </w:p>
    <w:p w14:paraId="266AB6C6" w14:textId="77777777" w:rsidR="00AA685F" w:rsidRPr="00FC0BE9" w:rsidRDefault="00B85946">
      <w:pPr>
        <w:tabs>
          <w:tab w:val="left" w:pos="851"/>
          <w:tab w:val="left" w:pos="8080"/>
        </w:tabs>
        <w:ind w:left="851" w:right="616"/>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b/>
          <w:i/>
          <w:sz w:val="22"/>
          <w:szCs w:val="22"/>
        </w:rPr>
        <w:t>II.</w:t>
      </w:r>
      <w:r w:rsidRPr="00FC0BE9">
        <w:rPr>
          <w:rFonts w:ascii="Palatino Linotype" w:eastAsia="Palatino Linotype" w:hAnsi="Palatino Linotype" w:cs="Palatino Linotype"/>
          <w:i/>
          <w:sz w:val="22"/>
          <w:szCs w:val="22"/>
        </w:rPr>
        <w:t xml:space="preserve"> Se  determine mediante resolución del Comité de Transparencia, el órgano garante </w:t>
      </w:r>
    </w:p>
    <w:p w14:paraId="66F2802D" w14:textId="77777777" w:rsidR="00AA685F" w:rsidRPr="00FC0BE9" w:rsidRDefault="00B85946">
      <w:pPr>
        <w:tabs>
          <w:tab w:val="left" w:pos="851"/>
          <w:tab w:val="left" w:pos="8080"/>
        </w:tabs>
        <w:ind w:left="851" w:right="616"/>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i/>
          <w:sz w:val="22"/>
          <w:szCs w:val="22"/>
        </w:rPr>
        <w:t>competente, o en cumplimiento a una sentencia del Poder Judicial; o</w:t>
      </w:r>
    </w:p>
    <w:p w14:paraId="002C2BAC" w14:textId="77777777" w:rsidR="00AA685F" w:rsidRPr="00FC0BE9" w:rsidRDefault="00B85946">
      <w:pPr>
        <w:tabs>
          <w:tab w:val="left" w:pos="851"/>
          <w:tab w:val="left" w:pos="8080"/>
        </w:tabs>
        <w:ind w:left="851" w:right="616"/>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b/>
          <w:i/>
          <w:sz w:val="22"/>
          <w:szCs w:val="22"/>
        </w:rPr>
        <w:t>III.</w:t>
      </w:r>
      <w:r w:rsidRPr="00FC0BE9">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3994197C" w14:textId="77777777" w:rsidR="00AA685F" w:rsidRPr="00FC0BE9" w:rsidRDefault="00B85946">
      <w:pPr>
        <w:tabs>
          <w:tab w:val="left" w:pos="851"/>
          <w:tab w:val="left" w:pos="8080"/>
        </w:tabs>
        <w:ind w:left="851" w:right="616"/>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01A28624" w14:textId="77777777" w:rsidR="00AA685F" w:rsidRPr="00FC0BE9" w:rsidRDefault="00B85946">
      <w:pPr>
        <w:tabs>
          <w:tab w:val="left" w:pos="851"/>
          <w:tab w:val="left" w:pos="8080"/>
        </w:tabs>
        <w:ind w:left="851" w:right="616"/>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b/>
          <w:i/>
          <w:sz w:val="22"/>
          <w:szCs w:val="22"/>
        </w:rPr>
        <w:t>Octavo.</w:t>
      </w:r>
      <w:r w:rsidRPr="00FC0BE9">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300B7A4" w14:textId="77777777" w:rsidR="00AA685F" w:rsidRPr="00FC0BE9" w:rsidRDefault="00B85946">
      <w:pPr>
        <w:tabs>
          <w:tab w:val="left" w:pos="851"/>
          <w:tab w:val="left" w:pos="8080"/>
        </w:tabs>
        <w:ind w:left="851" w:right="616"/>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5D9200FE" w14:textId="77777777" w:rsidR="00AA685F" w:rsidRPr="00FC0BE9" w:rsidRDefault="00B85946">
      <w:pPr>
        <w:tabs>
          <w:tab w:val="left" w:pos="851"/>
          <w:tab w:val="left" w:pos="8080"/>
        </w:tabs>
        <w:ind w:left="851" w:right="616"/>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453D0397" w14:textId="77777777" w:rsidR="00AA685F" w:rsidRPr="00FC0BE9" w:rsidRDefault="00B85946">
      <w:pPr>
        <w:tabs>
          <w:tab w:val="left" w:pos="851"/>
          <w:tab w:val="left" w:pos="8080"/>
        </w:tabs>
        <w:ind w:left="851" w:right="616"/>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b/>
          <w:i/>
          <w:sz w:val="22"/>
          <w:szCs w:val="22"/>
        </w:rPr>
        <w:t>Noveno.</w:t>
      </w:r>
      <w:r w:rsidRPr="00FC0BE9">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0BF803C" w14:textId="77777777" w:rsidR="00AA685F" w:rsidRPr="00FC0BE9" w:rsidRDefault="00B85946">
      <w:pPr>
        <w:tabs>
          <w:tab w:val="left" w:pos="851"/>
          <w:tab w:val="left" w:pos="8080"/>
        </w:tabs>
        <w:ind w:left="851" w:right="616"/>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b/>
          <w:i/>
          <w:sz w:val="22"/>
          <w:szCs w:val="22"/>
        </w:rPr>
        <w:t>Décimo.</w:t>
      </w:r>
      <w:r w:rsidRPr="00FC0BE9">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5DA76978" w14:textId="77777777" w:rsidR="00AA685F" w:rsidRPr="00FC0BE9" w:rsidRDefault="00B85946">
      <w:pPr>
        <w:tabs>
          <w:tab w:val="left" w:pos="851"/>
          <w:tab w:val="left" w:pos="8080"/>
        </w:tabs>
        <w:ind w:left="851" w:right="616"/>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7A85FB1B" w14:textId="77777777" w:rsidR="00AA685F" w:rsidRPr="00FC0BE9" w:rsidRDefault="00B85946">
      <w:pPr>
        <w:tabs>
          <w:tab w:val="left" w:pos="851"/>
          <w:tab w:val="left" w:pos="8080"/>
        </w:tabs>
        <w:ind w:left="851" w:right="616"/>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b/>
          <w:i/>
          <w:sz w:val="22"/>
          <w:szCs w:val="22"/>
        </w:rPr>
        <w:t>Décimo primero.</w:t>
      </w:r>
      <w:r w:rsidRPr="00FC0BE9">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00FF24D6" w14:textId="77777777" w:rsidR="00AA685F" w:rsidRPr="00FC0BE9" w:rsidRDefault="00AA685F">
      <w:pPr>
        <w:tabs>
          <w:tab w:val="left" w:pos="851"/>
          <w:tab w:val="left" w:pos="8080"/>
        </w:tabs>
        <w:ind w:left="851" w:right="616"/>
        <w:jc w:val="both"/>
        <w:rPr>
          <w:rFonts w:ascii="Palatino Linotype" w:eastAsia="Palatino Linotype" w:hAnsi="Palatino Linotype" w:cs="Palatino Linotype"/>
          <w:sz w:val="22"/>
          <w:szCs w:val="22"/>
        </w:rPr>
      </w:pPr>
    </w:p>
    <w:p w14:paraId="5734DA1E" w14:textId="77777777" w:rsidR="00AA685F" w:rsidRPr="00FC0BE9" w:rsidRDefault="00B85946">
      <w:pPr>
        <w:tabs>
          <w:tab w:val="left" w:pos="851"/>
          <w:tab w:val="left" w:pos="8080"/>
        </w:tabs>
        <w:ind w:left="851" w:right="616"/>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i/>
          <w:sz w:val="22"/>
          <w:szCs w:val="22"/>
        </w:rPr>
        <w:t>[…]</w:t>
      </w:r>
    </w:p>
    <w:p w14:paraId="21A08978" w14:textId="77777777" w:rsidR="00AA685F" w:rsidRPr="00FC0BE9" w:rsidRDefault="00B85946">
      <w:pPr>
        <w:tabs>
          <w:tab w:val="left" w:pos="851"/>
          <w:tab w:val="left" w:pos="8080"/>
        </w:tabs>
        <w:ind w:left="851" w:right="616"/>
        <w:jc w:val="center"/>
        <w:rPr>
          <w:rFonts w:ascii="Palatino Linotype" w:eastAsia="Palatino Linotype" w:hAnsi="Palatino Linotype" w:cs="Palatino Linotype"/>
          <w:sz w:val="22"/>
          <w:szCs w:val="22"/>
        </w:rPr>
      </w:pPr>
      <w:r w:rsidRPr="00FC0BE9">
        <w:rPr>
          <w:rFonts w:ascii="Palatino Linotype" w:eastAsia="Palatino Linotype" w:hAnsi="Palatino Linotype" w:cs="Palatino Linotype"/>
          <w:b/>
          <w:i/>
          <w:sz w:val="22"/>
          <w:szCs w:val="22"/>
        </w:rPr>
        <w:t>CAPÍTULO VIII</w:t>
      </w:r>
    </w:p>
    <w:p w14:paraId="26C673FF" w14:textId="77777777" w:rsidR="00AA685F" w:rsidRPr="00FC0BE9" w:rsidRDefault="00B85946">
      <w:pPr>
        <w:tabs>
          <w:tab w:val="left" w:pos="851"/>
          <w:tab w:val="left" w:pos="8080"/>
        </w:tabs>
        <w:ind w:left="851" w:right="616"/>
        <w:jc w:val="center"/>
        <w:rPr>
          <w:rFonts w:ascii="Palatino Linotype" w:eastAsia="Palatino Linotype" w:hAnsi="Palatino Linotype" w:cs="Palatino Linotype"/>
          <w:b/>
          <w:i/>
          <w:sz w:val="22"/>
          <w:szCs w:val="22"/>
        </w:rPr>
      </w:pPr>
      <w:r w:rsidRPr="00FC0BE9">
        <w:rPr>
          <w:rFonts w:ascii="Palatino Linotype" w:eastAsia="Palatino Linotype" w:hAnsi="Palatino Linotype" w:cs="Palatino Linotype"/>
          <w:b/>
          <w:i/>
          <w:sz w:val="22"/>
          <w:szCs w:val="22"/>
        </w:rPr>
        <w:t>DE LOS ELEMENTOS PARA LA CLASIFICACIÓN</w:t>
      </w:r>
    </w:p>
    <w:p w14:paraId="265CC858" w14:textId="77777777" w:rsidR="00AA685F" w:rsidRPr="00FC0BE9" w:rsidRDefault="00B85946">
      <w:pPr>
        <w:tabs>
          <w:tab w:val="left" w:pos="851"/>
          <w:tab w:val="left" w:pos="8080"/>
        </w:tabs>
        <w:ind w:left="851" w:right="616"/>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b/>
          <w:i/>
          <w:sz w:val="22"/>
          <w:szCs w:val="22"/>
        </w:rPr>
        <w:t>Quincuagésimo</w:t>
      </w:r>
      <w:r w:rsidRPr="00FC0BE9">
        <w:rPr>
          <w:rFonts w:ascii="Palatino Linotype" w:eastAsia="Palatino Linotype" w:hAnsi="Palatino Linotype" w:cs="Palatino Linotype"/>
          <w:i/>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507E8F1E" w14:textId="77777777" w:rsidR="00AA685F" w:rsidRPr="00FC0BE9" w:rsidRDefault="00B85946">
      <w:pPr>
        <w:tabs>
          <w:tab w:val="left" w:pos="851"/>
          <w:tab w:val="left" w:pos="8080"/>
        </w:tabs>
        <w:ind w:left="851" w:right="616"/>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b/>
          <w:i/>
          <w:sz w:val="22"/>
          <w:szCs w:val="22"/>
        </w:rPr>
        <w:t>Quincuagésimo primero</w:t>
      </w:r>
      <w:r w:rsidRPr="00FC0BE9">
        <w:rPr>
          <w:rFonts w:ascii="Palatino Linotype" w:eastAsia="Palatino Linotype" w:hAnsi="Palatino Linotype" w:cs="Palatino Linotype"/>
          <w:i/>
          <w:sz w:val="22"/>
          <w:szCs w:val="22"/>
        </w:rPr>
        <w:t>. Toda acta del Comité de Transparencia deberá contener:</w:t>
      </w:r>
    </w:p>
    <w:p w14:paraId="22453FC0" w14:textId="77777777" w:rsidR="00AA685F" w:rsidRPr="00FC0BE9" w:rsidRDefault="00B85946">
      <w:pPr>
        <w:tabs>
          <w:tab w:val="left" w:pos="851"/>
          <w:tab w:val="left" w:pos="8080"/>
        </w:tabs>
        <w:ind w:left="851" w:right="616"/>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 xml:space="preserve">I. El número de sesión y fecha; </w:t>
      </w:r>
    </w:p>
    <w:p w14:paraId="55AB7806" w14:textId="77777777" w:rsidR="00AA685F" w:rsidRPr="00FC0BE9" w:rsidRDefault="00B85946">
      <w:pPr>
        <w:tabs>
          <w:tab w:val="left" w:pos="851"/>
          <w:tab w:val="left" w:pos="8080"/>
        </w:tabs>
        <w:ind w:left="851" w:right="616"/>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II. El nombre del área que solicitó la clasificación de información;</w:t>
      </w:r>
    </w:p>
    <w:p w14:paraId="2E285EC3" w14:textId="77777777" w:rsidR="00AA685F" w:rsidRPr="00FC0BE9" w:rsidRDefault="00B85946">
      <w:pPr>
        <w:tabs>
          <w:tab w:val="left" w:pos="851"/>
          <w:tab w:val="left" w:pos="8080"/>
        </w:tabs>
        <w:ind w:left="851" w:right="616"/>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III. La fundamentación legal y motivación correspondiente;</w:t>
      </w:r>
    </w:p>
    <w:p w14:paraId="5DC83DD9" w14:textId="77777777" w:rsidR="00AA685F" w:rsidRPr="00FC0BE9" w:rsidRDefault="00B85946">
      <w:pPr>
        <w:tabs>
          <w:tab w:val="left" w:pos="851"/>
          <w:tab w:val="left" w:pos="8080"/>
        </w:tabs>
        <w:ind w:left="851" w:right="616"/>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IV. La resolución o resoluciones aprobadas; y</w:t>
      </w:r>
    </w:p>
    <w:p w14:paraId="65F993F5" w14:textId="77777777" w:rsidR="00AA685F" w:rsidRPr="00FC0BE9" w:rsidRDefault="00B85946">
      <w:pPr>
        <w:tabs>
          <w:tab w:val="left" w:pos="851"/>
          <w:tab w:val="left" w:pos="8080"/>
        </w:tabs>
        <w:ind w:left="851" w:right="616"/>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 xml:space="preserve">V. La rúbrica o firma digital de cada integrante del Comité de Transparencia. </w:t>
      </w:r>
    </w:p>
    <w:p w14:paraId="32AE0DF3" w14:textId="77777777" w:rsidR="00AA685F" w:rsidRPr="00FC0BE9" w:rsidRDefault="00B85946">
      <w:pPr>
        <w:tabs>
          <w:tab w:val="left" w:pos="851"/>
          <w:tab w:val="left" w:pos="8080"/>
        </w:tabs>
        <w:ind w:left="851" w:right="616"/>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Las resoluciones del Comité en las que se haya determinado confirmar o modificar la clasificación de información pública como reservada, deberán incluir, cuando menos:</w:t>
      </w:r>
    </w:p>
    <w:p w14:paraId="5A59E4FD" w14:textId="77777777" w:rsidR="00AA685F" w:rsidRPr="00FC0BE9" w:rsidRDefault="00B85946">
      <w:pPr>
        <w:tabs>
          <w:tab w:val="left" w:pos="851"/>
          <w:tab w:val="left" w:pos="8080"/>
        </w:tabs>
        <w:ind w:left="851" w:right="616"/>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I. Los motivos y razonamientos que sustenten la confirmación o modificación de la prueba de daño;</w:t>
      </w:r>
    </w:p>
    <w:p w14:paraId="45B2A337" w14:textId="77777777" w:rsidR="00AA685F" w:rsidRPr="00FC0BE9" w:rsidRDefault="00B85946">
      <w:pPr>
        <w:tabs>
          <w:tab w:val="left" w:pos="851"/>
          <w:tab w:val="left" w:pos="8080"/>
        </w:tabs>
        <w:ind w:left="851" w:right="616"/>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II. Descripción de las partes o secciones reservadas, en caso de clasificación parcial;</w:t>
      </w:r>
    </w:p>
    <w:p w14:paraId="712C3EA2" w14:textId="77777777" w:rsidR="00AA685F" w:rsidRPr="00FC0BE9" w:rsidRDefault="00B85946">
      <w:pPr>
        <w:tabs>
          <w:tab w:val="left" w:pos="851"/>
          <w:tab w:val="left" w:pos="8080"/>
        </w:tabs>
        <w:ind w:left="851" w:right="616"/>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III. El periodo por el que mantendrá su clasificación y fecha de expiración; y</w:t>
      </w:r>
    </w:p>
    <w:p w14:paraId="496BBBE5" w14:textId="77777777" w:rsidR="00AA685F" w:rsidRPr="00FC0BE9" w:rsidRDefault="00B85946">
      <w:pPr>
        <w:tabs>
          <w:tab w:val="left" w:pos="851"/>
          <w:tab w:val="left" w:pos="8080"/>
        </w:tabs>
        <w:ind w:left="851" w:right="616"/>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IV. El nombre del titular y área encargada de realizar la versión pública del documento, en su caso.</w:t>
      </w:r>
    </w:p>
    <w:p w14:paraId="45142186" w14:textId="77777777" w:rsidR="00AA685F" w:rsidRPr="00FC0BE9" w:rsidRDefault="00B85946">
      <w:pPr>
        <w:tabs>
          <w:tab w:val="left" w:pos="851"/>
          <w:tab w:val="left" w:pos="8080"/>
        </w:tabs>
        <w:ind w:left="851" w:right="616"/>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3056E9A6" w14:textId="77777777" w:rsidR="00AA685F" w:rsidRPr="00FC0BE9" w:rsidRDefault="00B85946">
      <w:pPr>
        <w:tabs>
          <w:tab w:val="left" w:pos="851"/>
          <w:tab w:val="left" w:pos="8080"/>
        </w:tabs>
        <w:ind w:left="851" w:right="616"/>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114E4239" w14:textId="77777777" w:rsidR="00AA685F" w:rsidRPr="00FC0BE9" w:rsidRDefault="00B85946">
      <w:pPr>
        <w:tabs>
          <w:tab w:val="left" w:pos="851"/>
          <w:tab w:val="left" w:pos="8080"/>
        </w:tabs>
        <w:ind w:left="851" w:right="616"/>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b/>
          <w:i/>
          <w:sz w:val="22"/>
          <w:szCs w:val="22"/>
        </w:rPr>
        <w:t>Quincuagésimo segundo</w:t>
      </w:r>
      <w:r w:rsidRPr="00FC0BE9">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024F520A" w14:textId="77777777" w:rsidR="00AA685F" w:rsidRPr="00FC0BE9" w:rsidRDefault="00B85946">
      <w:pPr>
        <w:tabs>
          <w:tab w:val="left" w:pos="851"/>
          <w:tab w:val="left" w:pos="8080"/>
        </w:tabs>
        <w:ind w:left="851" w:right="616"/>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380AE821" w14:textId="77777777" w:rsidR="00AA685F" w:rsidRPr="00FC0BE9" w:rsidRDefault="00B85946">
      <w:pPr>
        <w:tabs>
          <w:tab w:val="left" w:pos="851"/>
          <w:tab w:val="left" w:pos="8080"/>
        </w:tabs>
        <w:ind w:left="851" w:right="616"/>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1578110F" w14:textId="77777777" w:rsidR="00AA685F" w:rsidRPr="00FC0BE9" w:rsidRDefault="00B85946">
      <w:pPr>
        <w:tabs>
          <w:tab w:val="left" w:pos="851"/>
          <w:tab w:val="left" w:pos="8080"/>
        </w:tabs>
        <w:ind w:left="851" w:right="616"/>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3A33397A" w14:textId="77777777" w:rsidR="00AA685F" w:rsidRPr="00FC0BE9" w:rsidRDefault="00B85946">
      <w:pPr>
        <w:tabs>
          <w:tab w:val="left" w:pos="851"/>
          <w:tab w:val="left" w:pos="8080"/>
        </w:tabs>
        <w:ind w:left="851" w:right="616"/>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III. Señalar las personas o instancias autorizadas a acceder a la información clasificada.</w:t>
      </w:r>
    </w:p>
    <w:p w14:paraId="5A30CCAB" w14:textId="77777777" w:rsidR="00AA685F" w:rsidRPr="00FC0BE9" w:rsidRDefault="00B85946">
      <w:pPr>
        <w:tabs>
          <w:tab w:val="left" w:pos="851"/>
          <w:tab w:val="left" w:pos="8080"/>
        </w:tabs>
        <w:ind w:left="851" w:right="616"/>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1D28A3AD" w14:textId="77777777" w:rsidR="00AA685F" w:rsidRPr="00FC0BE9" w:rsidRDefault="00B85946">
      <w:pPr>
        <w:tabs>
          <w:tab w:val="left" w:pos="851"/>
          <w:tab w:val="left" w:pos="8080"/>
        </w:tabs>
        <w:ind w:left="851" w:right="616"/>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w:t>
      </w:r>
    </w:p>
    <w:p w14:paraId="3B1BD85F" w14:textId="77777777" w:rsidR="00AA685F" w:rsidRPr="00FC0BE9" w:rsidRDefault="00B85946">
      <w:pPr>
        <w:tabs>
          <w:tab w:val="left" w:pos="851"/>
          <w:tab w:val="left" w:pos="8080"/>
        </w:tabs>
        <w:ind w:left="851" w:right="616"/>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36489B04" w14:textId="77777777" w:rsidR="00AA685F" w:rsidRPr="00FC0BE9" w:rsidRDefault="00B85946">
      <w:pPr>
        <w:tabs>
          <w:tab w:val="left" w:pos="851"/>
          <w:tab w:val="left" w:pos="8080"/>
        </w:tabs>
        <w:ind w:left="851" w:right="616"/>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i/>
          <w:sz w:val="22"/>
          <w:szCs w:val="22"/>
        </w:rPr>
        <w:t>Quincuagésimo quinto.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r w:rsidRPr="00FC0BE9">
        <w:rPr>
          <w:rFonts w:ascii="Palatino Linotype" w:eastAsia="Palatino Linotype" w:hAnsi="Palatino Linotype" w:cs="Palatino Linotype"/>
          <w:sz w:val="22"/>
          <w:szCs w:val="22"/>
        </w:rPr>
        <w:t>.</w:t>
      </w:r>
    </w:p>
    <w:p w14:paraId="1A6FAE84"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4986AB0F" w14:textId="77777777" w:rsidR="00AA685F" w:rsidRPr="00FC0BE9"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Efectivamente, cuando se clasifica información como confidencial es importante someterlo al Comité de Transparencia, quien debe confirmar, modificar o revocar la clasificación.</w:t>
      </w:r>
    </w:p>
    <w:p w14:paraId="4E5D45A0"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6B44E988" w14:textId="77777777" w:rsidR="00AA685F" w:rsidRPr="00FC0BE9" w:rsidRDefault="00B85946">
      <w:pPr>
        <w:shd w:val="clear" w:color="auto" w:fill="FFFFFF"/>
        <w:spacing w:line="360" w:lineRule="auto"/>
        <w:ind w:right="51"/>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 xml:space="preserve">Por lo tanto, la entrega de documentos en su versión pública debe acompañarse necesariamente del Acuerdo del Comité de Transparencia que la sustente, en el que se expongan los fundamentos y razonamientos que llevaron al </w:t>
      </w:r>
      <w:r w:rsidRPr="00FC0BE9">
        <w:rPr>
          <w:rFonts w:ascii="Palatino Linotype" w:eastAsia="Palatino Linotype" w:hAnsi="Palatino Linotype" w:cs="Palatino Linotype"/>
          <w:b/>
          <w:sz w:val="22"/>
          <w:szCs w:val="22"/>
        </w:rPr>
        <w:t>Sujeto Obligado</w:t>
      </w:r>
      <w:r w:rsidRPr="00FC0BE9">
        <w:rPr>
          <w:rFonts w:ascii="Palatino Linotype" w:eastAsia="Palatino Linotype" w:hAnsi="Palatino Linotype" w:cs="Palatino Linotype"/>
          <w:sz w:val="22"/>
          <w:szCs w:val="22"/>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FC0BE9">
        <w:rPr>
          <w:rFonts w:ascii="Palatino Linotype" w:eastAsia="Palatino Linotype" w:hAnsi="Palatino Linotype" w:cs="Palatino Linotype"/>
          <w:b/>
          <w:sz w:val="22"/>
          <w:szCs w:val="22"/>
        </w:rPr>
        <w:t>Recurrente</w:t>
      </w:r>
      <w:r w:rsidRPr="00FC0BE9">
        <w:rPr>
          <w:rFonts w:ascii="Palatino Linotype" w:eastAsia="Palatino Linotype" w:hAnsi="Palatino Linotype" w:cs="Palatino Linotype"/>
          <w:sz w:val="22"/>
          <w:szCs w:val="22"/>
        </w:rPr>
        <w:t>.</w:t>
      </w:r>
    </w:p>
    <w:p w14:paraId="4DC00183" w14:textId="77777777" w:rsidR="00AA685F" w:rsidRPr="00FC0BE9" w:rsidRDefault="00AA685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A06E936" w14:textId="77777777" w:rsidR="00AA685F" w:rsidRPr="00FC0BE9" w:rsidRDefault="00B8594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Así, con fundamento en lo prescrito en los artículos 5 párrafos trigésimo noveno, cuadragésimo y cuadragésimo primero de la Constitución Política del Estado Libre y Soberano de México; 2, fracción II; 29, 36 fracciones I y II; 176, 178, 181, 185, fracción I, 186, fracción III, así como 188 de la Ley de Transparencia y Acceso a la Información Pública del Estado de México y Municipios, este Pleno:</w:t>
      </w:r>
    </w:p>
    <w:p w14:paraId="562DA8AA" w14:textId="77777777" w:rsidR="00AA685F" w:rsidRPr="00FC0BE9" w:rsidRDefault="00AA685F">
      <w:pPr>
        <w:pBdr>
          <w:top w:val="nil"/>
          <w:left w:val="nil"/>
          <w:bottom w:val="nil"/>
          <w:right w:val="nil"/>
          <w:between w:val="nil"/>
        </w:pBdr>
        <w:tabs>
          <w:tab w:val="center" w:pos="4252"/>
          <w:tab w:val="right" w:pos="8504"/>
          <w:tab w:val="left" w:pos="7770"/>
          <w:tab w:val="right" w:pos="8838"/>
        </w:tabs>
        <w:spacing w:line="360" w:lineRule="auto"/>
        <w:jc w:val="both"/>
        <w:rPr>
          <w:rFonts w:ascii="Palatino Linotype" w:eastAsia="Palatino Linotype" w:hAnsi="Palatino Linotype" w:cs="Palatino Linotype"/>
          <w:sz w:val="22"/>
          <w:szCs w:val="22"/>
        </w:rPr>
      </w:pPr>
    </w:p>
    <w:p w14:paraId="30AC58C0" w14:textId="77777777" w:rsidR="00AA685F" w:rsidRPr="00FC0BE9" w:rsidRDefault="00B85946">
      <w:p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bookmarkStart w:id="10" w:name="_heading=h.ijv98pntcd5s" w:colFirst="0" w:colLast="0"/>
      <w:bookmarkEnd w:id="10"/>
      <w:r w:rsidRPr="00FC0BE9">
        <w:rPr>
          <w:rFonts w:ascii="Palatino Linotype" w:eastAsia="Palatino Linotype" w:hAnsi="Palatino Linotype" w:cs="Palatino Linotype"/>
          <w:b/>
          <w:sz w:val="22"/>
          <w:szCs w:val="22"/>
        </w:rPr>
        <w:t>III. R E S U E L V E</w:t>
      </w:r>
    </w:p>
    <w:p w14:paraId="5ED5932B" w14:textId="77777777" w:rsidR="00AA685F" w:rsidRPr="00FC0BE9" w:rsidRDefault="00AA685F">
      <w:pPr>
        <w:spacing w:line="360" w:lineRule="auto"/>
        <w:jc w:val="both"/>
        <w:rPr>
          <w:rFonts w:ascii="Palatino Linotype" w:eastAsia="Palatino Linotype" w:hAnsi="Palatino Linotype" w:cs="Palatino Linotype"/>
          <w:b/>
          <w:sz w:val="22"/>
          <w:szCs w:val="22"/>
        </w:rPr>
      </w:pPr>
      <w:bookmarkStart w:id="11" w:name="_heading=h.26in1rg" w:colFirst="0" w:colLast="0"/>
      <w:bookmarkEnd w:id="11"/>
    </w:p>
    <w:p w14:paraId="427BB528" w14:textId="77777777" w:rsidR="00AA685F" w:rsidRPr="00FC0BE9" w:rsidRDefault="00B85946">
      <w:pPr>
        <w:spacing w:line="360" w:lineRule="auto"/>
        <w:jc w:val="both"/>
        <w:rPr>
          <w:rFonts w:ascii="Palatino Linotype" w:eastAsia="Palatino Linotype" w:hAnsi="Palatino Linotype" w:cs="Palatino Linotype"/>
          <w:b/>
          <w:sz w:val="22"/>
          <w:szCs w:val="22"/>
        </w:rPr>
      </w:pPr>
      <w:bookmarkStart w:id="12" w:name="_heading=h.h7nzb79wlra" w:colFirst="0" w:colLast="0"/>
      <w:bookmarkEnd w:id="12"/>
      <w:r w:rsidRPr="00FC0BE9">
        <w:rPr>
          <w:rFonts w:ascii="Palatino Linotype" w:eastAsia="Palatino Linotype" w:hAnsi="Palatino Linotype" w:cs="Palatino Linotype"/>
          <w:b/>
          <w:sz w:val="22"/>
          <w:szCs w:val="22"/>
        </w:rPr>
        <w:t xml:space="preserve">Primero. </w:t>
      </w:r>
      <w:r w:rsidRPr="00FC0BE9">
        <w:rPr>
          <w:rFonts w:ascii="Palatino Linotype" w:eastAsia="Palatino Linotype" w:hAnsi="Palatino Linotype" w:cs="Palatino Linotype"/>
          <w:sz w:val="22"/>
          <w:szCs w:val="22"/>
        </w:rPr>
        <w:t xml:space="preserve">Resultan </w:t>
      </w:r>
      <w:r w:rsidRPr="00FC0BE9">
        <w:rPr>
          <w:rFonts w:ascii="Palatino Linotype" w:eastAsia="Palatino Linotype" w:hAnsi="Palatino Linotype" w:cs="Palatino Linotype"/>
          <w:b/>
          <w:sz w:val="22"/>
          <w:szCs w:val="22"/>
        </w:rPr>
        <w:t>parcialmente</w:t>
      </w:r>
      <w:r w:rsidRPr="00FC0BE9">
        <w:rPr>
          <w:rFonts w:ascii="Palatino Linotype" w:eastAsia="Palatino Linotype" w:hAnsi="Palatino Linotype" w:cs="Palatino Linotype"/>
          <w:sz w:val="22"/>
          <w:szCs w:val="22"/>
        </w:rPr>
        <w:t xml:space="preserve"> </w:t>
      </w:r>
      <w:r w:rsidRPr="00FC0BE9">
        <w:rPr>
          <w:rFonts w:ascii="Palatino Linotype" w:eastAsia="Palatino Linotype" w:hAnsi="Palatino Linotype" w:cs="Palatino Linotype"/>
          <w:b/>
          <w:sz w:val="22"/>
          <w:szCs w:val="22"/>
        </w:rPr>
        <w:t>fundadas</w:t>
      </w:r>
      <w:r w:rsidRPr="00FC0BE9">
        <w:rPr>
          <w:rFonts w:ascii="Palatino Linotype" w:eastAsia="Palatino Linotype" w:hAnsi="Palatino Linotype" w:cs="Palatino Linotype"/>
          <w:sz w:val="22"/>
          <w:szCs w:val="22"/>
        </w:rPr>
        <w:t xml:space="preserve"> las razones o motivos de inconformidad hechos valer por la parte</w:t>
      </w:r>
      <w:r w:rsidRPr="00FC0BE9">
        <w:rPr>
          <w:rFonts w:ascii="Palatino Linotype" w:eastAsia="Palatino Linotype" w:hAnsi="Palatino Linotype" w:cs="Palatino Linotype"/>
          <w:b/>
          <w:sz w:val="22"/>
          <w:szCs w:val="22"/>
        </w:rPr>
        <w:t xml:space="preserve"> Recurrente</w:t>
      </w:r>
      <w:r w:rsidRPr="00FC0BE9">
        <w:rPr>
          <w:rFonts w:ascii="Palatino Linotype" w:eastAsia="Palatino Linotype" w:hAnsi="Palatino Linotype" w:cs="Palatino Linotype"/>
          <w:sz w:val="22"/>
          <w:szCs w:val="22"/>
        </w:rPr>
        <w:t xml:space="preserve"> en el recurso de revisión </w:t>
      </w:r>
      <w:r w:rsidRPr="00FC0BE9">
        <w:rPr>
          <w:rFonts w:ascii="Palatino Linotype" w:eastAsia="Palatino Linotype" w:hAnsi="Palatino Linotype" w:cs="Palatino Linotype"/>
          <w:b/>
          <w:sz w:val="22"/>
          <w:szCs w:val="22"/>
        </w:rPr>
        <w:t>06849/INFOEM/IP/RR/2025</w:t>
      </w:r>
      <w:r w:rsidRPr="00FC0BE9">
        <w:rPr>
          <w:rFonts w:ascii="Palatino Linotype" w:eastAsia="Palatino Linotype" w:hAnsi="Palatino Linotype" w:cs="Palatino Linotype"/>
          <w:sz w:val="22"/>
          <w:szCs w:val="22"/>
        </w:rPr>
        <w:t xml:space="preserve">; por lo que, en términos del </w:t>
      </w:r>
      <w:r w:rsidRPr="00FC0BE9">
        <w:rPr>
          <w:rFonts w:ascii="Palatino Linotype" w:eastAsia="Palatino Linotype" w:hAnsi="Palatino Linotype" w:cs="Palatino Linotype"/>
          <w:b/>
          <w:sz w:val="22"/>
          <w:szCs w:val="22"/>
        </w:rPr>
        <w:t>Considerando</w:t>
      </w:r>
      <w:r w:rsidRPr="00FC0BE9">
        <w:rPr>
          <w:rFonts w:ascii="Palatino Linotype" w:eastAsia="Palatino Linotype" w:hAnsi="Palatino Linotype" w:cs="Palatino Linotype"/>
          <w:sz w:val="22"/>
          <w:szCs w:val="22"/>
        </w:rPr>
        <w:t xml:space="preserve"> </w:t>
      </w:r>
      <w:r w:rsidRPr="00FC0BE9">
        <w:rPr>
          <w:rFonts w:ascii="Palatino Linotype" w:eastAsia="Palatino Linotype" w:hAnsi="Palatino Linotype" w:cs="Palatino Linotype"/>
          <w:b/>
          <w:sz w:val="22"/>
          <w:szCs w:val="22"/>
        </w:rPr>
        <w:t xml:space="preserve">Cuarto </w:t>
      </w:r>
      <w:r w:rsidRPr="00FC0BE9">
        <w:rPr>
          <w:rFonts w:ascii="Palatino Linotype" w:eastAsia="Palatino Linotype" w:hAnsi="Palatino Linotype" w:cs="Palatino Linotype"/>
          <w:sz w:val="22"/>
          <w:szCs w:val="22"/>
        </w:rPr>
        <w:t xml:space="preserve">de esta resolución, se </w:t>
      </w:r>
      <w:r w:rsidRPr="00FC0BE9">
        <w:rPr>
          <w:rFonts w:ascii="Palatino Linotype" w:eastAsia="Palatino Linotype" w:hAnsi="Palatino Linotype" w:cs="Palatino Linotype"/>
          <w:b/>
          <w:sz w:val="22"/>
          <w:szCs w:val="22"/>
        </w:rPr>
        <w:t xml:space="preserve">Modifica </w:t>
      </w:r>
      <w:r w:rsidRPr="00FC0BE9">
        <w:rPr>
          <w:rFonts w:ascii="Palatino Linotype" w:eastAsia="Palatino Linotype" w:hAnsi="Palatino Linotype" w:cs="Palatino Linotype"/>
          <w:sz w:val="22"/>
          <w:szCs w:val="22"/>
        </w:rPr>
        <w:t xml:space="preserve">la respuesta emitida por el </w:t>
      </w:r>
      <w:r w:rsidRPr="00FC0BE9">
        <w:rPr>
          <w:rFonts w:ascii="Palatino Linotype" w:eastAsia="Palatino Linotype" w:hAnsi="Palatino Linotype" w:cs="Palatino Linotype"/>
          <w:b/>
          <w:sz w:val="22"/>
          <w:szCs w:val="22"/>
        </w:rPr>
        <w:t>Sujeto Obligado.</w:t>
      </w:r>
    </w:p>
    <w:p w14:paraId="1EE1A5E3" w14:textId="77777777" w:rsidR="00AA685F" w:rsidRPr="00FC0BE9" w:rsidRDefault="00AA685F">
      <w:pPr>
        <w:spacing w:line="360" w:lineRule="auto"/>
        <w:jc w:val="both"/>
        <w:rPr>
          <w:rFonts w:ascii="Palatino Linotype" w:eastAsia="Palatino Linotype" w:hAnsi="Palatino Linotype" w:cs="Palatino Linotype"/>
          <w:b/>
          <w:sz w:val="22"/>
          <w:szCs w:val="22"/>
        </w:rPr>
      </w:pPr>
    </w:p>
    <w:p w14:paraId="51A5AD96" w14:textId="77777777" w:rsidR="00AA685F" w:rsidRPr="00FC0BE9" w:rsidRDefault="00B85946">
      <w:pPr>
        <w:spacing w:line="360" w:lineRule="auto"/>
        <w:jc w:val="both"/>
        <w:rPr>
          <w:rFonts w:ascii="Palatino Linotype" w:eastAsia="Palatino Linotype" w:hAnsi="Palatino Linotype" w:cs="Palatino Linotype"/>
          <w:sz w:val="22"/>
          <w:szCs w:val="22"/>
        </w:rPr>
      </w:pPr>
      <w:bookmarkStart w:id="13" w:name="_heading=h.2et92p0" w:colFirst="0" w:colLast="0"/>
      <w:bookmarkEnd w:id="13"/>
      <w:r w:rsidRPr="00FC0BE9">
        <w:rPr>
          <w:rFonts w:ascii="Palatino Linotype" w:eastAsia="Palatino Linotype" w:hAnsi="Palatino Linotype" w:cs="Palatino Linotype"/>
          <w:b/>
          <w:sz w:val="22"/>
          <w:szCs w:val="22"/>
        </w:rPr>
        <w:t xml:space="preserve">Segundo. </w:t>
      </w:r>
      <w:r w:rsidRPr="00FC0BE9">
        <w:rPr>
          <w:rFonts w:ascii="Palatino Linotype" w:eastAsia="Palatino Linotype" w:hAnsi="Palatino Linotype" w:cs="Palatino Linotype"/>
          <w:sz w:val="22"/>
          <w:szCs w:val="22"/>
        </w:rPr>
        <w:t xml:space="preserve">Se </w:t>
      </w:r>
      <w:r w:rsidRPr="00FC0BE9">
        <w:rPr>
          <w:rFonts w:ascii="Palatino Linotype" w:eastAsia="Palatino Linotype" w:hAnsi="Palatino Linotype" w:cs="Palatino Linotype"/>
          <w:b/>
          <w:sz w:val="22"/>
          <w:szCs w:val="22"/>
        </w:rPr>
        <w:t>Ordena</w:t>
      </w:r>
      <w:r w:rsidRPr="00FC0BE9">
        <w:rPr>
          <w:rFonts w:ascii="Palatino Linotype" w:eastAsia="Palatino Linotype" w:hAnsi="Palatino Linotype" w:cs="Palatino Linotype"/>
          <w:sz w:val="22"/>
          <w:szCs w:val="22"/>
        </w:rPr>
        <w:t xml:space="preserve"> al </w:t>
      </w:r>
      <w:r w:rsidRPr="00FC0BE9">
        <w:rPr>
          <w:rFonts w:ascii="Palatino Linotype" w:eastAsia="Palatino Linotype" w:hAnsi="Palatino Linotype" w:cs="Palatino Linotype"/>
          <w:b/>
          <w:sz w:val="22"/>
          <w:szCs w:val="22"/>
        </w:rPr>
        <w:t>Sujeto Obligado</w:t>
      </w:r>
      <w:r w:rsidRPr="00FC0BE9">
        <w:rPr>
          <w:rFonts w:ascii="Palatino Linotype" w:eastAsia="Palatino Linotype" w:hAnsi="Palatino Linotype" w:cs="Palatino Linotype"/>
          <w:sz w:val="22"/>
          <w:szCs w:val="22"/>
        </w:rPr>
        <w:t xml:space="preserve">, en términos de los considerandos </w:t>
      </w:r>
      <w:r w:rsidRPr="00FC0BE9">
        <w:rPr>
          <w:rFonts w:ascii="Palatino Linotype" w:eastAsia="Palatino Linotype" w:hAnsi="Palatino Linotype" w:cs="Palatino Linotype"/>
          <w:b/>
          <w:sz w:val="22"/>
          <w:szCs w:val="22"/>
        </w:rPr>
        <w:t xml:space="preserve">Cuarto y Quinto </w:t>
      </w:r>
      <w:r w:rsidRPr="00FC0BE9">
        <w:rPr>
          <w:rFonts w:ascii="Palatino Linotype" w:eastAsia="Palatino Linotype" w:hAnsi="Palatino Linotype" w:cs="Palatino Linotype"/>
          <w:sz w:val="22"/>
          <w:szCs w:val="22"/>
        </w:rPr>
        <w:t xml:space="preserve">de esta resolución, </w:t>
      </w:r>
      <w:r w:rsidRPr="00FC0BE9">
        <w:rPr>
          <w:rFonts w:ascii="Palatino Linotype" w:eastAsia="Palatino Linotype" w:hAnsi="Palatino Linotype" w:cs="Palatino Linotype"/>
          <w:b/>
          <w:sz w:val="22"/>
          <w:szCs w:val="22"/>
        </w:rPr>
        <w:t>haga entrega vía Sistema de Acceso a la Información Mexiquense (SAIMEX), del servidor público que ostentó el cargo como Titular de la Contraloría Interna Municipal en 2024, respecto los documentos que integran su expediente laboral y documentos que presentó para participar en la convocatoria para ocupar dicho cargo</w:t>
      </w:r>
      <w:r w:rsidRPr="00FC0BE9">
        <w:rPr>
          <w:rFonts w:ascii="Palatino Linotype" w:eastAsia="Palatino Linotype" w:hAnsi="Palatino Linotype" w:cs="Palatino Linotype"/>
          <w:sz w:val="22"/>
          <w:szCs w:val="22"/>
        </w:rPr>
        <w:t>, lo siguiente:</w:t>
      </w:r>
    </w:p>
    <w:p w14:paraId="5C012F34"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347CC452" w14:textId="77777777" w:rsidR="00AA685F" w:rsidRPr="00FC0BE9" w:rsidRDefault="00B85946">
      <w:pPr>
        <w:numPr>
          <w:ilvl w:val="0"/>
          <w:numId w:val="12"/>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FC0BE9">
        <w:rPr>
          <w:rFonts w:ascii="Palatino Linotype" w:eastAsia="Palatino Linotype" w:hAnsi="Palatino Linotype" w:cs="Palatino Linotype"/>
          <w:b/>
          <w:sz w:val="22"/>
          <w:szCs w:val="22"/>
        </w:rPr>
        <w:t>En versión pública correcta:</w:t>
      </w:r>
    </w:p>
    <w:p w14:paraId="31843CE1" w14:textId="77777777" w:rsidR="00AA685F" w:rsidRPr="00FC0BE9" w:rsidRDefault="00B85946">
      <w:pPr>
        <w:pBdr>
          <w:top w:val="nil"/>
          <w:left w:val="nil"/>
          <w:bottom w:val="nil"/>
          <w:right w:val="nil"/>
          <w:between w:val="nil"/>
        </w:pBdr>
        <w:spacing w:line="360" w:lineRule="auto"/>
        <w:ind w:left="360"/>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-La ficha curricular que presentó con motivo de la convocatoria para participar en el proceso de selección y designación, remitida en respuesta.</w:t>
      </w:r>
    </w:p>
    <w:p w14:paraId="39205B55"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295C8C52" w14:textId="77777777" w:rsidR="00AA685F" w:rsidRPr="00FC0BE9" w:rsidRDefault="00B85946">
      <w:pPr>
        <w:numPr>
          <w:ilvl w:val="0"/>
          <w:numId w:val="12"/>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FC0BE9">
        <w:rPr>
          <w:rFonts w:ascii="Palatino Linotype" w:eastAsia="Palatino Linotype" w:hAnsi="Palatino Linotype" w:cs="Palatino Linotype"/>
          <w:b/>
          <w:sz w:val="22"/>
          <w:szCs w:val="22"/>
        </w:rPr>
        <w:t>De ser procedente en versión pública:</w:t>
      </w:r>
    </w:p>
    <w:p w14:paraId="5E7FE15B" w14:textId="77777777" w:rsidR="00AA685F" w:rsidRPr="00FC0BE9" w:rsidRDefault="00B85946">
      <w:pPr>
        <w:pBdr>
          <w:top w:val="nil"/>
          <w:left w:val="nil"/>
          <w:bottom w:val="nil"/>
          <w:right w:val="nil"/>
          <w:between w:val="nil"/>
        </w:pBdr>
        <w:spacing w:line="360" w:lineRule="auto"/>
        <w:ind w:left="360"/>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-El informe de no antecedentes penales, referido en respuesta.</w:t>
      </w:r>
    </w:p>
    <w:p w14:paraId="6AF54968" w14:textId="77777777" w:rsidR="00AA685F" w:rsidRPr="00FC0BE9" w:rsidRDefault="00B85946">
      <w:pPr>
        <w:pBdr>
          <w:top w:val="nil"/>
          <w:left w:val="nil"/>
          <w:bottom w:val="nil"/>
          <w:right w:val="nil"/>
          <w:between w:val="nil"/>
        </w:pBdr>
        <w:spacing w:line="360" w:lineRule="auto"/>
        <w:ind w:left="360"/>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w:t>
      </w:r>
      <w:r w:rsidRPr="00FC0BE9">
        <w:t xml:space="preserve">El </w:t>
      </w:r>
      <w:r w:rsidRPr="00FC0BE9">
        <w:rPr>
          <w:rFonts w:ascii="Palatino Linotype" w:eastAsia="Palatino Linotype" w:hAnsi="Palatino Linotype" w:cs="Palatino Linotype"/>
          <w:sz w:val="22"/>
          <w:szCs w:val="22"/>
        </w:rPr>
        <w:t>certificado de no deudor alimentario moroso, referido en respuesta.</w:t>
      </w:r>
    </w:p>
    <w:p w14:paraId="5F0E0374" w14:textId="77777777" w:rsidR="00AA685F" w:rsidRPr="00FC0BE9" w:rsidRDefault="00B85946">
      <w:pPr>
        <w:pBdr>
          <w:top w:val="nil"/>
          <w:left w:val="nil"/>
          <w:bottom w:val="nil"/>
          <w:right w:val="nil"/>
          <w:between w:val="nil"/>
        </w:pBdr>
        <w:spacing w:line="360" w:lineRule="auto"/>
        <w:ind w:left="360"/>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w:t>
      </w:r>
      <w:r w:rsidRPr="00FC0BE9">
        <w:t xml:space="preserve">El </w:t>
      </w:r>
      <w:r w:rsidRPr="00FC0BE9">
        <w:rPr>
          <w:rFonts w:ascii="Palatino Linotype" w:eastAsia="Palatino Linotype" w:hAnsi="Palatino Linotype" w:cs="Palatino Linotype"/>
          <w:sz w:val="22"/>
          <w:szCs w:val="22"/>
        </w:rPr>
        <w:t>nombramiento, formato único de movimientos de personal o documento análogo.</w:t>
      </w:r>
    </w:p>
    <w:p w14:paraId="37A76FE7" w14:textId="77777777" w:rsidR="00AA685F" w:rsidRPr="00FC0BE9" w:rsidRDefault="00B85946">
      <w:pPr>
        <w:pBdr>
          <w:top w:val="nil"/>
          <w:left w:val="nil"/>
          <w:bottom w:val="nil"/>
          <w:right w:val="nil"/>
          <w:between w:val="nil"/>
        </w:pBdr>
        <w:spacing w:line="360" w:lineRule="auto"/>
        <w:ind w:left="360"/>
        <w:jc w:val="both"/>
        <w:rPr>
          <w:rFonts w:ascii="Palatino Linotype" w:eastAsia="Palatino Linotype" w:hAnsi="Palatino Linotype" w:cs="Palatino Linotype"/>
          <w:b/>
          <w:sz w:val="22"/>
          <w:szCs w:val="22"/>
        </w:rPr>
      </w:pPr>
      <w:r w:rsidRPr="00FC0BE9">
        <w:rPr>
          <w:rFonts w:ascii="Palatino Linotype" w:eastAsia="Palatino Linotype" w:hAnsi="Palatino Linotype" w:cs="Palatino Linotype"/>
          <w:sz w:val="22"/>
          <w:szCs w:val="22"/>
        </w:rPr>
        <w:t>-La carta bajo protesta de decir verdad, en la que la o el aspirante manifieste que, no ha sido condenado(a) por delito intencional que amerite pena privativa de la libertad; y que no ha sido condenado(a) por delito que se tratare de robo, fraude, falsificación, abuso de confianza o enriquecimiento ilícito cometido contra la administración pública; que no ha sido condenado(a) por sentencia ejecutoriada por delito de violencia política contra las mujeres en razón de género; y además, que no ha sido condenado(a) por sentencia ejecutoriada por delitos de violencia familiar, contra la libertad sexual o la violencia de género.</w:t>
      </w:r>
    </w:p>
    <w:p w14:paraId="2D7CC6F0" w14:textId="77777777" w:rsidR="00AA685F" w:rsidRPr="00FC0BE9" w:rsidRDefault="00AA685F">
      <w:pPr>
        <w:pBdr>
          <w:top w:val="nil"/>
          <w:left w:val="nil"/>
          <w:bottom w:val="nil"/>
          <w:right w:val="nil"/>
          <w:between w:val="nil"/>
        </w:pBdr>
        <w:spacing w:line="360" w:lineRule="auto"/>
        <w:ind w:left="360"/>
        <w:jc w:val="both"/>
        <w:rPr>
          <w:rFonts w:ascii="Palatino Linotype" w:eastAsia="Palatino Linotype" w:hAnsi="Palatino Linotype" w:cs="Palatino Linotype"/>
          <w:sz w:val="22"/>
          <w:szCs w:val="22"/>
        </w:rPr>
      </w:pPr>
    </w:p>
    <w:p w14:paraId="26E8ACBF" w14:textId="77777777" w:rsidR="00AA685F" w:rsidRPr="00FC0BE9" w:rsidRDefault="00B85946">
      <w:pPr>
        <w:numPr>
          <w:ilvl w:val="0"/>
          <w:numId w:val="12"/>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FC0BE9">
        <w:rPr>
          <w:rFonts w:ascii="Palatino Linotype" w:eastAsia="Palatino Linotype" w:hAnsi="Palatino Linotype" w:cs="Palatino Linotype"/>
          <w:b/>
          <w:sz w:val="22"/>
          <w:szCs w:val="22"/>
        </w:rPr>
        <w:t>En versión íntegra:</w:t>
      </w:r>
    </w:p>
    <w:p w14:paraId="4737E0C5" w14:textId="77777777" w:rsidR="00AA685F" w:rsidRPr="00FC0BE9" w:rsidRDefault="00B85946">
      <w:pPr>
        <w:pBdr>
          <w:top w:val="nil"/>
          <w:left w:val="nil"/>
          <w:bottom w:val="nil"/>
          <w:right w:val="nil"/>
          <w:between w:val="nil"/>
        </w:pBdr>
        <w:spacing w:line="360" w:lineRule="auto"/>
        <w:ind w:left="360"/>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w:t>
      </w:r>
      <w:r w:rsidRPr="00FC0BE9">
        <w:t xml:space="preserve">El </w:t>
      </w:r>
      <w:r w:rsidRPr="00FC0BE9">
        <w:rPr>
          <w:rFonts w:ascii="Palatino Linotype" w:eastAsia="Palatino Linotype" w:hAnsi="Palatino Linotype" w:cs="Palatino Linotype"/>
          <w:sz w:val="22"/>
          <w:szCs w:val="22"/>
        </w:rPr>
        <w:t>Título profesional de Licenciado en Administración de Empresas y el Grado de Maestro en Auditoría, remitidos en respuesta</w:t>
      </w:r>
    </w:p>
    <w:p w14:paraId="45B6C70C"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0FFEFD44" w14:textId="77777777" w:rsidR="00AA685F" w:rsidRPr="00FC0BE9" w:rsidRDefault="00B85946">
      <w:pPr>
        <w:spacing w:line="276" w:lineRule="auto"/>
        <w:ind w:left="426" w:right="191"/>
        <w:jc w:val="both"/>
        <w:rPr>
          <w:rFonts w:ascii="Palatino Linotype" w:eastAsia="Palatino Linotype" w:hAnsi="Palatino Linotype" w:cs="Palatino Linotype"/>
          <w:i/>
          <w:sz w:val="22"/>
          <w:szCs w:val="22"/>
        </w:rPr>
      </w:pPr>
      <w:r w:rsidRPr="00FC0BE9">
        <w:rPr>
          <w:rFonts w:ascii="Palatino Linotype" w:eastAsia="Palatino Linotype" w:hAnsi="Palatino Linotype" w:cs="Palatino Linotype"/>
          <w:i/>
          <w:sz w:val="22"/>
          <w:szCs w:val="22"/>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w:t>
      </w:r>
      <w:r w:rsidRPr="00FC0BE9">
        <w:rPr>
          <w:rFonts w:ascii="Palatino Linotype" w:eastAsia="Palatino Linotype" w:hAnsi="Palatino Linotype" w:cs="Palatino Linotype"/>
          <w:b/>
          <w:i/>
          <w:sz w:val="22"/>
          <w:szCs w:val="22"/>
        </w:rPr>
        <w:t>la parte Recurrente</w:t>
      </w:r>
      <w:r w:rsidRPr="00FC0BE9">
        <w:rPr>
          <w:rFonts w:ascii="Palatino Linotype" w:eastAsia="Palatino Linotype" w:hAnsi="Palatino Linotype" w:cs="Palatino Linotype"/>
          <w:i/>
          <w:sz w:val="22"/>
          <w:szCs w:val="22"/>
        </w:rPr>
        <w:t xml:space="preserve">, mismo que igualmente hará de su conocimiento, en el que se incluyan los fundamentos y motivos de la clasificación </w:t>
      </w:r>
      <w:r w:rsidRPr="00FC0BE9">
        <w:rPr>
          <w:rFonts w:ascii="Palatino Linotype" w:eastAsia="Palatino Linotype" w:hAnsi="Palatino Linotype" w:cs="Palatino Linotype"/>
          <w:b/>
          <w:i/>
          <w:sz w:val="22"/>
          <w:szCs w:val="22"/>
          <w:u w:val="single"/>
        </w:rPr>
        <w:t>en su totalidad como información confidencial las documentales correspondientes.</w:t>
      </w:r>
    </w:p>
    <w:p w14:paraId="4446CE61"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6B682D50" w14:textId="77777777" w:rsidR="00AA685F" w:rsidRPr="00FC0BE9" w:rsidRDefault="00B85946">
      <w:pPr>
        <w:spacing w:line="360" w:lineRule="auto"/>
        <w:jc w:val="both"/>
        <w:rPr>
          <w:rFonts w:ascii="Palatino Linotype" w:eastAsia="Palatino Linotype" w:hAnsi="Palatino Linotype" w:cs="Palatino Linotype"/>
          <w:sz w:val="22"/>
          <w:szCs w:val="22"/>
        </w:rPr>
      </w:pPr>
      <w:bookmarkStart w:id="14" w:name="_heading=h.59npxyxpomjd" w:colFirst="0" w:colLast="0"/>
      <w:bookmarkEnd w:id="14"/>
      <w:r w:rsidRPr="00FC0BE9">
        <w:rPr>
          <w:rFonts w:ascii="Palatino Linotype" w:eastAsia="Palatino Linotype" w:hAnsi="Palatino Linotype" w:cs="Palatino Linotype"/>
          <w:b/>
          <w:sz w:val="22"/>
          <w:szCs w:val="22"/>
        </w:rPr>
        <w:t xml:space="preserve">Tercero. Notifíquese, </w:t>
      </w:r>
      <w:r w:rsidRPr="00FC0BE9">
        <w:rPr>
          <w:rFonts w:ascii="Palatino Linotype" w:eastAsia="Palatino Linotype" w:hAnsi="Palatino Linotype" w:cs="Palatino Linotype"/>
          <w:sz w:val="22"/>
          <w:szCs w:val="22"/>
        </w:rPr>
        <w:t xml:space="preserve">vía </w:t>
      </w:r>
      <w:r w:rsidRPr="00FC0BE9">
        <w:rPr>
          <w:rFonts w:ascii="Palatino Linotype" w:eastAsia="Palatino Linotype" w:hAnsi="Palatino Linotype" w:cs="Palatino Linotype"/>
          <w:b/>
          <w:sz w:val="22"/>
          <w:szCs w:val="22"/>
        </w:rPr>
        <w:t>SAIMEX</w:t>
      </w:r>
      <w:r w:rsidRPr="00FC0BE9">
        <w:rPr>
          <w:rFonts w:ascii="Palatino Linotype" w:eastAsia="Palatino Linotype" w:hAnsi="Palatino Linotype" w:cs="Palatino Linotype"/>
          <w:sz w:val="22"/>
          <w:szCs w:val="22"/>
        </w:rPr>
        <w:t xml:space="preserve">, al Titular de la Unidad de Transparencia del </w:t>
      </w:r>
      <w:r w:rsidRPr="00FC0BE9">
        <w:rPr>
          <w:rFonts w:ascii="Palatino Linotype" w:eastAsia="Palatino Linotype" w:hAnsi="Palatino Linotype" w:cs="Palatino Linotype"/>
          <w:b/>
          <w:sz w:val="22"/>
          <w:szCs w:val="22"/>
        </w:rPr>
        <w:t>Sujeto Obligado,</w:t>
      </w:r>
      <w:r w:rsidRPr="00FC0BE9">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69F3A3F" w14:textId="77777777" w:rsidR="00AA685F" w:rsidRPr="00FC0BE9" w:rsidRDefault="00AA685F">
      <w:pPr>
        <w:spacing w:line="360" w:lineRule="auto"/>
        <w:jc w:val="both"/>
        <w:rPr>
          <w:rFonts w:ascii="Palatino Linotype" w:eastAsia="Palatino Linotype" w:hAnsi="Palatino Linotype" w:cs="Palatino Linotype"/>
          <w:sz w:val="22"/>
          <w:szCs w:val="22"/>
        </w:rPr>
      </w:pPr>
    </w:p>
    <w:p w14:paraId="758A30D1" w14:textId="77777777" w:rsidR="00AA685F" w:rsidRPr="00FC0BE9" w:rsidRDefault="00B85946">
      <w:pPr>
        <w:spacing w:line="360" w:lineRule="auto"/>
        <w:ind w:right="49"/>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b/>
          <w:sz w:val="22"/>
          <w:szCs w:val="22"/>
        </w:rPr>
        <w:t>Cuarto.</w:t>
      </w:r>
      <w:r w:rsidRPr="00FC0BE9">
        <w:rPr>
          <w:rFonts w:ascii="Palatino Linotype" w:eastAsia="Palatino Linotype" w:hAnsi="Palatino Linotype" w:cs="Palatino Linotype"/>
          <w:sz w:val="22"/>
          <w:szCs w:val="22"/>
        </w:rPr>
        <w:t xml:space="preserve"> </w:t>
      </w:r>
      <w:r w:rsidRPr="00FC0BE9">
        <w:rPr>
          <w:rFonts w:ascii="Palatino Linotype" w:eastAsia="Palatino Linotype" w:hAnsi="Palatino Linotype" w:cs="Palatino Linotype"/>
          <w:b/>
          <w:sz w:val="22"/>
          <w:szCs w:val="22"/>
        </w:rPr>
        <w:t xml:space="preserve">Notifíquese, </w:t>
      </w:r>
      <w:r w:rsidRPr="00FC0BE9">
        <w:rPr>
          <w:rFonts w:ascii="Palatino Linotype" w:eastAsia="Palatino Linotype" w:hAnsi="Palatino Linotype" w:cs="Palatino Linotype"/>
          <w:sz w:val="22"/>
          <w:szCs w:val="22"/>
        </w:rPr>
        <w:t xml:space="preserve">vía </w:t>
      </w:r>
      <w:r w:rsidRPr="00FC0BE9">
        <w:rPr>
          <w:rFonts w:ascii="Palatino Linotype" w:eastAsia="Palatino Linotype" w:hAnsi="Palatino Linotype" w:cs="Palatino Linotype"/>
          <w:b/>
          <w:sz w:val="22"/>
          <w:szCs w:val="22"/>
        </w:rPr>
        <w:t>SAIMEX</w:t>
      </w:r>
      <w:r w:rsidRPr="00FC0BE9">
        <w:rPr>
          <w:rFonts w:ascii="Palatino Linotype" w:eastAsia="Palatino Linotype" w:hAnsi="Palatino Linotype" w:cs="Palatino Linotype"/>
          <w:sz w:val="22"/>
          <w:szCs w:val="22"/>
        </w:rPr>
        <w:t xml:space="preserve">, al Titular de la Unidad de Transparencia del </w:t>
      </w:r>
      <w:r w:rsidRPr="00FC0BE9">
        <w:rPr>
          <w:rFonts w:ascii="Palatino Linotype" w:eastAsia="Palatino Linotype" w:hAnsi="Palatino Linotype" w:cs="Palatino Linotype"/>
          <w:b/>
          <w:sz w:val="22"/>
          <w:szCs w:val="22"/>
        </w:rPr>
        <w:t>Sujeto Obligado,</w:t>
      </w:r>
      <w:r w:rsidRPr="00FC0BE9">
        <w:rPr>
          <w:rFonts w:ascii="Palatino Linotype" w:eastAsia="Palatino Linotype" w:hAnsi="Palatino Linotype" w:cs="Palatino Linotype"/>
          <w:sz w:val="22"/>
          <w:szCs w:val="22"/>
        </w:rPr>
        <w:t xml:space="preserve"> que de conformidad con el artículo 198 de la Ley de Transparencia y Acceso a la Información Pública del Estado de México y Municipios, de considerarlo procedente, de manera fundada y motivada, podrá solicitar una ampliación de plazo para el cumplimiento de la presente resolución.</w:t>
      </w:r>
    </w:p>
    <w:p w14:paraId="517FA907" w14:textId="77777777" w:rsidR="00AA685F" w:rsidRPr="00FC0BE9" w:rsidRDefault="00AA685F">
      <w:pPr>
        <w:spacing w:line="360" w:lineRule="auto"/>
        <w:ind w:right="49"/>
        <w:jc w:val="both"/>
        <w:rPr>
          <w:rFonts w:ascii="Palatino Linotype" w:eastAsia="Palatino Linotype" w:hAnsi="Palatino Linotype" w:cs="Palatino Linotype"/>
          <w:sz w:val="22"/>
          <w:szCs w:val="22"/>
        </w:rPr>
      </w:pPr>
    </w:p>
    <w:p w14:paraId="298448FC" w14:textId="77777777" w:rsidR="00AA685F" w:rsidRPr="00FC0BE9" w:rsidRDefault="00B85946">
      <w:pPr>
        <w:spacing w:line="360" w:lineRule="auto"/>
        <w:ind w:right="49"/>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b/>
          <w:sz w:val="22"/>
          <w:szCs w:val="22"/>
        </w:rPr>
        <w:t xml:space="preserve">Quinto. Notifíquese vía SAIMEX, </w:t>
      </w:r>
      <w:r w:rsidRPr="00FC0BE9">
        <w:rPr>
          <w:rFonts w:ascii="Palatino Linotype" w:eastAsia="Palatino Linotype" w:hAnsi="Palatino Linotype" w:cs="Palatino Linotype"/>
          <w:sz w:val="22"/>
          <w:szCs w:val="22"/>
        </w:rPr>
        <w:t xml:space="preserve">la presente resolución a la parte </w:t>
      </w:r>
      <w:r w:rsidRPr="00FC0BE9">
        <w:rPr>
          <w:rFonts w:ascii="Palatino Linotype" w:eastAsia="Palatino Linotype" w:hAnsi="Palatino Linotype" w:cs="Palatino Linotype"/>
          <w:b/>
          <w:sz w:val="22"/>
          <w:szCs w:val="22"/>
        </w:rPr>
        <w:t>Recurrente</w:t>
      </w:r>
      <w:r w:rsidRPr="00FC0BE9">
        <w:rPr>
          <w:rFonts w:ascii="Palatino Linotype" w:eastAsia="Palatino Linotype" w:hAnsi="Palatino Linotype" w:cs="Palatino Linotype"/>
          <w:sz w:val="22"/>
          <w:szCs w:val="22"/>
        </w:rPr>
        <w:t>,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52F0C469" w14:textId="77777777" w:rsidR="00AA685F" w:rsidRPr="00FC0BE9" w:rsidRDefault="00AA685F">
      <w:pPr>
        <w:spacing w:line="360" w:lineRule="auto"/>
        <w:ind w:right="49"/>
        <w:jc w:val="both"/>
        <w:rPr>
          <w:rFonts w:ascii="Palatino Linotype" w:eastAsia="Palatino Linotype" w:hAnsi="Palatino Linotype" w:cs="Palatino Linotype"/>
          <w:sz w:val="22"/>
          <w:szCs w:val="22"/>
        </w:rPr>
      </w:pPr>
    </w:p>
    <w:p w14:paraId="79ABDA51" w14:textId="77777777" w:rsidR="00AA685F" w:rsidRPr="00A10666" w:rsidRDefault="00B85946">
      <w:pPr>
        <w:spacing w:line="360" w:lineRule="auto"/>
        <w:jc w:val="both"/>
        <w:rPr>
          <w:rFonts w:ascii="Palatino Linotype" w:eastAsia="Palatino Linotype" w:hAnsi="Palatino Linotype" w:cs="Palatino Linotype"/>
          <w:sz w:val="22"/>
          <w:szCs w:val="22"/>
        </w:rPr>
      </w:pPr>
      <w:r w:rsidRPr="00FC0BE9">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EMITIENDO VOTO PARTICULAR, SHARON CRISTINA MORALES MARTÍNEZ, LUIS GUSTAVO PARRA NORIEGA, EMITIENDO VOTO PARTICULAR Y GUADALUPE RAMÍREZ PEÑA, EMITIENDO VOTO PARTICULAR; EN LA TRIGÉSIMA SÉPTIMA SESIÓN ORDINARIA CELEBRADA EL QUINCE DE OCTUBRE DE DOS MIL VEINTICINCO, ANTE EL SECRETARIO TÉCNICO DEL PLENO ALEXIS TAPIA RAMÍREZ.</w:t>
      </w:r>
      <w:r w:rsidRPr="00A10666">
        <w:rPr>
          <w:rFonts w:ascii="Palatino Linotype" w:eastAsia="Palatino Linotype" w:hAnsi="Palatino Linotype" w:cs="Palatino Linotype"/>
          <w:sz w:val="22"/>
          <w:szCs w:val="22"/>
        </w:rPr>
        <w:t xml:space="preserve"> </w:t>
      </w:r>
    </w:p>
    <w:p w14:paraId="50E33E06" w14:textId="77777777" w:rsidR="00AA685F" w:rsidRPr="00A10666" w:rsidRDefault="00AA685F">
      <w:pPr>
        <w:spacing w:line="360" w:lineRule="auto"/>
        <w:jc w:val="both"/>
        <w:rPr>
          <w:rFonts w:ascii="Palatino Linotype" w:eastAsia="Palatino Linotype" w:hAnsi="Palatino Linotype" w:cs="Palatino Linotype"/>
          <w:sz w:val="22"/>
          <w:szCs w:val="22"/>
        </w:rPr>
      </w:pPr>
    </w:p>
    <w:p w14:paraId="38CF5BE6" w14:textId="77777777" w:rsidR="00AA685F" w:rsidRPr="00A10666" w:rsidRDefault="00AA685F">
      <w:pPr>
        <w:spacing w:line="360" w:lineRule="auto"/>
        <w:jc w:val="both"/>
        <w:rPr>
          <w:rFonts w:ascii="Palatino Linotype" w:eastAsia="Palatino Linotype" w:hAnsi="Palatino Linotype" w:cs="Palatino Linotype"/>
          <w:sz w:val="22"/>
          <w:szCs w:val="22"/>
        </w:rPr>
      </w:pPr>
    </w:p>
    <w:p w14:paraId="060559BB" w14:textId="77777777" w:rsidR="00AA685F" w:rsidRPr="00A10666" w:rsidRDefault="00AA685F">
      <w:pPr>
        <w:rPr>
          <w:rFonts w:ascii="Palatino Linotype" w:eastAsia="Palatino Linotype" w:hAnsi="Palatino Linotype" w:cs="Palatino Linotype"/>
          <w:sz w:val="22"/>
          <w:szCs w:val="22"/>
        </w:rPr>
      </w:pPr>
      <w:bookmarkStart w:id="15" w:name="_heading=h.17dp8vu" w:colFirst="0" w:colLast="0"/>
      <w:bookmarkEnd w:id="15"/>
    </w:p>
    <w:p w14:paraId="164FFFE0" w14:textId="77777777" w:rsidR="00AA685F" w:rsidRPr="00A10666" w:rsidRDefault="00AA685F">
      <w:pPr>
        <w:rPr>
          <w:rFonts w:ascii="Palatino Linotype" w:eastAsia="Palatino Linotype" w:hAnsi="Palatino Linotype" w:cs="Palatino Linotype"/>
          <w:sz w:val="22"/>
          <w:szCs w:val="22"/>
        </w:rPr>
      </w:pPr>
    </w:p>
    <w:p w14:paraId="1617FCE9" w14:textId="77777777" w:rsidR="00AA685F" w:rsidRPr="00A10666" w:rsidRDefault="00AA685F">
      <w:pPr>
        <w:spacing w:line="360" w:lineRule="auto"/>
        <w:jc w:val="both"/>
        <w:rPr>
          <w:rFonts w:ascii="Palatino Linotype" w:eastAsia="Palatino Linotype" w:hAnsi="Palatino Linotype" w:cs="Palatino Linotype"/>
          <w:sz w:val="22"/>
          <w:szCs w:val="22"/>
        </w:rPr>
      </w:pPr>
      <w:bookmarkStart w:id="16" w:name="_heading=h.3rdcrjn" w:colFirst="0" w:colLast="0"/>
      <w:bookmarkEnd w:id="16"/>
    </w:p>
    <w:p w14:paraId="314E2387" w14:textId="77777777" w:rsidR="00AA685F" w:rsidRPr="00A10666" w:rsidRDefault="00AA685F">
      <w:pPr>
        <w:spacing w:line="360" w:lineRule="auto"/>
        <w:jc w:val="both"/>
        <w:rPr>
          <w:rFonts w:ascii="Palatino Linotype" w:eastAsia="Palatino Linotype" w:hAnsi="Palatino Linotype" w:cs="Palatino Linotype"/>
          <w:sz w:val="22"/>
          <w:szCs w:val="22"/>
        </w:rPr>
      </w:pPr>
    </w:p>
    <w:p w14:paraId="1DB5C451" w14:textId="77777777" w:rsidR="00AA685F" w:rsidRPr="00A10666" w:rsidRDefault="00AA685F">
      <w:pPr>
        <w:spacing w:line="360" w:lineRule="auto"/>
        <w:jc w:val="both"/>
        <w:rPr>
          <w:rFonts w:ascii="Palatino Linotype" w:eastAsia="Palatino Linotype" w:hAnsi="Palatino Linotype" w:cs="Palatino Linotype"/>
          <w:sz w:val="22"/>
          <w:szCs w:val="22"/>
        </w:rPr>
      </w:pPr>
    </w:p>
    <w:p w14:paraId="61391BD5" w14:textId="77777777" w:rsidR="00AA685F" w:rsidRPr="00A10666" w:rsidRDefault="00AA685F">
      <w:pPr>
        <w:spacing w:line="360" w:lineRule="auto"/>
        <w:jc w:val="both"/>
        <w:rPr>
          <w:rFonts w:ascii="Palatino Linotype" w:eastAsia="Palatino Linotype" w:hAnsi="Palatino Linotype" w:cs="Palatino Linotype"/>
          <w:sz w:val="22"/>
          <w:szCs w:val="22"/>
        </w:rPr>
      </w:pPr>
      <w:bookmarkStart w:id="17" w:name="_heading=h.1t3h5sf" w:colFirst="0" w:colLast="0"/>
      <w:bookmarkEnd w:id="17"/>
    </w:p>
    <w:p w14:paraId="66EDB45C" w14:textId="77777777" w:rsidR="00AA685F" w:rsidRPr="00A10666" w:rsidRDefault="00AA685F">
      <w:pPr>
        <w:spacing w:line="360" w:lineRule="auto"/>
        <w:jc w:val="both"/>
        <w:rPr>
          <w:rFonts w:ascii="Palatino Linotype" w:eastAsia="Palatino Linotype" w:hAnsi="Palatino Linotype" w:cs="Palatino Linotype"/>
          <w:sz w:val="22"/>
          <w:szCs w:val="22"/>
        </w:rPr>
      </w:pPr>
    </w:p>
    <w:p w14:paraId="482D2289" w14:textId="77777777" w:rsidR="00AA685F" w:rsidRPr="00A10666" w:rsidRDefault="00AA685F">
      <w:pPr>
        <w:spacing w:line="360" w:lineRule="auto"/>
        <w:jc w:val="both"/>
        <w:rPr>
          <w:rFonts w:ascii="Palatino Linotype" w:eastAsia="Palatino Linotype" w:hAnsi="Palatino Linotype" w:cs="Palatino Linotype"/>
          <w:sz w:val="22"/>
          <w:szCs w:val="22"/>
        </w:rPr>
      </w:pPr>
    </w:p>
    <w:p w14:paraId="0692B7F1" w14:textId="77777777" w:rsidR="00AA685F" w:rsidRPr="00A10666" w:rsidRDefault="00AA685F">
      <w:pPr>
        <w:spacing w:line="360" w:lineRule="auto"/>
        <w:jc w:val="both"/>
        <w:rPr>
          <w:rFonts w:ascii="Palatino Linotype" w:eastAsia="Palatino Linotype" w:hAnsi="Palatino Linotype" w:cs="Palatino Linotype"/>
          <w:sz w:val="22"/>
          <w:szCs w:val="22"/>
        </w:rPr>
      </w:pPr>
    </w:p>
    <w:p w14:paraId="45A747AE" w14:textId="77777777" w:rsidR="00AA685F" w:rsidRPr="00A10666" w:rsidRDefault="00AA685F">
      <w:pPr>
        <w:spacing w:line="360" w:lineRule="auto"/>
        <w:jc w:val="both"/>
        <w:rPr>
          <w:rFonts w:ascii="Palatino Linotype" w:eastAsia="Palatino Linotype" w:hAnsi="Palatino Linotype" w:cs="Palatino Linotype"/>
          <w:sz w:val="22"/>
          <w:szCs w:val="22"/>
        </w:rPr>
      </w:pPr>
    </w:p>
    <w:p w14:paraId="3D75C1B7" w14:textId="77777777" w:rsidR="00AA685F" w:rsidRPr="00A10666" w:rsidRDefault="00AA685F">
      <w:pPr>
        <w:spacing w:line="360" w:lineRule="auto"/>
        <w:jc w:val="both"/>
        <w:rPr>
          <w:rFonts w:ascii="Palatino Linotype" w:eastAsia="Palatino Linotype" w:hAnsi="Palatino Linotype" w:cs="Palatino Linotype"/>
          <w:sz w:val="22"/>
          <w:szCs w:val="22"/>
        </w:rPr>
      </w:pPr>
    </w:p>
    <w:p w14:paraId="69956BB6" w14:textId="77777777" w:rsidR="00AA685F" w:rsidRPr="00A10666" w:rsidRDefault="00AA685F">
      <w:pPr>
        <w:spacing w:line="360" w:lineRule="auto"/>
        <w:jc w:val="both"/>
        <w:rPr>
          <w:rFonts w:ascii="Palatino Linotype" w:eastAsia="Palatino Linotype" w:hAnsi="Palatino Linotype" w:cs="Palatino Linotype"/>
          <w:sz w:val="22"/>
          <w:szCs w:val="22"/>
        </w:rPr>
      </w:pPr>
    </w:p>
    <w:p w14:paraId="245203FA" w14:textId="77777777" w:rsidR="00AA685F" w:rsidRPr="00A10666" w:rsidRDefault="00AA685F">
      <w:pPr>
        <w:spacing w:line="360" w:lineRule="auto"/>
        <w:jc w:val="both"/>
        <w:rPr>
          <w:rFonts w:ascii="Palatino Linotype" w:eastAsia="Palatino Linotype" w:hAnsi="Palatino Linotype" w:cs="Palatino Linotype"/>
          <w:sz w:val="22"/>
          <w:szCs w:val="22"/>
        </w:rPr>
      </w:pPr>
    </w:p>
    <w:p w14:paraId="796F6602" w14:textId="77777777" w:rsidR="00AA685F" w:rsidRPr="00A10666" w:rsidRDefault="00AA685F">
      <w:pPr>
        <w:spacing w:line="360" w:lineRule="auto"/>
        <w:jc w:val="both"/>
        <w:rPr>
          <w:rFonts w:ascii="Palatino Linotype" w:eastAsia="Palatino Linotype" w:hAnsi="Palatino Linotype" w:cs="Palatino Linotype"/>
          <w:sz w:val="22"/>
          <w:szCs w:val="22"/>
        </w:rPr>
      </w:pPr>
    </w:p>
    <w:p w14:paraId="41A952E9" w14:textId="77777777" w:rsidR="00AA685F" w:rsidRPr="00A10666" w:rsidRDefault="00AA685F">
      <w:pPr>
        <w:spacing w:line="360" w:lineRule="auto"/>
        <w:jc w:val="both"/>
        <w:rPr>
          <w:rFonts w:ascii="Palatino Linotype" w:eastAsia="Palatino Linotype" w:hAnsi="Palatino Linotype" w:cs="Palatino Linotype"/>
          <w:sz w:val="22"/>
          <w:szCs w:val="22"/>
        </w:rPr>
      </w:pPr>
    </w:p>
    <w:p w14:paraId="17DE9BF9" w14:textId="77777777" w:rsidR="00AA685F" w:rsidRPr="00A10666" w:rsidRDefault="00AA685F">
      <w:pPr>
        <w:spacing w:line="360" w:lineRule="auto"/>
        <w:jc w:val="both"/>
        <w:rPr>
          <w:rFonts w:ascii="Palatino Linotype" w:eastAsia="Palatino Linotype" w:hAnsi="Palatino Linotype" w:cs="Palatino Linotype"/>
          <w:sz w:val="22"/>
          <w:szCs w:val="22"/>
        </w:rPr>
      </w:pPr>
    </w:p>
    <w:p w14:paraId="52126570" w14:textId="77777777" w:rsidR="00AA685F" w:rsidRPr="00A10666" w:rsidRDefault="00AA685F">
      <w:pPr>
        <w:spacing w:line="360" w:lineRule="auto"/>
        <w:jc w:val="both"/>
        <w:rPr>
          <w:rFonts w:ascii="Palatino Linotype" w:eastAsia="Palatino Linotype" w:hAnsi="Palatino Linotype" w:cs="Palatino Linotype"/>
          <w:sz w:val="22"/>
          <w:szCs w:val="22"/>
        </w:rPr>
      </w:pPr>
    </w:p>
    <w:p w14:paraId="26CA6C8E" w14:textId="77777777" w:rsidR="00AA685F" w:rsidRPr="00A10666" w:rsidRDefault="00AA685F">
      <w:pPr>
        <w:spacing w:line="360" w:lineRule="auto"/>
        <w:jc w:val="both"/>
        <w:rPr>
          <w:rFonts w:ascii="Palatino Linotype" w:eastAsia="Palatino Linotype" w:hAnsi="Palatino Linotype" w:cs="Palatino Linotype"/>
          <w:sz w:val="22"/>
          <w:szCs w:val="22"/>
        </w:rPr>
      </w:pPr>
    </w:p>
    <w:p w14:paraId="3EB34885" w14:textId="77777777" w:rsidR="00AA685F" w:rsidRPr="00A10666" w:rsidRDefault="00AA685F">
      <w:pPr>
        <w:spacing w:line="360" w:lineRule="auto"/>
        <w:jc w:val="both"/>
        <w:rPr>
          <w:rFonts w:ascii="Palatino Linotype" w:eastAsia="Palatino Linotype" w:hAnsi="Palatino Linotype" w:cs="Palatino Linotype"/>
          <w:sz w:val="22"/>
          <w:szCs w:val="22"/>
        </w:rPr>
      </w:pPr>
    </w:p>
    <w:p w14:paraId="7EF1F459" w14:textId="77777777" w:rsidR="00AA685F" w:rsidRPr="00A10666" w:rsidRDefault="00AA685F">
      <w:pPr>
        <w:spacing w:line="360" w:lineRule="auto"/>
        <w:jc w:val="both"/>
        <w:rPr>
          <w:rFonts w:ascii="Palatino Linotype" w:eastAsia="Palatino Linotype" w:hAnsi="Palatino Linotype" w:cs="Palatino Linotype"/>
          <w:sz w:val="22"/>
          <w:szCs w:val="22"/>
        </w:rPr>
      </w:pPr>
    </w:p>
    <w:p w14:paraId="2337F8F7" w14:textId="77777777" w:rsidR="00AA685F" w:rsidRPr="00A10666" w:rsidRDefault="00AA685F">
      <w:pPr>
        <w:spacing w:line="360" w:lineRule="auto"/>
        <w:jc w:val="both"/>
        <w:rPr>
          <w:rFonts w:ascii="Palatino Linotype" w:eastAsia="Palatino Linotype" w:hAnsi="Palatino Linotype" w:cs="Palatino Linotype"/>
          <w:sz w:val="22"/>
          <w:szCs w:val="22"/>
        </w:rPr>
      </w:pPr>
    </w:p>
    <w:p w14:paraId="3556CE4F" w14:textId="77777777" w:rsidR="00AA685F" w:rsidRPr="00A10666" w:rsidRDefault="00AA685F">
      <w:pPr>
        <w:spacing w:line="360" w:lineRule="auto"/>
        <w:jc w:val="both"/>
        <w:rPr>
          <w:rFonts w:ascii="Palatino Linotype" w:eastAsia="Palatino Linotype" w:hAnsi="Palatino Linotype" w:cs="Palatino Linotype"/>
          <w:sz w:val="22"/>
          <w:szCs w:val="22"/>
        </w:rPr>
      </w:pPr>
    </w:p>
    <w:p w14:paraId="5E35777A" w14:textId="77777777" w:rsidR="00AA685F" w:rsidRPr="00A10666" w:rsidRDefault="00AA685F">
      <w:pPr>
        <w:spacing w:line="360" w:lineRule="auto"/>
        <w:jc w:val="both"/>
        <w:rPr>
          <w:rFonts w:ascii="Palatino Linotype" w:eastAsia="Palatino Linotype" w:hAnsi="Palatino Linotype" w:cs="Palatino Linotype"/>
          <w:sz w:val="22"/>
          <w:szCs w:val="22"/>
        </w:rPr>
      </w:pPr>
    </w:p>
    <w:p w14:paraId="443567CD" w14:textId="77777777" w:rsidR="00AA685F" w:rsidRPr="00A10666" w:rsidRDefault="00AA685F">
      <w:pPr>
        <w:spacing w:line="360" w:lineRule="auto"/>
        <w:jc w:val="both"/>
        <w:rPr>
          <w:rFonts w:ascii="Palatino Linotype" w:eastAsia="Palatino Linotype" w:hAnsi="Palatino Linotype" w:cs="Palatino Linotype"/>
          <w:sz w:val="22"/>
          <w:szCs w:val="22"/>
        </w:rPr>
      </w:pPr>
    </w:p>
    <w:p w14:paraId="4FDBED34" w14:textId="77777777" w:rsidR="00AA685F" w:rsidRPr="00A10666" w:rsidRDefault="00AA685F">
      <w:pPr>
        <w:spacing w:line="360" w:lineRule="auto"/>
        <w:jc w:val="both"/>
        <w:rPr>
          <w:rFonts w:ascii="Palatino Linotype" w:eastAsia="Palatino Linotype" w:hAnsi="Palatino Linotype" w:cs="Palatino Linotype"/>
          <w:sz w:val="22"/>
          <w:szCs w:val="22"/>
        </w:rPr>
      </w:pPr>
    </w:p>
    <w:p w14:paraId="4327B38A" w14:textId="77777777" w:rsidR="00AA685F" w:rsidRPr="00A10666" w:rsidRDefault="00AA685F">
      <w:pPr>
        <w:spacing w:line="360" w:lineRule="auto"/>
        <w:jc w:val="both"/>
        <w:rPr>
          <w:rFonts w:ascii="Palatino Linotype" w:eastAsia="Palatino Linotype" w:hAnsi="Palatino Linotype" w:cs="Palatino Linotype"/>
          <w:sz w:val="22"/>
          <w:szCs w:val="22"/>
        </w:rPr>
      </w:pPr>
    </w:p>
    <w:sectPr w:rsidR="00AA685F" w:rsidRPr="00A10666">
      <w:headerReference w:type="default" r:id="rId22"/>
      <w:footerReference w:type="default" r:id="rId23"/>
      <w:headerReference w:type="first" r:id="rId24"/>
      <w:footerReference w:type="first" r:id="rId25"/>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97430D" w14:textId="77777777" w:rsidR="00472231" w:rsidRDefault="00472231">
      <w:r>
        <w:separator/>
      </w:r>
    </w:p>
  </w:endnote>
  <w:endnote w:type="continuationSeparator" w:id="0">
    <w:p w14:paraId="7BD3E829" w14:textId="77777777" w:rsidR="00472231" w:rsidRDefault="00472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0AF880" w14:textId="74E5D9C7" w:rsidR="00AA685F" w:rsidRDefault="00B8594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B51EE">
      <w:rPr>
        <w:rFonts w:ascii="Palatino Linotype" w:eastAsia="Palatino Linotype" w:hAnsi="Palatino Linotype" w:cs="Palatino Linotype"/>
        <w:b/>
        <w:noProof/>
        <w:color w:val="000000"/>
        <w:sz w:val="20"/>
        <w:szCs w:val="20"/>
      </w:rPr>
      <w:t>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B51EE">
      <w:rPr>
        <w:rFonts w:ascii="Palatino Linotype" w:eastAsia="Palatino Linotype" w:hAnsi="Palatino Linotype" w:cs="Palatino Linotype"/>
        <w:b/>
        <w:noProof/>
        <w:color w:val="000000"/>
        <w:sz w:val="20"/>
        <w:szCs w:val="20"/>
      </w:rPr>
      <w:t>72</w:t>
    </w:r>
    <w:r>
      <w:rPr>
        <w:rFonts w:ascii="Palatino Linotype" w:eastAsia="Palatino Linotype" w:hAnsi="Palatino Linotype" w:cs="Palatino Linotype"/>
        <w:b/>
        <w:color w:val="000000"/>
        <w:sz w:val="20"/>
        <w:szCs w:val="20"/>
      </w:rPr>
      <w:fldChar w:fldCharType="end"/>
    </w:r>
  </w:p>
  <w:p w14:paraId="6CEBF148" w14:textId="77777777" w:rsidR="00AA685F" w:rsidRDefault="00AA685F">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39BB21" w14:textId="75ABA199" w:rsidR="00AA685F" w:rsidRDefault="00B8594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B51EE">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B51EE">
      <w:rPr>
        <w:rFonts w:ascii="Palatino Linotype" w:eastAsia="Palatino Linotype" w:hAnsi="Palatino Linotype" w:cs="Palatino Linotype"/>
        <w:b/>
        <w:noProof/>
        <w:color w:val="000000"/>
        <w:sz w:val="20"/>
        <w:szCs w:val="20"/>
      </w:rPr>
      <w:t>72</w:t>
    </w:r>
    <w:r>
      <w:rPr>
        <w:rFonts w:ascii="Palatino Linotype" w:eastAsia="Palatino Linotype" w:hAnsi="Palatino Linotype" w:cs="Palatino Linotype"/>
        <w:b/>
        <w:color w:val="000000"/>
        <w:sz w:val="20"/>
        <w:szCs w:val="20"/>
      </w:rPr>
      <w:fldChar w:fldCharType="end"/>
    </w:r>
  </w:p>
  <w:p w14:paraId="2ACCE8D6" w14:textId="77777777" w:rsidR="00AA685F" w:rsidRDefault="00AA685F">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DE7D17" w14:textId="77777777" w:rsidR="00472231" w:rsidRDefault="00472231">
      <w:r>
        <w:separator/>
      </w:r>
    </w:p>
  </w:footnote>
  <w:footnote w:type="continuationSeparator" w:id="0">
    <w:p w14:paraId="046E3538" w14:textId="77777777" w:rsidR="00472231" w:rsidRDefault="00472231">
      <w:r>
        <w:continuationSeparator/>
      </w:r>
    </w:p>
  </w:footnote>
  <w:footnote w:id="1">
    <w:p w14:paraId="09E0FAE0" w14:textId="77777777" w:rsidR="00AA685F" w:rsidRDefault="00B85946">
      <w:pP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170514E8" w14:textId="77777777" w:rsidR="00AA685F" w:rsidRDefault="00B85946">
      <w:pP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38FFBE3B" w14:textId="77777777" w:rsidR="00AA685F" w:rsidRDefault="00B85946">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4631AEE1" w14:textId="77777777" w:rsidR="00AA685F" w:rsidRDefault="00B85946">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030FDC" w14:textId="77777777" w:rsidR="00AA685F" w:rsidRDefault="00AA685F">
    <w:pPr>
      <w:rPr>
        <w:rFonts w:ascii="Cambria" w:eastAsia="Cambria" w:hAnsi="Cambria" w:cs="Cambria"/>
        <w:color w:val="000000"/>
      </w:rPr>
    </w:pPr>
  </w:p>
  <w:tbl>
    <w:tblPr>
      <w:tblStyle w:val="a8"/>
      <w:tblW w:w="7087" w:type="dxa"/>
      <w:tblInd w:w="3261" w:type="dxa"/>
      <w:tblLayout w:type="fixed"/>
      <w:tblLook w:val="0400" w:firstRow="0" w:lastRow="0" w:firstColumn="0" w:lastColumn="0" w:noHBand="0" w:noVBand="1"/>
    </w:tblPr>
    <w:tblGrid>
      <w:gridCol w:w="2489"/>
      <w:gridCol w:w="4598"/>
    </w:tblGrid>
    <w:tr w:rsidR="00AA685F" w14:paraId="391CF365" w14:textId="77777777">
      <w:tc>
        <w:tcPr>
          <w:tcW w:w="2489" w:type="dxa"/>
          <w:shd w:val="clear" w:color="auto" w:fill="auto"/>
        </w:tcPr>
        <w:p w14:paraId="28845BB1" w14:textId="77777777" w:rsidR="00AA685F" w:rsidRDefault="00B8594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598" w:type="dxa"/>
          <w:shd w:val="clear" w:color="auto" w:fill="auto"/>
          <w:vAlign w:val="center"/>
        </w:tcPr>
        <w:p w14:paraId="78BE5702" w14:textId="77777777" w:rsidR="00AA685F" w:rsidRDefault="00B85946">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color w:val="000000"/>
              <w:sz w:val="22"/>
              <w:szCs w:val="22"/>
            </w:rPr>
            <w:t>06849/INFOEM/IP/RR/2025</w:t>
          </w:r>
          <w:r>
            <w:rPr>
              <w:noProof/>
            </w:rPr>
            <w:drawing>
              <wp:anchor distT="0" distB="0" distL="0" distR="0" simplePos="0" relativeHeight="251658240" behindDoc="1" locked="0" layoutInCell="1" hidden="0" allowOverlap="1" wp14:anchorId="3257DAAD" wp14:editId="6F6CDC96">
                <wp:simplePos x="0" y="0"/>
                <wp:positionH relativeFrom="column">
                  <wp:posOffset>-4305299</wp:posOffset>
                </wp:positionH>
                <wp:positionV relativeFrom="paragraph">
                  <wp:posOffset>-666114</wp:posOffset>
                </wp:positionV>
                <wp:extent cx="7809865" cy="10165715"/>
                <wp:effectExtent l="0" t="0" r="0" b="0"/>
                <wp:wrapNone/>
                <wp:docPr id="214310827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c>
    </w:tr>
    <w:tr w:rsidR="00AA685F" w14:paraId="52B5A245" w14:textId="77777777">
      <w:trPr>
        <w:trHeight w:val="228"/>
      </w:trPr>
      <w:tc>
        <w:tcPr>
          <w:tcW w:w="2489" w:type="dxa"/>
          <w:shd w:val="clear" w:color="auto" w:fill="auto"/>
          <w:vAlign w:val="center"/>
        </w:tcPr>
        <w:p w14:paraId="26B23359" w14:textId="77777777" w:rsidR="00AA685F" w:rsidRDefault="00B8594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598" w:type="dxa"/>
          <w:shd w:val="clear" w:color="auto" w:fill="auto"/>
          <w:vAlign w:val="center"/>
        </w:tcPr>
        <w:p w14:paraId="1D68A604" w14:textId="77777777" w:rsidR="00AA685F" w:rsidRDefault="00B85946">
          <w:pPr>
            <w:ind w:left="-45" w:right="158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AA685F" w14:paraId="7223E61E" w14:textId="77777777">
      <w:tc>
        <w:tcPr>
          <w:tcW w:w="2489" w:type="dxa"/>
          <w:shd w:val="clear" w:color="auto" w:fill="auto"/>
          <w:vAlign w:val="center"/>
        </w:tcPr>
        <w:p w14:paraId="1D1F2176" w14:textId="77777777" w:rsidR="00AA685F" w:rsidRDefault="00B85946">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598" w:type="dxa"/>
          <w:shd w:val="clear" w:color="auto" w:fill="auto"/>
          <w:vAlign w:val="center"/>
        </w:tcPr>
        <w:p w14:paraId="4E537107" w14:textId="77777777" w:rsidR="00AA685F" w:rsidRDefault="00B85946">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63FFF29" w14:textId="77777777" w:rsidR="00AA685F" w:rsidRDefault="00B85946">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4768FE" w14:textId="77777777" w:rsidR="00AA685F" w:rsidRDefault="00B85946">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3E575A1B" wp14:editId="3828A223">
          <wp:simplePos x="0" y="0"/>
          <wp:positionH relativeFrom="column">
            <wp:posOffset>-1079484</wp:posOffset>
          </wp:positionH>
          <wp:positionV relativeFrom="paragraph">
            <wp:posOffset>-328912</wp:posOffset>
          </wp:positionV>
          <wp:extent cx="7809865" cy="10165715"/>
          <wp:effectExtent l="0" t="0" r="0" b="0"/>
          <wp:wrapNone/>
          <wp:docPr id="214310828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9"/>
      <w:tblW w:w="6945" w:type="dxa"/>
      <w:tblInd w:w="3261" w:type="dxa"/>
      <w:tblLayout w:type="fixed"/>
      <w:tblLook w:val="0400" w:firstRow="0" w:lastRow="0" w:firstColumn="0" w:lastColumn="0" w:noHBand="0" w:noVBand="1"/>
    </w:tblPr>
    <w:tblGrid>
      <w:gridCol w:w="2551"/>
      <w:gridCol w:w="4394"/>
    </w:tblGrid>
    <w:tr w:rsidR="00AA685F" w14:paraId="199A0874" w14:textId="77777777">
      <w:tc>
        <w:tcPr>
          <w:tcW w:w="2551" w:type="dxa"/>
          <w:shd w:val="clear" w:color="auto" w:fill="auto"/>
          <w:vAlign w:val="center"/>
        </w:tcPr>
        <w:p w14:paraId="1493D5B5" w14:textId="77777777" w:rsidR="00AA685F" w:rsidRDefault="00B8594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394" w:type="dxa"/>
          <w:shd w:val="clear" w:color="auto" w:fill="auto"/>
          <w:vAlign w:val="center"/>
        </w:tcPr>
        <w:p w14:paraId="067A36EE" w14:textId="77777777" w:rsidR="00AA685F" w:rsidRDefault="00B85946">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06849/INFOEM/IP/RR/2025</w:t>
          </w:r>
        </w:p>
      </w:tc>
    </w:tr>
    <w:tr w:rsidR="00AA685F" w14:paraId="309AF927" w14:textId="77777777">
      <w:trPr>
        <w:trHeight w:val="130"/>
      </w:trPr>
      <w:tc>
        <w:tcPr>
          <w:tcW w:w="2551" w:type="dxa"/>
          <w:shd w:val="clear" w:color="auto" w:fill="auto"/>
          <w:vAlign w:val="center"/>
        </w:tcPr>
        <w:p w14:paraId="45430243" w14:textId="77777777" w:rsidR="00AA685F" w:rsidRDefault="00B8594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394" w:type="dxa"/>
          <w:shd w:val="clear" w:color="auto" w:fill="auto"/>
          <w:vAlign w:val="center"/>
        </w:tcPr>
        <w:p w14:paraId="36BAA00E" w14:textId="77777777" w:rsidR="00AA685F" w:rsidRDefault="00AA685F">
          <w:pPr>
            <w:ind w:left="-45" w:right="1444"/>
            <w:jc w:val="both"/>
            <w:rPr>
              <w:rFonts w:ascii="Palatino Linotype" w:eastAsia="Palatino Linotype" w:hAnsi="Palatino Linotype" w:cs="Palatino Linotype"/>
              <w:b/>
              <w:sz w:val="22"/>
              <w:szCs w:val="22"/>
            </w:rPr>
          </w:pPr>
        </w:p>
      </w:tc>
    </w:tr>
    <w:tr w:rsidR="00AA685F" w14:paraId="36C8FC7A" w14:textId="77777777">
      <w:trPr>
        <w:trHeight w:val="228"/>
      </w:trPr>
      <w:tc>
        <w:tcPr>
          <w:tcW w:w="2551" w:type="dxa"/>
          <w:shd w:val="clear" w:color="auto" w:fill="auto"/>
          <w:vAlign w:val="center"/>
        </w:tcPr>
        <w:p w14:paraId="44550C42" w14:textId="77777777" w:rsidR="00AA685F" w:rsidRDefault="00B8594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394" w:type="dxa"/>
          <w:shd w:val="clear" w:color="auto" w:fill="auto"/>
          <w:vAlign w:val="center"/>
        </w:tcPr>
        <w:p w14:paraId="0DC41792" w14:textId="77777777" w:rsidR="00AA685F" w:rsidRDefault="00B85946">
          <w:pPr>
            <w:ind w:left="-45" w:right="158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AA685F" w14:paraId="37973C42" w14:textId="77777777">
      <w:tc>
        <w:tcPr>
          <w:tcW w:w="2551" w:type="dxa"/>
          <w:shd w:val="clear" w:color="auto" w:fill="auto"/>
          <w:vAlign w:val="center"/>
        </w:tcPr>
        <w:p w14:paraId="578AB640" w14:textId="77777777" w:rsidR="00AA685F" w:rsidRDefault="00B8594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394" w:type="dxa"/>
          <w:shd w:val="clear" w:color="auto" w:fill="auto"/>
          <w:vAlign w:val="center"/>
        </w:tcPr>
        <w:p w14:paraId="7F7E9E98" w14:textId="77777777" w:rsidR="00AA685F" w:rsidRDefault="00B85946">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FEF8060" w14:textId="77777777" w:rsidR="00AA685F" w:rsidRDefault="00AA685F">
    <w:pPr>
      <w:pBdr>
        <w:top w:val="nil"/>
        <w:left w:val="nil"/>
        <w:bottom w:val="nil"/>
        <w:right w:val="nil"/>
        <w:between w:val="nil"/>
      </w:pBdr>
      <w:tabs>
        <w:tab w:val="center" w:pos="4252"/>
        <w:tab w:val="right" w:pos="8504"/>
      </w:tabs>
      <w:rPr>
        <w:rFonts w:ascii="Cambria" w:eastAsia="Cambria" w:hAnsi="Cambria" w:cs="Cambria"/>
        <w:color w:val="000000"/>
      </w:rPr>
    </w:pPr>
  </w:p>
  <w:p w14:paraId="621CB8E4" w14:textId="77777777" w:rsidR="00AA685F" w:rsidRDefault="00AA685F"/>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11374"/>
    <w:multiLevelType w:val="multilevel"/>
    <w:tmpl w:val="0B6450EC"/>
    <w:lvl w:ilvl="0">
      <w:start w:val="2788"/>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5965805"/>
    <w:multiLevelType w:val="multilevel"/>
    <w:tmpl w:val="1F487AC6"/>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20EA6DC4"/>
    <w:multiLevelType w:val="multilevel"/>
    <w:tmpl w:val="98184F3E"/>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877175B"/>
    <w:multiLevelType w:val="multilevel"/>
    <w:tmpl w:val="60C49D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2F8F46AF"/>
    <w:multiLevelType w:val="multilevel"/>
    <w:tmpl w:val="C63EF108"/>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3817130B"/>
    <w:multiLevelType w:val="multilevel"/>
    <w:tmpl w:val="5D223F0E"/>
    <w:lvl w:ilvl="0">
      <w:start w:val="2788"/>
      <w:numFmt w:val="bullet"/>
      <w:lvlText w:val="-"/>
      <w:lvlJc w:val="left"/>
      <w:pPr>
        <w:ind w:left="360" w:hanging="360"/>
      </w:pPr>
      <w:rPr>
        <w:rFonts w:ascii="Palatino Linotype" w:eastAsia="Palatino Linotype" w:hAnsi="Palatino Linotype" w:cs="Palatino Linotyp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3CBD61C7"/>
    <w:multiLevelType w:val="multilevel"/>
    <w:tmpl w:val="BACA5CA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48BE55D5"/>
    <w:multiLevelType w:val="multilevel"/>
    <w:tmpl w:val="1C0A0B0C"/>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 w15:restartNumberingAfterBreak="0">
    <w:nsid w:val="4A0264D5"/>
    <w:multiLevelType w:val="multilevel"/>
    <w:tmpl w:val="1D1AE4B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544472E2"/>
    <w:multiLevelType w:val="multilevel"/>
    <w:tmpl w:val="41E09122"/>
    <w:lvl w:ilvl="0">
      <w:start w:val="2788"/>
      <w:numFmt w:val="bullet"/>
      <w:pStyle w:val="Listaconvietas3"/>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3AF7980"/>
    <w:multiLevelType w:val="multilevel"/>
    <w:tmpl w:val="C7F8FE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9E42177"/>
    <w:multiLevelType w:val="multilevel"/>
    <w:tmpl w:val="267E26CA"/>
    <w:lvl w:ilvl="0">
      <w:start w:val="2"/>
      <w:numFmt w:val="bullet"/>
      <w:lvlText w:val="●"/>
      <w:lvlJc w:val="left"/>
      <w:pPr>
        <w:ind w:left="360" w:hanging="360"/>
      </w:pPr>
      <w:rPr>
        <w:rFonts w:ascii="Noto Sans Symbols" w:eastAsia="Noto Sans Symbols" w:hAnsi="Noto Sans Symbols" w:cs="Noto Sans Symbols"/>
        <w:b/>
        <w:i w:val="0"/>
        <w:color w:val="0D0D0D"/>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9"/>
  </w:num>
  <w:num w:numId="2">
    <w:abstractNumId w:val="0"/>
  </w:num>
  <w:num w:numId="3">
    <w:abstractNumId w:val="5"/>
  </w:num>
  <w:num w:numId="4">
    <w:abstractNumId w:val="10"/>
  </w:num>
  <w:num w:numId="5">
    <w:abstractNumId w:val="1"/>
  </w:num>
  <w:num w:numId="6">
    <w:abstractNumId w:val="7"/>
  </w:num>
  <w:num w:numId="7">
    <w:abstractNumId w:val="11"/>
  </w:num>
  <w:num w:numId="8">
    <w:abstractNumId w:val="6"/>
  </w:num>
  <w:num w:numId="9">
    <w:abstractNumId w:val="8"/>
  </w:num>
  <w:num w:numId="10">
    <w:abstractNumId w:val="3"/>
  </w:num>
  <w:num w:numId="11">
    <w:abstractNumId w:val="2"/>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85F"/>
    <w:rsid w:val="00472231"/>
    <w:rsid w:val="00A10666"/>
    <w:rsid w:val="00AA685F"/>
    <w:rsid w:val="00B85946"/>
    <w:rsid w:val="00CB51EE"/>
    <w:rsid w:val="00D82CDF"/>
    <w:rsid w:val="00DD39F2"/>
    <w:rsid w:val="00FC0B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0BDA44"/>
  <w15:docId w15:val="{01100A8C-E414-4661-BAA3-CBEF733C2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16">
    <w:name w:val="16"/>
    <w:basedOn w:val="TableNormal10"/>
    <w:tblPr>
      <w:tblStyleRowBandSize w:val="1"/>
      <w:tblStyleColBandSize w:val="1"/>
      <w:tblCellMar>
        <w:left w:w="115" w:type="dxa"/>
        <w:right w:w="115" w:type="dxa"/>
      </w:tblCellMar>
    </w:tblPr>
  </w:style>
  <w:style w:type="table" w:customStyle="1" w:styleId="15">
    <w:name w:val="15"/>
    <w:basedOn w:val="TableNormal10"/>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E2A5A"/>
    <w:pPr>
      <w:tabs>
        <w:tab w:val="center" w:pos="4419"/>
        <w:tab w:val="right" w:pos="8838"/>
      </w:tabs>
    </w:pPr>
    <w:rPr>
      <w:lang w:val="es-ES"/>
    </w:rPr>
  </w:style>
  <w:style w:type="character" w:customStyle="1" w:styleId="EncabezadoCar">
    <w:name w:val="Encabezado Car"/>
    <w:basedOn w:val="Fuentedeprrafopredeter"/>
    <w:link w:val="Encabezado"/>
    <w:uiPriority w:val="99"/>
    <w:rsid w:val="00FE2A5A"/>
  </w:style>
  <w:style w:type="paragraph" w:styleId="Piedepgina">
    <w:name w:val="footer"/>
    <w:basedOn w:val="Normal"/>
    <w:link w:val="PiedepginaCar"/>
    <w:uiPriority w:val="99"/>
    <w:unhideWhenUsed/>
    <w:rsid w:val="00FE2A5A"/>
    <w:pPr>
      <w:tabs>
        <w:tab w:val="center" w:pos="4419"/>
        <w:tab w:val="right" w:pos="8838"/>
      </w:tabs>
    </w:pPr>
    <w:rPr>
      <w:lang w:val="es-ES"/>
    </w:rPr>
  </w:style>
  <w:style w:type="character" w:customStyle="1" w:styleId="PiedepginaCar">
    <w:name w:val="Pie de página Car"/>
    <w:basedOn w:val="Fuentedeprrafopredeter"/>
    <w:link w:val="Piedepgina"/>
    <w:uiPriority w:val="99"/>
    <w:rsid w:val="00FE2A5A"/>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E2A5A"/>
    <w:pPr>
      <w:ind w:left="720"/>
      <w:contextualSpacing/>
    </w:pPr>
    <w:rPr>
      <w:lang w:val="es-ES"/>
    </w:rPr>
  </w:style>
  <w:style w:type="table" w:styleId="Tablaconcuadrcula">
    <w:name w:val="Table Grid"/>
    <w:basedOn w:val="Tablanormal"/>
    <w:uiPriority w:val="39"/>
    <w:rsid w:val="00513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12F5"/>
    <w:pPr>
      <w:spacing w:before="100" w:beforeAutospacing="1" w:after="100" w:afterAutospacing="1"/>
    </w:pPr>
    <w:rPr>
      <w:lang w:val="es-ES"/>
    </w:rPr>
  </w:style>
  <w:style w:type="table" w:customStyle="1" w:styleId="14">
    <w:name w:val="14"/>
    <w:basedOn w:val="TableNormal10"/>
    <w:tblPr>
      <w:tblStyleRowBandSize w:val="1"/>
      <w:tblStyleColBandSize w:val="1"/>
      <w:tblCellMar>
        <w:left w:w="115" w:type="dxa"/>
        <w:right w:w="115" w:type="dxa"/>
      </w:tblCellMar>
    </w:tblPr>
  </w:style>
  <w:style w:type="table" w:customStyle="1" w:styleId="13">
    <w:name w:val="13"/>
    <w:basedOn w:val="TableNormal10"/>
    <w:tblPr>
      <w:tblStyleRowBandSize w:val="1"/>
      <w:tblStyleColBandSize w:val="1"/>
      <w:tblCellMar>
        <w:left w:w="115" w:type="dxa"/>
        <w:right w:w="115" w:type="dxa"/>
      </w:tblCellMar>
    </w:tblPr>
  </w:style>
  <w:style w:type="character" w:customStyle="1" w:styleId="apple-tab-span">
    <w:name w:val="apple-tab-span"/>
    <w:basedOn w:val="Fuentedeprrafopredeter"/>
    <w:rsid w:val="00355FC9"/>
  </w:style>
  <w:style w:type="table" w:customStyle="1" w:styleId="12">
    <w:name w:val="12"/>
    <w:basedOn w:val="TableNormal20"/>
    <w:tblPr>
      <w:tblStyleRowBandSize w:val="1"/>
      <w:tblStyleColBandSize w:val="1"/>
      <w:tblCellMar>
        <w:left w:w="115" w:type="dxa"/>
        <w:right w:w="115" w:type="dxa"/>
      </w:tblCellMar>
    </w:tblPr>
  </w:style>
  <w:style w:type="table" w:customStyle="1" w:styleId="11">
    <w:name w:val="11"/>
    <w:basedOn w:val="TableNormal20"/>
    <w:tblPr>
      <w:tblStyleRowBandSize w:val="1"/>
      <w:tblStyleColBandSize w:val="1"/>
      <w:tblCellMar>
        <w:left w:w="115" w:type="dxa"/>
        <w:right w:w="115" w:type="dxa"/>
      </w:tblCellMar>
    </w:tblPr>
  </w:style>
  <w:style w:type="character" w:styleId="Hipervnculo">
    <w:name w:val="Hyperlink"/>
    <w:aliases w:val="Hipervínculo1,Hipervínculo11,Hipervínculo12,Hipervínculo13,Hipervínculo14,Hipervínculo15"/>
    <w:basedOn w:val="Fuentedeprrafopredeter"/>
    <w:uiPriority w:val="99"/>
    <w:unhideWhenUsed/>
    <w:rsid w:val="00043B73"/>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759CF"/>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759C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F759CF"/>
    <w:rPr>
      <w:vertAlign w:val="superscript"/>
    </w:rPr>
  </w:style>
  <w:style w:type="table" w:customStyle="1" w:styleId="10">
    <w:name w:val="10"/>
    <w:basedOn w:val="TableNormal30"/>
    <w:tblPr>
      <w:tblStyleRowBandSize w:val="1"/>
      <w:tblStyleColBandSize w:val="1"/>
      <w:tblCellMar>
        <w:left w:w="115" w:type="dxa"/>
        <w:right w:w="115" w:type="dxa"/>
      </w:tblCellMar>
    </w:tblPr>
  </w:style>
  <w:style w:type="table" w:customStyle="1" w:styleId="9">
    <w:name w:val="9"/>
    <w:basedOn w:val="TableNormal30"/>
    <w:tblPr>
      <w:tblStyleRowBandSize w:val="1"/>
      <w:tblStyleColBandSize w:val="1"/>
      <w:tblCellMar>
        <w:left w:w="115" w:type="dxa"/>
        <w:right w:w="115"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83BF5"/>
    <w:rPr>
      <w:lang w:val="es-ES"/>
    </w:rPr>
  </w:style>
  <w:style w:type="table" w:customStyle="1" w:styleId="8">
    <w:name w:val="8"/>
    <w:basedOn w:val="TableNormal40"/>
    <w:tblPr>
      <w:tblStyleRowBandSize w:val="1"/>
      <w:tblStyleColBandSize w:val="1"/>
      <w:tblCellMar>
        <w:left w:w="115" w:type="dxa"/>
        <w:right w:w="115" w:type="dxa"/>
      </w:tblCellMar>
    </w:tblPr>
  </w:style>
  <w:style w:type="table" w:customStyle="1" w:styleId="7">
    <w:name w:val="7"/>
    <w:basedOn w:val="TableNormal40"/>
    <w:tblPr>
      <w:tblStyleRowBandSize w:val="1"/>
      <w:tblStyleColBandSize w:val="1"/>
      <w:tblCellMar>
        <w:left w:w="115" w:type="dxa"/>
        <w:right w:w="115" w:type="dxa"/>
      </w:tblCellMar>
    </w:tblPr>
  </w:style>
  <w:style w:type="table" w:customStyle="1" w:styleId="6">
    <w:name w:val="6"/>
    <w:basedOn w:val="TableNormal5"/>
    <w:tblPr>
      <w:tblStyleRowBandSize w:val="1"/>
      <w:tblStyleColBandSize w:val="1"/>
      <w:tblCellMar>
        <w:left w:w="115" w:type="dxa"/>
        <w:right w:w="115" w:type="dxa"/>
      </w:tblCellMar>
    </w:tblPr>
  </w:style>
  <w:style w:type="table" w:customStyle="1" w:styleId="5">
    <w:name w:val="5"/>
    <w:basedOn w:val="TableNormal5"/>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77142E"/>
    <w:pPr>
      <w:numPr>
        <w:numId w:val="1"/>
      </w:numPr>
      <w:contextualSpacing/>
    </w:pPr>
  </w:style>
  <w:style w:type="table" w:customStyle="1" w:styleId="4">
    <w:name w:val="4"/>
    <w:basedOn w:val="TableNormal6"/>
    <w:tblPr>
      <w:tblStyleRowBandSize w:val="1"/>
      <w:tblStyleColBandSize w:val="1"/>
      <w:tblCellMar>
        <w:left w:w="115" w:type="dxa"/>
        <w:right w:w="115" w:type="dxa"/>
      </w:tblCellMar>
    </w:tblPr>
  </w:style>
  <w:style w:type="table" w:customStyle="1" w:styleId="3">
    <w:name w:val="3"/>
    <w:basedOn w:val="TableNormal6"/>
    <w:tblPr>
      <w:tblStyleRowBandSize w:val="1"/>
      <w:tblStyleColBandSize w:val="1"/>
      <w:tblCellMar>
        <w:left w:w="115" w:type="dxa"/>
        <w:right w:w="115" w:type="dxa"/>
      </w:tblCellMar>
    </w:tblPr>
  </w:style>
  <w:style w:type="table" w:customStyle="1" w:styleId="2">
    <w:name w:val="2"/>
    <w:basedOn w:val="TableNormal7"/>
    <w:tblPr>
      <w:tblStyleRowBandSize w:val="1"/>
      <w:tblStyleColBandSize w:val="1"/>
      <w:tblCellMar>
        <w:left w:w="115" w:type="dxa"/>
        <w:right w:w="115" w:type="dxa"/>
      </w:tblCellMar>
    </w:tblPr>
  </w:style>
  <w:style w:type="table" w:customStyle="1" w:styleId="1">
    <w:name w:val="1"/>
    <w:basedOn w:val="TableNormal7"/>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B910CA"/>
    <w:pPr>
      <w:tabs>
        <w:tab w:val="num" w:pos="720"/>
      </w:tabs>
      <w:ind w:left="720" w:hanging="720"/>
      <w:contextualSpacing/>
    </w:pPr>
  </w:style>
  <w:style w:type="paragraph" w:styleId="Textodeglobo">
    <w:name w:val="Balloon Text"/>
    <w:basedOn w:val="Normal"/>
    <w:link w:val="TextodegloboCar"/>
    <w:uiPriority w:val="99"/>
    <w:semiHidden/>
    <w:unhideWhenUsed/>
    <w:rsid w:val="003B3B2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3B2A"/>
    <w:rPr>
      <w:rFonts w:ascii="Segoe UI" w:hAnsi="Segoe UI" w:cs="Segoe UI"/>
      <w:sz w:val="18"/>
      <w:szCs w:val="18"/>
    </w:rPr>
  </w:style>
  <w:style w:type="character" w:styleId="Hipervnculovisitado">
    <w:name w:val="FollowedHyperlink"/>
    <w:basedOn w:val="Fuentedeprrafopredeter"/>
    <w:uiPriority w:val="99"/>
    <w:semiHidden/>
    <w:unhideWhenUsed/>
    <w:rsid w:val="00E9311B"/>
    <w:rPr>
      <w:color w:val="800080" w:themeColor="followedHyperlink"/>
      <w:u w:val="single"/>
    </w:r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diputados.gob.mx/documentos/N_Acta_Nacimiento.pdf" TargetMode="External"/><Relationship Id="rId13" Type="http://schemas.openxmlformats.org/officeDocument/2006/relationships/image" Target="media/image5.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unionedomex.mx/2023/03/24/busqueda-de-deudores-alimentarios-morosos-estado-de-mexico-2023/"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legislacion.edomex.gob.mx/sites/legislacion.edomex.gob.mx/files/files/pdf/gct/2014/nov144.PDF"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diputados.gob.mx/LeyesBiblio/pdf/LGDNNA.pdf" TargetMode="External"/><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secogem.gob.mx/constancias/" TargetMode="External"/><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GMtndhVfO44iAMz+PvAOW9uTgw==">CgMxLjAyCWguMWZvYjl0ZTIJaC40ZDM0b2c4MghoLmdqZGd4czIJaC4zZHk2dmttMgloLjMwajB6bGwyCWguMnM4ZXlvMTIIaC50eWpjd3QyCWguM3pueXNoNzIJaC4xeTgxMHR3Mg5oLmlqdjk4cG50Y2Q1czIJaC4yNmluMXJnMg1oLmg3bnpiNzl3bHJhMgloLjJldDkycDAyDmguNTlucHh5eHBvbWpkMgloLjE3ZHA4dnUyCWguM3JkY3JqbjIJaC4xdDNoNXNmOAByITFndnVxQ01vOHBwSlBJai1uei1Ddlo1RnpqaldnUWNB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18939</Words>
  <Characters>104169</Characters>
  <Application>Microsoft Office Word</Application>
  <DocSecurity>0</DocSecurity>
  <Lines>868</Lines>
  <Paragraphs>245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2025-10-17T00:40:00Z</cp:lastPrinted>
  <dcterms:created xsi:type="dcterms:W3CDTF">2025-11-14T16:21:00Z</dcterms:created>
  <dcterms:modified xsi:type="dcterms:W3CDTF">2025-11-14T16:21:00Z</dcterms:modified>
</cp:coreProperties>
</file>