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85F" w:rsidRPr="004C40F6" w:rsidRDefault="0003185F" w:rsidP="00C27A98">
      <w:pPr>
        <w:widowControl w:val="0"/>
        <w:pBdr>
          <w:top w:val="nil"/>
          <w:left w:val="nil"/>
          <w:bottom w:val="nil"/>
          <w:right w:val="nil"/>
          <w:between w:val="nil"/>
        </w:pBdr>
        <w:spacing w:line="276" w:lineRule="auto"/>
        <w:rPr>
          <w:rFonts w:ascii="Palatino Linotype" w:hAnsi="Palatino Linotype"/>
          <w:color w:val="000000" w:themeColor="text1"/>
        </w:rPr>
      </w:pPr>
    </w:p>
    <w:p w:rsidR="0003185F" w:rsidRPr="002D4122" w:rsidRDefault="0003185F" w:rsidP="00C27A98">
      <w:pPr>
        <w:spacing w:line="360" w:lineRule="auto"/>
        <w:jc w:val="both"/>
        <w:rPr>
          <w:rFonts w:ascii="Palatino Linotype" w:eastAsia="Palatino Linotype" w:hAnsi="Palatino Linotype" w:cs="Palatino Linotype"/>
          <w:color w:val="000000" w:themeColor="text1"/>
        </w:rPr>
      </w:pPr>
      <w:r w:rsidRPr="002D4122">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Pr="002D4122">
        <w:rPr>
          <w:rFonts w:ascii="Palatino Linotype" w:eastAsia="Palatino Linotype" w:hAnsi="Palatino Linotype" w:cs="Palatino Linotype"/>
          <w:b/>
          <w:color w:val="000000" w:themeColor="text1"/>
        </w:rPr>
        <w:t>veintiuno de mayo de dos mil veinticinco.</w:t>
      </w:r>
    </w:p>
    <w:p w:rsidR="0003185F" w:rsidRPr="002D4122" w:rsidRDefault="0003185F" w:rsidP="00C27A98">
      <w:pPr>
        <w:spacing w:line="360" w:lineRule="auto"/>
        <w:jc w:val="both"/>
        <w:rPr>
          <w:rFonts w:ascii="Palatino Linotype" w:eastAsia="Palatino Linotype" w:hAnsi="Palatino Linotype" w:cs="Palatino Linotype"/>
          <w:color w:val="000000" w:themeColor="text1"/>
        </w:rPr>
      </w:pPr>
    </w:p>
    <w:p w:rsidR="0003185F" w:rsidRPr="002D4122" w:rsidRDefault="0003185F" w:rsidP="00C27A98">
      <w:pPr>
        <w:spacing w:line="360" w:lineRule="auto"/>
        <w:jc w:val="both"/>
        <w:rPr>
          <w:rFonts w:ascii="Palatino Linotype" w:eastAsia="Palatino Linotype" w:hAnsi="Palatino Linotype" w:cs="Palatino Linotype"/>
          <w:color w:val="000000" w:themeColor="text1"/>
        </w:rPr>
      </w:pPr>
      <w:r w:rsidRPr="002D4122">
        <w:rPr>
          <w:rFonts w:ascii="Palatino Linotype" w:eastAsia="Palatino Linotype" w:hAnsi="Palatino Linotype" w:cs="Palatino Linotype"/>
          <w:b/>
          <w:color w:val="000000" w:themeColor="text1"/>
        </w:rPr>
        <w:t>VISTO</w:t>
      </w:r>
      <w:r w:rsidRPr="002D4122">
        <w:rPr>
          <w:rFonts w:ascii="Palatino Linotype" w:eastAsia="Palatino Linotype" w:hAnsi="Palatino Linotype" w:cs="Palatino Linotype"/>
          <w:color w:val="000000" w:themeColor="text1"/>
        </w:rPr>
        <w:t xml:space="preserve"> los expedientes electrónicos formados con motivo de los recursos de revisión </w:t>
      </w:r>
      <w:r w:rsidRPr="002D4122">
        <w:rPr>
          <w:rFonts w:ascii="Palatino Linotype" w:eastAsia="Palatino Linotype" w:hAnsi="Palatino Linotype" w:cs="Palatino Linotype"/>
          <w:b/>
          <w:color w:val="000000" w:themeColor="text1"/>
        </w:rPr>
        <w:t xml:space="preserve">04623/INFOEM/IP/RR/2025, 04624/INFOEM/IP/RR/2025, 04625/INFOEM/IP/RR/2025, 04626/INFOEM/IP/RR/2025  y 04627/INFOEM/IP/RR/2025, </w:t>
      </w:r>
      <w:r w:rsidRPr="002D4122">
        <w:rPr>
          <w:rFonts w:ascii="Palatino Linotype" w:eastAsia="Palatino Linotype" w:hAnsi="Palatino Linotype" w:cs="Palatino Linotype"/>
          <w:color w:val="000000" w:themeColor="text1"/>
        </w:rPr>
        <w:t>promovido</w:t>
      </w:r>
      <w:r w:rsidR="009A1205" w:rsidRPr="002D4122">
        <w:rPr>
          <w:rFonts w:ascii="Palatino Linotype" w:eastAsia="Palatino Linotype" w:hAnsi="Palatino Linotype" w:cs="Palatino Linotype"/>
          <w:color w:val="000000" w:themeColor="text1"/>
        </w:rPr>
        <w:t>s</w:t>
      </w:r>
      <w:r w:rsidRPr="002D4122">
        <w:rPr>
          <w:rFonts w:ascii="Palatino Linotype" w:eastAsia="Palatino Linotype" w:hAnsi="Palatino Linotype" w:cs="Palatino Linotype"/>
          <w:color w:val="000000" w:themeColor="text1"/>
        </w:rPr>
        <w:t xml:space="preserve"> por </w:t>
      </w:r>
      <w:r w:rsidR="001A7A14">
        <w:rPr>
          <w:rFonts w:ascii="Palatino Linotype" w:eastAsia="Palatino Linotype" w:hAnsi="Palatino Linotype" w:cs="Palatino Linotype"/>
          <w:b/>
          <w:bCs/>
          <w:color w:val="000000" w:themeColor="text1"/>
        </w:rPr>
        <w:t>XXXX</w:t>
      </w:r>
      <w:r w:rsidRPr="002D4122">
        <w:rPr>
          <w:rFonts w:ascii="Palatino Linotype" w:eastAsia="Palatino Linotype" w:hAnsi="Palatino Linotype" w:cs="Palatino Linotype"/>
          <w:color w:val="000000" w:themeColor="text1"/>
        </w:rPr>
        <w:t xml:space="preserve">, en lo sucesivo el </w:t>
      </w:r>
      <w:r w:rsidRPr="002D4122">
        <w:rPr>
          <w:rFonts w:ascii="Palatino Linotype" w:eastAsia="Palatino Linotype" w:hAnsi="Palatino Linotype" w:cs="Palatino Linotype"/>
          <w:b/>
          <w:color w:val="000000" w:themeColor="text1"/>
        </w:rPr>
        <w:t>RECURRENTE</w:t>
      </w:r>
      <w:r w:rsidRPr="002D4122">
        <w:rPr>
          <w:rFonts w:ascii="Palatino Linotype" w:eastAsia="Palatino Linotype" w:hAnsi="Palatino Linotype" w:cs="Palatino Linotype"/>
          <w:color w:val="000000" w:themeColor="text1"/>
        </w:rPr>
        <w:t>, en contra de la</w:t>
      </w:r>
      <w:r w:rsidR="009A1205" w:rsidRPr="002D4122">
        <w:rPr>
          <w:rFonts w:ascii="Palatino Linotype" w:eastAsia="Palatino Linotype" w:hAnsi="Palatino Linotype" w:cs="Palatino Linotype"/>
          <w:color w:val="000000" w:themeColor="text1"/>
        </w:rPr>
        <w:t>s</w:t>
      </w:r>
      <w:r w:rsidRPr="002D4122">
        <w:rPr>
          <w:rFonts w:ascii="Palatino Linotype" w:eastAsia="Palatino Linotype" w:hAnsi="Palatino Linotype" w:cs="Palatino Linotype"/>
          <w:color w:val="000000" w:themeColor="text1"/>
        </w:rPr>
        <w:t xml:space="preserve"> respuesta</w:t>
      </w:r>
      <w:r w:rsidR="009A1205" w:rsidRPr="002D4122">
        <w:rPr>
          <w:rFonts w:ascii="Palatino Linotype" w:eastAsia="Palatino Linotype" w:hAnsi="Palatino Linotype" w:cs="Palatino Linotype"/>
          <w:color w:val="000000" w:themeColor="text1"/>
        </w:rPr>
        <w:t>s</w:t>
      </w:r>
      <w:r w:rsidRPr="002D4122">
        <w:rPr>
          <w:rFonts w:ascii="Palatino Linotype" w:eastAsia="Palatino Linotype" w:hAnsi="Palatino Linotype" w:cs="Palatino Linotype"/>
          <w:color w:val="000000" w:themeColor="text1"/>
        </w:rPr>
        <w:t xml:space="preserve"> del </w:t>
      </w:r>
      <w:r w:rsidRPr="002D4122">
        <w:rPr>
          <w:rFonts w:ascii="Palatino Linotype" w:eastAsia="Palatino Linotype" w:hAnsi="Palatino Linotype" w:cs="Palatino Linotype"/>
          <w:b/>
          <w:color w:val="000000" w:themeColor="text1"/>
        </w:rPr>
        <w:t xml:space="preserve">Ayuntamiento de Cuautitlán Izcalli, </w:t>
      </w:r>
      <w:r w:rsidRPr="002D4122">
        <w:rPr>
          <w:rFonts w:ascii="Palatino Linotype" w:eastAsia="Palatino Linotype" w:hAnsi="Palatino Linotype" w:cs="Palatino Linotype"/>
          <w:color w:val="000000" w:themeColor="text1"/>
        </w:rPr>
        <w:t>en adelante el</w:t>
      </w:r>
      <w:r w:rsidRPr="002D4122">
        <w:rPr>
          <w:rFonts w:ascii="Palatino Linotype" w:eastAsia="Palatino Linotype" w:hAnsi="Palatino Linotype" w:cs="Palatino Linotype"/>
          <w:b/>
          <w:color w:val="000000" w:themeColor="text1"/>
        </w:rPr>
        <w:t xml:space="preserve"> SUJETO OBLIGADO</w:t>
      </w:r>
      <w:r w:rsidRPr="002D4122">
        <w:rPr>
          <w:rFonts w:ascii="Palatino Linotype" w:eastAsia="Palatino Linotype" w:hAnsi="Palatino Linotype" w:cs="Palatino Linotype"/>
          <w:color w:val="000000" w:themeColor="text1"/>
        </w:rPr>
        <w:t>, por lo que se procede a dictar la presente resolución, con base en los siguientes:</w:t>
      </w:r>
    </w:p>
    <w:p w:rsidR="0003185F" w:rsidRPr="002D4122" w:rsidRDefault="0003185F" w:rsidP="00C27A98">
      <w:pPr>
        <w:spacing w:line="360" w:lineRule="auto"/>
        <w:jc w:val="both"/>
        <w:rPr>
          <w:rFonts w:ascii="Palatino Linotype" w:eastAsia="Palatino Linotype" w:hAnsi="Palatino Linotype" w:cs="Palatino Linotype"/>
          <w:color w:val="000000" w:themeColor="text1"/>
        </w:rPr>
      </w:pPr>
    </w:p>
    <w:p w:rsidR="0003185F" w:rsidRPr="002D4122" w:rsidRDefault="0003185F" w:rsidP="00C27A98">
      <w:pPr>
        <w:keepNext/>
        <w:keepLines/>
        <w:spacing w:line="360" w:lineRule="auto"/>
        <w:jc w:val="center"/>
        <w:rPr>
          <w:rFonts w:ascii="Palatino Linotype" w:eastAsia="Palatino Linotype" w:hAnsi="Palatino Linotype" w:cs="Palatino Linotype"/>
          <w:b/>
          <w:color w:val="000000" w:themeColor="text1"/>
        </w:rPr>
      </w:pPr>
      <w:bookmarkStart w:id="0" w:name="_heading=h.gjdgxs" w:colFirst="0" w:colLast="0"/>
      <w:bookmarkEnd w:id="0"/>
      <w:r w:rsidRPr="002D4122">
        <w:rPr>
          <w:rFonts w:ascii="Palatino Linotype" w:eastAsia="Palatino Linotype" w:hAnsi="Palatino Linotype" w:cs="Palatino Linotype"/>
          <w:b/>
          <w:color w:val="000000" w:themeColor="text1"/>
        </w:rPr>
        <w:t>A N T E C E D E N T E S</w:t>
      </w:r>
    </w:p>
    <w:p w:rsidR="0003185F" w:rsidRPr="002D4122" w:rsidRDefault="0003185F" w:rsidP="00C27A98">
      <w:pPr>
        <w:spacing w:line="360" w:lineRule="auto"/>
        <w:rPr>
          <w:rFonts w:ascii="Palatino Linotype" w:eastAsia="Palatino Linotype" w:hAnsi="Palatino Linotype" w:cs="Palatino Linotype"/>
          <w:color w:val="000000" w:themeColor="text1"/>
        </w:rPr>
      </w:pPr>
    </w:p>
    <w:p w:rsidR="0003185F" w:rsidRPr="002D4122" w:rsidRDefault="0003185F" w:rsidP="00C27A98">
      <w:pPr>
        <w:numPr>
          <w:ilvl w:val="0"/>
          <w:numId w:val="1"/>
        </w:numPr>
        <w:spacing w:line="360" w:lineRule="auto"/>
        <w:ind w:left="0" w:firstLine="0"/>
        <w:jc w:val="both"/>
        <w:rPr>
          <w:rFonts w:ascii="Palatino Linotype" w:hAnsi="Palatino Linotype"/>
          <w:color w:val="000000" w:themeColor="text1"/>
        </w:rPr>
      </w:pPr>
      <w:r w:rsidRPr="002D4122">
        <w:rPr>
          <w:rFonts w:ascii="Palatino Linotype" w:eastAsia="Palatino Linotype" w:hAnsi="Palatino Linotype" w:cs="Palatino Linotype"/>
          <w:color w:val="000000" w:themeColor="text1"/>
        </w:rPr>
        <w:t xml:space="preserve">El </w:t>
      </w:r>
      <w:r w:rsidR="004C52EA" w:rsidRPr="002D4122">
        <w:rPr>
          <w:rFonts w:ascii="Palatino Linotype" w:eastAsia="Palatino Linotype" w:hAnsi="Palatino Linotype" w:cs="Palatino Linotype"/>
          <w:b/>
          <w:color w:val="000000" w:themeColor="text1"/>
        </w:rPr>
        <w:t>once de abril de dos mil veinticinco</w:t>
      </w:r>
      <w:r w:rsidRPr="002D4122">
        <w:rPr>
          <w:rFonts w:ascii="Palatino Linotype" w:eastAsia="Palatino Linotype" w:hAnsi="Palatino Linotype" w:cs="Palatino Linotype"/>
          <w:color w:val="000000" w:themeColor="text1"/>
        </w:rPr>
        <w:t>, el</w:t>
      </w:r>
      <w:r w:rsidRPr="002D4122">
        <w:rPr>
          <w:rFonts w:ascii="Palatino Linotype" w:eastAsia="Palatino Linotype" w:hAnsi="Palatino Linotype" w:cs="Palatino Linotype"/>
          <w:b/>
          <w:color w:val="000000" w:themeColor="text1"/>
        </w:rPr>
        <w:t xml:space="preserve"> RECURRENTE </w:t>
      </w:r>
      <w:r w:rsidRPr="002D4122">
        <w:rPr>
          <w:rFonts w:ascii="Palatino Linotype" w:eastAsia="Palatino Linotype" w:hAnsi="Palatino Linotype" w:cs="Palatino Linotype"/>
          <w:color w:val="000000" w:themeColor="text1"/>
        </w:rPr>
        <w:t xml:space="preserve">presentó ante el </w:t>
      </w:r>
      <w:r w:rsidRPr="002D4122">
        <w:rPr>
          <w:rFonts w:ascii="Palatino Linotype" w:eastAsia="Palatino Linotype" w:hAnsi="Palatino Linotype" w:cs="Palatino Linotype"/>
          <w:b/>
          <w:color w:val="000000" w:themeColor="text1"/>
        </w:rPr>
        <w:t>SUJETO OBLIGADO,</w:t>
      </w:r>
      <w:r w:rsidR="004C52EA" w:rsidRPr="002D4122">
        <w:rPr>
          <w:rFonts w:ascii="Palatino Linotype" w:eastAsia="Palatino Linotype" w:hAnsi="Palatino Linotype" w:cs="Palatino Linotype"/>
          <w:color w:val="000000" w:themeColor="text1"/>
        </w:rPr>
        <w:t xml:space="preserve"> a través d</w:t>
      </w:r>
      <w:r w:rsidRPr="002D4122">
        <w:rPr>
          <w:rFonts w:ascii="Palatino Linotype" w:eastAsia="Palatino Linotype" w:hAnsi="Palatino Linotype" w:cs="Palatino Linotype"/>
          <w:color w:val="000000" w:themeColor="text1"/>
        </w:rPr>
        <w:t xml:space="preserve">el Sistema de Acceso a la Información Mexiquense </w:t>
      </w:r>
      <w:r w:rsidRPr="002D4122">
        <w:rPr>
          <w:rFonts w:ascii="Palatino Linotype" w:eastAsia="Palatino Linotype" w:hAnsi="Palatino Linotype" w:cs="Palatino Linotype"/>
          <w:b/>
          <w:color w:val="000000" w:themeColor="text1"/>
        </w:rPr>
        <w:t>(SAIMEX),</w:t>
      </w:r>
      <w:r w:rsidRPr="002D4122">
        <w:rPr>
          <w:rFonts w:ascii="Palatino Linotype" w:eastAsia="Palatino Linotype" w:hAnsi="Palatino Linotype" w:cs="Palatino Linotype"/>
          <w:color w:val="000000" w:themeColor="text1"/>
        </w:rPr>
        <w:t xml:space="preserve"> las solicitudes de información pública</w:t>
      </w:r>
      <w:r w:rsidR="009A1205" w:rsidRPr="002D4122">
        <w:rPr>
          <w:rFonts w:ascii="Palatino Linotype" w:eastAsia="Palatino Linotype" w:hAnsi="Palatino Linotype" w:cs="Palatino Linotype"/>
          <w:color w:val="000000" w:themeColor="text1"/>
        </w:rPr>
        <w:t>s</w:t>
      </w:r>
      <w:r w:rsidRPr="002D4122">
        <w:rPr>
          <w:rFonts w:ascii="Palatino Linotype" w:eastAsia="Palatino Linotype" w:hAnsi="Palatino Linotype" w:cs="Palatino Linotype"/>
          <w:color w:val="000000" w:themeColor="text1"/>
        </w:rPr>
        <w:t xml:space="preserve"> </w:t>
      </w:r>
      <w:r w:rsidR="004C52EA" w:rsidRPr="002D4122">
        <w:rPr>
          <w:rFonts w:ascii="Palatino Linotype" w:eastAsia="Palatino Linotype" w:hAnsi="Palatino Linotype" w:cs="Palatino Linotype"/>
          <w:b/>
          <w:bCs/>
          <w:color w:val="000000" w:themeColor="text1"/>
        </w:rPr>
        <w:t xml:space="preserve">00726/CUAUTIZC/IP/2025, </w:t>
      </w:r>
      <w:r w:rsidR="004C52EA" w:rsidRPr="002D4122">
        <w:rPr>
          <w:rFonts w:ascii="Palatino Linotype" w:hAnsi="Palatino Linotype"/>
          <w:b/>
          <w:bCs/>
          <w:color w:val="000000" w:themeColor="text1"/>
        </w:rPr>
        <w:t>00725/CUAUTIZC/IP/2025, 00724/CUAUTIZC/IP/2025, 00723/CUAUTIZC/IP/2025</w:t>
      </w:r>
      <w:r w:rsidRPr="002D4122">
        <w:rPr>
          <w:rFonts w:ascii="Palatino Linotype" w:eastAsia="Palatino Linotype" w:hAnsi="Palatino Linotype" w:cs="Palatino Linotype"/>
          <w:b/>
          <w:color w:val="000000" w:themeColor="text1"/>
        </w:rPr>
        <w:t xml:space="preserve"> y </w:t>
      </w:r>
      <w:r w:rsidR="004C52EA" w:rsidRPr="002D4122">
        <w:rPr>
          <w:rFonts w:ascii="Palatino Linotype" w:eastAsia="Palatino Linotype" w:hAnsi="Palatino Linotype" w:cs="Palatino Linotype"/>
          <w:b/>
          <w:bCs/>
          <w:color w:val="000000" w:themeColor="text1"/>
        </w:rPr>
        <w:t>00722/CUAUTIZC/IP/2025</w:t>
      </w:r>
      <w:r w:rsidRPr="002D4122">
        <w:rPr>
          <w:rFonts w:ascii="Palatino Linotype" w:eastAsia="Palatino Linotype" w:hAnsi="Palatino Linotype" w:cs="Palatino Linotype"/>
          <w:color w:val="000000" w:themeColor="text1"/>
        </w:rPr>
        <w:t>, en las que solicitó:</w:t>
      </w:r>
    </w:p>
    <w:p w:rsidR="0003185F" w:rsidRPr="002D4122" w:rsidRDefault="0003185F" w:rsidP="00C27A98">
      <w:pPr>
        <w:spacing w:line="360" w:lineRule="auto"/>
        <w:jc w:val="both"/>
        <w:rPr>
          <w:rFonts w:ascii="Palatino Linotype" w:eastAsia="Palatino Linotype" w:hAnsi="Palatino Linotype" w:cs="Palatino Linotype"/>
          <w:i/>
          <w:color w:val="000000" w:themeColor="text1"/>
        </w:rPr>
      </w:pPr>
    </w:p>
    <w:p w:rsidR="009A1205" w:rsidRPr="002D4122" w:rsidRDefault="009A1205" w:rsidP="00C27A98">
      <w:pPr>
        <w:spacing w:line="360" w:lineRule="auto"/>
        <w:jc w:val="both"/>
        <w:rPr>
          <w:rFonts w:ascii="Palatino Linotype" w:eastAsia="Palatino Linotype" w:hAnsi="Palatino Linotype" w:cs="Palatino Linotype"/>
          <w:i/>
          <w:color w:val="000000" w:themeColor="text1"/>
        </w:rPr>
      </w:pPr>
    </w:p>
    <w:p w:rsidR="009A1205" w:rsidRPr="002D4122" w:rsidRDefault="009A1205" w:rsidP="00C27A98">
      <w:pPr>
        <w:spacing w:line="360" w:lineRule="auto"/>
        <w:jc w:val="both"/>
        <w:rPr>
          <w:rFonts w:ascii="Palatino Linotype" w:eastAsia="Palatino Linotype" w:hAnsi="Palatino Linotype" w:cs="Palatino Linotype"/>
          <w:i/>
          <w:color w:val="000000" w:themeColor="text1"/>
        </w:rPr>
      </w:pPr>
    </w:p>
    <w:p w:rsidR="009A1205" w:rsidRPr="002D4122" w:rsidRDefault="009A1205" w:rsidP="00C27A98">
      <w:pPr>
        <w:spacing w:line="360" w:lineRule="auto"/>
        <w:jc w:val="both"/>
        <w:rPr>
          <w:rFonts w:ascii="Palatino Linotype" w:eastAsia="Palatino Linotype" w:hAnsi="Palatino Linotype" w:cs="Palatino Linotype"/>
          <w:i/>
          <w:color w:val="000000" w:themeColor="text1"/>
        </w:rPr>
      </w:pPr>
    </w:p>
    <w:p w:rsidR="0003185F" w:rsidRPr="002D4122" w:rsidRDefault="004C52EA" w:rsidP="00C27A98">
      <w:pPr>
        <w:spacing w:line="360" w:lineRule="auto"/>
        <w:jc w:val="both"/>
        <w:rPr>
          <w:rFonts w:ascii="Palatino Linotype" w:eastAsia="Palatino Linotype" w:hAnsi="Palatino Linotype" w:cs="Palatino Linotype"/>
          <w:color w:val="000000" w:themeColor="text1"/>
        </w:rPr>
      </w:pPr>
      <w:r w:rsidRPr="002D4122">
        <w:rPr>
          <w:rFonts w:ascii="Palatino Linotype" w:eastAsia="Palatino Linotype" w:hAnsi="Palatino Linotype" w:cs="Palatino Linotype"/>
          <w:b/>
          <w:bCs/>
          <w:color w:val="000000" w:themeColor="text1"/>
        </w:rPr>
        <w:lastRenderedPageBreak/>
        <w:t>00726/CUAUTIZC/IP/2025</w:t>
      </w:r>
      <w:r w:rsidR="0003185F" w:rsidRPr="002D4122">
        <w:rPr>
          <w:rFonts w:ascii="Palatino Linotype" w:eastAsia="Palatino Linotype" w:hAnsi="Palatino Linotype" w:cs="Palatino Linotype"/>
          <w:b/>
          <w:color w:val="000000" w:themeColor="text1"/>
        </w:rPr>
        <w:t>:</w:t>
      </w:r>
    </w:p>
    <w:p w:rsidR="0003185F" w:rsidRPr="002D4122" w:rsidRDefault="0003185F" w:rsidP="00C27A9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2D4122">
        <w:rPr>
          <w:rFonts w:ascii="Palatino Linotype" w:eastAsia="Palatino Linotype" w:hAnsi="Palatino Linotype" w:cs="Palatino Linotype"/>
          <w:i/>
          <w:color w:val="000000" w:themeColor="text1"/>
        </w:rPr>
        <w:t>“</w:t>
      </w:r>
      <w:r w:rsidR="004C52EA" w:rsidRPr="002D4122">
        <w:rPr>
          <w:rFonts w:ascii="Palatino Linotype" w:eastAsia="Palatino Linotype" w:hAnsi="Palatino Linotype" w:cs="Palatino Linotype"/>
          <w:i/>
          <w:color w:val="000000" w:themeColor="text1"/>
        </w:rPr>
        <w:t xml:space="preserve">quiero todos los contratos del municipio del mes de abril, me refiero a todos los contratos de abril de la actual </w:t>
      </w:r>
      <w:proofErr w:type="spellStart"/>
      <w:r w:rsidR="004C52EA" w:rsidRPr="002D4122">
        <w:rPr>
          <w:rFonts w:ascii="Palatino Linotype" w:eastAsia="Palatino Linotype" w:hAnsi="Palatino Linotype" w:cs="Palatino Linotype"/>
          <w:i/>
          <w:color w:val="000000" w:themeColor="text1"/>
        </w:rPr>
        <w:t>adminstración</w:t>
      </w:r>
      <w:proofErr w:type="spellEnd"/>
      <w:r w:rsidR="004C52EA" w:rsidRPr="002D4122">
        <w:rPr>
          <w:rFonts w:ascii="Palatino Linotype" w:eastAsia="Palatino Linotype" w:hAnsi="Palatino Linotype" w:cs="Palatino Linotype"/>
          <w:i/>
          <w:color w:val="000000" w:themeColor="text1"/>
        </w:rPr>
        <w:t xml:space="preserve"> que preside Luis Daniel Serrano Palacios, conocido por el pueblo de Izcalli como Don Dany Moches</w:t>
      </w:r>
      <w:r w:rsidRPr="002D4122">
        <w:rPr>
          <w:rFonts w:ascii="Palatino Linotype" w:eastAsia="Palatino Linotype" w:hAnsi="Palatino Linotype" w:cs="Palatino Linotype"/>
          <w:i/>
          <w:color w:val="000000" w:themeColor="text1"/>
        </w:rPr>
        <w:t xml:space="preserve">” (Sic) </w:t>
      </w:r>
    </w:p>
    <w:p w:rsidR="009A1205" w:rsidRPr="002D4122" w:rsidRDefault="009A1205" w:rsidP="00C27A9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4C52EA" w:rsidRPr="002D4122" w:rsidRDefault="004C52EA" w:rsidP="00C27A98">
      <w:pPr>
        <w:spacing w:line="360" w:lineRule="auto"/>
        <w:jc w:val="both"/>
        <w:rPr>
          <w:rFonts w:ascii="Palatino Linotype" w:eastAsia="Palatino Linotype" w:hAnsi="Palatino Linotype" w:cs="Palatino Linotype"/>
          <w:color w:val="000000" w:themeColor="text1"/>
        </w:rPr>
      </w:pPr>
      <w:r w:rsidRPr="002D4122">
        <w:rPr>
          <w:rFonts w:ascii="Palatino Linotype" w:eastAsia="Palatino Linotype" w:hAnsi="Palatino Linotype" w:cs="Palatino Linotype"/>
          <w:b/>
          <w:bCs/>
          <w:color w:val="000000" w:themeColor="text1"/>
        </w:rPr>
        <w:t>00725/CUAUTIZC/IP/2025</w:t>
      </w:r>
      <w:r w:rsidRPr="002D4122">
        <w:rPr>
          <w:rFonts w:ascii="Palatino Linotype" w:eastAsia="Palatino Linotype" w:hAnsi="Palatino Linotype" w:cs="Palatino Linotype"/>
          <w:b/>
          <w:color w:val="000000" w:themeColor="text1"/>
        </w:rPr>
        <w:t>:</w:t>
      </w:r>
    </w:p>
    <w:p w:rsidR="004C52EA" w:rsidRPr="002D4122" w:rsidRDefault="004C52EA" w:rsidP="00C27A9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2D4122">
        <w:rPr>
          <w:rFonts w:ascii="Palatino Linotype" w:eastAsia="Palatino Linotype" w:hAnsi="Palatino Linotype" w:cs="Palatino Linotype"/>
          <w:i/>
          <w:color w:val="000000" w:themeColor="text1"/>
        </w:rPr>
        <w:t xml:space="preserve">“quiero todos los contratos del municipio del mes de febrero, me refiero a todos los contratos de febrero de la actual </w:t>
      </w:r>
      <w:proofErr w:type="spellStart"/>
      <w:r w:rsidRPr="002D4122">
        <w:rPr>
          <w:rFonts w:ascii="Palatino Linotype" w:eastAsia="Palatino Linotype" w:hAnsi="Palatino Linotype" w:cs="Palatino Linotype"/>
          <w:i/>
          <w:color w:val="000000" w:themeColor="text1"/>
        </w:rPr>
        <w:t>adminstración</w:t>
      </w:r>
      <w:proofErr w:type="spellEnd"/>
      <w:r w:rsidRPr="002D4122">
        <w:rPr>
          <w:rFonts w:ascii="Palatino Linotype" w:eastAsia="Palatino Linotype" w:hAnsi="Palatino Linotype" w:cs="Palatino Linotype"/>
          <w:i/>
          <w:color w:val="000000" w:themeColor="text1"/>
        </w:rPr>
        <w:t xml:space="preserve"> que preside Luis Daniel Serrano Palacios, conocido por el pueblo de Izcalli como Don Dany Moches” (Sic) </w:t>
      </w:r>
    </w:p>
    <w:p w:rsidR="009A1205" w:rsidRPr="002D4122" w:rsidRDefault="009A1205" w:rsidP="00C27A9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4C52EA" w:rsidRPr="002D4122" w:rsidRDefault="004C52EA" w:rsidP="00C27A98">
      <w:pPr>
        <w:spacing w:line="360" w:lineRule="auto"/>
        <w:jc w:val="both"/>
        <w:rPr>
          <w:rFonts w:ascii="Palatino Linotype" w:eastAsia="Palatino Linotype" w:hAnsi="Palatino Linotype" w:cs="Palatino Linotype"/>
          <w:color w:val="000000" w:themeColor="text1"/>
        </w:rPr>
      </w:pPr>
      <w:r w:rsidRPr="002D4122">
        <w:rPr>
          <w:rFonts w:ascii="Palatino Linotype" w:eastAsia="Palatino Linotype" w:hAnsi="Palatino Linotype" w:cs="Palatino Linotype"/>
          <w:b/>
          <w:bCs/>
          <w:color w:val="000000" w:themeColor="text1"/>
        </w:rPr>
        <w:t>00724/CUAUTIZC/IP/2025</w:t>
      </w:r>
      <w:r w:rsidRPr="002D4122">
        <w:rPr>
          <w:rFonts w:ascii="Palatino Linotype" w:eastAsia="Palatino Linotype" w:hAnsi="Palatino Linotype" w:cs="Palatino Linotype"/>
          <w:b/>
          <w:color w:val="000000" w:themeColor="text1"/>
        </w:rPr>
        <w:t>:</w:t>
      </w:r>
    </w:p>
    <w:p w:rsidR="004C52EA" w:rsidRPr="002D4122" w:rsidRDefault="004C52EA" w:rsidP="00C27A9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2D4122">
        <w:rPr>
          <w:rFonts w:ascii="Palatino Linotype" w:eastAsia="Palatino Linotype" w:hAnsi="Palatino Linotype" w:cs="Palatino Linotype"/>
          <w:i/>
          <w:color w:val="000000" w:themeColor="text1"/>
        </w:rPr>
        <w:t xml:space="preserve">“quiero todos los contratos del municipio del mes de marzo, me refiero a todos los contratos de marzo de la actual </w:t>
      </w:r>
      <w:proofErr w:type="spellStart"/>
      <w:r w:rsidRPr="002D4122">
        <w:rPr>
          <w:rFonts w:ascii="Palatino Linotype" w:eastAsia="Palatino Linotype" w:hAnsi="Palatino Linotype" w:cs="Palatino Linotype"/>
          <w:i/>
          <w:color w:val="000000" w:themeColor="text1"/>
        </w:rPr>
        <w:t>adminstración</w:t>
      </w:r>
      <w:proofErr w:type="spellEnd"/>
      <w:r w:rsidRPr="002D4122">
        <w:rPr>
          <w:rFonts w:ascii="Palatino Linotype" w:eastAsia="Palatino Linotype" w:hAnsi="Palatino Linotype" w:cs="Palatino Linotype"/>
          <w:i/>
          <w:color w:val="000000" w:themeColor="text1"/>
        </w:rPr>
        <w:t xml:space="preserve"> que preside Luis Daniel Serrano Palacios, conocido por el pueblo de Izcalli como Don Dany Moches” (Sic) </w:t>
      </w:r>
    </w:p>
    <w:p w:rsidR="009A1205" w:rsidRPr="002D4122" w:rsidRDefault="009A1205" w:rsidP="00C27A9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4C52EA" w:rsidRPr="002D4122" w:rsidRDefault="004C52EA" w:rsidP="00C27A98">
      <w:pPr>
        <w:spacing w:line="360" w:lineRule="auto"/>
        <w:jc w:val="both"/>
        <w:rPr>
          <w:rFonts w:ascii="Palatino Linotype" w:eastAsia="Palatino Linotype" w:hAnsi="Palatino Linotype" w:cs="Palatino Linotype"/>
          <w:color w:val="000000" w:themeColor="text1"/>
        </w:rPr>
      </w:pPr>
      <w:r w:rsidRPr="002D4122">
        <w:rPr>
          <w:rFonts w:ascii="Palatino Linotype" w:eastAsia="Palatino Linotype" w:hAnsi="Palatino Linotype" w:cs="Palatino Linotype"/>
          <w:b/>
          <w:bCs/>
          <w:color w:val="000000" w:themeColor="text1"/>
        </w:rPr>
        <w:t>00723/CUAUTIZC/IP/2025</w:t>
      </w:r>
      <w:r w:rsidRPr="002D4122">
        <w:rPr>
          <w:rFonts w:ascii="Palatino Linotype" w:eastAsia="Palatino Linotype" w:hAnsi="Palatino Linotype" w:cs="Palatino Linotype"/>
          <w:b/>
          <w:color w:val="000000" w:themeColor="text1"/>
        </w:rPr>
        <w:t>:</w:t>
      </w:r>
    </w:p>
    <w:p w:rsidR="004C52EA" w:rsidRPr="002D4122" w:rsidRDefault="004C52EA" w:rsidP="00C27A9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2D4122">
        <w:rPr>
          <w:rFonts w:ascii="Palatino Linotype" w:eastAsia="Palatino Linotype" w:hAnsi="Palatino Linotype" w:cs="Palatino Linotype"/>
          <w:i/>
          <w:color w:val="000000" w:themeColor="text1"/>
        </w:rPr>
        <w:t xml:space="preserve">“quiero todos los contratos del municipio del mes de febrero, me refiero a todos los contratos de enero de la actual </w:t>
      </w:r>
      <w:proofErr w:type="spellStart"/>
      <w:r w:rsidRPr="002D4122">
        <w:rPr>
          <w:rFonts w:ascii="Palatino Linotype" w:eastAsia="Palatino Linotype" w:hAnsi="Palatino Linotype" w:cs="Palatino Linotype"/>
          <w:i/>
          <w:color w:val="000000" w:themeColor="text1"/>
        </w:rPr>
        <w:t>adminstración</w:t>
      </w:r>
      <w:proofErr w:type="spellEnd"/>
      <w:r w:rsidRPr="002D4122">
        <w:rPr>
          <w:rFonts w:ascii="Palatino Linotype" w:eastAsia="Palatino Linotype" w:hAnsi="Palatino Linotype" w:cs="Palatino Linotype"/>
          <w:i/>
          <w:color w:val="000000" w:themeColor="text1"/>
        </w:rPr>
        <w:t xml:space="preserve"> que preside Luis Daniel Serrano Palacios, conocido por el pueblo de Izcalli como Don Dany Moches” (Sic) </w:t>
      </w:r>
    </w:p>
    <w:p w:rsidR="009A1205" w:rsidRPr="002D4122" w:rsidRDefault="009A1205" w:rsidP="00C27A9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9A1205" w:rsidRPr="002D4122" w:rsidRDefault="009A1205" w:rsidP="00C27A9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9A1205" w:rsidRPr="002D4122" w:rsidRDefault="009A1205" w:rsidP="00C27A9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9A1205" w:rsidRPr="002D4122" w:rsidRDefault="009A1205" w:rsidP="00C27A9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4C52EA" w:rsidRPr="002D4122" w:rsidRDefault="004C52EA" w:rsidP="00C27A98">
      <w:pPr>
        <w:spacing w:line="360" w:lineRule="auto"/>
        <w:jc w:val="both"/>
        <w:rPr>
          <w:rFonts w:ascii="Palatino Linotype" w:eastAsia="Palatino Linotype" w:hAnsi="Palatino Linotype" w:cs="Palatino Linotype"/>
          <w:color w:val="000000" w:themeColor="text1"/>
        </w:rPr>
      </w:pPr>
      <w:r w:rsidRPr="002D4122">
        <w:rPr>
          <w:rFonts w:ascii="Palatino Linotype" w:eastAsia="Palatino Linotype" w:hAnsi="Palatino Linotype" w:cs="Palatino Linotype"/>
          <w:b/>
          <w:bCs/>
          <w:color w:val="000000" w:themeColor="text1"/>
        </w:rPr>
        <w:lastRenderedPageBreak/>
        <w:t>00722/CUAUTIZC/IP/2025</w:t>
      </w:r>
      <w:r w:rsidRPr="002D4122">
        <w:rPr>
          <w:rFonts w:ascii="Palatino Linotype" w:eastAsia="Palatino Linotype" w:hAnsi="Palatino Linotype" w:cs="Palatino Linotype"/>
          <w:b/>
          <w:color w:val="000000" w:themeColor="text1"/>
        </w:rPr>
        <w:t>:</w:t>
      </w:r>
    </w:p>
    <w:p w:rsidR="004C52EA" w:rsidRPr="002D4122" w:rsidRDefault="004C52EA" w:rsidP="00C27A9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2D4122">
        <w:rPr>
          <w:rFonts w:ascii="Palatino Linotype" w:eastAsia="Palatino Linotype" w:hAnsi="Palatino Linotype" w:cs="Palatino Linotype"/>
          <w:i/>
          <w:color w:val="000000" w:themeColor="text1"/>
        </w:rPr>
        <w:t xml:space="preserve">“quiero todos los contratos del municipio del mes de enero, me refiero a todos los contratos de enero de la actual </w:t>
      </w:r>
      <w:proofErr w:type="spellStart"/>
      <w:r w:rsidRPr="002D4122">
        <w:rPr>
          <w:rFonts w:ascii="Palatino Linotype" w:eastAsia="Palatino Linotype" w:hAnsi="Palatino Linotype" w:cs="Palatino Linotype"/>
          <w:i/>
          <w:color w:val="000000" w:themeColor="text1"/>
        </w:rPr>
        <w:t>adminstración</w:t>
      </w:r>
      <w:proofErr w:type="spellEnd"/>
      <w:r w:rsidRPr="002D4122">
        <w:rPr>
          <w:rFonts w:ascii="Palatino Linotype" w:eastAsia="Palatino Linotype" w:hAnsi="Palatino Linotype" w:cs="Palatino Linotype"/>
          <w:i/>
          <w:color w:val="000000" w:themeColor="text1"/>
        </w:rPr>
        <w:t xml:space="preserve"> que preside Luis Daniel Serrano Palacios, conocido por el pueblo de Izcalli como Don Dany Moches” (Sic) </w:t>
      </w:r>
    </w:p>
    <w:p w:rsidR="0003185F" w:rsidRPr="002D4122" w:rsidRDefault="0003185F" w:rsidP="00C27A9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03185F" w:rsidRPr="002D4122" w:rsidRDefault="0003185F" w:rsidP="00C27A98">
      <w:pPr>
        <w:numPr>
          <w:ilvl w:val="0"/>
          <w:numId w:val="1"/>
        </w:numPr>
        <w:spacing w:line="360" w:lineRule="auto"/>
        <w:ind w:left="0" w:firstLine="0"/>
        <w:jc w:val="both"/>
        <w:rPr>
          <w:rFonts w:ascii="Palatino Linotype" w:hAnsi="Palatino Linotype"/>
          <w:color w:val="000000" w:themeColor="text1"/>
        </w:rPr>
      </w:pPr>
      <w:r w:rsidRPr="002D4122">
        <w:rPr>
          <w:rFonts w:ascii="Palatino Linotype" w:eastAsia="Palatino Linotype" w:hAnsi="Palatino Linotype" w:cs="Palatino Linotype"/>
          <w:color w:val="000000" w:themeColor="text1"/>
        </w:rPr>
        <w:t xml:space="preserve">Se hace constar que se señaló como modalidad de entrega de la información a través de </w:t>
      </w:r>
      <w:r w:rsidR="004C52EA" w:rsidRPr="002D4122">
        <w:rPr>
          <w:rFonts w:ascii="Palatino Linotype" w:eastAsia="Palatino Linotype" w:hAnsi="Palatino Linotype" w:cs="Palatino Linotype"/>
          <w:color w:val="000000" w:themeColor="text1"/>
        </w:rPr>
        <w:t>SAIMEX.</w:t>
      </w:r>
    </w:p>
    <w:p w:rsidR="0003185F" w:rsidRPr="002D4122" w:rsidRDefault="0003185F" w:rsidP="00C27A98">
      <w:pPr>
        <w:pBdr>
          <w:top w:val="nil"/>
          <w:left w:val="nil"/>
          <w:bottom w:val="nil"/>
          <w:right w:val="nil"/>
          <w:between w:val="nil"/>
        </w:pBdr>
        <w:rPr>
          <w:rFonts w:ascii="Palatino Linotype" w:eastAsia="Palatino Linotype" w:hAnsi="Palatino Linotype" w:cs="Palatino Linotype"/>
          <w:color w:val="000000" w:themeColor="text1"/>
        </w:rPr>
      </w:pPr>
    </w:p>
    <w:p w:rsidR="0003185F" w:rsidRPr="002D4122" w:rsidRDefault="0003185F" w:rsidP="00C27A98">
      <w:pPr>
        <w:numPr>
          <w:ilvl w:val="0"/>
          <w:numId w:val="1"/>
        </w:numPr>
        <w:spacing w:line="360" w:lineRule="auto"/>
        <w:ind w:left="0" w:firstLine="0"/>
        <w:jc w:val="both"/>
        <w:rPr>
          <w:rFonts w:ascii="Palatino Linotype" w:hAnsi="Palatino Linotype"/>
          <w:color w:val="000000" w:themeColor="text1"/>
        </w:rPr>
      </w:pPr>
      <w:r w:rsidRPr="002D4122">
        <w:rPr>
          <w:rFonts w:ascii="Palatino Linotype" w:eastAsia="Palatino Linotype" w:hAnsi="Palatino Linotype" w:cs="Palatino Linotype"/>
          <w:color w:val="000000" w:themeColor="text1"/>
        </w:rPr>
        <w:t xml:space="preserve">El </w:t>
      </w:r>
      <w:r w:rsidRPr="002D4122">
        <w:rPr>
          <w:rFonts w:ascii="Palatino Linotype" w:eastAsia="Palatino Linotype" w:hAnsi="Palatino Linotype" w:cs="Palatino Linotype"/>
          <w:b/>
          <w:color w:val="000000" w:themeColor="text1"/>
        </w:rPr>
        <w:t xml:space="preserve">veintiuno </w:t>
      </w:r>
      <w:r w:rsidR="004C52EA" w:rsidRPr="002D4122">
        <w:rPr>
          <w:rFonts w:ascii="Palatino Linotype" w:eastAsia="Palatino Linotype" w:hAnsi="Palatino Linotype" w:cs="Palatino Linotype"/>
          <w:b/>
          <w:color w:val="000000" w:themeColor="text1"/>
        </w:rPr>
        <w:t>de abril de dos mil veinticinco</w:t>
      </w:r>
      <w:r w:rsidRPr="002D4122">
        <w:rPr>
          <w:rFonts w:ascii="Palatino Linotype" w:eastAsia="Palatino Linotype" w:hAnsi="Palatino Linotype" w:cs="Palatino Linotype"/>
          <w:b/>
          <w:color w:val="000000" w:themeColor="text1"/>
        </w:rPr>
        <w:t xml:space="preserve">, </w:t>
      </w:r>
      <w:r w:rsidRPr="002D4122">
        <w:rPr>
          <w:rFonts w:ascii="Palatino Linotype" w:eastAsia="Palatino Linotype" w:hAnsi="Palatino Linotype" w:cs="Palatino Linotype"/>
          <w:color w:val="000000" w:themeColor="text1"/>
        </w:rPr>
        <w:t xml:space="preserve">el </w:t>
      </w:r>
      <w:r w:rsidR="004C52EA" w:rsidRPr="002D4122">
        <w:rPr>
          <w:rFonts w:ascii="Palatino Linotype" w:eastAsia="Palatino Linotype" w:hAnsi="Palatino Linotype" w:cs="Palatino Linotype"/>
          <w:b/>
          <w:color w:val="000000" w:themeColor="text1"/>
        </w:rPr>
        <w:t>Sujeto Obligado</w:t>
      </w:r>
      <w:r w:rsidR="004C52EA" w:rsidRPr="002D4122">
        <w:rPr>
          <w:rFonts w:ascii="Palatino Linotype" w:eastAsia="Palatino Linotype" w:hAnsi="Palatino Linotype" w:cs="Palatino Linotype"/>
          <w:b/>
          <w:i/>
          <w:color w:val="000000" w:themeColor="text1"/>
        </w:rPr>
        <w:t xml:space="preserve"> </w:t>
      </w:r>
      <w:r w:rsidRPr="002D4122">
        <w:rPr>
          <w:rFonts w:ascii="Palatino Linotype" w:eastAsia="Palatino Linotype" w:hAnsi="Palatino Linotype" w:cs="Palatino Linotype"/>
          <w:color w:val="000000" w:themeColor="text1"/>
        </w:rPr>
        <w:t>dio respuesta a la</w:t>
      </w:r>
      <w:r w:rsidR="003A6530" w:rsidRPr="002D4122">
        <w:rPr>
          <w:rFonts w:ascii="Palatino Linotype" w:eastAsia="Palatino Linotype" w:hAnsi="Palatino Linotype" w:cs="Palatino Linotype"/>
          <w:color w:val="000000" w:themeColor="text1"/>
        </w:rPr>
        <w:t>s</w:t>
      </w:r>
      <w:r w:rsidRPr="002D4122">
        <w:rPr>
          <w:rFonts w:ascii="Palatino Linotype" w:eastAsia="Palatino Linotype" w:hAnsi="Palatino Linotype" w:cs="Palatino Linotype"/>
          <w:color w:val="000000" w:themeColor="text1"/>
        </w:rPr>
        <w:t xml:space="preserve"> solicitud</w:t>
      </w:r>
      <w:r w:rsidR="003A6530" w:rsidRPr="002D4122">
        <w:rPr>
          <w:rFonts w:ascii="Palatino Linotype" w:eastAsia="Palatino Linotype" w:hAnsi="Palatino Linotype" w:cs="Palatino Linotype"/>
          <w:color w:val="000000" w:themeColor="text1"/>
        </w:rPr>
        <w:t>es</w:t>
      </w:r>
      <w:r w:rsidRPr="002D4122">
        <w:rPr>
          <w:rFonts w:ascii="Palatino Linotype" w:eastAsia="Palatino Linotype" w:hAnsi="Palatino Linotype" w:cs="Palatino Linotype"/>
          <w:color w:val="000000" w:themeColor="text1"/>
        </w:rPr>
        <w:t xml:space="preserve"> de información, en los siguientes términos:</w:t>
      </w:r>
    </w:p>
    <w:p w:rsidR="004C52EA" w:rsidRPr="002D4122" w:rsidRDefault="004C52EA" w:rsidP="00C27A98">
      <w:pPr>
        <w:spacing w:line="360" w:lineRule="auto"/>
        <w:jc w:val="both"/>
        <w:rPr>
          <w:rFonts w:ascii="Palatino Linotype" w:hAnsi="Palatino Linotype"/>
          <w:color w:val="000000" w:themeColor="text1"/>
        </w:rPr>
      </w:pPr>
    </w:p>
    <w:p w:rsidR="004C52EA" w:rsidRPr="002D4122" w:rsidRDefault="004C52EA" w:rsidP="00C27A98">
      <w:pPr>
        <w:spacing w:line="360" w:lineRule="auto"/>
        <w:jc w:val="both"/>
        <w:rPr>
          <w:rFonts w:ascii="Palatino Linotype" w:eastAsia="Palatino Linotype" w:hAnsi="Palatino Linotype" w:cs="Palatino Linotype"/>
          <w:b/>
          <w:bCs/>
          <w:color w:val="000000" w:themeColor="text1"/>
        </w:rPr>
      </w:pPr>
      <w:r w:rsidRPr="002D4122">
        <w:rPr>
          <w:rFonts w:ascii="Palatino Linotype" w:eastAsia="Palatino Linotype" w:hAnsi="Palatino Linotype" w:cs="Palatino Linotype"/>
          <w:b/>
          <w:bCs/>
          <w:color w:val="000000" w:themeColor="text1"/>
        </w:rPr>
        <w:t>00726/CUAUTIZC/IP/2025:</w:t>
      </w:r>
    </w:p>
    <w:p w:rsidR="004C52EA" w:rsidRPr="002D4122" w:rsidRDefault="004C52EA" w:rsidP="00C27A98">
      <w:pPr>
        <w:spacing w:line="360" w:lineRule="auto"/>
        <w:jc w:val="both"/>
        <w:rPr>
          <w:rFonts w:ascii="Palatino Linotype" w:eastAsia="Palatino Linotype" w:hAnsi="Palatino Linotype" w:cs="Palatino Linotype"/>
          <w:b/>
          <w:bCs/>
          <w:color w:val="000000" w:themeColor="text1"/>
        </w:rPr>
      </w:pPr>
    </w:p>
    <w:tbl>
      <w:tblPr>
        <w:tblW w:w="7819" w:type="dxa"/>
        <w:jc w:val="center"/>
        <w:tblCellSpacing w:w="0" w:type="dxa"/>
        <w:tblCellMar>
          <w:left w:w="0" w:type="dxa"/>
          <w:right w:w="0" w:type="dxa"/>
        </w:tblCellMar>
        <w:tblLook w:val="04A0" w:firstRow="1" w:lastRow="0" w:firstColumn="1" w:lastColumn="0" w:noHBand="0" w:noVBand="1"/>
      </w:tblPr>
      <w:tblGrid>
        <w:gridCol w:w="7819"/>
      </w:tblGrid>
      <w:tr w:rsidR="004C40F6" w:rsidRPr="002D4122" w:rsidTr="003A6530">
        <w:trPr>
          <w:trHeight w:val="300"/>
          <w:tblCellSpacing w:w="0" w:type="dxa"/>
          <w:jc w:val="center"/>
        </w:trPr>
        <w:tc>
          <w:tcPr>
            <w:tcW w:w="0" w:type="auto"/>
            <w:vAlign w:val="center"/>
            <w:hideMark/>
          </w:tcPr>
          <w:p w:rsidR="004C52EA" w:rsidRPr="002D4122" w:rsidRDefault="004C52EA" w:rsidP="00C27A98">
            <w:pPr>
              <w:jc w:val="right"/>
              <w:rPr>
                <w:rFonts w:ascii="Palatino Linotype" w:hAnsi="Palatino Linotype"/>
                <w:i/>
                <w:color w:val="000000" w:themeColor="text1"/>
              </w:rPr>
            </w:pPr>
            <w:r w:rsidRPr="002D4122">
              <w:rPr>
                <w:rFonts w:ascii="Palatino Linotype" w:hAnsi="Palatino Linotype"/>
                <w:i/>
                <w:color w:val="000000" w:themeColor="text1"/>
              </w:rPr>
              <w:br/>
              <w:t>Cuautitlán Izcalli, México a 21 de Abril de 2025</w:t>
            </w:r>
          </w:p>
        </w:tc>
      </w:tr>
      <w:tr w:rsidR="004C40F6" w:rsidRPr="002D4122" w:rsidTr="003A6530">
        <w:trPr>
          <w:trHeight w:val="300"/>
          <w:tblCellSpacing w:w="0" w:type="dxa"/>
          <w:jc w:val="center"/>
        </w:trPr>
        <w:tc>
          <w:tcPr>
            <w:tcW w:w="0" w:type="auto"/>
            <w:vAlign w:val="center"/>
            <w:hideMark/>
          </w:tcPr>
          <w:p w:rsidR="004C52EA" w:rsidRPr="002D4122" w:rsidRDefault="004C52EA" w:rsidP="00C27A98">
            <w:pPr>
              <w:jc w:val="right"/>
              <w:rPr>
                <w:rFonts w:ascii="Palatino Linotype" w:hAnsi="Palatino Linotype"/>
                <w:i/>
                <w:color w:val="000000" w:themeColor="text1"/>
              </w:rPr>
            </w:pPr>
            <w:r w:rsidRPr="002D4122">
              <w:rPr>
                <w:rFonts w:ascii="Palatino Linotype" w:hAnsi="Palatino Linotype"/>
                <w:i/>
                <w:color w:val="000000" w:themeColor="text1"/>
              </w:rPr>
              <w:t>Nombre del solicitante: C. Solicitante</w:t>
            </w:r>
          </w:p>
        </w:tc>
      </w:tr>
      <w:tr w:rsidR="004C40F6" w:rsidRPr="002D4122" w:rsidTr="003A6530">
        <w:trPr>
          <w:trHeight w:val="300"/>
          <w:tblCellSpacing w:w="0" w:type="dxa"/>
          <w:jc w:val="center"/>
        </w:trPr>
        <w:tc>
          <w:tcPr>
            <w:tcW w:w="0" w:type="auto"/>
            <w:vAlign w:val="center"/>
            <w:hideMark/>
          </w:tcPr>
          <w:p w:rsidR="004C52EA" w:rsidRPr="002D4122" w:rsidRDefault="004C52EA" w:rsidP="00C27A98">
            <w:pPr>
              <w:jc w:val="right"/>
              <w:rPr>
                <w:rFonts w:ascii="Palatino Linotype" w:hAnsi="Palatino Linotype"/>
                <w:i/>
                <w:color w:val="000000" w:themeColor="text1"/>
              </w:rPr>
            </w:pPr>
            <w:r w:rsidRPr="002D4122">
              <w:rPr>
                <w:rFonts w:ascii="Palatino Linotype" w:hAnsi="Palatino Linotype"/>
                <w:i/>
                <w:color w:val="000000" w:themeColor="text1"/>
              </w:rPr>
              <w:t>Folio de la solicitud: 00726/CUAUTIZC/IP/2025</w:t>
            </w:r>
          </w:p>
        </w:tc>
      </w:tr>
      <w:tr w:rsidR="004C40F6" w:rsidRPr="002D4122" w:rsidTr="003A6530">
        <w:trPr>
          <w:trHeight w:val="450"/>
          <w:tblCellSpacing w:w="0" w:type="dxa"/>
          <w:jc w:val="center"/>
        </w:trPr>
        <w:tc>
          <w:tcPr>
            <w:tcW w:w="0" w:type="auto"/>
            <w:vAlign w:val="center"/>
            <w:hideMark/>
          </w:tcPr>
          <w:p w:rsidR="004C52EA" w:rsidRPr="002D4122" w:rsidRDefault="004C52EA" w:rsidP="00C27A98">
            <w:pPr>
              <w:jc w:val="right"/>
              <w:rPr>
                <w:rFonts w:ascii="Palatino Linotype" w:hAnsi="Palatino Linotype"/>
                <w:i/>
                <w:color w:val="000000" w:themeColor="text1"/>
              </w:rPr>
            </w:pPr>
          </w:p>
        </w:tc>
      </w:tr>
      <w:tr w:rsidR="004C40F6" w:rsidRPr="002D4122" w:rsidTr="003A6530">
        <w:trPr>
          <w:trHeight w:val="150"/>
          <w:tblCellSpacing w:w="0" w:type="dxa"/>
          <w:jc w:val="center"/>
        </w:trPr>
        <w:tc>
          <w:tcPr>
            <w:tcW w:w="0" w:type="auto"/>
            <w:vAlign w:val="center"/>
            <w:hideMark/>
          </w:tcPr>
          <w:p w:rsidR="004C52EA" w:rsidRPr="002D4122" w:rsidRDefault="004C52EA" w:rsidP="00C27A98">
            <w:pPr>
              <w:jc w:val="both"/>
              <w:rPr>
                <w:rFonts w:ascii="Palatino Linotype" w:hAnsi="Palatino Linotype"/>
                <w:i/>
                <w:color w:val="000000" w:themeColor="text1"/>
              </w:rPr>
            </w:pPr>
            <w:r w:rsidRPr="002D4122">
              <w:rPr>
                <w:rFonts w:ascii="Palatino Linotype" w:hAnsi="Palatino Linotype"/>
                <w:i/>
                <w:color w:val="000000" w:themeColor="text1"/>
              </w:rPr>
              <w:t xml:space="preserve">Con fundamento en el </w:t>
            </w:r>
            <w:proofErr w:type="spellStart"/>
            <w:r w:rsidRPr="002D4122">
              <w:rPr>
                <w:rFonts w:ascii="Palatino Linotype" w:hAnsi="Palatino Linotype"/>
                <w:i/>
                <w:color w:val="000000" w:themeColor="text1"/>
              </w:rPr>
              <w:t>articulo</w:t>
            </w:r>
            <w:proofErr w:type="spellEnd"/>
            <w:r w:rsidRPr="002D4122">
              <w:rPr>
                <w:rFonts w:ascii="Palatino Linotype" w:hAnsi="Palatino Linotype"/>
                <w:i/>
                <w:color w:val="000000" w:themeColor="text1"/>
              </w:rPr>
              <w:t xml:space="preserve"> 155 de la Ley de Transparencia y Acceso a la Información Pública del Estado de México y Municipios, se le hace de su conocimiento que no se da curso a la solicitud de información citada al rubro, en virtud de lo siguiente:</w:t>
            </w:r>
          </w:p>
        </w:tc>
      </w:tr>
      <w:tr w:rsidR="004C40F6" w:rsidRPr="002D4122" w:rsidTr="003A6530">
        <w:trPr>
          <w:trHeight w:val="375"/>
          <w:tblCellSpacing w:w="0" w:type="dxa"/>
          <w:jc w:val="center"/>
        </w:trPr>
        <w:tc>
          <w:tcPr>
            <w:tcW w:w="0" w:type="auto"/>
            <w:vAlign w:val="center"/>
            <w:hideMark/>
          </w:tcPr>
          <w:p w:rsidR="004C52EA" w:rsidRPr="002D4122" w:rsidRDefault="004C52EA" w:rsidP="00C27A98">
            <w:pPr>
              <w:jc w:val="both"/>
              <w:rPr>
                <w:rFonts w:ascii="Palatino Linotype" w:hAnsi="Palatino Linotype"/>
                <w:i/>
                <w:color w:val="000000" w:themeColor="text1"/>
              </w:rPr>
            </w:pPr>
          </w:p>
        </w:tc>
      </w:tr>
      <w:tr w:rsidR="004C40F6" w:rsidRPr="002D4122" w:rsidTr="003A6530">
        <w:trPr>
          <w:trHeight w:val="150"/>
          <w:tblCellSpacing w:w="0" w:type="dxa"/>
          <w:jc w:val="center"/>
        </w:trPr>
        <w:tc>
          <w:tcPr>
            <w:tcW w:w="0" w:type="auto"/>
            <w:vAlign w:val="center"/>
            <w:hideMark/>
          </w:tcPr>
          <w:p w:rsidR="004C52EA" w:rsidRPr="002D4122" w:rsidRDefault="004C52EA" w:rsidP="00C27A98">
            <w:pPr>
              <w:jc w:val="both"/>
              <w:rPr>
                <w:rFonts w:ascii="Palatino Linotype" w:hAnsi="Palatino Linotype"/>
                <w:i/>
                <w:color w:val="000000" w:themeColor="text1"/>
              </w:rPr>
            </w:pPr>
            <w:r w:rsidRPr="002D4122">
              <w:rPr>
                <w:rFonts w:ascii="Palatino Linotype" w:hAnsi="Palatino Linotype"/>
                <w:i/>
                <w:color w:val="000000" w:themeColor="text1"/>
              </w:rPr>
              <w:t>Se notifica respuesta</w:t>
            </w:r>
          </w:p>
        </w:tc>
      </w:tr>
      <w:tr w:rsidR="004C40F6" w:rsidRPr="002D4122" w:rsidTr="003A6530">
        <w:trPr>
          <w:trHeight w:val="375"/>
          <w:tblCellSpacing w:w="0" w:type="dxa"/>
          <w:jc w:val="center"/>
        </w:trPr>
        <w:tc>
          <w:tcPr>
            <w:tcW w:w="0" w:type="auto"/>
            <w:vAlign w:val="center"/>
            <w:hideMark/>
          </w:tcPr>
          <w:p w:rsidR="004C52EA" w:rsidRPr="002D4122" w:rsidRDefault="004C52EA" w:rsidP="00C27A98">
            <w:pPr>
              <w:jc w:val="both"/>
              <w:rPr>
                <w:rFonts w:ascii="Palatino Linotype" w:hAnsi="Palatino Linotype"/>
                <w:i/>
                <w:color w:val="000000" w:themeColor="text1"/>
              </w:rPr>
            </w:pPr>
          </w:p>
        </w:tc>
      </w:tr>
      <w:tr w:rsidR="004C40F6" w:rsidRPr="002D4122" w:rsidTr="003A6530">
        <w:trPr>
          <w:trHeight w:val="150"/>
          <w:tblCellSpacing w:w="0" w:type="dxa"/>
          <w:jc w:val="center"/>
        </w:trPr>
        <w:tc>
          <w:tcPr>
            <w:tcW w:w="0" w:type="auto"/>
            <w:vAlign w:val="center"/>
            <w:hideMark/>
          </w:tcPr>
          <w:p w:rsidR="004C52EA" w:rsidRPr="002D4122" w:rsidRDefault="004C52EA" w:rsidP="00C27A98">
            <w:pPr>
              <w:jc w:val="both"/>
              <w:rPr>
                <w:rFonts w:ascii="Palatino Linotype" w:hAnsi="Palatino Linotype"/>
                <w:i/>
                <w:color w:val="000000" w:themeColor="text1"/>
              </w:rPr>
            </w:pPr>
            <w:r w:rsidRPr="002D4122">
              <w:rPr>
                <w:rFonts w:ascii="Palatino Linotype" w:hAnsi="Palatino Linotype"/>
                <w:i/>
                <w:color w:val="000000" w:themeColor="text1"/>
              </w:rPr>
              <w:t xml:space="preserve">En virtud de lo anterior, se archiva la presente solicitud como concluida. Se hacen de su conocimiento que tiene derecho de interponer recurso de revisión dentro del </w:t>
            </w:r>
            <w:r w:rsidRPr="002D4122">
              <w:rPr>
                <w:rFonts w:ascii="Palatino Linotype" w:hAnsi="Palatino Linotype"/>
                <w:i/>
                <w:color w:val="000000" w:themeColor="text1"/>
              </w:rPr>
              <w:lastRenderedPageBreak/>
              <w:t>plazo de 15 días hábiles contados a partir de la fecha en que se realice la notificación vía electrónica, a través del SAIMEX.</w:t>
            </w:r>
          </w:p>
        </w:tc>
      </w:tr>
      <w:tr w:rsidR="004C40F6" w:rsidRPr="002D4122" w:rsidTr="003A6530">
        <w:trPr>
          <w:trHeight w:val="150"/>
          <w:tblCellSpacing w:w="0" w:type="dxa"/>
          <w:jc w:val="center"/>
        </w:trPr>
        <w:tc>
          <w:tcPr>
            <w:tcW w:w="0" w:type="auto"/>
            <w:vAlign w:val="center"/>
            <w:hideMark/>
          </w:tcPr>
          <w:p w:rsidR="004C52EA" w:rsidRPr="002D4122" w:rsidRDefault="004C52EA" w:rsidP="00C27A98">
            <w:pPr>
              <w:rPr>
                <w:rFonts w:ascii="Palatino Linotype" w:hAnsi="Palatino Linotype"/>
                <w:i/>
                <w:color w:val="000000" w:themeColor="text1"/>
              </w:rPr>
            </w:pPr>
          </w:p>
        </w:tc>
      </w:tr>
      <w:tr w:rsidR="004C40F6" w:rsidRPr="002D4122" w:rsidTr="003A6530">
        <w:trPr>
          <w:trHeight w:val="150"/>
          <w:tblCellSpacing w:w="0" w:type="dxa"/>
          <w:jc w:val="center"/>
        </w:trPr>
        <w:tc>
          <w:tcPr>
            <w:tcW w:w="0" w:type="auto"/>
            <w:vAlign w:val="center"/>
            <w:hideMark/>
          </w:tcPr>
          <w:p w:rsidR="004C52EA" w:rsidRPr="002D4122" w:rsidRDefault="004C52EA" w:rsidP="00C27A98">
            <w:pPr>
              <w:rPr>
                <w:rFonts w:ascii="Palatino Linotype" w:hAnsi="Palatino Linotype"/>
                <w:i/>
                <w:color w:val="000000" w:themeColor="text1"/>
              </w:rPr>
            </w:pPr>
            <w:r w:rsidRPr="002D4122">
              <w:rPr>
                <w:rFonts w:ascii="Palatino Linotype" w:hAnsi="Palatino Linotype"/>
                <w:i/>
                <w:color w:val="000000" w:themeColor="text1"/>
              </w:rPr>
              <w:t>ATENTAMENTE</w:t>
            </w:r>
          </w:p>
        </w:tc>
      </w:tr>
      <w:tr w:rsidR="004C40F6" w:rsidRPr="002D4122" w:rsidTr="003A6530">
        <w:trPr>
          <w:trHeight w:val="225"/>
          <w:tblCellSpacing w:w="0" w:type="dxa"/>
          <w:jc w:val="center"/>
        </w:trPr>
        <w:tc>
          <w:tcPr>
            <w:tcW w:w="0" w:type="auto"/>
            <w:vAlign w:val="center"/>
            <w:hideMark/>
          </w:tcPr>
          <w:p w:rsidR="004C52EA" w:rsidRPr="002D4122" w:rsidRDefault="004C52EA" w:rsidP="00C27A98">
            <w:pPr>
              <w:rPr>
                <w:rFonts w:ascii="Palatino Linotype" w:hAnsi="Palatino Linotype"/>
                <w:i/>
                <w:color w:val="000000" w:themeColor="text1"/>
              </w:rPr>
            </w:pPr>
          </w:p>
        </w:tc>
      </w:tr>
      <w:tr w:rsidR="004C52EA" w:rsidRPr="002D4122" w:rsidTr="003A6530">
        <w:trPr>
          <w:trHeight w:val="150"/>
          <w:tblCellSpacing w:w="0" w:type="dxa"/>
          <w:jc w:val="center"/>
        </w:trPr>
        <w:tc>
          <w:tcPr>
            <w:tcW w:w="0" w:type="auto"/>
            <w:vAlign w:val="center"/>
            <w:hideMark/>
          </w:tcPr>
          <w:p w:rsidR="004C52EA" w:rsidRPr="002D4122" w:rsidRDefault="004C52EA" w:rsidP="00C27A98">
            <w:pPr>
              <w:rPr>
                <w:rFonts w:ascii="Palatino Linotype" w:hAnsi="Palatino Linotype"/>
                <w:i/>
                <w:color w:val="000000" w:themeColor="text1"/>
              </w:rPr>
            </w:pPr>
            <w:r w:rsidRPr="002D4122">
              <w:rPr>
                <w:rFonts w:ascii="Palatino Linotype" w:hAnsi="Palatino Linotype"/>
                <w:i/>
                <w:color w:val="000000" w:themeColor="text1"/>
              </w:rPr>
              <w:t>GABRIELA ELIZABETH MORALES CRUZ</w:t>
            </w:r>
          </w:p>
        </w:tc>
      </w:tr>
    </w:tbl>
    <w:p w:rsidR="004C52EA" w:rsidRPr="002D4122" w:rsidRDefault="004C52EA" w:rsidP="00C27A98">
      <w:pPr>
        <w:spacing w:line="360" w:lineRule="auto"/>
        <w:jc w:val="both"/>
        <w:rPr>
          <w:rFonts w:ascii="Palatino Linotype" w:eastAsia="Palatino Linotype" w:hAnsi="Palatino Linotype" w:cs="Palatino Linotype"/>
          <w:b/>
          <w:bCs/>
          <w:color w:val="000000" w:themeColor="text1"/>
        </w:rPr>
      </w:pPr>
    </w:p>
    <w:p w:rsidR="004C52EA" w:rsidRPr="002D4122" w:rsidRDefault="003A6530" w:rsidP="00C27A98">
      <w:pPr>
        <w:pStyle w:val="Prrafodelista"/>
        <w:numPr>
          <w:ilvl w:val="0"/>
          <w:numId w:val="8"/>
        </w:numPr>
        <w:spacing w:line="360" w:lineRule="auto"/>
        <w:ind w:left="0"/>
        <w:jc w:val="both"/>
        <w:rPr>
          <w:rFonts w:ascii="Palatino Linotype" w:eastAsia="Palatino Linotype" w:hAnsi="Palatino Linotype" w:cs="Palatino Linotype"/>
          <w:bCs/>
          <w:color w:val="000000" w:themeColor="text1"/>
          <w:sz w:val="24"/>
        </w:rPr>
      </w:pPr>
      <w:r w:rsidRPr="002D4122">
        <w:rPr>
          <w:rFonts w:ascii="Palatino Linotype" w:eastAsia="Palatino Linotype" w:hAnsi="Palatino Linotype" w:cs="Palatino Linotype"/>
          <w:bCs/>
          <w:color w:val="000000" w:themeColor="text1"/>
          <w:sz w:val="24"/>
        </w:rPr>
        <w:t xml:space="preserve">A la respuesta se adjuntó el archivo denominado </w:t>
      </w:r>
      <w:hyperlink r:id="rId7" w:tgtFrame="_blank" w:history="1">
        <w:r w:rsidRPr="002D4122">
          <w:rPr>
            <w:rStyle w:val="Hipervnculo"/>
            <w:rFonts w:ascii="Palatino Linotype" w:eastAsia="Palatino Linotype" w:hAnsi="Palatino Linotype" w:cs="Palatino Linotype"/>
            <w:b/>
            <w:bCs/>
            <w:color w:val="000000" w:themeColor="text1"/>
            <w:sz w:val="24"/>
          </w:rPr>
          <w:t>RESPUESTA SOLICITUD 00726-CUAUTIZC-IP-2025.pdf</w:t>
        </w:r>
      </w:hyperlink>
      <w:r w:rsidRPr="002D4122">
        <w:rPr>
          <w:rFonts w:ascii="Palatino Linotype" w:eastAsia="Palatino Linotype" w:hAnsi="Palatino Linotype" w:cs="Palatino Linotype"/>
          <w:b/>
          <w:bCs/>
          <w:color w:val="000000" w:themeColor="text1"/>
          <w:sz w:val="24"/>
        </w:rPr>
        <w:t>,</w:t>
      </w:r>
      <w:r w:rsidRPr="002D4122">
        <w:rPr>
          <w:rFonts w:ascii="Palatino Linotype" w:eastAsia="Palatino Linotype" w:hAnsi="Palatino Linotype" w:cs="Palatino Linotype"/>
          <w:bCs/>
          <w:color w:val="000000" w:themeColor="text1"/>
          <w:sz w:val="24"/>
        </w:rPr>
        <w:t xml:space="preserve"> en el que se advierte el oficio número PM/CUT/552/2025 de fecha veintiuno de abril de dos mil veinticinco, suscrito por la Coordinadora de Transparencia en el que señaló, de forma medular, que del requerimiento se desprende que se emitieron expresiones subjetivas, situación que conlleva a afirmar que se está en presencia del ejercicio del derecho a la libre expresión y en todo caso a un derecho de petición y no al derecho de acceso a la información pública. </w:t>
      </w:r>
    </w:p>
    <w:p w:rsidR="003A6530" w:rsidRPr="002D4122" w:rsidRDefault="003A6530" w:rsidP="00C27A98">
      <w:pPr>
        <w:spacing w:line="360" w:lineRule="auto"/>
        <w:jc w:val="both"/>
        <w:rPr>
          <w:rFonts w:ascii="Palatino Linotype" w:eastAsia="Palatino Linotype" w:hAnsi="Palatino Linotype" w:cs="Palatino Linotype"/>
          <w:b/>
          <w:bCs/>
          <w:color w:val="000000" w:themeColor="text1"/>
        </w:rPr>
      </w:pPr>
    </w:p>
    <w:p w:rsidR="004C52EA" w:rsidRPr="002D4122" w:rsidRDefault="004C52EA" w:rsidP="00C27A98">
      <w:pPr>
        <w:spacing w:line="360" w:lineRule="auto"/>
        <w:jc w:val="both"/>
        <w:rPr>
          <w:rFonts w:ascii="Palatino Linotype" w:hAnsi="Palatino Linotype"/>
          <w:b/>
          <w:bCs/>
          <w:color w:val="000000" w:themeColor="text1"/>
        </w:rPr>
      </w:pPr>
      <w:r w:rsidRPr="002D4122">
        <w:rPr>
          <w:rFonts w:ascii="Palatino Linotype" w:hAnsi="Palatino Linotype"/>
          <w:b/>
          <w:bCs/>
          <w:color w:val="000000" w:themeColor="text1"/>
        </w:rPr>
        <w:t>00725/CUAUTIZC/IP/2025:</w:t>
      </w:r>
    </w:p>
    <w:p w:rsidR="004C52EA" w:rsidRPr="002D4122" w:rsidRDefault="004C52EA" w:rsidP="00C27A98">
      <w:pPr>
        <w:spacing w:line="360" w:lineRule="auto"/>
        <w:jc w:val="both"/>
        <w:rPr>
          <w:rFonts w:ascii="Palatino Linotype" w:hAnsi="Palatino Linotype"/>
          <w:b/>
          <w:bCs/>
          <w:color w:val="000000" w:themeColor="text1"/>
        </w:rPr>
      </w:pPr>
    </w:p>
    <w:tbl>
      <w:tblPr>
        <w:tblW w:w="7715" w:type="dxa"/>
        <w:jc w:val="center"/>
        <w:tblCellSpacing w:w="0" w:type="dxa"/>
        <w:tblCellMar>
          <w:left w:w="0" w:type="dxa"/>
          <w:right w:w="0" w:type="dxa"/>
        </w:tblCellMar>
        <w:tblLook w:val="04A0" w:firstRow="1" w:lastRow="0" w:firstColumn="1" w:lastColumn="0" w:noHBand="0" w:noVBand="1"/>
      </w:tblPr>
      <w:tblGrid>
        <w:gridCol w:w="7715"/>
      </w:tblGrid>
      <w:tr w:rsidR="004C40F6" w:rsidRPr="002D4122" w:rsidTr="003A6530">
        <w:trPr>
          <w:trHeight w:val="670"/>
          <w:tblCellSpacing w:w="0" w:type="dxa"/>
          <w:jc w:val="center"/>
        </w:trPr>
        <w:tc>
          <w:tcPr>
            <w:tcW w:w="0" w:type="auto"/>
            <w:vAlign w:val="center"/>
            <w:hideMark/>
          </w:tcPr>
          <w:p w:rsidR="003A6530" w:rsidRPr="002D4122" w:rsidRDefault="003A6530" w:rsidP="00C27A98">
            <w:pPr>
              <w:jc w:val="right"/>
              <w:rPr>
                <w:rFonts w:ascii="Palatino Linotype" w:hAnsi="Palatino Linotype"/>
                <w:i/>
                <w:color w:val="000000" w:themeColor="text1"/>
              </w:rPr>
            </w:pPr>
            <w:r w:rsidRPr="002D4122">
              <w:rPr>
                <w:rFonts w:ascii="Palatino Linotype" w:hAnsi="Palatino Linotype"/>
                <w:i/>
                <w:color w:val="000000" w:themeColor="text1"/>
              </w:rPr>
              <w:t>Cuautitlán Izcalli, México a 21 de Abril de 2025</w:t>
            </w:r>
          </w:p>
        </w:tc>
      </w:tr>
      <w:tr w:rsidR="004C40F6" w:rsidRPr="002D4122" w:rsidTr="003A6530">
        <w:trPr>
          <w:trHeight w:val="670"/>
          <w:tblCellSpacing w:w="0" w:type="dxa"/>
          <w:jc w:val="center"/>
        </w:trPr>
        <w:tc>
          <w:tcPr>
            <w:tcW w:w="0" w:type="auto"/>
            <w:vAlign w:val="center"/>
            <w:hideMark/>
          </w:tcPr>
          <w:p w:rsidR="003A6530" w:rsidRPr="002D4122" w:rsidRDefault="003A6530" w:rsidP="00C27A98">
            <w:pPr>
              <w:jc w:val="right"/>
              <w:rPr>
                <w:rFonts w:ascii="Palatino Linotype" w:hAnsi="Palatino Linotype"/>
                <w:i/>
                <w:color w:val="000000" w:themeColor="text1"/>
              </w:rPr>
            </w:pPr>
            <w:r w:rsidRPr="002D4122">
              <w:rPr>
                <w:rFonts w:ascii="Palatino Linotype" w:hAnsi="Palatino Linotype"/>
                <w:i/>
                <w:color w:val="000000" w:themeColor="text1"/>
              </w:rPr>
              <w:t>Nombre del solicitante: C. Solicitante</w:t>
            </w:r>
          </w:p>
        </w:tc>
      </w:tr>
      <w:tr w:rsidR="004C40F6" w:rsidRPr="002D4122" w:rsidTr="003A6530">
        <w:trPr>
          <w:trHeight w:val="670"/>
          <w:tblCellSpacing w:w="0" w:type="dxa"/>
          <w:jc w:val="center"/>
        </w:trPr>
        <w:tc>
          <w:tcPr>
            <w:tcW w:w="0" w:type="auto"/>
            <w:vAlign w:val="center"/>
            <w:hideMark/>
          </w:tcPr>
          <w:p w:rsidR="003A6530" w:rsidRPr="002D4122" w:rsidRDefault="003A6530" w:rsidP="00C27A98">
            <w:pPr>
              <w:jc w:val="right"/>
              <w:rPr>
                <w:rFonts w:ascii="Palatino Linotype" w:hAnsi="Palatino Linotype"/>
                <w:i/>
                <w:color w:val="000000" w:themeColor="text1"/>
              </w:rPr>
            </w:pPr>
            <w:r w:rsidRPr="002D4122">
              <w:rPr>
                <w:rFonts w:ascii="Palatino Linotype" w:hAnsi="Palatino Linotype"/>
                <w:i/>
                <w:color w:val="000000" w:themeColor="text1"/>
              </w:rPr>
              <w:t>Folio de la solicitud: 00725/CUAUTIZC/IP/2025</w:t>
            </w:r>
          </w:p>
        </w:tc>
      </w:tr>
      <w:tr w:rsidR="004C40F6" w:rsidRPr="002D4122" w:rsidTr="003A6530">
        <w:trPr>
          <w:trHeight w:val="1004"/>
          <w:tblCellSpacing w:w="0" w:type="dxa"/>
          <w:jc w:val="center"/>
        </w:trPr>
        <w:tc>
          <w:tcPr>
            <w:tcW w:w="0" w:type="auto"/>
            <w:vAlign w:val="center"/>
            <w:hideMark/>
          </w:tcPr>
          <w:p w:rsidR="003A6530" w:rsidRPr="002D4122" w:rsidRDefault="003A6530" w:rsidP="00C27A98">
            <w:pPr>
              <w:jc w:val="right"/>
              <w:rPr>
                <w:rFonts w:ascii="Palatino Linotype" w:hAnsi="Palatino Linotype"/>
                <w:i/>
                <w:color w:val="000000" w:themeColor="text1"/>
              </w:rPr>
            </w:pPr>
          </w:p>
        </w:tc>
      </w:tr>
      <w:tr w:rsidR="004C40F6" w:rsidRPr="002D4122" w:rsidTr="003A6530">
        <w:trPr>
          <w:trHeight w:val="334"/>
          <w:tblCellSpacing w:w="0" w:type="dxa"/>
          <w:jc w:val="center"/>
        </w:trPr>
        <w:tc>
          <w:tcPr>
            <w:tcW w:w="0" w:type="auto"/>
            <w:vAlign w:val="center"/>
            <w:hideMark/>
          </w:tcPr>
          <w:p w:rsidR="003A6530" w:rsidRPr="002D4122" w:rsidRDefault="003A6530" w:rsidP="00C27A98">
            <w:pPr>
              <w:jc w:val="both"/>
              <w:rPr>
                <w:rFonts w:ascii="Palatino Linotype" w:hAnsi="Palatino Linotype"/>
                <w:i/>
                <w:color w:val="000000" w:themeColor="text1"/>
              </w:rPr>
            </w:pPr>
            <w:r w:rsidRPr="002D4122">
              <w:rPr>
                <w:rFonts w:ascii="Palatino Linotype" w:hAnsi="Palatino Linotype"/>
                <w:i/>
                <w:color w:val="000000" w:themeColor="text1"/>
              </w:rPr>
              <w:t xml:space="preserve">Con fundamento en el </w:t>
            </w:r>
            <w:proofErr w:type="spellStart"/>
            <w:r w:rsidRPr="002D4122">
              <w:rPr>
                <w:rFonts w:ascii="Palatino Linotype" w:hAnsi="Palatino Linotype"/>
                <w:i/>
                <w:color w:val="000000" w:themeColor="text1"/>
              </w:rPr>
              <w:t>articulo</w:t>
            </w:r>
            <w:proofErr w:type="spellEnd"/>
            <w:r w:rsidRPr="002D4122">
              <w:rPr>
                <w:rFonts w:ascii="Palatino Linotype" w:hAnsi="Palatino Linotype"/>
                <w:i/>
                <w:color w:val="000000" w:themeColor="text1"/>
              </w:rPr>
              <w:t xml:space="preserve"> 155 de la Ley de Transparencia y Acceso a la Información Pública del Estado de México y Municipios, se le hace de su conocimiento que no se da curso a la solicitud de información citada al rubro, en virtud de lo siguiente:</w:t>
            </w:r>
          </w:p>
        </w:tc>
      </w:tr>
      <w:tr w:rsidR="004C40F6" w:rsidRPr="002D4122" w:rsidTr="003A6530">
        <w:trPr>
          <w:trHeight w:val="334"/>
          <w:tblCellSpacing w:w="0" w:type="dxa"/>
          <w:jc w:val="center"/>
        </w:trPr>
        <w:tc>
          <w:tcPr>
            <w:tcW w:w="0" w:type="auto"/>
            <w:vAlign w:val="center"/>
            <w:hideMark/>
          </w:tcPr>
          <w:p w:rsidR="003A6530" w:rsidRPr="002D4122" w:rsidRDefault="003A6530" w:rsidP="00C27A98">
            <w:pPr>
              <w:jc w:val="both"/>
              <w:rPr>
                <w:rFonts w:ascii="Palatino Linotype" w:hAnsi="Palatino Linotype"/>
                <w:i/>
                <w:color w:val="000000" w:themeColor="text1"/>
              </w:rPr>
            </w:pPr>
            <w:r w:rsidRPr="002D4122">
              <w:rPr>
                <w:rFonts w:ascii="Palatino Linotype" w:hAnsi="Palatino Linotype"/>
                <w:i/>
                <w:color w:val="000000" w:themeColor="text1"/>
              </w:rPr>
              <w:lastRenderedPageBreak/>
              <w:t>Se notifica respuesta</w:t>
            </w:r>
          </w:p>
        </w:tc>
      </w:tr>
      <w:tr w:rsidR="004C40F6" w:rsidRPr="002D4122" w:rsidTr="003A6530">
        <w:trPr>
          <w:trHeight w:val="334"/>
          <w:tblCellSpacing w:w="0" w:type="dxa"/>
          <w:jc w:val="center"/>
        </w:trPr>
        <w:tc>
          <w:tcPr>
            <w:tcW w:w="0" w:type="auto"/>
            <w:vAlign w:val="center"/>
            <w:hideMark/>
          </w:tcPr>
          <w:p w:rsidR="003A6530" w:rsidRPr="002D4122" w:rsidRDefault="003A6530" w:rsidP="00C27A98">
            <w:pPr>
              <w:jc w:val="both"/>
              <w:rPr>
                <w:rFonts w:ascii="Palatino Linotype" w:hAnsi="Palatino Linotype"/>
                <w:i/>
                <w:color w:val="000000" w:themeColor="text1"/>
              </w:rPr>
            </w:pPr>
            <w:r w:rsidRPr="002D4122">
              <w:rPr>
                <w:rFonts w:ascii="Palatino Linotype" w:hAnsi="Palatino Linotype"/>
                <w:i/>
                <w:color w:val="000000" w:themeColor="text1"/>
              </w:rPr>
              <w:t>En virtud de lo anterior, se archiva la presente solicitud como concluida. Se hacen de su conocimiento que tiene derecho de interponer recurso de revisión dentro del plazo de 15 días hábiles contados a partir de la fecha en que se realice la notificación vía electrónica, a través del SAIMEX.</w:t>
            </w:r>
          </w:p>
        </w:tc>
      </w:tr>
      <w:tr w:rsidR="004C40F6" w:rsidRPr="002D4122" w:rsidTr="003A6530">
        <w:trPr>
          <w:trHeight w:val="334"/>
          <w:tblCellSpacing w:w="0" w:type="dxa"/>
          <w:jc w:val="center"/>
        </w:trPr>
        <w:tc>
          <w:tcPr>
            <w:tcW w:w="0" w:type="auto"/>
            <w:vAlign w:val="center"/>
            <w:hideMark/>
          </w:tcPr>
          <w:p w:rsidR="003A6530" w:rsidRPr="002D4122" w:rsidRDefault="003A6530" w:rsidP="00C27A98">
            <w:pPr>
              <w:rPr>
                <w:rFonts w:ascii="Palatino Linotype" w:hAnsi="Palatino Linotype"/>
                <w:i/>
                <w:color w:val="000000" w:themeColor="text1"/>
              </w:rPr>
            </w:pPr>
          </w:p>
        </w:tc>
      </w:tr>
      <w:tr w:rsidR="004C40F6" w:rsidRPr="002D4122" w:rsidTr="003A6530">
        <w:trPr>
          <w:trHeight w:val="334"/>
          <w:tblCellSpacing w:w="0" w:type="dxa"/>
          <w:jc w:val="center"/>
        </w:trPr>
        <w:tc>
          <w:tcPr>
            <w:tcW w:w="0" w:type="auto"/>
            <w:vAlign w:val="center"/>
            <w:hideMark/>
          </w:tcPr>
          <w:p w:rsidR="003A6530" w:rsidRPr="002D4122" w:rsidRDefault="003A6530" w:rsidP="00C27A98">
            <w:pPr>
              <w:rPr>
                <w:rFonts w:ascii="Palatino Linotype" w:hAnsi="Palatino Linotype"/>
                <w:i/>
                <w:color w:val="000000" w:themeColor="text1"/>
              </w:rPr>
            </w:pPr>
            <w:r w:rsidRPr="002D4122">
              <w:rPr>
                <w:rFonts w:ascii="Palatino Linotype" w:hAnsi="Palatino Linotype"/>
                <w:i/>
                <w:color w:val="000000" w:themeColor="text1"/>
              </w:rPr>
              <w:t>ATENTAMENTE</w:t>
            </w:r>
          </w:p>
        </w:tc>
      </w:tr>
      <w:tr w:rsidR="004C40F6" w:rsidRPr="002D4122" w:rsidTr="003A6530">
        <w:trPr>
          <w:trHeight w:val="502"/>
          <w:tblCellSpacing w:w="0" w:type="dxa"/>
          <w:jc w:val="center"/>
        </w:trPr>
        <w:tc>
          <w:tcPr>
            <w:tcW w:w="0" w:type="auto"/>
            <w:vAlign w:val="center"/>
            <w:hideMark/>
          </w:tcPr>
          <w:p w:rsidR="003A6530" w:rsidRPr="002D4122" w:rsidRDefault="003A6530" w:rsidP="00C27A98">
            <w:pPr>
              <w:rPr>
                <w:rFonts w:ascii="Palatino Linotype" w:hAnsi="Palatino Linotype"/>
                <w:i/>
                <w:color w:val="000000" w:themeColor="text1"/>
              </w:rPr>
            </w:pPr>
          </w:p>
        </w:tc>
      </w:tr>
      <w:tr w:rsidR="003A6530" w:rsidRPr="002D4122" w:rsidTr="003A6530">
        <w:trPr>
          <w:trHeight w:val="334"/>
          <w:tblCellSpacing w:w="0" w:type="dxa"/>
          <w:jc w:val="center"/>
        </w:trPr>
        <w:tc>
          <w:tcPr>
            <w:tcW w:w="0" w:type="auto"/>
            <w:vAlign w:val="center"/>
            <w:hideMark/>
          </w:tcPr>
          <w:p w:rsidR="003A6530" w:rsidRPr="002D4122" w:rsidRDefault="003A6530" w:rsidP="00C27A98">
            <w:pPr>
              <w:rPr>
                <w:rFonts w:ascii="Palatino Linotype" w:hAnsi="Palatino Linotype"/>
                <w:i/>
                <w:color w:val="000000" w:themeColor="text1"/>
              </w:rPr>
            </w:pPr>
            <w:r w:rsidRPr="002D4122">
              <w:rPr>
                <w:rFonts w:ascii="Palatino Linotype" w:hAnsi="Palatino Linotype"/>
                <w:i/>
                <w:color w:val="000000" w:themeColor="text1"/>
              </w:rPr>
              <w:t>GABRIELA ELIZABETH MORALES CRUZ</w:t>
            </w:r>
          </w:p>
        </w:tc>
      </w:tr>
    </w:tbl>
    <w:p w:rsidR="003A6530" w:rsidRPr="002D4122" w:rsidRDefault="003A6530" w:rsidP="00C27A98">
      <w:pPr>
        <w:spacing w:line="360" w:lineRule="auto"/>
        <w:jc w:val="both"/>
        <w:rPr>
          <w:rFonts w:ascii="Palatino Linotype" w:hAnsi="Palatino Linotype"/>
          <w:b/>
          <w:bCs/>
          <w:color w:val="000000" w:themeColor="text1"/>
        </w:rPr>
      </w:pPr>
    </w:p>
    <w:p w:rsidR="003A6530" w:rsidRPr="002D4122" w:rsidRDefault="003A6530" w:rsidP="00C27A98">
      <w:pPr>
        <w:pStyle w:val="Prrafodelista"/>
        <w:numPr>
          <w:ilvl w:val="0"/>
          <w:numId w:val="8"/>
        </w:numPr>
        <w:spacing w:line="360" w:lineRule="auto"/>
        <w:ind w:left="0"/>
        <w:jc w:val="both"/>
        <w:rPr>
          <w:rFonts w:ascii="Palatino Linotype" w:eastAsia="Palatino Linotype" w:hAnsi="Palatino Linotype" w:cs="Palatino Linotype"/>
          <w:bCs/>
          <w:color w:val="000000" w:themeColor="text1"/>
          <w:sz w:val="24"/>
        </w:rPr>
      </w:pPr>
      <w:r w:rsidRPr="002D4122">
        <w:rPr>
          <w:rFonts w:ascii="Palatino Linotype" w:eastAsia="Palatino Linotype" w:hAnsi="Palatino Linotype" w:cs="Palatino Linotype"/>
          <w:bCs/>
          <w:color w:val="000000" w:themeColor="text1"/>
          <w:sz w:val="24"/>
        </w:rPr>
        <w:t xml:space="preserve">A la respuesta se adjuntó el archivo denominado </w:t>
      </w:r>
      <w:hyperlink r:id="rId8" w:tgtFrame="_blank" w:history="1">
        <w:r w:rsidRPr="002D4122">
          <w:rPr>
            <w:rStyle w:val="Hipervnculo"/>
            <w:rFonts w:ascii="Palatino Linotype" w:eastAsia="Palatino Linotype" w:hAnsi="Palatino Linotype" w:cs="Palatino Linotype"/>
            <w:b/>
            <w:bCs/>
            <w:color w:val="000000" w:themeColor="text1"/>
            <w:sz w:val="24"/>
          </w:rPr>
          <w:t>RESPUESTA SOLICITUD 00725-CUAUTIZC-IP-2025.pdf</w:t>
        </w:r>
      </w:hyperlink>
      <w:r w:rsidRPr="002D4122">
        <w:rPr>
          <w:rFonts w:ascii="Palatino Linotype" w:eastAsia="Palatino Linotype" w:hAnsi="Palatino Linotype" w:cs="Palatino Linotype"/>
          <w:b/>
          <w:bCs/>
          <w:color w:val="000000" w:themeColor="text1"/>
          <w:sz w:val="24"/>
        </w:rPr>
        <w:t>,</w:t>
      </w:r>
      <w:r w:rsidRPr="002D4122">
        <w:rPr>
          <w:rFonts w:ascii="Palatino Linotype" w:eastAsia="Palatino Linotype" w:hAnsi="Palatino Linotype" w:cs="Palatino Linotype"/>
          <w:bCs/>
          <w:color w:val="000000" w:themeColor="text1"/>
          <w:sz w:val="24"/>
        </w:rPr>
        <w:t xml:space="preserve"> en el que se advierte el oficio número PM/CUT/551/2025 de fecha veintiuno de abril de dos mil veinticinco, suscrito por la Coordinadora de Transparencia en el que señaló, de forma medular, que del requerimiento se desprende que se emitieron expresiones subjetivas, situación que conlleva a afirmar que se está en presencia del ejercicio del derecho a la libre expresión y en todo caso a un derecho de petición y no al derecho de acceso a la información pública.</w:t>
      </w:r>
    </w:p>
    <w:p w:rsidR="003A6530" w:rsidRPr="002D4122" w:rsidRDefault="003A6530" w:rsidP="00C27A98">
      <w:pPr>
        <w:spacing w:line="360" w:lineRule="auto"/>
        <w:jc w:val="both"/>
        <w:rPr>
          <w:rFonts w:ascii="Palatino Linotype" w:hAnsi="Palatino Linotype"/>
          <w:b/>
          <w:bCs/>
          <w:color w:val="000000" w:themeColor="text1"/>
        </w:rPr>
      </w:pPr>
    </w:p>
    <w:p w:rsidR="004C52EA" w:rsidRPr="002D4122" w:rsidRDefault="004C52EA" w:rsidP="00C27A98">
      <w:pPr>
        <w:spacing w:line="360" w:lineRule="auto"/>
        <w:jc w:val="both"/>
        <w:rPr>
          <w:rFonts w:ascii="Palatino Linotype" w:hAnsi="Palatino Linotype"/>
          <w:b/>
          <w:bCs/>
          <w:color w:val="000000" w:themeColor="text1"/>
        </w:rPr>
      </w:pPr>
      <w:r w:rsidRPr="002D4122">
        <w:rPr>
          <w:rFonts w:ascii="Palatino Linotype" w:hAnsi="Palatino Linotype"/>
          <w:b/>
          <w:bCs/>
          <w:color w:val="000000" w:themeColor="text1"/>
        </w:rPr>
        <w:t>00724/CUAUTIZC/IP/2025:</w:t>
      </w:r>
    </w:p>
    <w:p w:rsidR="003A6530" w:rsidRPr="002D4122" w:rsidRDefault="003A6530" w:rsidP="00C27A98">
      <w:pPr>
        <w:spacing w:line="360" w:lineRule="auto"/>
        <w:jc w:val="both"/>
        <w:rPr>
          <w:rFonts w:ascii="Palatino Linotype" w:hAnsi="Palatino Linotype"/>
          <w:b/>
          <w:bCs/>
          <w:color w:val="000000" w:themeColor="text1"/>
        </w:rPr>
      </w:pPr>
    </w:p>
    <w:tbl>
      <w:tblPr>
        <w:tblW w:w="7275" w:type="dxa"/>
        <w:jc w:val="center"/>
        <w:tblCellSpacing w:w="0" w:type="dxa"/>
        <w:tblCellMar>
          <w:left w:w="0" w:type="dxa"/>
          <w:right w:w="0" w:type="dxa"/>
        </w:tblCellMar>
        <w:tblLook w:val="04A0" w:firstRow="1" w:lastRow="0" w:firstColumn="1" w:lastColumn="0" w:noHBand="0" w:noVBand="1"/>
      </w:tblPr>
      <w:tblGrid>
        <w:gridCol w:w="7275"/>
      </w:tblGrid>
      <w:tr w:rsidR="004C40F6" w:rsidRPr="002D4122" w:rsidTr="003A6530">
        <w:trPr>
          <w:trHeight w:val="316"/>
          <w:tblCellSpacing w:w="0" w:type="dxa"/>
          <w:jc w:val="center"/>
        </w:trPr>
        <w:tc>
          <w:tcPr>
            <w:tcW w:w="0" w:type="auto"/>
            <w:vAlign w:val="center"/>
            <w:hideMark/>
          </w:tcPr>
          <w:p w:rsidR="003A6530" w:rsidRPr="002D4122" w:rsidRDefault="003A6530" w:rsidP="00C27A98">
            <w:pPr>
              <w:jc w:val="right"/>
              <w:rPr>
                <w:rFonts w:ascii="Palatino Linotype" w:hAnsi="Palatino Linotype"/>
                <w:i/>
                <w:color w:val="000000" w:themeColor="text1"/>
              </w:rPr>
            </w:pPr>
            <w:r w:rsidRPr="002D4122">
              <w:rPr>
                <w:rFonts w:ascii="Palatino Linotype" w:hAnsi="Palatino Linotype"/>
                <w:i/>
                <w:color w:val="000000" w:themeColor="text1"/>
              </w:rPr>
              <w:t>Cuautitlán Izcalli, México a 21 de Abril de 2025</w:t>
            </w:r>
          </w:p>
        </w:tc>
      </w:tr>
      <w:tr w:rsidR="004C40F6" w:rsidRPr="002D4122" w:rsidTr="003A6530">
        <w:trPr>
          <w:trHeight w:val="316"/>
          <w:tblCellSpacing w:w="0" w:type="dxa"/>
          <w:jc w:val="center"/>
        </w:trPr>
        <w:tc>
          <w:tcPr>
            <w:tcW w:w="0" w:type="auto"/>
            <w:vAlign w:val="center"/>
            <w:hideMark/>
          </w:tcPr>
          <w:p w:rsidR="003A6530" w:rsidRPr="002D4122" w:rsidRDefault="003A6530" w:rsidP="00C27A98">
            <w:pPr>
              <w:jc w:val="right"/>
              <w:rPr>
                <w:rFonts w:ascii="Palatino Linotype" w:hAnsi="Palatino Linotype"/>
                <w:i/>
                <w:color w:val="000000" w:themeColor="text1"/>
              </w:rPr>
            </w:pPr>
            <w:r w:rsidRPr="002D4122">
              <w:rPr>
                <w:rFonts w:ascii="Palatino Linotype" w:hAnsi="Palatino Linotype"/>
                <w:i/>
                <w:color w:val="000000" w:themeColor="text1"/>
              </w:rPr>
              <w:t>Nombre del solicitante: C. Solicitante</w:t>
            </w:r>
          </w:p>
        </w:tc>
      </w:tr>
      <w:tr w:rsidR="004C40F6" w:rsidRPr="002D4122" w:rsidTr="003A6530">
        <w:trPr>
          <w:trHeight w:val="316"/>
          <w:tblCellSpacing w:w="0" w:type="dxa"/>
          <w:jc w:val="center"/>
        </w:trPr>
        <w:tc>
          <w:tcPr>
            <w:tcW w:w="0" w:type="auto"/>
            <w:vAlign w:val="center"/>
            <w:hideMark/>
          </w:tcPr>
          <w:p w:rsidR="003A6530" w:rsidRPr="002D4122" w:rsidRDefault="003A6530" w:rsidP="00C27A98">
            <w:pPr>
              <w:jc w:val="right"/>
              <w:rPr>
                <w:rFonts w:ascii="Palatino Linotype" w:hAnsi="Palatino Linotype"/>
                <w:i/>
                <w:color w:val="000000" w:themeColor="text1"/>
              </w:rPr>
            </w:pPr>
            <w:r w:rsidRPr="002D4122">
              <w:rPr>
                <w:rFonts w:ascii="Palatino Linotype" w:hAnsi="Palatino Linotype"/>
                <w:i/>
                <w:color w:val="000000" w:themeColor="text1"/>
              </w:rPr>
              <w:t>Folio de la solicitud: 00724/CUAUTIZC/IP/2025</w:t>
            </w:r>
          </w:p>
        </w:tc>
      </w:tr>
      <w:tr w:rsidR="004C40F6" w:rsidRPr="002D4122" w:rsidTr="003A6530">
        <w:trPr>
          <w:trHeight w:val="474"/>
          <w:tblCellSpacing w:w="0" w:type="dxa"/>
          <w:jc w:val="center"/>
        </w:trPr>
        <w:tc>
          <w:tcPr>
            <w:tcW w:w="0" w:type="auto"/>
            <w:vAlign w:val="center"/>
            <w:hideMark/>
          </w:tcPr>
          <w:p w:rsidR="003A6530" w:rsidRPr="002D4122" w:rsidRDefault="003A6530" w:rsidP="00C27A98">
            <w:pPr>
              <w:jc w:val="right"/>
              <w:rPr>
                <w:rFonts w:ascii="Palatino Linotype" w:hAnsi="Palatino Linotype"/>
                <w:i/>
                <w:color w:val="000000" w:themeColor="text1"/>
              </w:rPr>
            </w:pPr>
          </w:p>
        </w:tc>
      </w:tr>
      <w:tr w:rsidR="004C40F6" w:rsidRPr="002D4122" w:rsidTr="003A6530">
        <w:trPr>
          <w:trHeight w:val="158"/>
          <w:tblCellSpacing w:w="0" w:type="dxa"/>
          <w:jc w:val="center"/>
        </w:trPr>
        <w:tc>
          <w:tcPr>
            <w:tcW w:w="0" w:type="auto"/>
            <w:vAlign w:val="center"/>
            <w:hideMark/>
          </w:tcPr>
          <w:p w:rsidR="003A6530" w:rsidRPr="002D4122" w:rsidRDefault="003A6530" w:rsidP="00C27A98">
            <w:pPr>
              <w:jc w:val="both"/>
              <w:rPr>
                <w:rFonts w:ascii="Palatino Linotype" w:hAnsi="Palatino Linotype"/>
                <w:i/>
                <w:color w:val="000000" w:themeColor="text1"/>
              </w:rPr>
            </w:pPr>
            <w:r w:rsidRPr="002D4122">
              <w:rPr>
                <w:rFonts w:ascii="Palatino Linotype" w:hAnsi="Palatino Linotype"/>
                <w:i/>
                <w:color w:val="000000" w:themeColor="text1"/>
              </w:rPr>
              <w:t xml:space="preserve">Con fundamento en el </w:t>
            </w:r>
            <w:proofErr w:type="spellStart"/>
            <w:r w:rsidRPr="002D4122">
              <w:rPr>
                <w:rFonts w:ascii="Palatino Linotype" w:hAnsi="Palatino Linotype"/>
                <w:i/>
                <w:color w:val="000000" w:themeColor="text1"/>
              </w:rPr>
              <w:t>articulo</w:t>
            </w:r>
            <w:proofErr w:type="spellEnd"/>
            <w:r w:rsidRPr="002D4122">
              <w:rPr>
                <w:rFonts w:ascii="Palatino Linotype" w:hAnsi="Palatino Linotype"/>
                <w:i/>
                <w:color w:val="000000" w:themeColor="text1"/>
              </w:rPr>
              <w:t xml:space="preserve"> 155 de la Ley de Transparencia y Acceso a la Información Pública del Estado de México y Municipios, se le hace de su conocimiento que no se da curso a la solicitud de información citada al rubro, en virtud de lo siguiente:</w:t>
            </w:r>
          </w:p>
        </w:tc>
      </w:tr>
      <w:tr w:rsidR="004C40F6" w:rsidRPr="002D4122" w:rsidTr="003A6530">
        <w:trPr>
          <w:trHeight w:val="395"/>
          <w:tblCellSpacing w:w="0" w:type="dxa"/>
          <w:jc w:val="center"/>
        </w:trPr>
        <w:tc>
          <w:tcPr>
            <w:tcW w:w="0" w:type="auto"/>
            <w:vAlign w:val="center"/>
            <w:hideMark/>
          </w:tcPr>
          <w:p w:rsidR="003A6530" w:rsidRPr="002D4122" w:rsidRDefault="003A6530" w:rsidP="00C27A98">
            <w:pPr>
              <w:jc w:val="both"/>
              <w:rPr>
                <w:rFonts w:ascii="Palatino Linotype" w:hAnsi="Palatino Linotype"/>
                <w:i/>
                <w:color w:val="000000" w:themeColor="text1"/>
              </w:rPr>
            </w:pPr>
          </w:p>
        </w:tc>
      </w:tr>
      <w:tr w:rsidR="004C40F6" w:rsidRPr="002D4122" w:rsidTr="003A6530">
        <w:trPr>
          <w:trHeight w:val="158"/>
          <w:tblCellSpacing w:w="0" w:type="dxa"/>
          <w:jc w:val="center"/>
        </w:trPr>
        <w:tc>
          <w:tcPr>
            <w:tcW w:w="0" w:type="auto"/>
            <w:vAlign w:val="center"/>
            <w:hideMark/>
          </w:tcPr>
          <w:p w:rsidR="003A6530" w:rsidRPr="002D4122" w:rsidRDefault="003A6530" w:rsidP="00C27A98">
            <w:pPr>
              <w:jc w:val="both"/>
              <w:rPr>
                <w:rFonts w:ascii="Palatino Linotype" w:hAnsi="Palatino Linotype"/>
                <w:i/>
                <w:color w:val="000000" w:themeColor="text1"/>
              </w:rPr>
            </w:pPr>
            <w:r w:rsidRPr="002D4122">
              <w:rPr>
                <w:rFonts w:ascii="Palatino Linotype" w:hAnsi="Palatino Linotype"/>
                <w:i/>
                <w:color w:val="000000" w:themeColor="text1"/>
              </w:rPr>
              <w:t>Se notifica respuesta</w:t>
            </w:r>
          </w:p>
        </w:tc>
      </w:tr>
      <w:tr w:rsidR="004C40F6" w:rsidRPr="002D4122" w:rsidTr="003A6530">
        <w:trPr>
          <w:trHeight w:val="395"/>
          <w:tblCellSpacing w:w="0" w:type="dxa"/>
          <w:jc w:val="center"/>
        </w:trPr>
        <w:tc>
          <w:tcPr>
            <w:tcW w:w="0" w:type="auto"/>
            <w:vAlign w:val="center"/>
            <w:hideMark/>
          </w:tcPr>
          <w:p w:rsidR="003A6530" w:rsidRPr="002D4122" w:rsidRDefault="003A6530" w:rsidP="00C27A98">
            <w:pPr>
              <w:jc w:val="both"/>
              <w:rPr>
                <w:rFonts w:ascii="Palatino Linotype" w:hAnsi="Palatino Linotype"/>
                <w:i/>
                <w:color w:val="000000" w:themeColor="text1"/>
              </w:rPr>
            </w:pPr>
          </w:p>
        </w:tc>
      </w:tr>
      <w:tr w:rsidR="004C40F6" w:rsidRPr="002D4122" w:rsidTr="003A6530">
        <w:trPr>
          <w:trHeight w:val="158"/>
          <w:tblCellSpacing w:w="0" w:type="dxa"/>
          <w:jc w:val="center"/>
        </w:trPr>
        <w:tc>
          <w:tcPr>
            <w:tcW w:w="0" w:type="auto"/>
            <w:vAlign w:val="center"/>
            <w:hideMark/>
          </w:tcPr>
          <w:p w:rsidR="003A6530" w:rsidRPr="002D4122" w:rsidRDefault="003A6530" w:rsidP="00C27A98">
            <w:pPr>
              <w:jc w:val="both"/>
              <w:rPr>
                <w:rFonts w:ascii="Palatino Linotype" w:hAnsi="Palatino Linotype"/>
                <w:i/>
                <w:color w:val="000000" w:themeColor="text1"/>
              </w:rPr>
            </w:pPr>
            <w:r w:rsidRPr="002D4122">
              <w:rPr>
                <w:rFonts w:ascii="Palatino Linotype" w:hAnsi="Palatino Linotype"/>
                <w:i/>
                <w:color w:val="000000" w:themeColor="text1"/>
              </w:rPr>
              <w:t>En virtud de lo anterior, se archiva la presente solicitud como concluida. Se hacen de su conocimiento que tiene derecho de interponer recurso de revisión dentro del plazo de 15 días hábiles contados a partir de la fecha en que se realice la notificación vía electrónica, a través del SAIMEX.</w:t>
            </w:r>
          </w:p>
        </w:tc>
      </w:tr>
      <w:tr w:rsidR="004C40F6" w:rsidRPr="002D4122" w:rsidTr="003A6530">
        <w:trPr>
          <w:trHeight w:val="158"/>
          <w:tblCellSpacing w:w="0" w:type="dxa"/>
          <w:jc w:val="center"/>
        </w:trPr>
        <w:tc>
          <w:tcPr>
            <w:tcW w:w="0" w:type="auto"/>
            <w:vAlign w:val="center"/>
            <w:hideMark/>
          </w:tcPr>
          <w:p w:rsidR="003A6530" w:rsidRPr="002D4122" w:rsidRDefault="003A6530" w:rsidP="00C27A98">
            <w:pPr>
              <w:jc w:val="both"/>
              <w:rPr>
                <w:rFonts w:ascii="Palatino Linotype" w:hAnsi="Palatino Linotype"/>
                <w:i/>
                <w:color w:val="000000" w:themeColor="text1"/>
              </w:rPr>
            </w:pPr>
          </w:p>
        </w:tc>
      </w:tr>
      <w:tr w:rsidR="004C40F6" w:rsidRPr="002D4122" w:rsidTr="003A6530">
        <w:trPr>
          <w:trHeight w:val="158"/>
          <w:tblCellSpacing w:w="0" w:type="dxa"/>
          <w:jc w:val="center"/>
        </w:trPr>
        <w:tc>
          <w:tcPr>
            <w:tcW w:w="0" w:type="auto"/>
            <w:vAlign w:val="center"/>
            <w:hideMark/>
          </w:tcPr>
          <w:p w:rsidR="003A6530" w:rsidRPr="002D4122" w:rsidRDefault="003A6530" w:rsidP="00C27A98">
            <w:pPr>
              <w:jc w:val="both"/>
              <w:rPr>
                <w:rFonts w:ascii="Palatino Linotype" w:hAnsi="Palatino Linotype"/>
                <w:i/>
                <w:color w:val="000000" w:themeColor="text1"/>
              </w:rPr>
            </w:pPr>
            <w:r w:rsidRPr="002D4122">
              <w:rPr>
                <w:rFonts w:ascii="Palatino Linotype" w:hAnsi="Palatino Linotype"/>
                <w:i/>
                <w:color w:val="000000" w:themeColor="text1"/>
              </w:rPr>
              <w:t>ATENTAMENTE</w:t>
            </w:r>
          </w:p>
        </w:tc>
      </w:tr>
      <w:tr w:rsidR="004C40F6" w:rsidRPr="002D4122" w:rsidTr="003A6530">
        <w:trPr>
          <w:trHeight w:val="237"/>
          <w:tblCellSpacing w:w="0" w:type="dxa"/>
          <w:jc w:val="center"/>
        </w:trPr>
        <w:tc>
          <w:tcPr>
            <w:tcW w:w="0" w:type="auto"/>
            <w:vAlign w:val="center"/>
            <w:hideMark/>
          </w:tcPr>
          <w:p w:rsidR="003A6530" w:rsidRPr="002D4122" w:rsidRDefault="003A6530" w:rsidP="00C27A98">
            <w:pPr>
              <w:jc w:val="both"/>
              <w:rPr>
                <w:rFonts w:ascii="Palatino Linotype" w:hAnsi="Palatino Linotype"/>
                <w:i/>
                <w:color w:val="000000" w:themeColor="text1"/>
              </w:rPr>
            </w:pPr>
          </w:p>
        </w:tc>
      </w:tr>
      <w:tr w:rsidR="003A6530" w:rsidRPr="002D4122" w:rsidTr="003A6530">
        <w:trPr>
          <w:trHeight w:val="158"/>
          <w:tblCellSpacing w:w="0" w:type="dxa"/>
          <w:jc w:val="center"/>
        </w:trPr>
        <w:tc>
          <w:tcPr>
            <w:tcW w:w="0" w:type="auto"/>
            <w:vAlign w:val="center"/>
            <w:hideMark/>
          </w:tcPr>
          <w:p w:rsidR="003A6530" w:rsidRPr="002D4122" w:rsidRDefault="003A6530" w:rsidP="00C27A98">
            <w:pPr>
              <w:jc w:val="both"/>
              <w:rPr>
                <w:rFonts w:ascii="Palatino Linotype" w:hAnsi="Palatino Linotype"/>
                <w:i/>
                <w:color w:val="000000" w:themeColor="text1"/>
              </w:rPr>
            </w:pPr>
            <w:r w:rsidRPr="002D4122">
              <w:rPr>
                <w:rFonts w:ascii="Palatino Linotype" w:hAnsi="Palatino Linotype"/>
                <w:i/>
                <w:color w:val="000000" w:themeColor="text1"/>
              </w:rPr>
              <w:t>GABRIELA ELIZABETH MORALES CRUZ</w:t>
            </w:r>
          </w:p>
        </w:tc>
      </w:tr>
    </w:tbl>
    <w:p w:rsidR="004C52EA" w:rsidRPr="002D4122" w:rsidRDefault="004C52EA" w:rsidP="00C27A98">
      <w:pPr>
        <w:spacing w:line="360" w:lineRule="auto"/>
        <w:jc w:val="both"/>
        <w:rPr>
          <w:rFonts w:ascii="Palatino Linotype" w:hAnsi="Palatino Linotype"/>
          <w:b/>
          <w:bCs/>
          <w:color w:val="000000" w:themeColor="text1"/>
        </w:rPr>
      </w:pPr>
    </w:p>
    <w:p w:rsidR="003A6530" w:rsidRPr="002D4122" w:rsidRDefault="003A6530" w:rsidP="00C27A98">
      <w:pPr>
        <w:pStyle w:val="Prrafodelista"/>
        <w:numPr>
          <w:ilvl w:val="0"/>
          <w:numId w:val="8"/>
        </w:numPr>
        <w:spacing w:line="360" w:lineRule="auto"/>
        <w:ind w:left="0"/>
        <w:jc w:val="both"/>
        <w:rPr>
          <w:rFonts w:ascii="Palatino Linotype" w:eastAsia="Palatino Linotype" w:hAnsi="Palatino Linotype" w:cs="Palatino Linotype"/>
          <w:bCs/>
          <w:color w:val="000000" w:themeColor="text1"/>
          <w:sz w:val="24"/>
        </w:rPr>
      </w:pPr>
      <w:r w:rsidRPr="002D4122">
        <w:rPr>
          <w:rFonts w:ascii="Palatino Linotype" w:eastAsia="Palatino Linotype" w:hAnsi="Palatino Linotype" w:cs="Palatino Linotype"/>
          <w:bCs/>
          <w:color w:val="000000" w:themeColor="text1"/>
          <w:sz w:val="24"/>
        </w:rPr>
        <w:t xml:space="preserve">A la respuesta se adjuntó el archivo denominado </w:t>
      </w:r>
      <w:hyperlink r:id="rId9" w:tgtFrame="_blank" w:history="1">
        <w:r w:rsidRPr="002D4122">
          <w:rPr>
            <w:rStyle w:val="Hipervnculo"/>
            <w:rFonts w:ascii="Palatino Linotype" w:eastAsia="Palatino Linotype" w:hAnsi="Palatino Linotype" w:cs="Palatino Linotype"/>
            <w:b/>
            <w:bCs/>
            <w:color w:val="000000" w:themeColor="text1"/>
            <w:sz w:val="24"/>
          </w:rPr>
          <w:t>RESPUESTA SOLICITUD 00724-CUAUTIZC-IP-2025.pdf</w:t>
        </w:r>
      </w:hyperlink>
      <w:r w:rsidRPr="002D4122">
        <w:rPr>
          <w:rFonts w:ascii="Palatino Linotype" w:eastAsia="Palatino Linotype" w:hAnsi="Palatino Linotype" w:cs="Palatino Linotype"/>
          <w:b/>
          <w:bCs/>
          <w:color w:val="000000" w:themeColor="text1"/>
          <w:sz w:val="24"/>
        </w:rPr>
        <w:t>,</w:t>
      </w:r>
      <w:r w:rsidRPr="002D4122">
        <w:rPr>
          <w:rFonts w:ascii="Palatino Linotype" w:eastAsia="Palatino Linotype" w:hAnsi="Palatino Linotype" w:cs="Palatino Linotype"/>
          <w:bCs/>
          <w:color w:val="000000" w:themeColor="text1"/>
          <w:sz w:val="24"/>
        </w:rPr>
        <w:t xml:space="preserve"> en el que se advierte el oficio número PM/CUT/550/2025 de fecha veintiuno de abril de dos mil veinticinco, suscrito por la Coordinadora de Transparencia en el que señaló, de forma medular, que del requerimiento se desprende que se emitieron expresiones subjetivas, situación que conlleva a afirmar que se está en presencia del ejercicio del derecho a la libre expresión y en todo caso a un derecho de petición y no al derecho de acceso a la información pública.</w:t>
      </w:r>
    </w:p>
    <w:p w:rsidR="003A6530" w:rsidRPr="002D4122" w:rsidRDefault="003A6530" w:rsidP="00C27A98">
      <w:pPr>
        <w:spacing w:line="360" w:lineRule="auto"/>
        <w:jc w:val="both"/>
        <w:rPr>
          <w:rFonts w:ascii="Palatino Linotype" w:hAnsi="Palatino Linotype"/>
          <w:b/>
          <w:bCs/>
          <w:color w:val="000000" w:themeColor="text1"/>
        </w:rPr>
      </w:pPr>
    </w:p>
    <w:p w:rsidR="009A1205" w:rsidRPr="002D4122" w:rsidRDefault="009A1205" w:rsidP="00C27A98">
      <w:pPr>
        <w:spacing w:line="360" w:lineRule="auto"/>
        <w:jc w:val="both"/>
        <w:rPr>
          <w:rFonts w:ascii="Palatino Linotype" w:hAnsi="Palatino Linotype"/>
          <w:b/>
          <w:bCs/>
          <w:color w:val="000000" w:themeColor="text1"/>
        </w:rPr>
      </w:pPr>
    </w:p>
    <w:p w:rsidR="009A1205" w:rsidRPr="002D4122" w:rsidRDefault="009A1205" w:rsidP="00C27A98">
      <w:pPr>
        <w:spacing w:line="360" w:lineRule="auto"/>
        <w:jc w:val="both"/>
        <w:rPr>
          <w:rFonts w:ascii="Palatino Linotype" w:hAnsi="Palatino Linotype"/>
          <w:b/>
          <w:bCs/>
          <w:color w:val="000000" w:themeColor="text1"/>
        </w:rPr>
      </w:pPr>
    </w:p>
    <w:p w:rsidR="009A1205" w:rsidRPr="002D4122" w:rsidRDefault="009A1205" w:rsidP="00C27A98">
      <w:pPr>
        <w:spacing w:line="360" w:lineRule="auto"/>
        <w:jc w:val="both"/>
        <w:rPr>
          <w:rFonts w:ascii="Palatino Linotype" w:hAnsi="Palatino Linotype"/>
          <w:b/>
          <w:bCs/>
          <w:color w:val="000000" w:themeColor="text1"/>
        </w:rPr>
      </w:pPr>
    </w:p>
    <w:p w:rsidR="009A1205" w:rsidRPr="002D4122" w:rsidRDefault="009A1205" w:rsidP="00C27A98">
      <w:pPr>
        <w:spacing w:line="360" w:lineRule="auto"/>
        <w:jc w:val="both"/>
        <w:rPr>
          <w:rFonts w:ascii="Palatino Linotype" w:hAnsi="Palatino Linotype"/>
          <w:b/>
          <w:bCs/>
          <w:color w:val="000000" w:themeColor="text1"/>
        </w:rPr>
      </w:pPr>
    </w:p>
    <w:p w:rsidR="009A1205" w:rsidRPr="002D4122" w:rsidRDefault="009A1205" w:rsidP="00C27A98">
      <w:pPr>
        <w:spacing w:line="360" w:lineRule="auto"/>
        <w:jc w:val="both"/>
        <w:rPr>
          <w:rFonts w:ascii="Palatino Linotype" w:hAnsi="Palatino Linotype"/>
          <w:b/>
          <w:bCs/>
          <w:color w:val="000000" w:themeColor="text1"/>
        </w:rPr>
      </w:pPr>
    </w:p>
    <w:p w:rsidR="009A1205" w:rsidRPr="002D4122" w:rsidRDefault="009A1205" w:rsidP="00C27A98">
      <w:pPr>
        <w:spacing w:line="360" w:lineRule="auto"/>
        <w:jc w:val="both"/>
        <w:rPr>
          <w:rFonts w:ascii="Palatino Linotype" w:hAnsi="Palatino Linotype"/>
          <w:b/>
          <w:bCs/>
          <w:color w:val="000000" w:themeColor="text1"/>
        </w:rPr>
      </w:pPr>
    </w:p>
    <w:p w:rsidR="009A1205" w:rsidRPr="002D4122" w:rsidRDefault="009A1205" w:rsidP="00C27A98">
      <w:pPr>
        <w:spacing w:line="360" w:lineRule="auto"/>
        <w:jc w:val="both"/>
        <w:rPr>
          <w:rFonts w:ascii="Palatino Linotype" w:hAnsi="Palatino Linotype"/>
          <w:b/>
          <w:bCs/>
          <w:color w:val="000000" w:themeColor="text1"/>
        </w:rPr>
      </w:pPr>
    </w:p>
    <w:p w:rsidR="004C52EA" w:rsidRPr="002D4122" w:rsidRDefault="004C52EA" w:rsidP="00C27A98">
      <w:pPr>
        <w:spacing w:line="360" w:lineRule="auto"/>
        <w:jc w:val="both"/>
        <w:rPr>
          <w:rFonts w:ascii="Palatino Linotype" w:eastAsia="Palatino Linotype" w:hAnsi="Palatino Linotype" w:cs="Palatino Linotype"/>
          <w:b/>
          <w:color w:val="000000" w:themeColor="text1"/>
        </w:rPr>
      </w:pPr>
      <w:r w:rsidRPr="002D4122">
        <w:rPr>
          <w:rFonts w:ascii="Palatino Linotype" w:hAnsi="Palatino Linotype"/>
          <w:b/>
          <w:bCs/>
          <w:color w:val="000000" w:themeColor="text1"/>
        </w:rPr>
        <w:lastRenderedPageBreak/>
        <w:t>00723/CUAUTIZC/IP/2025</w:t>
      </w:r>
      <w:r w:rsidRPr="002D4122">
        <w:rPr>
          <w:rFonts w:ascii="Palatino Linotype" w:eastAsia="Palatino Linotype" w:hAnsi="Palatino Linotype" w:cs="Palatino Linotype"/>
          <w:b/>
          <w:color w:val="000000" w:themeColor="text1"/>
        </w:rPr>
        <w:t>:</w:t>
      </w:r>
    </w:p>
    <w:p w:rsidR="004C52EA" w:rsidRPr="002D4122" w:rsidRDefault="004C52EA" w:rsidP="00C27A98">
      <w:pPr>
        <w:spacing w:line="360" w:lineRule="auto"/>
        <w:jc w:val="both"/>
        <w:rPr>
          <w:rFonts w:ascii="Palatino Linotype" w:eastAsia="Palatino Linotype" w:hAnsi="Palatino Linotype" w:cs="Palatino Linotype"/>
          <w:b/>
          <w:color w:val="000000" w:themeColor="text1"/>
        </w:rPr>
      </w:pPr>
    </w:p>
    <w:tbl>
      <w:tblPr>
        <w:tblW w:w="7462" w:type="dxa"/>
        <w:jc w:val="center"/>
        <w:tblCellSpacing w:w="0" w:type="dxa"/>
        <w:tblCellMar>
          <w:left w:w="0" w:type="dxa"/>
          <w:right w:w="0" w:type="dxa"/>
        </w:tblCellMar>
        <w:tblLook w:val="04A0" w:firstRow="1" w:lastRow="0" w:firstColumn="1" w:lastColumn="0" w:noHBand="0" w:noVBand="1"/>
      </w:tblPr>
      <w:tblGrid>
        <w:gridCol w:w="7462"/>
      </w:tblGrid>
      <w:tr w:rsidR="004C40F6" w:rsidRPr="002D4122" w:rsidTr="00C143F8">
        <w:trPr>
          <w:trHeight w:val="632"/>
          <w:tblCellSpacing w:w="0" w:type="dxa"/>
          <w:jc w:val="center"/>
        </w:trPr>
        <w:tc>
          <w:tcPr>
            <w:tcW w:w="0" w:type="auto"/>
            <w:vAlign w:val="center"/>
            <w:hideMark/>
          </w:tcPr>
          <w:p w:rsidR="00C143F8" w:rsidRPr="002D4122" w:rsidRDefault="00C143F8" w:rsidP="00C27A98">
            <w:pPr>
              <w:jc w:val="right"/>
              <w:rPr>
                <w:rFonts w:ascii="Palatino Linotype" w:hAnsi="Palatino Linotype"/>
                <w:i/>
                <w:color w:val="000000" w:themeColor="text1"/>
              </w:rPr>
            </w:pPr>
            <w:r w:rsidRPr="002D4122">
              <w:rPr>
                <w:rFonts w:ascii="Palatino Linotype" w:hAnsi="Palatino Linotype"/>
                <w:i/>
                <w:color w:val="000000" w:themeColor="text1"/>
              </w:rPr>
              <w:t>Cuautitlán Izcalli, México a 21 de Abril de 2025</w:t>
            </w:r>
          </w:p>
        </w:tc>
      </w:tr>
      <w:tr w:rsidR="004C40F6" w:rsidRPr="002D4122" w:rsidTr="00C143F8">
        <w:trPr>
          <w:trHeight w:val="632"/>
          <w:tblCellSpacing w:w="0" w:type="dxa"/>
          <w:jc w:val="center"/>
        </w:trPr>
        <w:tc>
          <w:tcPr>
            <w:tcW w:w="0" w:type="auto"/>
            <w:vAlign w:val="center"/>
            <w:hideMark/>
          </w:tcPr>
          <w:p w:rsidR="00C143F8" w:rsidRPr="002D4122" w:rsidRDefault="00C143F8" w:rsidP="00C27A98">
            <w:pPr>
              <w:jc w:val="right"/>
              <w:rPr>
                <w:rFonts w:ascii="Palatino Linotype" w:hAnsi="Palatino Linotype"/>
                <w:i/>
                <w:color w:val="000000" w:themeColor="text1"/>
              </w:rPr>
            </w:pPr>
            <w:r w:rsidRPr="002D4122">
              <w:rPr>
                <w:rFonts w:ascii="Palatino Linotype" w:hAnsi="Palatino Linotype"/>
                <w:i/>
                <w:color w:val="000000" w:themeColor="text1"/>
              </w:rPr>
              <w:t>Nombre del solicitante: C. Solicitante</w:t>
            </w:r>
          </w:p>
        </w:tc>
      </w:tr>
      <w:tr w:rsidR="004C40F6" w:rsidRPr="002D4122" w:rsidTr="00C143F8">
        <w:trPr>
          <w:trHeight w:val="632"/>
          <w:tblCellSpacing w:w="0" w:type="dxa"/>
          <w:jc w:val="center"/>
        </w:trPr>
        <w:tc>
          <w:tcPr>
            <w:tcW w:w="0" w:type="auto"/>
            <w:vAlign w:val="center"/>
            <w:hideMark/>
          </w:tcPr>
          <w:p w:rsidR="00C143F8" w:rsidRPr="002D4122" w:rsidRDefault="00C143F8" w:rsidP="00C27A98">
            <w:pPr>
              <w:jc w:val="right"/>
              <w:rPr>
                <w:rFonts w:ascii="Palatino Linotype" w:hAnsi="Palatino Linotype"/>
                <w:i/>
                <w:color w:val="000000" w:themeColor="text1"/>
              </w:rPr>
            </w:pPr>
            <w:r w:rsidRPr="002D4122">
              <w:rPr>
                <w:rFonts w:ascii="Palatino Linotype" w:hAnsi="Palatino Linotype"/>
                <w:i/>
                <w:color w:val="000000" w:themeColor="text1"/>
              </w:rPr>
              <w:t>Folio de la solicitud: 00723/CUAUTIZC/IP/2025</w:t>
            </w:r>
          </w:p>
        </w:tc>
      </w:tr>
      <w:tr w:rsidR="004C40F6" w:rsidRPr="002D4122" w:rsidTr="00C143F8">
        <w:trPr>
          <w:trHeight w:val="949"/>
          <w:tblCellSpacing w:w="0" w:type="dxa"/>
          <w:jc w:val="center"/>
        </w:trPr>
        <w:tc>
          <w:tcPr>
            <w:tcW w:w="0" w:type="auto"/>
            <w:vAlign w:val="center"/>
            <w:hideMark/>
          </w:tcPr>
          <w:p w:rsidR="00C143F8" w:rsidRPr="002D4122" w:rsidRDefault="00C143F8" w:rsidP="00C27A98">
            <w:pPr>
              <w:jc w:val="right"/>
              <w:rPr>
                <w:rFonts w:ascii="Palatino Linotype" w:hAnsi="Palatino Linotype"/>
                <w:i/>
                <w:color w:val="000000" w:themeColor="text1"/>
              </w:rPr>
            </w:pPr>
          </w:p>
        </w:tc>
      </w:tr>
      <w:tr w:rsidR="004C40F6" w:rsidRPr="002D4122" w:rsidTr="00C143F8">
        <w:trPr>
          <w:trHeight w:val="316"/>
          <w:tblCellSpacing w:w="0" w:type="dxa"/>
          <w:jc w:val="center"/>
        </w:trPr>
        <w:tc>
          <w:tcPr>
            <w:tcW w:w="0" w:type="auto"/>
            <w:vAlign w:val="center"/>
            <w:hideMark/>
          </w:tcPr>
          <w:p w:rsidR="00C143F8" w:rsidRPr="002D4122" w:rsidRDefault="00C143F8" w:rsidP="00C27A98">
            <w:pPr>
              <w:jc w:val="both"/>
              <w:rPr>
                <w:rFonts w:ascii="Palatino Linotype" w:hAnsi="Palatino Linotype"/>
                <w:i/>
                <w:color w:val="000000" w:themeColor="text1"/>
              </w:rPr>
            </w:pPr>
            <w:r w:rsidRPr="002D4122">
              <w:rPr>
                <w:rFonts w:ascii="Palatino Linotype" w:hAnsi="Palatino Linotype"/>
                <w:i/>
                <w:color w:val="000000" w:themeColor="text1"/>
              </w:rPr>
              <w:t xml:space="preserve">Con fundamento en el </w:t>
            </w:r>
            <w:proofErr w:type="spellStart"/>
            <w:r w:rsidRPr="002D4122">
              <w:rPr>
                <w:rFonts w:ascii="Palatino Linotype" w:hAnsi="Palatino Linotype"/>
                <w:i/>
                <w:color w:val="000000" w:themeColor="text1"/>
              </w:rPr>
              <w:t>articulo</w:t>
            </w:r>
            <w:proofErr w:type="spellEnd"/>
            <w:r w:rsidRPr="002D4122">
              <w:rPr>
                <w:rFonts w:ascii="Palatino Linotype" w:hAnsi="Palatino Linotype"/>
                <w:i/>
                <w:color w:val="000000" w:themeColor="text1"/>
              </w:rPr>
              <w:t xml:space="preserve"> 155 de la Ley de Transparencia y Acceso a la Información Pública del Estado de México y Municipios, se le hace de su conocimiento que no se da curso a la solicitud de información citada al rubro, en virtud de lo siguiente:</w:t>
            </w:r>
          </w:p>
        </w:tc>
      </w:tr>
      <w:tr w:rsidR="004C40F6" w:rsidRPr="002D4122" w:rsidTr="00C143F8">
        <w:trPr>
          <w:trHeight w:val="316"/>
          <w:tblCellSpacing w:w="0" w:type="dxa"/>
          <w:jc w:val="center"/>
        </w:trPr>
        <w:tc>
          <w:tcPr>
            <w:tcW w:w="0" w:type="auto"/>
            <w:vAlign w:val="center"/>
            <w:hideMark/>
          </w:tcPr>
          <w:p w:rsidR="00C143F8" w:rsidRPr="002D4122" w:rsidRDefault="00C143F8" w:rsidP="00C27A98">
            <w:pPr>
              <w:jc w:val="both"/>
              <w:rPr>
                <w:rFonts w:ascii="Palatino Linotype" w:hAnsi="Palatino Linotype"/>
                <w:i/>
                <w:color w:val="000000" w:themeColor="text1"/>
              </w:rPr>
            </w:pPr>
            <w:r w:rsidRPr="002D4122">
              <w:rPr>
                <w:rFonts w:ascii="Palatino Linotype" w:hAnsi="Palatino Linotype"/>
                <w:i/>
                <w:color w:val="000000" w:themeColor="text1"/>
              </w:rPr>
              <w:t>Se notifica respuesta</w:t>
            </w:r>
          </w:p>
        </w:tc>
      </w:tr>
      <w:tr w:rsidR="004C40F6" w:rsidRPr="002D4122" w:rsidTr="00C143F8">
        <w:trPr>
          <w:trHeight w:val="316"/>
          <w:tblCellSpacing w:w="0" w:type="dxa"/>
          <w:jc w:val="center"/>
        </w:trPr>
        <w:tc>
          <w:tcPr>
            <w:tcW w:w="0" w:type="auto"/>
            <w:vAlign w:val="center"/>
            <w:hideMark/>
          </w:tcPr>
          <w:p w:rsidR="00C143F8" w:rsidRPr="002D4122" w:rsidRDefault="00C143F8" w:rsidP="00C27A98">
            <w:pPr>
              <w:jc w:val="both"/>
              <w:rPr>
                <w:rFonts w:ascii="Palatino Linotype" w:hAnsi="Palatino Linotype"/>
                <w:i/>
                <w:color w:val="000000" w:themeColor="text1"/>
              </w:rPr>
            </w:pPr>
            <w:r w:rsidRPr="002D4122">
              <w:rPr>
                <w:rFonts w:ascii="Palatino Linotype" w:hAnsi="Palatino Linotype"/>
                <w:i/>
                <w:color w:val="000000" w:themeColor="text1"/>
              </w:rPr>
              <w:t>En virtud de lo anterior, se archiva la presente solicitud como concluida. Se hacen de su conocimiento que tiene derecho de interponer recurso de revisión dentro del plazo de 15 días hábiles contados a partir de la fecha en que se realice la notificación vía electrónica, a través del SAIMEX.</w:t>
            </w:r>
          </w:p>
        </w:tc>
      </w:tr>
      <w:tr w:rsidR="004C40F6" w:rsidRPr="002D4122" w:rsidTr="00C143F8">
        <w:trPr>
          <w:trHeight w:val="316"/>
          <w:tblCellSpacing w:w="0" w:type="dxa"/>
          <w:jc w:val="center"/>
        </w:trPr>
        <w:tc>
          <w:tcPr>
            <w:tcW w:w="0" w:type="auto"/>
            <w:vAlign w:val="center"/>
            <w:hideMark/>
          </w:tcPr>
          <w:p w:rsidR="00C143F8" w:rsidRPr="002D4122" w:rsidRDefault="00C143F8" w:rsidP="00C27A98">
            <w:pPr>
              <w:rPr>
                <w:rFonts w:ascii="Palatino Linotype" w:hAnsi="Palatino Linotype"/>
                <w:i/>
                <w:color w:val="000000" w:themeColor="text1"/>
              </w:rPr>
            </w:pPr>
          </w:p>
        </w:tc>
      </w:tr>
      <w:tr w:rsidR="004C40F6" w:rsidRPr="002D4122" w:rsidTr="00C143F8">
        <w:trPr>
          <w:trHeight w:val="316"/>
          <w:tblCellSpacing w:w="0" w:type="dxa"/>
          <w:jc w:val="center"/>
        </w:trPr>
        <w:tc>
          <w:tcPr>
            <w:tcW w:w="0" w:type="auto"/>
            <w:vAlign w:val="center"/>
            <w:hideMark/>
          </w:tcPr>
          <w:p w:rsidR="00C143F8" w:rsidRPr="002D4122" w:rsidRDefault="00C143F8" w:rsidP="00C27A98">
            <w:pPr>
              <w:rPr>
                <w:rFonts w:ascii="Palatino Linotype" w:hAnsi="Palatino Linotype"/>
                <w:i/>
                <w:color w:val="000000" w:themeColor="text1"/>
              </w:rPr>
            </w:pPr>
            <w:r w:rsidRPr="002D4122">
              <w:rPr>
                <w:rFonts w:ascii="Palatino Linotype" w:hAnsi="Palatino Linotype"/>
                <w:i/>
                <w:color w:val="000000" w:themeColor="text1"/>
              </w:rPr>
              <w:t>ATENTAMENTE</w:t>
            </w:r>
          </w:p>
        </w:tc>
      </w:tr>
      <w:tr w:rsidR="004C40F6" w:rsidRPr="002D4122" w:rsidTr="00C143F8">
        <w:trPr>
          <w:trHeight w:val="474"/>
          <w:tblCellSpacing w:w="0" w:type="dxa"/>
          <w:jc w:val="center"/>
        </w:trPr>
        <w:tc>
          <w:tcPr>
            <w:tcW w:w="0" w:type="auto"/>
            <w:vAlign w:val="center"/>
            <w:hideMark/>
          </w:tcPr>
          <w:p w:rsidR="00C143F8" w:rsidRPr="002D4122" w:rsidRDefault="00C143F8" w:rsidP="00C27A98">
            <w:pPr>
              <w:rPr>
                <w:rFonts w:ascii="Palatino Linotype" w:hAnsi="Palatino Linotype"/>
                <w:i/>
                <w:color w:val="000000" w:themeColor="text1"/>
              </w:rPr>
            </w:pPr>
          </w:p>
        </w:tc>
      </w:tr>
      <w:tr w:rsidR="00C143F8" w:rsidRPr="002D4122" w:rsidTr="00C143F8">
        <w:trPr>
          <w:trHeight w:val="316"/>
          <w:tblCellSpacing w:w="0" w:type="dxa"/>
          <w:jc w:val="center"/>
        </w:trPr>
        <w:tc>
          <w:tcPr>
            <w:tcW w:w="0" w:type="auto"/>
            <w:vAlign w:val="center"/>
            <w:hideMark/>
          </w:tcPr>
          <w:p w:rsidR="00C143F8" w:rsidRPr="002D4122" w:rsidRDefault="00C143F8" w:rsidP="00C27A98">
            <w:pPr>
              <w:rPr>
                <w:rFonts w:ascii="Palatino Linotype" w:hAnsi="Palatino Linotype"/>
                <w:i/>
                <w:color w:val="000000" w:themeColor="text1"/>
              </w:rPr>
            </w:pPr>
            <w:r w:rsidRPr="002D4122">
              <w:rPr>
                <w:rFonts w:ascii="Palatino Linotype" w:hAnsi="Palatino Linotype"/>
                <w:i/>
                <w:color w:val="000000" w:themeColor="text1"/>
              </w:rPr>
              <w:t>GABRIELA ELIZABETH MORALES CRUZ</w:t>
            </w:r>
          </w:p>
        </w:tc>
      </w:tr>
    </w:tbl>
    <w:p w:rsidR="00C143F8" w:rsidRPr="002D4122" w:rsidRDefault="00C143F8" w:rsidP="00C27A98">
      <w:pPr>
        <w:spacing w:line="360" w:lineRule="auto"/>
        <w:jc w:val="both"/>
        <w:rPr>
          <w:rFonts w:ascii="Palatino Linotype" w:eastAsia="Palatino Linotype" w:hAnsi="Palatino Linotype" w:cs="Palatino Linotype"/>
          <w:b/>
          <w:color w:val="000000" w:themeColor="text1"/>
        </w:rPr>
      </w:pPr>
    </w:p>
    <w:p w:rsidR="00C143F8" w:rsidRPr="002D4122" w:rsidRDefault="00C143F8" w:rsidP="00C27A98">
      <w:pPr>
        <w:pStyle w:val="Prrafodelista"/>
        <w:numPr>
          <w:ilvl w:val="0"/>
          <w:numId w:val="8"/>
        </w:numPr>
        <w:spacing w:line="360" w:lineRule="auto"/>
        <w:ind w:left="0"/>
        <w:jc w:val="both"/>
        <w:rPr>
          <w:rFonts w:ascii="Palatino Linotype" w:eastAsia="Palatino Linotype" w:hAnsi="Palatino Linotype" w:cs="Palatino Linotype"/>
          <w:bCs/>
          <w:color w:val="000000" w:themeColor="text1"/>
          <w:sz w:val="24"/>
        </w:rPr>
      </w:pPr>
      <w:r w:rsidRPr="002D4122">
        <w:rPr>
          <w:rFonts w:ascii="Palatino Linotype" w:eastAsia="Palatino Linotype" w:hAnsi="Palatino Linotype" w:cs="Palatino Linotype"/>
          <w:bCs/>
          <w:color w:val="000000" w:themeColor="text1"/>
          <w:sz w:val="24"/>
        </w:rPr>
        <w:t xml:space="preserve">A la respuesta se adjuntó el archivo denominado </w:t>
      </w:r>
      <w:hyperlink r:id="rId10" w:tgtFrame="_blank" w:history="1">
        <w:r w:rsidRPr="002D4122">
          <w:rPr>
            <w:rStyle w:val="Hipervnculo"/>
            <w:rFonts w:ascii="Palatino Linotype" w:eastAsia="Palatino Linotype" w:hAnsi="Palatino Linotype" w:cs="Palatino Linotype"/>
            <w:b/>
            <w:bCs/>
            <w:color w:val="000000" w:themeColor="text1"/>
            <w:sz w:val="24"/>
          </w:rPr>
          <w:t>RESPUESTA SOLICITUD 00723-CUAUTIZC-IP-2025.pdf</w:t>
        </w:r>
      </w:hyperlink>
      <w:r w:rsidRPr="002D4122">
        <w:rPr>
          <w:rFonts w:ascii="Palatino Linotype" w:eastAsia="Palatino Linotype" w:hAnsi="Palatino Linotype" w:cs="Palatino Linotype"/>
          <w:b/>
          <w:bCs/>
          <w:color w:val="000000" w:themeColor="text1"/>
          <w:sz w:val="24"/>
        </w:rPr>
        <w:t>,</w:t>
      </w:r>
      <w:r w:rsidRPr="002D4122">
        <w:rPr>
          <w:rFonts w:ascii="Palatino Linotype" w:eastAsia="Palatino Linotype" w:hAnsi="Palatino Linotype" w:cs="Palatino Linotype"/>
          <w:bCs/>
          <w:color w:val="000000" w:themeColor="text1"/>
          <w:sz w:val="24"/>
        </w:rPr>
        <w:t xml:space="preserve"> en el que se advierte el oficio número PM/CUT/549/2025 de fecha veintiuno de abril de dos mil veinticinco, suscrito por la Coordinadora de Transparencia en el que señaló, de forma medular, que del requerimiento se desprende que se emitieron expresiones subjetivas, situación que conlleva a afirmar que se está en </w:t>
      </w:r>
      <w:r w:rsidRPr="002D4122">
        <w:rPr>
          <w:rFonts w:ascii="Palatino Linotype" w:eastAsia="Palatino Linotype" w:hAnsi="Palatino Linotype" w:cs="Palatino Linotype"/>
          <w:bCs/>
          <w:color w:val="000000" w:themeColor="text1"/>
          <w:sz w:val="24"/>
        </w:rPr>
        <w:lastRenderedPageBreak/>
        <w:t>presencia del ejercicio del derecho a la libre expresión y en todo caso a un derecho de petición y no al derecho de acceso a la información pública.</w:t>
      </w:r>
    </w:p>
    <w:p w:rsidR="00C143F8" w:rsidRPr="002D4122" w:rsidRDefault="00C143F8" w:rsidP="00C27A98">
      <w:pPr>
        <w:spacing w:line="360" w:lineRule="auto"/>
        <w:jc w:val="both"/>
        <w:rPr>
          <w:rFonts w:ascii="Palatino Linotype" w:eastAsia="Palatino Linotype" w:hAnsi="Palatino Linotype" w:cs="Palatino Linotype"/>
          <w:b/>
          <w:color w:val="000000" w:themeColor="text1"/>
        </w:rPr>
      </w:pPr>
    </w:p>
    <w:p w:rsidR="0003185F" w:rsidRPr="002D4122" w:rsidRDefault="004C52EA" w:rsidP="00C27A98">
      <w:pPr>
        <w:spacing w:line="360" w:lineRule="auto"/>
        <w:jc w:val="both"/>
        <w:rPr>
          <w:rFonts w:ascii="Palatino Linotype" w:eastAsia="Palatino Linotype" w:hAnsi="Palatino Linotype" w:cs="Palatino Linotype"/>
          <w:i/>
          <w:color w:val="000000" w:themeColor="text1"/>
        </w:rPr>
      </w:pPr>
      <w:r w:rsidRPr="002D4122">
        <w:rPr>
          <w:rFonts w:ascii="Palatino Linotype" w:eastAsia="Palatino Linotype" w:hAnsi="Palatino Linotype" w:cs="Palatino Linotype"/>
          <w:b/>
          <w:bCs/>
          <w:color w:val="000000" w:themeColor="text1"/>
        </w:rPr>
        <w:t>00722/CUAUTIZC/IP/2025:</w:t>
      </w:r>
    </w:p>
    <w:p w:rsidR="0003185F" w:rsidRPr="002D4122" w:rsidRDefault="0003185F" w:rsidP="00C27A98">
      <w:pPr>
        <w:spacing w:line="360" w:lineRule="auto"/>
        <w:jc w:val="both"/>
        <w:rPr>
          <w:rFonts w:ascii="Palatino Linotype" w:eastAsia="Palatino Linotype" w:hAnsi="Palatino Linotype" w:cs="Palatino Linotype"/>
          <w:color w:val="000000" w:themeColor="text1"/>
        </w:rPr>
      </w:pPr>
    </w:p>
    <w:tbl>
      <w:tblPr>
        <w:tblW w:w="7668" w:type="dxa"/>
        <w:jc w:val="center"/>
        <w:tblCellSpacing w:w="0" w:type="dxa"/>
        <w:tblCellMar>
          <w:left w:w="0" w:type="dxa"/>
          <w:right w:w="0" w:type="dxa"/>
        </w:tblCellMar>
        <w:tblLook w:val="04A0" w:firstRow="1" w:lastRow="0" w:firstColumn="1" w:lastColumn="0" w:noHBand="0" w:noVBand="1"/>
      </w:tblPr>
      <w:tblGrid>
        <w:gridCol w:w="7668"/>
      </w:tblGrid>
      <w:tr w:rsidR="004C40F6" w:rsidRPr="002D4122" w:rsidTr="00C143F8">
        <w:trPr>
          <w:trHeight w:val="303"/>
          <w:tblCellSpacing w:w="0" w:type="dxa"/>
          <w:jc w:val="center"/>
        </w:trPr>
        <w:tc>
          <w:tcPr>
            <w:tcW w:w="0" w:type="auto"/>
            <w:vAlign w:val="center"/>
            <w:hideMark/>
          </w:tcPr>
          <w:p w:rsidR="00C143F8" w:rsidRPr="002D4122" w:rsidRDefault="00C143F8" w:rsidP="00C27A98">
            <w:pPr>
              <w:jc w:val="right"/>
              <w:rPr>
                <w:rFonts w:ascii="Palatino Linotype" w:hAnsi="Palatino Linotype"/>
                <w:i/>
                <w:color w:val="000000" w:themeColor="text1"/>
              </w:rPr>
            </w:pPr>
            <w:r w:rsidRPr="002D4122">
              <w:rPr>
                <w:rFonts w:ascii="Palatino Linotype" w:hAnsi="Palatino Linotype"/>
                <w:i/>
                <w:color w:val="000000" w:themeColor="text1"/>
              </w:rPr>
              <w:t>Cuautitlán Izcalli, México a 21 de Abril de 2025</w:t>
            </w:r>
          </w:p>
        </w:tc>
      </w:tr>
      <w:tr w:rsidR="004C40F6" w:rsidRPr="002D4122" w:rsidTr="00C143F8">
        <w:trPr>
          <w:trHeight w:val="303"/>
          <w:tblCellSpacing w:w="0" w:type="dxa"/>
          <w:jc w:val="center"/>
        </w:trPr>
        <w:tc>
          <w:tcPr>
            <w:tcW w:w="0" w:type="auto"/>
            <w:vAlign w:val="center"/>
            <w:hideMark/>
          </w:tcPr>
          <w:p w:rsidR="00C143F8" w:rsidRPr="002D4122" w:rsidRDefault="00C143F8" w:rsidP="00C27A98">
            <w:pPr>
              <w:jc w:val="right"/>
              <w:rPr>
                <w:rFonts w:ascii="Palatino Linotype" w:hAnsi="Palatino Linotype"/>
                <w:i/>
                <w:color w:val="000000" w:themeColor="text1"/>
              </w:rPr>
            </w:pPr>
            <w:r w:rsidRPr="002D4122">
              <w:rPr>
                <w:rFonts w:ascii="Palatino Linotype" w:hAnsi="Palatino Linotype"/>
                <w:i/>
                <w:color w:val="000000" w:themeColor="text1"/>
              </w:rPr>
              <w:t>Nombre del solicitante: C. Solicitante</w:t>
            </w:r>
          </w:p>
        </w:tc>
      </w:tr>
      <w:tr w:rsidR="004C40F6" w:rsidRPr="002D4122" w:rsidTr="00C143F8">
        <w:trPr>
          <w:trHeight w:val="303"/>
          <w:tblCellSpacing w:w="0" w:type="dxa"/>
          <w:jc w:val="center"/>
        </w:trPr>
        <w:tc>
          <w:tcPr>
            <w:tcW w:w="0" w:type="auto"/>
            <w:vAlign w:val="center"/>
            <w:hideMark/>
          </w:tcPr>
          <w:p w:rsidR="00C143F8" w:rsidRPr="002D4122" w:rsidRDefault="00C143F8" w:rsidP="00C27A98">
            <w:pPr>
              <w:jc w:val="right"/>
              <w:rPr>
                <w:rFonts w:ascii="Palatino Linotype" w:hAnsi="Palatino Linotype"/>
                <w:i/>
                <w:color w:val="000000" w:themeColor="text1"/>
              </w:rPr>
            </w:pPr>
            <w:r w:rsidRPr="002D4122">
              <w:rPr>
                <w:rFonts w:ascii="Palatino Linotype" w:hAnsi="Palatino Linotype"/>
                <w:i/>
                <w:color w:val="000000" w:themeColor="text1"/>
              </w:rPr>
              <w:t>Folio de la solicitud: 00722/CUAUTIZC/IP/2025</w:t>
            </w:r>
          </w:p>
        </w:tc>
      </w:tr>
      <w:tr w:rsidR="004C40F6" w:rsidRPr="002D4122" w:rsidTr="00C143F8">
        <w:trPr>
          <w:trHeight w:val="455"/>
          <w:tblCellSpacing w:w="0" w:type="dxa"/>
          <w:jc w:val="center"/>
        </w:trPr>
        <w:tc>
          <w:tcPr>
            <w:tcW w:w="0" w:type="auto"/>
            <w:vAlign w:val="center"/>
            <w:hideMark/>
          </w:tcPr>
          <w:p w:rsidR="00C143F8" w:rsidRPr="002D4122" w:rsidRDefault="00C143F8" w:rsidP="00C27A98">
            <w:pPr>
              <w:jc w:val="right"/>
              <w:rPr>
                <w:rFonts w:ascii="Palatino Linotype" w:hAnsi="Palatino Linotype"/>
                <w:i/>
                <w:color w:val="000000" w:themeColor="text1"/>
              </w:rPr>
            </w:pPr>
          </w:p>
        </w:tc>
      </w:tr>
      <w:tr w:rsidR="004C40F6" w:rsidRPr="002D4122" w:rsidTr="00C143F8">
        <w:trPr>
          <w:trHeight w:val="151"/>
          <w:tblCellSpacing w:w="0" w:type="dxa"/>
          <w:jc w:val="center"/>
        </w:trPr>
        <w:tc>
          <w:tcPr>
            <w:tcW w:w="0" w:type="auto"/>
            <w:vAlign w:val="center"/>
            <w:hideMark/>
          </w:tcPr>
          <w:p w:rsidR="00C143F8" w:rsidRPr="002D4122" w:rsidRDefault="00C143F8" w:rsidP="00C27A98">
            <w:pPr>
              <w:jc w:val="both"/>
              <w:rPr>
                <w:rFonts w:ascii="Palatino Linotype" w:hAnsi="Palatino Linotype"/>
                <w:i/>
                <w:color w:val="000000" w:themeColor="text1"/>
              </w:rPr>
            </w:pPr>
            <w:r w:rsidRPr="002D4122">
              <w:rPr>
                <w:rFonts w:ascii="Palatino Linotype" w:hAnsi="Palatino Linotype"/>
                <w:i/>
                <w:color w:val="000000" w:themeColor="text1"/>
              </w:rPr>
              <w:t xml:space="preserve">Con fundamento en el </w:t>
            </w:r>
            <w:proofErr w:type="spellStart"/>
            <w:r w:rsidRPr="002D4122">
              <w:rPr>
                <w:rFonts w:ascii="Palatino Linotype" w:hAnsi="Palatino Linotype"/>
                <w:i/>
                <w:color w:val="000000" w:themeColor="text1"/>
              </w:rPr>
              <w:t>articulo</w:t>
            </w:r>
            <w:proofErr w:type="spellEnd"/>
            <w:r w:rsidRPr="002D4122">
              <w:rPr>
                <w:rFonts w:ascii="Palatino Linotype" w:hAnsi="Palatino Linotype"/>
                <w:i/>
                <w:color w:val="000000" w:themeColor="text1"/>
              </w:rPr>
              <w:t xml:space="preserve"> 155 de la Ley de Transparencia y Acceso a la Información Pública del Estado de México y Municipios, se le hace de su conocimiento que no se da curso a la solicitud de información citada al rubro, en virtud de lo siguiente:</w:t>
            </w:r>
          </w:p>
        </w:tc>
      </w:tr>
      <w:tr w:rsidR="004C40F6" w:rsidRPr="002D4122" w:rsidTr="00C143F8">
        <w:trPr>
          <w:trHeight w:val="379"/>
          <w:tblCellSpacing w:w="0" w:type="dxa"/>
          <w:jc w:val="center"/>
        </w:trPr>
        <w:tc>
          <w:tcPr>
            <w:tcW w:w="0" w:type="auto"/>
            <w:vAlign w:val="center"/>
            <w:hideMark/>
          </w:tcPr>
          <w:p w:rsidR="00C143F8" w:rsidRPr="002D4122" w:rsidRDefault="00C143F8" w:rsidP="00C27A98">
            <w:pPr>
              <w:jc w:val="both"/>
              <w:rPr>
                <w:rFonts w:ascii="Palatino Linotype" w:hAnsi="Palatino Linotype"/>
                <w:i/>
                <w:color w:val="000000" w:themeColor="text1"/>
              </w:rPr>
            </w:pPr>
          </w:p>
        </w:tc>
      </w:tr>
      <w:tr w:rsidR="004C40F6" w:rsidRPr="002D4122" w:rsidTr="00C143F8">
        <w:trPr>
          <w:trHeight w:val="151"/>
          <w:tblCellSpacing w:w="0" w:type="dxa"/>
          <w:jc w:val="center"/>
        </w:trPr>
        <w:tc>
          <w:tcPr>
            <w:tcW w:w="0" w:type="auto"/>
            <w:vAlign w:val="center"/>
            <w:hideMark/>
          </w:tcPr>
          <w:p w:rsidR="00C143F8" w:rsidRPr="002D4122" w:rsidRDefault="00C143F8" w:rsidP="00C27A98">
            <w:pPr>
              <w:jc w:val="both"/>
              <w:rPr>
                <w:rFonts w:ascii="Palatino Linotype" w:hAnsi="Palatino Linotype"/>
                <w:i/>
                <w:color w:val="000000" w:themeColor="text1"/>
              </w:rPr>
            </w:pPr>
            <w:r w:rsidRPr="002D4122">
              <w:rPr>
                <w:rFonts w:ascii="Palatino Linotype" w:hAnsi="Palatino Linotype"/>
                <w:i/>
                <w:color w:val="000000" w:themeColor="text1"/>
              </w:rPr>
              <w:t>Se notifica respuesta</w:t>
            </w:r>
          </w:p>
        </w:tc>
      </w:tr>
      <w:tr w:rsidR="004C40F6" w:rsidRPr="002D4122" w:rsidTr="00C143F8">
        <w:trPr>
          <w:trHeight w:val="379"/>
          <w:tblCellSpacing w:w="0" w:type="dxa"/>
          <w:jc w:val="center"/>
        </w:trPr>
        <w:tc>
          <w:tcPr>
            <w:tcW w:w="0" w:type="auto"/>
            <w:vAlign w:val="center"/>
            <w:hideMark/>
          </w:tcPr>
          <w:p w:rsidR="00C143F8" w:rsidRPr="002D4122" w:rsidRDefault="00C143F8" w:rsidP="00C27A98">
            <w:pPr>
              <w:jc w:val="both"/>
              <w:rPr>
                <w:rFonts w:ascii="Palatino Linotype" w:hAnsi="Palatino Linotype"/>
                <w:i/>
                <w:color w:val="000000" w:themeColor="text1"/>
              </w:rPr>
            </w:pPr>
          </w:p>
        </w:tc>
      </w:tr>
      <w:tr w:rsidR="004C40F6" w:rsidRPr="002D4122" w:rsidTr="00C143F8">
        <w:trPr>
          <w:trHeight w:val="151"/>
          <w:tblCellSpacing w:w="0" w:type="dxa"/>
          <w:jc w:val="center"/>
        </w:trPr>
        <w:tc>
          <w:tcPr>
            <w:tcW w:w="0" w:type="auto"/>
            <w:vAlign w:val="center"/>
            <w:hideMark/>
          </w:tcPr>
          <w:p w:rsidR="00C143F8" w:rsidRPr="002D4122" w:rsidRDefault="00C143F8" w:rsidP="00C27A98">
            <w:pPr>
              <w:jc w:val="both"/>
              <w:rPr>
                <w:rFonts w:ascii="Palatino Linotype" w:hAnsi="Palatino Linotype"/>
                <w:i/>
                <w:color w:val="000000" w:themeColor="text1"/>
              </w:rPr>
            </w:pPr>
            <w:r w:rsidRPr="002D4122">
              <w:rPr>
                <w:rFonts w:ascii="Palatino Linotype" w:hAnsi="Palatino Linotype"/>
                <w:i/>
                <w:color w:val="000000" w:themeColor="text1"/>
              </w:rPr>
              <w:t>En virtud de lo anterior, se archiva la presente solicitud como concluida. Se hacen de su conocimiento que tiene derecho de interponer recurso de revisión dentro del plazo de 15 días hábiles contados a partir de la fecha en que se realice la notificación vía electrónica, a través del SAIMEX.</w:t>
            </w:r>
          </w:p>
        </w:tc>
      </w:tr>
      <w:tr w:rsidR="004C40F6" w:rsidRPr="002D4122" w:rsidTr="00C143F8">
        <w:trPr>
          <w:trHeight w:val="151"/>
          <w:tblCellSpacing w:w="0" w:type="dxa"/>
          <w:jc w:val="center"/>
        </w:trPr>
        <w:tc>
          <w:tcPr>
            <w:tcW w:w="0" w:type="auto"/>
            <w:vAlign w:val="center"/>
            <w:hideMark/>
          </w:tcPr>
          <w:p w:rsidR="00C143F8" w:rsidRPr="002D4122" w:rsidRDefault="00C143F8" w:rsidP="00C27A98">
            <w:pPr>
              <w:rPr>
                <w:rFonts w:ascii="Palatino Linotype" w:hAnsi="Palatino Linotype"/>
                <w:i/>
                <w:color w:val="000000" w:themeColor="text1"/>
              </w:rPr>
            </w:pPr>
          </w:p>
        </w:tc>
      </w:tr>
      <w:tr w:rsidR="004C40F6" w:rsidRPr="002D4122" w:rsidTr="00C143F8">
        <w:trPr>
          <w:trHeight w:val="151"/>
          <w:tblCellSpacing w:w="0" w:type="dxa"/>
          <w:jc w:val="center"/>
        </w:trPr>
        <w:tc>
          <w:tcPr>
            <w:tcW w:w="0" w:type="auto"/>
            <w:vAlign w:val="center"/>
            <w:hideMark/>
          </w:tcPr>
          <w:p w:rsidR="00C143F8" w:rsidRPr="002D4122" w:rsidRDefault="00C143F8" w:rsidP="00C27A98">
            <w:pPr>
              <w:rPr>
                <w:rFonts w:ascii="Palatino Linotype" w:hAnsi="Palatino Linotype"/>
                <w:i/>
                <w:color w:val="000000" w:themeColor="text1"/>
              </w:rPr>
            </w:pPr>
            <w:r w:rsidRPr="002D4122">
              <w:rPr>
                <w:rFonts w:ascii="Palatino Linotype" w:hAnsi="Palatino Linotype"/>
                <w:i/>
                <w:color w:val="000000" w:themeColor="text1"/>
              </w:rPr>
              <w:t>ATENTAMENTE</w:t>
            </w:r>
          </w:p>
        </w:tc>
      </w:tr>
      <w:tr w:rsidR="004C40F6" w:rsidRPr="002D4122" w:rsidTr="00C143F8">
        <w:trPr>
          <w:trHeight w:val="227"/>
          <w:tblCellSpacing w:w="0" w:type="dxa"/>
          <w:jc w:val="center"/>
        </w:trPr>
        <w:tc>
          <w:tcPr>
            <w:tcW w:w="0" w:type="auto"/>
            <w:vAlign w:val="center"/>
            <w:hideMark/>
          </w:tcPr>
          <w:p w:rsidR="00C143F8" w:rsidRPr="002D4122" w:rsidRDefault="00C143F8" w:rsidP="00C27A98">
            <w:pPr>
              <w:rPr>
                <w:rFonts w:ascii="Palatino Linotype" w:hAnsi="Palatino Linotype"/>
                <w:i/>
                <w:color w:val="000000" w:themeColor="text1"/>
              </w:rPr>
            </w:pPr>
          </w:p>
        </w:tc>
      </w:tr>
      <w:tr w:rsidR="00C143F8" w:rsidRPr="002D4122" w:rsidTr="00C143F8">
        <w:trPr>
          <w:trHeight w:val="151"/>
          <w:tblCellSpacing w:w="0" w:type="dxa"/>
          <w:jc w:val="center"/>
        </w:trPr>
        <w:tc>
          <w:tcPr>
            <w:tcW w:w="0" w:type="auto"/>
            <w:vAlign w:val="center"/>
            <w:hideMark/>
          </w:tcPr>
          <w:p w:rsidR="00C143F8" w:rsidRPr="002D4122" w:rsidRDefault="00C143F8" w:rsidP="00C27A98">
            <w:pPr>
              <w:rPr>
                <w:rFonts w:ascii="Palatino Linotype" w:hAnsi="Palatino Linotype"/>
                <w:i/>
                <w:color w:val="000000" w:themeColor="text1"/>
              </w:rPr>
            </w:pPr>
            <w:r w:rsidRPr="002D4122">
              <w:rPr>
                <w:rFonts w:ascii="Palatino Linotype" w:hAnsi="Palatino Linotype"/>
                <w:i/>
                <w:color w:val="000000" w:themeColor="text1"/>
              </w:rPr>
              <w:t>GABRIELA ELIZABETH MORALES CRUZ</w:t>
            </w:r>
          </w:p>
        </w:tc>
      </w:tr>
    </w:tbl>
    <w:p w:rsidR="00C143F8" w:rsidRPr="002D4122" w:rsidRDefault="00C143F8" w:rsidP="00C27A98">
      <w:pPr>
        <w:spacing w:line="360" w:lineRule="auto"/>
        <w:jc w:val="both"/>
        <w:rPr>
          <w:rFonts w:ascii="Palatino Linotype" w:eastAsia="Palatino Linotype" w:hAnsi="Palatino Linotype" w:cs="Palatino Linotype"/>
          <w:color w:val="000000" w:themeColor="text1"/>
        </w:rPr>
      </w:pPr>
    </w:p>
    <w:p w:rsidR="00C143F8" w:rsidRPr="002D4122" w:rsidRDefault="00C143F8" w:rsidP="00C27A98">
      <w:pPr>
        <w:spacing w:line="360" w:lineRule="auto"/>
        <w:jc w:val="both"/>
        <w:rPr>
          <w:rFonts w:ascii="Palatino Linotype" w:eastAsia="Palatino Linotype" w:hAnsi="Palatino Linotype" w:cs="Palatino Linotype"/>
          <w:color w:val="000000" w:themeColor="text1"/>
        </w:rPr>
      </w:pPr>
    </w:p>
    <w:p w:rsidR="00C143F8" w:rsidRPr="002D4122" w:rsidRDefault="00C143F8" w:rsidP="00C27A98">
      <w:pPr>
        <w:pStyle w:val="Prrafodelista"/>
        <w:numPr>
          <w:ilvl w:val="0"/>
          <w:numId w:val="8"/>
        </w:numPr>
        <w:spacing w:line="360" w:lineRule="auto"/>
        <w:ind w:left="0"/>
        <w:jc w:val="both"/>
        <w:rPr>
          <w:rFonts w:ascii="Palatino Linotype" w:eastAsia="Palatino Linotype" w:hAnsi="Palatino Linotype" w:cs="Palatino Linotype"/>
          <w:bCs/>
          <w:color w:val="000000" w:themeColor="text1"/>
          <w:sz w:val="24"/>
        </w:rPr>
      </w:pPr>
      <w:r w:rsidRPr="002D4122">
        <w:rPr>
          <w:rFonts w:ascii="Palatino Linotype" w:eastAsia="Palatino Linotype" w:hAnsi="Palatino Linotype" w:cs="Palatino Linotype"/>
          <w:bCs/>
          <w:color w:val="000000" w:themeColor="text1"/>
          <w:sz w:val="24"/>
        </w:rPr>
        <w:t xml:space="preserve">A la respuesta se adjuntó el archivo denominado </w:t>
      </w:r>
      <w:hyperlink r:id="rId11" w:tgtFrame="_blank" w:history="1">
        <w:r w:rsidRPr="002D4122">
          <w:rPr>
            <w:rStyle w:val="Hipervnculo"/>
            <w:rFonts w:ascii="Palatino Linotype" w:eastAsia="Palatino Linotype" w:hAnsi="Palatino Linotype" w:cs="Palatino Linotype"/>
            <w:b/>
            <w:bCs/>
            <w:color w:val="000000" w:themeColor="text1"/>
            <w:sz w:val="24"/>
          </w:rPr>
          <w:t>RESPUESTA SOLICITUD 00722-CUAUTIZC-IP-2025.pdf</w:t>
        </w:r>
      </w:hyperlink>
      <w:r w:rsidRPr="002D4122">
        <w:rPr>
          <w:rFonts w:ascii="Palatino Linotype" w:eastAsia="Palatino Linotype" w:hAnsi="Palatino Linotype" w:cs="Palatino Linotype"/>
          <w:b/>
          <w:bCs/>
          <w:color w:val="000000" w:themeColor="text1"/>
          <w:sz w:val="24"/>
        </w:rPr>
        <w:t>,</w:t>
      </w:r>
      <w:r w:rsidRPr="002D4122">
        <w:rPr>
          <w:rFonts w:ascii="Palatino Linotype" w:eastAsia="Palatino Linotype" w:hAnsi="Palatino Linotype" w:cs="Palatino Linotype"/>
          <w:bCs/>
          <w:color w:val="000000" w:themeColor="text1"/>
          <w:sz w:val="24"/>
        </w:rPr>
        <w:t xml:space="preserve"> en el que se advierte el oficio número PM/CUT/548/2025 de fecha veintiuno de abril de dos mil veinticinco, suscrito por la Coordinadora de Transparencia en el que señaló, de forma medular, que del requerimiento se desprende </w:t>
      </w:r>
      <w:r w:rsidRPr="002D4122">
        <w:rPr>
          <w:rFonts w:ascii="Palatino Linotype" w:eastAsia="Palatino Linotype" w:hAnsi="Palatino Linotype" w:cs="Palatino Linotype"/>
          <w:bCs/>
          <w:color w:val="000000" w:themeColor="text1"/>
          <w:sz w:val="24"/>
        </w:rPr>
        <w:lastRenderedPageBreak/>
        <w:t>que se emitieron expresiones subjetivas, situación que conlleva a afirmar que se está en presencia del ejercicio del derecho a la libre expresión y en todo caso a un derecho de petición y no al derecho de acceso a la</w:t>
      </w:r>
      <w:r w:rsidR="00566FCA" w:rsidRPr="002D4122">
        <w:rPr>
          <w:rFonts w:ascii="Palatino Linotype" w:eastAsia="Palatino Linotype" w:hAnsi="Palatino Linotype" w:cs="Palatino Linotype"/>
          <w:bCs/>
          <w:color w:val="000000" w:themeColor="text1"/>
          <w:sz w:val="24"/>
        </w:rPr>
        <w:t xml:space="preserve"> información pública. </w:t>
      </w:r>
    </w:p>
    <w:p w:rsidR="00C143F8" w:rsidRPr="002D4122" w:rsidRDefault="00C143F8" w:rsidP="00C27A98">
      <w:pPr>
        <w:spacing w:line="360" w:lineRule="auto"/>
        <w:jc w:val="both"/>
        <w:rPr>
          <w:rFonts w:ascii="Palatino Linotype" w:eastAsia="Palatino Linotype" w:hAnsi="Palatino Linotype" w:cs="Palatino Linotype"/>
          <w:color w:val="000000" w:themeColor="text1"/>
        </w:rPr>
      </w:pPr>
    </w:p>
    <w:p w:rsidR="00C143F8" w:rsidRPr="002D4122" w:rsidRDefault="00C143F8" w:rsidP="00C27A98">
      <w:pPr>
        <w:spacing w:line="360" w:lineRule="auto"/>
        <w:jc w:val="both"/>
        <w:rPr>
          <w:rFonts w:ascii="Palatino Linotype" w:eastAsia="Palatino Linotype" w:hAnsi="Palatino Linotype" w:cs="Palatino Linotype"/>
          <w:color w:val="000000" w:themeColor="text1"/>
        </w:rPr>
      </w:pPr>
    </w:p>
    <w:p w:rsidR="0003185F" w:rsidRPr="002D4122" w:rsidRDefault="0003185F" w:rsidP="00C27A98">
      <w:pPr>
        <w:numPr>
          <w:ilvl w:val="0"/>
          <w:numId w:val="1"/>
        </w:numPr>
        <w:spacing w:line="360" w:lineRule="auto"/>
        <w:ind w:left="0" w:firstLine="0"/>
        <w:jc w:val="both"/>
        <w:rPr>
          <w:rFonts w:ascii="Palatino Linotype" w:hAnsi="Palatino Linotype"/>
          <w:color w:val="000000" w:themeColor="text1"/>
        </w:rPr>
      </w:pPr>
      <w:r w:rsidRPr="002D4122">
        <w:rPr>
          <w:rFonts w:ascii="Palatino Linotype" w:eastAsia="Palatino Linotype" w:hAnsi="Palatino Linotype" w:cs="Palatino Linotype"/>
          <w:color w:val="000000" w:themeColor="text1"/>
        </w:rPr>
        <w:t xml:space="preserve">El </w:t>
      </w:r>
      <w:r w:rsidR="00C143F8" w:rsidRPr="002D4122">
        <w:rPr>
          <w:rFonts w:ascii="Palatino Linotype" w:eastAsia="Palatino Linotype" w:hAnsi="Palatino Linotype" w:cs="Palatino Linotype"/>
          <w:b/>
          <w:color w:val="000000" w:themeColor="text1"/>
        </w:rPr>
        <w:t>veintitrés de abril de dos mil veinticinco</w:t>
      </w:r>
      <w:r w:rsidRPr="002D4122">
        <w:rPr>
          <w:rFonts w:ascii="Palatino Linotype" w:eastAsia="Palatino Linotype" w:hAnsi="Palatino Linotype" w:cs="Palatino Linotype"/>
          <w:color w:val="000000" w:themeColor="text1"/>
        </w:rPr>
        <w:t>,</w:t>
      </w:r>
      <w:r w:rsidRPr="002D4122">
        <w:rPr>
          <w:rFonts w:ascii="Palatino Linotype" w:eastAsia="Palatino Linotype" w:hAnsi="Palatino Linotype" w:cs="Palatino Linotype"/>
          <w:b/>
          <w:color w:val="000000" w:themeColor="text1"/>
        </w:rPr>
        <w:t xml:space="preserve"> </w:t>
      </w:r>
      <w:r w:rsidRPr="002D4122">
        <w:rPr>
          <w:rFonts w:ascii="Palatino Linotype" w:eastAsia="Palatino Linotype" w:hAnsi="Palatino Linotype" w:cs="Palatino Linotype"/>
          <w:color w:val="000000" w:themeColor="text1"/>
        </w:rPr>
        <w:t xml:space="preserve">el </w:t>
      </w:r>
      <w:r w:rsidRPr="002D4122">
        <w:rPr>
          <w:rFonts w:ascii="Palatino Linotype" w:eastAsia="Palatino Linotype" w:hAnsi="Palatino Linotype" w:cs="Palatino Linotype"/>
          <w:b/>
          <w:color w:val="000000" w:themeColor="text1"/>
        </w:rPr>
        <w:t>RECURRENTE</w:t>
      </w:r>
      <w:r w:rsidRPr="002D4122">
        <w:rPr>
          <w:rFonts w:ascii="Palatino Linotype" w:eastAsia="Palatino Linotype" w:hAnsi="Palatino Linotype" w:cs="Palatino Linotype"/>
          <w:color w:val="000000" w:themeColor="text1"/>
        </w:rPr>
        <w:t xml:space="preserve"> interpuso l</w:t>
      </w:r>
      <w:r w:rsidR="009A1205" w:rsidRPr="002D4122">
        <w:rPr>
          <w:rFonts w:ascii="Palatino Linotype" w:eastAsia="Palatino Linotype" w:hAnsi="Palatino Linotype" w:cs="Palatino Linotype"/>
          <w:color w:val="000000" w:themeColor="text1"/>
        </w:rPr>
        <w:t>os</w:t>
      </w:r>
      <w:r w:rsidRPr="002D4122">
        <w:rPr>
          <w:rFonts w:ascii="Palatino Linotype" w:eastAsia="Palatino Linotype" w:hAnsi="Palatino Linotype" w:cs="Palatino Linotype"/>
          <w:color w:val="000000" w:themeColor="text1"/>
        </w:rPr>
        <w:t xml:space="preserve"> recurso</w:t>
      </w:r>
      <w:r w:rsidR="009A1205" w:rsidRPr="002D4122">
        <w:rPr>
          <w:rFonts w:ascii="Palatino Linotype" w:eastAsia="Palatino Linotype" w:hAnsi="Palatino Linotype" w:cs="Palatino Linotype"/>
          <w:color w:val="000000" w:themeColor="text1"/>
        </w:rPr>
        <w:t>s</w:t>
      </w:r>
      <w:r w:rsidRPr="002D4122">
        <w:rPr>
          <w:rFonts w:ascii="Palatino Linotype" w:eastAsia="Palatino Linotype" w:hAnsi="Palatino Linotype" w:cs="Palatino Linotype"/>
          <w:color w:val="000000" w:themeColor="text1"/>
        </w:rPr>
        <w:t xml:space="preserve"> de revisión en contra de la</w:t>
      </w:r>
      <w:r w:rsidR="009A1205" w:rsidRPr="002D4122">
        <w:rPr>
          <w:rFonts w:ascii="Palatino Linotype" w:eastAsia="Palatino Linotype" w:hAnsi="Palatino Linotype" w:cs="Palatino Linotype"/>
          <w:color w:val="000000" w:themeColor="text1"/>
        </w:rPr>
        <w:t>s</w:t>
      </w:r>
      <w:r w:rsidRPr="002D4122">
        <w:rPr>
          <w:rFonts w:ascii="Palatino Linotype" w:eastAsia="Palatino Linotype" w:hAnsi="Palatino Linotype" w:cs="Palatino Linotype"/>
          <w:color w:val="000000" w:themeColor="text1"/>
        </w:rPr>
        <w:t xml:space="preserve"> respuesta</w:t>
      </w:r>
      <w:r w:rsidR="009A1205" w:rsidRPr="002D4122">
        <w:rPr>
          <w:rFonts w:ascii="Palatino Linotype" w:eastAsia="Palatino Linotype" w:hAnsi="Palatino Linotype" w:cs="Palatino Linotype"/>
          <w:color w:val="000000" w:themeColor="text1"/>
        </w:rPr>
        <w:t>s</w:t>
      </w:r>
      <w:r w:rsidRPr="002D4122">
        <w:rPr>
          <w:rFonts w:ascii="Palatino Linotype" w:eastAsia="Palatino Linotype" w:hAnsi="Palatino Linotype" w:cs="Palatino Linotype"/>
          <w:color w:val="000000" w:themeColor="text1"/>
        </w:rPr>
        <w:t>, señalando como:</w:t>
      </w:r>
    </w:p>
    <w:p w:rsidR="00C143F8" w:rsidRPr="002D4122" w:rsidRDefault="00C143F8" w:rsidP="00C27A98">
      <w:pPr>
        <w:spacing w:line="360" w:lineRule="auto"/>
        <w:jc w:val="both"/>
        <w:rPr>
          <w:rFonts w:ascii="Palatino Linotype" w:hAnsi="Palatino Linotype"/>
          <w:color w:val="000000" w:themeColor="text1"/>
        </w:rPr>
      </w:pPr>
    </w:p>
    <w:p w:rsidR="0003185F" w:rsidRPr="002D4122" w:rsidRDefault="00C143F8" w:rsidP="00C27A98">
      <w:pPr>
        <w:spacing w:line="360" w:lineRule="auto"/>
        <w:jc w:val="both"/>
        <w:rPr>
          <w:rFonts w:ascii="Palatino Linotype" w:eastAsia="Palatino Linotype" w:hAnsi="Palatino Linotype" w:cs="Palatino Linotype"/>
          <w:b/>
          <w:color w:val="000000" w:themeColor="text1"/>
        </w:rPr>
      </w:pPr>
      <w:r w:rsidRPr="002D4122">
        <w:rPr>
          <w:rFonts w:ascii="Palatino Linotype" w:eastAsia="Palatino Linotype" w:hAnsi="Palatino Linotype" w:cs="Palatino Linotype"/>
          <w:b/>
          <w:color w:val="000000" w:themeColor="text1"/>
        </w:rPr>
        <w:t>04623</w:t>
      </w:r>
      <w:r w:rsidR="0003185F" w:rsidRPr="002D4122">
        <w:rPr>
          <w:rFonts w:ascii="Palatino Linotype" w:eastAsia="Palatino Linotype" w:hAnsi="Palatino Linotype" w:cs="Palatino Linotype"/>
          <w:b/>
          <w:color w:val="000000" w:themeColor="text1"/>
        </w:rPr>
        <w:t>/INFOEM/IP/RR/2</w:t>
      </w:r>
      <w:r w:rsidRPr="002D4122">
        <w:rPr>
          <w:rFonts w:ascii="Palatino Linotype" w:eastAsia="Palatino Linotype" w:hAnsi="Palatino Linotype" w:cs="Palatino Linotype"/>
          <w:b/>
          <w:color w:val="000000" w:themeColor="text1"/>
        </w:rPr>
        <w:t>025</w:t>
      </w:r>
      <w:r w:rsidR="0003185F" w:rsidRPr="002D4122">
        <w:rPr>
          <w:rFonts w:ascii="Palatino Linotype" w:eastAsia="Palatino Linotype" w:hAnsi="Palatino Linotype" w:cs="Palatino Linotype"/>
          <w:b/>
          <w:color w:val="000000" w:themeColor="text1"/>
        </w:rPr>
        <w:t>:</w:t>
      </w:r>
    </w:p>
    <w:p w:rsidR="00C143F8" w:rsidRPr="002D4122" w:rsidRDefault="0003185F" w:rsidP="00C27A98">
      <w:pPr>
        <w:spacing w:line="360" w:lineRule="auto"/>
        <w:jc w:val="both"/>
        <w:rPr>
          <w:rFonts w:ascii="Palatino Linotype" w:eastAsia="Palatino Linotype" w:hAnsi="Palatino Linotype" w:cs="Palatino Linotype"/>
          <w:i/>
          <w:color w:val="000000" w:themeColor="text1"/>
        </w:rPr>
      </w:pPr>
      <w:r w:rsidRPr="002D4122">
        <w:rPr>
          <w:rFonts w:ascii="Palatino Linotype" w:eastAsia="Palatino Linotype" w:hAnsi="Palatino Linotype" w:cs="Palatino Linotype"/>
          <w:b/>
          <w:color w:val="000000" w:themeColor="text1"/>
        </w:rPr>
        <w:t>Acto impugnado</w:t>
      </w:r>
      <w:r w:rsidRPr="002D4122">
        <w:rPr>
          <w:rFonts w:ascii="Palatino Linotype" w:eastAsia="Palatino Linotype" w:hAnsi="Palatino Linotype" w:cs="Palatino Linotype"/>
          <w:b/>
          <w:i/>
          <w:color w:val="000000" w:themeColor="text1"/>
        </w:rPr>
        <w:t>:</w:t>
      </w:r>
      <w:r w:rsidRPr="002D4122">
        <w:rPr>
          <w:rFonts w:ascii="Palatino Linotype" w:eastAsia="Palatino Linotype" w:hAnsi="Palatino Linotype" w:cs="Palatino Linotype"/>
          <w:i/>
          <w:color w:val="000000" w:themeColor="text1"/>
        </w:rPr>
        <w:t xml:space="preserve"> “</w:t>
      </w:r>
      <w:r w:rsidR="00C143F8" w:rsidRPr="002D4122">
        <w:rPr>
          <w:rFonts w:ascii="Palatino Linotype" w:eastAsia="Palatino Linotype" w:hAnsi="Palatino Linotype" w:cs="Palatino Linotype"/>
          <w:i/>
          <w:color w:val="000000" w:themeColor="text1"/>
        </w:rPr>
        <w:t xml:space="preserve">La respuesta que me dan, me niegan mi acceso a la </w:t>
      </w:r>
      <w:proofErr w:type="spellStart"/>
      <w:r w:rsidR="00C143F8" w:rsidRPr="002D4122">
        <w:rPr>
          <w:rFonts w:ascii="Palatino Linotype" w:eastAsia="Palatino Linotype" w:hAnsi="Palatino Linotype" w:cs="Palatino Linotype"/>
          <w:i/>
          <w:color w:val="000000" w:themeColor="text1"/>
        </w:rPr>
        <w:t>informacioón</w:t>
      </w:r>
      <w:proofErr w:type="spellEnd"/>
      <w:r w:rsidR="00C143F8" w:rsidRPr="002D4122">
        <w:rPr>
          <w:rFonts w:ascii="Palatino Linotype" w:eastAsia="Palatino Linotype" w:hAnsi="Palatino Linotype" w:cs="Palatino Linotype"/>
          <w:i/>
          <w:color w:val="000000" w:themeColor="text1"/>
        </w:rPr>
        <w:t>, no emití ninguna grosería en mi solicitud</w:t>
      </w:r>
      <w:r w:rsidRPr="002D4122">
        <w:rPr>
          <w:rFonts w:ascii="Palatino Linotype" w:eastAsia="Palatino Linotype" w:hAnsi="Palatino Linotype" w:cs="Palatino Linotype"/>
          <w:i/>
          <w:color w:val="000000" w:themeColor="text1"/>
        </w:rPr>
        <w:t>” (Sic)</w:t>
      </w:r>
    </w:p>
    <w:p w:rsidR="0003185F" w:rsidRPr="002D4122" w:rsidRDefault="0003185F" w:rsidP="00C27A98">
      <w:pPr>
        <w:spacing w:line="360" w:lineRule="auto"/>
        <w:jc w:val="both"/>
        <w:rPr>
          <w:rFonts w:ascii="Palatino Linotype" w:eastAsia="Palatino Linotype" w:hAnsi="Palatino Linotype" w:cs="Palatino Linotype"/>
          <w:b/>
          <w:color w:val="000000" w:themeColor="text1"/>
        </w:rPr>
      </w:pPr>
      <w:r w:rsidRPr="002D4122">
        <w:rPr>
          <w:rFonts w:ascii="Palatino Linotype" w:eastAsia="Palatino Linotype" w:hAnsi="Palatino Linotype" w:cs="Palatino Linotype"/>
          <w:b/>
          <w:color w:val="000000" w:themeColor="text1"/>
        </w:rPr>
        <w:t>Raz</w:t>
      </w:r>
      <w:r w:rsidR="00C143F8" w:rsidRPr="002D4122">
        <w:rPr>
          <w:rFonts w:ascii="Palatino Linotype" w:eastAsia="Palatino Linotype" w:hAnsi="Palatino Linotype" w:cs="Palatino Linotype"/>
          <w:b/>
          <w:color w:val="000000" w:themeColor="text1"/>
        </w:rPr>
        <w:t>ones o Motivos de inconformidad:</w:t>
      </w:r>
      <w:r w:rsidR="00C143F8" w:rsidRPr="002D4122">
        <w:rPr>
          <w:rFonts w:ascii="Palatino Linotype" w:eastAsia="Palatino Linotype" w:hAnsi="Palatino Linotype" w:cs="Palatino Linotype"/>
          <w:i/>
          <w:color w:val="000000" w:themeColor="text1"/>
        </w:rPr>
        <w:t xml:space="preserve"> “No </w:t>
      </w:r>
      <w:proofErr w:type="spellStart"/>
      <w:r w:rsidR="00C143F8" w:rsidRPr="002D4122">
        <w:rPr>
          <w:rFonts w:ascii="Palatino Linotype" w:eastAsia="Palatino Linotype" w:hAnsi="Palatino Linotype" w:cs="Palatino Linotype"/>
          <w:i/>
          <w:color w:val="000000" w:themeColor="text1"/>
        </w:rPr>
        <w:t>emitií</w:t>
      </w:r>
      <w:proofErr w:type="spellEnd"/>
      <w:r w:rsidR="00C143F8" w:rsidRPr="002D4122">
        <w:rPr>
          <w:rFonts w:ascii="Palatino Linotype" w:eastAsia="Palatino Linotype" w:hAnsi="Palatino Linotype" w:cs="Palatino Linotype"/>
          <w:i/>
          <w:color w:val="000000" w:themeColor="text1"/>
        </w:rPr>
        <w:t xml:space="preserve"> ninguna grosería en mi solicitud y me negaron el acceso a lo que solicité” (Sic)</w:t>
      </w:r>
    </w:p>
    <w:p w:rsidR="0003185F" w:rsidRPr="002D4122" w:rsidRDefault="0003185F" w:rsidP="00C27A98">
      <w:pPr>
        <w:tabs>
          <w:tab w:val="left" w:pos="6197"/>
        </w:tabs>
        <w:spacing w:line="360" w:lineRule="auto"/>
        <w:jc w:val="both"/>
        <w:rPr>
          <w:rFonts w:ascii="Palatino Linotype" w:eastAsia="Palatino Linotype" w:hAnsi="Palatino Linotype" w:cs="Palatino Linotype"/>
          <w:color w:val="000000" w:themeColor="text1"/>
        </w:rPr>
      </w:pPr>
    </w:p>
    <w:p w:rsidR="00C143F8" w:rsidRPr="002D4122" w:rsidRDefault="00C143F8" w:rsidP="00C27A98">
      <w:pPr>
        <w:spacing w:line="360" w:lineRule="auto"/>
        <w:jc w:val="both"/>
        <w:rPr>
          <w:rFonts w:ascii="Palatino Linotype" w:eastAsia="Palatino Linotype" w:hAnsi="Palatino Linotype" w:cs="Palatino Linotype"/>
          <w:b/>
          <w:color w:val="000000" w:themeColor="text1"/>
        </w:rPr>
      </w:pPr>
      <w:r w:rsidRPr="002D4122">
        <w:rPr>
          <w:rFonts w:ascii="Palatino Linotype" w:eastAsia="Palatino Linotype" w:hAnsi="Palatino Linotype" w:cs="Palatino Linotype"/>
          <w:b/>
          <w:color w:val="000000" w:themeColor="text1"/>
        </w:rPr>
        <w:t>04624/INFOEM/IP/RR/2025:</w:t>
      </w:r>
    </w:p>
    <w:p w:rsidR="00C143F8" w:rsidRPr="002D4122" w:rsidRDefault="00C143F8" w:rsidP="00C27A98">
      <w:pPr>
        <w:spacing w:line="360" w:lineRule="auto"/>
        <w:jc w:val="both"/>
        <w:rPr>
          <w:rFonts w:ascii="Palatino Linotype" w:eastAsia="Palatino Linotype" w:hAnsi="Palatino Linotype" w:cs="Palatino Linotype"/>
          <w:i/>
          <w:color w:val="000000" w:themeColor="text1"/>
        </w:rPr>
      </w:pPr>
      <w:r w:rsidRPr="002D4122">
        <w:rPr>
          <w:rFonts w:ascii="Palatino Linotype" w:eastAsia="Palatino Linotype" w:hAnsi="Palatino Linotype" w:cs="Palatino Linotype"/>
          <w:b/>
          <w:color w:val="000000" w:themeColor="text1"/>
        </w:rPr>
        <w:t>Acto impugnado</w:t>
      </w:r>
      <w:r w:rsidRPr="002D4122">
        <w:rPr>
          <w:rFonts w:ascii="Palatino Linotype" w:eastAsia="Palatino Linotype" w:hAnsi="Palatino Linotype" w:cs="Palatino Linotype"/>
          <w:b/>
          <w:i/>
          <w:color w:val="000000" w:themeColor="text1"/>
        </w:rPr>
        <w:t>:</w:t>
      </w:r>
      <w:r w:rsidRPr="002D4122">
        <w:rPr>
          <w:rFonts w:ascii="Palatino Linotype" w:eastAsia="Palatino Linotype" w:hAnsi="Palatino Linotype" w:cs="Palatino Linotype"/>
          <w:i/>
          <w:color w:val="000000" w:themeColor="text1"/>
        </w:rPr>
        <w:t xml:space="preserve"> “la respuesta en que me niegan la </w:t>
      </w:r>
      <w:proofErr w:type="spellStart"/>
      <w:r w:rsidRPr="002D4122">
        <w:rPr>
          <w:rFonts w:ascii="Palatino Linotype" w:eastAsia="Palatino Linotype" w:hAnsi="Palatino Linotype" w:cs="Palatino Linotype"/>
          <w:i/>
          <w:color w:val="000000" w:themeColor="text1"/>
        </w:rPr>
        <w:t>infomración</w:t>
      </w:r>
      <w:proofErr w:type="spellEnd"/>
      <w:r w:rsidRPr="002D4122">
        <w:rPr>
          <w:rFonts w:ascii="Palatino Linotype" w:eastAsia="Palatino Linotype" w:hAnsi="Palatino Linotype" w:cs="Palatino Linotype"/>
          <w:i/>
          <w:color w:val="000000" w:themeColor="text1"/>
        </w:rPr>
        <w:t>” (Sic)</w:t>
      </w:r>
    </w:p>
    <w:p w:rsidR="00C143F8" w:rsidRPr="002D4122" w:rsidRDefault="00C143F8" w:rsidP="00C27A98">
      <w:pPr>
        <w:spacing w:line="360" w:lineRule="auto"/>
        <w:jc w:val="both"/>
        <w:rPr>
          <w:rFonts w:ascii="Palatino Linotype" w:eastAsia="Palatino Linotype" w:hAnsi="Palatino Linotype" w:cs="Palatino Linotype"/>
          <w:b/>
          <w:color w:val="000000" w:themeColor="text1"/>
        </w:rPr>
      </w:pPr>
      <w:r w:rsidRPr="002D4122">
        <w:rPr>
          <w:rFonts w:ascii="Palatino Linotype" w:eastAsia="Palatino Linotype" w:hAnsi="Palatino Linotype" w:cs="Palatino Linotype"/>
          <w:b/>
          <w:color w:val="000000" w:themeColor="text1"/>
        </w:rPr>
        <w:t>Razones o Motivos de inconformidad:</w:t>
      </w:r>
      <w:r w:rsidRPr="002D4122">
        <w:rPr>
          <w:rFonts w:ascii="Palatino Linotype" w:eastAsia="Palatino Linotype" w:hAnsi="Palatino Linotype" w:cs="Palatino Linotype"/>
          <w:i/>
          <w:color w:val="000000" w:themeColor="text1"/>
        </w:rPr>
        <w:t xml:space="preserve"> “la respuesta que me dan está infundada y no tiene motivo de ser porque no emití ninguna grosería ni falta de respeto, a nuestro presidente </w:t>
      </w:r>
      <w:proofErr w:type="spellStart"/>
      <w:r w:rsidRPr="002D4122">
        <w:rPr>
          <w:rFonts w:ascii="Palatino Linotype" w:eastAsia="Palatino Linotype" w:hAnsi="Palatino Linotype" w:cs="Palatino Linotype"/>
          <w:i/>
          <w:color w:val="000000" w:themeColor="text1"/>
        </w:rPr>
        <w:t>Adrés</w:t>
      </w:r>
      <w:proofErr w:type="spellEnd"/>
      <w:r w:rsidRPr="002D4122">
        <w:rPr>
          <w:rFonts w:ascii="Palatino Linotype" w:eastAsia="Palatino Linotype" w:hAnsi="Palatino Linotype" w:cs="Palatino Linotype"/>
          <w:i/>
          <w:color w:val="000000" w:themeColor="text1"/>
        </w:rPr>
        <w:t xml:space="preserve"> Manuel el pueblo lo conoce como AMLO, al presidente de Izcalli lo conocen como Don Dany Moches, esa no es grosería ni le causa agravio moral me deben entregar lo que solicité” (Sic)</w:t>
      </w:r>
    </w:p>
    <w:p w:rsidR="0003185F" w:rsidRPr="002D4122" w:rsidRDefault="0003185F" w:rsidP="00C27A98">
      <w:pPr>
        <w:tabs>
          <w:tab w:val="left" w:pos="6197"/>
        </w:tabs>
        <w:spacing w:line="360" w:lineRule="auto"/>
        <w:jc w:val="both"/>
        <w:rPr>
          <w:rFonts w:ascii="Palatino Linotype" w:eastAsia="Palatino Linotype" w:hAnsi="Palatino Linotype" w:cs="Palatino Linotype"/>
          <w:color w:val="000000" w:themeColor="text1"/>
        </w:rPr>
      </w:pPr>
    </w:p>
    <w:p w:rsidR="00C143F8" w:rsidRPr="002D4122" w:rsidRDefault="00C143F8" w:rsidP="00C27A98">
      <w:pPr>
        <w:spacing w:line="360" w:lineRule="auto"/>
        <w:jc w:val="both"/>
        <w:rPr>
          <w:rFonts w:ascii="Palatino Linotype" w:eastAsia="Palatino Linotype" w:hAnsi="Palatino Linotype" w:cs="Palatino Linotype"/>
          <w:b/>
          <w:color w:val="000000" w:themeColor="text1"/>
        </w:rPr>
      </w:pPr>
      <w:r w:rsidRPr="002D4122">
        <w:rPr>
          <w:rFonts w:ascii="Palatino Linotype" w:eastAsia="Palatino Linotype" w:hAnsi="Palatino Linotype" w:cs="Palatino Linotype"/>
          <w:b/>
          <w:color w:val="000000" w:themeColor="text1"/>
        </w:rPr>
        <w:t>04625/INFOEM/IP/RR/2025:</w:t>
      </w:r>
    </w:p>
    <w:p w:rsidR="00C143F8" w:rsidRPr="002D4122" w:rsidRDefault="00C143F8" w:rsidP="00C27A98">
      <w:pPr>
        <w:spacing w:line="360" w:lineRule="auto"/>
        <w:jc w:val="both"/>
        <w:rPr>
          <w:rFonts w:ascii="Palatino Linotype" w:eastAsia="Palatino Linotype" w:hAnsi="Palatino Linotype" w:cs="Palatino Linotype"/>
          <w:i/>
          <w:color w:val="000000" w:themeColor="text1"/>
        </w:rPr>
      </w:pPr>
      <w:r w:rsidRPr="002D4122">
        <w:rPr>
          <w:rFonts w:ascii="Palatino Linotype" w:eastAsia="Palatino Linotype" w:hAnsi="Palatino Linotype" w:cs="Palatino Linotype"/>
          <w:b/>
          <w:color w:val="000000" w:themeColor="text1"/>
        </w:rPr>
        <w:lastRenderedPageBreak/>
        <w:t>Acto impugnado</w:t>
      </w:r>
      <w:r w:rsidRPr="002D4122">
        <w:rPr>
          <w:rFonts w:ascii="Palatino Linotype" w:eastAsia="Palatino Linotype" w:hAnsi="Palatino Linotype" w:cs="Palatino Linotype"/>
          <w:b/>
          <w:i/>
          <w:color w:val="000000" w:themeColor="text1"/>
        </w:rPr>
        <w:t>:</w:t>
      </w:r>
      <w:r w:rsidRPr="002D4122">
        <w:rPr>
          <w:rFonts w:ascii="Palatino Linotype" w:eastAsia="Palatino Linotype" w:hAnsi="Palatino Linotype" w:cs="Palatino Linotype"/>
          <w:i/>
          <w:color w:val="000000" w:themeColor="text1"/>
        </w:rPr>
        <w:t xml:space="preserve"> “la respuesta es injusta porque me negaron la información sin que </w:t>
      </w:r>
      <w:proofErr w:type="spellStart"/>
      <w:r w:rsidRPr="002D4122">
        <w:rPr>
          <w:rFonts w:ascii="Palatino Linotype" w:eastAsia="Palatino Linotype" w:hAnsi="Palatino Linotype" w:cs="Palatino Linotype"/>
          <w:i/>
          <w:color w:val="000000" w:themeColor="text1"/>
        </w:rPr>
        <w:t>e</w:t>
      </w:r>
      <w:proofErr w:type="spellEnd"/>
      <w:r w:rsidRPr="002D4122">
        <w:rPr>
          <w:rFonts w:ascii="Palatino Linotype" w:eastAsia="Palatino Linotype" w:hAnsi="Palatino Linotype" w:cs="Palatino Linotype"/>
          <w:i/>
          <w:color w:val="000000" w:themeColor="text1"/>
        </w:rPr>
        <w:t xml:space="preserve"> digan la causa prevista en la ley que les permite negarme mi </w:t>
      </w:r>
      <w:proofErr w:type="spellStart"/>
      <w:r w:rsidRPr="002D4122">
        <w:rPr>
          <w:rFonts w:ascii="Palatino Linotype" w:eastAsia="Palatino Linotype" w:hAnsi="Palatino Linotype" w:cs="Palatino Linotype"/>
          <w:i/>
          <w:color w:val="000000" w:themeColor="text1"/>
        </w:rPr>
        <w:t>infomracion</w:t>
      </w:r>
      <w:proofErr w:type="spellEnd"/>
      <w:r w:rsidRPr="002D4122">
        <w:rPr>
          <w:rFonts w:ascii="Palatino Linotype" w:eastAsia="Palatino Linotype" w:hAnsi="Palatino Linotype" w:cs="Palatino Linotype"/>
          <w:i/>
          <w:color w:val="000000" w:themeColor="text1"/>
        </w:rPr>
        <w:t>” (Sic)</w:t>
      </w:r>
    </w:p>
    <w:p w:rsidR="00C143F8" w:rsidRPr="002D4122" w:rsidRDefault="00C143F8" w:rsidP="00C27A98">
      <w:pPr>
        <w:spacing w:line="360" w:lineRule="auto"/>
        <w:jc w:val="both"/>
        <w:rPr>
          <w:rFonts w:ascii="Palatino Linotype" w:eastAsia="Palatino Linotype" w:hAnsi="Palatino Linotype" w:cs="Palatino Linotype"/>
          <w:b/>
          <w:color w:val="000000" w:themeColor="text1"/>
        </w:rPr>
      </w:pPr>
      <w:r w:rsidRPr="002D4122">
        <w:rPr>
          <w:rFonts w:ascii="Palatino Linotype" w:eastAsia="Palatino Linotype" w:hAnsi="Palatino Linotype" w:cs="Palatino Linotype"/>
          <w:b/>
          <w:color w:val="000000" w:themeColor="text1"/>
        </w:rPr>
        <w:t>Razones o Motivos de inconformidad:</w:t>
      </w:r>
      <w:r w:rsidRPr="002D4122">
        <w:rPr>
          <w:rFonts w:ascii="Palatino Linotype" w:eastAsia="Palatino Linotype" w:hAnsi="Palatino Linotype" w:cs="Palatino Linotype"/>
          <w:i/>
          <w:color w:val="000000" w:themeColor="text1"/>
        </w:rPr>
        <w:t xml:space="preserve"> “no me entregan lo que </w:t>
      </w:r>
      <w:proofErr w:type="spellStart"/>
      <w:r w:rsidRPr="002D4122">
        <w:rPr>
          <w:rFonts w:ascii="Palatino Linotype" w:eastAsia="Palatino Linotype" w:hAnsi="Palatino Linotype" w:cs="Palatino Linotype"/>
          <w:i/>
          <w:color w:val="000000" w:themeColor="text1"/>
        </w:rPr>
        <w:t>pedi</w:t>
      </w:r>
      <w:proofErr w:type="spellEnd"/>
      <w:r w:rsidRPr="002D4122">
        <w:rPr>
          <w:rFonts w:ascii="Palatino Linotype" w:eastAsia="Palatino Linotype" w:hAnsi="Palatino Linotype" w:cs="Palatino Linotype"/>
          <w:i/>
          <w:color w:val="000000" w:themeColor="text1"/>
        </w:rPr>
        <w:t xml:space="preserve"> y no me dicen la </w:t>
      </w:r>
      <w:proofErr w:type="spellStart"/>
      <w:r w:rsidRPr="002D4122">
        <w:rPr>
          <w:rFonts w:ascii="Palatino Linotype" w:eastAsia="Palatino Linotype" w:hAnsi="Palatino Linotype" w:cs="Palatino Linotype"/>
          <w:i/>
          <w:color w:val="000000" w:themeColor="text1"/>
        </w:rPr>
        <w:t>razon</w:t>
      </w:r>
      <w:proofErr w:type="spellEnd"/>
      <w:r w:rsidRPr="002D4122">
        <w:rPr>
          <w:rFonts w:ascii="Palatino Linotype" w:eastAsia="Palatino Linotype" w:hAnsi="Palatino Linotype" w:cs="Palatino Linotype"/>
          <w:i/>
          <w:color w:val="000000" w:themeColor="text1"/>
        </w:rPr>
        <w:t xml:space="preserve"> que marca la ley para que me nieguen mi </w:t>
      </w:r>
      <w:proofErr w:type="spellStart"/>
      <w:r w:rsidRPr="002D4122">
        <w:rPr>
          <w:rFonts w:ascii="Palatino Linotype" w:eastAsia="Palatino Linotype" w:hAnsi="Palatino Linotype" w:cs="Palatino Linotype"/>
          <w:i/>
          <w:color w:val="000000" w:themeColor="text1"/>
        </w:rPr>
        <w:t>informacion</w:t>
      </w:r>
      <w:proofErr w:type="spellEnd"/>
      <w:r w:rsidRPr="002D4122">
        <w:rPr>
          <w:rFonts w:ascii="Palatino Linotype" w:eastAsia="Palatino Linotype" w:hAnsi="Palatino Linotype" w:cs="Palatino Linotype"/>
          <w:i/>
          <w:color w:val="000000" w:themeColor="text1"/>
        </w:rPr>
        <w:t xml:space="preserve"> el presidente de </w:t>
      </w:r>
      <w:proofErr w:type="spellStart"/>
      <w:r w:rsidRPr="002D4122">
        <w:rPr>
          <w:rFonts w:ascii="Palatino Linotype" w:eastAsia="Palatino Linotype" w:hAnsi="Palatino Linotype" w:cs="Palatino Linotype"/>
          <w:i/>
          <w:color w:val="000000" w:themeColor="text1"/>
        </w:rPr>
        <w:t>izcali</w:t>
      </w:r>
      <w:proofErr w:type="spellEnd"/>
      <w:r w:rsidRPr="002D4122">
        <w:rPr>
          <w:rFonts w:ascii="Palatino Linotype" w:eastAsia="Palatino Linotype" w:hAnsi="Palatino Linotype" w:cs="Palatino Linotype"/>
          <w:i/>
          <w:color w:val="000000" w:themeColor="text1"/>
        </w:rPr>
        <w:t xml:space="preserve"> le dicen así no es falta de respeto” (Sic)</w:t>
      </w:r>
    </w:p>
    <w:p w:rsidR="00C143F8" w:rsidRPr="002D4122" w:rsidRDefault="00C143F8" w:rsidP="00C27A98">
      <w:pPr>
        <w:tabs>
          <w:tab w:val="left" w:pos="6197"/>
        </w:tabs>
        <w:spacing w:line="360" w:lineRule="auto"/>
        <w:jc w:val="both"/>
        <w:rPr>
          <w:rFonts w:ascii="Palatino Linotype" w:eastAsia="Palatino Linotype" w:hAnsi="Palatino Linotype" w:cs="Palatino Linotype"/>
          <w:color w:val="000000" w:themeColor="text1"/>
        </w:rPr>
      </w:pPr>
    </w:p>
    <w:p w:rsidR="00C143F8" w:rsidRPr="002D4122" w:rsidRDefault="00C143F8" w:rsidP="00C27A98">
      <w:pPr>
        <w:spacing w:line="360" w:lineRule="auto"/>
        <w:jc w:val="both"/>
        <w:rPr>
          <w:rFonts w:ascii="Palatino Linotype" w:eastAsia="Palatino Linotype" w:hAnsi="Palatino Linotype" w:cs="Palatino Linotype"/>
          <w:b/>
          <w:color w:val="000000" w:themeColor="text1"/>
        </w:rPr>
      </w:pPr>
      <w:r w:rsidRPr="002D4122">
        <w:rPr>
          <w:rFonts w:ascii="Palatino Linotype" w:eastAsia="Palatino Linotype" w:hAnsi="Palatino Linotype" w:cs="Palatino Linotype"/>
          <w:b/>
          <w:color w:val="000000" w:themeColor="text1"/>
        </w:rPr>
        <w:t>04626/INFOEM/IP/RR/2025:</w:t>
      </w:r>
    </w:p>
    <w:p w:rsidR="00C143F8" w:rsidRPr="002D4122" w:rsidRDefault="00C143F8" w:rsidP="00C27A98">
      <w:pPr>
        <w:spacing w:line="360" w:lineRule="auto"/>
        <w:jc w:val="both"/>
        <w:rPr>
          <w:rFonts w:ascii="Palatino Linotype" w:eastAsia="Palatino Linotype" w:hAnsi="Palatino Linotype" w:cs="Palatino Linotype"/>
          <w:i/>
          <w:color w:val="000000" w:themeColor="text1"/>
        </w:rPr>
      </w:pPr>
      <w:r w:rsidRPr="002D4122">
        <w:rPr>
          <w:rFonts w:ascii="Palatino Linotype" w:eastAsia="Palatino Linotype" w:hAnsi="Palatino Linotype" w:cs="Palatino Linotype"/>
          <w:b/>
          <w:color w:val="000000" w:themeColor="text1"/>
        </w:rPr>
        <w:t>Acto impugnado</w:t>
      </w:r>
      <w:r w:rsidRPr="002D4122">
        <w:rPr>
          <w:rFonts w:ascii="Palatino Linotype" w:eastAsia="Palatino Linotype" w:hAnsi="Palatino Linotype" w:cs="Palatino Linotype"/>
          <w:b/>
          <w:i/>
          <w:color w:val="000000" w:themeColor="text1"/>
        </w:rPr>
        <w:t>:</w:t>
      </w:r>
      <w:r w:rsidRPr="002D4122">
        <w:rPr>
          <w:rFonts w:ascii="Palatino Linotype" w:eastAsia="Palatino Linotype" w:hAnsi="Palatino Linotype" w:cs="Palatino Linotype"/>
          <w:i/>
          <w:color w:val="000000" w:themeColor="text1"/>
        </w:rPr>
        <w:t xml:space="preserve"> “la respuesta que me dan para negarme mi </w:t>
      </w:r>
      <w:proofErr w:type="spellStart"/>
      <w:r w:rsidRPr="002D4122">
        <w:rPr>
          <w:rFonts w:ascii="Palatino Linotype" w:eastAsia="Palatino Linotype" w:hAnsi="Palatino Linotype" w:cs="Palatino Linotype"/>
          <w:i/>
          <w:color w:val="000000" w:themeColor="text1"/>
        </w:rPr>
        <w:t>nformacion</w:t>
      </w:r>
      <w:proofErr w:type="spellEnd"/>
      <w:r w:rsidRPr="002D4122">
        <w:rPr>
          <w:rFonts w:ascii="Palatino Linotype" w:eastAsia="Palatino Linotype" w:hAnsi="Palatino Linotype" w:cs="Palatino Linotype"/>
          <w:i/>
          <w:color w:val="000000" w:themeColor="text1"/>
        </w:rPr>
        <w:t xml:space="preserve"> no entiendo porque no me la dan” (Sic)</w:t>
      </w:r>
    </w:p>
    <w:p w:rsidR="00C143F8" w:rsidRPr="002D4122" w:rsidRDefault="00C143F8" w:rsidP="00C27A98">
      <w:pPr>
        <w:spacing w:line="360" w:lineRule="auto"/>
        <w:jc w:val="both"/>
        <w:rPr>
          <w:rFonts w:ascii="Palatino Linotype" w:eastAsia="Palatino Linotype" w:hAnsi="Palatino Linotype" w:cs="Palatino Linotype"/>
          <w:b/>
          <w:color w:val="000000" w:themeColor="text1"/>
        </w:rPr>
      </w:pPr>
      <w:r w:rsidRPr="002D4122">
        <w:rPr>
          <w:rFonts w:ascii="Palatino Linotype" w:eastAsia="Palatino Linotype" w:hAnsi="Palatino Linotype" w:cs="Palatino Linotype"/>
          <w:b/>
          <w:color w:val="000000" w:themeColor="text1"/>
        </w:rPr>
        <w:t>Razones o Motivos de inconformidad:</w:t>
      </w:r>
      <w:r w:rsidRPr="002D4122">
        <w:rPr>
          <w:rFonts w:ascii="Palatino Linotype" w:eastAsia="Palatino Linotype" w:hAnsi="Palatino Linotype" w:cs="Palatino Linotype"/>
          <w:i/>
          <w:color w:val="000000" w:themeColor="text1"/>
        </w:rPr>
        <w:t xml:space="preserve"> “me dicen que le dije </w:t>
      </w:r>
      <w:proofErr w:type="spellStart"/>
      <w:r w:rsidRPr="002D4122">
        <w:rPr>
          <w:rFonts w:ascii="Palatino Linotype" w:eastAsia="Palatino Linotype" w:hAnsi="Palatino Linotype" w:cs="Palatino Linotype"/>
          <w:i/>
          <w:color w:val="000000" w:themeColor="text1"/>
        </w:rPr>
        <w:t>groserias</w:t>
      </w:r>
      <w:proofErr w:type="spellEnd"/>
      <w:r w:rsidRPr="002D4122">
        <w:rPr>
          <w:rFonts w:ascii="Palatino Linotype" w:eastAsia="Palatino Linotype" w:hAnsi="Palatino Linotype" w:cs="Palatino Linotype"/>
          <w:i/>
          <w:color w:val="000000" w:themeColor="text1"/>
        </w:rPr>
        <w:t xml:space="preserve"> al presidente Daniel pero en Izcalli </w:t>
      </w:r>
      <w:proofErr w:type="spellStart"/>
      <w:r w:rsidRPr="002D4122">
        <w:rPr>
          <w:rFonts w:ascii="Palatino Linotype" w:eastAsia="Palatino Linotype" w:hAnsi="Palatino Linotype" w:cs="Palatino Linotype"/>
          <w:i/>
          <w:color w:val="000000" w:themeColor="text1"/>
        </w:rPr>
        <w:t>asi</w:t>
      </w:r>
      <w:proofErr w:type="spellEnd"/>
      <w:r w:rsidRPr="002D4122">
        <w:rPr>
          <w:rFonts w:ascii="Palatino Linotype" w:eastAsia="Palatino Linotype" w:hAnsi="Palatino Linotype" w:cs="Palatino Linotype"/>
          <w:i/>
          <w:color w:val="000000" w:themeColor="text1"/>
        </w:rPr>
        <w:t xml:space="preserve"> lo conocemos no me dicen que </w:t>
      </w:r>
      <w:proofErr w:type="spellStart"/>
      <w:r w:rsidRPr="002D4122">
        <w:rPr>
          <w:rFonts w:ascii="Palatino Linotype" w:eastAsia="Palatino Linotype" w:hAnsi="Palatino Linotype" w:cs="Palatino Linotype"/>
          <w:i/>
          <w:color w:val="000000" w:themeColor="text1"/>
        </w:rPr>
        <w:t>artiuclo</w:t>
      </w:r>
      <w:proofErr w:type="spellEnd"/>
      <w:r w:rsidRPr="002D4122">
        <w:rPr>
          <w:rFonts w:ascii="Palatino Linotype" w:eastAsia="Palatino Linotype" w:hAnsi="Palatino Linotype" w:cs="Palatino Linotype"/>
          <w:i/>
          <w:color w:val="000000" w:themeColor="text1"/>
        </w:rPr>
        <w:t xml:space="preserve"> les permite negarme la </w:t>
      </w:r>
      <w:proofErr w:type="spellStart"/>
      <w:r w:rsidRPr="002D4122">
        <w:rPr>
          <w:rFonts w:ascii="Palatino Linotype" w:eastAsia="Palatino Linotype" w:hAnsi="Palatino Linotype" w:cs="Palatino Linotype"/>
          <w:i/>
          <w:color w:val="000000" w:themeColor="text1"/>
        </w:rPr>
        <w:t>informacion</w:t>
      </w:r>
      <w:proofErr w:type="spellEnd"/>
      <w:r w:rsidRPr="002D4122">
        <w:rPr>
          <w:rFonts w:ascii="Palatino Linotype" w:eastAsia="Palatino Linotype" w:hAnsi="Palatino Linotype" w:cs="Palatino Linotype"/>
          <w:i/>
          <w:color w:val="000000" w:themeColor="text1"/>
        </w:rPr>
        <w:t>” (Sic)</w:t>
      </w:r>
    </w:p>
    <w:p w:rsidR="00C143F8" w:rsidRPr="002D4122" w:rsidRDefault="00C143F8" w:rsidP="00C27A98">
      <w:pPr>
        <w:tabs>
          <w:tab w:val="left" w:pos="6197"/>
        </w:tabs>
        <w:spacing w:line="360" w:lineRule="auto"/>
        <w:jc w:val="both"/>
        <w:rPr>
          <w:rFonts w:ascii="Palatino Linotype" w:eastAsia="Palatino Linotype" w:hAnsi="Palatino Linotype" w:cs="Palatino Linotype"/>
          <w:color w:val="000000" w:themeColor="text1"/>
        </w:rPr>
      </w:pPr>
    </w:p>
    <w:p w:rsidR="00C143F8" w:rsidRPr="002D4122" w:rsidRDefault="00C143F8" w:rsidP="00C27A98">
      <w:pPr>
        <w:spacing w:line="360" w:lineRule="auto"/>
        <w:jc w:val="both"/>
        <w:rPr>
          <w:rFonts w:ascii="Palatino Linotype" w:eastAsia="Palatino Linotype" w:hAnsi="Palatino Linotype" w:cs="Palatino Linotype"/>
          <w:b/>
          <w:color w:val="000000" w:themeColor="text1"/>
        </w:rPr>
      </w:pPr>
      <w:r w:rsidRPr="002D4122">
        <w:rPr>
          <w:rFonts w:ascii="Palatino Linotype" w:eastAsia="Palatino Linotype" w:hAnsi="Palatino Linotype" w:cs="Palatino Linotype"/>
          <w:b/>
          <w:color w:val="000000" w:themeColor="text1"/>
        </w:rPr>
        <w:t>04627/INFOEM/IP/RR/2025:</w:t>
      </w:r>
    </w:p>
    <w:p w:rsidR="00C143F8" w:rsidRPr="002D4122" w:rsidRDefault="00C143F8" w:rsidP="00C27A98">
      <w:pPr>
        <w:spacing w:line="360" w:lineRule="auto"/>
        <w:jc w:val="both"/>
        <w:rPr>
          <w:rFonts w:ascii="Palatino Linotype" w:eastAsia="Palatino Linotype" w:hAnsi="Palatino Linotype" w:cs="Palatino Linotype"/>
          <w:i/>
          <w:color w:val="000000" w:themeColor="text1"/>
        </w:rPr>
      </w:pPr>
      <w:r w:rsidRPr="002D4122">
        <w:rPr>
          <w:rFonts w:ascii="Palatino Linotype" w:eastAsia="Palatino Linotype" w:hAnsi="Palatino Linotype" w:cs="Palatino Linotype"/>
          <w:b/>
          <w:color w:val="000000" w:themeColor="text1"/>
        </w:rPr>
        <w:t>Acto impugnado</w:t>
      </w:r>
      <w:r w:rsidRPr="002D4122">
        <w:rPr>
          <w:rFonts w:ascii="Palatino Linotype" w:eastAsia="Palatino Linotype" w:hAnsi="Palatino Linotype" w:cs="Palatino Linotype"/>
          <w:b/>
          <w:i/>
          <w:color w:val="000000" w:themeColor="text1"/>
        </w:rPr>
        <w:t>:</w:t>
      </w:r>
      <w:r w:rsidRPr="002D4122">
        <w:rPr>
          <w:rFonts w:ascii="Palatino Linotype" w:eastAsia="Palatino Linotype" w:hAnsi="Palatino Linotype" w:cs="Palatino Linotype"/>
          <w:i/>
          <w:color w:val="000000" w:themeColor="text1"/>
        </w:rPr>
        <w:t xml:space="preserve"> “la respuesta que me dan porque me niegan mi </w:t>
      </w:r>
      <w:proofErr w:type="spellStart"/>
      <w:r w:rsidRPr="002D4122">
        <w:rPr>
          <w:rFonts w:ascii="Palatino Linotype" w:eastAsia="Palatino Linotype" w:hAnsi="Palatino Linotype" w:cs="Palatino Linotype"/>
          <w:i/>
          <w:color w:val="000000" w:themeColor="text1"/>
        </w:rPr>
        <w:t>informacion</w:t>
      </w:r>
      <w:proofErr w:type="spellEnd"/>
      <w:r w:rsidRPr="002D4122">
        <w:rPr>
          <w:rFonts w:ascii="Palatino Linotype" w:eastAsia="Palatino Linotype" w:hAnsi="Palatino Linotype" w:cs="Palatino Linotype"/>
          <w:i/>
          <w:color w:val="000000" w:themeColor="text1"/>
        </w:rPr>
        <w:t>” (Sic)</w:t>
      </w:r>
    </w:p>
    <w:p w:rsidR="00C143F8" w:rsidRPr="002D4122" w:rsidRDefault="00C143F8" w:rsidP="00C27A98">
      <w:pPr>
        <w:spacing w:line="360" w:lineRule="auto"/>
        <w:jc w:val="both"/>
        <w:rPr>
          <w:rFonts w:ascii="Palatino Linotype" w:eastAsia="Palatino Linotype" w:hAnsi="Palatino Linotype" w:cs="Palatino Linotype"/>
          <w:b/>
          <w:color w:val="000000" w:themeColor="text1"/>
        </w:rPr>
      </w:pPr>
      <w:r w:rsidRPr="002D4122">
        <w:rPr>
          <w:rFonts w:ascii="Palatino Linotype" w:eastAsia="Palatino Linotype" w:hAnsi="Palatino Linotype" w:cs="Palatino Linotype"/>
          <w:b/>
          <w:color w:val="000000" w:themeColor="text1"/>
        </w:rPr>
        <w:t>Razones o Motivos de inconformidad:</w:t>
      </w:r>
      <w:r w:rsidRPr="002D4122">
        <w:rPr>
          <w:rFonts w:ascii="Palatino Linotype" w:eastAsia="Palatino Linotype" w:hAnsi="Palatino Linotype" w:cs="Palatino Linotype"/>
          <w:i/>
          <w:color w:val="000000" w:themeColor="text1"/>
        </w:rPr>
        <w:t xml:space="preserve"> “me niegan mi </w:t>
      </w:r>
      <w:proofErr w:type="spellStart"/>
      <w:r w:rsidRPr="002D4122">
        <w:rPr>
          <w:rFonts w:ascii="Palatino Linotype" w:eastAsia="Palatino Linotype" w:hAnsi="Palatino Linotype" w:cs="Palatino Linotype"/>
          <w:i/>
          <w:color w:val="000000" w:themeColor="text1"/>
        </w:rPr>
        <w:t>informacionporque</w:t>
      </w:r>
      <w:proofErr w:type="spellEnd"/>
      <w:r w:rsidRPr="002D4122">
        <w:rPr>
          <w:rFonts w:ascii="Palatino Linotype" w:eastAsia="Palatino Linotype" w:hAnsi="Palatino Linotype" w:cs="Palatino Linotype"/>
          <w:i/>
          <w:color w:val="000000" w:themeColor="text1"/>
        </w:rPr>
        <w:t xml:space="preserve"> dicen que </w:t>
      </w:r>
      <w:proofErr w:type="spellStart"/>
      <w:r w:rsidRPr="002D4122">
        <w:rPr>
          <w:rFonts w:ascii="Palatino Linotype" w:eastAsia="Palatino Linotype" w:hAnsi="Palatino Linotype" w:cs="Palatino Linotype"/>
          <w:i/>
          <w:color w:val="000000" w:themeColor="text1"/>
        </w:rPr>
        <w:t>ofendi</w:t>
      </w:r>
      <w:proofErr w:type="spellEnd"/>
      <w:r w:rsidRPr="002D4122">
        <w:rPr>
          <w:rFonts w:ascii="Palatino Linotype" w:eastAsia="Palatino Linotype" w:hAnsi="Palatino Linotype" w:cs="Palatino Linotype"/>
          <w:i/>
          <w:color w:val="000000" w:themeColor="text1"/>
        </w:rPr>
        <w:t xml:space="preserve"> al presidente Daniel pero así le dice la gente en </w:t>
      </w:r>
      <w:proofErr w:type="spellStart"/>
      <w:r w:rsidRPr="002D4122">
        <w:rPr>
          <w:rFonts w:ascii="Palatino Linotype" w:eastAsia="Palatino Linotype" w:hAnsi="Palatino Linotype" w:cs="Palatino Linotype"/>
          <w:i/>
          <w:color w:val="000000" w:themeColor="text1"/>
        </w:rPr>
        <w:t>izcali</w:t>
      </w:r>
      <w:proofErr w:type="spellEnd"/>
      <w:r w:rsidRPr="002D4122">
        <w:rPr>
          <w:rFonts w:ascii="Palatino Linotype" w:eastAsia="Palatino Linotype" w:hAnsi="Palatino Linotype" w:cs="Palatino Linotype"/>
          <w:i/>
          <w:color w:val="000000" w:themeColor="text1"/>
        </w:rPr>
        <w:t xml:space="preserve"> y no es </w:t>
      </w:r>
      <w:proofErr w:type="spellStart"/>
      <w:r w:rsidRPr="002D4122">
        <w:rPr>
          <w:rFonts w:ascii="Palatino Linotype" w:eastAsia="Palatino Linotype" w:hAnsi="Palatino Linotype" w:cs="Palatino Linotype"/>
          <w:i/>
          <w:color w:val="000000" w:themeColor="text1"/>
        </w:rPr>
        <w:t>groseria</w:t>
      </w:r>
      <w:proofErr w:type="spellEnd"/>
      <w:r w:rsidRPr="002D4122">
        <w:rPr>
          <w:rFonts w:ascii="Palatino Linotype" w:eastAsia="Palatino Linotype" w:hAnsi="Palatino Linotype" w:cs="Palatino Linotype"/>
          <w:i/>
          <w:color w:val="000000" w:themeColor="text1"/>
        </w:rPr>
        <w:t xml:space="preserve"> lo que pasa es que no me quieren dar los contratos porque algo esconde de seguro” (Sic)</w:t>
      </w:r>
    </w:p>
    <w:p w:rsidR="0003185F" w:rsidRPr="002D4122" w:rsidRDefault="0003185F" w:rsidP="00C27A98">
      <w:pPr>
        <w:tabs>
          <w:tab w:val="left" w:pos="6197"/>
        </w:tabs>
        <w:spacing w:line="360" w:lineRule="auto"/>
        <w:jc w:val="both"/>
        <w:rPr>
          <w:rFonts w:ascii="Palatino Linotype" w:eastAsia="Palatino Linotype" w:hAnsi="Palatino Linotype" w:cs="Palatino Linotype"/>
          <w:color w:val="000000" w:themeColor="text1"/>
        </w:rPr>
      </w:pPr>
    </w:p>
    <w:p w:rsidR="0003185F" w:rsidRPr="002D4122" w:rsidRDefault="0003185F" w:rsidP="00C27A98">
      <w:pPr>
        <w:numPr>
          <w:ilvl w:val="0"/>
          <w:numId w:val="1"/>
        </w:numPr>
        <w:spacing w:line="360" w:lineRule="auto"/>
        <w:ind w:left="0" w:firstLine="0"/>
        <w:jc w:val="both"/>
        <w:rPr>
          <w:rFonts w:ascii="Palatino Linotype" w:hAnsi="Palatino Linotype"/>
          <w:color w:val="000000" w:themeColor="text1"/>
        </w:rPr>
      </w:pPr>
      <w:r w:rsidRPr="002D4122">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2D4122">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2D4122">
        <w:rPr>
          <w:rFonts w:ascii="Palatino Linotype" w:eastAsia="Palatino Linotype" w:hAnsi="Palatino Linotype" w:cs="Palatino Linotype"/>
          <w:color w:val="000000" w:themeColor="text1"/>
        </w:rPr>
        <w:t xml:space="preserve">se turna a la </w:t>
      </w:r>
      <w:r w:rsidRPr="002D4122">
        <w:rPr>
          <w:rFonts w:ascii="Palatino Linotype" w:eastAsia="Palatino Linotype" w:hAnsi="Palatino Linotype" w:cs="Palatino Linotype"/>
          <w:b/>
          <w:color w:val="000000" w:themeColor="text1"/>
        </w:rPr>
        <w:t xml:space="preserve">Comisionada María del Rosario Mejía Ayala, </w:t>
      </w:r>
      <w:r w:rsidRPr="002D4122">
        <w:rPr>
          <w:rFonts w:ascii="Palatino Linotype" w:eastAsia="Palatino Linotype" w:hAnsi="Palatino Linotype" w:cs="Palatino Linotype"/>
          <w:color w:val="000000" w:themeColor="text1"/>
        </w:rPr>
        <w:t xml:space="preserve">para su análisis. </w:t>
      </w:r>
    </w:p>
    <w:p w:rsidR="0003185F" w:rsidRPr="002D4122" w:rsidRDefault="0003185F" w:rsidP="00C27A98">
      <w:pPr>
        <w:spacing w:line="360" w:lineRule="auto"/>
        <w:jc w:val="both"/>
        <w:rPr>
          <w:rFonts w:ascii="Palatino Linotype" w:eastAsia="Palatino Linotype" w:hAnsi="Palatino Linotype" w:cs="Palatino Linotype"/>
          <w:color w:val="000000" w:themeColor="text1"/>
        </w:rPr>
      </w:pPr>
    </w:p>
    <w:p w:rsidR="0003185F" w:rsidRPr="002D4122" w:rsidRDefault="0003185F" w:rsidP="00C27A98">
      <w:pPr>
        <w:numPr>
          <w:ilvl w:val="0"/>
          <w:numId w:val="1"/>
        </w:numPr>
        <w:spacing w:line="360" w:lineRule="auto"/>
        <w:ind w:left="0" w:firstLine="0"/>
        <w:jc w:val="both"/>
        <w:rPr>
          <w:rFonts w:ascii="Palatino Linotype" w:hAnsi="Palatino Linotype"/>
          <w:color w:val="000000" w:themeColor="text1"/>
        </w:rPr>
      </w:pPr>
      <w:r w:rsidRPr="002D4122">
        <w:rPr>
          <w:rFonts w:ascii="Palatino Linotype" w:eastAsia="Palatino Linotype" w:hAnsi="Palatino Linotype" w:cs="Palatino Linotype"/>
          <w:color w:val="000000" w:themeColor="text1"/>
        </w:rPr>
        <w:lastRenderedPageBreak/>
        <w:t xml:space="preserve">La Comisionada Ponente con fundamento en lo dispuesto por el artículo 185 fracción II de la ley de la materia, a través del acuerdo de admisión del </w:t>
      </w:r>
      <w:r w:rsidR="00C143F8" w:rsidRPr="002D4122">
        <w:rPr>
          <w:rFonts w:ascii="Palatino Linotype" w:eastAsia="Palatino Linotype" w:hAnsi="Palatino Linotype" w:cs="Palatino Linotype"/>
          <w:b/>
          <w:color w:val="000000" w:themeColor="text1"/>
        </w:rPr>
        <w:t>veinticinco y</w:t>
      </w:r>
      <w:r w:rsidR="00C143F8" w:rsidRPr="002D4122">
        <w:rPr>
          <w:rFonts w:ascii="Palatino Linotype" w:eastAsia="Palatino Linotype" w:hAnsi="Palatino Linotype" w:cs="Palatino Linotype"/>
          <w:color w:val="000000" w:themeColor="text1"/>
        </w:rPr>
        <w:t xml:space="preserve"> </w:t>
      </w:r>
      <w:r w:rsidR="00C143F8" w:rsidRPr="002D4122">
        <w:rPr>
          <w:rFonts w:ascii="Palatino Linotype" w:eastAsia="Palatino Linotype" w:hAnsi="Palatino Linotype" w:cs="Palatino Linotype"/>
          <w:b/>
          <w:color w:val="000000" w:themeColor="text1"/>
        </w:rPr>
        <w:t>veintiocho de abril de dos mil veinticinco</w:t>
      </w:r>
      <w:r w:rsidRPr="002D4122">
        <w:rPr>
          <w:rFonts w:ascii="Palatino Linotype" w:eastAsia="Palatino Linotype" w:hAnsi="Palatino Linotype" w:cs="Palatino Linotype"/>
          <w:color w:val="000000" w:themeColor="text1"/>
        </w:rPr>
        <w:t xml:space="preserve">, puso a disposición de las partes el expediente electrónico vía </w:t>
      </w:r>
      <w:r w:rsidRPr="002D4122">
        <w:rPr>
          <w:rFonts w:ascii="Palatino Linotype" w:eastAsia="Palatino Linotype" w:hAnsi="Palatino Linotype" w:cs="Palatino Linotype"/>
          <w:b/>
          <w:color w:val="000000" w:themeColor="text1"/>
        </w:rPr>
        <w:t xml:space="preserve">SAIMEX </w:t>
      </w:r>
      <w:r w:rsidRPr="002D4122">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Pr="002D4122">
        <w:rPr>
          <w:rFonts w:ascii="Palatino Linotype" w:eastAsia="Palatino Linotype" w:hAnsi="Palatino Linotype" w:cs="Palatino Linotype"/>
          <w:b/>
          <w:color w:val="000000" w:themeColor="text1"/>
        </w:rPr>
        <w:t>SUJETO OBLIGADO</w:t>
      </w:r>
      <w:r w:rsidRPr="002D4122">
        <w:rPr>
          <w:rFonts w:ascii="Palatino Linotype" w:eastAsia="Palatino Linotype" w:hAnsi="Palatino Linotype" w:cs="Palatino Linotype"/>
          <w:color w:val="000000" w:themeColor="text1"/>
        </w:rPr>
        <w:t xml:space="preserve"> presentará el informe justificado procedente. </w:t>
      </w:r>
    </w:p>
    <w:p w:rsidR="0003185F" w:rsidRPr="002D4122" w:rsidRDefault="0003185F" w:rsidP="00C27A98">
      <w:pPr>
        <w:pBdr>
          <w:top w:val="nil"/>
          <w:left w:val="nil"/>
          <w:bottom w:val="nil"/>
          <w:right w:val="nil"/>
          <w:between w:val="nil"/>
        </w:pBdr>
        <w:rPr>
          <w:rFonts w:ascii="Palatino Linotype" w:eastAsia="Palatino Linotype" w:hAnsi="Palatino Linotype" w:cs="Palatino Linotype"/>
          <w:color w:val="000000" w:themeColor="text1"/>
        </w:rPr>
      </w:pPr>
    </w:p>
    <w:p w:rsidR="0003185F" w:rsidRPr="002D4122" w:rsidRDefault="00530913" w:rsidP="00C27A9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2D4122">
        <w:rPr>
          <w:rFonts w:ascii="Palatino Linotype" w:eastAsia="Palatino Linotype" w:hAnsi="Palatino Linotype" w:cs="Palatino Linotype"/>
          <w:color w:val="000000" w:themeColor="text1"/>
        </w:rPr>
        <w:t xml:space="preserve">De las constancias del expediente electrónico SAIMEX, se advierte que el Recurrente no realizó manifestaciones que a su derecho convengan; por su parte, El Sujeto Obligado entregó informe justificado </w:t>
      </w:r>
      <w:r w:rsidRPr="002D4122">
        <w:rPr>
          <w:rFonts w:ascii="Palatino Linotype" w:eastAsia="Palatino Linotype" w:hAnsi="Palatino Linotype" w:cs="Palatino Linotype"/>
          <w:b/>
          <w:color w:val="000000" w:themeColor="text1"/>
        </w:rPr>
        <w:t xml:space="preserve">el dos de mayo de dos mil veinticinco, </w:t>
      </w:r>
      <w:r w:rsidRPr="002D4122">
        <w:rPr>
          <w:rFonts w:ascii="Palatino Linotype" w:eastAsia="Palatino Linotype" w:hAnsi="Palatino Linotype" w:cs="Palatino Linotype"/>
          <w:color w:val="000000" w:themeColor="text1"/>
        </w:rPr>
        <w:t xml:space="preserve">se puso a la vista del particular el </w:t>
      </w:r>
      <w:r w:rsidRPr="002D4122">
        <w:rPr>
          <w:rFonts w:ascii="Palatino Linotype" w:eastAsia="Palatino Linotype" w:hAnsi="Palatino Linotype" w:cs="Palatino Linotype"/>
          <w:b/>
          <w:color w:val="000000" w:themeColor="text1"/>
        </w:rPr>
        <w:t>siete de mayo de dos mil veinticinco</w:t>
      </w:r>
      <w:r w:rsidRPr="002D4122">
        <w:rPr>
          <w:rFonts w:ascii="Palatino Linotype" w:eastAsia="Palatino Linotype" w:hAnsi="Palatino Linotype" w:cs="Palatino Linotype"/>
          <w:color w:val="000000" w:themeColor="text1"/>
        </w:rPr>
        <w:t xml:space="preserve"> y consta de los archivos que se describen enseguida:</w:t>
      </w:r>
    </w:p>
    <w:p w:rsidR="0003185F" w:rsidRPr="002D4122" w:rsidRDefault="0003185F" w:rsidP="00C27A98">
      <w:pPr>
        <w:spacing w:line="360" w:lineRule="auto"/>
        <w:jc w:val="both"/>
        <w:rPr>
          <w:rFonts w:ascii="Palatino Linotype" w:eastAsia="Palatino Linotype" w:hAnsi="Palatino Linotype" w:cs="Palatino Linotype"/>
          <w:b/>
          <w:color w:val="000000" w:themeColor="text1"/>
        </w:rPr>
      </w:pPr>
    </w:p>
    <w:p w:rsidR="00530913" w:rsidRPr="002D4122" w:rsidRDefault="00530913" w:rsidP="00C27A98">
      <w:pPr>
        <w:spacing w:line="360" w:lineRule="auto"/>
        <w:jc w:val="both"/>
        <w:rPr>
          <w:rFonts w:ascii="Palatino Linotype" w:eastAsia="Palatino Linotype" w:hAnsi="Palatino Linotype" w:cs="Palatino Linotype"/>
          <w:b/>
          <w:color w:val="000000" w:themeColor="text1"/>
        </w:rPr>
      </w:pPr>
      <w:r w:rsidRPr="002D4122">
        <w:rPr>
          <w:rFonts w:ascii="Palatino Linotype" w:eastAsia="Palatino Linotype" w:hAnsi="Palatino Linotype" w:cs="Palatino Linotype"/>
          <w:b/>
          <w:color w:val="000000" w:themeColor="text1"/>
        </w:rPr>
        <w:t>04623/INFOEM/IP/RR/2025</w:t>
      </w:r>
      <w:r w:rsidR="0003185F" w:rsidRPr="002D4122">
        <w:rPr>
          <w:rFonts w:ascii="Palatino Linotype" w:eastAsia="Palatino Linotype" w:hAnsi="Palatino Linotype" w:cs="Palatino Linotype"/>
          <w:b/>
          <w:color w:val="000000" w:themeColor="text1"/>
        </w:rPr>
        <w:t xml:space="preserve">: </w:t>
      </w:r>
    </w:p>
    <w:p w:rsidR="0003185F" w:rsidRPr="002D4122" w:rsidRDefault="001A7A14" w:rsidP="00C27A98">
      <w:pPr>
        <w:pStyle w:val="Prrafodelista"/>
        <w:numPr>
          <w:ilvl w:val="0"/>
          <w:numId w:val="8"/>
        </w:numPr>
        <w:spacing w:line="360" w:lineRule="auto"/>
        <w:ind w:left="0"/>
        <w:jc w:val="both"/>
        <w:rPr>
          <w:rFonts w:ascii="Palatino Linotype" w:eastAsia="Palatino Linotype" w:hAnsi="Palatino Linotype" w:cs="Palatino Linotype"/>
          <w:b/>
          <w:color w:val="000000" w:themeColor="text1"/>
          <w:sz w:val="24"/>
        </w:rPr>
      </w:pPr>
      <w:hyperlink r:id="rId12" w:history="1">
        <w:r w:rsidR="00530913" w:rsidRPr="002D4122">
          <w:rPr>
            <w:rStyle w:val="Hipervnculo"/>
            <w:rFonts w:ascii="Palatino Linotype" w:eastAsia="Palatino Linotype" w:hAnsi="Palatino Linotype" w:cs="Palatino Linotype"/>
            <w:b/>
            <w:bCs/>
            <w:color w:val="000000" w:themeColor="text1"/>
            <w:sz w:val="24"/>
          </w:rPr>
          <w:t>INFORME JUSTIFICADO RECURSO 4623.pdf</w:t>
        </w:r>
      </w:hyperlink>
      <w:r w:rsidR="00530913" w:rsidRPr="002D4122">
        <w:rPr>
          <w:rFonts w:ascii="Palatino Linotype" w:eastAsia="Palatino Linotype" w:hAnsi="Palatino Linotype" w:cs="Palatino Linotype"/>
          <w:b/>
          <w:color w:val="000000" w:themeColor="text1"/>
          <w:sz w:val="24"/>
        </w:rPr>
        <w:t>:</w:t>
      </w:r>
      <w:r w:rsidR="00566FCA" w:rsidRPr="002D4122">
        <w:rPr>
          <w:rFonts w:ascii="Palatino Linotype" w:eastAsia="Palatino Linotype" w:hAnsi="Palatino Linotype" w:cs="Palatino Linotype"/>
          <w:b/>
          <w:color w:val="000000" w:themeColor="text1"/>
          <w:sz w:val="24"/>
        </w:rPr>
        <w:t xml:space="preserve"> </w:t>
      </w:r>
      <w:r w:rsidR="00566FCA" w:rsidRPr="002D4122">
        <w:rPr>
          <w:rFonts w:ascii="Palatino Linotype" w:eastAsia="Palatino Linotype" w:hAnsi="Palatino Linotype" w:cs="Palatino Linotype"/>
          <w:color w:val="000000" w:themeColor="text1"/>
          <w:sz w:val="24"/>
        </w:rPr>
        <w:t xml:space="preserve">oficio número PM/CUT/590/2025 de fecha dos de mayo de dos mil veinticinco, suscrito por la Coordinadora de Transparencia en el que, de forma </w:t>
      </w:r>
      <w:r w:rsidR="002715D0" w:rsidRPr="002D4122">
        <w:rPr>
          <w:rFonts w:ascii="Palatino Linotype" w:eastAsia="Palatino Linotype" w:hAnsi="Palatino Linotype" w:cs="Palatino Linotype"/>
          <w:color w:val="000000" w:themeColor="text1"/>
          <w:sz w:val="24"/>
        </w:rPr>
        <w:t>medular, ratificó su respuesta.</w:t>
      </w:r>
    </w:p>
    <w:p w:rsidR="0003185F" w:rsidRPr="002D4122" w:rsidRDefault="0003185F" w:rsidP="00C27A98">
      <w:pPr>
        <w:spacing w:line="360" w:lineRule="auto"/>
        <w:jc w:val="both"/>
        <w:rPr>
          <w:rFonts w:ascii="Palatino Linotype" w:eastAsia="Palatino Linotype" w:hAnsi="Palatino Linotype" w:cs="Palatino Linotype"/>
          <w:b/>
          <w:color w:val="000000" w:themeColor="text1"/>
        </w:rPr>
      </w:pPr>
    </w:p>
    <w:p w:rsidR="009A1205" w:rsidRPr="002D4122" w:rsidRDefault="009A1205" w:rsidP="00C27A98">
      <w:pPr>
        <w:spacing w:line="360" w:lineRule="auto"/>
        <w:jc w:val="both"/>
        <w:rPr>
          <w:rFonts w:ascii="Palatino Linotype" w:eastAsia="Palatino Linotype" w:hAnsi="Palatino Linotype" w:cs="Palatino Linotype"/>
          <w:b/>
          <w:color w:val="000000" w:themeColor="text1"/>
        </w:rPr>
      </w:pPr>
    </w:p>
    <w:p w:rsidR="009A1205" w:rsidRPr="002D4122" w:rsidRDefault="009A1205" w:rsidP="00C27A98">
      <w:pPr>
        <w:spacing w:line="360" w:lineRule="auto"/>
        <w:jc w:val="both"/>
        <w:rPr>
          <w:rFonts w:ascii="Palatino Linotype" w:eastAsia="Palatino Linotype" w:hAnsi="Palatino Linotype" w:cs="Palatino Linotype"/>
          <w:b/>
          <w:color w:val="000000" w:themeColor="text1"/>
        </w:rPr>
      </w:pPr>
    </w:p>
    <w:p w:rsidR="009A1205" w:rsidRPr="002D4122" w:rsidRDefault="009A1205" w:rsidP="00C27A98">
      <w:pPr>
        <w:spacing w:line="360" w:lineRule="auto"/>
        <w:jc w:val="both"/>
        <w:rPr>
          <w:rFonts w:ascii="Palatino Linotype" w:eastAsia="Palatino Linotype" w:hAnsi="Palatino Linotype" w:cs="Palatino Linotype"/>
          <w:b/>
          <w:color w:val="000000" w:themeColor="text1"/>
        </w:rPr>
      </w:pPr>
    </w:p>
    <w:p w:rsidR="00530913" w:rsidRPr="002D4122" w:rsidRDefault="00530913" w:rsidP="00C27A98">
      <w:pPr>
        <w:spacing w:line="360" w:lineRule="auto"/>
        <w:jc w:val="both"/>
        <w:rPr>
          <w:rFonts w:ascii="Palatino Linotype" w:eastAsia="Palatino Linotype" w:hAnsi="Palatino Linotype" w:cs="Palatino Linotype"/>
          <w:b/>
          <w:color w:val="000000" w:themeColor="text1"/>
        </w:rPr>
      </w:pPr>
      <w:r w:rsidRPr="002D4122">
        <w:rPr>
          <w:rFonts w:ascii="Palatino Linotype" w:eastAsia="Palatino Linotype" w:hAnsi="Palatino Linotype" w:cs="Palatino Linotype"/>
          <w:b/>
          <w:color w:val="000000" w:themeColor="text1"/>
        </w:rPr>
        <w:t>0462</w:t>
      </w:r>
      <w:r w:rsidR="00566FCA" w:rsidRPr="002D4122">
        <w:rPr>
          <w:rFonts w:ascii="Palatino Linotype" w:eastAsia="Palatino Linotype" w:hAnsi="Palatino Linotype" w:cs="Palatino Linotype"/>
          <w:b/>
          <w:color w:val="000000" w:themeColor="text1"/>
        </w:rPr>
        <w:t>4</w:t>
      </w:r>
      <w:r w:rsidRPr="002D4122">
        <w:rPr>
          <w:rFonts w:ascii="Palatino Linotype" w:eastAsia="Palatino Linotype" w:hAnsi="Palatino Linotype" w:cs="Palatino Linotype"/>
          <w:b/>
          <w:color w:val="000000" w:themeColor="text1"/>
        </w:rPr>
        <w:t xml:space="preserve">/INFOEM/IP/RR/2025: </w:t>
      </w:r>
    </w:p>
    <w:p w:rsidR="00530913" w:rsidRPr="002D4122" w:rsidRDefault="001A7A14" w:rsidP="00C27A98">
      <w:pPr>
        <w:pStyle w:val="Prrafodelista"/>
        <w:numPr>
          <w:ilvl w:val="0"/>
          <w:numId w:val="8"/>
        </w:numPr>
        <w:spacing w:line="360" w:lineRule="auto"/>
        <w:ind w:left="0"/>
        <w:jc w:val="both"/>
        <w:rPr>
          <w:rFonts w:ascii="Palatino Linotype" w:eastAsia="Palatino Linotype" w:hAnsi="Palatino Linotype" w:cs="Palatino Linotype"/>
          <w:b/>
          <w:color w:val="000000" w:themeColor="text1"/>
          <w:sz w:val="24"/>
        </w:rPr>
      </w:pPr>
      <w:hyperlink r:id="rId13" w:history="1">
        <w:r w:rsidR="002715D0" w:rsidRPr="002D4122">
          <w:rPr>
            <w:rStyle w:val="Hipervnculo"/>
            <w:rFonts w:ascii="Palatino Linotype" w:eastAsia="Palatino Linotype" w:hAnsi="Palatino Linotype" w:cs="Palatino Linotype"/>
            <w:b/>
            <w:bCs/>
            <w:color w:val="000000" w:themeColor="text1"/>
            <w:sz w:val="24"/>
          </w:rPr>
          <w:t>INFORME JUSTIFICADO RECURSO 4624</w:t>
        </w:r>
        <w:r w:rsidR="00530913" w:rsidRPr="002D4122">
          <w:rPr>
            <w:rStyle w:val="Hipervnculo"/>
            <w:rFonts w:ascii="Palatino Linotype" w:eastAsia="Palatino Linotype" w:hAnsi="Palatino Linotype" w:cs="Palatino Linotype"/>
            <w:b/>
            <w:bCs/>
            <w:color w:val="000000" w:themeColor="text1"/>
            <w:sz w:val="24"/>
          </w:rPr>
          <w:t>.pdf</w:t>
        </w:r>
      </w:hyperlink>
      <w:r w:rsidR="00530913" w:rsidRPr="002D4122">
        <w:rPr>
          <w:rFonts w:ascii="Palatino Linotype" w:eastAsia="Palatino Linotype" w:hAnsi="Palatino Linotype" w:cs="Palatino Linotype"/>
          <w:b/>
          <w:color w:val="000000" w:themeColor="text1"/>
          <w:sz w:val="24"/>
        </w:rPr>
        <w:t>:</w:t>
      </w:r>
      <w:r w:rsidR="002715D0" w:rsidRPr="002D4122">
        <w:rPr>
          <w:rFonts w:ascii="Palatino Linotype" w:eastAsia="Palatino Linotype" w:hAnsi="Palatino Linotype" w:cs="Palatino Linotype"/>
          <w:b/>
          <w:color w:val="000000" w:themeColor="text1"/>
          <w:sz w:val="24"/>
        </w:rPr>
        <w:t xml:space="preserve"> </w:t>
      </w:r>
      <w:r w:rsidR="002715D0" w:rsidRPr="002D4122">
        <w:rPr>
          <w:rFonts w:ascii="Palatino Linotype" w:eastAsia="Palatino Linotype" w:hAnsi="Palatino Linotype" w:cs="Palatino Linotype"/>
          <w:color w:val="000000" w:themeColor="text1"/>
          <w:sz w:val="24"/>
        </w:rPr>
        <w:t>oficio número PM/CUT/588/2025 de fecha dos de mayo de dos mil veinticinco, suscrito por la Coordinadora de Transparencia en el que, de forma medular, ratificó su respuesta.</w:t>
      </w:r>
    </w:p>
    <w:p w:rsidR="00530913" w:rsidRPr="002D4122" w:rsidRDefault="00530913" w:rsidP="00C27A98">
      <w:pPr>
        <w:spacing w:line="360" w:lineRule="auto"/>
        <w:jc w:val="both"/>
        <w:rPr>
          <w:rFonts w:ascii="Palatino Linotype" w:eastAsia="Palatino Linotype" w:hAnsi="Palatino Linotype" w:cs="Palatino Linotype"/>
          <w:b/>
          <w:color w:val="000000" w:themeColor="text1"/>
        </w:rPr>
      </w:pPr>
    </w:p>
    <w:p w:rsidR="00530913" w:rsidRPr="002D4122" w:rsidRDefault="00530913" w:rsidP="00C27A98">
      <w:pPr>
        <w:spacing w:line="360" w:lineRule="auto"/>
        <w:jc w:val="both"/>
        <w:rPr>
          <w:rFonts w:ascii="Palatino Linotype" w:eastAsia="Palatino Linotype" w:hAnsi="Palatino Linotype" w:cs="Palatino Linotype"/>
          <w:b/>
          <w:color w:val="000000" w:themeColor="text1"/>
        </w:rPr>
      </w:pPr>
      <w:r w:rsidRPr="002D4122">
        <w:rPr>
          <w:rFonts w:ascii="Palatino Linotype" w:eastAsia="Palatino Linotype" w:hAnsi="Palatino Linotype" w:cs="Palatino Linotype"/>
          <w:b/>
          <w:color w:val="000000" w:themeColor="text1"/>
        </w:rPr>
        <w:t>0462</w:t>
      </w:r>
      <w:r w:rsidR="00566FCA" w:rsidRPr="002D4122">
        <w:rPr>
          <w:rFonts w:ascii="Palatino Linotype" w:eastAsia="Palatino Linotype" w:hAnsi="Palatino Linotype" w:cs="Palatino Linotype"/>
          <w:b/>
          <w:color w:val="000000" w:themeColor="text1"/>
        </w:rPr>
        <w:t>5</w:t>
      </w:r>
      <w:r w:rsidRPr="002D4122">
        <w:rPr>
          <w:rFonts w:ascii="Palatino Linotype" w:eastAsia="Palatino Linotype" w:hAnsi="Palatino Linotype" w:cs="Palatino Linotype"/>
          <w:b/>
          <w:color w:val="000000" w:themeColor="text1"/>
        </w:rPr>
        <w:t xml:space="preserve">/INFOEM/IP/RR/2025: </w:t>
      </w:r>
    </w:p>
    <w:p w:rsidR="00530913" w:rsidRPr="002D4122" w:rsidRDefault="001A7A14" w:rsidP="00C27A98">
      <w:pPr>
        <w:pStyle w:val="Prrafodelista"/>
        <w:numPr>
          <w:ilvl w:val="0"/>
          <w:numId w:val="8"/>
        </w:numPr>
        <w:spacing w:line="360" w:lineRule="auto"/>
        <w:ind w:left="0"/>
        <w:jc w:val="both"/>
        <w:rPr>
          <w:rFonts w:ascii="Palatino Linotype" w:eastAsia="Palatino Linotype" w:hAnsi="Palatino Linotype" w:cs="Palatino Linotype"/>
          <w:b/>
          <w:color w:val="000000" w:themeColor="text1"/>
          <w:sz w:val="24"/>
        </w:rPr>
      </w:pPr>
      <w:hyperlink r:id="rId14" w:history="1">
        <w:r w:rsidR="002715D0" w:rsidRPr="002D4122">
          <w:rPr>
            <w:rStyle w:val="Hipervnculo"/>
            <w:rFonts w:ascii="Palatino Linotype" w:eastAsia="Palatino Linotype" w:hAnsi="Palatino Linotype" w:cs="Palatino Linotype"/>
            <w:b/>
            <w:bCs/>
            <w:color w:val="000000" w:themeColor="text1"/>
            <w:sz w:val="24"/>
          </w:rPr>
          <w:t>INFORME JUSTIFICADO RECURSO 4625</w:t>
        </w:r>
        <w:r w:rsidR="00530913" w:rsidRPr="002D4122">
          <w:rPr>
            <w:rStyle w:val="Hipervnculo"/>
            <w:rFonts w:ascii="Palatino Linotype" w:eastAsia="Palatino Linotype" w:hAnsi="Palatino Linotype" w:cs="Palatino Linotype"/>
            <w:b/>
            <w:bCs/>
            <w:color w:val="000000" w:themeColor="text1"/>
            <w:sz w:val="24"/>
          </w:rPr>
          <w:t>.pdf</w:t>
        </w:r>
      </w:hyperlink>
      <w:r w:rsidR="00530913" w:rsidRPr="002D4122">
        <w:rPr>
          <w:rFonts w:ascii="Palatino Linotype" w:eastAsia="Palatino Linotype" w:hAnsi="Palatino Linotype" w:cs="Palatino Linotype"/>
          <w:b/>
          <w:color w:val="000000" w:themeColor="text1"/>
          <w:sz w:val="24"/>
        </w:rPr>
        <w:t>:</w:t>
      </w:r>
      <w:r w:rsidR="002715D0" w:rsidRPr="002D4122">
        <w:rPr>
          <w:rFonts w:ascii="Palatino Linotype" w:eastAsia="Palatino Linotype" w:hAnsi="Palatino Linotype" w:cs="Palatino Linotype"/>
          <w:color w:val="000000" w:themeColor="text1"/>
          <w:sz w:val="24"/>
        </w:rPr>
        <w:t xml:space="preserve"> oficio número PM/CUT/589/2025 de fecha dos de mayo de dos mil veinticinco, suscrito por la Coordinadora de Transparencia en el que, de forma medular, ratificó su respuesta.</w:t>
      </w:r>
    </w:p>
    <w:p w:rsidR="00530913" w:rsidRPr="002D4122" w:rsidRDefault="00530913" w:rsidP="00C27A98">
      <w:pPr>
        <w:spacing w:line="360" w:lineRule="auto"/>
        <w:jc w:val="both"/>
        <w:rPr>
          <w:rFonts w:ascii="Palatino Linotype" w:eastAsia="Palatino Linotype" w:hAnsi="Palatino Linotype" w:cs="Palatino Linotype"/>
          <w:b/>
          <w:color w:val="000000" w:themeColor="text1"/>
        </w:rPr>
      </w:pPr>
    </w:p>
    <w:p w:rsidR="00530913" w:rsidRPr="002D4122" w:rsidRDefault="00530913" w:rsidP="00C27A98">
      <w:pPr>
        <w:spacing w:line="360" w:lineRule="auto"/>
        <w:jc w:val="both"/>
        <w:rPr>
          <w:rFonts w:ascii="Palatino Linotype" w:eastAsia="Palatino Linotype" w:hAnsi="Palatino Linotype" w:cs="Palatino Linotype"/>
          <w:b/>
          <w:color w:val="000000" w:themeColor="text1"/>
        </w:rPr>
      </w:pPr>
      <w:r w:rsidRPr="002D4122">
        <w:rPr>
          <w:rFonts w:ascii="Palatino Linotype" w:eastAsia="Palatino Linotype" w:hAnsi="Palatino Linotype" w:cs="Palatino Linotype"/>
          <w:b/>
          <w:color w:val="000000" w:themeColor="text1"/>
        </w:rPr>
        <w:t>0462</w:t>
      </w:r>
      <w:r w:rsidR="00566FCA" w:rsidRPr="002D4122">
        <w:rPr>
          <w:rFonts w:ascii="Palatino Linotype" w:eastAsia="Palatino Linotype" w:hAnsi="Palatino Linotype" w:cs="Palatino Linotype"/>
          <w:b/>
          <w:color w:val="000000" w:themeColor="text1"/>
        </w:rPr>
        <w:t>6</w:t>
      </w:r>
      <w:r w:rsidRPr="002D4122">
        <w:rPr>
          <w:rFonts w:ascii="Palatino Linotype" w:eastAsia="Palatino Linotype" w:hAnsi="Palatino Linotype" w:cs="Palatino Linotype"/>
          <w:b/>
          <w:color w:val="000000" w:themeColor="text1"/>
        </w:rPr>
        <w:t xml:space="preserve">/INFOEM/IP/RR/2025: </w:t>
      </w:r>
    </w:p>
    <w:p w:rsidR="00530913" w:rsidRPr="002D4122" w:rsidRDefault="001A7A14" w:rsidP="00C27A98">
      <w:pPr>
        <w:pStyle w:val="Prrafodelista"/>
        <w:numPr>
          <w:ilvl w:val="0"/>
          <w:numId w:val="8"/>
        </w:numPr>
        <w:spacing w:line="360" w:lineRule="auto"/>
        <w:ind w:left="0"/>
        <w:jc w:val="both"/>
        <w:rPr>
          <w:rFonts w:ascii="Palatino Linotype" w:eastAsia="Palatino Linotype" w:hAnsi="Palatino Linotype" w:cs="Palatino Linotype"/>
          <w:b/>
          <w:color w:val="000000" w:themeColor="text1"/>
          <w:sz w:val="24"/>
        </w:rPr>
      </w:pPr>
      <w:hyperlink r:id="rId15" w:history="1">
        <w:r w:rsidR="002715D0" w:rsidRPr="002D4122">
          <w:rPr>
            <w:rStyle w:val="Hipervnculo"/>
            <w:rFonts w:ascii="Palatino Linotype" w:eastAsia="Palatino Linotype" w:hAnsi="Palatino Linotype" w:cs="Palatino Linotype"/>
            <w:b/>
            <w:bCs/>
            <w:color w:val="000000" w:themeColor="text1"/>
            <w:sz w:val="24"/>
          </w:rPr>
          <w:t>INFORME JUSTIFICADO RECURSO 4626</w:t>
        </w:r>
        <w:r w:rsidR="00530913" w:rsidRPr="002D4122">
          <w:rPr>
            <w:rStyle w:val="Hipervnculo"/>
            <w:rFonts w:ascii="Palatino Linotype" w:eastAsia="Palatino Linotype" w:hAnsi="Palatino Linotype" w:cs="Palatino Linotype"/>
            <w:b/>
            <w:bCs/>
            <w:color w:val="000000" w:themeColor="text1"/>
            <w:sz w:val="24"/>
          </w:rPr>
          <w:t>.pdf</w:t>
        </w:r>
      </w:hyperlink>
      <w:r w:rsidR="00530913" w:rsidRPr="002D4122">
        <w:rPr>
          <w:rFonts w:ascii="Palatino Linotype" w:eastAsia="Palatino Linotype" w:hAnsi="Palatino Linotype" w:cs="Palatino Linotype"/>
          <w:b/>
          <w:color w:val="000000" w:themeColor="text1"/>
          <w:sz w:val="24"/>
        </w:rPr>
        <w:t>:</w:t>
      </w:r>
      <w:r w:rsidR="002715D0" w:rsidRPr="002D4122">
        <w:rPr>
          <w:rFonts w:ascii="Palatino Linotype" w:eastAsia="Palatino Linotype" w:hAnsi="Palatino Linotype" w:cs="Palatino Linotype"/>
          <w:b/>
          <w:color w:val="000000" w:themeColor="text1"/>
          <w:sz w:val="24"/>
        </w:rPr>
        <w:t xml:space="preserve"> </w:t>
      </w:r>
      <w:r w:rsidR="002715D0" w:rsidRPr="002D4122">
        <w:rPr>
          <w:rFonts w:ascii="Palatino Linotype" w:eastAsia="Palatino Linotype" w:hAnsi="Palatino Linotype" w:cs="Palatino Linotype"/>
          <w:color w:val="000000" w:themeColor="text1"/>
          <w:sz w:val="24"/>
        </w:rPr>
        <w:t>oficio número PM/CUT/591/2025 de fecha dos de mayo de dos mil veinticinco, suscrito por la Coordinadora de Transparencia en el que, de forma medular, ratificó su respuesta.</w:t>
      </w:r>
    </w:p>
    <w:p w:rsidR="00530913" w:rsidRPr="002D4122" w:rsidRDefault="00530913" w:rsidP="00C27A98">
      <w:pPr>
        <w:spacing w:line="360" w:lineRule="auto"/>
        <w:jc w:val="both"/>
        <w:rPr>
          <w:rFonts w:ascii="Palatino Linotype" w:eastAsia="Palatino Linotype" w:hAnsi="Palatino Linotype" w:cs="Palatino Linotype"/>
          <w:b/>
          <w:color w:val="000000" w:themeColor="text1"/>
        </w:rPr>
      </w:pPr>
    </w:p>
    <w:p w:rsidR="00530913" w:rsidRPr="002D4122" w:rsidRDefault="00530913" w:rsidP="00C27A98">
      <w:pPr>
        <w:spacing w:line="360" w:lineRule="auto"/>
        <w:jc w:val="both"/>
        <w:rPr>
          <w:rFonts w:ascii="Palatino Linotype" w:eastAsia="Palatino Linotype" w:hAnsi="Palatino Linotype" w:cs="Palatino Linotype"/>
          <w:b/>
          <w:color w:val="000000" w:themeColor="text1"/>
        </w:rPr>
      </w:pPr>
      <w:r w:rsidRPr="002D4122">
        <w:rPr>
          <w:rFonts w:ascii="Palatino Linotype" w:eastAsia="Palatino Linotype" w:hAnsi="Palatino Linotype" w:cs="Palatino Linotype"/>
          <w:b/>
          <w:color w:val="000000" w:themeColor="text1"/>
        </w:rPr>
        <w:t>0462</w:t>
      </w:r>
      <w:r w:rsidR="00566FCA" w:rsidRPr="002D4122">
        <w:rPr>
          <w:rFonts w:ascii="Palatino Linotype" w:eastAsia="Palatino Linotype" w:hAnsi="Palatino Linotype" w:cs="Palatino Linotype"/>
          <w:b/>
          <w:color w:val="000000" w:themeColor="text1"/>
        </w:rPr>
        <w:t>7</w:t>
      </w:r>
      <w:r w:rsidRPr="002D4122">
        <w:rPr>
          <w:rFonts w:ascii="Palatino Linotype" w:eastAsia="Palatino Linotype" w:hAnsi="Palatino Linotype" w:cs="Palatino Linotype"/>
          <w:b/>
          <w:color w:val="000000" w:themeColor="text1"/>
        </w:rPr>
        <w:t xml:space="preserve">/INFOEM/IP/RR/2025: </w:t>
      </w:r>
    </w:p>
    <w:p w:rsidR="00530913" w:rsidRPr="002D4122" w:rsidRDefault="001A7A14" w:rsidP="00C27A98">
      <w:pPr>
        <w:pStyle w:val="Prrafodelista"/>
        <w:numPr>
          <w:ilvl w:val="0"/>
          <w:numId w:val="8"/>
        </w:numPr>
        <w:spacing w:line="360" w:lineRule="auto"/>
        <w:ind w:left="0"/>
        <w:jc w:val="both"/>
        <w:rPr>
          <w:rFonts w:ascii="Palatino Linotype" w:eastAsia="Palatino Linotype" w:hAnsi="Palatino Linotype" w:cs="Palatino Linotype"/>
          <w:b/>
          <w:color w:val="000000" w:themeColor="text1"/>
          <w:sz w:val="24"/>
        </w:rPr>
      </w:pPr>
      <w:hyperlink r:id="rId16" w:history="1">
        <w:r w:rsidR="002715D0" w:rsidRPr="002D4122">
          <w:rPr>
            <w:rStyle w:val="Hipervnculo"/>
            <w:rFonts w:ascii="Palatino Linotype" w:eastAsia="Palatino Linotype" w:hAnsi="Palatino Linotype" w:cs="Palatino Linotype"/>
            <w:b/>
            <w:bCs/>
            <w:color w:val="000000" w:themeColor="text1"/>
            <w:sz w:val="24"/>
          </w:rPr>
          <w:t>INFORME JUSTIFICADO RECURSO 4627</w:t>
        </w:r>
        <w:r w:rsidR="00530913" w:rsidRPr="002D4122">
          <w:rPr>
            <w:rStyle w:val="Hipervnculo"/>
            <w:rFonts w:ascii="Palatino Linotype" w:eastAsia="Palatino Linotype" w:hAnsi="Palatino Linotype" w:cs="Palatino Linotype"/>
            <w:b/>
            <w:bCs/>
            <w:color w:val="000000" w:themeColor="text1"/>
            <w:sz w:val="24"/>
          </w:rPr>
          <w:t>.pdf</w:t>
        </w:r>
      </w:hyperlink>
      <w:r w:rsidR="00530913" w:rsidRPr="002D4122">
        <w:rPr>
          <w:rFonts w:ascii="Palatino Linotype" w:eastAsia="Palatino Linotype" w:hAnsi="Palatino Linotype" w:cs="Palatino Linotype"/>
          <w:b/>
          <w:color w:val="000000" w:themeColor="text1"/>
          <w:sz w:val="24"/>
        </w:rPr>
        <w:t>:</w:t>
      </w:r>
      <w:r w:rsidR="002715D0" w:rsidRPr="002D4122">
        <w:rPr>
          <w:rFonts w:ascii="Palatino Linotype" w:eastAsia="Palatino Linotype" w:hAnsi="Palatino Linotype" w:cs="Palatino Linotype"/>
          <w:b/>
          <w:color w:val="000000" w:themeColor="text1"/>
          <w:sz w:val="24"/>
        </w:rPr>
        <w:t xml:space="preserve"> </w:t>
      </w:r>
      <w:r w:rsidR="002715D0" w:rsidRPr="002D4122">
        <w:rPr>
          <w:rFonts w:ascii="Palatino Linotype" w:eastAsia="Palatino Linotype" w:hAnsi="Palatino Linotype" w:cs="Palatino Linotype"/>
          <w:color w:val="000000" w:themeColor="text1"/>
          <w:sz w:val="24"/>
        </w:rPr>
        <w:t>oficio número PM/CUT/592/2025 de fecha dos de mayo de dos mil veinticinco, suscrito por la Coordinadora de Transparencia en el que, de forma medular, ratificó su respuesta.</w:t>
      </w:r>
    </w:p>
    <w:p w:rsidR="0003185F" w:rsidRPr="002D4122" w:rsidRDefault="0003185F" w:rsidP="00C27A98">
      <w:pPr>
        <w:spacing w:line="360" w:lineRule="auto"/>
        <w:jc w:val="both"/>
        <w:rPr>
          <w:rFonts w:ascii="Palatino Linotype" w:eastAsia="Palatino Linotype" w:hAnsi="Palatino Linotype" w:cs="Palatino Linotype"/>
          <w:b/>
          <w:color w:val="000000" w:themeColor="text1"/>
        </w:rPr>
      </w:pPr>
      <w:bookmarkStart w:id="1" w:name="_heading=h.1fob9te" w:colFirst="0" w:colLast="0"/>
      <w:bookmarkEnd w:id="1"/>
    </w:p>
    <w:p w:rsidR="0003185F" w:rsidRPr="002D4122" w:rsidRDefault="0003185F" w:rsidP="00C27A98">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2D4122">
        <w:rPr>
          <w:rFonts w:ascii="Palatino Linotype" w:eastAsia="Palatino Linotype" w:hAnsi="Palatino Linotype" w:cs="Palatino Linotype"/>
          <w:color w:val="000000" w:themeColor="text1"/>
        </w:rPr>
        <w:t>La Comisionada Ponente decretó el cierre de instrucción mediante el acuerdo del</w:t>
      </w:r>
      <w:r w:rsidRPr="002D4122">
        <w:rPr>
          <w:rFonts w:ascii="Palatino Linotype" w:eastAsia="Palatino Linotype" w:hAnsi="Palatino Linotype" w:cs="Palatino Linotype"/>
          <w:b/>
          <w:color w:val="000000" w:themeColor="text1"/>
        </w:rPr>
        <w:t xml:space="preserve"> </w:t>
      </w:r>
      <w:r w:rsidR="002715D0" w:rsidRPr="002D4122">
        <w:rPr>
          <w:rFonts w:ascii="Palatino Linotype" w:eastAsia="Palatino Linotype" w:hAnsi="Palatino Linotype" w:cs="Palatino Linotype"/>
          <w:b/>
          <w:color w:val="000000" w:themeColor="text1"/>
        </w:rPr>
        <w:t>trece de mayo</w:t>
      </w:r>
      <w:r w:rsidRPr="002D4122">
        <w:rPr>
          <w:rFonts w:ascii="Palatino Linotype" w:eastAsia="Palatino Linotype" w:hAnsi="Palatino Linotype" w:cs="Palatino Linotype"/>
          <w:b/>
          <w:color w:val="000000" w:themeColor="text1"/>
        </w:rPr>
        <w:t xml:space="preserve"> de dos mil veinticinco</w:t>
      </w:r>
      <w:r w:rsidRPr="002D4122">
        <w:rPr>
          <w:rFonts w:ascii="Palatino Linotype" w:eastAsia="Palatino Linotype" w:hAnsi="Palatino Linotype" w:cs="Palatino Linotype"/>
          <w:color w:val="000000" w:themeColor="text1"/>
        </w:rPr>
        <w:t>.---------------------------------------------------------------</w:t>
      </w:r>
      <w:r w:rsidR="002715D0" w:rsidRPr="002D4122">
        <w:rPr>
          <w:rFonts w:ascii="Palatino Linotype" w:eastAsia="Palatino Linotype" w:hAnsi="Palatino Linotype" w:cs="Palatino Linotype"/>
          <w:color w:val="000000" w:themeColor="text1"/>
        </w:rPr>
        <w:t>---</w:t>
      </w:r>
    </w:p>
    <w:p w:rsidR="0003185F" w:rsidRPr="002D4122" w:rsidRDefault="0003185F" w:rsidP="00C27A98">
      <w:pPr>
        <w:spacing w:line="360" w:lineRule="auto"/>
        <w:jc w:val="both"/>
        <w:rPr>
          <w:rFonts w:ascii="Palatino Linotype" w:eastAsia="Palatino Linotype" w:hAnsi="Palatino Linotype" w:cs="Palatino Linotype"/>
          <w:b/>
          <w:color w:val="000000" w:themeColor="text1"/>
        </w:rPr>
      </w:pPr>
    </w:p>
    <w:p w:rsidR="0003185F" w:rsidRPr="002D4122" w:rsidRDefault="0003185F" w:rsidP="00C27A98">
      <w:pPr>
        <w:keepNext/>
        <w:keepLines/>
        <w:spacing w:line="360" w:lineRule="auto"/>
        <w:jc w:val="center"/>
        <w:rPr>
          <w:rFonts w:ascii="Palatino Linotype" w:eastAsia="Palatino Linotype" w:hAnsi="Palatino Linotype" w:cs="Palatino Linotype"/>
          <w:color w:val="000000" w:themeColor="text1"/>
        </w:rPr>
      </w:pPr>
      <w:r w:rsidRPr="002D4122">
        <w:rPr>
          <w:rFonts w:ascii="Palatino Linotype" w:eastAsia="Palatino Linotype" w:hAnsi="Palatino Linotype" w:cs="Palatino Linotype"/>
          <w:b/>
          <w:color w:val="000000" w:themeColor="text1"/>
        </w:rPr>
        <w:lastRenderedPageBreak/>
        <w:t xml:space="preserve">C O N S I D E R A N D O </w:t>
      </w:r>
    </w:p>
    <w:p w:rsidR="0003185F" w:rsidRPr="002D4122" w:rsidRDefault="0003185F" w:rsidP="00C27A98">
      <w:pPr>
        <w:spacing w:line="360" w:lineRule="auto"/>
        <w:rPr>
          <w:rFonts w:ascii="Palatino Linotype" w:eastAsia="Palatino Linotype" w:hAnsi="Palatino Linotype" w:cs="Palatino Linotype"/>
          <w:color w:val="000000" w:themeColor="text1"/>
        </w:rPr>
      </w:pPr>
    </w:p>
    <w:p w:rsidR="0003185F" w:rsidRPr="002D4122" w:rsidRDefault="0003185F" w:rsidP="00C27A98">
      <w:pPr>
        <w:keepNext/>
        <w:keepLines/>
        <w:spacing w:line="360" w:lineRule="auto"/>
        <w:rPr>
          <w:rFonts w:ascii="Palatino Linotype" w:eastAsia="Palatino Linotype" w:hAnsi="Palatino Linotype" w:cs="Palatino Linotype"/>
          <w:b/>
          <w:color w:val="000000" w:themeColor="text1"/>
        </w:rPr>
      </w:pPr>
      <w:bookmarkStart w:id="2" w:name="_heading=h.3znysh7" w:colFirst="0" w:colLast="0"/>
      <w:bookmarkEnd w:id="2"/>
      <w:r w:rsidRPr="002D4122">
        <w:rPr>
          <w:rFonts w:ascii="Palatino Linotype" w:eastAsia="Palatino Linotype" w:hAnsi="Palatino Linotype" w:cs="Palatino Linotype"/>
          <w:b/>
          <w:color w:val="000000" w:themeColor="text1"/>
        </w:rPr>
        <w:t>PRIMERO. De la competencia.</w:t>
      </w:r>
    </w:p>
    <w:p w:rsidR="002715D0" w:rsidRPr="002D4122" w:rsidRDefault="002715D0" w:rsidP="00C27A98">
      <w:pPr>
        <w:keepNext/>
        <w:keepLines/>
        <w:spacing w:line="360" w:lineRule="auto"/>
        <w:rPr>
          <w:rFonts w:ascii="Palatino Linotype" w:eastAsia="Palatino Linotype" w:hAnsi="Palatino Linotype" w:cs="Palatino Linotype"/>
          <w:b/>
          <w:color w:val="000000" w:themeColor="text1"/>
        </w:rPr>
      </w:pPr>
    </w:p>
    <w:p w:rsidR="002715D0" w:rsidRPr="002D4122" w:rsidRDefault="002715D0" w:rsidP="00C27A98">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sz w:val="24"/>
        </w:rPr>
      </w:pPr>
      <w:r w:rsidRPr="002D4122">
        <w:rPr>
          <w:rFonts w:ascii="Palatino Linotype" w:eastAsia="Palatino Linotype" w:hAnsi="Palatino Linotype" w:cs="Palatino Linotype"/>
          <w:color w:val="000000" w:themeColor="text1"/>
          <w:sz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D4122">
        <w:rPr>
          <w:rFonts w:ascii="Palatino Linotype" w:eastAsia="Palatino Linotype" w:hAnsi="Palatino Linotype" w:cs="Palatino Linotype"/>
          <w:b/>
          <w:color w:val="000000" w:themeColor="text1"/>
          <w:sz w:val="24"/>
        </w:rPr>
        <w:t>Constitución Política de los Estados Unidos Mexicanos</w:t>
      </w:r>
      <w:r w:rsidRPr="002D4122">
        <w:rPr>
          <w:rFonts w:ascii="Palatino Linotype" w:eastAsia="Palatino Linotype" w:hAnsi="Palatino Linotype" w:cs="Palatino Linotype"/>
          <w:color w:val="000000" w:themeColor="text1"/>
          <w:sz w:val="24"/>
        </w:rPr>
        <w:t xml:space="preserve">; 5, párrafos trigésimo séptimo, trigésimo octavo y trigésimo noveno, fracciones IV y V, de la </w:t>
      </w:r>
      <w:r w:rsidRPr="002D4122">
        <w:rPr>
          <w:rFonts w:ascii="Palatino Linotype" w:eastAsia="Palatino Linotype" w:hAnsi="Palatino Linotype" w:cs="Palatino Linotype"/>
          <w:b/>
          <w:color w:val="000000" w:themeColor="text1"/>
          <w:sz w:val="24"/>
        </w:rPr>
        <w:t>Constitución Política del Estado Libre y Soberano de México</w:t>
      </w:r>
      <w:r w:rsidRPr="002D4122">
        <w:rPr>
          <w:rFonts w:ascii="Palatino Linotype" w:eastAsia="Palatino Linotype" w:hAnsi="Palatino Linotype" w:cs="Palatino Linotype"/>
          <w:color w:val="000000" w:themeColor="text1"/>
          <w:sz w:val="24"/>
        </w:rPr>
        <w:t xml:space="preserve">; artículos 1, 2 fracción II, 13, 29, 36 fracciones I y II, 176, 178, 179, 181 párrafo tercero y 185 de la </w:t>
      </w:r>
      <w:r w:rsidRPr="002D4122">
        <w:rPr>
          <w:rFonts w:ascii="Palatino Linotype" w:eastAsia="Palatino Linotype" w:hAnsi="Palatino Linotype" w:cs="Palatino Linotype"/>
          <w:b/>
          <w:color w:val="000000" w:themeColor="text1"/>
          <w:sz w:val="24"/>
        </w:rPr>
        <w:t>Ley de Transparencia y Acceso a la Información Pública del Estado de México y Municipios</w:t>
      </w:r>
      <w:r w:rsidRPr="002D4122">
        <w:rPr>
          <w:rFonts w:ascii="Palatino Linotype" w:eastAsia="Palatino Linotype" w:hAnsi="Palatino Linotype" w:cs="Palatino Linotype"/>
          <w:color w:val="000000" w:themeColor="text1"/>
          <w:sz w:val="24"/>
        </w:rPr>
        <w:t xml:space="preserve">; y 7, 9 fracciones I y XXIII, y 11 del </w:t>
      </w:r>
      <w:r w:rsidRPr="002D4122">
        <w:rPr>
          <w:rFonts w:ascii="Palatino Linotype" w:eastAsia="Palatino Linotype" w:hAnsi="Palatino Linotype" w:cs="Palatino Linotype"/>
          <w:b/>
          <w:color w:val="000000" w:themeColor="text1"/>
          <w:sz w:val="24"/>
        </w:rPr>
        <w:t>Reglamento Interior del Instituto de Transparencia, Acceso a la Información Pública y Protección de Datos Personales del Estado de México y Municipios.</w:t>
      </w:r>
    </w:p>
    <w:p w:rsidR="002715D0" w:rsidRPr="002D4122" w:rsidRDefault="002715D0" w:rsidP="00C27A98">
      <w:pPr>
        <w:spacing w:line="360" w:lineRule="auto"/>
        <w:jc w:val="both"/>
        <w:rPr>
          <w:rFonts w:ascii="Palatino Linotype" w:hAnsi="Palatino Linotype"/>
          <w:color w:val="000000" w:themeColor="text1"/>
        </w:rPr>
      </w:pPr>
    </w:p>
    <w:p w:rsidR="0003185F" w:rsidRPr="002D4122" w:rsidRDefault="0003185F" w:rsidP="00C27A98">
      <w:pPr>
        <w:keepNext/>
        <w:keepLines/>
        <w:spacing w:line="360" w:lineRule="auto"/>
        <w:rPr>
          <w:rFonts w:ascii="Palatino Linotype" w:eastAsia="Palatino Linotype" w:hAnsi="Palatino Linotype" w:cs="Palatino Linotype"/>
          <w:b/>
          <w:color w:val="000000" w:themeColor="text1"/>
        </w:rPr>
      </w:pPr>
      <w:bookmarkStart w:id="3" w:name="_heading=h.2et92p0" w:colFirst="0" w:colLast="0"/>
      <w:bookmarkEnd w:id="3"/>
      <w:r w:rsidRPr="002D4122">
        <w:rPr>
          <w:rFonts w:ascii="Palatino Linotype" w:eastAsia="Palatino Linotype" w:hAnsi="Palatino Linotype" w:cs="Palatino Linotype"/>
          <w:b/>
          <w:color w:val="000000" w:themeColor="text1"/>
        </w:rPr>
        <w:t>SEGUNDO. De la oportunidad y procedencia.</w:t>
      </w:r>
    </w:p>
    <w:p w:rsidR="002715D0" w:rsidRPr="002D4122" w:rsidRDefault="002715D0" w:rsidP="00C27A98">
      <w:pPr>
        <w:keepNext/>
        <w:keepLines/>
        <w:spacing w:line="360" w:lineRule="auto"/>
        <w:rPr>
          <w:rFonts w:ascii="Palatino Linotype" w:eastAsia="Palatino Linotype" w:hAnsi="Palatino Linotype" w:cs="Palatino Linotype"/>
          <w:b/>
          <w:color w:val="000000" w:themeColor="text1"/>
        </w:rPr>
      </w:pPr>
    </w:p>
    <w:p w:rsidR="0003185F" w:rsidRPr="002D4122" w:rsidRDefault="0003185F" w:rsidP="00C27A98">
      <w:pPr>
        <w:pStyle w:val="Prrafodelista"/>
        <w:numPr>
          <w:ilvl w:val="0"/>
          <w:numId w:val="1"/>
        </w:numPr>
        <w:spacing w:line="360" w:lineRule="auto"/>
        <w:ind w:left="0" w:firstLine="0"/>
        <w:jc w:val="both"/>
        <w:rPr>
          <w:rFonts w:ascii="Palatino Linotype" w:hAnsi="Palatino Linotype"/>
          <w:color w:val="000000" w:themeColor="text1"/>
          <w:sz w:val="24"/>
        </w:rPr>
      </w:pPr>
      <w:r w:rsidRPr="002D4122">
        <w:rPr>
          <w:rFonts w:ascii="Palatino Linotype" w:eastAsia="Palatino Linotype" w:hAnsi="Palatino Linotype" w:cs="Palatino Linotype"/>
          <w:color w:val="000000" w:themeColor="text1"/>
          <w:sz w:val="24"/>
        </w:rPr>
        <w:t xml:space="preserve">El medio de impugnación fue presentado a través del </w:t>
      </w:r>
      <w:r w:rsidRPr="002D4122">
        <w:rPr>
          <w:rFonts w:ascii="Palatino Linotype" w:eastAsia="Palatino Linotype" w:hAnsi="Palatino Linotype" w:cs="Palatino Linotype"/>
          <w:b/>
          <w:color w:val="000000" w:themeColor="text1"/>
          <w:sz w:val="24"/>
        </w:rPr>
        <w:t>SAIMEX,</w:t>
      </w:r>
      <w:r w:rsidRPr="002D4122">
        <w:rPr>
          <w:rFonts w:ascii="Palatino Linotype" w:eastAsia="Palatino Linotype" w:hAnsi="Palatino Linotype" w:cs="Palatino Linotype"/>
          <w:color w:val="000000" w:themeColor="text1"/>
          <w:sz w:val="24"/>
        </w:rPr>
        <w:t xml:space="preserve"> en el formato previamente aprobado para tal efecto y dentro del plazo legal de quince días hábiles otorgados; siendo así que el </w:t>
      </w:r>
      <w:r w:rsidRPr="002D4122">
        <w:rPr>
          <w:rFonts w:ascii="Palatino Linotype" w:eastAsia="Palatino Linotype" w:hAnsi="Palatino Linotype" w:cs="Palatino Linotype"/>
          <w:b/>
          <w:color w:val="000000" w:themeColor="text1"/>
          <w:sz w:val="24"/>
        </w:rPr>
        <w:t>SUJETO OBLIGADO</w:t>
      </w:r>
      <w:r w:rsidR="00782FFF" w:rsidRPr="002D4122">
        <w:rPr>
          <w:rFonts w:ascii="Palatino Linotype" w:eastAsia="Palatino Linotype" w:hAnsi="Palatino Linotype" w:cs="Palatino Linotype"/>
          <w:color w:val="000000" w:themeColor="text1"/>
          <w:sz w:val="24"/>
        </w:rPr>
        <w:t xml:space="preserve"> entregó respuesta en </w:t>
      </w:r>
      <w:r w:rsidRPr="002D4122">
        <w:rPr>
          <w:rFonts w:ascii="Palatino Linotype" w:eastAsia="Palatino Linotype" w:hAnsi="Palatino Linotype" w:cs="Palatino Linotype"/>
          <w:color w:val="000000" w:themeColor="text1"/>
          <w:sz w:val="24"/>
        </w:rPr>
        <w:t>l</w:t>
      </w:r>
      <w:r w:rsidR="00782FFF" w:rsidRPr="002D4122">
        <w:rPr>
          <w:rFonts w:ascii="Palatino Linotype" w:eastAsia="Palatino Linotype" w:hAnsi="Palatino Linotype" w:cs="Palatino Linotype"/>
          <w:color w:val="000000" w:themeColor="text1"/>
          <w:sz w:val="24"/>
        </w:rPr>
        <w:t>os</w:t>
      </w:r>
      <w:r w:rsidRPr="002D4122">
        <w:rPr>
          <w:rFonts w:ascii="Palatino Linotype" w:eastAsia="Palatino Linotype" w:hAnsi="Palatino Linotype" w:cs="Palatino Linotype"/>
          <w:color w:val="000000" w:themeColor="text1"/>
          <w:sz w:val="24"/>
        </w:rPr>
        <w:t xml:space="preserve"> recurso</w:t>
      </w:r>
      <w:r w:rsidR="00782FFF" w:rsidRPr="002D4122">
        <w:rPr>
          <w:rFonts w:ascii="Palatino Linotype" w:eastAsia="Palatino Linotype" w:hAnsi="Palatino Linotype" w:cs="Palatino Linotype"/>
          <w:color w:val="000000" w:themeColor="text1"/>
          <w:sz w:val="24"/>
        </w:rPr>
        <w:t>s</w:t>
      </w:r>
      <w:r w:rsidRPr="002D4122">
        <w:rPr>
          <w:rFonts w:ascii="Palatino Linotype" w:eastAsia="Palatino Linotype" w:hAnsi="Palatino Linotype" w:cs="Palatino Linotype"/>
          <w:color w:val="000000" w:themeColor="text1"/>
          <w:sz w:val="24"/>
        </w:rPr>
        <w:t xml:space="preserve"> de revisión </w:t>
      </w:r>
      <w:r w:rsidR="00782FFF" w:rsidRPr="002D4122">
        <w:rPr>
          <w:rFonts w:ascii="Palatino Linotype" w:eastAsia="Palatino Linotype" w:hAnsi="Palatino Linotype" w:cs="Palatino Linotype"/>
          <w:b/>
          <w:color w:val="000000" w:themeColor="text1"/>
          <w:sz w:val="24"/>
        </w:rPr>
        <w:t>04623/INFOEM/IP/RR/2025, 04624/INFOEM/IP/RR/2025, 04625/INFOEM/IP/RR/2025, 04626/INFOEM/IP/RR/2025  y 04627/INFOEM/IP/RR/2025</w:t>
      </w:r>
      <w:r w:rsidRPr="002D4122">
        <w:rPr>
          <w:rFonts w:ascii="Palatino Linotype" w:eastAsia="Palatino Linotype" w:hAnsi="Palatino Linotype" w:cs="Palatino Linotype"/>
          <w:color w:val="000000" w:themeColor="text1"/>
          <w:sz w:val="24"/>
        </w:rPr>
        <w:t xml:space="preserve"> </w:t>
      </w:r>
      <w:r w:rsidRPr="002D4122">
        <w:rPr>
          <w:rFonts w:ascii="Palatino Linotype" w:eastAsia="Palatino Linotype" w:hAnsi="Palatino Linotype" w:cs="Palatino Linotype"/>
          <w:color w:val="000000" w:themeColor="text1"/>
          <w:sz w:val="24"/>
        </w:rPr>
        <w:lastRenderedPageBreak/>
        <w:t xml:space="preserve">el </w:t>
      </w:r>
      <w:r w:rsidR="00200BE6" w:rsidRPr="002D4122">
        <w:rPr>
          <w:rFonts w:ascii="Palatino Linotype" w:eastAsia="Palatino Linotype" w:hAnsi="Palatino Linotype" w:cs="Palatino Linotype"/>
          <w:b/>
          <w:color w:val="000000" w:themeColor="text1"/>
          <w:sz w:val="24"/>
        </w:rPr>
        <w:t>veintiuno de abril de dos mil veinticinco</w:t>
      </w:r>
      <w:r w:rsidRPr="002D4122">
        <w:rPr>
          <w:rFonts w:ascii="Palatino Linotype" w:eastAsia="Palatino Linotype" w:hAnsi="Palatino Linotype" w:cs="Palatino Linotype"/>
          <w:color w:val="000000" w:themeColor="text1"/>
          <w:sz w:val="24"/>
        </w:rPr>
        <w:t xml:space="preserve">, de tal forma que el plazo para interponer el recurso de revisión transcurrió del </w:t>
      </w:r>
      <w:r w:rsidR="00200BE6" w:rsidRPr="002D4122">
        <w:rPr>
          <w:rFonts w:ascii="Palatino Linotype" w:eastAsia="Palatino Linotype" w:hAnsi="Palatino Linotype" w:cs="Palatino Linotype"/>
          <w:b/>
          <w:color w:val="000000" w:themeColor="text1"/>
          <w:sz w:val="24"/>
        </w:rPr>
        <w:t>veintidós de abril al catorce de mayo de dos mil veinticinco</w:t>
      </w:r>
      <w:r w:rsidRPr="002D4122">
        <w:rPr>
          <w:rFonts w:ascii="Palatino Linotype" w:eastAsia="Palatino Linotype" w:hAnsi="Palatino Linotype" w:cs="Palatino Linotype"/>
          <w:b/>
          <w:color w:val="000000" w:themeColor="text1"/>
          <w:sz w:val="24"/>
        </w:rPr>
        <w:t xml:space="preserve">, </w:t>
      </w:r>
      <w:r w:rsidRPr="002D4122">
        <w:rPr>
          <w:rFonts w:ascii="Palatino Linotype" w:eastAsia="Palatino Linotype" w:hAnsi="Palatino Linotype" w:cs="Palatino Linotype"/>
          <w:color w:val="000000" w:themeColor="text1"/>
          <w:sz w:val="24"/>
        </w:rPr>
        <w:t xml:space="preserve">en consecuencia, presentó su inconformidad el </w:t>
      </w:r>
      <w:r w:rsidR="00200BE6" w:rsidRPr="002D4122">
        <w:rPr>
          <w:rFonts w:ascii="Palatino Linotype" w:eastAsia="Palatino Linotype" w:hAnsi="Palatino Linotype" w:cs="Palatino Linotype"/>
          <w:b/>
          <w:color w:val="000000" w:themeColor="text1"/>
          <w:sz w:val="24"/>
        </w:rPr>
        <w:t>veintitrés de abril de dos mil veinticinco</w:t>
      </w:r>
      <w:r w:rsidRPr="002D4122">
        <w:rPr>
          <w:rFonts w:ascii="Palatino Linotype" w:eastAsia="Palatino Linotype" w:hAnsi="Palatino Linotype" w:cs="Palatino Linotype"/>
          <w:color w:val="000000" w:themeColor="text1"/>
          <w:sz w:val="24"/>
        </w:rPr>
        <w:t xml:space="preserve">, por lo que, </w:t>
      </w:r>
      <w:r w:rsidR="00782FFF" w:rsidRPr="002D4122">
        <w:rPr>
          <w:rFonts w:ascii="Palatino Linotype" w:eastAsia="Palatino Linotype" w:hAnsi="Palatino Linotype" w:cs="Palatino Linotype"/>
          <w:color w:val="000000" w:themeColor="text1"/>
          <w:sz w:val="24"/>
        </w:rPr>
        <w:t xml:space="preserve">dichos </w:t>
      </w:r>
      <w:r w:rsidRPr="002D4122">
        <w:rPr>
          <w:rFonts w:ascii="Palatino Linotype" w:eastAsia="Palatino Linotype" w:hAnsi="Palatino Linotype" w:cs="Palatino Linotype"/>
          <w:color w:val="000000" w:themeColor="text1"/>
          <w:sz w:val="24"/>
        </w:rPr>
        <w:t>recurso</w:t>
      </w:r>
      <w:r w:rsidR="00782FFF" w:rsidRPr="002D4122">
        <w:rPr>
          <w:rFonts w:ascii="Palatino Linotype" w:eastAsia="Palatino Linotype" w:hAnsi="Palatino Linotype" w:cs="Palatino Linotype"/>
          <w:color w:val="000000" w:themeColor="text1"/>
          <w:sz w:val="24"/>
        </w:rPr>
        <w:t>s</w:t>
      </w:r>
      <w:r w:rsidRPr="002D4122">
        <w:rPr>
          <w:rFonts w:ascii="Palatino Linotype" w:eastAsia="Palatino Linotype" w:hAnsi="Palatino Linotype" w:cs="Palatino Linotype"/>
          <w:color w:val="000000" w:themeColor="text1"/>
          <w:sz w:val="24"/>
        </w:rPr>
        <w:t xml:space="preserve"> de revisión se encuentra dentro de los márgenes temporales previstos en el artículo 178 de la </w:t>
      </w:r>
      <w:r w:rsidRPr="002D4122">
        <w:rPr>
          <w:rFonts w:ascii="Palatino Linotype" w:eastAsia="Palatino Linotype" w:hAnsi="Palatino Linotype" w:cs="Palatino Linotype"/>
          <w:b/>
          <w:color w:val="000000" w:themeColor="text1"/>
          <w:sz w:val="24"/>
        </w:rPr>
        <w:t xml:space="preserve">Ley de Transparencia y Acceso a la Información Pública del Estado de México y Municipios </w:t>
      </w:r>
      <w:r w:rsidRPr="002D4122">
        <w:rPr>
          <w:rFonts w:ascii="Palatino Linotype" w:eastAsia="Palatino Linotype" w:hAnsi="Palatino Linotype" w:cs="Palatino Linotype"/>
          <w:color w:val="000000" w:themeColor="text1"/>
          <w:sz w:val="24"/>
        </w:rPr>
        <w:t>vigente.</w:t>
      </w:r>
    </w:p>
    <w:p w:rsidR="0003185F" w:rsidRPr="002D4122" w:rsidRDefault="0003185F" w:rsidP="00C27A98">
      <w:pPr>
        <w:spacing w:line="360" w:lineRule="auto"/>
        <w:jc w:val="both"/>
        <w:rPr>
          <w:rFonts w:ascii="Palatino Linotype" w:eastAsia="Palatino Linotype" w:hAnsi="Palatino Linotype" w:cs="Palatino Linotype"/>
          <w:color w:val="000000" w:themeColor="text1"/>
        </w:rPr>
      </w:pPr>
    </w:p>
    <w:p w:rsidR="0003185F" w:rsidRPr="002D4122" w:rsidRDefault="0003185F" w:rsidP="00C27A98">
      <w:pPr>
        <w:numPr>
          <w:ilvl w:val="0"/>
          <w:numId w:val="1"/>
        </w:numPr>
        <w:spacing w:line="360" w:lineRule="auto"/>
        <w:ind w:left="0" w:firstLine="0"/>
        <w:jc w:val="both"/>
        <w:rPr>
          <w:rFonts w:ascii="Palatino Linotype" w:hAnsi="Palatino Linotype"/>
          <w:color w:val="000000" w:themeColor="text1"/>
        </w:rPr>
      </w:pPr>
      <w:bookmarkStart w:id="4" w:name="_heading=h.3dy6vkm" w:colFirst="0" w:colLast="0"/>
      <w:bookmarkEnd w:id="4"/>
      <w:r w:rsidRPr="002D4122">
        <w:rPr>
          <w:rFonts w:ascii="Palatino Linotype" w:eastAsia="Palatino Linotype" w:hAnsi="Palatino Linotype" w:cs="Palatino Linotype"/>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r w:rsidRPr="002D4122">
        <w:rPr>
          <w:rFonts w:ascii="Palatino Linotype" w:hAnsi="Palatino Linotype"/>
          <w:color w:val="000000" w:themeColor="text1"/>
        </w:rPr>
        <w:t>.</w:t>
      </w:r>
    </w:p>
    <w:p w:rsidR="0003185F" w:rsidRPr="002D4122" w:rsidRDefault="0003185F" w:rsidP="00C27A98">
      <w:pPr>
        <w:spacing w:line="360" w:lineRule="auto"/>
        <w:jc w:val="both"/>
        <w:rPr>
          <w:rFonts w:ascii="Palatino Linotype" w:hAnsi="Palatino Linotype"/>
          <w:color w:val="000000" w:themeColor="text1"/>
        </w:rPr>
      </w:pPr>
    </w:p>
    <w:p w:rsidR="0003185F" w:rsidRPr="002D4122" w:rsidRDefault="0003185F" w:rsidP="00C27A98">
      <w:pPr>
        <w:spacing w:line="360" w:lineRule="auto"/>
        <w:jc w:val="both"/>
        <w:rPr>
          <w:rFonts w:ascii="Palatino Linotype" w:eastAsia="Palatino Linotype" w:hAnsi="Palatino Linotype" w:cs="Palatino Linotype"/>
          <w:b/>
          <w:color w:val="000000" w:themeColor="text1"/>
        </w:rPr>
      </w:pPr>
      <w:r w:rsidRPr="002D4122">
        <w:rPr>
          <w:rFonts w:ascii="Palatino Linotype" w:eastAsia="Palatino Linotype" w:hAnsi="Palatino Linotype" w:cs="Palatino Linotype"/>
          <w:b/>
          <w:color w:val="000000" w:themeColor="text1"/>
        </w:rPr>
        <w:t>TERCERO. Planteamiento de la Litis.</w:t>
      </w:r>
    </w:p>
    <w:p w:rsidR="00200BE6" w:rsidRPr="002D4122" w:rsidRDefault="00200BE6" w:rsidP="00C27A98">
      <w:pPr>
        <w:spacing w:line="360" w:lineRule="auto"/>
        <w:jc w:val="both"/>
        <w:rPr>
          <w:rFonts w:ascii="Palatino Linotype" w:eastAsia="Palatino Linotype" w:hAnsi="Palatino Linotype" w:cs="Palatino Linotype"/>
          <w:b/>
          <w:color w:val="000000" w:themeColor="text1"/>
        </w:rPr>
      </w:pPr>
    </w:p>
    <w:p w:rsidR="0003185F" w:rsidRPr="002D4122" w:rsidRDefault="0003185F" w:rsidP="00C27A98">
      <w:pPr>
        <w:numPr>
          <w:ilvl w:val="0"/>
          <w:numId w:val="1"/>
        </w:numPr>
        <w:spacing w:line="360" w:lineRule="auto"/>
        <w:ind w:left="0" w:firstLine="0"/>
        <w:jc w:val="both"/>
        <w:rPr>
          <w:rFonts w:ascii="Palatino Linotype" w:hAnsi="Palatino Linotype"/>
          <w:color w:val="000000" w:themeColor="text1"/>
        </w:rPr>
      </w:pPr>
      <w:r w:rsidRPr="002D4122">
        <w:rPr>
          <w:rFonts w:ascii="Palatino Linotype" w:eastAsia="Palatino Linotype" w:hAnsi="Palatino Linotype" w:cs="Palatino Linotype"/>
          <w:color w:val="000000" w:themeColor="text1"/>
        </w:rPr>
        <w:t>El</w:t>
      </w:r>
      <w:r w:rsidRPr="002D4122">
        <w:rPr>
          <w:rFonts w:ascii="Palatino Linotype" w:eastAsia="Palatino Linotype" w:hAnsi="Palatino Linotype" w:cs="Palatino Linotype"/>
          <w:b/>
          <w:color w:val="000000" w:themeColor="text1"/>
        </w:rPr>
        <w:t xml:space="preserve"> </w:t>
      </w:r>
      <w:r w:rsidR="00200BE6" w:rsidRPr="002D4122">
        <w:rPr>
          <w:rFonts w:ascii="Palatino Linotype" w:eastAsia="Palatino Linotype" w:hAnsi="Palatino Linotype" w:cs="Palatino Linotype"/>
          <w:b/>
          <w:color w:val="000000" w:themeColor="text1"/>
        </w:rPr>
        <w:t>Recurrente</w:t>
      </w:r>
      <w:r w:rsidR="00C77F8A" w:rsidRPr="002D4122">
        <w:rPr>
          <w:rFonts w:ascii="Palatino Linotype" w:eastAsia="Palatino Linotype" w:hAnsi="Palatino Linotype" w:cs="Palatino Linotype"/>
          <w:color w:val="000000" w:themeColor="text1"/>
        </w:rPr>
        <w:t xml:space="preserve"> solicitó l</w:t>
      </w:r>
      <w:r w:rsidR="00200BE6" w:rsidRPr="002D4122">
        <w:rPr>
          <w:rFonts w:ascii="Palatino Linotype" w:eastAsia="Palatino Linotype" w:hAnsi="Palatino Linotype" w:cs="Palatino Linotype"/>
          <w:color w:val="000000" w:themeColor="text1"/>
        </w:rPr>
        <w:t>os contratos celebrados por el municipio correspondiente al mes de enero, febrero, marzo y abril de dos mil veinticinco.</w:t>
      </w:r>
    </w:p>
    <w:p w:rsidR="00200BE6" w:rsidRPr="002D4122" w:rsidRDefault="00200BE6" w:rsidP="00C27A98">
      <w:pPr>
        <w:spacing w:line="360" w:lineRule="auto"/>
        <w:jc w:val="both"/>
        <w:rPr>
          <w:rFonts w:ascii="Palatino Linotype" w:hAnsi="Palatino Linotype"/>
          <w:color w:val="000000" w:themeColor="text1"/>
        </w:rPr>
      </w:pPr>
    </w:p>
    <w:p w:rsidR="0003185F" w:rsidRPr="002D4122" w:rsidRDefault="0003185F" w:rsidP="00C27A98">
      <w:pPr>
        <w:numPr>
          <w:ilvl w:val="0"/>
          <w:numId w:val="1"/>
        </w:numPr>
        <w:spacing w:line="360" w:lineRule="auto"/>
        <w:ind w:left="0" w:firstLine="0"/>
        <w:jc w:val="both"/>
        <w:rPr>
          <w:rFonts w:ascii="Palatino Linotype" w:hAnsi="Palatino Linotype"/>
          <w:color w:val="000000" w:themeColor="text1"/>
        </w:rPr>
      </w:pPr>
      <w:r w:rsidRPr="002D4122">
        <w:rPr>
          <w:rFonts w:ascii="Palatino Linotype" w:eastAsia="Palatino Linotype" w:hAnsi="Palatino Linotype" w:cs="Palatino Linotype"/>
          <w:color w:val="000000" w:themeColor="text1"/>
        </w:rPr>
        <w:t>M</w:t>
      </w:r>
      <w:r w:rsidR="00200BE6" w:rsidRPr="002D4122">
        <w:rPr>
          <w:rFonts w:ascii="Palatino Linotype" w:eastAsia="Palatino Linotype" w:hAnsi="Palatino Linotype" w:cs="Palatino Linotype"/>
          <w:color w:val="000000" w:themeColor="text1"/>
        </w:rPr>
        <w:t>ediante respuesta, el Sujeto Obligado señaló que la solicitud correspondía al derecho a la libre expresión y derecho de petición; posteriormente, el particular se inconformó por la negativa de la información.</w:t>
      </w:r>
    </w:p>
    <w:p w:rsidR="0003185F" w:rsidRPr="002D4122" w:rsidRDefault="0003185F" w:rsidP="00C27A98">
      <w:pPr>
        <w:spacing w:line="360" w:lineRule="auto"/>
        <w:jc w:val="both"/>
        <w:rPr>
          <w:rFonts w:ascii="Palatino Linotype" w:hAnsi="Palatino Linotype"/>
          <w:color w:val="000000" w:themeColor="text1"/>
        </w:rPr>
      </w:pPr>
    </w:p>
    <w:p w:rsidR="0003185F" w:rsidRPr="002D4122" w:rsidRDefault="0003185F" w:rsidP="00C27A98">
      <w:pPr>
        <w:numPr>
          <w:ilvl w:val="0"/>
          <w:numId w:val="1"/>
        </w:numPr>
        <w:spacing w:line="360" w:lineRule="auto"/>
        <w:ind w:left="0" w:firstLine="0"/>
        <w:jc w:val="both"/>
        <w:rPr>
          <w:rFonts w:ascii="Palatino Linotype" w:hAnsi="Palatino Linotype"/>
          <w:color w:val="000000" w:themeColor="text1"/>
        </w:rPr>
      </w:pPr>
      <w:r w:rsidRPr="002D4122">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w:t>
      </w:r>
      <w:r w:rsidR="00200BE6" w:rsidRPr="002D4122">
        <w:rPr>
          <w:rFonts w:ascii="Palatino Linotype" w:eastAsia="Palatino Linotype" w:hAnsi="Palatino Linotype" w:cs="Palatino Linotype"/>
          <w:color w:val="000000" w:themeColor="text1"/>
        </w:rPr>
        <w:t xml:space="preserve">en la fracción </w:t>
      </w:r>
      <w:r w:rsidR="00200BE6" w:rsidRPr="002D4122">
        <w:rPr>
          <w:rFonts w:ascii="Palatino Linotype" w:eastAsia="Palatino Linotype" w:hAnsi="Palatino Linotype" w:cs="Palatino Linotype"/>
          <w:color w:val="000000" w:themeColor="text1"/>
        </w:rPr>
        <w:lastRenderedPageBreak/>
        <w:t xml:space="preserve">I del artículo 179 de la Ley de Transparencia y Acceso a la Información Pública del Estado de México y Municipios. </w:t>
      </w:r>
    </w:p>
    <w:p w:rsidR="00420EBD" w:rsidRPr="002D4122" w:rsidRDefault="00420EBD" w:rsidP="00C27A98">
      <w:pPr>
        <w:spacing w:line="360" w:lineRule="auto"/>
        <w:jc w:val="both"/>
        <w:rPr>
          <w:rFonts w:ascii="Palatino Linotype" w:hAnsi="Palatino Linotype"/>
          <w:color w:val="000000" w:themeColor="text1"/>
        </w:rPr>
      </w:pPr>
      <w:bookmarkStart w:id="5" w:name="_heading=h.tyjcwt" w:colFirst="0" w:colLast="0"/>
      <w:bookmarkEnd w:id="5"/>
    </w:p>
    <w:p w:rsidR="00420EBD" w:rsidRPr="002D4122" w:rsidRDefault="00420EBD" w:rsidP="00C27A98">
      <w:pPr>
        <w:keepNext/>
        <w:keepLines/>
        <w:spacing w:line="360" w:lineRule="auto"/>
        <w:rPr>
          <w:rFonts w:ascii="Palatino Linotype" w:eastAsia="Palatino Linotype" w:hAnsi="Palatino Linotype" w:cs="Palatino Linotype"/>
          <w:b/>
          <w:color w:val="000000" w:themeColor="text1"/>
        </w:rPr>
      </w:pPr>
      <w:r w:rsidRPr="002D4122">
        <w:rPr>
          <w:rFonts w:ascii="Palatino Linotype" w:eastAsia="Palatino Linotype" w:hAnsi="Palatino Linotype" w:cs="Palatino Linotype"/>
          <w:b/>
          <w:color w:val="000000" w:themeColor="text1"/>
        </w:rPr>
        <w:t>CUARTO. Del estudio y resolución del recurso de revisión.</w:t>
      </w:r>
    </w:p>
    <w:p w:rsidR="00420EBD" w:rsidRPr="002D4122" w:rsidRDefault="00420EBD" w:rsidP="00C27A98">
      <w:pPr>
        <w:spacing w:line="360" w:lineRule="auto"/>
        <w:jc w:val="both"/>
        <w:rPr>
          <w:rFonts w:ascii="Palatino Linotype" w:eastAsia="Palatino Linotype" w:hAnsi="Palatino Linotype" w:cs="Palatino Linotype"/>
          <w:color w:val="000000" w:themeColor="text1"/>
        </w:rPr>
      </w:pPr>
    </w:p>
    <w:p w:rsidR="00420EBD" w:rsidRPr="002D4122" w:rsidRDefault="00420EBD" w:rsidP="00C27A98">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sz w:val="24"/>
        </w:rPr>
      </w:pPr>
      <w:r w:rsidRPr="002D4122">
        <w:rPr>
          <w:rFonts w:ascii="Palatino Linotype" w:eastAsia="Palatino Linotype" w:hAnsi="Palatino Linotype" w:cs="Palatino Linotype"/>
          <w:color w:val="000000" w:themeColor="text1"/>
          <w:sz w:val="24"/>
        </w:rPr>
        <w:t>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Ley de Transparencia y Acceso a la Información Pública del Estado de México y Municipios.</w:t>
      </w:r>
    </w:p>
    <w:p w:rsidR="00420EBD" w:rsidRPr="002D4122" w:rsidRDefault="00420EBD" w:rsidP="00C27A98">
      <w:pPr>
        <w:spacing w:line="360" w:lineRule="auto"/>
        <w:jc w:val="both"/>
        <w:rPr>
          <w:rFonts w:ascii="Palatino Linotype" w:eastAsia="Palatino Linotype" w:hAnsi="Palatino Linotype" w:cs="Palatino Linotype"/>
          <w:color w:val="000000" w:themeColor="text1"/>
        </w:rPr>
      </w:pPr>
    </w:p>
    <w:p w:rsidR="00420EBD" w:rsidRPr="002D4122" w:rsidRDefault="00420EBD" w:rsidP="00C27A9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6" w:name="_heading=h.1t3h5sf" w:colFirst="0" w:colLast="0"/>
      <w:bookmarkEnd w:id="6"/>
      <w:r w:rsidRPr="002D4122">
        <w:rPr>
          <w:rFonts w:ascii="Palatino Linotype" w:eastAsia="Palatino Linotype" w:hAnsi="Palatino Linotype" w:cs="Palatino Linotype"/>
          <w:color w:val="000000" w:themeColor="text1"/>
        </w:rPr>
        <w:t xml:space="preserve">En este caso, el particular solicitó </w:t>
      </w:r>
      <w:r w:rsidR="00C77F8A" w:rsidRPr="002D4122">
        <w:rPr>
          <w:rFonts w:ascii="Palatino Linotype" w:eastAsia="Palatino Linotype" w:hAnsi="Palatino Linotype" w:cs="Palatino Linotype"/>
          <w:color w:val="000000" w:themeColor="text1"/>
        </w:rPr>
        <w:t>los contratos celebrados por el municipio correspondiente al mes de enero, febrero, marzo y abril de dos mil veinticinco.</w:t>
      </w:r>
    </w:p>
    <w:p w:rsidR="004456FB" w:rsidRPr="002D4122" w:rsidRDefault="004456FB" w:rsidP="00C27A98">
      <w:pPr>
        <w:pBdr>
          <w:top w:val="nil"/>
          <w:left w:val="nil"/>
          <w:bottom w:val="nil"/>
          <w:right w:val="nil"/>
          <w:between w:val="nil"/>
        </w:pBdr>
        <w:spacing w:line="360" w:lineRule="auto"/>
        <w:jc w:val="both"/>
        <w:rPr>
          <w:rFonts w:ascii="Palatino Linotype" w:hAnsi="Palatino Linotype"/>
          <w:color w:val="000000" w:themeColor="text1"/>
        </w:rPr>
      </w:pPr>
    </w:p>
    <w:p w:rsidR="00283067" w:rsidRPr="002D4122" w:rsidRDefault="00283067" w:rsidP="00C27A98">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2D4122">
        <w:rPr>
          <w:rFonts w:ascii="Palatino Linotype" w:eastAsia="Palatino Linotype" w:hAnsi="Palatino Linotype" w:cs="Palatino Linotype"/>
          <w:color w:val="000000" w:themeColor="text1"/>
        </w:rPr>
        <w:t xml:space="preserve">En ese sentido, es indispensable traer a contexto lo dispuesto en la Ley de la Contratación Pública del Estado de México y Municipios, la cual tiene por objeto regular los actos relativos a la planeación, programación, </w:t>
      </w:r>
      <w:proofErr w:type="spellStart"/>
      <w:r w:rsidRPr="002D4122">
        <w:rPr>
          <w:rFonts w:ascii="Palatino Linotype" w:eastAsia="Palatino Linotype" w:hAnsi="Palatino Linotype" w:cs="Palatino Linotype"/>
          <w:color w:val="000000" w:themeColor="text1"/>
        </w:rPr>
        <w:t>presupuestación</w:t>
      </w:r>
      <w:proofErr w:type="spellEnd"/>
      <w:r w:rsidRPr="002D4122">
        <w:rPr>
          <w:rFonts w:ascii="Palatino Linotype" w:eastAsia="Palatino Linotype" w:hAnsi="Palatino Linotype" w:cs="Palatino Linotype"/>
          <w:color w:val="000000" w:themeColor="text1"/>
        </w:rPr>
        <w:t xml:space="preserve">, ejecución y control de </w:t>
      </w:r>
      <w:r w:rsidRPr="002D4122">
        <w:rPr>
          <w:rFonts w:ascii="Palatino Linotype" w:eastAsia="Palatino Linotype" w:hAnsi="Palatino Linotype" w:cs="Palatino Linotype"/>
          <w:b/>
          <w:color w:val="000000" w:themeColor="text1"/>
        </w:rPr>
        <w:t>la adquisición, enajenación y arrendamiento de bienes, y la contratación de servicios de cualquier naturaleza</w:t>
      </w:r>
      <w:r w:rsidRPr="002D4122">
        <w:rPr>
          <w:rFonts w:ascii="Palatino Linotype" w:eastAsia="Palatino Linotype" w:hAnsi="Palatino Linotype" w:cs="Palatino Linotype"/>
          <w:color w:val="000000" w:themeColor="text1"/>
        </w:rPr>
        <w:t xml:space="preserve">, que realicen los Ayuntamientos del Estado; los cuales se adjudicará a través de licitaciones públicas, invitación restringida o adjudicación directa, mediante convocatoria pública, tal y como lo establecen los artículos 4, 26 y 27 de dicha Ley, los cuales son del tenor siguiente: </w:t>
      </w:r>
    </w:p>
    <w:p w:rsidR="00283067" w:rsidRPr="002D4122" w:rsidRDefault="00283067" w:rsidP="00C27A98">
      <w:pPr>
        <w:spacing w:line="360" w:lineRule="auto"/>
        <w:jc w:val="both"/>
        <w:rPr>
          <w:rFonts w:ascii="Palatino Linotype" w:eastAsia="Palatino Linotype" w:hAnsi="Palatino Linotype" w:cs="Palatino Linotype"/>
          <w:i/>
          <w:color w:val="000000" w:themeColor="text1"/>
        </w:rPr>
      </w:pPr>
      <w:r w:rsidRPr="002D4122">
        <w:rPr>
          <w:rFonts w:ascii="Palatino Linotype" w:eastAsia="Palatino Linotype" w:hAnsi="Palatino Linotype" w:cs="Palatino Linotype"/>
          <w:i/>
          <w:color w:val="000000" w:themeColor="text1"/>
        </w:rPr>
        <w:lastRenderedPageBreak/>
        <w:t>“</w:t>
      </w:r>
      <w:r w:rsidRPr="002D4122">
        <w:rPr>
          <w:rFonts w:ascii="Palatino Linotype" w:eastAsia="Palatino Linotype" w:hAnsi="Palatino Linotype" w:cs="Palatino Linotype"/>
          <w:b/>
          <w:i/>
          <w:color w:val="000000" w:themeColor="text1"/>
        </w:rPr>
        <w:t>Artículo 4.-</w:t>
      </w:r>
      <w:r w:rsidRPr="002D4122">
        <w:rPr>
          <w:rFonts w:ascii="Palatino Linotype" w:eastAsia="Palatino Linotype" w:hAnsi="Palatino Linotype" w:cs="Palatino Linotype"/>
          <w:i/>
          <w:color w:val="000000" w:themeColor="text1"/>
        </w:rPr>
        <w:t xml:space="preserve"> Para los efectos de esta Ley, en las adquisiciones, enajenaciones, arrendamientos y servicios, quedan comprendidos: </w:t>
      </w:r>
    </w:p>
    <w:p w:rsidR="00283067" w:rsidRPr="002D4122" w:rsidRDefault="00283067" w:rsidP="00C27A98">
      <w:pPr>
        <w:spacing w:line="360" w:lineRule="auto"/>
        <w:jc w:val="both"/>
        <w:rPr>
          <w:rFonts w:ascii="Palatino Linotype" w:eastAsia="Palatino Linotype" w:hAnsi="Palatino Linotype" w:cs="Palatino Linotype"/>
          <w:i/>
          <w:color w:val="000000" w:themeColor="text1"/>
        </w:rPr>
      </w:pPr>
      <w:r w:rsidRPr="002D4122">
        <w:rPr>
          <w:rFonts w:ascii="Palatino Linotype" w:eastAsia="Palatino Linotype" w:hAnsi="Palatino Linotype" w:cs="Palatino Linotype"/>
          <w:i/>
          <w:color w:val="000000" w:themeColor="text1"/>
        </w:rPr>
        <w:t xml:space="preserve">I. La adquisición de bienes muebles. </w:t>
      </w:r>
    </w:p>
    <w:p w:rsidR="00283067" w:rsidRPr="002D4122" w:rsidRDefault="00283067" w:rsidP="00C27A98">
      <w:pPr>
        <w:spacing w:line="360" w:lineRule="auto"/>
        <w:jc w:val="both"/>
        <w:rPr>
          <w:rFonts w:ascii="Palatino Linotype" w:eastAsia="Palatino Linotype" w:hAnsi="Palatino Linotype" w:cs="Palatino Linotype"/>
          <w:i/>
          <w:color w:val="000000" w:themeColor="text1"/>
        </w:rPr>
      </w:pPr>
      <w:r w:rsidRPr="002D4122">
        <w:rPr>
          <w:rFonts w:ascii="Palatino Linotype" w:eastAsia="Palatino Linotype" w:hAnsi="Palatino Linotype" w:cs="Palatino Linotype"/>
          <w:i/>
          <w:color w:val="000000" w:themeColor="text1"/>
        </w:rPr>
        <w:t xml:space="preserve">II. La adquisición de bienes inmuebles, a través de compraventa. </w:t>
      </w:r>
    </w:p>
    <w:p w:rsidR="00283067" w:rsidRPr="002D4122" w:rsidRDefault="00283067" w:rsidP="00C27A98">
      <w:pPr>
        <w:spacing w:line="360" w:lineRule="auto"/>
        <w:jc w:val="both"/>
        <w:rPr>
          <w:rFonts w:ascii="Palatino Linotype" w:eastAsia="Palatino Linotype" w:hAnsi="Palatino Linotype" w:cs="Palatino Linotype"/>
          <w:i/>
          <w:color w:val="000000" w:themeColor="text1"/>
        </w:rPr>
      </w:pPr>
      <w:r w:rsidRPr="002D4122">
        <w:rPr>
          <w:rFonts w:ascii="Palatino Linotype" w:eastAsia="Palatino Linotype" w:hAnsi="Palatino Linotype" w:cs="Palatino Linotype"/>
          <w:i/>
          <w:color w:val="000000" w:themeColor="text1"/>
        </w:rPr>
        <w:t xml:space="preserve">III. La enajenación de bienes muebles e inmuebles. </w:t>
      </w:r>
    </w:p>
    <w:p w:rsidR="00283067" w:rsidRPr="002D4122" w:rsidRDefault="00283067" w:rsidP="00C27A98">
      <w:pPr>
        <w:spacing w:line="360" w:lineRule="auto"/>
        <w:jc w:val="both"/>
        <w:rPr>
          <w:rFonts w:ascii="Palatino Linotype" w:eastAsia="Palatino Linotype" w:hAnsi="Palatino Linotype" w:cs="Palatino Linotype"/>
          <w:i/>
          <w:color w:val="000000" w:themeColor="text1"/>
        </w:rPr>
      </w:pPr>
      <w:r w:rsidRPr="002D4122">
        <w:rPr>
          <w:rFonts w:ascii="Palatino Linotype" w:eastAsia="Palatino Linotype" w:hAnsi="Palatino Linotype" w:cs="Palatino Linotype"/>
          <w:i/>
          <w:color w:val="000000" w:themeColor="text1"/>
        </w:rPr>
        <w:t xml:space="preserve">IV. El arrendamiento de bienes muebles e inmuebles. </w:t>
      </w:r>
    </w:p>
    <w:p w:rsidR="00283067" w:rsidRPr="002D4122" w:rsidRDefault="00283067" w:rsidP="00C27A98">
      <w:pPr>
        <w:spacing w:line="360" w:lineRule="auto"/>
        <w:jc w:val="both"/>
        <w:rPr>
          <w:rFonts w:ascii="Palatino Linotype" w:eastAsia="Palatino Linotype" w:hAnsi="Palatino Linotype" w:cs="Palatino Linotype"/>
          <w:i/>
          <w:color w:val="000000" w:themeColor="text1"/>
        </w:rPr>
      </w:pPr>
      <w:r w:rsidRPr="002D4122">
        <w:rPr>
          <w:rFonts w:ascii="Palatino Linotype" w:eastAsia="Palatino Linotype" w:hAnsi="Palatino Linotype" w:cs="Palatino Linotype"/>
          <w:i/>
          <w:color w:val="000000" w:themeColor="text1"/>
        </w:rPr>
        <w:t xml:space="preserve">V. La contratación de los servicios, relacionados con bienes muebles que se encuentran incorporados o adheridos a bienes inmuebles, cuya instalación o mantenimiento no implique modificación al bien inmueble. </w:t>
      </w:r>
    </w:p>
    <w:p w:rsidR="00283067" w:rsidRPr="002D4122" w:rsidRDefault="00283067" w:rsidP="00C27A98">
      <w:pPr>
        <w:spacing w:line="360" w:lineRule="auto"/>
        <w:jc w:val="both"/>
        <w:rPr>
          <w:rFonts w:ascii="Palatino Linotype" w:eastAsia="Palatino Linotype" w:hAnsi="Palatino Linotype" w:cs="Palatino Linotype"/>
          <w:i/>
          <w:color w:val="000000" w:themeColor="text1"/>
        </w:rPr>
      </w:pPr>
      <w:r w:rsidRPr="002D4122">
        <w:rPr>
          <w:rFonts w:ascii="Palatino Linotype" w:eastAsia="Palatino Linotype" w:hAnsi="Palatino Linotype" w:cs="Palatino Linotype"/>
          <w:i/>
          <w:color w:val="000000" w:themeColor="text1"/>
        </w:rPr>
        <w:t xml:space="preserve">VI. La contratación de los servicios de reconstrucción y mantenimiento de bienes muebles. </w:t>
      </w:r>
    </w:p>
    <w:p w:rsidR="00283067" w:rsidRPr="002D4122" w:rsidRDefault="00283067" w:rsidP="00C27A98">
      <w:pPr>
        <w:spacing w:line="360" w:lineRule="auto"/>
        <w:jc w:val="both"/>
        <w:rPr>
          <w:rFonts w:ascii="Palatino Linotype" w:eastAsia="Palatino Linotype" w:hAnsi="Palatino Linotype" w:cs="Palatino Linotype"/>
          <w:i/>
          <w:color w:val="000000" w:themeColor="text1"/>
        </w:rPr>
      </w:pPr>
      <w:r w:rsidRPr="002D4122">
        <w:rPr>
          <w:rFonts w:ascii="Palatino Linotype" w:eastAsia="Palatino Linotype" w:hAnsi="Palatino Linotype" w:cs="Palatino Linotype"/>
          <w:i/>
          <w:color w:val="000000" w:themeColor="text1"/>
        </w:rPr>
        <w:t>VII. La contratación de los servicios de maquila, seguros y transportación, así como de los de limpieza y vigilancia de bienes inmuebles</w:t>
      </w:r>
    </w:p>
    <w:p w:rsidR="00283067" w:rsidRPr="002D4122" w:rsidRDefault="00283067" w:rsidP="00C27A98">
      <w:pPr>
        <w:spacing w:line="360" w:lineRule="auto"/>
        <w:jc w:val="both"/>
        <w:rPr>
          <w:rFonts w:ascii="Palatino Linotype" w:eastAsia="Palatino Linotype" w:hAnsi="Palatino Linotype" w:cs="Palatino Linotype"/>
          <w:i/>
          <w:color w:val="000000" w:themeColor="text1"/>
        </w:rPr>
      </w:pPr>
      <w:r w:rsidRPr="002D4122">
        <w:rPr>
          <w:rFonts w:ascii="Palatino Linotype" w:eastAsia="Palatino Linotype" w:hAnsi="Palatino Linotype" w:cs="Palatino Linotype"/>
          <w:i/>
          <w:color w:val="000000" w:themeColor="text1"/>
        </w:rPr>
        <w:t xml:space="preserve">VIII. La prestación de servicios profesionales, la contratación de consultorías, asesorías y estudios e investigaciones, excepto la contratación de servicios personales de personas físicas bajo el régimen de honorarios. </w:t>
      </w:r>
    </w:p>
    <w:p w:rsidR="00283067" w:rsidRPr="002D4122" w:rsidRDefault="00283067" w:rsidP="00C27A98">
      <w:pPr>
        <w:spacing w:line="360" w:lineRule="auto"/>
        <w:jc w:val="both"/>
        <w:rPr>
          <w:rFonts w:ascii="Palatino Linotype" w:eastAsia="Palatino Linotype" w:hAnsi="Palatino Linotype" w:cs="Palatino Linotype"/>
          <w:i/>
          <w:color w:val="000000" w:themeColor="text1"/>
        </w:rPr>
      </w:pPr>
      <w:r w:rsidRPr="002D4122">
        <w:rPr>
          <w:rFonts w:ascii="Palatino Linotype" w:eastAsia="Palatino Linotype" w:hAnsi="Palatino Linotype" w:cs="Palatino Linotype"/>
          <w:i/>
          <w:color w:val="000000" w:themeColor="text1"/>
        </w:rPr>
        <w:t>En general, otros actos que impliquen la contratación de servicios de cualquier naturaleza.</w:t>
      </w:r>
    </w:p>
    <w:p w:rsidR="00283067" w:rsidRPr="002D4122" w:rsidRDefault="00283067" w:rsidP="00C27A98">
      <w:pPr>
        <w:spacing w:line="360" w:lineRule="auto"/>
        <w:jc w:val="both"/>
        <w:rPr>
          <w:rFonts w:ascii="Palatino Linotype" w:eastAsia="Palatino Linotype" w:hAnsi="Palatino Linotype" w:cs="Palatino Linotype"/>
          <w:i/>
          <w:color w:val="000000" w:themeColor="text1"/>
        </w:rPr>
      </w:pPr>
      <w:r w:rsidRPr="002D4122">
        <w:rPr>
          <w:rFonts w:ascii="Palatino Linotype" w:eastAsia="Palatino Linotype" w:hAnsi="Palatino Linotype" w:cs="Palatino Linotype"/>
          <w:i/>
          <w:color w:val="000000" w:themeColor="text1"/>
        </w:rPr>
        <w:t>Artículo 26.- Las adquisiciones, arrendamientos y servicios se adjudicarán a través de licitaciones públicas, mediante convocatoria pública.</w:t>
      </w:r>
    </w:p>
    <w:p w:rsidR="00283067" w:rsidRPr="002D4122" w:rsidRDefault="00283067" w:rsidP="00C27A98">
      <w:pPr>
        <w:spacing w:line="360" w:lineRule="auto"/>
        <w:jc w:val="both"/>
        <w:rPr>
          <w:rFonts w:ascii="Palatino Linotype" w:eastAsia="Palatino Linotype" w:hAnsi="Palatino Linotype" w:cs="Palatino Linotype"/>
          <w:b/>
          <w:i/>
          <w:color w:val="000000" w:themeColor="text1"/>
        </w:rPr>
      </w:pPr>
    </w:p>
    <w:p w:rsidR="00283067" w:rsidRPr="002D4122" w:rsidRDefault="00283067" w:rsidP="00C27A98">
      <w:pPr>
        <w:spacing w:line="360" w:lineRule="auto"/>
        <w:jc w:val="both"/>
        <w:rPr>
          <w:rFonts w:ascii="Palatino Linotype" w:eastAsia="Palatino Linotype" w:hAnsi="Palatino Linotype" w:cs="Palatino Linotype"/>
          <w:i/>
          <w:color w:val="000000" w:themeColor="text1"/>
        </w:rPr>
      </w:pPr>
      <w:r w:rsidRPr="002D4122">
        <w:rPr>
          <w:rFonts w:ascii="Palatino Linotype" w:eastAsia="Palatino Linotype" w:hAnsi="Palatino Linotype" w:cs="Palatino Linotype"/>
          <w:b/>
          <w:i/>
          <w:color w:val="000000" w:themeColor="text1"/>
        </w:rPr>
        <w:t xml:space="preserve">Artículo 27.- </w:t>
      </w:r>
      <w:r w:rsidRPr="002D4122">
        <w:rPr>
          <w:rFonts w:ascii="Palatino Linotype" w:eastAsia="Palatino Linotype" w:hAnsi="Palatino Linotype" w:cs="Palatino Linotype"/>
          <w:i/>
          <w:color w:val="000000" w:themeColor="text1"/>
        </w:rPr>
        <w:t xml:space="preserve">La Secretaría, las entidades, los tribunales administrativos y los ayuntamientos podrán adjudicar adquisiciones, arrendamientos y servicios, mediante las excepciones al procedimiento de licitación que a continuación se señalan: </w:t>
      </w:r>
    </w:p>
    <w:p w:rsidR="00283067" w:rsidRPr="002D4122" w:rsidRDefault="00283067" w:rsidP="00C27A98">
      <w:pPr>
        <w:spacing w:line="360" w:lineRule="auto"/>
        <w:jc w:val="both"/>
        <w:rPr>
          <w:rFonts w:ascii="Palatino Linotype" w:eastAsia="Palatino Linotype" w:hAnsi="Palatino Linotype" w:cs="Palatino Linotype"/>
          <w:b/>
          <w:i/>
          <w:color w:val="000000" w:themeColor="text1"/>
        </w:rPr>
      </w:pPr>
      <w:r w:rsidRPr="002D4122">
        <w:rPr>
          <w:rFonts w:ascii="Palatino Linotype" w:eastAsia="Palatino Linotype" w:hAnsi="Palatino Linotype" w:cs="Palatino Linotype"/>
          <w:b/>
          <w:i/>
          <w:color w:val="000000" w:themeColor="text1"/>
        </w:rPr>
        <w:t xml:space="preserve">I. Invitación restringida. </w:t>
      </w:r>
    </w:p>
    <w:p w:rsidR="00283067" w:rsidRPr="002D4122" w:rsidRDefault="00283067" w:rsidP="00C27A98">
      <w:pPr>
        <w:spacing w:line="360" w:lineRule="auto"/>
        <w:jc w:val="both"/>
        <w:rPr>
          <w:rFonts w:ascii="Palatino Linotype" w:eastAsia="Palatino Linotype" w:hAnsi="Palatino Linotype" w:cs="Palatino Linotype"/>
          <w:b/>
          <w:i/>
          <w:color w:val="000000" w:themeColor="text1"/>
        </w:rPr>
      </w:pPr>
      <w:r w:rsidRPr="002D4122">
        <w:rPr>
          <w:rFonts w:ascii="Palatino Linotype" w:eastAsia="Palatino Linotype" w:hAnsi="Palatino Linotype" w:cs="Palatino Linotype"/>
          <w:b/>
          <w:i/>
          <w:color w:val="000000" w:themeColor="text1"/>
        </w:rPr>
        <w:lastRenderedPageBreak/>
        <w:t>II. Adjudicación directa.”</w:t>
      </w:r>
    </w:p>
    <w:p w:rsidR="00283067" w:rsidRPr="002D4122" w:rsidRDefault="00283067" w:rsidP="00C27A98">
      <w:pPr>
        <w:spacing w:line="360" w:lineRule="auto"/>
        <w:jc w:val="right"/>
        <w:rPr>
          <w:rFonts w:ascii="Palatino Linotype" w:eastAsia="Palatino Linotype" w:hAnsi="Palatino Linotype" w:cs="Palatino Linotype"/>
          <w:i/>
          <w:color w:val="000000" w:themeColor="text1"/>
        </w:rPr>
      </w:pPr>
      <w:r w:rsidRPr="002D4122">
        <w:rPr>
          <w:rFonts w:ascii="Palatino Linotype" w:eastAsia="Palatino Linotype" w:hAnsi="Palatino Linotype" w:cs="Palatino Linotype"/>
          <w:i/>
          <w:color w:val="000000" w:themeColor="text1"/>
        </w:rPr>
        <w:t xml:space="preserve">(Énfasis añadido) </w:t>
      </w:r>
    </w:p>
    <w:p w:rsidR="00283067" w:rsidRPr="002D4122" w:rsidRDefault="00283067" w:rsidP="00C27A98">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2D4122">
        <w:rPr>
          <w:rFonts w:ascii="Palatino Linotype" w:eastAsia="Palatino Linotype" w:hAnsi="Palatino Linotype" w:cs="Palatino Linotype"/>
          <w:color w:val="000000" w:themeColor="text1"/>
        </w:rPr>
        <w:t xml:space="preserve">Así, en lo que respecta sobre la licitación pública, el artículo 29 de la Ley de la Contratación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rsidR="00283067" w:rsidRPr="002D4122" w:rsidRDefault="00283067" w:rsidP="00C27A9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83067" w:rsidRPr="002D4122" w:rsidRDefault="00283067" w:rsidP="00C27A98">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2D4122">
        <w:rPr>
          <w:rFonts w:ascii="Palatino Linotype" w:eastAsia="Palatino Linotype" w:hAnsi="Palatino Linotype" w:cs="Palatino Linotype"/>
          <w:color w:val="000000" w:themeColor="text1"/>
        </w:rPr>
        <w:t xml:space="preserve">Asimismo, el artículo 33, del mismo ordenamiento legal, puntualmente señala el contenido que deberá tener la convocatoria para la celebración de las licitaciones públicas y por su parte, el consecutivo 34 señala que las bases de la licitación pública tendrán un costo de recuperación y contendrán los requisitos que se establezcan en el reglamento de dicha Ley. </w:t>
      </w:r>
    </w:p>
    <w:p w:rsidR="00283067" w:rsidRPr="002D4122" w:rsidRDefault="00283067" w:rsidP="00C27A98">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283067" w:rsidRPr="002D4122" w:rsidRDefault="00283067" w:rsidP="00C27A98">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2D4122">
        <w:rPr>
          <w:rFonts w:ascii="Palatino Linotype" w:eastAsia="Palatino Linotype" w:hAnsi="Palatino Linotype" w:cs="Palatino Linotype"/>
          <w:color w:val="000000" w:themeColor="text1"/>
        </w:rPr>
        <w:t>Por lo que, en las licitaciones se debe seguir el procedimiento marcado en el artículo 35 del precitado ordenamiento, que literalmente establece:</w:t>
      </w:r>
    </w:p>
    <w:p w:rsidR="00B172A3" w:rsidRPr="002D4122" w:rsidRDefault="00B172A3" w:rsidP="00C27A98">
      <w:pPr>
        <w:pBdr>
          <w:top w:val="nil"/>
          <w:left w:val="nil"/>
          <w:bottom w:val="nil"/>
          <w:right w:val="nil"/>
          <w:between w:val="nil"/>
        </w:pBdr>
        <w:spacing w:line="360" w:lineRule="auto"/>
        <w:jc w:val="both"/>
        <w:rPr>
          <w:rFonts w:ascii="Palatino Linotype" w:hAnsi="Palatino Linotype"/>
          <w:color w:val="000000" w:themeColor="text1"/>
        </w:rPr>
      </w:pPr>
    </w:p>
    <w:p w:rsidR="00283067" w:rsidRPr="002D4122" w:rsidRDefault="00283067" w:rsidP="00C27A98">
      <w:pPr>
        <w:spacing w:line="360" w:lineRule="auto"/>
        <w:jc w:val="both"/>
        <w:rPr>
          <w:rFonts w:ascii="Palatino Linotype" w:eastAsia="Palatino Linotype" w:hAnsi="Palatino Linotype" w:cs="Palatino Linotype"/>
          <w:i/>
          <w:color w:val="000000" w:themeColor="text1"/>
        </w:rPr>
      </w:pPr>
      <w:r w:rsidRPr="002D4122">
        <w:rPr>
          <w:rFonts w:ascii="Palatino Linotype" w:eastAsia="Palatino Linotype" w:hAnsi="Palatino Linotype" w:cs="Palatino Linotype"/>
          <w:b/>
          <w:i/>
          <w:color w:val="000000" w:themeColor="text1"/>
        </w:rPr>
        <w:t>“Artículo 35</w:t>
      </w:r>
      <w:r w:rsidRPr="002D4122">
        <w:rPr>
          <w:rFonts w:ascii="Palatino Linotype" w:eastAsia="Palatino Linotype" w:hAnsi="Palatino Linotype" w:cs="Palatino Linotype"/>
          <w:i/>
          <w:color w:val="000000" w:themeColor="text1"/>
        </w:rPr>
        <w:t>.- En los procedimientos de licitación pública se observará lo siguiente:</w:t>
      </w:r>
    </w:p>
    <w:p w:rsidR="00283067" w:rsidRPr="002D4122" w:rsidRDefault="00283067" w:rsidP="00C27A98">
      <w:pPr>
        <w:spacing w:line="360" w:lineRule="auto"/>
        <w:jc w:val="both"/>
        <w:rPr>
          <w:rFonts w:ascii="Palatino Linotype" w:eastAsia="Palatino Linotype" w:hAnsi="Palatino Linotype" w:cs="Palatino Linotype"/>
          <w:i/>
          <w:color w:val="000000" w:themeColor="text1"/>
        </w:rPr>
      </w:pPr>
      <w:r w:rsidRPr="002D4122">
        <w:rPr>
          <w:rFonts w:ascii="Palatino Linotype" w:eastAsia="Palatino Linotype" w:hAnsi="Palatino Linotype" w:cs="Palatino Linotype"/>
          <w:i/>
          <w:color w:val="000000" w:themeColor="text1"/>
        </w:rPr>
        <w:t>I. El acto de presentación y apertura de propuestas se llevará a cabo por el servidor público que designe la convocante, conforme al procedimiento que se establezca en el reglamento de esta Ley.</w:t>
      </w:r>
    </w:p>
    <w:p w:rsidR="00283067" w:rsidRPr="002D4122" w:rsidRDefault="00283067" w:rsidP="00C27A98">
      <w:pPr>
        <w:spacing w:line="360" w:lineRule="auto"/>
        <w:jc w:val="both"/>
        <w:rPr>
          <w:rFonts w:ascii="Palatino Linotype" w:eastAsia="Palatino Linotype" w:hAnsi="Palatino Linotype" w:cs="Palatino Linotype"/>
          <w:i/>
          <w:color w:val="000000" w:themeColor="text1"/>
        </w:rPr>
      </w:pPr>
      <w:r w:rsidRPr="002D4122">
        <w:rPr>
          <w:rFonts w:ascii="Palatino Linotype" w:eastAsia="Palatino Linotype" w:hAnsi="Palatino Linotype" w:cs="Palatino Linotype"/>
          <w:i/>
          <w:color w:val="000000" w:themeColor="text1"/>
        </w:rPr>
        <w:t>II. El comité de adquisiciones y servicios evaluará y analizará las propuestas técnicas y económicas presentadas por los licitantes en el ámbito de las respectivas competencias de sus integrantes, y emitirá el dictamen de adjudicación.</w:t>
      </w:r>
    </w:p>
    <w:p w:rsidR="00283067" w:rsidRPr="002D4122" w:rsidRDefault="00283067" w:rsidP="00C27A98">
      <w:pPr>
        <w:spacing w:line="360" w:lineRule="auto"/>
        <w:jc w:val="both"/>
        <w:rPr>
          <w:rFonts w:ascii="Palatino Linotype" w:eastAsia="Palatino Linotype" w:hAnsi="Palatino Linotype" w:cs="Palatino Linotype"/>
          <w:i/>
          <w:color w:val="000000" w:themeColor="text1"/>
        </w:rPr>
      </w:pPr>
      <w:r w:rsidRPr="002D4122">
        <w:rPr>
          <w:rFonts w:ascii="Palatino Linotype" w:eastAsia="Palatino Linotype" w:hAnsi="Palatino Linotype" w:cs="Palatino Linotype"/>
          <w:i/>
          <w:color w:val="000000" w:themeColor="text1"/>
        </w:rPr>
        <w:lastRenderedPageBreak/>
        <w:t>III. Las bases de licitación se pondrán a la venta a partir de la fecha de publicación de la convocatoria y hasta el día hábil anterior a la fecha de celebración de la junta de aclaraciones o, en su defecto, del acto de presentación y apertura de propuestas.</w:t>
      </w:r>
    </w:p>
    <w:p w:rsidR="00283067" w:rsidRPr="002D4122" w:rsidRDefault="00283067" w:rsidP="00C27A98">
      <w:pPr>
        <w:spacing w:line="360" w:lineRule="auto"/>
        <w:jc w:val="both"/>
        <w:rPr>
          <w:rFonts w:ascii="Palatino Linotype" w:eastAsia="Palatino Linotype" w:hAnsi="Palatino Linotype" w:cs="Palatino Linotype"/>
          <w:i/>
          <w:color w:val="000000" w:themeColor="text1"/>
        </w:rPr>
      </w:pPr>
      <w:r w:rsidRPr="002D4122">
        <w:rPr>
          <w:rFonts w:ascii="Palatino Linotype" w:eastAsia="Palatino Linotype" w:hAnsi="Palatino Linotype" w:cs="Palatino Linotype"/>
          <w:i/>
          <w:color w:val="000000" w:themeColor="text1"/>
        </w:rPr>
        <w:t>IV. Las convocantes podrán modificar los plazos y términos establecidos en la convocatoria o en las bases de licitación, hasta cinco días hábiles anteriores a la fecha de la celebración del acto de presentación y apertura de propuestas.</w:t>
      </w:r>
    </w:p>
    <w:p w:rsidR="00283067" w:rsidRPr="002D4122" w:rsidRDefault="00283067" w:rsidP="00C27A98">
      <w:pPr>
        <w:spacing w:line="360" w:lineRule="auto"/>
        <w:jc w:val="both"/>
        <w:rPr>
          <w:rFonts w:ascii="Palatino Linotype" w:eastAsia="Palatino Linotype" w:hAnsi="Palatino Linotype" w:cs="Palatino Linotype"/>
          <w:i/>
          <w:color w:val="000000" w:themeColor="text1"/>
        </w:rPr>
      </w:pPr>
      <w:r w:rsidRPr="002D4122">
        <w:rPr>
          <w:rFonts w:ascii="Palatino Linotype" w:eastAsia="Palatino Linotype" w:hAnsi="Palatino Linotype" w:cs="Palatino Linotype"/>
          <w:i/>
          <w:color w:val="000000" w:themeColor="text1"/>
        </w:rPr>
        <w:t>V. Las modificaciones no podrán limitar el número de licitantes, sustituir o variar sustancialmente los bienes o servicios convocados originalmente, ni adicionar otros  distintos.</w:t>
      </w:r>
    </w:p>
    <w:p w:rsidR="00283067" w:rsidRPr="002D4122" w:rsidRDefault="00283067" w:rsidP="00C27A98">
      <w:pPr>
        <w:spacing w:line="360" w:lineRule="auto"/>
        <w:jc w:val="both"/>
        <w:rPr>
          <w:rFonts w:ascii="Palatino Linotype" w:eastAsia="Palatino Linotype" w:hAnsi="Palatino Linotype" w:cs="Palatino Linotype"/>
          <w:i/>
          <w:color w:val="000000" w:themeColor="text1"/>
        </w:rPr>
      </w:pPr>
      <w:r w:rsidRPr="002D4122">
        <w:rPr>
          <w:rFonts w:ascii="Palatino Linotype" w:eastAsia="Palatino Linotype" w:hAnsi="Palatino Linotype" w:cs="Palatino Linotype"/>
          <w:i/>
          <w:color w:val="000000" w:themeColor="text1"/>
        </w:rPr>
        <w:t>VI. Las modificaciones a la convocatoria o a las bases se harán del conocimiento de los interesados hasta tres días hábiles antes de la fecha señalada para el acto de presentación y apertura de propuestas.</w:t>
      </w:r>
    </w:p>
    <w:p w:rsidR="00283067" w:rsidRPr="002D4122" w:rsidRDefault="00283067" w:rsidP="00C27A98">
      <w:pPr>
        <w:spacing w:line="360" w:lineRule="auto"/>
        <w:jc w:val="both"/>
        <w:rPr>
          <w:rFonts w:ascii="Palatino Linotype" w:eastAsia="Palatino Linotype" w:hAnsi="Palatino Linotype" w:cs="Palatino Linotype"/>
          <w:i/>
          <w:color w:val="000000" w:themeColor="text1"/>
        </w:rPr>
      </w:pPr>
      <w:r w:rsidRPr="002D4122">
        <w:rPr>
          <w:rFonts w:ascii="Palatino Linotype" w:eastAsia="Palatino Linotype" w:hAnsi="Palatino Linotype" w:cs="Palatino Linotype"/>
          <w:i/>
          <w:color w:val="000000" w:themeColor="text1"/>
        </w:rPr>
        <w:t>VII. Se emitirá el fallo dentro de los 15 días hábiles siguientes a la publicación de la convocatoria.</w:t>
      </w:r>
    </w:p>
    <w:p w:rsidR="00283067" w:rsidRPr="002D4122" w:rsidRDefault="00283067" w:rsidP="00C27A98">
      <w:pPr>
        <w:spacing w:line="360" w:lineRule="auto"/>
        <w:jc w:val="both"/>
        <w:rPr>
          <w:rFonts w:ascii="Palatino Linotype" w:eastAsia="Palatino Linotype" w:hAnsi="Palatino Linotype" w:cs="Palatino Linotype"/>
          <w:i/>
          <w:color w:val="000000" w:themeColor="text1"/>
        </w:rPr>
      </w:pPr>
      <w:r w:rsidRPr="002D4122">
        <w:rPr>
          <w:rFonts w:ascii="Palatino Linotype" w:eastAsia="Palatino Linotype" w:hAnsi="Palatino Linotype" w:cs="Palatino Linotype"/>
          <w:i/>
          <w:color w:val="000000" w:themeColor="text1"/>
        </w:rPr>
        <w:t>VIII. Los licitantes se podrán registrar hasta el día y la hora fijados para el acto de presentación y apertura de propuestas.</w:t>
      </w:r>
      <w:r w:rsidRPr="002D4122">
        <w:rPr>
          <w:rFonts w:ascii="Palatino Linotype" w:eastAsia="Palatino Linotype" w:hAnsi="Palatino Linotype" w:cs="Palatino Linotype"/>
          <w:b/>
          <w:i/>
          <w:color w:val="000000" w:themeColor="text1"/>
        </w:rPr>
        <w:t>”</w:t>
      </w:r>
    </w:p>
    <w:p w:rsidR="00283067" w:rsidRPr="002D4122" w:rsidRDefault="00283067" w:rsidP="00C27A98">
      <w:pPr>
        <w:spacing w:line="360" w:lineRule="auto"/>
        <w:jc w:val="right"/>
        <w:rPr>
          <w:rFonts w:ascii="Palatino Linotype" w:eastAsia="Palatino Linotype" w:hAnsi="Palatino Linotype" w:cs="Palatino Linotype"/>
          <w:i/>
          <w:color w:val="000000" w:themeColor="text1"/>
        </w:rPr>
      </w:pPr>
      <w:r w:rsidRPr="002D4122">
        <w:rPr>
          <w:rFonts w:ascii="Palatino Linotype" w:eastAsia="Palatino Linotype" w:hAnsi="Palatino Linotype" w:cs="Palatino Linotype"/>
          <w:i/>
          <w:color w:val="000000" w:themeColor="text1"/>
        </w:rPr>
        <w:t>(Énfasis añadido)</w:t>
      </w:r>
    </w:p>
    <w:p w:rsidR="00283067" w:rsidRPr="002D4122" w:rsidRDefault="00283067" w:rsidP="00C27A98">
      <w:pPr>
        <w:spacing w:line="360" w:lineRule="auto"/>
        <w:jc w:val="right"/>
        <w:rPr>
          <w:rFonts w:ascii="Palatino Linotype" w:eastAsia="Palatino Linotype" w:hAnsi="Palatino Linotype" w:cs="Palatino Linotype"/>
          <w:i/>
          <w:color w:val="000000" w:themeColor="text1"/>
        </w:rPr>
      </w:pPr>
    </w:p>
    <w:p w:rsidR="00283067" w:rsidRPr="002D4122" w:rsidRDefault="00283067" w:rsidP="00C27A98">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2D4122">
        <w:rPr>
          <w:rFonts w:ascii="Palatino Linotype" w:eastAsia="Palatino Linotype" w:hAnsi="Palatino Linotype" w:cs="Palatino Linotype"/>
          <w:color w:val="000000" w:themeColor="text1"/>
        </w:rPr>
        <w:t>Del precepto legal, se desprende que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rsidR="00283067" w:rsidRPr="002D4122" w:rsidRDefault="00283067" w:rsidP="00C27A9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83067" w:rsidRPr="002D4122" w:rsidRDefault="00283067" w:rsidP="00C27A98">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2D4122">
        <w:rPr>
          <w:rFonts w:ascii="Palatino Linotype" w:eastAsia="Palatino Linotype" w:hAnsi="Palatino Linotype" w:cs="Palatino Linotype"/>
          <w:color w:val="000000" w:themeColor="text1"/>
        </w:rPr>
        <w:lastRenderedPageBreak/>
        <w:t>Además, respecto al dictamen y el fallo de la adjudicación, es de señalar que la Ley en mención indica lo siguiente:</w:t>
      </w:r>
    </w:p>
    <w:p w:rsidR="00B172A3" w:rsidRPr="002D4122" w:rsidRDefault="00B172A3" w:rsidP="00C27A98">
      <w:pPr>
        <w:pStyle w:val="Prrafodelista"/>
        <w:ind w:left="0"/>
        <w:rPr>
          <w:rFonts w:ascii="Palatino Linotype" w:hAnsi="Palatino Linotype"/>
          <w:color w:val="000000" w:themeColor="text1"/>
          <w:sz w:val="24"/>
        </w:rPr>
      </w:pPr>
    </w:p>
    <w:p w:rsidR="00B172A3" w:rsidRPr="002D4122" w:rsidRDefault="00B172A3" w:rsidP="00C27A98">
      <w:pPr>
        <w:pBdr>
          <w:top w:val="nil"/>
          <w:left w:val="nil"/>
          <w:bottom w:val="nil"/>
          <w:right w:val="nil"/>
          <w:between w:val="nil"/>
        </w:pBdr>
        <w:spacing w:line="360" w:lineRule="auto"/>
        <w:jc w:val="both"/>
        <w:rPr>
          <w:rFonts w:ascii="Palatino Linotype" w:hAnsi="Palatino Linotype"/>
          <w:color w:val="000000" w:themeColor="text1"/>
        </w:rPr>
      </w:pPr>
    </w:p>
    <w:p w:rsidR="00283067" w:rsidRPr="002D4122" w:rsidRDefault="00283067" w:rsidP="00C27A98">
      <w:pPr>
        <w:spacing w:line="360" w:lineRule="auto"/>
        <w:jc w:val="both"/>
        <w:rPr>
          <w:rFonts w:ascii="Palatino Linotype" w:eastAsia="Palatino Linotype" w:hAnsi="Palatino Linotype" w:cs="Palatino Linotype"/>
          <w:i/>
          <w:color w:val="000000" w:themeColor="text1"/>
        </w:rPr>
      </w:pPr>
      <w:r w:rsidRPr="002D4122">
        <w:rPr>
          <w:rFonts w:ascii="Palatino Linotype" w:eastAsia="Palatino Linotype" w:hAnsi="Palatino Linotype" w:cs="Palatino Linotype"/>
          <w:b/>
          <w:i/>
          <w:color w:val="000000" w:themeColor="text1"/>
        </w:rPr>
        <w:t>“Artículo 37.-</w:t>
      </w:r>
      <w:r w:rsidRPr="002D4122">
        <w:rPr>
          <w:rFonts w:ascii="Palatino Linotype" w:eastAsia="Palatino Linotype" w:hAnsi="Palatino Linotype" w:cs="Palatino Linotype"/>
          <w:i/>
          <w:color w:val="000000" w:themeColor="text1"/>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p>
    <w:p w:rsidR="00283067" w:rsidRPr="002D4122" w:rsidRDefault="00283067" w:rsidP="00C27A98">
      <w:pPr>
        <w:spacing w:line="360" w:lineRule="auto"/>
        <w:jc w:val="both"/>
        <w:rPr>
          <w:rFonts w:ascii="Palatino Linotype" w:eastAsia="Palatino Linotype" w:hAnsi="Palatino Linotype" w:cs="Palatino Linotype"/>
          <w:b/>
          <w:i/>
          <w:color w:val="000000" w:themeColor="text1"/>
        </w:rPr>
      </w:pPr>
    </w:p>
    <w:p w:rsidR="00283067" w:rsidRPr="002D4122" w:rsidRDefault="00283067" w:rsidP="00C27A98">
      <w:pPr>
        <w:spacing w:line="360" w:lineRule="auto"/>
        <w:jc w:val="both"/>
        <w:rPr>
          <w:rFonts w:ascii="Palatino Linotype" w:eastAsia="Palatino Linotype" w:hAnsi="Palatino Linotype" w:cs="Palatino Linotype"/>
          <w:i/>
          <w:color w:val="000000" w:themeColor="text1"/>
        </w:rPr>
      </w:pPr>
      <w:r w:rsidRPr="002D4122">
        <w:rPr>
          <w:rFonts w:ascii="Palatino Linotype" w:eastAsia="Palatino Linotype" w:hAnsi="Palatino Linotype" w:cs="Palatino Linotype"/>
          <w:b/>
          <w:i/>
          <w:color w:val="000000" w:themeColor="text1"/>
        </w:rPr>
        <w:t>Artículo 38.-</w:t>
      </w:r>
      <w:r w:rsidRPr="002D4122">
        <w:rPr>
          <w:rFonts w:ascii="Palatino Linotype" w:eastAsia="Palatino Linotype" w:hAnsi="Palatino Linotype" w:cs="Palatino Linotype"/>
          <w:i/>
          <w:color w:val="000000" w:themeColor="text1"/>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rsidR="00283067" w:rsidRPr="002D4122" w:rsidRDefault="00283067" w:rsidP="00C27A98">
      <w:pPr>
        <w:spacing w:line="360" w:lineRule="auto"/>
        <w:jc w:val="both"/>
        <w:rPr>
          <w:rFonts w:ascii="Palatino Linotype" w:eastAsia="Palatino Linotype" w:hAnsi="Palatino Linotype" w:cs="Palatino Linotype"/>
          <w:i/>
          <w:color w:val="000000" w:themeColor="text1"/>
        </w:rPr>
      </w:pPr>
      <w:r w:rsidRPr="002D4122">
        <w:rPr>
          <w:rFonts w:ascii="Palatino Linotype" w:eastAsia="Palatino Linotype" w:hAnsi="Palatino Linotype" w:cs="Palatino Linotype"/>
          <w:i/>
          <w:color w:val="000000" w:themeColor="text1"/>
        </w:rPr>
        <w:t>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r w:rsidRPr="002D4122">
        <w:rPr>
          <w:rFonts w:ascii="Palatino Linotype" w:eastAsia="Palatino Linotype" w:hAnsi="Palatino Linotype" w:cs="Palatino Linotype"/>
          <w:b/>
          <w:i/>
          <w:color w:val="000000" w:themeColor="text1"/>
        </w:rPr>
        <w:t>”</w:t>
      </w:r>
      <w:r w:rsidRPr="002D4122">
        <w:rPr>
          <w:rFonts w:ascii="Palatino Linotype" w:eastAsia="Palatino Linotype" w:hAnsi="Palatino Linotype" w:cs="Palatino Linotype"/>
          <w:i/>
          <w:color w:val="000000" w:themeColor="text1"/>
        </w:rPr>
        <w:t xml:space="preserve"> </w:t>
      </w:r>
    </w:p>
    <w:p w:rsidR="00283067" w:rsidRPr="002D4122" w:rsidRDefault="00283067" w:rsidP="00C27A98">
      <w:pPr>
        <w:spacing w:line="360" w:lineRule="auto"/>
        <w:jc w:val="both"/>
        <w:rPr>
          <w:rFonts w:ascii="Palatino Linotype" w:eastAsia="Palatino Linotype" w:hAnsi="Palatino Linotype" w:cs="Palatino Linotype"/>
          <w:i/>
          <w:color w:val="000000" w:themeColor="text1"/>
        </w:rPr>
      </w:pPr>
    </w:p>
    <w:p w:rsidR="00283067" w:rsidRPr="002D4122" w:rsidRDefault="00283067" w:rsidP="00C27A98">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2D4122">
        <w:rPr>
          <w:rFonts w:ascii="Palatino Linotype" w:eastAsia="Palatino Linotype" w:hAnsi="Palatino Linotype" w:cs="Palatino Linotype"/>
          <w:color w:val="000000" w:themeColor="text1"/>
        </w:rPr>
        <w:lastRenderedPageBreak/>
        <w:t xml:space="preserve">Ahora bien, por cuanto hace a la invitación restringida el artículo 44 de la Ley de la Contratación Pública del Estado de México y Municipios, dispone que podrá realizarse cuando se hubiere declarado desierto un procedimiento de licitación o cuando el importe de la operación no exceda de los montos establecidos por el Presupuesto de Egresos del Gobierno del Estado de México del ejercicio correspondiente. </w:t>
      </w:r>
    </w:p>
    <w:p w:rsidR="00283067" w:rsidRPr="002D4122" w:rsidRDefault="00283067" w:rsidP="00C27A9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83067" w:rsidRPr="002D4122" w:rsidRDefault="00283067" w:rsidP="00C27A98">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2D4122">
        <w:rPr>
          <w:rFonts w:ascii="Palatino Linotype" w:eastAsia="Palatino Linotype" w:hAnsi="Palatino Linotype" w:cs="Palatino Linotype"/>
          <w:color w:val="000000" w:themeColor="text1"/>
        </w:rPr>
        <w:t>Además, es oportuno señalar que, las disposiciones respecto a las bases, dictámenes, fallos y fianzas, se realizan con similitud al procedimiento de licitación pública, tal como lo señalan los artículos 46 y 90 de la misma Ley, que literalmente establecen:</w:t>
      </w:r>
    </w:p>
    <w:p w:rsidR="00B172A3" w:rsidRPr="002D4122" w:rsidRDefault="00B172A3" w:rsidP="00C27A98">
      <w:pPr>
        <w:pStyle w:val="Prrafodelista"/>
        <w:ind w:left="0"/>
        <w:rPr>
          <w:rFonts w:ascii="Palatino Linotype" w:hAnsi="Palatino Linotype"/>
          <w:color w:val="000000" w:themeColor="text1"/>
          <w:sz w:val="24"/>
        </w:rPr>
      </w:pPr>
    </w:p>
    <w:p w:rsidR="00B172A3" w:rsidRPr="002D4122" w:rsidRDefault="00B172A3" w:rsidP="00C27A98">
      <w:pPr>
        <w:pBdr>
          <w:top w:val="nil"/>
          <w:left w:val="nil"/>
          <w:bottom w:val="nil"/>
          <w:right w:val="nil"/>
          <w:between w:val="nil"/>
        </w:pBdr>
        <w:spacing w:line="360" w:lineRule="auto"/>
        <w:jc w:val="both"/>
        <w:rPr>
          <w:rFonts w:ascii="Palatino Linotype" w:hAnsi="Palatino Linotype"/>
          <w:color w:val="000000" w:themeColor="text1"/>
        </w:rPr>
      </w:pPr>
    </w:p>
    <w:p w:rsidR="00283067" w:rsidRPr="002D4122" w:rsidRDefault="00283067" w:rsidP="00C27A98">
      <w:pPr>
        <w:spacing w:line="360" w:lineRule="auto"/>
        <w:jc w:val="both"/>
        <w:rPr>
          <w:rFonts w:ascii="Palatino Linotype" w:eastAsia="Palatino Linotype" w:hAnsi="Palatino Linotype" w:cs="Palatino Linotype"/>
          <w:i/>
          <w:color w:val="000000" w:themeColor="text1"/>
        </w:rPr>
      </w:pPr>
      <w:r w:rsidRPr="002D4122">
        <w:rPr>
          <w:rFonts w:ascii="Palatino Linotype" w:eastAsia="Palatino Linotype" w:hAnsi="Palatino Linotype" w:cs="Palatino Linotype"/>
          <w:b/>
          <w:i/>
          <w:color w:val="000000" w:themeColor="text1"/>
        </w:rPr>
        <w:t>“Artículo 46.-</w:t>
      </w:r>
      <w:r w:rsidRPr="002D4122">
        <w:rPr>
          <w:rFonts w:ascii="Palatino Linotype" w:eastAsia="Palatino Linotype" w:hAnsi="Palatino Linotype" w:cs="Palatino Linotype"/>
          <w:i/>
          <w:color w:val="000000" w:themeColor="text1"/>
        </w:rPr>
        <w:t xml:space="preserve"> El procedimiento de invitación restringida se desarrollará en los términos de la licitación pública, a excepción de la publicación de la convocatoria.” (Sic)</w:t>
      </w:r>
    </w:p>
    <w:p w:rsidR="00283067" w:rsidRPr="002D4122" w:rsidRDefault="00283067" w:rsidP="00C27A98">
      <w:pPr>
        <w:spacing w:line="360" w:lineRule="auto"/>
        <w:jc w:val="both"/>
        <w:rPr>
          <w:rFonts w:ascii="Palatino Linotype" w:eastAsia="Palatino Linotype" w:hAnsi="Palatino Linotype" w:cs="Palatino Linotype"/>
          <w:i/>
          <w:color w:val="000000" w:themeColor="text1"/>
        </w:rPr>
      </w:pPr>
      <w:r w:rsidRPr="002D4122">
        <w:rPr>
          <w:rFonts w:ascii="Palatino Linotype" w:eastAsia="Palatino Linotype" w:hAnsi="Palatino Linotype" w:cs="Palatino Linotype"/>
          <w:i/>
          <w:color w:val="000000" w:themeColor="text1"/>
        </w:rPr>
        <w:t>Por ello, el Reglamento de la Ley en comento, en su artículo 90, indica cuales lo son los supuestos que deberán observarse para llevar a cabo dicho procedimiento:</w:t>
      </w:r>
    </w:p>
    <w:p w:rsidR="00283067" w:rsidRPr="002D4122" w:rsidRDefault="00283067" w:rsidP="00C27A98">
      <w:pPr>
        <w:spacing w:line="360" w:lineRule="auto"/>
        <w:jc w:val="both"/>
        <w:rPr>
          <w:rFonts w:ascii="Palatino Linotype" w:eastAsia="Palatino Linotype" w:hAnsi="Palatino Linotype" w:cs="Palatino Linotype"/>
          <w:b/>
          <w:i/>
          <w:color w:val="000000" w:themeColor="text1"/>
        </w:rPr>
      </w:pPr>
    </w:p>
    <w:p w:rsidR="00283067" w:rsidRPr="002D4122" w:rsidRDefault="00283067" w:rsidP="00C27A98">
      <w:pPr>
        <w:spacing w:line="360" w:lineRule="auto"/>
        <w:jc w:val="both"/>
        <w:rPr>
          <w:rFonts w:ascii="Palatino Linotype" w:eastAsia="Palatino Linotype" w:hAnsi="Palatino Linotype" w:cs="Palatino Linotype"/>
          <w:i/>
          <w:color w:val="000000" w:themeColor="text1"/>
        </w:rPr>
      </w:pPr>
      <w:r w:rsidRPr="002D4122">
        <w:rPr>
          <w:rFonts w:ascii="Palatino Linotype" w:eastAsia="Palatino Linotype" w:hAnsi="Palatino Linotype" w:cs="Palatino Linotype"/>
          <w:b/>
          <w:i/>
          <w:color w:val="000000" w:themeColor="text1"/>
        </w:rPr>
        <w:t>Artículo 90.-</w:t>
      </w:r>
      <w:r w:rsidRPr="002D4122">
        <w:rPr>
          <w:rFonts w:ascii="Palatino Linotype" w:eastAsia="Palatino Linotype" w:hAnsi="Palatino Linotype" w:cs="Palatino Linotype"/>
          <w:i/>
          <w:color w:val="000000" w:themeColor="text1"/>
        </w:rPr>
        <w:t xml:space="preserve"> En el procedimiento de invitación restringida se deberá observar lo siguiente:</w:t>
      </w:r>
    </w:p>
    <w:p w:rsidR="00283067" w:rsidRPr="002D4122" w:rsidRDefault="00283067" w:rsidP="00C27A98">
      <w:pPr>
        <w:spacing w:line="360" w:lineRule="auto"/>
        <w:jc w:val="both"/>
        <w:rPr>
          <w:rFonts w:ascii="Palatino Linotype" w:eastAsia="Palatino Linotype" w:hAnsi="Palatino Linotype" w:cs="Palatino Linotype"/>
          <w:i/>
          <w:color w:val="000000" w:themeColor="text1"/>
        </w:rPr>
      </w:pPr>
    </w:p>
    <w:p w:rsidR="00283067" w:rsidRPr="002D4122" w:rsidRDefault="00283067" w:rsidP="00C27A98">
      <w:pPr>
        <w:spacing w:line="360" w:lineRule="auto"/>
        <w:jc w:val="both"/>
        <w:rPr>
          <w:rFonts w:ascii="Palatino Linotype" w:eastAsia="Palatino Linotype" w:hAnsi="Palatino Linotype" w:cs="Palatino Linotype"/>
          <w:i/>
          <w:color w:val="000000" w:themeColor="text1"/>
        </w:rPr>
      </w:pPr>
      <w:r w:rsidRPr="002D4122">
        <w:rPr>
          <w:rFonts w:ascii="Palatino Linotype" w:eastAsia="Palatino Linotype" w:hAnsi="Palatino Linotype" w:cs="Palatino Linotype"/>
          <w:i/>
          <w:color w:val="000000" w:themeColor="text1"/>
        </w:rPr>
        <w:t>I. Se invitará a un mínimo de tres personas seleccionadas de entre las que se encuentren inscritas en el catálogo de proveedores y de prestadores de servicios.</w:t>
      </w:r>
    </w:p>
    <w:p w:rsidR="00283067" w:rsidRPr="002D4122" w:rsidRDefault="00283067" w:rsidP="00C27A98">
      <w:pPr>
        <w:spacing w:line="360" w:lineRule="auto"/>
        <w:jc w:val="both"/>
        <w:rPr>
          <w:rFonts w:ascii="Palatino Linotype" w:eastAsia="Palatino Linotype" w:hAnsi="Palatino Linotype" w:cs="Palatino Linotype"/>
          <w:i/>
          <w:color w:val="000000" w:themeColor="text1"/>
        </w:rPr>
      </w:pPr>
      <w:r w:rsidRPr="002D4122">
        <w:rPr>
          <w:rFonts w:ascii="Palatino Linotype" w:eastAsia="Palatino Linotype" w:hAnsi="Palatino Linotype" w:cs="Palatino Linotype"/>
          <w:i/>
          <w:color w:val="000000" w:themeColor="text1"/>
        </w:rPr>
        <w:lastRenderedPageBreak/>
        <w:t>Se podrá invitar a personas que no se encuentren inscritas, cuando en el giro correspondiente del catálogo de proveedores y prestadores de servicios no exista el registro mínimo de personas requeridas para tal modalidad;</w:t>
      </w:r>
    </w:p>
    <w:p w:rsidR="00283067" w:rsidRPr="002D4122" w:rsidRDefault="00283067" w:rsidP="00C27A98">
      <w:pPr>
        <w:spacing w:line="360" w:lineRule="auto"/>
        <w:jc w:val="both"/>
        <w:rPr>
          <w:rFonts w:ascii="Palatino Linotype" w:eastAsia="Palatino Linotype" w:hAnsi="Palatino Linotype" w:cs="Palatino Linotype"/>
          <w:i/>
          <w:color w:val="000000" w:themeColor="text1"/>
        </w:rPr>
      </w:pPr>
      <w:r w:rsidRPr="002D4122">
        <w:rPr>
          <w:rFonts w:ascii="Palatino Linotype" w:eastAsia="Palatino Linotype" w:hAnsi="Palatino Linotype" w:cs="Palatino Linotype"/>
          <w:i/>
          <w:color w:val="000000" w:themeColor="text1"/>
        </w:rPr>
        <w:t>II. Las bases de la invitación restringida indicarán los aspectos de la adquisición o contratación; y</w:t>
      </w:r>
    </w:p>
    <w:p w:rsidR="00283067" w:rsidRPr="002D4122" w:rsidRDefault="00283067" w:rsidP="00C27A98">
      <w:pPr>
        <w:spacing w:line="360" w:lineRule="auto"/>
        <w:jc w:val="both"/>
        <w:rPr>
          <w:rFonts w:ascii="Palatino Linotype" w:eastAsia="Palatino Linotype" w:hAnsi="Palatino Linotype" w:cs="Palatino Linotype"/>
          <w:b/>
          <w:i/>
          <w:color w:val="000000" w:themeColor="text1"/>
        </w:rPr>
      </w:pPr>
      <w:r w:rsidRPr="002D4122">
        <w:rPr>
          <w:rFonts w:ascii="Palatino Linotype" w:eastAsia="Palatino Linotype" w:hAnsi="Palatino Linotype" w:cs="Palatino Linotype"/>
          <w:i/>
          <w:color w:val="000000" w:themeColor="text1"/>
        </w:rPr>
        <w:t>III. Serán aplicables, en lo conducente, las disposiciones de la licitación pública.</w:t>
      </w:r>
      <w:r w:rsidRPr="002D4122">
        <w:rPr>
          <w:rFonts w:ascii="Palatino Linotype" w:eastAsia="Palatino Linotype" w:hAnsi="Palatino Linotype" w:cs="Palatino Linotype"/>
          <w:b/>
          <w:i/>
          <w:color w:val="000000" w:themeColor="text1"/>
        </w:rPr>
        <w:t>”</w:t>
      </w:r>
    </w:p>
    <w:p w:rsidR="00283067" w:rsidRPr="002D4122" w:rsidRDefault="00283067" w:rsidP="00C27A98">
      <w:pPr>
        <w:spacing w:line="360" w:lineRule="auto"/>
        <w:jc w:val="both"/>
        <w:rPr>
          <w:rFonts w:ascii="Palatino Linotype" w:eastAsia="Palatino Linotype" w:hAnsi="Palatino Linotype" w:cs="Palatino Linotype"/>
          <w:i/>
          <w:color w:val="000000" w:themeColor="text1"/>
        </w:rPr>
      </w:pPr>
    </w:p>
    <w:p w:rsidR="00283067" w:rsidRPr="002D4122" w:rsidRDefault="00283067" w:rsidP="00C27A98">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2D4122">
        <w:rPr>
          <w:rFonts w:ascii="Palatino Linotype" w:eastAsia="Palatino Linotype" w:hAnsi="Palatino Linotype" w:cs="Palatino Linotype"/>
          <w:color w:val="000000" w:themeColor="text1"/>
        </w:rPr>
        <w:t>En conclusión, referente a este punto cuando los procedimientos de adquisición o prestación de servicios materia de la Ley en cita, se hubieran llevado a cabo mediante invitación restringida, por cada procedimiento se debe contar con las bases, dictámenes, fallos y en su caso, fianzas, de haber sido esta la garantía exhibida.</w:t>
      </w:r>
    </w:p>
    <w:p w:rsidR="00B172A3" w:rsidRPr="002D4122" w:rsidRDefault="00B172A3" w:rsidP="00C27A98">
      <w:pPr>
        <w:pBdr>
          <w:top w:val="nil"/>
          <w:left w:val="nil"/>
          <w:bottom w:val="nil"/>
          <w:right w:val="nil"/>
          <w:between w:val="nil"/>
        </w:pBdr>
        <w:spacing w:line="360" w:lineRule="auto"/>
        <w:jc w:val="both"/>
        <w:rPr>
          <w:rFonts w:ascii="Palatino Linotype" w:hAnsi="Palatino Linotype"/>
          <w:color w:val="000000" w:themeColor="text1"/>
        </w:rPr>
      </w:pPr>
    </w:p>
    <w:p w:rsidR="00283067" w:rsidRPr="002D4122" w:rsidRDefault="00283067" w:rsidP="00C27A98">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2D4122">
        <w:rPr>
          <w:rFonts w:ascii="Palatino Linotype" w:eastAsia="Palatino Linotype" w:hAnsi="Palatino Linotype" w:cs="Palatino Linotype"/>
          <w:color w:val="000000" w:themeColor="text1"/>
        </w:rPr>
        <w:t>Por último, y en cuanto hace a la adjudicación directa, el artículo 48 de la Ley de la Contratación Pública del Estado de México y Municipios y 91 del Reglamento de dicha Ley, indican en qué supuestos puede llevarse a cabo este procedimiento.</w:t>
      </w:r>
    </w:p>
    <w:p w:rsidR="00283067" w:rsidRPr="002D4122" w:rsidRDefault="00283067" w:rsidP="00C27A98">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283067" w:rsidRPr="002D4122" w:rsidRDefault="00283067" w:rsidP="00C27A98">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2D4122">
        <w:rPr>
          <w:rFonts w:ascii="Palatino Linotype" w:eastAsia="Palatino Linotype" w:hAnsi="Palatino Linotype" w:cs="Palatino Linotype"/>
          <w:color w:val="000000" w:themeColor="text1"/>
        </w:rPr>
        <w:t xml:space="preserve">En este sentido, el convocante debe solicitar a su comité el dictamen correspondiente del procedimiento de adjudicación directa, en el que se acredite previamente la descripción general de los bienes a adquirir; </w:t>
      </w:r>
      <w:r w:rsidRPr="002D4122">
        <w:rPr>
          <w:rFonts w:ascii="Palatino Linotype" w:eastAsia="Palatino Linotype" w:hAnsi="Palatino Linotype" w:cs="Palatino Linotype"/>
          <w:b/>
          <w:color w:val="000000" w:themeColor="text1"/>
        </w:rPr>
        <w:t>la justificación o conveniencia de llevar a cabo la adjudicación directa</w:t>
      </w:r>
      <w:r w:rsidRPr="002D4122">
        <w:rPr>
          <w:rFonts w:ascii="Palatino Linotype" w:eastAsia="Palatino Linotype" w:hAnsi="Palatino Linotype" w:cs="Palatino Linotype"/>
          <w:color w:val="000000" w:themeColor="text1"/>
        </w:rPr>
        <w:t>; y la certificación de suficiencia presupuestaria.</w:t>
      </w:r>
    </w:p>
    <w:p w:rsidR="00283067" w:rsidRPr="002D4122" w:rsidRDefault="00283067" w:rsidP="00C27A98">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283067" w:rsidRPr="002D4122" w:rsidRDefault="00283067" w:rsidP="00C27A98">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2D4122">
        <w:rPr>
          <w:rFonts w:ascii="Palatino Linotype" w:eastAsia="Palatino Linotype" w:hAnsi="Palatino Linotype" w:cs="Palatino Linotype"/>
          <w:color w:val="000000" w:themeColor="text1"/>
        </w:rPr>
        <w:t xml:space="preserve">En este sentido, debe decirse que los </w:t>
      </w:r>
      <w:r w:rsidRPr="002D4122">
        <w:rPr>
          <w:rFonts w:ascii="Palatino Linotype" w:eastAsia="Palatino Linotype" w:hAnsi="Palatino Linotype" w:cs="Palatino Linotype"/>
          <w:b/>
          <w:color w:val="000000" w:themeColor="text1"/>
          <w:u w:val="single"/>
        </w:rPr>
        <w:t>expedientes de las adquisiciones, arrendamientos, enajenaciones y servicios</w:t>
      </w:r>
      <w:r w:rsidRPr="002D4122">
        <w:rPr>
          <w:rFonts w:ascii="Palatino Linotype" w:eastAsia="Palatino Linotype" w:hAnsi="Palatino Linotype" w:cs="Palatino Linotype"/>
          <w:color w:val="000000" w:themeColor="text1"/>
        </w:rPr>
        <w:t xml:space="preserve">, se encuentra considerada como una de las </w:t>
      </w:r>
      <w:r w:rsidRPr="002D4122">
        <w:rPr>
          <w:rFonts w:ascii="Palatino Linotype" w:eastAsia="Palatino Linotype" w:hAnsi="Palatino Linotype" w:cs="Palatino Linotype"/>
          <w:color w:val="000000" w:themeColor="text1"/>
        </w:rPr>
        <w:lastRenderedPageBreak/>
        <w:t>obligaciones de transparencias común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de la de la Ley de Transparencia y Acceso a la Información Pública del Estado de México y Municipios, en su fracción XXIX, dispone lo siguiente:</w:t>
      </w:r>
    </w:p>
    <w:p w:rsidR="00B172A3" w:rsidRPr="002D4122" w:rsidRDefault="00B172A3" w:rsidP="00C27A98">
      <w:pPr>
        <w:pStyle w:val="Prrafodelista"/>
        <w:ind w:left="0"/>
        <w:rPr>
          <w:rFonts w:ascii="Palatino Linotype" w:hAnsi="Palatino Linotype"/>
          <w:color w:val="000000" w:themeColor="text1"/>
          <w:sz w:val="24"/>
        </w:rPr>
      </w:pPr>
    </w:p>
    <w:p w:rsidR="00B172A3" w:rsidRPr="002D4122" w:rsidRDefault="00B172A3" w:rsidP="00C27A98">
      <w:pPr>
        <w:pBdr>
          <w:top w:val="nil"/>
          <w:left w:val="nil"/>
          <w:bottom w:val="nil"/>
          <w:right w:val="nil"/>
          <w:between w:val="nil"/>
        </w:pBdr>
        <w:spacing w:line="360" w:lineRule="auto"/>
        <w:jc w:val="both"/>
        <w:rPr>
          <w:rFonts w:ascii="Palatino Linotype" w:hAnsi="Palatino Linotype"/>
          <w:color w:val="000000" w:themeColor="text1"/>
        </w:rPr>
      </w:pPr>
    </w:p>
    <w:p w:rsidR="00283067" w:rsidRPr="002D4122" w:rsidRDefault="00283067" w:rsidP="00C27A98">
      <w:pPr>
        <w:spacing w:line="360" w:lineRule="auto"/>
        <w:jc w:val="both"/>
        <w:rPr>
          <w:rFonts w:ascii="Palatino Linotype" w:eastAsia="Palatino Linotype" w:hAnsi="Palatino Linotype" w:cs="Palatino Linotype"/>
          <w:color w:val="000000" w:themeColor="text1"/>
        </w:rPr>
      </w:pPr>
      <w:r w:rsidRPr="002D4122">
        <w:rPr>
          <w:rFonts w:ascii="Palatino Linotype" w:eastAsia="Palatino Linotype" w:hAnsi="Palatino Linotype" w:cs="Palatino Linotype"/>
          <w:b/>
          <w:i/>
          <w:color w:val="000000" w:themeColor="text1"/>
        </w:rPr>
        <w:t>“Artículo 92. </w:t>
      </w:r>
      <w:r w:rsidRPr="002D4122">
        <w:rPr>
          <w:rFonts w:ascii="Palatino Linotype" w:eastAsia="Palatino Linotype" w:hAnsi="Palatino Linotype" w:cs="Palatino Linotype"/>
          <w:i/>
          <w:color w:val="000000" w:themeColor="text1"/>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283067" w:rsidRPr="002D4122" w:rsidRDefault="00283067" w:rsidP="00C27A98">
      <w:pPr>
        <w:spacing w:line="360" w:lineRule="auto"/>
        <w:jc w:val="both"/>
        <w:rPr>
          <w:rFonts w:ascii="Palatino Linotype" w:eastAsia="Palatino Linotype" w:hAnsi="Palatino Linotype" w:cs="Palatino Linotype"/>
          <w:color w:val="000000" w:themeColor="text1"/>
        </w:rPr>
      </w:pPr>
      <w:r w:rsidRPr="002D4122">
        <w:rPr>
          <w:rFonts w:ascii="Palatino Linotype" w:eastAsia="Palatino Linotype" w:hAnsi="Palatino Linotype" w:cs="Palatino Linotype"/>
          <w:i/>
          <w:color w:val="000000" w:themeColor="text1"/>
        </w:rPr>
        <w:t>(…)</w:t>
      </w:r>
    </w:p>
    <w:p w:rsidR="00283067" w:rsidRPr="002D4122" w:rsidRDefault="00283067" w:rsidP="00C27A98">
      <w:pPr>
        <w:spacing w:line="360" w:lineRule="auto"/>
        <w:jc w:val="both"/>
        <w:rPr>
          <w:rFonts w:ascii="Palatino Linotype" w:eastAsia="Palatino Linotype" w:hAnsi="Palatino Linotype" w:cs="Palatino Linotype"/>
          <w:color w:val="000000" w:themeColor="text1"/>
        </w:rPr>
      </w:pPr>
      <w:r w:rsidRPr="002D4122">
        <w:rPr>
          <w:rFonts w:ascii="Palatino Linotype" w:eastAsia="Palatino Linotype" w:hAnsi="Palatino Linotype" w:cs="Palatino Linotype"/>
          <w:b/>
          <w:i/>
          <w:color w:val="000000" w:themeColor="text1"/>
        </w:rPr>
        <w:t>XXIX. </w:t>
      </w:r>
      <w:r w:rsidRPr="002D4122">
        <w:rPr>
          <w:rFonts w:ascii="Palatino Linotype" w:eastAsia="Palatino Linotype" w:hAnsi="Palatino Linotype" w:cs="Palatino Linotype"/>
          <w:i/>
          <w:color w:val="000000" w:themeColor="text1"/>
        </w:rPr>
        <w:t>La información sobre los procesos y resultados sobre procedimientos de adjudicación directa, invitación restringida y licitación de cualquier naturaleza, </w:t>
      </w:r>
      <w:r w:rsidRPr="002D4122">
        <w:rPr>
          <w:rFonts w:ascii="Palatino Linotype" w:eastAsia="Palatino Linotype" w:hAnsi="Palatino Linotype" w:cs="Palatino Linotype"/>
          <w:b/>
          <w:i/>
          <w:color w:val="000000" w:themeColor="text1"/>
          <w:u w:val="single"/>
        </w:rPr>
        <w:t>incluyendo la versión pública del expediente respectivo y de los contratos</w:t>
      </w:r>
      <w:r w:rsidRPr="002D4122">
        <w:rPr>
          <w:rFonts w:ascii="Palatino Linotype" w:eastAsia="Palatino Linotype" w:hAnsi="Palatino Linotype" w:cs="Palatino Linotype"/>
          <w:i/>
          <w:color w:val="000000" w:themeColor="text1"/>
        </w:rPr>
        <w:t> celebrados, que deberán contener, por los menos, lo siguiente:</w:t>
      </w:r>
    </w:p>
    <w:p w:rsidR="00283067" w:rsidRPr="002D4122" w:rsidRDefault="00283067" w:rsidP="00C27A98">
      <w:pPr>
        <w:spacing w:line="360" w:lineRule="auto"/>
        <w:jc w:val="both"/>
        <w:rPr>
          <w:rFonts w:ascii="Palatino Linotype" w:eastAsia="Palatino Linotype" w:hAnsi="Palatino Linotype" w:cs="Palatino Linotype"/>
          <w:color w:val="000000" w:themeColor="text1"/>
        </w:rPr>
      </w:pPr>
      <w:r w:rsidRPr="002D4122">
        <w:rPr>
          <w:rFonts w:ascii="Palatino Linotype" w:eastAsia="Palatino Linotype" w:hAnsi="Palatino Linotype" w:cs="Palatino Linotype"/>
          <w:b/>
          <w:i/>
          <w:color w:val="000000" w:themeColor="text1"/>
        </w:rPr>
        <w:t>a) </w:t>
      </w:r>
      <w:r w:rsidRPr="002D4122">
        <w:rPr>
          <w:rFonts w:ascii="Palatino Linotype" w:eastAsia="Palatino Linotype" w:hAnsi="Palatino Linotype" w:cs="Palatino Linotype"/>
          <w:i/>
          <w:color w:val="000000" w:themeColor="text1"/>
        </w:rPr>
        <w:t>De licitaciones públicas o procedimientos de invitación restringida:</w:t>
      </w:r>
    </w:p>
    <w:p w:rsidR="00283067" w:rsidRPr="002D4122" w:rsidRDefault="00283067" w:rsidP="00C27A98">
      <w:pPr>
        <w:spacing w:line="360" w:lineRule="auto"/>
        <w:jc w:val="both"/>
        <w:rPr>
          <w:rFonts w:ascii="Palatino Linotype" w:eastAsia="Palatino Linotype" w:hAnsi="Palatino Linotype" w:cs="Palatino Linotype"/>
          <w:color w:val="000000" w:themeColor="text1"/>
        </w:rPr>
      </w:pPr>
      <w:r w:rsidRPr="002D4122">
        <w:rPr>
          <w:rFonts w:ascii="Palatino Linotype" w:eastAsia="Palatino Linotype" w:hAnsi="Palatino Linotype" w:cs="Palatino Linotype"/>
          <w:b/>
          <w:i/>
          <w:color w:val="000000" w:themeColor="text1"/>
        </w:rPr>
        <w:t>1)</w:t>
      </w:r>
      <w:r w:rsidRPr="002D4122">
        <w:rPr>
          <w:rFonts w:ascii="Palatino Linotype" w:eastAsia="Palatino Linotype" w:hAnsi="Palatino Linotype" w:cs="Palatino Linotype"/>
          <w:i/>
          <w:color w:val="000000" w:themeColor="text1"/>
        </w:rPr>
        <w:t> La convocatoria o invitación emitida, así como los fundamentos legales aplicados para llevarla a cabo;</w:t>
      </w:r>
    </w:p>
    <w:p w:rsidR="00283067" w:rsidRPr="002D4122" w:rsidRDefault="00283067" w:rsidP="00C27A98">
      <w:pPr>
        <w:spacing w:line="360" w:lineRule="auto"/>
        <w:jc w:val="both"/>
        <w:rPr>
          <w:rFonts w:ascii="Palatino Linotype" w:eastAsia="Palatino Linotype" w:hAnsi="Palatino Linotype" w:cs="Palatino Linotype"/>
          <w:b/>
          <w:color w:val="000000" w:themeColor="text1"/>
        </w:rPr>
      </w:pPr>
      <w:r w:rsidRPr="002D4122">
        <w:rPr>
          <w:rFonts w:ascii="Palatino Linotype" w:eastAsia="Palatino Linotype" w:hAnsi="Palatino Linotype" w:cs="Palatino Linotype"/>
          <w:b/>
          <w:i/>
          <w:color w:val="000000" w:themeColor="text1"/>
        </w:rPr>
        <w:t>2) Los nombres de los participantes o invitados;</w:t>
      </w:r>
    </w:p>
    <w:p w:rsidR="00283067" w:rsidRPr="002D4122" w:rsidRDefault="00283067" w:rsidP="00C27A98">
      <w:pPr>
        <w:spacing w:line="360" w:lineRule="auto"/>
        <w:jc w:val="both"/>
        <w:rPr>
          <w:rFonts w:ascii="Palatino Linotype" w:eastAsia="Palatino Linotype" w:hAnsi="Palatino Linotype" w:cs="Palatino Linotype"/>
          <w:b/>
          <w:color w:val="000000" w:themeColor="text1"/>
        </w:rPr>
      </w:pPr>
      <w:r w:rsidRPr="002D4122">
        <w:rPr>
          <w:rFonts w:ascii="Palatino Linotype" w:eastAsia="Palatino Linotype" w:hAnsi="Palatino Linotype" w:cs="Palatino Linotype"/>
          <w:b/>
          <w:i/>
          <w:color w:val="000000" w:themeColor="text1"/>
        </w:rPr>
        <w:t>3) El nombre del ganador y las razones que lo justifican;</w:t>
      </w:r>
    </w:p>
    <w:p w:rsidR="00283067" w:rsidRPr="002D4122" w:rsidRDefault="00283067" w:rsidP="00C27A98">
      <w:pPr>
        <w:spacing w:line="360" w:lineRule="auto"/>
        <w:jc w:val="both"/>
        <w:rPr>
          <w:rFonts w:ascii="Palatino Linotype" w:eastAsia="Palatino Linotype" w:hAnsi="Palatino Linotype" w:cs="Palatino Linotype"/>
          <w:color w:val="000000" w:themeColor="text1"/>
        </w:rPr>
      </w:pPr>
      <w:r w:rsidRPr="002D4122">
        <w:rPr>
          <w:rFonts w:ascii="Palatino Linotype" w:eastAsia="Palatino Linotype" w:hAnsi="Palatino Linotype" w:cs="Palatino Linotype"/>
          <w:b/>
          <w:i/>
          <w:color w:val="000000" w:themeColor="text1"/>
        </w:rPr>
        <w:lastRenderedPageBreak/>
        <w:t>4) </w:t>
      </w:r>
      <w:r w:rsidRPr="002D4122">
        <w:rPr>
          <w:rFonts w:ascii="Palatino Linotype" w:eastAsia="Palatino Linotype" w:hAnsi="Palatino Linotype" w:cs="Palatino Linotype"/>
          <w:i/>
          <w:color w:val="000000" w:themeColor="text1"/>
        </w:rPr>
        <w:t>El área solicitante y la responsable de su ejecución;</w:t>
      </w:r>
    </w:p>
    <w:p w:rsidR="00283067" w:rsidRPr="002D4122" w:rsidRDefault="00283067" w:rsidP="00C27A98">
      <w:pPr>
        <w:spacing w:line="360" w:lineRule="auto"/>
        <w:jc w:val="both"/>
        <w:rPr>
          <w:rFonts w:ascii="Palatino Linotype" w:eastAsia="Palatino Linotype" w:hAnsi="Palatino Linotype" w:cs="Palatino Linotype"/>
          <w:color w:val="000000" w:themeColor="text1"/>
        </w:rPr>
      </w:pPr>
      <w:r w:rsidRPr="002D4122">
        <w:rPr>
          <w:rFonts w:ascii="Palatino Linotype" w:eastAsia="Palatino Linotype" w:hAnsi="Palatino Linotype" w:cs="Palatino Linotype"/>
          <w:b/>
          <w:i/>
          <w:color w:val="000000" w:themeColor="text1"/>
        </w:rPr>
        <w:t>5) </w:t>
      </w:r>
      <w:r w:rsidRPr="002D4122">
        <w:rPr>
          <w:rFonts w:ascii="Palatino Linotype" w:eastAsia="Palatino Linotype" w:hAnsi="Palatino Linotype" w:cs="Palatino Linotype"/>
          <w:i/>
          <w:color w:val="000000" w:themeColor="text1"/>
        </w:rPr>
        <w:t>Las convocatorias e invitaciones emitidas;</w:t>
      </w:r>
    </w:p>
    <w:p w:rsidR="00283067" w:rsidRPr="002D4122" w:rsidRDefault="00283067" w:rsidP="00C27A98">
      <w:pPr>
        <w:spacing w:line="360" w:lineRule="auto"/>
        <w:jc w:val="both"/>
        <w:rPr>
          <w:rFonts w:ascii="Palatino Linotype" w:eastAsia="Palatino Linotype" w:hAnsi="Palatino Linotype" w:cs="Palatino Linotype"/>
          <w:i/>
          <w:color w:val="000000" w:themeColor="text1"/>
        </w:rPr>
      </w:pPr>
      <w:r w:rsidRPr="002D4122">
        <w:rPr>
          <w:rFonts w:ascii="Palatino Linotype" w:eastAsia="Palatino Linotype" w:hAnsi="Palatino Linotype" w:cs="Palatino Linotype"/>
          <w:i/>
          <w:color w:val="000000" w:themeColor="text1"/>
        </w:rPr>
        <w:t>6) Los dictámenes y fallo de adjudicación;</w:t>
      </w:r>
    </w:p>
    <w:p w:rsidR="00283067" w:rsidRPr="002D4122" w:rsidRDefault="00283067" w:rsidP="00C27A98">
      <w:pPr>
        <w:spacing w:line="360" w:lineRule="auto"/>
        <w:jc w:val="both"/>
        <w:rPr>
          <w:rFonts w:ascii="Palatino Linotype" w:eastAsia="Palatino Linotype" w:hAnsi="Palatino Linotype" w:cs="Palatino Linotype"/>
          <w:b/>
          <w:i/>
          <w:color w:val="000000" w:themeColor="text1"/>
        </w:rPr>
      </w:pPr>
      <w:r w:rsidRPr="002D4122">
        <w:rPr>
          <w:rFonts w:ascii="Palatino Linotype" w:eastAsia="Palatino Linotype" w:hAnsi="Palatino Linotype" w:cs="Palatino Linotype"/>
          <w:b/>
          <w:i/>
          <w:color w:val="000000" w:themeColor="text1"/>
          <w:u w:val="single"/>
        </w:rPr>
        <w:t>7) El contrato y, en su caso, sus anexos</w:t>
      </w:r>
      <w:r w:rsidRPr="002D4122">
        <w:rPr>
          <w:rFonts w:ascii="Palatino Linotype" w:eastAsia="Palatino Linotype" w:hAnsi="Palatino Linotype" w:cs="Palatino Linotype"/>
          <w:b/>
          <w:i/>
          <w:color w:val="000000" w:themeColor="text1"/>
        </w:rPr>
        <w:t>;</w:t>
      </w:r>
    </w:p>
    <w:p w:rsidR="00283067" w:rsidRPr="002D4122" w:rsidRDefault="00283067" w:rsidP="00C27A98">
      <w:pPr>
        <w:spacing w:line="360" w:lineRule="auto"/>
        <w:jc w:val="both"/>
        <w:rPr>
          <w:rFonts w:ascii="Palatino Linotype" w:eastAsia="Palatino Linotype" w:hAnsi="Palatino Linotype" w:cs="Palatino Linotype"/>
          <w:i/>
          <w:color w:val="000000" w:themeColor="text1"/>
        </w:rPr>
      </w:pPr>
      <w:r w:rsidRPr="002D4122">
        <w:rPr>
          <w:rFonts w:ascii="Palatino Linotype" w:eastAsia="Palatino Linotype" w:hAnsi="Palatino Linotype" w:cs="Palatino Linotype"/>
          <w:i/>
          <w:color w:val="000000" w:themeColor="text1"/>
        </w:rPr>
        <w:t>8) Los mecanismos de vigilancia y supervisión, incluyendo en su caso, los estudios de impacto urbano y ambiental, según corresponda;</w:t>
      </w:r>
    </w:p>
    <w:p w:rsidR="00283067" w:rsidRPr="002D4122" w:rsidRDefault="00283067" w:rsidP="00C27A98">
      <w:pPr>
        <w:spacing w:line="360" w:lineRule="auto"/>
        <w:jc w:val="both"/>
        <w:rPr>
          <w:rFonts w:ascii="Palatino Linotype" w:eastAsia="Palatino Linotype" w:hAnsi="Palatino Linotype" w:cs="Palatino Linotype"/>
          <w:color w:val="000000" w:themeColor="text1"/>
        </w:rPr>
      </w:pPr>
      <w:r w:rsidRPr="002D4122">
        <w:rPr>
          <w:rFonts w:ascii="Palatino Linotype" w:eastAsia="Palatino Linotype" w:hAnsi="Palatino Linotype" w:cs="Palatino Linotype"/>
          <w:b/>
          <w:i/>
          <w:color w:val="000000" w:themeColor="text1"/>
        </w:rPr>
        <w:t>9) </w:t>
      </w:r>
      <w:r w:rsidRPr="002D4122">
        <w:rPr>
          <w:rFonts w:ascii="Palatino Linotype" w:eastAsia="Palatino Linotype" w:hAnsi="Palatino Linotype" w:cs="Palatino Linotype"/>
          <w:i/>
          <w:color w:val="000000" w:themeColor="text1"/>
        </w:rPr>
        <w:t>La partida presupuestal, de conformidad con el clasificador por objeto del gasto, en el caso de ser aplicable;</w:t>
      </w:r>
    </w:p>
    <w:p w:rsidR="00283067" w:rsidRPr="002D4122" w:rsidRDefault="00283067" w:rsidP="00C27A98">
      <w:pPr>
        <w:spacing w:line="360" w:lineRule="auto"/>
        <w:jc w:val="both"/>
        <w:rPr>
          <w:rFonts w:ascii="Palatino Linotype" w:eastAsia="Palatino Linotype" w:hAnsi="Palatino Linotype" w:cs="Palatino Linotype"/>
          <w:color w:val="000000" w:themeColor="text1"/>
        </w:rPr>
      </w:pPr>
      <w:r w:rsidRPr="002D4122">
        <w:rPr>
          <w:rFonts w:ascii="Palatino Linotype" w:eastAsia="Palatino Linotype" w:hAnsi="Palatino Linotype" w:cs="Palatino Linotype"/>
          <w:i/>
          <w:color w:val="000000" w:themeColor="text1"/>
        </w:rPr>
        <w:t>10) Origen de los recursos especificando si son federales, estatales o municipales, así como el tipo de fondo de participación o aportación respectiva;</w:t>
      </w:r>
    </w:p>
    <w:p w:rsidR="00283067" w:rsidRPr="002D4122" w:rsidRDefault="00283067" w:rsidP="00C27A98">
      <w:pPr>
        <w:spacing w:line="360" w:lineRule="auto"/>
        <w:jc w:val="both"/>
        <w:rPr>
          <w:rFonts w:ascii="Palatino Linotype" w:eastAsia="Palatino Linotype" w:hAnsi="Palatino Linotype" w:cs="Palatino Linotype"/>
          <w:b/>
          <w:color w:val="000000" w:themeColor="text1"/>
        </w:rPr>
      </w:pPr>
      <w:r w:rsidRPr="002D4122">
        <w:rPr>
          <w:rFonts w:ascii="Palatino Linotype" w:eastAsia="Palatino Linotype" w:hAnsi="Palatino Linotype" w:cs="Palatino Linotype"/>
          <w:b/>
          <w:i/>
          <w:color w:val="000000" w:themeColor="text1"/>
        </w:rPr>
        <w:t>11) Los convenios modificatorios que, en su caso, sean firmados, precisando el objeto y la fecha de celebración;</w:t>
      </w:r>
    </w:p>
    <w:p w:rsidR="00283067" w:rsidRPr="002D4122" w:rsidRDefault="00283067" w:rsidP="00C27A98">
      <w:pPr>
        <w:spacing w:line="360" w:lineRule="auto"/>
        <w:jc w:val="both"/>
        <w:rPr>
          <w:rFonts w:ascii="Palatino Linotype" w:eastAsia="Palatino Linotype" w:hAnsi="Palatino Linotype" w:cs="Palatino Linotype"/>
          <w:color w:val="000000" w:themeColor="text1"/>
        </w:rPr>
      </w:pPr>
      <w:r w:rsidRPr="002D4122">
        <w:rPr>
          <w:rFonts w:ascii="Palatino Linotype" w:eastAsia="Palatino Linotype" w:hAnsi="Palatino Linotype" w:cs="Palatino Linotype"/>
          <w:b/>
          <w:i/>
          <w:color w:val="000000" w:themeColor="text1"/>
        </w:rPr>
        <w:t>12) </w:t>
      </w:r>
      <w:r w:rsidRPr="002D4122">
        <w:rPr>
          <w:rFonts w:ascii="Palatino Linotype" w:eastAsia="Palatino Linotype" w:hAnsi="Palatino Linotype" w:cs="Palatino Linotype"/>
          <w:i/>
          <w:color w:val="000000" w:themeColor="text1"/>
        </w:rPr>
        <w:t>Los informes de avance físico y financiero sobre las obras o servicios contratados;</w:t>
      </w:r>
    </w:p>
    <w:p w:rsidR="00283067" w:rsidRPr="002D4122" w:rsidRDefault="00283067" w:rsidP="00C27A98">
      <w:pPr>
        <w:spacing w:line="360" w:lineRule="auto"/>
        <w:jc w:val="both"/>
        <w:rPr>
          <w:rFonts w:ascii="Palatino Linotype" w:eastAsia="Palatino Linotype" w:hAnsi="Palatino Linotype" w:cs="Palatino Linotype"/>
          <w:color w:val="000000" w:themeColor="text1"/>
        </w:rPr>
      </w:pPr>
      <w:r w:rsidRPr="002D4122">
        <w:rPr>
          <w:rFonts w:ascii="Palatino Linotype" w:eastAsia="Palatino Linotype" w:hAnsi="Palatino Linotype" w:cs="Palatino Linotype"/>
          <w:b/>
          <w:i/>
          <w:color w:val="000000" w:themeColor="text1"/>
        </w:rPr>
        <w:t>13) </w:t>
      </w:r>
      <w:r w:rsidRPr="002D4122">
        <w:rPr>
          <w:rFonts w:ascii="Palatino Linotype" w:eastAsia="Palatino Linotype" w:hAnsi="Palatino Linotype" w:cs="Palatino Linotype"/>
          <w:i/>
          <w:color w:val="000000" w:themeColor="text1"/>
        </w:rPr>
        <w:t>El convenio de terminación; y</w:t>
      </w:r>
    </w:p>
    <w:p w:rsidR="00283067" w:rsidRPr="002D4122" w:rsidRDefault="00283067" w:rsidP="00C27A98">
      <w:pPr>
        <w:spacing w:line="360" w:lineRule="auto"/>
        <w:jc w:val="both"/>
        <w:rPr>
          <w:rFonts w:ascii="Palatino Linotype" w:eastAsia="Palatino Linotype" w:hAnsi="Palatino Linotype" w:cs="Palatino Linotype"/>
          <w:color w:val="000000" w:themeColor="text1"/>
        </w:rPr>
      </w:pPr>
      <w:r w:rsidRPr="002D4122">
        <w:rPr>
          <w:rFonts w:ascii="Palatino Linotype" w:eastAsia="Palatino Linotype" w:hAnsi="Palatino Linotype" w:cs="Palatino Linotype"/>
          <w:b/>
          <w:i/>
          <w:color w:val="000000" w:themeColor="text1"/>
        </w:rPr>
        <w:t>14) </w:t>
      </w:r>
      <w:r w:rsidRPr="002D4122">
        <w:rPr>
          <w:rFonts w:ascii="Palatino Linotype" w:eastAsia="Palatino Linotype" w:hAnsi="Palatino Linotype" w:cs="Palatino Linotype"/>
          <w:i/>
          <w:color w:val="000000" w:themeColor="text1"/>
        </w:rPr>
        <w:t>El finiquito.</w:t>
      </w:r>
    </w:p>
    <w:p w:rsidR="00283067" w:rsidRPr="002D4122" w:rsidRDefault="00283067" w:rsidP="00C27A98">
      <w:pPr>
        <w:spacing w:line="360" w:lineRule="auto"/>
        <w:jc w:val="both"/>
        <w:rPr>
          <w:rFonts w:ascii="Palatino Linotype" w:eastAsia="Palatino Linotype" w:hAnsi="Palatino Linotype" w:cs="Palatino Linotype"/>
          <w:b/>
          <w:color w:val="000000" w:themeColor="text1"/>
        </w:rPr>
      </w:pPr>
      <w:r w:rsidRPr="002D4122">
        <w:rPr>
          <w:rFonts w:ascii="Palatino Linotype" w:eastAsia="Palatino Linotype" w:hAnsi="Palatino Linotype" w:cs="Palatino Linotype"/>
          <w:b/>
          <w:i/>
          <w:color w:val="000000" w:themeColor="text1"/>
        </w:rPr>
        <w:t>b) De las adjudicaciones directas:</w:t>
      </w:r>
    </w:p>
    <w:p w:rsidR="00283067" w:rsidRPr="002D4122" w:rsidRDefault="00283067" w:rsidP="00C27A98">
      <w:pPr>
        <w:spacing w:line="360" w:lineRule="auto"/>
        <w:jc w:val="both"/>
        <w:rPr>
          <w:rFonts w:ascii="Palatino Linotype" w:eastAsia="Palatino Linotype" w:hAnsi="Palatino Linotype" w:cs="Palatino Linotype"/>
          <w:color w:val="000000" w:themeColor="text1"/>
        </w:rPr>
      </w:pPr>
      <w:r w:rsidRPr="002D4122">
        <w:rPr>
          <w:rFonts w:ascii="Palatino Linotype" w:eastAsia="Palatino Linotype" w:hAnsi="Palatino Linotype" w:cs="Palatino Linotype"/>
          <w:b/>
          <w:i/>
          <w:color w:val="000000" w:themeColor="text1"/>
        </w:rPr>
        <w:t>1) </w:t>
      </w:r>
      <w:r w:rsidRPr="002D4122">
        <w:rPr>
          <w:rFonts w:ascii="Palatino Linotype" w:eastAsia="Palatino Linotype" w:hAnsi="Palatino Linotype" w:cs="Palatino Linotype"/>
          <w:i/>
          <w:color w:val="000000" w:themeColor="text1"/>
        </w:rPr>
        <w:t>La propuesta enviada por el participante;</w:t>
      </w:r>
    </w:p>
    <w:p w:rsidR="00283067" w:rsidRPr="002D4122" w:rsidRDefault="00283067" w:rsidP="00C27A98">
      <w:pPr>
        <w:spacing w:line="360" w:lineRule="auto"/>
        <w:jc w:val="both"/>
        <w:rPr>
          <w:rFonts w:ascii="Palatino Linotype" w:eastAsia="Palatino Linotype" w:hAnsi="Palatino Linotype" w:cs="Palatino Linotype"/>
          <w:b/>
          <w:color w:val="000000" w:themeColor="text1"/>
        </w:rPr>
      </w:pPr>
      <w:r w:rsidRPr="002D4122">
        <w:rPr>
          <w:rFonts w:ascii="Palatino Linotype" w:eastAsia="Palatino Linotype" w:hAnsi="Palatino Linotype" w:cs="Palatino Linotype"/>
          <w:b/>
          <w:i/>
          <w:color w:val="000000" w:themeColor="text1"/>
        </w:rPr>
        <w:t>2) Los motivos y fundamentos legales aplicados para llevarla a cabo;</w:t>
      </w:r>
    </w:p>
    <w:p w:rsidR="00283067" w:rsidRPr="002D4122" w:rsidRDefault="00283067" w:rsidP="00C27A98">
      <w:pPr>
        <w:spacing w:line="360" w:lineRule="auto"/>
        <w:jc w:val="both"/>
        <w:rPr>
          <w:rFonts w:ascii="Palatino Linotype" w:eastAsia="Palatino Linotype" w:hAnsi="Palatino Linotype" w:cs="Palatino Linotype"/>
          <w:color w:val="000000" w:themeColor="text1"/>
        </w:rPr>
      </w:pPr>
      <w:r w:rsidRPr="002D4122">
        <w:rPr>
          <w:rFonts w:ascii="Palatino Linotype" w:eastAsia="Palatino Linotype" w:hAnsi="Palatino Linotype" w:cs="Palatino Linotype"/>
          <w:b/>
          <w:i/>
          <w:color w:val="000000" w:themeColor="text1"/>
        </w:rPr>
        <w:t>3) </w:t>
      </w:r>
      <w:r w:rsidRPr="002D4122">
        <w:rPr>
          <w:rFonts w:ascii="Palatino Linotype" w:eastAsia="Palatino Linotype" w:hAnsi="Palatino Linotype" w:cs="Palatino Linotype"/>
          <w:i/>
          <w:color w:val="000000" w:themeColor="text1"/>
        </w:rPr>
        <w:t>La autorización del ejercicio de la opción;</w:t>
      </w:r>
    </w:p>
    <w:p w:rsidR="00283067" w:rsidRPr="002D4122" w:rsidRDefault="00283067" w:rsidP="00C27A98">
      <w:pPr>
        <w:spacing w:line="360" w:lineRule="auto"/>
        <w:jc w:val="both"/>
        <w:rPr>
          <w:rFonts w:ascii="Palatino Linotype" w:eastAsia="Palatino Linotype" w:hAnsi="Palatino Linotype" w:cs="Palatino Linotype"/>
          <w:color w:val="000000" w:themeColor="text1"/>
        </w:rPr>
      </w:pPr>
      <w:r w:rsidRPr="002D4122">
        <w:rPr>
          <w:rFonts w:ascii="Palatino Linotype" w:eastAsia="Palatino Linotype" w:hAnsi="Palatino Linotype" w:cs="Palatino Linotype"/>
          <w:i/>
          <w:color w:val="000000" w:themeColor="text1"/>
        </w:rPr>
        <w:t>4) En su caso, las cotizaciones consideradas, especificando los nombres de los proveedores y sus montos;</w:t>
      </w:r>
    </w:p>
    <w:p w:rsidR="00283067" w:rsidRPr="002D4122" w:rsidRDefault="00283067" w:rsidP="00C27A98">
      <w:pPr>
        <w:spacing w:line="360" w:lineRule="auto"/>
        <w:jc w:val="both"/>
        <w:rPr>
          <w:rFonts w:ascii="Palatino Linotype" w:eastAsia="Palatino Linotype" w:hAnsi="Palatino Linotype" w:cs="Palatino Linotype"/>
          <w:color w:val="000000" w:themeColor="text1"/>
        </w:rPr>
      </w:pPr>
      <w:r w:rsidRPr="002D4122">
        <w:rPr>
          <w:rFonts w:ascii="Palatino Linotype" w:eastAsia="Palatino Linotype" w:hAnsi="Palatino Linotype" w:cs="Palatino Linotype"/>
          <w:b/>
          <w:i/>
          <w:color w:val="000000" w:themeColor="text1"/>
        </w:rPr>
        <w:t>5) </w:t>
      </w:r>
      <w:r w:rsidRPr="002D4122">
        <w:rPr>
          <w:rFonts w:ascii="Palatino Linotype" w:eastAsia="Palatino Linotype" w:hAnsi="Palatino Linotype" w:cs="Palatino Linotype"/>
          <w:i/>
          <w:color w:val="000000" w:themeColor="text1"/>
        </w:rPr>
        <w:t>El nombre de la persona física o jurídica colectiva adjudicada;</w:t>
      </w:r>
    </w:p>
    <w:p w:rsidR="00283067" w:rsidRPr="002D4122" w:rsidRDefault="00283067" w:rsidP="00C27A98">
      <w:pPr>
        <w:spacing w:line="360" w:lineRule="auto"/>
        <w:jc w:val="both"/>
        <w:rPr>
          <w:rFonts w:ascii="Palatino Linotype" w:eastAsia="Palatino Linotype" w:hAnsi="Palatino Linotype" w:cs="Palatino Linotype"/>
          <w:color w:val="000000" w:themeColor="text1"/>
        </w:rPr>
      </w:pPr>
      <w:r w:rsidRPr="002D4122">
        <w:rPr>
          <w:rFonts w:ascii="Palatino Linotype" w:eastAsia="Palatino Linotype" w:hAnsi="Palatino Linotype" w:cs="Palatino Linotype"/>
          <w:b/>
          <w:i/>
          <w:color w:val="000000" w:themeColor="text1"/>
        </w:rPr>
        <w:t>6) </w:t>
      </w:r>
      <w:r w:rsidRPr="002D4122">
        <w:rPr>
          <w:rFonts w:ascii="Palatino Linotype" w:eastAsia="Palatino Linotype" w:hAnsi="Palatino Linotype" w:cs="Palatino Linotype"/>
          <w:i/>
          <w:color w:val="000000" w:themeColor="text1"/>
        </w:rPr>
        <w:t>La unidad administrativa solicitante y la responsable de su ejecución;</w:t>
      </w:r>
    </w:p>
    <w:p w:rsidR="00283067" w:rsidRPr="002D4122" w:rsidRDefault="00283067" w:rsidP="00C27A98">
      <w:pPr>
        <w:spacing w:line="360" w:lineRule="auto"/>
        <w:jc w:val="both"/>
        <w:rPr>
          <w:rFonts w:ascii="Palatino Linotype" w:eastAsia="Palatino Linotype" w:hAnsi="Palatino Linotype" w:cs="Palatino Linotype"/>
          <w:b/>
          <w:color w:val="000000" w:themeColor="text1"/>
        </w:rPr>
      </w:pPr>
      <w:r w:rsidRPr="002D4122">
        <w:rPr>
          <w:rFonts w:ascii="Palatino Linotype" w:eastAsia="Palatino Linotype" w:hAnsi="Palatino Linotype" w:cs="Palatino Linotype"/>
          <w:b/>
          <w:i/>
          <w:color w:val="000000" w:themeColor="text1"/>
        </w:rPr>
        <w:lastRenderedPageBreak/>
        <w:t>7) El número, fecha, el monto del contrato y el plazo de entrega o de ejecución de los servicios u obra;</w:t>
      </w:r>
    </w:p>
    <w:p w:rsidR="00283067" w:rsidRPr="002D4122" w:rsidRDefault="00283067" w:rsidP="00C27A98">
      <w:pPr>
        <w:spacing w:line="360" w:lineRule="auto"/>
        <w:jc w:val="both"/>
        <w:rPr>
          <w:rFonts w:ascii="Palatino Linotype" w:eastAsia="Palatino Linotype" w:hAnsi="Palatino Linotype" w:cs="Palatino Linotype"/>
          <w:color w:val="000000" w:themeColor="text1"/>
        </w:rPr>
      </w:pPr>
      <w:r w:rsidRPr="002D4122">
        <w:rPr>
          <w:rFonts w:ascii="Palatino Linotype" w:eastAsia="Palatino Linotype" w:hAnsi="Palatino Linotype" w:cs="Palatino Linotype"/>
          <w:b/>
          <w:i/>
          <w:color w:val="000000" w:themeColor="text1"/>
        </w:rPr>
        <w:t>8) </w:t>
      </w:r>
      <w:r w:rsidRPr="002D4122">
        <w:rPr>
          <w:rFonts w:ascii="Palatino Linotype" w:eastAsia="Palatino Linotype" w:hAnsi="Palatino Linotype" w:cs="Palatino Linotype"/>
          <w:i/>
          <w:color w:val="000000" w:themeColor="text1"/>
        </w:rPr>
        <w:t>Los mecanismos de vigilancia y supervisión, incluyendo, en su caso, los estudios de impacto urbano y ambiental, según corresponda;</w:t>
      </w:r>
    </w:p>
    <w:p w:rsidR="00283067" w:rsidRPr="002D4122" w:rsidRDefault="00283067" w:rsidP="00C27A98">
      <w:pPr>
        <w:spacing w:line="360" w:lineRule="auto"/>
        <w:jc w:val="both"/>
        <w:rPr>
          <w:rFonts w:ascii="Palatino Linotype" w:eastAsia="Palatino Linotype" w:hAnsi="Palatino Linotype" w:cs="Palatino Linotype"/>
          <w:color w:val="000000" w:themeColor="text1"/>
        </w:rPr>
      </w:pPr>
      <w:r w:rsidRPr="002D4122">
        <w:rPr>
          <w:rFonts w:ascii="Palatino Linotype" w:eastAsia="Palatino Linotype" w:hAnsi="Palatino Linotype" w:cs="Palatino Linotype"/>
          <w:b/>
          <w:i/>
          <w:color w:val="000000" w:themeColor="text1"/>
        </w:rPr>
        <w:t>9) </w:t>
      </w:r>
      <w:r w:rsidRPr="002D4122">
        <w:rPr>
          <w:rFonts w:ascii="Palatino Linotype" w:eastAsia="Palatino Linotype" w:hAnsi="Palatino Linotype" w:cs="Palatino Linotype"/>
          <w:i/>
          <w:color w:val="000000" w:themeColor="text1"/>
        </w:rPr>
        <w:t>Los informes de avance sobre las obras o servicios contratados;</w:t>
      </w:r>
    </w:p>
    <w:p w:rsidR="00283067" w:rsidRPr="002D4122" w:rsidRDefault="00283067" w:rsidP="00C27A98">
      <w:pPr>
        <w:spacing w:line="360" w:lineRule="auto"/>
        <w:jc w:val="both"/>
        <w:rPr>
          <w:rFonts w:ascii="Palatino Linotype" w:eastAsia="Palatino Linotype" w:hAnsi="Palatino Linotype" w:cs="Palatino Linotype"/>
          <w:color w:val="000000" w:themeColor="text1"/>
        </w:rPr>
      </w:pPr>
      <w:r w:rsidRPr="002D4122">
        <w:rPr>
          <w:rFonts w:ascii="Palatino Linotype" w:eastAsia="Palatino Linotype" w:hAnsi="Palatino Linotype" w:cs="Palatino Linotype"/>
          <w:b/>
          <w:i/>
          <w:color w:val="000000" w:themeColor="text1"/>
        </w:rPr>
        <w:t>10) </w:t>
      </w:r>
      <w:r w:rsidRPr="002D4122">
        <w:rPr>
          <w:rFonts w:ascii="Palatino Linotype" w:eastAsia="Palatino Linotype" w:hAnsi="Palatino Linotype" w:cs="Palatino Linotype"/>
          <w:i/>
          <w:color w:val="000000" w:themeColor="text1"/>
        </w:rPr>
        <w:t>El convenio de terminación; y</w:t>
      </w:r>
    </w:p>
    <w:p w:rsidR="00283067" w:rsidRPr="002D4122" w:rsidRDefault="00283067" w:rsidP="00C27A98">
      <w:pPr>
        <w:spacing w:line="360" w:lineRule="auto"/>
        <w:jc w:val="both"/>
        <w:rPr>
          <w:rFonts w:ascii="Palatino Linotype" w:eastAsia="Palatino Linotype" w:hAnsi="Palatino Linotype" w:cs="Palatino Linotype"/>
          <w:b/>
          <w:i/>
          <w:color w:val="000000" w:themeColor="text1"/>
        </w:rPr>
      </w:pPr>
      <w:r w:rsidRPr="002D4122">
        <w:rPr>
          <w:rFonts w:ascii="Palatino Linotype" w:eastAsia="Palatino Linotype" w:hAnsi="Palatino Linotype" w:cs="Palatino Linotype"/>
          <w:b/>
          <w:i/>
          <w:color w:val="000000" w:themeColor="text1"/>
        </w:rPr>
        <w:t>11) </w:t>
      </w:r>
      <w:r w:rsidRPr="002D4122">
        <w:rPr>
          <w:rFonts w:ascii="Palatino Linotype" w:eastAsia="Palatino Linotype" w:hAnsi="Palatino Linotype" w:cs="Palatino Linotype"/>
          <w:i/>
          <w:color w:val="000000" w:themeColor="text1"/>
        </w:rPr>
        <w:t>El finiquito.</w:t>
      </w:r>
      <w:r w:rsidRPr="002D4122">
        <w:rPr>
          <w:rFonts w:ascii="Palatino Linotype" w:eastAsia="Palatino Linotype" w:hAnsi="Palatino Linotype" w:cs="Palatino Linotype"/>
          <w:b/>
          <w:i/>
          <w:color w:val="000000" w:themeColor="text1"/>
        </w:rPr>
        <w:t>”</w:t>
      </w:r>
    </w:p>
    <w:p w:rsidR="00C77F8A" w:rsidRPr="002D4122" w:rsidRDefault="00C77F8A" w:rsidP="00C27A98">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B172A3" w:rsidRPr="002D4122" w:rsidRDefault="00B172A3" w:rsidP="00C27A98">
      <w:pPr>
        <w:pStyle w:val="Prrafodelista"/>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sz w:val="24"/>
        </w:rPr>
      </w:pPr>
      <w:r w:rsidRPr="002D4122">
        <w:rPr>
          <w:rFonts w:ascii="Palatino Linotype" w:eastAsia="Palatino Linotype" w:hAnsi="Palatino Linotype" w:cs="Palatino Linotype"/>
          <w:color w:val="000000" w:themeColor="text1"/>
          <w:sz w:val="24"/>
        </w:rPr>
        <w:t xml:space="preserve">Por otro lado, es necesario mencionar que el acceso a la información es un derecho humano constitucional y convencionalmente reconocido y para tal efecto el párrafo tercero del artículo primero de la Constitución Política de los Estados Unidos Mexicanos establece que el deber de todas las autoridades, </w:t>
      </w:r>
      <w:r w:rsidRPr="002D4122">
        <w:rPr>
          <w:rFonts w:ascii="Palatino Linotype" w:eastAsia="Palatino Linotype" w:hAnsi="Palatino Linotype" w:cs="Palatino Linotype"/>
          <w:i/>
          <w:color w:val="000000" w:themeColor="text1"/>
          <w:sz w:val="24"/>
        </w:rPr>
        <w:t xml:space="preserve">en el ámbito de sus atribuciones, de promover, respetar, proteger y </w:t>
      </w:r>
      <w:r w:rsidRPr="002D4122">
        <w:rPr>
          <w:rFonts w:ascii="Palatino Linotype" w:eastAsia="Palatino Linotype" w:hAnsi="Palatino Linotype" w:cs="Palatino Linotype"/>
          <w:b/>
          <w:i/>
          <w:color w:val="000000" w:themeColor="text1"/>
          <w:sz w:val="24"/>
        </w:rPr>
        <w:t>garantizar</w:t>
      </w:r>
      <w:r w:rsidRPr="002D4122">
        <w:rPr>
          <w:rFonts w:ascii="Palatino Linotype" w:eastAsia="Palatino Linotype" w:hAnsi="Palatino Linotype" w:cs="Palatino Linotype"/>
          <w:i/>
          <w:color w:val="000000" w:themeColor="text1"/>
          <w:sz w:val="24"/>
        </w:rPr>
        <w:t xml:space="preserve"> los derechos humanos. </w:t>
      </w:r>
      <w:r w:rsidRPr="002D4122">
        <w:rPr>
          <w:rFonts w:ascii="Palatino Linotype" w:eastAsia="Palatino Linotype" w:hAnsi="Palatino Linotype" w:cs="Palatino Linotype"/>
          <w:b/>
          <w:i/>
          <w:color w:val="000000" w:themeColor="text1"/>
          <w:sz w:val="24"/>
        </w:rPr>
        <w:t>En cuanto al derecho de acceso a la información, la Ley de Transparencia y Acceso a la Información Pública del Estado de México y Municipios prevé establece que e</w:t>
      </w:r>
      <w:r w:rsidRPr="002D4122">
        <w:rPr>
          <w:rFonts w:ascii="Palatino Linotype" w:eastAsia="Palatino Linotype" w:hAnsi="Palatino Linotype" w:cs="Palatino Linotype"/>
          <w:i/>
          <w:color w:val="000000" w:themeColor="text1"/>
          <w:sz w:val="24"/>
        </w:rPr>
        <w:t>l procedimiento de acceso a la información es la garantía primaria del derecho en cuestión y se rige por los principios de simplicidad, rapidez y gratuidad del procedimiento, auxilio y orientación a los particulares</w:t>
      </w:r>
      <w:r w:rsidRPr="002D4122">
        <w:rPr>
          <w:rFonts w:ascii="Palatino Linotype" w:eastAsia="Century Gothic" w:hAnsi="Palatino Linotype" w:cs="Century Gothic"/>
          <w:i/>
          <w:color w:val="000000" w:themeColor="text1"/>
          <w:sz w:val="24"/>
          <w:vertAlign w:val="superscript"/>
        </w:rPr>
        <w:footnoteReference w:id="1"/>
      </w:r>
      <w:r w:rsidRPr="002D4122">
        <w:rPr>
          <w:rFonts w:ascii="Palatino Linotype" w:eastAsia="Palatino Linotype" w:hAnsi="Palatino Linotype" w:cs="Palatino Linotype"/>
          <w:i/>
          <w:color w:val="000000" w:themeColor="text1"/>
          <w:sz w:val="24"/>
        </w:rPr>
        <w:t xml:space="preserve">, </w:t>
      </w:r>
      <w:r w:rsidRPr="002D4122">
        <w:rPr>
          <w:rFonts w:ascii="Palatino Linotype" w:eastAsia="Palatino Linotype" w:hAnsi="Palatino Linotype" w:cs="Palatino Linotype"/>
          <w:color w:val="000000" w:themeColor="text1"/>
          <w:sz w:val="24"/>
        </w:rPr>
        <w:t>asimismo establece</w:t>
      </w:r>
      <w:r w:rsidRPr="002D4122">
        <w:rPr>
          <w:rFonts w:ascii="Palatino Linotype" w:eastAsia="Palatino Linotype" w:hAnsi="Palatino Linotype" w:cs="Palatino Linotype"/>
          <w:i/>
          <w:color w:val="000000" w:themeColor="text1"/>
          <w:sz w:val="24"/>
        </w:rPr>
        <w:t xml:space="preserve"> que las unidades de transparencia de los Sujetos Obligados deberán garantizar las medidas y condiciones de accesibilidad para que toda persona pueda ejercer el derecho de acceso a la </w:t>
      </w:r>
      <w:r w:rsidRPr="002D4122">
        <w:rPr>
          <w:rFonts w:ascii="Palatino Linotype" w:eastAsia="Palatino Linotype" w:hAnsi="Palatino Linotype" w:cs="Palatino Linotype"/>
          <w:i/>
          <w:color w:val="000000" w:themeColor="text1"/>
          <w:sz w:val="24"/>
        </w:rPr>
        <w:lastRenderedPageBreak/>
        <w:t>información, mediante solicitudes de información y deberá apoyar al solicitante en la elaboración de las mismas.</w:t>
      </w:r>
    </w:p>
    <w:p w:rsidR="00B172A3" w:rsidRPr="002D4122" w:rsidRDefault="00B172A3" w:rsidP="00C27A98">
      <w:pPr>
        <w:pBdr>
          <w:top w:val="nil"/>
          <w:left w:val="nil"/>
          <w:bottom w:val="nil"/>
          <w:right w:val="nil"/>
          <w:between w:val="nil"/>
        </w:pBdr>
        <w:rPr>
          <w:rFonts w:ascii="Palatino Linotype" w:eastAsia="Palatino Linotype" w:hAnsi="Palatino Linotype" w:cs="Palatino Linotype"/>
          <w:color w:val="000000" w:themeColor="text1"/>
        </w:rPr>
      </w:pPr>
    </w:p>
    <w:p w:rsidR="00B172A3" w:rsidRPr="002D4122" w:rsidRDefault="00B172A3" w:rsidP="00C27A98">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2D4122">
        <w:rPr>
          <w:rFonts w:ascii="Palatino Linotype" w:eastAsia="Palatino Linotype" w:hAnsi="Palatino Linotype" w:cs="Palatino Linotype"/>
          <w:color w:val="000000" w:themeColor="text1"/>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administran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B172A3" w:rsidRPr="002D4122" w:rsidRDefault="00B172A3" w:rsidP="00C27A9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172A3" w:rsidRPr="002D4122" w:rsidRDefault="00B172A3" w:rsidP="00C27A98">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2D4122">
        <w:rPr>
          <w:rFonts w:ascii="Palatino Linotype" w:eastAsia="Palatino Linotype" w:hAnsi="Palatino Linotype" w:cs="Palatino Linotype"/>
          <w:color w:val="000000" w:themeColor="text1"/>
        </w:rPr>
        <w:t xml:space="preserve">Las funciones que realizan las Unidades de Transparencia de los Sujetos Obligados es fundamental para el correcto cumplimiento del derecho de acceso a la información, pues son el vínculo entre los particulares y la información que requieren, además, su obligación es: </w:t>
      </w:r>
      <w:r w:rsidRPr="002D4122">
        <w:rPr>
          <w:rFonts w:ascii="Palatino Linotype" w:eastAsia="Palatino Linotype" w:hAnsi="Palatino Linotype" w:cs="Palatino Linotype"/>
          <w:i/>
          <w:color w:val="000000" w:themeColor="text1"/>
        </w:rPr>
        <w:t>realizar, con efectividad, los trámites internos necesarios para la atención de las solicitudes de información</w:t>
      </w:r>
      <w:r w:rsidRPr="002D4122">
        <w:rPr>
          <w:rFonts w:ascii="Palatino Linotype" w:eastAsia="Century Gothic" w:hAnsi="Palatino Linotype" w:cs="Century Gothic"/>
          <w:color w:val="000000" w:themeColor="text1"/>
          <w:vertAlign w:val="superscript"/>
        </w:rPr>
        <w:footnoteReference w:id="2"/>
      </w:r>
      <w:r w:rsidRPr="002D4122">
        <w:rPr>
          <w:rFonts w:ascii="Palatino Linotype" w:eastAsia="Palatino Linotype" w:hAnsi="Palatino Linotype" w:cs="Palatino Linotype"/>
          <w:color w:val="000000" w:themeColor="text1"/>
        </w:rPr>
        <w:t>, es decir, deben otorgar respuestas concisas, contundentes y certeras, además de estar en estricto apego a lo que la normatividad en la materia establece.</w:t>
      </w:r>
    </w:p>
    <w:p w:rsidR="00B172A3" w:rsidRPr="002D4122" w:rsidRDefault="00B172A3" w:rsidP="00C27A98">
      <w:pPr>
        <w:pBdr>
          <w:top w:val="nil"/>
          <w:left w:val="nil"/>
          <w:bottom w:val="nil"/>
          <w:right w:val="nil"/>
          <w:between w:val="nil"/>
        </w:pBdr>
        <w:rPr>
          <w:rFonts w:ascii="Palatino Linotype" w:eastAsia="Palatino Linotype" w:hAnsi="Palatino Linotype" w:cs="Palatino Linotype"/>
          <w:color w:val="000000" w:themeColor="text1"/>
        </w:rPr>
      </w:pPr>
    </w:p>
    <w:p w:rsidR="00B172A3" w:rsidRPr="002D4122" w:rsidRDefault="00B172A3" w:rsidP="00C27A98">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2D4122">
        <w:rPr>
          <w:rFonts w:ascii="Palatino Linotype" w:eastAsia="Palatino Linotype" w:hAnsi="Palatino Linotype" w:cs="Palatino Linotype"/>
          <w:color w:val="000000" w:themeColor="text1"/>
        </w:rPr>
        <w:lastRenderedPageBreak/>
        <w:t xml:space="preserve">Debiendo cumplir con lo dispuesto en la Ley de Transparencia y Acceso a la Información Pública del Estado de México y Municipios, en el artículo 162, mismo del que se inserta su contenido: </w:t>
      </w:r>
    </w:p>
    <w:p w:rsidR="00B172A3" w:rsidRPr="002D4122" w:rsidRDefault="00B172A3" w:rsidP="00C27A98">
      <w:pPr>
        <w:pBdr>
          <w:top w:val="nil"/>
          <w:left w:val="nil"/>
          <w:bottom w:val="nil"/>
          <w:right w:val="nil"/>
          <w:between w:val="nil"/>
        </w:pBdr>
        <w:spacing w:line="360" w:lineRule="auto"/>
        <w:jc w:val="both"/>
        <w:rPr>
          <w:rFonts w:ascii="Palatino Linotype" w:hAnsi="Palatino Linotype"/>
          <w:color w:val="000000" w:themeColor="text1"/>
        </w:rPr>
      </w:pPr>
    </w:p>
    <w:p w:rsidR="00B172A3" w:rsidRPr="002D4122" w:rsidRDefault="00B172A3" w:rsidP="00C27A98">
      <w:pPr>
        <w:spacing w:line="360" w:lineRule="auto"/>
        <w:jc w:val="both"/>
        <w:rPr>
          <w:rFonts w:ascii="Palatino Linotype" w:eastAsia="Palatino Linotype" w:hAnsi="Palatino Linotype" w:cs="Palatino Linotype"/>
          <w:i/>
          <w:color w:val="000000" w:themeColor="text1"/>
        </w:rPr>
      </w:pPr>
      <w:r w:rsidRPr="002D4122">
        <w:rPr>
          <w:rFonts w:ascii="Palatino Linotype" w:eastAsia="Palatino Linotype" w:hAnsi="Palatino Linotype" w:cs="Palatino Linotype"/>
          <w:b/>
          <w:i/>
          <w:color w:val="000000" w:themeColor="text1"/>
        </w:rPr>
        <w:t xml:space="preserve">Artículo 162. </w:t>
      </w:r>
      <w:r w:rsidRPr="002D4122">
        <w:rPr>
          <w:rFonts w:ascii="Palatino Linotype" w:eastAsia="Palatino Linotype" w:hAnsi="Palatino Linotype" w:cs="Palatino Linotype"/>
          <w:i/>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B172A3" w:rsidRPr="002D4122" w:rsidRDefault="00B172A3" w:rsidP="00C27A9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2D4122">
        <w:rPr>
          <w:rFonts w:ascii="Palatino Linotype" w:eastAsia="Palatino Linotype" w:hAnsi="Palatino Linotype" w:cs="Palatino Linotype"/>
          <w:color w:val="000000" w:themeColor="text1"/>
        </w:rPr>
        <w:t xml:space="preserve"> </w:t>
      </w:r>
    </w:p>
    <w:p w:rsidR="00B172A3" w:rsidRPr="002D4122" w:rsidRDefault="00B172A3" w:rsidP="00C27A98">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2D4122">
        <w:rPr>
          <w:rFonts w:ascii="Palatino Linotype" w:eastAsia="Palatino Linotype" w:hAnsi="Palatino Linotype" w:cs="Palatino Linotype"/>
          <w:color w:val="000000" w:themeColor="text1"/>
        </w:rPr>
        <w:t>Las unidades de transparencia deberán turnar las solicitudes de acceso a la información a las áreas correspondientes para que estas a su vez, manifestarán lo conducente; situación que no se materializó, puesto que el Titular de la Unidad de Transparencia fue omiso en realizar tal acción.</w:t>
      </w:r>
    </w:p>
    <w:p w:rsidR="00B172A3" w:rsidRPr="002D4122" w:rsidRDefault="00B172A3" w:rsidP="00C27A9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172A3" w:rsidRPr="002D4122" w:rsidRDefault="00B172A3" w:rsidP="00C27A98">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2D4122">
        <w:rPr>
          <w:rFonts w:ascii="Palatino Linotype" w:eastAsia="Palatino Linotype" w:hAnsi="Palatino Linotype" w:cs="Palatino Linotype"/>
          <w:color w:val="000000" w:themeColor="text1"/>
        </w:rPr>
        <w:t>La búsqueda exhaustiva y razonable de la información con su debida comprobación, es una herramienta que permite brindar mayor certeza a los particulares sobre las acciones que realizan los sujetos obligados para atender las solicitudes de información. Asimismo, con dicha herramienta se refleja el grado de compromiso que tienen como autoridades para el debido cumplimiento y tutela del derecho constitucional y convencionalmente reconocido que es el derecho de acceso a la información.</w:t>
      </w:r>
    </w:p>
    <w:p w:rsidR="00B172A3" w:rsidRPr="002D4122" w:rsidRDefault="00B172A3" w:rsidP="00C27A98">
      <w:pPr>
        <w:pBdr>
          <w:top w:val="nil"/>
          <w:left w:val="nil"/>
          <w:bottom w:val="nil"/>
          <w:right w:val="nil"/>
          <w:between w:val="nil"/>
        </w:pBdr>
        <w:rPr>
          <w:rFonts w:ascii="Palatino Linotype" w:eastAsia="Palatino Linotype" w:hAnsi="Palatino Linotype" w:cs="Palatino Linotype"/>
          <w:color w:val="000000" w:themeColor="text1"/>
        </w:rPr>
      </w:pPr>
    </w:p>
    <w:p w:rsidR="00B172A3" w:rsidRPr="002D4122" w:rsidRDefault="00B172A3" w:rsidP="00C27A98">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2D4122">
        <w:rPr>
          <w:rFonts w:ascii="Palatino Linotype" w:eastAsia="Palatino Linotype" w:hAnsi="Palatino Linotype" w:cs="Palatino Linotype"/>
          <w:color w:val="000000" w:themeColor="text1"/>
        </w:rPr>
        <w:lastRenderedPageBreak/>
        <w:t>La falta de carteo o turno de las Unidades de Transparencia a las diferentes áreas que integran la estructura orgánica de los Sujetos Obligados, podrían causar una afectación o restricción al derecho ejercido por los particulares.</w:t>
      </w:r>
    </w:p>
    <w:p w:rsidR="00B172A3" w:rsidRPr="002D4122" w:rsidRDefault="00B172A3" w:rsidP="00C27A98">
      <w:pPr>
        <w:pBdr>
          <w:top w:val="nil"/>
          <w:left w:val="nil"/>
          <w:bottom w:val="nil"/>
          <w:right w:val="nil"/>
          <w:between w:val="nil"/>
        </w:pBdr>
        <w:rPr>
          <w:rFonts w:ascii="Palatino Linotype" w:eastAsia="Palatino Linotype" w:hAnsi="Palatino Linotype" w:cs="Palatino Linotype"/>
          <w:color w:val="000000" w:themeColor="text1"/>
        </w:rPr>
      </w:pPr>
    </w:p>
    <w:p w:rsidR="00B172A3" w:rsidRPr="002D4122" w:rsidRDefault="00B172A3" w:rsidP="00C27A98">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2D4122">
        <w:rPr>
          <w:rFonts w:ascii="Palatino Linotype" w:eastAsia="Palatino Linotype" w:hAnsi="Palatino Linotype" w:cs="Palatino Linotype"/>
          <w:color w:val="000000" w:themeColor="text1"/>
        </w:rPr>
        <w:t>Es necesario que los Sujetos Obligados, a efecto de brindar certeza jurídica y correcta tutela al derecho accionado por los particulares realicen una correcta búsqueda en todas las áreas que de acuerdo a sus funciones, atribuciones y competencias deban generar, administrar y poseer la información de interés para los particulares.</w:t>
      </w:r>
    </w:p>
    <w:p w:rsidR="00B172A3" w:rsidRPr="002D4122" w:rsidRDefault="00B172A3" w:rsidP="00C27A98">
      <w:pPr>
        <w:pBdr>
          <w:top w:val="nil"/>
          <w:left w:val="nil"/>
          <w:bottom w:val="nil"/>
          <w:right w:val="nil"/>
          <w:between w:val="nil"/>
        </w:pBdr>
        <w:rPr>
          <w:rFonts w:ascii="Palatino Linotype" w:eastAsia="Palatino Linotype" w:hAnsi="Palatino Linotype" w:cs="Palatino Linotype"/>
          <w:color w:val="000000" w:themeColor="text1"/>
        </w:rPr>
      </w:pPr>
    </w:p>
    <w:p w:rsidR="00B172A3" w:rsidRPr="002D4122" w:rsidRDefault="00B172A3" w:rsidP="00C27A98">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2D4122">
        <w:rPr>
          <w:rFonts w:ascii="Palatino Linotype" w:eastAsia="Palatino Linotype" w:hAnsi="Palatino Linotype" w:cs="Palatino Linotype"/>
          <w:color w:val="000000" w:themeColor="text1"/>
        </w:rPr>
        <w:t>Es así que, los Titulares de las Unidades de Transparencia, al recibir una solicitud deben recibir, tramitar y dar respuesta a las solicitudes de acceso a la información, tal y como lo dispone la fracción II y IV del artículo 53 de la Ley de Transparencia y Acceso a la Información Pública del Estado de México y Municipios:</w:t>
      </w:r>
    </w:p>
    <w:p w:rsidR="00B172A3" w:rsidRPr="002D4122" w:rsidRDefault="00B172A3" w:rsidP="00C27A98">
      <w:pPr>
        <w:pBdr>
          <w:top w:val="nil"/>
          <w:left w:val="nil"/>
          <w:bottom w:val="nil"/>
          <w:right w:val="nil"/>
          <w:between w:val="nil"/>
        </w:pBdr>
        <w:spacing w:line="360" w:lineRule="auto"/>
        <w:jc w:val="both"/>
        <w:rPr>
          <w:rFonts w:ascii="Palatino Linotype" w:hAnsi="Palatino Linotype"/>
          <w:color w:val="000000" w:themeColor="text1"/>
        </w:rPr>
      </w:pPr>
    </w:p>
    <w:p w:rsidR="00B172A3" w:rsidRPr="002D4122" w:rsidRDefault="00B172A3" w:rsidP="00C27A9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2D4122">
        <w:rPr>
          <w:rFonts w:ascii="Palatino Linotype" w:eastAsia="Palatino Linotype" w:hAnsi="Palatino Linotype" w:cs="Palatino Linotype"/>
          <w:i/>
          <w:color w:val="000000" w:themeColor="text1"/>
        </w:rPr>
        <w:t xml:space="preserve">Artículo 53. Las Unidades de Transparencia tendrán las siguientes funciones: </w:t>
      </w:r>
    </w:p>
    <w:p w:rsidR="00B172A3" w:rsidRPr="002D4122" w:rsidRDefault="00B172A3" w:rsidP="00C27A9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roofErr w:type="gramStart"/>
      <w:r w:rsidRPr="002D4122">
        <w:rPr>
          <w:rFonts w:ascii="Palatino Linotype" w:eastAsia="Palatino Linotype" w:hAnsi="Palatino Linotype" w:cs="Palatino Linotype"/>
          <w:i/>
          <w:color w:val="000000" w:themeColor="text1"/>
        </w:rPr>
        <w:t>I.</w:t>
      </w:r>
      <w:proofErr w:type="gramEnd"/>
      <w:r w:rsidRPr="002D4122">
        <w:rPr>
          <w:rFonts w:ascii="Palatino Linotype" w:eastAsia="Palatino Linotype" w:hAnsi="Palatino Linotype" w:cs="Palatino Linotype"/>
          <w:i/>
          <w:color w:val="000000" w:themeColor="text1"/>
        </w:rPr>
        <w:t xml:space="preserve"> …</w:t>
      </w:r>
    </w:p>
    <w:p w:rsidR="00B172A3" w:rsidRPr="002D4122" w:rsidRDefault="00B172A3" w:rsidP="00C27A9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2D4122">
        <w:rPr>
          <w:rFonts w:ascii="Palatino Linotype" w:eastAsia="Palatino Linotype" w:hAnsi="Palatino Linotype" w:cs="Palatino Linotype"/>
          <w:i/>
          <w:color w:val="000000" w:themeColor="text1"/>
        </w:rPr>
        <w:t>II. Recibir, tramitar y dar respuesta a las solicitudes de acceso a la información;</w:t>
      </w:r>
    </w:p>
    <w:p w:rsidR="00B172A3" w:rsidRPr="002D4122" w:rsidRDefault="00B172A3" w:rsidP="00C27A9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2D4122">
        <w:rPr>
          <w:rFonts w:ascii="Palatino Linotype" w:eastAsia="Palatino Linotype" w:hAnsi="Palatino Linotype" w:cs="Palatino Linotype"/>
          <w:i/>
          <w:color w:val="000000" w:themeColor="text1"/>
        </w:rPr>
        <w:t>…</w:t>
      </w:r>
    </w:p>
    <w:p w:rsidR="00B172A3" w:rsidRPr="002D4122" w:rsidRDefault="00B172A3" w:rsidP="00C27A9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2D4122">
        <w:rPr>
          <w:rFonts w:ascii="Palatino Linotype" w:eastAsia="Palatino Linotype" w:hAnsi="Palatino Linotype" w:cs="Palatino Linotype"/>
          <w:i/>
          <w:color w:val="000000" w:themeColor="text1"/>
        </w:rPr>
        <w:t>IV. Realizar, con efectividad, los trámites internos necesarios para la atención de las solicitudes de acceso a la información;</w:t>
      </w:r>
    </w:p>
    <w:p w:rsidR="00B172A3" w:rsidRPr="002D4122" w:rsidRDefault="00B172A3" w:rsidP="00C27A98">
      <w:pPr>
        <w:rPr>
          <w:rFonts w:ascii="Palatino Linotype" w:eastAsia="Palatino Linotype" w:hAnsi="Palatino Linotype" w:cs="Palatino Linotype"/>
          <w:color w:val="000000" w:themeColor="text1"/>
        </w:rPr>
      </w:pPr>
    </w:p>
    <w:p w:rsidR="00B172A3" w:rsidRPr="002D4122" w:rsidRDefault="00B172A3" w:rsidP="00C27A98">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2D4122">
        <w:rPr>
          <w:rFonts w:ascii="Palatino Linotype" w:eastAsia="Palatino Linotype" w:hAnsi="Palatino Linotype" w:cs="Palatino Linotype"/>
          <w:color w:val="000000" w:themeColor="text1"/>
        </w:rPr>
        <w:t xml:space="preserve">Es así que, en el presente caso la respuesta fue emitida por la Coordinadora de Transparencia, es decir, que no se turnó al área que de acuerdo a sus facultades puede generar, poseer y administrar la información solicitada, por lo tanto, se puede concluir </w:t>
      </w:r>
      <w:r w:rsidRPr="002D4122">
        <w:rPr>
          <w:rFonts w:ascii="Palatino Linotype" w:eastAsia="Palatino Linotype" w:hAnsi="Palatino Linotype" w:cs="Palatino Linotype"/>
          <w:color w:val="000000" w:themeColor="text1"/>
        </w:rPr>
        <w:lastRenderedPageBreak/>
        <w:t xml:space="preserve">que no se dio seguimiento al procedimiento de búsqueda establecido en la ley en la materia. </w:t>
      </w:r>
    </w:p>
    <w:p w:rsidR="00B172A3" w:rsidRPr="002D4122" w:rsidRDefault="00B172A3" w:rsidP="00C27A9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172A3" w:rsidRPr="002D4122" w:rsidRDefault="00B172A3" w:rsidP="00C27A98">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2D4122">
        <w:rPr>
          <w:rFonts w:ascii="Palatino Linotype" w:hAnsi="Palatino Linotype"/>
          <w:color w:val="000000" w:themeColor="text1"/>
        </w:rPr>
        <w:t xml:space="preserve">Ahora bien, de acuerdo con el artículo 199, fracción II del Reglamento Orgánico de la Administración Pública Municipal de Cuautitlán Izcalli, la Dirección de Administración tiene, entre otras atribuciones, conducir la preparación y sustanciación de los procedimientos de licitación, invitación restringida y adjudicación directa, por lo que de manera enunciativa, la solicitud de información debió turnarse a esa área. </w:t>
      </w:r>
    </w:p>
    <w:p w:rsidR="0078604F" w:rsidRPr="002D4122" w:rsidRDefault="0078604F" w:rsidP="00C27A98">
      <w:pPr>
        <w:pStyle w:val="Prrafodelista"/>
        <w:ind w:left="0"/>
        <w:rPr>
          <w:rFonts w:ascii="Palatino Linotype" w:hAnsi="Palatino Linotype"/>
          <w:color w:val="000000" w:themeColor="text1"/>
          <w:sz w:val="24"/>
        </w:rPr>
      </w:pPr>
    </w:p>
    <w:p w:rsidR="0078604F" w:rsidRPr="002D4122" w:rsidRDefault="0078604F" w:rsidP="00C27A98">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2D4122">
        <w:rPr>
          <w:rFonts w:ascii="Palatino Linotype" w:hAnsi="Palatino Linotype" w:cs="Arial"/>
          <w:color w:val="000000" w:themeColor="text1"/>
        </w:rPr>
        <w:t xml:space="preserve">Finalmente en cuanto a la solicitud en donde el </w:t>
      </w:r>
      <w:r w:rsidRPr="002D4122">
        <w:rPr>
          <w:rFonts w:ascii="Palatino Linotype" w:hAnsi="Palatino Linotype" w:cs="Arial"/>
          <w:b/>
          <w:color w:val="000000" w:themeColor="text1"/>
        </w:rPr>
        <w:t>RECURRENTE</w:t>
      </w:r>
      <w:r w:rsidR="008D4519" w:rsidRPr="002D4122">
        <w:rPr>
          <w:rFonts w:ascii="Palatino Linotype" w:hAnsi="Palatino Linotype" w:cs="Arial"/>
          <w:b/>
          <w:color w:val="000000" w:themeColor="text1"/>
        </w:rPr>
        <w:t xml:space="preserve"> </w:t>
      </w:r>
      <w:r w:rsidR="008D4519" w:rsidRPr="002D4122">
        <w:rPr>
          <w:rFonts w:ascii="Palatino Linotype" w:hAnsi="Palatino Linotype" w:cs="Arial"/>
          <w:color w:val="000000" w:themeColor="text1"/>
        </w:rPr>
        <w:t>señaló</w:t>
      </w:r>
      <w:r w:rsidRPr="002D4122">
        <w:rPr>
          <w:rFonts w:ascii="Palatino Linotype" w:hAnsi="Palatino Linotype" w:cs="Arial"/>
          <w:color w:val="000000" w:themeColor="text1"/>
        </w:rPr>
        <w:t>: “</w:t>
      </w:r>
      <w:r w:rsidR="008D4519" w:rsidRPr="002D4122">
        <w:rPr>
          <w:rFonts w:ascii="Palatino Linotype" w:hAnsi="Palatino Linotype" w:cs="Arial"/>
          <w:i/>
          <w:color w:val="000000" w:themeColor="text1"/>
        </w:rPr>
        <w:t>conocido por el pueblo de Izcalli como Don Dany Moches</w:t>
      </w:r>
      <w:r w:rsidRPr="002D4122">
        <w:rPr>
          <w:rFonts w:ascii="Palatino Linotype" w:hAnsi="Palatino Linotype" w:cs="Arial"/>
          <w:color w:val="000000" w:themeColor="text1"/>
        </w:rPr>
        <w:t xml:space="preserve">” (Sic), es </w:t>
      </w:r>
      <w:r w:rsidRPr="002D4122">
        <w:rPr>
          <w:rFonts w:ascii="Palatino Linotype" w:eastAsia="MS Mincho" w:hAnsi="Palatino Linotype"/>
          <w:color w:val="000000" w:themeColor="text1"/>
        </w:rPr>
        <w:t>imperativo manifestar que tanto el derecho de acceso a la información pública y el derecho de petición consagrados respectivamente en el los artículos 6° y 8° de la Constitución Política de los Estados Unidos Mexicanos, derechos fundamentales ubicados en el capítulo de los derechos de seguridad jurídica, ambos tienen como fin primordial garantizar que la autoridad atienda las peticiones y solicitudes de las personas, ambos se vinculan entre sí, pues garantizan a los gobernados el derecho a que se les dé respuesta a sus peticiones, en concordancia con el artículo 176 de la Ley de Transparencia y Acceso a la Información Pública del Estado de México y Municipios, el cual reconoce al recurso de revisión como la garantía secundaria mediante la cual se pretende reparar cualquier posible afectación al derecho de acceso a la información pública.</w:t>
      </w:r>
    </w:p>
    <w:p w:rsidR="0078604F" w:rsidRPr="002D4122" w:rsidRDefault="0078604F" w:rsidP="00C27A98">
      <w:pPr>
        <w:pStyle w:val="Prrafodelista"/>
        <w:ind w:left="0"/>
        <w:rPr>
          <w:rFonts w:ascii="Palatino Linotype" w:hAnsi="Palatino Linotype" w:cs="Arial"/>
          <w:color w:val="000000" w:themeColor="text1"/>
          <w:sz w:val="24"/>
        </w:rPr>
      </w:pPr>
    </w:p>
    <w:p w:rsidR="0078604F" w:rsidRPr="002D4122" w:rsidRDefault="0078604F" w:rsidP="00C27A98">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2D4122">
        <w:rPr>
          <w:rFonts w:ascii="Palatino Linotype" w:hAnsi="Palatino Linotype" w:cs="Arial"/>
          <w:color w:val="000000" w:themeColor="text1"/>
        </w:rPr>
        <w:t xml:space="preserve">Ahora bien, debemos </w:t>
      </w:r>
      <w:r w:rsidRPr="002D4122">
        <w:rPr>
          <w:rFonts w:ascii="Palatino Linotype" w:eastAsia="MS Mincho" w:hAnsi="Palatino Linotype"/>
          <w:color w:val="000000" w:themeColor="text1"/>
        </w:rPr>
        <w:t xml:space="preserve">precisar que si bien es cierto, el artículo 6° de la Constitución Política de los Estados Unidos Mexicanos no contempla como requisito para el ejercicio </w:t>
      </w:r>
      <w:r w:rsidRPr="002D4122">
        <w:rPr>
          <w:rFonts w:ascii="Palatino Linotype" w:eastAsia="MS Mincho" w:hAnsi="Palatino Linotype"/>
          <w:color w:val="000000" w:themeColor="text1"/>
        </w:rPr>
        <w:lastRenderedPageBreak/>
        <w:t xml:space="preserve">del derecho de acceso a la información pública formular la solicitud de manera pacífica y respetuosa como lo advierte el artículo 8 constitucional, es importante destacar que ambos, por tratarse de derechos fundamentales encaminados a proteger la seguridad jurídica de los gobernados, deben bajo tales principios. </w:t>
      </w:r>
    </w:p>
    <w:p w:rsidR="0078604F" w:rsidRPr="002D4122" w:rsidRDefault="0078604F" w:rsidP="00C27A98">
      <w:pPr>
        <w:pStyle w:val="Prrafodelista"/>
        <w:ind w:left="0"/>
        <w:rPr>
          <w:rFonts w:ascii="Palatino Linotype" w:hAnsi="Palatino Linotype" w:cs="Arial"/>
          <w:color w:val="000000" w:themeColor="text1"/>
          <w:sz w:val="24"/>
        </w:rPr>
      </w:pPr>
    </w:p>
    <w:p w:rsidR="0078604F" w:rsidRPr="002D4122" w:rsidRDefault="0078604F" w:rsidP="00C27A98">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2D4122">
        <w:rPr>
          <w:rFonts w:ascii="Palatino Linotype" w:hAnsi="Palatino Linotype" w:cs="Arial"/>
          <w:color w:val="000000" w:themeColor="text1"/>
        </w:rPr>
        <w:t>Así entonces, en el ejercicio del</w:t>
      </w:r>
      <w:r w:rsidRPr="002D4122">
        <w:rPr>
          <w:rFonts w:ascii="Palatino Linotype" w:eastAsia="MS Mincho" w:hAnsi="Palatino Linotype"/>
          <w:color w:val="000000" w:themeColor="text1"/>
        </w:rPr>
        <w:t xml:space="preserve"> derecho de acceso a la información pública, la solicitud y en su caso, la impugnación, deben ejercerse de manera pacífica y respetuosa, absteniéndose el particular de proferir ofensas o recurrir a la violencia o amenazas para intimidad a la autoridad.</w:t>
      </w:r>
    </w:p>
    <w:p w:rsidR="0078604F" w:rsidRPr="002D4122" w:rsidRDefault="0078604F" w:rsidP="00C27A98">
      <w:pPr>
        <w:pStyle w:val="Prrafodelista"/>
        <w:ind w:left="0"/>
        <w:rPr>
          <w:rFonts w:ascii="Palatino Linotype" w:hAnsi="Palatino Linotype" w:cs="Arial"/>
          <w:color w:val="000000" w:themeColor="text1"/>
          <w:sz w:val="24"/>
        </w:rPr>
      </w:pPr>
    </w:p>
    <w:p w:rsidR="0078604F" w:rsidRPr="002D4122" w:rsidRDefault="0078604F" w:rsidP="00C27A98">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2D4122">
        <w:rPr>
          <w:rFonts w:ascii="Palatino Linotype" w:hAnsi="Palatino Linotype" w:cs="Arial"/>
          <w:color w:val="000000" w:themeColor="text1"/>
        </w:rPr>
        <w:t xml:space="preserve">Sustenta lo anterior </w:t>
      </w:r>
      <w:r w:rsidRPr="002D4122">
        <w:rPr>
          <w:rFonts w:ascii="Palatino Linotype" w:eastAsia="MS Mincho" w:hAnsi="Palatino Linotype"/>
          <w:color w:val="000000" w:themeColor="text1"/>
        </w:rPr>
        <w:t>la Tesis Aislada emitida por el Tercer Tribunal en materia Civil del Primer Circuito, misma que se anexa a continuación:</w:t>
      </w:r>
    </w:p>
    <w:p w:rsidR="0078604F" w:rsidRPr="002D4122" w:rsidRDefault="0078604F" w:rsidP="00C27A98">
      <w:pPr>
        <w:pBdr>
          <w:top w:val="nil"/>
          <w:left w:val="nil"/>
          <w:bottom w:val="nil"/>
          <w:right w:val="nil"/>
          <w:between w:val="nil"/>
        </w:pBdr>
        <w:spacing w:line="360" w:lineRule="auto"/>
        <w:jc w:val="both"/>
        <w:rPr>
          <w:rFonts w:ascii="Palatino Linotype" w:hAnsi="Palatino Linotype"/>
          <w:color w:val="000000" w:themeColor="text1"/>
        </w:rPr>
      </w:pPr>
    </w:p>
    <w:p w:rsidR="0078604F" w:rsidRPr="002D4122" w:rsidRDefault="0078604F" w:rsidP="00C27A98">
      <w:pPr>
        <w:pStyle w:val="Sinespaciado"/>
        <w:contextualSpacing/>
        <w:jc w:val="both"/>
        <w:rPr>
          <w:rFonts w:ascii="Palatino Linotype" w:hAnsi="Palatino Linotype"/>
          <w:i/>
          <w:color w:val="000000" w:themeColor="text1"/>
        </w:rPr>
      </w:pPr>
      <w:r w:rsidRPr="002D4122">
        <w:rPr>
          <w:rFonts w:ascii="Palatino Linotype" w:hAnsi="Palatino Linotype"/>
          <w:b/>
          <w:i/>
          <w:color w:val="000000" w:themeColor="text1"/>
        </w:rPr>
        <w:t>“DERECHO A LA INFORMACIÓN. NO DEBE REBASAR LOS LÍMITES PREVISTOS POR LOS ARTÍCULOS 6o., 7o. Y 24 CONSTITUCIONALES. “</w:t>
      </w:r>
      <w:r w:rsidRPr="002D4122">
        <w:rPr>
          <w:rFonts w:ascii="Palatino Linotype" w:hAnsi="Palatino Linotype"/>
          <w:i/>
          <w:color w:val="000000" w:themeColor="text1"/>
        </w:rPr>
        <w:t xml:space="preserve">El derecho a la información tiene como límites el decoro, el honor, el respeto, la circunspección, la honestidad, el recato, la honra y la estimación, pues el artículo 6o. otorga a toda persona el derecho de manifestar libremente sus ideas y prohíbe a los gobernantes que sometan dicha manifestación a inquisición judicial o administrativa, salvo que ataquen la moral, los derechos de tercero, provoquen algún delito o perturben el orden público. Así, la manifestación de las ideas se encuentra consagrada como uno de los derechos públicos individuales fundamentales que reconoce la Constitución, oponible por todo individuo, con independencia de su labor profesional, al Estado, y los artículos 7o. y 24 de la propia Carta Fundamental se refieren a aspectos concretos del ejercicio del derecho a manifestar libremente las ideas. El primero, porque declara inviolable la libertad de escribir y publicar escritos sobre cualquier materia y, el segundo, porque garantiza la libertad de creencias religiosas. Así, el Constituyente Originario al consagrar la libertad de expresión como una garantía individual, reconoció la necesidad de que el hombre pueda y deba, siempre, tener libertad para apreciar las cosas y crear intelectualmente, y expresarlo, aunque con ello contraríe otras formas de pensamiento; de ahí que sea un derecho oponible al Estado, a toda autoridad y, por ende, es un </w:t>
      </w:r>
      <w:r w:rsidRPr="002D4122">
        <w:rPr>
          <w:rFonts w:ascii="Palatino Linotype" w:hAnsi="Palatino Linotype"/>
          <w:i/>
          <w:color w:val="000000" w:themeColor="text1"/>
        </w:rPr>
        <w:lastRenderedPageBreak/>
        <w:t xml:space="preserve">derecho que por su propia naturaleza debe subsistir en todo régimen de derecho. En efecto, la historia escrita recoge antecedentes de declaraciones sobre las libertades del hombre, y precisa que hasta el siglo XVIII, se pueden citar documentos sobre esa materia. No hay duda histórica sobre dos documentos básicos para las definiciones de derechos fundamentales del hombre y su garantía frente al Estado. El primero es la Declaración de los Derechos del Hombre y del Ciudadano, producto de la Revolución Francesa, la cual se mantiene viva y vigente como texto legal por la remisión que hace el preámbulo de la Constitución de Francia de fecha veinticuatro de diciembre de mil setecientos noventa y nueve. El segundo, es la Constitución de los Estados Unidos de América, de diecisiete de septiembre de mil setecientos ochenta y siete. En la historia constitucional mexicana, que recibe influencia de las ideas políticas y liberales de quienes impulsaron la Revolución Francesa, así como contribuciones de diversas tendencias ideológicas enraizadas en las luchas entre conservadores y liberales que caracterizaron el siglo XIX, tenemos que se hicieron y entraron en vigor diversos cuerpos constitucionales, pero en todos ellos siempre ha aparecido una parte dogmática que reconoce derechos inherentes al hombre, y que ha contenido tanto la libertad de expresión como la libertad de imprenta. Por otra parte, los antecedentes legislativos relacionados con la reforma y adición a la Constitución de mil novecientos diecisiete, en relación al artículo 6o. antes precisado, tales como la iniciativa de ley, el dictamen de la comisión que al efecto se designó, y las discusiones y el proyecto de declaratoria correspondientes, publicados, respectivamente, en los Diarios de los Debates de los días seis, veinte de octubre y primero de diciembre, todos de mil novecientos setenta y siete, ponen de relieve que el propósito de las reformas fue el de preservar el derecho de todos respecto a las actividades que regula. Esta reforma recogió distintas corrientes preocupadas por asegurar a la sociedad una obtención de información oportuna, objetiva y plural, por parte de los grandes medios masivos de comunicación. Conforme a la evolución del artículo 6o. constitucional vigente y comparado con lo que al respecto se ha regulado en otros países, se concluye que a lo largo de la historia constitucional, quienes han tenido el depósito de la soberanía popular para legislar, se han preocupado porque existiera una Norma Suprema que reconociera el derecho del hombre a externar sus ideas, con limitaciones específicas tendientes a equilibrar el derecho del individuo frente a terceros y la sociedad, puesto que en ejercicio de ese derecho no debe menoscabar la moral, los derechos de tercero, que implica el honor, la dignidad y el derecho a la intimidad de éste, en su familia y decoro; así como tampoco puede, en ejercicio de ese derecho, provocar algún delito o perturbar el orden público. Asimismo, ese derecho del individuo, con la adición al contenido original del artículo 6o., quedó también equilibrado con el derecho que tiene la sociedad a estar veraz y objetivamente informada, para evitar que haya manipulación. Así, el Estado asume la obligación de cuidar que la información que llega a la sociedad a través de los </w:t>
      </w:r>
      <w:r w:rsidRPr="002D4122">
        <w:rPr>
          <w:rFonts w:ascii="Palatino Linotype" w:hAnsi="Palatino Linotype"/>
          <w:i/>
          <w:color w:val="000000" w:themeColor="text1"/>
        </w:rPr>
        <w:lastRenderedPageBreak/>
        <w:t>grandes medios masivos de comunicación, refleje la realidad y tenga un contenido que permita y coadyuve al acceso a la cultura en general, para que el pueblo pueda recibir en forma fácil y rápida conocimientos en el arte, la literatura, en las ciencias y en la política. Ello permitirá una participación informada para la solución de los grandes problemas nacionales, y evitará que se deforme el contenido de los hechos que pueden incidir en la formación de opinión. Luego, en el contenido actual del artículo 6o., se consagra la libertad de expresarse, la cual es consustancial al hombre, y que impide al Estado imponer sanciones por el solo hecho de expresar las ideas. Pero correlativamente, esa opinión tiene límites de cuya transgresión derivan consecuencias jurídicas. Tales límites son que la opinión no debe atacar la moral, esto es, las ideas que se exterioricen no deben tender a destruir el conjunto de valores que sustenta la cohesión de la sociedad en el respeto mutuo y en el cumplimiento de los deberes que tienen por base la dignidad humana y los derechos de la persona; tampoco debe dañar los derechos de tercero, ni incitar a la provocación de un delito o a la perturbación del orden público. De modo que la Constitución de mil novecientos diecisiete estableció una obligación por parte del Estado de abstenerse de actuar en contra de quien se expresa libremente, salvo que en el ejercicio de ese derecho se ataque a la moral, a los derechos de tercero, se provoque algún delito o se perturbe el orden público.” (Sic)</w:t>
      </w:r>
    </w:p>
    <w:p w:rsidR="00283067" w:rsidRPr="002D4122" w:rsidRDefault="0078604F" w:rsidP="00C27A98">
      <w:pPr>
        <w:pStyle w:val="Prrafodelista"/>
        <w:numPr>
          <w:ilvl w:val="0"/>
          <w:numId w:val="1"/>
        </w:numPr>
        <w:tabs>
          <w:tab w:val="left" w:pos="142"/>
          <w:tab w:val="left" w:pos="284"/>
          <w:tab w:val="left" w:pos="426"/>
        </w:tabs>
        <w:spacing w:before="240" w:after="240" w:line="360" w:lineRule="auto"/>
        <w:ind w:left="0" w:firstLine="0"/>
        <w:jc w:val="both"/>
        <w:rPr>
          <w:rFonts w:ascii="Palatino Linotype" w:eastAsia="Calibri" w:hAnsi="Palatino Linotype"/>
          <w:b/>
          <w:bCs/>
          <w:color w:val="000000" w:themeColor="text1"/>
          <w:sz w:val="24"/>
        </w:rPr>
      </w:pPr>
      <w:r w:rsidRPr="002D4122">
        <w:rPr>
          <w:rFonts w:ascii="Palatino Linotype" w:eastAsia="MS Mincho" w:hAnsi="Palatino Linotype"/>
          <w:color w:val="000000" w:themeColor="text1"/>
          <w:sz w:val="24"/>
        </w:rPr>
        <w:t xml:space="preserve">Es oportuno señalar que si bien es cierto los artículos 6° y 8° de la Constitución Política de los Estados Unidos Mexicanos tienen como fin garantizar que la autoridad atienda las peticiones y solicitudes de información de las personas, también es imperante que los particulares, en el ejercicio del derecho de petición, dirijan los escritos o solicitudes a la autoridad dentro de un margen de respeto, tal como lo dispone el artículo 8° constitucional, que por afinidad es aplicable para el ejercicio de derecho de acceso a la información pública. </w:t>
      </w:r>
    </w:p>
    <w:p w:rsidR="00420EBD" w:rsidRPr="002D4122" w:rsidRDefault="00420EBD" w:rsidP="00C27A98">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2D4122">
        <w:rPr>
          <w:rFonts w:ascii="Palatino Linotype" w:eastAsia="Palatino Linotype" w:hAnsi="Palatino Linotype" w:cs="Palatino Linotype"/>
          <w:color w:val="000000" w:themeColor="text1"/>
        </w:rPr>
        <w:t xml:space="preserve">Por lo tanto, en consecuencia y en mérito de lo expuesto en líneas anteriores, resultan fundadas las razones o motivos de inconformidad hechos valer por el </w:t>
      </w:r>
      <w:r w:rsidRPr="002D4122">
        <w:rPr>
          <w:rFonts w:ascii="Palatino Linotype" w:eastAsia="Palatino Linotype" w:hAnsi="Palatino Linotype" w:cs="Palatino Linotype"/>
          <w:b/>
          <w:color w:val="000000" w:themeColor="text1"/>
        </w:rPr>
        <w:t>RECURRENTE</w:t>
      </w:r>
      <w:r w:rsidRPr="002D4122">
        <w:rPr>
          <w:rFonts w:ascii="Palatino Linotype" w:eastAsia="Palatino Linotype" w:hAnsi="Palatino Linotype" w:cs="Palatino Linotype"/>
          <w:color w:val="000000" w:themeColor="text1"/>
        </w:rPr>
        <w:t xml:space="preserve"> dentro del recurso de revisión </w:t>
      </w:r>
      <w:r w:rsidR="008D4519" w:rsidRPr="002D4122">
        <w:rPr>
          <w:rFonts w:ascii="Palatino Linotype" w:eastAsia="Palatino Linotype" w:hAnsi="Palatino Linotype" w:cs="Palatino Linotype"/>
          <w:b/>
          <w:color w:val="000000" w:themeColor="text1"/>
        </w:rPr>
        <w:t>04623/INFOEM/IP/RR/2025, 04624/INFOEM/IP/RR/2025, 04625/INFOEM/IP/RR/2025, 04626/INFOEM/IP/RR/2025 y 04627/INFOEM/IP/RR/2025</w:t>
      </w:r>
      <w:r w:rsidRPr="002D4122">
        <w:rPr>
          <w:rFonts w:ascii="Palatino Linotype" w:eastAsia="Palatino Linotype" w:hAnsi="Palatino Linotype" w:cs="Palatino Linotype"/>
          <w:color w:val="000000" w:themeColor="text1"/>
        </w:rPr>
        <w:t xml:space="preserve">; por ello, y con fundamento en la fracción III del numeral 186 de la Ley de Transparencia </w:t>
      </w:r>
      <w:r w:rsidRPr="002D4122">
        <w:rPr>
          <w:rFonts w:ascii="Palatino Linotype" w:eastAsia="Palatino Linotype" w:hAnsi="Palatino Linotype" w:cs="Palatino Linotype"/>
          <w:color w:val="000000" w:themeColor="text1"/>
        </w:rPr>
        <w:lastRenderedPageBreak/>
        <w:t xml:space="preserve">y Acceso a la Información Pública del Estado de México y Municipios, se </w:t>
      </w:r>
      <w:r w:rsidRPr="002D4122">
        <w:rPr>
          <w:rFonts w:ascii="Palatino Linotype" w:eastAsia="Palatino Linotype" w:hAnsi="Palatino Linotype" w:cs="Palatino Linotype"/>
          <w:b/>
          <w:color w:val="000000" w:themeColor="text1"/>
        </w:rPr>
        <w:t>REVOCA</w:t>
      </w:r>
      <w:r w:rsidR="008D4519" w:rsidRPr="002D4122">
        <w:rPr>
          <w:rFonts w:ascii="Palatino Linotype" w:eastAsia="Palatino Linotype" w:hAnsi="Palatino Linotype" w:cs="Palatino Linotype"/>
          <w:b/>
          <w:color w:val="000000" w:themeColor="text1"/>
        </w:rPr>
        <w:t>N</w:t>
      </w:r>
      <w:r w:rsidRPr="002D4122">
        <w:rPr>
          <w:rFonts w:ascii="Palatino Linotype" w:eastAsia="Palatino Linotype" w:hAnsi="Palatino Linotype" w:cs="Palatino Linotype"/>
          <w:color w:val="000000" w:themeColor="text1"/>
        </w:rPr>
        <w:t xml:space="preserve"> la</w:t>
      </w:r>
      <w:r w:rsidR="008D4519" w:rsidRPr="002D4122">
        <w:rPr>
          <w:rFonts w:ascii="Palatino Linotype" w:eastAsia="Palatino Linotype" w:hAnsi="Palatino Linotype" w:cs="Palatino Linotype"/>
          <w:color w:val="000000" w:themeColor="text1"/>
        </w:rPr>
        <w:t>s</w:t>
      </w:r>
      <w:r w:rsidRPr="002D4122">
        <w:rPr>
          <w:rFonts w:ascii="Palatino Linotype" w:eastAsia="Palatino Linotype" w:hAnsi="Palatino Linotype" w:cs="Palatino Linotype"/>
          <w:color w:val="000000" w:themeColor="text1"/>
        </w:rPr>
        <w:t xml:space="preserve"> respuesta</w:t>
      </w:r>
      <w:r w:rsidR="008D4519" w:rsidRPr="002D4122">
        <w:rPr>
          <w:rFonts w:ascii="Palatino Linotype" w:eastAsia="Palatino Linotype" w:hAnsi="Palatino Linotype" w:cs="Palatino Linotype"/>
          <w:color w:val="000000" w:themeColor="text1"/>
        </w:rPr>
        <w:t>s</w:t>
      </w:r>
      <w:r w:rsidRPr="002D4122">
        <w:rPr>
          <w:rFonts w:ascii="Palatino Linotype" w:eastAsia="Palatino Linotype" w:hAnsi="Palatino Linotype" w:cs="Palatino Linotype"/>
          <w:color w:val="000000" w:themeColor="text1"/>
        </w:rPr>
        <w:t xml:space="preserve"> a la</w:t>
      </w:r>
      <w:r w:rsidR="008D4519" w:rsidRPr="002D4122">
        <w:rPr>
          <w:rFonts w:ascii="Palatino Linotype" w:eastAsia="Palatino Linotype" w:hAnsi="Palatino Linotype" w:cs="Palatino Linotype"/>
          <w:color w:val="000000" w:themeColor="text1"/>
        </w:rPr>
        <w:t>s</w:t>
      </w:r>
      <w:r w:rsidRPr="002D4122">
        <w:rPr>
          <w:rFonts w:ascii="Palatino Linotype" w:eastAsia="Palatino Linotype" w:hAnsi="Palatino Linotype" w:cs="Palatino Linotype"/>
          <w:color w:val="000000" w:themeColor="text1"/>
        </w:rPr>
        <w:t xml:space="preserve"> solicitud</w:t>
      </w:r>
      <w:r w:rsidR="008D4519" w:rsidRPr="002D4122">
        <w:rPr>
          <w:rFonts w:ascii="Palatino Linotype" w:eastAsia="Palatino Linotype" w:hAnsi="Palatino Linotype" w:cs="Palatino Linotype"/>
          <w:color w:val="000000" w:themeColor="text1"/>
        </w:rPr>
        <w:t>es</w:t>
      </w:r>
      <w:r w:rsidRPr="002D4122">
        <w:rPr>
          <w:rFonts w:ascii="Palatino Linotype" w:eastAsia="Palatino Linotype" w:hAnsi="Palatino Linotype" w:cs="Palatino Linotype"/>
          <w:color w:val="000000" w:themeColor="text1"/>
        </w:rPr>
        <w:t xml:space="preserve"> de información número </w:t>
      </w:r>
      <w:bookmarkStart w:id="7" w:name="_heading=h.2s8eyo1" w:colFirst="0" w:colLast="0"/>
      <w:bookmarkEnd w:id="7"/>
      <w:r w:rsidR="008D4519" w:rsidRPr="002D4122">
        <w:rPr>
          <w:rFonts w:ascii="Palatino Linotype" w:eastAsia="Palatino Linotype" w:hAnsi="Palatino Linotype" w:cs="Palatino Linotype"/>
          <w:b/>
          <w:bCs/>
          <w:color w:val="000000" w:themeColor="text1"/>
        </w:rPr>
        <w:t>00726/CUAUTIZC/IP/2025, 00725/CUAUTIZC/IP/2025, 00724/CUAUTIZC/IP/2025, 00723/CUAUTIZC/IP/2025 y 00722/CUAUTIZC/IP/2025.</w:t>
      </w:r>
    </w:p>
    <w:p w:rsidR="00420EBD" w:rsidRPr="002D4122" w:rsidRDefault="00420EBD" w:rsidP="00C27A98">
      <w:pPr>
        <w:pStyle w:val="Prrafodelista"/>
        <w:ind w:left="0"/>
        <w:rPr>
          <w:rFonts w:ascii="Palatino Linotype" w:eastAsia="Palatino Linotype" w:hAnsi="Palatino Linotype" w:cs="Palatino Linotype"/>
          <w:color w:val="000000" w:themeColor="text1"/>
          <w:sz w:val="24"/>
        </w:rPr>
      </w:pPr>
    </w:p>
    <w:p w:rsidR="00420EBD" w:rsidRPr="002D4122" w:rsidRDefault="00420EBD" w:rsidP="00C27A98">
      <w:pPr>
        <w:pStyle w:val="Prrafodelista"/>
        <w:tabs>
          <w:tab w:val="left" w:pos="426"/>
        </w:tabs>
        <w:spacing w:line="360" w:lineRule="auto"/>
        <w:ind w:left="0"/>
        <w:jc w:val="both"/>
        <w:outlineLvl w:val="1"/>
        <w:rPr>
          <w:rFonts w:ascii="Palatino Linotype" w:hAnsi="Palatino Linotype"/>
          <w:b/>
          <w:bCs/>
          <w:color w:val="000000" w:themeColor="text1"/>
          <w:sz w:val="24"/>
        </w:rPr>
      </w:pPr>
      <w:bookmarkStart w:id="8" w:name="_Toc89350464"/>
      <w:bookmarkStart w:id="9" w:name="_Toc94119619"/>
      <w:r w:rsidRPr="002D4122">
        <w:rPr>
          <w:rFonts w:ascii="Palatino Linotype" w:hAnsi="Palatino Linotype"/>
          <w:b/>
          <w:bCs/>
          <w:color w:val="000000" w:themeColor="text1"/>
          <w:sz w:val="24"/>
        </w:rPr>
        <w:t>QUINTO. De la versión pública.</w:t>
      </w:r>
      <w:bookmarkEnd w:id="8"/>
      <w:bookmarkEnd w:id="9"/>
    </w:p>
    <w:p w:rsidR="00420EBD" w:rsidRPr="002D4122" w:rsidRDefault="00420EBD" w:rsidP="00C27A98">
      <w:pPr>
        <w:pStyle w:val="Prrafodelista"/>
        <w:tabs>
          <w:tab w:val="left" w:pos="426"/>
        </w:tabs>
        <w:spacing w:line="360" w:lineRule="auto"/>
        <w:ind w:left="0"/>
        <w:jc w:val="both"/>
        <w:rPr>
          <w:rFonts w:ascii="Palatino Linotype" w:hAnsi="Palatino Linotype"/>
          <w:color w:val="000000" w:themeColor="text1"/>
          <w:sz w:val="24"/>
        </w:rPr>
      </w:pPr>
    </w:p>
    <w:p w:rsidR="00420EBD" w:rsidRPr="002D4122" w:rsidRDefault="00420EBD" w:rsidP="00C27A98">
      <w:pPr>
        <w:pStyle w:val="Prrafodelista"/>
        <w:numPr>
          <w:ilvl w:val="0"/>
          <w:numId w:val="1"/>
        </w:numPr>
        <w:tabs>
          <w:tab w:val="left" w:pos="0"/>
        </w:tabs>
        <w:spacing w:line="360" w:lineRule="auto"/>
        <w:ind w:left="0" w:firstLine="0"/>
        <w:jc w:val="both"/>
        <w:rPr>
          <w:rFonts w:ascii="Palatino Linotype" w:hAnsi="Palatino Linotype"/>
          <w:color w:val="000000" w:themeColor="text1"/>
          <w:sz w:val="24"/>
        </w:rPr>
      </w:pPr>
      <w:r w:rsidRPr="002D4122">
        <w:rPr>
          <w:rFonts w:ascii="Palatino Linotype" w:hAnsi="Palatino Linotype"/>
          <w:color w:val="000000" w:themeColor="text1"/>
          <w:sz w:val="24"/>
        </w:rPr>
        <w:t>Debe destacarse que, debido a la naturaleza de la información solicitada</w:t>
      </w:r>
      <w:r w:rsidRPr="002D4122">
        <w:rPr>
          <w:rFonts w:ascii="Palatino Linotype" w:hAnsi="Palatino Linotype"/>
          <w:b/>
          <w:color w:val="000000" w:themeColor="text1"/>
          <w:sz w:val="24"/>
        </w:rPr>
        <w:t xml:space="preserve"> </w:t>
      </w:r>
      <w:r w:rsidRPr="002D4122">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420EBD" w:rsidRPr="002D4122" w:rsidRDefault="00420EBD" w:rsidP="00C27A98">
      <w:pPr>
        <w:pStyle w:val="Prrafodelista"/>
        <w:tabs>
          <w:tab w:val="left" w:pos="426"/>
        </w:tabs>
        <w:spacing w:line="360" w:lineRule="auto"/>
        <w:ind w:left="0"/>
        <w:jc w:val="both"/>
        <w:rPr>
          <w:rFonts w:ascii="Palatino Linotype" w:hAnsi="Palatino Linotype"/>
          <w:color w:val="000000" w:themeColor="text1"/>
          <w:sz w:val="24"/>
        </w:rPr>
      </w:pPr>
    </w:p>
    <w:p w:rsidR="00420EBD" w:rsidRPr="002D4122" w:rsidRDefault="00420EBD" w:rsidP="00C27A98">
      <w:pPr>
        <w:pStyle w:val="Prrafodelista"/>
        <w:numPr>
          <w:ilvl w:val="0"/>
          <w:numId w:val="1"/>
        </w:numPr>
        <w:tabs>
          <w:tab w:val="left" w:pos="0"/>
        </w:tabs>
        <w:spacing w:line="360" w:lineRule="auto"/>
        <w:ind w:left="0" w:firstLine="0"/>
        <w:jc w:val="both"/>
        <w:rPr>
          <w:rFonts w:ascii="Palatino Linotype" w:hAnsi="Palatino Linotype"/>
          <w:color w:val="000000" w:themeColor="text1"/>
          <w:sz w:val="24"/>
        </w:rPr>
      </w:pPr>
      <w:r w:rsidRPr="002D4122">
        <w:rPr>
          <w:rFonts w:ascii="Palatino Linotype" w:hAnsi="Palatino Linotype"/>
          <w:color w:val="000000" w:themeColor="text1"/>
          <w:sz w:val="24"/>
        </w:rPr>
        <w:t xml:space="preserve">La </w:t>
      </w:r>
      <w:r w:rsidRPr="002D4122">
        <w:rPr>
          <w:rFonts w:ascii="Palatino Linotype" w:eastAsia="MS Mincho" w:hAnsi="Palatino Linotype"/>
          <w:color w:val="000000" w:themeColor="text1"/>
          <w:sz w:val="24"/>
        </w:rPr>
        <w:t>clasificación total o parcial de la información requerida, mediante solicitud de acceso a la información pública, constituye una restricción al derecho humano de acceso a la información</w:t>
      </w:r>
      <w:r w:rsidRPr="002D4122">
        <w:rPr>
          <w:rFonts w:ascii="Palatino Linotype" w:hAnsi="Palatino Linotype" w:cs="Arial"/>
          <w:color w:val="000000" w:themeColor="text1"/>
          <w:sz w:val="24"/>
        </w:rPr>
        <w:t>, por lo que es menester reiterar los mismos:</w:t>
      </w:r>
    </w:p>
    <w:p w:rsidR="00420EBD" w:rsidRPr="002D4122" w:rsidRDefault="00420EBD" w:rsidP="00C27A98">
      <w:pPr>
        <w:pStyle w:val="Prrafodelista"/>
        <w:tabs>
          <w:tab w:val="left" w:pos="426"/>
        </w:tabs>
        <w:spacing w:line="360" w:lineRule="auto"/>
        <w:ind w:left="0"/>
        <w:jc w:val="both"/>
        <w:rPr>
          <w:rFonts w:ascii="Palatino Linotype" w:hAnsi="Palatino Linotype"/>
          <w:color w:val="000000" w:themeColor="text1"/>
          <w:sz w:val="24"/>
        </w:rPr>
      </w:pPr>
    </w:p>
    <w:tbl>
      <w:tblPr>
        <w:tblStyle w:val="Tabladecuadrcula6concolores"/>
        <w:tblW w:w="0" w:type="auto"/>
        <w:tblLook w:val="04A0" w:firstRow="1" w:lastRow="0" w:firstColumn="1" w:lastColumn="0" w:noHBand="0" w:noVBand="1"/>
      </w:tblPr>
      <w:tblGrid>
        <w:gridCol w:w="1838"/>
        <w:gridCol w:w="6990"/>
      </w:tblGrid>
      <w:tr w:rsidR="004C40F6" w:rsidRPr="002D4122" w:rsidTr="002830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420EBD" w:rsidRPr="002D4122" w:rsidRDefault="00420EBD" w:rsidP="00C27A98">
            <w:pPr>
              <w:spacing w:line="360" w:lineRule="auto"/>
              <w:rPr>
                <w:rFonts w:ascii="Palatino Linotype" w:hAnsi="Palatino Linotype"/>
              </w:rPr>
            </w:pPr>
            <w:r w:rsidRPr="002D4122">
              <w:rPr>
                <w:rFonts w:ascii="Palatino Linotype" w:hAnsi="Palatino Linotype" w:cstheme="majorBidi"/>
                <w:b w:val="0"/>
              </w:rPr>
              <w:t>a) Requisitos previos.</w:t>
            </w:r>
          </w:p>
        </w:tc>
        <w:tc>
          <w:tcPr>
            <w:tcW w:w="6990" w:type="dxa"/>
          </w:tcPr>
          <w:p w:rsidR="00420EBD" w:rsidRPr="002D4122" w:rsidRDefault="00420EBD" w:rsidP="00C27A98">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rPr>
            </w:pPr>
            <w:r w:rsidRPr="002D4122">
              <w:rPr>
                <w:rFonts w:ascii="Palatino Linotype" w:hAnsi="Palatino Linotype" w:cs="Arial"/>
              </w:rPr>
              <w:t xml:space="preserve">Los artículos 100 y 122 de la Ley Estatal y de la Ley General, respectivamente, señalan que si los </w:t>
            </w:r>
            <w:r w:rsidRPr="002D4122">
              <w:rPr>
                <w:rFonts w:ascii="Palatino Linotype" w:hAnsi="Palatino Linotype" w:cs="Arial"/>
                <w:b w:val="0"/>
              </w:rPr>
              <w:t>Sujetos Obligados</w:t>
            </w:r>
            <w:r w:rsidRPr="002D4122">
              <w:rPr>
                <w:rFonts w:ascii="Palatino Linotype" w:hAnsi="Palatino Linotype" w:cs="Arial"/>
              </w:rPr>
              <w:t xml:space="preserve"> determinan que la información actualiza alguno de los supuestos de clasificación, es deber de los titulares de las áreas proponer su clasificación y no del Comité de Transparencia. </w:t>
            </w:r>
          </w:p>
          <w:p w:rsidR="00420EBD" w:rsidRPr="002D4122" w:rsidRDefault="00420EBD" w:rsidP="00C27A98">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rPr>
            </w:pPr>
            <w:r w:rsidRPr="002D4122">
              <w:rPr>
                <w:rFonts w:ascii="Palatino Linotype" w:hAnsi="Palatino Linotype" w:cs="Arial"/>
              </w:rPr>
              <w:lastRenderedPageBreak/>
              <w:t>Al hacerlo tienen que precisar de qué información se trata, señalando el supuesto de clasificación (confidencialidad o reserva).</w:t>
            </w:r>
          </w:p>
          <w:p w:rsidR="00420EBD" w:rsidRPr="002D4122" w:rsidRDefault="00420EBD" w:rsidP="00C27A98">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rPr>
            </w:pPr>
            <w:r w:rsidRPr="002D4122">
              <w:rPr>
                <w:rFonts w:ascii="Palatino Linotype" w:hAnsi="Palatino Linotype" w:cs="Arial"/>
              </w:rPr>
              <w:t>Además, se debe señalar el procedimiento, de los tres que establecen los artículos 132 y 106 de la Ley Estatal y General, respectivamente.</w:t>
            </w:r>
          </w:p>
          <w:p w:rsidR="00420EBD" w:rsidRPr="002D4122" w:rsidRDefault="00420EBD" w:rsidP="00C27A98">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2D4122">
              <w:rPr>
                <w:rFonts w:ascii="Palatino Linotype" w:hAnsi="Palatino Linotype" w:cs="Arial"/>
              </w:rPr>
              <w:t xml:space="preserve">El último de estos requisitos previos consiste en que no se pueden emitir acuerdos de carácter general ni particular, esto es, </w:t>
            </w:r>
            <w:r w:rsidRPr="002D4122">
              <w:rPr>
                <w:rFonts w:ascii="Palatino Linotype" w:hAnsi="Palatino Linotype" w:cs="Arial"/>
                <w:b w:val="0"/>
                <w:u w:val="single"/>
              </w:rPr>
              <w:t xml:space="preserve">no se puede hacer un acuerdo para clasificar de manera general todos los documentos de un expediente o área,  </w:t>
            </w:r>
            <w:r w:rsidRPr="002D4122">
              <w:rPr>
                <w:rFonts w:ascii="Palatino Linotype" w:hAnsi="Palatino Linotype" w:cs="Arial"/>
              </w:rPr>
              <w:t>sin individualizar su análisis y tampoco se puede hacer un acuerdo por cada dato que se vaya a clasificar dentro de un documento con diez datos, por ejemplo, susceptibles de ser clasificados.</w:t>
            </w:r>
          </w:p>
        </w:tc>
      </w:tr>
      <w:tr w:rsidR="004C40F6" w:rsidRPr="002D4122" w:rsidTr="002830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420EBD" w:rsidRPr="002D4122" w:rsidRDefault="00420EBD" w:rsidP="00C27A98">
            <w:pPr>
              <w:spacing w:line="360" w:lineRule="auto"/>
              <w:rPr>
                <w:rFonts w:ascii="Palatino Linotype" w:hAnsi="Palatino Linotype"/>
              </w:rPr>
            </w:pPr>
            <w:r w:rsidRPr="002D4122">
              <w:rPr>
                <w:rFonts w:ascii="Palatino Linotype" w:hAnsi="Palatino Linotype" w:cstheme="majorBidi"/>
                <w:b w:val="0"/>
              </w:rPr>
              <w:lastRenderedPageBreak/>
              <w:t>b) Supuestos de clasificación.</w:t>
            </w:r>
          </w:p>
        </w:tc>
        <w:tc>
          <w:tcPr>
            <w:tcW w:w="6990" w:type="dxa"/>
          </w:tcPr>
          <w:p w:rsidR="00420EBD" w:rsidRPr="002D4122" w:rsidRDefault="00420EBD" w:rsidP="00C27A98">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2D4122">
              <w:rPr>
                <w:rFonts w:ascii="Palatino Linotype" w:hAnsi="Palatino Linotype" w:cs="Arial"/>
              </w:rPr>
              <w:t>Las disposiciones constitucionales y legales en la materia establecen los dos supuestos generales para clasificar la información: por reserva y por confidencialidad.</w:t>
            </w:r>
          </w:p>
          <w:p w:rsidR="00420EBD" w:rsidRPr="002D4122" w:rsidRDefault="00420EBD" w:rsidP="00C27A98">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2D4122">
              <w:rPr>
                <w:rFonts w:ascii="Palatino Linotype" w:hAnsi="Palatino Linotype" w:cs="Arial"/>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w:t>
            </w:r>
            <w:r w:rsidRPr="002D4122">
              <w:rPr>
                <w:rFonts w:ascii="Palatino Linotype" w:hAnsi="Palatino Linotype" w:cs="Arial"/>
              </w:rPr>
              <w:lastRenderedPageBreak/>
              <w:t>acreditarse que se cumple con esta condición y no se pueden ampliar las excepciones o supuestos de clasificación aduciendo analogía o mayoría de razón.</w:t>
            </w:r>
          </w:p>
          <w:p w:rsidR="00420EBD" w:rsidRPr="002D4122" w:rsidRDefault="00420EBD" w:rsidP="00C27A9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D4122">
              <w:rPr>
                <w:rFonts w:ascii="Palatino Linotype" w:hAnsi="Palatino Linotype" w:cs="Arial"/>
              </w:rPr>
              <w:t xml:space="preserve">El </w:t>
            </w:r>
            <w:r w:rsidRPr="002D4122">
              <w:rPr>
                <w:rFonts w:ascii="Palatino Linotype" w:hAnsi="Palatino Linotype" w:cs="Arial"/>
                <w:b/>
              </w:rPr>
              <w:t>SUJETO OBLIGADO</w:t>
            </w:r>
            <w:r w:rsidRPr="002D4122">
              <w:rPr>
                <w:rFonts w:ascii="Palatino Linotype" w:hAnsi="Palatino Linotype" w:cs="Arial"/>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4C40F6" w:rsidRPr="002D4122" w:rsidTr="00283067">
        <w:tc>
          <w:tcPr>
            <w:cnfStyle w:val="001000000000" w:firstRow="0" w:lastRow="0" w:firstColumn="1" w:lastColumn="0" w:oddVBand="0" w:evenVBand="0" w:oddHBand="0" w:evenHBand="0" w:firstRowFirstColumn="0" w:firstRowLastColumn="0" w:lastRowFirstColumn="0" w:lastRowLastColumn="0"/>
            <w:tcW w:w="1838" w:type="dxa"/>
          </w:tcPr>
          <w:p w:rsidR="00420EBD" w:rsidRPr="002D4122" w:rsidRDefault="00420EBD" w:rsidP="00C27A98">
            <w:pPr>
              <w:spacing w:line="360" w:lineRule="auto"/>
              <w:rPr>
                <w:rFonts w:ascii="Palatino Linotype" w:hAnsi="Palatino Linotype"/>
              </w:rPr>
            </w:pPr>
            <w:r w:rsidRPr="002D4122">
              <w:rPr>
                <w:rFonts w:ascii="Palatino Linotype" w:hAnsi="Palatino Linotype" w:cstheme="majorBidi"/>
                <w:b w:val="0"/>
              </w:rPr>
              <w:lastRenderedPageBreak/>
              <w:t>c) Formalidades para emitir el acuerdo de clasificación.</w:t>
            </w:r>
          </w:p>
        </w:tc>
        <w:tc>
          <w:tcPr>
            <w:tcW w:w="6990" w:type="dxa"/>
          </w:tcPr>
          <w:p w:rsidR="00420EBD" w:rsidRPr="002D4122" w:rsidRDefault="00420EBD" w:rsidP="00C27A98">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2D4122">
              <w:rPr>
                <w:rFonts w:ascii="Palatino Linotype" w:hAnsi="Palatino Linotype" w:cs="Arial"/>
              </w:rPr>
              <w:t xml:space="preserve">El Comité de Transparencia, según lo dispuesto en los artículos cuenta con las facultades para aprobar, modificar o revocar la clasificación de la información que haya propuesto. </w:t>
            </w:r>
          </w:p>
          <w:p w:rsidR="00420EBD" w:rsidRPr="002D4122" w:rsidRDefault="00420EBD" w:rsidP="00C27A98">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2D4122">
              <w:rPr>
                <w:rFonts w:ascii="Palatino Linotype" w:hAnsi="Palatino Linotype" w:cs="Arial"/>
              </w:rPr>
              <w:t xml:space="preserve">Es necesario que </w:t>
            </w:r>
            <w:r w:rsidRPr="002D4122">
              <w:rPr>
                <w:rFonts w:ascii="Palatino Linotype" w:hAnsi="Palatino Linotype" w:cs="Arial"/>
                <w:b/>
                <w:u w:val="single"/>
              </w:rPr>
              <w:t>el acto reúna con los requisitos elementales</w:t>
            </w:r>
            <w:r w:rsidRPr="002D4122">
              <w:rPr>
                <w:rFonts w:ascii="Palatino Linotype" w:hAnsi="Palatino Linotype" w:cs="Arial"/>
              </w:rPr>
              <w:t>, entre ellos, que la autoridad que va a emitir el acto de autoridad sea la legalmente facultada para ello.</w:t>
            </w:r>
          </w:p>
          <w:p w:rsidR="00420EBD" w:rsidRPr="002D4122" w:rsidRDefault="00420EBD" w:rsidP="00C27A9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D4122">
              <w:rPr>
                <w:rFonts w:ascii="Palatino Linotype" w:hAnsi="Palatino Linotype" w:cs="Arial"/>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w:t>
            </w:r>
            <w:r w:rsidRPr="002D4122">
              <w:rPr>
                <w:rFonts w:ascii="Palatino Linotype" w:hAnsi="Palatino Linotype" w:cs="Arial"/>
              </w:rPr>
              <w:lastRenderedPageBreak/>
              <w:t>áreas y que son sujetas a control, en primera instancia, por el Comité de Transparencia.</w:t>
            </w:r>
          </w:p>
        </w:tc>
      </w:tr>
      <w:tr w:rsidR="004C40F6" w:rsidRPr="002D4122" w:rsidTr="002830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420EBD" w:rsidRPr="002D4122" w:rsidRDefault="00420EBD" w:rsidP="00C27A98">
            <w:pPr>
              <w:spacing w:line="360" w:lineRule="auto"/>
              <w:rPr>
                <w:rFonts w:ascii="Palatino Linotype" w:hAnsi="Palatino Linotype"/>
                <w:b w:val="0"/>
              </w:rPr>
            </w:pPr>
          </w:p>
          <w:p w:rsidR="00420EBD" w:rsidRPr="002D4122" w:rsidRDefault="00420EBD" w:rsidP="00C27A98">
            <w:pPr>
              <w:spacing w:line="360" w:lineRule="auto"/>
              <w:jc w:val="both"/>
              <w:rPr>
                <w:rFonts w:ascii="Palatino Linotype" w:hAnsi="Palatino Linotype"/>
                <w:b w:val="0"/>
              </w:rPr>
            </w:pPr>
            <w:r w:rsidRPr="002D4122">
              <w:rPr>
                <w:rFonts w:ascii="Palatino Linotype" w:hAnsi="Palatino Linotype" w:cs="Arial"/>
                <w:b w:val="0"/>
              </w:rPr>
              <w:t xml:space="preserve">d) Requisitos de fondo del acuerdo de clasificación. </w:t>
            </w:r>
          </w:p>
        </w:tc>
        <w:tc>
          <w:tcPr>
            <w:tcW w:w="6990" w:type="dxa"/>
          </w:tcPr>
          <w:p w:rsidR="00420EBD" w:rsidRPr="002D4122" w:rsidRDefault="00420EBD" w:rsidP="00C27A98">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2D4122">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2D4122">
              <w:rPr>
                <w:rFonts w:ascii="Palatino Linotype" w:hAnsi="Palatino Linotype" w:cs="Arial"/>
                <w:b/>
              </w:rPr>
              <w:t>Sujetos Obligados</w:t>
            </w:r>
            <w:r w:rsidRPr="002D4122">
              <w:rPr>
                <w:rFonts w:ascii="Palatino Linotype" w:hAnsi="Palatino Linotype" w:cs="Arial"/>
              </w:rPr>
              <w:t xml:space="preserve">, por lo que deberán fundar y motivar debidamente la clasificación. </w:t>
            </w:r>
          </w:p>
          <w:p w:rsidR="00420EBD" w:rsidRPr="002D4122" w:rsidRDefault="00420EBD" w:rsidP="00C27A98">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2D4122">
              <w:rPr>
                <w:rFonts w:ascii="Palatino Linotype" w:hAnsi="Palatino Linotype" w:cs="Arial"/>
              </w:rPr>
              <w:t xml:space="preserve">De lo anterior, se desprende que para una correcta </w:t>
            </w:r>
            <w:r w:rsidRPr="002D4122">
              <w:rPr>
                <w:rFonts w:ascii="Palatino Linotype" w:hAnsi="Palatino Linotype" w:cs="Arial"/>
                <w:b/>
              </w:rPr>
              <w:t>clasificación total o parcial</w:t>
            </w:r>
            <w:r w:rsidRPr="002D4122">
              <w:rPr>
                <w:rFonts w:ascii="Palatino Linotype" w:hAnsi="Palatino Linotype" w:cs="Arial"/>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420EBD" w:rsidRPr="002D4122" w:rsidRDefault="00420EBD" w:rsidP="00C27A98">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2D4122">
              <w:rPr>
                <w:rFonts w:ascii="Palatino Linotype" w:hAnsi="Palatino Linotype" w:cs="Arial"/>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w:t>
            </w:r>
            <w:r w:rsidRPr="002D4122">
              <w:rPr>
                <w:rFonts w:ascii="Palatino Linotype" w:hAnsi="Palatino Linotype" w:cs="Arial"/>
              </w:rPr>
              <w:lastRenderedPageBreak/>
              <w:t>la persona que se sienta afectada pueda impugnar la decisión, permitiéndole una real y auténtica defensa.</w:t>
            </w:r>
          </w:p>
          <w:p w:rsidR="00420EBD" w:rsidRPr="002D4122" w:rsidRDefault="00420EBD" w:rsidP="00C27A98">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2D4122">
              <w:rPr>
                <w:rFonts w:ascii="Palatino Linotype" w:hAnsi="Palatino Linotype" w:cs="Arial"/>
              </w:rPr>
              <w:t>En ese mismo sentido, el numeral trigésimo tercero fracción V de los Lineamientos Generales, precisa que para motivar la clasificación se deben acreditar las circunstancias de tiempo, modo y lugar.</w:t>
            </w:r>
          </w:p>
          <w:p w:rsidR="00420EBD" w:rsidRPr="002D4122" w:rsidRDefault="00420EBD" w:rsidP="00C27A98">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2D4122">
              <w:rPr>
                <w:rFonts w:ascii="Palatino Linotype" w:hAnsi="Palatino Linotype" w:cs="Arial"/>
              </w:rPr>
              <w:t xml:space="preserve">Ahora bien, </w:t>
            </w:r>
            <w:r w:rsidRPr="002D4122">
              <w:rPr>
                <w:rFonts w:ascii="Palatino Linotype" w:hAnsi="Palatino Linotype" w:cs="Arial"/>
                <w:b/>
                <w:u w:val="single"/>
              </w:rPr>
              <w:t>para cada caso además de fundar y motivar</w:t>
            </w:r>
            <w:r w:rsidRPr="002D4122">
              <w:rPr>
                <w:rFonts w:ascii="Palatino Linotype" w:hAnsi="Palatino Linotype" w:cs="Arial"/>
              </w:rPr>
              <w:t xml:space="preserve">, se debe identificar con claridad que datos contenidos en las documentales que son susceptibles de suprimirse, por ejemplo; </w:t>
            </w:r>
            <w:r w:rsidRPr="002D4122">
              <w:rPr>
                <w:rFonts w:ascii="Palatino Linotype" w:hAnsi="Palatino Linotype" w:cs="Arial"/>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4C40F6" w:rsidRPr="002D4122" w:rsidTr="00283067">
        <w:tc>
          <w:tcPr>
            <w:cnfStyle w:val="001000000000" w:firstRow="0" w:lastRow="0" w:firstColumn="1" w:lastColumn="0" w:oddVBand="0" w:evenVBand="0" w:oddHBand="0" w:evenHBand="0" w:firstRowFirstColumn="0" w:firstRowLastColumn="0" w:lastRowFirstColumn="0" w:lastRowLastColumn="0"/>
            <w:tcW w:w="1838" w:type="dxa"/>
          </w:tcPr>
          <w:p w:rsidR="00420EBD" w:rsidRPr="002D4122" w:rsidRDefault="00420EBD" w:rsidP="00C27A98">
            <w:pPr>
              <w:spacing w:line="360" w:lineRule="auto"/>
              <w:jc w:val="both"/>
              <w:rPr>
                <w:rFonts w:ascii="Palatino Linotype" w:hAnsi="Palatino Linotype" w:cs="Arial"/>
              </w:rPr>
            </w:pPr>
            <w:r w:rsidRPr="002D4122">
              <w:rPr>
                <w:rFonts w:ascii="Palatino Linotype" w:eastAsia="MS Gothic" w:hAnsi="Palatino Linotype"/>
                <w:b w:val="0"/>
              </w:rPr>
              <w:lastRenderedPageBreak/>
              <w:t xml:space="preserve">e) Condiciones especiales de la clasificación de la información como confidencial. </w:t>
            </w:r>
          </w:p>
          <w:p w:rsidR="00420EBD" w:rsidRPr="002D4122" w:rsidRDefault="00420EBD" w:rsidP="00C27A98">
            <w:pPr>
              <w:spacing w:line="360" w:lineRule="auto"/>
              <w:rPr>
                <w:rFonts w:ascii="Palatino Linotype" w:hAnsi="Palatino Linotype"/>
              </w:rPr>
            </w:pPr>
          </w:p>
        </w:tc>
        <w:tc>
          <w:tcPr>
            <w:tcW w:w="6990" w:type="dxa"/>
          </w:tcPr>
          <w:p w:rsidR="00420EBD" w:rsidRPr="002D4122" w:rsidRDefault="00420EBD" w:rsidP="00C27A98">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2D4122">
              <w:rPr>
                <w:rFonts w:ascii="Palatino Linotype" w:hAnsi="Palatino Linotype" w:cs="Arial"/>
              </w:rPr>
              <w:t xml:space="preserve">Los artículos 148 y 120 de la Ley Estatal y de la Ley General, respectivamente, establecen que aun tratándose de datos personales, se podrán proporcionar, incluso sin solicitar el consentimiento de su titular. </w:t>
            </w:r>
          </w:p>
          <w:p w:rsidR="00420EBD" w:rsidRPr="002D4122" w:rsidRDefault="00420EBD" w:rsidP="00C27A98">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2D4122">
              <w:rPr>
                <w:rFonts w:ascii="Palatino Linotype" w:hAnsi="Palatino Linotype" w:cs="Aria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420EBD" w:rsidRPr="002D4122" w:rsidRDefault="00420EBD" w:rsidP="00C27A98">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D4122">
              <w:rPr>
                <w:rFonts w:ascii="Palatino Linotype" w:hAnsi="Palatino Linotype" w:cs="Arial"/>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420EBD" w:rsidRPr="002D4122" w:rsidRDefault="00420EBD" w:rsidP="00C27A98">
      <w:pPr>
        <w:spacing w:line="360" w:lineRule="auto"/>
        <w:jc w:val="both"/>
        <w:rPr>
          <w:rFonts w:ascii="Palatino Linotype" w:hAnsi="Palatino Linotype"/>
          <w:color w:val="000000" w:themeColor="text1"/>
        </w:rPr>
      </w:pPr>
    </w:p>
    <w:p w:rsidR="007304DF" w:rsidRPr="002D4122" w:rsidRDefault="007304DF" w:rsidP="00C27A98">
      <w:pPr>
        <w:pStyle w:val="Prrafodelista"/>
        <w:numPr>
          <w:ilvl w:val="0"/>
          <w:numId w:val="1"/>
        </w:numPr>
        <w:pBdr>
          <w:top w:val="nil"/>
          <w:left w:val="nil"/>
          <w:bottom w:val="nil"/>
          <w:right w:val="nil"/>
          <w:between w:val="nil"/>
        </w:pBdr>
        <w:spacing w:line="360" w:lineRule="auto"/>
        <w:ind w:left="0" w:firstLine="0"/>
        <w:jc w:val="both"/>
        <w:rPr>
          <w:rFonts w:ascii="Palatino Linotype" w:hAnsi="Palatino Linotype" w:cs="Tahoma"/>
          <w:bCs/>
          <w:iCs/>
          <w:color w:val="000000" w:themeColor="text1"/>
          <w:sz w:val="24"/>
        </w:rPr>
      </w:pPr>
      <w:r w:rsidRPr="002D4122">
        <w:rPr>
          <w:rFonts w:ascii="Palatino Linotype" w:hAnsi="Palatino Linotype" w:cs="Tahoma"/>
          <w:bCs/>
          <w:iCs/>
          <w:color w:val="000000" w:themeColor="text1"/>
          <w:sz w:val="24"/>
        </w:rPr>
        <w:t xml:space="preserve">Bajo este esquema a continuación se analizan los datos personales susceptibles de clasificación que podrían estar contenidos en los documentos que se ordenan entregar, tales como el </w:t>
      </w:r>
      <w:r w:rsidRPr="002D4122">
        <w:rPr>
          <w:rFonts w:ascii="Palatino Linotype" w:hAnsi="Palatino Linotype" w:cs="Tahoma"/>
          <w:b/>
          <w:bCs/>
          <w:iCs/>
          <w:color w:val="000000" w:themeColor="text1"/>
          <w:sz w:val="24"/>
        </w:rPr>
        <w:t>Registro Federal de Contribuyentes</w:t>
      </w:r>
      <w:r w:rsidRPr="002D4122">
        <w:rPr>
          <w:rFonts w:ascii="Palatino Linotype" w:hAnsi="Palatino Linotype" w:cs="Tahoma"/>
          <w:bCs/>
          <w:iCs/>
          <w:color w:val="000000" w:themeColor="text1"/>
          <w:sz w:val="24"/>
        </w:rPr>
        <w:t xml:space="preserve"> (RFC) de servidores públicos, la </w:t>
      </w:r>
      <w:r w:rsidRPr="002D4122">
        <w:rPr>
          <w:rFonts w:ascii="Palatino Linotype" w:hAnsi="Palatino Linotype" w:cs="Tahoma"/>
          <w:b/>
          <w:bCs/>
          <w:iCs/>
          <w:color w:val="000000" w:themeColor="text1"/>
          <w:sz w:val="24"/>
        </w:rPr>
        <w:t>Clave Única de Registro de Población</w:t>
      </w:r>
      <w:r w:rsidRPr="002D4122">
        <w:rPr>
          <w:rFonts w:ascii="Palatino Linotype" w:hAnsi="Palatino Linotype" w:cs="Tahoma"/>
          <w:bCs/>
          <w:iCs/>
          <w:color w:val="000000" w:themeColor="text1"/>
          <w:sz w:val="24"/>
        </w:rPr>
        <w:t xml:space="preserve"> (CURP).</w:t>
      </w:r>
    </w:p>
    <w:p w:rsidR="007304DF" w:rsidRPr="002D4122" w:rsidRDefault="007304DF" w:rsidP="00C27A98">
      <w:pPr>
        <w:spacing w:line="360" w:lineRule="auto"/>
        <w:jc w:val="both"/>
        <w:rPr>
          <w:rFonts w:ascii="Palatino Linotype" w:hAnsi="Palatino Linotype" w:cs="Tahoma"/>
          <w:bCs/>
          <w:iCs/>
          <w:color w:val="000000" w:themeColor="text1"/>
        </w:rPr>
      </w:pPr>
    </w:p>
    <w:p w:rsidR="007304DF" w:rsidRPr="002D4122" w:rsidRDefault="007304DF" w:rsidP="00C27A98">
      <w:pPr>
        <w:pStyle w:val="Prrafodelista"/>
        <w:numPr>
          <w:ilvl w:val="0"/>
          <w:numId w:val="14"/>
        </w:numPr>
        <w:spacing w:line="360" w:lineRule="auto"/>
        <w:ind w:left="0"/>
        <w:jc w:val="both"/>
        <w:rPr>
          <w:rFonts w:ascii="Palatino Linotype" w:hAnsi="Palatino Linotype" w:cs="Tahoma"/>
          <w:bCs/>
          <w:iCs/>
          <w:color w:val="000000" w:themeColor="text1"/>
          <w:sz w:val="24"/>
        </w:rPr>
      </w:pPr>
      <w:r w:rsidRPr="002D4122">
        <w:rPr>
          <w:rFonts w:ascii="Palatino Linotype" w:hAnsi="Palatino Linotype" w:cs="Tahoma"/>
          <w:b/>
          <w:bCs/>
          <w:iCs/>
          <w:color w:val="000000" w:themeColor="text1"/>
          <w:sz w:val="24"/>
        </w:rPr>
        <w:t>Registro Federal de Contribuyentes</w:t>
      </w:r>
      <w:r w:rsidRPr="002D4122">
        <w:rPr>
          <w:rFonts w:ascii="Palatino Linotype" w:hAnsi="Palatino Linotype" w:cs="Tahoma"/>
          <w:bCs/>
          <w:iCs/>
          <w:color w:val="000000" w:themeColor="text1"/>
          <w:sz w:val="24"/>
        </w:rPr>
        <w:t xml:space="preserve"> (RFC)</w:t>
      </w:r>
    </w:p>
    <w:p w:rsidR="007304DF" w:rsidRPr="002D4122" w:rsidRDefault="007304DF" w:rsidP="00C27A98">
      <w:pPr>
        <w:spacing w:line="360" w:lineRule="auto"/>
        <w:jc w:val="both"/>
        <w:rPr>
          <w:rFonts w:ascii="Palatino Linotype" w:hAnsi="Palatino Linotype" w:cs="Tahoma"/>
          <w:bCs/>
          <w:iCs/>
          <w:color w:val="000000" w:themeColor="text1"/>
        </w:rPr>
      </w:pPr>
    </w:p>
    <w:p w:rsidR="007304DF" w:rsidRPr="002D4122" w:rsidRDefault="007304DF" w:rsidP="00C27A98">
      <w:pPr>
        <w:numPr>
          <w:ilvl w:val="0"/>
          <w:numId w:val="1"/>
        </w:numPr>
        <w:pBdr>
          <w:top w:val="nil"/>
          <w:left w:val="nil"/>
          <w:bottom w:val="nil"/>
          <w:right w:val="nil"/>
          <w:between w:val="nil"/>
        </w:pBdr>
        <w:spacing w:line="360" w:lineRule="auto"/>
        <w:ind w:left="0" w:firstLine="0"/>
        <w:jc w:val="both"/>
        <w:rPr>
          <w:rFonts w:ascii="Palatino Linotype" w:hAnsi="Palatino Linotype" w:cs="Tahoma"/>
          <w:bCs/>
          <w:iCs/>
          <w:color w:val="000000" w:themeColor="text1"/>
        </w:rPr>
      </w:pPr>
      <w:r w:rsidRPr="002D4122">
        <w:rPr>
          <w:rFonts w:ascii="Palatino Linotype" w:hAnsi="Palatino Linotype" w:cs="Tahoma"/>
          <w:bCs/>
          <w:iCs/>
          <w:color w:val="000000" w:themeColor="text1"/>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rsidR="007304DF" w:rsidRPr="002D4122" w:rsidRDefault="007304DF" w:rsidP="00C27A98">
      <w:pPr>
        <w:pBdr>
          <w:top w:val="nil"/>
          <w:left w:val="nil"/>
          <w:bottom w:val="nil"/>
          <w:right w:val="nil"/>
          <w:between w:val="nil"/>
        </w:pBdr>
        <w:spacing w:line="360" w:lineRule="auto"/>
        <w:jc w:val="both"/>
        <w:rPr>
          <w:rFonts w:ascii="Palatino Linotype" w:hAnsi="Palatino Linotype" w:cs="Tahoma"/>
          <w:bCs/>
          <w:iCs/>
          <w:color w:val="000000" w:themeColor="text1"/>
        </w:rPr>
      </w:pPr>
    </w:p>
    <w:p w:rsidR="007304DF" w:rsidRPr="002D4122" w:rsidRDefault="007304DF" w:rsidP="00C27A98">
      <w:pPr>
        <w:numPr>
          <w:ilvl w:val="0"/>
          <w:numId w:val="1"/>
        </w:numPr>
        <w:pBdr>
          <w:top w:val="nil"/>
          <w:left w:val="nil"/>
          <w:bottom w:val="nil"/>
          <w:right w:val="nil"/>
          <w:between w:val="nil"/>
        </w:pBdr>
        <w:spacing w:line="360" w:lineRule="auto"/>
        <w:ind w:left="0" w:firstLine="0"/>
        <w:jc w:val="both"/>
        <w:rPr>
          <w:rFonts w:ascii="Palatino Linotype" w:hAnsi="Palatino Linotype" w:cs="Tahoma"/>
          <w:bCs/>
          <w:iCs/>
          <w:color w:val="000000" w:themeColor="text1"/>
        </w:rPr>
      </w:pPr>
      <w:r w:rsidRPr="002D4122">
        <w:rPr>
          <w:rFonts w:ascii="Palatino Linotype" w:hAnsi="Palatino Linotype" w:cs="Tahoma"/>
          <w:bCs/>
          <w:iCs/>
          <w:color w:val="000000" w:themeColor="text1"/>
        </w:rPr>
        <w:t xml:space="preserve">De acuerdo con lo establecido en el artículo en comento, esta clave se compone de trece caracteres alfanuméricos, con datos obtenidos de los apellidos, nombre (s), fecha de </w:t>
      </w:r>
      <w:r w:rsidRPr="002D4122">
        <w:rPr>
          <w:rFonts w:ascii="Palatino Linotype" w:hAnsi="Palatino Linotype" w:cs="Tahoma"/>
          <w:bCs/>
          <w:iCs/>
          <w:color w:val="000000" w:themeColor="text1"/>
        </w:rPr>
        <w:lastRenderedPageBreak/>
        <w:t xml:space="preserve">nacimiento del titular, más una </w:t>
      </w:r>
      <w:proofErr w:type="spellStart"/>
      <w:r w:rsidRPr="002D4122">
        <w:rPr>
          <w:rFonts w:ascii="Palatino Linotype" w:hAnsi="Palatino Linotype" w:cs="Tahoma"/>
          <w:bCs/>
          <w:iCs/>
          <w:color w:val="000000" w:themeColor="text1"/>
        </w:rPr>
        <w:t>homoclave</w:t>
      </w:r>
      <w:proofErr w:type="spellEnd"/>
      <w:r w:rsidRPr="002D4122">
        <w:rPr>
          <w:rFonts w:ascii="Palatino Linotype" w:hAnsi="Palatino Linotype" w:cs="Tahoma"/>
          <w:bCs/>
          <w:iCs/>
          <w:color w:val="000000" w:themeColor="text1"/>
        </w:rPr>
        <w:t xml:space="preserve"> que establece el sistema automático del Servicio de Administración Tributaria.</w:t>
      </w:r>
    </w:p>
    <w:p w:rsidR="007304DF" w:rsidRPr="002D4122" w:rsidRDefault="007304DF" w:rsidP="00C27A98">
      <w:pPr>
        <w:spacing w:line="360" w:lineRule="auto"/>
        <w:jc w:val="both"/>
        <w:rPr>
          <w:rFonts w:ascii="Palatino Linotype" w:hAnsi="Palatino Linotype" w:cs="Tahoma"/>
          <w:bCs/>
          <w:iCs/>
          <w:color w:val="000000" w:themeColor="text1"/>
        </w:rPr>
      </w:pPr>
    </w:p>
    <w:p w:rsidR="007304DF" w:rsidRPr="002D4122" w:rsidRDefault="007304DF" w:rsidP="00C27A98">
      <w:pPr>
        <w:numPr>
          <w:ilvl w:val="0"/>
          <w:numId w:val="1"/>
        </w:numPr>
        <w:pBdr>
          <w:top w:val="nil"/>
          <w:left w:val="nil"/>
          <w:bottom w:val="nil"/>
          <w:right w:val="nil"/>
          <w:between w:val="nil"/>
        </w:pBdr>
        <w:spacing w:line="360" w:lineRule="auto"/>
        <w:ind w:left="0" w:firstLine="0"/>
        <w:jc w:val="both"/>
        <w:rPr>
          <w:rFonts w:ascii="Palatino Linotype" w:hAnsi="Palatino Linotype" w:cs="Tahoma"/>
          <w:bCs/>
          <w:iCs/>
          <w:color w:val="000000" w:themeColor="text1"/>
        </w:rPr>
      </w:pPr>
      <w:r w:rsidRPr="002D4122">
        <w:rPr>
          <w:rFonts w:ascii="Palatino Linotype" w:hAnsi="Palatino Linotype" w:cs="Tahoma"/>
          <w:bCs/>
          <w:iCs/>
          <w:color w:val="000000" w:themeColor="text1"/>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7304DF" w:rsidRPr="002D4122" w:rsidRDefault="007304DF" w:rsidP="00C27A98">
      <w:pPr>
        <w:spacing w:line="360" w:lineRule="auto"/>
        <w:jc w:val="both"/>
        <w:rPr>
          <w:rFonts w:ascii="Palatino Linotype" w:hAnsi="Palatino Linotype" w:cs="Tahoma"/>
          <w:bCs/>
          <w:iCs/>
          <w:color w:val="000000" w:themeColor="text1"/>
        </w:rPr>
      </w:pPr>
    </w:p>
    <w:p w:rsidR="007304DF" w:rsidRPr="002D4122" w:rsidRDefault="007304DF" w:rsidP="00C27A98">
      <w:pPr>
        <w:numPr>
          <w:ilvl w:val="0"/>
          <w:numId w:val="1"/>
        </w:numPr>
        <w:pBdr>
          <w:top w:val="nil"/>
          <w:left w:val="nil"/>
          <w:bottom w:val="nil"/>
          <w:right w:val="nil"/>
          <w:between w:val="nil"/>
        </w:pBdr>
        <w:spacing w:line="360" w:lineRule="auto"/>
        <w:ind w:left="0" w:firstLine="0"/>
        <w:jc w:val="both"/>
        <w:rPr>
          <w:rFonts w:ascii="Palatino Linotype" w:hAnsi="Palatino Linotype" w:cs="Tahoma"/>
          <w:bCs/>
          <w:iCs/>
          <w:color w:val="000000" w:themeColor="text1"/>
        </w:rPr>
      </w:pPr>
      <w:r w:rsidRPr="002D4122">
        <w:rPr>
          <w:rFonts w:ascii="Palatino Linotype" w:hAnsi="Palatino Linotype" w:cs="Tahoma"/>
          <w:bCs/>
          <w:iCs/>
          <w:color w:val="000000" w:themeColor="text1"/>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rsidR="007304DF" w:rsidRPr="002D4122" w:rsidRDefault="007304DF" w:rsidP="00C27A98">
      <w:pPr>
        <w:spacing w:line="360" w:lineRule="auto"/>
        <w:jc w:val="both"/>
        <w:rPr>
          <w:rFonts w:ascii="Palatino Linotype" w:hAnsi="Palatino Linotype" w:cs="Tahoma"/>
          <w:bCs/>
          <w:iCs/>
          <w:color w:val="000000" w:themeColor="text1"/>
        </w:rPr>
      </w:pPr>
    </w:p>
    <w:p w:rsidR="007304DF" w:rsidRPr="002D4122" w:rsidRDefault="007304DF" w:rsidP="00C27A98">
      <w:pPr>
        <w:numPr>
          <w:ilvl w:val="0"/>
          <w:numId w:val="1"/>
        </w:numPr>
        <w:pBdr>
          <w:top w:val="nil"/>
          <w:left w:val="nil"/>
          <w:bottom w:val="nil"/>
          <w:right w:val="nil"/>
          <w:between w:val="nil"/>
        </w:pBdr>
        <w:spacing w:line="360" w:lineRule="auto"/>
        <w:ind w:left="0" w:firstLine="0"/>
        <w:jc w:val="both"/>
        <w:rPr>
          <w:rFonts w:ascii="Palatino Linotype" w:hAnsi="Palatino Linotype" w:cs="Tahoma"/>
          <w:bCs/>
          <w:iCs/>
          <w:color w:val="000000" w:themeColor="text1"/>
        </w:rPr>
      </w:pPr>
      <w:r w:rsidRPr="002D4122">
        <w:rPr>
          <w:rFonts w:ascii="Palatino Linotype" w:hAnsi="Palatino Linotype" w:cs="Tahoma"/>
          <w:bCs/>
          <w:iCs/>
          <w:color w:val="000000" w:themeColor="text1"/>
        </w:rPr>
        <w:t>Lo anterior, resulta congruente con el Criterio 19/17 emitido por el Instituto Nacional de Transparencia, Acceso a la Información y Protección de Datos Personales, en el cual se señala lo siguiente:</w:t>
      </w:r>
    </w:p>
    <w:p w:rsidR="007304DF" w:rsidRPr="002D4122" w:rsidRDefault="007304DF" w:rsidP="00C27A98">
      <w:pPr>
        <w:spacing w:line="360" w:lineRule="auto"/>
        <w:jc w:val="both"/>
        <w:rPr>
          <w:rFonts w:ascii="Palatino Linotype" w:hAnsi="Palatino Linotype" w:cs="Tahoma"/>
          <w:bCs/>
          <w:iCs/>
          <w:color w:val="000000" w:themeColor="text1"/>
        </w:rPr>
      </w:pPr>
    </w:p>
    <w:p w:rsidR="007304DF" w:rsidRPr="002D4122" w:rsidRDefault="007304DF" w:rsidP="00C27A98">
      <w:pPr>
        <w:spacing w:line="360" w:lineRule="auto"/>
        <w:jc w:val="both"/>
        <w:rPr>
          <w:rFonts w:ascii="Palatino Linotype" w:hAnsi="Palatino Linotype" w:cs="Tahoma"/>
          <w:bCs/>
          <w:i/>
          <w:iCs/>
          <w:color w:val="000000" w:themeColor="text1"/>
        </w:rPr>
      </w:pPr>
      <w:r w:rsidRPr="002D4122">
        <w:rPr>
          <w:rFonts w:ascii="Palatino Linotype" w:hAnsi="Palatino Linotype" w:cs="Tahoma"/>
          <w:bCs/>
          <w:i/>
          <w:iCs/>
          <w:color w:val="000000" w:themeColor="text1"/>
        </w:rPr>
        <w:lastRenderedPageBreak/>
        <w:t>“</w:t>
      </w:r>
      <w:r w:rsidRPr="002D4122">
        <w:rPr>
          <w:rFonts w:ascii="Palatino Linotype" w:hAnsi="Palatino Linotype" w:cs="Tahoma"/>
          <w:b/>
          <w:bCs/>
          <w:i/>
          <w:iCs/>
          <w:color w:val="000000" w:themeColor="text1"/>
        </w:rPr>
        <w:t>Registro Federal de Contribuyentes (RFC) de personas físicas</w:t>
      </w:r>
      <w:r w:rsidRPr="002D4122">
        <w:rPr>
          <w:rFonts w:ascii="Palatino Linotype" w:hAnsi="Palatino Linotype" w:cs="Tahoma"/>
          <w:bCs/>
          <w:i/>
          <w:iCs/>
          <w:color w:val="000000" w:themeColor="text1"/>
        </w:rPr>
        <w:t>. El RFC es una clave de carácter fiscal, única e irrepetible, que permite identificar al titular, su edad y fecha de nacimiento, por lo que es un dato personal de carácter confidencial.”</w:t>
      </w:r>
    </w:p>
    <w:p w:rsidR="007304DF" w:rsidRPr="002D4122" w:rsidRDefault="007304DF" w:rsidP="00C27A98">
      <w:pPr>
        <w:spacing w:line="360" w:lineRule="auto"/>
        <w:jc w:val="both"/>
        <w:rPr>
          <w:rFonts w:ascii="Palatino Linotype" w:hAnsi="Palatino Linotype" w:cs="Tahoma"/>
          <w:bCs/>
          <w:iCs/>
          <w:color w:val="000000" w:themeColor="text1"/>
        </w:rPr>
      </w:pPr>
    </w:p>
    <w:p w:rsidR="007304DF" w:rsidRPr="002D4122" w:rsidRDefault="007304DF" w:rsidP="00C27A98">
      <w:pPr>
        <w:numPr>
          <w:ilvl w:val="0"/>
          <w:numId w:val="1"/>
        </w:numPr>
        <w:pBdr>
          <w:top w:val="nil"/>
          <w:left w:val="nil"/>
          <w:bottom w:val="nil"/>
          <w:right w:val="nil"/>
          <w:between w:val="nil"/>
        </w:pBdr>
        <w:spacing w:line="360" w:lineRule="auto"/>
        <w:ind w:left="0" w:firstLine="0"/>
        <w:jc w:val="both"/>
        <w:rPr>
          <w:rFonts w:ascii="Palatino Linotype" w:hAnsi="Palatino Linotype" w:cs="Tahoma"/>
          <w:bCs/>
          <w:iCs/>
          <w:color w:val="000000" w:themeColor="text1"/>
        </w:rPr>
      </w:pPr>
      <w:r w:rsidRPr="002D4122">
        <w:rPr>
          <w:rFonts w:ascii="Palatino Linotype" w:hAnsi="Palatino Linotype" w:cs="Tahoma"/>
          <w:bCs/>
          <w:iCs/>
          <w:color w:val="000000" w:themeColor="text1"/>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rsidR="007304DF" w:rsidRPr="002D4122" w:rsidRDefault="007304DF" w:rsidP="00C27A98">
      <w:pPr>
        <w:spacing w:line="360" w:lineRule="auto"/>
        <w:jc w:val="both"/>
        <w:rPr>
          <w:rFonts w:ascii="Palatino Linotype" w:hAnsi="Palatino Linotype" w:cs="Tahoma"/>
          <w:bCs/>
          <w:iCs/>
          <w:color w:val="000000" w:themeColor="text1"/>
        </w:rPr>
      </w:pPr>
    </w:p>
    <w:p w:rsidR="007304DF" w:rsidRPr="002D4122" w:rsidRDefault="007304DF" w:rsidP="00C27A98">
      <w:pPr>
        <w:pStyle w:val="Prrafodelista"/>
        <w:numPr>
          <w:ilvl w:val="0"/>
          <w:numId w:val="14"/>
        </w:numPr>
        <w:spacing w:line="360" w:lineRule="auto"/>
        <w:ind w:left="0"/>
        <w:jc w:val="both"/>
        <w:rPr>
          <w:rFonts w:ascii="Palatino Linotype" w:eastAsia="Calibri" w:hAnsi="Palatino Linotype" w:cs="Tahoma"/>
          <w:bCs/>
          <w:color w:val="000000" w:themeColor="text1"/>
          <w:sz w:val="24"/>
          <w:lang w:val="es-ES" w:eastAsia="en-US"/>
        </w:rPr>
      </w:pPr>
      <w:r w:rsidRPr="002D4122">
        <w:rPr>
          <w:rFonts w:ascii="Palatino Linotype" w:hAnsi="Palatino Linotype" w:cs="Tahoma"/>
          <w:b/>
          <w:bCs/>
          <w:iCs/>
          <w:color w:val="000000" w:themeColor="text1"/>
          <w:sz w:val="24"/>
        </w:rPr>
        <w:t>Registro Federal de Contribuyentes</w:t>
      </w:r>
      <w:r w:rsidRPr="002D4122">
        <w:rPr>
          <w:rFonts w:ascii="Palatino Linotype" w:hAnsi="Palatino Linotype" w:cs="Tahoma"/>
          <w:bCs/>
          <w:iCs/>
          <w:color w:val="000000" w:themeColor="text1"/>
          <w:sz w:val="24"/>
        </w:rPr>
        <w:t xml:space="preserve"> (RFC) de proveedores </w:t>
      </w:r>
    </w:p>
    <w:p w:rsidR="007304DF" w:rsidRPr="002D4122" w:rsidRDefault="007304DF" w:rsidP="00C27A98">
      <w:pPr>
        <w:pStyle w:val="Prrafodelista"/>
        <w:spacing w:line="360" w:lineRule="auto"/>
        <w:ind w:left="0"/>
        <w:jc w:val="both"/>
        <w:rPr>
          <w:rFonts w:ascii="Palatino Linotype" w:eastAsia="Calibri" w:hAnsi="Palatino Linotype" w:cs="Tahoma"/>
          <w:bCs/>
          <w:color w:val="000000" w:themeColor="text1"/>
          <w:sz w:val="24"/>
          <w:lang w:val="es-ES" w:eastAsia="en-US"/>
        </w:rPr>
      </w:pPr>
    </w:p>
    <w:p w:rsidR="007304DF" w:rsidRPr="002D4122" w:rsidRDefault="007304DF" w:rsidP="00C27A98">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Tahoma"/>
          <w:bCs/>
          <w:color w:val="000000" w:themeColor="text1"/>
          <w:lang w:val="es-ES" w:eastAsia="en-US"/>
        </w:rPr>
      </w:pPr>
      <w:r w:rsidRPr="002D4122">
        <w:rPr>
          <w:rFonts w:ascii="Palatino Linotype" w:eastAsia="Calibri" w:hAnsi="Palatino Linotype" w:cs="Tahoma"/>
          <w:bCs/>
          <w:color w:val="000000" w:themeColor="text1"/>
          <w:lang w:val="es-ES" w:eastAsia="en-US"/>
        </w:rPr>
        <w:t xml:space="preserve">Por otro lado, el RFC de proveedores </w:t>
      </w:r>
      <w:r w:rsidRPr="002D4122">
        <w:rPr>
          <w:rFonts w:ascii="Palatino Linotype" w:eastAsia="Calibri" w:hAnsi="Palatino Linotype" w:cs="Tahoma"/>
          <w:b/>
          <w:bCs/>
          <w:color w:val="000000" w:themeColor="text1"/>
          <w:u w:val="single"/>
          <w:lang w:val="es-ES" w:eastAsia="en-US"/>
        </w:rPr>
        <w:t>no puede considerarse como clasificado</w:t>
      </w:r>
      <w:r w:rsidRPr="002D4122">
        <w:rPr>
          <w:rFonts w:ascii="Palatino Linotype" w:eastAsia="Calibri" w:hAnsi="Palatino Linotype" w:cs="Tahoma"/>
          <w:bCs/>
          <w:color w:val="000000" w:themeColor="text1"/>
          <w:lang w:val="es-ES" w:eastAsia="en-US"/>
        </w:rPr>
        <w:t xml:space="preserve"> aun siendo de </w:t>
      </w:r>
      <w:r w:rsidRPr="002D4122">
        <w:rPr>
          <w:rFonts w:ascii="Palatino Linotype" w:hAnsi="Palatino Linotype" w:cs="Tahoma"/>
          <w:bCs/>
          <w:iCs/>
          <w:color w:val="000000" w:themeColor="text1"/>
        </w:rPr>
        <w:t>personas</w:t>
      </w:r>
      <w:r w:rsidRPr="002D4122">
        <w:rPr>
          <w:rFonts w:ascii="Palatino Linotype" w:eastAsia="Calibri" w:hAnsi="Palatino Linotype" w:cs="Tahoma"/>
          <w:bCs/>
          <w:color w:val="000000" w:themeColor="text1"/>
          <w:lang w:val="es-ES" w:eastAsia="en-US"/>
        </w:rPr>
        <w:t xml:space="preserve"> físicas ya que corresponde a un requisito indispensable para ser contratista y/o proveedor y llevar a cabo actividades comerciales con los sujetos obligados de la Entidad, ya que sin este, no se pueden realizar, por lo que su entrega es un elemento adicional que respalda la legalidad de los procesos de contratación de obra pública, como corresponde a lo solicitado.</w:t>
      </w:r>
    </w:p>
    <w:p w:rsidR="007304DF" w:rsidRPr="002D4122" w:rsidRDefault="007304DF" w:rsidP="00C27A98">
      <w:pPr>
        <w:spacing w:line="360" w:lineRule="auto"/>
        <w:jc w:val="both"/>
        <w:rPr>
          <w:rFonts w:ascii="Palatino Linotype" w:eastAsia="Calibri" w:hAnsi="Palatino Linotype" w:cs="Tahoma"/>
          <w:bCs/>
          <w:color w:val="000000" w:themeColor="text1"/>
          <w:lang w:val="es-ES" w:eastAsia="en-US"/>
        </w:rPr>
      </w:pPr>
    </w:p>
    <w:p w:rsidR="007304DF" w:rsidRPr="002D4122" w:rsidRDefault="007304DF" w:rsidP="00C27A98">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Tahoma"/>
          <w:bCs/>
          <w:color w:val="000000" w:themeColor="text1"/>
          <w:lang w:val="es-ES" w:eastAsia="en-US"/>
        </w:rPr>
      </w:pPr>
      <w:r w:rsidRPr="002D4122">
        <w:rPr>
          <w:rFonts w:ascii="Palatino Linotype" w:eastAsia="Calibri" w:hAnsi="Palatino Linotype" w:cs="Tahoma"/>
          <w:bCs/>
          <w:color w:val="000000" w:themeColor="text1"/>
          <w:lang w:val="es-ES" w:eastAsia="en-US"/>
        </w:rPr>
        <w:t xml:space="preserve">En ese contexto, entregar el Registro Federal de Contribuyentes de personas físicas cuando aceptan realizar la construcción de obras públicas con recursos del erario, favorece la rendición de cuentas, al permitir verificar que se cumplió con uno de los requisitos necesarios conforme a la normatividad aplicable en materia de contrataciones, </w:t>
      </w:r>
      <w:r w:rsidRPr="002D4122">
        <w:rPr>
          <w:rFonts w:ascii="Palatino Linotype" w:eastAsia="Calibri" w:hAnsi="Palatino Linotype" w:cs="Tahoma"/>
          <w:bCs/>
          <w:color w:val="000000" w:themeColor="text1"/>
          <w:lang w:val="es-ES" w:eastAsia="en-US"/>
        </w:rPr>
        <w:lastRenderedPageBreak/>
        <w:t>lo cual, transparenta el correcto ejercicio de recursos públicos por parte de los sujetos obligados, lo que es acorde con el principio de máxima publicidad.</w:t>
      </w:r>
    </w:p>
    <w:p w:rsidR="007304DF" w:rsidRPr="002D4122" w:rsidRDefault="007304DF" w:rsidP="00C27A98">
      <w:pPr>
        <w:spacing w:line="360" w:lineRule="auto"/>
        <w:jc w:val="both"/>
        <w:rPr>
          <w:rFonts w:ascii="Palatino Linotype" w:eastAsia="Calibri" w:hAnsi="Palatino Linotype" w:cs="Tahoma"/>
          <w:bCs/>
          <w:color w:val="000000" w:themeColor="text1"/>
          <w:lang w:val="es-ES" w:eastAsia="en-US"/>
        </w:rPr>
      </w:pPr>
    </w:p>
    <w:p w:rsidR="007304DF" w:rsidRPr="002D4122" w:rsidRDefault="007304DF" w:rsidP="00C27A98">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Tahoma"/>
          <w:bCs/>
          <w:color w:val="000000" w:themeColor="text1"/>
          <w:lang w:val="es-ES" w:eastAsia="en-US"/>
        </w:rPr>
      </w:pPr>
      <w:r w:rsidRPr="002D4122">
        <w:rPr>
          <w:rFonts w:ascii="Palatino Linotype" w:eastAsia="Calibri" w:hAnsi="Palatino Linotype" w:cs="Tahoma"/>
          <w:bCs/>
          <w:color w:val="000000" w:themeColor="text1"/>
          <w:lang w:val="es-ES" w:eastAsia="en-US"/>
        </w:rPr>
        <w:t>No debe dejarse de lado, que cualquier persona que pretenda tener cualquier tipo de relación, laboral, empresarial, de trámites, servicios o comercial, para el caso que nos ocupa, debe en cierta medida ceder información relacionada con su vida, en aras de obtener el beneficio pretendido, como formar parte de los proveedores gubernamentales, al respecto, la información sobre la que se debe conceder publicidad sólo es aquella relacionada con el ejercicio de recursos públicos o de funciones y las facturas, pólizas y documentos en donde constan las transferencias bancarias de pagos de sujetos obligados, están vinculadas directamente con el ejercicio de recursos públicos.</w:t>
      </w:r>
    </w:p>
    <w:p w:rsidR="007304DF" w:rsidRPr="002D4122" w:rsidRDefault="007304DF" w:rsidP="00C27A98">
      <w:pPr>
        <w:spacing w:line="360" w:lineRule="auto"/>
        <w:jc w:val="both"/>
        <w:rPr>
          <w:rFonts w:ascii="Palatino Linotype" w:eastAsia="Calibri" w:hAnsi="Palatino Linotype" w:cs="Tahoma"/>
          <w:bCs/>
          <w:color w:val="000000" w:themeColor="text1"/>
          <w:lang w:val="es-ES" w:eastAsia="en-US"/>
        </w:rPr>
      </w:pPr>
    </w:p>
    <w:p w:rsidR="007304DF" w:rsidRPr="002D4122" w:rsidRDefault="007304DF" w:rsidP="00C27A98">
      <w:pPr>
        <w:numPr>
          <w:ilvl w:val="0"/>
          <w:numId w:val="1"/>
        </w:numPr>
        <w:pBdr>
          <w:top w:val="nil"/>
          <w:left w:val="nil"/>
          <w:bottom w:val="nil"/>
          <w:right w:val="nil"/>
          <w:between w:val="nil"/>
        </w:pBdr>
        <w:spacing w:line="360" w:lineRule="auto"/>
        <w:ind w:left="0" w:firstLine="0"/>
        <w:jc w:val="both"/>
        <w:rPr>
          <w:rFonts w:ascii="Palatino Linotype" w:eastAsia="Calibri" w:hAnsi="Palatino Linotype" w:cs="Tahoma"/>
          <w:bCs/>
          <w:color w:val="000000" w:themeColor="text1"/>
          <w:lang w:val="es-ES" w:eastAsia="en-US"/>
        </w:rPr>
      </w:pPr>
      <w:r w:rsidRPr="002D4122">
        <w:rPr>
          <w:rFonts w:ascii="Palatino Linotype" w:eastAsia="Calibri" w:hAnsi="Palatino Linotype" w:cs="Tahoma"/>
          <w:bCs/>
          <w:color w:val="000000" w:themeColor="text1"/>
          <w:lang w:val="es-ES" w:eastAsia="en-US"/>
        </w:rPr>
        <w:t>Por lo que refiere al RFC de personas jurídico-colectivas, se reitera que no constituyen información confidencial, tal y como lo estableció en Instituto Nacional de Transparencia, Acceso a la Información Pública y Protección de Datos Personales –INAI-, en su Criterio histórico 1/2014.</w:t>
      </w:r>
    </w:p>
    <w:p w:rsidR="007304DF" w:rsidRPr="002D4122" w:rsidRDefault="007304DF" w:rsidP="00C27A98">
      <w:pPr>
        <w:spacing w:line="360" w:lineRule="auto"/>
        <w:jc w:val="both"/>
        <w:rPr>
          <w:rFonts w:ascii="Palatino Linotype" w:eastAsia="Calibri" w:hAnsi="Palatino Linotype" w:cs="Tahoma"/>
          <w:bCs/>
          <w:color w:val="000000" w:themeColor="text1"/>
          <w:lang w:val="es-ES" w:eastAsia="en-US"/>
        </w:rPr>
      </w:pPr>
    </w:p>
    <w:p w:rsidR="007304DF" w:rsidRPr="002D4122" w:rsidRDefault="007304DF" w:rsidP="00C27A98">
      <w:pPr>
        <w:spacing w:line="360" w:lineRule="auto"/>
        <w:jc w:val="both"/>
        <w:rPr>
          <w:rFonts w:ascii="Palatino Linotype" w:eastAsia="Calibri" w:hAnsi="Palatino Linotype" w:cs="Tahoma"/>
          <w:bCs/>
          <w:i/>
          <w:color w:val="000000" w:themeColor="text1"/>
          <w:lang w:val="es-ES" w:eastAsia="en-US"/>
        </w:rPr>
      </w:pPr>
      <w:r w:rsidRPr="002D4122">
        <w:rPr>
          <w:rFonts w:ascii="Palatino Linotype" w:eastAsia="Calibri" w:hAnsi="Palatino Linotype" w:cs="Tahoma"/>
          <w:b/>
          <w:bCs/>
          <w:i/>
          <w:color w:val="000000" w:themeColor="text1"/>
          <w:lang w:val="es-ES" w:eastAsia="en-US"/>
        </w:rPr>
        <w:t>Denominación o razón social, y Registro Federal de Contribuyentes de personas morales, no constituyen información confidencial</w:t>
      </w:r>
      <w:r w:rsidRPr="002D4122">
        <w:rPr>
          <w:rFonts w:ascii="Palatino Linotype" w:eastAsia="Calibri" w:hAnsi="Palatino Linotype" w:cs="Tahoma"/>
          <w:bCs/>
          <w:i/>
          <w:color w:val="000000" w:themeColor="text1"/>
          <w:lang w:val="es-ES" w:eastAsia="en-US"/>
        </w:rPr>
        <w:t xml:space="preserve">. La denominación o razón social de personas morales es pública, por encontrarse inscritas en el Registro Público de Comercio. Por lo que respecta a su Registro Federal de Contribuyentes (RFC), en principio, también es público, ya que no se refiere a hechos o actos de carácter económico, contable, jurídico o administrativo que sean útiles o representen una ventaja a sus competidores, en términos de lo dispuesto en el artículo 18, fracción </w:t>
      </w:r>
      <w:r w:rsidRPr="002D4122">
        <w:rPr>
          <w:rFonts w:ascii="Palatino Linotype" w:eastAsia="Calibri" w:hAnsi="Palatino Linotype" w:cs="Tahoma"/>
          <w:bCs/>
          <w:i/>
          <w:color w:val="000000" w:themeColor="text1"/>
          <w:lang w:val="es-ES" w:eastAsia="en-US"/>
        </w:rPr>
        <w:lastRenderedPageBreak/>
        <w:t>I de la Ley Federal de Transparencia y Acceso a la Información Pública Gubernamental y en el Trigésimo Sexto de los Lineamientos Generales para la clasificación y desclasificación de la información de las dependencias y entidades de la Administración Pública Federal; aunado al hecho de que tampoco se trata de información concerniente a personas físicas, por lo que no puede considerarse un dato personal, con fundamento en lo previsto en el artículo 18, fracción II de ese ordenamiento legal. Por lo anterior, la denominación o razón social, así como el RFC de personas morales, no constituye información confidencial.</w:t>
      </w:r>
    </w:p>
    <w:p w:rsidR="007304DF" w:rsidRPr="002D4122" w:rsidRDefault="007304DF" w:rsidP="00C27A98">
      <w:pPr>
        <w:spacing w:line="360" w:lineRule="auto"/>
        <w:jc w:val="both"/>
        <w:rPr>
          <w:rFonts w:ascii="Palatino Linotype" w:eastAsia="Calibri" w:hAnsi="Palatino Linotype" w:cs="Tahoma"/>
          <w:bCs/>
          <w:color w:val="000000" w:themeColor="text1"/>
          <w:lang w:val="es-ES" w:eastAsia="en-US"/>
        </w:rPr>
      </w:pPr>
    </w:p>
    <w:p w:rsidR="007304DF" w:rsidRPr="002D4122" w:rsidRDefault="007304DF" w:rsidP="00C27A98">
      <w:pPr>
        <w:numPr>
          <w:ilvl w:val="0"/>
          <w:numId w:val="1"/>
        </w:numPr>
        <w:pBdr>
          <w:top w:val="nil"/>
          <w:left w:val="nil"/>
          <w:bottom w:val="nil"/>
          <w:right w:val="nil"/>
          <w:between w:val="nil"/>
        </w:pBdr>
        <w:spacing w:line="360" w:lineRule="auto"/>
        <w:ind w:left="0" w:firstLine="0"/>
        <w:jc w:val="both"/>
        <w:rPr>
          <w:rFonts w:ascii="Palatino Linotype" w:hAnsi="Palatino Linotype" w:cs="Tahoma"/>
          <w:color w:val="000000" w:themeColor="text1"/>
        </w:rPr>
      </w:pPr>
      <w:r w:rsidRPr="002D4122">
        <w:rPr>
          <w:rFonts w:ascii="Palatino Linotype" w:eastAsia="Calibri" w:hAnsi="Palatino Linotype" w:cs="Tahoma"/>
          <w:bCs/>
          <w:color w:val="000000" w:themeColor="text1"/>
          <w:lang w:val="es-ES" w:eastAsia="en-US"/>
        </w:rPr>
        <w:t xml:space="preserve">Por consiguiente, no procede clasificar como confidencial con fundamento en el artículo 143, </w:t>
      </w:r>
      <w:r w:rsidRPr="002D4122">
        <w:rPr>
          <w:rFonts w:ascii="Palatino Linotype" w:hAnsi="Palatino Linotype" w:cs="Tahoma"/>
          <w:color w:val="000000" w:themeColor="text1"/>
        </w:rPr>
        <w:t xml:space="preserve">fracción I, </w:t>
      </w:r>
      <w:r w:rsidRPr="002D4122">
        <w:rPr>
          <w:rFonts w:ascii="Palatino Linotype" w:eastAsia="Calibri" w:hAnsi="Palatino Linotype" w:cs="Tahoma"/>
          <w:bCs/>
          <w:color w:val="000000" w:themeColor="text1"/>
          <w:lang w:val="es-ES" w:eastAsia="en-US"/>
        </w:rPr>
        <w:t>de</w:t>
      </w:r>
      <w:r w:rsidRPr="002D4122">
        <w:rPr>
          <w:rFonts w:ascii="Palatino Linotype" w:hAnsi="Palatino Linotype" w:cs="Tahoma"/>
          <w:color w:val="000000" w:themeColor="text1"/>
        </w:rPr>
        <w:t xml:space="preserve"> la Ley de Transparencia y Acceso a la Información Pública del Estado de México y Municipios y, eliminar RFC de personas físicas ni de personas jurídico-colectivas en los documentos que pudiera proporcionar el Sujeto Obligado</w:t>
      </w:r>
      <w:r w:rsidR="00B411FB" w:rsidRPr="002D4122">
        <w:rPr>
          <w:rFonts w:ascii="Palatino Linotype" w:hAnsi="Palatino Linotype" w:cs="Tahoma"/>
          <w:color w:val="000000" w:themeColor="text1"/>
        </w:rPr>
        <w:t>.</w:t>
      </w:r>
    </w:p>
    <w:p w:rsidR="00B411FB" w:rsidRPr="002D4122" w:rsidRDefault="00B411FB" w:rsidP="00C27A98">
      <w:pPr>
        <w:pBdr>
          <w:top w:val="nil"/>
          <w:left w:val="nil"/>
          <w:bottom w:val="nil"/>
          <w:right w:val="nil"/>
          <w:between w:val="nil"/>
        </w:pBdr>
        <w:spacing w:line="360" w:lineRule="auto"/>
        <w:jc w:val="both"/>
        <w:rPr>
          <w:rFonts w:ascii="Palatino Linotype" w:hAnsi="Palatino Linotype" w:cs="Tahoma"/>
          <w:color w:val="000000" w:themeColor="text1"/>
        </w:rPr>
      </w:pPr>
    </w:p>
    <w:p w:rsidR="00B411FB" w:rsidRPr="002D4122" w:rsidRDefault="00B411FB" w:rsidP="00C27A98">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sz w:val="24"/>
        </w:rPr>
      </w:pPr>
      <w:r w:rsidRPr="002D4122">
        <w:rPr>
          <w:rFonts w:ascii="Palatino Linotype" w:eastAsia="Palatino Linotype" w:hAnsi="Palatino Linotype" w:cs="Palatino Linotype"/>
          <w:color w:val="000000" w:themeColor="text1"/>
          <w:sz w:val="24"/>
        </w:rPr>
        <w:t xml:space="preserve">En relación a la firma de representante o apoderado legal, se debe señalar que en el </w:t>
      </w:r>
      <w:r w:rsidRPr="002D4122">
        <w:rPr>
          <w:rFonts w:ascii="Palatino Linotype" w:eastAsia="Palatino Linotype" w:hAnsi="Palatino Linotype" w:cs="Palatino Linotype"/>
          <w:i/>
          <w:color w:val="000000" w:themeColor="text1"/>
          <w:sz w:val="24"/>
        </w:rPr>
        <w:t>Criterio 01/09</w:t>
      </w:r>
      <w:r w:rsidRPr="002D4122">
        <w:rPr>
          <w:rFonts w:ascii="Palatino Linotype" w:eastAsia="Palatino Linotype" w:hAnsi="Palatino Linotype" w:cs="Palatino Linotype"/>
          <w:color w:val="000000" w:themeColor="text1"/>
          <w:sz w:val="24"/>
        </w:rPr>
        <w:t xml:space="preserve"> el INAI estableció que los datos de identificación del representante o apoderado legal, es decir, 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tal y como se observa a continuación: </w:t>
      </w:r>
    </w:p>
    <w:p w:rsidR="00B411FB" w:rsidRPr="002D4122" w:rsidRDefault="00B411FB" w:rsidP="00C27A98">
      <w:pPr>
        <w:pStyle w:val="Prrafodelista"/>
        <w:spacing w:line="360" w:lineRule="auto"/>
        <w:ind w:left="0"/>
        <w:jc w:val="both"/>
        <w:rPr>
          <w:rFonts w:ascii="Palatino Linotype" w:eastAsia="Palatino Linotype" w:hAnsi="Palatino Linotype" w:cs="Palatino Linotype"/>
          <w:color w:val="000000" w:themeColor="text1"/>
          <w:sz w:val="24"/>
        </w:rPr>
      </w:pPr>
    </w:p>
    <w:p w:rsidR="00B411FB" w:rsidRPr="002D4122" w:rsidRDefault="00B411FB" w:rsidP="00C27A98">
      <w:pPr>
        <w:pStyle w:val="Prrafodelista"/>
        <w:ind w:left="0"/>
        <w:jc w:val="both"/>
        <w:rPr>
          <w:rFonts w:ascii="Palatino Linotype" w:eastAsia="Palatino Linotype" w:hAnsi="Palatino Linotype" w:cs="Palatino Linotype"/>
          <w:b/>
          <w:i/>
          <w:color w:val="000000" w:themeColor="text1"/>
          <w:sz w:val="24"/>
        </w:rPr>
      </w:pPr>
      <w:r w:rsidRPr="002D4122">
        <w:rPr>
          <w:rFonts w:ascii="Palatino Linotype" w:eastAsia="Palatino Linotype" w:hAnsi="Palatino Linotype" w:cs="Palatino Linotype"/>
          <w:b/>
          <w:i/>
          <w:color w:val="000000" w:themeColor="text1"/>
          <w:sz w:val="24"/>
        </w:rPr>
        <w:t>01/19 Datos de identificación del representante o apoderado legal. Naturaleza jurídica.</w:t>
      </w:r>
    </w:p>
    <w:p w:rsidR="00B411FB" w:rsidRPr="002D4122" w:rsidRDefault="00B411FB" w:rsidP="00C27A98">
      <w:pPr>
        <w:pStyle w:val="Prrafodelista"/>
        <w:ind w:left="0"/>
        <w:jc w:val="both"/>
        <w:rPr>
          <w:rFonts w:ascii="Palatino Linotype" w:eastAsia="Palatino Linotype" w:hAnsi="Palatino Linotype" w:cs="Palatino Linotype"/>
          <w:color w:val="000000" w:themeColor="text1"/>
          <w:sz w:val="24"/>
        </w:rPr>
      </w:pPr>
      <w:r w:rsidRPr="002D4122">
        <w:rPr>
          <w:rFonts w:ascii="Palatino Linotype" w:eastAsia="Palatino Linotype" w:hAnsi="Palatino Linotype" w:cs="Palatino Linotype"/>
          <w:i/>
          <w:color w:val="000000" w:themeColor="text1"/>
          <w:sz w:val="24"/>
        </w:rPr>
        <w:t xml:space="preserve">El nombre, la firma y la rúbrica de una persona física, que actúe como representante o apoderado legal de un tercero que haya celebrado un acto jurídico, con algún sujeto obligado, es información </w:t>
      </w:r>
      <w:r w:rsidRPr="002D4122">
        <w:rPr>
          <w:rFonts w:ascii="Palatino Linotype" w:eastAsia="Palatino Linotype" w:hAnsi="Palatino Linotype" w:cs="Palatino Linotype"/>
          <w:i/>
          <w:color w:val="000000" w:themeColor="text1"/>
          <w:sz w:val="24"/>
        </w:rPr>
        <w:lastRenderedPageBreak/>
        <w:t>pública, en razón de que tales datos fueron proporcionados con el objeto de expresar el consentimiento obligacional del tercero y otorgar validez a dicho instrumento jurídico</w:t>
      </w:r>
      <w:r w:rsidRPr="002D4122">
        <w:rPr>
          <w:rFonts w:ascii="Palatino Linotype" w:eastAsia="Palatino Linotype" w:hAnsi="Palatino Linotype" w:cs="Palatino Linotype"/>
          <w:color w:val="000000" w:themeColor="text1"/>
          <w:sz w:val="24"/>
        </w:rPr>
        <w:t>.</w:t>
      </w:r>
    </w:p>
    <w:p w:rsidR="007304DF" w:rsidRPr="002D4122" w:rsidRDefault="007304DF" w:rsidP="00C27A98">
      <w:pPr>
        <w:spacing w:line="360" w:lineRule="auto"/>
        <w:jc w:val="both"/>
        <w:rPr>
          <w:rFonts w:ascii="Palatino Linotype" w:hAnsi="Palatino Linotype" w:cs="Tahoma"/>
          <w:color w:val="000000" w:themeColor="text1"/>
        </w:rPr>
      </w:pPr>
    </w:p>
    <w:p w:rsidR="007304DF" w:rsidRPr="002D4122" w:rsidRDefault="007304DF" w:rsidP="00C27A98">
      <w:pPr>
        <w:pStyle w:val="Prrafodelista"/>
        <w:numPr>
          <w:ilvl w:val="0"/>
          <w:numId w:val="14"/>
        </w:numPr>
        <w:spacing w:line="360" w:lineRule="auto"/>
        <w:ind w:left="0"/>
        <w:jc w:val="both"/>
        <w:rPr>
          <w:rFonts w:ascii="Palatino Linotype" w:hAnsi="Palatino Linotype" w:cs="Tahoma"/>
          <w:b/>
          <w:color w:val="000000" w:themeColor="text1"/>
          <w:sz w:val="24"/>
        </w:rPr>
      </w:pPr>
      <w:r w:rsidRPr="002D4122">
        <w:rPr>
          <w:rFonts w:ascii="Palatino Linotype" w:hAnsi="Palatino Linotype" w:cs="Tahoma"/>
          <w:b/>
          <w:color w:val="000000" w:themeColor="text1"/>
          <w:sz w:val="24"/>
        </w:rPr>
        <w:t xml:space="preserve">Clave </w:t>
      </w:r>
      <w:r w:rsidRPr="002D4122">
        <w:rPr>
          <w:rFonts w:ascii="Palatino Linotype" w:hAnsi="Palatino Linotype" w:cs="Tahoma"/>
          <w:b/>
          <w:caps/>
          <w:color w:val="000000" w:themeColor="text1"/>
          <w:sz w:val="24"/>
        </w:rPr>
        <w:t>ú</w:t>
      </w:r>
      <w:r w:rsidRPr="002D4122">
        <w:rPr>
          <w:rFonts w:ascii="Palatino Linotype" w:hAnsi="Palatino Linotype" w:cs="Tahoma"/>
          <w:b/>
          <w:color w:val="000000" w:themeColor="text1"/>
          <w:sz w:val="24"/>
        </w:rPr>
        <w:t>nica de Registro de Población –CURP-.</w:t>
      </w:r>
    </w:p>
    <w:p w:rsidR="007304DF" w:rsidRPr="002D4122" w:rsidRDefault="007304DF" w:rsidP="00C27A98">
      <w:pPr>
        <w:spacing w:line="360" w:lineRule="auto"/>
        <w:contextualSpacing/>
        <w:jc w:val="both"/>
        <w:rPr>
          <w:rFonts w:ascii="Palatino Linotype" w:hAnsi="Palatino Linotype" w:cs="Tahoma"/>
          <w:color w:val="000000" w:themeColor="text1"/>
        </w:rPr>
      </w:pPr>
    </w:p>
    <w:p w:rsidR="007304DF" w:rsidRPr="002D4122" w:rsidRDefault="007304DF" w:rsidP="00C27A98">
      <w:pPr>
        <w:numPr>
          <w:ilvl w:val="0"/>
          <w:numId w:val="1"/>
        </w:numPr>
        <w:pBdr>
          <w:top w:val="nil"/>
          <w:left w:val="nil"/>
          <w:bottom w:val="nil"/>
          <w:right w:val="nil"/>
          <w:between w:val="nil"/>
        </w:pBdr>
        <w:spacing w:line="360" w:lineRule="auto"/>
        <w:ind w:left="0" w:firstLine="0"/>
        <w:jc w:val="both"/>
        <w:rPr>
          <w:rFonts w:ascii="Palatino Linotype" w:hAnsi="Palatino Linotype" w:cs="Tahoma"/>
          <w:color w:val="000000" w:themeColor="text1"/>
        </w:rPr>
      </w:pPr>
      <w:r w:rsidRPr="002D4122">
        <w:rPr>
          <w:rFonts w:ascii="Palatino Linotype" w:hAnsi="Palatino Linotype" w:cs="Tahoma"/>
          <w:color w:val="000000" w:themeColor="text1"/>
        </w:rPr>
        <w:t xml:space="preserve">El </w:t>
      </w:r>
      <w:r w:rsidRPr="002D4122">
        <w:rPr>
          <w:rFonts w:ascii="Palatino Linotype" w:eastAsia="Calibri" w:hAnsi="Palatino Linotype" w:cs="Tahoma"/>
          <w:bCs/>
          <w:color w:val="000000" w:themeColor="text1"/>
          <w:lang w:val="es-ES" w:eastAsia="en-US"/>
        </w:rPr>
        <w:t>artículo</w:t>
      </w:r>
      <w:r w:rsidRPr="002D4122">
        <w:rPr>
          <w:rFonts w:ascii="Palatino Linotype" w:hAnsi="Palatino Linotype" w:cs="Tahoma"/>
          <w:color w:val="000000" w:themeColor="text1"/>
        </w:rPr>
        <w:t xml:space="preserve"> 36 de la Constitución Política de los Estados Unidos Mexicanos, dispone la obligación de los ciudadanos de inscribirse en el Registro Nacional de Ciudadanos. </w:t>
      </w:r>
    </w:p>
    <w:p w:rsidR="007304DF" w:rsidRPr="002D4122" w:rsidRDefault="007304DF" w:rsidP="00C27A98">
      <w:pPr>
        <w:spacing w:line="360" w:lineRule="auto"/>
        <w:contextualSpacing/>
        <w:jc w:val="both"/>
        <w:rPr>
          <w:rFonts w:ascii="Palatino Linotype" w:hAnsi="Palatino Linotype" w:cs="Tahoma"/>
          <w:color w:val="000000" w:themeColor="text1"/>
        </w:rPr>
      </w:pPr>
    </w:p>
    <w:p w:rsidR="007304DF" w:rsidRPr="002D4122" w:rsidRDefault="007304DF" w:rsidP="00C27A98">
      <w:pPr>
        <w:numPr>
          <w:ilvl w:val="0"/>
          <w:numId w:val="1"/>
        </w:numPr>
        <w:pBdr>
          <w:top w:val="nil"/>
          <w:left w:val="nil"/>
          <w:bottom w:val="nil"/>
          <w:right w:val="nil"/>
          <w:between w:val="nil"/>
        </w:pBdr>
        <w:spacing w:line="360" w:lineRule="auto"/>
        <w:ind w:left="0" w:firstLine="0"/>
        <w:jc w:val="both"/>
        <w:rPr>
          <w:rFonts w:ascii="Palatino Linotype" w:hAnsi="Palatino Linotype" w:cs="Tahoma"/>
          <w:color w:val="000000" w:themeColor="text1"/>
        </w:rPr>
      </w:pPr>
      <w:r w:rsidRPr="002D4122">
        <w:rPr>
          <w:rFonts w:ascii="Palatino Linotype" w:hAnsi="Palatino Linotype" w:cs="Tahoma"/>
          <w:color w:val="000000" w:themeColor="text1"/>
        </w:rPr>
        <w:t>El artículo 85 de la Ley General de Población, prevé que corresponde a la Secretaría de Gobernación el registro y acreditación de la identidad de todas las personas residentes en el país y de los nacionales que residan en el extranjero.</w:t>
      </w:r>
    </w:p>
    <w:p w:rsidR="007304DF" w:rsidRPr="002D4122" w:rsidRDefault="007304DF" w:rsidP="00C27A98">
      <w:pPr>
        <w:pStyle w:val="Prrafodelista"/>
        <w:ind w:left="0"/>
        <w:rPr>
          <w:rFonts w:ascii="Palatino Linotype" w:hAnsi="Palatino Linotype" w:cs="Tahoma"/>
          <w:color w:val="000000" w:themeColor="text1"/>
          <w:sz w:val="24"/>
        </w:rPr>
      </w:pPr>
    </w:p>
    <w:p w:rsidR="007304DF" w:rsidRPr="002D4122" w:rsidRDefault="007304DF" w:rsidP="00C27A98">
      <w:pPr>
        <w:numPr>
          <w:ilvl w:val="0"/>
          <w:numId w:val="1"/>
        </w:numPr>
        <w:pBdr>
          <w:top w:val="nil"/>
          <w:left w:val="nil"/>
          <w:bottom w:val="nil"/>
          <w:right w:val="nil"/>
          <w:between w:val="nil"/>
        </w:pBdr>
        <w:spacing w:line="360" w:lineRule="auto"/>
        <w:ind w:left="0" w:firstLine="0"/>
        <w:jc w:val="both"/>
        <w:rPr>
          <w:rFonts w:ascii="Palatino Linotype" w:hAnsi="Palatino Linotype" w:cs="Tahoma"/>
          <w:color w:val="000000" w:themeColor="text1"/>
        </w:rPr>
      </w:pPr>
      <w:r w:rsidRPr="002D4122">
        <w:rPr>
          <w:rFonts w:ascii="Palatino Linotype" w:hAnsi="Palatino Linotype" w:cs="Tahoma"/>
          <w:color w:val="000000" w:themeColor="text1"/>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007845A1" w:rsidRPr="002D4122" w:rsidRDefault="007845A1" w:rsidP="007845A1">
      <w:pPr>
        <w:pBdr>
          <w:top w:val="nil"/>
          <w:left w:val="nil"/>
          <w:bottom w:val="nil"/>
          <w:right w:val="nil"/>
          <w:between w:val="nil"/>
        </w:pBdr>
        <w:spacing w:line="360" w:lineRule="auto"/>
        <w:jc w:val="both"/>
        <w:rPr>
          <w:rFonts w:ascii="Palatino Linotype" w:hAnsi="Palatino Linotype" w:cs="Tahoma"/>
          <w:color w:val="000000" w:themeColor="text1"/>
        </w:rPr>
      </w:pPr>
    </w:p>
    <w:p w:rsidR="007304DF" w:rsidRPr="002D4122" w:rsidRDefault="007304DF" w:rsidP="00C27A98">
      <w:pPr>
        <w:numPr>
          <w:ilvl w:val="0"/>
          <w:numId w:val="1"/>
        </w:numPr>
        <w:pBdr>
          <w:top w:val="nil"/>
          <w:left w:val="nil"/>
          <w:bottom w:val="nil"/>
          <w:right w:val="nil"/>
          <w:between w:val="nil"/>
        </w:pBdr>
        <w:spacing w:line="360" w:lineRule="auto"/>
        <w:ind w:left="0" w:firstLine="0"/>
        <w:jc w:val="both"/>
        <w:rPr>
          <w:rFonts w:ascii="Palatino Linotype" w:hAnsi="Palatino Linotype" w:cs="Tahoma"/>
          <w:color w:val="000000" w:themeColor="text1"/>
        </w:rPr>
      </w:pPr>
      <w:r w:rsidRPr="002D4122">
        <w:rPr>
          <w:rFonts w:ascii="Palatino Linotype" w:hAnsi="Palatino Linotype" w:cs="Tahoma"/>
          <w:color w:val="000000" w:themeColor="text1"/>
        </w:rPr>
        <w:t xml:space="preserve">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2D4122">
        <w:rPr>
          <w:rFonts w:ascii="Palatino Linotype" w:hAnsi="Palatino Linotype" w:cs="Tahoma"/>
          <w:b/>
          <w:color w:val="000000" w:themeColor="text1"/>
        </w:rPr>
        <w:t xml:space="preserve">se generan a partir de los datos contenidos en </w:t>
      </w:r>
      <w:r w:rsidRPr="002D4122">
        <w:rPr>
          <w:rFonts w:ascii="Palatino Linotype" w:hAnsi="Palatino Linotype" w:cs="Tahoma"/>
          <w:b/>
          <w:color w:val="000000" w:themeColor="text1"/>
        </w:rPr>
        <w:lastRenderedPageBreak/>
        <w:t xml:space="preserve">el documento probatorio de la identidad del interesado </w:t>
      </w:r>
      <w:r w:rsidRPr="002D4122">
        <w:rPr>
          <w:rFonts w:ascii="Palatino Linotype" w:hAnsi="Palatino Linotype" w:cs="Tahoma"/>
          <w:color w:val="000000" w:themeColor="text1"/>
        </w:rPr>
        <w:t>(acta de nacimiento, carta de naturalización o documento migratorio) de la siguiente forma:</w:t>
      </w:r>
    </w:p>
    <w:p w:rsidR="007304DF" w:rsidRPr="002D4122" w:rsidRDefault="007304DF" w:rsidP="00C27A98">
      <w:pPr>
        <w:spacing w:line="360" w:lineRule="auto"/>
        <w:contextualSpacing/>
        <w:jc w:val="both"/>
        <w:rPr>
          <w:rFonts w:ascii="Palatino Linotype" w:hAnsi="Palatino Linotype" w:cs="Tahoma"/>
          <w:color w:val="000000" w:themeColor="text1"/>
        </w:rPr>
      </w:pPr>
    </w:p>
    <w:p w:rsidR="007304DF" w:rsidRPr="002D4122" w:rsidRDefault="007304DF" w:rsidP="00C27A98">
      <w:pPr>
        <w:spacing w:line="360" w:lineRule="auto"/>
        <w:contextualSpacing/>
        <w:jc w:val="both"/>
        <w:rPr>
          <w:rFonts w:ascii="Palatino Linotype" w:hAnsi="Palatino Linotype" w:cs="Tahoma"/>
          <w:color w:val="000000" w:themeColor="text1"/>
        </w:rPr>
      </w:pPr>
      <w:r w:rsidRPr="002D4122">
        <w:rPr>
          <w:rFonts w:ascii="Palatino Linotype" w:hAnsi="Palatino Linotype" w:cs="Tahoma"/>
          <w:color w:val="000000" w:themeColor="text1"/>
        </w:rPr>
        <w:t xml:space="preserve"> • El primero y segundo apellidos, así como al nombre de pila.</w:t>
      </w:r>
    </w:p>
    <w:p w:rsidR="007304DF" w:rsidRPr="002D4122" w:rsidRDefault="007304DF" w:rsidP="00C27A98">
      <w:pPr>
        <w:spacing w:line="360" w:lineRule="auto"/>
        <w:contextualSpacing/>
        <w:jc w:val="both"/>
        <w:rPr>
          <w:rFonts w:ascii="Palatino Linotype" w:hAnsi="Palatino Linotype" w:cs="Tahoma"/>
          <w:color w:val="000000" w:themeColor="text1"/>
        </w:rPr>
      </w:pPr>
      <w:r w:rsidRPr="002D4122">
        <w:rPr>
          <w:rFonts w:ascii="Palatino Linotype" w:hAnsi="Palatino Linotype" w:cs="Tahoma"/>
          <w:color w:val="000000" w:themeColor="text1"/>
        </w:rPr>
        <w:t xml:space="preserve"> • La fecha de nacimiento.</w:t>
      </w:r>
    </w:p>
    <w:p w:rsidR="007304DF" w:rsidRPr="002D4122" w:rsidRDefault="007304DF" w:rsidP="00C27A98">
      <w:pPr>
        <w:spacing w:line="360" w:lineRule="auto"/>
        <w:contextualSpacing/>
        <w:jc w:val="both"/>
        <w:rPr>
          <w:rFonts w:ascii="Palatino Linotype" w:hAnsi="Palatino Linotype" w:cs="Tahoma"/>
          <w:color w:val="000000" w:themeColor="text1"/>
        </w:rPr>
      </w:pPr>
      <w:r w:rsidRPr="002D4122">
        <w:rPr>
          <w:rFonts w:ascii="Palatino Linotype" w:hAnsi="Palatino Linotype" w:cs="Tahoma"/>
          <w:color w:val="000000" w:themeColor="text1"/>
        </w:rPr>
        <w:t xml:space="preserve"> • El sexo.</w:t>
      </w:r>
    </w:p>
    <w:p w:rsidR="007304DF" w:rsidRPr="002D4122" w:rsidRDefault="007304DF" w:rsidP="00C27A98">
      <w:pPr>
        <w:spacing w:line="360" w:lineRule="auto"/>
        <w:contextualSpacing/>
        <w:jc w:val="both"/>
        <w:rPr>
          <w:rFonts w:ascii="Palatino Linotype" w:hAnsi="Palatino Linotype" w:cs="Tahoma"/>
          <w:color w:val="000000" w:themeColor="text1"/>
        </w:rPr>
      </w:pPr>
      <w:r w:rsidRPr="002D4122">
        <w:rPr>
          <w:rFonts w:ascii="Palatino Linotype" w:hAnsi="Palatino Linotype" w:cs="Tahoma"/>
          <w:color w:val="000000" w:themeColor="text1"/>
        </w:rPr>
        <w:t xml:space="preserve"> • La entidad federativa de nacimiento.</w:t>
      </w:r>
    </w:p>
    <w:p w:rsidR="007304DF" w:rsidRPr="002D4122" w:rsidRDefault="007304DF" w:rsidP="00C27A98">
      <w:pPr>
        <w:spacing w:line="360" w:lineRule="auto"/>
        <w:contextualSpacing/>
        <w:jc w:val="both"/>
        <w:rPr>
          <w:rFonts w:ascii="Palatino Linotype" w:hAnsi="Palatino Linotype" w:cs="Tahoma"/>
          <w:color w:val="000000" w:themeColor="text1"/>
        </w:rPr>
      </w:pPr>
    </w:p>
    <w:p w:rsidR="007304DF" w:rsidRPr="002D4122" w:rsidRDefault="007304DF" w:rsidP="00C27A98">
      <w:pPr>
        <w:numPr>
          <w:ilvl w:val="0"/>
          <w:numId w:val="1"/>
        </w:numPr>
        <w:pBdr>
          <w:top w:val="nil"/>
          <w:left w:val="nil"/>
          <w:bottom w:val="nil"/>
          <w:right w:val="nil"/>
          <w:between w:val="nil"/>
        </w:pBdr>
        <w:spacing w:line="360" w:lineRule="auto"/>
        <w:ind w:left="0" w:firstLine="0"/>
        <w:jc w:val="both"/>
        <w:rPr>
          <w:rFonts w:ascii="Palatino Linotype" w:hAnsi="Palatino Linotype" w:cs="Tahoma"/>
          <w:color w:val="000000" w:themeColor="text1"/>
        </w:rPr>
      </w:pPr>
      <w:r w:rsidRPr="002D4122">
        <w:rPr>
          <w:rFonts w:ascii="Palatino Linotype" w:hAnsi="Palatino Linotype" w:cs="Tahoma"/>
          <w:color w:val="000000" w:themeColor="text1"/>
        </w:rPr>
        <w:t>Los dos últimos elementos de la CURP evitan la duplicidad de la Clave y garantizan su correcta integración.</w:t>
      </w:r>
    </w:p>
    <w:p w:rsidR="007304DF" w:rsidRPr="002D4122" w:rsidRDefault="007304DF" w:rsidP="00C27A98">
      <w:pPr>
        <w:spacing w:line="360" w:lineRule="auto"/>
        <w:contextualSpacing/>
        <w:jc w:val="both"/>
        <w:rPr>
          <w:rFonts w:ascii="Palatino Linotype" w:hAnsi="Palatino Linotype" w:cs="Tahoma"/>
          <w:color w:val="000000" w:themeColor="text1"/>
        </w:rPr>
      </w:pPr>
    </w:p>
    <w:p w:rsidR="007304DF" w:rsidRPr="002D4122" w:rsidRDefault="007304DF" w:rsidP="00C27A98">
      <w:pPr>
        <w:numPr>
          <w:ilvl w:val="0"/>
          <w:numId w:val="1"/>
        </w:numPr>
        <w:pBdr>
          <w:top w:val="nil"/>
          <w:left w:val="nil"/>
          <w:bottom w:val="nil"/>
          <w:right w:val="nil"/>
          <w:between w:val="nil"/>
        </w:pBdr>
        <w:spacing w:line="360" w:lineRule="auto"/>
        <w:ind w:left="0" w:firstLine="0"/>
        <w:jc w:val="both"/>
        <w:rPr>
          <w:rFonts w:ascii="Palatino Linotype" w:hAnsi="Palatino Linotype" w:cs="Tahoma"/>
          <w:color w:val="000000" w:themeColor="text1"/>
        </w:rPr>
      </w:pPr>
      <w:r w:rsidRPr="002D4122">
        <w:rPr>
          <w:rFonts w:ascii="Palatino Linotype" w:hAnsi="Palatino Linotype" w:cs="Tahoma"/>
          <w:color w:val="000000" w:themeColor="text1"/>
        </w:rPr>
        <w:t>Como se desprende de lo anterior,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007304DF" w:rsidRPr="002D4122" w:rsidRDefault="007304DF" w:rsidP="00C27A98">
      <w:pPr>
        <w:spacing w:line="360" w:lineRule="auto"/>
        <w:contextualSpacing/>
        <w:jc w:val="both"/>
        <w:rPr>
          <w:rFonts w:ascii="Palatino Linotype" w:hAnsi="Palatino Linotype" w:cs="Tahoma"/>
          <w:color w:val="000000" w:themeColor="text1"/>
        </w:rPr>
      </w:pPr>
    </w:p>
    <w:p w:rsidR="007304DF" w:rsidRPr="002D4122" w:rsidRDefault="007304DF" w:rsidP="00C27A98">
      <w:pPr>
        <w:numPr>
          <w:ilvl w:val="0"/>
          <w:numId w:val="1"/>
        </w:numPr>
        <w:pBdr>
          <w:top w:val="nil"/>
          <w:left w:val="nil"/>
          <w:bottom w:val="nil"/>
          <w:right w:val="nil"/>
          <w:between w:val="nil"/>
        </w:pBdr>
        <w:spacing w:line="360" w:lineRule="auto"/>
        <w:ind w:left="0" w:firstLine="0"/>
        <w:jc w:val="both"/>
        <w:rPr>
          <w:rFonts w:ascii="Palatino Linotype" w:hAnsi="Palatino Linotype" w:cs="Tahoma"/>
          <w:color w:val="000000" w:themeColor="text1"/>
        </w:rPr>
      </w:pPr>
      <w:r w:rsidRPr="002D4122">
        <w:rPr>
          <w:rFonts w:ascii="Palatino Linotype" w:hAnsi="Palatino Linotype" w:cs="Tahoma"/>
          <w:color w:val="000000" w:themeColor="text1"/>
        </w:rPr>
        <w:t>Resulta aplicable en la especie, como argumento orientador, el Criterio 3/10, emitido por el INAI.</w:t>
      </w:r>
    </w:p>
    <w:p w:rsidR="007304DF" w:rsidRPr="002D4122" w:rsidRDefault="007304DF" w:rsidP="00C27A98">
      <w:pPr>
        <w:spacing w:line="360" w:lineRule="auto"/>
        <w:contextualSpacing/>
        <w:jc w:val="both"/>
        <w:rPr>
          <w:rFonts w:ascii="Palatino Linotype" w:hAnsi="Palatino Linotype" w:cs="Tahoma"/>
          <w:color w:val="000000" w:themeColor="text1"/>
        </w:rPr>
      </w:pPr>
    </w:p>
    <w:p w:rsidR="007304DF" w:rsidRPr="002D4122" w:rsidRDefault="007304DF" w:rsidP="00C27A98">
      <w:pPr>
        <w:autoSpaceDE w:val="0"/>
        <w:autoSpaceDN w:val="0"/>
        <w:adjustRightInd w:val="0"/>
        <w:spacing w:line="360" w:lineRule="auto"/>
        <w:jc w:val="both"/>
        <w:rPr>
          <w:rFonts w:ascii="Palatino Linotype" w:eastAsia="Calibri" w:hAnsi="Palatino Linotype" w:cs="Tahoma"/>
          <w:i/>
          <w:color w:val="000000" w:themeColor="text1"/>
        </w:rPr>
      </w:pPr>
      <w:r w:rsidRPr="002D4122">
        <w:rPr>
          <w:rFonts w:ascii="Palatino Linotype" w:eastAsia="Calibri" w:hAnsi="Palatino Linotype" w:cs="Tahoma"/>
          <w:b/>
          <w:bCs/>
          <w:i/>
          <w:color w:val="000000" w:themeColor="text1"/>
        </w:rPr>
        <w:t xml:space="preserve">“Clave Única de Registro de Población (CURP) es un dato personal confidencial. </w:t>
      </w:r>
      <w:r w:rsidRPr="002D4122">
        <w:rPr>
          <w:rFonts w:ascii="Palatino Linotype" w:eastAsia="Calibri" w:hAnsi="Palatino Linotype" w:cs="Tahoma"/>
          <w:i/>
          <w:color w:val="000000" w:themeColor="text1"/>
        </w:rPr>
        <w:t xml:space="preserve">De conformidad con lo establecido en el artículo 3, fracción II de la Ley Federal de Transparencia y </w:t>
      </w:r>
      <w:r w:rsidRPr="002D4122">
        <w:rPr>
          <w:rFonts w:ascii="Palatino Linotype" w:eastAsia="Calibri" w:hAnsi="Palatino Linotype" w:cs="Tahoma"/>
          <w:i/>
          <w:color w:val="000000" w:themeColor="text1"/>
        </w:rPr>
        <w:lastRenderedPageBreak/>
        <w:t>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proofErr w:type="gramStart"/>
      <w:r w:rsidRPr="002D4122">
        <w:rPr>
          <w:rFonts w:ascii="Palatino Linotype" w:eastAsia="Calibri" w:hAnsi="Palatino Linotype" w:cs="Tahoma"/>
          <w:i/>
          <w:color w:val="000000" w:themeColor="text1"/>
        </w:rPr>
        <w:t>.“</w:t>
      </w:r>
      <w:proofErr w:type="gramEnd"/>
    </w:p>
    <w:p w:rsidR="007304DF" w:rsidRPr="002D4122" w:rsidRDefault="007304DF" w:rsidP="00C27A98">
      <w:pPr>
        <w:spacing w:line="360" w:lineRule="auto"/>
        <w:jc w:val="both"/>
        <w:rPr>
          <w:rFonts w:ascii="Palatino Linotype" w:hAnsi="Palatino Linotype" w:cs="Tahoma"/>
          <w:color w:val="000000" w:themeColor="text1"/>
        </w:rPr>
      </w:pPr>
    </w:p>
    <w:p w:rsidR="007304DF" w:rsidRPr="002D4122" w:rsidRDefault="007304DF" w:rsidP="00C27A98">
      <w:pPr>
        <w:numPr>
          <w:ilvl w:val="0"/>
          <w:numId w:val="1"/>
        </w:numPr>
        <w:pBdr>
          <w:top w:val="nil"/>
          <w:left w:val="nil"/>
          <w:bottom w:val="nil"/>
          <w:right w:val="nil"/>
          <w:between w:val="nil"/>
        </w:pBdr>
        <w:spacing w:line="360" w:lineRule="auto"/>
        <w:ind w:left="0" w:firstLine="0"/>
        <w:jc w:val="both"/>
        <w:rPr>
          <w:rFonts w:ascii="Palatino Linotype" w:hAnsi="Palatino Linotype" w:cs="Tahoma"/>
          <w:color w:val="000000" w:themeColor="text1"/>
        </w:rPr>
      </w:pPr>
      <w:r w:rsidRPr="002D4122">
        <w:rPr>
          <w:rFonts w:ascii="Palatino Linotype" w:hAnsi="Palatino Linotype" w:cs="Tahoma"/>
          <w:color w:val="000000" w:themeColor="text1"/>
        </w:rPr>
        <w:t>De acuerdo con lo anterior, se la clave CURP, es un dato personal confidencial, en términos del artículo 143, fracción I de la Ley de Transparencia y Acceso a la Información Pública del Estado de México y Municipios.</w:t>
      </w:r>
    </w:p>
    <w:p w:rsidR="001C7294" w:rsidRPr="002D4122" w:rsidRDefault="001C7294" w:rsidP="00C27A98">
      <w:pPr>
        <w:pBdr>
          <w:top w:val="nil"/>
          <w:left w:val="nil"/>
          <w:bottom w:val="nil"/>
          <w:right w:val="nil"/>
          <w:between w:val="nil"/>
        </w:pBdr>
        <w:spacing w:line="360" w:lineRule="auto"/>
        <w:jc w:val="both"/>
        <w:rPr>
          <w:rFonts w:ascii="Palatino Linotype" w:hAnsi="Palatino Linotype" w:cs="Tahoma"/>
          <w:color w:val="000000" w:themeColor="text1"/>
        </w:rPr>
      </w:pPr>
    </w:p>
    <w:p w:rsidR="00B411FB" w:rsidRPr="002D4122" w:rsidRDefault="00B411FB" w:rsidP="00C27A98">
      <w:pPr>
        <w:pStyle w:val="Prrafodelista"/>
        <w:numPr>
          <w:ilvl w:val="0"/>
          <w:numId w:val="14"/>
        </w:numPr>
        <w:pBdr>
          <w:top w:val="nil"/>
          <w:left w:val="nil"/>
          <w:bottom w:val="nil"/>
          <w:right w:val="nil"/>
          <w:between w:val="nil"/>
        </w:pBdr>
        <w:spacing w:line="360" w:lineRule="auto"/>
        <w:ind w:left="0"/>
        <w:jc w:val="both"/>
        <w:rPr>
          <w:rFonts w:ascii="Palatino Linotype" w:hAnsi="Palatino Linotype" w:cs="Tahoma"/>
          <w:b/>
          <w:color w:val="000000" w:themeColor="text1"/>
          <w:sz w:val="24"/>
        </w:rPr>
      </w:pPr>
      <w:r w:rsidRPr="002D4122">
        <w:rPr>
          <w:rFonts w:ascii="Palatino Linotype" w:hAnsi="Palatino Linotype" w:cs="Tahoma"/>
          <w:b/>
          <w:color w:val="000000" w:themeColor="text1"/>
          <w:sz w:val="24"/>
        </w:rPr>
        <w:t xml:space="preserve">De las cuentas bancarias </w:t>
      </w:r>
    </w:p>
    <w:p w:rsidR="00B411FB" w:rsidRPr="002D4122" w:rsidRDefault="00B411FB" w:rsidP="00C27A98">
      <w:pPr>
        <w:pStyle w:val="Prrafodelista"/>
        <w:pBdr>
          <w:top w:val="nil"/>
          <w:left w:val="nil"/>
          <w:bottom w:val="nil"/>
          <w:right w:val="nil"/>
          <w:between w:val="nil"/>
        </w:pBdr>
        <w:spacing w:line="360" w:lineRule="auto"/>
        <w:ind w:left="0"/>
        <w:jc w:val="both"/>
        <w:rPr>
          <w:rFonts w:ascii="Palatino Linotype" w:hAnsi="Palatino Linotype" w:cs="Tahoma"/>
          <w:color w:val="000000" w:themeColor="text1"/>
          <w:sz w:val="24"/>
        </w:rPr>
      </w:pPr>
    </w:p>
    <w:p w:rsidR="00B411FB" w:rsidRPr="002D4122" w:rsidRDefault="00B411FB" w:rsidP="00C27A98">
      <w:pPr>
        <w:numPr>
          <w:ilvl w:val="0"/>
          <w:numId w:val="1"/>
        </w:numPr>
        <w:spacing w:line="360" w:lineRule="auto"/>
        <w:ind w:left="0" w:firstLine="0"/>
        <w:contextualSpacing/>
        <w:jc w:val="both"/>
        <w:rPr>
          <w:rFonts w:ascii="Palatino Linotype" w:eastAsia="Calibri" w:hAnsi="Palatino Linotype"/>
          <w:color w:val="000000" w:themeColor="text1"/>
        </w:rPr>
      </w:pPr>
      <w:r w:rsidRPr="002D4122">
        <w:rPr>
          <w:rFonts w:ascii="Palatino Linotype" w:hAnsi="Palatino Linotype"/>
          <w:color w:val="000000" w:themeColor="text1"/>
          <w:lang w:val="es-ES" w:eastAsia="es-ES"/>
        </w:rPr>
        <w:t>Sobre la cuenta bancaria, es considerada como información pública, pues su difusión favorece la rendición de cuentas al transparentar la forma en que se administrar los recursos públicos; situación que se robustece con el Criterio 11/17, del Instituto Nacional de Transparencia, Acceso a la Información y Protección de Datos Personales, que a la letra precisa:</w:t>
      </w:r>
    </w:p>
    <w:p w:rsidR="00B411FB" w:rsidRPr="002D4122" w:rsidRDefault="00B411FB" w:rsidP="00C27A98">
      <w:pPr>
        <w:pStyle w:val="Prrafodelista"/>
        <w:ind w:left="0"/>
        <w:rPr>
          <w:rFonts w:ascii="Palatino Linotype" w:eastAsia="Calibri" w:hAnsi="Palatino Linotype"/>
          <w:color w:val="000000" w:themeColor="text1"/>
          <w:sz w:val="24"/>
        </w:rPr>
      </w:pPr>
    </w:p>
    <w:p w:rsidR="00B411FB" w:rsidRPr="002D4122" w:rsidRDefault="00B411FB" w:rsidP="00C27A98">
      <w:pPr>
        <w:tabs>
          <w:tab w:val="left" w:pos="7938"/>
        </w:tabs>
        <w:spacing w:line="276" w:lineRule="auto"/>
        <w:jc w:val="both"/>
        <w:rPr>
          <w:rFonts w:ascii="Palatino Linotype" w:hAnsi="Palatino Linotype" w:cs="Arial"/>
          <w:i/>
          <w:color w:val="000000" w:themeColor="text1"/>
        </w:rPr>
      </w:pPr>
      <w:r w:rsidRPr="002D4122">
        <w:rPr>
          <w:rFonts w:ascii="Palatino Linotype" w:hAnsi="Palatino Linotype" w:cs="Arial"/>
          <w:i/>
          <w:color w:val="000000" w:themeColor="text1"/>
        </w:rPr>
        <w:t>“</w:t>
      </w:r>
      <w:r w:rsidRPr="002D4122">
        <w:rPr>
          <w:rFonts w:ascii="Palatino Linotype" w:hAnsi="Palatino Linotype" w:cs="Arial"/>
          <w:b/>
          <w:i/>
          <w:color w:val="000000" w:themeColor="text1"/>
        </w:rPr>
        <w:t>Cuentas bancarias y/o CLABE interbancaria de sujetos obligados que reciben y/o transfieren recursos públicos, son información pública</w:t>
      </w:r>
      <w:r w:rsidRPr="002D4122">
        <w:rPr>
          <w:rFonts w:ascii="Palatino Linotype" w:hAnsi="Palatino Linotype" w:cs="Arial"/>
          <w:i/>
          <w:color w:val="000000" w:themeColor="text1"/>
        </w:rPr>
        <w:t xml:space="preserve">. La difusión de las cuentas bancarias </w:t>
      </w:r>
      <w:r w:rsidRPr="002D4122">
        <w:rPr>
          <w:rFonts w:ascii="Palatino Linotype" w:hAnsi="Palatino Linotype" w:cs="Arial"/>
          <w:i/>
          <w:color w:val="000000" w:themeColor="text1"/>
        </w:rPr>
        <w:lastRenderedPageBreak/>
        <w:t>y claves interbancarias pertenecientes a un sujeto obligado favorece la rendición de cuentas al transparentar la forma en que se administran los recursos públicos, razón por la cual no pueden considerarse como información clasificada.</w:t>
      </w:r>
    </w:p>
    <w:p w:rsidR="00B411FB" w:rsidRPr="002D4122" w:rsidRDefault="00B411FB" w:rsidP="00C27A98">
      <w:pPr>
        <w:tabs>
          <w:tab w:val="left" w:pos="7938"/>
        </w:tabs>
        <w:spacing w:line="276" w:lineRule="auto"/>
        <w:jc w:val="both"/>
        <w:rPr>
          <w:rFonts w:ascii="Palatino Linotype" w:hAnsi="Palatino Linotype" w:cs="Arial"/>
          <w:i/>
          <w:color w:val="000000" w:themeColor="text1"/>
        </w:rPr>
      </w:pPr>
    </w:p>
    <w:p w:rsidR="00B411FB" w:rsidRPr="002D4122" w:rsidRDefault="00B411FB" w:rsidP="00C27A98">
      <w:pPr>
        <w:tabs>
          <w:tab w:val="left" w:pos="7938"/>
        </w:tabs>
        <w:spacing w:line="276" w:lineRule="auto"/>
        <w:jc w:val="both"/>
        <w:rPr>
          <w:rFonts w:ascii="Palatino Linotype" w:hAnsi="Palatino Linotype" w:cs="Arial"/>
          <w:i/>
          <w:color w:val="000000" w:themeColor="text1"/>
        </w:rPr>
      </w:pPr>
      <w:r w:rsidRPr="002D4122">
        <w:rPr>
          <w:rFonts w:ascii="Palatino Linotype" w:hAnsi="Palatino Linotype" w:cs="Arial"/>
          <w:i/>
          <w:color w:val="000000" w:themeColor="text1"/>
        </w:rPr>
        <w:t xml:space="preserve">Resoluciones: </w:t>
      </w:r>
    </w:p>
    <w:p w:rsidR="00B411FB" w:rsidRPr="002D4122" w:rsidRDefault="00B411FB" w:rsidP="00C27A98">
      <w:pPr>
        <w:tabs>
          <w:tab w:val="left" w:pos="7938"/>
        </w:tabs>
        <w:spacing w:line="276" w:lineRule="auto"/>
        <w:jc w:val="both"/>
        <w:rPr>
          <w:rFonts w:ascii="Palatino Linotype" w:hAnsi="Palatino Linotype" w:cs="Arial"/>
          <w:i/>
          <w:color w:val="000000" w:themeColor="text1"/>
        </w:rPr>
      </w:pPr>
      <w:r w:rsidRPr="002D4122">
        <w:rPr>
          <w:rFonts w:ascii="Palatino Linotype" w:hAnsi="Palatino Linotype" w:cs="Arial"/>
          <w:i/>
          <w:color w:val="000000" w:themeColor="text1"/>
        </w:rPr>
        <w:sym w:font="Symbol" w:char="F0B7"/>
      </w:r>
      <w:r w:rsidRPr="002D4122">
        <w:rPr>
          <w:rFonts w:ascii="Palatino Linotype" w:hAnsi="Palatino Linotype" w:cs="Arial"/>
          <w:i/>
          <w:color w:val="000000" w:themeColor="text1"/>
        </w:rPr>
        <w:t xml:space="preserve"> RRA 0448/16. NOTIMEX, Agencia de Noticias del Estado Mexicano. 24 de agosto de 2016. Por unanimidad. Comisionado Ponente Joel Salas Suárez. </w:t>
      </w:r>
    </w:p>
    <w:p w:rsidR="00B411FB" w:rsidRPr="002D4122" w:rsidRDefault="00B411FB" w:rsidP="00C27A98">
      <w:pPr>
        <w:tabs>
          <w:tab w:val="left" w:pos="7938"/>
        </w:tabs>
        <w:spacing w:line="276" w:lineRule="auto"/>
        <w:jc w:val="both"/>
        <w:rPr>
          <w:rFonts w:ascii="Palatino Linotype" w:hAnsi="Palatino Linotype" w:cs="Arial"/>
          <w:i/>
          <w:color w:val="000000" w:themeColor="text1"/>
        </w:rPr>
      </w:pPr>
      <w:r w:rsidRPr="002D4122">
        <w:rPr>
          <w:rFonts w:ascii="Palatino Linotype" w:hAnsi="Palatino Linotype" w:cs="Arial"/>
          <w:i/>
          <w:color w:val="000000" w:themeColor="text1"/>
        </w:rPr>
        <w:sym w:font="Symbol" w:char="F0B7"/>
      </w:r>
      <w:r w:rsidRPr="002D4122">
        <w:rPr>
          <w:rFonts w:ascii="Palatino Linotype" w:hAnsi="Palatino Linotype" w:cs="Arial"/>
          <w:i/>
          <w:color w:val="000000" w:themeColor="text1"/>
        </w:rPr>
        <w:t xml:space="preserve"> RRA 2787/16. Colegio de Postgraduados. 01 de noviembre de 2016. Por unanimidad. Comisionado Ponente Francisco Javier Acuña Llamas. </w:t>
      </w:r>
    </w:p>
    <w:p w:rsidR="00B411FB" w:rsidRPr="002D4122" w:rsidRDefault="00B411FB" w:rsidP="00C27A98">
      <w:pPr>
        <w:tabs>
          <w:tab w:val="left" w:pos="7938"/>
        </w:tabs>
        <w:spacing w:line="276" w:lineRule="auto"/>
        <w:jc w:val="both"/>
        <w:rPr>
          <w:rFonts w:ascii="Palatino Linotype" w:hAnsi="Palatino Linotype" w:cs="Arial"/>
          <w:i/>
          <w:color w:val="000000" w:themeColor="text1"/>
        </w:rPr>
      </w:pPr>
      <w:r w:rsidRPr="002D4122">
        <w:rPr>
          <w:rFonts w:ascii="Palatino Linotype" w:hAnsi="Palatino Linotype" w:cs="Arial"/>
          <w:i/>
          <w:color w:val="000000" w:themeColor="text1"/>
        </w:rPr>
        <w:sym w:font="Symbol" w:char="F0B7"/>
      </w:r>
      <w:r w:rsidRPr="002D4122">
        <w:rPr>
          <w:rFonts w:ascii="Palatino Linotype" w:hAnsi="Palatino Linotype" w:cs="Arial"/>
          <w:i/>
          <w:color w:val="000000" w:themeColor="text1"/>
        </w:rPr>
        <w:t xml:space="preserve"> RRA 4756/16. Instituto Mexicano del Seguro Social. 08 de febrero de 2017. Por unanimidad. Comisionado Ponente Oscar Mauricio Guerra Ford.</w:t>
      </w:r>
    </w:p>
    <w:p w:rsidR="00B411FB" w:rsidRPr="002D4122" w:rsidRDefault="00B411FB" w:rsidP="00C27A98">
      <w:pPr>
        <w:tabs>
          <w:tab w:val="left" w:pos="7938"/>
        </w:tabs>
        <w:spacing w:line="276" w:lineRule="auto"/>
        <w:jc w:val="right"/>
        <w:rPr>
          <w:rFonts w:ascii="Palatino Linotype" w:hAnsi="Palatino Linotype" w:cs="Arial"/>
          <w:color w:val="000000" w:themeColor="text1"/>
        </w:rPr>
      </w:pPr>
      <w:r w:rsidRPr="002D4122">
        <w:rPr>
          <w:rFonts w:ascii="Palatino Linotype" w:hAnsi="Palatino Linotype" w:cs="Arial"/>
          <w:color w:val="000000" w:themeColor="text1"/>
        </w:rPr>
        <w:t>Criterio 11/17”</w:t>
      </w:r>
    </w:p>
    <w:p w:rsidR="00B411FB" w:rsidRPr="002D4122" w:rsidRDefault="00B411FB" w:rsidP="00C27A98">
      <w:pPr>
        <w:pStyle w:val="Prrafodelista"/>
        <w:ind w:left="0"/>
        <w:rPr>
          <w:rFonts w:ascii="Palatino Linotype" w:eastAsia="Calibri" w:hAnsi="Palatino Linotype"/>
          <w:color w:val="000000" w:themeColor="text1"/>
          <w:sz w:val="24"/>
        </w:rPr>
      </w:pPr>
    </w:p>
    <w:p w:rsidR="00B411FB" w:rsidRPr="002D4122" w:rsidRDefault="00B411FB" w:rsidP="00C27A98">
      <w:pPr>
        <w:numPr>
          <w:ilvl w:val="0"/>
          <w:numId w:val="1"/>
        </w:numPr>
        <w:spacing w:line="360" w:lineRule="auto"/>
        <w:ind w:left="0" w:firstLine="0"/>
        <w:contextualSpacing/>
        <w:jc w:val="both"/>
        <w:rPr>
          <w:rFonts w:ascii="Palatino Linotype" w:eastAsia="Calibri" w:hAnsi="Palatino Linotype"/>
          <w:color w:val="000000" w:themeColor="text1"/>
        </w:rPr>
      </w:pPr>
      <w:r w:rsidRPr="002D4122">
        <w:rPr>
          <w:rFonts w:ascii="Palatino Linotype" w:eastAsia="Calibri" w:hAnsi="Palatino Linotype"/>
          <w:color w:val="000000" w:themeColor="text1"/>
        </w:rPr>
        <w:t xml:space="preserve">Asimismo, el artículo 2°, fracción III, de la Ley General de Títulos y Operaciones de Crédito establece que los actos y las operaciones que regula esta Ley General, se regirán por los </w:t>
      </w:r>
      <w:r w:rsidRPr="002D4122">
        <w:rPr>
          <w:rFonts w:ascii="Palatino Linotype" w:eastAsia="Calibri" w:hAnsi="Palatino Linotype"/>
          <w:b/>
          <w:bCs/>
          <w:color w:val="000000" w:themeColor="text1"/>
        </w:rPr>
        <w:t>usos bancarios y mercantiles</w:t>
      </w:r>
      <w:r w:rsidRPr="002D4122">
        <w:rPr>
          <w:rFonts w:ascii="Palatino Linotype" w:eastAsia="Calibri" w:hAnsi="Palatino Linotype"/>
          <w:color w:val="000000" w:themeColor="text1"/>
        </w:rPr>
        <w:t>, es así que, a manera de contextualización la cuenta bancaria y estado de cuenta se definen como:</w:t>
      </w:r>
    </w:p>
    <w:p w:rsidR="00B411FB" w:rsidRPr="002D4122" w:rsidRDefault="00B411FB" w:rsidP="00C27A98">
      <w:pPr>
        <w:spacing w:line="360" w:lineRule="auto"/>
        <w:jc w:val="both"/>
        <w:rPr>
          <w:rFonts w:ascii="Palatino Linotype" w:eastAsia="Calibri" w:hAnsi="Palatino Linotype"/>
          <w:color w:val="000000" w:themeColor="text1"/>
        </w:rPr>
      </w:pPr>
    </w:p>
    <w:p w:rsidR="001C7294" w:rsidRPr="002D4122" w:rsidRDefault="00B411FB" w:rsidP="00C27A98">
      <w:pPr>
        <w:numPr>
          <w:ilvl w:val="0"/>
          <w:numId w:val="1"/>
        </w:numPr>
        <w:spacing w:line="360" w:lineRule="auto"/>
        <w:ind w:left="0" w:firstLine="0"/>
        <w:contextualSpacing/>
        <w:jc w:val="both"/>
        <w:rPr>
          <w:rFonts w:ascii="Palatino Linotype" w:hAnsi="Palatino Linotype"/>
          <w:color w:val="000000" w:themeColor="text1"/>
          <w:lang w:eastAsia="es-ES"/>
        </w:rPr>
      </w:pPr>
      <w:r w:rsidRPr="002D4122">
        <w:rPr>
          <w:rFonts w:ascii="Palatino Linotype" w:hAnsi="Palatino Linotype"/>
          <w:b/>
          <w:bCs/>
          <w:color w:val="000000" w:themeColor="text1"/>
          <w:lang w:eastAsia="es-ES"/>
        </w:rPr>
        <w:t>Cuenta bancaria:</w:t>
      </w:r>
      <w:r w:rsidRPr="002D4122">
        <w:rPr>
          <w:rFonts w:ascii="Palatino Linotype" w:hAnsi="Palatino Linotype"/>
          <w:color w:val="000000" w:themeColor="text1"/>
          <w:lang w:eastAsia="es-ES"/>
        </w:rPr>
        <w:t xml:space="preserve"> </w:t>
      </w:r>
      <w:r w:rsidRPr="002D4122">
        <w:rPr>
          <w:rFonts w:ascii="Palatino Linotype" w:hAnsi="Palatino Linotype"/>
          <w:color w:val="000000" w:themeColor="text1"/>
          <w:u w:val="single"/>
          <w:lang w:eastAsia="es-ES"/>
        </w:rPr>
        <w:t>Una cuenta bancaria es un registro que mantiene un banco, en el que guarda dinero y contabiliza todas las entradas y salidas de efectivo, así como los créditos en curso, inversiones y productos relacionados.</w:t>
      </w:r>
    </w:p>
    <w:p w:rsidR="007304DF" w:rsidRPr="002D4122" w:rsidRDefault="007304DF" w:rsidP="00C27A98">
      <w:pPr>
        <w:spacing w:line="360" w:lineRule="auto"/>
        <w:jc w:val="both"/>
        <w:rPr>
          <w:rFonts w:ascii="Palatino Linotype" w:hAnsi="Palatino Linotype"/>
          <w:color w:val="000000" w:themeColor="text1"/>
        </w:rPr>
      </w:pPr>
    </w:p>
    <w:p w:rsidR="0003185F" w:rsidRPr="002D4122" w:rsidRDefault="0003185F" w:rsidP="00C27A98">
      <w:pPr>
        <w:numPr>
          <w:ilvl w:val="0"/>
          <w:numId w:val="1"/>
        </w:numPr>
        <w:spacing w:line="360" w:lineRule="auto"/>
        <w:ind w:left="0" w:firstLine="0"/>
        <w:jc w:val="both"/>
        <w:rPr>
          <w:rFonts w:ascii="Palatino Linotype" w:hAnsi="Palatino Linotype"/>
          <w:color w:val="000000" w:themeColor="text1"/>
        </w:rPr>
      </w:pPr>
      <w:r w:rsidRPr="002D4122">
        <w:rPr>
          <w:rFonts w:ascii="Palatino Linotype" w:eastAsia="Palatino Linotype" w:hAnsi="Palatino Linotype" w:cs="Palatino Linotype"/>
          <w:color w:val="000000" w:themeColor="text1"/>
        </w:rPr>
        <w:t xml:space="preserve">Por lo anteriormente expuesto y fundado, este </w:t>
      </w:r>
      <w:r w:rsidRPr="002D4122">
        <w:rPr>
          <w:rFonts w:ascii="Palatino Linotype" w:eastAsia="Palatino Linotype" w:hAnsi="Palatino Linotype" w:cs="Palatino Linotype"/>
          <w:b/>
          <w:color w:val="000000" w:themeColor="text1"/>
        </w:rPr>
        <w:t>ÓRGANO GARANTE</w:t>
      </w:r>
      <w:r w:rsidRPr="002D4122">
        <w:rPr>
          <w:rFonts w:ascii="Palatino Linotype" w:eastAsia="Palatino Linotype" w:hAnsi="Palatino Linotype" w:cs="Palatino Linotype"/>
          <w:color w:val="000000" w:themeColor="text1"/>
        </w:rPr>
        <w:t xml:space="preserve"> emite los siguientes:</w:t>
      </w:r>
    </w:p>
    <w:p w:rsidR="0003185F" w:rsidRPr="002D4122" w:rsidRDefault="0003185F" w:rsidP="00C27A98">
      <w:pPr>
        <w:spacing w:line="360" w:lineRule="auto"/>
        <w:jc w:val="both"/>
        <w:rPr>
          <w:rFonts w:ascii="Palatino Linotype" w:eastAsia="Palatino Linotype" w:hAnsi="Palatino Linotype" w:cs="Palatino Linotype"/>
          <w:color w:val="000000" w:themeColor="text1"/>
        </w:rPr>
      </w:pPr>
    </w:p>
    <w:p w:rsidR="0003185F" w:rsidRPr="002D4122" w:rsidRDefault="0003185F" w:rsidP="00C27A98">
      <w:pPr>
        <w:keepNext/>
        <w:keepLines/>
        <w:spacing w:line="360" w:lineRule="auto"/>
        <w:jc w:val="center"/>
        <w:rPr>
          <w:rFonts w:ascii="Palatino Linotype" w:eastAsia="Palatino Linotype" w:hAnsi="Palatino Linotype" w:cs="Palatino Linotype"/>
          <w:b/>
          <w:color w:val="000000" w:themeColor="text1"/>
        </w:rPr>
      </w:pPr>
      <w:r w:rsidRPr="002D4122">
        <w:rPr>
          <w:rFonts w:ascii="Palatino Linotype" w:eastAsia="Palatino Linotype" w:hAnsi="Palatino Linotype" w:cs="Palatino Linotype"/>
          <w:b/>
          <w:color w:val="000000" w:themeColor="text1"/>
        </w:rPr>
        <w:lastRenderedPageBreak/>
        <w:t>R E S O L U T I V O S</w:t>
      </w:r>
    </w:p>
    <w:p w:rsidR="007845A1" w:rsidRPr="002D4122" w:rsidRDefault="007845A1" w:rsidP="00C27A98">
      <w:pPr>
        <w:keepNext/>
        <w:keepLines/>
        <w:spacing w:line="360" w:lineRule="auto"/>
        <w:jc w:val="center"/>
        <w:rPr>
          <w:rFonts w:ascii="Palatino Linotype" w:eastAsia="Palatino Linotype" w:hAnsi="Palatino Linotype" w:cs="Palatino Linotype"/>
          <w:b/>
          <w:color w:val="000000" w:themeColor="text1"/>
        </w:rPr>
      </w:pPr>
    </w:p>
    <w:p w:rsidR="00420EBD" w:rsidRPr="002D4122" w:rsidRDefault="00420EBD" w:rsidP="00C27A98">
      <w:pPr>
        <w:spacing w:line="360" w:lineRule="auto"/>
        <w:jc w:val="both"/>
        <w:rPr>
          <w:rFonts w:ascii="Palatino Linotype" w:eastAsia="Palatino Linotype" w:hAnsi="Palatino Linotype" w:cs="Palatino Linotype"/>
          <w:color w:val="000000" w:themeColor="text1"/>
        </w:rPr>
      </w:pPr>
      <w:r w:rsidRPr="002D4122">
        <w:rPr>
          <w:rFonts w:ascii="Palatino Linotype" w:eastAsia="Palatino Linotype" w:hAnsi="Palatino Linotype" w:cs="Palatino Linotype"/>
          <w:b/>
          <w:color w:val="000000" w:themeColor="text1"/>
        </w:rPr>
        <w:t>PRIMERO</w:t>
      </w:r>
      <w:r w:rsidRPr="002D4122">
        <w:rPr>
          <w:rFonts w:ascii="Palatino Linotype" w:eastAsia="Palatino Linotype" w:hAnsi="Palatino Linotype" w:cs="Palatino Linotype"/>
          <w:color w:val="000000" w:themeColor="text1"/>
        </w:rPr>
        <w:t xml:space="preserve">. Resultan fundadas las razones o motivos de </w:t>
      </w:r>
      <w:r w:rsidR="008D4519" w:rsidRPr="002D4122">
        <w:rPr>
          <w:rFonts w:ascii="Palatino Linotype" w:eastAsia="Palatino Linotype" w:hAnsi="Palatino Linotype" w:cs="Palatino Linotype"/>
          <w:color w:val="000000" w:themeColor="text1"/>
        </w:rPr>
        <w:t>inconformidad hechos valer en los</w:t>
      </w:r>
      <w:r w:rsidRPr="002D4122">
        <w:rPr>
          <w:rFonts w:ascii="Palatino Linotype" w:eastAsia="Palatino Linotype" w:hAnsi="Palatino Linotype" w:cs="Palatino Linotype"/>
          <w:color w:val="000000" w:themeColor="text1"/>
        </w:rPr>
        <w:t xml:space="preserve"> Recurso</w:t>
      </w:r>
      <w:r w:rsidR="008D4519" w:rsidRPr="002D4122">
        <w:rPr>
          <w:rFonts w:ascii="Palatino Linotype" w:eastAsia="Palatino Linotype" w:hAnsi="Palatino Linotype" w:cs="Palatino Linotype"/>
          <w:color w:val="000000" w:themeColor="text1"/>
        </w:rPr>
        <w:t>s</w:t>
      </w:r>
      <w:r w:rsidRPr="002D4122">
        <w:rPr>
          <w:rFonts w:ascii="Palatino Linotype" w:eastAsia="Palatino Linotype" w:hAnsi="Palatino Linotype" w:cs="Palatino Linotype"/>
          <w:color w:val="000000" w:themeColor="text1"/>
        </w:rPr>
        <w:t xml:space="preserve"> de Revisión </w:t>
      </w:r>
      <w:r w:rsidR="008D4519" w:rsidRPr="002D4122">
        <w:rPr>
          <w:rFonts w:ascii="Palatino Linotype" w:eastAsia="Palatino Linotype" w:hAnsi="Palatino Linotype" w:cs="Palatino Linotype"/>
          <w:b/>
          <w:color w:val="000000" w:themeColor="text1"/>
        </w:rPr>
        <w:t>04623</w:t>
      </w:r>
      <w:r w:rsidRPr="002D4122">
        <w:rPr>
          <w:rFonts w:ascii="Palatino Linotype" w:eastAsia="Palatino Linotype" w:hAnsi="Palatino Linotype" w:cs="Palatino Linotype"/>
          <w:b/>
          <w:color w:val="000000" w:themeColor="text1"/>
        </w:rPr>
        <w:t>/INFOEM/IP/RR/2025</w:t>
      </w:r>
      <w:r w:rsidRPr="002D4122">
        <w:rPr>
          <w:rFonts w:ascii="Palatino Linotype" w:eastAsia="Palatino Linotype" w:hAnsi="Palatino Linotype" w:cs="Palatino Linotype"/>
          <w:color w:val="000000" w:themeColor="text1"/>
        </w:rPr>
        <w:t>,</w:t>
      </w:r>
      <w:r w:rsidR="008D4519" w:rsidRPr="002D4122">
        <w:rPr>
          <w:rFonts w:ascii="Palatino Linotype" w:eastAsia="Palatino Linotype" w:hAnsi="Palatino Linotype" w:cs="Palatino Linotype"/>
          <w:color w:val="000000" w:themeColor="text1"/>
        </w:rPr>
        <w:t xml:space="preserve"> </w:t>
      </w:r>
      <w:r w:rsidR="008D4519" w:rsidRPr="002D4122">
        <w:rPr>
          <w:rFonts w:ascii="Palatino Linotype" w:eastAsia="Palatino Linotype" w:hAnsi="Palatino Linotype" w:cs="Palatino Linotype"/>
          <w:b/>
          <w:color w:val="000000" w:themeColor="text1"/>
        </w:rPr>
        <w:t>04624/INFOEM/IP/RR/2025, 04625/INFOEM/IP/RR/2025, 04626/INFOEM/IP/RR/2025 y 04627/INFOEM/IP/RR/2025</w:t>
      </w:r>
      <w:r w:rsidRPr="002D4122">
        <w:rPr>
          <w:rFonts w:ascii="Palatino Linotype" w:eastAsia="Palatino Linotype" w:hAnsi="Palatino Linotype" w:cs="Palatino Linotype"/>
          <w:b/>
          <w:color w:val="000000" w:themeColor="text1"/>
        </w:rPr>
        <w:t xml:space="preserve"> </w:t>
      </w:r>
      <w:r w:rsidRPr="002D4122">
        <w:rPr>
          <w:rFonts w:ascii="Palatino Linotype" w:eastAsia="Palatino Linotype" w:hAnsi="Palatino Linotype" w:cs="Palatino Linotype"/>
          <w:color w:val="000000" w:themeColor="text1"/>
        </w:rPr>
        <w:t>en términos de los Considerandos</w:t>
      </w:r>
      <w:r w:rsidRPr="002D4122">
        <w:rPr>
          <w:rFonts w:ascii="Palatino Linotype" w:eastAsia="Palatino Linotype" w:hAnsi="Palatino Linotype" w:cs="Palatino Linotype"/>
          <w:b/>
          <w:color w:val="000000" w:themeColor="text1"/>
        </w:rPr>
        <w:t xml:space="preserve"> Cuarto y Quinto </w:t>
      </w:r>
      <w:r w:rsidRPr="002D4122">
        <w:rPr>
          <w:rFonts w:ascii="Palatino Linotype" w:eastAsia="Palatino Linotype" w:hAnsi="Palatino Linotype" w:cs="Palatino Linotype"/>
          <w:color w:val="000000" w:themeColor="text1"/>
        </w:rPr>
        <w:t xml:space="preserve">de la presente resolución. </w:t>
      </w:r>
    </w:p>
    <w:p w:rsidR="00420EBD" w:rsidRPr="002D4122" w:rsidRDefault="00420EBD" w:rsidP="00C27A98">
      <w:pPr>
        <w:spacing w:line="360" w:lineRule="auto"/>
        <w:jc w:val="both"/>
        <w:rPr>
          <w:rFonts w:ascii="Palatino Linotype" w:eastAsia="Palatino Linotype" w:hAnsi="Palatino Linotype" w:cs="Palatino Linotype"/>
          <w:color w:val="000000" w:themeColor="text1"/>
        </w:rPr>
      </w:pPr>
    </w:p>
    <w:p w:rsidR="00420EBD" w:rsidRPr="002D4122" w:rsidRDefault="00420EBD" w:rsidP="00C27A98">
      <w:pPr>
        <w:spacing w:line="360" w:lineRule="auto"/>
        <w:jc w:val="both"/>
        <w:rPr>
          <w:rFonts w:ascii="Palatino Linotype" w:eastAsia="Palatino Linotype" w:hAnsi="Palatino Linotype" w:cs="Palatino Linotype"/>
          <w:color w:val="000000" w:themeColor="text1"/>
        </w:rPr>
      </w:pPr>
      <w:r w:rsidRPr="002D4122">
        <w:rPr>
          <w:rFonts w:ascii="Palatino Linotype" w:eastAsia="Palatino Linotype" w:hAnsi="Palatino Linotype" w:cs="Palatino Linotype"/>
          <w:b/>
          <w:color w:val="000000" w:themeColor="text1"/>
        </w:rPr>
        <w:t xml:space="preserve">SEGUNDO. </w:t>
      </w:r>
      <w:r w:rsidRPr="002D4122">
        <w:rPr>
          <w:rFonts w:ascii="Palatino Linotype" w:eastAsia="Palatino Linotype" w:hAnsi="Palatino Linotype" w:cs="Palatino Linotype"/>
          <w:color w:val="000000" w:themeColor="text1"/>
        </w:rPr>
        <w:t xml:space="preserve">Se </w:t>
      </w:r>
      <w:r w:rsidRPr="002D4122">
        <w:rPr>
          <w:rFonts w:ascii="Palatino Linotype" w:eastAsia="Palatino Linotype" w:hAnsi="Palatino Linotype" w:cs="Palatino Linotype"/>
          <w:b/>
          <w:color w:val="000000" w:themeColor="text1"/>
        </w:rPr>
        <w:t>REVOCA</w:t>
      </w:r>
      <w:r w:rsidR="008D4519" w:rsidRPr="002D4122">
        <w:rPr>
          <w:rFonts w:ascii="Palatino Linotype" w:eastAsia="Palatino Linotype" w:hAnsi="Palatino Linotype" w:cs="Palatino Linotype"/>
          <w:b/>
          <w:color w:val="000000" w:themeColor="text1"/>
        </w:rPr>
        <w:t>N</w:t>
      </w:r>
      <w:r w:rsidRPr="002D4122">
        <w:rPr>
          <w:rFonts w:ascii="Palatino Linotype" w:eastAsia="Palatino Linotype" w:hAnsi="Palatino Linotype" w:cs="Palatino Linotype"/>
          <w:b/>
          <w:color w:val="000000" w:themeColor="text1"/>
        </w:rPr>
        <w:t xml:space="preserve"> </w:t>
      </w:r>
      <w:r w:rsidRPr="002D4122">
        <w:rPr>
          <w:rFonts w:ascii="Palatino Linotype" w:eastAsia="Palatino Linotype" w:hAnsi="Palatino Linotype" w:cs="Palatino Linotype"/>
          <w:color w:val="000000" w:themeColor="text1"/>
        </w:rPr>
        <w:t>la</w:t>
      </w:r>
      <w:r w:rsidR="008D4519" w:rsidRPr="002D4122">
        <w:rPr>
          <w:rFonts w:ascii="Palatino Linotype" w:eastAsia="Palatino Linotype" w:hAnsi="Palatino Linotype" w:cs="Palatino Linotype"/>
          <w:color w:val="000000" w:themeColor="text1"/>
        </w:rPr>
        <w:t>s</w:t>
      </w:r>
      <w:r w:rsidRPr="002D4122">
        <w:rPr>
          <w:rFonts w:ascii="Palatino Linotype" w:eastAsia="Palatino Linotype" w:hAnsi="Palatino Linotype" w:cs="Palatino Linotype"/>
          <w:color w:val="000000" w:themeColor="text1"/>
        </w:rPr>
        <w:t xml:space="preserve"> respuesta</w:t>
      </w:r>
      <w:r w:rsidR="008D4519" w:rsidRPr="002D4122">
        <w:rPr>
          <w:rFonts w:ascii="Palatino Linotype" w:eastAsia="Palatino Linotype" w:hAnsi="Palatino Linotype" w:cs="Palatino Linotype"/>
          <w:color w:val="000000" w:themeColor="text1"/>
        </w:rPr>
        <w:t>s</w:t>
      </w:r>
      <w:r w:rsidRPr="002D4122">
        <w:rPr>
          <w:rFonts w:ascii="Palatino Linotype" w:eastAsia="Palatino Linotype" w:hAnsi="Palatino Linotype" w:cs="Palatino Linotype"/>
          <w:color w:val="000000" w:themeColor="text1"/>
        </w:rPr>
        <w:t xml:space="preserve"> emitida</w:t>
      </w:r>
      <w:r w:rsidR="008D4519" w:rsidRPr="002D4122">
        <w:rPr>
          <w:rFonts w:ascii="Palatino Linotype" w:eastAsia="Palatino Linotype" w:hAnsi="Palatino Linotype" w:cs="Palatino Linotype"/>
          <w:color w:val="000000" w:themeColor="text1"/>
        </w:rPr>
        <w:t>s</w:t>
      </w:r>
      <w:r w:rsidRPr="002D4122">
        <w:rPr>
          <w:rFonts w:ascii="Palatino Linotype" w:eastAsia="Palatino Linotype" w:hAnsi="Palatino Linotype" w:cs="Palatino Linotype"/>
          <w:color w:val="000000" w:themeColor="text1"/>
        </w:rPr>
        <w:t xml:space="preserve"> por el </w:t>
      </w:r>
      <w:r w:rsidR="008D4519" w:rsidRPr="002D4122">
        <w:rPr>
          <w:rFonts w:ascii="Palatino Linotype" w:eastAsia="Palatino Linotype" w:hAnsi="Palatino Linotype" w:cs="Palatino Linotype"/>
          <w:b/>
          <w:color w:val="000000" w:themeColor="text1"/>
        </w:rPr>
        <w:t>Ayuntamiento de Cuautitlán Izcalli</w:t>
      </w:r>
      <w:r w:rsidRPr="002D4122">
        <w:rPr>
          <w:rFonts w:ascii="Palatino Linotype" w:eastAsia="Palatino Linotype" w:hAnsi="Palatino Linotype" w:cs="Palatino Linotype"/>
          <w:b/>
          <w:color w:val="000000" w:themeColor="text1"/>
        </w:rPr>
        <w:t xml:space="preserve"> </w:t>
      </w:r>
      <w:r w:rsidRPr="002D4122">
        <w:rPr>
          <w:rFonts w:ascii="Palatino Linotype" w:eastAsia="Palatino Linotype" w:hAnsi="Palatino Linotype" w:cs="Palatino Linotype"/>
          <w:color w:val="000000" w:themeColor="text1"/>
        </w:rPr>
        <w:t xml:space="preserve">y se </w:t>
      </w:r>
      <w:r w:rsidRPr="002D4122">
        <w:rPr>
          <w:rFonts w:ascii="Palatino Linotype" w:eastAsia="Palatino Linotype" w:hAnsi="Palatino Linotype" w:cs="Palatino Linotype"/>
          <w:b/>
          <w:color w:val="000000" w:themeColor="text1"/>
        </w:rPr>
        <w:t>ORDENA</w:t>
      </w:r>
      <w:r w:rsidRPr="002D4122">
        <w:rPr>
          <w:rFonts w:ascii="Palatino Linotype" w:eastAsia="Palatino Linotype" w:hAnsi="Palatino Linotype" w:cs="Palatino Linotype"/>
          <w:color w:val="000000" w:themeColor="text1"/>
        </w:rPr>
        <w:t xml:space="preserve"> entregar vía Sistema de Acceso a la Información Mexiquense </w:t>
      </w:r>
      <w:r w:rsidRPr="002D4122">
        <w:rPr>
          <w:rFonts w:ascii="Palatino Linotype" w:eastAsia="Palatino Linotype" w:hAnsi="Palatino Linotype" w:cs="Palatino Linotype"/>
          <w:b/>
          <w:color w:val="000000" w:themeColor="text1"/>
        </w:rPr>
        <w:t>(SAIMEX),</w:t>
      </w:r>
      <w:r w:rsidR="007304DF" w:rsidRPr="002D4122">
        <w:rPr>
          <w:rFonts w:ascii="Palatino Linotype" w:eastAsia="Palatino Linotype" w:hAnsi="Palatino Linotype" w:cs="Palatino Linotype"/>
          <w:b/>
          <w:color w:val="000000" w:themeColor="text1"/>
        </w:rPr>
        <w:t xml:space="preserve"> </w:t>
      </w:r>
      <w:r w:rsidR="007304DF" w:rsidRPr="002D4122">
        <w:rPr>
          <w:rFonts w:ascii="Palatino Linotype" w:eastAsia="Palatino Linotype" w:hAnsi="Palatino Linotype" w:cs="Palatino Linotype"/>
          <w:color w:val="000000" w:themeColor="text1"/>
        </w:rPr>
        <w:t>previa búsqueda exhaustiva y razonable</w:t>
      </w:r>
      <w:r w:rsidR="007304DF" w:rsidRPr="002D4122">
        <w:rPr>
          <w:rFonts w:ascii="Palatino Linotype" w:eastAsia="Palatino Linotype" w:hAnsi="Palatino Linotype" w:cs="Palatino Linotype"/>
          <w:b/>
          <w:color w:val="000000" w:themeColor="text1"/>
        </w:rPr>
        <w:t xml:space="preserve">, </w:t>
      </w:r>
      <w:r w:rsidRPr="002D4122">
        <w:rPr>
          <w:rFonts w:ascii="Palatino Linotype" w:eastAsia="Palatino Linotype" w:hAnsi="Palatino Linotype" w:cs="Palatino Linotype"/>
          <w:color w:val="000000" w:themeColor="text1"/>
        </w:rPr>
        <w:t>de ser procedente en versión pública</w:t>
      </w:r>
      <w:r w:rsidRPr="002D4122">
        <w:rPr>
          <w:rFonts w:ascii="Palatino Linotype" w:eastAsia="Palatino Linotype" w:hAnsi="Palatino Linotype" w:cs="Palatino Linotype"/>
          <w:b/>
          <w:color w:val="000000" w:themeColor="text1"/>
        </w:rPr>
        <w:t xml:space="preserve">, </w:t>
      </w:r>
      <w:r w:rsidRPr="002D4122">
        <w:rPr>
          <w:rFonts w:ascii="Palatino Linotype" w:eastAsia="Palatino Linotype" w:hAnsi="Palatino Linotype" w:cs="Palatino Linotype"/>
          <w:color w:val="000000" w:themeColor="text1"/>
        </w:rPr>
        <w:t>la siguiente información:</w:t>
      </w:r>
    </w:p>
    <w:p w:rsidR="00420EBD" w:rsidRPr="002D4122" w:rsidRDefault="00420EBD" w:rsidP="00C27A98">
      <w:pPr>
        <w:pBdr>
          <w:top w:val="nil"/>
          <w:left w:val="nil"/>
          <w:bottom w:val="nil"/>
          <w:right w:val="nil"/>
          <w:between w:val="nil"/>
        </w:pBdr>
        <w:tabs>
          <w:tab w:val="left" w:pos="993"/>
        </w:tabs>
        <w:spacing w:line="360" w:lineRule="auto"/>
        <w:jc w:val="both"/>
        <w:rPr>
          <w:rFonts w:ascii="Palatino Linotype" w:eastAsia="Palatino Linotype" w:hAnsi="Palatino Linotype" w:cs="Palatino Linotype"/>
          <w:color w:val="000000" w:themeColor="text1"/>
        </w:rPr>
      </w:pPr>
    </w:p>
    <w:p w:rsidR="00420EBD" w:rsidRPr="002D4122" w:rsidRDefault="008D4519" w:rsidP="00C27A98">
      <w:pPr>
        <w:numPr>
          <w:ilvl w:val="1"/>
          <w:numId w:val="1"/>
        </w:numPr>
        <w:pBdr>
          <w:top w:val="nil"/>
          <w:left w:val="nil"/>
          <w:bottom w:val="nil"/>
          <w:right w:val="nil"/>
          <w:between w:val="nil"/>
        </w:pBdr>
        <w:tabs>
          <w:tab w:val="left" w:pos="993"/>
        </w:tabs>
        <w:spacing w:line="360" w:lineRule="auto"/>
        <w:ind w:left="0" w:firstLine="0"/>
        <w:contextualSpacing/>
        <w:jc w:val="both"/>
        <w:rPr>
          <w:rFonts w:ascii="Palatino Linotype" w:eastAsia="Palatino Linotype" w:hAnsi="Palatino Linotype" w:cs="Palatino Linotype"/>
          <w:b/>
          <w:color w:val="000000" w:themeColor="text1"/>
        </w:rPr>
      </w:pPr>
      <w:r w:rsidRPr="002D4122">
        <w:rPr>
          <w:rFonts w:ascii="Palatino Linotype" w:hAnsi="Palatino Linotype"/>
          <w:b/>
          <w:color w:val="000000" w:themeColor="text1"/>
        </w:rPr>
        <w:t xml:space="preserve">Contratos celebrados por el Ayuntamiento de Cuautitlán Izcalli del periodo correspondiente del primero de enero al </w:t>
      </w:r>
      <w:r w:rsidR="007304DF" w:rsidRPr="002D4122">
        <w:rPr>
          <w:rFonts w:ascii="Palatino Linotype" w:hAnsi="Palatino Linotype"/>
          <w:b/>
          <w:color w:val="000000" w:themeColor="text1"/>
        </w:rPr>
        <w:t xml:space="preserve">once de abril de dos mil veinticinco. </w:t>
      </w:r>
    </w:p>
    <w:p w:rsidR="00420EBD" w:rsidRPr="002D4122" w:rsidRDefault="00420EBD" w:rsidP="00C27A98">
      <w:pPr>
        <w:pBdr>
          <w:top w:val="nil"/>
          <w:left w:val="nil"/>
          <w:bottom w:val="nil"/>
          <w:right w:val="nil"/>
          <w:between w:val="nil"/>
        </w:pBdr>
        <w:tabs>
          <w:tab w:val="left" w:pos="993"/>
        </w:tabs>
        <w:spacing w:line="360" w:lineRule="auto"/>
        <w:contextualSpacing/>
        <w:jc w:val="both"/>
        <w:rPr>
          <w:rFonts w:ascii="Palatino Linotype" w:eastAsia="Palatino Linotype" w:hAnsi="Palatino Linotype" w:cs="Palatino Linotype"/>
          <w:b/>
          <w:color w:val="000000" w:themeColor="text1"/>
        </w:rPr>
      </w:pPr>
    </w:p>
    <w:p w:rsidR="00420EBD" w:rsidRPr="002D4122" w:rsidRDefault="00420EBD" w:rsidP="00C27A98">
      <w:pPr>
        <w:tabs>
          <w:tab w:val="left" w:pos="8080"/>
        </w:tabs>
        <w:spacing w:line="360" w:lineRule="auto"/>
        <w:contextualSpacing/>
        <w:jc w:val="both"/>
        <w:rPr>
          <w:rFonts w:ascii="Palatino Linotype" w:hAnsi="Palatino Linotype"/>
          <w:b/>
          <w:color w:val="000000" w:themeColor="text1"/>
        </w:rPr>
      </w:pPr>
      <w:r w:rsidRPr="002D4122">
        <w:rPr>
          <w:rFonts w:ascii="Palatino Linotype" w:hAnsi="Palatino Linotype"/>
          <w:color w:val="000000" w:themeColor="text1"/>
        </w:rPr>
        <w:t>Par</w:t>
      </w:r>
      <w:bookmarkStart w:id="10" w:name="_GoBack"/>
      <w:bookmarkEnd w:id="10"/>
      <w:r w:rsidRPr="002D4122">
        <w:rPr>
          <w:rFonts w:ascii="Palatino Linotype" w:hAnsi="Palatino Linotype"/>
          <w:color w:val="000000" w:themeColor="text1"/>
        </w:rPr>
        <w:t xml:space="preserve">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2D4122">
        <w:rPr>
          <w:rFonts w:ascii="Palatino Linotype" w:hAnsi="Palatino Linotype"/>
          <w:b/>
          <w:color w:val="000000" w:themeColor="text1"/>
        </w:rPr>
        <w:t>EL RECURRENTE.</w:t>
      </w:r>
    </w:p>
    <w:p w:rsidR="00420EBD" w:rsidRPr="002D4122" w:rsidRDefault="00420EBD" w:rsidP="00C27A98">
      <w:pPr>
        <w:tabs>
          <w:tab w:val="left" w:pos="8080"/>
        </w:tabs>
        <w:spacing w:line="360" w:lineRule="auto"/>
        <w:contextualSpacing/>
        <w:jc w:val="both"/>
        <w:rPr>
          <w:rFonts w:ascii="Palatino Linotype" w:hAnsi="Palatino Linotype"/>
          <w:b/>
          <w:color w:val="000000" w:themeColor="text1"/>
        </w:rPr>
      </w:pPr>
    </w:p>
    <w:p w:rsidR="00420EBD" w:rsidRPr="002D4122" w:rsidRDefault="00420EBD" w:rsidP="00C27A98">
      <w:pPr>
        <w:spacing w:line="360" w:lineRule="auto"/>
        <w:jc w:val="both"/>
        <w:rPr>
          <w:rFonts w:ascii="Palatino Linotype" w:eastAsia="Palatino Linotype" w:hAnsi="Palatino Linotype" w:cs="Palatino Linotype"/>
          <w:color w:val="000000" w:themeColor="text1"/>
        </w:rPr>
      </w:pPr>
      <w:r w:rsidRPr="002D4122">
        <w:rPr>
          <w:rFonts w:ascii="Palatino Linotype" w:eastAsia="Palatino Linotype" w:hAnsi="Palatino Linotype" w:cs="Palatino Linotype"/>
          <w:color w:val="000000" w:themeColor="text1"/>
        </w:rPr>
        <w:lastRenderedPageBreak/>
        <w:t xml:space="preserve">Para el caso de que la información que se ordena entregar, </w:t>
      </w:r>
      <w:r w:rsidR="008D4519" w:rsidRPr="002D4122">
        <w:rPr>
          <w:rFonts w:ascii="Palatino Linotype" w:eastAsia="Palatino Linotype" w:hAnsi="Palatino Linotype" w:cs="Palatino Linotype"/>
          <w:color w:val="000000" w:themeColor="text1"/>
        </w:rPr>
        <w:t xml:space="preserve">no obre en los archivos del Sujeto Obligado porque no se haya generado, </w:t>
      </w:r>
      <w:r w:rsidRPr="002D4122">
        <w:rPr>
          <w:rFonts w:ascii="Palatino Linotype" w:eastAsia="Palatino Linotype" w:hAnsi="Palatino Linotype" w:cs="Palatino Linotype"/>
          <w:color w:val="000000" w:themeColor="text1"/>
        </w:rPr>
        <w:t xml:space="preserve">bastará con que así se haga del conocimiento del Particular en términos del artículo 19, párrafo segundo, de la Ley de Transparencia y Acceso a la Información Pública del Estado de México y Municipios, para tenerse por colmado dicho requerimiento. </w:t>
      </w:r>
    </w:p>
    <w:p w:rsidR="00420EBD" w:rsidRPr="002D4122" w:rsidRDefault="00420EBD" w:rsidP="00C27A98">
      <w:pPr>
        <w:spacing w:line="360" w:lineRule="auto"/>
        <w:jc w:val="both"/>
        <w:rPr>
          <w:rFonts w:ascii="Palatino Linotype" w:eastAsia="Palatino Linotype" w:hAnsi="Palatino Linotype" w:cs="Palatino Linotype"/>
          <w:b/>
          <w:color w:val="000000" w:themeColor="text1"/>
        </w:rPr>
      </w:pPr>
    </w:p>
    <w:p w:rsidR="00420EBD" w:rsidRPr="002D4122" w:rsidRDefault="00420EBD" w:rsidP="00C27A98">
      <w:pPr>
        <w:tabs>
          <w:tab w:val="left" w:pos="8080"/>
        </w:tabs>
        <w:spacing w:line="360" w:lineRule="auto"/>
        <w:jc w:val="both"/>
        <w:rPr>
          <w:rFonts w:ascii="Palatino Linotype" w:eastAsia="Palatino Linotype" w:hAnsi="Palatino Linotype" w:cs="Palatino Linotype"/>
          <w:color w:val="000000" w:themeColor="text1"/>
        </w:rPr>
      </w:pPr>
      <w:r w:rsidRPr="002D4122">
        <w:rPr>
          <w:rFonts w:ascii="Palatino Linotype" w:eastAsia="Palatino Linotype" w:hAnsi="Palatino Linotype" w:cs="Palatino Linotype"/>
          <w:b/>
          <w:color w:val="000000" w:themeColor="text1"/>
        </w:rPr>
        <w:t xml:space="preserve">TERCERO. Notifíquese </w:t>
      </w:r>
      <w:r w:rsidRPr="002D4122">
        <w:rPr>
          <w:rFonts w:ascii="Palatino Linotype" w:eastAsia="Palatino Linotype" w:hAnsi="Palatino Linotype" w:cs="Palatino Linotype"/>
          <w:color w:val="000000" w:themeColor="text1"/>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2D4122">
        <w:rPr>
          <w:rFonts w:ascii="Palatino Linotype" w:eastAsia="Palatino Linotype" w:hAnsi="Palatino Linotype" w:cs="Palatino Linotype"/>
          <w:b/>
          <w:color w:val="000000" w:themeColor="text1"/>
        </w:rPr>
        <w:t>dé cumplimiento a lo ordenado dentro del</w:t>
      </w:r>
      <w:r w:rsidRPr="002D4122">
        <w:rPr>
          <w:rFonts w:ascii="Palatino Linotype" w:eastAsia="Palatino Linotype" w:hAnsi="Palatino Linotype" w:cs="Palatino Linotype"/>
          <w:color w:val="000000" w:themeColor="text1"/>
        </w:rPr>
        <w:t xml:space="preserve"> </w:t>
      </w:r>
      <w:r w:rsidRPr="002D4122">
        <w:rPr>
          <w:rFonts w:ascii="Palatino Linotype" w:eastAsia="Palatino Linotype" w:hAnsi="Palatino Linotype" w:cs="Palatino Linotype"/>
          <w:b/>
          <w:color w:val="000000" w:themeColor="text1"/>
        </w:rPr>
        <w:t>plazo de diez días hábiles</w:t>
      </w:r>
      <w:r w:rsidRPr="002D4122">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420EBD" w:rsidRPr="002D4122" w:rsidRDefault="00420EBD" w:rsidP="00C27A98">
      <w:pPr>
        <w:tabs>
          <w:tab w:val="left" w:pos="8080"/>
        </w:tabs>
        <w:spacing w:line="360" w:lineRule="auto"/>
        <w:jc w:val="both"/>
        <w:rPr>
          <w:rFonts w:ascii="Palatino Linotype" w:eastAsia="Palatino Linotype" w:hAnsi="Palatino Linotype" w:cs="Palatino Linotype"/>
          <w:color w:val="000000" w:themeColor="text1"/>
        </w:rPr>
      </w:pPr>
    </w:p>
    <w:p w:rsidR="00420EBD" w:rsidRPr="002D4122" w:rsidRDefault="00420EBD" w:rsidP="00C27A98">
      <w:pPr>
        <w:shd w:val="clear" w:color="auto" w:fill="FFFFFF"/>
        <w:spacing w:line="360" w:lineRule="auto"/>
        <w:jc w:val="both"/>
        <w:rPr>
          <w:rFonts w:ascii="Palatino Linotype" w:eastAsia="Palatino Linotype" w:hAnsi="Palatino Linotype" w:cs="Palatino Linotype"/>
          <w:color w:val="000000" w:themeColor="text1"/>
        </w:rPr>
      </w:pPr>
      <w:r w:rsidRPr="002D4122">
        <w:rPr>
          <w:rFonts w:ascii="Palatino Linotype" w:eastAsia="Palatino Linotype" w:hAnsi="Palatino Linotype" w:cs="Palatino Linotype"/>
          <w:b/>
          <w:color w:val="000000" w:themeColor="text1"/>
        </w:rPr>
        <w:t>CUARTO. Notifíquese al RECURRENTE</w:t>
      </w:r>
      <w:r w:rsidRPr="002D4122">
        <w:rPr>
          <w:rFonts w:ascii="Palatino Linotype" w:eastAsia="Palatino Linotype" w:hAnsi="Palatino Linotype" w:cs="Palatino Linotype"/>
          <w:color w:val="000000" w:themeColor="text1"/>
        </w:rPr>
        <w:t xml:space="preserve"> la presente resolución vía SAIMEX.</w:t>
      </w:r>
    </w:p>
    <w:p w:rsidR="00420EBD" w:rsidRPr="002D4122" w:rsidRDefault="00420EBD" w:rsidP="00C27A98">
      <w:pPr>
        <w:shd w:val="clear" w:color="auto" w:fill="FFFFFF"/>
        <w:spacing w:line="360" w:lineRule="auto"/>
        <w:jc w:val="both"/>
        <w:rPr>
          <w:rFonts w:ascii="Palatino Linotype" w:eastAsia="Palatino Linotype" w:hAnsi="Palatino Linotype" w:cs="Palatino Linotype"/>
          <w:b/>
          <w:color w:val="000000" w:themeColor="text1"/>
        </w:rPr>
      </w:pPr>
    </w:p>
    <w:p w:rsidR="00420EBD" w:rsidRPr="002D4122" w:rsidRDefault="00420EBD" w:rsidP="00C27A98">
      <w:pPr>
        <w:spacing w:line="360" w:lineRule="auto"/>
        <w:jc w:val="both"/>
        <w:rPr>
          <w:rFonts w:ascii="Palatino Linotype" w:eastAsia="Palatino Linotype" w:hAnsi="Palatino Linotype" w:cs="Palatino Linotype"/>
          <w:color w:val="000000" w:themeColor="text1"/>
        </w:rPr>
      </w:pPr>
      <w:r w:rsidRPr="002D4122">
        <w:rPr>
          <w:rFonts w:ascii="Palatino Linotype" w:eastAsia="Palatino Linotype" w:hAnsi="Palatino Linotype" w:cs="Palatino Linotype"/>
          <w:b/>
          <w:color w:val="000000" w:themeColor="text1"/>
        </w:rPr>
        <w:t>QUINTO.</w:t>
      </w:r>
      <w:r w:rsidRPr="002D4122">
        <w:rPr>
          <w:rFonts w:ascii="Palatino Linotype" w:eastAsia="Palatino Linotype" w:hAnsi="Palatino Linotype" w:cs="Palatino Linotype"/>
          <w:color w:val="000000" w:themeColor="text1"/>
        </w:rPr>
        <w:t xml:space="preserve"> Se hace del conocimiento del </w:t>
      </w:r>
      <w:r w:rsidRPr="002D4122">
        <w:rPr>
          <w:rFonts w:ascii="Palatino Linotype" w:eastAsia="Palatino Linotype" w:hAnsi="Palatino Linotype" w:cs="Palatino Linotype"/>
          <w:b/>
          <w:color w:val="000000" w:themeColor="text1"/>
        </w:rPr>
        <w:t>RECURRENTE</w:t>
      </w:r>
      <w:r w:rsidRPr="002D4122">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w:t>
      </w:r>
      <w:r w:rsidRPr="002D4122">
        <w:rPr>
          <w:rFonts w:ascii="Palatino Linotype" w:eastAsia="Palatino Linotype" w:hAnsi="Palatino Linotype" w:cs="Palatino Linotype"/>
          <w:color w:val="000000" w:themeColor="text1"/>
        </w:rPr>
        <w:lastRenderedPageBreak/>
        <w:t>le cause algún perjuicio podrá impugnarla vía juicio de amparo en los términos de las leyes aplicables.</w:t>
      </w:r>
    </w:p>
    <w:p w:rsidR="00420EBD" w:rsidRPr="002D4122" w:rsidRDefault="00420EBD" w:rsidP="00C27A98">
      <w:pPr>
        <w:spacing w:line="360" w:lineRule="auto"/>
        <w:jc w:val="both"/>
        <w:rPr>
          <w:rFonts w:ascii="Palatino Linotype" w:eastAsia="Palatino Linotype" w:hAnsi="Palatino Linotype" w:cs="Palatino Linotype"/>
          <w:color w:val="000000" w:themeColor="text1"/>
        </w:rPr>
      </w:pPr>
    </w:p>
    <w:p w:rsidR="00420EBD" w:rsidRPr="002D4122" w:rsidRDefault="00420EBD" w:rsidP="00C27A98">
      <w:pPr>
        <w:spacing w:line="360" w:lineRule="auto"/>
        <w:jc w:val="both"/>
        <w:rPr>
          <w:rFonts w:ascii="Palatino Linotype" w:eastAsia="Palatino Linotype" w:hAnsi="Palatino Linotype" w:cs="Palatino Linotype"/>
          <w:color w:val="000000" w:themeColor="text1"/>
        </w:rPr>
      </w:pPr>
      <w:r w:rsidRPr="002D4122">
        <w:rPr>
          <w:rFonts w:ascii="Palatino Linotype" w:eastAsia="Palatino Linotype" w:hAnsi="Palatino Linotype" w:cs="Palatino Linotype"/>
          <w:b/>
          <w:color w:val="000000" w:themeColor="text1"/>
        </w:rPr>
        <w:t xml:space="preserve">SEXTO. </w:t>
      </w:r>
      <w:r w:rsidRPr="002D4122">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E86C09" w:rsidRPr="002D4122" w:rsidRDefault="00E86C09" w:rsidP="00C27A98">
      <w:pPr>
        <w:spacing w:line="360" w:lineRule="auto"/>
        <w:jc w:val="both"/>
        <w:rPr>
          <w:rFonts w:ascii="Palatino Linotype" w:eastAsia="Palatino Linotype" w:hAnsi="Palatino Linotype" w:cs="Palatino Linotype"/>
          <w:color w:val="000000" w:themeColor="text1"/>
        </w:rPr>
      </w:pPr>
    </w:p>
    <w:p w:rsidR="00E86C09" w:rsidRPr="002D4122" w:rsidRDefault="00E86C09" w:rsidP="00C27A98">
      <w:pPr>
        <w:spacing w:line="360" w:lineRule="auto"/>
        <w:jc w:val="both"/>
        <w:rPr>
          <w:rFonts w:ascii="Palatino Linotype" w:eastAsia="Palatino Linotype" w:hAnsi="Palatino Linotype" w:cs="Palatino Linotype"/>
          <w:color w:val="000000" w:themeColor="text1"/>
        </w:rPr>
      </w:pPr>
    </w:p>
    <w:p w:rsidR="0003185F" w:rsidRPr="004C40F6" w:rsidRDefault="002D4122" w:rsidP="00C27A98">
      <w:pPr>
        <w:spacing w:before="240" w:after="240" w:line="360" w:lineRule="auto"/>
        <w:jc w:val="both"/>
        <w:rPr>
          <w:rFonts w:ascii="Palatino Linotype" w:eastAsia="Palatino Linotype" w:hAnsi="Palatino Linotype" w:cs="Palatino Linotype"/>
          <w:color w:val="000000" w:themeColor="text1"/>
        </w:rPr>
      </w:pPr>
      <w:r w:rsidRPr="002D412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Y GUADALUPE RAMÍREZ PEÑA; EN LA DÉCIMA OCTAVA SESIÓN ORDINARIA, CELEBRADA EL VEINTIUNO (21) DE MAYO DE DOS MIL VEINTICINCO, ANTE EL SECRETARIO TÉCNICO DEL PLENO ALEXIS TAPIA RAMÍREZ</w:t>
      </w:r>
      <w:r w:rsidR="00E86C09" w:rsidRPr="002D4122">
        <w:rPr>
          <w:rFonts w:ascii="Palatino Linotype" w:eastAsia="Palatino Linotype" w:hAnsi="Palatino Linotype" w:cs="Palatino Linotype"/>
          <w:color w:val="000000" w:themeColor="text1"/>
        </w:rPr>
        <w:t>.</w:t>
      </w:r>
    </w:p>
    <w:p w:rsidR="0003185F" w:rsidRPr="004C40F6" w:rsidRDefault="0003185F" w:rsidP="00C27A98">
      <w:pPr>
        <w:spacing w:line="360" w:lineRule="auto"/>
        <w:rPr>
          <w:rFonts w:ascii="Palatino Linotype" w:eastAsia="Palatino Linotype" w:hAnsi="Palatino Linotype" w:cs="Palatino Linotype"/>
          <w:color w:val="000000" w:themeColor="text1"/>
        </w:rPr>
      </w:pPr>
    </w:p>
    <w:p w:rsidR="0003185F" w:rsidRPr="004C40F6" w:rsidRDefault="0003185F" w:rsidP="00C27A98">
      <w:pPr>
        <w:spacing w:line="360" w:lineRule="auto"/>
        <w:jc w:val="both"/>
        <w:rPr>
          <w:rFonts w:ascii="Palatino Linotype" w:eastAsia="Palatino Linotype" w:hAnsi="Palatino Linotype" w:cs="Palatino Linotype"/>
          <w:color w:val="000000" w:themeColor="text1"/>
        </w:rPr>
      </w:pPr>
    </w:p>
    <w:p w:rsidR="0003185F" w:rsidRPr="004C40F6" w:rsidRDefault="0003185F" w:rsidP="00C27A98">
      <w:pPr>
        <w:spacing w:line="360" w:lineRule="auto"/>
        <w:jc w:val="both"/>
        <w:rPr>
          <w:rFonts w:ascii="Palatino Linotype" w:eastAsia="Palatino Linotype" w:hAnsi="Palatino Linotype" w:cs="Palatino Linotype"/>
          <w:color w:val="000000" w:themeColor="text1"/>
        </w:rPr>
      </w:pPr>
    </w:p>
    <w:p w:rsidR="0003185F" w:rsidRPr="004C40F6" w:rsidRDefault="0003185F" w:rsidP="00C27A98">
      <w:pPr>
        <w:spacing w:line="360" w:lineRule="auto"/>
        <w:jc w:val="both"/>
        <w:rPr>
          <w:rFonts w:ascii="Palatino Linotype" w:eastAsia="Palatino Linotype" w:hAnsi="Palatino Linotype" w:cs="Palatino Linotype"/>
          <w:color w:val="000000" w:themeColor="text1"/>
        </w:rPr>
      </w:pPr>
    </w:p>
    <w:p w:rsidR="0003185F" w:rsidRPr="004C40F6" w:rsidRDefault="0003185F" w:rsidP="00C27A98">
      <w:pPr>
        <w:spacing w:line="360" w:lineRule="auto"/>
        <w:jc w:val="both"/>
        <w:rPr>
          <w:rFonts w:ascii="Palatino Linotype" w:eastAsia="Palatino Linotype" w:hAnsi="Palatino Linotype" w:cs="Palatino Linotype"/>
          <w:color w:val="000000" w:themeColor="text1"/>
        </w:rPr>
      </w:pPr>
    </w:p>
    <w:p w:rsidR="0003185F" w:rsidRPr="004C40F6" w:rsidRDefault="0003185F" w:rsidP="00C27A98">
      <w:pPr>
        <w:spacing w:line="360" w:lineRule="auto"/>
        <w:jc w:val="both"/>
        <w:rPr>
          <w:rFonts w:ascii="Palatino Linotype" w:eastAsia="Palatino Linotype" w:hAnsi="Palatino Linotype" w:cs="Palatino Linotype"/>
          <w:color w:val="000000" w:themeColor="text1"/>
        </w:rPr>
      </w:pPr>
    </w:p>
    <w:p w:rsidR="0003185F" w:rsidRPr="004C40F6" w:rsidRDefault="0003185F" w:rsidP="00C27A98">
      <w:pPr>
        <w:spacing w:line="360" w:lineRule="auto"/>
        <w:jc w:val="both"/>
        <w:rPr>
          <w:rFonts w:ascii="Palatino Linotype" w:eastAsia="Palatino Linotype" w:hAnsi="Palatino Linotype" w:cs="Palatino Linotype"/>
          <w:color w:val="000000" w:themeColor="text1"/>
        </w:rPr>
      </w:pPr>
    </w:p>
    <w:p w:rsidR="0003185F" w:rsidRPr="004C40F6" w:rsidRDefault="0003185F" w:rsidP="00C27A98">
      <w:pPr>
        <w:spacing w:line="360" w:lineRule="auto"/>
        <w:jc w:val="both"/>
        <w:rPr>
          <w:rFonts w:ascii="Palatino Linotype" w:eastAsia="Palatino Linotype" w:hAnsi="Palatino Linotype" w:cs="Palatino Linotype"/>
          <w:color w:val="000000" w:themeColor="text1"/>
        </w:rPr>
      </w:pPr>
    </w:p>
    <w:p w:rsidR="0003185F" w:rsidRPr="004C40F6" w:rsidRDefault="0003185F" w:rsidP="00C27A98">
      <w:pPr>
        <w:spacing w:line="360" w:lineRule="auto"/>
        <w:jc w:val="both"/>
        <w:rPr>
          <w:rFonts w:ascii="Palatino Linotype" w:eastAsia="Palatino Linotype" w:hAnsi="Palatino Linotype" w:cs="Palatino Linotype"/>
          <w:color w:val="000000" w:themeColor="text1"/>
        </w:rPr>
      </w:pPr>
    </w:p>
    <w:p w:rsidR="0003185F" w:rsidRPr="004C40F6" w:rsidRDefault="0003185F" w:rsidP="00C27A98">
      <w:pPr>
        <w:spacing w:line="360" w:lineRule="auto"/>
        <w:jc w:val="both"/>
        <w:rPr>
          <w:rFonts w:ascii="Palatino Linotype" w:eastAsia="Palatino Linotype" w:hAnsi="Palatino Linotype" w:cs="Palatino Linotype"/>
          <w:color w:val="000000" w:themeColor="text1"/>
        </w:rPr>
      </w:pPr>
    </w:p>
    <w:p w:rsidR="0003185F" w:rsidRPr="004C40F6" w:rsidRDefault="0003185F" w:rsidP="00C27A98">
      <w:pPr>
        <w:spacing w:line="360" w:lineRule="auto"/>
        <w:jc w:val="both"/>
        <w:rPr>
          <w:rFonts w:ascii="Palatino Linotype" w:eastAsia="Palatino Linotype" w:hAnsi="Palatino Linotype" w:cs="Palatino Linotype"/>
          <w:color w:val="000000" w:themeColor="text1"/>
        </w:rPr>
      </w:pPr>
    </w:p>
    <w:p w:rsidR="0003185F" w:rsidRPr="004C40F6" w:rsidRDefault="0003185F" w:rsidP="00C27A98">
      <w:pPr>
        <w:spacing w:line="360" w:lineRule="auto"/>
        <w:jc w:val="both"/>
        <w:rPr>
          <w:rFonts w:ascii="Palatino Linotype" w:eastAsia="Palatino Linotype" w:hAnsi="Palatino Linotype" w:cs="Palatino Linotype"/>
          <w:color w:val="000000" w:themeColor="text1"/>
        </w:rPr>
      </w:pPr>
    </w:p>
    <w:p w:rsidR="0003185F" w:rsidRPr="004C40F6" w:rsidRDefault="0003185F" w:rsidP="00C27A98">
      <w:pPr>
        <w:spacing w:line="360" w:lineRule="auto"/>
        <w:jc w:val="both"/>
        <w:rPr>
          <w:rFonts w:ascii="Palatino Linotype" w:eastAsia="Palatino Linotype" w:hAnsi="Palatino Linotype" w:cs="Palatino Linotype"/>
          <w:color w:val="000000" w:themeColor="text1"/>
        </w:rPr>
      </w:pPr>
    </w:p>
    <w:p w:rsidR="0003185F" w:rsidRPr="004C40F6" w:rsidRDefault="0003185F" w:rsidP="00C27A98">
      <w:pPr>
        <w:spacing w:line="360" w:lineRule="auto"/>
        <w:jc w:val="both"/>
        <w:rPr>
          <w:rFonts w:ascii="Palatino Linotype" w:eastAsia="Palatino Linotype" w:hAnsi="Palatino Linotype" w:cs="Palatino Linotype"/>
          <w:color w:val="000000" w:themeColor="text1"/>
        </w:rPr>
      </w:pPr>
    </w:p>
    <w:p w:rsidR="0003185F" w:rsidRPr="004C40F6" w:rsidRDefault="0003185F" w:rsidP="00C27A98">
      <w:pPr>
        <w:spacing w:line="360" w:lineRule="auto"/>
        <w:rPr>
          <w:rFonts w:ascii="Palatino Linotype" w:eastAsia="Palatino Linotype" w:hAnsi="Palatino Linotype" w:cs="Palatino Linotype"/>
          <w:color w:val="000000" w:themeColor="text1"/>
        </w:rPr>
      </w:pPr>
    </w:p>
    <w:p w:rsidR="0003185F" w:rsidRPr="004C40F6" w:rsidRDefault="0003185F" w:rsidP="00C27A98">
      <w:pPr>
        <w:spacing w:line="360" w:lineRule="auto"/>
        <w:rPr>
          <w:rFonts w:ascii="Palatino Linotype" w:eastAsia="Palatino Linotype" w:hAnsi="Palatino Linotype" w:cs="Palatino Linotype"/>
          <w:color w:val="000000" w:themeColor="text1"/>
        </w:rPr>
      </w:pPr>
    </w:p>
    <w:p w:rsidR="0003185F" w:rsidRPr="004C40F6" w:rsidRDefault="0003185F" w:rsidP="00C27A98">
      <w:pPr>
        <w:spacing w:line="360" w:lineRule="auto"/>
        <w:rPr>
          <w:rFonts w:ascii="Palatino Linotype" w:eastAsia="Palatino Linotype" w:hAnsi="Palatino Linotype" w:cs="Palatino Linotype"/>
          <w:color w:val="000000" w:themeColor="text1"/>
        </w:rPr>
      </w:pPr>
    </w:p>
    <w:p w:rsidR="0003185F" w:rsidRPr="004C40F6" w:rsidRDefault="0003185F" w:rsidP="00C27A98">
      <w:pPr>
        <w:spacing w:line="360" w:lineRule="auto"/>
        <w:rPr>
          <w:rFonts w:ascii="Palatino Linotype" w:eastAsia="Palatino Linotype" w:hAnsi="Palatino Linotype" w:cs="Palatino Linotype"/>
          <w:color w:val="000000" w:themeColor="text1"/>
        </w:rPr>
      </w:pPr>
    </w:p>
    <w:p w:rsidR="0003185F" w:rsidRPr="004C40F6" w:rsidRDefault="0003185F" w:rsidP="00C27A98">
      <w:pPr>
        <w:spacing w:line="360" w:lineRule="auto"/>
        <w:rPr>
          <w:rFonts w:ascii="Palatino Linotype" w:eastAsia="Palatino Linotype" w:hAnsi="Palatino Linotype" w:cs="Palatino Linotype"/>
          <w:color w:val="000000" w:themeColor="text1"/>
        </w:rPr>
      </w:pPr>
    </w:p>
    <w:p w:rsidR="0003185F" w:rsidRPr="004C40F6" w:rsidRDefault="0003185F" w:rsidP="00C27A98">
      <w:pPr>
        <w:spacing w:line="360" w:lineRule="auto"/>
        <w:rPr>
          <w:rFonts w:ascii="Palatino Linotype" w:eastAsia="Palatino Linotype" w:hAnsi="Palatino Linotype" w:cs="Palatino Linotype"/>
          <w:color w:val="000000" w:themeColor="text1"/>
        </w:rPr>
      </w:pPr>
    </w:p>
    <w:p w:rsidR="0003185F" w:rsidRPr="004C40F6" w:rsidRDefault="0003185F" w:rsidP="00C27A98">
      <w:pPr>
        <w:spacing w:line="360" w:lineRule="auto"/>
        <w:rPr>
          <w:rFonts w:ascii="Palatino Linotype" w:eastAsia="Palatino Linotype" w:hAnsi="Palatino Linotype" w:cs="Palatino Linotype"/>
          <w:color w:val="000000" w:themeColor="text1"/>
        </w:rPr>
      </w:pPr>
    </w:p>
    <w:p w:rsidR="009D13F0" w:rsidRPr="004C40F6" w:rsidRDefault="009D13F0" w:rsidP="00C27A98">
      <w:pPr>
        <w:rPr>
          <w:rFonts w:ascii="Palatino Linotype" w:hAnsi="Palatino Linotype"/>
          <w:color w:val="000000" w:themeColor="text1"/>
        </w:rPr>
      </w:pPr>
    </w:p>
    <w:sectPr w:rsidR="009D13F0" w:rsidRPr="004C40F6" w:rsidSect="000564D1">
      <w:headerReference w:type="even" r:id="rId17"/>
      <w:headerReference w:type="default" r:id="rId18"/>
      <w:footerReference w:type="default" r:id="rId19"/>
      <w:headerReference w:type="first" r:id="rId20"/>
      <w:footerReference w:type="first" r:id="rId21"/>
      <w:pgSz w:w="12240" w:h="15840"/>
      <w:pgMar w:top="80" w:right="1325"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D2F" w:rsidRDefault="00603D2F" w:rsidP="0003185F">
      <w:r>
        <w:separator/>
      </w:r>
    </w:p>
  </w:endnote>
  <w:endnote w:type="continuationSeparator" w:id="0">
    <w:p w:rsidR="00603D2F" w:rsidRDefault="00603D2F" w:rsidP="00031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A14" w:rsidRDefault="001A7A14">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6F1DB2">
      <w:rPr>
        <w:b/>
        <w:noProof/>
        <w:color w:val="000000"/>
      </w:rPr>
      <w:t>49</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6F1DB2">
      <w:rPr>
        <w:b/>
        <w:noProof/>
        <w:color w:val="000000"/>
      </w:rPr>
      <w:t>49</w:t>
    </w:r>
    <w:r>
      <w:rPr>
        <w:b/>
        <w:color w:val="000000"/>
      </w:rPr>
      <w:fldChar w:fldCharType="end"/>
    </w:r>
  </w:p>
  <w:p w:rsidR="001A7A14" w:rsidRDefault="001A7A1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A14" w:rsidRDefault="001A7A14">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6F1DB2">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6F1DB2">
      <w:rPr>
        <w:b/>
        <w:noProof/>
        <w:color w:val="000000"/>
      </w:rPr>
      <w:t>49</w:t>
    </w:r>
    <w:r>
      <w:rPr>
        <w:b/>
        <w:color w:val="000000"/>
      </w:rPr>
      <w:fldChar w:fldCharType="end"/>
    </w:r>
  </w:p>
  <w:p w:rsidR="001A7A14" w:rsidRDefault="001A7A1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D2F" w:rsidRDefault="00603D2F" w:rsidP="0003185F">
      <w:r>
        <w:separator/>
      </w:r>
    </w:p>
  </w:footnote>
  <w:footnote w:type="continuationSeparator" w:id="0">
    <w:p w:rsidR="00603D2F" w:rsidRDefault="00603D2F" w:rsidP="0003185F">
      <w:r>
        <w:continuationSeparator/>
      </w:r>
    </w:p>
  </w:footnote>
  <w:footnote w:id="1">
    <w:p w:rsidR="001A7A14" w:rsidRDefault="001A7A14" w:rsidP="00B172A3">
      <w:pPr>
        <w:pBdr>
          <w:top w:val="nil"/>
          <w:left w:val="nil"/>
          <w:bottom w:val="nil"/>
          <w:right w:val="nil"/>
          <w:between w:val="nil"/>
        </w:pBdr>
        <w:rPr>
          <w:rFonts w:ascii="Calibri" w:eastAsia="Calibri" w:hAnsi="Calibri" w:cs="Calibri"/>
          <w:color w:val="000000"/>
        </w:rPr>
      </w:pPr>
      <w:r>
        <w:rPr>
          <w:vertAlign w:val="superscript"/>
        </w:rPr>
        <w:footnoteRef/>
      </w:r>
      <w:r>
        <w:rPr>
          <w:rFonts w:ascii="Calibri" w:eastAsia="Calibri" w:hAnsi="Calibri" w:cs="Calibri"/>
          <w:color w:val="000000"/>
        </w:rPr>
        <w:t xml:space="preserve"> Artículo 150. Ley de Transparencia y Acceso a la Información Pública del Estado de México y Municipios.</w:t>
      </w:r>
    </w:p>
    <w:p w:rsidR="001A7A14" w:rsidRDefault="001A7A14" w:rsidP="00B172A3">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Artículo 151. Ibídem.</w:t>
      </w:r>
    </w:p>
  </w:footnote>
  <w:footnote w:id="2">
    <w:p w:rsidR="001A7A14" w:rsidRDefault="001A7A14" w:rsidP="00B172A3">
      <w:pPr>
        <w:pBdr>
          <w:top w:val="nil"/>
          <w:left w:val="nil"/>
          <w:bottom w:val="nil"/>
          <w:right w:val="nil"/>
          <w:between w:val="nil"/>
        </w:pBdr>
        <w:rPr>
          <w:rFonts w:ascii="Calibri" w:eastAsia="Calibri" w:hAnsi="Calibri" w:cs="Calibri"/>
          <w:color w:val="000000"/>
        </w:rPr>
      </w:pPr>
      <w:r>
        <w:rPr>
          <w:vertAlign w:val="superscript"/>
        </w:rPr>
        <w:footnoteRef/>
      </w:r>
      <w:r>
        <w:rPr>
          <w:rFonts w:ascii="Calibri" w:eastAsia="Calibri" w:hAnsi="Calibri" w:cs="Calibri"/>
          <w:color w:val="000000"/>
        </w:rP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A14" w:rsidRDefault="001A7A14">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0;margin-top:0;width:589.8pt;height:768pt;z-index:-25165516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A14" w:rsidRDefault="001A7A14">
    <w:pPr>
      <w:widowControl w:val="0"/>
      <w:pBdr>
        <w:top w:val="nil"/>
        <w:left w:val="nil"/>
        <w:bottom w:val="nil"/>
        <w:right w:val="nil"/>
        <w:between w:val="nil"/>
      </w:pBdr>
      <w:spacing w:line="276" w:lineRule="auto"/>
      <w:rPr>
        <w:color w:val="000000"/>
      </w:rPr>
    </w:pPr>
  </w:p>
  <w:tbl>
    <w:tblPr>
      <w:tblW w:w="9214" w:type="dxa"/>
      <w:tblLayout w:type="fixed"/>
      <w:tblLook w:val="0400" w:firstRow="0" w:lastRow="0" w:firstColumn="0" w:lastColumn="0" w:noHBand="0" w:noVBand="1"/>
    </w:tblPr>
    <w:tblGrid>
      <w:gridCol w:w="2268"/>
      <w:gridCol w:w="6946"/>
    </w:tblGrid>
    <w:tr w:rsidR="001A7A14">
      <w:trPr>
        <w:trHeight w:val="1435"/>
      </w:trPr>
      <w:tc>
        <w:tcPr>
          <w:tcW w:w="2268" w:type="dxa"/>
          <w:shd w:val="clear" w:color="auto" w:fill="auto"/>
        </w:tcPr>
        <w:p w:rsidR="001A7A14" w:rsidRDefault="001A7A14">
          <w:pPr>
            <w:tabs>
              <w:tab w:val="right" w:pos="4273"/>
            </w:tabs>
            <w:rPr>
              <w:rFonts w:ascii="Garamond" w:eastAsia="Garamond" w:hAnsi="Garamond" w:cs="Garamond"/>
              <w:sz w:val="16"/>
              <w:szCs w:val="16"/>
            </w:rPr>
          </w:pPr>
        </w:p>
      </w:tc>
      <w:tc>
        <w:tcPr>
          <w:tcW w:w="6946" w:type="dxa"/>
          <w:shd w:val="clear" w:color="auto" w:fill="auto"/>
        </w:tcPr>
        <w:p w:rsidR="001A7A14" w:rsidRDefault="001A7A14"/>
        <w:tbl>
          <w:tblPr>
            <w:tblW w:w="8074" w:type="dxa"/>
            <w:tblInd w:w="40" w:type="dxa"/>
            <w:tblLayout w:type="fixed"/>
            <w:tblLook w:val="0400" w:firstRow="0" w:lastRow="0" w:firstColumn="0" w:lastColumn="0" w:noHBand="0" w:noVBand="1"/>
          </w:tblPr>
          <w:tblGrid>
            <w:gridCol w:w="2687"/>
            <w:gridCol w:w="5387"/>
          </w:tblGrid>
          <w:tr w:rsidR="001A7A14" w:rsidRPr="000564D1" w:rsidTr="009A1205">
            <w:trPr>
              <w:trHeight w:val="150"/>
            </w:trPr>
            <w:tc>
              <w:tcPr>
                <w:tcW w:w="2687" w:type="dxa"/>
                <w:shd w:val="clear" w:color="auto" w:fill="auto"/>
              </w:tcPr>
              <w:p w:rsidR="001A7A14" w:rsidRPr="000564D1" w:rsidRDefault="001A7A14" w:rsidP="000564D1">
                <w:pPr>
                  <w:tabs>
                    <w:tab w:val="right" w:pos="8838"/>
                  </w:tabs>
                  <w:ind w:right="-105"/>
                  <w:rPr>
                    <w:rFonts w:ascii="Palatino Linotype" w:eastAsia="Palatino Linotype" w:hAnsi="Palatino Linotype" w:cs="Palatino Linotype"/>
                    <w:b/>
                  </w:rPr>
                </w:pPr>
                <w:r w:rsidRPr="000564D1">
                  <w:rPr>
                    <w:rFonts w:ascii="Palatino Linotype" w:eastAsia="Palatino Linotype" w:hAnsi="Palatino Linotype" w:cs="Palatino Linotype"/>
                    <w:b/>
                  </w:rPr>
                  <w:t>Recurso de Revisión:</w:t>
                </w:r>
              </w:p>
            </w:tc>
            <w:tc>
              <w:tcPr>
                <w:tcW w:w="5387" w:type="dxa"/>
                <w:shd w:val="clear" w:color="auto" w:fill="auto"/>
              </w:tcPr>
              <w:p w:rsidR="001A7A14" w:rsidRDefault="001A7A14" w:rsidP="009A1205">
                <w:pPr>
                  <w:tabs>
                    <w:tab w:val="right" w:pos="8838"/>
                  </w:tabs>
                  <w:ind w:left="-108"/>
                  <w:jc w:val="both"/>
                  <w:rPr>
                    <w:rFonts w:ascii="Palatino Linotype" w:eastAsia="Palatino Linotype" w:hAnsi="Palatino Linotype" w:cs="Palatino Linotype"/>
                  </w:rPr>
                </w:pPr>
                <w:r w:rsidRPr="000564D1">
                  <w:rPr>
                    <w:rFonts w:ascii="Palatino Linotype" w:eastAsia="Palatino Linotype" w:hAnsi="Palatino Linotype" w:cs="Palatino Linotype"/>
                  </w:rPr>
                  <w:t xml:space="preserve">04623/INFOEM/IP/RR/2025 y </w:t>
                </w:r>
              </w:p>
              <w:p w:rsidR="001A7A14" w:rsidRPr="000564D1" w:rsidRDefault="001A7A14" w:rsidP="009A1205">
                <w:pPr>
                  <w:tabs>
                    <w:tab w:val="right" w:pos="8838"/>
                  </w:tabs>
                  <w:ind w:left="-108"/>
                  <w:jc w:val="both"/>
                  <w:rPr>
                    <w:rFonts w:ascii="Palatino Linotype" w:eastAsia="Palatino Linotype" w:hAnsi="Palatino Linotype" w:cs="Palatino Linotype"/>
                  </w:rPr>
                </w:pPr>
                <w:r w:rsidRPr="000564D1">
                  <w:rPr>
                    <w:rFonts w:ascii="Palatino Linotype" w:eastAsia="Palatino Linotype" w:hAnsi="Palatino Linotype" w:cs="Palatino Linotype"/>
                  </w:rPr>
                  <w:t>Acumulados</w:t>
                </w:r>
              </w:p>
            </w:tc>
          </w:tr>
          <w:tr w:rsidR="001A7A14" w:rsidRPr="000564D1" w:rsidTr="009A1205">
            <w:trPr>
              <w:trHeight w:val="295"/>
            </w:trPr>
            <w:tc>
              <w:tcPr>
                <w:tcW w:w="2687" w:type="dxa"/>
                <w:shd w:val="clear" w:color="auto" w:fill="auto"/>
              </w:tcPr>
              <w:p w:rsidR="001A7A14" w:rsidRPr="000564D1" w:rsidRDefault="001A7A14" w:rsidP="000564D1">
                <w:pPr>
                  <w:tabs>
                    <w:tab w:val="right" w:pos="8838"/>
                  </w:tabs>
                  <w:ind w:right="-105"/>
                  <w:rPr>
                    <w:rFonts w:ascii="Palatino Linotype" w:eastAsia="Palatino Linotype" w:hAnsi="Palatino Linotype" w:cs="Palatino Linotype"/>
                    <w:b/>
                  </w:rPr>
                </w:pPr>
                <w:r w:rsidRPr="000564D1">
                  <w:rPr>
                    <w:rFonts w:ascii="Palatino Linotype" w:eastAsia="Palatino Linotype" w:hAnsi="Palatino Linotype" w:cs="Palatino Linotype"/>
                    <w:b/>
                  </w:rPr>
                  <w:t>Sujeto Obligado:</w:t>
                </w:r>
              </w:p>
            </w:tc>
            <w:tc>
              <w:tcPr>
                <w:tcW w:w="5387" w:type="dxa"/>
                <w:shd w:val="clear" w:color="auto" w:fill="auto"/>
              </w:tcPr>
              <w:p w:rsidR="001A7A14" w:rsidRPr="000564D1" w:rsidRDefault="001A7A14" w:rsidP="000564D1">
                <w:pPr>
                  <w:tabs>
                    <w:tab w:val="right" w:pos="8838"/>
                  </w:tabs>
                  <w:ind w:left="-108"/>
                  <w:jc w:val="both"/>
                  <w:rPr>
                    <w:rFonts w:ascii="Palatino Linotype" w:eastAsia="Palatino Linotype" w:hAnsi="Palatino Linotype" w:cs="Palatino Linotype"/>
                    <w:b/>
                  </w:rPr>
                </w:pPr>
                <w:r w:rsidRPr="000564D1">
                  <w:rPr>
                    <w:rFonts w:ascii="Palatino Linotype" w:eastAsia="Palatino Linotype" w:hAnsi="Palatino Linotype" w:cs="Palatino Linotype"/>
                  </w:rPr>
                  <w:t xml:space="preserve">Ayuntamiento de </w:t>
                </w:r>
                <w:r w:rsidRPr="000564D1">
                  <w:rPr>
                    <w:rFonts w:ascii="Palatino Linotype" w:eastAsia="Palatino Linotype" w:hAnsi="Palatino Linotype" w:cs="Palatino Linotype"/>
                    <w:bCs/>
                  </w:rPr>
                  <w:t xml:space="preserve">Cuautitlán </w:t>
                </w:r>
                <w:r>
                  <w:rPr>
                    <w:rFonts w:ascii="Palatino Linotype" w:eastAsia="Palatino Linotype" w:hAnsi="Palatino Linotype" w:cs="Palatino Linotype"/>
                    <w:bCs/>
                  </w:rPr>
                  <w:t>Izcalli</w:t>
                </w:r>
              </w:p>
            </w:tc>
          </w:tr>
          <w:tr w:rsidR="001A7A14" w:rsidRPr="000564D1" w:rsidTr="009A1205">
            <w:trPr>
              <w:trHeight w:val="295"/>
            </w:trPr>
            <w:tc>
              <w:tcPr>
                <w:tcW w:w="2687" w:type="dxa"/>
                <w:shd w:val="clear" w:color="auto" w:fill="auto"/>
              </w:tcPr>
              <w:p w:rsidR="001A7A14" w:rsidRPr="000564D1" w:rsidRDefault="001A7A14" w:rsidP="000564D1">
                <w:pPr>
                  <w:tabs>
                    <w:tab w:val="right" w:pos="8838"/>
                  </w:tabs>
                  <w:ind w:right="-105"/>
                  <w:rPr>
                    <w:rFonts w:ascii="Palatino Linotype" w:eastAsia="Palatino Linotype" w:hAnsi="Palatino Linotype" w:cs="Palatino Linotype"/>
                    <w:b/>
                  </w:rPr>
                </w:pPr>
                <w:r w:rsidRPr="000564D1">
                  <w:rPr>
                    <w:rFonts w:ascii="Palatino Linotype" w:eastAsia="Palatino Linotype" w:hAnsi="Palatino Linotype" w:cs="Palatino Linotype"/>
                    <w:b/>
                  </w:rPr>
                  <w:t>Comisionada ponente:</w:t>
                </w:r>
              </w:p>
            </w:tc>
            <w:tc>
              <w:tcPr>
                <w:tcW w:w="5387" w:type="dxa"/>
                <w:shd w:val="clear" w:color="auto" w:fill="auto"/>
              </w:tcPr>
              <w:p w:rsidR="001A7A14" w:rsidRPr="000564D1" w:rsidRDefault="001A7A14" w:rsidP="000564D1">
                <w:pPr>
                  <w:tabs>
                    <w:tab w:val="right" w:pos="8838"/>
                  </w:tabs>
                  <w:ind w:left="-108"/>
                  <w:jc w:val="both"/>
                  <w:rPr>
                    <w:rFonts w:ascii="Palatino Linotype" w:eastAsia="Palatino Linotype" w:hAnsi="Palatino Linotype" w:cs="Palatino Linotype"/>
                  </w:rPr>
                </w:pPr>
                <w:r w:rsidRPr="000564D1">
                  <w:rPr>
                    <w:rFonts w:ascii="Palatino Linotype" w:eastAsia="Palatino Linotype" w:hAnsi="Palatino Linotype" w:cs="Palatino Linotype"/>
                  </w:rPr>
                  <w:t>María del Rosario Mejía Ayala</w:t>
                </w:r>
              </w:p>
              <w:p w:rsidR="001A7A14" w:rsidRPr="000564D1" w:rsidRDefault="001A7A14" w:rsidP="000564D1">
                <w:pPr>
                  <w:tabs>
                    <w:tab w:val="right" w:pos="8838"/>
                  </w:tabs>
                  <w:ind w:left="-108"/>
                  <w:jc w:val="both"/>
                  <w:rPr>
                    <w:rFonts w:ascii="Palatino Linotype" w:eastAsia="Palatino Linotype" w:hAnsi="Palatino Linotype" w:cs="Palatino Linotype"/>
                    <w:b/>
                  </w:rPr>
                </w:pPr>
              </w:p>
            </w:tc>
          </w:tr>
        </w:tbl>
        <w:p w:rsidR="001A7A14" w:rsidRDefault="001A7A14">
          <w:pPr>
            <w:tabs>
              <w:tab w:val="right" w:pos="8838"/>
            </w:tabs>
            <w:ind w:left="-28"/>
            <w:jc w:val="both"/>
            <w:rPr>
              <w:rFonts w:ascii="Arial" w:eastAsia="Arial" w:hAnsi="Arial" w:cs="Arial"/>
              <w:b/>
              <w:sz w:val="22"/>
              <w:szCs w:val="22"/>
            </w:rPr>
          </w:pPr>
        </w:p>
      </w:tc>
    </w:tr>
  </w:tbl>
  <w:p w:rsidR="001A7A14" w:rsidRDefault="001A7A14">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68.8pt;margin-top:-120.5pt;width:589.8pt;height:768pt;z-index:-25165721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A14" w:rsidRDefault="001A7A14">
    <w:pPr>
      <w:widowControl w:val="0"/>
      <w:pBdr>
        <w:top w:val="nil"/>
        <w:left w:val="nil"/>
        <w:bottom w:val="nil"/>
        <w:right w:val="nil"/>
        <w:between w:val="nil"/>
      </w:pBdr>
      <w:spacing w:line="276" w:lineRule="auto"/>
      <w:rPr>
        <w:color w:val="000000"/>
        <w:sz w:val="14"/>
        <w:szCs w:val="14"/>
      </w:rPr>
    </w:pPr>
  </w:p>
  <w:tbl>
    <w:tblPr>
      <w:tblW w:w="10425" w:type="dxa"/>
      <w:tblLayout w:type="fixed"/>
      <w:tblLook w:val="0400" w:firstRow="0" w:lastRow="0" w:firstColumn="0" w:lastColumn="0" w:noHBand="0" w:noVBand="1"/>
    </w:tblPr>
    <w:tblGrid>
      <w:gridCol w:w="2265"/>
      <w:gridCol w:w="8160"/>
    </w:tblGrid>
    <w:tr w:rsidR="001A7A14">
      <w:trPr>
        <w:trHeight w:val="1435"/>
      </w:trPr>
      <w:tc>
        <w:tcPr>
          <w:tcW w:w="2265" w:type="dxa"/>
          <w:shd w:val="clear" w:color="auto" w:fill="auto"/>
        </w:tcPr>
        <w:p w:rsidR="001A7A14" w:rsidRDefault="001A7A14">
          <w:pPr>
            <w:tabs>
              <w:tab w:val="right" w:pos="4273"/>
            </w:tabs>
            <w:rPr>
              <w:rFonts w:ascii="Garamond" w:eastAsia="Garamond" w:hAnsi="Garamond" w:cs="Garamond"/>
              <w:sz w:val="22"/>
              <w:szCs w:val="22"/>
            </w:rPr>
          </w:pPr>
        </w:p>
      </w:tc>
      <w:tc>
        <w:tcPr>
          <w:tcW w:w="8160" w:type="dxa"/>
          <w:shd w:val="clear" w:color="auto" w:fill="auto"/>
        </w:tcPr>
        <w:p w:rsidR="001A7A14" w:rsidRDefault="001A7A14">
          <w:pPr>
            <w:widowControl w:val="0"/>
            <w:pBdr>
              <w:top w:val="nil"/>
              <w:left w:val="nil"/>
              <w:bottom w:val="nil"/>
              <w:right w:val="nil"/>
              <w:between w:val="nil"/>
            </w:pBdr>
            <w:spacing w:line="276" w:lineRule="auto"/>
            <w:rPr>
              <w:rFonts w:ascii="Garamond" w:eastAsia="Garamond" w:hAnsi="Garamond" w:cs="Garamond"/>
              <w:sz w:val="22"/>
              <w:szCs w:val="22"/>
            </w:rPr>
          </w:pPr>
        </w:p>
        <w:tbl>
          <w:tblPr>
            <w:tblW w:w="8034" w:type="dxa"/>
            <w:tblInd w:w="40" w:type="dxa"/>
            <w:tblLayout w:type="fixed"/>
            <w:tblLook w:val="0400" w:firstRow="0" w:lastRow="0" w:firstColumn="0" w:lastColumn="0" w:noHBand="0" w:noVBand="1"/>
          </w:tblPr>
          <w:tblGrid>
            <w:gridCol w:w="3399"/>
            <w:gridCol w:w="4635"/>
          </w:tblGrid>
          <w:tr w:rsidR="001A7A14" w:rsidRPr="000564D1" w:rsidTr="000564D1">
            <w:trPr>
              <w:trHeight w:val="144"/>
            </w:trPr>
            <w:tc>
              <w:tcPr>
                <w:tcW w:w="3399" w:type="dxa"/>
                <w:shd w:val="clear" w:color="auto" w:fill="auto"/>
              </w:tcPr>
              <w:p w:rsidR="001A7A14" w:rsidRPr="000564D1" w:rsidRDefault="001A7A14">
                <w:pPr>
                  <w:tabs>
                    <w:tab w:val="right" w:pos="7787"/>
                  </w:tabs>
                  <w:ind w:left="850" w:right="-274"/>
                  <w:rPr>
                    <w:rFonts w:ascii="Palatino Linotype" w:eastAsia="Palatino Linotype" w:hAnsi="Palatino Linotype" w:cs="Palatino Linotype"/>
                    <w:b/>
                  </w:rPr>
                </w:pPr>
                <w:r w:rsidRPr="000564D1">
                  <w:rPr>
                    <w:rFonts w:ascii="Palatino Linotype" w:eastAsia="Palatino Linotype" w:hAnsi="Palatino Linotype" w:cs="Palatino Linotype"/>
                    <w:b/>
                  </w:rPr>
                  <w:t>Recurso de Revisión:</w:t>
                </w:r>
              </w:p>
            </w:tc>
            <w:tc>
              <w:tcPr>
                <w:tcW w:w="4635" w:type="dxa"/>
                <w:shd w:val="clear" w:color="auto" w:fill="auto"/>
              </w:tcPr>
              <w:p w:rsidR="001A7A14" w:rsidRPr="000564D1" w:rsidRDefault="001A7A14" w:rsidP="000564D1">
                <w:pPr>
                  <w:tabs>
                    <w:tab w:val="right" w:pos="7787"/>
                  </w:tabs>
                  <w:ind w:right="-1623"/>
                  <w:jc w:val="both"/>
                  <w:rPr>
                    <w:rFonts w:ascii="Palatino Linotype" w:eastAsia="Palatino Linotype" w:hAnsi="Palatino Linotype" w:cs="Palatino Linotype"/>
                  </w:rPr>
                </w:pPr>
                <w:r w:rsidRPr="000564D1">
                  <w:rPr>
                    <w:rFonts w:ascii="Palatino Linotype" w:eastAsia="Palatino Linotype" w:hAnsi="Palatino Linotype" w:cs="Palatino Linotype"/>
                  </w:rPr>
                  <w:t xml:space="preserve">04623/INFOEM/IP/RR/2025 y </w:t>
                </w:r>
              </w:p>
              <w:p w:rsidR="001A7A14" w:rsidRPr="000564D1" w:rsidRDefault="001A7A14" w:rsidP="000564D1">
                <w:pPr>
                  <w:tabs>
                    <w:tab w:val="right" w:pos="7787"/>
                  </w:tabs>
                  <w:jc w:val="both"/>
                  <w:rPr>
                    <w:rFonts w:ascii="Palatino Linotype" w:eastAsia="Palatino Linotype" w:hAnsi="Palatino Linotype" w:cs="Palatino Linotype"/>
                  </w:rPr>
                </w:pPr>
                <w:r w:rsidRPr="000564D1">
                  <w:rPr>
                    <w:rFonts w:ascii="Palatino Linotype" w:eastAsia="Palatino Linotype" w:hAnsi="Palatino Linotype" w:cs="Palatino Linotype"/>
                  </w:rPr>
                  <w:t>Acumulados</w:t>
                </w:r>
              </w:p>
            </w:tc>
          </w:tr>
          <w:tr w:rsidR="001A7A14" w:rsidRPr="000564D1" w:rsidTr="000564D1">
            <w:trPr>
              <w:trHeight w:val="144"/>
            </w:trPr>
            <w:tc>
              <w:tcPr>
                <w:tcW w:w="3399" w:type="dxa"/>
                <w:shd w:val="clear" w:color="auto" w:fill="auto"/>
              </w:tcPr>
              <w:p w:rsidR="001A7A14" w:rsidRPr="000564D1" w:rsidRDefault="001A7A14">
                <w:pPr>
                  <w:tabs>
                    <w:tab w:val="right" w:pos="7787"/>
                  </w:tabs>
                  <w:ind w:left="850" w:right="-274"/>
                  <w:rPr>
                    <w:rFonts w:ascii="Palatino Linotype" w:eastAsia="Palatino Linotype" w:hAnsi="Palatino Linotype" w:cs="Palatino Linotype"/>
                    <w:b/>
                  </w:rPr>
                </w:pPr>
                <w:r w:rsidRPr="000564D1">
                  <w:rPr>
                    <w:rFonts w:ascii="Palatino Linotype" w:eastAsia="Palatino Linotype" w:hAnsi="Palatino Linotype" w:cs="Palatino Linotype"/>
                    <w:b/>
                  </w:rPr>
                  <w:t>Recurrente:</w:t>
                </w:r>
              </w:p>
            </w:tc>
            <w:tc>
              <w:tcPr>
                <w:tcW w:w="4635" w:type="dxa"/>
                <w:shd w:val="clear" w:color="auto" w:fill="auto"/>
              </w:tcPr>
              <w:p w:rsidR="001A7A14" w:rsidRPr="000564D1" w:rsidRDefault="001A7A14" w:rsidP="000564D1">
                <w:pPr>
                  <w:tabs>
                    <w:tab w:val="left" w:pos="3122"/>
                    <w:tab w:val="right" w:pos="7787"/>
                  </w:tabs>
                  <w:ind w:right="-1623"/>
                  <w:jc w:val="both"/>
                  <w:rPr>
                    <w:rFonts w:ascii="Palatino Linotype" w:eastAsia="Palatino Linotype" w:hAnsi="Palatino Linotype" w:cs="Palatino Linotype"/>
                  </w:rPr>
                </w:pPr>
                <w:r>
                  <w:rPr>
                    <w:rFonts w:ascii="Palatino Linotype" w:eastAsia="Palatino Linotype" w:hAnsi="Palatino Linotype" w:cs="Palatino Linotype"/>
                    <w:bCs/>
                  </w:rPr>
                  <w:t>XXXX</w:t>
                </w:r>
              </w:p>
            </w:tc>
          </w:tr>
          <w:tr w:rsidR="001A7A14" w:rsidRPr="000564D1" w:rsidTr="000564D1">
            <w:trPr>
              <w:trHeight w:val="283"/>
            </w:trPr>
            <w:tc>
              <w:tcPr>
                <w:tcW w:w="3399" w:type="dxa"/>
                <w:shd w:val="clear" w:color="auto" w:fill="auto"/>
              </w:tcPr>
              <w:p w:rsidR="001A7A14" w:rsidRPr="000564D1" w:rsidRDefault="001A7A14">
                <w:pPr>
                  <w:tabs>
                    <w:tab w:val="right" w:pos="7787"/>
                  </w:tabs>
                  <w:ind w:left="850" w:right="-274"/>
                  <w:rPr>
                    <w:rFonts w:ascii="Palatino Linotype" w:eastAsia="Palatino Linotype" w:hAnsi="Palatino Linotype" w:cs="Palatino Linotype"/>
                    <w:b/>
                  </w:rPr>
                </w:pPr>
                <w:r w:rsidRPr="000564D1">
                  <w:rPr>
                    <w:rFonts w:ascii="Palatino Linotype" w:eastAsia="Palatino Linotype" w:hAnsi="Palatino Linotype" w:cs="Palatino Linotype"/>
                    <w:b/>
                  </w:rPr>
                  <w:t>Sujeto Obligado:</w:t>
                </w:r>
              </w:p>
            </w:tc>
            <w:tc>
              <w:tcPr>
                <w:tcW w:w="4635" w:type="dxa"/>
                <w:shd w:val="clear" w:color="auto" w:fill="auto"/>
              </w:tcPr>
              <w:p w:rsidR="001A7A14" w:rsidRPr="000564D1" w:rsidRDefault="001A7A14" w:rsidP="000564D1">
                <w:pPr>
                  <w:tabs>
                    <w:tab w:val="left" w:pos="2834"/>
                    <w:tab w:val="right" w:pos="7787"/>
                  </w:tabs>
                  <w:ind w:right="-1623"/>
                  <w:jc w:val="both"/>
                  <w:rPr>
                    <w:rFonts w:ascii="Palatino Linotype" w:eastAsia="Palatino Linotype" w:hAnsi="Palatino Linotype" w:cs="Palatino Linotype"/>
                  </w:rPr>
                </w:pPr>
                <w:r w:rsidRPr="000564D1">
                  <w:rPr>
                    <w:rFonts w:ascii="Palatino Linotype" w:eastAsia="Palatino Linotype" w:hAnsi="Palatino Linotype" w:cs="Palatino Linotype"/>
                  </w:rPr>
                  <w:t xml:space="preserve">Ayuntamiento de </w:t>
                </w:r>
                <w:r w:rsidRPr="000564D1">
                  <w:rPr>
                    <w:rFonts w:ascii="Palatino Linotype" w:eastAsia="Palatino Linotype" w:hAnsi="Palatino Linotype" w:cs="Palatino Linotype"/>
                    <w:bCs/>
                  </w:rPr>
                  <w:t>Cuautitlán Izcalli</w:t>
                </w:r>
              </w:p>
            </w:tc>
          </w:tr>
          <w:tr w:rsidR="001A7A14" w:rsidRPr="000564D1" w:rsidTr="000564D1">
            <w:trPr>
              <w:trHeight w:val="283"/>
            </w:trPr>
            <w:tc>
              <w:tcPr>
                <w:tcW w:w="3399" w:type="dxa"/>
                <w:shd w:val="clear" w:color="auto" w:fill="auto"/>
              </w:tcPr>
              <w:p w:rsidR="001A7A14" w:rsidRPr="000564D1" w:rsidRDefault="001A7A14">
                <w:pPr>
                  <w:tabs>
                    <w:tab w:val="right" w:pos="7787"/>
                  </w:tabs>
                  <w:ind w:left="850" w:right="-274"/>
                  <w:rPr>
                    <w:rFonts w:ascii="Palatino Linotype" w:eastAsia="Palatino Linotype" w:hAnsi="Palatino Linotype" w:cs="Palatino Linotype"/>
                    <w:b/>
                  </w:rPr>
                </w:pPr>
                <w:r w:rsidRPr="000564D1">
                  <w:rPr>
                    <w:rFonts w:ascii="Palatino Linotype" w:eastAsia="Palatino Linotype" w:hAnsi="Palatino Linotype" w:cs="Palatino Linotype"/>
                    <w:b/>
                  </w:rPr>
                  <w:t>Comisionada ponente:</w:t>
                </w:r>
              </w:p>
            </w:tc>
            <w:tc>
              <w:tcPr>
                <w:tcW w:w="4635" w:type="dxa"/>
                <w:shd w:val="clear" w:color="auto" w:fill="auto"/>
              </w:tcPr>
              <w:p w:rsidR="001A7A14" w:rsidRPr="000564D1" w:rsidRDefault="001A7A14" w:rsidP="000564D1">
                <w:pPr>
                  <w:tabs>
                    <w:tab w:val="right" w:pos="7787"/>
                  </w:tabs>
                  <w:ind w:right="-1623"/>
                  <w:jc w:val="both"/>
                  <w:rPr>
                    <w:rFonts w:ascii="Palatino Linotype" w:eastAsia="Palatino Linotype" w:hAnsi="Palatino Linotype" w:cs="Palatino Linotype"/>
                  </w:rPr>
                </w:pPr>
                <w:r w:rsidRPr="000564D1">
                  <w:rPr>
                    <w:rFonts w:ascii="Palatino Linotype" w:eastAsia="Palatino Linotype" w:hAnsi="Palatino Linotype" w:cs="Palatino Linotype"/>
                  </w:rPr>
                  <w:t>María del Rosario Mejía Ayala</w:t>
                </w:r>
              </w:p>
              <w:p w:rsidR="001A7A14" w:rsidRPr="000564D1" w:rsidRDefault="001A7A14" w:rsidP="000564D1">
                <w:pPr>
                  <w:tabs>
                    <w:tab w:val="right" w:pos="7787"/>
                  </w:tabs>
                  <w:ind w:right="-1623"/>
                  <w:jc w:val="both"/>
                  <w:rPr>
                    <w:rFonts w:ascii="Palatino Linotype" w:eastAsia="Palatino Linotype" w:hAnsi="Palatino Linotype" w:cs="Palatino Linotype"/>
                    <w:b/>
                  </w:rPr>
                </w:pPr>
              </w:p>
            </w:tc>
          </w:tr>
        </w:tbl>
        <w:p w:rsidR="001A7A14" w:rsidRDefault="001A7A14">
          <w:pPr>
            <w:tabs>
              <w:tab w:val="right" w:pos="8838"/>
            </w:tabs>
            <w:ind w:left="-28"/>
            <w:jc w:val="both"/>
            <w:rPr>
              <w:rFonts w:ascii="Arial" w:eastAsia="Arial" w:hAnsi="Arial" w:cs="Arial"/>
              <w:b/>
              <w:sz w:val="22"/>
              <w:szCs w:val="22"/>
            </w:rPr>
          </w:pPr>
        </w:p>
      </w:tc>
    </w:tr>
  </w:tbl>
  <w:p w:rsidR="001A7A14" w:rsidRDefault="001A7A14">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17.6pt;width:589.8pt;height:768pt;z-index:-25165619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94FE3"/>
    <w:multiLevelType w:val="hybridMultilevel"/>
    <w:tmpl w:val="11F67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161270"/>
    <w:multiLevelType w:val="hybridMultilevel"/>
    <w:tmpl w:val="22767166"/>
    <w:lvl w:ilvl="0" w:tplc="F0F2F2C8">
      <w:start w:val="1"/>
      <w:numFmt w:val="decimal"/>
      <w:lvlText w:val="%1."/>
      <w:lvlJc w:val="left"/>
      <w:pPr>
        <w:ind w:left="720" w:hanging="360"/>
      </w:pPr>
      <w:rPr>
        <w:rFonts w:eastAsia="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C982058"/>
    <w:multiLevelType w:val="multilevel"/>
    <w:tmpl w:val="FF7AB148"/>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sz w:val="24"/>
        <w:szCs w:val="24"/>
      </w:rPr>
    </w:lvl>
    <w:lvl w:ilvl="2">
      <w:start w:val="4"/>
      <w:numFmt w:val="lowerRoman"/>
      <w:lvlText w:val="%3."/>
      <w:lvlJc w:val="right"/>
      <w:pPr>
        <w:ind w:left="2160" w:hanging="180"/>
      </w:pPr>
    </w:lvl>
    <w:lvl w:ilvl="3">
      <w:start w:val="1"/>
      <w:numFmt w:val="lowerLetter"/>
      <w:lvlText w:val="%4)"/>
      <w:lvlJc w:val="left"/>
      <w:pPr>
        <w:ind w:left="644" w:hanging="359"/>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D73567"/>
    <w:multiLevelType w:val="multilevel"/>
    <w:tmpl w:val="C0983550"/>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4" w15:restartNumberingAfterBreak="0">
    <w:nsid w:val="233A3297"/>
    <w:multiLevelType w:val="multilevel"/>
    <w:tmpl w:val="2A22BC40"/>
    <w:lvl w:ilvl="0">
      <w:start w:val="1"/>
      <w:numFmt w:val="decimal"/>
      <w:pStyle w:val="Listaconvietas2"/>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23252B7"/>
    <w:multiLevelType w:val="multilevel"/>
    <w:tmpl w:val="134467D6"/>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upperRoman"/>
      <w:lvlText w:val="%2."/>
      <w:lvlJc w:val="righ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2786964"/>
    <w:multiLevelType w:val="multilevel"/>
    <w:tmpl w:val="EDCC3EDC"/>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9C156F"/>
    <w:multiLevelType w:val="multilevel"/>
    <w:tmpl w:val="00F87E5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4D2679E3"/>
    <w:multiLevelType w:val="multilevel"/>
    <w:tmpl w:val="773829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08F4174"/>
    <w:multiLevelType w:val="multilevel"/>
    <w:tmpl w:val="8CA4FD1A"/>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A907D70"/>
    <w:multiLevelType w:val="hybridMultilevel"/>
    <w:tmpl w:val="2E6EBB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C0D1D37"/>
    <w:multiLevelType w:val="hybridMultilevel"/>
    <w:tmpl w:val="4CE8C8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02B190D"/>
    <w:multiLevelType w:val="hybridMultilevel"/>
    <w:tmpl w:val="27041754"/>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66713BC6"/>
    <w:multiLevelType w:val="multilevel"/>
    <w:tmpl w:val="9A60F6B6"/>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upperRoman"/>
      <w:lvlText w:val="%2."/>
      <w:lvlJc w:val="right"/>
      <w:pPr>
        <w:ind w:left="1440" w:hanging="360"/>
      </w:pPr>
      <w:rPr>
        <w:rFonts w:ascii="Palatino Linotype" w:eastAsia="Palatino Linotype" w:hAnsi="Palatino Linotype" w:cs="Palatino Linotype"/>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C3A1C6B"/>
    <w:multiLevelType w:val="multilevel"/>
    <w:tmpl w:val="B69C186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upperRoman"/>
      <w:lvlText w:val="%2."/>
      <w:lvlJc w:val="right"/>
      <w:pPr>
        <w:ind w:left="1440" w:hanging="360"/>
      </w:pPr>
      <w:rPr>
        <w:b/>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lowerLetter"/>
      <w:lvlText w:val="%4)"/>
      <w:lvlJc w:val="left"/>
      <w:pPr>
        <w:ind w:left="2880" w:hanging="360"/>
      </w:pPr>
      <w:rPr>
        <w:color w:val="000000"/>
        <w:sz w:val="22"/>
        <w:szCs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9"/>
  </w:num>
  <w:num w:numId="3">
    <w:abstractNumId w:val="8"/>
  </w:num>
  <w:num w:numId="4">
    <w:abstractNumId w:val="3"/>
  </w:num>
  <w:num w:numId="5">
    <w:abstractNumId w:val="14"/>
  </w:num>
  <w:num w:numId="6">
    <w:abstractNumId w:val="5"/>
  </w:num>
  <w:num w:numId="7">
    <w:abstractNumId w:val="15"/>
  </w:num>
  <w:num w:numId="8">
    <w:abstractNumId w:val="11"/>
  </w:num>
  <w:num w:numId="9">
    <w:abstractNumId w:val="13"/>
  </w:num>
  <w:num w:numId="10">
    <w:abstractNumId w:val="6"/>
  </w:num>
  <w:num w:numId="11">
    <w:abstractNumId w:val="4"/>
  </w:num>
  <w:num w:numId="12">
    <w:abstractNumId w:val="2"/>
  </w:num>
  <w:num w:numId="13">
    <w:abstractNumId w:val="7"/>
  </w:num>
  <w:num w:numId="14">
    <w:abstractNumId w:val="1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85F"/>
    <w:rsid w:val="0003185F"/>
    <w:rsid w:val="000564D1"/>
    <w:rsid w:val="001A7A14"/>
    <w:rsid w:val="001C7294"/>
    <w:rsid w:val="00200BE6"/>
    <w:rsid w:val="002715D0"/>
    <w:rsid w:val="0028282A"/>
    <w:rsid w:val="00283067"/>
    <w:rsid w:val="002913DE"/>
    <w:rsid w:val="002D4122"/>
    <w:rsid w:val="0031744D"/>
    <w:rsid w:val="003A6530"/>
    <w:rsid w:val="00420EBD"/>
    <w:rsid w:val="004456FB"/>
    <w:rsid w:val="004C40F6"/>
    <w:rsid w:val="004C52EA"/>
    <w:rsid w:val="00530913"/>
    <w:rsid w:val="00566FCA"/>
    <w:rsid w:val="005B5F78"/>
    <w:rsid w:val="005F7804"/>
    <w:rsid w:val="00603D2F"/>
    <w:rsid w:val="006F1DB2"/>
    <w:rsid w:val="007304DF"/>
    <w:rsid w:val="00782FFF"/>
    <w:rsid w:val="007845A1"/>
    <w:rsid w:val="0078604F"/>
    <w:rsid w:val="00892626"/>
    <w:rsid w:val="008D4519"/>
    <w:rsid w:val="00954FF2"/>
    <w:rsid w:val="009A1205"/>
    <w:rsid w:val="009D13F0"/>
    <w:rsid w:val="00B172A3"/>
    <w:rsid w:val="00B30376"/>
    <w:rsid w:val="00B411FB"/>
    <w:rsid w:val="00BD2282"/>
    <w:rsid w:val="00C143F8"/>
    <w:rsid w:val="00C27A98"/>
    <w:rsid w:val="00C77F8A"/>
    <w:rsid w:val="00DD3552"/>
    <w:rsid w:val="00E86C09"/>
    <w:rsid w:val="00F858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4CA84F3-8013-413F-B1F3-D007CBE94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85F"/>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unhideWhenUsed/>
    <w:qFormat/>
    <w:rsid w:val="0003185F"/>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3185F"/>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3185F"/>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03185F"/>
    <w:rPr>
      <w:rFonts w:ascii="Century Gothic" w:eastAsia="Times New Roman" w:hAnsi="Century Gothic" w:cs="Times New Roman"/>
      <w:szCs w:val="24"/>
      <w:lang w:eastAsia="es-MX"/>
    </w:rPr>
  </w:style>
  <w:style w:type="paragraph" w:styleId="Piedepgina">
    <w:name w:val="footer"/>
    <w:basedOn w:val="Normal"/>
    <w:link w:val="PiedepginaCar"/>
    <w:uiPriority w:val="99"/>
    <w:unhideWhenUsed/>
    <w:rsid w:val="0003185F"/>
    <w:pPr>
      <w:tabs>
        <w:tab w:val="center" w:pos="4419"/>
        <w:tab w:val="right" w:pos="8838"/>
      </w:tabs>
    </w:pPr>
  </w:style>
  <w:style w:type="character" w:customStyle="1" w:styleId="PiedepginaCar">
    <w:name w:val="Pie de página Car"/>
    <w:basedOn w:val="Fuentedeprrafopredeter"/>
    <w:link w:val="Piedepgina"/>
    <w:uiPriority w:val="99"/>
    <w:rsid w:val="0003185F"/>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3A6530"/>
    <w:rPr>
      <w:color w:val="0563C1" w:themeColor="hyperlink"/>
      <w:u w:val="single"/>
    </w:rPr>
  </w:style>
  <w:style w:type="table" w:styleId="Tabladecuadrcula6concolores">
    <w:name w:val="Grid Table 6 Colorful"/>
    <w:basedOn w:val="Tablanormal"/>
    <w:uiPriority w:val="51"/>
    <w:rsid w:val="00420E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20EBD"/>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420EB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420EBD"/>
    <w:rPr>
      <w:vertAlign w:val="superscript"/>
    </w:rPr>
  </w:style>
  <w:style w:type="paragraph" w:styleId="Listaconvietas2">
    <w:name w:val="List Bullet 2"/>
    <w:basedOn w:val="Normal"/>
    <w:uiPriority w:val="99"/>
    <w:unhideWhenUsed/>
    <w:rsid w:val="00420EBD"/>
    <w:pPr>
      <w:numPr>
        <w:numId w:val="11"/>
      </w:numPr>
      <w:contextualSpacing/>
    </w:pPr>
    <w:rPr>
      <w:sz w:val="20"/>
      <w:szCs w:val="20"/>
    </w:rPr>
  </w:style>
  <w:style w:type="paragraph" w:styleId="Sinespaciado">
    <w:name w:val="No Spacing"/>
    <w:aliases w:val="Francesa"/>
    <w:link w:val="SinespaciadoCar"/>
    <w:uiPriority w:val="1"/>
    <w:qFormat/>
    <w:rsid w:val="0078604F"/>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78604F"/>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59826">
      <w:bodyDiv w:val="1"/>
      <w:marLeft w:val="0"/>
      <w:marRight w:val="0"/>
      <w:marTop w:val="0"/>
      <w:marBottom w:val="0"/>
      <w:divBdr>
        <w:top w:val="none" w:sz="0" w:space="0" w:color="auto"/>
        <w:left w:val="none" w:sz="0" w:space="0" w:color="auto"/>
        <w:bottom w:val="none" w:sz="0" w:space="0" w:color="auto"/>
        <w:right w:val="none" w:sz="0" w:space="0" w:color="auto"/>
      </w:divBdr>
    </w:div>
    <w:div w:id="927738827">
      <w:bodyDiv w:val="1"/>
      <w:marLeft w:val="0"/>
      <w:marRight w:val="0"/>
      <w:marTop w:val="0"/>
      <w:marBottom w:val="0"/>
      <w:divBdr>
        <w:top w:val="none" w:sz="0" w:space="0" w:color="auto"/>
        <w:left w:val="none" w:sz="0" w:space="0" w:color="auto"/>
        <w:bottom w:val="none" w:sz="0" w:space="0" w:color="auto"/>
        <w:right w:val="none" w:sz="0" w:space="0" w:color="auto"/>
      </w:divBdr>
    </w:div>
    <w:div w:id="1259557865">
      <w:bodyDiv w:val="1"/>
      <w:marLeft w:val="0"/>
      <w:marRight w:val="0"/>
      <w:marTop w:val="0"/>
      <w:marBottom w:val="0"/>
      <w:divBdr>
        <w:top w:val="none" w:sz="0" w:space="0" w:color="auto"/>
        <w:left w:val="none" w:sz="0" w:space="0" w:color="auto"/>
        <w:bottom w:val="none" w:sz="0" w:space="0" w:color="auto"/>
        <w:right w:val="none" w:sz="0" w:space="0" w:color="auto"/>
      </w:divBdr>
    </w:div>
    <w:div w:id="1574507788">
      <w:bodyDiv w:val="1"/>
      <w:marLeft w:val="0"/>
      <w:marRight w:val="0"/>
      <w:marTop w:val="0"/>
      <w:marBottom w:val="0"/>
      <w:divBdr>
        <w:top w:val="none" w:sz="0" w:space="0" w:color="auto"/>
        <w:left w:val="none" w:sz="0" w:space="0" w:color="auto"/>
        <w:bottom w:val="none" w:sz="0" w:space="0" w:color="auto"/>
        <w:right w:val="none" w:sz="0" w:space="0" w:color="auto"/>
      </w:divBdr>
    </w:div>
    <w:div w:id="196766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15709.page" TargetMode="External"/><Relationship Id="rId13" Type="http://schemas.openxmlformats.org/officeDocument/2006/relationships/hyperlink" Target="https://saimex.org.mx/saimex/solicitud/downloadAttach/2428109.page"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saimex.org.mx/saimex/solicitud/downloadAttach/2415716.page" TargetMode="External"/><Relationship Id="rId12" Type="http://schemas.openxmlformats.org/officeDocument/2006/relationships/hyperlink" Target="https://saimex.org.mx/saimex/solicitud/downloadAttach/2428109.pag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saimex.org.mx/saimex/solicitud/downloadAttach/2428109.page"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2415702.page" TargetMode="External"/><Relationship Id="rId5" Type="http://schemas.openxmlformats.org/officeDocument/2006/relationships/footnotes" Target="footnotes.xml"/><Relationship Id="rId15" Type="http://schemas.openxmlformats.org/officeDocument/2006/relationships/hyperlink" Target="https://saimex.org.mx/saimex/solicitud/downloadAttach/2428109.page" TargetMode="External"/><Relationship Id="rId23" Type="http://schemas.openxmlformats.org/officeDocument/2006/relationships/theme" Target="theme/theme1.xml"/><Relationship Id="rId10" Type="http://schemas.openxmlformats.org/officeDocument/2006/relationships/hyperlink" Target="https://saimex.org.mx/saimex/solicitud/downloadAttach/2415703.pag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aimex.org.mx/saimex/solicitud/downloadAttach/2415705.page" TargetMode="External"/><Relationship Id="rId14" Type="http://schemas.openxmlformats.org/officeDocument/2006/relationships/hyperlink" Target="https://saimex.org.mx/saimex/solicitud/downloadAttach/2428109.pag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49</Pages>
  <Words>10562</Words>
  <Characters>58096</Characters>
  <Application>Microsoft Office Word</Application>
  <DocSecurity>0</DocSecurity>
  <Lines>484</Lines>
  <Paragraphs>137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68521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13</cp:revision>
  <cp:lastPrinted>2025-05-23T16:29:00Z</cp:lastPrinted>
  <dcterms:created xsi:type="dcterms:W3CDTF">2025-05-19T21:10:00Z</dcterms:created>
  <dcterms:modified xsi:type="dcterms:W3CDTF">2025-05-27T19:28:00Z</dcterms:modified>
</cp:coreProperties>
</file>