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3rdcrjn"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diez de septiembre de dos mil veinticinco. </w:t>
      </w:r>
    </w:p>
    <w:p w:rsidR="00000000" w:rsidDel="00000000" w:rsidP="00000000" w:rsidRDefault="00000000" w:rsidRPr="00000000" w14:paraId="00000002">
      <w:pPr>
        <w:tabs>
          <w:tab w:val="left" w:leader="none" w:pos="5812"/>
        </w:tabs>
        <w:spacing w:after="240" w:before="240" w:line="360" w:lineRule="auto"/>
        <w:jc w:val="both"/>
        <w:rPr>
          <w:rFonts w:ascii="Palatino Linotype" w:cs="Palatino Linotype" w:eastAsia="Palatino Linotype" w:hAnsi="Palatino Linotype"/>
        </w:rPr>
      </w:pPr>
      <w:bookmarkStart w:colFirst="0" w:colLast="0" w:name="_heading=h.daj3j2xo6q66" w:id="1"/>
      <w:bookmarkEnd w:id="1"/>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06089/INFOEM/IP/RR/2025</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XXXXX XXXXXXXXX XXXXXXXXX,</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la solicitud de información con número de folio</w:t>
      </w:r>
      <w:r w:rsidDel="00000000" w:rsidR="00000000" w:rsidRPr="00000000">
        <w:rPr>
          <w:rFonts w:ascii="Palatino Linotype" w:cs="Palatino Linotype" w:eastAsia="Palatino Linotype" w:hAnsi="Palatino Linotype"/>
          <w:b w:val="1"/>
          <w:rtl w:val="0"/>
        </w:rPr>
        <w:t xml:space="preserve"> 00138/JILOTZIN/IP/2025, </w:t>
      </w:r>
      <w:r w:rsidDel="00000000" w:rsidR="00000000" w:rsidRPr="00000000">
        <w:rPr>
          <w:rFonts w:ascii="Palatino Linotype" w:cs="Palatino Linotype" w:eastAsia="Palatino Linotype" w:hAnsi="Palatino Linotype"/>
          <w:rtl w:val="0"/>
        </w:rPr>
        <w:t xml:space="preserve">por parte del </w:t>
      </w:r>
      <w:r w:rsidDel="00000000" w:rsidR="00000000" w:rsidRPr="00000000">
        <w:rPr>
          <w:rFonts w:ascii="Palatino Linotype" w:cs="Palatino Linotype" w:eastAsia="Palatino Linotype" w:hAnsi="Palatino Linotype"/>
          <w:b w:val="1"/>
          <w:rtl w:val="0"/>
        </w:rPr>
        <w:t xml:space="preserve">Ayuntamiento de Jilotzingo,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bookmarkStart w:colFirst="0" w:colLast="0" w:name="_heading=h.gjdgxs" w:id="2"/>
      <w:bookmarkEnd w:id="2"/>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cinco de mayo de dos mil veinticinco,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la solicitud de acceso a la información pública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sin embargo, al corresponder a un día inhábil se tuvo por presentada el día </w:t>
      </w:r>
      <w:r w:rsidDel="00000000" w:rsidR="00000000" w:rsidRPr="00000000">
        <w:rPr>
          <w:rFonts w:ascii="Palatino Linotype" w:cs="Palatino Linotype" w:eastAsia="Palatino Linotype" w:hAnsi="Palatino Linotype"/>
          <w:b w:val="1"/>
          <w:rtl w:val="0"/>
        </w:rPr>
        <w:t xml:space="preserve">seis de mayo de dos mil veinticinco;</w:t>
      </w:r>
      <w:r w:rsidDel="00000000" w:rsidR="00000000" w:rsidRPr="00000000">
        <w:rPr>
          <w:rFonts w:ascii="Palatino Linotype" w:cs="Palatino Linotype" w:eastAsia="Palatino Linotype" w:hAnsi="Palatino Linotype"/>
          <w:rtl w:val="0"/>
        </w:rPr>
        <w:t xml:space="preserve"> mediante la cual requirió lo siguiente:</w:t>
      </w:r>
    </w:p>
    <w:p w:rsidR="00000000" w:rsidDel="00000000" w:rsidP="00000000" w:rsidRDefault="00000000" w:rsidRPr="00000000" w14:paraId="00000005">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 “Con fundamento en el artículo 7 de la Ley Federal de Transparencia y Acceso a la Información Pública Gubernamental solicito los puestos y cargos de las siguientes personas, los generales y municipio de procedencia, sus hojas de vida y el status de sus puestos ocupados en las administraciones publicas desde el año 2000, sus remuneraciones y tipo de contrato, convenio o plaza que ocupan, baja, alta o permanencia, remuneraciones económicas y bien sus puestos de desempeño, como sus perfiles profesionales. De ser baja se proporcione y exhiba documento que acredite el pago de lo devengado, periodo y finiquito por prestación con fundamento en lo establecido en el artículo 87 de la Ley Federal del Trabajo, además de la renuncia o destitución o acta administrativa, procedimientos o demás procesos del puesto de los citados de los ciudadanos: Nadia Nazareth Barrera Gómez y Yoanly Naylea Barrera Gómez. Puestos dentro del ayuntamiento y/o Organismos Auxiliares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rPr>
      </w:pPr>
      <w:bookmarkStart w:colFirst="0" w:colLast="0" w:name="_heading=h.3dy6vkm" w:id="3"/>
      <w:bookmarkEnd w:id="3"/>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tl w:val="0"/>
        </w:rPr>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veintisiete de mayo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del SAIMEX, sustancialmente en los términos siguientes:   </w:t>
      </w:r>
    </w:p>
    <w:p w:rsidR="00000000" w:rsidDel="00000000" w:rsidP="00000000" w:rsidRDefault="00000000" w:rsidRPr="00000000" w14:paraId="00000008">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ADJUNTA RESPUESTA EN DOCUMENTO...” (sic)</w:t>
      </w:r>
    </w:p>
    <w:p w:rsidR="00000000" w:rsidDel="00000000" w:rsidP="00000000" w:rsidRDefault="00000000" w:rsidRPr="00000000" w14:paraId="0000000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adjuntó lo siguiente:</w:t>
      </w:r>
    </w:p>
    <w:p w:rsidR="00000000" w:rsidDel="00000000" w:rsidP="00000000" w:rsidRDefault="00000000" w:rsidRPr="00000000" w14:paraId="0000000A">
      <w:pPr>
        <w:spacing w:after="240" w:before="240" w:line="360" w:lineRule="auto"/>
        <w:ind w:left="142"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HAJ/DA/956/2025, mediante el cual el Director de Administración en atención a la solicitud manifestó que luego de realizar una búsqueda exhaustiva de la información requerida en el archivo físico y la base de datos, no se cuenta con información adicional o registros en la plataforma BACKOFFICE – NECLARANET, relacionada con los oficios donde conste la información que se solicita, en virtud de que no existen personas servidoras públicas en el Sujeto Obligado que coincidan con el nombre de las personas descritas en la solicitud. Lo anterior de conformidad con los artículos 3, fracción XVIV, 7, 10, 11, 12, 19, 20, fracción IV, 53, fracción II, 59, fracciones I y II, y 163 de la Ley de Transparencia y Acceso a la Información Pública del Estado de México y Municipios.  </w:t>
      </w:r>
    </w:p>
    <w:p w:rsidR="00000000" w:rsidDel="00000000" w:rsidP="00000000" w:rsidRDefault="00000000" w:rsidRPr="00000000" w14:paraId="0000000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veintisiete de mayo de dos mil veinticinco,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0C">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0D">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“Respuesta sin fundamneto, ni motivación, se solicita información con precision y validación de revisión en los expedientes no solo 2025, se solicita revisar la petición a conciencia y bajo profesionalismo legal bajo las funciones inherentes al puesto del titular d etraparencia y responsabilidad de los ttulares de administración y/o Recursos humanos.” (sic)</w:t>
      </w:r>
    </w:p>
    <w:p w:rsidR="00000000" w:rsidDel="00000000" w:rsidP="00000000" w:rsidRDefault="00000000" w:rsidRPr="00000000" w14:paraId="0000000E">
      <w:pPr>
        <w:spacing w:line="360" w:lineRule="auto"/>
        <w:jc w:val="both"/>
        <w:rPr>
          <w:rFonts w:ascii="Palatino Linotype" w:cs="Palatino Linotype" w:eastAsia="Palatino Linotype" w:hAnsi="Palatino Linotype"/>
        </w:rPr>
      </w:pPr>
      <w:bookmarkStart w:colFirst="0" w:colLast="0" w:name="_heading=h.30j0zll" w:id="4"/>
      <w:bookmarkEnd w:id="4"/>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F">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da respuesta de forma ligera, sin motivación, sustento y validación de docuemnto interno de las areas respectivas como administración y recursos humanos” (sic)</w:t>
      </w:r>
    </w:p>
    <w:p w:rsidR="00000000" w:rsidDel="00000000" w:rsidP="00000000" w:rsidRDefault="00000000" w:rsidRPr="00000000" w14:paraId="0000001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1">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El</w:t>
      </w:r>
      <w:r w:rsidDel="00000000" w:rsidR="00000000" w:rsidRPr="00000000">
        <w:rPr>
          <w:rFonts w:ascii="Palatino Linotype" w:cs="Palatino Linotype" w:eastAsia="Palatino Linotype" w:hAnsi="Palatino Linotype"/>
          <w:b w:val="1"/>
          <w:rtl w:val="0"/>
        </w:rPr>
        <w:t xml:space="preserve"> treinta de mayo de dos mil veinticinco,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r w:rsidDel="00000000" w:rsidR="00000000" w:rsidRPr="00000000">
        <w:rPr>
          <w:rtl w:val="0"/>
        </w:rPr>
      </w:r>
    </w:p>
    <w:p w:rsidR="00000000" w:rsidDel="00000000" w:rsidP="00000000" w:rsidRDefault="00000000" w:rsidRPr="00000000" w14:paraId="00000012">
      <w:pPr>
        <w:spacing w:after="240" w:before="240" w:line="360" w:lineRule="auto"/>
        <w:jc w:val="both"/>
        <w:rPr>
          <w:rFonts w:ascii="Palatino Linotype" w:cs="Palatino Linotype" w:eastAsia="Palatino Linotype" w:hAnsi="Palatino Linotype"/>
        </w:rPr>
      </w:pPr>
      <w:bookmarkStart w:colFirst="0" w:colLast="0" w:name="_heading=h.2s8eyo1" w:id="5"/>
      <w:bookmarkEnd w:id="5"/>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las constancias que obran en el expediente electrónico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rindió su Informe Justificado, del mismo modo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omitió realizar manifestaciones, como se observa a continuación:</w:t>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330960"/>
            <wp:effectExtent b="0" l="0" r="0" t="0"/>
            <wp:docPr id="4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612130" cy="133096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rtl w:val="0"/>
        </w:rPr>
        <w:t xml:space="preserve">veintisiete de junio de dos mil veinticinco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8</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Ampliación del término para resolver</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cinco de agosto de dos mil veinticinco</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1B">
      <w:pPr>
        <w:numPr>
          <w:ilvl w:val="0"/>
          <w:numId w:val="1"/>
        </w:numPr>
        <w:tabs>
          <w:tab w:val="left" w:leader="none" w:pos="567"/>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1C">
      <w:pPr>
        <w:numPr>
          <w:ilvl w:val="0"/>
          <w:numId w:val="1"/>
        </w:numPr>
        <w:tabs>
          <w:tab w:val="left" w:leader="none" w:pos="567"/>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1D">
      <w:pPr>
        <w:numPr>
          <w:ilvl w:val="0"/>
          <w:numId w:val="1"/>
        </w:numPr>
        <w:tabs>
          <w:tab w:val="left" w:leader="none" w:pos="567"/>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1E">
      <w:pPr>
        <w:tabs>
          <w:tab w:val="left" w:leader="none" w:pos="567"/>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23">
      <w:pP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24">
      <w:pP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7">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rPr>
      </w:pPr>
      <w:bookmarkStart w:colFirst="0" w:colLast="0" w:name="_heading=h.tyjcwt" w:id="6"/>
      <w:bookmarkEnd w:id="6"/>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veintisiete de mayo de dos mil veinticinco,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se tuvo por presentado el día</w:t>
      </w:r>
      <w:r w:rsidDel="00000000" w:rsidR="00000000" w:rsidRPr="00000000">
        <w:rPr>
          <w:rFonts w:ascii="Palatino Linotype" w:cs="Palatino Linotype" w:eastAsia="Palatino Linotype" w:hAnsi="Palatino Linotype"/>
          <w:b w:val="1"/>
          <w:rtl w:val="0"/>
        </w:rPr>
        <w:t xml:space="preserve"> veintisiete de mayo de dos mil veinticinco, </w:t>
      </w:r>
      <w:r w:rsidDel="00000000" w:rsidR="00000000" w:rsidRPr="00000000">
        <w:rPr>
          <w:rFonts w:ascii="Palatino Linotype" w:cs="Palatino Linotype" w:eastAsia="Palatino Linotype" w:hAnsi="Palatino Linotype"/>
          <w:rtl w:val="0"/>
        </w:rPr>
        <w:t xml:space="preserve">esto es, el mismo día en el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000000" w:rsidDel="00000000" w:rsidP="00000000" w:rsidRDefault="00000000" w:rsidRPr="00000000" w14:paraId="0000002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“RECURSO DE RECLAMACIÓN. SU INTERPOSICIÓN NO ES EXTEMPORÁNEA SI SE REALIZA ANTES DE QUE INICIE EL PLAZO PARA HACERLO</w:t>
      </w:r>
      <w:r w:rsidDel="00000000" w:rsidR="00000000" w:rsidRPr="00000000">
        <w:rPr>
          <w:rFonts w:ascii="Palatino Linotype" w:cs="Palatino Linotype" w:eastAsia="Palatino Linotype" w:hAnsi="Palatino Linotype"/>
          <w:i w:val="1"/>
          <w:sz w:val="22"/>
          <w:szCs w:val="22"/>
          <w:rtl w:val="0"/>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000000" w:rsidDel="00000000" w:rsidP="00000000" w:rsidRDefault="00000000" w:rsidRPr="00000000" w14:paraId="0000002D">
      <w:pPr>
        <w:tabs>
          <w:tab w:val="left" w:leader="none" w:pos="7938"/>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fracciones I y III del ordenamiento legal citado, que a la letra dice: </w:t>
      </w:r>
    </w:p>
    <w:p w:rsidR="00000000" w:rsidDel="00000000" w:rsidP="00000000" w:rsidRDefault="00000000" w:rsidRPr="00000000" w14:paraId="0000002F">
      <w:pPr>
        <w:tabs>
          <w:tab w:val="left" w:leader="none" w:pos="7938"/>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0">
      <w:pPr>
        <w:tabs>
          <w:tab w:val="left" w:leader="none" w:pos="7938"/>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negativa a la información solicitada;</w:t>
      </w:r>
    </w:p>
    <w:p w:rsidR="00000000" w:rsidDel="00000000" w:rsidP="00000000" w:rsidRDefault="00000000" w:rsidRPr="00000000" w14:paraId="00000031">
      <w:pPr>
        <w:tabs>
          <w:tab w:val="left" w:leader="none" w:pos="7938"/>
        </w:tabs>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32">
      <w:pPr>
        <w:tabs>
          <w:tab w:val="left" w:leader="none" w:pos="7938"/>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declaración de inexistencia de la información;”</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información proporcionada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r w:rsidDel="00000000" w:rsidR="00000000" w:rsidRPr="00000000">
        <w:rPr>
          <w:rtl w:val="0"/>
        </w:rPr>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rPr>
      </w:pPr>
      <w:bookmarkStart w:colFirst="0" w:colLast="0" w:name="_heading=h.2et92p0" w:id="7"/>
      <w:bookmarkEnd w:id="7"/>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3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3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3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3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3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tl w:val="0"/>
        </w:rPr>
      </w:r>
    </w:p>
    <w:p w:rsidR="00000000" w:rsidDel="00000000" w:rsidP="00000000" w:rsidRDefault="00000000" w:rsidRPr="00000000" w14:paraId="0000003B">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Sirve de apoyo a lo anterior, el criterio orientador con clave de control SO/003/2017, emitido por el entonces Instituto Nacional de Transparencia, Acceso a la Información y Protección de Datos Personales, que, por rubro y texto, dispone lo siguiente: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3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3E">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3F">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4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4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4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4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4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4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4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4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049">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4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consistente en lo siguiente:</w:t>
      </w:r>
    </w:p>
    <w:p w:rsidR="00000000" w:rsidDel="00000000" w:rsidP="00000000" w:rsidRDefault="00000000" w:rsidRPr="00000000" w14:paraId="0000004C">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personas referidas en la solicitud de información, dentro del ayuntamiento y/o Organismos Auxiliares.</w:t>
      </w:r>
    </w:p>
    <w:p w:rsidR="00000000" w:rsidDel="00000000" w:rsidP="00000000" w:rsidRDefault="00000000" w:rsidRPr="00000000" w14:paraId="0000004D">
      <w:pPr>
        <w:spacing w:after="240" w:before="240" w:line="360" w:lineRule="auto"/>
        <w:ind w:left="567"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Puesto o cargo. </w:t>
      </w:r>
    </w:p>
    <w:p w:rsidR="00000000" w:rsidDel="00000000" w:rsidP="00000000" w:rsidRDefault="00000000" w:rsidRPr="00000000" w14:paraId="0000004E">
      <w:pPr>
        <w:spacing w:after="240" w:before="240" w:line="360" w:lineRule="auto"/>
        <w:ind w:left="567"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Hojas de vida, datos generales y sus perfiles profesionales. </w:t>
      </w:r>
    </w:p>
    <w:p w:rsidR="00000000" w:rsidDel="00000000" w:rsidP="00000000" w:rsidRDefault="00000000" w:rsidRPr="00000000" w14:paraId="0000004F">
      <w:pPr>
        <w:spacing w:after="240" w:before="240" w:line="360" w:lineRule="auto"/>
        <w:ind w:left="567"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 Municipio de procedencia. </w:t>
      </w:r>
    </w:p>
    <w:p w:rsidR="00000000" w:rsidDel="00000000" w:rsidP="00000000" w:rsidRDefault="00000000" w:rsidRPr="00000000" w14:paraId="00000050">
      <w:pPr>
        <w:spacing w:after="240" w:before="240" w:line="360" w:lineRule="auto"/>
        <w:ind w:left="567"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 Tipo de contrato, convenio o plaza que ocupan.</w:t>
      </w:r>
    </w:p>
    <w:p w:rsidR="00000000" w:rsidDel="00000000" w:rsidP="00000000" w:rsidRDefault="00000000" w:rsidRPr="00000000" w14:paraId="00000051">
      <w:pPr>
        <w:spacing w:after="240" w:before="240" w:line="360" w:lineRule="auto"/>
        <w:ind w:left="567"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5. Remuneraciones económicas.</w:t>
      </w:r>
    </w:p>
    <w:p w:rsidR="00000000" w:rsidDel="00000000" w:rsidP="00000000" w:rsidRDefault="00000000" w:rsidRPr="00000000" w14:paraId="00000052">
      <w:pPr>
        <w:spacing w:after="240" w:before="240" w:line="360" w:lineRule="auto"/>
        <w:ind w:left="567"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6. Estatus de los puestos ocupados en las administraciones públicas desde el año 2000.</w:t>
      </w:r>
    </w:p>
    <w:p w:rsidR="00000000" w:rsidDel="00000000" w:rsidP="00000000" w:rsidRDefault="00000000" w:rsidRPr="00000000" w14:paraId="00000053">
      <w:pPr>
        <w:spacing w:after="240" w:before="240" w:line="360" w:lineRule="auto"/>
        <w:ind w:left="567"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7. Baja, alta o permanencia.</w:t>
      </w:r>
    </w:p>
    <w:p w:rsidR="00000000" w:rsidDel="00000000" w:rsidP="00000000" w:rsidRDefault="00000000" w:rsidRPr="00000000" w14:paraId="00000054">
      <w:pPr>
        <w:spacing w:after="240" w:before="240" w:line="360" w:lineRule="auto"/>
        <w:ind w:left="567"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8. En caso de baja, el documento que acredite el pago de lo devengado, periodo y finiquito por prestación, además de la renuncia o destitución o acta administrativa, procedimientos o demás procesos del puesto.</w:t>
      </w:r>
    </w:p>
    <w:p w:rsidR="00000000" w:rsidDel="00000000" w:rsidP="00000000" w:rsidRDefault="00000000" w:rsidRPr="00000000" w14:paraId="00000055">
      <w:pPr>
        <w:spacing w:after="240" w:before="240" w:line="360" w:lineRule="auto"/>
        <w:ind w:right="49"/>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por conducto de la Dirección de Administración manifestó, en lo medular, que luego de realizar una búsqueda exhaustiva de la información requerida en el archivo físico y la base de datos, no se cuenta con información adicional o registros en la plataforma BACKOFFICE – NECLARANET, relacionada con los oficios donde conste la información que se solicita, en virtud de que no existen personas servidoras públicas en el Sujeto Obligado que coincidan con el nombre de las personas descritas en la solicitud. </w:t>
      </w:r>
      <w:r w:rsidDel="00000000" w:rsidR="00000000" w:rsidRPr="00000000">
        <w:rPr>
          <w:rtl w:val="0"/>
        </w:rPr>
      </w:r>
    </w:p>
    <w:p w:rsidR="00000000" w:rsidDel="00000000" w:rsidP="00000000" w:rsidRDefault="00000000" w:rsidRPr="00000000" w14:paraId="00000056">
      <w:pPr>
        <w:spacing w:after="240" w:before="240" w:line="360" w:lineRule="auto"/>
        <w:ind w:right="49"/>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rtl w:val="0"/>
        </w:rPr>
        <w:t xml:space="preserve">Derivado de lo anterior,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el recurso de revisión que se resuelve, por medio del cual refirió que se solicitó información con precisión y validación de revisión en los expedientes, no solo 2025, no obstante, considera que la respuesta se proporcionó sin motivación, sustento y validación del documento interno de las áreas respectivas como Administración y Recursos Humanos.</w:t>
      </w:r>
      <w:r w:rsidDel="00000000" w:rsidR="00000000" w:rsidRPr="00000000">
        <w:rPr>
          <w:rtl w:val="0"/>
        </w:rPr>
      </w:r>
    </w:p>
    <w:p w:rsidR="00000000" w:rsidDel="00000000" w:rsidP="00000000" w:rsidRDefault="00000000" w:rsidRPr="00000000" w14:paraId="0000005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Durante el periodo de manifestaciones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fue omiso en rendir su informe justificado, y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fue omisa en hacer valer manifestaciones o rendir alegatos que conforme a derecho resultaran procedentes, por lo tanto, se tiene por precluido su derecho.</w:t>
      </w:r>
    </w:p>
    <w:p w:rsidR="00000000" w:rsidDel="00000000" w:rsidP="00000000" w:rsidRDefault="00000000" w:rsidRPr="00000000" w14:paraId="00000058">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establecidas las posturas de las partes, se procede al análisis del requerimiento de información combatido, así como la información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contraposición con el motivo de inconformidad alegado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rsidR="00000000" w:rsidDel="00000000" w:rsidP="00000000" w:rsidRDefault="00000000" w:rsidRPr="00000000" w14:paraId="0000005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rsidR="00000000" w:rsidDel="00000000" w:rsidP="00000000" w:rsidRDefault="00000000" w:rsidRPr="00000000" w14:paraId="0000005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rsidR="00000000" w:rsidDel="00000000" w:rsidP="00000000" w:rsidRDefault="00000000" w:rsidRPr="00000000" w14:paraId="0000005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rsidR="00000000" w:rsidDel="00000000" w:rsidP="00000000" w:rsidRDefault="00000000" w:rsidRPr="00000000" w14:paraId="0000005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rsidR="00000000" w:rsidDel="00000000" w:rsidP="00000000" w:rsidRDefault="00000000" w:rsidRPr="00000000" w14:paraId="0000005D">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línea de pensamiento, derivado del análisis de las constancias que obran en el expediente electrónico en el que se actúa, se advirtió que la Unidad de Transparencia, turnó la solicitud de información a la Dirección de Administración como la dependencia responsable para conocer de la información que es del interés de la persona solicitante.</w:t>
      </w:r>
    </w:p>
    <w:p w:rsidR="00000000" w:rsidDel="00000000" w:rsidP="00000000" w:rsidRDefault="00000000" w:rsidRPr="00000000" w14:paraId="0000005E">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señalar que de conformidad con el artículo 61 del Bando Municipal de Jilotzingo, la </w:t>
      </w:r>
      <w:r w:rsidDel="00000000" w:rsidR="00000000" w:rsidRPr="00000000">
        <w:rPr>
          <w:rFonts w:ascii="Palatino Linotype" w:cs="Palatino Linotype" w:eastAsia="Palatino Linotype" w:hAnsi="Palatino Linotype"/>
          <w:b w:val="1"/>
          <w:rtl w:val="0"/>
        </w:rPr>
        <w:t xml:space="preserve">Dirección de Administración es la dependencia </w:t>
      </w:r>
      <w:r w:rsidDel="00000000" w:rsidR="00000000" w:rsidRPr="00000000">
        <w:rPr>
          <w:rFonts w:ascii="Palatino Linotype" w:cs="Palatino Linotype" w:eastAsia="Palatino Linotype" w:hAnsi="Palatino Linotype"/>
          <w:b w:val="1"/>
          <w:u w:val="single"/>
          <w:rtl w:val="0"/>
        </w:rPr>
        <w:t xml:space="preserve">encargada de gestionar los recursos humanos</w:t>
      </w:r>
      <w:r w:rsidDel="00000000" w:rsidR="00000000" w:rsidRPr="00000000">
        <w:rPr>
          <w:rFonts w:ascii="Palatino Linotype" w:cs="Palatino Linotype" w:eastAsia="Palatino Linotype" w:hAnsi="Palatino Linotype"/>
          <w:u w:val="single"/>
          <w:rtl w:val="0"/>
        </w:rPr>
        <w:t xml:space="preserve">,</w:t>
      </w:r>
      <w:r w:rsidDel="00000000" w:rsidR="00000000" w:rsidRPr="00000000">
        <w:rPr>
          <w:rFonts w:ascii="Palatino Linotype" w:cs="Palatino Linotype" w:eastAsia="Palatino Linotype" w:hAnsi="Palatino Linotype"/>
          <w:rtl w:val="0"/>
        </w:rPr>
        <w:t xml:space="preserve"> materiales, técnicos, tecnológicos, administrativos y de servicios de las unidades administrativas, así como los aspectos organizacionales, con el objetivo de garantizar que las personas servidoras públicas municipales puedan atender las demandas ciudadanas y cumplir con las funciones y atribuciones que se les asignen. </w:t>
      </w:r>
    </w:p>
    <w:p w:rsidR="00000000" w:rsidDel="00000000" w:rsidP="00000000" w:rsidRDefault="00000000" w:rsidRPr="00000000" w14:paraId="0000005F">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es la responsable de velar por el cumplimiento de las disposiciones jurídicas que regulan las relaciones entre el municipio y las personas servidoras públicas que se desempeñan en él, así como de controlar la prestación del servicio social en las dependencias, asegurando que sea inclusivo con las personas con discapacidad. Además, se encargará de la selección, contratación y capacitación del personal y de las personas servidoras públicas requeridas por las distintas dependencias de la Administración Pública Centralizada, conforme a la normatividad aplicable.</w:t>
      </w:r>
    </w:p>
    <w:p w:rsidR="00000000" w:rsidDel="00000000" w:rsidP="00000000" w:rsidRDefault="00000000" w:rsidRPr="00000000" w14:paraId="0000006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se colige que en el presente asunto el procedimiento de búsqueda, el cual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 se satisfizo, al haber sido atendida por el área competente para conocer de la misma.</w:t>
      </w:r>
    </w:p>
    <w:p w:rsidR="00000000" w:rsidDel="00000000" w:rsidP="00000000" w:rsidRDefault="00000000" w:rsidRPr="00000000" w14:paraId="00000061">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por lo que se refiere a la materia de la solicitud, la persona servidora pública habilitada de la Dirección de Administración refirió que derivado de la búsqueda exhaustiva de la información requerida en el archivo físico, la base de datos, y la plataforma BACKOFFICE – NECLARANET, no se localizó información o registro de las personas referidas en la plataforma, en virtud de que no existen personas servidoras públicas en el Sujeto Obligado que coincidan con el nombre de las personas descritas en la solicitud. </w:t>
      </w:r>
    </w:p>
    <w:p w:rsidR="00000000" w:rsidDel="00000000" w:rsidP="00000000" w:rsidRDefault="00000000" w:rsidRPr="00000000" w14:paraId="00000062">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tomando en consideración los términos de 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y los motivos de inconformidad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este Organismo Garante procedió a la consulta de la información publicada por el Sujeto Obligado en el portal de Información Pública de Oficio Mexiquense, IPOMEX, en las versiones 3.0 y 4.0 en cumplimiento a las obligaciones de transparencia previstas en las fracciones VII, VIII y  XXI, del artículo 92 de la Ley de Transparencia y Acceso a la Información Pública del Estado de México y Municipios, a saber:</w:t>
      </w:r>
    </w:p>
    <w:p w:rsidR="00000000" w:rsidDel="00000000" w:rsidP="00000000" w:rsidRDefault="00000000" w:rsidRPr="00000000" w14:paraId="00000063">
      <w:pPr>
        <w:spacing w:after="280" w:before="28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64">
      <w:pPr>
        <w:spacing w:after="280" w:before="28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5">
      <w:pPr>
        <w:spacing w:after="280" w:before="28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rsidR="00000000" w:rsidDel="00000000" w:rsidP="00000000" w:rsidRDefault="00000000" w:rsidRPr="00000000" w14:paraId="00000066">
      <w:pPr>
        <w:spacing w:after="280" w:before="28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000000" w:rsidDel="00000000" w:rsidP="00000000" w:rsidRDefault="00000000" w:rsidRPr="00000000" w14:paraId="00000067">
      <w:pPr>
        <w:spacing w:after="280" w:before="28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8">
      <w:pPr>
        <w:spacing w:after="280" w:before="28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w:t>
      </w:r>
      <w:r w:rsidDel="00000000" w:rsidR="00000000" w:rsidRPr="00000000">
        <w:rPr>
          <w:rFonts w:ascii="Palatino Linotype" w:cs="Palatino Linotype" w:eastAsia="Palatino Linotype" w:hAnsi="Palatino Linotype"/>
          <w:i w:val="1"/>
          <w:sz w:val="22"/>
          <w:szCs w:val="22"/>
          <w:rtl w:val="0"/>
        </w:rPr>
        <w:t xml:space="preserve"> La información curricular, desde el nivel de jefe de departamento o equivalente, hasta el titular del sujeto obligado, así como, en su caso, las sanciones administrativas de que haya sido objeto;”</w:t>
      </w:r>
    </w:p>
    <w:p w:rsidR="00000000" w:rsidDel="00000000" w:rsidP="00000000" w:rsidRDefault="00000000" w:rsidRPr="00000000" w14:paraId="00000069">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Dicha consulta se efectuó en los periodos disponibles, esto es: 2011-2015, 2015-2017, 2018-2023 y 2024-2025, sin embargo, no se localizó indicio alguno de la adscripción de las personas referidas en la solicitud en alguna de las dependencias que integran la estructura orgánica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6A">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por lo que se refiere a los Organismos Auxiliares, es de señalar que de conformidad con el artículo 49 del Bando Municipal, la administración pública descentralizada se compone del Sistema Municipal para el Desarrollo Integral de la Familia de Jilotzingo, y del Instituto Municipal de Cultura Física y Deporte de Jilotzingo, no obstante, en materia de transparencia dichas entidades públicas no son reconocidas como Sujetos Obligados independientes, como se desprende del Padrón de Sujetos Obligados en materia de Transparencia y Acceso a la Información Pública del Estado de México y Municipios, aprobado por el Pleno de este Instituto, y sus modificaciones, siendo el Ayuntamiento el responsable de transparentar la información de aquellos.</w:t>
      </w:r>
    </w:p>
    <w:p w:rsidR="00000000" w:rsidDel="00000000" w:rsidP="00000000" w:rsidRDefault="00000000" w:rsidRPr="00000000" w14:paraId="0000006B">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de la consulta en diversas fuentes se localizó información que da cuenta de la adscripción de las personas referidas al Ayuntamiento de Nicolás Romero, así como al Organismo Público Descentralizado para la Prestación de los Servicios de Agua Potable, Alcantarillado y Saneamiento de Nicolás Romero, como se ilustra a continuación:</w:t>
      </w:r>
    </w:p>
    <w:p w:rsidR="00000000" w:rsidDel="00000000" w:rsidP="00000000" w:rsidRDefault="00000000" w:rsidRPr="00000000" w14:paraId="0000006C">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Nadia Nazareth Barrera Gómez</w:t>
      </w:r>
      <w:r w:rsidDel="00000000" w:rsidR="00000000" w:rsidRPr="00000000">
        <w:rPr>
          <w:rFonts w:ascii="Palatino Linotype" w:cs="Palatino Linotype" w:eastAsia="Palatino Linotype" w:hAnsi="Palatino Linotype"/>
          <w:sz w:val="22"/>
          <w:szCs w:val="22"/>
          <w:rtl w:val="0"/>
        </w:rPr>
        <w:t xml:space="preserve"> – Ayuntamiento de </w:t>
      </w:r>
      <w:r w:rsidDel="00000000" w:rsidR="00000000" w:rsidRPr="00000000">
        <w:rPr>
          <w:rFonts w:ascii="Palatino Linotype" w:cs="Palatino Linotype" w:eastAsia="Palatino Linotype" w:hAnsi="Palatino Linotype"/>
          <w:b w:val="1"/>
          <w:sz w:val="22"/>
          <w:szCs w:val="22"/>
          <w:rtl w:val="0"/>
        </w:rPr>
        <w:t xml:space="preserve">Nicolás Romero</w:t>
      </w:r>
      <w:r w:rsidDel="00000000" w:rsidR="00000000" w:rsidRPr="00000000">
        <w:rPr>
          <w:rtl w:val="0"/>
        </w:rPr>
      </w:r>
    </w:p>
    <w:p w:rsidR="00000000" w:rsidDel="00000000" w:rsidP="00000000" w:rsidRDefault="00000000" w:rsidRPr="00000000" w14:paraId="0000006D">
      <w:pPr>
        <w:spacing w:after="280" w:before="28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680000" cy="3517149"/>
            <wp:effectExtent b="0" l="0" r="0" t="0"/>
            <wp:docPr id="48"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680000" cy="3517149"/>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280" w:before="28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680000" cy="1909491"/>
            <wp:effectExtent b="0" l="0" r="0" t="0"/>
            <wp:docPr id="4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680000" cy="1909491"/>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280" w:before="280" w:line="36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0">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Yoanly Naylea Barrera Gómez </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Organismo Público Descentralizado para la Prestación de los Servicios de Agua Potable, Alcantarillado y Saneamiento de </w:t>
      </w:r>
      <w:r w:rsidDel="00000000" w:rsidR="00000000" w:rsidRPr="00000000">
        <w:rPr>
          <w:rFonts w:ascii="Palatino Linotype" w:cs="Palatino Linotype" w:eastAsia="Palatino Linotype" w:hAnsi="Palatino Linotype"/>
          <w:b w:val="1"/>
          <w:rtl w:val="0"/>
        </w:rPr>
        <w:t xml:space="preserve">Nicolás Romero</w:t>
      </w:r>
      <w:r w:rsidDel="00000000" w:rsidR="00000000" w:rsidRPr="00000000">
        <w:rPr>
          <w:rtl w:val="0"/>
        </w:rPr>
      </w:r>
    </w:p>
    <w:p w:rsidR="00000000" w:rsidDel="00000000" w:rsidP="00000000" w:rsidRDefault="00000000" w:rsidRPr="00000000" w14:paraId="00000071">
      <w:pPr>
        <w:spacing w:after="280" w:before="280" w:line="360" w:lineRule="auto"/>
        <w:jc w:val="center"/>
        <w:rPr>
          <w:rFonts w:ascii="Palatino Linotype" w:cs="Palatino Linotype" w:eastAsia="Palatino Linotype" w:hAnsi="Palatino Linotype"/>
          <w:i w:val="1"/>
          <w:sz w:val="22"/>
          <w:szCs w:val="22"/>
        </w:rPr>
      </w:pPr>
      <w:r w:rsidDel="00000000" w:rsidR="00000000" w:rsidRPr="00000000">
        <w:rPr/>
        <w:drawing>
          <wp:inline distB="0" distT="0" distL="0" distR="0">
            <wp:extent cx="4320000" cy="3181590"/>
            <wp:effectExtent b="0" l="0" r="0" t="0"/>
            <wp:docPr id="5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320000" cy="3181590"/>
                    </a:xfrm>
                    <a:prstGeom prst="rect"/>
                    <a:ln/>
                  </pic:spPr>
                </pic:pic>
              </a:graphicData>
            </a:graphic>
          </wp:inline>
        </w:drawing>
      </w:r>
      <w:r w:rsidDel="00000000" w:rsidR="00000000" w:rsidRPr="00000000">
        <w:rPr>
          <w:rFonts w:ascii="Palatino Linotype" w:cs="Palatino Linotype" w:eastAsia="Palatino Linotype" w:hAnsi="Palatino Linotype"/>
          <w:i w:val="1"/>
          <w:sz w:val="22"/>
          <w:szCs w:val="22"/>
        </w:rPr>
        <w:drawing>
          <wp:inline distB="0" distT="0" distL="0" distR="0">
            <wp:extent cx="3960000" cy="2925861"/>
            <wp:effectExtent b="0" l="0" r="0" t="0"/>
            <wp:docPr id="4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960000" cy="2925861"/>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basta con la aseveración por parte del servidor público habilitado de la Dirección de Administración, como el área competente para conocer de la información requerida respeto de la inexistencia de la misma; siendo que de conformidad con lo establecido en el artículo 12, segundo párrafo de la Ley de Transparencia y Acceso a la Información Pública del Estado de México y Municipios, los Sujetos Obligados sólo proporcionaran la información pública que se les requiera y que obre en sus archivos y en el estado en que ésta se encuentre, en sentido contrario, no están obligados a proporcionar lo que no tengan en sus archivos.</w:t>
      </w:r>
    </w:p>
    <w:p w:rsidR="00000000" w:rsidDel="00000000" w:rsidP="00000000" w:rsidRDefault="00000000" w:rsidRPr="00000000" w14:paraId="00000073">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 menos aún, los Sujetos Obligados se encuentran obligados a generar documentos a fin de atender las solicitudes de acceso a la información que les sean formuladas, tal y como se desprende del mismo texto del artículo 12 de la Ley de la Materia en consulta.</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respecto al pronunciamiento emitido por la persona servidora pública habilitada competente a fin de dar respuesta a la solicitud planteada, este Pleno considera necesario dejar claro que no está facultado para manifestarse sobre la veracidad de la información proporcionada, conforme lo prevé el artículo 36 de la Ley de Transparencia y Acceso a la Información Pública del Estado de México y Municipios.</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Sin embargo, se dejan a salvo los derechos de la persona solicitante, para que, en caso de considerarlo oportuno a sus intereses, pueda presentar la solicitud ante el o los Sujetos Obligados competentes, a través de una nueva solicitud.</w:t>
      </w:r>
      <w:r w:rsidDel="00000000" w:rsidR="00000000" w:rsidRPr="00000000">
        <w:rPr>
          <w:rtl w:val="0"/>
        </w:rPr>
      </w:r>
    </w:p>
    <w:p w:rsidR="00000000" w:rsidDel="00000000" w:rsidP="00000000" w:rsidRDefault="00000000" w:rsidRPr="00000000" w14:paraId="00000076">
      <w:pPr>
        <w:tabs>
          <w:tab w:val="left" w:leader="none" w:pos="851"/>
        </w:tabs>
        <w:spacing w:after="240" w:before="240" w:line="360" w:lineRule="auto"/>
        <w:ind w:right="1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lo expuesto, se concluye que los motivos de inconformidad de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devienen infundados, siendo procedente </w:t>
      </w:r>
      <w:r w:rsidDel="00000000" w:rsidR="00000000" w:rsidRPr="00000000">
        <w:rPr>
          <w:rFonts w:ascii="Palatino Linotype" w:cs="Palatino Linotype" w:eastAsia="Palatino Linotype" w:hAnsi="Palatino Linotype"/>
          <w:i w:val="1"/>
          <w:sz w:val="22"/>
          <w:szCs w:val="22"/>
          <w:rtl w:val="0"/>
        </w:rPr>
        <w:t xml:space="preserve">Confirmar </w:t>
      </w:r>
      <w:r w:rsidDel="00000000" w:rsidR="00000000" w:rsidRPr="00000000">
        <w:rPr>
          <w:rFonts w:ascii="Palatino Linotype" w:cs="Palatino Linotype" w:eastAsia="Palatino Linotype" w:hAnsi="Palatino Linotype"/>
          <w:sz w:val="22"/>
          <w:szCs w:val="22"/>
          <w:rtl w:val="0"/>
        </w:rPr>
        <w:t xml:space="preserve">la respuesta proporcionada por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términos del artículo 186, fracción II de la Ley de Transparencia y Acceso a la Información Pública del Estado de México y Municipios.</w:t>
      </w:r>
    </w:p>
    <w:p w:rsidR="00000000" w:rsidDel="00000000" w:rsidP="00000000" w:rsidRDefault="00000000" w:rsidRPr="00000000" w14:paraId="0000007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079">
      <w:pPr>
        <w:spacing w:after="240" w:before="240" w:line="360" w:lineRule="auto"/>
        <w:jc w:val="both"/>
        <w:rPr>
          <w:rFonts w:ascii="Palatino Linotype" w:cs="Palatino Linotype" w:eastAsia="Palatino Linotype" w:hAnsi="Palatino Linotype"/>
        </w:rPr>
      </w:pPr>
      <w:bookmarkStart w:colFirst="0" w:colLast="0" w:name="_heading=h.1t3h5sf" w:id="8"/>
      <w:bookmarkEnd w:id="8"/>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Son </w:t>
      </w:r>
      <w:r w:rsidDel="00000000" w:rsidR="00000000" w:rsidRPr="00000000">
        <w:rPr>
          <w:rFonts w:ascii="Palatino Linotype" w:cs="Palatino Linotype" w:eastAsia="Palatino Linotype" w:hAnsi="Palatino Linotype"/>
          <w:b w:val="1"/>
          <w:rtl w:val="0"/>
        </w:rPr>
        <w:t xml:space="preserve">infundadas</w:t>
      </w:r>
      <w:r w:rsidDel="00000000" w:rsidR="00000000" w:rsidRPr="00000000">
        <w:rPr>
          <w:rFonts w:ascii="Palatino Linotype" w:cs="Palatino Linotype" w:eastAsia="Palatino Linotype" w:hAnsi="Palatino Linotype"/>
          <w:rtl w:val="0"/>
        </w:rPr>
        <w:t xml:space="preserve">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06089/INFOEM/IP/RR/2025</w:t>
      </w:r>
      <w:r w:rsidDel="00000000" w:rsidR="00000000" w:rsidRPr="00000000">
        <w:rPr>
          <w:rFonts w:ascii="Palatino Linotype" w:cs="Palatino Linotype" w:eastAsia="Palatino Linotype" w:hAnsi="Palatino Linotype"/>
          <w:rtl w:val="0"/>
        </w:rPr>
        <w:t xml:space="preserve">, por lo que, en términos de los argumentos de derecho señalados en 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se</w:t>
      </w:r>
      <w:r w:rsidDel="00000000" w:rsidR="00000000" w:rsidRPr="00000000">
        <w:rPr>
          <w:rFonts w:ascii="Palatino Linotype" w:cs="Palatino Linotype" w:eastAsia="Palatino Linotype" w:hAnsi="Palatino Linotype"/>
          <w:b w:val="1"/>
          <w:rtl w:val="0"/>
        </w:rPr>
        <w:t xml:space="preserve"> Confirma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7A">
      <w:pPr>
        <w:spacing w:after="240" w:before="240" w:line="360" w:lineRule="auto"/>
        <w:jc w:val="both"/>
        <w:rPr>
          <w:rFonts w:ascii="Palatino Linotype" w:cs="Palatino Linotype" w:eastAsia="Palatino Linotype" w:hAnsi="Palatino Linotype"/>
        </w:rPr>
      </w:pPr>
      <w:bookmarkStart w:colFirst="0" w:colLast="0" w:name="_heading=h.lnxbz9" w:id="9"/>
      <w:bookmarkEnd w:id="9"/>
      <w:r w:rsidDel="00000000" w:rsidR="00000000" w:rsidRPr="00000000">
        <w:rPr>
          <w:rFonts w:ascii="Palatino Linotype" w:cs="Palatino Linotype" w:eastAsia="Palatino Linotype" w:hAnsi="Palatino Linotype"/>
          <w:b w:val="1"/>
          <w:rtl w:val="0"/>
        </w:rPr>
        <w:t xml:space="preserve">Segundo.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su conocimiento, la presente resolución.</w:t>
      </w:r>
    </w:p>
    <w:p w:rsidR="00000000" w:rsidDel="00000000" w:rsidP="00000000" w:rsidRDefault="00000000" w:rsidRPr="00000000" w14:paraId="0000007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7C">
      <w:pPr>
        <w:tabs>
          <w:tab w:val="left" w:leader="none" w:pos="8647"/>
        </w:tabs>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DIEZ DE SEPTIEMBRE DE DOS MIL VEINTICINCO, ANTE EL SECRETARIO TÉCNICO DEL PLENO ALEXIS TAPIA RAMÍREZ.</w:t>
      </w:r>
    </w:p>
    <w:p w:rsidR="00000000" w:rsidDel="00000000" w:rsidP="00000000" w:rsidRDefault="00000000" w:rsidRPr="00000000" w14:paraId="0000007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E">
      <w:pPr>
        <w:spacing w:line="36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0">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-1080090</wp:posOffset>
          </wp:positionH>
          <wp:positionV relativeFrom="paragraph">
            <wp:posOffset>-488261</wp:posOffset>
          </wp:positionV>
          <wp:extent cx="7809865" cy="10165715"/>
          <wp:effectExtent b="0" l="0" r="0" t="0"/>
          <wp:wrapNone/>
          <wp:docPr id="4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p w:rsidR="00000000" w:rsidDel="00000000" w:rsidP="00000000" w:rsidRDefault="00000000" w:rsidRPr="00000000" w14:paraId="0000009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93">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06089/INFOEM/IP/RR/2025</w:t>
          </w:r>
        </w:p>
      </w:tc>
    </w:tr>
    <w:tr>
      <w:trPr>
        <w:cantSplit w:val="0"/>
        <w:trHeight w:val="228" w:hRule="atLeast"/>
        <w:tblHeader w:val="0"/>
      </w:trPr>
      <w:tc>
        <w:tcPr>
          <w:vAlign w:val="center"/>
        </w:tcPr>
        <w:p w:rsidR="00000000" w:rsidDel="00000000" w:rsidP="00000000" w:rsidRDefault="00000000" w:rsidRPr="00000000" w14:paraId="0000009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95">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Jilotzingo</w:t>
          </w:r>
        </w:p>
      </w:tc>
    </w:tr>
    <w:tr>
      <w:trPr>
        <w:cantSplit w:val="0"/>
        <w:tblHeader w:val="0"/>
      </w:trPr>
      <w:tc>
        <w:tcPr>
          <w:vAlign w:val="center"/>
        </w:tcPr>
        <w:p w:rsidR="00000000" w:rsidDel="00000000" w:rsidP="00000000" w:rsidRDefault="00000000" w:rsidRPr="00000000" w14:paraId="00000096">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97">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98">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-1080132</wp:posOffset>
          </wp:positionH>
          <wp:positionV relativeFrom="paragraph">
            <wp:posOffset>-369891</wp:posOffset>
          </wp:positionV>
          <wp:extent cx="7809865" cy="10165715"/>
          <wp:effectExtent b="0" l="0" r="0" t="0"/>
          <wp:wrapNone/>
          <wp:docPr id="4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p w:rsidR="00000000" w:rsidDel="00000000" w:rsidP="00000000" w:rsidRDefault="00000000" w:rsidRPr="00000000" w14:paraId="0000009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9B">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06089/INFOEM/IP/RR/2025</w:t>
          </w:r>
        </w:p>
      </w:tc>
    </w:tr>
    <w:tr>
      <w:trPr>
        <w:cantSplit w:val="0"/>
        <w:tblHeader w:val="0"/>
      </w:trPr>
      <w:tc>
        <w:tcPr/>
        <w:p w:rsidR="00000000" w:rsidDel="00000000" w:rsidP="00000000" w:rsidRDefault="00000000" w:rsidRPr="00000000" w14:paraId="0000009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09D">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 XXXXXXXXX XXXXXXXXX </w:t>
          </w:r>
        </w:p>
      </w:tc>
    </w:tr>
    <w:tr>
      <w:trPr>
        <w:cantSplit w:val="0"/>
        <w:trHeight w:val="228" w:hRule="atLeast"/>
        <w:tblHeader w:val="0"/>
      </w:trPr>
      <w:tc>
        <w:tcPr>
          <w:vAlign w:val="center"/>
        </w:tcPr>
        <w:p w:rsidR="00000000" w:rsidDel="00000000" w:rsidP="00000000" w:rsidRDefault="00000000" w:rsidRPr="00000000" w14:paraId="0000009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9F">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Jilotzingo</w:t>
          </w:r>
        </w:p>
      </w:tc>
    </w:tr>
    <w:tr>
      <w:trPr>
        <w:cantSplit w:val="0"/>
        <w:tblHeader w:val="0"/>
      </w:trPr>
      <w:tc>
        <w:tcPr>
          <w:vAlign w:val="center"/>
        </w:tcPr>
        <w:p w:rsidR="00000000" w:rsidDel="00000000" w:rsidP="00000000" w:rsidRDefault="00000000" w:rsidRPr="00000000" w14:paraId="000000A0">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A1">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A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table" w:styleId="TableNormalf" w:customStyle="1">
    <w:name w:val="Table Normal"/>
    <w:tblPr>
      <w:tblCellMar>
        <w:top w:w="0.0" w:type="dxa"/>
        <w:left w:w="0.0" w:type="dxa"/>
        <w:bottom w:w="0.0" w:type="dxa"/>
        <w:right w:w="0.0" w:type="dxa"/>
      </w:tblCellMar>
    </w:tblPr>
  </w:style>
  <w:style w:type="table" w:styleId="TableNormalf0" w:customStyle="1">
    <w:name w:val="Table Normal"/>
    <w:tblPr>
      <w:tblCellMar>
        <w:top w:w="0.0" w:type="dxa"/>
        <w:left w:w="0.0" w:type="dxa"/>
        <w:bottom w:w="0.0" w:type="dxa"/>
        <w:right w:w="0.0" w:type="dxa"/>
      </w:tblCellMar>
    </w:tblPr>
  </w:style>
  <w:style w:type="table" w:styleId="TableNormalf1" w:customStyle="1">
    <w:name w:val="Table Normal"/>
    <w:tblPr>
      <w:tblCellMar>
        <w:top w:w="0.0" w:type="dxa"/>
        <w:left w:w="0.0" w:type="dxa"/>
        <w:bottom w:w="0.0" w:type="dxa"/>
        <w:right w:w="0.0" w:type="dxa"/>
      </w:tblCellMar>
    </w:tblPr>
  </w:style>
  <w:style w:type="table" w:styleId="a" w:customStyle="1">
    <w:basedOn w:val="TableNormalf1"/>
    <w:tblPr>
      <w:tblStyleRowBandSize w:val="1"/>
      <w:tblStyleColBandSize w:val="1"/>
      <w:tblCellMar>
        <w:left w:w="115.0" w:type="dxa"/>
        <w:right w:w="115.0" w:type="dxa"/>
      </w:tblCellMar>
    </w:tblPr>
  </w:style>
  <w:style w:type="table" w:styleId="a0" w:customStyle="1">
    <w:basedOn w:val="TableNormalf1"/>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0D197B"/>
    <w:pPr>
      <w:tabs>
        <w:tab w:val="center" w:pos="4419"/>
        <w:tab w:val="right" w:pos="8838"/>
      </w:tabs>
    </w:pPr>
  </w:style>
  <w:style w:type="character" w:styleId="EncabezadoCar" w:customStyle="1">
    <w:name w:val="Encabezado Car"/>
    <w:basedOn w:val="Fuentedeprrafopredeter"/>
    <w:link w:val="Encabezado"/>
    <w:uiPriority w:val="99"/>
    <w:rsid w:val="000D197B"/>
  </w:style>
  <w:style w:type="paragraph" w:styleId="Piedepgina">
    <w:name w:val="footer"/>
    <w:basedOn w:val="Normal"/>
    <w:link w:val="PiedepginaCar"/>
    <w:uiPriority w:val="99"/>
    <w:unhideWhenUsed w:val="1"/>
    <w:rsid w:val="000D197B"/>
    <w:pPr>
      <w:tabs>
        <w:tab w:val="center" w:pos="4419"/>
        <w:tab w:val="right" w:pos="8838"/>
      </w:tabs>
    </w:pPr>
  </w:style>
  <w:style w:type="character" w:styleId="PiedepginaCar" w:customStyle="1">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C43334"/>
    <w:pPr>
      <w:ind w:left="720"/>
      <w:contextualSpacing w:val="1"/>
    </w:pPr>
  </w:style>
  <w:style w:type="paragraph" w:styleId="NormalWeb">
    <w:name w:val="Normal (Web)"/>
    <w:basedOn w:val="Normal"/>
    <w:uiPriority w:val="99"/>
    <w:semiHidden w:val="1"/>
    <w:unhideWhenUsed w:val="1"/>
    <w:rsid w:val="00476335"/>
    <w:pPr>
      <w:spacing w:after="100" w:afterAutospacing="1" w:before="100" w:before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806B5C"/>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806B5C"/>
    <w:rPr>
      <w:rFonts w:asciiTheme="minorHAnsi" w:cstheme="minorBidi" w:eastAsiaTheme="minorHAnsi" w:hAnsiTheme="minorHAns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806B5C"/>
    <w:rPr>
      <w:vertAlign w:val="superscript"/>
    </w:rPr>
  </w:style>
  <w:style w:type="table" w:styleId="a1" w:customStyle="1">
    <w:basedOn w:val="TableNormalf1"/>
    <w:tblPr>
      <w:tblStyleRowBandSize w:val="1"/>
      <w:tblStyleColBandSize w:val="1"/>
      <w:tblCellMar>
        <w:left w:w="115.0" w:type="dxa"/>
        <w:right w:w="115.0" w:type="dxa"/>
      </w:tblCellMar>
    </w:tblPr>
  </w:style>
  <w:style w:type="table" w:styleId="a2" w:customStyle="1">
    <w:basedOn w:val="TableNormalf1"/>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504D6C"/>
    <w:rPr>
      <w:color w:val="0000ff" w:themeColor="hyperlink"/>
      <w:u w:val="single"/>
    </w:rPr>
  </w:style>
  <w:style w:type="character" w:styleId="Hipervnculovisitado">
    <w:name w:val="FollowedHyperlink"/>
    <w:basedOn w:val="Fuentedeprrafopredeter"/>
    <w:uiPriority w:val="99"/>
    <w:semiHidden w:val="1"/>
    <w:unhideWhenUsed w:val="1"/>
    <w:rsid w:val="00504D6C"/>
    <w:rPr>
      <w:color w:val="800080" w:themeColor="followedHyperlink"/>
      <w:u w:val="single"/>
    </w:rPr>
  </w:style>
  <w:style w:type="table" w:styleId="Tablaconcuadrcula">
    <w:name w:val="Table Grid"/>
    <w:basedOn w:val="Tablanormal"/>
    <w:uiPriority w:val="39"/>
    <w:rsid w:val="00134AD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3" w:customStyle="1">
    <w:basedOn w:val="TableNormalf0"/>
    <w:tblPr>
      <w:tblStyleRowBandSize w:val="1"/>
      <w:tblStyleColBandSize w:val="1"/>
      <w:tblCellMar>
        <w:left w:w="115.0" w:type="dxa"/>
        <w:right w:w="115.0" w:type="dxa"/>
      </w:tblCellMar>
    </w:tblPr>
  </w:style>
  <w:style w:type="table" w:styleId="a4" w:customStyle="1">
    <w:basedOn w:val="TableNormalf0"/>
    <w:tblPr>
      <w:tblStyleRowBandSize w:val="1"/>
      <w:tblStyleColBandSize w:val="1"/>
      <w:tblCellMar>
        <w:left w:w="115.0" w:type="dxa"/>
        <w:right w:w="115.0" w:type="dxa"/>
      </w:tblCellMar>
    </w:tblPr>
  </w:style>
  <w:style w:type="paragraph" w:styleId="Listaconvietas3">
    <w:name w:val="List Bullet 3"/>
    <w:basedOn w:val="Normal"/>
    <w:uiPriority w:val="99"/>
    <w:unhideWhenUsed w:val="1"/>
    <w:rsid w:val="005E017B"/>
    <w:pPr>
      <w:numPr>
        <w:numId w:val="1"/>
      </w:numPr>
      <w:contextualSpacing w:val="1"/>
    </w:pPr>
  </w:style>
  <w:style w:type="character" w:styleId="yt-core-attributed-string--link-inherit-color" w:customStyle="1">
    <w:name w:val="yt-core-attributed-string--link-inherit-color"/>
    <w:basedOn w:val="Fuentedeprrafopredeter"/>
    <w:rsid w:val="00EA0BEF"/>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val="1"/>
    <w:locked w:val="1"/>
    <w:rsid w:val="00452086"/>
  </w:style>
  <w:style w:type="character" w:styleId="Mencinsinresolver1" w:customStyle="1">
    <w:name w:val="Mención sin resolver1"/>
    <w:basedOn w:val="Fuentedeprrafopredeter"/>
    <w:uiPriority w:val="99"/>
    <w:semiHidden w:val="1"/>
    <w:unhideWhenUsed w:val="1"/>
    <w:rsid w:val="00C64B15"/>
    <w:rPr>
      <w:color w:val="605e5c"/>
      <w:shd w:color="auto" w:fill="e1dfdd" w:val="clear"/>
    </w:rPr>
  </w:style>
  <w:style w:type="paragraph" w:styleId="Default" w:customStyle="1">
    <w:name w:val="Default"/>
    <w:rsid w:val="00B92077"/>
    <w:pPr>
      <w:autoSpaceDE w:val="0"/>
      <w:autoSpaceDN w:val="0"/>
      <w:adjustRightInd w:val="0"/>
    </w:pPr>
    <w:rPr>
      <w:rFonts w:ascii="Arial" w:cs="Arial" w:hAnsi="Arial"/>
      <w:color w:val="000000"/>
    </w:rPr>
  </w:style>
  <w:style w:type="character" w:styleId="Mencinsinresolver2" w:customStyle="1">
    <w:name w:val="Mención sin resolver2"/>
    <w:basedOn w:val="Fuentedeprrafopredeter"/>
    <w:uiPriority w:val="99"/>
    <w:semiHidden w:val="1"/>
    <w:unhideWhenUsed w:val="1"/>
    <w:rsid w:val="00251B93"/>
    <w:rPr>
      <w:color w:val="605e5c"/>
      <w:shd w:color="auto" w:fill="e1dfdd" w:val="clear"/>
    </w:rPr>
  </w:style>
  <w:style w:type="paragraph" w:styleId="Textodeglobo">
    <w:name w:val="Balloon Text"/>
    <w:basedOn w:val="Normal"/>
    <w:link w:val="TextodegloboCar"/>
    <w:uiPriority w:val="99"/>
    <w:semiHidden w:val="1"/>
    <w:unhideWhenUsed w:val="1"/>
    <w:rsid w:val="00DD0D64"/>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D0D64"/>
    <w:rPr>
      <w:rFonts w:ascii="Segoe UI" w:cs="Segoe UI" w:hAnsi="Segoe UI"/>
      <w:sz w:val="18"/>
      <w:szCs w:val="18"/>
    </w:rPr>
  </w:style>
  <w:style w:type="paragraph" w:styleId="Sinespaciado">
    <w:name w:val="No Spacing"/>
    <w:aliases w:val="Francesa"/>
    <w:link w:val="SinespaciadoCar"/>
    <w:uiPriority w:val="1"/>
    <w:qFormat w:val="1"/>
    <w:rsid w:val="000D0148"/>
    <w:rPr>
      <w:rFonts w:asciiTheme="minorHAnsi" w:cstheme="minorBidi" w:eastAsiaTheme="minorHAnsi" w:hAnsiTheme="minorHAnsi"/>
      <w:sz w:val="22"/>
      <w:szCs w:val="22"/>
      <w:lang w:eastAsia="en-US"/>
    </w:rPr>
  </w:style>
  <w:style w:type="character" w:styleId="SinespaciadoCar" w:customStyle="1">
    <w:name w:val="Sin espaciado Car"/>
    <w:aliases w:val="Francesa Car"/>
    <w:link w:val="Sinespaciado"/>
    <w:uiPriority w:val="1"/>
    <w:locked w:val="1"/>
    <w:rsid w:val="000D0148"/>
    <w:rPr>
      <w:rFonts w:asciiTheme="minorHAnsi" w:cstheme="minorBidi" w:eastAsiaTheme="minorHAnsi" w:hAnsiTheme="minorHAnsi"/>
      <w:sz w:val="22"/>
      <w:szCs w:val="22"/>
      <w:lang w:eastAsia="en-US"/>
    </w:rPr>
  </w:style>
  <w:style w:type="paragraph" w:styleId="rtejustify" w:customStyle="1">
    <w:name w:val="rtejustify"/>
    <w:basedOn w:val="Normal"/>
    <w:rsid w:val="00876EB7"/>
    <w:pPr>
      <w:spacing w:after="100" w:afterAutospacing="1" w:before="100" w:beforeAutospacing="1"/>
    </w:pPr>
  </w:style>
  <w:style w:type="table" w:styleId="a5" w:customStyle="1">
    <w:basedOn w:val="TableNormalf"/>
    <w:tblPr>
      <w:tblStyleRowBandSize w:val="1"/>
      <w:tblStyleColBandSize w:val="1"/>
      <w:tblCellMar>
        <w:left w:w="108.0" w:type="dxa"/>
        <w:right w:w="108.0" w:type="dxa"/>
      </w:tblCellMar>
    </w:tblPr>
  </w:style>
  <w:style w:type="table" w:styleId="a6" w:customStyle="1">
    <w:basedOn w:val="TableNormalf"/>
    <w:tblPr>
      <w:tblStyleRowBandSize w:val="1"/>
      <w:tblStyleColBandSize w:val="1"/>
      <w:tblCellMar>
        <w:left w:w="108.0" w:type="dxa"/>
        <w:right w:w="108.0" w:type="dxa"/>
      </w:tblCellMar>
    </w:tblPr>
  </w:style>
  <w:style w:type="table" w:styleId="a7" w:customStyle="1">
    <w:basedOn w:val="TableNormalf"/>
    <w:tblPr>
      <w:tblStyleRowBandSize w:val="1"/>
      <w:tblStyleColBandSize w:val="1"/>
      <w:tblCellMar>
        <w:left w:w="108.0" w:type="dxa"/>
        <w:right w:w="108.0" w:type="dxa"/>
      </w:tblCellMar>
    </w:tblPr>
  </w:style>
  <w:style w:type="table" w:styleId="a8" w:customStyle="1">
    <w:basedOn w:val="TableNormalf"/>
    <w:tblPr>
      <w:tblStyleRowBandSize w:val="1"/>
      <w:tblStyleColBandSize w:val="1"/>
      <w:tblCellMar>
        <w:left w:w="108.0" w:type="dxa"/>
        <w:right w:w="108.0" w:type="dxa"/>
      </w:tblCellMar>
    </w:tblPr>
  </w:style>
  <w:style w:type="table" w:styleId="a9" w:customStyle="1">
    <w:basedOn w:val="TableNormalf"/>
    <w:tblPr>
      <w:tblStyleRowBandSize w:val="1"/>
      <w:tblStyleColBandSize w:val="1"/>
      <w:tblCellMar>
        <w:left w:w="108.0" w:type="dxa"/>
        <w:right w:w="108.0" w:type="dxa"/>
      </w:tblCellMar>
    </w:tblPr>
  </w:style>
  <w:style w:type="table" w:styleId="aa" w:customStyle="1">
    <w:basedOn w:val="TableNormalf"/>
    <w:tblPr>
      <w:tblStyleRowBandSize w:val="1"/>
      <w:tblStyleColBandSize w:val="1"/>
      <w:tblCellMar>
        <w:left w:w="115.0" w:type="dxa"/>
        <w:right w:w="115.0" w:type="dxa"/>
      </w:tblCellMar>
    </w:tblPr>
  </w:style>
  <w:style w:type="table" w:styleId="ab" w:customStyle="1">
    <w:basedOn w:val="TableNormalf"/>
    <w:tblPr>
      <w:tblStyleRowBandSize w:val="1"/>
      <w:tblStyleColBandSize w:val="1"/>
      <w:tblCellMar>
        <w:left w:w="115.0" w:type="dxa"/>
        <w:right w:w="115.0" w:type="dxa"/>
      </w:tblCellMar>
    </w:tblPr>
  </w:style>
  <w:style w:type="table" w:styleId="ac" w:customStyle="1">
    <w:basedOn w:val="TableNormale"/>
    <w:tblPr>
      <w:tblStyleRowBandSize w:val="1"/>
      <w:tblStyleColBandSize w:val="1"/>
      <w:tblCellMar>
        <w:left w:w="108.0" w:type="dxa"/>
        <w:right w:w="108.0" w:type="dxa"/>
      </w:tblCellMar>
    </w:tblPr>
  </w:style>
  <w:style w:type="table" w:styleId="ad" w:customStyle="1">
    <w:basedOn w:val="TableNormale"/>
    <w:tblPr>
      <w:tblStyleRowBandSize w:val="1"/>
      <w:tblStyleColBandSize w:val="1"/>
      <w:tblCellMar>
        <w:left w:w="115.0" w:type="dxa"/>
        <w:right w:w="115.0" w:type="dxa"/>
      </w:tblCellMar>
    </w:tblPr>
  </w:style>
  <w:style w:type="table" w:styleId="ae" w:customStyle="1">
    <w:basedOn w:val="TableNormale"/>
    <w:tblPr>
      <w:tblStyleRowBandSize w:val="1"/>
      <w:tblStyleColBandSize w:val="1"/>
      <w:tblCellMar>
        <w:left w:w="115.0" w:type="dxa"/>
        <w:right w:w="115.0" w:type="dxa"/>
      </w:tblCellMar>
    </w:tblPr>
  </w:style>
  <w:style w:type="table" w:styleId="af" w:customStyle="1">
    <w:basedOn w:val="TableNormald"/>
    <w:tblPr>
      <w:tblStyleRowBandSize w:val="1"/>
      <w:tblStyleColBandSize w:val="1"/>
      <w:tblCellMar>
        <w:left w:w="115.0" w:type="dxa"/>
        <w:right w:w="115.0" w:type="dxa"/>
      </w:tblCellMar>
    </w:tblPr>
  </w:style>
  <w:style w:type="table" w:styleId="af0" w:customStyle="1">
    <w:basedOn w:val="TableNormald"/>
    <w:tblPr>
      <w:tblStyleRowBandSize w:val="1"/>
      <w:tblStyleColBandSize w:val="1"/>
      <w:tblCellMar>
        <w:left w:w="115.0" w:type="dxa"/>
        <w:right w:w="115.0" w:type="dxa"/>
      </w:tblCellMar>
    </w:tblPr>
  </w:style>
  <w:style w:type="table" w:styleId="af1" w:customStyle="1">
    <w:basedOn w:val="TableNormald"/>
    <w:tblPr>
      <w:tblStyleRowBandSize w:val="1"/>
      <w:tblStyleColBandSize w:val="1"/>
      <w:tblCellMar>
        <w:left w:w="115.0" w:type="dxa"/>
        <w:right w:w="115.0" w:type="dxa"/>
      </w:tblCellMar>
    </w:tblPr>
  </w:style>
  <w:style w:type="table" w:styleId="af2" w:customStyle="1">
    <w:basedOn w:val="TableNormalc"/>
    <w:tblPr>
      <w:tblStyleRowBandSize w:val="1"/>
      <w:tblStyleColBandSize w:val="1"/>
      <w:tblCellMar>
        <w:left w:w="115.0" w:type="dxa"/>
        <w:right w:w="115.0" w:type="dxa"/>
      </w:tblCellMar>
    </w:tblPr>
  </w:style>
  <w:style w:type="table" w:styleId="af3" w:customStyle="1">
    <w:basedOn w:val="TableNormalc"/>
    <w:tblPr>
      <w:tblStyleRowBandSize w:val="1"/>
      <w:tblStyleColBandSize w:val="1"/>
      <w:tblCellMar>
        <w:left w:w="115.0" w:type="dxa"/>
        <w:right w:w="115.0" w:type="dxa"/>
      </w:tblCellMar>
    </w:tblPr>
  </w:style>
  <w:style w:type="table" w:styleId="af4" w:customStyle="1">
    <w:basedOn w:val="TableNormalb"/>
    <w:tblPr>
      <w:tblStyleRowBandSize w:val="1"/>
      <w:tblStyleColBandSize w:val="1"/>
      <w:tblCellMar>
        <w:left w:w="115.0" w:type="dxa"/>
        <w:right w:w="115.0" w:type="dxa"/>
      </w:tblCellMar>
    </w:tblPr>
  </w:style>
  <w:style w:type="table" w:styleId="af5" w:customStyle="1">
    <w:basedOn w:val="TableNormalb"/>
    <w:tblPr>
      <w:tblStyleRowBandSize w:val="1"/>
      <w:tblStyleColBandSize w:val="1"/>
      <w:tblCellMar>
        <w:left w:w="115.0" w:type="dxa"/>
        <w:right w:w="115.0" w:type="dxa"/>
      </w:tblCellMar>
    </w:tblPr>
  </w:style>
  <w:style w:type="table" w:styleId="af6" w:customStyle="1">
    <w:basedOn w:val="TableNormala"/>
    <w:tblPr>
      <w:tblStyleRowBandSize w:val="1"/>
      <w:tblStyleColBandSize w:val="1"/>
      <w:tblCellMar>
        <w:left w:w="115.0" w:type="dxa"/>
        <w:right w:w="115.0" w:type="dxa"/>
      </w:tblCellMar>
    </w:tblPr>
  </w:style>
  <w:style w:type="table" w:styleId="af7" w:customStyle="1">
    <w:basedOn w:val="TableNormala"/>
    <w:tblPr>
      <w:tblStyleRowBandSize w:val="1"/>
      <w:tblStyleColBandSize w:val="1"/>
      <w:tblCellMar>
        <w:left w:w="115.0" w:type="dxa"/>
        <w:right w:w="115.0" w:type="dxa"/>
      </w:tblCellMar>
    </w:tblPr>
  </w:style>
  <w:style w:type="character" w:styleId="Textoennegrita">
    <w:name w:val="Strong"/>
    <w:basedOn w:val="Fuentedeprrafopredeter"/>
    <w:uiPriority w:val="22"/>
    <w:qFormat w:val="1"/>
    <w:rsid w:val="002C02D7"/>
    <w:rPr>
      <w:b w:val="1"/>
      <w:bCs w:val="1"/>
    </w:rPr>
  </w:style>
  <w:style w:type="character" w:styleId="object" w:customStyle="1">
    <w:name w:val="object"/>
    <w:basedOn w:val="Fuentedeprrafopredeter"/>
    <w:rsid w:val="002C02D7"/>
  </w:style>
  <w:style w:type="table" w:styleId="af8" w:customStyle="1">
    <w:basedOn w:val="TableNormal9"/>
    <w:tblPr>
      <w:tblStyleRowBandSize w:val="1"/>
      <w:tblStyleColBandSize w:val="1"/>
      <w:tblCellMar>
        <w:left w:w="115.0" w:type="dxa"/>
        <w:right w:w="115.0" w:type="dxa"/>
      </w:tblCellMar>
    </w:tblPr>
  </w:style>
  <w:style w:type="table" w:styleId="af9" w:customStyle="1">
    <w:basedOn w:val="TableNormal9"/>
    <w:tblPr>
      <w:tblStyleRowBandSize w:val="1"/>
      <w:tblStyleColBandSize w:val="1"/>
      <w:tblCellMar>
        <w:left w:w="115.0" w:type="dxa"/>
        <w:right w:w="115.0" w:type="dxa"/>
      </w:tblCellMar>
    </w:tblPr>
  </w:style>
  <w:style w:type="table" w:styleId="afa" w:customStyle="1">
    <w:basedOn w:val="TableNormal8"/>
    <w:tblPr>
      <w:tblStyleRowBandSize w:val="1"/>
      <w:tblStyleColBandSize w:val="1"/>
      <w:tblCellMar>
        <w:left w:w="115.0" w:type="dxa"/>
        <w:right w:w="115.0" w:type="dxa"/>
      </w:tblCellMar>
    </w:tblPr>
  </w:style>
  <w:style w:type="table" w:styleId="afb" w:customStyle="1">
    <w:basedOn w:val="TableNormal8"/>
    <w:tblPr>
      <w:tblStyleRowBandSize w:val="1"/>
      <w:tblStyleColBandSize w:val="1"/>
      <w:tblCellMar>
        <w:left w:w="115.0" w:type="dxa"/>
        <w:right w:w="115.0" w:type="dxa"/>
      </w:tblCellMar>
    </w:tblPr>
  </w:style>
  <w:style w:type="table" w:styleId="afc" w:customStyle="1">
    <w:basedOn w:val="TableNormal7"/>
    <w:tblPr>
      <w:tblStyleRowBandSize w:val="1"/>
      <w:tblStyleColBandSize w:val="1"/>
      <w:tblCellMar>
        <w:left w:w="115.0" w:type="dxa"/>
        <w:right w:w="115.0" w:type="dxa"/>
      </w:tblCellMar>
    </w:tblPr>
  </w:style>
  <w:style w:type="table" w:styleId="afd" w:customStyle="1">
    <w:basedOn w:val="TableNormal7"/>
    <w:tblPr>
      <w:tblStyleRowBandSize w:val="1"/>
      <w:tblStyleColBandSize w:val="1"/>
      <w:tblCellMar>
        <w:left w:w="115.0" w:type="dxa"/>
        <w:right w:w="115.0" w:type="dxa"/>
      </w:tblCellMar>
    </w:tblPr>
  </w:style>
  <w:style w:type="table" w:styleId="afe" w:customStyle="1">
    <w:basedOn w:val="TableNormal6"/>
    <w:tblPr>
      <w:tblStyleRowBandSize w:val="1"/>
      <w:tblStyleColBandSize w:val="1"/>
      <w:tblCellMar>
        <w:left w:w="115.0" w:type="dxa"/>
        <w:right w:w="115.0" w:type="dxa"/>
      </w:tblCellMar>
    </w:tblPr>
  </w:style>
  <w:style w:type="table" w:styleId="aff" w:customStyle="1">
    <w:basedOn w:val="TableNormal6"/>
    <w:tblPr>
      <w:tblStyleRowBandSize w:val="1"/>
      <w:tblStyleColBandSize w:val="1"/>
      <w:tblCellMar>
        <w:left w:w="115.0" w:type="dxa"/>
        <w:right w:w="115.0" w:type="dxa"/>
      </w:tblCellMar>
    </w:tblPr>
  </w:style>
  <w:style w:type="table" w:styleId="aff0" w:customStyle="1">
    <w:basedOn w:val="TableNormal5"/>
    <w:tblPr>
      <w:tblStyleRowBandSize w:val="1"/>
      <w:tblStyleColBandSize w:val="1"/>
      <w:tblCellMar>
        <w:left w:w="115.0" w:type="dxa"/>
        <w:right w:w="115.0" w:type="dxa"/>
      </w:tblCellMar>
    </w:tblPr>
  </w:style>
  <w:style w:type="table" w:styleId="aff1" w:customStyle="1">
    <w:basedOn w:val="TableNormal5"/>
    <w:tblPr>
      <w:tblStyleRowBandSize w:val="1"/>
      <w:tblStyleColBandSize w:val="1"/>
      <w:tblCellMar>
        <w:left w:w="115.0" w:type="dxa"/>
        <w:right w:w="115.0" w:type="dxa"/>
      </w:tblCellMar>
    </w:tblPr>
  </w:style>
  <w:style w:type="table" w:styleId="aff2" w:customStyle="1">
    <w:basedOn w:val="TableNormal4"/>
    <w:tblPr>
      <w:tblStyleRowBandSize w:val="1"/>
      <w:tblStyleColBandSize w:val="1"/>
      <w:tblCellMar>
        <w:left w:w="115.0" w:type="dxa"/>
        <w:right w:w="115.0" w:type="dxa"/>
      </w:tblCellMar>
    </w:tblPr>
  </w:style>
  <w:style w:type="table" w:styleId="aff3" w:customStyle="1">
    <w:basedOn w:val="TableNormal4"/>
    <w:tblPr>
      <w:tblStyleRowBandSize w:val="1"/>
      <w:tblStyleColBandSize w:val="1"/>
      <w:tblCellMar>
        <w:left w:w="115.0" w:type="dxa"/>
        <w:right w:w="115.0" w:type="dxa"/>
      </w:tblCellMar>
    </w:tblPr>
  </w:style>
  <w:style w:type="table" w:styleId="aff4" w:customStyle="1">
    <w:basedOn w:val="TableNormal3"/>
    <w:tblPr>
      <w:tblStyleRowBandSize w:val="1"/>
      <w:tblStyleColBandSize w:val="1"/>
      <w:tblCellMar>
        <w:left w:w="115.0" w:type="dxa"/>
        <w:right w:w="115.0" w:type="dxa"/>
      </w:tblCellMar>
    </w:tblPr>
  </w:style>
  <w:style w:type="table" w:styleId="aff5" w:customStyle="1">
    <w:basedOn w:val="TableNormal3"/>
    <w:tblPr>
      <w:tblStyleRowBandSize w:val="1"/>
      <w:tblStyleColBandSize w:val="1"/>
      <w:tblCellMar>
        <w:left w:w="115.0" w:type="dxa"/>
        <w:right w:w="115.0" w:type="dxa"/>
      </w:tblCellMar>
    </w:tblPr>
  </w:style>
  <w:style w:type="table" w:styleId="aff6" w:customStyle="1">
    <w:basedOn w:val="TableNormal2"/>
    <w:tblPr>
      <w:tblStyleRowBandSize w:val="1"/>
      <w:tblStyleColBandSize w:val="1"/>
      <w:tblCellMar>
        <w:left w:w="115.0" w:type="dxa"/>
        <w:right w:w="115.0" w:type="dxa"/>
      </w:tblCellMar>
    </w:tblPr>
  </w:style>
  <w:style w:type="table" w:styleId="aff7" w:customStyle="1">
    <w:basedOn w:val="TableNormal2"/>
    <w:tblPr>
      <w:tblStyleRowBandSize w:val="1"/>
      <w:tblStyleColBandSize w:val="1"/>
      <w:tblCellMar>
        <w:left w:w="115.0" w:type="dxa"/>
        <w:right w:w="115.0" w:type="dxa"/>
      </w:tblCellMar>
    </w:tblPr>
  </w:style>
  <w:style w:type="table" w:styleId="aff8" w:customStyle="1">
    <w:basedOn w:val="TableNormal1"/>
    <w:tblPr>
      <w:tblStyleRowBandSize w:val="1"/>
      <w:tblStyleColBandSize w:val="1"/>
      <w:tblCellMar>
        <w:left w:w="115.0" w:type="dxa"/>
        <w:right w:w="115.0" w:type="dxa"/>
      </w:tblCellMar>
    </w:tblPr>
  </w:style>
  <w:style w:type="table" w:styleId="aff9" w:customStyle="1">
    <w:basedOn w:val="TableNormal1"/>
    <w:tblPr>
      <w:tblStyleRowBandSize w:val="1"/>
      <w:tblStyleColBandSize w:val="1"/>
      <w:tblCellMar>
        <w:left w:w="115.0" w:type="dxa"/>
        <w:right w:w="115.0" w:type="dxa"/>
      </w:tblCellMar>
    </w:tblPr>
  </w:style>
  <w:style w:type="table" w:styleId="affa" w:customStyle="1">
    <w:basedOn w:val="TableNormal0"/>
    <w:tblPr>
      <w:tblStyleRowBandSize w:val="1"/>
      <w:tblStyleColBandSize w:val="1"/>
      <w:tblCellMar>
        <w:left w:w="115.0" w:type="dxa"/>
        <w:right w:w="115.0" w:type="dxa"/>
      </w:tblCellMar>
    </w:tblPr>
  </w:style>
  <w:style w:type="table" w:styleId="affb"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Fn1ZhRt+uUa6Yy197n7kRIS5cw==">CgMxLjAyCWguM3JkY3JqbjIOaC5kYWozajJ4bzZxNjYyCGguZ2pkZ3hzMgloLjNkeTZ2a20yCWguMzBqMHpsbDIJaC4yczhleW8xMghoLnR5amN3dDIJaC4yZXQ5MnAwMgloLjF0M2g1c2YyCGgubG54Yno5OAByITF0cldaNWJKcnhhd2pLWlRGc010OTNTOC1qa1FTcGxmVA==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2025-10-06T16:38:00Z</dcterms:created>
  <dc:creator>USUARIO</dc:creator>
</cp:coreProperties>
</file>