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62BEA" w14:textId="356435A8" w:rsidR="00B74C9F" w:rsidRDefault="0029071C" w:rsidP="004309A2">
      <w:pPr>
        <w:shd w:val="clear" w:color="auto" w:fill="FFFFFF"/>
        <w:spacing w:line="360" w:lineRule="auto"/>
        <w:jc w:val="both"/>
        <w:rPr>
          <w:rFonts w:ascii="Palatino Linotype" w:hAnsi="Palatino Linotype" w:cs="Arial"/>
          <w:color w:val="000000"/>
          <w:lang w:val="es-MX" w:eastAsia="es-MX"/>
        </w:rPr>
      </w:pPr>
      <w:r w:rsidRPr="009D0958">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436E25">
        <w:rPr>
          <w:rFonts w:ascii="Palatino Linotype" w:hAnsi="Palatino Linotype" w:cs="Arial"/>
          <w:color w:val="000000"/>
          <w:lang w:val="es-MX" w:eastAsia="es-MX"/>
        </w:rPr>
        <w:t>doce</w:t>
      </w:r>
      <w:r w:rsidR="006D5F38">
        <w:rPr>
          <w:rFonts w:ascii="Palatino Linotype" w:hAnsi="Palatino Linotype" w:cs="Arial"/>
          <w:color w:val="000000"/>
          <w:lang w:val="es-MX" w:eastAsia="es-MX"/>
        </w:rPr>
        <w:t xml:space="preserve"> de </w:t>
      </w:r>
      <w:r w:rsidR="005876B9">
        <w:rPr>
          <w:rFonts w:ascii="Palatino Linotype" w:hAnsi="Palatino Linotype" w:cs="Arial"/>
          <w:color w:val="000000"/>
          <w:lang w:val="es-MX" w:eastAsia="es-MX"/>
        </w:rPr>
        <w:t xml:space="preserve">marzo </w:t>
      </w:r>
      <w:r w:rsidR="005D53A5">
        <w:rPr>
          <w:rFonts w:ascii="Palatino Linotype" w:hAnsi="Palatino Linotype" w:cs="Arial"/>
          <w:color w:val="000000"/>
          <w:lang w:val="es-MX" w:eastAsia="es-MX"/>
        </w:rPr>
        <w:t xml:space="preserve">de </w:t>
      </w:r>
      <w:r w:rsidR="007237B8" w:rsidRPr="009D0958">
        <w:rPr>
          <w:rFonts w:ascii="Palatino Linotype" w:hAnsi="Palatino Linotype" w:cs="Arial"/>
          <w:color w:val="000000"/>
          <w:lang w:val="es-MX" w:eastAsia="es-MX"/>
        </w:rPr>
        <w:t>dos mil veinti</w:t>
      </w:r>
      <w:r w:rsidR="008D2478" w:rsidRPr="009D0958">
        <w:rPr>
          <w:rFonts w:ascii="Palatino Linotype" w:hAnsi="Palatino Linotype" w:cs="Arial"/>
          <w:color w:val="000000"/>
          <w:lang w:val="es-MX" w:eastAsia="es-MX"/>
        </w:rPr>
        <w:t>c</w:t>
      </w:r>
      <w:r w:rsidR="006D5F38">
        <w:rPr>
          <w:rFonts w:ascii="Palatino Linotype" w:hAnsi="Palatino Linotype" w:cs="Arial"/>
          <w:color w:val="000000"/>
          <w:lang w:val="es-MX" w:eastAsia="es-MX"/>
        </w:rPr>
        <w:t>inco</w:t>
      </w:r>
      <w:r w:rsidRPr="009D0958">
        <w:rPr>
          <w:rFonts w:ascii="Palatino Linotype" w:hAnsi="Palatino Linotype" w:cs="Arial"/>
          <w:color w:val="000000"/>
          <w:lang w:val="es-MX" w:eastAsia="es-MX"/>
        </w:rPr>
        <w:t>.</w:t>
      </w:r>
    </w:p>
    <w:p w14:paraId="67FBFD8E" w14:textId="77777777" w:rsidR="00DC6AE5" w:rsidRPr="009D0958" w:rsidRDefault="00DC6AE5" w:rsidP="004309A2">
      <w:pPr>
        <w:shd w:val="clear" w:color="auto" w:fill="FFFFFF"/>
        <w:spacing w:line="360" w:lineRule="auto"/>
        <w:jc w:val="both"/>
        <w:rPr>
          <w:rFonts w:ascii="Palatino Linotype" w:hAnsi="Palatino Linotype" w:cs="Arial"/>
          <w:color w:val="000000"/>
          <w:lang w:val="es-MX" w:eastAsia="es-MX"/>
        </w:rPr>
      </w:pPr>
    </w:p>
    <w:p w14:paraId="3C4183CF" w14:textId="4B3DD238" w:rsidR="00B74C9F" w:rsidRDefault="0029071C" w:rsidP="00C753C2">
      <w:pPr>
        <w:tabs>
          <w:tab w:val="left" w:pos="1701"/>
        </w:tabs>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b/>
          <w:lang w:val="es-MX" w:eastAsia="en-US"/>
        </w:rPr>
        <w:t>VISTO</w:t>
      </w:r>
      <w:r w:rsidRPr="009D0958">
        <w:rPr>
          <w:rFonts w:ascii="Palatino Linotype" w:eastAsiaTheme="minorHAnsi" w:hAnsi="Palatino Linotype" w:cs="Arial"/>
          <w:lang w:val="es-MX" w:eastAsia="en-US"/>
        </w:rPr>
        <w:t xml:space="preserve"> el expediente electrónico formado con motivo del recurso de revisión número </w:t>
      </w:r>
      <w:bookmarkStart w:id="0" w:name="_GoBack"/>
      <w:r w:rsidR="00E250C8" w:rsidRPr="009D0958">
        <w:rPr>
          <w:rFonts w:ascii="Palatino Linotype" w:eastAsiaTheme="minorHAnsi" w:hAnsi="Palatino Linotype" w:cs="Arial"/>
          <w:b/>
          <w:lang w:val="es-MX" w:eastAsia="en-US"/>
        </w:rPr>
        <w:t>0</w:t>
      </w:r>
      <w:r w:rsidR="00961784">
        <w:rPr>
          <w:rFonts w:ascii="Palatino Linotype" w:eastAsiaTheme="minorHAnsi" w:hAnsi="Palatino Linotype" w:cs="Arial"/>
          <w:b/>
          <w:lang w:val="es-MX" w:eastAsia="en-US"/>
        </w:rPr>
        <w:t>0</w:t>
      </w:r>
      <w:r w:rsidR="0044142D">
        <w:rPr>
          <w:rFonts w:ascii="Palatino Linotype" w:eastAsiaTheme="minorHAnsi" w:hAnsi="Palatino Linotype" w:cs="Arial"/>
          <w:b/>
          <w:lang w:val="es-MX" w:eastAsia="en-US"/>
        </w:rPr>
        <w:t>705</w:t>
      </w:r>
      <w:r w:rsidRPr="009D0958">
        <w:rPr>
          <w:rFonts w:ascii="Palatino Linotype" w:eastAsiaTheme="minorHAnsi" w:hAnsi="Palatino Linotype" w:cs="Arial"/>
          <w:b/>
          <w:bCs/>
          <w:lang w:val="es-MX" w:eastAsia="es-MX"/>
        </w:rPr>
        <w:t>/INFOEM/IP/RR/202</w:t>
      </w:r>
      <w:r w:rsidR="00961784">
        <w:rPr>
          <w:rFonts w:ascii="Palatino Linotype" w:eastAsiaTheme="minorHAnsi" w:hAnsi="Palatino Linotype" w:cs="Arial"/>
          <w:b/>
          <w:bCs/>
          <w:lang w:val="es-MX" w:eastAsia="es-MX"/>
        </w:rPr>
        <w:t>5</w:t>
      </w:r>
      <w:bookmarkEnd w:id="0"/>
      <w:r w:rsidRPr="009D0958">
        <w:rPr>
          <w:rFonts w:ascii="Palatino Linotype" w:eastAsiaTheme="minorHAnsi" w:hAnsi="Palatino Linotype" w:cs="Arial"/>
          <w:lang w:val="es-MX" w:eastAsia="en-US"/>
        </w:rPr>
        <w:t xml:space="preserve">, </w:t>
      </w:r>
      <w:r w:rsidR="00FE047E" w:rsidRPr="009D0958">
        <w:rPr>
          <w:rFonts w:ascii="Palatino Linotype" w:hAnsi="Palatino Linotype" w:cs="Arial"/>
        </w:rPr>
        <w:t xml:space="preserve">interpuesto </w:t>
      </w:r>
      <w:r w:rsidR="00CB0746" w:rsidRPr="00CB0746">
        <w:rPr>
          <w:rFonts w:ascii="Palatino Linotype" w:hAnsi="Palatino Linotype" w:cs="Arial"/>
        </w:rPr>
        <w:t xml:space="preserve">por </w:t>
      </w:r>
      <w:r w:rsidR="00961784">
        <w:rPr>
          <w:rFonts w:ascii="Palatino Linotype" w:hAnsi="Palatino Linotype" w:cs="Arial"/>
        </w:rPr>
        <w:t xml:space="preserve">el </w:t>
      </w:r>
      <w:r w:rsidR="00961784" w:rsidRPr="00961784">
        <w:rPr>
          <w:rFonts w:ascii="Palatino Linotype" w:hAnsi="Palatino Linotype" w:cs="Arial"/>
          <w:b/>
          <w:bCs/>
        </w:rPr>
        <w:t xml:space="preserve">C. </w:t>
      </w:r>
      <w:r w:rsidR="00B42476">
        <w:rPr>
          <w:rFonts w:ascii="Palatino Linotype" w:hAnsi="Palatino Linotype" w:cs="Arial"/>
          <w:b/>
          <w:bCs/>
        </w:rPr>
        <w:t>XXXXXXXXXXXXXXXXXX</w:t>
      </w:r>
      <w:r w:rsidR="00FE047E" w:rsidRPr="009D0958">
        <w:rPr>
          <w:rFonts w:ascii="Palatino Linotype" w:hAnsi="Palatino Linotype" w:cs="Arial"/>
        </w:rPr>
        <w:t>,</w:t>
      </w:r>
      <w:r w:rsidR="005F1F89" w:rsidRPr="009D0958">
        <w:rPr>
          <w:rFonts w:ascii="Palatino Linotype" w:hAnsi="Palatino Linotype" w:cs="Arial"/>
          <w:b/>
        </w:rPr>
        <w:t xml:space="preserve"> </w:t>
      </w:r>
      <w:r w:rsidR="005F1F89" w:rsidRPr="009D0958">
        <w:rPr>
          <w:rFonts w:ascii="Palatino Linotype" w:hAnsi="Palatino Linotype" w:cs="Arial"/>
        </w:rPr>
        <w:t xml:space="preserve">en lo sucesivo </w:t>
      </w:r>
      <w:r w:rsidR="00E250C8" w:rsidRPr="009D0958">
        <w:rPr>
          <w:rFonts w:ascii="Palatino Linotype" w:hAnsi="Palatino Linotype" w:cs="Arial"/>
          <w:b/>
        </w:rPr>
        <w:t>El</w:t>
      </w:r>
      <w:r w:rsidR="005F1F89" w:rsidRPr="009D0958">
        <w:rPr>
          <w:rFonts w:ascii="Palatino Linotype" w:hAnsi="Palatino Linotype" w:cs="Arial"/>
          <w:b/>
        </w:rPr>
        <w:t xml:space="preserve"> Recurrente</w:t>
      </w:r>
      <w:r w:rsidRPr="009D0958">
        <w:rPr>
          <w:rFonts w:ascii="Palatino Linotype" w:eastAsiaTheme="minorHAnsi" w:hAnsi="Palatino Linotype" w:cs="Arial"/>
          <w:lang w:val="es-MX" w:eastAsia="en-US"/>
        </w:rPr>
        <w:t>, en contra de la respuesta de</w:t>
      </w:r>
      <w:r w:rsidR="00B20C2B" w:rsidRPr="009D0958">
        <w:rPr>
          <w:rFonts w:ascii="Palatino Linotype" w:eastAsiaTheme="minorHAnsi" w:hAnsi="Palatino Linotype" w:cs="Arial"/>
          <w:lang w:val="es-MX" w:eastAsia="en-US"/>
        </w:rPr>
        <w:t>l</w:t>
      </w:r>
      <w:r w:rsidRPr="009D0958">
        <w:rPr>
          <w:rFonts w:ascii="Palatino Linotype" w:eastAsiaTheme="minorHAnsi" w:hAnsi="Palatino Linotype" w:cs="Arial"/>
          <w:lang w:val="es-MX" w:eastAsia="en-US"/>
        </w:rPr>
        <w:t xml:space="preserve"> </w:t>
      </w:r>
      <w:r w:rsidR="0044142D" w:rsidRPr="0044142D">
        <w:rPr>
          <w:rFonts w:ascii="Palatino Linotype" w:eastAsiaTheme="minorHAnsi" w:hAnsi="Palatino Linotype" w:cs="Arial"/>
          <w:b/>
          <w:lang w:val="es-MX" w:eastAsia="en-US"/>
        </w:rPr>
        <w:t>Ayuntamiento de Tlalnepantla de Baz</w:t>
      </w:r>
      <w:r w:rsidRPr="009D0958">
        <w:rPr>
          <w:rFonts w:ascii="Palatino Linotype" w:eastAsiaTheme="minorHAnsi" w:hAnsi="Palatino Linotype" w:cs="Arial"/>
          <w:lang w:val="es-MX" w:eastAsia="en-US"/>
        </w:rPr>
        <w:t>,</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en lo subsecuente</w:t>
      </w:r>
      <w:r w:rsidRPr="009D0958">
        <w:rPr>
          <w:rFonts w:ascii="Palatino Linotype" w:eastAsiaTheme="minorHAnsi" w:hAnsi="Palatino Linotype" w:cs="Arial"/>
          <w:b/>
          <w:lang w:val="es-MX" w:eastAsia="en-US"/>
        </w:rPr>
        <w:t xml:space="preserve"> El Sujeto Obligado, </w:t>
      </w:r>
      <w:r w:rsidRPr="009D0958">
        <w:rPr>
          <w:rFonts w:ascii="Palatino Linotype" w:eastAsiaTheme="minorHAnsi" w:hAnsi="Palatino Linotype" w:cs="Arial"/>
          <w:lang w:val="es-MX" w:eastAsia="en-US"/>
        </w:rPr>
        <w:t>se procede a dictar la presente resolución.</w:t>
      </w:r>
    </w:p>
    <w:p w14:paraId="19690675" w14:textId="77777777" w:rsidR="00DC6AE5" w:rsidRPr="00B74C9F" w:rsidRDefault="00DC6AE5" w:rsidP="00C753C2">
      <w:pPr>
        <w:tabs>
          <w:tab w:val="left" w:pos="1701"/>
        </w:tabs>
        <w:spacing w:line="360" w:lineRule="auto"/>
        <w:jc w:val="both"/>
        <w:rPr>
          <w:rFonts w:ascii="Palatino Linotype" w:eastAsiaTheme="minorHAnsi" w:hAnsi="Palatino Linotype" w:cs="Arial"/>
          <w:lang w:val="es-MX" w:eastAsia="en-US"/>
        </w:rPr>
      </w:pPr>
    </w:p>
    <w:p w14:paraId="08D74987" w14:textId="4AE8CF24" w:rsidR="00C753C2" w:rsidRDefault="0029071C" w:rsidP="00B74C9F">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A N T E C E D E N T E S</w:t>
      </w:r>
    </w:p>
    <w:p w14:paraId="4A7F4093" w14:textId="77777777" w:rsidR="00B74C9F" w:rsidRPr="00B74C9F" w:rsidRDefault="00B74C9F" w:rsidP="006D5F38">
      <w:pPr>
        <w:pStyle w:val="Sinespaciado"/>
        <w:rPr>
          <w:rFonts w:eastAsiaTheme="minorHAnsi"/>
          <w:lang w:eastAsia="en-US"/>
        </w:rPr>
      </w:pPr>
    </w:p>
    <w:p w14:paraId="462C7DDC" w14:textId="77777777" w:rsidR="0029071C" w:rsidRPr="009D0958" w:rsidRDefault="0029071C" w:rsidP="0029071C">
      <w:pPr>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PRIMERO. De la solicitud de información.</w:t>
      </w:r>
    </w:p>
    <w:p w14:paraId="7ED8C3A1" w14:textId="0BBF4C4F" w:rsidR="006D5F38" w:rsidRDefault="0029071C" w:rsidP="0044142D">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En fecha </w:t>
      </w:r>
      <w:r w:rsidR="0044142D">
        <w:rPr>
          <w:rFonts w:ascii="Palatino Linotype" w:eastAsiaTheme="minorHAnsi" w:hAnsi="Palatino Linotype" w:cs="Arial"/>
          <w:szCs w:val="22"/>
          <w:lang w:val="es-MX" w:eastAsia="en-US"/>
        </w:rPr>
        <w:t>trece</w:t>
      </w:r>
      <w:r w:rsidR="006D5F38">
        <w:rPr>
          <w:rFonts w:ascii="Palatino Linotype" w:eastAsiaTheme="minorHAnsi" w:hAnsi="Palatino Linotype" w:cs="Arial"/>
          <w:szCs w:val="22"/>
          <w:lang w:val="es-MX" w:eastAsia="en-US"/>
        </w:rPr>
        <w:t xml:space="preserve"> de enero</w:t>
      </w:r>
      <w:r w:rsidR="00756303" w:rsidRPr="009D0958">
        <w:rPr>
          <w:rFonts w:ascii="Palatino Linotype" w:eastAsiaTheme="minorHAnsi" w:hAnsi="Palatino Linotype" w:cs="Arial"/>
          <w:szCs w:val="22"/>
          <w:lang w:val="es-MX" w:eastAsia="en-US"/>
        </w:rPr>
        <w:t xml:space="preserve"> de dos mil veintic</w:t>
      </w:r>
      <w:r w:rsidR="006D5F38">
        <w:rPr>
          <w:rFonts w:ascii="Palatino Linotype" w:eastAsiaTheme="minorHAnsi" w:hAnsi="Palatino Linotype" w:cs="Arial"/>
          <w:szCs w:val="22"/>
          <w:lang w:val="es-MX" w:eastAsia="en-US"/>
        </w:rPr>
        <w:t>inco</w:t>
      </w:r>
      <w:r w:rsidRPr="009D0958">
        <w:rPr>
          <w:rFonts w:ascii="Palatino Linotype" w:eastAsiaTheme="minorHAnsi" w:hAnsi="Palatino Linotype" w:cs="Arial"/>
          <w:szCs w:val="22"/>
          <w:lang w:val="es-MX" w:eastAsia="en-US"/>
        </w:rPr>
        <w:t xml:space="preserve">, </w:t>
      </w:r>
      <w:r w:rsidR="00E250C8" w:rsidRPr="009D0958">
        <w:rPr>
          <w:rFonts w:ascii="Palatino Linotype" w:eastAsiaTheme="minorHAnsi" w:hAnsi="Palatino Linotype" w:cs="Arial"/>
          <w:szCs w:val="22"/>
          <w:lang w:val="es-MX" w:eastAsia="en-US"/>
        </w:rPr>
        <w:t>el</w:t>
      </w:r>
      <w:r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b/>
          <w:szCs w:val="22"/>
          <w:lang w:val="es-MX" w:eastAsia="en-US"/>
        </w:rPr>
        <w:t>Recurrente</w:t>
      </w:r>
      <w:r w:rsidRPr="009D0958">
        <w:rPr>
          <w:rFonts w:ascii="Palatino Linotype" w:eastAsiaTheme="minorHAnsi" w:hAnsi="Palatino Linotype" w:cs="Arial"/>
          <w:szCs w:val="22"/>
          <w:lang w:val="es-MX" w:eastAsia="en-US"/>
        </w:rPr>
        <w:t xml:space="preserve">, presentó a través </w:t>
      </w:r>
      <w:r w:rsidR="00F94208">
        <w:rPr>
          <w:rFonts w:ascii="Palatino Linotype" w:eastAsiaTheme="minorHAnsi" w:hAnsi="Palatino Linotype" w:cs="Arial"/>
          <w:szCs w:val="22"/>
          <w:lang w:val="es-MX" w:eastAsia="en-US"/>
        </w:rPr>
        <w:t>d</w:t>
      </w:r>
      <w:r w:rsidRPr="009D0958">
        <w:rPr>
          <w:rFonts w:ascii="Palatino Linotype" w:eastAsiaTheme="minorHAnsi" w:hAnsi="Palatino Linotype" w:cs="Arial"/>
          <w:szCs w:val="22"/>
          <w:lang w:val="es-MX" w:eastAsia="en-US"/>
        </w:rPr>
        <w:t xml:space="preserve">el Sistema de Acceso a la Información Mexiquense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ante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la solicitud de acceso a la información pública, a la que se le</w:t>
      </w:r>
      <w:r w:rsidR="00C753C2" w:rsidRPr="009D0958">
        <w:rPr>
          <w:rFonts w:ascii="Palatino Linotype" w:eastAsiaTheme="minorHAnsi" w:hAnsi="Palatino Linotype" w:cs="Arial"/>
          <w:szCs w:val="22"/>
          <w:lang w:val="es-MX" w:eastAsia="en-US"/>
        </w:rPr>
        <w:t xml:space="preserve"> asignó el número de expediente </w:t>
      </w:r>
      <w:r w:rsidR="0044142D" w:rsidRPr="0044142D">
        <w:rPr>
          <w:rFonts w:ascii="Palatino Linotype" w:eastAsiaTheme="minorHAnsi" w:hAnsi="Palatino Linotype" w:cs="Arial"/>
          <w:b/>
          <w:szCs w:val="22"/>
          <w:lang w:val="es-MX" w:eastAsia="en-US"/>
        </w:rPr>
        <w:t>00028/TLALNEPA/IP/2025</w:t>
      </w:r>
      <w:r w:rsidRPr="009D0958">
        <w:rPr>
          <w:rFonts w:ascii="Palatino Linotype" w:eastAsiaTheme="minorHAnsi" w:hAnsi="Palatino Linotype" w:cs="Arial"/>
          <w:szCs w:val="22"/>
          <w:lang w:val="es-MX" w:eastAsia="en-US"/>
        </w:rPr>
        <w:t>, mediante la cual solicitó lo siguiente:</w:t>
      </w:r>
    </w:p>
    <w:p w14:paraId="417D4A5D" w14:textId="77777777" w:rsidR="0044142D" w:rsidRPr="0044142D" w:rsidRDefault="0044142D" w:rsidP="0044142D">
      <w:pPr>
        <w:spacing w:line="360" w:lineRule="auto"/>
        <w:jc w:val="both"/>
        <w:rPr>
          <w:rFonts w:ascii="Palatino Linotype" w:eastAsiaTheme="minorHAnsi" w:hAnsi="Palatino Linotype" w:cs="Arial"/>
          <w:szCs w:val="22"/>
          <w:lang w:val="es-MX" w:eastAsia="en-US"/>
        </w:rPr>
      </w:pPr>
    </w:p>
    <w:p w14:paraId="2ACF22D5" w14:textId="68B8DCD3" w:rsidR="00DC6AE5" w:rsidRDefault="0029071C" w:rsidP="0044142D">
      <w:pPr>
        <w:spacing w:line="276" w:lineRule="auto"/>
        <w:ind w:left="284" w:right="332"/>
        <w:jc w:val="both"/>
        <w:rPr>
          <w:rFonts w:ascii="Palatino Linotype" w:hAnsi="Palatino Linotype"/>
          <w:i/>
          <w:sz w:val="22"/>
          <w:szCs w:val="22"/>
          <w:lang w:val="es-ES_tradnl"/>
        </w:rPr>
      </w:pPr>
      <w:r w:rsidRPr="009D0958">
        <w:rPr>
          <w:rFonts w:ascii="Palatino Linotype" w:hAnsi="Palatino Linotype"/>
          <w:i/>
          <w:sz w:val="22"/>
          <w:szCs w:val="22"/>
          <w:lang w:val="es-MX"/>
        </w:rPr>
        <w:t>“</w:t>
      </w:r>
      <w:r w:rsidR="0044142D" w:rsidRPr="0044142D">
        <w:rPr>
          <w:rFonts w:ascii="Palatino Linotype" w:hAnsi="Palatino Linotype"/>
          <w:i/>
          <w:sz w:val="22"/>
          <w:szCs w:val="22"/>
          <w:lang w:val="es-MX" w:eastAsia="es-MX"/>
        </w:rPr>
        <w:t>Solicito saber qué agencia de publicidad contrataron para pautar contenido en redes sociales, con documentación que acredite la contratación y factura también a qué partida afectó</w:t>
      </w:r>
      <w:r w:rsidRPr="009D0958">
        <w:rPr>
          <w:rFonts w:ascii="Palatino Linotype" w:hAnsi="Palatino Linotype"/>
          <w:i/>
          <w:sz w:val="22"/>
          <w:szCs w:val="22"/>
          <w:lang w:val="es-MX"/>
        </w:rPr>
        <w:t>”</w:t>
      </w:r>
      <w:r w:rsidR="00B2345B" w:rsidRPr="009D0958">
        <w:rPr>
          <w:rFonts w:ascii="Palatino Linotype" w:hAnsi="Palatino Linotype"/>
          <w:i/>
          <w:sz w:val="22"/>
          <w:szCs w:val="22"/>
          <w:lang w:val="es-ES_tradnl"/>
        </w:rPr>
        <w:t xml:space="preserve"> (Sic)</w:t>
      </w:r>
    </w:p>
    <w:p w14:paraId="70F1EA88" w14:textId="77777777" w:rsidR="0044142D" w:rsidRDefault="0044142D" w:rsidP="0044142D">
      <w:pPr>
        <w:ind w:left="284" w:right="332"/>
        <w:jc w:val="both"/>
        <w:rPr>
          <w:rFonts w:ascii="Palatino Linotype" w:hAnsi="Palatino Linotype"/>
          <w:i/>
          <w:sz w:val="22"/>
          <w:szCs w:val="22"/>
          <w:lang w:val="es-ES_tradnl"/>
        </w:rPr>
      </w:pPr>
    </w:p>
    <w:p w14:paraId="0CC2C14E" w14:textId="77777777" w:rsidR="0044142D" w:rsidRPr="0044142D" w:rsidRDefault="0044142D" w:rsidP="0044142D">
      <w:pPr>
        <w:ind w:left="284" w:right="332"/>
        <w:jc w:val="both"/>
        <w:rPr>
          <w:rFonts w:ascii="Palatino Linotype" w:hAnsi="Palatino Linotype"/>
          <w:i/>
          <w:sz w:val="22"/>
          <w:szCs w:val="22"/>
          <w:lang w:val="es-ES_tradnl"/>
        </w:rPr>
      </w:pPr>
    </w:p>
    <w:p w14:paraId="35AD9577" w14:textId="54BF6A1F" w:rsidR="00B2345B"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9D0958">
        <w:rPr>
          <w:rFonts w:ascii="Palatino Linotype" w:hAnsi="Palatino Linotype"/>
          <w:b/>
          <w:lang w:val="es-ES_tradnl"/>
        </w:rPr>
        <w:t>MODALIDAD DE ENTREGA:</w:t>
      </w:r>
      <w:r w:rsidRPr="009D0958">
        <w:rPr>
          <w:rFonts w:ascii="Palatino Linotype" w:hAnsi="Palatino Linotype"/>
          <w:lang w:val="es-ES_tradnl"/>
        </w:rPr>
        <w:t xml:space="preserve"> </w:t>
      </w:r>
      <w:r w:rsidR="00756303" w:rsidRPr="009D0958">
        <w:rPr>
          <w:rFonts w:ascii="Palatino Linotype" w:eastAsiaTheme="minorHAnsi" w:hAnsi="Palatino Linotype" w:cstheme="minorBidi"/>
          <w:color w:val="000000"/>
          <w:lang w:val="es-MX" w:eastAsia="en-US"/>
        </w:rPr>
        <w:t>A través de</w:t>
      </w:r>
      <w:r w:rsidR="00B2345B" w:rsidRPr="009D0958">
        <w:rPr>
          <w:rFonts w:ascii="Palatino Linotype" w:eastAsiaTheme="minorHAnsi" w:hAnsi="Palatino Linotype" w:cstheme="minorBidi"/>
          <w:color w:val="000000"/>
          <w:lang w:val="es-MX" w:eastAsia="en-US"/>
        </w:rPr>
        <w:t>l SAIMEX.</w:t>
      </w:r>
      <w:r w:rsidR="00756303" w:rsidRPr="009D0958">
        <w:rPr>
          <w:rFonts w:ascii="Palatino Linotype" w:eastAsiaTheme="minorHAnsi" w:hAnsi="Palatino Linotype" w:cstheme="minorBidi"/>
          <w:color w:val="000000"/>
          <w:lang w:val="es-MX" w:eastAsia="en-US"/>
        </w:rPr>
        <w:t xml:space="preserve"> </w:t>
      </w:r>
    </w:p>
    <w:p w14:paraId="7950C62A" w14:textId="77777777" w:rsidR="00DC6AE5" w:rsidRDefault="00DC6AE5" w:rsidP="006D5F38">
      <w:pPr>
        <w:pStyle w:val="Sinespaciado"/>
        <w:rPr>
          <w:rFonts w:eastAsiaTheme="minorHAnsi"/>
          <w:lang w:eastAsia="en-US"/>
        </w:rPr>
      </w:pPr>
    </w:p>
    <w:p w14:paraId="0FC9E40B" w14:textId="77777777" w:rsidR="006D5F38" w:rsidRDefault="006D5F38" w:rsidP="006D5F38">
      <w:pPr>
        <w:pStyle w:val="Sinespaciado"/>
        <w:rPr>
          <w:rFonts w:eastAsiaTheme="minorHAnsi"/>
          <w:lang w:eastAsia="en-US"/>
        </w:rPr>
      </w:pPr>
    </w:p>
    <w:p w14:paraId="45339667" w14:textId="77777777" w:rsidR="0044142D" w:rsidRDefault="0044142D" w:rsidP="006D5F38">
      <w:pPr>
        <w:pStyle w:val="Sinespaciado"/>
        <w:rPr>
          <w:rFonts w:eastAsiaTheme="minorHAnsi"/>
          <w:lang w:eastAsia="en-US"/>
        </w:rPr>
      </w:pPr>
    </w:p>
    <w:p w14:paraId="7E212D3F" w14:textId="77777777" w:rsidR="0044142D" w:rsidRPr="009D0958" w:rsidRDefault="0044142D" w:rsidP="006D5F38">
      <w:pPr>
        <w:pStyle w:val="Sinespaciado"/>
        <w:rPr>
          <w:rFonts w:eastAsiaTheme="minorHAnsi"/>
          <w:lang w:eastAsia="en-US"/>
        </w:rPr>
      </w:pPr>
    </w:p>
    <w:p w14:paraId="5F4BC01C" w14:textId="3E073E0E"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B2345B" w:rsidRPr="009D0958">
        <w:rPr>
          <w:rFonts w:ascii="Palatino Linotype" w:eastAsiaTheme="minorHAnsi" w:hAnsi="Palatino Linotype" w:cs="Arial"/>
          <w:b/>
          <w:sz w:val="28"/>
          <w:lang w:val="es-MX" w:eastAsia="en-US"/>
        </w:rPr>
        <w:t xml:space="preserve">O. De la respuesta del Sujeto Obligado. </w:t>
      </w:r>
    </w:p>
    <w:p w14:paraId="7815CFC1" w14:textId="3D1BECA2"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De las constancias que obran en el sistema </w:t>
      </w:r>
      <w:r w:rsidRPr="006D5F38">
        <w:rPr>
          <w:rFonts w:ascii="Palatino Linotype" w:eastAsiaTheme="minorHAnsi" w:hAnsi="Palatino Linotype" w:cs="Arial"/>
          <w:b/>
          <w:bCs/>
          <w:lang w:val="es-MX" w:eastAsia="en-US"/>
        </w:rPr>
        <w:t>SAIMEX</w:t>
      </w:r>
      <w:r w:rsidRPr="009D0958">
        <w:rPr>
          <w:rFonts w:ascii="Palatino Linotype" w:eastAsiaTheme="minorHAnsi" w:hAnsi="Palatino Linotype" w:cs="Arial"/>
          <w:lang w:val="es-MX" w:eastAsia="en-US"/>
        </w:rPr>
        <w:t xml:space="preserve">, se advierte que en fecha </w:t>
      </w:r>
      <w:r w:rsidR="0044142D">
        <w:rPr>
          <w:rFonts w:ascii="Palatino Linotype" w:eastAsiaTheme="minorHAnsi" w:hAnsi="Palatino Linotype" w:cs="Arial"/>
          <w:lang w:val="es-MX" w:eastAsia="en-US"/>
        </w:rPr>
        <w:t>cuatro de febrero</w:t>
      </w:r>
      <w:r w:rsidR="00763D8A"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de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w:t>
      </w:r>
      <w:r w:rsidR="006D5F38">
        <w:rPr>
          <w:rFonts w:ascii="Palatino Linotype" w:eastAsiaTheme="minorHAnsi" w:hAnsi="Palatino Linotype" w:cs="Arial"/>
          <w:lang w:val="es-MX" w:eastAsia="en-US"/>
        </w:rPr>
        <w:t xml:space="preserve"> 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emitió la respuesta en los siguientes términos:</w:t>
      </w:r>
    </w:p>
    <w:p w14:paraId="77D01A4B" w14:textId="77777777" w:rsidR="00B2345B" w:rsidRPr="009D0958" w:rsidRDefault="00B2345B" w:rsidP="00B2345B">
      <w:pPr>
        <w:rPr>
          <w:lang w:val="es-MX"/>
        </w:rPr>
      </w:pPr>
    </w:p>
    <w:p w14:paraId="3C908874" w14:textId="77777777" w:rsidR="0044142D" w:rsidRPr="0044142D" w:rsidRDefault="00B2345B" w:rsidP="0044142D">
      <w:pPr>
        <w:spacing w:line="276" w:lineRule="auto"/>
        <w:ind w:left="567" w:right="567"/>
        <w:jc w:val="both"/>
        <w:rPr>
          <w:rFonts w:ascii="Palatino Linotype" w:hAnsi="Palatino Linotype"/>
          <w:i/>
          <w:sz w:val="22"/>
          <w:szCs w:val="22"/>
          <w:lang w:val="es-MX" w:eastAsia="es-MX"/>
        </w:rPr>
      </w:pPr>
      <w:r w:rsidRPr="009D0958">
        <w:rPr>
          <w:rFonts w:ascii="Palatino Linotype" w:hAnsi="Palatino Linotype"/>
          <w:i/>
          <w:sz w:val="22"/>
          <w:szCs w:val="22"/>
          <w:lang w:val="es-MX" w:eastAsia="es-MX"/>
        </w:rPr>
        <w:t>“</w:t>
      </w:r>
      <w:r w:rsidR="0044142D" w:rsidRPr="0044142D">
        <w:rPr>
          <w:rFonts w:ascii="Palatino Linotype" w:hAnsi="Palatino Linotype"/>
          <w:i/>
          <w:sz w:val="22"/>
          <w:szCs w:val="22"/>
          <w:lang w:val="es-MX" w:eastAsia="es-MX"/>
        </w:rPr>
        <w:t xml:space="preserve">AQUIEN </w:t>
      </w:r>
      <w:proofErr w:type="gramStart"/>
      <w:r w:rsidR="0044142D" w:rsidRPr="0044142D">
        <w:rPr>
          <w:rFonts w:ascii="Palatino Linotype" w:hAnsi="Palatino Linotype"/>
          <w:i/>
          <w:sz w:val="22"/>
          <w:szCs w:val="22"/>
          <w:lang w:val="es-MX" w:eastAsia="es-MX"/>
        </w:rPr>
        <w:t>CORRESPONDA .</w:t>
      </w:r>
      <w:proofErr w:type="gramEnd"/>
      <w:r w:rsidR="0044142D" w:rsidRPr="0044142D">
        <w:rPr>
          <w:rFonts w:ascii="Palatino Linotype" w:hAnsi="Palatino Linotype"/>
          <w:i/>
          <w:sz w:val="22"/>
          <w:szCs w:val="22"/>
          <w:lang w:val="es-MX" w:eastAsia="es-MX"/>
        </w:rPr>
        <w:t xml:space="preserve"> P R E S E N T E. 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14:paraId="3C0746B1" w14:textId="77777777" w:rsidR="0044142D" w:rsidRDefault="0044142D" w:rsidP="0044142D">
      <w:pPr>
        <w:spacing w:line="276" w:lineRule="auto"/>
        <w:ind w:left="567" w:right="567"/>
        <w:jc w:val="both"/>
        <w:rPr>
          <w:rFonts w:ascii="Palatino Linotype" w:hAnsi="Palatino Linotype"/>
          <w:i/>
          <w:sz w:val="22"/>
          <w:szCs w:val="22"/>
          <w:lang w:val="es-MX" w:eastAsia="es-MX"/>
        </w:rPr>
      </w:pPr>
    </w:p>
    <w:p w14:paraId="0FCFA3AF" w14:textId="1217F463" w:rsidR="0044142D" w:rsidRPr="0044142D" w:rsidRDefault="0044142D" w:rsidP="0044142D">
      <w:pPr>
        <w:spacing w:line="276" w:lineRule="auto"/>
        <w:ind w:left="567" w:right="567"/>
        <w:jc w:val="both"/>
        <w:rPr>
          <w:rFonts w:ascii="Palatino Linotype" w:hAnsi="Palatino Linotype"/>
          <w:i/>
          <w:sz w:val="22"/>
          <w:szCs w:val="22"/>
          <w:lang w:val="es-MX" w:eastAsia="es-MX"/>
        </w:rPr>
      </w:pPr>
      <w:r w:rsidRPr="0044142D">
        <w:rPr>
          <w:rFonts w:ascii="Palatino Linotype" w:hAnsi="Palatino Linotype"/>
          <w:i/>
          <w:sz w:val="22"/>
          <w:szCs w:val="22"/>
          <w:lang w:val="es-MX" w:eastAsia="es-MX"/>
        </w:rPr>
        <w:t>ATENTAMENTE</w:t>
      </w:r>
    </w:p>
    <w:p w14:paraId="19DF742E" w14:textId="2BC72660" w:rsidR="00B2345B" w:rsidRPr="009D0958" w:rsidRDefault="0044142D" w:rsidP="0044142D">
      <w:pPr>
        <w:spacing w:line="276" w:lineRule="auto"/>
        <w:ind w:left="567" w:right="567"/>
        <w:jc w:val="both"/>
        <w:rPr>
          <w:rFonts w:ascii="Palatino Linotype" w:hAnsi="Palatino Linotype"/>
          <w:i/>
          <w:sz w:val="22"/>
          <w:szCs w:val="22"/>
          <w:lang w:val="es-MX" w:eastAsia="es-MX"/>
        </w:rPr>
      </w:pPr>
      <w:r w:rsidRPr="0044142D">
        <w:rPr>
          <w:rFonts w:ascii="Palatino Linotype" w:hAnsi="Palatino Linotype"/>
          <w:i/>
          <w:sz w:val="22"/>
          <w:szCs w:val="22"/>
          <w:lang w:val="es-MX" w:eastAsia="es-MX"/>
        </w:rPr>
        <w:t>C. LIZETTA CHAVEZ SANTIAGO</w:t>
      </w:r>
      <w:r w:rsidR="00B2345B" w:rsidRPr="009D0958">
        <w:rPr>
          <w:rFonts w:ascii="Palatino Linotype" w:hAnsi="Palatino Linotype"/>
          <w:i/>
          <w:sz w:val="22"/>
          <w:szCs w:val="22"/>
          <w:lang w:val="es-MX" w:eastAsia="es-MX"/>
        </w:rPr>
        <w:t>” (Sic).</w:t>
      </w:r>
    </w:p>
    <w:p w14:paraId="2C78BF1C" w14:textId="77777777" w:rsidR="00B2345B" w:rsidRPr="009D0958" w:rsidRDefault="00B2345B" w:rsidP="00B2345B">
      <w:pPr>
        <w:ind w:right="567"/>
        <w:jc w:val="both"/>
        <w:rPr>
          <w:rFonts w:ascii="Palatino Linotype" w:hAnsi="Palatino Linotype"/>
          <w:i/>
          <w:sz w:val="14"/>
          <w:szCs w:val="22"/>
          <w:lang w:val="es-MX" w:eastAsia="es-MX"/>
        </w:rPr>
      </w:pPr>
    </w:p>
    <w:p w14:paraId="2F486A11" w14:textId="77777777" w:rsidR="00B2345B" w:rsidRPr="009D0958" w:rsidRDefault="00B2345B" w:rsidP="00B2345B">
      <w:pPr>
        <w:pStyle w:val="Sinespaciado"/>
        <w:rPr>
          <w:lang w:eastAsia="es-MX"/>
        </w:rPr>
      </w:pPr>
    </w:p>
    <w:p w14:paraId="0819E04D" w14:textId="616A3DA3" w:rsidR="00B2345B" w:rsidRPr="009D0958" w:rsidRDefault="00B2345B" w:rsidP="00B2345B">
      <w:pPr>
        <w:spacing w:line="360" w:lineRule="auto"/>
        <w:jc w:val="both"/>
        <w:rPr>
          <w:rFonts w:ascii="Palatino Linotype" w:hAnsi="Palatino Linotype"/>
          <w:i/>
          <w:sz w:val="22"/>
          <w:szCs w:val="22"/>
          <w:lang w:val="es-MX" w:eastAsia="es-MX"/>
        </w:rPr>
      </w:pPr>
      <w:r w:rsidRPr="009D0958">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adjuntó a su respuesta, </w:t>
      </w:r>
      <w:r w:rsidR="0044142D">
        <w:rPr>
          <w:rFonts w:ascii="Palatino Linotype" w:eastAsiaTheme="minorHAnsi" w:hAnsi="Palatino Linotype" w:cs="Arial"/>
          <w:lang w:val="es-MX" w:eastAsia="en-US"/>
        </w:rPr>
        <w:t>el</w:t>
      </w:r>
      <w:r w:rsidR="00DC6AE5">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archivo electrónico denominado </w:t>
      </w:r>
      <w:r w:rsidRPr="009D0958">
        <w:rPr>
          <w:rFonts w:ascii="Palatino Linotype" w:eastAsiaTheme="minorHAnsi" w:hAnsi="Palatino Linotype" w:cs="Arial"/>
          <w:i/>
          <w:lang w:val="es-MX" w:eastAsia="en-US"/>
        </w:rPr>
        <w:t>“</w:t>
      </w:r>
      <w:r w:rsidR="0044142D" w:rsidRPr="0044142D">
        <w:rPr>
          <w:rFonts w:ascii="Palatino Linotype" w:eastAsiaTheme="minorHAnsi" w:hAnsi="Palatino Linotype" w:cs="Arial"/>
          <w:i/>
          <w:lang w:val="es-MX" w:eastAsia="en-US"/>
        </w:rPr>
        <w:t xml:space="preserve">Respuesta </w:t>
      </w:r>
      <w:proofErr w:type="spellStart"/>
      <w:r w:rsidR="0044142D" w:rsidRPr="0044142D">
        <w:rPr>
          <w:rFonts w:ascii="Palatino Linotype" w:eastAsiaTheme="minorHAnsi" w:hAnsi="Palatino Linotype" w:cs="Arial"/>
          <w:i/>
          <w:lang w:val="es-MX" w:eastAsia="en-US"/>
        </w:rPr>
        <w:t>Saimex</w:t>
      </w:r>
      <w:proofErr w:type="spellEnd"/>
      <w:r w:rsidR="0044142D" w:rsidRPr="0044142D">
        <w:rPr>
          <w:rFonts w:ascii="Palatino Linotype" w:eastAsiaTheme="minorHAnsi" w:hAnsi="Palatino Linotype" w:cs="Arial"/>
          <w:i/>
          <w:lang w:val="es-MX" w:eastAsia="en-US"/>
        </w:rPr>
        <w:t xml:space="preserve"> 28.zip</w:t>
      </w:r>
      <w:r w:rsidRPr="009D0958">
        <w:rPr>
          <w:rFonts w:ascii="Palatino Linotype" w:eastAsiaTheme="minorHAnsi" w:hAnsi="Palatino Linotype" w:cs="Arial"/>
          <w:i/>
          <w:lang w:val="es-MX" w:eastAsia="en-US"/>
        </w:rPr>
        <w:t>”;</w:t>
      </w:r>
      <w:r w:rsidRPr="009D0958">
        <w:rPr>
          <w:rFonts w:ascii="Palatino Linotype" w:eastAsiaTheme="minorHAnsi" w:hAnsi="Palatino Linotype" w:cs="Arial"/>
          <w:lang w:val="es-MX" w:eastAsia="en-US"/>
        </w:rPr>
        <w:t xml:space="preserve"> cuyo contenido no se inserta por ser del conocimiento d</w:t>
      </w:r>
      <w:r w:rsidR="00763D8A" w:rsidRPr="009D0958">
        <w:rPr>
          <w:rFonts w:ascii="Palatino Linotype" w:eastAsiaTheme="minorHAnsi" w:hAnsi="Palatino Linotype" w:cs="Arial"/>
          <w:lang w:val="es-MX" w:eastAsia="en-US"/>
        </w:rPr>
        <w:t>e las partes, sin embargo, será</w:t>
      </w:r>
      <w:r w:rsidRPr="009D0958">
        <w:rPr>
          <w:rFonts w:ascii="Palatino Linotype" w:eastAsiaTheme="minorHAnsi" w:hAnsi="Palatino Linotype" w:cs="Arial"/>
          <w:lang w:val="es-MX" w:eastAsia="en-US"/>
        </w:rPr>
        <w:t xml:space="preserve"> motivo de estudio en el Considerado respectivo. </w:t>
      </w:r>
    </w:p>
    <w:p w14:paraId="63BEA072" w14:textId="77777777" w:rsidR="00B2345B" w:rsidRPr="009D0958" w:rsidRDefault="00B2345B" w:rsidP="00B2345B">
      <w:pPr>
        <w:spacing w:line="360" w:lineRule="auto"/>
        <w:jc w:val="both"/>
        <w:rPr>
          <w:rFonts w:ascii="Palatino Linotype" w:hAnsi="Palatino Linotype"/>
          <w:i/>
          <w:sz w:val="22"/>
          <w:szCs w:val="22"/>
          <w:lang w:val="es-MX" w:eastAsia="es-MX"/>
        </w:rPr>
      </w:pPr>
    </w:p>
    <w:p w14:paraId="231E1147" w14:textId="1F85B1C9"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B2345B" w:rsidRPr="009D0958">
        <w:rPr>
          <w:rFonts w:ascii="Palatino Linotype" w:eastAsiaTheme="minorHAnsi" w:hAnsi="Palatino Linotype" w:cs="Arial"/>
          <w:b/>
          <w:sz w:val="28"/>
          <w:lang w:val="es-MX" w:eastAsia="en-US"/>
        </w:rPr>
        <w:t>O. Del recurso de revisión.</w:t>
      </w:r>
    </w:p>
    <w:p w14:paraId="53899ECB" w14:textId="47BE7E41"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Inconforme con la respuesta por parte del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interpuso el presente recurso de revisión en fecha </w:t>
      </w:r>
      <w:r w:rsidR="0044142D">
        <w:rPr>
          <w:rFonts w:ascii="Palatino Linotype" w:eastAsiaTheme="minorHAnsi" w:hAnsi="Palatino Linotype" w:cs="Arial"/>
          <w:lang w:val="es-MX" w:eastAsia="en-US"/>
        </w:rPr>
        <w:t>seis</w:t>
      </w:r>
      <w:r w:rsidR="006D5F38">
        <w:rPr>
          <w:rFonts w:ascii="Palatino Linotype" w:eastAsiaTheme="minorHAnsi" w:hAnsi="Palatino Linotype" w:cs="Arial"/>
          <w:lang w:val="es-MX" w:eastAsia="en-US"/>
        </w:rPr>
        <w:t xml:space="preserve"> de febrero</w:t>
      </w:r>
      <w:r w:rsidRPr="009D0958">
        <w:rPr>
          <w:rFonts w:ascii="Palatino Linotype" w:eastAsiaTheme="minorHAnsi" w:hAnsi="Palatino Linotype" w:cs="Arial"/>
          <w:lang w:val="es-MX" w:eastAsia="en-US"/>
        </w:rPr>
        <w:t xml:space="preserve"> de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el cual fue registrado</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 xml:space="preserve">en el sistema electrónico con el expediente número </w:t>
      </w:r>
      <w:r w:rsidRPr="009D0958">
        <w:rPr>
          <w:rFonts w:ascii="Palatino Linotype" w:eastAsiaTheme="minorHAnsi" w:hAnsi="Palatino Linotype" w:cs="Arial"/>
          <w:b/>
          <w:bCs/>
          <w:lang w:val="es-MX" w:eastAsia="es-MX"/>
        </w:rPr>
        <w:t>0</w:t>
      </w:r>
      <w:r w:rsidR="006D5F38">
        <w:rPr>
          <w:rFonts w:ascii="Palatino Linotype" w:eastAsiaTheme="minorHAnsi" w:hAnsi="Palatino Linotype" w:cs="Arial"/>
          <w:b/>
          <w:bCs/>
          <w:lang w:val="es-MX" w:eastAsia="es-MX"/>
        </w:rPr>
        <w:t>0</w:t>
      </w:r>
      <w:r w:rsidR="0044142D">
        <w:rPr>
          <w:rFonts w:ascii="Palatino Linotype" w:eastAsiaTheme="minorHAnsi" w:hAnsi="Palatino Linotype" w:cs="Arial"/>
          <w:b/>
          <w:bCs/>
          <w:lang w:val="es-MX" w:eastAsia="es-MX"/>
        </w:rPr>
        <w:t>705</w:t>
      </w:r>
      <w:r w:rsidRPr="009D0958">
        <w:rPr>
          <w:rFonts w:ascii="Palatino Linotype" w:eastAsiaTheme="minorHAnsi" w:hAnsi="Palatino Linotype" w:cs="Arial"/>
          <w:b/>
          <w:bCs/>
          <w:lang w:val="es-MX" w:eastAsia="es-MX"/>
        </w:rPr>
        <w:t>/INFOEM/IP/RR/202</w:t>
      </w:r>
      <w:r w:rsidR="006D5F38">
        <w:rPr>
          <w:rFonts w:ascii="Palatino Linotype" w:eastAsiaTheme="minorHAnsi" w:hAnsi="Palatino Linotype" w:cs="Arial"/>
          <w:b/>
          <w:bCs/>
          <w:lang w:val="es-MX" w:eastAsia="es-MX"/>
        </w:rPr>
        <w:t>5</w:t>
      </w:r>
      <w:r w:rsidRPr="009D0958">
        <w:rPr>
          <w:rFonts w:ascii="Palatino Linotype" w:eastAsiaTheme="minorHAnsi" w:hAnsi="Palatino Linotype" w:cs="Arial"/>
          <w:lang w:val="es-MX" w:eastAsia="en-US"/>
        </w:rPr>
        <w:t>, en el cual aduce, las siguientes manifestaciones:</w:t>
      </w:r>
    </w:p>
    <w:p w14:paraId="619DAEF5" w14:textId="77777777" w:rsidR="00B2345B" w:rsidRPr="009D0958" w:rsidRDefault="00B2345B" w:rsidP="00B2345B">
      <w:pPr>
        <w:rPr>
          <w:lang w:val="es-MX"/>
        </w:rPr>
      </w:pPr>
    </w:p>
    <w:p w14:paraId="794DC557" w14:textId="3D39463C" w:rsidR="00B2345B" w:rsidRPr="009D0958" w:rsidRDefault="00B2345B" w:rsidP="00DC6AE5">
      <w:pPr>
        <w:numPr>
          <w:ilvl w:val="0"/>
          <w:numId w:val="1"/>
        </w:numPr>
        <w:spacing w:line="259" w:lineRule="auto"/>
        <w:jc w:val="both"/>
        <w:rPr>
          <w:rFonts w:ascii="Palatino Linotype" w:hAnsi="Palatino Linotype" w:cs="Arial"/>
          <w:b/>
          <w:sz w:val="26"/>
          <w:szCs w:val="26"/>
        </w:rPr>
      </w:pPr>
      <w:r w:rsidRPr="009D0958">
        <w:rPr>
          <w:rFonts w:ascii="Palatino Linotype" w:hAnsi="Palatino Linotype" w:cs="Arial"/>
          <w:b/>
          <w:sz w:val="26"/>
          <w:szCs w:val="26"/>
        </w:rPr>
        <w:t xml:space="preserve">Acto Impugnado: </w:t>
      </w:r>
      <w:r w:rsidRPr="009D0958">
        <w:rPr>
          <w:rFonts w:ascii="Palatino Linotype" w:eastAsiaTheme="minorHAnsi" w:hAnsi="Palatino Linotype" w:cstheme="minorBidi"/>
          <w:i/>
          <w:color w:val="000000"/>
          <w:sz w:val="22"/>
          <w:szCs w:val="22"/>
          <w:lang w:val="es-MX" w:eastAsia="en-US"/>
        </w:rPr>
        <w:t>“</w:t>
      </w:r>
      <w:r w:rsidR="0044142D" w:rsidRPr="0044142D">
        <w:rPr>
          <w:rFonts w:ascii="Palatino Linotype" w:eastAsiaTheme="minorHAnsi" w:hAnsi="Palatino Linotype" w:cstheme="minorBidi"/>
          <w:i/>
          <w:color w:val="000000"/>
          <w:sz w:val="22"/>
          <w:szCs w:val="22"/>
          <w:lang w:val="es-MX" w:eastAsia="en-US"/>
        </w:rPr>
        <w:t>A la información</w:t>
      </w:r>
      <w:r w:rsidRPr="009D0958">
        <w:rPr>
          <w:rFonts w:ascii="Palatino Linotype" w:eastAsiaTheme="minorHAnsi" w:hAnsi="Palatino Linotype" w:cstheme="minorBidi"/>
          <w:i/>
          <w:color w:val="000000"/>
          <w:sz w:val="22"/>
          <w:szCs w:val="22"/>
          <w:lang w:val="es-MX" w:eastAsia="en-US"/>
        </w:rPr>
        <w:t>” (Sic).</w:t>
      </w:r>
    </w:p>
    <w:p w14:paraId="3798A0BA" w14:textId="77777777" w:rsidR="00B2345B" w:rsidRPr="009D0958" w:rsidRDefault="00B2345B" w:rsidP="00B2345B">
      <w:pPr>
        <w:spacing w:line="276" w:lineRule="auto"/>
        <w:ind w:left="284"/>
        <w:jc w:val="both"/>
        <w:rPr>
          <w:rFonts w:ascii="Palatino Linotype" w:hAnsi="Palatino Linotype"/>
          <w:i/>
          <w:sz w:val="22"/>
          <w:szCs w:val="22"/>
          <w:lang w:val="es-MX" w:eastAsia="es-MX"/>
        </w:rPr>
      </w:pPr>
    </w:p>
    <w:p w14:paraId="73A3BECE" w14:textId="2FDB04A0" w:rsidR="00AB75C2" w:rsidRPr="00AB75C2" w:rsidRDefault="00B2345B" w:rsidP="00DC6AE5">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9D0958">
        <w:rPr>
          <w:rFonts w:ascii="Palatino Linotype" w:hAnsi="Palatino Linotype" w:cs="Arial"/>
          <w:b/>
          <w:sz w:val="26"/>
          <w:szCs w:val="26"/>
        </w:rPr>
        <w:lastRenderedPageBreak/>
        <w:t>Razones o Motivos de Inconformidad</w:t>
      </w:r>
      <w:r w:rsidRPr="009D0958">
        <w:rPr>
          <w:rFonts w:ascii="Palatino Linotype" w:hAnsi="Palatino Linotype" w:cs="Arial"/>
          <w:sz w:val="26"/>
          <w:szCs w:val="26"/>
        </w:rPr>
        <w:t xml:space="preserve">: </w:t>
      </w:r>
      <w:r w:rsidR="00DC6AE5">
        <w:rPr>
          <w:rFonts w:ascii="Palatino Linotype" w:hAnsi="Palatino Linotype" w:cs="Arial"/>
          <w:sz w:val="26"/>
          <w:szCs w:val="26"/>
        </w:rPr>
        <w:t>“</w:t>
      </w:r>
      <w:r w:rsidR="0044142D" w:rsidRPr="0044142D">
        <w:rPr>
          <w:rFonts w:ascii="Palatino Linotype" w:eastAsiaTheme="minorHAnsi" w:hAnsi="Palatino Linotype" w:cstheme="minorBidi"/>
          <w:i/>
          <w:color w:val="000000"/>
          <w:sz w:val="22"/>
          <w:szCs w:val="22"/>
          <w:lang w:val="es-MX" w:eastAsia="en-US"/>
        </w:rPr>
        <w:t>No están dando la información requerida</w:t>
      </w:r>
      <w:r w:rsidR="00DC6AE5">
        <w:rPr>
          <w:rFonts w:ascii="Palatino Linotype" w:eastAsiaTheme="minorHAnsi" w:hAnsi="Palatino Linotype" w:cstheme="minorBidi"/>
          <w:i/>
          <w:color w:val="000000"/>
          <w:sz w:val="22"/>
          <w:szCs w:val="22"/>
          <w:lang w:val="es-MX" w:eastAsia="en-US"/>
        </w:rPr>
        <w:t>” (Sic).</w:t>
      </w:r>
    </w:p>
    <w:p w14:paraId="474D7732" w14:textId="77777777" w:rsidR="00AB75C2" w:rsidRPr="00AB75C2" w:rsidRDefault="00AB75C2" w:rsidP="00B2345B">
      <w:pPr>
        <w:spacing w:line="360" w:lineRule="auto"/>
        <w:jc w:val="both"/>
        <w:rPr>
          <w:rFonts w:ascii="Palatino Linotype" w:eastAsiaTheme="minorHAnsi" w:hAnsi="Palatino Linotype" w:cs="Arial"/>
          <w:b/>
          <w:lang w:val="es-MX" w:eastAsia="en-US"/>
        </w:rPr>
      </w:pPr>
    </w:p>
    <w:p w14:paraId="52D08D98" w14:textId="3810F6BD"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345B" w:rsidRPr="009D0958">
        <w:rPr>
          <w:rFonts w:ascii="Palatino Linotype" w:eastAsiaTheme="minorHAnsi" w:hAnsi="Palatino Linotype" w:cs="Arial"/>
          <w:b/>
          <w:sz w:val="28"/>
          <w:lang w:val="es-MX" w:eastAsia="en-US"/>
        </w:rPr>
        <w:t>TO. Del turno del recurso de revisión.</w:t>
      </w:r>
    </w:p>
    <w:p w14:paraId="25D4D0FE" w14:textId="6813DE82"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Medio de impugnación que le fue turnado al Comisionado Presidente </w:t>
      </w:r>
      <w:r w:rsidRPr="009D0958">
        <w:rPr>
          <w:rFonts w:ascii="Palatino Linotype" w:eastAsiaTheme="minorHAnsi" w:hAnsi="Palatino Linotype" w:cs="Arial"/>
          <w:b/>
          <w:lang w:val="es-MX" w:eastAsia="en-US"/>
        </w:rPr>
        <w:t>José Martínez Vilchis</w:t>
      </w:r>
      <w:r w:rsidRPr="009D0958">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44142D">
        <w:rPr>
          <w:rFonts w:ascii="Palatino Linotype" w:eastAsiaTheme="minorHAnsi" w:hAnsi="Palatino Linotype" w:cs="Arial"/>
          <w:lang w:val="es-MX" w:eastAsia="en-US"/>
        </w:rPr>
        <w:t xml:space="preserve">doce </w:t>
      </w:r>
      <w:r w:rsidR="006D5F38">
        <w:rPr>
          <w:rFonts w:ascii="Palatino Linotype" w:eastAsiaTheme="minorHAnsi" w:hAnsi="Palatino Linotype" w:cs="Arial"/>
          <w:lang w:val="es-MX" w:eastAsia="en-US"/>
        </w:rPr>
        <w:t>de febrero</w:t>
      </w:r>
      <w:r w:rsidRPr="009D0958">
        <w:rPr>
          <w:rFonts w:ascii="Palatino Linotype" w:eastAsiaTheme="minorHAnsi" w:hAnsi="Palatino Linotype" w:cs="Arial"/>
          <w:lang w:val="es-MX" w:eastAsia="en-US"/>
        </w:rPr>
        <w:t xml:space="preserve"> de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9D0958"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345B" w:rsidRPr="009D0958">
        <w:rPr>
          <w:rFonts w:ascii="Palatino Linotype" w:eastAsiaTheme="minorHAnsi" w:hAnsi="Palatino Linotype" w:cs="Arial"/>
          <w:b/>
          <w:sz w:val="28"/>
          <w:lang w:val="es-MX" w:eastAsia="en-US"/>
        </w:rPr>
        <w:t>TO. De la etapa de manifestaciones y/o alegatos.</w:t>
      </w:r>
    </w:p>
    <w:p w14:paraId="41997A14" w14:textId="73558E7F" w:rsidR="006C18A8" w:rsidRPr="00B74C9F" w:rsidRDefault="00B2345B" w:rsidP="00B74C9F">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Una vez transcurrido el término legal referido se destaca que,</w:t>
      </w:r>
      <w:r w:rsidR="00B74C9F">
        <w:rPr>
          <w:rFonts w:ascii="Palatino Linotype" w:eastAsiaTheme="minorHAnsi" w:hAnsi="Palatino Linotype" w:cs="Arial"/>
          <w:lang w:val="es-MX" w:eastAsia="en-US"/>
        </w:rPr>
        <w:t xml:space="preserve"> </w:t>
      </w:r>
      <w:r w:rsidR="0027553E">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w:t>
      </w:r>
      <w:r w:rsidR="006D5F38">
        <w:rPr>
          <w:rFonts w:ascii="Palatino Linotype" w:eastAsiaTheme="minorHAnsi" w:hAnsi="Palatino Linotype" w:cs="Arial"/>
          <w:lang w:val="es-MX" w:eastAsia="en-US"/>
        </w:rPr>
        <w:t xml:space="preserve">en fecha </w:t>
      </w:r>
      <w:r w:rsidR="0044142D">
        <w:rPr>
          <w:rFonts w:ascii="Palatino Linotype" w:eastAsiaTheme="minorHAnsi" w:hAnsi="Palatino Linotype" w:cs="Arial"/>
          <w:lang w:val="es-MX" w:eastAsia="en-US"/>
        </w:rPr>
        <w:t>diecinueve</w:t>
      </w:r>
      <w:r w:rsidR="006D5F38">
        <w:rPr>
          <w:rFonts w:ascii="Palatino Linotype" w:eastAsiaTheme="minorHAnsi" w:hAnsi="Palatino Linotype" w:cs="Arial"/>
          <w:lang w:val="es-MX" w:eastAsia="en-US"/>
        </w:rPr>
        <w:t xml:space="preserve"> de febrero de</w:t>
      </w:r>
      <w:r w:rsidR="00F03CE4">
        <w:rPr>
          <w:rFonts w:ascii="Palatino Linotype" w:eastAsiaTheme="minorHAnsi" w:hAnsi="Palatino Linotype" w:cs="Arial"/>
          <w:lang w:val="es-MX" w:eastAsia="en-US"/>
        </w:rPr>
        <w:t xml:space="preserve"> dos mil veinticinco</w:t>
      </w:r>
      <w:r w:rsidR="006D5F38">
        <w:rPr>
          <w:rFonts w:ascii="Palatino Linotype" w:eastAsiaTheme="minorHAnsi" w:hAnsi="Palatino Linotype" w:cs="Arial"/>
          <w:lang w:val="es-MX" w:eastAsia="en-US"/>
        </w:rPr>
        <w:t>, remitió</w:t>
      </w:r>
      <w:r w:rsidR="00763D8A" w:rsidRPr="009D0958">
        <w:rPr>
          <w:rFonts w:ascii="Palatino Linotype" w:eastAsiaTheme="minorHAnsi" w:hAnsi="Palatino Linotype" w:cs="Arial"/>
          <w:lang w:val="es-MX" w:eastAsia="en-US"/>
        </w:rPr>
        <w:t xml:space="preserve"> su</w:t>
      </w:r>
      <w:r w:rsidR="0027553E">
        <w:rPr>
          <w:rFonts w:ascii="Palatino Linotype" w:eastAsiaTheme="minorHAnsi" w:hAnsi="Palatino Linotype" w:cs="Arial"/>
          <w:lang w:val="es-MX" w:eastAsia="en-US"/>
        </w:rPr>
        <w:t xml:space="preserve"> informe</w:t>
      </w:r>
      <w:r w:rsidRPr="009D0958">
        <w:rPr>
          <w:rFonts w:ascii="Palatino Linotype" w:eastAsiaTheme="minorHAnsi" w:hAnsi="Palatino Linotype" w:cs="Arial"/>
          <w:lang w:val="es-MX" w:eastAsia="en-US"/>
        </w:rPr>
        <w:t xml:space="preserve"> justificado</w:t>
      </w:r>
      <w:r w:rsidR="006D5F38">
        <w:rPr>
          <w:rFonts w:ascii="Palatino Linotype" w:eastAsiaTheme="minorHAnsi" w:hAnsi="Palatino Linotype" w:cs="Arial"/>
          <w:lang w:val="es-MX" w:eastAsia="en-US"/>
        </w:rPr>
        <w:t xml:space="preserve"> mediante el archivo electrónico denominado </w:t>
      </w:r>
      <w:r w:rsidR="006D5F38" w:rsidRPr="006D5F38">
        <w:rPr>
          <w:rFonts w:ascii="Palatino Linotype" w:eastAsiaTheme="minorHAnsi" w:hAnsi="Palatino Linotype" w:cs="Arial"/>
          <w:i/>
          <w:iCs/>
          <w:lang w:val="es-MX" w:eastAsia="en-US"/>
        </w:rPr>
        <w:t>“</w:t>
      </w:r>
      <w:r w:rsidR="0044142D" w:rsidRPr="0044142D">
        <w:rPr>
          <w:rFonts w:ascii="Palatino Linotype" w:eastAsiaTheme="minorHAnsi" w:hAnsi="Palatino Linotype" w:cs="Arial"/>
          <w:i/>
          <w:iCs/>
          <w:lang w:val="es-MX" w:eastAsia="en-US"/>
        </w:rPr>
        <w:t>MANIFESTACIONES.zip</w:t>
      </w:r>
      <w:r w:rsidR="006D5F38" w:rsidRPr="006D5F38">
        <w:rPr>
          <w:rFonts w:ascii="Palatino Linotype" w:eastAsiaTheme="minorHAnsi" w:hAnsi="Palatino Linotype" w:cs="Arial"/>
          <w:i/>
          <w:iCs/>
          <w:lang w:val="es-MX" w:eastAsia="en-US"/>
        </w:rPr>
        <w:t>”</w:t>
      </w:r>
      <w:r w:rsidR="006D5F38">
        <w:rPr>
          <w:rFonts w:ascii="Palatino Linotype" w:eastAsiaTheme="minorHAnsi" w:hAnsi="Palatino Linotype" w:cs="Arial"/>
          <w:lang w:val="es-MX" w:eastAsia="en-US"/>
        </w:rPr>
        <w:t>; mismo que</w:t>
      </w:r>
      <w:r w:rsidR="0044142D">
        <w:rPr>
          <w:rFonts w:ascii="Palatino Linotype" w:eastAsiaTheme="minorHAnsi" w:hAnsi="Palatino Linotype" w:cs="Arial"/>
          <w:lang w:val="es-MX" w:eastAsia="en-US"/>
        </w:rPr>
        <w:t xml:space="preserve">, adjuntó en el apartado de </w:t>
      </w:r>
      <w:r w:rsidR="0044142D" w:rsidRPr="0044142D">
        <w:rPr>
          <w:rFonts w:ascii="Palatino Linotype" w:eastAsiaTheme="minorHAnsi" w:hAnsi="Palatino Linotype" w:cs="Arial"/>
          <w:b/>
          <w:bCs/>
          <w:i/>
          <w:iCs/>
          <w:u w:val="single"/>
          <w:lang w:val="es-MX" w:eastAsia="en-US"/>
        </w:rPr>
        <w:t>“Archivos enviados por el Recurrente”</w:t>
      </w:r>
      <w:r w:rsidR="0044142D">
        <w:rPr>
          <w:rFonts w:ascii="Palatino Linotype" w:eastAsiaTheme="minorHAnsi" w:hAnsi="Palatino Linotype" w:cs="Arial"/>
          <w:lang w:val="es-MX" w:eastAsia="en-US"/>
        </w:rPr>
        <w:t xml:space="preserve">; por lo que, se puso a la vista del </w:t>
      </w:r>
      <w:r w:rsidR="0044142D" w:rsidRPr="0044142D">
        <w:rPr>
          <w:rFonts w:ascii="Palatino Linotype" w:eastAsiaTheme="minorHAnsi" w:hAnsi="Palatino Linotype" w:cs="Arial"/>
          <w:b/>
          <w:bCs/>
          <w:lang w:val="es-MX" w:eastAsia="en-US"/>
        </w:rPr>
        <w:t>Recurrente</w:t>
      </w:r>
      <w:r w:rsidR="0044142D">
        <w:rPr>
          <w:rFonts w:ascii="Palatino Linotype" w:eastAsiaTheme="minorHAnsi" w:hAnsi="Palatino Linotype" w:cs="Arial"/>
          <w:lang w:val="es-MX" w:eastAsia="en-US"/>
        </w:rPr>
        <w:t xml:space="preserve"> de manera automática</w:t>
      </w:r>
      <w:r w:rsidRPr="009D0958">
        <w:rPr>
          <w:rFonts w:ascii="Palatino Linotype" w:eastAsiaTheme="minorHAnsi" w:hAnsi="Palatino Linotype" w:cs="Arial"/>
          <w:lang w:val="es-MX" w:eastAsia="en-US"/>
        </w:rPr>
        <w:t xml:space="preserve">; asimismo, se aprecia que la parte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w:t>
      </w:r>
      <w:r w:rsidR="006D5F38">
        <w:rPr>
          <w:rFonts w:ascii="Palatino Linotype" w:eastAsiaTheme="minorHAnsi" w:hAnsi="Palatino Linotype" w:cs="Arial"/>
          <w:lang w:val="es-MX" w:eastAsia="en-US"/>
        </w:rPr>
        <w:t>no</w:t>
      </w:r>
      <w:r w:rsidR="006C18A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realizó alegatos, ni ofreció pruebas o manifestaciones, lo anterior de conformidad con la siguiente imagen:</w:t>
      </w:r>
    </w:p>
    <w:p w14:paraId="54A404F0" w14:textId="7215D295" w:rsidR="006C18A8" w:rsidRPr="0027553E" w:rsidRDefault="0044142D" w:rsidP="0027553E">
      <w:pPr>
        <w:spacing w:line="360" w:lineRule="auto"/>
        <w:jc w:val="both"/>
        <w:rPr>
          <w:rFonts w:ascii="Palatino Linotype" w:eastAsiaTheme="minorHAnsi" w:hAnsi="Palatino Linotype" w:cs="Arial"/>
          <w:noProof/>
          <w:lang w:val="es-MX" w:eastAsia="es-MX"/>
        </w:rPr>
      </w:pPr>
      <w:r w:rsidRPr="0044142D">
        <w:rPr>
          <w:rFonts w:ascii="Palatino Linotype" w:eastAsiaTheme="minorHAnsi" w:hAnsi="Palatino Linotype" w:cs="Arial"/>
          <w:noProof/>
          <w:lang w:val="es-MX" w:eastAsia="es-MX"/>
        </w:rPr>
        <w:drawing>
          <wp:inline distT="0" distB="0" distL="0" distR="0" wp14:anchorId="4A3CA274" wp14:editId="1C742FBB">
            <wp:extent cx="5791835" cy="1382395"/>
            <wp:effectExtent l="152400" t="152400" r="361315" b="370205"/>
            <wp:docPr id="1137862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62507" name=""/>
                    <pic:cNvPicPr/>
                  </pic:nvPicPr>
                  <pic:blipFill>
                    <a:blip r:embed="rId8"/>
                    <a:stretch>
                      <a:fillRect/>
                    </a:stretch>
                  </pic:blipFill>
                  <pic:spPr>
                    <a:xfrm>
                      <a:off x="0" y="0"/>
                      <a:ext cx="5791835" cy="1382395"/>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9D0958" w:rsidRDefault="00F94208" w:rsidP="00B23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SEXT</w:t>
      </w:r>
      <w:r w:rsidR="00B2345B" w:rsidRPr="009D0958">
        <w:rPr>
          <w:rFonts w:ascii="Palatino Linotype" w:eastAsiaTheme="minorHAnsi" w:hAnsi="Palatino Linotype" w:cs="Arial"/>
          <w:b/>
          <w:sz w:val="28"/>
          <w:lang w:val="es-MX" w:eastAsia="en-US"/>
        </w:rPr>
        <w:t>O. Del cierre de instrucción.</w:t>
      </w:r>
      <w:r w:rsidR="00B2345B" w:rsidRPr="009D0958">
        <w:rPr>
          <w:rFonts w:ascii="Palatino Linotype" w:eastAsiaTheme="minorHAnsi" w:hAnsi="Palatino Linotype" w:cs="Arial"/>
          <w:b/>
          <w:sz w:val="28"/>
          <w:lang w:val="es-MX" w:eastAsia="en-US"/>
        </w:rPr>
        <w:tab/>
      </w:r>
    </w:p>
    <w:p w14:paraId="4B5F5154" w14:textId="456ADB91" w:rsidR="00B2345B"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Así, una vez transcurrido el término legal, permitió decretarse el cierre de instrucción en fecha </w:t>
      </w:r>
      <w:r w:rsidR="00F03CE4">
        <w:rPr>
          <w:rFonts w:ascii="Palatino Linotype" w:eastAsiaTheme="minorHAnsi" w:hAnsi="Palatino Linotype" w:cs="Arial"/>
          <w:lang w:val="es-MX" w:eastAsia="en-US"/>
        </w:rPr>
        <w:t>veint</w:t>
      </w:r>
      <w:r w:rsidR="0044142D">
        <w:rPr>
          <w:rFonts w:ascii="Palatino Linotype" w:eastAsiaTheme="minorHAnsi" w:hAnsi="Palatino Linotype" w:cs="Arial"/>
          <w:lang w:val="es-MX" w:eastAsia="en-US"/>
        </w:rPr>
        <w:t>icuatro</w:t>
      </w:r>
      <w:r w:rsidR="00F03CE4">
        <w:rPr>
          <w:rFonts w:ascii="Palatino Linotype" w:eastAsiaTheme="minorHAnsi" w:hAnsi="Palatino Linotype" w:cs="Arial"/>
          <w:lang w:val="es-MX" w:eastAsia="en-US"/>
        </w:rPr>
        <w:t xml:space="preserve"> de febrero</w:t>
      </w:r>
      <w:r w:rsidRPr="009D0958">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62DE5322" w14:textId="77777777" w:rsidR="00763D8A" w:rsidRPr="009D0958" w:rsidRDefault="00763D8A" w:rsidP="00B96A17">
      <w:pPr>
        <w:spacing w:line="360" w:lineRule="auto"/>
        <w:jc w:val="both"/>
        <w:rPr>
          <w:rFonts w:ascii="Palatino Linotype" w:hAnsi="Palatino Linotype"/>
          <w:lang w:val="es-MX"/>
        </w:rPr>
      </w:pPr>
    </w:p>
    <w:p w14:paraId="22533BAB" w14:textId="77777777" w:rsidR="00D57F74" w:rsidRPr="009D0958" w:rsidRDefault="00E74701" w:rsidP="00270257">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C O N S I D E R A N</w:t>
      </w:r>
      <w:r w:rsidR="00D57F74" w:rsidRPr="009D0958">
        <w:rPr>
          <w:rFonts w:ascii="Palatino Linotype" w:eastAsiaTheme="minorHAnsi" w:hAnsi="Palatino Linotype" w:cs="Arial"/>
          <w:b/>
          <w:sz w:val="28"/>
          <w:lang w:val="es-MX" w:eastAsia="en-US"/>
        </w:rPr>
        <w:t xml:space="preserve"> D O </w:t>
      </w:r>
    </w:p>
    <w:p w14:paraId="6E24D6C0" w14:textId="77777777" w:rsidR="00270257" w:rsidRPr="009D0958" w:rsidRDefault="00270257" w:rsidP="00763D8A">
      <w:pPr>
        <w:pStyle w:val="Sinespaciado"/>
        <w:rPr>
          <w:rFonts w:eastAsiaTheme="minorHAnsi"/>
          <w:lang w:eastAsia="en-US"/>
        </w:rPr>
      </w:pPr>
    </w:p>
    <w:p w14:paraId="164F7678" w14:textId="77777777" w:rsidR="0029071C" w:rsidRPr="009D0958" w:rsidRDefault="0029071C" w:rsidP="0029071C">
      <w:pPr>
        <w:spacing w:line="360" w:lineRule="auto"/>
        <w:jc w:val="both"/>
        <w:rPr>
          <w:rFonts w:ascii="Palatino Linotype" w:eastAsiaTheme="minorHAnsi" w:hAnsi="Palatino Linotype" w:cs="Arial"/>
          <w:sz w:val="28"/>
          <w:lang w:val="es-MX" w:eastAsia="en-US"/>
        </w:rPr>
      </w:pPr>
      <w:r w:rsidRPr="009D0958">
        <w:rPr>
          <w:rFonts w:ascii="Palatino Linotype" w:eastAsiaTheme="minorHAnsi" w:hAnsi="Palatino Linotype" w:cs="Arial"/>
          <w:b/>
          <w:sz w:val="28"/>
          <w:lang w:val="es-MX" w:eastAsia="en-US"/>
        </w:rPr>
        <w:t>PRIMERO. De la competencia</w:t>
      </w:r>
      <w:r w:rsidRPr="009D0958">
        <w:rPr>
          <w:rFonts w:ascii="Palatino Linotype" w:eastAsiaTheme="minorHAnsi" w:hAnsi="Palatino Linotype" w:cs="Arial"/>
          <w:sz w:val="28"/>
          <w:lang w:val="es-MX" w:eastAsia="en-US"/>
        </w:rPr>
        <w:t>.</w:t>
      </w:r>
    </w:p>
    <w:p w14:paraId="4702846A" w14:textId="4FB99C21" w:rsidR="0027553E" w:rsidRDefault="005C4743" w:rsidP="00CC0B81">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9D0958">
        <w:rPr>
          <w:rFonts w:ascii="Palatino Linotype" w:eastAsiaTheme="minorHAnsi" w:hAnsi="Palatino Linotype" w:cs="Arial"/>
          <w:lang w:val="es-MX" w:eastAsia="en-US"/>
        </w:rPr>
        <w:t>tercero</w:t>
      </w:r>
      <w:r w:rsidRPr="009D0958">
        <w:rPr>
          <w:rFonts w:ascii="Palatino Linotype" w:eastAsiaTheme="minorHAnsi" w:hAnsi="Palatino Linotype" w:cs="Arial"/>
          <w:lang w:val="es-MX" w:eastAsia="en-US"/>
        </w:rPr>
        <w:t xml:space="preserve"> y trigésimo </w:t>
      </w:r>
      <w:r w:rsidR="008D2478" w:rsidRPr="009D0958">
        <w:rPr>
          <w:rFonts w:ascii="Palatino Linotype" w:eastAsiaTheme="minorHAnsi" w:hAnsi="Palatino Linotype" w:cs="Arial"/>
          <w:lang w:val="es-MX" w:eastAsia="en-US"/>
        </w:rPr>
        <w:t>cuarto</w:t>
      </w:r>
      <w:r w:rsidRPr="009D0958">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EA76E77" w14:textId="77777777" w:rsidR="00DC6AE5" w:rsidRPr="009D0958" w:rsidRDefault="00DC6AE5" w:rsidP="00CC0B81">
      <w:pPr>
        <w:spacing w:line="360" w:lineRule="auto"/>
        <w:jc w:val="both"/>
        <w:rPr>
          <w:rFonts w:ascii="Palatino Linotype" w:eastAsiaTheme="minorHAnsi" w:hAnsi="Palatino Linotype" w:cs="Arial"/>
          <w:lang w:val="es-MX" w:eastAsia="en-US"/>
        </w:rPr>
      </w:pPr>
    </w:p>
    <w:p w14:paraId="338B74C3" w14:textId="77777777" w:rsidR="0029071C" w:rsidRPr="009D0958"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 xml:space="preserve">SEGUNDO. De los alcances del Recurso de Revisión. </w:t>
      </w:r>
    </w:p>
    <w:p w14:paraId="06282F13" w14:textId="5335FD1A" w:rsidR="00763D8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w:t>
      </w:r>
      <w:r w:rsidRPr="009D0958">
        <w:rPr>
          <w:rFonts w:ascii="Palatino Linotype" w:eastAsiaTheme="minorHAnsi" w:hAnsi="Palatino Linotype" w:cs="Arial"/>
          <w:lang w:val="es-MX" w:eastAsia="en-US"/>
        </w:rPr>
        <w:lastRenderedPageBreak/>
        <w:t>Municipios vigente y será analizado conforme a las actuaciones que obren en el expediente electrónico con la finalidad de reparar cualquier posible afectación al derecho de acceso a la información pública y garantizando el princip</w:t>
      </w:r>
      <w:r w:rsidR="0027553E">
        <w:rPr>
          <w:rFonts w:ascii="Palatino Linotype" w:eastAsiaTheme="minorHAnsi" w:hAnsi="Palatino Linotype" w:cs="Arial"/>
          <w:lang w:val="es-MX" w:eastAsia="en-US"/>
        </w:rPr>
        <w:t>io rector de máxima publicidad.</w:t>
      </w:r>
    </w:p>
    <w:p w14:paraId="53E7FA37" w14:textId="77777777" w:rsidR="00F7584B" w:rsidRDefault="00F7584B" w:rsidP="0029071C">
      <w:pPr>
        <w:autoSpaceDE w:val="0"/>
        <w:autoSpaceDN w:val="0"/>
        <w:adjustRightInd w:val="0"/>
        <w:spacing w:line="360" w:lineRule="auto"/>
        <w:jc w:val="both"/>
        <w:rPr>
          <w:rFonts w:ascii="Palatino Linotype" w:eastAsiaTheme="minorHAnsi" w:hAnsi="Palatino Linotype" w:cs="Arial"/>
          <w:lang w:val="es-MX" w:eastAsia="en-US"/>
        </w:rPr>
      </w:pPr>
    </w:p>
    <w:p w14:paraId="733F9A04" w14:textId="77777777" w:rsidR="00F7584B" w:rsidRPr="00734C1B" w:rsidRDefault="00F7584B" w:rsidP="00F7584B">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A0491A6" w14:textId="77777777" w:rsidR="00F7584B" w:rsidRPr="00734C1B" w:rsidRDefault="00F7584B" w:rsidP="00F7584B">
      <w:pPr>
        <w:autoSpaceDE w:val="0"/>
        <w:autoSpaceDN w:val="0"/>
        <w:adjustRightInd w:val="0"/>
        <w:spacing w:line="360" w:lineRule="auto"/>
        <w:jc w:val="both"/>
        <w:rPr>
          <w:rFonts w:ascii="Palatino Linotype" w:eastAsiaTheme="minorHAnsi" w:hAnsi="Palatino Linotype" w:cs="Arial"/>
          <w:lang w:val="es-MX" w:eastAsia="en-US"/>
        </w:rPr>
      </w:pPr>
    </w:p>
    <w:p w14:paraId="4C547EF8" w14:textId="7CA3F4C3" w:rsidR="00F7584B" w:rsidRPr="00734C1B" w:rsidRDefault="00F7584B" w:rsidP="00F7584B">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6097DEFC" w14:textId="77777777" w:rsidR="00F7584B" w:rsidRPr="00734C1B" w:rsidRDefault="00F7584B" w:rsidP="00F7584B">
      <w:pPr>
        <w:autoSpaceDE w:val="0"/>
        <w:autoSpaceDN w:val="0"/>
        <w:adjustRightInd w:val="0"/>
        <w:spacing w:line="360" w:lineRule="auto"/>
        <w:jc w:val="both"/>
        <w:rPr>
          <w:rFonts w:ascii="Palatino Linotype" w:eastAsiaTheme="minorHAnsi" w:hAnsi="Palatino Linotype" w:cs="Arial"/>
          <w:lang w:val="es-MX" w:eastAsia="en-US"/>
        </w:rPr>
      </w:pPr>
    </w:p>
    <w:p w14:paraId="3D526328" w14:textId="77777777" w:rsidR="00F7584B" w:rsidRPr="009D0958" w:rsidRDefault="00F7584B" w:rsidP="00F7584B">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 xml:space="preserve">Así las cosas, al no existir causas de improcedencia invocadas por las partes ni advertidas de oficio por este </w:t>
      </w:r>
      <w:proofErr w:type="spellStart"/>
      <w:r w:rsidRPr="00734C1B">
        <w:rPr>
          <w:rFonts w:ascii="Palatino Linotype" w:eastAsiaTheme="minorHAnsi" w:hAnsi="Palatino Linotype" w:cs="Arial"/>
          <w:lang w:val="es-MX" w:eastAsia="en-US"/>
        </w:rPr>
        <w:t>Resolutor</w:t>
      </w:r>
      <w:proofErr w:type="spellEnd"/>
      <w:r w:rsidRPr="00734C1B">
        <w:rPr>
          <w:rFonts w:ascii="Palatino Linotype" w:eastAsiaTheme="minorHAnsi" w:hAnsi="Palatino Linotype" w:cs="Arial"/>
          <w:lang w:val="es-MX" w:eastAsia="en-US"/>
        </w:rPr>
        <w:t xml:space="preserve">, se </w:t>
      </w:r>
      <w:proofErr w:type="gramStart"/>
      <w:r w:rsidRPr="00734C1B">
        <w:rPr>
          <w:rFonts w:ascii="Palatino Linotype" w:eastAsiaTheme="minorHAnsi" w:hAnsi="Palatino Linotype" w:cs="Arial"/>
          <w:lang w:val="es-MX" w:eastAsia="en-US"/>
        </w:rPr>
        <w:t>procede</w:t>
      </w:r>
      <w:proofErr w:type="gramEnd"/>
      <w:r w:rsidRPr="00734C1B">
        <w:rPr>
          <w:rFonts w:ascii="Palatino Linotype" w:eastAsiaTheme="minorHAnsi" w:hAnsi="Palatino Linotype" w:cs="Arial"/>
          <w:lang w:val="es-MX" w:eastAsia="en-US"/>
        </w:rPr>
        <w:t xml:space="preserve"> al análisis del fondo de los asuntos en los siguientes términos.</w:t>
      </w:r>
    </w:p>
    <w:p w14:paraId="1325131D" w14:textId="77777777" w:rsidR="0027553E" w:rsidRPr="009D0958" w:rsidRDefault="0027553E" w:rsidP="00270257">
      <w:pPr>
        <w:widowControl w:val="0"/>
        <w:autoSpaceDE w:val="0"/>
        <w:autoSpaceDN w:val="0"/>
        <w:adjustRightInd w:val="0"/>
        <w:spacing w:line="360" w:lineRule="auto"/>
        <w:jc w:val="both"/>
        <w:rPr>
          <w:rFonts w:ascii="Palatino Linotype" w:hAnsi="Palatino Linotype"/>
        </w:rPr>
      </w:pPr>
    </w:p>
    <w:p w14:paraId="45DF6502" w14:textId="00EF6494" w:rsidR="006C7783" w:rsidRPr="009D0958" w:rsidRDefault="006D5F38" w:rsidP="006C7783">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6C7783" w:rsidRPr="009D0958">
        <w:rPr>
          <w:rFonts w:ascii="Palatino Linotype" w:eastAsiaTheme="minorHAnsi" w:hAnsi="Palatino Linotype" w:cs="Arial"/>
          <w:b/>
          <w:sz w:val="28"/>
          <w:lang w:val="es-MX" w:eastAsia="en-US"/>
        </w:rPr>
        <w:t xml:space="preserve">O. Del estudio de las causas de improcedencia. </w:t>
      </w:r>
    </w:p>
    <w:p w14:paraId="06F4EDD1" w14:textId="77207996" w:rsidR="006C7783"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9D0958">
        <w:rPr>
          <w:rFonts w:ascii="Palatino Linotype" w:eastAsiaTheme="minorHAnsi" w:hAnsi="Palatino Linotype" w:cs="Arial"/>
          <w:lang w:val="es-MX" w:eastAsia="en-US"/>
        </w:rPr>
        <w:t>Resolutor</w:t>
      </w:r>
      <w:proofErr w:type="spellEnd"/>
      <w:r w:rsidRPr="009D0958">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w:t>
      </w:r>
      <w:r w:rsidRPr="009D0958">
        <w:rPr>
          <w:rFonts w:ascii="Palatino Linotype" w:eastAsiaTheme="minorHAnsi" w:hAnsi="Palatino Linotype" w:cs="Arial"/>
          <w:lang w:val="es-MX" w:eastAsia="en-US"/>
        </w:rPr>
        <w:lastRenderedPageBreak/>
        <w:t>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D0958">
        <w:rPr>
          <w:rStyle w:val="Refdenotaalpie"/>
          <w:rFonts w:ascii="Palatino Linotype" w:eastAsiaTheme="minorHAnsi" w:hAnsi="Palatino Linotype" w:cs="Arial"/>
          <w:lang w:val="es-MX" w:eastAsia="en-US"/>
        </w:rPr>
        <w:footnoteReference w:id="1"/>
      </w:r>
      <w:r w:rsidRPr="009D0958">
        <w:rPr>
          <w:rFonts w:ascii="Palatino Linotype" w:eastAsiaTheme="minorHAnsi" w:hAnsi="Palatino Linotype" w:cs="Arial"/>
          <w:lang w:val="es-MX" w:eastAsia="en-US"/>
        </w:rPr>
        <w:t>.</w:t>
      </w:r>
    </w:p>
    <w:p w14:paraId="2F163F10" w14:textId="77777777" w:rsidR="00F7584B" w:rsidRDefault="00F7584B"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9D0958" w:rsidRDefault="006C7783" w:rsidP="006C7783">
      <w:pPr>
        <w:rPr>
          <w:lang w:val="es-MX"/>
        </w:rPr>
      </w:pPr>
    </w:p>
    <w:p w14:paraId="4BC792C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w:t>
      </w:r>
      <w:r w:rsidRPr="009D0958">
        <w:rPr>
          <w:rFonts w:ascii="Palatino Linotype" w:hAnsi="Palatino Linotype" w:cs="Arial"/>
          <w:b/>
          <w:i/>
          <w:sz w:val="22"/>
          <w:szCs w:val="22"/>
        </w:rPr>
        <w:t>Artículo 191.</w:t>
      </w:r>
      <w:r w:rsidRPr="009D0958">
        <w:rPr>
          <w:rFonts w:ascii="Palatino Linotype" w:hAnsi="Palatino Linotype" w:cs="Arial"/>
          <w:i/>
          <w:sz w:val="22"/>
          <w:szCs w:val="22"/>
        </w:rPr>
        <w:t xml:space="preserve"> El recurso será desechado por improcedente cuando:  </w:t>
      </w:r>
    </w:p>
    <w:p w14:paraId="4256B0AA"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III. No actualice alguno de los supuestos previstos en la presente Ley;  </w:t>
      </w:r>
    </w:p>
    <w:p w14:paraId="256C7B7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IV. No se haya desahogado la prevención en los términos establecidos en la presente Ley;</w:t>
      </w:r>
    </w:p>
    <w:p w14:paraId="4DC94485"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 Se impugne la veracidad de la información proporcionada;  </w:t>
      </w:r>
    </w:p>
    <w:p w14:paraId="3D567650"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VI. Se trate de una consulta, o trámite en específico; y  </w:t>
      </w:r>
    </w:p>
    <w:p w14:paraId="3905A64B"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VII. El recurrente amplíe su solicitud en el recurso de revisión, únicamente respecto de los nuevos contenidos.”</w:t>
      </w:r>
    </w:p>
    <w:p w14:paraId="4D947891"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9D0958"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9D0958" w:rsidRDefault="006C7783" w:rsidP="006C7783">
      <w:pPr>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 xml:space="preserve">Así las cosas, al no existir causas de improcedencia invocadas por las partes ni advertidas de oficio por este </w:t>
      </w:r>
      <w:proofErr w:type="spellStart"/>
      <w:r w:rsidRPr="009D0958">
        <w:rPr>
          <w:rFonts w:ascii="Palatino Linotype" w:hAnsi="Palatino Linotype" w:cs="Arial"/>
        </w:rPr>
        <w:t>Resolutor</w:t>
      </w:r>
      <w:proofErr w:type="spellEnd"/>
      <w:r w:rsidRPr="009D0958">
        <w:rPr>
          <w:rFonts w:ascii="Palatino Linotype" w:hAnsi="Palatino Linotype" w:cs="Arial"/>
        </w:rPr>
        <w:t xml:space="preserve">, se </w:t>
      </w:r>
      <w:proofErr w:type="gramStart"/>
      <w:r w:rsidRPr="009D0958">
        <w:rPr>
          <w:rFonts w:ascii="Palatino Linotype" w:hAnsi="Palatino Linotype" w:cs="Arial"/>
        </w:rPr>
        <w:t>procede</w:t>
      </w:r>
      <w:proofErr w:type="gramEnd"/>
      <w:r w:rsidRPr="009D0958">
        <w:rPr>
          <w:rFonts w:ascii="Palatino Linotype" w:hAnsi="Palatino Linotype" w:cs="Arial"/>
        </w:rPr>
        <w:t xml:space="preserve"> al análisis del fondo de los asuntos en los siguientes términos.</w:t>
      </w:r>
    </w:p>
    <w:p w14:paraId="30D0F027" w14:textId="77777777" w:rsidR="00F94208" w:rsidRPr="009D0958" w:rsidRDefault="00F94208" w:rsidP="006C7783">
      <w:pPr>
        <w:autoSpaceDE w:val="0"/>
        <w:autoSpaceDN w:val="0"/>
        <w:adjustRightInd w:val="0"/>
        <w:spacing w:line="360" w:lineRule="auto"/>
        <w:jc w:val="both"/>
        <w:rPr>
          <w:rFonts w:ascii="Palatino Linotype" w:hAnsi="Palatino Linotype" w:cs="Arial"/>
        </w:rPr>
      </w:pPr>
    </w:p>
    <w:p w14:paraId="2F9204B0" w14:textId="11801E74" w:rsidR="006C7783" w:rsidRPr="009D0958" w:rsidRDefault="006D5F38" w:rsidP="006C7783">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6C7783" w:rsidRPr="009D0958">
        <w:rPr>
          <w:rFonts w:ascii="Palatino Linotype" w:hAnsi="Palatino Linotype" w:cs="Arial"/>
          <w:b/>
          <w:sz w:val="28"/>
        </w:rPr>
        <w:t>TO. Del estudio y resolución del asunto.</w:t>
      </w:r>
      <w:r w:rsidR="006C7783" w:rsidRPr="009D0958">
        <w:rPr>
          <w:rFonts w:ascii="Palatino Linotype" w:hAnsi="Palatino Linotype" w:cs="Arial"/>
          <w:sz w:val="28"/>
        </w:rPr>
        <w:t xml:space="preserve"> </w:t>
      </w:r>
    </w:p>
    <w:p w14:paraId="0FCA955A"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r w:rsidRPr="009D0958">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D0958">
        <w:rPr>
          <w:rFonts w:ascii="Palatino Linotype" w:eastAsiaTheme="minorHAnsi" w:hAnsi="Palatino Linotype" w:cstheme="minorBidi"/>
          <w:b/>
          <w:lang w:val="es-MX" w:eastAsia="es-MX"/>
        </w:rPr>
        <w:t xml:space="preserve"> </w:t>
      </w:r>
      <w:r w:rsidRPr="009D0958">
        <w:rPr>
          <w:rFonts w:ascii="Palatino Linotype" w:eastAsiaTheme="minorHAnsi" w:hAnsi="Palatino Linotype" w:cstheme="minorBidi"/>
          <w:lang w:val="es-MX" w:eastAsia="es-MX"/>
        </w:rPr>
        <w:t>parte</w:t>
      </w:r>
      <w:r w:rsidRPr="009D0958">
        <w:rPr>
          <w:rFonts w:ascii="Palatino Linotype" w:eastAsiaTheme="minorHAnsi" w:hAnsi="Palatino Linotype" w:cstheme="minorBidi"/>
          <w:b/>
          <w:lang w:val="es-MX" w:eastAsia="es-MX"/>
        </w:rPr>
        <w:t xml:space="preserve"> Recurrente</w:t>
      </w:r>
      <w:r w:rsidRPr="009D0958">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43E73CBF" w14:textId="4CCF58E9" w:rsidR="0027553E" w:rsidRDefault="00DC6AE5" w:rsidP="0027553E">
      <w:pPr>
        <w:spacing w:line="360" w:lineRule="auto"/>
        <w:ind w:right="141"/>
        <w:jc w:val="both"/>
        <w:rPr>
          <w:rFonts w:ascii="Palatino Linotype" w:eastAsiaTheme="minorHAnsi" w:hAnsi="Palatino Linotype" w:cstheme="minorBidi"/>
          <w:szCs w:val="22"/>
          <w:lang w:val="es-MX" w:eastAsia="es-MX"/>
        </w:rPr>
      </w:pPr>
      <w:bookmarkStart w:id="1" w:name="_Hlk169023494"/>
      <w:bookmarkStart w:id="2" w:name="_Hlk172138293"/>
      <w:r>
        <w:rPr>
          <w:rFonts w:ascii="Palatino Linotype" w:eastAsiaTheme="minorHAnsi" w:hAnsi="Palatino Linotype" w:cstheme="minorBidi"/>
          <w:b/>
          <w:szCs w:val="22"/>
          <w:lang w:val="es-MX" w:eastAsia="es-MX"/>
        </w:rPr>
        <w:lastRenderedPageBreak/>
        <w:t>REQUERIMIENTOS SOLICITADOS:</w:t>
      </w:r>
    </w:p>
    <w:p w14:paraId="4AC99AAB" w14:textId="77777777" w:rsidR="0087724E" w:rsidRDefault="0087724E" w:rsidP="00F03CE4">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bookmarkStart w:id="3" w:name="_Hlk190712823"/>
      <w:r>
        <w:rPr>
          <w:rFonts w:ascii="Palatino Linotype" w:eastAsiaTheme="minorHAnsi" w:hAnsi="Palatino Linotype" w:cstheme="minorBidi"/>
          <w:szCs w:val="22"/>
          <w:lang w:val="es-MX" w:eastAsia="es-MX"/>
        </w:rPr>
        <w:t>¿Q</w:t>
      </w:r>
      <w:r w:rsidRPr="0087724E">
        <w:rPr>
          <w:rFonts w:ascii="Palatino Linotype" w:eastAsiaTheme="minorHAnsi" w:hAnsi="Palatino Linotype" w:cstheme="minorBidi"/>
          <w:szCs w:val="22"/>
          <w:lang w:val="es-MX" w:eastAsia="es-MX"/>
        </w:rPr>
        <w:t>ué agencia de publicidad contrataron para pautar contenido en redes sociales</w:t>
      </w:r>
      <w:r>
        <w:rPr>
          <w:rFonts w:ascii="Palatino Linotype" w:eastAsiaTheme="minorHAnsi" w:hAnsi="Palatino Linotype" w:cstheme="minorBidi"/>
          <w:szCs w:val="22"/>
          <w:lang w:val="es-MX" w:eastAsia="es-MX"/>
        </w:rPr>
        <w:t>?</w:t>
      </w:r>
      <w:r w:rsidRPr="0087724E">
        <w:rPr>
          <w:rFonts w:ascii="Palatino Linotype" w:eastAsiaTheme="minorHAnsi" w:hAnsi="Palatino Linotype" w:cstheme="minorBidi"/>
          <w:szCs w:val="22"/>
          <w:lang w:val="es-MX" w:eastAsia="es-MX"/>
        </w:rPr>
        <w:t xml:space="preserve"> con documentación que acredite la contratación y factura</w:t>
      </w:r>
      <w:r>
        <w:rPr>
          <w:rFonts w:ascii="Palatino Linotype" w:eastAsiaTheme="minorHAnsi" w:hAnsi="Palatino Linotype" w:cstheme="minorBidi"/>
          <w:szCs w:val="22"/>
          <w:lang w:val="es-MX" w:eastAsia="es-MX"/>
        </w:rPr>
        <w:t>.</w:t>
      </w:r>
    </w:p>
    <w:p w14:paraId="5E58C4B5" w14:textId="3E96248F" w:rsidR="0027553E" w:rsidRPr="00F03CE4" w:rsidRDefault="0087724E" w:rsidP="00F03CE4">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¿Q</w:t>
      </w:r>
      <w:r w:rsidRPr="0087724E">
        <w:rPr>
          <w:rFonts w:ascii="Palatino Linotype" w:eastAsiaTheme="minorHAnsi" w:hAnsi="Palatino Linotype" w:cstheme="minorBidi"/>
          <w:szCs w:val="22"/>
          <w:lang w:val="es-MX" w:eastAsia="es-MX"/>
        </w:rPr>
        <w:t>ué partida afectó</w:t>
      </w:r>
      <w:r>
        <w:rPr>
          <w:rFonts w:ascii="Palatino Linotype" w:eastAsiaTheme="minorHAnsi" w:hAnsi="Palatino Linotype" w:cstheme="minorBidi"/>
          <w:szCs w:val="22"/>
          <w:lang w:val="es-MX" w:eastAsia="es-MX"/>
        </w:rPr>
        <w:t>?</w:t>
      </w:r>
      <w:r w:rsidR="00F03CE4" w:rsidRPr="00F03CE4">
        <w:rPr>
          <w:rFonts w:ascii="Palatino Linotype" w:eastAsiaTheme="minorHAnsi" w:hAnsi="Palatino Linotype" w:cstheme="minorBidi"/>
          <w:szCs w:val="22"/>
          <w:lang w:val="es-MX" w:eastAsia="es-MX"/>
        </w:rPr>
        <w:t xml:space="preserve"> </w:t>
      </w:r>
    </w:p>
    <w:bookmarkEnd w:id="1"/>
    <w:bookmarkEnd w:id="2"/>
    <w:bookmarkEnd w:id="3"/>
    <w:p w14:paraId="28F0C52F" w14:textId="7DE701A6" w:rsidR="00790677" w:rsidRPr="009D0958" w:rsidRDefault="00790677" w:rsidP="00E142CA">
      <w:pPr>
        <w:pStyle w:val="Prrafodelista"/>
        <w:spacing w:line="360" w:lineRule="auto"/>
        <w:ind w:left="720"/>
        <w:jc w:val="both"/>
        <w:rPr>
          <w:rFonts w:ascii="Palatino Linotype" w:eastAsiaTheme="minorHAnsi" w:hAnsi="Palatino Linotype" w:cs="Arial"/>
          <w:lang w:val="es-MX" w:eastAsia="en-US"/>
        </w:rPr>
      </w:pPr>
    </w:p>
    <w:p w14:paraId="67D9FCA4" w14:textId="13F1FF4B" w:rsidR="0087724E" w:rsidRPr="0087724E" w:rsidRDefault="00F94208" w:rsidP="0087724E">
      <w:p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t>Por lo que</w:t>
      </w:r>
      <w:r w:rsidR="001F2B66" w:rsidRPr="009D0958">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el </w:t>
      </w:r>
      <w:r w:rsidR="00E142CA" w:rsidRPr="009D0958">
        <w:rPr>
          <w:rFonts w:ascii="Palatino Linotype" w:eastAsiaTheme="minorHAnsi" w:hAnsi="Palatino Linotype" w:cstheme="minorBidi"/>
          <w:b/>
          <w:lang w:val="es-MX" w:eastAsia="es-MX"/>
        </w:rPr>
        <w:t>Sujeto Obligado</w:t>
      </w:r>
      <w:r w:rsidR="00F07FD2">
        <w:rPr>
          <w:rFonts w:ascii="Palatino Linotype" w:eastAsiaTheme="minorHAnsi" w:hAnsi="Palatino Linotype" w:cstheme="minorBidi"/>
          <w:lang w:val="es-MX" w:eastAsia="es-MX"/>
        </w:rPr>
        <w:t xml:space="preserve"> </w:t>
      </w:r>
      <w:r w:rsidR="008C4890">
        <w:rPr>
          <w:rFonts w:ascii="Palatino Linotype" w:eastAsiaTheme="minorHAnsi" w:hAnsi="Palatino Linotype" w:cstheme="minorBidi"/>
          <w:lang w:val="es-MX" w:eastAsia="es-MX"/>
        </w:rPr>
        <w:t>emitió</w:t>
      </w:r>
      <w:r w:rsidR="00E142CA" w:rsidRPr="009D0958">
        <w:rPr>
          <w:rFonts w:ascii="Palatino Linotype" w:eastAsiaTheme="minorHAnsi" w:hAnsi="Palatino Linotype" w:cstheme="minorBidi"/>
          <w:lang w:val="es-MX" w:eastAsia="es-MX"/>
        </w:rPr>
        <w:t xml:space="preserve"> su respuesta en donde </w:t>
      </w:r>
      <w:r w:rsidR="00E142CA" w:rsidRPr="009D0958">
        <w:rPr>
          <w:rFonts w:ascii="Palatino Linotype" w:hAnsi="Palatino Linotype" w:cs="Arial"/>
        </w:rPr>
        <w:t>se advierte</w:t>
      </w:r>
      <w:r w:rsidR="0087724E">
        <w:rPr>
          <w:rFonts w:ascii="Palatino Linotype" w:hAnsi="Palatino Linotype" w:cs="Arial"/>
        </w:rPr>
        <w:t xml:space="preserve"> </w:t>
      </w:r>
      <w:r w:rsidR="0087724E">
        <w:rPr>
          <w:rFonts w:ascii="Palatino Linotype" w:eastAsiaTheme="minorHAnsi" w:hAnsi="Palatino Linotype" w:cs="Arial"/>
          <w:bCs/>
          <w:lang w:val="es-MX" w:eastAsia="en-US"/>
        </w:rPr>
        <w:t>lo siguiente:</w:t>
      </w:r>
    </w:p>
    <w:p w14:paraId="753B6EB3" w14:textId="77777777" w:rsidR="0087724E" w:rsidRPr="0087724E" w:rsidRDefault="0087724E" w:rsidP="004D59E1">
      <w:pPr>
        <w:spacing w:line="360" w:lineRule="auto"/>
        <w:ind w:right="49"/>
        <w:jc w:val="both"/>
        <w:rPr>
          <w:rFonts w:ascii="Palatino Linotype" w:hAnsi="Palatino Linotype" w:cs="Arial"/>
          <w:lang w:val="es-MX"/>
        </w:rPr>
      </w:pP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87724E" w:rsidRPr="00D12E15" w14:paraId="2BB916D4" w14:textId="77777777" w:rsidTr="00DF04C5">
        <w:trPr>
          <w:tblHeader/>
        </w:trPr>
        <w:tc>
          <w:tcPr>
            <w:tcW w:w="1980" w:type="dxa"/>
            <w:shd w:val="clear" w:color="auto" w:fill="D9D9D9" w:themeFill="background1" w:themeFillShade="D9"/>
            <w:vAlign w:val="center"/>
          </w:tcPr>
          <w:p w14:paraId="004DB900" w14:textId="77777777" w:rsidR="0087724E" w:rsidRPr="00D12E15" w:rsidRDefault="0087724E" w:rsidP="00DF04C5">
            <w:pPr>
              <w:ind w:right="49"/>
              <w:jc w:val="center"/>
              <w:rPr>
                <w:rFonts w:ascii="Palatino Linotype" w:hAnsi="Palatino Linotype" w:cs="Arial"/>
                <w:b/>
              </w:rPr>
            </w:pPr>
            <w:r w:rsidRPr="00D12E15">
              <w:rPr>
                <w:rFonts w:ascii="Palatino Linotype" w:hAnsi="Palatino Linotype"/>
                <w:b/>
              </w:rPr>
              <w:t>Solicitud de Información</w:t>
            </w:r>
          </w:p>
        </w:tc>
        <w:tc>
          <w:tcPr>
            <w:tcW w:w="5245" w:type="dxa"/>
            <w:shd w:val="clear" w:color="auto" w:fill="D9D9D9" w:themeFill="background1" w:themeFillShade="D9"/>
            <w:vAlign w:val="center"/>
          </w:tcPr>
          <w:p w14:paraId="40BEDF09" w14:textId="77777777" w:rsidR="0087724E" w:rsidRPr="00D12E15" w:rsidRDefault="0087724E" w:rsidP="00DF04C5">
            <w:pPr>
              <w:ind w:right="49"/>
              <w:jc w:val="center"/>
              <w:rPr>
                <w:rFonts w:ascii="Palatino Linotype" w:hAnsi="Palatino Linotype" w:cs="Arial"/>
                <w:b/>
              </w:rPr>
            </w:pPr>
            <w:r w:rsidRPr="00D12E15">
              <w:rPr>
                <w:rFonts w:ascii="Palatino Linotype" w:hAnsi="Palatino Linotype"/>
                <w:b/>
              </w:rPr>
              <w:t>Respuesta</w:t>
            </w:r>
          </w:p>
        </w:tc>
        <w:tc>
          <w:tcPr>
            <w:tcW w:w="1984" w:type="dxa"/>
            <w:shd w:val="clear" w:color="auto" w:fill="D9D9D9" w:themeFill="background1" w:themeFillShade="D9"/>
            <w:vAlign w:val="center"/>
          </w:tcPr>
          <w:p w14:paraId="757F3249" w14:textId="77777777" w:rsidR="0087724E" w:rsidRPr="00D12E15" w:rsidRDefault="0087724E" w:rsidP="00DF04C5">
            <w:pPr>
              <w:ind w:right="49"/>
              <w:jc w:val="center"/>
              <w:rPr>
                <w:rFonts w:ascii="Palatino Linotype" w:hAnsi="Palatino Linotype" w:cs="Arial"/>
                <w:b/>
              </w:rPr>
            </w:pPr>
            <w:r w:rsidRPr="00D12E15">
              <w:rPr>
                <w:rFonts w:ascii="Palatino Linotype" w:hAnsi="Palatino Linotype"/>
                <w:b/>
              </w:rPr>
              <w:t>Cumplimiento</w:t>
            </w:r>
          </w:p>
        </w:tc>
      </w:tr>
      <w:tr w:rsidR="0087724E" w:rsidRPr="00D12E15" w14:paraId="59522BAD" w14:textId="77777777" w:rsidTr="00DF04C5">
        <w:tc>
          <w:tcPr>
            <w:tcW w:w="1980" w:type="dxa"/>
            <w:vAlign w:val="center"/>
          </w:tcPr>
          <w:p w14:paraId="79A17AAE" w14:textId="6366EBCD" w:rsidR="0087724E" w:rsidRPr="00D12E15" w:rsidRDefault="0087724E" w:rsidP="00DF04C5">
            <w:pPr>
              <w:ind w:right="49"/>
              <w:jc w:val="both"/>
              <w:rPr>
                <w:rFonts w:ascii="Palatino Linotype" w:hAnsi="Palatino Linotype" w:cs="Arial"/>
                <w:sz w:val="18"/>
                <w:szCs w:val="20"/>
              </w:rPr>
            </w:pPr>
            <w:bookmarkStart w:id="4" w:name="_Hlk147247852"/>
            <w:r w:rsidRPr="0087724E">
              <w:rPr>
                <w:rFonts w:ascii="Palatino Linotype" w:hAnsi="Palatino Linotype" w:cs="Arial"/>
                <w:sz w:val="18"/>
                <w:szCs w:val="20"/>
              </w:rPr>
              <w:t>1.</w:t>
            </w:r>
            <w:r w:rsidRPr="0087724E">
              <w:rPr>
                <w:rFonts w:ascii="Palatino Linotype" w:hAnsi="Palatino Linotype" w:cs="Arial"/>
                <w:sz w:val="18"/>
                <w:szCs w:val="20"/>
              </w:rPr>
              <w:tab/>
              <w:t>¿Qué agencia de publicidad contrataron para pautar contenido en redes sociales? con documentación que acredite la contratación y factura.</w:t>
            </w:r>
          </w:p>
        </w:tc>
        <w:tc>
          <w:tcPr>
            <w:tcW w:w="5245" w:type="dxa"/>
            <w:vAlign w:val="center"/>
          </w:tcPr>
          <w:p w14:paraId="18263E7B" w14:textId="5E786265" w:rsidR="0087724E" w:rsidRDefault="0087724E" w:rsidP="0087724E">
            <w:pPr>
              <w:ind w:right="49"/>
              <w:jc w:val="both"/>
              <w:rPr>
                <w:rFonts w:ascii="Palatino Linotype" w:hAnsi="Palatino Linotype"/>
                <w:bCs/>
                <w:sz w:val="20"/>
                <w:szCs w:val="20"/>
                <w:lang w:val="es-MX"/>
              </w:rPr>
            </w:pPr>
            <w:r>
              <w:rPr>
                <w:rFonts w:ascii="Palatino Linotype" w:hAnsi="Palatino Linotype"/>
                <w:sz w:val="20"/>
                <w:szCs w:val="20"/>
              </w:rPr>
              <w:t>M</w:t>
            </w:r>
            <w:proofErr w:type="spellStart"/>
            <w:r w:rsidRPr="0087724E">
              <w:rPr>
                <w:rFonts w:ascii="Palatino Linotype" w:hAnsi="Palatino Linotype"/>
                <w:bCs/>
                <w:sz w:val="20"/>
                <w:szCs w:val="20"/>
                <w:lang w:val="es-MX"/>
              </w:rPr>
              <w:t>ediante</w:t>
            </w:r>
            <w:proofErr w:type="spellEnd"/>
            <w:r w:rsidR="00C742DE">
              <w:rPr>
                <w:rFonts w:ascii="Palatino Linotype" w:hAnsi="Palatino Linotype"/>
                <w:bCs/>
                <w:sz w:val="20"/>
                <w:szCs w:val="20"/>
                <w:lang w:val="es-MX"/>
              </w:rPr>
              <w:t xml:space="preserve"> </w:t>
            </w:r>
            <w:r w:rsidRPr="0087724E">
              <w:rPr>
                <w:rFonts w:ascii="Palatino Linotype" w:hAnsi="Palatino Linotype"/>
                <w:bCs/>
                <w:sz w:val="20"/>
                <w:szCs w:val="20"/>
                <w:lang w:val="es-MX"/>
              </w:rPr>
              <w:t xml:space="preserve">el oficio número </w:t>
            </w:r>
            <w:r>
              <w:rPr>
                <w:rFonts w:ascii="Palatino Linotype" w:hAnsi="Palatino Linotype"/>
                <w:b/>
                <w:bCs/>
                <w:sz w:val="20"/>
                <w:szCs w:val="20"/>
                <w:lang w:val="es-MX"/>
              </w:rPr>
              <w:t>TLA/OM/0253/2025</w:t>
            </w:r>
            <w:r w:rsidRPr="0087724E">
              <w:rPr>
                <w:rFonts w:ascii="Palatino Linotype" w:hAnsi="Palatino Linotype"/>
                <w:bCs/>
                <w:sz w:val="20"/>
                <w:szCs w:val="20"/>
                <w:lang w:val="es-MX"/>
              </w:rPr>
              <w:t xml:space="preserve">, firmado por el </w:t>
            </w:r>
            <w:r>
              <w:rPr>
                <w:rFonts w:ascii="Palatino Linotype" w:hAnsi="Palatino Linotype"/>
                <w:bCs/>
                <w:sz w:val="20"/>
                <w:szCs w:val="20"/>
                <w:lang w:val="es-MX"/>
              </w:rPr>
              <w:t>Oficial Mayor</w:t>
            </w:r>
            <w:r w:rsidRPr="0087724E">
              <w:rPr>
                <w:rFonts w:ascii="Palatino Linotype" w:hAnsi="Palatino Linotype"/>
                <w:bCs/>
                <w:sz w:val="20"/>
                <w:szCs w:val="20"/>
                <w:lang w:val="es-MX"/>
              </w:rPr>
              <w:t xml:space="preserve">, </w:t>
            </w:r>
            <w:r>
              <w:rPr>
                <w:rFonts w:ascii="Palatino Linotype" w:hAnsi="Palatino Linotype"/>
                <w:bCs/>
                <w:sz w:val="20"/>
                <w:szCs w:val="20"/>
                <w:lang w:val="es-MX"/>
              </w:rPr>
              <w:t xml:space="preserve">informó que, la Coordinación Jurídica indicó que, se identificó el convenio de concertación celebrado entre el Municipio y la persona jurídica colectiva </w:t>
            </w:r>
            <w:r w:rsidRPr="00C742DE">
              <w:rPr>
                <w:rFonts w:ascii="Palatino Linotype" w:hAnsi="Palatino Linotype"/>
                <w:b/>
                <w:i/>
                <w:iCs/>
                <w:sz w:val="20"/>
                <w:szCs w:val="20"/>
                <w:lang w:val="es-MX"/>
              </w:rPr>
              <w:t>“SERVICIOS DE CONSULTORÍA ADMINISTRATIVA ATK, S.A. DE C.V.”</w:t>
            </w:r>
            <w:r>
              <w:rPr>
                <w:rFonts w:ascii="Palatino Linotype" w:hAnsi="Palatino Linotype"/>
                <w:bCs/>
                <w:sz w:val="20"/>
                <w:szCs w:val="20"/>
                <w:lang w:val="es-MX"/>
              </w:rPr>
              <w:t>, con el objeto de la realización, operación y optimización de los espacios publicitarios para la difusión</w:t>
            </w:r>
            <w:r w:rsidR="00C742DE">
              <w:rPr>
                <w:rFonts w:ascii="Palatino Linotype" w:hAnsi="Palatino Linotype"/>
                <w:bCs/>
                <w:sz w:val="20"/>
                <w:szCs w:val="20"/>
                <w:lang w:val="es-MX"/>
              </w:rPr>
              <w:t xml:space="preserve"> de programas y acciones que realice el Municipio, a través de las plataformas digitales y de redes sociales</w:t>
            </w:r>
            <w:r w:rsidR="00C807FF">
              <w:rPr>
                <w:rFonts w:ascii="Palatino Linotype" w:hAnsi="Palatino Linotype"/>
                <w:bCs/>
                <w:sz w:val="20"/>
                <w:szCs w:val="20"/>
                <w:lang w:val="es-MX"/>
              </w:rPr>
              <w:t xml:space="preserve">, mismo que remitió en versión pública testando información clasificada como </w:t>
            </w:r>
            <w:r w:rsidR="00C807FF" w:rsidRPr="00C807FF">
              <w:rPr>
                <w:rFonts w:ascii="Palatino Linotype" w:hAnsi="Palatino Linotype"/>
                <w:b/>
                <w:sz w:val="20"/>
                <w:szCs w:val="20"/>
                <w:lang w:val="es-MX"/>
              </w:rPr>
              <w:t>CONFIDENCIAL</w:t>
            </w:r>
            <w:r w:rsidR="00C807FF">
              <w:rPr>
                <w:rFonts w:ascii="Palatino Linotype" w:hAnsi="Palatino Linotype"/>
                <w:bCs/>
                <w:sz w:val="20"/>
                <w:szCs w:val="20"/>
                <w:lang w:val="es-MX"/>
              </w:rPr>
              <w:t xml:space="preserve"> </w:t>
            </w:r>
            <w:r w:rsidR="00C807FF" w:rsidRPr="00C807FF">
              <w:rPr>
                <w:rFonts w:ascii="Palatino Linotype" w:hAnsi="Palatino Linotype"/>
                <w:bCs/>
                <w:i/>
                <w:iCs/>
                <w:sz w:val="20"/>
                <w:szCs w:val="20"/>
                <w:lang w:val="es-MX"/>
              </w:rPr>
              <w:t>(clave de elector del representante legal)</w:t>
            </w:r>
            <w:r w:rsidR="00C807FF">
              <w:rPr>
                <w:rFonts w:ascii="Palatino Linotype" w:hAnsi="Palatino Linotype"/>
                <w:bCs/>
                <w:sz w:val="20"/>
                <w:szCs w:val="20"/>
                <w:lang w:val="es-MX"/>
              </w:rPr>
              <w:t>.</w:t>
            </w:r>
          </w:p>
          <w:p w14:paraId="4B32FBCC" w14:textId="77777777" w:rsidR="00C807FF" w:rsidRDefault="00C807FF" w:rsidP="0087724E">
            <w:pPr>
              <w:ind w:right="49"/>
              <w:jc w:val="both"/>
              <w:rPr>
                <w:rFonts w:ascii="Palatino Linotype" w:hAnsi="Palatino Linotype"/>
                <w:bCs/>
                <w:sz w:val="20"/>
                <w:szCs w:val="20"/>
                <w:lang w:val="es-MX"/>
              </w:rPr>
            </w:pPr>
          </w:p>
          <w:p w14:paraId="5D072BD9" w14:textId="77777777" w:rsidR="007A430A" w:rsidRDefault="00C807FF" w:rsidP="0087724E">
            <w:pPr>
              <w:ind w:right="49"/>
              <w:jc w:val="both"/>
              <w:rPr>
                <w:rFonts w:ascii="Palatino Linotype" w:hAnsi="Palatino Linotype"/>
                <w:bCs/>
                <w:sz w:val="20"/>
                <w:szCs w:val="20"/>
                <w:lang w:val="es-MX"/>
              </w:rPr>
            </w:pPr>
            <w:r>
              <w:rPr>
                <w:rFonts w:ascii="Palatino Linotype" w:hAnsi="Palatino Linotype"/>
                <w:bCs/>
                <w:sz w:val="20"/>
                <w:szCs w:val="20"/>
                <w:lang w:val="es-MX"/>
              </w:rPr>
              <w:t xml:space="preserve">Adicionalmente, </w:t>
            </w:r>
            <w:bookmarkStart w:id="5" w:name="_Hlk191399905"/>
            <w:r>
              <w:rPr>
                <w:rFonts w:ascii="Palatino Linotype" w:hAnsi="Palatino Linotype"/>
                <w:bCs/>
                <w:sz w:val="20"/>
                <w:szCs w:val="20"/>
                <w:lang w:val="es-MX"/>
              </w:rPr>
              <w:t xml:space="preserve">remitió el Acuerdo de Clasificación </w:t>
            </w:r>
            <w:r w:rsidRPr="00C807FF">
              <w:rPr>
                <w:rFonts w:ascii="Palatino Linotype" w:hAnsi="Palatino Linotype"/>
                <w:b/>
                <w:sz w:val="20"/>
                <w:szCs w:val="20"/>
                <w:lang w:val="es-MX"/>
              </w:rPr>
              <w:t>10/CT/04-ORD/2025</w:t>
            </w:r>
            <w:r>
              <w:rPr>
                <w:rFonts w:ascii="Palatino Linotype" w:hAnsi="Palatino Linotype"/>
                <w:bCs/>
                <w:sz w:val="20"/>
                <w:szCs w:val="20"/>
                <w:lang w:val="es-MX"/>
              </w:rPr>
              <w:t xml:space="preserve">, Cuarta Sesión Ordinaria de fecha 27 de enero de 2025, firmado por el Comité de Transparencia, mediante el cual, se aprobó la clasificación de la clave de elector del representante legal. </w:t>
            </w:r>
            <w:bookmarkEnd w:id="5"/>
          </w:p>
          <w:p w14:paraId="23FD9E3E" w14:textId="77777777" w:rsidR="007A430A" w:rsidRDefault="007A430A" w:rsidP="0087724E">
            <w:pPr>
              <w:ind w:right="49"/>
              <w:jc w:val="both"/>
              <w:rPr>
                <w:rFonts w:ascii="Palatino Linotype" w:hAnsi="Palatino Linotype"/>
                <w:bCs/>
                <w:sz w:val="20"/>
                <w:szCs w:val="20"/>
                <w:lang w:val="es-MX"/>
              </w:rPr>
            </w:pPr>
          </w:p>
          <w:p w14:paraId="1882822A" w14:textId="7FB366D9" w:rsidR="00C742DE" w:rsidRPr="00E55623" w:rsidRDefault="007A430A" w:rsidP="0087724E">
            <w:pPr>
              <w:ind w:right="49"/>
              <w:jc w:val="both"/>
              <w:rPr>
                <w:rFonts w:ascii="Palatino Linotype" w:hAnsi="Palatino Linotype"/>
                <w:bCs/>
                <w:sz w:val="20"/>
                <w:szCs w:val="20"/>
                <w:lang w:val="es-MX"/>
              </w:rPr>
            </w:pPr>
            <w:r>
              <w:rPr>
                <w:rFonts w:ascii="Palatino Linotype" w:hAnsi="Palatino Linotype"/>
                <w:bCs/>
                <w:sz w:val="20"/>
                <w:szCs w:val="20"/>
                <w:lang w:val="es-MX"/>
              </w:rPr>
              <w:t xml:space="preserve">Finalmente, en relación a las facturas solicitadas, la Subtesorera de Egresos, con oficio número </w:t>
            </w:r>
            <w:r w:rsidRPr="00E55623">
              <w:rPr>
                <w:rFonts w:ascii="Palatino Linotype" w:hAnsi="Palatino Linotype"/>
                <w:b/>
                <w:sz w:val="20"/>
                <w:szCs w:val="20"/>
                <w:lang w:val="es-MX"/>
              </w:rPr>
              <w:t>STE/075/2025</w:t>
            </w:r>
            <w:r>
              <w:rPr>
                <w:rFonts w:ascii="Palatino Linotype" w:hAnsi="Palatino Linotype"/>
                <w:bCs/>
                <w:sz w:val="20"/>
                <w:szCs w:val="20"/>
                <w:lang w:val="es-MX"/>
              </w:rPr>
              <w:t xml:space="preserve">, informó que, para el Ejercicio 2025 no se ha recibido documentación para trámite de pago por concepto de servicios para pautar contenido en redes sociales de la Administración 2025-2027; por lo que, respecta al Ejercicio 2024, de acuerdo al convenio de concertación </w:t>
            </w:r>
            <w:r w:rsidR="00E55623">
              <w:rPr>
                <w:rFonts w:ascii="Palatino Linotype" w:hAnsi="Palatino Linotype"/>
                <w:bCs/>
                <w:sz w:val="20"/>
                <w:szCs w:val="20"/>
                <w:lang w:val="es-MX"/>
              </w:rPr>
              <w:t xml:space="preserve">referido con anterioridad, </w:t>
            </w:r>
            <w:r w:rsidR="00E55623" w:rsidRPr="00E55623">
              <w:rPr>
                <w:rFonts w:ascii="Palatino Linotype" w:hAnsi="Palatino Linotype"/>
                <w:b/>
                <w:sz w:val="20"/>
                <w:szCs w:val="20"/>
                <w:u w:val="single"/>
                <w:lang w:val="es-MX"/>
              </w:rPr>
              <w:t>remitió copia de tres facturas relacionadas con dicho concepto</w:t>
            </w:r>
            <w:r w:rsidR="00E55623">
              <w:rPr>
                <w:rFonts w:ascii="Palatino Linotype" w:hAnsi="Palatino Linotype"/>
                <w:bCs/>
                <w:sz w:val="20"/>
                <w:szCs w:val="20"/>
                <w:lang w:val="es-MX"/>
              </w:rPr>
              <w:t xml:space="preserve">.  </w:t>
            </w:r>
            <w:r w:rsidR="00C807FF">
              <w:rPr>
                <w:rFonts w:ascii="Palatino Linotype" w:hAnsi="Palatino Linotype"/>
                <w:bCs/>
                <w:sz w:val="20"/>
                <w:szCs w:val="20"/>
                <w:lang w:val="es-MX"/>
              </w:rPr>
              <w:t xml:space="preserve"> </w:t>
            </w:r>
          </w:p>
        </w:tc>
        <w:tc>
          <w:tcPr>
            <w:tcW w:w="1984" w:type="dxa"/>
            <w:vAlign w:val="center"/>
          </w:tcPr>
          <w:p w14:paraId="61C8397C" w14:textId="77777777" w:rsidR="0087724E" w:rsidRPr="00D90B83" w:rsidRDefault="0087724E" w:rsidP="00DF04C5">
            <w:pPr>
              <w:ind w:right="49"/>
              <w:jc w:val="center"/>
              <w:rPr>
                <w:rFonts w:ascii="Palatino Linotype" w:hAnsi="Palatino Linotype" w:cs="Arial"/>
                <w:b/>
                <w:bCs/>
                <w:iCs/>
              </w:rPr>
            </w:pPr>
            <w:r w:rsidRPr="00D90B83">
              <w:rPr>
                <w:rFonts w:ascii="Palatino Linotype" w:hAnsi="Palatino Linotype" w:cs="Arial"/>
                <w:b/>
                <w:bCs/>
                <w:iCs/>
              </w:rPr>
              <w:t>Sí</w:t>
            </w:r>
          </w:p>
        </w:tc>
      </w:tr>
      <w:tr w:rsidR="0087724E" w:rsidRPr="00D12E15" w14:paraId="5197106D" w14:textId="77777777" w:rsidTr="00DF04C5">
        <w:tc>
          <w:tcPr>
            <w:tcW w:w="1980" w:type="dxa"/>
            <w:vAlign w:val="center"/>
          </w:tcPr>
          <w:p w14:paraId="1DC955BC" w14:textId="70498AAD" w:rsidR="0087724E" w:rsidRPr="00D12E15" w:rsidRDefault="0087724E" w:rsidP="00DF04C5">
            <w:pPr>
              <w:ind w:right="49"/>
              <w:jc w:val="both"/>
              <w:rPr>
                <w:rFonts w:ascii="Palatino Linotype" w:hAnsi="Palatino Linotype" w:cs="Arial"/>
                <w:sz w:val="18"/>
                <w:szCs w:val="20"/>
              </w:rPr>
            </w:pPr>
            <w:r w:rsidRPr="0087724E">
              <w:rPr>
                <w:rFonts w:ascii="Palatino Linotype" w:hAnsi="Palatino Linotype" w:cs="Arial"/>
                <w:sz w:val="18"/>
                <w:szCs w:val="20"/>
              </w:rPr>
              <w:lastRenderedPageBreak/>
              <w:t>2.</w:t>
            </w:r>
            <w:r w:rsidRPr="0087724E">
              <w:rPr>
                <w:rFonts w:ascii="Palatino Linotype" w:hAnsi="Palatino Linotype" w:cs="Arial"/>
                <w:sz w:val="18"/>
                <w:szCs w:val="20"/>
              </w:rPr>
              <w:tab/>
              <w:t>¿Qué partida afectó?</w:t>
            </w:r>
          </w:p>
        </w:tc>
        <w:tc>
          <w:tcPr>
            <w:tcW w:w="5245" w:type="dxa"/>
            <w:vAlign w:val="center"/>
          </w:tcPr>
          <w:p w14:paraId="4FEADC1F" w14:textId="07FAA1AF" w:rsidR="0087724E" w:rsidRPr="00940FC6" w:rsidRDefault="00E55623" w:rsidP="00DF04C5">
            <w:pPr>
              <w:spacing w:line="276" w:lineRule="auto"/>
              <w:ind w:right="49"/>
              <w:jc w:val="both"/>
              <w:rPr>
                <w:rFonts w:ascii="Palatino Linotype" w:hAnsi="Palatino Linotype"/>
                <w:iCs/>
                <w:sz w:val="20"/>
                <w:szCs w:val="20"/>
              </w:rPr>
            </w:pPr>
            <w:r>
              <w:rPr>
                <w:rFonts w:ascii="Palatino Linotype" w:hAnsi="Palatino Linotype"/>
                <w:iCs/>
                <w:sz w:val="20"/>
                <w:szCs w:val="20"/>
              </w:rPr>
              <w:t xml:space="preserve">Mediante el oficio número </w:t>
            </w:r>
            <w:r w:rsidRPr="00CB535A">
              <w:rPr>
                <w:rFonts w:ascii="Palatino Linotype" w:hAnsi="Palatino Linotype"/>
                <w:b/>
                <w:bCs/>
                <w:iCs/>
                <w:sz w:val="20"/>
                <w:szCs w:val="20"/>
              </w:rPr>
              <w:t>TM/445/2025</w:t>
            </w:r>
            <w:r>
              <w:rPr>
                <w:rFonts w:ascii="Palatino Linotype" w:hAnsi="Palatino Linotype"/>
                <w:iCs/>
                <w:sz w:val="20"/>
                <w:szCs w:val="20"/>
              </w:rPr>
              <w:t xml:space="preserve">, suscrito por el Tesorero Municipal, informó que, la partida que se afectó, </w:t>
            </w:r>
            <w:r w:rsidRPr="00E55623">
              <w:rPr>
                <w:rFonts w:ascii="Palatino Linotype" w:hAnsi="Palatino Linotype"/>
                <w:b/>
                <w:bCs/>
                <w:iCs/>
                <w:sz w:val="20"/>
                <w:szCs w:val="20"/>
                <w:u w:val="single"/>
              </w:rPr>
              <w:t>fue la partida presupuestal 3611</w:t>
            </w:r>
            <w:r>
              <w:rPr>
                <w:rFonts w:ascii="Palatino Linotype" w:hAnsi="Palatino Linotype"/>
                <w:iCs/>
                <w:sz w:val="20"/>
                <w:szCs w:val="20"/>
              </w:rPr>
              <w:t xml:space="preserve">. </w:t>
            </w:r>
          </w:p>
        </w:tc>
        <w:tc>
          <w:tcPr>
            <w:tcW w:w="1984" w:type="dxa"/>
            <w:vAlign w:val="center"/>
          </w:tcPr>
          <w:p w14:paraId="000B6E67" w14:textId="0C5653D5" w:rsidR="0087724E" w:rsidRPr="00D12E15" w:rsidRDefault="00E55623" w:rsidP="00DF04C5">
            <w:pPr>
              <w:ind w:right="49"/>
              <w:jc w:val="center"/>
              <w:rPr>
                <w:rFonts w:ascii="Palatino Linotype" w:hAnsi="Palatino Linotype" w:cs="Arial"/>
                <w:b/>
                <w:bCs/>
                <w:iCs/>
              </w:rPr>
            </w:pPr>
            <w:r>
              <w:rPr>
                <w:rFonts w:ascii="Palatino Linotype" w:hAnsi="Palatino Linotype" w:cs="Arial"/>
                <w:b/>
                <w:bCs/>
                <w:iCs/>
              </w:rPr>
              <w:t>Sí</w:t>
            </w:r>
          </w:p>
        </w:tc>
      </w:tr>
      <w:bookmarkEnd w:id="4"/>
    </w:tbl>
    <w:p w14:paraId="5C9A9D8F" w14:textId="77777777" w:rsidR="004D59E1" w:rsidRPr="0087724E" w:rsidRDefault="004D59E1" w:rsidP="00E142CA">
      <w:pPr>
        <w:pStyle w:val="Sinespaciado"/>
        <w:rPr>
          <w:sz w:val="14"/>
          <w:lang w:val="es-ES"/>
        </w:rPr>
      </w:pPr>
    </w:p>
    <w:p w14:paraId="5107D6BC" w14:textId="02A28A5A" w:rsidR="00F03CE4" w:rsidRDefault="00F03CE4" w:rsidP="0087724E">
      <w:pPr>
        <w:spacing w:line="360" w:lineRule="auto"/>
        <w:ind w:right="141"/>
        <w:rPr>
          <w:rFonts w:ascii="Palatino Linotype" w:eastAsiaTheme="minorHAnsi" w:hAnsi="Palatino Linotype" w:cs="Arial"/>
          <w:bCs/>
          <w:lang w:val="es-MX" w:eastAsia="en-US"/>
        </w:rPr>
      </w:pPr>
    </w:p>
    <w:p w14:paraId="15D885C1" w14:textId="1F5E2EC1" w:rsidR="001173FA" w:rsidRDefault="00902F82" w:rsidP="00902F82">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0B4AF7CC" w14:textId="77777777" w:rsidR="00F03CE4" w:rsidRPr="00902F82" w:rsidRDefault="00F03CE4" w:rsidP="00902F82">
      <w:pPr>
        <w:autoSpaceDE w:val="0"/>
        <w:autoSpaceDN w:val="0"/>
        <w:adjustRightInd w:val="0"/>
        <w:spacing w:line="360" w:lineRule="auto"/>
        <w:jc w:val="both"/>
        <w:rPr>
          <w:rFonts w:ascii="Palatino Linotype" w:eastAsiaTheme="minorHAnsi" w:hAnsi="Palatino Linotype" w:cs="Arial"/>
          <w:bCs/>
          <w:szCs w:val="22"/>
          <w:lang w:val="es-MX" w:eastAsia="en-US"/>
        </w:rPr>
      </w:pPr>
    </w:p>
    <w:p w14:paraId="3212EA5C" w14:textId="487EDCE0" w:rsidR="006C7783" w:rsidRPr="00017A50" w:rsidRDefault="00E142CA" w:rsidP="00975A5E">
      <w:pPr>
        <w:spacing w:line="360" w:lineRule="auto"/>
        <w:ind w:right="141"/>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Es así que derivado de la respuesta emitida por</w:t>
      </w:r>
      <w:r w:rsidR="00F03CE4">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Sujeto Obligado</w:t>
      </w:r>
      <w:r w:rsidRPr="009D0958">
        <w:rPr>
          <w:rFonts w:ascii="Palatino Linotype" w:eastAsiaTheme="minorHAnsi" w:hAnsi="Palatino Linotype" w:cs="Arial"/>
          <w:bCs/>
          <w:lang w:val="es-MX" w:eastAsia="en-US"/>
        </w:rPr>
        <w:t>,</w:t>
      </w:r>
      <w:r w:rsidR="00F03CE4">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Recurrente</w:t>
      </w:r>
      <w:r w:rsidRPr="009D0958">
        <w:rPr>
          <w:rFonts w:ascii="Palatino Linotype" w:eastAsiaTheme="minorHAnsi" w:hAnsi="Palatino Linotype" w:cs="Arial"/>
          <w:bCs/>
          <w:lang w:val="es-MX" w:eastAsia="en-US"/>
        </w:rPr>
        <w:t xml:space="preserve">, interpuso el presente recurso de revisión, señalando sustancialmente como sus razones o motivos </w:t>
      </w:r>
      <w:r w:rsidR="00017A50">
        <w:rPr>
          <w:rFonts w:ascii="Palatino Linotype" w:eastAsiaTheme="minorHAnsi" w:hAnsi="Palatino Linotype" w:cs="Arial"/>
          <w:bCs/>
          <w:lang w:val="es-MX" w:eastAsia="en-US"/>
        </w:rPr>
        <w:t xml:space="preserve">de inconformidad, lo siguiente: </w:t>
      </w:r>
      <w:r w:rsidR="00017A50">
        <w:rPr>
          <w:rFonts w:ascii="Palatino Linotype" w:eastAsiaTheme="minorHAnsi" w:hAnsi="Palatino Linotype" w:cs="Arial"/>
          <w:bCs/>
          <w:i/>
          <w:lang w:val="es-MX" w:eastAsia="en-US"/>
        </w:rPr>
        <w:t>“</w:t>
      </w:r>
      <w:r w:rsidR="00E55623" w:rsidRPr="00E55623">
        <w:rPr>
          <w:rFonts w:ascii="Palatino Linotype" w:eastAsiaTheme="minorHAnsi" w:hAnsi="Palatino Linotype" w:cs="Arial"/>
          <w:bCs/>
          <w:i/>
          <w:u w:val="single"/>
          <w:lang w:val="es-MX" w:eastAsia="en-US"/>
        </w:rPr>
        <w:t>No están dando la información requerida</w:t>
      </w:r>
      <w:r w:rsidRPr="009D0958">
        <w:rPr>
          <w:rFonts w:ascii="Palatino Linotype" w:eastAsiaTheme="minorHAnsi" w:hAnsi="Palatino Linotype" w:cs="Arial"/>
          <w:bCs/>
          <w:i/>
          <w:lang w:val="es-MX" w:eastAsia="en-US"/>
        </w:rPr>
        <w:t>” (Sic).</w:t>
      </w:r>
    </w:p>
    <w:p w14:paraId="2A721278" w14:textId="77777777" w:rsidR="00975A5E" w:rsidRDefault="00975A5E" w:rsidP="00D448B5">
      <w:pPr>
        <w:tabs>
          <w:tab w:val="left" w:pos="709"/>
        </w:tabs>
        <w:spacing w:line="360" w:lineRule="auto"/>
        <w:contextualSpacing/>
        <w:jc w:val="both"/>
        <w:rPr>
          <w:rFonts w:ascii="Palatino Linotype" w:hAnsi="Palatino Linotype" w:cs="Arial"/>
          <w:lang w:val="es-MX"/>
        </w:rPr>
      </w:pPr>
    </w:p>
    <w:p w14:paraId="32F5CEB1" w14:textId="053A3FAD" w:rsidR="00F03CE4" w:rsidRDefault="00F03CE4" w:rsidP="00D448B5">
      <w:pPr>
        <w:tabs>
          <w:tab w:val="left" w:pos="709"/>
        </w:tabs>
        <w:spacing w:line="360" w:lineRule="auto"/>
        <w:contextualSpacing/>
        <w:jc w:val="both"/>
        <w:rPr>
          <w:rFonts w:ascii="Palatino Linotype" w:hAnsi="Palatino Linotype" w:cs="Arial"/>
          <w:lang w:val="es-MX"/>
        </w:rPr>
      </w:pPr>
      <w:r>
        <w:rPr>
          <w:rFonts w:ascii="Palatino Linotype" w:hAnsi="Palatino Linotype" w:cs="Arial"/>
          <w:lang w:val="es-MX"/>
        </w:rPr>
        <w:t xml:space="preserve">Por lo que, en la etapa de manifestaciones, el </w:t>
      </w:r>
      <w:r w:rsidRPr="007B2574">
        <w:rPr>
          <w:rFonts w:ascii="Palatino Linotype" w:hAnsi="Palatino Linotype" w:cs="Arial"/>
          <w:b/>
          <w:bCs/>
          <w:lang w:val="es-MX"/>
        </w:rPr>
        <w:t>Sujeto Obligado</w:t>
      </w:r>
      <w:r w:rsidR="007B2574">
        <w:rPr>
          <w:rFonts w:ascii="Palatino Linotype" w:hAnsi="Palatino Linotype" w:cs="Arial"/>
          <w:lang w:val="es-MX"/>
        </w:rPr>
        <w:t xml:space="preserve">, mediante el archivo electrónico denominado </w:t>
      </w:r>
      <w:r w:rsidR="007B2574" w:rsidRPr="007B2574">
        <w:rPr>
          <w:rFonts w:ascii="Palatino Linotype" w:hAnsi="Palatino Linotype" w:cs="Arial"/>
          <w:i/>
          <w:iCs/>
          <w:lang w:val="es-MX"/>
        </w:rPr>
        <w:t>“</w:t>
      </w:r>
      <w:r w:rsidR="00E55623" w:rsidRPr="00E55623">
        <w:rPr>
          <w:rFonts w:ascii="Palatino Linotype" w:hAnsi="Palatino Linotype" w:cs="Arial"/>
          <w:i/>
          <w:iCs/>
          <w:lang w:val="es-MX"/>
        </w:rPr>
        <w:t>MANIFESTACIONES.zip</w:t>
      </w:r>
      <w:r w:rsidR="007B2574" w:rsidRPr="007B2574">
        <w:rPr>
          <w:rFonts w:ascii="Palatino Linotype" w:hAnsi="Palatino Linotype" w:cs="Arial"/>
          <w:i/>
          <w:iCs/>
          <w:lang w:val="es-MX"/>
        </w:rPr>
        <w:t>”</w:t>
      </w:r>
      <w:r w:rsidR="007B2574">
        <w:rPr>
          <w:rFonts w:ascii="Palatino Linotype" w:hAnsi="Palatino Linotype" w:cs="Arial"/>
          <w:lang w:val="es-MX"/>
        </w:rPr>
        <w:t xml:space="preserve">; mismo que consta de </w:t>
      </w:r>
      <w:r w:rsidR="007736BF">
        <w:rPr>
          <w:rFonts w:ascii="Palatino Linotype" w:hAnsi="Palatino Linotype" w:cs="Arial"/>
          <w:lang w:val="es-MX"/>
        </w:rPr>
        <w:t xml:space="preserve">los oficios con </w:t>
      </w:r>
      <w:proofErr w:type="gramStart"/>
      <w:r w:rsidR="007736BF">
        <w:rPr>
          <w:rFonts w:ascii="Palatino Linotype" w:hAnsi="Palatino Linotype" w:cs="Arial"/>
          <w:lang w:val="es-MX"/>
        </w:rPr>
        <w:t xml:space="preserve">número </w:t>
      </w:r>
      <w:r w:rsidR="007736BF" w:rsidRPr="007736BF">
        <w:rPr>
          <w:rFonts w:ascii="Palatino Linotype" w:hAnsi="Palatino Linotype" w:cs="Arial"/>
          <w:b/>
          <w:bCs/>
          <w:lang w:val="es-MX"/>
        </w:rPr>
        <w:t>TM/7645/2025</w:t>
      </w:r>
      <w:r w:rsidR="007736BF">
        <w:rPr>
          <w:rFonts w:ascii="Palatino Linotype" w:hAnsi="Palatino Linotype" w:cs="Arial"/>
          <w:lang w:val="es-MX"/>
        </w:rPr>
        <w:t xml:space="preserve"> y </w:t>
      </w:r>
      <w:r w:rsidR="007736BF" w:rsidRPr="007736BF">
        <w:rPr>
          <w:rFonts w:ascii="Palatino Linotype" w:hAnsi="Palatino Linotype" w:cs="Arial"/>
          <w:b/>
          <w:bCs/>
          <w:lang w:val="es-MX"/>
        </w:rPr>
        <w:t>TLA/OM/0398/2025</w:t>
      </w:r>
      <w:r w:rsidR="007736BF">
        <w:rPr>
          <w:rFonts w:ascii="Palatino Linotype" w:hAnsi="Palatino Linotype" w:cs="Arial"/>
          <w:lang w:val="es-MX"/>
        </w:rPr>
        <w:t>, firmados</w:t>
      </w:r>
      <w:proofErr w:type="gramEnd"/>
      <w:r w:rsidR="007736BF">
        <w:rPr>
          <w:rFonts w:ascii="Palatino Linotype" w:hAnsi="Palatino Linotype" w:cs="Arial"/>
          <w:lang w:val="es-MX"/>
        </w:rPr>
        <w:t xml:space="preserve"> por el Tesorero Municipal y el Oficial Mayor; respectivamente, en donde ratifican sus respuestas.  </w:t>
      </w:r>
    </w:p>
    <w:p w14:paraId="183F319F" w14:textId="77777777" w:rsidR="00E55623" w:rsidRDefault="00E55623" w:rsidP="00D448B5">
      <w:pPr>
        <w:tabs>
          <w:tab w:val="left" w:pos="709"/>
        </w:tabs>
        <w:spacing w:line="360" w:lineRule="auto"/>
        <w:contextualSpacing/>
        <w:jc w:val="both"/>
        <w:rPr>
          <w:rFonts w:ascii="Palatino Linotype" w:hAnsi="Palatino Linotype" w:cs="Arial"/>
          <w:lang w:val="es-MX"/>
        </w:rPr>
      </w:pPr>
    </w:p>
    <w:p w14:paraId="787E56AE" w14:textId="0793AB74"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lang w:val="es-ES_tradnl"/>
        </w:rPr>
        <w:t xml:space="preserve">Ante ello, es de </w:t>
      </w:r>
      <w:r w:rsidRPr="009D0958">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9D0958" w:rsidRDefault="00D448B5" w:rsidP="00D448B5">
      <w:pPr>
        <w:pStyle w:val="Sinespaciado"/>
      </w:pPr>
    </w:p>
    <w:p w14:paraId="4DFB9642"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4. </w:t>
      </w:r>
      <w:r w:rsidRPr="009D0958">
        <w:rPr>
          <w:rFonts w:ascii="Palatino Linotype" w:hAnsi="Palatino Linotype" w:cs="Arial"/>
          <w:i/>
          <w:sz w:val="22"/>
        </w:rPr>
        <w:t xml:space="preserve">… </w:t>
      </w:r>
    </w:p>
    <w:p w14:paraId="47C04EEC"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w:t>
      </w:r>
      <w:r w:rsidRPr="009D0958">
        <w:rPr>
          <w:rFonts w:ascii="Palatino Linotype" w:hAnsi="Palatino Linotype" w:cs="Arial"/>
          <w:i/>
          <w:sz w:val="22"/>
        </w:rPr>
        <w:lastRenderedPageBreak/>
        <w:t>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p>
    <w:p w14:paraId="4DF09263" w14:textId="1F5078E9" w:rsidR="00D448B5" w:rsidRDefault="00D448B5" w:rsidP="00D448B5">
      <w:pPr>
        <w:tabs>
          <w:tab w:val="left" w:pos="709"/>
        </w:tabs>
        <w:spacing w:line="360" w:lineRule="auto"/>
        <w:contextualSpacing/>
        <w:jc w:val="both"/>
        <w:rPr>
          <w:rFonts w:ascii="Palatino Linotype" w:hAnsi="Palatino Linotype" w:cs="Arial"/>
          <w:lang w:val="es-ES_tradnl"/>
        </w:rPr>
      </w:pPr>
      <w:r w:rsidRPr="009D0958">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Pr>
          <w:rFonts w:ascii="Palatino Linotype" w:hAnsi="Palatino Linotype" w:cs="Arial"/>
          <w:lang w:val="es-ES_tradnl"/>
        </w:rPr>
        <w:t>a publicidad de la información.</w:t>
      </w:r>
    </w:p>
    <w:p w14:paraId="6D3B494D" w14:textId="77777777" w:rsidR="00975A5E" w:rsidRPr="00975A5E" w:rsidRDefault="00975A5E"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773170C" w14:textId="77777777" w:rsidR="00D448B5" w:rsidRPr="009D0958" w:rsidRDefault="00D448B5" w:rsidP="00D448B5">
      <w:pPr>
        <w:pStyle w:val="Sinespaciado"/>
        <w:rPr>
          <w:sz w:val="16"/>
          <w:lang w:val="es-ES_tradnl"/>
        </w:rPr>
      </w:pPr>
    </w:p>
    <w:p w14:paraId="3547D3F1"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Artículo 12.</w:t>
      </w:r>
      <w:r w:rsidRPr="009D0958">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9D0958" w:rsidRDefault="00D448B5" w:rsidP="00D448B5">
      <w:pPr>
        <w:ind w:left="567" w:right="616"/>
        <w:jc w:val="both"/>
        <w:rPr>
          <w:rFonts w:ascii="Palatino Linotype" w:hAnsi="Palatino Linotype" w:cs="Arial"/>
          <w:i/>
          <w:sz w:val="22"/>
        </w:rPr>
      </w:pPr>
    </w:p>
    <w:p w14:paraId="3A80DF20" w14:textId="7A1C0EAC" w:rsidR="00D448B5" w:rsidRPr="00840B80" w:rsidRDefault="00D448B5" w:rsidP="00840B80">
      <w:pPr>
        <w:ind w:left="567" w:right="616"/>
        <w:jc w:val="both"/>
        <w:rPr>
          <w:rFonts w:ascii="Palatino Linotype" w:hAnsi="Palatino Linotype" w:cs="Arial"/>
          <w:i/>
          <w:sz w:val="22"/>
        </w:rPr>
      </w:pPr>
      <w:r w:rsidRPr="009D0958">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16A69F3" w14:textId="77777777" w:rsidR="007736BF" w:rsidRDefault="007736BF" w:rsidP="00D448B5">
      <w:pPr>
        <w:tabs>
          <w:tab w:val="left" w:pos="709"/>
        </w:tabs>
        <w:spacing w:line="360" w:lineRule="auto"/>
        <w:contextualSpacing/>
        <w:jc w:val="both"/>
        <w:rPr>
          <w:rFonts w:ascii="Palatino Linotype" w:hAnsi="Palatino Linotype" w:cs="Arial"/>
        </w:rPr>
      </w:pPr>
    </w:p>
    <w:p w14:paraId="2B12D617" w14:textId="26A98BF1" w:rsidR="009C6694"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w:t>
      </w:r>
      <w:r w:rsidRPr="009D0958">
        <w:rPr>
          <w:rFonts w:ascii="Palatino Linotype" w:hAnsi="Palatino Linotype" w:cs="Arial"/>
        </w:rPr>
        <w:lastRenderedPageBreak/>
        <w:t>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9D0958"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Default="00D448B5" w:rsidP="00975A5E">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D0958">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D0958">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Pr>
          <w:rFonts w:ascii="Palatino Linotype" w:hAnsi="Palatino Linotype" w:cs="Arial"/>
        </w:rPr>
        <w:t xml:space="preserve"> el cual dispone lo siguiente: </w:t>
      </w:r>
    </w:p>
    <w:p w14:paraId="66B1578D" w14:textId="77777777" w:rsidR="00975A5E" w:rsidRPr="00975A5E"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3. </w:t>
      </w:r>
      <w:r w:rsidRPr="009D0958">
        <w:rPr>
          <w:rFonts w:ascii="Palatino Linotype" w:hAnsi="Palatino Linotype" w:cs="Arial"/>
          <w:i/>
          <w:sz w:val="22"/>
        </w:rPr>
        <w:t>Para los efectos de la presente Ley se entenderá por:</w:t>
      </w:r>
    </w:p>
    <w:p w14:paraId="2D7063D6"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4BB2E0C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b/>
          <w:i/>
          <w:sz w:val="22"/>
        </w:rPr>
        <w:t>XI. Documento:</w:t>
      </w:r>
      <w:r w:rsidRPr="009D0958">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D0958">
        <w:rPr>
          <w:rFonts w:ascii="Palatino Linotype" w:hAnsi="Palatino Linotype" w:cs="Arial"/>
          <w:b/>
          <w:i/>
          <w:sz w:val="22"/>
          <w:u w:val="single"/>
        </w:rPr>
        <w:t>registro que documente el ejercicio de las facultades, funciones y competencias de los sujetos obligados</w:t>
      </w:r>
      <w:r w:rsidRPr="009D0958">
        <w:rPr>
          <w:rFonts w:ascii="Palatino Linotype" w:hAnsi="Palatino Linotype" w:cs="Arial"/>
          <w:i/>
          <w:sz w:val="22"/>
          <w:u w:val="single"/>
        </w:rPr>
        <w:t>,</w:t>
      </w:r>
      <w:r w:rsidRPr="009D0958">
        <w:rPr>
          <w:rFonts w:ascii="Palatino Linotype" w:hAnsi="Palatino Linotype" w:cs="Arial"/>
          <w:i/>
          <w:sz w:val="22"/>
        </w:rPr>
        <w:t xml:space="preserve"> sus servidores públicos e integrantes, </w:t>
      </w:r>
      <w:r w:rsidRPr="009D0958">
        <w:rPr>
          <w:rFonts w:ascii="Palatino Linotype" w:hAnsi="Palatino Linotype" w:cs="Arial"/>
          <w:b/>
          <w:i/>
          <w:sz w:val="22"/>
          <w:u w:val="single"/>
        </w:rPr>
        <w:t>sin importar su fuente o fecha de elaboración.</w:t>
      </w:r>
      <w:r w:rsidRPr="009D0958">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7621877C" w14:textId="77777777" w:rsidR="00D448B5" w:rsidRPr="009D0958" w:rsidRDefault="00D448B5" w:rsidP="00D448B5">
      <w:pPr>
        <w:rPr>
          <w:sz w:val="14"/>
        </w:rPr>
      </w:pPr>
    </w:p>
    <w:p w14:paraId="7F578BA4" w14:textId="77777777" w:rsidR="00D448B5" w:rsidRPr="009D0958" w:rsidRDefault="00D448B5" w:rsidP="00D448B5"/>
    <w:p w14:paraId="5C950C7C"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r w:rsidRPr="009D0958">
        <w:rPr>
          <w:rFonts w:ascii="Palatino Linotype" w:hAnsi="Palatino Linotype" w:cs="Arial"/>
        </w:rPr>
        <w:t xml:space="preserve">Además, </w:t>
      </w:r>
      <w:r w:rsidRPr="009D0958">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w:t>
      </w:r>
      <w:r w:rsidRPr="009D0958">
        <w:rPr>
          <w:rFonts w:ascii="Palatino Linotype" w:eastAsia="MS Mincho" w:hAnsi="Palatino Linotype"/>
        </w:rPr>
        <w:lastRenderedPageBreak/>
        <w:t>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9D0958" w:rsidRDefault="00D448B5" w:rsidP="00D448B5">
      <w:pPr>
        <w:spacing w:before="240" w:after="240" w:line="360" w:lineRule="auto"/>
        <w:ind w:right="49"/>
        <w:contextualSpacing/>
        <w:jc w:val="both"/>
        <w:rPr>
          <w:rFonts w:ascii="Palatino Linotype" w:eastAsia="MS Mincho" w:hAnsi="Palatino Linotype" w:cs="Tahoma"/>
        </w:rPr>
      </w:pPr>
      <w:r w:rsidRPr="009D0958">
        <w:rPr>
          <w:rFonts w:ascii="Palatino Linotype" w:hAnsi="Palatino Linotype" w:cs="Arial"/>
          <w:lang w:eastAsia="es-MX"/>
        </w:rPr>
        <w:t xml:space="preserve">De la misma forma, </w:t>
      </w:r>
      <w:r w:rsidRPr="009D0958">
        <w:rPr>
          <w:rFonts w:ascii="Palatino Linotype" w:eastAsia="MS Mincho" w:hAnsi="Palatino Linotype"/>
        </w:rPr>
        <w:t>de acuerdo al contenido del artículo 160,</w:t>
      </w:r>
      <w:r w:rsidRPr="009D0958">
        <w:rPr>
          <w:rFonts w:ascii="Palatino Linotype" w:hAnsi="Palatino Linotype" w:cs="Arial"/>
        </w:rPr>
        <w:t xml:space="preserve"> de la Ley </w:t>
      </w:r>
      <w:r w:rsidRPr="009D0958">
        <w:rPr>
          <w:rFonts w:ascii="Palatino Linotype" w:eastAsia="MS Mincho" w:hAnsi="Palatino Linotype" w:cs="Tahoma"/>
        </w:rPr>
        <w:t>General de Transparencia y Acceso a la Información Pública que a la letra dispone:</w:t>
      </w:r>
    </w:p>
    <w:p w14:paraId="4FD6F25D" w14:textId="77777777" w:rsidR="00D448B5" w:rsidRPr="009D0958" w:rsidRDefault="00D448B5" w:rsidP="00D448B5"/>
    <w:p w14:paraId="041CC131" w14:textId="77777777" w:rsidR="00D448B5" w:rsidRPr="009D0958" w:rsidRDefault="00D448B5" w:rsidP="00D448B5">
      <w:pPr>
        <w:ind w:left="567" w:right="616"/>
        <w:contextualSpacing/>
        <w:jc w:val="both"/>
        <w:rPr>
          <w:rFonts w:ascii="Palatino Linotype" w:hAnsi="Palatino Linotype" w:cs="Arial"/>
          <w:i/>
          <w:sz w:val="22"/>
          <w:lang w:eastAsia="gl-ES"/>
        </w:rPr>
      </w:pPr>
      <w:r w:rsidRPr="009D0958">
        <w:rPr>
          <w:rFonts w:ascii="Palatino Linotype" w:hAnsi="Palatino Linotype" w:cs="Arial"/>
          <w:b/>
          <w:i/>
          <w:sz w:val="22"/>
          <w:lang w:eastAsia="gl-ES"/>
        </w:rPr>
        <w:t>Artículo 160</w:t>
      </w:r>
      <w:r w:rsidRPr="009D0958">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9D0958"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9D0958"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9D0958" w:rsidRDefault="00D448B5" w:rsidP="00D448B5">
      <w:pPr>
        <w:spacing w:line="360" w:lineRule="auto"/>
        <w:jc w:val="both"/>
        <w:rPr>
          <w:rFonts w:ascii="Palatino Linotype" w:hAnsi="Palatino Linotype" w:cs="Arial"/>
          <w:color w:val="222222"/>
          <w:szCs w:val="19"/>
          <w:lang w:eastAsia="es-MX"/>
        </w:rPr>
      </w:pPr>
      <w:r w:rsidRPr="009D0958">
        <w:rPr>
          <w:rFonts w:ascii="Palatino Linotype" w:hAnsi="Palatino Linotype"/>
          <w:color w:val="000000"/>
        </w:rPr>
        <w:t xml:space="preserve">Sirve como apoyo </w:t>
      </w:r>
      <w:r w:rsidRPr="009D0958">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9D0958" w:rsidRDefault="00D448B5" w:rsidP="00D448B5">
      <w:pPr>
        <w:pStyle w:val="Sinespaciado"/>
        <w:rPr>
          <w:lang w:eastAsia="es-MX"/>
        </w:rPr>
      </w:pPr>
    </w:p>
    <w:p w14:paraId="3C5E6EE7" w14:textId="7B34567C" w:rsidR="00D448B5" w:rsidRPr="00902F82" w:rsidRDefault="00D448B5" w:rsidP="00902F82">
      <w:pPr>
        <w:shd w:val="clear" w:color="auto" w:fill="FFFFFF"/>
        <w:tabs>
          <w:tab w:val="left" w:pos="8647"/>
        </w:tabs>
        <w:ind w:left="567" w:right="616"/>
        <w:jc w:val="both"/>
        <w:rPr>
          <w:rFonts w:ascii="Palatino Linotype" w:hAnsi="Palatino Linotype" w:cs="Arial"/>
          <w:i/>
          <w:iCs/>
          <w:color w:val="222222"/>
          <w:sz w:val="22"/>
          <w:lang w:eastAsia="es-MX"/>
        </w:rPr>
      </w:pPr>
      <w:r w:rsidRPr="009D0958">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D0958">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0DD16C7D" w14:textId="77777777" w:rsidR="00D448B5" w:rsidRDefault="00D448B5" w:rsidP="00D448B5">
      <w:pPr>
        <w:pStyle w:val="Sinespaciado"/>
      </w:pPr>
    </w:p>
    <w:p w14:paraId="21E6D1FA" w14:textId="77777777" w:rsidR="00902F82" w:rsidRPr="00902F82" w:rsidRDefault="00902F82" w:rsidP="00902F82">
      <w:pPr>
        <w:pStyle w:val="Sinespaciado"/>
      </w:pPr>
    </w:p>
    <w:p w14:paraId="363B9F59" w14:textId="77777777" w:rsidR="00D448B5" w:rsidRPr="009D0958" w:rsidRDefault="00D448B5" w:rsidP="00D448B5">
      <w:pPr>
        <w:spacing w:line="360" w:lineRule="auto"/>
        <w:contextualSpacing/>
        <w:jc w:val="both"/>
        <w:rPr>
          <w:rFonts w:ascii="Palatino Linotype" w:hAnsi="Palatino Linotype" w:cs="Arial"/>
        </w:rPr>
      </w:pPr>
      <w:r w:rsidRPr="009D0958">
        <w:rPr>
          <w:rFonts w:ascii="Palatino Linotype" w:hAnsi="Palatino Linotype" w:cs="Arial"/>
          <w:bCs/>
        </w:rPr>
        <w:t xml:space="preserve">Además, </w:t>
      </w:r>
      <w:r w:rsidRPr="009D0958">
        <w:rPr>
          <w:rFonts w:ascii="Palatino Linotype" w:hAnsi="Palatino Linotype" w:cs="Arial"/>
        </w:rPr>
        <w:t xml:space="preserve">a Ley de Transparencia y Acceso a la Información Pública del Estado de México y Municipios, prevé en su artículo 23, fracción IV, que son Sujetos Obligados a </w:t>
      </w:r>
      <w:r w:rsidRPr="009D0958">
        <w:rPr>
          <w:rFonts w:ascii="Palatino Linotype" w:hAnsi="Palatino Linotype" w:cs="Arial"/>
        </w:rPr>
        <w:lastRenderedPageBreak/>
        <w:t>Transparentar y permitir el acceso a su información y proteger los datos que obren en su poder:</w:t>
      </w:r>
    </w:p>
    <w:p w14:paraId="285CEC0E" w14:textId="77777777" w:rsidR="00D448B5" w:rsidRPr="009D0958" w:rsidRDefault="00D448B5" w:rsidP="00D448B5">
      <w:pPr>
        <w:pStyle w:val="Sinespaciado"/>
      </w:pPr>
    </w:p>
    <w:p w14:paraId="0FD89CF2"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b/>
          <w:i/>
          <w:sz w:val="22"/>
        </w:rPr>
        <w:t>Artículo 23.</w:t>
      </w:r>
      <w:r w:rsidRPr="009D0958">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i/>
          <w:sz w:val="22"/>
        </w:rPr>
        <w:t>(…)</w:t>
      </w:r>
    </w:p>
    <w:p w14:paraId="6FA3C3EC" w14:textId="7B382083" w:rsidR="00A563B8" w:rsidRPr="009D0958"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9D0958">
        <w:rPr>
          <w:rFonts w:ascii="Palatino Linotype" w:eastAsiaTheme="minorHAnsi" w:hAnsi="Palatino Linotype" w:cs="Bookman Old Style"/>
          <w:b/>
          <w:bCs/>
          <w:i/>
          <w:color w:val="000000"/>
          <w:sz w:val="22"/>
          <w:szCs w:val="20"/>
          <w:lang w:val="es-MX" w:eastAsia="en-US"/>
        </w:rPr>
        <w:t xml:space="preserve">IV. </w:t>
      </w:r>
      <w:r w:rsidRPr="009D0958">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23455370" w:rsidR="00D448B5" w:rsidRPr="009D0958" w:rsidRDefault="00D448B5" w:rsidP="00D448B5">
      <w:pPr>
        <w:spacing w:line="360" w:lineRule="auto"/>
        <w:jc w:val="both"/>
        <w:rPr>
          <w:rFonts w:ascii="Palatino Linotype" w:hAnsi="Palatino Linotype" w:cs="Arial"/>
        </w:rPr>
      </w:pPr>
      <w:r w:rsidRPr="009D0958">
        <w:rPr>
          <w:rFonts w:ascii="Palatino Linotype" w:hAnsi="Palatino Linotype" w:cs="Arial"/>
        </w:rPr>
        <w:t xml:space="preserve">Por lo que, de la respuesta emitida por parte de la Unidad de Transparencia del </w:t>
      </w:r>
      <w:r w:rsidRPr="009D0958">
        <w:rPr>
          <w:rFonts w:ascii="Palatino Linotype" w:hAnsi="Palatino Linotype" w:cs="Arial"/>
          <w:b/>
        </w:rPr>
        <w:t>Sujeto Obligado</w:t>
      </w:r>
      <w:r w:rsidRPr="009D0958">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9D0958" w:rsidRDefault="000A0590" w:rsidP="00D448B5">
      <w:pPr>
        <w:spacing w:line="360" w:lineRule="auto"/>
        <w:jc w:val="both"/>
        <w:rPr>
          <w:rFonts w:ascii="Palatino Linotype" w:hAnsi="Palatino Linotype" w:cs="Arial"/>
        </w:rPr>
      </w:pPr>
    </w:p>
    <w:p w14:paraId="5BA34FDF" w14:textId="0D6B6569" w:rsidR="00D448B5" w:rsidRPr="009D0958" w:rsidRDefault="00D448B5" w:rsidP="00D448B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 efecto de determinar si con la información remitida por </w:t>
      </w:r>
      <w:r w:rsidRPr="009D0958">
        <w:rPr>
          <w:rFonts w:ascii="Palatino Linotype" w:eastAsiaTheme="minorHAnsi" w:hAnsi="Palatino Linotype" w:cs="Arial"/>
          <w:b/>
          <w:szCs w:val="22"/>
          <w:lang w:val="es-MX" w:eastAsia="en-US"/>
        </w:rPr>
        <w:t>El Sujeto Obligado</w:t>
      </w:r>
      <w:r w:rsidRPr="009D0958">
        <w:rPr>
          <w:rFonts w:ascii="Palatino Linotype" w:eastAsiaTheme="minorHAnsi" w:hAnsi="Palatino Linotype" w:cs="Arial"/>
          <w:szCs w:val="22"/>
          <w:lang w:val="es-MX" w:eastAsia="en-US"/>
        </w:rPr>
        <w:t xml:space="preserve"> a través de su respuesta</w:t>
      </w:r>
      <w:r w:rsidR="000A0590"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szCs w:val="22"/>
          <w:lang w:val="es-MX" w:eastAsia="en-US"/>
        </w:rPr>
        <w:t xml:space="preserve">colma lo requerido en dicha solicitud. </w:t>
      </w:r>
    </w:p>
    <w:p w14:paraId="58D97C53"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F7584B" w:rsidRDefault="00F618EB" w:rsidP="00F618EB">
      <w:pPr>
        <w:spacing w:line="360" w:lineRule="auto"/>
        <w:ind w:right="49"/>
        <w:jc w:val="both"/>
        <w:rPr>
          <w:rFonts w:ascii="Palatino Linotype" w:eastAsiaTheme="minorHAnsi" w:hAnsi="Palatino Linotype" w:cs="Arial"/>
          <w:bCs/>
          <w:lang w:val="es-MX" w:eastAsia="en-US"/>
        </w:rPr>
      </w:pPr>
      <w:r w:rsidRPr="00F7584B">
        <w:rPr>
          <w:rFonts w:ascii="Palatino Linotype" w:eastAsiaTheme="minorHAnsi" w:hAnsi="Palatino Linotype" w:cs="Arial"/>
          <w:bCs/>
          <w:lang w:val="es-MX" w:eastAsia="en-US"/>
        </w:rPr>
        <w:t xml:space="preserve">Atento a ello, primeramente, es importante señalar que el ahora </w:t>
      </w:r>
      <w:r w:rsidRPr="00F7584B">
        <w:rPr>
          <w:rFonts w:ascii="Palatino Linotype" w:eastAsiaTheme="minorHAnsi" w:hAnsi="Palatino Linotype" w:cs="Arial"/>
          <w:b/>
          <w:lang w:val="es-MX" w:eastAsia="en-US"/>
        </w:rPr>
        <w:t>Recurrente</w:t>
      </w:r>
      <w:r w:rsidRPr="00F7584B">
        <w:rPr>
          <w:rFonts w:ascii="Palatino Linotype" w:eastAsiaTheme="minorHAnsi" w:hAnsi="Palatino Linotype" w:cs="Arial"/>
          <w:bCs/>
          <w:lang w:val="es-MX" w:eastAsia="en-US"/>
        </w:rPr>
        <w:t xml:space="preserve"> se adolece de lo siguiente:</w:t>
      </w:r>
    </w:p>
    <w:p w14:paraId="6CF54A0E" w14:textId="77777777" w:rsidR="00F618EB" w:rsidRPr="00F7584B" w:rsidRDefault="00F618EB" w:rsidP="00F618EB">
      <w:pPr>
        <w:spacing w:line="360" w:lineRule="auto"/>
        <w:ind w:right="49"/>
        <w:jc w:val="both"/>
        <w:rPr>
          <w:rFonts w:ascii="Palatino Linotype" w:eastAsiaTheme="minorHAnsi" w:hAnsi="Palatino Linotype" w:cs="Arial"/>
          <w:bCs/>
          <w:lang w:val="es-MX" w:eastAsia="en-US"/>
        </w:rPr>
      </w:pPr>
    </w:p>
    <w:p w14:paraId="0B8C82B1" w14:textId="3E792CB3" w:rsidR="00F618EB" w:rsidRPr="00F7584B" w:rsidRDefault="00F7584B" w:rsidP="00017A50">
      <w:pPr>
        <w:pStyle w:val="Prrafodelista"/>
        <w:numPr>
          <w:ilvl w:val="0"/>
          <w:numId w:val="27"/>
        </w:numPr>
        <w:spacing w:line="360" w:lineRule="auto"/>
        <w:ind w:right="49"/>
        <w:jc w:val="both"/>
        <w:rPr>
          <w:rFonts w:ascii="Palatino Linotype" w:eastAsiaTheme="minorHAnsi" w:hAnsi="Palatino Linotype" w:cs="Arial"/>
          <w:b/>
          <w:lang w:val="es-MX" w:eastAsia="en-US"/>
        </w:rPr>
      </w:pPr>
      <w:r w:rsidRPr="00F7584B">
        <w:rPr>
          <w:rFonts w:ascii="Palatino Linotype" w:eastAsiaTheme="minorHAnsi" w:hAnsi="Palatino Linotype" w:cs="Arial"/>
          <w:b/>
          <w:lang w:val="es-MX" w:eastAsia="en-US"/>
        </w:rPr>
        <w:t>No están dando la información requerida</w:t>
      </w:r>
      <w:r w:rsidR="00017A50" w:rsidRPr="00F7584B">
        <w:rPr>
          <w:rFonts w:ascii="Palatino Linotype" w:eastAsiaTheme="minorHAnsi" w:hAnsi="Palatino Linotype" w:cs="Arial"/>
          <w:b/>
          <w:lang w:val="es-MX" w:eastAsia="en-US"/>
        </w:rPr>
        <w:t xml:space="preserve">. </w:t>
      </w:r>
    </w:p>
    <w:p w14:paraId="3C78A114" w14:textId="77777777" w:rsidR="00975A5E" w:rsidRPr="00F7584B" w:rsidRDefault="00975A5E" w:rsidP="00EF3C9E">
      <w:pPr>
        <w:pStyle w:val="Prrafodelista"/>
        <w:spacing w:line="360" w:lineRule="auto"/>
        <w:ind w:left="0"/>
        <w:contextualSpacing/>
        <w:jc w:val="both"/>
        <w:rPr>
          <w:rFonts w:ascii="Palatino Linotype" w:hAnsi="Palatino Linotype"/>
          <w:color w:val="000000"/>
          <w:lang w:val="es-MX"/>
        </w:rPr>
      </w:pPr>
    </w:p>
    <w:p w14:paraId="25210892" w14:textId="77777777" w:rsidR="00F7584B" w:rsidRDefault="00975A5E" w:rsidP="00F7584B">
      <w:pPr>
        <w:pStyle w:val="Prrafodelista"/>
        <w:spacing w:line="360" w:lineRule="auto"/>
        <w:ind w:left="0"/>
        <w:contextualSpacing/>
        <w:jc w:val="both"/>
        <w:rPr>
          <w:rFonts w:ascii="Palatino Linotype" w:hAnsi="Palatino Linotype"/>
          <w:color w:val="000000"/>
        </w:rPr>
      </w:pPr>
      <w:r w:rsidRPr="009D0958">
        <w:rPr>
          <w:rFonts w:ascii="Palatino Linotype" w:hAnsi="Palatino Linotype"/>
          <w:color w:val="000000"/>
        </w:rPr>
        <w:t>Al respecto, record</w:t>
      </w:r>
      <w:r w:rsidR="00473564">
        <w:rPr>
          <w:rFonts w:ascii="Palatino Linotype" w:hAnsi="Palatino Linotype"/>
          <w:color w:val="000000"/>
        </w:rPr>
        <w:t>emos que, en líneas anteriores</w:t>
      </w:r>
      <w:r w:rsidR="00F7584B">
        <w:rPr>
          <w:rFonts w:ascii="Palatino Linotype" w:hAnsi="Palatino Linotype"/>
          <w:color w:val="000000"/>
        </w:rPr>
        <w:t xml:space="preserve"> que</w:t>
      </w:r>
      <w:r w:rsidR="00473564">
        <w:rPr>
          <w:rFonts w:ascii="Palatino Linotype" w:hAnsi="Palatino Linotype"/>
          <w:color w:val="000000"/>
        </w:rPr>
        <w:t xml:space="preserve">, </w:t>
      </w:r>
      <w:r>
        <w:rPr>
          <w:rFonts w:ascii="Palatino Linotype" w:hAnsi="Palatino Linotype"/>
          <w:color w:val="000000"/>
        </w:rPr>
        <w:t>el</w:t>
      </w:r>
      <w:r w:rsidR="00F7584B">
        <w:rPr>
          <w:rFonts w:ascii="Palatino Linotype" w:hAnsi="Palatino Linotype"/>
          <w:color w:val="000000"/>
        </w:rPr>
        <w:t xml:space="preserve"> particular requiere el soporte documental </w:t>
      </w:r>
      <w:r w:rsidR="00F7584B" w:rsidRPr="00F7584B">
        <w:rPr>
          <w:rFonts w:ascii="Palatino Linotype" w:hAnsi="Palatino Linotype"/>
          <w:color w:val="000000"/>
        </w:rPr>
        <w:t xml:space="preserve">que acredite la contratación </w:t>
      </w:r>
      <w:r w:rsidR="00F7584B">
        <w:rPr>
          <w:rFonts w:ascii="Palatino Linotype" w:hAnsi="Palatino Linotype"/>
          <w:color w:val="000000"/>
        </w:rPr>
        <w:t xml:space="preserve">de la </w:t>
      </w:r>
      <w:r w:rsidR="00F7584B" w:rsidRPr="00F7584B">
        <w:rPr>
          <w:rFonts w:ascii="Palatino Linotype" w:hAnsi="Palatino Linotype"/>
          <w:color w:val="000000"/>
        </w:rPr>
        <w:t xml:space="preserve">agencia de publicidad </w:t>
      </w:r>
      <w:r w:rsidR="00F7584B">
        <w:rPr>
          <w:rFonts w:ascii="Palatino Linotype" w:hAnsi="Palatino Linotype"/>
          <w:color w:val="000000"/>
        </w:rPr>
        <w:t xml:space="preserve">que </w:t>
      </w:r>
      <w:r w:rsidR="00F7584B" w:rsidRPr="00F7584B">
        <w:rPr>
          <w:rFonts w:ascii="Palatino Linotype" w:hAnsi="Palatino Linotype"/>
          <w:color w:val="000000"/>
        </w:rPr>
        <w:t>contrataron para pautar contenido en redes sociales</w:t>
      </w:r>
      <w:r w:rsidR="00F7584B">
        <w:rPr>
          <w:rFonts w:ascii="Palatino Linotype" w:hAnsi="Palatino Linotype"/>
          <w:color w:val="000000"/>
        </w:rPr>
        <w:t>, así como, la</w:t>
      </w:r>
      <w:r w:rsidR="00F7584B" w:rsidRPr="00F7584B">
        <w:rPr>
          <w:rFonts w:ascii="Palatino Linotype" w:hAnsi="Palatino Linotype"/>
          <w:color w:val="000000"/>
        </w:rPr>
        <w:t xml:space="preserve"> factura</w:t>
      </w:r>
      <w:r w:rsidR="00F7584B">
        <w:rPr>
          <w:rFonts w:ascii="Palatino Linotype" w:hAnsi="Palatino Linotype"/>
          <w:color w:val="000000"/>
        </w:rPr>
        <w:t xml:space="preserve"> y el número de partida presupuestal con la que se erogó dicho gasto.</w:t>
      </w:r>
    </w:p>
    <w:p w14:paraId="461329C0" w14:textId="40994E10" w:rsidR="00F7584B" w:rsidRPr="00F7584B" w:rsidRDefault="00F7584B" w:rsidP="00F7584B">
      <w:pPr>
        <w:pStyle w:val="Prrafodelista"/>
        <w:spacing w:line="360" w:lineRule="auto"/>
        <w:ind w:left="0"/>
        <w:contextualSpacing/>
        <w:jc w:val="both"/>
        <w:rPr>
          <w:rFonts w:ascii="Palatino Linotype" w:hAnsi="Palatino Linotype"/>
          <w:color w:val="000000"/>
        </w:rPr>
      </w:pPr>
      <w:r>
        <w:rPr>
          <w:rFonts w:ascii="Palatino Linotype" w:hAnsi="Palatino Linotype"/>
          <w:color w:val="000000"/>
        </w:rPr>
        <w:lastRenderedPageBreak/>
        <w:t xml:space="preserve">Por lo que, el </w:t>
      </w:r>
      <w:r w:rsidRPr="00F7584B">
        <w:rPr>
          <w:rFonts w:ascii="Palatino Linotype" w:hAnsi="Palatino Linotype"/>
          <w:b/>
          <w:bCs/>
          <w:color w:val="000000"/>
        </w:rPr>
        <w:t>Sujeto Obligado</w:t>
      </w:r>
      <w:r>
        <w:rPr>
          <w:rFonts w:ascii="Palatino Linotype" w:hAnsi="Palatino Linotype"/>
          <w:color w:val="000000"/>
        </w:rPr>
        <w:t xml:space="preserve">, mediante </w:t>
      </w:r>
      <w:r w:rsidRPr="00F7584B">
        <w:rPr>
          <w:rFonts w:ascii="Palatino Linotype" w:hAnsi="Palatino Linotype"/>
          <w:color w:val="000000"/>
        </w:rPr>
        <w:t xml:space="preserve">el oficio número </w:t>
      </w:r>
      <w:r w:rsidRPr="00F7584B">
        <w:rPr>
          <w:rFonts w:ascii="Palatino Linotype" w:hAnsi="Palatino Linotype"/>
          <w:b/>
          <w:bCs/>
          <w:color w:val="000000"/>
        </w:rPr>
        <w:t>TLA/OM/0253/2025</w:t>
      </w:r>
      <w:r w:rsidRPr="00F7584B">
        <w:rPr>
          <w:rFonts w:ascii="Palatino Linotype" w:hAnsi="Palatino Linotype"/>
          <w:color w:val="000000"/>
        </w:rPr>
        <w:t xml:space="preserve">, firmado por el Oficial Mayor, </w:t>
      </w:r>
      <w:r w:rsidR="00F96BAE">
        <w:rPr>
          <w:rFonts w:ascii="Palatino Linotype" w:hAnsi="Palatino Linotype"/>
          <w:color w:val="000000"/>
        </w:rPr>
        <w:t>comunicó</w:t>
      </w:r>
      <w:r w:rsidRPr="00F7584B">
        <w:rPr>
          <w:rFonts w:ascii="Palatino Linotype" w:hAnsi="Palatino Linotype"/>
          <w:color w:val="000000"/>
        </w:rPr>
        <w:t xml:space="preserve"> que, la Coordinación Jurídica indicó que, se identificó el convenio de concertación celebrado entre el Municipio y la persona jurídica colectiva </w:t>
      </w:r>
      <w:r w:rsidRPr="00F7584B">
        <w:rPr>
          <w:rFonts w:ascii="Palatino Linotype" w:hAnsi="Palatino Linotype"/>
          <w:b/>
          <w:bCs/>
          <w:i/>
          <w:iCs/>
          <w:color w:val="000000"/>
        </w:rPr>
        <w:t>“SERVICIOS DE CONSULTORÍA ADMINISTRATIVA ATK, S.A. DE C.V.”</w:t>
      </w:r>
      <w:r w:rsidRPr="00F7584B">
        <w:rPr>
          <w:rFonts w:ascii="Palatino Linotype" w:hAnsi="Palatino Linotype"/>
          <w:color w:val="000000"/>
        </w:rPr>
        <w:t xml:space="preserve">, con el objeto de la realización, operación y optimización de los espacios publicitarios para la difusión de programas y acciones que realice el Municipio, a través de las plataformas digitales y de redes sociales, mismo que remitió en versión pública testando información clasificada como </w:t>
      </w:r>
      <w:r w:rsidRPr="00F7584B">
        <w:rPr>
          <w:rFonts w:ascii="Palatino Linotype" w:hAnsi="Palatino Linotype"/>
          <w:b/>
          <w:bCs/>
          <w:color w:val="000000"/>
        </w:rPr>
        <w:t>CONFIDENCIAL</w:t>
      </w:r>
      <w:r w:rsidRPr="00F7584B">
        <w:rPr>
          <w:rFonts w:ascii="Palatino Linotype" w:hAnsi="Palatino Linotype"/>
          <w:color w:val="000000"/>
        </w:rPr>
        <w:t xml:space="preserve"> </w:t>
      </w:r>
      <w:r w:rsidRPr="00F7584B">
        <w:rPr>
          <w:rFonts w:ascii="Palatino Linotype" w:hAnsi="Palatino Linotype"/>
          <w:i/>
          <w:iCs/>
          <w:color w:val="000000"/>
        </w:rPr>
        <w:t>(clave de elector del representante legal)</w:t>
      </w:r>
      <w:r w:rsidRPr="00F7584B">
        <w:rPr>
          <w:rFonts w:ascii="Palatino Linotype" w:hAnsi="Palatino Linotype"/>
          <w:color w:val="000000"/>
        </w:rPr>
        <w:t>.</w:t>
      </w:r>
    </w:p>
    <w:p w14:paraId="2EEE0B0D" w14:textId="77777777" w:rsidR="00F7584B" w:rsidRDefault="00F7584B" w:rsidP="00F7584B">
      <w:pPr>
        <w:spacing w:line="360" w:lineRule="auto"/>
        <w:contextualSpacing/>
        <w:jc w:val="both"/>
        <w:rPr>
          <w:rFonts w:ascii="Palatino Linotype" w:hAnsi="Palatino Linotype"/>
          <w:color w:val="000000"/>
        </w:rPr>
      </w:pPr>
    </w:p>
    <w:p w14:paraId="675A8FF7" w14:textId="49C53E26" w:rsidR="00F7584B" w:rsidRPr="00F7584B" w:rsidRDefault="00F7584B" w:rsidP="00F7584B">
      <w:pPr>
        <w:spacing w:line="360" w:lineRule="auto"/>
        <w:contextualSpacing/>
        <w:jc w:val="both"/>
        <w:rPr>
          <w:rFonts w:ascii="Palatino Linotype" w:hAnsi="Palatino Linotype"/>
          <w:color w:val="000000"/>
        </w:rPr>
      </w:pPr>
      <w:r w:rsidRPr="00F7584B">
        <w:rPr>
          <w:rFonts w:ascii="Palatino Linotype" w:hAnsi="Palatino Linotype"/>
          <w:color w:val="000000"/>
        </w:rPr>
        <w:t xml:space="preserve">Adicionalmente, remitió el Acuerdo de Clasificación </w:t>
      </w:r>
      <w:r w:rsidRPr="00F7584B">
        <w:rPr>
          <w:rFonts w:ascii="Palatino Linotype" w:hAnsi="Palatino Linotype"/>
          <w:b/>
          <w:bCs/>
          <w:color w:val="000000"/>
        </w:rPr>
        <w:t>10/CT/04-ORD/2025</w:t>
      </w:r>
      <w:r w:rsidRPr="00F7584B">
        <w:rPr>
          <w:rFonts w:ascii="Palatino Linotype" w:hAnsi="Palatino Linotype"/>
          <w:color w:val="000000"/>
        </w:rPr>
        <w:t xml:space="preserve">, Cuarta Sesión Ordinaria de fecha 27 de enero de 2025, firmado por el Comité de Transparencia, mediante el cual, se aprobó la clasificación de la clave de elector del representante legal. </w:t>
      </w:r>
    </w:p>
    <w:p w14:paraId="5D1C3169" w14:textId="77777777" w:rsidR="00F7584B" w:rsidRDefault="00F7584B" w:rsidP="00F7584B">
      <w:pPr>
        <w:spacing w:line="360" w:lineRule="auto"/>
        <w:contextualSpacing/>
        <w:jc w:val="both"/>
        <w:rPr>
          <w:rFonts w:ascii="Palatino Linotype" w:hAnsi="Palatino Linotype"/>
          <w:color w:val="000000"/>
        </w:rPr>
      </w:pPr>
    </w:p>
    <w:p w14:paraId="1A80EBC0" w14:textId="570E5DF3" w:rsidR="00F7584B" w:rsidRDefault="00F7584B" w:rsidP="00F7584B">
      <w:pPr>
        <w:spacing w:line="360" w:lineRule="auto"/>
        <w:contextualSpacing/>
        <w:jc w:val="both"/>
        <w:rPr>
          <w:rFonts w:ascii="Palatino Linotype" w:hAnsi="Palatino Linotype"/>
          <w:color w:val="000000"/>
        </w:rPr>
      </w:pPr>
      <w:r>
        <w:rPr>
          <w:rFonts w:ascii="Palatino Linotype" w:hAnsi="Palatino Linotype"/>
          <w:color w:val="000000"/>
        </w:rPr>
        <w:t>Asimismo</w:t>
      </w:r>
      <w:r w:rsidRPr="00F7584B">
        <w:rPr>
          <w:rFonts w:ascii="Palatino Linotype" w:hAnsi="Palatino Linotype"/>
          <w:color w:val="000000"/>
        </w:rPr>
        <w:t xml:space="preserve">, en relación a las facturas solicitadas, la Subtesorera de Egresos, con oficio número </w:t>
      </w:r>
      <w:r w:rsidRPr="00F7584B">
        <w:rPr>
          <w:rFonts w:ascii="Palatino Linotype" w:hAnsi="Palatino Linotype"/>
          <w:b/>
          <w:bCs/>
          <w:color w:val="000000"/>
        </w:rPr>
        <w:t>STE/075/2025</w:t>
      </w:r>
      <w:r w:rsidRPr="00F7584B">
        <w:rPr>
          <w:rFonts w:ascii="Palatino Linotype" w:hAnsi="Palatino Linotype"/>
          <w:color w:val="000000"/>
        </w:rPr>
        <w:t xml:space="preserve">, informó que, para el Ejercicio 2025 no se ha recibido documentación para trámite de pago por concepto de servicios para pautar contenido en redes sociales de la Administración 2025-2027; por lo que, respecta al Ejercicio 2024, de acuerdo al convenio de concertación referido con anterioridad, remitió copia de tres facturas relacionadas con dicho concepto.   </w:t>
      </w:r>
    </w:p>
    <w:p w14:paraId="2D0ACED5" w14:textId="77777777" w:rsidR="00F7584B" w:rsidRPr="00F7584B" w:rsidRDefault="00F7584B" w:rsidP="00F7584B">
      <w:pPr>
        <w:spacing w:line="360" w:lineRule="auto"/>
        <w:contextualSpacing/>
        <w:jc w:val="both"/>
        <w:rPr>
          <w:rFonts w:ascii="Palatino Linotype" w:hAnsi="Palatino Linotype"/>
          <w:color w:val="000000"/>
        </w:rPr>
      </w:pPr>
    </w:p>
    <w:p w14:paraId="04D5EE60" w14:textId="31DB0BC6" w:rsidR="00F7584B" w:rsidRDefault="00F7584B" w:rsidP="00F7584B">
      <w:pPr>
        <w:pStyle w:val="Prrafodelista"/>
        <w:spacing w:line="360" w:lineRule="auto"/>
        <w:ind w:left="0"/>
        <w:contextualSpacing/>
        <w:jc w:val="both"/>
        <w:rPr>
          <w:rFonts w:ascii="Palatino Linotype" w:hAnsi="Palatino Linotype"/>
          <w:color w:val="000000"/>
        </w:rPr>
      </w:pPr>
      <w:r>
        <w:rPr>
          <w:rFonts w:ascii="Palatino Linotype" w:hAnsi="Palatino Linotype"/>
          <w:color w:val="000000"/>
        </w:rPr>
        <w:t>Finalmente, m</w:t>
      </w:r>
      <w:r w:rsidRPr="00F7584B">
        <w:rPr>
          <w:rFonts w:ascii="Palatino Linotype" w:hAnsi="Palatino Linotype"/>
          <w:color w:val="000000"/>
        </w:rPr>
        <w:t xml:space="preserve">ediante el oficio número </w:t>
      </w:r>
      <w:r w:rsidRPr="00F7584B">
        <w:rPr>
          <w:rFonts w:ascii="Palatino Linotype" w:hAnsi="Palatino Linotype"/>
          <w:b/>
          <w:bCs/>
          <w:color w:val="000000"/>
        </w:rPr>
        <w:t>TM/445/2025</w:t>
      </w:r>
      <w:r w:rsidRPr="00F7584B">
        <w:rPr>
          <w:rFonts w:ascii="Palatino Linotype" w:hAnsi="Palatino Linotype"/>
          <w:color w:val="000000"/>
        </w:rPr>
        <w:t>, suscrito por el Tesorero Municipal, informó que, la partida que se afectó, fue la partida presupuestal 3611.</w:t>
      </w:r>
    </w:p>
    <w:p w14:paraId="0630F03F" w14:textId="77777777" w:rsidR="00F7584B" w:rsidRDefault="00F7584B" w:rsidP="0001213C">
      <w:pPr>
        <w:pStyle w:val="Prrafodelista"/>
        <w:spacing w:line="360" w:lineRule="auto"/>
        <w:ind w:left="0"/>
        <w:contextualSpacing/>
        <w:jc w:val="both"/>
        <w:rPr>
          <w:rFonts w:ascii="Palatino Linotype" w:hAnsi="Palatino Linotype"/>
          <w:color w:val="000000"/>
        </w:rPr>
      </w:pPr>
    </w:p>
    <w:p w14:paraId="394DD209" w14:textId="77777777" w:rsidR="00F7584B" w:rsidRDefault="00F7584B" w:rsidP="0001213C">
      <w:pPr>
        <w:pStyle w:val="Prrafodelista"/>
        <w:spacing w:line="360" w:lineRule="auto"/>
        <w:ind w:left="0"/>
        <w:contextualSpacing/>
        <w:jc w:val="both"/>
        <w:rPr>
          <w:rFonts w:ascii="Palatino Linotype" w:hAnsi="Palatino Linotype"/>
          <w:color w:val="000000"/>
        </w:rPr>
      </w:pPr>
    </w:p>
    <w:p w14:paraId="5B299621" w14:textId="1F842E4D" w:rsidR="00975A5E" w:rsidRDefault="00975A5E" w:rsidP="00975A5E">
      <w:pPr>
        <w:spacing w:line="360" w:lineRule="auto"/>
        <w:contextualSpacing/>
        <w:jc w:val="both"/>
        <w:rPr>
          <w:rFonts w:ascii="Palatino Linotype" w:hAnsi="Palatino Linotype" w:cs="Tahoma"/>
          <w:bCs/>
          <w:szCs w:val="22"/>
          <w:lang w:val="es-MX"/>
        </w:rPr>
      </w:pPr>
      <w:r w:rsidRPr="009B0627">
        <w:rPr>
          <w:rFonts w:ascii="Palatino Linotype" w:eastAsia="Calibri" w:hAnsi="Palatino Linotype" w:cs="Tahoma"/>
          <w:szCs w:val="22"/>
          <w:lang w:val="es-MX"/>
        </w:rPr>
        <w:lastRenderedPageBreak/>
        <w:t xml:space="preserve">Ahora bien, de las constancias que obran en el expediente </w:t>
      </w:r>
      <w:r w:rsidRPr="009B0627">
        <w:rPr>
          <w:rFonts w:ascii="Palatino Linotype" w:hAnsi="Palatino Linotype" w:cs="Tahoma"/>
          <w:bCs/>
          <w:iCs/>
          <w:szCs w:val="22"/>
          <w:lang w:val="es-MX"/>
        </w:rPr>
        <w:t xml:space="preserve">se logra vislumbrar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al</w:t>
      </w:r>
      <w:r w:rsidR="00253CAA">
        <w:rPr>
          <w:rFonts w:ascii="Palatino Linotype" w:hAnsi="Palatino Linotype" w:cs="Tahoma"/>
          <w:bCs/>
          <w:szCs w:val="22"/>
          <w:lang w:val="es-MX"/>
        </w:rPr>
        <w:t xml:space="preserve"> </w:t>
      </w:r>
      <w:r w:rsidR="00F7584B" w:rsidRPr="00F7584B">
        <w:rPr>
          <w:rFonts w:ascii="Palatino Linotype" w:hAnsi="Palatino Linotype" w:cs="Tahoma"/>
          <w:b/>
          <w:bCs/>
          <w:szCs w:val="22"/>
          <w:lang w:val="es-MX"/>
        </w:rPr>
        <w:t>Tesorero Municipal</w:t>
      </w:r>
      <w:r w:rsidR="00F7584B">
        <w:rPr>
          <w:rFonts w:ascii="Palatino Linotype" w:hAnsi="Palatino Linotype" w:cs="Tahoma"/>
          <w:b/>
          <w:bCs/>
          <w:szCs w:val="22"/>
          <w:lang w:val="es-MX"/>
        </w:rPr>
        <w:t xml:space="preserve"> </w:t>
      </w:r>
      <w:r w:rsidR="00F7584B">
        <w:rPr>
          <w:rFonts w:ascii="Palatino Linotype" w:hAnsi="Palatino Linotype" w:cs="Tahoma"/>
          <w:szCs w:val="22"/>
          <w:lang w:val="es-MX"/>
        </w:rPr>
        <w:t xml:space="preserve">y al </w:t>
      </w:r>
      <w:r w:rsidR="00F7584B" w:rsidRPr="00F7584B">
        <w:rPr>
          <w:rFonts w:ascii="Palatino Linotype" w:hAnsi="Palatino Linotype" w:cs="Tahoma"/>
          <w:b/>
          <w:bCs/>
          <w:szCs w:val="22"/>
          <w:lang w:val="es-MX"/>
        </w:rPr>
        <w:t>Oficial Mayor</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0FE81E69" w14:textId="77777777" w:rsidR="00276838" w:rsidRPr="001173FA" w:rsidRDefault="00276838" w:rsidP="00975A5E">
      <w:pPr>
        <w:spacing w:line="360" w:lineRule="auto"/>
        <w:contextualSpacing/>
        <w:jc w:val="both"/>
        <w:rPr>
          <w:rFonts w:ascii="Palatino Linotype" w:hAnsi="Palatino Linotype" w:cs="Tahoma"/>
          <w:bCs/>
          <w:szCs w:val="22"/>
          <w:lang w:val="es-MX" w:eastAsia="es-MX"/>
        </w:rPr>
      </w:pPr>
    </w:p>
    <w:p w14:paraId="65714D1F" w14:textId="77777777" w:rsidR="00975A5E" w:rsidRPr="009B0627" w:rsidRDefault="00975A5E" w:rsidP="00975A5E">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6A895FF" w14:textId="77777777" w:rsidR="00975A5E" w:rsidRPr="009B0627" w:rsidRDefault="00975A5E" w:rsidP="00975A5E">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4C8F3B84" w14:textId="77777777" w:rsidR="00975A5E" w:rsidRPr="009B0627" w:rsidRDefault="00975A5E" w:rsidP="00975A5E">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DEB15AA" w14:textId="77777777" w:rsidR="00975A5E" w:rsidRPr="009B0627" w:rsidRDefault="00975A5E" w:rsidP="00975A5E">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2EAAE503" w14:textId="26D98793" w:rsidR="00975A5E" w:rsidRDefault="00975A5E" w:rsidP="00516AC9">
      <w:pPr>
        <w:autoSpaceDE w:val="0"/>
        <w:autoSpaceDN w:val="0"/>
        <w:adjustRightInd w:val="0"/>
        <w:spacing w:line="360" w:lineRule="auto"/>
        <w:jc w:val="both"/>
        <w:rPr>
          <w:rFonts w:ascii="Palatino Linotype" w:hAnsi="Palatino Linotype" w:cs="Tahoma"/>
          <w:bCs/>
          <w:szCs w:val="22"/>
          <w:lang w:val="es-MX"/>
        </w:rPr>
      </w:pPr>
      <w:r w:rsidRPr="003073A7">
        <w:rPr>
          <w:rFonts w:ascii="Palatino Linotype" w:hAnsi="Palatino Linotype" w:cs="Tahoma"/>
          <w:bCs/>
          <w:szCs w:val="22"/>
          <w:lang w:val="es-MX"/>
        </w:rPr>
        <w:t xml:space="preserve">Así, a efecto de determinar si el </w:t>
      </w:r>
      <w:r w:rsidRPr="003073A7">
        <w:rPr>
          <w:rFonts w:ascii="Palatino Linotype" w:hAnsi="Palatino Linotype" w:cs="Tahoma"/>
          <w:b/>
          <w:bCs/>
          <w:szCs w:val="22"/>
          <w:lang w:val="es-MX"/>
        </w:rPr>
        <w:t>Sujeto Obligado</w:t>
      </w:r>
      <w:r w:rsidRPr="003073A7">
        <w:rPr>
          <w:rFonts w:ascii="Palatino Linotype" w:hAnsi="Palatino Linotype" w:cs="Tahoma"/>
          <w:bCs/>
          <w:szCs w:val="22"/>
          <w:lang w:val="es-MX"/>
        </w:rPr>
        <w:t xml:space="preserve"> cumplió con el procedimiento de búsqueda, resulta necesario traer a estudio </w:t>
      </w:r>
      <w:r w:rsidR="00253CAA">
        <w:rPr>
          <w:rFonts w:ascii="Palatino Linotype" w:hAnsi="Palatino Linotype" w:cs="Tahoma"/>
          <w:bCs/>
          <w:szCs w:val="22"/>
          <w:lang w:val="es-MX"/>
        </w:rPr>
        <w:t xml:space="preserve">el </w:t>
      </w:r>
      <w:r w:rsidR="00516AC9" w:rsidRPr="00516AC9">
        <w:rPr>
          <w:rFonts w:ascii="Palatino Linotype" w:hAnsi="Palatino Linotype" w:cs="Tahoma"/>
          <w:bCs/>
          <w:szCs w:val="22"/>
          <w:lang w:val="es-MX"/>
        </w:rPr>
        <w:t xml:space="preserve">Reglamento Interno </w:t>
      </w:r>
      <w:r w:rsidR="00516AC9">
        <w:rPr>
          <w:rFonts w:ascii="Palatino Linotype" w:hAnsi="Palatino Linotype" w:cs="Tahoma"/>
          <w:bCs/>
          <w:szCs w:val="22"/>
          <w:lang w:val="es-MX"/>
        </w:rPr>
        <w:t>d</w:t>
      </w:r>
      <w:r w:rsidR="00516AC9" w:rsidRPr="00516AC9">
        <w:rPr>
          <w:rFonts w:ascii="Palatino Linotype" w:hAnsi="Palatino Linotype" w:cs="Tahoma"/>
          <w:bCs/>
          <w:szCs w:val="22"/>
          <w:lang w:val="es-MX"/>
        </w:rPr>
        <w:t xml:space="preserve">e </w:t>
      </w:r>
      <w:r w:rsidR="00516AC9">
        <w:rPr>
          <w:rFonts w:ascii="Palatino Linotype" w:hAnsi="Palatino Linotype" w:cs="Tahoma"/>
          <w:bCs/>
          <w:szCs w:val="22"/>
          <w:lang w:val="es-MX"/>
        </w:rPr>
        <w:t>l</w:t>
      </w:r>
      <w:r w:rsidR="00516AC9" w:rsidRPr="00516AC9">
        <w:rPr>
          <w:rFonts w:ascii="Palatino Linotype" w:hAnsi="Palatino Linotype" w:cs="Tahoma"/>
          <w:bCs/>
          <w:szCs w:val="22"/>
          <w:lang w:val="es-MX"/>
        </w:rPr>
        <w:t xml:space="preserve">a Administración Pública Municipal </w:t>
      </w:r>
      <w:r w:rsidR="00516AC9">
        <w:rPr>
          <w:rFonts w:ascii="Palatino Linotype" w:hAnsi="Palatino Linotype" w:cs="Tahoma"/>
          <w:bCs/>
          <w:szCs w:val="22"/>
          <w:lang w:val="es-MX"/>
        </w:rPr>
        <w:t>d</w:t>
      </w:r>
      <w:r w:rsidR="00516AC9" w:rsidRPr="00516AC9">
        <w:rPr>
          <w:rFonts w:ascii="Palatino Linotype" w:hAnsi="Palatino Linotype" w:cs="Tahoma"/>
          <w:bCs/>
          <w:szCs w:val="22"/>
          <w:lang w:val="es-MX"/>
        </w:rPr>
        <w:t xml:space="preserve">e Tlalnepantla </w:t>
      </w:r>
      <w:r w:rsidR="00516AC9">
        <w:rPr>
          <w:rFonts w:ascii="Palatino Linotype" w:hAnsi="Palatino Linotype" w:cs="Tahoma"/>
          <w:bCs/>
          <w:szCs w:val="22"/>
          <w:lang w:val="es-MX"/>
        </w:rPr>
        <w:t>d</w:t>
      </w:r>
      <w:r w:rsidR="00516AC9" w:rsidRPr="00516AC9">
        <w:rPr>
          <w:rFonts w:ascii="Palatino Linotype" w:hAnsi="Palatino Linotype" w:cs="Tahoma"/>
          <w:bCs/>
          <w:szCs w:val="22"/>
          <w:lang w:val="es-MX"/>
        </w:rPr>
        <w:t>e Baz, México</w:t>
      </w:r>
      <w:r w:rsidRPr="003073A7">
        <w:rPr>
          <w:rFonts w:ascii="Palatino Linotype" w:hAnsi="Palatino Linotype" w:cs="Tahoma"/>
          <w:bCs/>
          <w:szCs w:val="22"/>
          <w:lang w:val="es-MX"/>
        </w:rPr>
        <w:t xml:space="preserve">, en el cual se establece </w:t>
      </w:r>
      <w:r w:rsidR="0090296A">
        <w:rPr>
          <w:rFonts w:ascii="Palatino Linotype" w:hAnsi="Palatino Linotype" w:cs="Tahoma"/>
          <w:bCs/>
          <w:szCs w:val="22"/>
          <w:lang w:val="es-MX"/>
        </w:rPr>
        <w:t>en su</w:t>
      </w:r>
      <w:r w:rsidR="00253CAA">
        <w:rPr>
          <w:rFonts w:ascii="Palatino Linotype" w:hAnsi="Palatino Linotype" w:cs="Tahoma"/>
          <w:bCs/>
          <w:szCs w:val="22"/>
          <w:lang w:val="es-MX"/>
        </w:rPr>
        <w:t>s</w:t>
      </w:r>
      <w:r w:rsidR="0090296A">
        <w:rPr>
          <w:rFonts w:ascii="Palatino Linotype" w:hAnsi="Palatino Linotype" w:cs="Tahoma"/>
          <w:bCs/>
          <w:szCs w:val="22"/>
          <w:lang w:val="es-MX"/>
        </w:rPr>
        <w:t xml:space="preserve"> artículo</w:t>
      </w:r>
      <w:r w:rsidR="00253CAA">
        <w:rPr>
          <w:rFonts w:ascii="Palatino Linotype" w:hAnsi="Palatino Linotype" w:cs="Tahoma"/>
          <w:bCs/>
          <w:szCs w:val="22"/>
          <w:lang w:val="es-MX"/>
        </w:rPr>
        <w:t>s</w:t>
      </w:r>
      <w:r w:rsidR="0090296A">
        <w:rPr>
          <w:rFonts w:ascii="Palatino Linotype" w:hAnsi="Palatino Linotype" w:cs="Tahoma"/>
          <w:bCs/>
          <w:szCs w:val="22"/>
          <w:lang w:val="es-MX"/>
        </w:rPr>
        <w:t xml:space="preserve"> </w:t>
      </w:r>
      <w:r w:rsidR="00516AC9">
        <w:rPr>
          <w:rFonts w:ascii="Palatino Linotype" w:hAnsi="Palatino Linotype" w:cs="Tahoma"/>
          <w:bCs/>
          <w:szCs w:val="22"/>
          <w:lang w:val="es-MX"/>
        </w:rPr>
        <w:t>120</w:t>
      </w:r>
      <w:r w:rsidR="00253CAA">
        <w:rPr>
          <w:rFonts w:ascii="Palatino Linotype" w:hAnsi="Palatino Linotype" w:cs="Tahoma"/>
          <w:bCs/>
          <w:szCs w:val="22"/>
          <w:lang w:val="es-MX"/>
        </w:rPr>
        <w:t xml:space="preserve"> y </w:t>
      </w:r>
      <w:r w:rsidR="00516AC9">
        <w:rPr>
          <w:rFonts w:ascii="Palatino Linotype" w:hAnsi="Palatino Linotype" w:cs="Tahoma"/>
          <w:bCs/>
          <w:szCs w:val="22"/>
          <w:lang w:val="es-MX"/>
        </w:rPr>
        <w:t>323</w:t>
      </w:r>
      <w:r w:rsidR="0090296A">
        <w:rPr>
          <w:rFonts w:ascii="Palatino Linotype" w:hAnsi="Palatino Linotype" w:cs="Tahoma"/>
          <w:bCs/>
          <w:szCs w:val="22"/>
          <w:lang w:val="es-MX"/>
        </w:rPr>
        <w:t xml:space="preserve">, las atribuciones de </w:t>
      </w:r>
      <w:r w:rsidR="00516AC9">
        <w:rPr>
          <w:rFonts w:ascii="Palatino Linotype" w:hAnsi="Palatino Linotype" w:cs="Tahoma"/>
          <w:bCs/>
          <w:szCs w:val="22"/>
          <w:lang w:val="es-MX"/>
        </w:rPr>
        <w:t>dichas Unidades Administrativas</w:t>
      </w:r>
      <w:r w:rsidR="00712FBB">
        <w:rPr>
          <w:rFonts w:ascii="Palatino Linotype" w:hAnsi="Palatino Linotype" w:cs="Tahoma"/>
          <w:bCs/>
          <w:szCs w:val="22"/>
          <w:lang w:val="es-MX"/>
        </w:rPr>
        <w:t xml:space="preserve">, </w:t>
      </w:r>
      <w:r w:rsidR="0090296A">
        <w:rPr>
          <w:rFonts w:ascii="Palatino Linotype" w:hAnsi="Palatino Linotype" w:cs="Tahoma"/>
          <w:bCs/>
          <w:szCs w:val="22"/>
          <w:lang w:val="es-MX"/>
        </w:rPr>
        <w:t>de conformidad con lo siguiente</w:t>
      </w:r>
      <w:r w:rsidRPr="003073A7">
        <w:rPr>
          <w:rFonts w:ascii="Palatino Linotype" w:hAnsi="Palatino Linotype" w:cs="Tahoma"/>
          <w:bCs/>
          <w:szCs w:val="22"/>
          <w:lang w:val="es-MX"/>
        </w:rPr>
        <w:t>:</w:t>
      </w:r>
    </w:p>
    <w:p w14:paraId="5E235956" w14:textId="77777777" w:rsidR="00F96BAE" w:rsidRDefault="00F96BAE" w:rsidP="00975A5E">
      <w:pPr>
        <w:autoSpaceDE w:val="0"/>
        <w:autoSpaceDN w:val="0"/>
        <w:adjustRightInd w:val="0"/>
        <w:spacing w:line="360" w:lineRule="auto"/>
        <w:jc w:val="both"/>
        <w:rPr>
          <w:rFonts w:ascii="Palatino Linotype" w:hAnsi="Palatino Linotype" w:cs="Tahoma"/>
          <w:bCs/>
          <w:szCs w:val="22"/>
          <w:lang w:val="es-MX"/>
        </w:rPr>
      </w:pPr>
    </w:p>
    <w:p w14:paraId="6B507A84" w14:textId="77777777"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
          <w:i/>
          <w:iCs/>
          <w:sz w:val="22"/>
          <w:szCs w:val="22"/>
        </w:rPr>
        <w:t>ARTÍCULO 120.</w:t>
      </w:r>
      <w:r w:rsidRPr="00516AC9">
        <w:rPr>
          <w:rFonts w:ascii="Palatino Linotype" w:hAnsi="Palatino Linotype" w:cs="Tahoma"/>
          <w:bCs/>
          <w:i/>
          <w:iCs/>
          <w:sz w:val="22"/>
          <w:szCs w:val="22"/>
        </w:rPr>
        <w:t xml:space="preserve"> La Tesorería Municipal, además de cumplir con los requisitos y atribuciones que establece la LOMEM, tendrá las siguientes facultades y obligaciones: </w:t>
      </w:r>
    </w:p>
    <w:p w14:paraId="01B752B4" w14:textId="77777777"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lastRenderedPageBreak/>
        <w:t xml:space="preserve">I. Asesorar a las dependencias de la Administración Pública Municipal, en la formulación y programación de su anteproyecto de presupuesto de egresos de cada ejercicio fiscal; </w:t>
      </w:r>
    </w:p>
    <w:p w14:paraId="70B81EBB" w14:textId="77777777"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 xml:space="preserve">II. Integrar, revisar y validar conjuntamente con la Secretaría Técnica, los anteproyectos de presupuesto con base en los resultados de las dependencias municipales; </w:t>
      </w:r>
    </w:p>
    <w:p w14:paraId="5F483B42" w14:textId="77777777"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 xml:space="preserve">III. Consolidar los proyectos de presupuestos de las diferentes dependencias de la Administración Pública Municipal y someterlos al Ayuntamiento para su análisis, estudio y eventual aprobación; </w:t>
      </w:r>
    </w:p>
    <w:p w14:paraId="5C10171C" w14:textId="77777777"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 xml:space="preserve">IV. Proponer al Ayuntamiento por conducto del o de la titular de la Presidencia Municipal, las políticas, acciones, estrategias y campañas necesarias y pertinentes para fomentar el incremento de los ingresos de la Hacienda Pública Municipal; </w:t>
      </w:r>
    </w:p>
    <w:p w14:paraId="7CB928F6" w14:textId="66656CE9"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 xml:space="preserve">V. Mejorar permanentemente los sistemas de recaudación para el fortalecimiento de la Hacienda Municipal; </w:t>
      </w:r>
    </w:p>
    <w:p w14:paraId="4E556537" w14:textId="77777777"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 xml:space="preserve">VI. Integrar y presentar al Ayuntamiento el proyecto de presupuesto de egresos municipales para su aprobación en Sesión del Ayuntamiento, con base en los ingresos presupuestados para el ejercicio que corresponda, vigilando que se ajuste a la normatividad aplicable; </w:t>
      </w:r>
    </w:p>
    <w:p w14:paraId="78D7893D" w14:textId="77777777"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 xml:space="preserve">VII. Diseñar, aprobar y actualizar las formas oficiales de manifestaciones, avisos, declaraciones y demás documentos requeridos; </w:t>
      </w:r>
    </w:p>
    <w:p w14:paraId="6FFAD347" w14:textId="77777777"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 xml:space="preserve">VIII. Presentar anualmente al Ayuntamiento por conducto del o de la titular de la Presidencia Municipal, un informe de la situación contable financiera de la Tesorería; </w:t>
      </w:r>
    </w:p>
    <w:p w14:paraId="77E65618" w14:textId="77777777"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 xml:space="preserve">IX. Elaborar políticas, lineamientos y normas para la instrumentación, implementación y modernización del proceso de planeación, programación, </w:t>
      </w:r>
      <w:proofErr w:type="spellStart"/>
      <w:r w:rsidRPr="00516AC9">
        <w:rPr>
          <w:rFonts w:ascii="Palatino Linotype" w:hAnsi="Palatino Linotype" w:cs="Tahoma"/>
          <w:bCs/>
          <w:i/>
          <w:iCs/>
          <w:sz w:val="22"/>
          <w:szCs w:val="22"/>
        </w:rPr>
        <w:t>presupuestación</w:t>
      </w:r>
      <w:proofErr w:type="spellEnd"/>
      <w:r w:rsidRPr="00516AC9">
        <w:rPr>
          <w:rFonts w:ascii="Palatino Linotype" w:hAnsi="Palatino Linotype" w:cs="Tahoma"/>
          <w:bCs/>
          <w:i/>
          <w:iCs/>
          <w:sz w:val="22"/>
          <w:szCs w:val="22"/>
        </w:rPr>
        <w:t xml:space="preserve">, control y evaluación del gasto público municipal, acorde con lo establecido en el Plan de Desarrollo Municipal y los programas que deriven de éste; </w:t>
      </w:r>
    </w:p>
    <w:p w14:paraId="2FC5179A" w14:textId="048831AC"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lang w:val="es-MX"/>
        </w:rPr>
      </w:pPr>
      <w:r w:rsidRPr="00516AC9">
        <w:rPr>
          <w:rFonts w:ascii="Palatino Linotype" w:hAnsi="Palatino Linotype" w:cs="Tahoma"/>
          <w:bCs/>
          <w:i/>
          <w:iCs/>
          <w:sz w:val="22"/>
          <w:szCs w:val="22"/>
        </w:rPr>
        <w:t>X. Establecer lineamientos para la instrumentación de sistemas de estadística e informática en las dependencias de la Administración Pública Municipal, en materia hacendaria y de recaudación;</w:t>
      </w:r>
    </w:p>
    <w:p w14:paraId="3DD47A0F"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XI. Someter a consideración del Ayuntamiento las normas que sobre subsidios conceda a entidades, instituciones públicas, privadas, a los particulares y población vulnerable, atendiendo a las disposiciones jurídicas aplicables; </w:t>
      </w:r>
    </w:p>
    <w:p w14:paraId="1C18F41A"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lastRenderedPageBreak/>
        <w:t xml:space="preserve">XII. </w:t>
      </w:r>
      <w:r w:rsidRPr="00A63A94">
        <w:rPr>
          <w:rFonts w:ascii="Palatino Linotype" w:hAnsi="Palatino Linotype"/>
          <w:b/>
          <w:bCs/>
          <w:i/>
          <w:iCs/>
          <w:sz w:val="22"/>
          <w:szCs w:val="22"/>
          <w:u w:val="single"/>
        </w:rPr>
        <w:t>Controlar y evaluar el ejercicio de la inversión y gasto público municipal, observando su congruencia con los objetivos y metas señaladas en el Plan de Desarrollo Municipal y la normatividad aplicable</w:t>
      </w:r>
      <w:r w:rsidRPr="00516AC9">
        <w:rPr>
          <w:rFonts w:ascii="Palatino Linotype" w:hAnsi="Palatino Linotype"/>
          <w:i/>
          <w:iCs/>
          <w:sz w:val="22"/>
          <w:szCs w:val="22"/>
        </w:rPr>
        <w:t xml:space="preserve">; </w:t>
      </w:r>
    </w:p>
    <w:p w14:paraId="70DBC060"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XIII. Integrar los calendarios de gasto, ministraciones, ampliaciones y reducciones líquidas, liberaciones, retenciones, recalendarizaciones y traspasos presupuestarios de las dependencias de la Administración Pública Municipal, sobre la base de análisis y estudios técnicos y la disponibilidad financiera; </w:t>
      </w:r>
    </w:p>
    <w:p w14:paraId="39281EB8"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XIV. Preparar y emitir opinión con relación a los convenios, contratos y autorizaciones que celebre el Ayuntamiento cuando se refieran a asuntos de su competencia; </w:t>
      </w:r>
    </w:p>
    <w:p w14:paraId="1B5546BD" w14:textId="3187933B"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XV. Resolver y gestionar las solicitudes de devolución, compensación, prórroga, condonación, exenciones y subsidios; </w:t>
      </w:r>
    </w:p>
    <w:p w14:paraId="561CDC6E"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XVI. Solicitar la aprobación del Ayuntamiento para la celebración de campañas en materia de estímulos fiscales; </w:t>
      </w:r>
    </w:p>
    <w:p w14:paraId="619CA394"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XVII. Vigilar el correcto funcionamiento del sistema para la tramitación y pago del impuesto sobre adquisición de inmuebles y otras operaciones traslativas de dominio, que se realicen vía internet; </w:t>
      </w:r>
    </w:p>
    <w:p w14:paraId="11CCD45E"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XVIII. Firmar los certificados de pago de impuesto predial y en su caso, de aportaciones para mejoras, en forma autógrafa o a través de la firma digital emitida por la Dirección de Servicios Estatales de Informática; </w:t>
      </w:r>
    </w:p>
    <w:p w14:paraId="4E484B0F"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XIX. Imponer las sanciones que correspondan por infracciones a las disposiciones fiscales y, en su caso, ordenar la aplicación del procedimiento administrativo de ejecución; </w:t>
      </w:r>
    </w:p>
    <w:p w14:paraId="640524CA"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XX. Gestionar y administrar las cantidades que le correspondan al Municipio, derivadas de los convenios con la Federación y el Estado, en los términos de la Ley de Coordinación Fiscal, convenios de colaboración administrativa y demás ordenamientos legales; </w:t>
      </w:r>
    </w:p>
    <w:p w14:paraId="7BF277F1" w14:textId="1FF062A5"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XXI. Resolver a través de la unidad administrativa competente, las consultas que en materia de impuestos o derechos realicen los contribuyentes; </w:t>
      </w:r>
    </w:p>
    <w:p w14:paraId="0FE88407"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XXII. Emitir y firmar los nombramientos del personal que se desempeñará como notificador ejecutor; </w:t>
      </w:r>
    </w:p>
    <w:p w14:paraId="1F9532B4"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XXIII. Determinar, previo acuerdo del Ayuntamiento, las reducciones, diferimientos o cancelaciones de programas, proyectos y conceptos de gasto de las dependencias de la Administración Pública Municipal, en coordinación con la Secretaría Técnica, cuando </w:t>
      </w:r>
      <w:r w:rsidRPr="00516AC9">
        <w:rPr>
          <w:rFonts w:ascii="Palatino Linotype" w:hAnsi="Palatino Linotype"/>
          <w:i/>
          <w:iCs/>
          <w:sz w:val="22"/>
          <w:szCs w:val="22"/>
        </w:rPr>
        <w:lastRenderedPageBreak/>
        <w:t xml:space="preserve">represente la posibilidad de obtener ahorros en función de la productividad y eficiencia de estas, cuando dejen de cumplir sus propósitos, o en el caso de situaciones supervenientes; </w:t>
      </w:r>
    </w:p>
    <w:p w14:paraId="1CB4EE3F"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XXIV. Dirigir y supervisar las actividades del Catastro Municipal; </w:t>
      </w:r>
    </w:p>
    <w:p w14:paraId="14FBE2C9" w14:textId="77777777"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XXV. Proponer al Ayuntamiento a través del o de la titular de la Presidencia Municipal, la liquidación, venta, fusión, extinción de entidades de la Administración Pública Municipal; </w:t>
      </w:r>
    </w:p>
    <w:p w14:paraId="13E63149" w14:textId="00FD6AEE"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XXVI. Impulsar la capacitación, actualización y certificación de los funcionarios y empleados de la Tesorería; </w:t>
      </w:r>
    </w:p>
    <w:p w14:paraId="6AE99777" w14:textId="1E649649" w:rsidR="00F96BAE"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XXVII. Otorgar subsidios en multas, recargos y accesorios derivados de créditos fiscales con la finalidad de incentivar la disminución del rezago hacendario;</w:t>
      </w:r>
    </w:p>
    <w:p w14:paraId="426C8AE9" w14:textId="6424980A" w:rsidR="0090296A" w:rsidRPr="00516AC9" w:rsidRDefault="00F96BAE"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 XXVIII. Rendir de manera mensual y pública el estado que guarda la Hacienda Pública Municipal;</w:t>
      </w:r>
    </w:p>
    <w:p w14:paraId="3D96B421" w14:textId="77777777"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 xml:space="preserve">XXIX. Integrar y presentar al Ayuntamiento el Programa Financiero Trianual a que se refiere la LOMEM; </w:t>
      </w:r>
    </w:p>
    <w:p w14:paraId="5FAB00CA" w14:textId="3E4A25BE"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 xml:space="preserve">XXX. Integrar en coordinación con la Secretaría Técnica el reporte trimestral de los dictámenes de reconducción y actualización programática-presupuestal, requeridos por las dependencias municipales; </w:t>
      </w:r>
    </w:p>
    <w:p w14:paraId="7CEEA15A" w14:textId="77777777"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 xml:space="preserve">XXXI. </w:t>
      </w:r>
      <w:r w:rsidRPr="00A63A94">
        <w:rPr>
          <w:rFonts w:ascii="Palatino Linotype" w:hAnsi="Palatino Linotype" w:cs="Tahoma"/>
          <w:b/>
          <w:i/>
          <w:iCs/>
          <w:sz w:val="22"/>
          <w:szCs w:val="22"/>
          <w:u w:val="single"/>
        </w:rPr>
        <w:t>Formular los calendarios de pagos a proveedores, prestadores de servicios, contratistas u otros, con base en la disponibilidad financiera y el flujo de efectivo</w:t>
      </w:r>
      <w:r w:rsidRPr="00516AC9">
        <w:rPr>
          <w:rFonts w:ascii="Palatino Linotype" w:hAnsi="Palatino Linotype" w:cs="Tahoma"/>
          <w:bCs/>
          <w:i/>
          <w:iCs/>
          <w:sz w:val="22"/>
          <w:szCs w:val="22"/>
        </w:rPr>
        <w:t xml:space="preserve">; </w:t>
      </w:r>
    </w:p>
    <w:p w14:paraId="436775C9" w14:textId="77777777"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 xml:space="preserve">XXXII. Expedir copias certificadas de los documentos a su cuidado, previo requerimiento o bien en cumplimiento del ejercicio de sus funciones; y </w:t>
      </w:r>
    </w:p>
    <w:p w14:paraId="666F53A8" w14:textId="69B0EC55" w:rsidR="00F96BAE" w:rsidRPr="00516AC9" w:rsidRDefault="00F96BAE"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XXXIII. Las demás que les confieran las leyes y reglamentos en la materia.</w:t>
      </w:r>
    </w:p>
    <w:p w14:paraId="390DC4E4" w14:textId="7D57DE09" w:rsidR="00516AC9" w:rsidRPr="00516AC9" w:rsidRDefault="00516AC9" w:rsidP="00516AC9">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cs="Tahoma"/>
          <w:bCs/>
          <w:i/>
          <w:iCs/>
          <w:sz w:val="22"/>
          <w:szCs w:val="22"/>
        </w:rPr>
        <w:t>(…)</w:t>
      </w:r>
    </w:p>
    <w:p w14:paraId="0D310F9B" w14:textId="775419EC" w:rsidR="00516AC9" w:rsidRPr="00516AC9" w:rsidRDefault="00516AC9" w:rsidP="00A63A94">
      <w:pPr>
        <w:autoSpaceDE w:val="0"/>
        <w:autoSpaceDN w:val="0"/>
        <w:adjustRightInd w:val="0"/>
        <w:spacing w:after="240"/>
        <w:ind w:left="567" w:right="616"/>
        <w:jc w:val="center"/>
        <w:rPr>
          <w:rFonts w:ascii="Palatino Linotype" w:hAnsi="Palatino Linotype"/>
          <w:b/>
          <w:bCs/>
          <w:i/>
          <w:iCs/>
          <w:sz w:val="22"/>
          <w:szCs w:val="22"/>
          <w:u w:val="thick"/>
        </w:rPr>
      </w:pPr>
      <w:r w:rsidRPr="00516AC9">
        <w:rPr>
          <w:rFonts w:ascii="Palatino Linotype" w:hAnsi="Palatino Linotype"/>
          <w:b/>
          <w:bCs/>
          <w:i/>
          <w:iCs/>
          <w:sz w:val="22"/>
          <w:szCs w:val="22"/>
          <w:u w:val="thick"/>
        </w:rPr>
        <w:t>DE LA OFICIALÍA MAYOR</w:t>
      </w:r>
    </w:p>
    <w:p w14:paraId="1268A859" w14:textId="77777777"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b/>
          <w:bCs/>
          <w:i/>
          <w:iCs/>
          <w:sz w:val="22"/>
          <w:szCs w:val="22"/>
        </w:rPr>
        <w:t xml:space="preserve">ARTÍCULO 323. </w:t>
      </w:r>
      <w:r w:rsidRPr="00516AC9">
        <w:rPr>
          <w:rFonts w:ascii="Palatino Linotype" w:hAnsi="Palatino Linotype"/>
          <w:i/>
          <w:iCs/>
          <w:sz w:val="22"/>
          <w:szCs w:val="22"/>
        </w:rPr>
        <w:t xml:space="preserve">Son facultades y obligaciones de la Oficialía Mayor, las siguientes: </w:t>
      </w:r>
    </w:p>
    <w:p w14:paraId="5FF1B1F7" w14:textId="721DD48B"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I. Vigilar el cumplimiento de las disposiciones legales que regulen las relaciones entre las Dependencias de la Administración Pública Municipal y sus servidores públicos;</w:t>
      </w:r>
    </w:p>
    <w:p w14:paraId="3A81268B" w14:textId="1CF75E04"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II. Poner a consideración del Presidente Municipal, los nombramientos, sueldos, renuncias, licencias y jubilaciones de los servidores públicos de la Administración Pública, atendiendo </w:t>
      </w:r>
      <w:r w:rsidRPr="00516AC9">
        <w:rPr>
          <w:rFonts w:ascii="Palatino Linotype" w:hAnsi="Palatino Linotype"/>
          <w:i/>
          <w:iCs/>
          <w:sz w:val="22"/>
          <w:szCs w:val="22"/>
        </w:rPr>
        <w:lastRenderedPageBreak/>
        <w:t>a la normatividad aplicable, con excepción de aquellos servidores públicos cuyo nombramiento sea determinado de manera distinta por otras disposiciones jurídicas vigentes;</w:t>
      </w:r>
    </w:p>
    <w:p w14:paraId="168AF8D8" w14:textId="354873D8"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lang w:val="es-MX"/>
        </w:rPr>
      </w:pPr>
      <w:r w:rsidRPr="00516AC9">
        <w:rPr>
          <w:rFonts w:ascii="Palatino Linotype" w:hAnsi="Palatino Linotype"/>
          <w:i/>
          <w:iCs/>
          <w:sz w:val="22"/>
          <w:szCs w:val="22"/>
          <w:lang w:val="es-MX"/>
        </w:rPr>
        <w:t xml:space="preserve">III. </w:t>
      </w:r>
      <w:r w:rsidRPr="00516AC9">
        <w:rPr>
          <w:rFonts w:ascii="Palatino Linotype" w:hAnsi="Palatino Linotype"/>
          <w:i/>
          <w:iCs/>
          <w:sz w:val="22"/>
          <w:szCs w:val="22"/>
        </w:rPr>
        <w:t>Firmar las credenciales y/o gafetes de identificación de los servidores públicos municipales, con excepción de los que se encuentren al servicio de las Entidades;</w:t>
      </w:r>
    </w:p>
    <w:p w14:paraId="7E7EE3C4" w14:textId="4DC4EE88"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lang w:val="es-MX"/>
        </w:rPr>
      </w:pPr>
      <w:r w:rsidRPr="00516AC9">
        <w:rPr>
          <w:rFonts w:ascii="Palatino Linotype" w:hAnsi="Palatino Linotype"/>
          <w:i/>
          <w:iCs/>
          <w:sz w:val="22"/>
          <w:szCs w:val="22"/>
          <w:lang w:val="es-MX"/>
        </w:rPr>
        <w:t xml:space="preserve">IV. </w:t>
      </w:r>
      <w:r w:rsidRPr="00516AC9">
        <w:rPr>
          <w:rFonts w:ascii="Palatino Linotype" w:hAnsi="Palatino Linotype"/>
          <w:i/>
          <w:iCs/>
          <w:sz w:val="22"/>
          <w:szCs w:val="22"/>
        </w:rPr>
        <w:t>Vigilar y supervisar que el escalafón de los servidores públicos se aplique correctamente y se mantenga actualizado;</w:t>
      </w:r>
    </w:p>
    <w:p w14:paraId="1D9EBEE1" w14:textId="74C2FA37"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lang w:val="es-MX"/>
        </w:rPr>
      </w:pPr>
      <w:r w:rsidRPr="00516AC9">
        <w:rPr>
          <w:rFonts w:ascii="Palatino Linotype" w:hAnsi="Palatino Linotype"/>
          <w:i/>
          <w:iCs/>
          <w:sz w:val="22"/>
          <w:szCs w:val="22"/>
          <w:lang w:val="es-MX"/>
        </w:rPr>
        <w:t xml:space="preserve">V. </w:t>
      </w:r>
      <w:r w:rsidRPr="00516AC9">
        <w:rPr>
          <w:rFonts w:ascii="Palatino Linotype" w:hAnsi="Palatino Linotype"/>
          <w:i/>
          <w:iCs/>
          <w:sz w:val="22"/>
          <w:szCs w:val="22"/>
        </w:rPr>
        <w:t>Vigilar y supervisar que se suministre o facilite oportunamente a las Dependencias, los elementos y materiales de trabajo necesarios para el desempeño de sus funciones;</w:t>
      </w:r>
    </w:p>
    <w:p w14:paraId="1607ADC8" w14:textId="63E36815"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lang w:val="es-MX"/>
        </w:rPr>
      </w:pPr>
      <w:r w:rsidRPr="00516AC9">
        <w:rPr>
          <w:rFonts w:ascii="Palatino Linotype" w:hAnsi="Palatino Linotype"/>
          <w:i/>
          <w:iCs/>
          <w:sz w:val="22"/>
          <w:szCs w:val="22"/>
          <w:lang w:val="es-MX"/>
        </w:rPr>
        <w:t xml:space="preserve">VI. </w:t>
      </w:r>
      <w:r w:rsidRPr="00516AC9">
        <w:rPr>
          <w:rFonts w:ascii="Palatino Linotype" w:hAnsi="Palatino Linotype"/>
          <w:i/>
          <w:iCs/>
          <w:sz w:val="22"/>
          <w:szCs w:val="22"/>
        </w:rPr>
        <w:t>Vigilar y supervisar que el personal que demanden las Dependencias sea debidamente seleccionado y contratado cuando así lo requieran las descripciones y especificaciones de los puestos, atendiendo a la normatividad aplicable;</w:t>
      </w:r>
    </w:p>
    <w:p w14:paraId="5C8350DD" w14:textId="721B7F09"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lang w:val="es-MX"/>
        </w:rPr>
      </w:pPr>
      <w:r w:rsidRPr="00516AC9">
        <w:rPr>
          <w:rFonts w:ascii="Palatino Linotype" w:hAnsi="Palatino Linotype"/>
          <w:i/>
          <w:iCs/>
          <w:sz w:val="22"/>
          <w:szCs w:val="22"/>
          <w:lang w:val="es-MX"/>
        </w:rPr>
        <w:t xml:space="preserve">VII. </w:t>
      </w:r>
      <w:r w:rsidRPr="00A63A94">
        <w:rPr>
          <w:rFonts w:ascii="Palatino Linotype" w:hAnsi="Palatino Linotype"/>
          <w:b/>
          <w:bCs/>
          <w:i/>
          <w:iCs/>
          <w:sz w:val="22"/>
          <w:szCs w:val="22"/>
          <w:u w:val="single"/>
        </w:rPr>
        <w:t>Supervisar que las adquisiciones y servicios, de las diversas Dependencias de la Administración Pública Municipal, cuenten con la suficiencia presupuestal necesaria, observando en todo tiempo las políticas de austeridad, racionalidad y disciplina presupuestaria</w:t>
      </w:r>
      <w:r w:rsidRPr="00516AC9">
        <w:rPr>
          <w:rFonts w:ascii="Palatino Linotype" w:hAnsi="Palatino Linotype"/>
          <w:i/>
          <w:iCs/>
          <w:sz w:val="22"/>
          <w:szCs w:val="22"/>
        </w:rPr>
        <w:t>;</w:t>
      </w:r>
    </w:p>
    <w:p w14:paraId="1290875F" w14:textId="70F6173E"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lang w:val="es-MX"/>
        </w:rPr>
      </w:pPr>
      <w:r w:rsidRPr="00D81FA1">
        <w:rPr>
          <w:rFonts w:ascii="Palatino Linotype" w:hAnsi="Palatino Linotype"/>
          <w:i/>
          <w:iCs/>
          <w:sz w:val="22"/>
          <w:szCs w:val="22"/>
          <w:lang w:val="es-MX"/>
        </w:rPr>
        <w:t xml:space="preserve">VIII. </w:t>
      </w:r>
      <w:r w:rsidRPr="00516AC9">
        <w:rPr>
          <w:rFonts w:ascii="Palatino Linotype" w:hAnsi="Palatino Linotype"/>
          <w:i/>
          <w:iCs/>
          <w:sz w:val="22"/>
          <w:szCs w:val="22"/>
        </w:rPr>
        <w:t>Vigilar la adecuada planeación y programación de la adquisición de bienes muebles y contratación de servicios que se requieran para el funcionamiento de la Administración Pública;</w:t>
      </w:r>
    </w:p>
    <w:p w14:paraId="71EB60FA" w14:textId="401D9A00" w:rsidR="00516AC9" w:rsidRPr="00A63A94" w:rsidRDefault="00516AC9" w:rsidP="00516AC9">
      <w:pPr>
        <w:autoSpaceDE w:val="0"/>
        <w:autoSpaceDN w:val="0"/>
        <w:adjustRightInd w:val="0"/>
        <w:spacing w:after="240"/>
        <w:ind w:left="567" w:right="616"/>
        <w:jc w:val="both"/>
        <w:rPr>
          <w:rFonts w:ascii="Palatino Linotype" w:hAnsi="Palatino Linotype"/>
          <w:b/>
          <w:bCs/>
          <w:i/>
          <w:iCs/>
          <w:sz w:val="22"/>
          <w:szCs w:val="22"/>
          <w:u w:val="single"/>
          <w:lang w:val="es-MX"/>
        </w:rPr>
      </w:pPr>
      <w:r w:rsidRPr="00516AC9">
        <w:rPr>
          <w:rFonts w:ascii="Palatino Linotype" w:hAnsi="Palatino Linotype"/>
          <w:i/>
          <w:iCs/>
          <w:sz w:val="22"/>
          <w:szCs w:val="22"/>
          <w:lang w:val="es-MX"/>
        </w:rPr>
        <w:t xml:space="preserve">IX. </w:t>
      </w:r>
      <w:r w:rsidRPr="00A63A94">
        <w:rPr>
          <w:rFonts w:ascii="Palatino Linotype" w:hAnsi="Palatino Linotype"/>
          <w:b/>
          <w:bCs/>
          <w:i/>
          <w:iCs/>
          <w:sz w:val="22"/>
          <w:szCs w:val="22"/>
          <w:u w:val="single"/>
        </w:rPr>
        <w:t>Supervisar la</w:t>
      </w:r>
      <w:r w:rsidRPr="00516AC9">
        <w:rPr>
          <w:rFonts w:ascii="Palatino Linotype" w:hAnsi="Palatino Linotype"/>
          <w:i/>
          <w:iCs/>
          <w:sz w:val="22"/>
          <w:szCs w:val="22"/>
        </w:rPr>
        <w:t xml:space="preserve"> adquisición de los bienes muebles y </w:t>
      </w:r>
      <w:r w:rsidRPr="00A63A94">
        <w:rPr>
          <w:rFonts w:ascii="Palatino Linotype" w:hAnsi="Palatino Linotype"/>
          <w:b/>
          <w:bCs/>
          <w:i/>
          <w:iCs/>
          <w:sz w:val="22"/>
          <w:szCs w:val="22"/>
          <w:u w:val="single"/>
        </w:rPr>
        <w:t>prestación de servicios, cuidando que los mismos cubran las necesidades para el buen funcionamiento del Ayuntamiento y sus Dependencias; así como vigilar que el procedimiento de adquisición se apegue a la normatividad establecida;</w:t>
      </w:r>
    </w:p>
    <w:p w14:paraId="5250CC33" w14:textId="5AF42526"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lang w:val="es-MX"/>
        </w:rPr>
      </w:pPr>
      <w:r w:rsidRPr="00516AC9">
        <w:rPr>
          <w:rFonts w:ascii="Palatino Linotype" w:hAnsi="Palatino Linotype"/>
          <w:i/>
          <w:iCs/>
          <w:sz w:val="22"/>
          <w:szCs w:val="22"/>
          <w:lang w:val="es-MX"/>
        </w:rPr>
        <w:t xml:space="preserve">X. </w:t>
      </w:r>
      <w:r w:rsidRPr="00516AC9">
        <w:rPr>
          <w:rFonts w:ascii="Palatino Linotype" w:hAnsi="Palatino Linotype"/>
          <w:i/>
          <w:iCs/>
          <w:sz w:val="22"/>
          <w:szCs w:val="22"/>
        </w:rPr>
        <w:t>Vigilar la constitución del comité de adquisiciones y de servicios en estricto apego a la Ley de Contratación Pública del Estado de México y Municipios;</w:t>
      </w:r>
    </w:p>
    <w:p w14:paraId="7BAB3305" w14:textId="1C09E9EA"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lang w:val="es-MX"/>
        </w:rPr>
      </w:pPr>
      <w:r w:rsidRPr="00516AC9">
        <w:rPr>
          <w:rFonts w:ascii="Palatino Linotype" w:hAnsi="Palatino Linotype"/>
          <w:i/>
          <w:iCs/>
          <w:sz w:val="22"/>
          <w:szCs w:val="22"/>
          <w:lang w:val="es-MX"/>
        </w:rPr>
        <w:t xml:space="preserve">XI. </w:t>
      </w:r>
      <w:r w:rsidRPr="00516AC9">
        <w:rPr>
          <w:rFonts w:ascii="Palatino Linotype" w:hAnsi="Palatino Linotype"/>
          <w:i/>
          <w:iCs/>
          <w:sz w:val="22"/>
          <w:szCs w:val="22"/>
        </w:rPr>
        <w:t>Supervisar y vigilar la administración y el control de los almacenes generales;</w:t>
      </w:r>
    </w:p>
    <w:p w14:paraId="06254AE4" w14:textId="435F73D3"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lang w:val="es-MX"/>
        </w:rPr>
        <w:t xml:space="preserve">XII. </w:t>
      </w:r>
      <w:r w:rsidRPr="00516AC9">
        <w:rPr>
          <w:rFonts w:ascii="Palatino Linotype" w:hAnsi="Palatino Linotype"/>
          <w:i/>
          <w:iCs/>
          <w:sz w:val="22"/>
          <w:szCs w:val="22"/>
        </w:rPr>
        <w:t>Supervisar y vigilar que el control, mantenimiento y adquisición del parque vehicular oficial, así como el suministro de energéticos, se realice de manera oportuna, apegándose a la normatividad establecida;</w:t>
      </w:r>
    </w:p>
    <w:p w14:paraId="3E180025" w14:textId="77777777"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XIII. Autorizar y difundir entre las diversas Dependencias, las políticas, manuales y procedimientos de carácter interno necesarios para la administración y el control eficiente de los recursos humanos, los recursos materiales, del parque vehicular, así como el </w:t>
      </w:r>
      <w:r w:rsidRPr="00516AC9">
        <w:rPr>
          <w:rFonts w:ascii="Palatino Linotype" w:hAnsi="Palatino Linotype"/>
          <w:i/>
          <w:iCs/>
          <w:sz w:val="22"/>
          <w:szCs w:val="22"/>
        </w:rPr>
        <w:lastRenderedPageBreak/>
        <w:t xml:space="preserve">mantenimiento adecuado y la conservación de los muebles e inmuebles propiedad municipal; </w:t>
      </w:r>
    </w:p>
    <w:p w14:paraId="24DE69DB" w14:textId="77777777"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XIV. </w:t>
      </w:r>
      <w:r w:rsidRPr="00A63A94">
        <w:rPr>
          <w:rFonts w:ascii="Palatino Linotype" w:hAnsi="Palatino Linotype"/>
          <w:b/>
          <w:bCs/>
          <w:i/>
          <w:iCs/>
          <w:sz w:val="22"/>
          <w:szCs w:val="22"/>
          <w:u w:val="single"/>
        </w:rPr>
        <w:t>Vigilar el cumplimiento de las disposiciones que en materia de adquisiciones y servicios establecen las leyes y reglamentos correspondientes</w:t>
      </w:r>
      <w:r w:rsidRPr="00516AC9">
        <w:rPr>
          <w:rFonts w:ascii="Palatino Linotype" w:hAnsi="Palatino Linotype"/>
          <w:i/>
          <w:iCs/>
          <w:sz w:val="22"/>
          <w:szCs w:val="22"/>
        </w:rPr>
        <w:t xml:space="preserve">; </w:t>
      </w:r>
    </w:p>
    <w:p w14:paraId="3C74AAAC" w14:textId="77777777"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XV. Establecer y vigilar las políticas, métodos y procedimientos de carácter interno necesarios para una eficiente administración de los servicios de energía eléctrica y comunicaciones, utilizados en la Administración Pública; </w:t>
      </w:r>
    </w:p>
    <w:p w14:paraId="203C9B83" w14:textId="77777777"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XVI. Vigilar y supervisar que se elaboren los perfiles y descripciones de puestos que se requieran en las diferentes Dependencias, a efecto de optimizar los recursos humanos; </w:t>
      </w:r>
    </w:p>
    <w:p w14:paraId="22EBE7EB" w14:textId="77777777"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XVII. Informar periódicamente al Presidente Municipal, sobre el resultado de la evaluación de las Unidades Administrativas de la Oficialía Mayor que hayan sido objeto de fiscalización; </w:t>
      </w:r>
    </w:p>
    <w:p w14:paraId="77343D8A" w14:textId="2A29DC0F"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XVIII. Revisar y autorizar el programa operativo anual de la Oficialía Mayor, conforme al Plan de Desarrollo Municipal y al presupuesto de egresos autorizado; </w:t>
      </w:r>
    </w:p>
    <w:p w14:paraId="097030D7" w14:textId="77777777"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XIX. Proponer al Ayuntamiento por conducto del Presidente Municipal, la creación de las Unidades Administrativas y órganos desconcentrados que resulten necesarios para el fiel desempeño de sus atribuciones; </w:t>
      </w:r>
    </w:p>
    <w:p w14:paraId="311B9D78" w14:textId="77777777"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XX. Revisar y autorizar el Manual de Organización de la Oficialía Mayor, así como los manuales de procedimientos y de operación que para su eficiente desempeño considere necesarios; </w:t>
      </w:r>
    </w:p>
    <w:p w14:paraId="18D76FED" w14:textId="77777777"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XXI. Formular respecto de los asuntos de su competencia, los proyectos de circulares, acuerdos y disposiciones de carácter administrativo, cuando la normatividad establecida así lo considere necesario, remitiéndolas para su consideración al Ayuntamiento, a través del Presidente Municipal; y </w:t>
      </w:r>
    </w:p>
    <w:p w14:paraId="076AA738" w14:textId="77777777" w:rsidR="00516AC9" w:rsidRPr="00516AC9" w:rsidRDefault="00516AC9" w:rsidP="00516AC9">
      <w:pPr>
        <w:autoSpaceDE w:val="0"/>
        <w:autoSpaceDN w:val="0"/>
        <w:adjustRightInd w:val="0"/>
        <w:spacing w:after="240"/>
        <w:ind w:left="567" w:right="616"/>
        <w:jc w:val="both"/>
        <w:rPr>
          <w:rFonts w:ascii="Palatino Linotype" w:hAnsi="Palatino Linotype"/>
          <w:i/>
          <w:iCs/>
          <w:sz w:val="22"/>
          <w:szCs w:val="22"/>
        </w:rPr>
      </w:pPr>
      <w:r w:rsidRPr="00516AC9">
        <w:rPr>
          <w:rFonts w:ascii="Palatino Linotype" w:hAnsi="Palatino Linotype"/>
          <w:i/>
          <w:iCs/>
          <w:sz w:val="22"/>
          <w:szCs w:val="22"/>
        </w:rPr>
        <w:t xml:space="preserve">XXII. Fortalecer el uso de tecnologías de la información para favorecer una administración moderna ágil y eficiente con la automatización de sus procesos; y </w:t>
      </w:r>
    </w:p>
    <w:p w14:paraId="4C6B4B6E" w14:textId="70736CF1" w:rsidR="00F96BAE" w:rsidRPr="00A63A94" w:rsidRDefault="00516AC9" w:rsidP="00A63A94">
      <w:pPr>
        <w:autoSpaceDE w:val="0"/>
        <w:autoSpaceDN w:val="0"/>
        <w:adjustRightInd w:val="0"/>
        <w:spacing w:after="240"/>
        <w:ind w:left="567" w:right="616"/>
        <w:jc w:val="both"/>
        <w:rPr>
          <w:rFonts w:ascii="Palatino Linotype" w:hAnsi="Palatino Linotype" w:cs="Tahoma"/>
          <w:bCs/>
          <w:i/>
          <w:iCs/>
          <w:sz w:val="22"/>
          <w:szCs w:val="22"/>
        </w:rPr>
      </w:pPr>
      <w:r w:rsidRPr="00516AC9">
        <w:rPr>
          <w:rFonts w:ascii="Palatino Linotype" w:hAnsi="Palatino Linotype"/>
          <w:i/>
          <w:iCs/>
          <w:sz w:val="22"/>
          <w:szCs w:val="22"/>
        </w:rPr>
        <w:t>XXIII. Las demás que deriven de otros ordenamientos legales aplicables.</w:t>
      </w:r>
    </w:p>
    <w:p w14:paraId="792883FF" w14:textId="77777777" w:rsidR="00F96BAE" w:rsidRDefault="00F96BAE" w:rsidP="00712FBB">
      <w:pPr>
        <w:pStyle w:val="Sinespaciado"/>
      </w:pPr>
    </w:p>
    <w:p w14:paraId="35A18EF6" w14:textId="4BDEBDF8" w:rsidR="00975A5E" w:rsidRDefault="00975A5E" w:rsidP="00975A5E">
      <w:pPr>
        <w:spacing w:line="360" w:lineRule="auto"/>
        <w:jc w:val="both"/>
        <w:rPr>
          <w:rFonts w:ascii="Palatino Linotype" w:eastAsia="Calibri" w:hAnsi="Palatino Linotype"/>
          <w:lang w:val="es-ES_tradnl"/>
        </w:rPr>
      </w:pPr>
      <w:r w:rsidRPr="00781106">
        <w:rPr>
          <w:rFonts w:ascii="Palatino Linotype" w:hAnsi="Palatino Linotype" w:cs="Tahoma"/>
          <w:bCs/>
          <w:iCs/>
          <w:szCs w:val="22"/>
          <w:lang w:val="es-MX"/>
        </w:rPr>
        <w:t xml:space="preserve">Así se logra vislumbrar que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pues si bien, turnó </w:t>
      </w:r>
      <w:r>
        <w:rPr>
          <w:rFonts w:ascii="Palatino Linotype" w:hAnsi="Palatino Linotype" w:cs="Tahoma"/>
          <w:bCs/>
          <w:iCs/>
          <w:szCs w:val="22"/>
          <w:lang w:val="es-MX"/>
        </w:rPr>
        <w:t xml:space="preserve">la solicitud </w:t>
      </w:r>
      <w:r>
        <w:rPr>
          <w:rFonts w:ascii="Palatino Linotype" w:hAnsi="Palatino Linotype" w:cs="Tahoma"/>
          <w:bCs/>
          <w:iCs/>
          <w:szCs w:val="22"/>
          <w:lang w:val="es-MX"/>
        </w:rPr>
        <w:lastRenderedPageBreak/>
        <w:t xml:space="preserve">de información al área competente; no obstante,  </w:t>
      </w:r>
      <w:r w:rsidRPr="00DB0639">
        <w:rPr>
          <w:rFonts w:ascii="Palatino Linotype" w:eastAsiaTheme="minorHAnsi" w:hAnsi="Palatino Linotype" w:cstheme="minorBidi"/>
          <w:lang w:val="es-MX" w:eastAsia="en-US"/>
        </w:rPr>
        <w:t xml:space="preserve">de conformidad con el contenido de los documentos descritos previamente, </w:t>
      </w:r>
      <w:r w:rsidRPr="00DB0639">
        <w:rPr>
          <w:rFonts w:ascii="Palatino Linotype" w:eastAsia="Calibri" w:hAnsi="Palatino Linotype"/>
          <w:lang w:val="es-ES_tradnl"/>
        </w:rPr>
        <w:t xml:space="preserve">podemos concluir que, </w:t>
      </w:r>
      <w:r w:rsidRPr="00DB0639">
        <w:rPr>
          <w:rFonts w:ascii="Palatino Linotype" w:eastAsia="Calibri" w:hAnsi="Palatino Linotype"/>
          <w:b/>
          <w:lang w:val="es-ES_tradnl"/>
        </w:rPr>
        <w:t>se obvia el estudio del marco normativo</w:t>
      </w:r>
      <w:r w:rsidRPr="00DB0639">
        <w:rPr>
          <w:rFonts w:ascii="Palatino Linotype" w:eastAsia="Calibri" w:hAnsi="Palatino Linotype"/>
          <w:lang w:val="es-ES_tradnl"/>
        </w:rPr>
        <w:t xml:space="preserve"> que rige el actual del </w:t>
      </w:r>
      <w:r w:rsidRPr="00DB0639">
        <w:rPr>
          <w:rFonts w:ascii="Palatino Linotype" w:eastAsia="Calibri" w:hAnsi="Palatino Linotype"/>
          <w:b/>
          <w:lang w:val="es-ES_tradnl"/>
        </w:rPr>
        <w:t>Sujeto Obligado</w:t>
      </w:r>
      <w:r w:rsidRPr="00DB0639">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w:t>
      </w:r>
      <w:r w:rsidR="00712FBB">
        <w:rPr>
          <w:rFonts w:ascii="Palatino Linotype" w:eastAsia="Calibri" w:hAnsi="Palatino Linotype"/>
          <w:lang w:val="es-ES_tradnl"/>
        </w:rPr>
        <w:t>,</w:t>
      </w:r>
      <w:r w:rsidRPr="00DB0639">
        <w:rPr>
          <w:rFonts w:ascii="Palatino Linotype" w:eastAsia="Calibri" w:hAnsi="Palatino Linotype"/>
          <w:lang w:val="es-ES_tradnl"/>
        </w:rPr>
        <w:t xml:space="preserve"> de la respuesta, acepta o bien otorga indicios de que cuenta con ella, seria ocioso delimitar las norma jurídica que determine si cuenta con ella o no.</w:t>
      </w:r>
    </w:p>
    <w:p w14:paraId="2E3D1505" w14:textId="77777777" w:rsidR="0090296A" w:rsidRDefault="0090296A" w:rsidP="00975A5E">
      <w:pPr>
        <w:spacing w:line="360" w:lineRule="auto"/>
        <w:jc w:val="both"/>
        <w:rPr>
          <w:rFonts w:ascii="Palatino Linotype" w:eastAsia="Calibri" w:hAnsi="Palatino Linotype"/>
          <w:lang w:val="es-ES_tradnl"/>
        </w:rPr>
      </w:pPr>
    </w:p>
    <w:p w14:paraId="46FEFEC7" w14:textId="4D669103" w:rsidR="00A63A94" w:rsidRPr="00A63A94" w:rsidRDefault="00902F82" w:rsidP="00A63A94">
      <w:pPr>
        <w:tabs>
          <w:tab w:val="left" w:pos="7938"/>
        </w:tabs>
        <w:spacing w:line="360" w:lineRule="auto"/>
        <w:jc w:val="both"/>
        <w:rPr>
          <w:rFonts w:ascii="Palatino Linotype" w:eastAsia="Palatino Linotype" w:hAnsi="Palatino Linotype" w:cs="Palatino Linotype"/>
          <w:szCs w:val="22"/>
          <w:lang w:val="es-MX" w:eastAsia="en-US"/>
        </w:rPr>
      </w:pPr>
      <w:r w:rsidRPr="00DD4342">
        <w:rPr>
          <w:rFonts w:ascii="Palatino Linotype" w:eastAsia="Palatino Linotype" w:hAnsi="Palatino Linotype" w:cs="Palatino Linotype"/>
          <w:szCs w:val="22"/>
          <w:lang w:val="es-MX" w:eastAsia="en-US"/>
        </w:rPr>
        <w:t xml:space="preserve">En el presente caso, se tiene </w:t>
      </w:r>
      <w:r w:rsidR="00253CAA" w:rsidRPr="00DD4342">
        <w:rPr>
          <w:rFonts w:ascii="Palatino Linotype" w:eastAsia="Palatino Linotype" w:hAnsi="Palatino Linotype" w:cs="Palatino Linotype"/>
          <w:szCs w:val="22"/>
          <w:lang w:val="es-MX" w:eastAsia="en-US"/>
        </w:rPr>
        <w:t>que,</w:t>
      </w:r>
      <w:r w:rsidRPr="00DD4342">
        <w:rPr>
          <w:rFonts w:ascii="Palatino Linotype" w:eastAsia="Palatino Linotype" w:hAnsi="Palatino Linotype" w:cs="Palatino Linotype"/>
          <w:szCs w:val="22"/>
          <w:lang w:val="es-MX" w:eastAsia="en-US"/>
        </w:rPr>
        <w:t xml:space="preserve"> del análisis realizado a la solicitud de información, se colige que, la parte </w:t>
      </w:r>
      <w:r w:rsidRPr="00DD4342">
        <w:rPr>
          <w:rFonts w:ascii="Palatino Linotype" w:eastAsia="Palatino Linotype" w:hAnsi="Palatino Linotype" w:cs="Palatino Linotype"/>
          <w:b/>
          <w:szCs w:val="22"/>
          <w:lang w:val="es-MX" w:eastAsia="en-US"/>
        </w:rPr>
        <w:t>Recurrente</w:t>
      </w:r>
      <w:r w:rsidRPr="00DD4342">
        <w:rPr>
          <w:rFonts w:ascii="Palatino Linotype" w:eastAsia="Palatino Linotype" w:hAnsi="Palatino Linotype" w:cs="Palatino Linotype"/>
          <w:szCs w:val="22"/>
          <w:lang w:val="es-MX" w:eastAsia="en-US"/>
        </w:rPr>
        <w:t xml:space="preserve"> </w:t>
      </w:r>
      <w:r w:rsidR="00A63A94">
        <w:rPr>
          <w:rFonts w:ascii="Palatino Linotype" w:eastAsia="Palatino Linotype" w:hAnsi="Palatino Linotype" w:cs="Palatino Linotype"/>
          <w:szCs w:val="22"/>
          <w:lang w:val="es-MX" w:eastAsia="en-US"/>
        </w:rPr>
        <w:t xml:space="preserve">requiere información contractual y erogaciones comprobatorias respecto del concepto referido en los antecedentes del presente recurso de revisión; </w:t>
      </w:r>
      <w:r w:rsidR="00A63A94" w:rsidRPr="00A63A94">
        <w:rPr>
          <w:rFonts w:ascii="Palatino Linotype" w:eastAsia="Palatino Linotype" w:hAnsi="Palatino Linotype" w:cs="Palatino Linotype"/>
          <w:lang w:val="es-MX" w:eastAsia="es-MX"/>
        </w:rPr>
        <w:t xml:space="preserve">se debe de mencionar que de conformidad con el artículo 92, fracciones XXIX y XXXIV de la Ley de Transparencia y Acceso a la Información Pública del Estado de México y Municipios, los Sujetos Obligados se encuentran constreñidos a poner a disposición del público, de manera permanente y actualizada en </w:t>
      </w:r>
      <w:r w:rsidR="00A63A94" w:rsidRPr="00A63A94">
        <w:rPr>
          <w:rFonts w:ascii="Palatino Linotype" w:hAnsi="Palatino Linotype"/>
          <w:lang w:val="es-MX" w:eastAsia="es-MX"/>
        </w:rPr>
        <w:t xml:space="preserve">los respectivos medios electrónicos, información sobre </w:t>
      </w:r>
      <w:r w:rsidR="00A63A94" w:rsidRPr="00A63A94">
        <w:rPr>
          <w:rFonts w:ascii="Palatino Linotype" w:hAnsi="Palatino Linotype"/>
          <w:u w:val="single"/>
          <w:lang w:val="es-MX" w:eastAsia="es-MX"/>
        </w:rPr>
        <w:t>los procesos y resultados sobre procedimientos de adjudicación directa, invitación restringida y licitación de cualquier naturaleza</w:t>
      </w:r>
      <w:r w:rsidR="00A63A94" w:rsidRPr="00A63A94">
        <w:rPr>
          <w:rFonts w:ascii="Palatino Linotype" w:hAnsi="Palatino Linotype"/>
          <w:lang w:val="es-MX" w:eastAsia="es-MX"/>
        </w:rPr>
        <w:t xml:space="preserve">, incluyendo la versión pública del expediente respectivo y </w:t>
      </w:r>
      <w:r w:rsidR="00A63A94" w:rsidRPr="00A63A94">
        <w:rPr>
          <w:rFonts w:ascii="Palatino Linotype" w:hAnsi="Palatino Linotype"/>
          <w:b/>
          <w:u w:val="single"/>
          <w:lang w:val="es-MX" w:eastAsia="es-MX"/>
        </w:rPr>
        <w:t>de los contratos celebrados;</w:t>
      </w:r>
      <w:r w:rsidR="00A63A94" w:rsidRPr="00A63A94">
        <w:rPr>
          <w:rFonts w:ascii="Palatino Linotype" w:hAnsi="Palatino Linotype"/>
          <w:lang w:val="es-MX" w:eastAsia="es-MX"/>
        </w:rPr>
        <w:t xml:space="preserve"> </w:t>
      </w:r>
      <w:r w:rsidR="00A63A94" w:rsidRPr="00A63A94">
        <w:rPr>
          <w:rFonts w:ascii="Palatino Linotype" w:hAnsi="Palatino Linotype"/>
          <w:b/>
          <w:u w:val="single"/>
          <w:lang w:val="es-MX" w:eastAsia="es-MX"/>
        </w:rPr>
        <w:t>así como el padrón de proveedores y contratistas</w:t>
      </w:r>
      <w:r w:rsidR="00A63A94" w:rsidRPr="00A63A94">
        <w:rPr>
          <w:rFonts w:ascii="Palatino Linotype" w:hAnsi="Palatino Linotype"/>
          <w:lang w:val="es-MX" w:eastAsia="es-MX"/>
        </w:rPr>
        <w:t>, a saber:</w:t>
      </w:r>
    </w:p>
    <w:p w14:paraId="3F80F4C1" w14:textId="77777777" w:rsidR="00A63A94" w:rsidRPr="00A63A94" w:rsidRDefault="00A63A94" w:rsidP="00A63A94">
      <w:pPr>
        <w:rPr>
          <w:rFonts w:asciiTheme="minorHAnsi" w:eastAsiaTheme="minorHAnsi" w:hAnsiTheme="minorHAnsi" w:cstheme="minorBidi"/>
          <w:sz w:val="22"/>
          <w:szCs w:val="22"/>
        </w:rPr>
      </w:pPr>
    </w:p>
    <w:p w14:paraId="513A6F7F" w14:textId="77777777" w:rsidR="00A63A94" w:rsidRPr="00A63A94" w:rsidRDefault="00A63A94" w:rsidP="00A63A94">
      <w:pPr>
        <w:tabs>
          <w:tab w:val="left" w:pos="975"/>
        </w:tabs>
        <w:spacing w:before="120" w:after="120"/>
        <w:ind w:left="851" w:right="616"/>
        <w:jc w:val="both"/>
        <w:rPr>
          <w:rFonts w:ascii="Palatino Linotype" w:hAnsi="Palatino Linotype"/>
          <w:i/>
          <w:sz w:val="22"/>
          <w:szCs w:val="22"/>
          <w:lang w:val="es-MX" w:eastAsia="es-MX"/>
        </w:rPr>
      </w:pPr>
      <w:r w:rsidRPr="00A63A94">
        <w:rPr>
          <w:rFonts w:ascii="Palatino Linotype" w:hAnsi="Palatino Linotype"/>
          <w:i/>
          <w:sz w:val="22"/>
          <w:szCs w:val="22"/>
          <w:lang w:val="es-MX" w:eastAsia="es-MX"/>
        </w:rPr>
        <w:t>“</w:t>
      </w:r>
      <w:r w:rsidRPr="00A63A94">
        <w:rPr>
          <w:rFonts w:ascii="Palatino Linotype" w:hAnsi="Palatino Linotype"/>
          <w:b/>
          <w:i/>
          <w:sz w:val="22"/>
          <w:szCs w:val="22"/>
          <w:lang w:val="es-MX" w:eastAsia="es-MX"/>
        </w:rPr>
        <w:t>Artículo 92.</w:t>
      </w:r>
      <w:r w:rsidRPr="00A63A94">
        <w:rPr>
          <w:rFonts w:ascii="Palatino Linotype" w:hAnsi="Palatino Linotype"/>
          <w:i/>
          <w:sz w:val="22"/>
          <w:szCs w:val="22"/>
          <w:lang w:val="es-MX"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9D43DBE" w14:textId="77777777" w:rsidR="00A63A94" w:rsidRPr="00A63A94" w:rsidRDefault="00A63A94" w:rsidP="00A63A94">
      <w:pPr>
        <w:tabs>
          <w:tab w:val="left" w:pos="1134"/>
        </w:tabs>
        <w:spacing w:before="120" w:after="120"/>
        <w:ind w:left="1134" w:right="616"/>
        <w:jc w:val="both"/>
        <w:rPr>
          <w:rFonts w:ascii="Palatino Linotype" w:eastAsia="Palatino Linotype" w:hAnsi="Palatino Linotype" w:cs="Palatino Linotype"/>
          <w:i/>
          <w:sz w:val="22"/>
          <w:szCs w:val="22"/>
          <w:lang w:val="es-MX" w:eastAsia="es-MX"/>
        </w:rPr>
      </w:pPr>
      <w:r w:rsidRPr="00A63A94">
        <w:rPr>
          <w:rFonts w:ascii="Palatino Linotype" w:hAnsi="Palatino Linotype"/>
          <w:i/>
          <w:sz w:val="22"/>
          <w:szCs w:val="22"/>
          <w:lang w:val="es-MX" w:eastAsia="es-MX"/>
        </w:rPr>
        <w:t>…</w:t>
      </w:r>
    </w:p>
    <w:p w14:paraId="6E517D5C" w14:textId="77777777" w:rsidR="00A63A94" w:rsidRPr="00A63A94" w:rsidRDefault="00A63A94" w:rsidP="00A63A94">
      <w:pPr>
        <w:tabs>
          <w:tab w:val="left" w:pos="1134"/>
        </w:tabs>
        <w:spacing w:before="120" w:after="120"/>
        <w:ind w:left="1134" w:right="616"/>
        <w:jc w:val="both"/>
        <w:rPr>
          <w:rFonts w:ascii="Palatino Linotype" w:hAnsi="Palatino Linotype"/>
          <w:i/>
          <w:sz w:val="22"/>
          <w:szCs w:val="22"/>
          <w:lang w:val="es-MX" w:eastAsia="es-MX"/>
        </w:rPr>
      </w:pPr>
      <w:r w:rsidRPr="00A63A94">
        <w:rPr>
          <w:rFonts w:ascii="Palatino Linotype" w:hAnsi="Palatino Linotype"/>
          <w:b/>
          <w:i/>
          <w:sz w:val="22"/>
          <w:szCs w:val="22"/>
          <w:lang w:val="es-MX" w:eastAsia="es-MX"/>
        </w:rPr>
        <w:lastRenderedPageBreak/>
        <w:t>XXIX.</w:t>
      </w:r>
      <w:r w:rsidRPr="00A63A94">
        <w:rPr>
          <w:rFonts w:ascii="Palatino Linotype" w:hAnsi="Palatino Linotype"/>
          <w:i/>
          <w:sz w:val="22"/>
          <w:szCs w:val="22"/>
          <w:lang w:val="es-MX" w:eastAsia="es-MX"/>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47431C5F" w14:textId="77777777" w:rsidR="00A63A94" w:rsidRPr="00A63A94" w:rsidRDefault="00A63A94" w:rsidP="00A63A94">
      <w:pPr>
        <w:tabs>
          <w:tab w:val="left" w:pos="426"/>
        </w:tabs>
        <w:spacing w:before="120" w:after="120"/>
        <w:ind w:left="1418" w:right="616"/>
        <w:jc w:val="both"/>
        <w:rPr>
          <w:rFonts w:ascii="Palatino Linotype" w:eastAsia="Palatino Linotype" w:hAnsi="Palatino Linotype" w:cs="Palatino Linotype"/>
          <w:b/>
          <w:i/>
          <w:sz w:val="22"/>
          <w:szCs w:val="22"/>
          <w:lang w:val="es-MX" w:eastAsia="es-MX"/>
        </w:rPr>
      </w:pPr>
      <w:r w:rsidRPr="00A63A94">
        <w:rPr>
          <w:rFonts w:ascii="Palatino Linotype" w:eastAsia="Palatino Linotype" w:hAnsi="Palatino Linotype" w:cs="Palatino Linotype"/>
          <w:b/>
          <w:i/>
          <w:sz w:val="22"/>
          <w:szCs w:val="22"/>
          <w:lang w:val="es-MX" w:eastAsia="es-MX"/>
        </w:rPr>
        <w:t>a) De licitaciones públicas o procedimientos de invitación restringida:</w:t>
      </w:r>
    </w:p>
    <w:p w14:paraId="74A43C5B" w14:textId="77777777" w:rsidR="00A63A94" w:rsidRPr="00A63A94" w:rsidRDefault="00A63A94" w:rsidP="00A63A94">
      <w:pPr>
        <w:tabs>
          <w:tab w:val="left" w:pos="426"/>
        </w:tabs>
        <w:spacing w:before="120" w:after="120"/>
        <w:ind w:left="1701" w:right="616"/>
        <w:jc w:val="both"/>
        <w:rPr>
          <w:rFonts w:ascii="Palatino Linotype" w:eastAsia="Palatino Linotype" w:hAnsi="Palatino Linotype" w:cs="Palatino Linotype"/>
          <w:b/>
          <w:i/>
          <w:sz w:val="22"/>
          <w:szCs w:val="22"/>
          <w:lang w:val="es-MX" w:eastAsia="es-MX"/>
        </w:rPr>
      </w:pPr>
      <w:r w:rsidRPr="00A63A94">
        <w:rPr>
          <w:rFonts w:ascii="Palatino Linotype" w:eastAsia="Palatino Linotype" w:hAnsi="Palatino Linotype" w:cs="Palatino Linotype"/>
          <w:b/>
          <w:i/>
          <w:sz w:val="22"/>
          <w:szCs w:val="22"/>
          <w:lang w:val="es-MX" w:eastAsia="es-MX"/>
        </w:rPr>
        <w:t>(…)</w:t>
      </w:r>
    </w:p>
    <w:p w14:paraId="5BAC52B6" w14:textId="77777777" w:rsidR="00A63A94" w:rsidRPr="00A63A94" w:rsidRDefault="00A63A94" w:rsidP="00A63A94">
      <w:pPr>
        <w:tabs>
          <w:tab w:val="left" w:pos="426"/>
        </w:tabs>
        <w:spacing w:before="120" w:after="120"/>
        <w:ind w:left="1701" w:right="616"/>
        <w:jc w:val="both"/>
        <w:rPr>
          <w:rFonts w:ascii="Palatino Linotype" w:eastAsia="Palatino Linotype" w:hAnsi="Palatino Linotype" w:cs="Palatino Linotype"/>
          <w:i/>
          <w:sz w:val="22"/>
          <w:szCs w:val="22"/>
          <w:lang w:val="es-MX" w:eastAsia="es-MX"/>
        </w:rPr>
      </w:pPr>
      <w:r w:rsidRPr="00A63A94">
        <w:rPr>
          <w:rFonts w:ascii="Palatino Linotype" w:eastAsia="Palatino Linotype" w:hAnsi="Palatino Linotype" w:cs="Palatino Linotype"/>
          <w:b/>
          <w:i/>
          <w:sz w:val="22"/>
          <w:szCs w:val="22"/>
          <w:lang w:val="es-MX" w:eastAsia="es-MX"/>
        </w:rPr>
        <w:t xml:space="preserve">7) </w:t>
      </w:r>
      <w:r w:rsidRPr="00A63A94">
        <w:rPr>
          <w:rFonts w:ascii="Palatino Linotype" w:eastAsia="Palatino Linotype" w:hAnsi="Palatino Linotype" w:cs="Palatino Linotype"/>
          <w:i/>
          <w:sz w:val="22"/>
          <w:szCs w:val="22"/>
          <w:lang w:val="es-MX" w:eastAsia="es-MX"/>
        </w:rPr>
        <w:t xml:space="preserve">El contrato y, en su caso, sus anexos; </w:t>
      </w:r>
    </w:p>
    <w:p w14:paraId="7CEE006E" w14:textId="77777777" w:rsidR="00A63A94" w:rsidRPr="00A63A94" w:rsidRDefault="00A63A94" w:rsidP="00A63A94">
      <w:pPr>
        <w:tabs>
          <w:tab w:val="left" w:pos="426"/>
        </w:tabs>
        <w:spacing w:before="120" w:after="120"/>
        <w:ind w:left="1418" w:right="616"/>
        <w:jc w:val="both"/>
        <w:rPr>
          <w:rFonts w:ascii="Palatino Linotype" w:eastAsia="Palatino Linotype" w:hAnsi="Palatino Linotype" w:cs="Palatino Linotype"/>
          <w:b/>
          <w:i/>
          <w:sz w:val="22"/>
          <w:szCs w:val="22"/>
          <w:lang w:val="es-MX" w:eastAsia="es-MX"/>
        </w:rPr>
      </w:pPr>
      <w:r w:rsidRPr="00A63A94">
        <w:rPr>
          <w:rFonts w:ascii="Palatino Linotype" w:eastAsia="Palatino Linotype" w:hAnsi="Palatino Linotype" w:cs="Palatino Linotype"/>
          <w:b/>
          <w:i/>
          <w:sz w:val="22"/>
          <w:szCs w:val="22"/>
          <w:lang w:val="es-MX" w:eastAsia="es-MX"/>
        </w:rPr>
        <w:t>(…)</w:t>
      </w:r>
    </w:p>
    <w:p w14:paraId="519386E1" w14:textId="77777777" w:rsidR="00A63A94" w:rsidRPr="00A63A94" w:rsidRDefault="00A63A94" w:rsidP="00A63A94">
      <w:pPr>
        <w:tabs>
          <w:tab w:val="left" w:pos="426"/>
        </w:tabs>
        <w:spacing w:before="120" w:after="120"/>
        <w:ind w:left="1418" w:right="616"/>
        <w:jc w:val="both"/>
        <w:rPr>
          <w:rFonts w:ascii="Palatino Linotype" w:eastAsia="Palatino Linotype" w:hAnsi="Palatino Linotype" w:cs="Palatino Linotype"/>
          <w:b/>
          <w:i/>
          <w:sz w:val="22"/>
          <w:szCs w:val="22"/>
          <w:lang w:val="es-MX" w:eastAsia="es-MX"/>
        </w:rPr>
      </w:pPr>
      <w:r w:rsidRPr="00A63A94">
        <w:rPr>
          <w:rFonts w:ascii="Palatino Linotype" w:eastAsia="Palatino Linotype" w:hAnsi="Palatino Linotype" w:cs="Palatino Linotype"/>
          <w:b/>
          <w:i/>
          <w:sz w:val="22"/>
          <w:szCs w:val="22"/>
          <w:lang w:val="es-MX" w:eastAsia="es-MX"/>
        </w:rPr>
        <w:t xml:space="preserve">b) De las adjudicaciones directas: </w:t>
      </w:r>
    </w:p>
    <w:p w14:paraId="23AA3697" w14:textId="77777777" w:rsidR="00A63A94" w:rsidRPr="00A63A94" w:rsidRDefault="00A63A94" w:rsidP="00A63A94">
      <w:pPr>
        <w:tabs>
          <w:tab w:val="left" w:pos="426"/>
        </w:tabs>
        <w:spacing w:before="120" w:after="120"/>
        <w:ind w:left="1701" w:right="616"/>
        <w:jc w:val="both"/>
        <w:rPr>
          <w:rFonts w:ascii="Palatino Linotype" w:eastAsia="Palatino Linotype" w:hAnsi="Palatino Linotype" w:cs="Palatino Linotype"/>
          <w:b/>
          <w:i/>
          <w:sz w:val="22"/>
          <w:szCs w:val="22"/>
          <w:lang w:val="es-MX" w:eastAsia="es-MX"/>
        </w:rPr>
      </w:pPr>
      <w:r w:rsidRPr="00A63A94">
        <w:rPr>
          <w:rFonts w:ascii="Palatino Linotype" w:eastAsia="Palatino Linotype" w:hAnsi="Palatino Linotype" w:cs="Palatino Linotype"/>
          <w:b/>
          <w:i/>
          <w:sz w:val="22"/>
          <w:szCs w:val="22"/>
          <w:lang w:val="es-MX" w:eastAsia="es-MX"/>
        </w:rPr>
        <w:t>…</w:t>
      </w:r>
    </w:p>
    <w:p w14:paraId="53FCF1F5" w14:textId="77777777" w:rsidR="00A63A94" w:rsidRPr="00A63A94" w:rsidRDefault="00A63A94" w:rsidP="00A63A94">
      <w:pPr>
        <w:tabs>
          <w:tab w:val="left" w:pos="426"/>
        </w:tabs>
        <w:spacing w:before="120" w:after="120"/>
        <w:ind w:left="1701" w:right="616"/>
        <w:jc w:val="both"/>
        <w:rPr>
          <w:rFonts w:ascii="Palatino Linotype" w:eastAsia="Palatino Linotype" w:hAnsi="Palatino Linotype" w:cs="Palatino Linotype"/>
          <w:i/>
          <w:sz w:val="22"/>
          <w:szCs w:val="22"/>
          <w:lang w:val="es-MX" w:eastAsia="es-MX"/>
        </w:rPr>
      </w:pPr>
      <w:r w:rsidRPr="00A63A94">
        <w:rPr>
          <w:rFonts w:ascii="Palatino Linotype" w:eastAsia="Palatino Linotype" w:hAnsi="Palatino Linotype" w:cs="Palatino Linotype"/>
          <w:b/>
          <w:i/>
          <w:sz w:val="22"/>
          <w:szCs w:val="22"/>
          <w:lang w:val="es-MX" w:eastAsia="es-MX"/>
        </w:rPr>
        <w:t xml:space="preserve">7) </w:t>
      </w:r>
      <w:r w:rsidRPr="00A63A94">
        <w:rPr>
          <w:rFonts w:ascii="Palatino Linotype" w:eastAsia="Palatino Linotype" w:hAnsi="Palatino Linotype" w:cs="Palatino Linotype"/>
          <w:i/>
          <w:sz w:val="22"/>
          <w:szCs w:val="22"/>
          <w:lang w:val="es-MX" w:eastAsia="es-MX"/>
        </w:rPr>
        <w:t xml:space="preserve">El número, fecha, el monto del contrato y el plazo de entrega o de ejecución de los servicios u obra; </w:t>
      </w:r>
    </w:p>
    <w:p w14:paraId="29DB1933" w14:textId="77777777" w:rsidR="00A63A94" w:rsidRPr="00A63A94" w:rsidRDefault="00A63A94" w:rsidP="00A63A94">
      <w:pPr>
        <w:tabs>
          <w:tab w:val="left" w:pos="975"/>
        </w:tabs>
        <w:spacing w:before="120" w:after="120"/>
        <w:ind w:left="851" w:right="616"/>
        <w:jc w:val="both"/>
        <w:rPr>
          <w:rFonts w:ascii="Palatino Linotype" w:eastAsia="Palatino Linotype" w:hAnsi="Palatino Linotype" w:cs="Palatino Linotype"/>
          <w:i/>
          <w:sz w:val="22"/>
          <w:szCs w:val="22"/>
          <w:lang w:val="es-MX" w:eastAsia="es-MX"/>
        </w:rPr>
      </w:pPr>
      <w:r w:rsidRPr="00A63A94">
        <w:rPr>
          <w:rFonts w:ascii="Palatino Linotype" w:eastAsia="Palatino Linotype" w:hAnsi="Palatino Linotype" w:cs="Palatino Linotype"/>
          <w:i/>
          <w:sz w:val="22"/>
          <w:szCs w:val="22"/>
          <w:lang w:val="es-MX" w:eastAsia="es-MX"/>
        </w:rPr>
        <w:tab/>
      </w:r>
      <w:r w:rsidRPr="00A63A94">
        <w:rPr>
          <w:rFonts w:ascii="Palatino Linotype" w:eastAsia="Palatino Linotype" w:hAnsi="Palatino Linotype" w:cs="Palatino Linotype"/>
          <w:i/>
          <w:sz w:val="22"/>
          <w:szCs w:val="22"/>
          <w:lang w:val="es-MX" w:eastAsia="es-MX"/>
        </w:rPr>
        <w:tab/>
        <w:t>(…)</w:t>
      </w:r>
    </w:p>
    <w:p w14:paraId="55628128" w14:textId="77777777" w:rsidR="00A63A94" w:rsidRPr="00A63A94" w:rsidRDefault="00A63A94" w:rsidP="00A63A94">
      <w:pPr>
        <w:tabs>
          <w:tab w:val="left" w:pos="1134"/>
        </w:tabs>
        <w:spacing w:before="120" w:after="120"/>
        <w:ind w:left="1134" w:right="616"/>
        <w:jc w:val="both"/>
        <w:rPr>
          <w:rFonts w:ascii="Palatino Linotype" w:eastAsia="Palatino Linotype" w:hAnsi="Palatino Linotype" w:cs="Palatino Linotype"/>
          <w:i/>
          <w:sz w:val="22"/>
          <w:szCs w:val="22"/>
          <w:lang w:val="es-MX" w:eastAsia="es-MX"/>
        </w:rPr>
      </w:pPr>
      <w:r w:rsidRPr="00A63A94">
        <w:rPr>
          <w:rFonts w:ascii="Palatino Linotype" w:hAnsi="Palatino Linotype"/>
          <w:b/>
          <w:i/>
          <w:sz w:val="22"/>
          <w:szCs w:val="22"/>
          <w:lang w:val="es-MX" w:eastAsia="es-MX"/>
        </w:rPr>
        <w:t>XXXVI</w:t>
      </w:r>
      <w:r w:rsidRPr="00A63A94">
        <w:rPr>
          <w:rFonts w:ascii="Palatino Linotype" w:hAnsi="Palatino Linotype"/>
          <w:i/>
          <w:sz w:val="22"/>
          <w:szCs w:val="22"/>
          <w:lang w:val="es-MX" w:eastAsia="es-MX"/>
        </w:rPr>
        <w:t>. Padrón de proveedores y contratistas;”</w:t>
      </w:r>
    </w:p>
    <w:p w14:paraId="3F01CE3F" w14:textId="77777777" w:rsidR="00A63A94" w:rsidRPr="00A63A94" w:rsidRDefault="00A63A94" w:rsidP="00A63A94">
      <w:pPr>
        <w:rPr>
          <w:rFonts w:asciiTheme="minorHAnsi" w:eastAsiaTheme="minorHAnsi" w:hAnsiTheme="minorHAnsi" w:cstheme="minorBidi"/>
          <w:sz w:val="22"/>
          <w:szCs w:val="22"/>
          <w:lang w:val="es-MX" w:eastAsia="es-MX"/>
        </w:rPr>
      </w:pPr>
    </w:p>
    <w:p w14:paraId="4352243F" w14:textId="77777777" w:rsidR="00A63A94" w:rsidRPr="00A63A94" w:rsidRDefault="00A63A94" w:rsidP="00A63A94">
      <w:pPr>
        <w:spacing w:line="360" w:lineRule="auto"/>
        <w:jc w:val="both"/>
        <w:rPr>
          <w:rFonts w:ascii="Palatino Linotype" w:eastAsia="Palatino Linotype" w:hAnsi="Palatino Linotype" w:cs="Palatino Linotype"/>
          <w:lang w:val="es-MX" w:eastAsia="es-MX"/>
        </w:rPr>
      </w:pPr>
      <w:r w:rsidRPr="00A63A94">
        <w:rPr>
          <w:rFonts w:ascii="Palatino Linotype" w:eastAsia="Palatino Linotype" w:hAnsi="Palatino Linotype" w:cs="Palatino Linotype"/>
          <w:lang w:val="es-MX" w:eastAsia="es-MX"/>
        </w:rPr>
        <w:t>De esto, se advierte que, los Sujetos Obligados deberán poner a disposición del público la información relativa a procesos y resultados sobre procedimientos de adjudicación directa, invitación restringida y licitación de cualquier naturaleza, donde se incluya, en versión pública de los contratos celebrados.</w:t>
      </w:r>
    </w:p>
    <w:p w14:paraId="41456B2A" w14:textId="77777777" w:rsidR="00A63A94" w:rsidRPr="00A63A94" w:rsidRDefault="00A63A94" w:rsidP="00A63A94">
      <w:pPr>
        <w:spacing w:line="360" w:lineRule="auto"/>
        <w:jc w:val="both"/>
        <w:rPr>
          <w:rFonts w:ascii="Palatino Linotype" w:eastAsia="Palatino Linotype" w:hAnsi="Palatino Linotype" w:cs="Palatino Linotype"/>
          <w:lang w:val="es-MX" w:eastAsia="es-MX"/>
        </w:rPr>
      </w:pPr>
    </w:p>
    <w:p w14:paraId="3D5366E5" w14:textId="02843DC4" w:rsidR="00A63A94" w:rsidRPr="00A63A94" w:rsidRDefault="00A63A94" w:rsidP="00A63A94">
      <w:pPr>
        <w:spacing w:line="360" w:lineRule="auto"/>
        <w:jc w:val="both"/>
        <w:rPr>
          <w:rFonts w:ascii="Palatino Linotype" w:eastAsiaTheme="minorHAnsi" w:hAnsi="Palatino Linotype" w:cs="Arial"/>
          <w:lang w:val="es-MX" w:eastAsia="en-US"/>
        </w:rPr>
      </w:pPr>
      <w:r w:rsidRPr="00A63A94">
        <w:rPr>
          <w:rFonts w:ascii="Palatino Linotype" w:eastAsia="Palatino Linotype" w:hAnsi="Palatino Linotype" w:cs="Palatino Linotype"/>
          <w:lang w:val="es-MX" w:eastAsia="es-MX"/>
        </w:rPr>
        <w:t xml:space="preserve">Finalmente, en relación a las </w:t>
      </w:r>
      <w:r w:rsidRPr="00A63A94">
        <w:rPr>
          <w:rFonts w:ascii="Palatino Linotype" w:eastAsia="Palatino Linotype" w:hAnsi="Palatino Linotype" w:cs="Palatino Linotype"/>
          <w:b/>
          <w:bCs/>
          <w:u w:val="single"/>
          <w:lang w:val="es-MX" w:eastAsia="es-MX"/>
        </w:rPr>
        <w:t>facturas</w:t>
      </w:r>
      <w:r w:rsidRPr="00A63A94">
        <w:rPr>
          <w:rFonts w:ascii="Palatino Linotype" w:eastAsia="Palatino Linotype" w:hAnsi="Palatino Linotype" w:cs="Palatino Linotype"/>
          <w:lang w:val="es-MX" w:eastAsia="es-MX"/>
        </w:rPr>
        <w:t xml:space="preserve">, </w:t>
      </w:r>
      <w:r w:rsidRPr="00A63A94">
        <w:rPr>
          <w:rFonts w:ascii="Palatino Linotype" w:eastAsiaTheme="minorHAnsi" w:hAnsi="Palatino Linotype" w:cstheme="minorBidi"/>
          <w:szCs w:val="22"/>
          <w:lang w:val="es-ES_tradnl" w:eastAsia="en-US"/>
        </w:rPr>
        <w:t>e</w:t>
      </w:r>
      <w:r w:rsidRPr="00A63A94">
        <w:rPr>
          <w:rFonts w:ascii="Palatino Linotype" w:eastAsia="Palatino Linotype" w:hAnsi="Palatino Linotype" w:cs="Palatino Linotype"/>
          <w:lang w:eastAsia="es-MX"/>
        </w:rPr>
        <w:t>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439F21CE" w14:textId="77777777" w:rsidR="00A63A94" w:rsidRPr="00A63A94" w:rsidRDefault="00A63A94" w:rsidP="00A63A94">
      <w:pPr>
        <w:rPr>
          <w:rFonts w:asciiTheme="minorHAnsi" w:eastAsiaTheme="minorHAnsi" w:hAnsiTheme="minorHAnsi" w:cstheme="minorBidi"/>
          <w:sz w:val="22"/>
          <w:szCs w:val="22"/>
          <w:lang w:eastAsia="es-MX"/>
        </w:rPr>
      </w:pPr>
    </w:p>
    <w:p w14:paraId="4AE0A1AB"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r w:rsidRPr="00A63A94">
        <w:rPr>
          <w:rFonts w:ascii="Palatino Linotype" w:eastAsia="Palatino Linotype" w:hAnsi="Palatino Linotype" w:cs="Palatino Linotype"/>
          <w:i/>
          <w:sz w:val="22"/>
          <w:szCs w:val="22"/>
          <w:lang w:eastAsia="es-MX"/>
        </w:rPr>
        <w:t>“</w:t>
      </w:r>
      <w:r w:rsidRPr="00A63A94">
        <w:rPr>
          <w:rFonts w:ascii="Palatino Linotype" w:eastAsia="Palatino Linotype" w:hAnsi="Palatino Linotype" w:cs="Palatino Linotype"/>
          <w:b/>
          <w:i/>
          <w:sz w:val="22"/>
          <w:szCs w:val="22"/>
          <w:lang w:eastAsia="es-MX"/>
        </w:rPr>
        <w:t>Artículo 342.-</w:t>
      </w:r>
      <w:r w:rsidRPr="00A63A94">
        <w:rPr>
          <w:rFonts w:ascii="Palatino Linotype" w:eastAsia="Palatino Linotype" w:hAnsi="Palatino Linotype" w:cs="Palatino Linotype"/>
          <w:i/>
          <w:sz w:val="22"/>
          <w:szCs w:val="22"/>
          <w:lang w:eastAsia="es-MX"/>
        </w:rPr>
        <w:t xml:space="preserve"> El registro contable del efecto patrimonial y presupuestal de las operaciones financieras, se realizará conforme al sistema y a las disposiciones que se aprueben en materia de planeación, programación, </w:t>
      </w:r>
      <w:proofErr w:type="spellStart"/>
      <w:r w:rsidRPr="00A63A94">
        <w:rPr>
          <w:rFonts w:ascii="Palatino Linotype" w:eastAsia="Palatino Linotype" w:hAnsi="Palatino Linotype" w:cs="Palatino Linotype"/>
          <w:i/>
          <w:sz w:val="22"/>
          <w:szCs w:val="22"/>
          <w:lang w:eastAsia="es-MX"/>
        </w:rPr>
        <w:t>presupuestación</w:t>
      </w:r>
      <w:proofErr w:type="spellEnd"/>
      <w:r w:rsidRPr="00A63A94">
        <w:rPr>
          <w:rFonts w:ascii="Palatino Linotype" w:eastAsia="Palatino Linotype" w:hAnsi="Palatino Linotype" w:cs="Palatino Linotype"/>
          <w:i/>
          <w:sz w:val="22"/>
          <w:szCs w:val="22"/>
          <w:lang w:eastAsia="es-MX"/>
        </w:rPr>
        <w:t>, evaluación y contabilidad gubernamental.</w:t>
      </w:r>
    </w:p>
    <w:p w14:paraId="26A7020D"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p>
    <w:p w14:paraId="700679E5"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r w:rsidRPr="00A63A94">
        <w:rPr>
          <w:rFonts w:ascii="Palatino Linotype" w:eastAsia="Palatino Linotype" w:hAnsi="Palatino Linotype" w:cs="Palatino Linotype"/>
          <w:b/>
          <w:i/>
          <w:sz w:val="22"/>
          <w:szCs w:val="22"/>
          <w:lang w:eastAsia="es-MX"/>
        </w:rPr>
        <w:t>En el caso de los municipios,</w:t>
      </w:r>
      <w:r w:rsidRPr="00A63A94">
        <w:rPr>
          <w:rFonts w:ascii="Palatino Linotype" w:eastAsia="Palatino Linotype" w:hAnsi="Palatino Linotype" w:cs="Palatino Linotype"/>
          <w:i/>
          <w:sz w:val="22"/>
          <w:szCs w:val="22"/>
          <w:lang w:eastAsia="es-MX"/>
        </w:rPr>
        <w:t xml:space="preserve"> el registro a que se refiere el párrafo anterior, se realizará conforme al sistema y a las disposiciones en materia de </w:t>
      </w:r>
      <w:r w:rsidRPr="00A63A94">
        <w:rPr>
          <w:rFonts w:ascii="Palatino Linotype" w:eastAsia="Palatino Linotype" w:hAnsi="Palatino Linotype" w:cs="Palatino Linotype"/>
          <w:b/>
          <w:i/>
          <w:sz w:val="22"/>
          <w:szCs w:val="22"/>
          <w:lang w:eastAsia="es-MX"/>
        </w:rPr>
        <w:t xml:space="preserve">planeación, programación, </w:t>
      </w:r>
      <w:proofErr w:type="spellStart"/>
      <w:r w:rsidRPr="00A63A94">
        <w:rPr>
          <w:rFonts w:ascii="Palatino Linotype" w:eastAsia="Palatino Linotype" w:hAnsi="Palatino Linotype" w:cs="Palatino Linotype"/>
          <w:b/>
          <w:i/>
          <w:sz w:val="22"/>
          <w:szCs w:val="22"/>
          <w:lang w:eastAsia="es-MX"/>
        </w:rPr>
        <w:lastRenderedPageBreak/>
        <w:t>presupuestación</w:t>
      </w:r>
      <w:proofErr w:type="spellEnd"/>
      <w:r w:rsidRPr="00A63A94">
        <w:rPr>
          <w:rFonts w:ascii="Palatino Linotype" w:eastAsia="Palatino Linotype" w:hAnsi="Palatino Linotype" w:cs="Palatino Linotype"/>
          <w:b/>
          <w:i/>
          <w:sz w:val="22"/>
          <w:szCs w:val="22"/>
          <w:lang w:eastAsia="es-MX"/>
        </w:rPr>
        <w:t>, evaluación y contabilidad gubernamental</w:t>
      </w:r>
      <w:r w:rsidRPr="00A63A94">
        <w:rPr>
          <w:rFonts w:ascii="Palatino Linotype" w:eastAsia="Palatino Linotype" w:hAnsi="Palatino Linotype" w:cs="Palatino Linotype"/>
          <w:i/>
          <w:sz w:val="22"/>
          <w:szCs w:val="22"/>
          <w:lang w:eastAsia="es-MX"/>
        </w:rPr>
        <w:t>, que se aprueben en el marco del Sistema de Coordinación Hacendaria del Estado de México.</w:t>
      </w:r>
    </w:p>
    <w:p w14:paraId="437F49D7" w14:textId="77777777" w:rsidR="00A63A94" w:rsidRPr="00A63A94" w:rsidRDefault="00A63A94" w:rsidP="00A63A94">
      <w:pPr>
        <w:ind w:left="567" w:right="567"/>
        <w:jc w:val="both"/>
        <w:rPr>
          <w:rFonts w:ascii="Palatino Linotype" w:eastAsia="Palatino Linotype" w:hAnsi="Palatino Linotype" w:cs="Palatino Linotype"/>
          <w:b/>
          <w:i/>
          <w:sz w:val="22"/>
          <w:szCs w:val="22"/>
          <w:lang w:eastAsia="es-MX"/>
        </w:rPr>
      </w:pPr>
    </w:p>
    <w:p w14:paraId="05409C7E"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r w:rsidRPr="00A63A94">
        <w:rPr>
          <w:rFonts w:ascii="Palatino Linotype" w:eastAsia="Palatino Linotype" w:hAnsi="Palatino Linotype" w:cs="Palatino Linotype"/>
          <w:b/>
          <w:i/>
          <w:sz w:val="22"/>
          <w:szCs w:val="22"/>
          <w:lang w:eastAsia="es-MX"/>
        </w:rPr>
        <w:t>Artículo 343.-</w:t>
      </w:r>
      <w:r w:rsidRPr="00A63A94">
        <w:rPr>
          <w:rFonts w:ascii="Palatino Linotype" w:eastAsia="Palatino Linotype" w:hAnsi="Palatino Linotype" w:cs="Palatino Linotype"/>
          <w:i/>
          <w:sz w:val="22"/>
          <w:szCs w:val="22"/>
          <w:lang w:eastAsia="es-MX"/>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1AC04A05"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r w:rsidRPr="00A63A94">
        <w:rPr>
          <w:rFonts w:ascii="Palatino Linotype" w:eastAsia="Palatino Linotype" w:hAnsi="Palatino Linotype" w:cs="Palatino Linotype"/>
          <w:i/>
          <w:sz w:val="22"/>
          <w:szCs w:val="22"/>
          <w:lang w:eastAsia="es-MX"/>
        </w:rPr>
        <w:t>El sistema de contabilidad sobre base acumulativa total, se sustentará en las normas emitidas por el Consejo Nacional de Armonización Contable.</w:t>
      </w:r>
    </w:p>
    <w:p w14:paraId="5DE456CA" w14:textId="77777777" w:rsidR="00A63A94" w:rsidRPr="00A63A94" w:rsidRDefault="00A63A94" w:rsidP="00A63A94">
      <w:pPr>
        <w:ind w:left="567" w:right="567"/>
        <w:jc w:val="both"/>
        <w:rPr>
          <w:rFonts w:ascii="Palatino Linotype" w:eastAsia="Palatino Linotype" w:hAnsi="Palatino Linotype" w:cs="Palatino Linotype"/>
          <w:b/>
          <w:i/>
          <w:sz w:val="22"/>
          <w:szCs w:val="22"/>
          <w:lang w:eastAsia="es-MX"/>
        </w:rPr>
      </w:pPr>
    </w:p>
    <w:p w14:paraId="1BE26D55"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r w:rsidRPr="00A63A94">
        <w:rPr>
          <w:rFonts w:ascii="Palatino Linotype" w:eastAsia="Palatino Linotype" w:hAnsi="Palatino Linotype" w:cs="Palatino Linotype"/>
          <w:b/>
          <w:i/>
          <w:sz w:val="22"/>
          <w:szCs w:val="22"/>
          <w:lang w:eastAsia="es-MX"/>
        </w:rPr>
        <w:t xml:space="preserve">Artículo 344.- </w:t>
      </w:r>
      <w:r w:rsidRPr="00A63A94">
        <w:rPr>
          <w:rFonts w:ascii="Palatino Linotype" w:eastAsia="Palatino Linotype" w:hAnsi="Palatino Linotype" w:cs="Palatino Linotype"/>
          <w:i/>
          <w:sz w:val="22"/>
          <w:szCs w:val="22"/>
          <w:lang w:eastAsia="es-MX"/>
        </w:rPr>
        <w:t xml:space="preserve">Los Entes Públicos, a través de cualquiera de sus unidades administrativas, de acuerdo con su naturaleza jurídica y según corresponda, </w:t>
      </w:r>
      <w:r w:rsidRPr="00A63A94">
        <w:rPr>
          <w:rFonts w:ascii="Palatino Linotype" w:eastAsia="Palatino Linotype" w:hAnsi="Palatino Linotype" w:cs="Palatino Linotype"/>
          <w:i/>
          <w:sz w:val="22"/>
          <w:szCs w:val="22"/>
          <w:u w:val="single"/>
          <w:lang w:eastAsia="es-MX"/>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A63A94">
        <w:rPr>
          <w:rFonts w:ascii="Palatino Linotype" w:eastAsia="Palatino Linotype" w:hAnsi="Palatino Linotype" w:cs="Palatino Linotype"/>
          <w:i/>
          <w:sz w:val="22"/>
          <w:szCs w:val="22"/>
          <w:lang w:eastAsia="es-MX"/>
        </w:rPr>
        <w:t>.</w:t>
      </w:r>
    </w:p>
    <w:p w14:paraId="58892993" w14:textId="77777777" w:rsidR="00A63A94" w:rsidRPr="00A63A94" w:rsidRDefault="00A63A94" w:rsidP="00A63A94">
      <w:pPr>
        <w:ind w:left="567" w:right="567"/>
        <w:jc w:val="both"/>
        <w:rPr>
          <w:rFonts w:ascii="Palatino Linotype" w:eastAsia="Palatino Linotype" w:hAnsi="Palatino Linotype" w:cs="Palatino Linotype"/>
          <w:b/>
          <w:i/>
          <w:sz w:val="22"/>
          <w:szCs w:val="22"/>
          <w:lang w:eastAsia="es-MX"/>
        </w:rPr>
      </w:pPr>
    </w:p>
    <w:p w14:paraId="210CC21F" w14:textId="77777777" w:rsidR="00A63A94" w:rsidRPr="00A63A94" w:rsidRDefault="00A63A94" w:rsidP="00A63A94">
      <w:pPr>
        <w:ind w:left="567" w:right="567"/>
        <w:jc w:val="both"/>
        <w:rPr>
          <w:rFonts w:ascii="Palatino Linotype" w:eastAsia="Palatino Linotype" w:hAnsi="Palatino Linotype" w:cs="Palatino Linotype"/>
          <w:b/>
          <w:i/>
          <w:sz w:val="22"/>
          <w:szCs w:val="22"/>
          <w:lang w:eastAsia="es-MX"/>
        </w:rPr>
      </w:pPr>
      <w:r w:rsidRPr="00A63A94">
        <w:rPr>
          <w:rFonts w:ascii="Palatino Linotype" w:eastAsia="Palatino Linotype" w:hAnsi="Palatino Linotype" w:cs="Palatino Linotype"/>
          <w:b/>
          <w:i/>
          <w:sz w:val="22"/>
          <w:szCs w:val="22"/>
          <w:lang w:eastAsia="es-MX"/>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A63A94">
        <w:rPr>
          <w:rFonts w:ascii="Palatino Linotype" w:eastAsia="Palatino Linotype" w:hAnsi="Palatino Linotype" w:cs="Palatino Linotype"/>
          <w:i/>
          <w:sz w:val="22"/>
          <w:szCs w:val="22"/>
          <w:lang w:eastAsia="es-MX"/>
        </w:rPr>
        <w:t xml:space="preserve">según corresponda, así como de los órganos internos de control, </w:t>
      </w:r>
      <w:r w:rsidRPr="00A63A94">
        <w:rPr>
          <w:rFonts w:ascii="Palatino Linotype" w:eastAsia="Palatino Linotype" w:hAnsi="Palatino Linotype" w:cs="Palatino Linotype"/>
          <w:b/>
          <w:i/>
          <w:sz w:val="22"/>
          <w:szCs w:val="22"/>
          <w:lang w:eastAsia="es-MX"/>
        </w:rPr>
        <w:t>por un término de cinco años,</w:t>
      </w:r>
      <w:r w:rsidRPr="00A63A94">
        <w:rPr>
          <w:rFonts w:ascii="Palatino Linotype" w:eastAsia="Palatino Linotype" w:hAnsi="Palatino Linotype" w:cs="Palatino Linotype"/>
          <w:i/>
          <w:sz w:val="22"/>
          <w:szCs w:val="22"/>
          <w:lang w:eastAsia="es-MX"/>
        </w:rPr>
        <w:t xml:space="preserve"> contados a partir del ejercicio presupuestal siguiente al que corresponda,</w:t>
      </w:r>
      <w:r w:rsidRPr="00A63A94">
        <w:rPr>
          <w:rFonts w:ascii="Palatino Linotype" w:eastAsia="Palatino Linotype" w:hAnsi="Palatino Linotype" w:cs="Palatino Linotype"/>
          <w:b/>
          <w:i/>
          <w:sz w:val="22"/>
          <w:szCs w:val="22"/>
          <w:lang w:eastAsia="es-MX"/>
        </w:rPr>
        <w:t xml:space="preserve"> en el caso de los Municipios, dicha obligación corresponderá a la Tesorería.</w:t>
      </w:r>
    </w:p>
    <w:p w14:paraId="017FF150"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p>
    <w:p w14:paraId="24593992"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r w:rsidRPr="00A63A94">
        <w:rPr>
          <w:rFonts w:ascii="Palatino Linotype" w:eastAsia="Palatino Linotype" w:hAnsi="Palatino Linotype" w:cs="Palatino Linotype"/>
          <w:i/>
          <w:sz w:val="22"/>
          <w:szCs w:val="22"/>
          <w:lang w:eastAsia="es-MX"/>
        </w:rPr>
        <w:t>Tratándose de documentos de carácter histórico, se estará a lo dispuesto por la legislación de la materia.</w:t>
      </w:r>
    </w:p>
    <w:p w14:paraId="0E024FAA"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r w:rsidRPr="00A63A94">
        <w:rPr>
          <w:rFonts w:ascii="Palatino Linotype" w:eastAsia="Palatino Linotype" w:hAnsi="Palatino Linotype" w:cs="Palatino Linotype"/>
          <w:i/>
          <w:sz w:val="22"/>
          <w:szCs w:val="22"/>
          <w:lang w:eastAsia="es-MX"/>
        </w:rPr>
        <w:t>(…)</w:t>
      </w:r>
    </w:p>
    <w:p w14:paraId="09B6DF86"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r w:rsidRPr="00A63A94">
        <w:rPr>
          <w:rFonts w:ascii="Palatino Linotype" w:eastAsia="Palatino Linotype" w:hAnsi="Palatino Linotype" w:cs="Palatino Linotype"/>
          <w:b/>
          <w:i/>
          <w:sz w:val="22"/>
          <w:szCs w:val="22"/>
          <w:lang w:eastAsia="es-MX"/>
        </w:rPr>
        <w:t>Artículo 345.-</w:t>
      </w:r>
      <w:r w:rsidRPr="00A63A94">
        <w:rPr>
          <w:rFonts w:ascii="Palatino Linotype" w:eastAsia="Palatino Linotype" w:hAnsi="Palatino Linotype" w:cs="Palatino Linotype"/>
          <w:i/>
          <w:sz w:val="22"/>
          <w:szCs w:val="22"/>
          <w:lang w:eastAsia="es-MX"/>
        </w:rPr>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w:t>
      </w:r>
      <w:r w:rsidRPr="00A63A94">
        <w:rPr>
          <w:rFonts w:ascii="Palatino Linotype" w:eastAsia="Palatino Linotype" w:hAnsi="Palatino Linotype" w:cs="Palatino Linotype"/>
          <w:i/>
          <w:sz w:val="22"/>
          <w:szCs w:val="22"/>
          <w:u w:val="single"/>
          <w:lang w:eastAsia="es-MX"/>
        </w:rPr>
        <w:t>Tratándose de los comprobantes fiscales digitales, estos deberán estar agregados en forma electrónica a cada póliza de registro contable</w:t>
      </w:r>
      <w:r w:rsidRPr="00A63A94">
        <w:rPr>
          <w:rFonts w:ascii="Palatino Linotype" w:eastAsia="Palatino Linotype" w:hAnsi="Palatino Linotype" w:cs="Palatino Linotype"/>
          <w:i/>
          <w:sz w:val="22"/>
          <w:szCs w:val="22"/>
          <w:lang w:eastAsia="es-MX"/>
        </w:rPr>
        <w:t>.</w:t>
      </w:r>
    </w:p>
    <w:p w14:paraId="47A9E0B2"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p>
    <w:p w14:paraId="5B1DFA05"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r w:rsidRPr="00A63A94">
        <w:rPr>
          <w:rFonts w:ascii="Palatino Linotype" w:eastAsia="Palatino Linotype" w:hAnsi="Palatino Linotype" w:cs="Palatino Linotype"/>
          <w:i/>
          <w:sz w:val="22"/>
          <w:szCs w:val="22"/>
          <w:lang w:eastAsia="es-MX"/>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A63A94">
        <w:rPr>
          <w:rFonts w:ascii="Palatino Linotype" w:eastAsia="Palatino Linotype" w:hAnsi="Palatino Linotype" w:cs="Palatino Linotype"/>
          <w:b/>
          <w:i/>
          <w:sz w:val="22"/>
          <w:szCs w:val="22"/>
          <w:lang w:eastAsia="es-MX"/>
        </w:rPr>
        <w:t>deberán estar agregados en forma electrónica a cada póliza de registro contable</w:t>
      </w:r>
      <w:r w:rsidRPr="00A63A94">
        <w:rPr>
          <w:rFonts w:ascii="Palatino Linotype" w:eastAsia="Palatino Linotype" w:hAnsi="Palatino Linotype" w:cs="Palatino Linotype"/>
          <w:i/>
          <w:sz w:val="22"/>
          <w:szCs w:val="22"/>
          <w:lang w:eastAsia="es-MX"/>
        </w:rPr>
        <w:t>.</w:t>
      </w:r>
    </w:p>
    <w:p w14:paraId="280D82CF" w14:textId="77777777" w:rsidR="00A63A94" w:rsidRPr="00A63A94" w:rsidRDefault="00A63A94" w:rsidP="00A63A94">
      <w:pPr>
        <w:ind w:left="567" w:right="567"/>
        <w:jc w:val="both"/>
        <w:rPr>
          <w:rFonts w:ascii="Palatino Linotype" w:eastAsia="Palatino Linotype" w:hAnsi="Palatino Linotype" w:cs="Palatino Linotype"/>
          <w:i/>
          <w:sz w:val="22"/>
          <w:szCs w:val="22"/>
          <w:lang w:eastAsia="es-MX"/>
        </w:rPr>
      </w:pPr>
    </w:p>
    <w:p w14:paraId="296015BE" w14:textId="77777777" w:rsidR="00A63A94" w:rsidRPr="00A63A94" w:rsidRDefault="00A63A94" w:rsidP="00A63A94">
      <w:pPr>
        <w:ind w:left="567" w:right="567"/>
        <w:jc w:val="both"/>
        <w:rPr>
          <w:rFonts w:ascii="Palatino Linotype" w:eastAsia="Palatino Linotype" w:hAnsi="Palatino Linotype" w:cs="Palatino Linotype"/>
          <w:b/>
          <w:i/>
          <w:sz w:val="22"/>
          <w:szCs w:val="22"/>
          <w:lang w:eastAsia="es-MX"/>
        </w:rPr>
      </w:pPr>
      <w:r w:rsidRPr="00A63A94">
        <w:rPr>
          <w:rFonts w:ascii="Palatino Linotype" w:eastAsia="Palatino Linotype" w:hAnsi="Palatino Linotype" w:cs="Palatino Linotype"/>
          <w:i/>
          <w:sz w:val="22"/>
          <w:szCs w:val="22"/>
          <w:lang w:eastAsia="es-MX"/>
        </w:rPr>
        <w:lastRenderedPageBreak/>
        <w:t>El plazo señalado en este artículo empezará a contar a partir de la publicación en el Periódico Oficial, del decreto correspondiente.”</w:t>
      </w:r>
    </w:p>
    <w:p w14:paraId="662EEBFE" w14:textId="77777777" w:rsidR="00A63A94" w:rsidRPr="00A63A94" w:rsidRDefault="00A63A94" w:rsidP="00A63A94">
      <w:pPr>
        <w:spacing w:line="360" w:lineRule="auto"/>
        <w:jc w:val="both"/>
        <w:rPr>
          <w:rFonts w:ascii="Palatino Linotype" w:eastAsia="Palatino Linotype" w:hAnsi="Palatino Linotype" w:cs="Palatino Linotype"/>
          <w:lang w:eastAsia="es-MX"/>
        </w:rPr>
      </w:pPr>
    </w:p>
    <w:p w14:paraId="3120648A" w14:textId="77777777" w:rsidR="00A63A94" w:rsidRPr="00A63A94" w:rsidRDefault="00A63A94" w:rsidP="00A63A94">
      <w:pPr>
        <w:spacing w:line="360" w:lineRule="auto"/>
        <w:jc w:val="both"/>
        <w:rPr>
          <w:rFonts w:ascii="Palatino Linotype" w:eastAsia="Palatino Linotype" w:hAnsi="Palatino Linotype" w:cs="Palatino Linotype"/>
          <w:lang w:eastAsia="es-MX"/>
        </w:rPr>
      </w:pPr>
      <w:r w:rsidRPr="00A63A94">
        <w:rPr>
          <w:rFonts w:ascii="Palatino Linotype" w:eastAsia="Palatino Linotype" w:hAnsi="Palatino Linotype" w:cs="Palatino Linotype"/>
          <w:lang w:eastAsia="es-MX"/>
        </w:rPr>
        <w:t xml:space="preserve">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w:t>
      </w:r>
      <w:proofErr w:type="spellStart"/>
      <w:r w:rsidRPr="00A63A94">
        <w:rPr>
          <w:rFonts w:ascii="Palatino Linotype" w:eastAsia="Palatino Linotype" w:hAnsi="Palatino Linotype" w:cs="Palatino Linotype"/>
          <w:lang w:eastAsia="es-MX"/>
        </w:rPr>
        <w:t>presupuestación</w:t>
      </w:r>
      <w:proofErr w:type="spellEnd"/>
      <w:r w:rsidRPr="00A63A94">
        <w:rPr>
          <w:rFonts w:ascii="Palatino Linotype" w:eastAsia="Palatino Linotype" w:hAnsi="Palatino Linotype" w:cs="Palatino Linotype"/>
          <w:lang w:eastAsia="es-MX"/>
        </w:rPr>
        <w:t>, evaluación y contabilidad gubernamental.</w:t>
      </w:r>
    </w:p>
    <w:p w14:paraId="42BDBFE0" w14:textId="77777777" w:rsidR="00A63A94" w:rsidRPr="00A63A94" w:rsidRDefault="00A63A94" w:rsidP="00A63A94">
      <w:pPr>
        <w:spacing w:line="360" w:lineRule="auto"/>
        <w:jc w:val="both"/>
        <w:rPr>
          <w:rFonts w:ascii="Palatino Linotype" w:eastAsia="Palatino Linotype" w:hAnsi="Palatino Linotype" w:cs="Palatino Linotype"/>
          <w:lang w:eastAsia="es-MX"/>
        </w:rPr>
      </w:pPr>
    </w:p>
    <w:p w14:paraId="0476C1A1" w14:textId="77777777" w:rsidR="00A63A94" w:rsidRPr="00A63A94" w:rsidRDefault="00A63A94" w:rsidP="00A63A94">
      <w:pPr>
        <w:spacing w:line="360" w:lineRule="auto"/>
        <w:jc w:val="both"/>
        <w:rPr>
          <w:rFonts w:ascii="Palatino Linotype" w:eastAsia="Palatino Linotype" w:hAnsi="Palatino Linotype" w:cs="Palatino Linotype"/>
          <w:lang w:eastAsia="es-MX"/>
        </w:rPr>
      </w:pPr>
      <w:r w:rsidRPr="00A63A94">
        <w:rPr>
          <w:rFonts w:ascii="Palatino Linotype" w:eastAsia="Palatino Linotype" w:hAnsi="Palatino Linotype" w:cs="Palatino Linotype"/>
          <w:lang w:eastAsia="es-MX"/>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w:t>
      </w:r>
      <w:proofErr w:type="spellStart"/>
      <w:r w:rsidRPr="00A63A94">
        <w:rPr>
          <w:rFonts w:ascii="Palatino Linotype" w:eastAsia="Palatino Linotype" w:hAnsi="Palatino Linotype" w:cs="Palatino Linotype"/>
          <w:lang w:eastAsia="es-MX"/>
        </w:rPr>
        <w:t>Presupuestación</w:t>
      </w:r>
      <w:proofErr w:type="spellEnd"/>
      <w:r w:rsidRPr="00A63A94">
        <w:rPr>
          <w:rFonts w:ascii="Palatino Linotype" w:eastAsia="Palatino Linotype" w:hAnsi="Palatino Linotype" w:cs="Palatino Linotype"/>
          <w:lang w:eastAsia="es-MX"/>
        </w:rPr>
        <w:t xml:space="preserve"> y Evaluación en la Administración Pública”</w:t>
      </w:r>
      <w:r w:rsidRPr="00A63A94">
        <w:rPr>
          <w:rFonts w:ascii="Palatino Linotype" w:eastAsia="Palatino Linotype" w:hAnsi="Palatino Linotype" w:cs="Palatino Linotype"/>
          <w:vertAlign w:val="superscript"/>
          <w:lang w:eastAsia="es-MX"/>
        </w:rPr>
        <w:footnoteReference w:id="2"/>
      </w:r>
      <w:r w:rsidRPr="00A63A94">
        <w:rPr>
          <w:rFonts w:ascii="Palatino Linotype" w:eastAsia="Palatino Linotype" w:hAnsi="Palatino Linotype" w:cs="Palatino Linotype"/>
          <w:lang w:eastAsia="es-MX"/>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5AEEFB61" w14:textId="77777777" w:rsidR="00A63A94" w:rsidRPr="00A63A94" w:rsidRDefault="00A63A94" w:rsidP="00A63A94">
      <w:pPr>
        <w:spacing w:line="360" w:lineRule="auto"/>
        <w:jc w:val="both"/>
        <w:rPr>
          <w:rFonts w:ascii="Palatino Linotype" w:eastAsia="Palatino Linotype" w:hAnsi="Palatino Linotype" w:cs="Palatino Linotype"/>
          <w:lang w:eastAsia="es-MX"/>
        </w:rPr>
      </w:pPr>
    </w:p>
    <w:p w14:paraId="1D2E936E" w14:textId="77777777" w:rsidR="00A63A94" w:rsidRPr="00A63A94" w:rsidRDefault="00A63A94" w:rsidP="00A63A94">
      <w:pPr>
        <w:ind w:left="567" w:right="616" w:hanging="9"/>
        <w:jc w:val="both"/>
        <w:rPr>
          <w:rFonts w:ascii="Palatino Linotype" w:eastAsia="Palatino Linotype" w:hAnsi="Palatino Linotype" w:cs="Palatino Linotype"/>
          <w:b/>
          <w:i/>
          <w:sz w:val="22"/>
          <w:szCs w:val="22"/>
          <w:lang w:eastAsia="es-MX"/>
        </w:rPr>
      </w:pPr>
      <w:r w:rsidRPr="00A63A94">
        <w:rPr>
          <w:rFonts w:ascii="Palatino Linotype" w:eastAsia="Palatino Linotype" w:hAnsi="Palatino Linotype" w:cs="Palatino Linotype"/>
          <w:b/>
          <w:i/>
          <w:sz w:val="22"/>
          <w:szCs w:val="22"/>
          <w:lang w:eastAsia="es-MX"/>
        </w:rPr>
        <w:t>“REGISTRO CONTABLE</w:t>
      </w:r>
    </w:p>
    <w:p w14:paraId="1EDA989D" w14:textId="77777777" w:rsidR="00A63A94" w:rsidRPr="00A63A94" w:rsidRDefault="00A63A94" w:rsidP="00A63A94">
      <w:pPr>
        <w:ind w:left="567" w:right="616" w:hanging="9"/>
        <w:jc w:val="both"/>
        <w:rPr>
          <w:rFonts w:ascii="Palatino Linotype" w:eastAsia="Palatino Linotype" w:hAnsi="Palatino Linotype" w:cs="Palatino Linotype"/>
          <w:i/>
          <w:sz w:val="22"/>
          <w:szCs w:val="22"/>
          <w:lang w:eastAsia="es-MX"/>
        </w:rPr>
      </w:pPr>
      <w:r w:rsidRPr="00A63A94">
        <w:rPr>
          <w:rFonts w:ascii="Palatino Linotype" w:eastAsia="Palatino Linotype" w:hAnsi="Palatino Linotype" w:cs="Palatino Linotype"/>
          <w:i/>
          <w:sz w:val="22"/>
          <w:szCs w:val="22"/>
          <w:lang w:eastAsia="es-MX"/>
        </w:rPr>
        <w:t>Asiento que se realiza en los libros de contabilidad de las actividades relacionadas con el ingreso y egresos de un ente económico.”</w:t>
      </w:r>
    </w:p>
    <w:p w14:paraId="431D749C" w14:textId="77777777" w:rsidR="00A63A94" w:rsidRDefault="00A63A94" w:rsidP="00A63A94">
      <w:pPr>
        <w:ind w:left="567" w:right="616" w:hanging="9"/>
        <w:jc w:val="both"/>
        <w:rPr>
          <w:rFonts w:ascii="Palatino Linotype" w:eastAsia="Palatino Linotype" w:hAnsi="Palatino Linotype" w:cs="Palatino Linotype"/>
          <w:b/>
          <w:i/>
          <w:sz w:val="22"/>
          <w:szCs w:val="22"/>
          <w:lang w:eastAsia="es-MX"/>
        </w:rPr>
      </w:pPr>
    </w:p>
    <w:p w14:paraId="546E859A" w14:textId="77777777" w:rsidR="00A63A94" w:rsidRDefault="00A63A94" w:rsidP="00A63A94">
      <w:pPr>
        <w:ind w:left="567" w:right="616" w:hanging="9"/>
        <w:jc w:val="both"/>
        <w:rPr>
          <w:rFonts w:ascii="Palatino Linotype" w:eastAsia="Palatino Linotype" w:hAnsi="Palatino Linotype" w:cs="Palatino Linotype"/>
          <w:b/>
          <w:i/>
          <w:sz w:val="22"/>
          <w:szCs w:val="22"/>
          <w:lang w:eastAsia="es-MX"/>
        </w:rPr>
      </w:pPr>
    </w:p>
    <w:p w14:paraId="6C1DE284" w14:textId="77777777" w:rsidR="00A63A94" w:rsidRDefault="00A63A94" w:rsidP="00A63A94">
      <w:pPr>
        <w:ind w:left="567" w:right="616" w:hanging="9"/>
        <w:jc w:val="both"/>
        <w:rPr>
          <w:rFonts w:ascii="Palatino Linotype" w:eastAsia="Palatino Linotype" w:hAnsi="Palatino Linotype" w:cs="Palatino Linotype"/>
          <w:b/>
          <w:i/>
          <w:sz w:val="22"/>
          <w:szCs w:val="22"/>
          <w:lang w:eastAsia="es-MX"/>
        </w:rPr>
      </w:pPr>
    </w:p>
    <w:p w14:paraId="608F5D3B" w14:textId="77777777" w:rsidR="00A63A94" w:rsidRPr="00A63A94" w:rsidRDefault="00A63A94" w:rsidP="00A63A94">
      <w:pPr>
        <w:ind w:left="567" w:right="616" w:hanging="9"/>
        <w:jc w:val="both"/>
        <w:rPr>
          <w:rFonts w:ascii="Palatino Linotype" w:eastAsia="Palatino Linotype" w:hAnsi="Palatino Linotype" w:cs="Palatino Linotype"/>
          <w:b/>
          <w:i/>
          <w:sz w:val="22"/>
          <w:szCs w:val="22"/>
          <w:lang w:eastAsia="es-MX"/>
        </w:rPr>
      </w:pPr>
    </w:p>
    <w:p w14:paraId="5C0F59A4" w14:textId="77777777" w:rsidR="00A63A94" w:rsidRPr="00A63A94" w:rsidRDefault="00A63A94" w:rsidP="00A63A94">
      <w:pPr>
        <w:ind w:left="567" w:right="616" w:hanging="9"/>
        <w:jc w:val="both"/>
        <w:rPr>
          <w:rFonts w:ascii="Palatino Linotype" w:eastAsia="Palatino Linotype" w:hAnsi="Palatino Linotype" w:cs="Palatino Linotype"/>
          <w:b/>
          <w:i/>
          <w:sz w:val="22"/>
          <w:szCs w:val="22"/>
          <w:lang w:eastAsia="es-MX"/>
        </w:rPr>
      </w:pPr>
      <w:r w:rsidRPr="00A63A94">
        <w:rPr>
          <w:rFonts w:ascii="Palatino Linotype" w:eastAsia="Palatino Linotype" w:hAnsi="Palatino Linotype" w:cs="Palatino Linotype"/>
          <w:b/>
          <w:i/>
          <w:sz w:val="22"/>
          <w:szCs w:val="22"/>
          <w:lang w:eastAsia="es-MX"/>
        </w:rPr>
        <w:lastRenderedPageBreak/>
        <w:t>“REGISTRO PRESUPUESTARIO</w:t>
      </w:r>
    </w:p>
    <w:p w14:paraId="53EEC1AB" w14:textId="77777777" w:rsidR="00A63A94" w:rsidRPr="00A63A94" w:rsidRDefault="00A63A94" w:rsidP="00A63A94">
      <w:pPr>
        <w:ind w:left="567" w:right="616" w:hanging="9"/>
        <w:jc w:val="both"/>
        <w:rPr>
          <w:rFonts w:ascii="Palatino Linotype" w:eastAsia="Palatino Linotype" w:hAnsi="Palatino Linotype" w:cs="Palatino Linotype"/>
          <w:i/>
          <w:sz w:val="22"/>
          <w:szCs w:val="22"/>
          <w:lang w:eastAsia="es-MX"/>
        </w:rPr>
      </w:pPr>
      <w:r w:rsidRPr="00A63A94">
        <w:rPr>
          <w:rFonts w:ascii="Palatino Linotype" w:eastAsia="Palatino Linotype" w:hAnsi="Palatino Linotype" w:cs="Palatino Linotype"/>
          <w:i/>
          <w:sz w:val="22"/>
          <w:szCs w:val="22"/>
          <w:lang w:eastAsia="es-MX"/>
        </w:rPr>
        <w:t>Asiento contable de las erogaciones realizadas por las dependencias y entidades con relación a la asignación, modificación y ejercicio de los recursos presupuestarios que se les hayan autorizado.”</w:t>
      </w:r>
    </w:p>
    <w:p w14:paraId="098895D7" w14:textId="77777777" w:rsidR="00A63A94" w:rsidRPr="00A63A94" w:rsidRDefault="00A63A94" w:rsidP="00A63A94">
      <w:pPr>
        <w:spacing w:line="360" w:lineRule="auto"/>
        <w:ind w:right="51"/>
        <w:jc w:val="both"/>
        <w:rPr>
          <w:rFonts w:ascii="Palatino Linotype" w:eastAsia="Palatino Linotype" w:hAnsi="Palatino Linotype" w:cs="Palatino Linotype"/>
          <w:lang w:eastAsia="es-MX"/>
        </w:rPr>
      </w:pPr>
    </w:p>
    <w:p w14:paraId="57E90EFA" w14:textId="77777777" w:rsidR="00A63A94" w:rsidRPr="00A63A94" w:rsidRDefault="00A63A94" w:rsidP="00A63A94">
      <w:pPr>
        <w:spacing w:line="360" w:lineRule="auto"/>
        <w:ind w:right="51"/>
        <w:jc w:val="both"/>
        <w:rPr>
          <w:rFonts w:ascii="Palatino Linotype" w:eastAsia="Palatino Linotype" w:hAnsi="Palatino Linotype" w:cs="Palatino Linotype"/>
          <w:lang w:eastAsia="es-MX"/>
        </w:rPr>
      </w:pPr>
      <w:r w:rsidRPr="00A63A94">
        <w:rPr>
          <w:rFonts w:ascii="Palatino Linotype" w:eastAsia="Palatino Linotype" w:hAnsi="Palatino Linotype" w:cs="Palatino Linotype"/>
          <w:lang w:eastAsia="es-MX"/>
        </w:rPr>
        <w:t>Como bien se desprende de las definiciones, los registros contables y presupuestarios son asientos o anotaciones contables que se realizan tanto de los ingresos como de los egresos, a decir se trata de un control financiero en el que se reconoce la obligación del Tesorero de llevar dicho registro.</w:t>
      </w:r>
    </w:p>
    <w:p w14:paraId="22F07DAA" w14:textId="77777777" w:rsidR="00A63A94" w:rsidRPr="00A63A94" w:rsidRDefault="00A63A94" w:rsidP="00A63A94">
      <w:pPr>
        <w:spacing w:line="360" w:lineRule="auto"/>
        <w:jc w:val="both"/>
        <w:rPr>
          <w:rFonts w:ascii="Palatino Linotype" w:eastAsia="Palatino Linotype" w:hAnsi="Palatino Linotype" w:cs="Palatino Linotype"/>
          <w:lang w:eastAsia="es-MX"/>
        </w:rPr>
      </w:pPr>
    </w:p>
    <w:p w14:paraId="7F11AB5C" w14:textId="77777777" w:rsidR="00A63A94" w:rsidRPr="00A63A94" w:rsidRDefault="00A63A94" w:rsidP="00A63A94">
      <w:pPr>
        <w:spacing w:line="360" w:lineRule="auto"/>
        <w:jc w:val="both"/>
        <w:rPr>
          <w:rFonts w:ascii="Palatino Linotype" w:eastAsia="Palatino Linotype" w:hAnsi="Palatino Linotype" w:cs="Palatino Linotype"/>
          <w:lang w:eastAsia="es-MX"/>
        </w:rPr>
      </w:pPr>
      <w:r w:rsidRPr="00A63A94">
        <w:rPr>
          <w:rFonts w:ascii="Palatino Linotype" w:eastAsia="Palatino Linotype" w:hAnsi="Palatino Linotype" w:cs="Palatino Linotype"/>
          <w:lang w:eastAsia="es-MX"/>
        </w:rPr>
        <w:t>Por otra parte, se establece que el sistema de contabilidad sobre base acumulativa total se sustentará en los principios de contabilidad gubernamental. 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63E7E8FF" w14:textId="77777777" w:rsidR="00A63A94" w:rsidRPr="00A63A94" w:rsidRDefault="00A63A94" w:rsidP="00A63A94">
      <w:pPr>
        <w:spacing w:line="360" w:lineRule="auto"/>
        <w:jc w:val="both"/>
        <w:rPr>
          <w:rFonts w:ascii="Palatino Linotype" w:eastAsia="Palatino Linotype" w:hAnsi="Palatino Linotype" w:cs="Palatino Linotype"/>
          <w:lang w:eastAsia="es-MX"/>
        </w:rPr>
      </w:pPr>
    </w:p>
    <w:p w14:paraId="52E27326" w14:textId="77777777" w:rsidR="00A63A94" w:rsidRPr="00A63A94" w:rsidRDefault="00A63A94" w:rsidP="00A63A94">
      <w:pPr>
        <w:spacing w:line="360" w:lineRule="auto"/>
        <w:jc w:val="both"/>
        <w:rPr>
          <w:rFonts w:ascii="Palatino Linotype" w:eastAsia="Palatino Linotype" w:hAnsi="Palatino Linotype" w:cs="Palatino Linotype"/>
          <w:lang w:eastAsia="es-MX"/>
        </w:rPr>
      </w:pPr>
      <w:r w:rsidRPr="00A63A94">
        <w:rPr>
          <w:rFonts w:ascii="Palatino Linotype" w:eastAsia="Palatino Linotype" w:hAnsi="Palatino Linotype" w:cs="Palatino Linotype"/>
          <w:lang w:eastAsia="es-MX"/>
        </w:rPr>
        <w:t xml:space="preserve">Correlativo a lo anterior, es preciso referir una definición de </w:t>
      </w:r>
      <w:r w:rsidRPr="00A63A94">
        <w:rPr>
          <w:rFonts w:ascii="Palatino Linotype" w:eastAsia="Palatino Linotype" w:hAnsi="Palatino Linotype" w:cs="Palatino Linotype"/>
          <w:i/>
          <w:lang w:eastAsia="es-MX"/>
        </w:rPr>
        <w:t>póliza contable</w:t>
      </w:r>
      <w:r w:rsidRPr="00A63A94">
        <w:rPr>
          <w:rFonts w:ascii="Palatino Linotype" w:eastAsia="Palatino Linotype" w:hAnsi="Palatino Linotype" w:cs="Palatino Linotype"/>
          <w:lang w:eastAsia="es-MX"/>
        </w:rPr>
        <w:t>, la cual, primeramente, no está definida en el Código Financiero del Estado de México y Municipios; no obstante, el ya mencionado Glosario la define como:</w:t>
      </w:r>
    </w:p>
    <w:p w14:paraId="546863F4" w14:textId="77777777" w:rsidR="00A63A94" w:rsidRPr="00A63A94" w:rsidRDefault="00A63A94" w:rsidP="00A63A94">
      <w:pPr>
        <w:rPr>
          <w:rFonts w:asciiTheme="minorHAnsi" w:eastAsiaTheme="minorHAnsi" w:hAnsiTheme="minorHAnsi" w:cstheme="minorBidi"/>
          <w:sz w:val="22"/>
          <w:szCs w:val="22"/>
          <w:lang w:eastAsia="es-MX"/>
        </w:rPr>
      </w:pPr>
    </w:p>
    <w:p w14:paraId="43CF57BD" w14:textId="77777777" w:rsidR="00A63A94" w:rsidRPr="00A63A94" w:rsidRDefault="00A63A94" w:rsidP="00A63A94">
      <w:pPr>
        <w:ind w:left="567" w:right="616"/>
        <w:jc w:val="both"/>
        <w:rPr>
          <w:rFonts w:ascii="Palatino Linotype" w:eastAsia="Palatino Linotype" w:hAnsi="Palatino Linotype" w:cs="Palatino Linotype"/>
          <w:b/>
          <w:i/>
          <w:sz w:val="22"/>
          <w:szCs w:val="22"/>
          <w:lang w:eastAsia="es-MX"/>
        </w:rPr>
      </w:pPr>
      <w:r w:rsidRPr="00A63A94">
        <w:rPr>
          <w:rFonts w:ascii="Palatino Linotype" w:eastAsia="Palatino Linotype" w:hAnsi="Palatino Linotype" w:cs="Palatino Linotype"/>
          <w:i/>
          <w:sz w:val="22"/>
          <w:szCs w:val="22"/>
          <w:lang w:eastAsia="es-MX"/>
        </w:rPr>
        <w:t>“</w:t>
      </w:r>
      <w:r w:rsidRPr="00A63A94">
        <w:rPr>
          <w:rFonts w:ascii="Palatino Linotype" w:eastAsia="Palatino Linotype" w:hAnsi="Palatino Linotype" w:cs="Palatino Linotype"/>
          <w:b/>
          <w:i/>
          <w:sz w:val="22"/>
          <w:szCs w:val="22"/>
          <w:lang w:eastAsia="es-MX"/>
        </w:rPr>
        <w:t>PÓLIZA CONTABLE</w:t>
      </w:r>
    </w:p>
    <w:p w14:paraId="0465CE2C" w14:textId="77777777" w:rsidR="00A63A94" w:rsidRPr="00A63A94" w:rsidRDefault="00A63A94" w:rsidP="00A63A94">
      <w:pPr>
        <w:ind w:left="567" w:right="616"/>
        <w:jc w:val="both"/>
        <w:rPr>
          <w:rFonts w:ascii="Palatino Linotype" w:eastAsia="Palatino Linotype" w:hAnsi="Palatino Linotype" w:cs="Palatino Linotype"/>
          <w:i/>
          <w:sz w:val="22"/>
          <w:szCs w:val="22"/>
          <w:lang w:eastAsia="es-MX"/>
        </w:rPr>
      </w:pPr>
      <w:r w:rsidRPr="00A63A94">
        <w:rPr>
          <w:rFonts w:ascii="Palatino Linotype" w:eastAsia="Palatino Linotype" w:hAnsi="Palatino Linotype" w:cs="Palatino Linotype"/>
          <w:i/>
          <w:sz w:val="22"/>
          <w:szCs w:val="22"/>
          <w:lang w:eastAsia="es-MX"/>
        </w:rPr>
        <w:t xml:space="preserve">Documento en el cual se asientan en forma individual todas y cada una de las operaciones desarrolladas por una institución, así como la información necesaria para la identificación de dichas operaciones.” </w:t>
      </w:r>
    </w:p>
    <w:p w14:paraId="50A31FA9" w14:textId="77777777" w:rsidR="00A63A94" w:rsidRPr="00A63A94" w:rsidRDefault="00A63A94" w:rsidP="00A63A94">
      <w:pPr>
        <w:spacing w:line="360" w:lineRule="auto"/>
        <w:jc w:val="both"/>
        <w:rPr>
          <w:rFonts w:ascii="Palatino Linotype" w:eastAsia="Palatino Linotype" w:hAnsi="Palatino Linotype" w:cs="Palatino Linotype"/>
          <w:lang w:eastAsia="es-MX"/>
        </w:rPr>
      </w:pPr>
    </w:p>
    <w:p w14:paraId="1D0280A5" w14:textId="77777777" w:rsidR="00A63A94" w:rsidRPr="00A63A94" w:rsidRDefault="00A63A94" w:rsidP="00A63A94">
      <w:pPr>
        <w:spacing w:line="360" w:lineRule="auto"/>
        <w:jc w:val="both"/>
        <w:rPr>
          <w:rFonts w:ascii="Palatino Linotype" w:eastAsia="Palatino Linotype" w:hAnsi="Palatino Linotype" w:cs="Palatino Linotype"/>
          <w:lang w:eastAsia="es-MX"/>
        </w:rPr>
      </w:pPr>
      <w:r w:rsidRPr="00A63A94">
        <w:rPr>
          <w:rFonts w:ascii="Palatino Linotype" w:eastAsia="Palatino Linotype" w:hAnsi="Palatino Linotype" w:cs="Palatino Linotype"/>
          <w:lang w:eastAsia="es-MX"/>
        </w:rPr>
        <w:t xml:space="preserve">Así, se advierte que la </w:t>
      </w:r>
      <w:r w:rsidRPr="00A63A94">
        <w:rPr>
          <w:rFonts w:ascii="Palatino Linotype" w:eastAsia="Palatino Linotype" w:hAnsi="Palatino Linotype" w:cs="Palatino Linotype"/>
          <w:i/>
          <w:lang w:eastAsia="es-MX"/>
        </w:rPr>
        <w:t>póliza contable</w:t>
      </w:r>
      <w:r w:rsidRPr="00A63A94">
        <w:rPr>
          <w:rFonts w:ascii="Palatino Linotype" w:eastAsia="Palatino Linotype" w:hAnsi="Palatino Linotype" w:cs="Palatino Linotype"/>
          <w:lang w:eastAsia="es-MX"/>
        </w:rPr>
        <w:t xml:space="preserve"> constituye un registro contable y presupuestal con el que cuentan los Municipios para el registro de operaciones relacionadas con </w:t>
      </w:r>
      <w:r w:rsidRPr="00A63A94">
        <w:rPr>
          <w:rFonts w:ascii="Palatino Linotype" w:eastAsia="Palatino Linotype" w:hAnsi="Palatino Linotype" w:cs="Palatino Linotype"/>
          <w:u w:val="single"/>
          <w:lang w:eastAsia="es-MX"/>
        </w:rPr>
        <w:t>ingresos y egresos</w:t>
      </w:r>
      <w:r w:rsidRPr="00A63A94">
        <w:rPr>
          <w:rFonts w:ascii="Palatino Linotype" w:eastAsia="Palatino Linotype" w:hAnsi="Palatino Linotype" w:cs="Palatino Linotype"/>
          <w:lang w:eastAsia="es-MX"/>
        </w:rPr>
        <w:t xml:space="preserve"> y se anexan los documentos o comprobantes que justifiquen las anotaciones </w:t>
      </w:r>
      <w:r w:rsidRPr="00A63A94">
        <w:rPr>
          <w:rFonts w:ascii="Palatino Linotype" w:eastAsia="Palatino Linotype" w:hAnsi="Palatino Linotype" w:cs="Palatino Linotype"/>
          <w:lang w:eastAsia="es-MX"/>
        </w:rPr>
        <w:lastRenderedPageBreak/>
        <w:t>y cantidades en ellas registradas, lo que permite la identificación plena de dichas operaciones.</w:t>
      </w:r>
    </w:p>
    <w:p w14:paraId="040E0326" w14:textId="77777777" w:rsidR="00A63A94" w:rsidRPr="00A63A94" w:rsidRDefault="00A63A94" w:rsidP="00A63A94">
      <w:pPr>
        <w:spacing w:line="360" w:lineRule="auto"/>
        <w:jc w:val="both"/>
        <w:rPr>
          <w:rFonts w:ascii="Palatino Linotype" w:eastAsia="Palatino Linotype" w:hAnsi="Palatino Linotype" w:cs="Palatino Linotype"/>
          <w:i/>
          <w:sz w:val="22"/>
          <w:szCs w:val="22"/>
          <w:lang w:eastAsia="es-MX"/>
        </w:rPr>
      </w:pPr>
    </w:p>
    <w:p w14:paraId="289B8E0A" w14:textId="77777777" w:rsidR="00A63A94" w:rsidRPr="00A63A94" w:rsidRDefault="00A63A94" w:rsidP="00A63A94">
      <w:pPr>
        <w:spacing w:line="360" w:lineRule="auto"/>
        <w:jc w:val="both"/>
        <w:rPr>
          <w:rFonts w:ascii="Palatino Linotype" w:eastAsia="Palatino Linotype" w:hAnsi="Palatino Linotype" w:cs="Palatino Linotype"/>
          <w:lang w:eastAsia="es-MX"/>
        </w:rPr>
      </w:pPr>
      <w:r w:rsidRPr="00A63A94">
        <w:rPr>
          <w:rFonts w:ascii="Palatino Linotype" w:eastAsia="Palatino Linotype" w:hAnsi="Palatino Linotype" w:cs="Palatino Linotype"/>
          <w:lang w:eastAsia="es-MX"/>
        </w:rPr>
        <w:t xml:space="preserve">En este sentido, existen diversos tipos de pólizas contables de acuerdo a las operaciones realizadas, dentro de las cuales, encontramos las </w:t>
      </w:r>
      <w:r w:rsidRPr="00A63A94">
        <w:rPr>
          <w:rFonts w:ascii="Palatino Linotype" w:eastAsia="Palatino Linotype" w:hAnsi="Palatino Linotype" w:cs="Palatino Linotype"/>
          <w:i/>
          <w:lang w:eastAsia="es-MX"/>
        </w:rPr>
        <w:t>pólizas de egresos e ingresos</w:t>
      </w:r>
      <w:r w:rsidRPr="00A63A94">
        <w:rPr>
          <w:rFonts w:ascii="Palatino Linotype" w:eastAsia="Palatino Linotype" w:hAnsi="Palatino Linotype" w:cs="Palatino Linotype"/>
          <w:lang w:eastAsia="es-MX"/>
        </w:rPr>
        <w:t xml:space="preserve">, </w:t>
      </w:r>
      <w:r w:rsidRPr="00A63A94">
        <w:rPr>
          <w:rFonts w:ascii="Palatino Linotype" w:eastAsia="Palatino Linotype" w:hAnsi="Palatino Linotype" w:cs="Palatino Linotype"/>
          <w:b/>
          <w:lang w:eastAsia="es-MX"/>
        </w:rPr>
        <w:t xml:space="preserve">las primeras son aquellas en las cuales </w:t>
      </w:r>
      <w:r w:rsidRPr="00A63A94">
        <w:rPr>
          <w:rFonts w:ascii="Palatino Linotype" w:eastAsia="Palatino Linotype" w:hAnsi="Palatino Linotype" w:cs="Palatino Linotype"/>
          <w:b/>
          <w:u w:val="single"/>
          <w:lang w:eastAsia="es-MX"/>
        </w:rPr>
        <w:t>se anotan diariamente las operaciones que representan gastos, es decir, salidas de dinero</w:t>
      </w:r>
      <w:r w:rsidRPr="00A63A94">
        <w:rPr>
          <w:rFonts w:ascii="Palatino Linotype" w:eastAsia="Palatino Linotype" w:hAnsi="Palatino Linotype" w:cs="Palatino Linotype"/>
          <w:lang w:eastAsia="es-MX"/>
        </w:rPr>
        <w:t xml:space="preserve"> para el </w:t>
      </w:r>
      <w:r w:rsidRPr="00A63A94">
        <w:rPr>
          <w:rFonts w:ascii="Palatino Linotype" w:eastAsia="Palatino Linotype" w:hAnsi="Palatino Linotype" w:cs="Palatino Linotype"/>
          <w:b/>
          <w:lang w:eastAsia="es-MX"/>
        </w:rPr>
        <w:t>Sujeto Obligado,</w:t>
      </w:r>
      <w:r w:rsidRPr="00A63A94">
        <w:rPr>
          <w:rFonts w:ascii="Palatino Linotype" w:eastAsia="Palatino Linotype" w:hAnsi="Palatino Linotype" w:cs="Palatino Linotype"/>
          <w:lang w:eastAsia="es-MX"/>
        </w:rPr>
        <w:t xml:space="preserve"> las que además, </w:t>
      </w:r>
      <w:r w:rsidRPr="00A63A94">
        <w:rPr>
          <w:rFonts w:ascii="Palatino Linotype" w:eastAsia="Palatino Linotype" w:hAnsi="Palatino Linotype" w:cs="Palatino Linotype"/>
          <w:b/>
          <w:lang w:eastAsia="es-MX"/>
        </w:rPr>
        <w:t>deben encontrarse acompañadas de las documentales que sirven de soporte de dicho movimiento</w:t>
      </w:r>
      <w:r w:rsidRPr="00A63A94">
        <w:rPr>
          <w:rFonts w:ascii="Palatino Linotype" w:eastAsia="Palatino Linotype" w:hAnsi="Palatino Linotype" w:cs="Palatino Linotype"/>
          <w:lang w:eastAsia="es-MX"/>
        </w:rPr>
        <w:t>, en atención a las segundas, registran todas la entradas de dinero independientemente de la modalidad, ya sea en efectivo, transferencia, cheque o pagaré, mediante la expedición de facturas.</w:t>
      </w:r>
    </w:p>
    <w:p w14:paraId="72A4E92D" w14:textId="77777777" w:rsidR="00A63A94" w:rsidRPr="00A63A94" w:rsidRDefault="00A63A94" w:rsidP="00A63A94">
      <w:pPr>
        <w:spacing w:line="360" w:lineRule="auto"/>
        <w:ind w:right="51"/>
        <w:jc w:val="both"/>
        <w:rPr>
          <w:rFonts w:ascii="Palatino Linotype" w:eastAsia="Palatino Linotype" w:hAnsi="Palatino Linotype" w:cs="Palatino Linotype"/>
          <w:lang w:eastAsia="es-MX"/>
        </w:rPr>
      </w:pPr>
    </w:p>
    <w:p w14:paraId="66DF573F" w14:textId="2122F191" w:rsidR="00CB535A" w:rsidRDefault="00A63A94" w:rsidP="00A63A94">
      <w:pPr>
        <w:spacing w:line="360" w:lineRule="auto"/>
        <w:ind w:right="51"/>
        <w:jc w:val="both"/>
        <w:rPr>
          <w:rFonts w:ascii="Palatino Linotype" w:eastAsia="Palatino Linotype" w:hAnsi="Palatino Linotype" w:cs="Palatino Linotype"/>
          <w:lang w:eastAsia="es-MX"/>
        </w:rPr>
      </w:pPr>
      <w:r w:rsidRPr="00A63A94">
        <w:rPr>
          <w:rFonts w:ascii="Palatino Linotype" w:eastAsia="Palatino Linotype" w:hAnsi="Palatino Linotype" w:cs="Palatino Linotype"/>
          <w:lang w:eastAsia="es-MX"/>
        </w:rPr>
        <w:t xml:space="preserve">Atento a lo anterior, como ya ha sido mencionado en la normatividad antes citada, todo registro contable y presupuestal deberá estar soportado con los documentos comprobatorios originales, como lo son las facturas o comprobantes fiscales digitales por internet,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36D30823" w14:textId="77777777" w:rsidR="00A63A94" w:rsidRDefault="00A63A94" w:rsidP="00D2787B">
      <w:pPr>
        <w:spacing w:line="360" w:lineRule="auto"/>
        <w:ind w:right="-7"/>
        <w:jc w:val="both"/>
        <w:rPr>
          <w:rFonts w:ascii="Palatino Linotype" w:eastAsia="Palatino Linotype" w:hAnsi="Palatino Linotype" w:cs="Palatino Linotype"/>
          <w:szCs w:val="22"/>
          <w:highlight w:val="yellow"/>
          <w:lang w:val="es-MX" w:eastAsia="en-US"/>
        </w:rPr>
      </w:pPr>
    </w:p>
    <w:p w14:paraId="370078BD" w14:textId="3A9B9F53" w:rsidR="00902F82" w:rsidRDefault="00DD4342" w:rsidP="00D2787B">
      <w:pPr>
        <w:spacing w:line="360" w:lineRule="auto"/>
        <w:ind w:right="-7"/>
        <w:jc w:val="both"/>
        <w:rPr>
          <w:rFonts w:ascii="Palatino Linotype" w:eastAsia="Palatino Linotype" w:hAnsi="Palatino Linotype" w:cs="Palatino Linotype"/>
          <w:szCs w:val="22"/>
          <w:lang w:val="es-MX" w:eastAsia="en-US"/>
        </w:rPr>
      </w:pPr>
      <w:r w:rsidRPr="00DD4342">
        <w:rPr>
          <w:rFonts w:ascii="Palatino Linotype" w:eastAsia="Palatino Linotype" w:hAnsi="Palatino Linotype" w:cs="Palatino Linotype"/>
          <w:szCs w:val="22"/>
          <w:lang w:val="es-MX" w:eastAsia="en-US"/>
        </w:rPr>
        <w:t>E</w:t>
      </w:r>
      <w:r w:rsidR="00902F82" w:rsidRPr="00DD4342">
        <w:rPr>
          <w:rFonts w:ascii="Palatino Linotype" w:eastAsia="Palatino Linotype" w:hAnsi="Palatino Linotype" w:cs="Palatino Linotype"/>
          <w:szCs w:val="22"/>
          <w:lang w:val="es-MX" w:eastAsia="en-US"/>
        </w:rPr>
        <w:t xml:space="preserve">n ese sentido, </w:t>
      </w:r>
      <w:r w:rsidR="00D2787B" w:rsidRPr="00DD4342">
        <w:rPr>
          <w:rFonts w:ascii="Palatino Linotype" w:eastAsia="Palatino Linotype" w:hAnsi="Palatino Linotype" w:cs="Palatino Linotype"/>
          <w:szCs w:val="22"/>
          <w:lang w:val="es-MX" w:eastAsia="en-US"/>
        </w:rPr>
        <w:t xml:space="preserve">la unidad administrativa competente, remitió la documentación que colma con lo solicitado por el particular, recordando que, los Sujetos Obligados tienen la obligación o deber de atender las solicitudes de acceso a la información pública que se les hagan de su conocimiento y proporcionar la información pública que obren en </w:t>
      </w:r>
      <w:r w:rsidR="00D2787B" w:rsidRPr="00DD4342">
        <w:rPr>
          <w:rFonts w:ascii="Palatino Linotype" w:eastAsia="Palatino Linotype" w:hAnsi="Palatino Linotype" w:cs="Palatino Linotype"/>
          <w:szCs w:val="22"/>
          <w:lang w:val="es-MX" w:eastAsia="en-US"/>
        </w:rPr>
        <w:lastRenderedPageBreak/>
        <w:t>su poder conforme el estado que se encuentra y no hacer un procesamiento de la misma, ni presentarla conforme al interés del solicitante; como así lo establece el artículo 12 de la Ley de Transparencia y Acceso a la Información Pública del Estado de México y Municipios.</w:t>
      </w:r>
      <w:r w:rsidR="00D2787B">
        <w:rPr>
          <w:rFonts w:ascii="Palatino Linotype" w:eastAsia="Palatino Linotype" w:hAnsi="Palatino Linotype" w:cs="Palatino Linotype"/>
          <w:szCs w:val="22"/>
          <w:lang w:val="es-MX" w:eastAsia="en-US"/>
        </w:rPr>
        <w:t xml:space="preserve"> </w:t>
      </w:r>
    </w:p>
    <w:p w14:paraId="351098A3" w14:textId="77777777" w:rsidR="00CB535A" w:rsidRDefault="00CB535A" w:rsidP="00D2787B">
      <w:pPr>
        <w:spacing w:line="360" w:lineRule="auto"/>
        <w:ind w:right="-7"/>
        <w:jc w:val="both"/>
        <w:rPr>
          <w:rFonts w:ascii="Palatino Linotype" w:eastAsia="Palatino Linotype" w:hAnsi="Palatino Linotype" w:cs="Palatino Linotype"/>
          <w:szCs w:val="22"/>
          <w:lang w:val="es-MX" w:eastAsia="en-US"/>
        </w:rPr>
      </w:pPr>
    </w:p>
    <w:p w14:paraId="5338216D" w14:textId="1E3026D8" w:rsidR="00D81FA1" w:rsidRPr="00D81FA1" w:rsidRDefault="00D81FA1" w:rsidP="00D81FA1">
      <w:pPr>
        <w:spacing w:line="360" w:lineRule="auto"/>
        <w:ind w:right="-7"/>
        <w:jc w:val="both"/>
        <w:rPr>
          <w:rFonts w:ascii="Palatino Linotype" w:eastAsia="Palatino Linotype" w:hAnsi="Palatino Linotype" w:cs="Palatino Linotype"/>
          <w:lang w:val="es-MX" w:eastAsia="es-MX"/>
        </w:rPr>
      </w:pPr>
      <w:r>
        <w:rPr>
          <w:rFonts w:ascii="Palatino Linotype" w:eastAsia="Palatino Linotype" w:hAnsi="Palatino Linotype" w:cs="Palatino Linotype"/>
          <w:szCs w:val="22"/>
          <w:lang w:val="es-MX" w:eastAsia="en-US"/>
        </w:rPr>
        <w:t>Finalmente</w:t>
      </w:r>
      <w:r w:rsidR="00CB535A">
        <w:rPr>
          <w:rFonts w:ascii="Palatino Linotype" w:eastAsia="Palatino Linotype" w:hAnsi="Palatino Linotype" w:cs="Palatino Linotype"/>
          <w:szCs w:val="22"/>
          <w:lang w:val="es-MX" w:eastAsia="en-US"/>
        </w:rPr>
        <w:t xml:space="preserve">, se observa que, el </w:t>
      </w:r>
      <w:r w:rsidR="00CB535A" w:rsidRPr="00CB535A">
        <w:rPr>
          <w:rFonts w:ascii="Palatino Linotype" w:eastAsia="Palatino Linotype" w:hAnsi="Palatino Linotype" w:cs="Palatino Linotype"/>
          <w:b/>
          <w:bCs/>
          <w:szCs w:val="22"/>
          <w:lang w:val="es-MX" w:eastAsia="en-US"/>
        </w:rPr>
        <w:t>Sujeto Obligado</w:t>
      </w:r>
      <w:r w:rsidR="00CB535A">
        <w:rPr>
          <w:rFonts w:ascii="Palatino Linotype" w:eastAsia="Palatino Linotype" w:hAnsi="Palatino Linotype" w:cs="Palatino Linotype"/>
          <w:szCs w:val="22"/>
          <w:lang w:val="es-MX" w:eastAsia="en-US"/>
        </w:rPr>
        <w:t xml:space="preserve"> </w:t>
      </w:r>
      <w:r w:rsidR="00CB535A" w:rsidRPr="00CB535A">
        <w:rPr>
          <w:rFonts w:ascii="Palatino Linotype" w:eastAsia="Palatino Linotype" w:hAnsi="Palatino Linotype" w:cs="Palatino Linotype"/>
          <w:szCs w:val="22"/>
          <w:lang w:val="es-MX" w:eastAsia="en-US"/>
        </w:rPr>
        <w:t xml:space="preserve">remitió el Acuerdo de Clasificación </w:t>
      </w:r>
      <w:r w:rsidR="00CB535A" w:rsidRPr="00CB535A">
        <w:rPr>
          <w:rFonts w:ascii="Palatino Linotype" w:eastAsia="Palatino Linotype" w:hAnsi="Palatino Linotype" w:cs="Palatino Linotype"/>
          <w:b/>
          <w:bCs/>
          <w:szCs w:val="22"/>
          <w:lang w:val="es-MX" w:eastAsia="en-US"/>
        </w:rPr>
        <w:t>10/CT/04-ORD/2025</w:t>
      </w:r>
      <w:r w:rsidR="00CB535A" w:rsidRPr="00CB535A">
        <w:rPr>
          <w:rFonts w:ascii="Palatino Linotype" w:eastAsia="Palatino Linotype" w:hAnsi="Palatino Linotype" w:cs="Palatino Linotype"/>
          <w:szCs w:val="22"/>
          <w:lang w:val="es-MX" w:eastAsia="en-US"/>
        </w:rPr>
        <w:t xml:space="preserve">, Cuarta Sesión Ordinaria de fecha 27 de enero de 2025, firmado por el Comité de Transparencia, mediante el cual, se aprobó la clasificación de la </w:t>
      </w:r>
      <w:r w:rsidR="00CB535A" w:rsidRPr="00CB535A">
        <w:rPr>
          <w:rFonts w:ascii="Palatino Linotype" w:eastAsia="Palatino Linotype" w:hAnsi="Palatino Linotype" w:cs="Palatino Linotype"/>
          <w:b/>
          <w:bCs/>
          <w:szCs w:val="22"/>
          <w:u w:val="single"/>
          <w:lang w:val="es-MX" w:eastAsia="en-US"/>
        </w:rPr>
        <w:t>clave de elector</w:t>
      </w:r>
      <w:r w:rsidR="00CB535A" w:rsidRPr="00CB535A">
        <w:rPr>
          <w:rFonts w:ascii="Palatino Linotype" w:eastAsia="Palatino Linotype" w:hAnsi="Palatino Linotype" w:cs="Palatino Linotype"/>
          <w:szCs w:val="22"/>
          <w:lang w:val="es-MX" w:eastAsia="en-US"/>
        </w:rPr>
        <w:t xml:space="preserve"> del representante legal</w:t>
      </w:r>
      <w:r w:rsidR="00CB535A">
        <w:rPr>
          <w:rFonts w:ascii="Palatino Linotype" w:eastAsia="Palatino Linotype" w:hAnsi="Palatino Linotype" w:cs="Palatino Linotype"/>
          <w:szCs w:val="22"/>
          <w:lang w:val="es-MX" w:eastAsia="en-US"/>
        </w:rPr>
        <w:t xml:space="preserve">; cuya </w:t>
      </w:r>
      <w:r w:rsidR="00CB535A" w:rsidRPr="00CB535A">
        <w:rPr>
          <w:rFonts w:ascii="Palatino Linotype" w:eastAsia="Palatino Linotype" w:hAnsi="Palatino Linotype" w:cs="Palatino Linotype"/>
          <w:lang w:val="es-MX" w:eastAsia="es-MX"/>
        </w:rPr>
        <w:t xml:space="preserve">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00CB535A" w:rsidRPr="00CB535A">
        <w:rPr>
          <w:rFonts w:ascii="Palatino Linotype" w:eastAsia="Palatino Linotype" w:hAnsi="Palatino Linotype" w:cs="Palatino Linotype"/>
          <w:lang w:val="es-MX" w:eastAsia="es-MX"/>
        </w:rPr>
        <w:t>homoclave</w:t>
      </w:r>
      <w:proofErr w:type="spellEnd"/>
      <w:r w:rsidR="00CB535A" w:rsidRPr="00CB535A">
        <w:rPr>
          <w:rFonts w:ascii="Palatino Linotype" w:eastAsia="Palatino Linotype" w:hAnsi="Palatino Linotype" w:cs="Palatino Linotype"/>
          <w:lang w:val="es-MX" w:eastAsia="es-MX"/>
        </w:rPr>
        <w:t xml:space="preserve"> que distingue a su titular de cualquier otro homónimo, por lo tanto, se trata de un dato personal que debe ser protegido</w:t>
      </w:r>
      <w:r>
        <w:rPr>
          <w:rFonts w:ascii="Palatino Linotype" w:eastAsia="Palatino Linotype" w:hAnsi="Palatino Linotype" w:cs="Palatino Linotype"/>
          <w:lang w:val="es-MX" w:eastAsia="es-MX"/>
        </w:rPr>
        <w:t xml:space="preserve">; mismo que cumple a cabalidad con </w:t>
      </w:r>
      <w:r w:rsidRPr="00D81FA1">
        <w:rPr>
          <w:rFonts w:ascii="Palatino Linotype" w:eastAsia="Palatino Linotype" w:hAnsi="Palatino Linotype" w:cs="Palatino Linotype"/>
          <w:lang w:val="es-MX" w:eastAsia="es-MX"/>
        </w:rPr>
        <w:t>el artículo 149 de la Ley de Transparencia Local vigente, que se lee como sigue:</w:t>
      </w:r>
    </w:p>
    <w:p w14:paraId="2B673B76" w14:textId="77777777" w:rsidR="00D81FA1" w:rsidRPr="00D81FA1" w:rsidRDefault="00D81FA1" w:rsidP="00D81FA1">
      <w:pPr>
        <w:spacing w:line="360" w:lineRule="auto"/>
        <w:jc w:val="both"/>
        <w:rPr>
          <w:rFonts w:ascii="Palatino Linotype" w:eastAsia="Palatino Linotype" w:hAnsi="Palatino Linotype" w:cs="Palatino Linotype"/>
          <w:lang w:val="es-MX" w:eastAsia="es-MX"/>
        </w:rPr>
      </w:pPr>
    </w:p>
    <w:p w14:paraId="3260EC65" w14:textId="77777777" w:rsidR="00D81FA1" w:rsidRPr="00D81FA1" w:rsidRDefault="00D81FA1" w:rsidP="00D81FA1">
      <w:pPr>
        <w:ind w:left="851" w:right="902"/>
        <w:jc w:val="both"/>
        <w:rPr>
          <w:rFonts w:ascii="Palatino Linotype" w:eastAsia="Palatino Linotype" w:hAnsi="Palatino Linotype" w:cs="Palatino Linotype"/>
          <w:i/>
          <w:sz w:val="22"/>
          <w:szCs w:val="22"/>
          <w:lang w:val="es-MX" w:eastAsia="es-MX"/>
        </w:rPr>
      </w:pPr>
      <w:r w:rsidRPr="00D81FA1">
        <w:rPr>
          <w:rFonts w:ascii="Palatino Linotype" w:eastAsia="Palatino Linotype" w:hAnsi="Palatino Linotype" w:cs="Palatino Linotype"/>
          <w:i/>
          <w:sz w:val="22"/>
          <w:szCs w:val="22"/>
          <w:lang w:val="es-MX" w:eastAsia="es-MX"/>
        </w:rPr>
        <w:t>“</w:t>
      </w:r>
      <w:r w:rsidRPr="00D81FA1">
        <w:rPr>
          <w:rFonts w:ascii="Palatino Linotype" w:eastAsia="Palatino Linotype" w:hAnsi="Palatino Linotype" w:cs="Palatino Linotype"/>
          <w:b/>
          <w:i/>
          <w:sz w:val="22"/>
          <w:szCs w:val="22"/>
          <w:lang w:val="es-MX" w:eastAsia="es-MX"/>
        </w:rPr>
        <w:t>Artículo 149.</w:t>
      </w:r>
      <w:r w:rsidRPr="00D81FA1">
        <w:rPr>
          <w:rFonts w:ascii="Palatino Linotype" w:eastAsia="Palatino Linotype" w:hAnsi="Palatino Linotype" w:cs="Palatino Linotype"/>
          <w:i/>
          <w:sz w:val="22"/>
          <w:szCs w:val="22"/>
          <w:lang w:val="es-MX" w:eastAsia="es-MX"/>
        </w:rPr>
        <w:t xml:space="preserve"> El </w:t>
      </w:r>
      <w:r w:rsidRPr="00D81FA1">
        <w:rPr>
          <w:rFonts w:ascii="Palatino Linotype" w:eastAsia="Palatino Linotype" w:hAnsi="Palatino Linotype" w:cs="Palatino Linotype"/>
          <w:b/>
          <w:i/>
          <w:sz w:val="22"/>
          <w:szCs w:val="22"/>
          <w:lang w:val="es-MX" w:eastAsia="es-MX"/>
        </w:rPr>
        <w:t>acuerdo que clasifique la información como confidencial</w:t>
      </w:r>
      <w:r w:rsidRPr="00D81FA1">
        <w:rPr>
          <w:rFonts w:ascii="Palatino Linotype" w:eastAsia="Palatino Linotype" w:hAnsi="Palatino Linotype" w:cs="Palatino Linotype"/>
          <w:i/>
          <w:sz w:val="22"/>
          <w:szCs w:val="22"/>
          <w:lang w:val="es-MX" w:eastAsia="es-MX"/>
        </w:rPr>
        <w:t xml:space="preserve"> deberá contener un razonamiento lógico en el que demuestre que la información se encuentra en alguna o algunas de las hipótesis previstas en la presente Ley.” </w:t>
      </w:r>
    </w:p>
    <w:p w14:paraId="4B599FF4" w14:textId="77777777" w:rsidR="00D81FA1" w:rsidRPr="00D81FA1" w:rsidRDefault="00D81FA1" w:rsidP="00D81FA1">
      <w:pPr>
        <w:spacing w:line="360" w:lineRule="auto"/>
        <w:ind w:right="51"/>
        <w:jc w:val="both"/>
        <w:rPr>
          <w:rFonts w:ascii="Palatino Linotype" w:eastAsia="Palatino Linotype" w:hAnsi="Palatino Linotype" w:cs="Palatino Linotype"/>
          <w:lang w:val="es-MX" w:eastAsia="es-MX"/>
        </w:rPr>
      </w:pPr>
    </w:p>
    <w:p w14:paraId="485A357F" w14:textId="43B47D0A" w:rsidR="00D81FA1" w:rsidRPr="00D81FA1" w:rsidRDefault="00D81FA1" w:rsidP="00D81FA1">
      <w:pPr>
        <w:spacing w:line="360" w:lineRule="auto"/>
        <w:ind w:right="51"/>
        <w:jc w:val="both"/>
        <w:rPr>
          <w:rFonts w:ascii="Palatino Linotype" w:eastAsia="Palatino Linotype" w:hAnsi="Palatino Linotype" w:cs="Palatino Linotype"/>
          <w:lang w:val="es-MX" w:eastAsia="es-MX"/>
        </w:rPr>
      </w:pPr>
      <w:r w:rsidRPr="00D81FA1">
        <w:rPr>
          <w:rFonts w:ascii="Palatino Linotype" w:eastAsia="Palatino Linotype" w:hAnsi="Palatino Linotype" w:cs="Palatino Linotype"/>
          <w:lang w:val="es-MX" w:eastAsia="es-MX"/>
        </w:rPr>
        <w:t xml:space="preserve">Es decir, el </w:t>
      </w:r>
      <w:r w:rsidRPr="00D81FA1">
        <w:rPr>
          <w:rFonts w:ascii="Palatino Linotype" w:eastAsia="Palatino Linotype" w:hAnsi="Palatino Linotype" w:cs="Palatino Linotype"/>
          <w:b/>
          <w:lang w:val="es-MX" w:eastAsia="es-MX"/>
        </w:rPr>
        <w:t>Sujeto Obligado</w:t>
      </w:r>
      <w:r w:rsidRPr="00D81FA1">
        <w:rPr>
          <w:rFonts w:ascii="Palatino Linotype" w:eastAsia="Palatino Linotype" w:hAnsi="Palatino Linotype" w:cs="Palatino Linotype"/>
          <w:lang w:val="es-MX" w:eastAsia="es-MX"/>
        </w:rPr>
        <w:t xml:space="preserve"> a través de su Comité de Transparencia, </w:t>
      </w:r>
      <w:r>
        <w:rPr>
          <w:rFonts w:ascii="Palatino Linotype" w:eastAsia="Palatino Linotype" w:hAnsi="Palatino Linotype" w:cs="Palatino Linotype"/>
          <w:lang w:val="es-MX" w:eastAsia="es-MX"/>
        </w:rPr>
        <w:t>remitió el</w:t>
      </w:r>
      <w:r w:rsidRPr="00D81FA1">
        <w:rPr>
          <w:rFonts w:ascii="Palatino Linotype" w:eastAsia="Palatino Linotype" w:hAnsi="Palatino Linotype" w:cs="Palatino Linotype"/>
          <w:lang w:val="es-MX" w:eastAsia="es-MX"/>
        </w:rPr>
        <w:t xml:space="preserve"> acuerdo </w:t>
      </w:r>
      <w:r>
        <w:rPr>
          <w:rFonts w:ascii="Palatino Linotype" w:eastAsia="Palatino Linotype" w:hAnsi="Palatino Linotype" w:cs="Palatino Linotype"/>
          <w:lang w:val="es-MX" w:eastAsia="es-MX"/>
        </w:rPr>
        <w:t>cuyo contenido versa en</w:t>
      </w:r>
      <w:r w:rsidRPr="00D81FA1">
        <w:rPr>
          <w:rFonts w:ascii="Palatino Linotype" w:eastAsia="Palatino Linotype" w:hAnsi="Palatino Linotype" w:cs="Palatino Linotype"/>
          <w:lang w:val="es-MX" w:eastAsia="es-MX"/>
        </w:rPr>
        <w:t xml:space="preserve"> un razonamiento lógico con el que se dem</w:t>
      </w:r>
      <w:r>
        <w:rPr>
          <w:rFonts w:ascii="Palatino Linotype" w:eastAsia="Palatino Linotype" w:hAnsi="Palatino Linotype" w:cs="Palatino Linotype"/>
          <w:lang w:val="es-MX" w:eastAsia="es-MX"/>
        </w:rPr>
        <w:t>o</w:t>
      </w:r>
      <w:r w:rsidRPr="00D81FA1">
        <w:rPr>
          <w:rFonts w:ascii="Palatino Linotype" w:eastAsia="Palatino Linotype" w:hAnsi="Palatino Linotype" w:cs="Palatino Linotype"/>
          <w:lang w:val="es-MX" w:eastAsia="es-MX"/>
        </w:rPr>
        <w:t>str</w:t>
      </w:r>
      <w:r>
        <w:rPr>
          <w:rFonts w:ascii="Palatino Linotype" w:eastAsia="Palatino Linotype" w:hAnsi="Palatino Linotype" w:cs="Palatino Linotype"/>
          <w:lang w:val="es-MX" w:eastAsia="es-MX"/>
        </w:rPr>
        <w:t>ó</w:t>
      </w:r>
      <w:r w:rsidRPr="00D81FA1">
        <w:rPr>
          <w:rFonts w:ascii="Palatino Linotype" w:eastAsia="Palatino Linotype" w:hAnsi="Palatino Linotype" w:cs="Palatino Linotype"/>
          <w:lang w:val="es-MX" w:eastAsia="es-MX"/>
        </w:rPr>
        <w:t xml:space="preserve"> que la información que se testa de las versiones públicas que se sirva elaborar, encuadr</w:t>
      </w:r>
      <w:r>
        <w:rPr>
          <w:rFonts w:ascii="Palatino Linotype" w:eastAsia="Palatino Linotype" w:hAnsi="Palatino Linotype" w:cs="Palatino Linotype"/>
          <w:lang w:val="es-MX" w:eastAsia="es-MX"/>
        </w:rPr>
        <w:t>ó</w:t>
      </w:r>
      <w:r w:rsidRPr="00D81FA1">
        <w:rPr>
          <w:rFonts w:ascii="Palatino Linotype" w:eastAsia="Palatino Linotype" w:hAnsi="Palatino Linotype" w:cs="Palatino Linotype"/>
          <w:lang w:val="es-MX" w:eastAsia="es-MX"/>
        </w:rPr>
        <w:t xml:space="preserve"> en alguna de las hipótesis que contempla la Ley de la Materia en su artículo 143</w:t>
      </w:r>
      <w:r>
        <w:rPr>
          <w:rFonts w:ascii="Palatino Linotype" w:eastAsia="Palatino Linotype" w:hAnsi="Palatino Linotype" w:cs="Palatino Linotype"/>
          <w:lang w:val="es-MX" w:eastAsia="es-MX"/>
        </w:rPr>
        <w:t xml:space="preserve"> </w:t>
      </w:r>
      <w:r w:rsidRPr="00D81FA1">
        <w:rPr>
          <w:rFonts w:ascii="Palatino Linotype" w:eastAsia="Palatino Linotype" w:hAnsi="Palatino Linotype" w:cs="Palatino Linotype"/>
          <w:lang w:val="es-MX" w:eastAsia="es-MX"/>
        </w:rPr>
        <w:t>de manera puntual</w:t>
      </w:r>
      <w:r>
        <w:rPr>
          <w:rFonts w:ascii="Palatino Linotype" w:eastAsia="Palatino Linotype" w:hAnsi="Palatino Linotype" w:cs="Palatino Linotype"/>
          <w:lang w:val="es-MX" w:eastAsia="es-MX"/>
        </w:rPr>
        <w:t>.</w:t>
      </w:r>
    </w:p>
    <w:p w14:paraId="47C32B84" w14:textId="77777777" w:rsidR="00D81FA1" w:rsidRPr="00D81FA1" w:rsidRDefault="00D81FA1" w:rsidP="00D81FA1">
      <w:pPr>
        <w:spacing w:line="360" w:lineRule="auto"/>
        <w:ind w:right="51"/>
        <w:jc w:val="both"/>
        <w:rPr>
          <w:rFonts w:ascii="Palatino Linotype" w:eastAsia="Palatino Linotype" w:hAnsi="Palatino Linotype" w:cs="Palatino Linotype"/>
          <w:lang w:val="es-MX" w:eastAsia="es-MX"/>
        </w:rPr>
      </w:pPr>
    </w:p>
    <w:p w14:paraId="0F90695D" w14:textId="2B923694" w:rsidR="00902F82" w:rsidRDefault="00D81FA1" w:rsidP="00D81FA1">
      <w:pPr>
        <w:tabs>
          <w:tab w:val="left" w:pos="7938"/>
        </w:tabs>
        <w:spacing w:line="360" w:lineRule="auto"/>
        <w:jc w:val="both"/>
        <w:rPr>
          <w:rFonts w:ascii="Palatino Linotype" w:eastAsia="Palatino Linotype" w:hAnsi="Palatino Linotype" w:cs="Palatino Linotype"/>
          <w:lang w:val="es-MX" w:eastAsia="es-MX"/>
        </w:rPr>
      </w:pPr>
      <w:r w:rsidRPr="00D81FA1">
        <w:rPr>
          <w:rFonts w:ascii="Palatino Linotype" w:eastAsia="Palatino Linotype" w:hAnsi="Palatino Linotype" w:cs="Palatino Linotype"/>
          <w:lang w:val="es-MX" w:eastAsia="es-MX"/>
        </w:rPr>
        <w:lastRenderedPageBreak/>
        <w:t xml:space="preserve">Atento a lo anterior, cabe señalar que el Comité de Transparencia del </w:t>
      </w:r>
      <w:r w:rsidRPr="00D81FA1">
        <w:rPr>
          <w:rFonts w:ascii="Palatino Linotype" w:eastAsia="Palatino Linotype" w:hAnsi="Palatino Linotype" w:cs="Palatino Linotype"/>
          <w:b/>
          <w:lang w:val="es-MX" w:eastAsia="es-MX"/>
        </w:rPr>
        <w:t>Sujeto Obligado</w:t>
      </w:r>
      <w:r w:rsidRPr="00D81FA1">
        <w:rPr>
          <w:rFonts w:ascii="Palatino Linotype" w:eastAsia="Palatino Linotype" w:hAnsi="Palatino Linotype" w:cs="Palatino Linotype"/>
          <w:lang w:val="es-MX" w:eastAsia="es-MX"/>
        </w:rPr>
        <w:t>, emit</w:t>
      </w:r>
      <w:r>
        <w:rPr>
          <w:rFonts w:ascii="Palatino Linotype" w:eastAsia="Palatino Linotype" w:hAnsi="Palatino Linotype" w:cs="Palatino Linotype"/>
          <w:lang w:val="es-MX" w:eastAsia="es-MX"/>
        </w:rPr>
        <w:t>ió</w:t>
      </w:r>
      <w:r w:rsidRPr="00D81FA1">
        <w:rPr>
          <w:rFonts w:ascii="Palatino Linotype" w:eastAsia="Palatino Linotype" w:hAnsi="Palatino Linotype" w:cs="Palatino Linotype"/>
          <w:lang w:val="es-MX" w:eastAsia="es-MX"/>
        </w:rPr>
        <w:t xml:space="preserve"> </w:t>
      </w:r>
      <w:r>
        <w:rPr>
          <w:rFonts w:ascii="Palatino Linotype" w:eastAsia="Palatino Linotype" w:hAnsi="Palatino Linotype" w:cs="Palatino Linotype"/>
          <w:lang w:val="es-MX" w:eastAsia="es-MX"/>
        </w:rPr>
        <w:t>dicho</w:t>
      </w:r>
      <w:r w:rsidRPr="00D81FA1">
        <w:rPr>
          <w:rFonts w:ascii="Palatino Linotype" w:eastAsia="Palatino Linotype" w:hAnsi="Palatino Linotype" w:cs="Palatino Linotype"/>
          <w:lang w:val="es-MX" w:eastAsia="es-MX"/>
        </w:rPr>
        <w:t xml:space="preserve"> acuerdo de clasificación de información debidamente fundado y motivado</w:t>
      </w:r>
      <w:r>
        <w:rPr>
          <w:rFonts w:ascii="Palatino Linotype" w:eastAsia="Palatino Linotype" w:hAnsi="Palatino Linotype" w:cs="Palatino Linotype"/>
          <w:lang w:val="es-MX" w:eastAsia="es-MX"/>
        </w:rPr>
        <w:t>, de conformidad con lo siguiente:</w:t>
      </w:r>
    </w:p>
    <w:p w14:paraId="7CB713FB" w14:textId="77777777" w:rsidR="00D81FA1" w:rsidRDefault="00D81FA1" w:rsidP="00D81FA1">
      <w:pPr>
        <w:tabs>
          <w:tab w:val="left" w:pos="7938"/>
        </w:tabs>
        <w:spacing w:line="360" w:lineRule="auto"/>
        <w:jc w:val="both"/>
        <w:rPr>
          <w:rFonts w:ascii="Palatino Linotype" w:eastAsia="Palatino Linotype" w:hAnsi="Palatino Linotype" w:cs="Palatino Linotype"/>
          <w:lang w:val="es-MX" w:eastAsia="es-MX"/>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17"/>
        <w:gridCol w:w="6095"/>
      </w:tblGrid>
      <w:tr w:rsidR="00D81FA1" w:rsidRPr="00C02620" w14:paraId="5D6F3F19" w14:textId="77777777" w:rsidTr="00BE4704">
        <w:trPr>
          <w:tblHeader/>
        </w:trPr>
        <w:tc>
          <w:tcPr>
            <w:tcW w:w="1560" w:type="dxa"/>
            <w:tcBorders>
              <w:top w:val="nil"/>
              <w:left w:val="nil"/>
            </w:tcBorders>
          </w:tcPr>
          <w:p w14:paraId="40E39DB6" w14:textId="77777777" w:rsidR="00D81FA1" w:rsidRPr="00C02620" w:rsidRDefault="00D81FA1" w:rsidP="00BE4704">
            <w:pPr>
              <w:pBdr>
                <w:top w:val="nil"/>
                <w:left w:val="nil"/>
                <w:bottom w:val="nil"/>
                <w:right w:val="nil"/>
                <w:between w:val="nil"/>
              </w:pBdr>
              <w:spacing w:line="360" w:lineRule="auto"/>
              <w:ind w:left="47"/>
              <w:jc w:val="both"/>
              <w:rPr>
                <w:rFonts w:ascii="Palatino Linotype" w:eastAsia="Palatino Linotype" w:hAnsi="Palatino Linotype" w:cs="Palatino Linotype"/>
                <w:b/>
                <w:color w:val="000000"/>
                <w:sz w:val="20"/>
                <w:szCs w:val="20"/>
              </w:rPr>
            </w:pPr>
          </w:p>
        </w:tc>
        <w:tc>
          <w:tcPr>
            <w:tcW w:w="1417" w:type="dxa"/>
            <w:tcBorders>
              <w:bottom w:val="single" w:sz="4" w:space="0" w:color="000000"/>
            </w:tcBorders>
            <w:shd w:val="clear" w:color="auto" w:fill="BFBFBF"/>
            <w:vAlign w:val="bottom"/>
          </w:tcPr>
          <w:p w14:paraId="77261699" w14:textId="77777777" w:rsidR="00D81FA1" w:rsidRPr="00C02620" w:rsidRDefault="00D81FA1" w:rsidP="00BE4704">
            <w:pPr>
              <w:pBdr>
                <w:top w:val="nil"/>
                <w:left w:val="nil"/>
                <w:bottom w:val="nil"/>
                <w:right w:val="nil"/>
                <w:between w:val="nil"/>
              </w:pBdr>
              <w:spacing w:line="360" w:lineRule="auto"/>
              <w:ind w:left="47"/>
              <w:jc w:val="center"/>
              <w:rPr>
                <w:rFonts w:ascii="Palatino Linotype" w:eastAsia="Palatino Linotype" w:hAnsi="Palatino Linotype" w:cs="Palatino Linotype"/>
                <w:b/>
                <w:color w:val="000000"/>
                <w:sz w:val="20"/>
                <w:szCs w:val="20"/>
              </w:rPr>
            </w:pPr>
            <w:r w:rsidRPr="00C02620">
              <w:rPr>
                <w:rFonts w:ascii="Palatino Linotype" w:eastAsia="Palatino Linotype" w:hAnsi="Palatino Linotype" w:cs="Palatino Linotype"/>
                <w:b/>
                <w:color w:val="000000"/>
              </w:rPr>
              <w:t>Cumplió:</w:t>
            </w:r>
          </w:p>
        </w:tc>
        <w:tc>
          <w:tcPr>
            <w:tcW w:w="6095" w:type="dxa"/>
            <w:tcBorders>
              <w:bottom w:val="single" w:sz="4" w:space="0" w:color="000000"/>
            </w:tcBorders>
            <w:shd w:val="clear" w:color="auto" w:fill="BFBFBF"/>
            <w:vAlign w:val="bottom"/>
          </w:tcPr>
          <w:p w14:paraId="0B3DD05D" w14:textId="77777777" w:rsidR="00D81FA1" w:rsidRPr="00C02620" w:rsidRDefault="00D81FA1" w:rsidP="00BE4704">
            <w:pPr>
              <w:pBdr>
                <w:top w:val="nil"/>
                <w:left w:val="nil"/>
                <w:bottom w:val="nil"/>
                <w:right w:val="nil"/>
                <w:between w:val="nil"/>
              </w:pBdr>
              <w:spacing w:line="360" w:lineRule="auto"/>
              <w:ind w:left="47"/>
              <w:jc w:val="center"/>
              <w:rPr>
                <w:rFonts w:ascii="Palatino Linotype" w:eastAsia="Palatino Linotype" w:hAnsi="Palatino Linotype" w:cs="Palatino Linotype"/>
                <w:b/>
                <w:color w:val="000000"/>
              </w:rPr>
            </w:pPr>
            <w:r w:rsidRPr="00C02620">
              <w:rPr>
                <w:rFonts w:ascii="Palatino Linotype" w:eastAsia="Palatino Linotype" w:hAnsi="Palatino Linotype" w:cs="Palatino Linotype"/>
                <w:b/>
                <w:color w:val="000000"/>
              </w:rPr>
              <w:t>Contenido</w:t>
            </w:r>
          </w:p>
        </w:tc>
      </w:tr>
      <w:tr w:rsidR="00D81FA1" w:rsidRPr="00C02620" w14:paraId="109AE954" w14:textId="77777777" w:rsidTr="00BE4704">
        <w:tc>
          <w:tcPr>
            <w:tcW w:w="1560" w:type="dxa"/>
            <w:vAlign w:val="center"/>
          </w:tcPr>
          <w:p w14:paraId="0FD48E95" w14:textId="77777777" w:rsidR="00D81FA1" w:rsidRPr="00C02620" w:rsidRDefault="00D81FA1" w:rsidP="00BE4704">
            <w:pPr>
              <w:jc w:val="center"/>
              <w:rPr>
                <w:rFonts w:ascii="Palatino Linotype" w:eastAsia="Palatino Linotype" w:hAnsi="Palatino Linotype" w:cs="Palatino Linotype"/>
                <w:b/>
                <w:sz w:val="16"/>
                <w:szCs w:val="20"/>
              </w:rPr>
            </w:pPr>
            <w:bookmarkStart w:id="6" w:name="_Hlk179215118"/>
            <w:r w:rsidRPr="00C02620">
              <w:rPr>
                <w:rFonts w:ascii="Palatino Linotype" w:eastAsia="Palatino Linotype" w:hAnsi="Palatino Linotype" w:cs="Palatino Linotype"/>
                <w:b/>
                <w:sz w:val="16"/>
                <w:szCs w:val="20"/>
              </w:rPr>
              <w:t>Número de folio de la solicitud</w:t>
            </w:r>
          </w:p>
        </w:tc>
        <w:tc>
          <w:tcPr>
            <w:tcW w:w="1417" w:type="dxa"/>
            <w:tcBorders>
              <w:top w:val="single" w:sz="4" w:space="0" w:color="000000"/>
            </w:tcBorders>
            <w:vAlign w:val="center"/>
          </w:tcPr>
          <w:p w14:paraId="686E9E34" w14:textId="27518114" w:rsidR="00D81FA1" w:rsidRPr="00C02620" w:rsidRDefault="00D81FA1" w:rsidP="00BE4704">
            <w:pPr>
              <w:ind w:left="4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Sí</w:t>
            </w:r>
          </w:p>
        </w:tc>
        <w:tc>
          <w:tcPr>
            <w:tcW w:w="6095" w:type="dxa"/>
            <w:vMerge w:val="restart"/>
            <w:tcBorders>
              <w:top w:val="single" w:sz="4" w:space="0" w:color="000000"/>
            </w:tcBorders>
            <w:vAlign w:val="center"/>
          </w:tcPr>
          <w:p w14:paraId="76B813F1" w14:textId="77777777" w:rsidR="00D81FA1" w:rsidRPr="00C02620" w:rsidRDefault="00D81FA1" w:rsidP="00BE4704">
            <w:pPr>
              <w:spacing w:line="360" w:lineRule="auto"/>
              <w:ind w:left="-115"/>
              <w:jc w:val="center"/>
              <w:rPr>
                <w:rFonts w:ascii="Palatino Linotype" w:eastAsia="Palatino Linotype" w:hAnsi="Palatino Linotype" w:cs="Palatino Linotype"/>
                <w:sz w:val="2"/>
                <w:szCs w:val="2"/>
              </w:rPr>
            </w:pPr>
          </w:p>
          <w:p w14:paraId="0EE209B4" w14:textId="2DF1F0B0" w:rsidR="00D81FA1" w:rsidRPr="00C02620" w:rsidRDefault="00D81FA1" w:rsidP="00BE4704">
            <w:pPr>
              <w:spacing w:line="360" w:lineRule="auto"/>
              <w:ind w:left="-115"/>
              <w:jc w:val="center"/>
              <w:rPr>
                <w:rFonts w:ascii="Palatino Linotype" w:eastAsia="Palatino Linotype" w:hAnsi="Palatino Linotype" w:cs="Palatino Linotype"/>
              </w:rPr>
            </w:pPr>
            <w:r w:rsidRPr="00D81FA1">
              <w:rPr>
                <w:rFonts w:ascii="Palatino Linotype" w:eastAsia="Palatino Linotype" w:hAnsi="Palatino Linotype" w:cs="Palatino Linotype"/>
                <w:noProof/>
                <w:lang w:val="es-MX" w:eastAsia="es-MX"/>
              </w:rPr>
              <w:drawing>
                <wp:inline distT="0" distB="0" distL="0" distR="0" wp14:anchorId="35AB5B77" wp14:editId="09E0C1AB">
                  <wp:extent cx="3733165" cy="692150"/>
                  <wp:effectExtent l="0" t="0" r="635" b="0"/>
                  <wp:docPr id="3546951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95153" name=""/>
                          <pic:cNvPicPr/>
                        </pic:nvPicPr>
                        <pic:blipFill>
                          <a:blip r:embed="rId9"/>
                          <a:stretch>
                            <a:fillRect/>
                          </a:stretch>
                        </pic:blipFill>
                        <pic:spPr>
                          <a:xfrm>
                            <a:off x="0" y="0"/>
                            <a:ext cx="3733165" cy="692150"/>
                          </a:xfrm>
                          <a:prstGeom prst="rect">
                            <a:avLst/>
                          </a:prstGeom>
                        </pic:spPr>
                      </pic:pic>
                    </a:graphicData>
                  </a:graphic>
                </wp:inline>
              </w:drawing>
            </w:r>
          </w:p>
        </w:tc>
      </w:tr>
      <w:tr w:rsidR="00D81FA1" w:rsidRPr="00C02620" w14:paraId="0D442F07" w14:textId="77777777" w:rsidTr="00BE4704">
        <w:tc>
          <w:tcPr>
            <w:tcW w:w="1560" w:type="dxa"/>
            <w:vAlign w:val="center"/>
          </w:tcPr>
          <w:p w14:paraId="21F5F211" w14:textId="77777777" w:rsidR="00D81FA1" w:rsidRPr="00C02620" w:rsidRDefault="00D81FA1" w:rsidP="00BE4704">
            <w:pPr>
              <w:jc w:val="both"/>
              <w:rPr>
                <w:rFonts w:ascii="Palatino Linotype" w:eastAsia="Palatino Linotype" w:hAnsi="Palatino Linotype" w:cs="Palatino Linotype"/>
                <w:b/>
                <w:sz w:val="16"/>
                <w:szCs w:val="20"/>
              </w:rPr>
            </w:pPr>
            <w:r w:rsidRPr="00C02620">
              <w:rPr>
                <w:rFonts w:ascii="Palatino Linotype" w:eastAsia="Palatino Linotype" w:hAnsi="Palatino Linotype" w:cs="Palatino Linotype"/>
                <w:b/>
                <w:sz w:val="16"/>
                <w:szCs w:val="20"/>
              </w:rPr>
              <w:t>Referencia de la información solicitada</w:t>
            </w:r>
          </w:p>
        </w:tc>
        <w:tc>
          <w:tcPr>
            <w:tcW w:w="1417" w:type="dxa"/>
            <w:vAlign w:val="center"/>
          </w:tcPr>
          <w:p w14:paraId="735432A4" w14:textId="11F34425" w:rsidR="00D81FA1" w:rsidRPr="00C02620" w:rsidRDefault="00D81FA1" w:rsidP="00BE4704">
            <w:pPr>
              <w:ind w:left="4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18"/>
                <w:szCs w:val="18"/>
              </w:rPr>
              <w:t>Sí</w:t>
            </w:r>
          </w:p>
        </w:tc>
        <w:tc>
          <w:tcPr>
            <w:tcW w:w="6095" w:type="dxa"/>
            <w:vMerge/>
            <w:vAlign w:val="center"/>
          </w:tcPr>
          <w:p w14:paraId="0027ADD3" w14:textId="77777777" w:rsidR="00D81FA1" w:rsidRPr="00C02620" w:rsidRDefault="00D81FA1" w:rsidP="00BE4704">
            <w:pPr>
              <w:spacing w:line="360" w:lineRule="auto"/>
              <w:jc w:val="center"/>
              <w:rPr>
                <w:rFonts w:ascii="Palatino Linotype" w:eastAsia="Palatino Linotype" w:hAnsi="Palatino Linotype" w:cs="Palatino Linotype"/>
                <w:b/>
              </w:rPr>
            </w:pPr>
          </w:p>
        </w:tc>
      </w:tr>
      <w:bookmarkEnd w:id="6"/>
      <w:tr w:rsidR="00D81FA1" w:rsidRPr="00C02620" w14:paraId="24338E8A" w14:textId="77777777" w:rsidTr="00BE4704">
        <w:tc>
          <w:tcPr>
            <w:tcW w:w="1560" w:type="dxa"/>
            <w:vAlign w:val="center"/>
          </w:tcPr>
          <w:p w14:paraId="442AAE94" w14:textId="77777777" w:rsidR="00D81FA1" w:rsidRPr="00C02620" w:rsidRDefault="00D81FA1" w:rsidP="00BE4704">
            <w:pPr>
              <w:tabs>
                <w:tab w:val="left" w:pos="317"/>
              </w:tabs>
              <w:jc w:val="both"/>
              <w:rPr>
                <w:rFonts w:ascii="Palatino Linotype" w:eastAsia="Palatino Linotype" w:hAnsi="Palatino Linotype" w:cs="Palatino Linotype"/>
                <w:b/>
                <w:sz w:val="16"/>
                <w:szCs w:val="20"/>
              </w:rPr>
            </w:pPr>
            <w:r w:rsidRPr="00C02620">
              <w:rPr>
                <w:rFonts w:ascii="Palatino Linotype" w:eastAsia="Palatino Linotype" w:hAnsi="Palatino Linotype" w:cs="Palatino Linotype"/>
                <w:b/>
                <w:sz w:val="16"/>
                <w:szCs w:val="20"/>
              </w:rPr>
              <w:t>Fundamento y Motivación Legal</w:t>
            </w:r>
          </w:p>
        </w:tc>
        <w:tc>
          <w:tcPr>
            <w:tcW w:w="1417" w:type="dxa"/>
            <w:vAlign w:val="center"/>
          </w:tcPr>
          <w:p w14:paraId="34784FBD" w14:textId="599E0B9B" w:rsidR="00D81FA1" w:rsidRPr="00C02620" w:rsidRDefault="00D81FA1" w:rsidP="00BE4704">
            <w:pPr>
              <w:ind w:left="4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Sí</w:t>
            </w:r>
          </w:p>
        </w:tc>
        <w:tc>
          <w:tcPr>
            <w:tcW w:w="6095" w:type="dxa"/>
            <w:vAlign w:val="center"/>
          </w:tcPr>
          <w:p w14:paraId="0697D5B0" w14:textId="3C89FFBB" w:rsidR="00D81FA1" w:rsidRPr="00C02620" w:rsidRDefault="00D81FA1" w:rsidP="00BE4704">
            <w:pPr>
              <w:spacing w:line="360" w:lineRule="auto"/>
              <w:jc w:val="center"/>
              <w:rPr>
                <w:rFonts w:ascii="Palatino Linotype" w:eastAsia="Palatino Linotype" w:hAnsi="Palatino Linotype" w:cs="Palatino Linotype"/>
                <w:b/>
                <w:sz w:val="2"/>
                <w:szCs w:val="2"/>
              </w:rPr>
            </w:pPr>
          </w:p>
          <w:p w14:paraId="09ED741E" w14:textId="43D917E7" w:rsidR="00D81FA1" w:rsidRPr="00C02620" w:rsidRDefault="00D81FA1" w:rsidP="00BE4704">
            <w:pPr>
              <w:spacing w:line="360" w:lineRule="auto"/>
              <w:ind w:left="47"/>
              <w:jc w:val="center"/>
              <w:rPr>
                <w:rFonts w:ascii="Palatino Linotype" w:eastAsia="Palatino Linotype" w:hAnsi="Palatino Linotype" w:cs="Palatino Linotype"/>
                <w:b/>
                <w:sz w:val="2"/>
              </w:rPr>
            </w:pPr>
            <w:r w:rsidRPr="00D81FA1">
              <w:rPr>
                <w:rFonts w:ascii="Palatino Linotype" w:eastAsia="Palatino Linotype" w:hAnsi="Palatino Linotype" w:cs="Palatino Linotype"/>
                <w:b/>
                <w:noProof/>
                <w:sz w:val="2"/>
                <w:lang w:val="es-MX" w:eastAsia="es-MX"/>
              </w:rPr>
              <w:drawing>
                <wp:inline distT="0" distB="0" distL="0" distR="0" wp14:anchorId="7A76D500" wp14:editId="3BD66A45">
                  <wp:extent cx="3733165" cy="1147445"/>
                  <wp:effectExtent l="0" t="0" r="635" b="0"/>
                  <wp:docPr id="1955115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15655" name=""/>
                          <pic:cNvPicPr/>
                        </pic:nvPicPr>
                        <pic:blipFill>
                          <a:blip r:embed="rId10"/>
                          <a:stretch>
                            <a:fillRect/>
                          </a:stretch>
                        </pic:blipFill>
                        <pic:spPr>
                          <a:xfrm>
                            <a:off x="0" y="0"/>
                            <a:ext cx="3733165" cy="1147445"/>
                          </a:xfrm>
                          <a:prstGeom prst="rect">
                            <a:avLst/>
                          </a:prstGeom>
                        </pic:spPr>
                      </pic:pic>
                    </a:graphicData>
                  </a:graphic>
                </wp:inline>
              </w:drawing>
            </w:r>
          </w:p>
          <w:p w14:paraId="758C58B2" w14:textId="77777777" w:rsidR="00D81FA1" w:rsidRPr="00C02620" w:rsidRDefault="00D81FA1" w:rsidP="00BE4704">
            <w:pPr>
              <w:spacing w:line="360" w:lineRule="auto"/>
              <w:ind w:left="47"/>
              <w:jc w:val="center"/>
              <w:rPr>
                <w:rFonts w:ascii="Palatino Linotype" w:eastAsia="Palatino Linotype" w:hAnsi="Palatino Linotype" w:cs="Palatino Linotype"/>
                <w:b/>
                <w:sz w:val="2"/>
              </w:rPr>
            </w:pPr>
          </w:p>
        </w:tc>
      </w:tr>
      <w:tr w:rsidR="00D81FA1" w:rsidRPr="00C02620" w14:paraId="1CA4D62F" w14:textId="77777777" w:rsidTr="00BE4704">
        <w:tc>
          <w:tcPr>
            <w:tcW w:w="1560" w:type="dxa"/>
            <w:vAlign w:val="center"/>
          </w:tcPr>
          <w:p w14:paraId="68F010EF" w14:textId="1E9EBD86" w:rsidR="00D81FA1" w:rsidRPr="00C02620" w:rsidRDefault="00D81FA1" w:rsidP="00BE4704">
            <w:pPr>
              <w:jc w:val="both"/>
              <w:rPr>
                <w:rFonts w:ascii="Palatino Linotype" w:eastAsia="Palatino Linotype" w:hAnsi="Palatino Linotype" w:cs="Palatino Linotype"/>
                <w:b/>
                <w:sz w:val="16"/>
                <w:szCs w:val="20"/>
              </w:rPr>
            </w:pPr>
            <w:bookmarkStart w:id="7" w:name="_Hlk179215212"/>
            <w:r>
              <w:rPr>
                <w:rFonts w:ascii="Palatino Linotype" w:eastAsia="Palatino Linotype" w:hAnsi="Palatino Linotype" w:cs="Palatino Linotype"/>
                <w:b/>
                <w:sz w:val="16"/>
                <w:szCs w:val="20"/>
              </w:rPr>
              <w:t>Secciones clasificadas</w:t>
            </w:r>
          </w:p>
        </w:tc>
        <w:tc>
          <w:tcPr>
            <w:tcW w:w="1417" w:type="dxa"/>
            <w:vAlign w:val="center"/>
          </w:tcPr>
          <w:p w14:paraId="5CC681A1" w14:textId="0CE00EB8" w:rsidR="00D81FA1" w:rsidRPr="00C02620" w:rsidRDefault="00D81FA1" w:rsidP="00BE4704">
            <w:pPr>
              <w:ind w:left="4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Sí</w:t>
            </w:r>
          </w:p>
        </w:tc>
        <w:tc>
          <w:tcPr>
            <w:tcW w:w="6095" w:type="dxa"/>
            <w:vAlign w:val="center"/>
          </w:tcPr>
          <w:p w14:paraId="4667F167" w14:textId="4DEEA0CB" w:rsidR="00D81FA1" w:rsidRPr="00C02620" w:rsidRDefault="00D81FA1" w:rsidP="00BE4704">
            <w:pPr>
              <w:pBdr>
                <w:top w:val="nil"/>
                <w:left w:val="nil"/>
                <w:bottom w:val="nil"/>
                <w:right w:val="nil"/>
                <w:between w:val="nil"/>
              </w:pBdr>
              <w:spacing w:line="360" w:lineRule="auto"/>
              <w:jc w:val="center"/>
              <w:rPr>
                <w:rFonts w:ascii="Palatino Linotype" w:hAnsi="Palatino Linotype"/>
                <w:color w:val="000000"/>
              </w:rPr>
            </w:pPr>
            <w:r w:rsidRPr="00D81FA1">
              <w:rPr>
                <w:rFonts w:ascii="Palatino Linotype" w:hAnsi="Palatino Linotype"/>
                <w:noProof/>
                <w:color w:val="000000"/>
                <w:lang w:val="es-MX" w:eastAsia="es-MX"/>
              </w:rPr>
              <w:drawing>
                <wp:inline distT="0" distB="0" distL="0" distR="0" wp14:anchorId="569B6E47" wp14:editId="23E26E2A">
                  <wp:extent cx="3733165" cy="558165"/>
                  <wp:effectExtent l="0" t="0" r="635" b="0"/>
                  <wp:docPr id="19123594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59431" name=""/>
                          <pic:cNvPicPr/>
                        </pic:nvPicPr>
                        <pic:blipFill>
                          <a:blip r:embed="rId11"/>
                          <a:stretch>
                            <a:fillRect/>
                          </a:stretch>
                        </pic:blipFill>
                        <pic:spPr>
                          <a:xfrm>
                            <a:off x="0" y="0"/>
                            <a:ext cx="3733165" cy="558165"/>
                          </a:xfrm>
                          <a:prstGeom prst="rect">
                            <a:avLst/>
                          </a:prstGeom>
                        </pic:spPr>
                      </pic:pic>
                    </a:graphicData>
                  </a:graphic>
                </wp:inline>
              </w:drawing>
            </w:r>
          </w:p>
        </w:tc>
      </w:tr>
      <w:bookmarkEnd w:id="7"/>
      <w:tr w:rsidR="00D81FA1" w:rsidRPr="00C02620" w14:paraId="6634B16C" w14:textId="77777777" w:rsidTr="00BE4704">
        <w:trPr>
          <w:trHeight w:val="3517"/>
        </w:trPr>
        <w:tc>
          <w:tcPr>
            <w:tcW w:w="1560" w:type="dxa"/>
            <w:vAlign w:val="center"/>
          </w:tcPr>
          <w:p w14:paraId="2BB5D33B" w14:textId="0D48AE61" w:rsidR="00D81FA1" w:rsidRPr="00C02620" w:rsidRDefault="00D81FA1" w:rsidP="00BE4704">
            <w:pPr>
              <w:tabs>
                <w:tab w:val="left" w:pos="317"/>
              </w:tabs>
              <w:jc w:val="center"/>
              <w:rPr>
                <w:rFonts w:ascii="Palatino Linotype" w:eastAsia="Palatino Linotype" w:hAnsi="Palatino Linotype" w:cs="Palatino Linotype"/>
                <w:b/>
                <w:sz w:val="16"/>
                <w:szCs w:val="20"/>
              </w:rPr>
            </w:pPr>
            <w:r>
              <w:rPr>
                <w:rFonts w:ascii="Palatino Linotype" w:eastAsia="Palatino Linotype" w:hAnsi="Palatino Linotype" w:cs="Palatino Linotype"/>
                <w:b/>
                <w:sz w:val="16"/>
                <w:szCs w:val="20"/>
              </w:rPr>
              <w:t xml:space="preserve">Motivación de la </w:t>
            </w:r>
            <w:proofErr w:type="spellStart"/>
            <w:r>
              <w:rPr>
                <w:rFonts w:ascii="Palatino Linotype" w:eastAsia="Palatino Linotype" w:hAnsi="Palatino Linotype" w:cs="Palatino Linotype"/>
                <w:b/>
                <w:sz w:val="16"/>
                <w:szCs w:val="20"/>
              </w:rPr>
              <w:t>calsificación</w:t>
            </w:r>
            <w:proofErr w:type="spellEnd"/>
            <w:r w:rsidRPr="00C02620">
              <w:rPr>
                <w:rFonts w:ascii="Palatino Linotype" w:eastAsia="Palatino Linotype" w:hAnsi="Palatino Linotype" w:cs="Palatino Linotype"/>
                <w:b/>
                <w:sz w:val="16"/>
                <w:szCs w:val="20"/>
              </w:rPr>
              <w:t>.</w:t>
            </w:r>
          </w:p>
        </w:tc>
        <w:tc>
          <w:tcPr>
            <w:tcW w:w="1417" w:type="dxa"/>
            <w:vAlign w:val="center"/>
          </w:tcPr>
          <w:p w14:paraId="79755054" w14:textId="77777777" w:rsidR="00D81FA1" w:rsidRPr="00C02620" w:rsidRDefault="00D81FA1" w:rsidP="00BE4704">
            <w:pPr>
              <w:pBdr>
                <w:top w:val="nil"/>
                <w:left w:val="nil"/>
                <w:bottom w:val="nil"/>
                <w:right w:val="nil"/>
                <w:between w:val="nil"/>
              </w:pBdr>
              <w:ind w:left="29" w:firstLine="18"/>
              <w:jc w:val="center"/>
              <w:rPr>
                <w:rFonts w:ascii="Palatino Linotype" w:eastAsia="Palatino Linotype" w:hAnsi="Palatino Linotype" w:cs="Palatino Linotype"/>
                <w:b/>
                <w:color w:val="000000"/>
                <w:sz w:val="20"/>
                <w:szCs w:val="20"/>
              </w:rPr>
            </w:pPr>
            <w:r w:rsidRPr="00C02620">
              <w:rPr>
                <w:rFonts w:ascii="Palatino Linotype" w:eastAsia="Palatino Linotype" w:hAnsi="Palatino Linotype" w:cs="Palatino Linotype"/>
                <w:b/>
                <w:color w:val="000000"/>
                <w:sz w:val="20"/>
                <w:szCs w:val="20"/>
              </w:rPr>
              <w:t>Sí</w:t>
            </w:r>
          </w:p>
        </w:tc>
        <w:tc>
          <w:tcPr>
            <w:tcW w:w="6095" w:type="dxa"/>
          </w:tcPr>
          <w:p w14:paraId="249794D0" w14:textId="69D8540A" w:rsidR="00D81FA1" w:rsidRPr="00C02620" w:rsidRDefault="00D81FA1" w:rsidP="00BE4704">
            <w:pPr>
              <w:spacing w:line="360" w:lineRule="auto"/>
              <w:jc w:val="center"/>
              <w:rPr>
                <w:rFonts w:ascii="Palatino Linotype" w:hAnsi="Palatino Linotype"/>
              </w:rPr>
            </w:pPr>
            <w:r w:rsidRPr="00D81FA1">
              <w:rPr>
                <w:rFonts w:ascii="Palatino Linotype" w:hAnsi="Palatino Linotype"/>
                <w:noProof/>
                <w:lang w:val="es-MX" w:eastAsia="es-MX"/>
              </w:rPr>
              <w:drawing>
                <wp:inline distT="0" distB="0" distL="0" distR="0" wp14:anchorId="2B1CE15F" wp14:editId="0DFEB5E8">
                  <wp:extent cx="3733165" cy="2516505"/>
                  <wp:effectExtent l="0" t="0" r="635" b="0"/>
                  <wp:docPr id="680393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93940" name=""/>
                          <pic:cNvPicPr/>
                        </pic:nvPicPr>
                        <pic:blipFill>
                          <a:blip r:embed="rId12"/>
                          <a:stretch>
                            <a:fillRect/>
                          </a:stretch>
                        </pic:blipFill>
                        <pic:spPr>
                          <a:xfrm>
                            <a:off x="0" y="0"/>
                            <a:ext cx="3733165" cy="2516505"/>
                          </a:xfrm>
                          <a:prstGeom prst="rect">
                            <a:avLst/>
                          </a:prstGeom>
                        </pic:spPr>
                      </pic:pic>
                    </a:graphicData>
                  </a:graphic>
                </wp:inline>
              </w:drawing>
            </w:r>
          </w:p>
        </w:tc>
      </w:tr>
      <w:tr w:rsidR="00D81FA1" w:rsidRPr="00C02620" w14:paraId="08BA5850" w14:textId="77777777" w:rsidTr="00BE4704">
        <w:trPr>
          <w:trHeight w:val="3517"/>
        </w:trPr>
        <w:tc>
          <w:tcPr>
            <w:tcW w:w="1560" w:type="dxa"/>
            <w:vAlign w:val="center"/>
          </w:tcPr>
          <w:p w14:paraId="1A1D7A06" w14:textId="78E60477" w:rsidR="00D81FA1" w:rsidRPr="00C02620" w:rsidRDefault="00D81FA1" w:rsidP="00D81FA1">
            <w:pPr>
              <w:tabs>
                <w:tab w:val="left" w:pos="317"/>
              </w:tabs>
              <w:jc w:val="center"/>
              <w:rPr>
                <w:rFonts w:ascii="Palatino Linotype" w:eastAsia="Palatino Linotype" w:hAnsi="Palatino Linotype" w:cs="Palatino Linotype"/>
                <w:b/>
                <w:sz w:val="16"/>
                <w:szCs w:val="20"/>
              </w:rPr>
            </w:pPr>
            <w:r w:rsidRPr="00C02620">
              <w:rPr>
                <w:rFonts w:ascii="Palatino Linotype" w:eastAsia="Palatino Linotype" w:hAnsi="Palatino Linotype" w:cs="Palatino Linotype"/>
                <w:b/>
                <w:sz w:val="16"/>
                <w:szCs w:val="20"/>
              </w:rPr>
              <w:lastRenderedPageBreak/>
              <w:t>Autoridades competentes.</w:t>
            </w:r>
          </w:p>
        </w:tc>
        <w:tc>
          <w:tcPr>
            <w:tcW w:w="1417" w:type="dxa"/>
            <w:vAlign w:val="center"/>
          </w:tcPr>
          <w:p w14:paraId="77DEE5CF" w14:textId="2B464D1B" w:rsidR="00D81FA1" w:rsidRPr="00C02620" w:rsidRDefault="00D81FA1" w:rsidP="00D81FA1">
            <w:pPr>
              <w:pBdr>
                <w:top w:val="nil"/>
                <w:left w:val="nil"/>
                <w:bottom w:val="nil"/>
                <w:right w:val="nil"/>
                <w:between w:val="nil"/>
              </w:pBdr>
              <w:ind w:left="29" w:firstLine="18"/>
              <w:jc w:val="center"/>
              <w:rPr>
                <w:rFonts w:ascii="Palatino Linotype" w:eastAsia="Palatino Linotype" w:hAnsi="Palatino Linotype" w:cs="Palatino Linotype"/>
                <w:b/>
                <w:color w:val="000000"/>
                <w:sz w:val="20"/>
                <w:szCs w:val="20"/>
              </w:rPr>
            </w:pPr>
            <w:r w:rsidRPr="00C02620">
              <w:rPr>
                <w:rFonts w:ascii="Palatino Linotype" w:eastAsia="Palatino Linotype" w:hAnsi="Palatino Linotype" w:cs="Palatino Linotype"/>
                <w:b/>
                <w:color w:val="000000"/>
                <w:sz w:val="20"/>
                <w:szCs w:val="20"/>
              </w:rPr>
              <w:t>Sí</w:t>
            </w:r>
          </w:p>
        </w:tc>
        <w:tc>
          <w:tcPr>
            <w:tcW w:w="6095" w:type="dxa"/>
          </w:tcPr>
          <w:p w14:paraId="3D2327CA" w14:textId="77AA1142" w:rsidR="00D81FA1" w:rsidRPr="00C02620" w:rsidRDefault="00D81FA1" w:rsidP="00D81FA1">
            <w:pPr>
              <w:spacing w:line="360" w:lineRule="auto"/>
              <w:jc w:val="center"/>
              <w:rPr>
                <w:rFonts w:ascii="Palatino Linotype" w:hAnsi="Palatino Linotype"/>
              </w:rPr>
            </w:pPr>
            <w:r w:rsidRPr="00D81FA1">
              <w:rPr>
                <w:rFonts w:ascii="Palatino Linotype" w:hAnsi="Palatino Linotype"/>
                <w:noProof/>
                <w:lang w:val="es-MX" w:eastAsia="es-MX"/>
              </w:rPr>
              <w:drawing>
                <wp:inline distT="0" distB="0" distL="0" distR="0" wp14:anchorId="52651AFE" wp14:editId="0BC97298">
                  <wp:extent cx="3733165" cy="2421890"/>
                  <wp:effectExtent l="0" t="0" r="635" b="0"/>
                  <wp:docPr id="21294506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50671" name=""/>
                          <pic:cNvPicPr/>
                        </pic:nvPicPr>
                        <pic:blipFill>
                          <a:blip r:embed="rId13"/>
                          <a:stretch>
                            <a:fillRect/>
                          </a:stretch>
                        </pic:blipFill>
                        <pic:spPr>
                          <a:xfrm>
                            <a:off x="0" y="0"/>
                            <a:ext cx="3733165" cy="2421890"/>
                          </a:xfrm>
                          <a:prstGeom prst="rect">
                            <a:avLst/>
                          </a:prstGeom>
                        </pic:spPr>
                      </pic:pic>
                    </a:graphicData>
                  </a:graphic>
                </wp:inline>
              </w:drawing>
            </w:r>
          </w:p>
        </w:tc>
      </w:tr>
    </w:tbl>
    <w:p w14:paraId="3F16F046" w14:textId="77777777" w:rsidR="00D81FA1" w:rsidRPr="00902F82" w:rsidRDefault="00D81FA1" w:rsidP="00D81FA1">
      <w:pPr>
        <w:tabs>
          <w:tab w:val="left" w:pos="7938"/>
        </w:tabs>
        <w:spacing w:line="360" w:lineRule="auto"/>
        <w:jc w:val="both"/>
        <w:rPr>
          <w:rFonts w:ascii="Palatino Linotype" w:eastAsia="Palatino Linotype" w:hAnsi="Palatino Linotype" w:cs="Palatino Linotype"/>
          <w:sz w:val="22"/>
          <w:szCs w:val="22"/>
          <w:lang w:val="es-MX" w:eastAsia="en-US"/>
        </w:rPr>
      </w:pPr>
    </w:p>
    <w:p w14:paraId="22BED3EB" w14:textId="6D1284F8" w:rsidR="0090296A" w:rsidRDefault="0090296A" w:rsidP="0090296A">
      <w:pPr>
        <w:spacing w:line="360" w:lineRule="auto"/>
        <w:jc w:val="both"/>
        <w:rPr>
          <w:rFonts w:ascii="Palatino Linotype" w:eastAsiaTheme="minorHAnsi" w:hAnsi="Palatino Linotype" w:cstheme="minorBidi"/>
          <w:szCs w:val="22"/>
          <w:lang w:val="es-MX" w:eastAsia="en-US"/>
        </w:rPr>
      </w:pPr>
      <w:r w:rsidRPr="00DD4342">
        <w:rPr>
          <w:rFonts w:ascii="Palatino Linotype" w:hAnsi="Palatino Linotype" w:cs="Arial"/>
        </w:rPr>
        <w:t>Visto lo anterior, se concluye que mediante la información remitida y la solicitada, guardan relación, por lo que, se da por colmado dicho punto</w:t>
      </w:r>
      <w:r w:rsidR="00DD4342">
        <w:rPr>
          <w:rFonts w:ascii="Palatino Linotype" w:hAnsi="Palatino Linotype" w:cs="Arial"/>
        </w:rPr>
        <w:t>.</w:t>
      </w:r>
      <w:r w:rsidR="00A63A94">
        <w:rPr>
          <w:rFonts w:ascii="Palatino Linotype" w:hAnsi="Palatino Linotype" w:cs="Arial"/>
        </w:rPr>
        <w:t xml:space="preserve"> </w:t>
      </w:r>
      <w:r w:rsidRPr="00E93584">
        <w:rPr>
          <w:rFonts w:ascii="Palatino Linotype" w:eastAsiaTheme="minorHAnsi" w:hAnsi="Palatino Linotype" w:cstheme="minorBidi"/>
          <w:szCs w:val="22"/>
          <w:lang w:val="es-MX" w:eastAsia="en-US"/>
        </w:rPr>
        <w:t>Así que, este Órgano Garante considera que de la respuesta primigenia</w:t>
      </w:r>
      <w:r>
        <w:rPr>
          <w:rFonts w:ascii="Palatino Linotype" w:eastAsiaTheme="minorHAnsi" w:hAnsi="Palatino Linotype" w:cstheme="minorBidi"/>
          <w:szCs w:val="22"/>
          <w:lang w:val="es-MX" w:eastAsia="en-US"/>
        </w:rPr>
        <w:t>, cumple</w:t>
      </w:r>
      <w:r w:rsidRPr="00E93584">
        <w:rPr>
          <w:rFonts w:ascii="Palatino Linotype" w:eastAsiaTheme="minorHAnsi" w:hAnsi="Palatino Linotype" w:cstheme="minorBidi"/>
          <w:szCs w:val="22"/>
          <w:lang w:val="es-MX" w:eastAsia="en-US"/>
        </w:rPr>
        <w:t xml:space="preserve">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22C6AB8B" w14:textId="77777777" w:rsidR="007736BF" w:rsidRPr="00DD4342" w:rsidRDefault="007736BF" w:rsidP="0090296A">
      <w:pPr>
        <w:spacing w:line="360" w:lineRule="auto"/>
        <w:jc w:val="both"/>
        <w:rPr>
          <w:rFonts w:ascii="Palatino Linotype" w:eastAsiaTheme="minorHAnsi" w:hAnsi="Palatino Linotype" w:cs="Arial"/>
          <w:b/>
          <w:bCs/>
          <w:u w:val="single"/>
          <w:lang w:val="es-MX" w:eastAsia="en-US"/>
        </w:rPr>
      </w:pPr>
    </w:p>
    <w:p w14:paraId="31788626" w14:textId="0831E7F5" w:rsidR="0090296A" w:rsidRDefault="0090296A" w:rsidP="0090296A">
      <w:pPr>
        <w:spacing w:line="360" w:lineRule="auto"/>
        <w:jc w:val="both"/>
        <w:rPr>
          <w:rFonts w:ascii="Palatino Linotype" w:hAnsi="Palatino Linotype" w:cs="Arial"/>
        </w:rPr>
      </w:pPr>
      <w:r w:rsidRPr="008C0017">
        <w:rPr>
          <w:rFonts w:ascii="Palatino Linotype" w:hAnsi="Palatino Linotype"/>
        </w:rPr>
        <w:t xml:space="preserve">Así, en mérito de lo expuesto en líneas anteriores, </w:t>
      </w:r>
      <w:r w:rsidRPr="008C0017">
        <w:rPr>
          <w:rFonts w:ascii="Palatino Linotype" w:hAnsi="Palatino Linotype"/>
          <w:noProof/>
          <w:lang w:eastAsia="es-MX"/>
        </w:rPr>
        <w:t xml:space="preserve">resultan </w:t>
      </w:r>
      <w:r w:rsidRPr="008C0017">
        <w:rPr>
          <w:rFonts w:ascii="Palatino Linotype" w:hAnsi="Palatino Linotype"/>
          <w:b/>
          <w:noProof/>
          <w:lang w:eastAsia="es-MX"/>
        </w:rPr>
        <w:t>infundadas</w:t>
      </w:r>
      <w:r w:rsidRPr="008C0017">
        <w:rPr>
          <w:rFonts w:ascii="Palatino Linotype" w:hAnsi="Palatino Linotype"/>
          <w:noProof/>
          <w:lang w:eastAsia="es-MX"/>
        </w:rPr>
        <w:t xml:space="preserve"> las razones o motivos de inconformidad que arguye</w:t>
      </w:r>
      <w:r w:rsidR="00DD4342">
        <w:rPr>
          <w:rFonts w:ascii="Palatino Linotype" w:hAnsi="Palatino Linotype"/>
          <w:noProof/>
          <w:lang w:eastAsia="es-MX"/>
        </w:rPr>
        <w:t xml:space="preserve"> el </w:t>
      </w:r>
      <w:r w:rsidRPr="008C0017">
        <w:rPr>
          <w:rFonts w:ascii="Palatino Linotype" w:hAnsi="Palatino Linotype"/>
          <w:b/>
          <w:noProof/>
          <w:lang w:eastAsia="es-MX"/>
        </w:rPr>
        <w:t>Recurrente</w:t>
      </w:r>
      <w:r w:rsidRPr="008C0017">
        <w:rPr>
          <w:rFonts w:ascii="Palatino Linotype" w:hAnsi="Palatino Linotype"/>
          <w:noProof/>
          <w:lang w:eastAsia="es-MX"/>
        </w:rPr>
        <w:t xml:space="preserve">, </w:t>
      </w:r>
      <w:r w:rsidRPr="008C0017">
        <w:rPr>
          <w:rFonts w:ascii="Palatino Linotype" w:hAnsi="Palatino Linotype" w:cs="Arial"/>
        </w:rPr>
        <w:t xml:space="preserve">por ello con fundamento en el artículo 186, fracción II, de la Ley de Transparencia y Acceso a la Información Pública del Estado de México y Municipios, se </w:t>
      </w:r>
      <w:r w:rsidRPr="008C0017">
        <w:rPr>
          <w:rFonts w:ascii="Palatino Linotype" w:hAnsi="Palatino Linotype" w:cs="Arial"/>
          <w:b/>
        </w:rPr>
        <w:t>CONFIRMA</w:t>
      </w:r>
      <w:r w:rsidRPr="008C0017">
        <w:rPr>
          <w:rFonts w:ascii="Palatino Linotype" w:hAnsi="Palatino Linotype" w:cs="Arial"/>
        </w:rPr>
        <w:t xml:space="preserve"> la respuesta a la solicitud de información pública</w:t>
      </w:r>
      <w:r w:rsidRPr="008C0017">
        <w:rPr>
          <w:rFonts w:ascii="Palatino Linotype" w:hAnsi="Palatino Linotype" w:cs="Arial"/>
          <w:b/>
        </w:rPr>
        <w:t xml:space="preserve"> </w:t>
      </w:r>
      <w:r w:rsidR="007736BF" w:rsidRPr="007736BF">
        <w:rPr>
          <w:rFonts w:ascii="Palatino Linotype" w:hAnsi="Palatino Linotype" w:cs="Arial"/>
          <w:b/>
        </w:rPr>
        <w:t>00028/TLALNEPA/IP/2025</w:t>
      </w:r>
      <w:r w:rsidRPr="008C0017">
        <w:rPr>
          <w:rFonts w:ascii="Palatino Linotype" w:hAnsi="Palatino Linotype" w:cs="Arial"/>
        </w:rPr>
        <w:t>,</w:t>
      </w:r>
      <w:r w:rsidRPr="008C0017">
        <w:rPr>
          <w:rFonts w:ascii="Palatino Linotype" w:hAnsi="Palatino Linotype" w:cs="Arial"/>
          <w:b/>
        </w:rPr>
        <w:t xml:space="preserve"> </w:t>
      </w:r>
      <w:r w:rsidRPr="008C0017">
        <w:rPr>
          <w:rFonts w:ascii="Palatino Linotype" w:hAnsi="Palatino Linotype" w:cs="Arial"/>
          <w:bCs/>
        </w:rPr>
        <w:t>que ha sido materia del presente fallo</w:t>
      </w:r>
      <w:r w:rsidRPr="008C0017">
        <w:rPr>
          <w:rFonts w:ascii="Palatino Linotype" w:hAnsi="Palatino Linotype" w:cs="Arial"/>
        </w:rPr>
        <w:t>.</w:t>
      </w:r>
    </w:p>
    <w:p w14:paraId="77BF2A6E" w14:textId="77777777" w:rsidR="0090296A" w:rsidRPr="008C0017" w:rsidRDefault="0090296A" w:rsidP="0090296A">
      <w:pPr>
        <w:pStyle w:val="Sinespaciado"/>
        <w:spacing w:line="360" w:lineRule="auto"/>
        <w:jc w:val="both"/>
        <w:rPr>
          <w:rFonts w:ascii="Palatino Linotype" w:hAnsi="Palatino Linotype"/>
        </w:rPr>
      </w:pPr>
      <w:r w:rsidRPr="008C0017">
        <w:rPr>
          <w:rFonts w:ascii="Palatino Linotype" w:hAnsi="Palatino Linotype"/>
        </w:rPr>
        <w:lastRenderedPageBreak/>
        <w:t>Por lo antes expuesto y fundado es de resolverse y,</w:t>
      </w:r>
    </w:p>
    <w:p w14:paraId="7BCBBADD" w14:textId="77777777" w:rsidR="0090296A" w:rsidRPr="008C0017" w:rsidRDefault="0090296A" w:rsidP="0090296A">
      <w:pPr>
        <w:pStyle w:val="Sinespaciado"/>
        <w:spacing w:line="360" w:lineRule="auto"/>
        <w:jc w:val="both"/>
        <w:rPr>
          <w:rFonts w:ascii="Palatino Linotype" w:hAnsi="Palatino Linotype"/>
        </w:rPr>
      </w:pPr>
    </w:p>
    <w:p w14:paraId="51CCA8B2" w14:textId="77777777" w:rsidR="0090296A" w:rsidRPr="008C0017" w:rsidRDefault="0090296A" w:rsidP="0090296A">
      <w:pPr>
        <w:spacing w:line="360" w:lineRule="auto"/>
        <w:jc w:val="center"/>
        <w:rPr>
          <w:rFonts w:ascii="Palatino Linotype" w:hAnsi="Palatino Linotype"/>
          <w:b/>
          <w:sz w:val="28"/>
          <w:lang w:val="pt-BR"/>
        </w:rPr>
      </w:pPr>
      <w:r w:rsidRPr="008C0017">
        <w:rPr>
          <w:rFonts w:ascii="Palatino Linotype" w:hAnsi="Palatino Linotype"/>
          <w:b/>
          <w:sz w:val="28"/>
          <w:lang w:val="pt-BR"/>
        </w:rPr>
        <w:t>S E   R E S U E L V E</w:t>
      </w:r>
    </w:p>
    <w:p w14:paraId="33708A9C" w14:textId="77777777" w:rsidR="0090296A" w:rsidRPr="008C0017" w:rsidRDefault="0090296A" w:rsidP="0090296A">
      <w:pPr>
        <w:spacing w:line="360" w:lineRule="auto"/>
        <w:jc w:val="center"/>
        <w:rPr>
          <w:rFonts w:ascii="Palatino Linotype" w:hAnsi="Palatino Linotype"/>
          <w:b/>
          <w:lang w:val="pt-BR"/>
        </w:rPr>
      </w:pPr>
    </w:p>
    <w:p w14:paraId="7F824342" w14:textId="6BD5F397" w:rsidR="0090296A" w:rsidRPr="008C0017" w:rsidRDefault="0090296A" w:rsidP="0090296A">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PRIMERO.</w:t>
      </w:r>
      <w:r w:rsidRPr="008C0017">
        <w:rPr>
          <w:rFonts w:ascii="Palatino Linotype" w:hAnsi="Palatino Linotype"/>
          <w:b/>
          <w:sz w:val="24"/>
          <w:szCs w:val="24"/>
        </w:rPr>
        <w:t xml:space="preserve"> </w:t>
      </w:r>
      <w:r w:rsidRPr="008C0017">
        <w:rPr>
          <w:rFonts w:ascii="Palatino Linotype" w:hAnsi="Palatino Linotype"/>
          <w:sz w:val="24"/>
          <w:szCs w:val="24"/>
        </w:rPr>
        <w:t xml:space="preserve">Se </w:t>
      </w:r>
      <w:r w:rsidRPr="008C0017">
        <w:rPr>
          <w:rFonts w:ascii="Palatino Linotype" w:hAnsi="Palatino Linotype"/>
          <w:b/>
          <w:sz w:val="24"/>
          <w:szCs w:val="24"/>
        </w:rPr>
        <w:t>CONFIRMA</w:t>
      </w:r>
      <w:r w:rsidRPr="008C0017">
        <w:rPr>
          <w:rFonts w:ascii="Palatino Linotype" w:hAnsi="Palatino Linotype"/>
          <w:sz w:val="24"/>
          <w:szCs w:val="24"/>
        </w:rPr>
        <w:t xml:space="preserve"> la respuesta del </w:t>
      </w:r>
      <w:r w:rsidRPr="008C0017">
        <w:rPr>
          <w:rFonts w:ascii="Palatino Linotype" w:hAnsi="Palatino Linotype"/>
          <w:b/>
          <w:sz w:val="24"/>
          <w:szCs w:val="24"/>
        </w:rPr>
        <w:t xml:space="preserve">Sujeto Obligado </w:t>
      </w:r>
      <w:r w:rsidRPr="008C0017">
        <w:rPr>
          <w:rFonts w:ascii="Palatino Linotype" w:hAnsi="Palatino Linotype"/>
          <w:bCs/>
          <w:sz w:val="24"/>
          <w:szCs w:val="24"/>
        </w:rPr>
        <w:t xml:space="preserve">a la solicitud de información </w:t>
      </w:r>
      <w:r w:rsidR="007736BF" w:rsidRPr="007736BF">
        <w:rPr>
          <w:rFonts w:ascii="Palatino Linotype" w:hAnsi="Palatino Linotype" w:cs="Arial"/>
          <w:b/>
          <w:sz w:val="24"/>
          <w:szCs w:val="24"/>
        </w:rPr>
        <w:t>00028/TLALNEPA/IP/2025</w:t>
      </w:r>
      <w:r w:rsidRPr="008C0017">
        <w:rPr>
          <w:rFonts w:ascii="Palatino Linotype" w:hAnsi="Palatino Linotype"/>
          <w:sz w:val="24"/>
          <w:szCs w:val="24"/>
        </w:rPr>
        <w:t xml:space="preserve">, por resultar infundadas las razones o motivos de inconformidad hechos valer por el </w:t>
      </w:r>
      <w:r w:rsidRPr="008C0017">
        <w:rPr>
          <w:rFonts w:ascii="Palatino Linotype" w:hAnsi="Palatino Linotype"/>
          <w:b/>
          <w:sz w:val="24"/>
          <w:szCs w:val="24"/>
        </w:rPr>
        <w:t>Recurrente</w:t>
      </w:r>
      <w:r w:rsidRPr="008C0017">
        <w:rPr>
          <w:rFonts w:ascii="Palatino Linotype" w:hAnsi="Palatino Linotype"/>
          <w:sz w:val="24"/>
          <w:szCs w:val="24"/>
        </w:rPr>
        <w:t xml:space="preserve">, en términos del Considerando </w:t>
      </w:r>
      <w:r w:rsidR="006D5F38">
        <w:rPr>
          <w:rFonts w:ascii="Palatino Linotype" w:hAnsi="Palatino Linotype"/>
          <w:b/>
          <w:sz w:val="24"/>
          <w:szCs w:val="24"/>
        </w:rPr>
        <w:t>CUAR</w:t>
      </w:r>
      <w:r w:rsidRPr="008C0017">
        <w:rPr>
          <w:rFonts w:ascii="Palatino Linotype" w:hAnsi="Palatino Linotype"/>
          <w:b/>
          <w:sz w:val="24"/>
          <w:szCs w:val="24"/>
        </w:rPr>
        <w:t xml:space="preserve">TO </w:t>
      </w:r>
      <w:r w:rsidRPr="008C0017">
        <w:rPr>
          <w:rFonts w:ascii="Palatino Linotype" w:hAnsi="Palatino Linotype"/>
          <w:sz w:val="24"/>
          <w:szCs w:val="24"/>
        </w:rPr>
        <w:t>de esta resolución.</w:t>
      </w:r>
    </w:p>
    <w:p w14:paraId="435B2AD8" w14:textId="77777777" w:rsidR="0090296A" w:rsidRPr="008C0017" w:rsidRDefault="0090296A" w:rsidP="0090296A">
      <w:pPr>
        <w:pStyle w:val="Textoindependiente"/>
        <w:spacing w:after="0" w:line="360" w:lineRule="auto"/>
        <w:jc w:val="both"/>
        <w:rPr>
          <w:rFonts w:ascii="Palatino Linotype" w:hAnsi="Palatino Linotype"/>
          <w:sz w:val="24"/>
          <w:szCs w:val="24"/>
        </w:rPr>
      </w:pPr>
    </w:p>
    <w:p w14:paraId="1B8781A7" w14:textId="77777777" w:rsidR="0090296A" w:rsidRPr="008C0017" w:rsidRDefault="0090296A" w:rsidP="0090296A">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SEGUNDO.</w:t>
      </w:r>
      <w:r w:rsidRPr="008C0017">
        <w:rPr>
          <w:rFonts w:ascii="Palatino Linotype" w:hAnsi="Palatino Linotype"/>
          <w:sz w:val="28"/>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 xml:space="preserve">, la presente resolución al Titular de la Unidad de Transparencia del </w:t>
      </w:r>
      <w:r w:rsidRPr="008C0017">
        <w:rPr>
          <w:rFonts w:ascii="Palatino Linotype" w:hAnsi="Palatino Linotype"/>
          <w:b/>
          <w:sz w:val="24"/>
          <w:szCs w:val="24"/>
        </w:rPr>
        <w:t>Sujeto Obligado</w:t>
      </w:r>
      <w:r w:rsidRPr="008C0017">
        <w:rPr>
          <w:rFonts w:ascii="Palatino Linotype" w:hAnsi="Palatino Linotype"/>
          <w:sz w:val="24"/>
          <w:szCs w:val="24"/>
        </w:rPr>
        <w:t>, para su conocimiento.</w:t>
      </w:r>
    </w:p>
    <w:p w14:paraId="3885ADB3" w14:textId="77777777" w:rsidR="0090296A" w:rsidRPr="008C0017" w:rsidRDefault="0090296A" w:rsidP="0090296A">
      <w:pPr>
        <w:pStyle w:val="Textoindependiente"/>
        <w:spacing w:after="0" w:line="360" w:lineRule="auto"/>
        <w:jc w:val="both"/>
        <w:rPr>
          <w:rFonts w:ascii="Palatino Linotype" w:hAnsi="Palatino Linotype"/>
          <w:sz w:val="24"/>
          <w:szCs w:val="24"/>
        </w:rPr>
      </w:pPr>
    </w:p>
    <w:p w14:paraId="7B65712F" w14:textId="77777777" w:rsidR="0090296A" w:rsidRDefault="0090296A" w:rsidP="0090296A">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TERCERO.</w:t>
      </w:r>
      <w:r w:rsidRPr="008C0017">
        <w:rPr>
          <w:rFonts w:ascii="Palatino Linotype" w:hAnsi="Palatino Linotype"/>
          <w:sz w:val="24"/>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w:t>
      </w:r>
      <w:r w:rsidRPr="008C0017">
        <w:rPr>
          <w:rFonts w:ascii="Palatino Linotype" w:hAnsi="Palatino Linotype"/>
          <w:b/>
          <w:sz w:val="24"/>
          <w:szCs w:val="24"/>
        </w:rPr>
        <w:t xml:space="preserve"> </w:t>
      </w:r>
      <w:r w:rsidRPr="008C0017">
        <w:rPr>
          <w:rFonts w:ascii="Palatino Linotype" w:hAnsi="Palatino Linotype"/>
          <w:sz w:val="24"/>
          <w:szCs w:val="24"/>
        </w:rPr>
        <w:t xml:space="preserve">al </w:t>
      </w:r>
      <w:r w:rsidRPr="008C0017">
        <w:rPr>
          <w:rFonts w:ascii="Palatino Linotype" w:hAnsi="Palatino Linotype"/>
          <w:b/>
          <w:sz w:val="24"/>
          <w:szCs w:val="24"/>
        </w:rPr>
        <w:t xml:space="preserve">Recurrente </w:t>
      </w:r>
      <w:r w:rsidRPr="008C0017">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45165FD8" w14:textId="77777777" w:rsidR="00D81FA1" w:rsidRDefault="00D81FA1" w:rsidP="0090296A">
      <w:pPr>
        <w:pStyle w:val="Textoindependiente"/>
        <w:spacing w:after="0" w:line="360" w:lineRule="auto"/>
        <w:jc w:val="both"/>
        <w:rPr>
          <w:rFonts w:ascii="Palatino Linotype" w:hAnsi="Palatino Linotype"/>
          <w:sz w:val="24"/>
          <w:szCs w:val="24"/>
        </w:rPr>
      </w:pPr>
    </w:p>
    <w:p w14:paraId="225EA452" w14:textId="5461612D" w:rsidR="0029071C" w:rsidRPr="009D0958" w:rsidRDefault="008D2478" w:rsidP="00D01A63">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ASÍ LO RESUELVE, POR UNANIMIDAD DE VOTOS, EL PLENO DEL</w:t>
      </w:r>
      <w:r w:rsidRPr="009D0958">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D0958">
        <w:rPr>
          <w:rFonts w:ascii="Palatino Linotype" w:eastAsiaTheme="minorHAnsi" w:hAnsi="Palatino Linotype" w:cs="Arial"/>
          <w:lang w:val="es-MX" w:eastAsia="en-US"/>
        </w:rPr>
        <w:t xml:space="preserve">, CONFORMADO POR LOS COMISIONADOS JOSÉ MARTÍNEZ VILCHIS; MARÍA DEL ROSARIO MEJÍA AYALA; SHARON CRISTINA MORALES MARTÍNEZ; LUIS </w:t>
      </w:r>
      <w:r w:rsidRPr="009D0958">
        <w:rPr>
          <w:rFonts w:ascii="Palatino Linotype" w:eastAsiaTheme="minorHAnsi" w:hAnsi="Palatino Linotype" w:cs="Arial"/>
          <w:lang w:val="es-MX" w:eastAsia="en-US"/>
        </w:rPr>
        <w:lastRenderedPageBreak/>
        <w:t>GUSTAVO PARRA NORIEGA</w:t>
      </w:r>
      <w:r w:rsidR="00B43221"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Y GUADALUPE RAMÍREZ PEÑA; EN LA </w:t>
      </w:r>
      <w:r w:rsidR="0044142D">
        <w:rPr>
          <w:rFonts w:ascii="Palatino Linotype" w:eastAsiaTheme="minorHAnsi" w:hAnsi="Palatino Linotype" w:cs="Arial"/>
          <w:lang w:val="es-MX" w:eastAsia="en-US"/>
        </w:rPr>
        <w:t>NOVEN</w:t>
      </w:r>
      <w:r w:rsidR="006D5F38">
        <w:rPr>
          <w:rFonts w:ascii="Palatino Linotype" w:eastAsiaTheme="minorHAnsi" w:hAnsi="Palatino Linotype" w:cs="Arial"/>
          <w:lang w:val="es-MX" w:eastAsia="en-US"/>
        </w:rPr>
        <w:t>A</w:t>
      </w:r>
      <w:r w:rsidRPr="009D0958">
        <w:rPr>
          <w:rFonts w:ascii="Palatino Linotype" w:eastAsiaTheme="minorHAnsi" w:hAnsi="Palatino Linotype" w:cs="Arial"/>
          <w:lang w:val="es-MX" w:eastAsia="en-US"/>
        </w:rPr>
        <w:t xml:space="preserve"> SESIÓN ORDINARIA CELEBRADA EL </w:t>
      </w:r>
      <w:r w:rsidR="0044142D">
        <w:rPr>
          <w:rFonts w:ascii="Palatino Linotype" w:hAnsi="Palatino Linotype" w:cs="Arial"/>
          <w:color w:val="000000"/>
          <w:lang w:val="es-MX" w:eastAsia="es-MX"/>
        </w:rPr>
        <w:t>DOCE</w:t>
      </w:r>
      <w:r w:rsidR="006D5F38">
        <w:rPr>
          <w:rFonts w:ascii="Palatino Linotype" w:hAnsi="Palatino Linotype" w:cs="Arial"/>
          <w:color w:val="000000"/>
          <w:lang w:val="es-MX" w:eastAsia="es-MX"/>
        </w:rPr>
        <w:t xml:space="preserve"> DE MARZO</w:t>
      </w:r>
      <w:r w:rsidRPr="009D0958">
        <w:rPr>
          <w:rFonts w:ascii="Palatino Linotype" w:hAnsi="Palatino Linotype" w:cs="Arial"/>
          <w:color w:val="000000"/>
          <w:lang w:val="es-MX" w:eastAsia="es-MX"/>
        </w:rPr>
        <w:t xml:space="preserve"> DE</w:t>
      </w:r>
      <w:r w:rsidR="00B43221" w:rsidRPr="009D0958">
        <w:rPr>
          <w:rFonts w:ascii="Palatino Linotype" w:eastAsiaTheme="minorHAnsi" w:hAnsi="Palatino Linotype" w:cs="Arial"/>
          <w:lang w:val="es-MX" w:eastAsia="en-US"/>
        </w:rPr>
        <w:t xml:space="preserv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ANTE EL SECRETARIO TÉCNICO</w:t>
      </w:r>
      <w:r w:rsidR="005876B9">
        <w:rPr>
          <w:rFonts w:ascii="Palatino Linotype" w:eastAsiaTheme="minorHAnsi" w:hAnsi="Palatino Linotype" w:cs="Arial"/>
          <w:lang w:val="es-MX" w:eastAsia="en-US"/>
        </w:rPr>
        <w:t xml:space="preserve"> DEL PLENO</w:t>
      </w:r>
      <w:r w:rsidRPr="009D0958">
        <w:rPr>
          <w:rFonts w:ascii="Palatino Linotype" w:eastAsiaTheme="minorHAnsi" w:hAnsi="Palatino Linotype" w:cs="Arial"/>
          <w:lang w:val="es-MX" w:eastAsia="en-US"/>
        </w:rPr>
        <w:t>, ALEXIS TAPIA RAMÍREZ.----</w:t>
      </w:r>
      <w:r w:rsidR="0020726A">
        <w:rPr>
          <w:rFonts w:ascii="Palatino Linotype" w:eastAsiaTheme="minorHAnsi" w:hAnsi="Palatino Linotype" w:cs="Arial"/>
          <w:lang w:val="es-MX" w:eastAsia="en-US"/>
        </w:rPr>
        <w:t>-----------------------------------------------------------------------------------------------------------------------------------------------------------------------------------------------------------------------------------------------------------------------------------------------------------------------------------------------------------------------------------------------------------------------------------------------------------------------------------------------------------------------------------------------------------------------------------------------------------------------------------------------------------------------------------------------------------------------------------------------------------------------------------------------------------------------------------------------------------------------------------------------------------------------------</w:t>
      </w:r>
      <w:r w:rsidR="000B51C9">
        <w:rPr>
          <w:rFonts w:ascii="Palatino Linotype" w:eastAsiaTheme="minorHAnsi" w:hAnsi="Palatino Linotype" w:cs="Arial"/>
          <w:lang w:val="es-MX" w:eastAsia="en-US"/>
        </w:rPr>
        <w:t>------------------------------------------------------------------------------------------------------------------------------------------------------------------------------------------------------------------------------------------------------------------------------------------------------------------------------------------------------------------------------------------------------------------------------------------------------------------------</w:t>
      </w:r>
      <w:r w:rsidR="008502B0">
        <w:rPr>
          <w:rFonts w:ascii="Palatino Linotype" w:eastAsiaTheme="minorHAnsi" w:hAnsi="Palatino Linotype" w:cs="Arial"/>
          <w:lang w:val="es-MX" w:eastAsia="en-US"/>
        </w:rPr>
        <w:t>----------------------------------------------------------------------------------------------------------------------------------------------------------------------------------------------------------------------------------------------------------</w:t>
      </w:r>
      <w:r w:rsidR="00D81FA1" w:rsidRPr="00D81FA1">
        <w:rPr>
          <w:rFonts w:ascii="Palatino Linotype" w:eastAsiaTheme="minorHAnsi" w:hAnsi="Palatino Linotype" w:cs="Arial"/>
          <w:lang w:val="es-MX" w:eastAsia="en-US"/>
        </w:rPr>
        <w:t xml:space="preserve"> </w:t>
      </w:r>
      <w:r w:rsidR="00D81FA1">
        <w:rPr>
          <w:rFonts w:ascii="Palatino Linotype" w:eastAsiaTheme="minorHAnsi" w:hAnsi="Palatino Linotype" w:cs="Arial"/>
          <w:lang w:val="es-MX" w:eastAsia="en-US"/>
        </w:rPr>
        <w:t>-------------------------------------------------------------------------------------------------------------------------------------------------------------------------------------------------------------------------------------------------------------------------------------------------------------------------------------------------------------------------------------------------------------------------------------------------------------------------------------------------------------------------------------------------------------------------------------------------------------------------------------------------------------------------------------------------------------------------------------------------------------------------------------------------------------------------------------------------------------------------------------------------------------------------</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51539C">
        <w:rPr>
          <w:rFonts w:ascii="Palatino Linotype" w:eastAsiaTheme="minorHAnsi" w:hAnsi="Palatino Linotype" w:cs="Arial"/>
          <w:sz w:val="18"/>
          <w:lang w:val="es-MX" w:eastAsia="en-US"/>
        </w:rPr>
        <w:t>JMV/CCR/</w:t>
      </w:r>
      <w:proofErr w:type="spellStart"/>
      <w:r w:rsidRPr="0051539C">
        <w:rPr>
          <w:rFonts w:ascii="Palatino Linotype" w:eastAsiaTheme="minorHAnsi" w:hAnsi="Palatino Linotype" w:cs="Arial"/>
          <w:sz w:val="18"/>
          <w:lang w:val="es-MX" w:eastAsia="en-US"/>
        </w:rPr>
        <w:t>jasm</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68E81C9D" w:rsidR="0029071C" w:rsidRPr="003E56C9" w:rsidRDefault="0029071C" w:rsidP="003E56C9"/>
    <w:sectPr w:rsidR="0029071C" w:rsidRPr="003E56C9" w:rsidSect="00C53377">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17192" w14:textId="77777777" w:rsidR="00EE002C" w:rsidRDefault="00EE002C" w:rsidP="000B5E25">
      <w:r>
        <w:separator/>
      </w:r>
    </w:p>
  </w:endnote>
  <w:endnote w:type="continuationSeparator" w:id="0">
    <w:p w14:paraId="593DB86B" w14:textId="77777777" w:rsidR="00EE002C" w:rsidRDefault="00EE002C"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902F82" w:rsidRPr="000D3AD4" w:rsidRDefault="00902F8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42476">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42476">
      <w:rPr>
        <w:rFonts w:ascii="Palatino Linotype" w:hAnsi="Palatino Linotype" w:cs="Arial"/>
        <w:bCs/>
        <w:noProof/>
        <w:sz w:val="20"/>
        <w:szCs w:val="20"/>
      </w:rPr>
      <w:t>32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902F82" w:rsidRPr="000D3AD4" w:rsidRDefault="00902F8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4247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42476">
      <w:rPr>
        <w:rFonts w:ascii="Palatino Linotype" w:hAnsi="Palatino Linotype" w:cs="Arial"/>
        <w:bCs/>
        <w:noProof/>
        <w:sz w:val="20"/>
        <w:szCs w:val="20"/>
      </w:rPr>
      <w:t>32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287DF" w14:textId="77777777" w:rsidR="00EE002C" w:rsidRDefault="00EE002C" w:rsidP="000B5E25">
      <w:r>
        <w:separator/>
      </w:r>
    </w:p>
  </w:footnote>
  <w:footnote w:type="continuationSeparator" w:id="0">
    <w:p w14:paraId="32F8B567" w14:textId="77777777" w:rsidR="00EE002C" w:rsidRDefault="00EE002C" w:rsidP="000B5E25">
      <w:r>
        <w:continuationSeparator/>
      </w:r>
    </w:p>
  </w:footnote>
  <w:footnote w:id="1">
    <w:p w14:paraId="58BCF662" w14:textId="77777777" w:rsidR="00902F82" w:rsidRPr="008A64CB" w:rsidRDefault="00902F82"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902F82" w:rsidRDefault="00902F82" w:rsidP="006C7783">
      <w:pPr>
        <w:autoSpaceDE w:val="0"/>
        <w:autoSpaceDN w:val="0"/>
        <w:adjustRightInd w:val="0"/>
        <w:ind w:right="49"/>
        <w:jc w:val="both"/>
        <w:rPr>
          <w:rFonts w:ascii="Palatino Linotype" w:hAnsi="Palatino Linotype"/>
          <w:i/>
          <w:sz w:val="18"/>
          <w:szCs w:val="22"/>
        </w:rPr>
      </w:pPr>
    </w:p>
    <w:p w14:paraId="45AB867A" w14:textId="77777777" w:rsidR="00902F82" w:rsidRPr="008A64CB" w:rsidRDefault="00902F82"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902F82" w:rsidRPr="008A64CB" w:rsidRDefault="00902F82" w:rsidP="006C7783">
      <w:pPr>
        <w:pStyle w:val="Textonotapie"/>
        <w:rPr>
          <w:lang w:val="es-MX"/>
        </w:rPr>
      </w:pPr>
    </w:p>
  </w:footnote>
  <w:footnote w:id="2">
    <w:p w14:paraId="774D2935" w14:textId="77777777" w:rsidR="00A63A94" w:rsidRDefault="00A63A94" w:rsidP="00A63A9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Consultable en: </w:t>
      </w:r>
    </w:p>
    <w:p w14:paraId="6632DFAC" w14:textId="77777777" w:rsidR="00A63A94" w:rsidRDefault="00B42476" w:rsidP="00A63A94">
      <w:pPr>
        <w:pBdr>
          <w:top w:val="nil"/>
          <w:left w:val="nil"/>
          <w:bottom w:val="nil"/>
          <w:right w:val="nil"/>
          <w:between w:val="nil"/>
        </w:pBdr>
        <w:jc w:val="both"/>
        <w:rPr>
          <w:rFonts w:ascii="Palatino Linotype" w:eastAsia="Palatino Linotype" w:hAnsi="Palatino Linotype" w:cs="Palatino Linotype"/>
          <w:color w:val="000000"/>
          <w:sz w:val="16"/>
          <w:szCs w:val="16"/>
        </w:rPr>
      </w:pPr>
      <w:hyperlink r:id="rId3">
        <w:r w:rsidR="00A63A94">
          <w:rPr>
            <w:rFonts w:ascii="Palatino Linotype" w:eastAsia="Palatino Linotype" w:hAnsi="Palatino Linotype" w:cs="Palatino Linotype"/>
            <w:color w:val="0000FF"/>
            <w:sz w:val="16"/>
            <w:szCs w:val="16"/>
            <w:u w:val="single"/>
          </w:rPr>
          <w:t>https://www.indetec.gob.mx/delivery?srv=0&amp;sl=3&amp;path=/biblioteca/Especiales/386_Glosario_Terminos_Proceso_Planeacion.pdf</w:t>
        </w:r>
      </w:hyperlink>
      <w:r w:rsidR="00A63A94">
        <w:rPr>
          <w:rFonts w:ascii="Palatino Linotype" w:eastAsia="Palatino Linotype" w:hAnsi="Palatino Linotype" w:cs="Palatino Linotype"/>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902F82" w:rsidRDefault="00B42476">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02F82" w:rsidRPr="008F2CCC" w14:paraId="28CE974E" w14:textId="77777777" w:rsidTr="00BA27FC">
      <w:tc>
        <w:tcPr>
          <w:tcW w:w="2551" w:type="dxa"/>
          <w:shd w:val="clear" w:color="auto" w:fill="auto"/>
          <w:vAlign w:val="center"/>
        </w:tcPr>
        <w:p w14:paraId="3F864768"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0A4E665E" w:rsidR="00902F82" w:rsidRPr="0029071C" w:rsidRDefault="00902F82"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961784">
            <w:rPr>
              <w:rFonts w:ascii="Palatino Linotype" w:hAnsi="Palatino Linotype"/>
              <w:sz w:val="22"/>
              <w:szCs w:val="22"/>
              <w:lang w:val="es-ES_tradnl"/>
            </w:rPr>
            <w:t>0</w:t>
          </w:r>
          <w:r w:rsidR="0044142D">
            <w:rPr>
              <w:rFonts w:ascii="Palatino Linotype" w:hAnsi="Palatino Linotype"/>
              <w:sz w:val="22"/>
              <w:szCs w:val="22"/>
              <w:lang w:val="es-ES_tradnl"/>
            </w:rPr>
            <w:t>705</w:t>
          </w:r>
          <w:r w:rsidRPr="0029071C">
            <w:rPr>
              <w:rFonts w:ascii="Palatino Linotype" w:hAnsi="Palatino Linotype"/>
              <w:sz w:val="22"/>
              <w:szCs w:val="22"/>
              <w:lang w:val="es-ES_tradnl"/>
            </w:rPr>
            <w:t>/INFOEM/IP/RR/202</w:t>
          </w:r>
          <w:r w:rsidR="00961784">
            <w:rPr>
              <w:rFonts w:ascii="Palatino Linotype" w:hAnsi="Palatino Linotype"/>
              <w:sz w:val="22"/>
              <w:szCs w:val="22"/>
              <w:lang w:val="es-ES_tradnl"/>
            </w:rPr>
            <w:t>5</w:t>
          </w:r>
        </w:p>
      </w:tc>
    </w:tr>
    <w:tr w:rsidR="00902F82" w:rsidRPr="008F2CCC" w14:paraId="12E8FAE1" w14:textId="77777777" w:rsidTr="00BA27FC">
      <w:trPr>
        <w:trHeight w:val="228"/>
      </w:trPr>
      <w:tc>
        <w:tcPr>
          <w:tcW w:w="2551" w:type="dxa"/>
          <w:shd w:val="clear" w:color="auto" w:fill="auto"/>
          <w:vAlign w:val="center"/>
        </w:tcPr>
        <w:p w14:paraId="188F609B"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27B61F85" w:rsidR="00902F82" w:rsidRPr="0029071C" w:rsidRDefault="0044142D" w:rsidP="00B6659F">
          <w:pPr>
            <w:spacing w:line="276" w:lineRule="auto"/>
            <w:jc w:val="right"/>
            <w:rPr>
              <w:rFonts w:ascii="Palatino Linotype" w:hAnsi="Palatino Linotype"/>
              <w:sz w:val="22"/>
              <w:szCs w:val="22"/>
            </w:rPr>
          </w:pPr>
          <w:r w:rsidRPr="0044142D">
            <w:rPr>
              <w:rFonts w:ascii="Palatino Linotype" w:hAnsi="Palatino Linotype"/>
              <w:sz w:val="22"/>
              <w:szCs w:val="22"/>
            </w:rPr>
            <w:t>Ayuntamiento de Tlalnepantla de Baz</w:t>
          </w:r>
        </w:p>
      </w:tc>
    </w:tr>
    <w:tr w:rsidR="00902F82" w:rsidRPr="008F2CCC" w14:paraId="59A1BA5F" w14:textId="77777777" w:rsidTr="00BA27FC">
      <w:tc>
        <w:tcPr>
          <w:tcW w:w="2551" w:type="dxa"/>
          <w:shd w:val="clear" w:color="auto" w:fill="auto"/>
          <w:vAlign w:val="center"/>
        </w:tcPr>
        <w:p w14:paraId="0EED411D"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902F82" w:rsidRPr="0029071C" w:rsidRDefault="00902F8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902F82" w:rsidRPr="001779E0" w:rsidRDefault="00B4247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02F82" w:rsidRPr="008F2CCC" w14:paraId="66906953" w14:textId="77777777" w:rsidTr="00BA27FC">
      <w:tc>
        <w:tcPr>
          <w:tcW w:w="2551" w:type="dxa"/>
          <w:shd w:val="clear" w:color="auto" w:fill="auto"/>
          <w:vAlign w:val="center"/>
        </w:tcPr>
        <w:p w14:paraId="72F94BEB"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72366453" w:rsidR="00902F82" w:rsidRPr="0029071C" w:rsidRDefault="00902F82"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961784">
            <w:rPr>
              <w:rFonts w:ascii="Palatino Linotype" w:hAnsi="Palatino Linotype"/>
              <w:sz w:val="22"/>
              <w:szCs w:val="22"/>
              <w:lang w:val="es-ES_tradnl"/>
            </w:rPr>
            <w:t>0</w:t>
          </w:r>
          <w:r w:rsidR="0044142D">
            <w:rPr>
              <w:rFonts w:ascii="Palatino Linotype" w:hAnsi="Palatino Linotype"/>
              <w:sz w:val="22"/>
              <w:szCs w:val="22"/>
              <w:lang w:val="es-ES_tradnl"/>
            </w:rPr>
            <w:t>705</w:t>
          </w:r>
          <w:r w:rsidRPr="0029071C">
            <w:rPr>
              <w:rFonts w:ascii="Palatino Linotype" w:hAnsi="Palatino Linotype"/>
              <w:sz w:val="22"/>
              <w:szCs w:val="22"/>
              <w:lang w:val="es-ES_tradnl"/>
            </w:rPr>
            <w:t>/INFOEM/IP/RR/202</w:t>
          </w:r>
          <w:r w:rsidR="00961784">
            <w:rPr>
              <w:rFonts w:ascii="Palatino Linotype" w:hAnsi="Palatino Linotype"/>
              <w:sz w:val="22"/>
              <w:szCs w:val="22"/>
              <w:lang w:val="es-ES_tradnl"/>
            </w:rPr>
            <w:t>5</w:t>
          </w:r>
        </w:p>
      </w:tc>
    </w:tr>
    <w:tr w:rsidR="00902F82" w:rsidRPr="008F2CCC" w14:paraId="325226BE" w14:textId="77777777" w:rsidTr="00BA27FC">
      <w:tc>
        <w:tcPr>
          <w:tcW w:w="2551" w:type="dxa"/>
          <w:shd w:val="clear" w:color="auto" w:fill="auto"/>
          <w:vAlign w:val="center"/>
        </w:tcPr>
        <w:p w14:paraId="4D258F96"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136B8AA4" w:rsidR="00902F82" w:rsidRPr="006D30E6" w:rsidRDefault="00B4247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902F82" w:rsidRPr="008F2CCC" w14:paraId="3AEDEE75" w14:textId="77777777" w:rsidTr="00BA27FC">
      <w:trPr>
        <w:trHeight w:val="228"/>
      </w:trPr>
      <w:tc>
        <w:tcPr>
          <w:tcW w:w="2551" w:type="dxa"/>
          <w:shd w:val="clear" w:color="auto" w:fill="auto"/>
          <w:vAlign w:val="center"/>
        </w:tcPr>
        <w:p w14:paraId="14A51EC4"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5499A3EC" w:rsidR="00902F82" w:rsidRPr="0029071C" w:rsidRDefault="0044142D" w:rsidP="00E57BDB">
          <w:pPr>
            <w:spacing w:line="276" w:lineRule="auto"/>
            <w:jc w:val="right"/>
            <w:rPr>
              <w:rFonts w:ascii="Palatino Linotype" w:hAnsi="Palatino Linotype"/>
              <w:sz w:val="22"/>
              <w:szCs w:val="22"/>
            </w:rPr>
          </w:pPr>
          <w:r w:rsidRPr="0044142D">
            <w:rPr>
              <w:rFonts w:ascii="Palatino Linotype" w:hAnsi="Palatino Linotype"/>
              <w:sz w:val="22"/>
              <w:szCs w:val="22"/>
            </w:rPr>
            <w:t>Ayuntamiento de Tlalnepantla de Baz</w:t>
          </w:r>
        </w:p>
      </w:tc>
    </w:tr>
    <w:tr w:rsidR="00902F82" w:rsidRPr="008F2CCC" w14:paraId="46645C39" w14:textId="77777777" w:rsidTr="00BA27FC">
      <w:tc>
        <w:tcPr>
          <w:tcW w:w="2551" w:type="dxa"/>
          <w:shd w:val="clear" w:color="auto" w:fill="auto"/>
          <w:vAlign w:val="center"/>
        </w:tcPr>
        <w:p w14:paraId="54E1C23D"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902F82" w:rsidRPr="0029071C" w:rsidRDefault="00902F8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02F82" w:rsidRPr="008F2CCC" w14:paraId="1FD798DB" w14:textId="77777777" w:rsidTr="00BA27FC">
      <w:tc>
        <w:tcPr>
          <w:tcW w:w="2551" w:type="dxa"/>
          <w:shd w:val="clear" w:color="auto" w:fill="auto"/>
          <w:vAlign w:val="center"/>
        </w:tcPr>
        <w:p w14:paraId="1332C9A8" w14:textId="77777777" w:rsidR="00902F82" w:rsidRPr="008F5DAE" w:rsidRDefault="00902F82"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902F82" w:rsidRPr="00BA27FC" w:rsidRDefault="00902F82" w:rsidP="00BA27FC">
          <w:pPr>
            <w:spacing w:line="276" w:lineRule="auto"/>
            <w:rPr>
              <w:rFonts w:ascii="Palatino Linotype" w:hAnsi="Palatino Linotype"/>
              <w:sz w:val="14"/>
              <w:szCs w:val="22"/>
              <w:lang w:val="es-ES_tradnl"/>
            </w:rPr>
          </w:pPr>
        </w:p>
      </w:tc>
    </w:tr>
  </w:tbl>
  <w:p w14:paraId="2D0FDBAE" w14:textId="77777777" w:rsidR="00902F82" w:rsidRPr="009F1AB6" w:rsidRDefault="00B42476">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52A4678"/>
    <w:multiLevelType w:val="hybridMultilevel"/>
    <w:tmpl w:val="FAF67B96"/>
    <w:lvl w:ilvl="0" w:tplc="C16E28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34116A"/>
    <w:multiLevelType w:val="hybridMultilevel"/>
    <w:tmpl w:val="28B40AA4"/>
    <w:lvl w:ilvl="0" w:tplc="73805422">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DA6017"/>
    <w:multiLevelType w:val="hybridMultilevel"/>
    <w:tmpl w:val="963264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69276F"/>
    <w:multiLevelType w:val="hybridMultilevel"/>
    <w:tmpl w:val="013241B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E627C2"/>
    <w:multiLevelType w:val="hybridMultilevel"/>
    <w:tmpl w:val="22929CDA"/>
    <w:lvl w:ilvl="0" w:tplc="00DAF9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16"/>
  </w:num>
  <w:num w:numId="3">
    <w:abstractNumId w:val="4"/>
  </w:num>
  <w:num w:numId="4">
    <w:abstractNumId w:val="34"/>
  </w:num>
  <w:num w:numId="5">
    <w:abstractNumId w:val="14"/>
  </w:num>
  <w:num w:numId="6">
    <w:abstractNumId w:val="6"/>
  </w:num>
  <w:num w:numId="7">
    <w:abstractNumId w:val="38"/>
  </w:num>
  <w:num w:numId="8">
    <w:abstractNumId w:val="3"/>
  </w:num>
  <w:num w:numId="9">
    <w:abstractNumId w:val="1"/>
  </w:num>
  <w:num w:numId="10">
    <w:abstractNumId w:val="19"/>
  </w:num>
  <w:num w:numId="11">
    <w:abstractNumId w:val="22"/>
  </w:num>
  <w:num w:numId="12">
    <w:abstractNumId w:val="7"/>
  </w:num>
  <w:num w:numId="13">
    <w:abstractNumId w:val="30"/>
  </w:num>
  <w:num w:numId="14">
    <w:abstractNumId w:val="36"/>
  </w:num>
  <w:num w:numId="15">
    <w:abstractNumId w:val="18"/>
  </w:num>
  <w:num w:numId="16">
    <w:abstractNumId w:val="26"/>
  </w:num>
  <w:num w:numId="17">
    <w:abstractNumId w:val="12"/>
  </w:num>
  <w:num w:numId="18">
    <w:abstractNumId w:val="17"/>
  </w:num>
  <w:num w:numId="19">
    <w:abstractNumId w:val="9"/>
  </w:num>
  <w:num w:numId="20">
    <w:abstractNumId w:val="37"/>
  </w:num>
  <w:num w:numId="21">
    <w:abstractNumId w:val="42"/>
  </w:num>
  <w:num w:numId="22">
    <w:abstractNumId w:val="20"/>
  </w:num>
  <w:num w:numId="23">
    <w:abstractNumId w:val="15"/>
  </w:num>
  <w:num w:numId="24">
    <w:abstractNumId w:val="27"/>
  </w:num>
  <w:num w:numId="25">
    <w:abstractNumId w:val="5"/>
  </w:num>
  <w:num w:numId="26">
    <w:abstractNumId w:val="31"/>
  </w:num>
  <w:num w:numId="27">
    <w:abstractNumId w:val="29"/>
  </w:num>
  <w:num w:numId="28">
    <w:abstractNumId w:val="13"/>
  </w:num>
  <w:num w:numId="29">
    <w:abstractNumId w:val="10"/>
  </w:num>
  <w:num w:numId="30">
    <w:abstractNumId w:val="32"/>
  </w:num>
  <w:num w:numId="31">
    <w:abstractNumId w:val="41"/>
  </w:num>
  <w:num w:numId="32">
    <w:abstractNumId w:val="2"/>
  </w:num>
  <w:num w:numId="33">
    <w:abstractNumId w:val="24"/>
  </w:num>
  <w:num w:numId="34">
    <w:abstractNumId w:val="11"/>
  </w:num>
  <w:num w:numId="35">
    <w:abstractNumId w:val="33"/>
  </w:num>
  <w:num w:numId="36">
    <w:abstractNumId w:val="35"/>
  </w:num>
  <w:num w:numId="37">
    <w:abstractNumId w:val="28"/>
  </w:num>
  <w:num w:numId="38">
    <w:abstractNumId w:val="23"/>
  </w:num>
  <w:num w:numId="39">
    <w:abstractNumId w:val="21"/>
  </w:num>
  <w:num w:numId="40">
    <w:abstractNumId w:val="40"/>
  </w:num>
  <w:num w:numId="41">
    <w:abstractNumId w:val="25"/>
  </w:num>
  <w:num w:numId="42">
    <w:abstractNumId w:val="0"/>
  </w:num>
  <w:num w:numId="4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8CA"/>
    <w:rsid w:val="0000405E"/>
    <w:rsid w:val="0000611A"/>
    <w:rsid w:val="000120BC"/>
    <w:rsid w:val="0001213C"/>
    <w:rsid w:val="00017A50"/>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A0590"/>
    <w:rsid w:val="000A2A3A"/>
    <w:rsid w:val="000A34BB"/>
    <w:rsid w:val="000A3E1B"/>
    <w:rsid w:val="000A5A27"/>
    <w:rsid w:val="000A717C"/>
    <w:rsid w:val="000B2FA0"/>
    <w:rsid w:val="000B51C9"/>
    <w:rsid w:val="000B5876"/>
    <w:rsid w:val="000B5E25"/>
    <w:rsid w:val="000B7C6C"/>
    <w:rsid w:val="000C139F"/>
    <w:rsid w:val="000C43CE"/>
    <w:rsid w:val="000C49B8"/>
    <w:rsid w:val="000C512C"/>
    <w:rsid w:val="000C5FDF"/>
    <w:rsid w:val="000C615C"/>
    <w:rsid w:val="000D3AD4"/>
    <w:rsid w:val="000D4E68"/>
    <w:rsid w:val="000E592F"/>
    <w:rsid w:val="000F16BA"/>
    <w:rsid w:val="00100C2B"/>
    <w:rsid w:val="00101AD8"/>
    <w:rsid w:val="00103760"/>
    <w:rsid w:val="00103A9C"/>
    <w:rsid w:val="0010712B"/>
    <w:rsid w:val="00113DEF"/>
    <w:rsid w:val="00115B15"/>
    <w:rsid w:val="00115D8E"/>
    <w:rsid w:val="001173FA"/>
    <w:rsid w:val="00123996"/>
    <w:rsid w:val="00124934"/>
    <w:rsid w:val="0012510D"/>
    <w:rsid w:val="0014397A"/>
    <w:rsid w:val="00143F6E"/>
    <w:rsid w:val="00146EE7"/>
    <w:rsid w:val="00151D4C"/>
    <w:rsid w:val="001558F3"/>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35936"/>
    <w:rsid w:val="00236CBA"/>
    <w:rsid w:val="0024323F"/>
    <w:rsid w:val="00247138"/>
    <w:rsid w:val="00253CAA"/>
    <w:rsid w:val="00255F1A"/>
    <w:rsid w:val="00261BC7"/>
    <w:rsid w:val="00267458"/>
    <w:rsid w:val="00267BB5"/>
    <w:rsid w:val="00270257"/>
    <w:rsid w:val="00270D62"/>
    <w:rsid w:val="0027553E"/>
    <w:rsid w:val="00276838"/>
    <w:rsid w:val="0029071C"/>
    <w:rsid w:val="002934B4"/>
    <w:rsid w:val="00295B3F"/>
    <w:rsid w:val="002A040B"/>
    <w:rsid w:val="002A4B43"/>
    <w:rsid w:val="002A676F"/>
    <w:rsid w:val="002B48AD"/>
    <w:rsid w:val="002C0BE5"/>
    <w:rsid w:val="002C240F"/>
    <w:rsid w:val="002D17B8"/>
    <w:rsid w:val="002D32D2"/>
    <w:rsid w:val="002D6061"/>
    <w:rsid w:val="002D61F7"/>
    <w:rsid w:val="002D6656"/>
    <w:rsid w:val="002D6E4B"/>
    <w:rsid w:val="002E3085"/>
    <w:rsid w:val="002F1F25"/>
    <w:rsid w:val="002F3B20"/>
    <w:rsid w:val="002F6B68"/>
    <w:rsid w:val="00307006"/>
    <w:rsid w:val="0030701F"/>
    <w:rsid w:val="003073A7"/>
    <w:rsid w:val="00314E62"/>
    <w:rsid w:val="00320F38"/>
    <w:rsid w:val="00326B44"/>
    <w:rsid w:val="00330FC3"/>
    <w:rsid w:val="00331E82"/>
    <w:rsid w:val="00340A06"/>
    <w:rsid w:val="00343F0B"/>
    <w:rsid w:val="003520C5"/>
    <w:rsid w:val="00352879"/>
    <w:rsid w:val="0035559A"/>
    <w:rsid w:val="00355BF5"/>
    <w:rsid w:val="00371835"/>
    <w:rsid w:val="003746DE"/>
    <w:rsid w:val="003767C6"/>
    <w:rsid w:val="00377D02"/>
    <w:rsid w:val="003804E8"/>
    <w:rsid w:val="00380D3E"/>
    <w:rsid w:val="00386D38"/>
    <w:rsid w:val="00396DB6"/>
    <w:rsid w:val="003970A1"/>
    <w:rsid w:val="003B1C85"/>
    <w:rsid w:val="003B70B0"/>
    <w:rsid w:val="003C37A0"/>
    <w:rsid w:val="003C6E1C"/>
    <w:rsid w:val="003C7CF2"/>
    <w:rsid w:val="003D1214"/>
    <w:rsid w:val="003D19ED"/>
    <w:rsid w:val="003D2159"/>
    <w:rsid w:val="003E21A7"/>
    <w:rsid w:val="003E56C9"/>
    <w:rsid w:val="00400C5E"/>
    <w:rsid w:val="004018F9"/>
    <w:rsid w:val="00402FF8"/>
    <w:rsid w:val="0040758D"/>
    <w:rsid w:val="0041331C"/>
    <w:rsid w:val="00425E0F"/>
    <w:rsid w:val="004309A2"/>
    <w:rsid w:val="004344EA"/>
    <w:rsid w:val="00434AF2"/>
    <w:rsid w:val="0043515A"/>
    <w:rsid w:val="00436E25"/>
    <w:rsid w:val="004403F7"/>
    <w:rsid w:val="0044142D"/>
    <w:rsid w:val="00442FD8"/>
    <w:rsid w:val="00443892"/>
    <w:rsid w:val="00443920"/>
    <w:rsid w:val="004445A1"/>
    <w:rsid w:val="00445CAA"/>
    <w:rsid w:val="00451E2B"/>
    <w:rsid w:val="004672ED"/>
    <w:rsid w:val="00471919"/>
    <w:rsid w:val="00473524"/>
    <w:rsid w:val="00473564"/>
    <w:rsid w:val="00477CFF"/>
    <w:rsid w:val="004A0B63"/>
    <w:rsid w:val="004A7CD4"/>
    <w:rsid w:val="004B2314"/>
    <w:rsid w:val="004C2E34"/>
    <w:rsid w:val="004D18B6"/>
    <w:rsid w:val="004D59E1"/>
    <w:rsid w:val="004D5D2F"/>
    <w:rsid w:val="004D6F71"/>
    <w:rsid w:val="004D76D6"/>
    <w:rsid w:val="004E46DA"/>
    <w:rsid w:val="004E48A3"/>
    <w:rsid w:val="004E5628"/>
    <w:rsid w:val="004E5F5F"/>
    <w:rsid w:val="00500B82"/>
    <w:rsid w:val="0050130E"/>
    <w:rsid w:val="0050243E"/>
    <w:rsid w:val="005131F2"/>
    <w:rsid w:val="0051539C"/>
    <w:rsid w:val="00516AC9"/>
    <w:rsid w:val="00524A8D"/>
    <w:rsid w:val="00527A31"/>
    <w:rsid w:val="0054391A"/>
    <w:rsid w:val="00555C87"/>
    <w:rsid w:val="00563B39"/>
    <w:rsid w:val="00563FCD"/>
    <w:rsid w:val="0057289F"/>
    <w:rsid w:val="00574FDC"/>
    <w:rsid w:val="00581DC8"/>
    <w:rsid w:val="005852FA"/>
    <w:rsid w:val="005876B9"/>
    <w:rsid w:val="0059032F"/>
    <w:rsid w:val="00595195"/>
    <w:rsid w:val="0059614C"/>
    <w:rsid w:val="00597D71"/>
    <w:rsid w:val="005A6216"/>
    <w:rsid w:val="005B0692"/>
    <w:rsid w:val="005B234D"/>
    <w:rsid w:val="005B26AD"/>
    <w:rsid w:val="005B36A8"/>
    <w:rsid w:val="005B5693"/>
    <w:rsid w:val="005C3715"/>
    <w:rsid w:val="005C4743"/>
    <w:rsid w:val="005C6646"/>
    <w:rsid w:val="005C7393"/>
    <w:rsid w:val="005D53A5"/>
    <w:rsid w:val="005D77CC"/>
    <w:rsid w:val="005E09AB"/>
    <w:rsid w:val="005E5716"/>
    <w:rsid w:val="005F1F89"/>
    <w:rsid w:val="005F4BFB"/>
    <w:rsid w:val="006000C5"/>
    <w:rsid w:val="006002E0"/>
    <w:rsid w:val="00620280"/>
    <w:rsid w:val="0062349E"/>
    <w:rsid w:val="006258FD"/>
    <w:rsid w:val="00632655"/>
    <w:rsid w:val="00632E48"/>
    <w:rsid w:val="0063782D"/>
    <w:rsid w:val="00643B58"/>
    <w:rsid w:val="00653BA5"/>
    <w:rsid w:val="00677257"/>
    <w:rsid w:val="006810FF"/>
    <w:rsid w:val="006924E3"/>
    <w:rsid w:val="00694976"/>
    <w:rsid w:val="006B321A"/>
    <w:rsid w:val="006B418F"/>
    <w:rsid w:val="006C18A8"/>
    <w:rsid w:val="006C26E6"/>
    <w:rsid w:val="006C3931"/>
    <w:rsid w:val="006C3E32"/>
    <w:rsid w:val="006C7783"/>
    <w:rsid w:val="006D1713"/>
    <w:rsid w:val="006D30E6"/>
    <w:rsid w:val="006D3A03"/>
    <w:rsid w:val="006D5F38"/>
    <w:rsid w:val="006D68BB"/>
    <w:rsid w:val="006D769A"/>
    <w:rsid w:val="006E08FA"/>
    <w:rsid w:val="006E44A4"/>
    <w:rsid w:val="006E653C"/>
    <w:rsid w:val="006F5F93"/>
    <w:rsid w:val="00702FA5"/>
    <w:rsid w:val="00703AE6"/>
    <w:rsid w:val="00710FED"/>
    <w:rsid w:val="00712FBB"/>
    <w:rsid w:val="007143C5"/>
    <w:rsid w:val="00716632"/>
    <w:rsid w:val="00717A0C"/>
    <w:rsid w:val="00720826"/>
    <w:rsid w:val="00720B9C"/>
    <w:rsid w:val="007237B8"/>
    <w:rsid w:val="0072658E"/>
    <w:rsid w:val="00730DB7"/>
    <w:rsid w:val="00732345"/>
    <w:rsid w:val="00736A91"/>
    <w:rsid w:val="007425B3"/>
    <w:rsid w:val="00745ED4"/>
    <w:rsid w:val="007532C7"/>
    <w:rsid w:val="00756303"/>
    <w:rsid w:val="00756F04"/>
    <w:rsid w:val="00757D60"/>
    <w:rsid w:val="00763D8A"/>
    <w:rsid w:val="00765D2E"/>
    <w:rsid w:val="00765F51"/>
    <w:rsid w:val="00766B48"/>
    <w:rsid w:val="00770F18"/>
    <w:rsid w:val="007736BF"/>
    <w:rsid w:val="007764BB"/>
    <w:rsid w:val="00781106"/>
    <w:rsid w:val="007828DC"/>
    <w:rsid w:val="00790677"/>
    <w:rsid w:val="00794628"/>
    <w:rsid w:val="007A118C"/>
    <w:rsid w:val="007A377A"/>
    <w:rsid w:val="007A37FE"/>
    <w:rsid w:val="007A3CC6"/>
    <w:rsid w:val="007A430A"/>
    <w:rsid w:val="007B13C9"/>
    <w:rsid w:val="007B2574"/>
    <w:rsid w:val="007B3F6D"/>
    <w:rsid w:val="007C1D5B"/>
    <w:rsid w:val="007C3435"/>
    <w:rsid w:val="007C35A4"/>
    <w:rsid w:val="007C3E46"/>
    <w:rsid w:val="007D2A81"/>
    <w:rsid w:val="007E52D5"/>
    <w:rsid w:val="007E534B"/>
    <w:rsid w:val="007E7C02"/>
    <w:rsid w:val="007F55E7"/>
    <w:rsid w:val="007F5C96"/>
    <w:rsid w:val="007F666B"/>
    <w:rsid w:val="007F7462"/>
    <w:rsid w:val="00800A80"/>
    <w:rsid w:val="0081709C"/>
    <w:rsid w:val="00817BCD"/>
    <w:rsid w:val="0082025C"/>
    <w:rsid w:val="00835035"/>
    <w:rsid w:val="00837BF7"/>
    <w:rsid w:val="00840B80"/>
    <w:rsid w:val="00841E05"/>
    <w:rsid w:val="008436CF"/>
    <w:rsid w:val="00843D8D"/>
    <w:rsid w:val="00843F80"/>
    <w:rsid w:val="008500D3"/>
    <w:rsid w:val="008502B0"/>
    <w:rsid w:val="008514B2"/>
    <w:rsid w:val="00852668"/>
    <w:rsid w:val="008558C0"/>
    <w:rsid w:val="008578BF"/>
    <w:rsid w:val="008660D6"/>
    <w:rsid w:val="0087724E"/>
    <w:rsid w:val="008803EF"/>
    <w:rsid w:val="00885420"/>
    <w:rsid w:val="00896D29"/>
    <w:rsid w:val="008A12CF"/>
    <w:rsid w:val="008A1A90"/>
    <w:rsid w:val="008A64CB"/>
    <w:rsid w:val="008B082B"/>
    <w:rsid w:val="008B1216"/>
    <w:rsid w:val="008B6546"/>
    <w:rsid w:val="008C3B24"/>
    <w:rsid w:val="008C4890"/>
    <w:rsid w:val="008D0A00"/>
    <w:rsid w:val="008D2478"/>
    <w:rsid w:val="008E01E4"/>
    <w:rsid w:val="008E7F32"/>
    <w:rsid w:val="008F0627"/>
    <w:rsid w:val="008F148C"/>
    <w:rsid w:val="008F5DAE"/>
    <w:rsid w:val="00900380"/>
    <w:rsid w:val="00900C9B"/>
    <w:rsid w:val="00901487"/>
    <w:rsid w:val="0090296A"/>
    <w:rsid w:val="00902F82"/>
    <w:rsid w:val="00913034"/>
    <w:rsid w:val="00921551"/>
    <w:rsid w:val="009217E8"/>
    <w:rsid w:val="00925B0B"/>
    <w:rsid w:val="0092622F"/>
    <w:rsid w:val="00926C44"/>
    <w:rsid w:val="00931269"/>
    <w:rsid w:val="00932B91"/>
    <w:rsid w:val="00934C63"/>
    <w:rsid w:val="0093645B"/>
    <w:rsid w:val="0094381A"/>
    <w:rsid w:val="00961002"/>
    <w:rsid w:val="00961784"/>
    <w:rsid w:val="009643CF"/>
    <w:rsid w:val="009758CB"/>
    <w:rsid w:val="00975A5E"/>
    <w:rsid w:val="00980909"/>
    <w:rsid w:val="00980D8C"/>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1174"/>
    <w:rsid w:val="009F47A7"/>
    <w:rsid w:val="009F4FF4"/>
    <w:rsid w:val="009F62C3"/>
    <w:rsid w:val="009F71DC"/>
    <w:rsid w:val="00A0100D"/>
    <w:rsid w:val="00A01708"/>
    <w:rsid w:val="00A0366D"/>
    <w:rsid w:val="00A05133"/>
    <w:rsid w:val="00A05D3A"/>
    <w:rsid w:val="00A06C3A"/>
    <w:rsid w:val="00A16F28"/>
    <w:rsid w:val="00A177CC"/>
    <w:rsid w:val="00A2069A"/>
    <w:rsid w:val="00A25041"/>
    <w:rsid w:val="00A26BD8"/>
    <w:rsid w:val="00A44CD6"/>
    <w:rsid w:val="00A5260D"/>
    <w:rsid w:val="00A54C18"/>
    <w:rsid w:val="00A563B8"/>
    <w:rsid w:val="00A63A94"/>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33BE"/>
    <w:rsid w:val="00AE138E"/>
    <w:rsid w:val="00AE1A47"/>
    <w:rsid w:val="00AE4E04"/>
    <w:rsid w:val="00AE5995"/>
    <w:rsid w:val="00AE6704"/>
    <w:rsid w:val="00AE78CA"/>
    <w:rsid w:val="00AF2A51"/>
    <w:rsid w:val="00AF47FC"/>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2476"/>
    <w:rsid w:val="00B43221"/>
    <w:rsid w:val="00B50B07"/>
    <w:rsid w:val="00B51959"/>
    <w:rsid w:val="00B57219"/>
    <w:rsid w:val="00B579E5"/>
    <w:rsid w:val="00B642EC"/>
    <w:rsid w:val="00B6659F"/>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4326C"/>
    <w:rsid w:val="00C4376B"/>
    <w:rsid w:val="00C53377"/>
    <w:rsid w:val="00C56DD5"/>
    <w:rsid w:val="00C63F7B"/>
    <w:rsid w:val="00C6588E"/>
    <w:rsid w:val="00C70447"/>
    <w:rsid w:val="00C742DE"/>
    <w:rsid w:val="00C753C2"/>
    <w:rsid w:val="00C802FB"/>
    <w:rsid w:val="00C807FF"/>
    <w:rsid w:val="00C814ED"/>
    <w:rsid w:val="00C85653"/>
    <w:rsid w:val="00C904F4"/>
    <w:rsid w:val="00C9608C"/>
    <w:rsid w:val="00C9660B"/>
    <w:rsid w:val="00CA216C"/>
    <w:rsid w:val="00CA237D"/>
    <w:rsid w:val="00CA4BF9"/>
    <w:rsid w:val="00CA4D49"/>
    <w:rsid w:val="00CB0746"/>
    <w:rsid w:val="00CB33C3"/>
    <w:rsid w:val="00CB535A"/>
    <w:rsid w:val="00CC0700"/>
    <w:rsid w:val="00CC0B81"/>
    <w:rsid w:val="00CC2630"/>
    <w:rsid w:val="00CD024D"/>
    <w:rsid w:val="00CD1A7A"/>
    <w:rsid w:val="00CD3A41"/>
    <w:rsid w:val="00CD431E"/>
    <w:rsid w:val="00CE1C82"/>
    <w:rsid w:val="00CE51D0"/>
    <w:rsid w:val="00CF07B5"/>
    <w:rsid w:val="00CF1DF5"/>
    <w:rsid w:val="00CF6512"/>
    <w:rsid w:val="00CF7FBE"/>
    <w:rsid w:val="00D018E1"/>
    <w:rsid w:val="00D01A63"/>
    <w:rsid w:val="00D0476B"/>
    <w:rsid w:val="00D05B7F"/>
    <w:rsid w:val="00D1017E"/>
    <w:rsid w:val="00D12C36"/>
    <w:rsid w:val="00D21ECE"/>
    <w:rsid w:val="00D253AB"/>
    <w:rsid w:val="00D27727"/>
    <w:rsid w:val="00D2787B"/>
    <w:rsid w:val="00D41B9B"/>
    <w:rsid w:val="00D4431A"/>
    <w:rsid w:val="00D448B5"/>
    <w:rsid w:val="00D54E7E"/>
    <w:rsid w:val="00D553D4"/>
    <w:rsid w:val="00D57210"/>
    <w:rsid w:val="00D57AED"/>
    <w:rsid w:val="00D57F74"/>
    <w:rsid w:val="00D6112B"/>
    <w:rsid w:val="00D73C8C"/>
    <w:rsid w:val="00D81FA1"/>
    <w:rsid w:val="00D901D7"/>
    <w:rsid w:val="00D92BFE"/>
    <w:rsid w:val="00DA6166"/>
    <w:rsid w:val="00DB5F02"/>
    <w:rsid w:val="00DC1583"/>
    <w:rsid w:val="00DC2B31"/>
    <w:rsid w:val="00DC6AE5"/>
    <w:rsid w:val="00DD1866"/>
    <w:rsid w:val="00DD4342"/>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5623"/>
    <w:rsid w:val="00E5647F"/>
    <w:rsid w:val="00E57BDB"/>
    <w:rsid w:val="00E625D3"/>
    <w:rsid w:val="00E65F37"/>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46CC"/>
    <w:rsid w:val="00EA49B9"/>
    <w:rsid w:val="00EA54C5"/>
    <w:rsid w:val="00EA5AA1"/>
    <w:rsid w:val="00EA61B9"/>
    <w:rsid w:val="00EA7BF4"/>
    <w:rsid w:val="00EA7CF3"/>
    <w:rsid w:val="00EB6C62"/>
    <w:rsid w:val="00EC6154"/>
    <w:rsid w:val="00EC7868"/>
    <w:rsid w:val="00ED3F15"/>
    <w:rsid w:val="00ED61E7"/>
    <w:rsid w:val="00ED6373"/>
    <w:rsid w:val="00EE002C"/>
    <w:rsid w:val="00EE2FB1"/>
    <w:rsid w:val="00EE4D9C"/>
    <w:rsid w:val="00EE515E"/>
    <w:rsid w:val="00EE571A"/>
    <w:rsid w:val="00EE6265"/>
    <w:rsid w:val="00EE7518"/>
    <w:rsid w:val="00EF193B"/>
    <w:rsid w:val="00EF3C9E"/>
    <w:rsid w:val="00EF6E85"/>
    <w:rsid w:val="00F03CE4"/>
    <w:rsid w:val="00F07FD2"/>
    <w:rsid w:val="00F241AD"/>
    <w:rsid w:val="00F269A2"/>
    <w:rsid w:val="00F30C1D"/>
    <w:rsid w:val="00F30C33"/>
    <w:rsid w:val="00F32EBF"/>
    <w:rsid w:val="00F34A32"/>
    <w:rsid w:val="00F43F97"/>
    <w:rsid w:val="00F455F1"/>
    <w:rsid w:val="00F45966"/>
    <w:rsid w:val="00F5688F"/>
    <w:rsid w:val="00F570D3"/>
    <w:rsid w:val="00F618EB"/>
    <w:rsid w:val="00F62221"/>
    <w:rsid w:val="00F628E1"/>
    <w:rsid w:val="00F66575"/>
    <w:rsid w:val="00F712EE"/>
    <w:rsid w:val="00F719CB"/>
    <w:rsid w:val="00F73BB1"/>
    <w:rsid w:val="00F74123"/>
    <w:rsid w:val="00F7584B"/>
    <w:rsid w:val="00F76866"/>
    <w:rsid w:val="00F8513C"/>
    <w:rsid w:val="00F928E7"/>
    <w:rsid w:val="00F94208"/>
    <w:rsid w:val="00F96BAE"/>
    <w:rsid w:val="00F97C38"/>
    <w:rsid w:val="00FA0ED7"/>
    <w:rsid w:val="00FA7ED5"/>
    <w:rsid w:val="00FC0DAE"/>
    <w:rsid w:val="00FC1FC5"/>
    <w:rsid w:val="00FC6F08"/>
    <w:rsid w:val="00FC7CC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detec.gob.mx/delivery?srv=0&amp;sl=3&amp;path=/biblioteca/Especiales/386_Glosario_Terminos_Proceso_Planeacion.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33115-151B-47D1-8F79-90313C57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32</Pages>
  <Words>8184</Words>
  <Characters>45015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2025-02-25T19:26:00Z</dcterms:created>
  <dcterms:modified xsi:type="dcterms:W3CDTF">2025-03-28T15:32:00Z</dcterms:modified>
</cp:coreProperties>
</file>