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12FCF" w:rsidRDefault="00AE3DA7" w:rsidP="00D12FCF">
          <w:pPr>
            <w:pStyle w:val="TtuloTDC"/>
            <w:spacing w:before="0" w:line="240" w:lineRule="auto"/>
            <w:rPr>
              <w:rFonts w:ascii="Palatino Linotype" w:hAnsi="Palatino Linotype"/>
              <w:color w:val="auto"/>
              <w:sz w:val="24"/>
              <w:szCs w:val="24"/>
              <w:lang w:val="es-ES"/>
            </w:rPr>
          </w:pPr>
          <w:r w:rsidRPr="00D12FCF">
            <w:rPr>
              <w:rFonts w:ascii="Palatino Linotype" w:hAnsi="Palatino Linotype"/>
              <w:color w:val="auto"/>
              <w:sz w:val="24"/>
              <w:szCs w:val="24"/>
              <w:lang w:val="es-ES"/>
            </w:rPr>
            <w:t>Contenido</w:t>
          </w:r>
        </w:p>
        <w:p w14:paraId="3EB312A7" w14:textId="77777777" w:rsidR="00AA6EA9" w:rsidRPr="00D12FCF" w:rsidRDefault="00AA6EA9" w:rsidP="00D12FCF">
          <w:pPr>
            <w:spacing w:line="240" w:lineRule="auto"/>
            <w:rPr>
              <w:sz w:val="16"/>
              <w:szCs w:val="16"/>
              <w:lang w:val="es-ES" w:eastAsia="es-MX"/>
            </w:rPr>
          </w:pPr>
        </w:p>
        <w:p w14:paraId="4E00089D" w14:textId="2C338B6D" w:rsidR="00D12FCF" w:rsidRPr="00D12FCF" w:rsidRDefault="00AE3DA7" w:rsidP="00D12FCF">
          <w:pPr>
            <w:pStyle w:val="TDC1"/>
            <w:tabs>
              <w:tab w:val="right" w:leader="dot" w:pos="9034"/>
            </w:tabs>
            <w:rPr>
              <w:rFonts w:asciiTheme="minorHAnsi" w:eastAsiaTheme="minorEastAsia" w:hAnsiTheme="minorHAnsi" w:cstheme="minorBidi"/>
              <w:noProof/>
              <w:szCs w:val="22"/>
              <w:lang w:eastAsia="es-MX"/>
            </w:rPr>
          </w:pPr>
          <w:r w:rsidRPr="00D12FCF">
            <w:rPr>
              <w:sz w:val="16"/>
              <w:szCs w:val="16"/>
            </w:rPr>
            <w:fldChar w:fldCharType="begin"/>
          </w:r>
          <w:r w:rsidRPr="00D12FCF">
            <w:rPr>
              <w:sz w:val="16"/>
              <w:szCs w:val="16"/>
            </w:rPr>
            <w:instrText xml:space="preserve"> TOC \o "1-3" \h \z \u </w:instrText>
          </w:r>
          <w:r w:rsidRPr="00D12FCF">
            <w:rPr>
              <w:sz w:val="16"/>
              <w:szCs w:val="16"/>
            </w:rPr>
            <w:fldChar w:fldCharType="separate"/>
          </w:r>
          <w:hyperlink w:anchor="_Toc201208796" w:history="1">
            <w:r w:rsidR="00D12FCF" w:rsidRPr="00D12FCF">
              <w:rPr>
                <w:rStyle w:val="Hipervnculo"/>
                <w:noProof/>
                <w:color w:val="auto"/>
              </w:rPr>
              <w:t>ANTECEDENTES</w:t>
            </w:r>
            <w:r w:rsidR="00D12FCF" w:rsidRPr="00D12FCF">
              <w:rPr>
                <w:noProof/>
                <w:webHidden/>
              </w:rPr>
              <w:tab/>
            </w:r>
            <w:r w:rsidR="00D12FCF" w:rsidRPr="00D12FCF">
              <w:rPr>
                <w:noProof/>
                <w:webHidden/>
              </w:rPr>
              <w:fldChar w:fldCharType="begin"/>
            </w:r>
            <w:r w:rsidR="00D12FCF" w:rsidRPr="00D12FCF">
              <w:rPr>
                <w:noProof/>
                <w:webHidden/>
              </w:rPr>
              <w:instrText xml:space="preserve"> PAGEREF _Toc201208796 \h </w:instrText>
            </w:r>
            <w:r w:rsidR="00D12FCF" w:rsidRPr="00D12FCF">
              <w:rPr>
                <w:noProof/>
                <w:webHidden/>
              </w:rPr>
            </w:r>
            <w:r w:rsidR="00D12FCF" w:rsidRPr="00D12FCF">
              <w:rPr>
                <w:noProof/>
                <w:webHidden/>
              </w:rPr>
              <w:fldChar w:fldCharType="separate"/>
            </w:r>
            <w:r w:rsidR="00801452">
              <w:rPr>
                <w:noProof/>
                <w:webHidden/>
              </w:rPr>
              <w:t>1</w:t>
            </w:r>
            <w:r w:rsidR="00D12FCF" w:rsidRPr="00D12FCF">
              <w:rPr>
                <w:noProof/>
                <w:webHidden/>
              </w:rPr>
              <w:fldChar w:fldCharType="end"/>
            </w:r>
          </w:hyperlink>
        </w:p>
        <w:p w14:paraId="72574E31" w14:textId="788FA74C" w:rsidR="00D12FCF" w:rsidRPr="00D12FCF" w:rsidRDefault="00D12FCF" w:rsidP="00D12FCF">
          <w:pPr>
            <w:pStyle w:val="TDC2"/>
            <w:rPr>
              <w:rFonts w:asciiTheme="minorHAnsi" w:eastAsiaTheme="minorEastAsia" w:hAnsiTheme="minorHAnsi" w:cstheme="minorBidi"/>
              <w:noProof/>
              <w:szCs w:val="22"/>
              <w:lang w:eastAsia="es-MX"/>
            </w:rPr>
          </w:pPr>
          <w:hyperlink w:anchor="_Toc201208797" w:history="1">
            <w:r w:rsidRPr="00D12FCF">
              <w:rPr>
                <w:rStyle w:val="Hipervnculo"/>
                <w:noProof/>
                <w:color w:val="auto"/>
              </w:rPr>
              <w:t>DE LAS SOLICITUDES DE INFORMACIÓN</w:t>
            </w:r>
            <w:r w:rsidRPr="00D12FCF">
              <w:rPr>
                <w:noProof/>
                <w:webHidden/>
              </w:rPr>
              <w:tab/>
            </w:r>
            <w:r w:rsidRPr="00D12FCF">
              <w:rPr>
                <w:noProof/>
                <w:webHidden/>
              </w:rPr>
              <w:fldChar w:fldCharType="begin"/>
            </w:r>
            <w:r w:rsidRPr="00D12FCF">
              <w:rPr>
                <w:noProof/>
                <w:webHidden/>
              </w:rPr>
              <w:instrText xml:space="preserve"> PAGEREF _Toc201208797 \h </w:instrText>
            </w:r>
            <w:r w:rsidRPr="00D12FCF">
              <w:rPr>
                <w:noProof/>
                <w:webHidden/>
              </w:rPr>
            </w:r>
            <w:r w:rsidRPr="00D12FCF">
              <w:rPr>
                <w:noProof/>
                <w:webHidden/>
              </w:rPr>
              <w:fldChar w:fldCharType="separate"/>
            </w:r>
            <w:r w:rsidR="00801452">
              <w:rPr>
                <w:noProof/>
                <w:webHidden/>
              </w:rPr>
              <w:t>1</w:t>
            </w:r>
            <w:r w:rsidRPr="00D12FCF">
              <w:rPr>
                <w:noProof/>
                <w:webHidden/>
              </w:rPr>
              <w:fldChar w:fldCharType="end"/>
            </w:r>
          </w:hyperlink>
        </w:p>
        <w:p w14:paraId="1A5FA1DE" w14:textId="6008E7BE" w:rsidR="00D12FCF" w:rsidRPr="00D12FCF" w:rsidRDefault="00D12FCF" w:rsidP="00D12FCF">
          <w:pPr>
            <w:pStyle w:val="TDC3"/>
            <w:rPr>
              <w:rFonts w:asciiTheme="minorHAnsi" w:eastAsiaTheme="minorEastAsia" w:hAnsiTheme="minorHAnsi" w:cstheme="minorBidi"/>
              <w:noProof/>
              <w:szCs w:val="22"/>
              <w:lang w:eastAsia="es-MX"/>
            </w:rPr>
          </w:pPr>
          <w:hyperlink w:anchor="_Toc201208798" w:history="1">
            <w:r w:rsidRPr="00D12FCF">
              <w:rPr>
                <w:rStyle w:val="Hipervnculo"/>
                <w:noProof/>
                <w:color w:val="auto"/>
              </w:rPr>
              <w:t>a) Solicitudes de información</w:t>
            </w:r>
            <w:r w:rsidRPr="00D12FCF">
              <w:rPr>
                <w:noProof/>
                <w:webHidden/>
              </w:rPr>
              <w:tab/>
            </w:r>
            <w:r w:rsidRPr="00D12FCF">
              <w:rPr>
                <w:noProof/>
                <w:webHidden/>
              </w:rPr>
              <w:fldChar w:fldCharType="begin"/>
            </w:r>
            <w:r w:rsidRPr="00D12FCF">
              <w:rPr>
                <w:noProof/>
                <w:webHidden/>
              </w:rPr>
              <w:instrText xml:space="preserve"> PAGEREF _Toc201208798 \h </w:instrText>
            </w:r>
            <w:r w:rsidRPr="00D12FCF">
              <w:rPr>
                <w:noProof/>
                <w:webHidden/>
              </w:rPr>
            </w:r>
            <w:r w:rsidRPr="00D12FCF">
              <w:rPr>
                <w:noProof/>
                <w:webHidden/>
              </w:rPr>
              <w:fldChar w:fldCharType="separate"/>
            </w:r>
            <w:r w:rsidR="00801452">
              <w:rPr>
                <w:noProof/>
                <w:webHidden/>
              </w:rPr>
              <w:t>1</w:t>
            </w:r>
            <w:r w:rsidRPr="00D12FCF">
              <w:rPr>
                <w:noProof/>
                <w:webHidden/>
              </w:rPr>
              <w:fldChar w:fldCharType="end"/>
            </w:r>
          </w:hyperlink>
        </w:p>
        <w:p w14:paraId="61D1830F" w14:textId="6EB6EF84" w:rsidR="00D12FCF" w:rsidRPr="00D12FCF" w:rsidRDefault="00D12FCF" w:rsidP="00D12FCF">
          <w:pPr>
            <w:pStyle w:val="TDC3"/>
            <w:rPr>
              <w:rFonts w:asciiTheme="minorHAnsi" w:eastAsiaTheme="minorEastAsia" w:hAnsiTheme="minorHAnsi" w:cstheme="minorBidi"/>
              <w:noProof/>
              <w:szCs w:val="22"/>
              <w:lang w:eastAsia="es-MX"/>
            </w:rPr>
          </w:pPr>
          <w:hyperlink w:anchor="_Toc201208799" w:history="1">
            <w:r w:rsidRPr="00D12FCF">
              <w:rPr>
                <w:rStyle w:val="Hipervnculo"/>
                <w:noProof/>
                <w:color w:val="auto"/>
              </w:rPr>
              <w:t xml:space="preserve">b) </w:t>
            </w:r>
            <w:r w:rsidRPr="00D12FCF">
              <w:rPr>
                <w:rStyle w:val="Hipervnculo"/>
                <w:noProof/>
                <w:color w:val="auto"/>
                <w:lang w:val="es-ES"/>
              </w:rPr>
              <w:t xml:space="preserve">Respuestas </w:t>
            </w:r>
            <w:r w:rsidRPr="00D12FCF">
              <w:rPr>
                <w:rStyle w:val="Hipervnculo"/>
                <w:rFonts w:eastAsia="Calibri"/>
                <w:noProof/>
                <w:color w:val="auto"/>
                <w:lang w:eastAsia="en-US"/>
              </w:rPr>
              <w:t>del Sujeto Obligado</w:t>
            </w:r>
            <w:r w:rsidRPr="00D12FCF">
              <w:rPr>
                <w:noProof/>
                <w:webHidden/>
              </w:rPr>
              <w:tab/>
            </w:r>
            <w:r w:rsidRPr="00D12FCF">
              <w:rPr>
                <w:noProof/>
                <w:webHidden/>
              </w:rPr>
              <w:fldChar w:fldCharType="begin"/>
            </w:r>
            <w:r w:rsidRPr="00D12FCF">
              <w:rPr>
                <w:noProof/>
                <w:webHidden/>
              </w:rPr>
              <w:instrText xml:space="preserve"> PAGEREF _Toc201208799 \h </w:instrText>
            </w:r>
            <w:r w:rsidRPr="00D12FCF">
              <w:rPr>
                <w:noProof/>
                <w:webHidden/>
              </w:rPr>
            </w:r>
            <w:r w:rsidRPr="00D12FCF">
              <w:rPr>
                <w:noProof/>
                <w:webHidden/>
              </w:rPr>
              <w:fldChar w:fldCharType="separate"/>
            </w:r>
            <w:r w:rsidR="00801452">
              <w:rPr>
                <w:noProof/>
                <w:webHidden/>
              </w:rPr>
              <w:t>2</w:t>
            </w:r>
            <w:r w:rsidRPr="00D12FCF">
              <w:rPr>
                <w:noProof/>
                <w:webHidden/>
              </w:rPr>
              <w:fldChar w:fldCharType="end"/>
            </w:r>
          </w:hyperlink>
        </w:p>
        <w:p w14:paraId="3D9DC63E" w14:textId="1BD7F7DF" w:rsidR="00D12FCF" w:rsidRPr="00D12FCF" w:rsidRDefault="00D12FCF" w:rsidP="00D12FCF">
          <w:pPr>
            <w:pStyle w:val="TDC2"/>
            <w:rPr>
              <w:rFonts w:asciiTheme="minorHAnsi" w:eastAsiaTheme="minorEastAsia" w:hAnsiTheme="minorHAnsi" w:cstheme="minorBidi"/>
              <w:noProof/>
              <w:szCs w:val="22"/>
              <w:lang w:eastAsia="es-MX"/>
            </w:rPr>
          </w:pPr>
          <w:hyperlink w:anchor="_Toc201208800" w:history="1">
            <w:r w:rsidRPr="00D12FCF">
              <w:rPr>
                <w:rStyle w:val="Hipervnculo"/>
                <w:noProof/>
                <w:color w:val="auto"/>
              </w:rPr>
              <w:t>DE LOS RECURSOS DE REVISIÓN</w:t>
            </w:r>
            <w:r w:rsidRPr="00D12FCF">
              <w:rPr>
                <w:noProof/>
                <w:webHidden/>
              </w:rPr>
              <w:tab/>
            </w:r>
            <w:r w:rsidRPr="00D12FCF">
              <w:rPr>
                <w:noProof/>
                <w:webHidden/>
              </w:rPr>
              <w:fldChar w:fldCharType="begin"/>
            </w:r>
            <w:r w:rsidRPr="00D12FCF">
              <w:rPr>
                <w:noProof/>
                <w:webHidden/>
              </w:rPr>
              <w:instrText xml:space="preserve"> PAGEREF _Toc201208800 \h </w:instrText>
            </w:r>
            <w:r w:rsidRPr="00D12FCF">
              <w:rPr>
                <w:noProof/>
                <w:webHidden/>
              </w:rPr>
            </w:r>
            <w:r w:rsidRPr="00D12FCF">
              <w:rPr>
                <w:noProof/>
                <w:webHidden/>
              </w:rPr>
              <w:fldChar w:fldCharType="separate"/>
            </w:r>
            <w:r w:rsidR="00801452">
              <w:rPr>
                <w:noProof/>
                <w:webHidden/>
              </w:rPr>
              <w:t>3</w:t>
            </w:r>
            <w:r w:rsidRPr="00D12FCF">
              <w:rPr>
                <w:noProof/>
                <w:webHidden/>
              </w:rPr>
              <w:fldChar w:fldCharType="end"/>
            </w:r>
          </w:hyperlink>
        </w:p>
        <w:p w14:paraId="68CB12A9" w14:textId="6BF54E6C" w:rsidR="00D12FCF" w:rsidRPr="00D12FCF" w:rsidRDefault="00D12FCF" w:rsidP="00D12FCF">
          <w:pPr>
            <w:pStyle w:val="TDC3"/>
            <w:rPr>
              <w:rFonts w:asciiTheme="minorHAnsi" w:eastAsiaTheme="minorEastAsia" w:hAnsiTheme="minorHAnsi" w:cstheme="minorBidi"/>
              <w:noProof/>
              <w:szCs w:val="22"/>
              <w:lang w:eastAsia="es-MX"/>
            </w:rPr>
          </w:pPr>
          <w:hyperlink w:anchor="_Toc201208801" w:history="1">
            <w:r w:rsidRPr="00D12FCF">
              <w:rPr>
                <w:rStyle w:val="Hipervnculo"/>
                <w:noProof/>
                <w:color w:val="auto"/>
              </w:rPr>
              <w:t>a) Interposición de los Recursos de Revisión</w:t>
            </w:r>
            <w:r w:rsidRPr="00D12FCF">
              <w:rPr>
                <w:noProof/>
                <w:webHidden/>
              </w:rPr>
              <w:tab/>
            </w:r>
            <w:r w:rsidRPr="00D12FCF">
              <w:rPr>
                <w:noProof/>
                <w:webHidden/>
              </w:rPr>
              <w:fldChar w:fldCharType="begin"/>
            </w:r>
            <w:r w:rsidRPr="00D12FCF">
              <w:rPr>
                <w:noProof/>
                <w:webHidden/>
              </w:rPr>
              <w:instrText xml:space="preserve"> PAGEREF _Toc201208801 \h </w:instrText>
            </w:r>
            <w:r w:rsidRPr="00D12FCF">
              <w:rPr>
                <w:noProof/>
                <w:webHidden/>
              </w:rPr>
            </w:r>
            <w:r w:rsidRPr="00D12FCF">
              <w:rPr>
                <w:noProof/>
                <w:webHidden/>
              </w:rPr>
              <w:fldChar w:fldCharType="separate"/>
            </w:r>
            <w:r w:rsidR="00801452">
              <w:rPr>
                <w:noProof/>
                <w:webHidden/>
              </w:rPr>
              <w:t>3</w:t>
            </w:r>
            <w:r w:rsidRPr="00D12FCF">
              <w:rPr>
                <w:noProof/>
                <w:webHidden/>
              </w:rPr>
              <w:fldChar w:fldCharType="end"/>
            </w:r>
          </w:hyperlink>
        </w:p>
        <w:p w14:paraId="5197CAF0" w14:textId="57EDC1F0" w:rsidR="00D12FCF" w:rsidRPr="00D12FCF" w:rsidRDefault="00D12FCF" w:rsidP="00D12FCF">
          <w:pPr>
            <w:pStyle w:val="TDC3"/>
            <w:rPr>
              <w:rFonts w:asciiTheme="minorHAnsi" w:eastAsiaTheme="minorEastAsia" w:hAnsiTheme="minorHAnsi" w:cstheme="minorBidi"/>
              <w:noProof/>
              <w:szCs w:val="22"/>
              <w:lang w:eastAsia="es-MX"/>
            </w:rPr>
          </w:pPr>
          <w:hyperlink w:anchor="_Toc201208802" w:history="1">
            <w:r w:rsidRPr="00D12FCF">
              <w:rPr>
                <w:rStyle w:val="Hipervnculo"/>
                <w:noProof/>
                <w:color w:val="auto"/>
              </w:rPr>
              <w:t>b) Turno de los Recursos de Revisión</w:t>
            </w:r>
            <w:r w:rsidRPr="00D12FCF">
              <w:rPr>
                <w:noProof/>
                <w:webHidden/>
              </w:rPr>
              <w:tab/>
            </w:r>
            <w:r w:rsidRPr="00D12FCF">
              <w:rPr>
                <w:noProof/>
                <w:webHidden/>
              </w:rPr>
              <w:fldChar w:fldCharType="begin"/>
            </w:r>
            <w:r w:rsidRPr="00D12FCF">
              <w:rPr>
                <w:noProof/>
                <w:webHidden/>
              </w:rPr>
              <w:instrText xml:space="preserve"> PAGEREF _Toc201208802 \h </w:instrText>
            </w:r>
            <w:r w:rsidRPr="00D12FCF">
              <w:rPr>
                <w:noProof/>
                <w:webHidden/>
              </w:rPr>
            </w:r>
            <w:r w:rsidRPr="00D12FCF">
              <w:rPr>
                <w:noProof/>
                <w:webHidden/>
              </w:rPr>
              <w:fldChar w:fldCharType="separate"/>
            </w:r>
            <w:r w:rsidR="00801452">
              <w:rPr>
                <w:noProof/>
                <w:webHidden/>
              </w:rPr>
              <w:t>6</w:t>
            </w:r>
            <w:r w:rsidRPr="00D12FCF">
              <w:rPr>
                <w:noProof/>
                <w:webHidden/>
              </w:rPr>
              <w:fldChar w:fldCharType="end"/>
            </w:r>
          </w:hyperlink>
        </w:p>
        <w:p w14:paraId="47514875" w14:textId="4A2D3D66" w:rsidR="00D12FCF" w:rsidRPr="00D12FCF" w:rsidRDefault="00D12FCF" w:rsidP="00D12FCF">
          <w:pPr>
            <w:pStyle w:val="TDC3"/>
            <w:rPr>
              <w:rFonts w:asciiTheme="minorHAnsi" w:eastAsiaTheme="minorEastAsia" w:hAnsiTheme="minorHAnsi" w:cstheme="minorBidi"/>
              <w:noProof/>
              <w:szCs w:val="22"/>
              <w:lang w:eastAsia="es-MX"/>
            </w:rPr>
          </w:pPr>
          <w:hyperlink w:anchor="_Toc201208803" w:history="1">
            <w:r w:rsidRPr="00D12FCF">
              <w:rPr>
                <w:rStyle w:val="Hipervnculo"/>
                <w:noProof/>
                <w:color w:val="auto"/>
              </w:rPr>
              <w:t>c) Admisión de los Recursos de Revisión</w:t>
            </w:r>
            <w:r w:rsidRPr="00D12FCF">
              <w:rPr>
                <w:noProof/>
                <w:webHidden/>
              </w:rPr>
              <w:tab/>
            </w:r>
            <w:r w:rsidRPr="00D12FCF">
              <w:rPr>
                <w:noProof/>
                <w:webHidden/>
              </w:rPr>
              <w:fldChar w:fldCharType="begin"/>
            </w:r>
            <w:r w:rsidRPr="00D12FCF">
              <w:rPr>
                <w:noProof/>
                <w:webHidden/>
              </w:rPr>
              <w:instrText xml:space="preserve"> PAGEREF _Toc201208803 \h </w:instrText>
            </w:r>
            <w:r w:rsidRPr="00D12FCF">
              <w:rPr>
                <w:noProof/>
                <w:webHidden/>
              </w:rPr>
            </w:r>
            <w:r w:rsidRPr="00D12FCF">
              <w:rPr>
                <w:noProof/>
                <w:webHidden/>
              </w:rPr>
              <w:fldChar w:fldCharType="separate"/>
            </w:r>
            <w:r w:rsidR="00801452">
              <w:rPr>
                <w:noProof/>
                <w:webHidden/>
              </w:rPr>
              <w:t>7</w:t>
            </w:r>
            <w:r w:rsidRPr="00D12FCF">
              <w:rPr>
                <w:noProof/>
                <w:webHidden/>
              </w:rPr>
              <w:fldChar w:fldCharType="end"/>
            </w:r>
          </w:hyperlink>
        </w:p>
        <w:p w14:paraId="1455803B" w14:textId="45CB1B57" w:rsidR="00D12FCF" w:rsidRPr="00D12FCF" w:rsidRDefault="00D12FCF" w:rsidP="00D12FCF">
          <w:pPr>
            <w:pStyle w:val="TDC3"/>
            <w:rPr>
              <w:rFonts w:asciiTheme="minorHAnsi" w:eastAsiaTheme="minorEastAsia" w:hAnsiTheme="minorHAnsi" w:cstheme="minorBidi"/>
              <w:noProof/>
              <w:szCs w:val="22"/>
              <w:lang w:eastAsia="es-MX"/>
            </w:rPr>
          </w:pPr>
          <w:hyperlink w:anchor="_Toc201208804" w:history="1">
            <w:r w:rsidRPr="00D12FCF">
              <w:rPr>
                <w:rStyle w:val="Hipervnculo"/>
                <w:noProof/>
                <w:color w:val="auto"/>
              </w:rPr>
              <w:t>d) Acumulación de los Recursos de Revisión</w:t>
            </w:r>
            <w:r w:rsidRPr="00D12FCF">
              <w:rPr>
                <w:noProof/>
                <w:webHidden/>
              </w:rPr>
              <w:tab/>
            </w:r>
            <w:r w:rsidRPr="00D12FCF">
              <w:rPr>
                <w:noProof/>
                <w:webHidden/>
              </w:rPr>
              <w:fldChar w:fldCharType="begin"/>
            </w:r>
            <w:r w:rsidRPr="00D12FCF">
              <w:rPr>
                <w:noProof/>
                <w:webHidden/>
              </w:rPr>
              <w:instrText xml:space="preserve"> PAGEREF _Toc201208804 \h </w:instrText>
            </w:r>
            <w:r w:rsidRPr="00D12FCF">
              <w:rPr>
                <w:noProof/>
                <w:webHidden/>
              </w:rPr>
            </w:r>
            <w:r w:rsidRPr="00D12FCF">
              <w:rPr>
                <w:noProof/>
                <w:webHidden/>
              </w:rPr>
              <w:fldChar w:fldCharType="separate"/>
            </w:r>
            <w:r w:rsidR="00801452">
              <w:rPr>
                <w:noProof/>
                <w:webHidden/>
              </w:rPr>
              <w:t>7</w:t>
            </w:r>
            <w:r w:rsidRPr="00D12FCF">
              <w:rPr>
                <w:noProof/>
                <w:webHidden/>
              </w:rPr>
              <w:fldChar w:fldCharType="end"/>
            </w:r>
          </w:hyperlink>
        </w:p>
        <w:p w14:paraId="2F25151A" w14:textId="307BE721" w:rsidR="00D12FCF" w:rsidRPr="00D12FCF" w:rsidRDefault="00D12FCF" w:rsidP="00D12FCF">
          <w:pPr>
            <w:pStyle w:val="TDC3"/>
            <w:rPr>
              <w:rFonts w:asciiTheme="minorHAnsi" w:eastAsiaTheme="minorEastAsia" w:hAnsiTheme="minorHAnsi" w:cstheme="minorBidi"/>
              <w:noProof/>
              <w:szCs w:val="22"/>
              <w:lang w:eastAsia="es-MX"/>
            </w:rPr>
          </w:pPr>
          <w:hyperlink w:anchor="_Toc201208805" w:history="1">
            <w:r w:rsidRPr="00D12FCF">
              <w:rPr>
                <w:rStyle w:val="Hipervnculo"/>
                <w:noProof/>
                <w:color w:val="auto"/>
              </w:rPr>
              <w:t>e) Informes Justificados del Sujeto Obligado</w:t>
            </w:r>
            <w:r w:rsidRPr="00D12FCF">
              <w:rPr>
                <w:noProof/>
                <w:webHidden/>
              </w:rPr>
              <w:tab/>
            </w:r>
            <w:r w:rsidRPr="00D12FCF">
              <w:rPr>
                <w:noProof/>
                <w:webHidden/>
              </w:rPr>
              <w:fldChar w:fldCharType="begin"/>
            </w:r>
            <w:r w:rsidRPr="00D12FCF">
              <w:rPr>
                <w:noProof/>
                <w:webHidden/>
              </w:rPr>
              <w:instrText xml:space="preserve"> PAGEREF _Toc201208805 \h </w:instrText>
            </w:r>
            <w:r w:rsidRPr="00D12FCF">
              <w:rPr>
                <w:noProof/>
                <w:webHidden/>
              </w:rPr>
            </w:r>
            <w:r w:rsidRPr="00D12FCF">
              <w:rPr>
                <w:noProof/>
                <w:webHidden/>
              </w:rPr>
              <w:fldChar w:fldCharType="separate"/>
            </w:r>
            <w:r w:rsidR="00801452">
              <w:rPr>
                <w:noProof/>
                <w:webHidden/>
              </w:rPr>
              <w:t>7</w:t>
            </w:r>
            <w:r w:rsidRPr="00D12FCF">
              <w:rPr>
                <w:noProof/>
                <w:webHidden/>
              </w:rPr>
              <w:fldChar w:fldCharType="end"/>
            </w:r>
          </w:hyperlink>
        </w:p>
        <w:p w14:paraId="3CA74CBB" w14:textId="76F7E770" w:rsidR="00D12FCF" w:rsidRPr="00D12FCF" w:rsidRDefault="00D12FCF" w:rsidP="00D12FCF">
          <w:pPr>
            <w:pStyle w:val="TDC3"/>
            <w:rPr>
              <w:rFonts w:asciiTheme="minorHAnsi" w:eastAsiaTheme="minorEastAsia" w:hAnsiTheme="minorHAnsi" w:cstheme="minorBidi"/>
              <w:noProof/>
              <w:szCs w:val="22"/>
              <w:lang w:eastAsia="es-MX"/>
            </w:rPr>
          </w:pPr>
          <w:hyperlink w:anchor="_Toc201208806" w:history="1">
            <w:r w:rsidRPr="00D12FCF">
              <w:rPr>
                <w:rStyle w:val="Hipervnculo"/>
                <w:rFonts w:eastAsia="Calibri"/>
                <w:bCs/>
                <w:noProof/>
                <w:color w:val="auto"/>
                <w:lang w:eastAsia="en-US"/>
              </w:rPr>
              <w:t>f)</w:t>
            </w:r>
            <w:r w:rsidRPr="00D12FCF">
              <w:rPr>
                <w:rStyle w:val="Hipervnculo"/>
                <w:noProof/>
                <w:color w:val="auto"/>
              </w:rPr>
              <w:t xml:space="preserve"> </w:t>
            </w:r>
            <w:r w:rsidRPr="00D12FCF">
              <w:rPr>
                <w:rStyle w:val="Hipervnculo"/>
                <w:noProof/>
                <w:color w:val="auto"/>
                <w:lang w:val="es-ES"/>
              </w:rPr>
              <w:t>Manifestaciones de la Parte Recurrente</w:t>
            </w:r>
            <w:r w:rsidRPr="00D12FCF">
              <w:rPr>
                <w:noProof/>
                <w:webHidden/>
              </w:rPr>
              <w:tab/>
            </w:r>
            <w:r w:rsidRPr="00D12FCF">
              <w:rPr>
                <w:noProof/>
                <w:webHidden/>
              </w:rPr>
              <w:fldChar w:fldCharType="begin"/>
            </w:r>
            <w:r w:rsidRPr="00D12FCF">
              <w:rPr>
                <w:noProof/>
                <w:webHidden/>
              </w:rPr>
              <w:instrText xml:space="preserve"> PAGEREF _Toc201208806 \h </w:instrText>
            </w:r>
            <w:r w:rsidRPr="00D12FCF">
              <w:rPr>
                <w:noProof/>
                <w:webHidden/>
              </w:rPr>
            </w:r>
            <w:r w:rsidRPr="00D12FCF">
              <w:rPr>
                <w:noProof/>
                <w:webHidden/>
              </w:rPr>
              <w:fldChar w:fldCharType="separate"/>
            </w:r>
            <w:r w:rsidR="00801452">
              <w:rPr>
                <w:noProof/>
                <w:webHidden/>
              </w:rPr>
              <w:t>7</w:t>
            </w:r>
            <w:r w:rsidRPr="00D12FCF">
              <w:rPr>
                <w:noProof/>
                <w:webHidden/>
              </w:rPr>
              <w:fldChar w:fldCharType="end"/>
            </w:r>
          </w:hyperlink>
        </w:p>
        <w:p w14:paraId="793763F1" w14:textId="255F0057" w:rsidR="00D12FCF" w:rsidRPr="00D12FCF" w:rsidRDefault="00D12FCF" w:rsidP="00D12FCF">
          <w:pPr>
            <w:pStyle w:val="TDC3"/>
            <w:rPr>
              <w:rFonts w:asciiTheme="minorHAnsi" w:eastAsiaTheme="minorEastAsia" w:hAnsiTheme="minorHAnsi" w:cstheme="minorBidi"/>
              <w:noProof/>
              <w:szCs w:val="22"/>
              <w:lang w:eastAsia="es-MX"/>
            </w:rPr>
          </w:pPr>
          <w:hyperlink w:anchor="_Toc201208807" w:history="1">
            <w:r w:rsidRPr="00D12FCF">
              <w:rPr>
                <w:rStyle w:val="Hipervnculo"/>
                <w:rFonts w:eastAsia="Calibri"/>
                <w:noProof/>
                <w:color w:val="auto"/>
              </w:rPr>
              <w:t xml:space="preserve">g) </w:t>
            </w:r>
            <w:r w:rsidRPr="00D12FCF">
              <w:rPr>
                <w:rStyle w:val="Hipervnculo"/>
                <w:noProof/>
                <w:color w:val="auto"/>
              </w:rPr>
              <w:t>Cierre de instrucción</w:t>
            </w:r>
            <w:r w:rsidRPr="00D12FCF">
              <w:rPr>
                <w:noProof/>
                <w:webHidden/>
              </w:rPr>
              <w:tab/>
            </w:r>
            <w:r w:rsidRPr="00D12FCF">
              <w:rPr>
                <w:noProof/>
                <w:webHidden/>
              </w:rPr>
              <w:fldChar w:fldCharType="begin"/>
            </w:r>
            <w:r w:rsidRPr="00D12FCF">
              <w:rPr>
                <w:noProof/>
                <w:webHidden/>
              </w:rPr>
              <w:instrText xml:space="preserve"> PAGEREF _Toc201208807 \h </w:instrText>
            </w:r>
            <w:r w:rsidRPr="00D12FCF">
              <w:rPr>
                <w:noProof/>
                <w:webHidden/>
              </w:rPr>
            </w:r>
            <w:r w:rsidRPr="00D12FCF">
              <w:rPr>
                <w:noProof/>
                <w:webHidden/>
              </w:rPr>
              <w:fldChar w:fldCharType="separate"/>
            </w:r>
            <w:r w:rsidR="00801452">
              <w:rPr>
                <w:noProof/>
                <w:webHidden/>
              </w:rPr>
              <w:t>8</w:t>
            </w:r>
            <w:r w:rsidRPr="00D12FCF">
              <w:rPr>
                <w:noProof/>
                <w:webHidden/>
              </w:rPr>
              <w:fldChar w:fldCharType="end"/>
            </w:r>
          </w:hyperlink>
        </w:p>
        <w:p w14:paraId="5D0215BA" w14:textId="457B01D6" w:rsidR="00D12FCF" w:rsidRPr="00D12FCF" w:rsidRDefault="00D12FCF" w:rsidP="00D12FCF">
          <w:pPr>
            <w:pStyle w:val="TDC3"/>
            <w:rPr>
              <w:rFonts w:asciiTheme="minorHAnsi" w:eastAsiaTheme="minorEastAsia" w:hAnsiTheme="minorHAnsi" w:cstheme="minorBidi"/>
              <w:noProof/>
              <w:szCs w:val="22"/>
              <w:lang w:eastAsia="es-MX"/>
            </w:rPr>
          </w:pPr>
          <w:hyperlink w:anchor="_Toc201208808" w:history="1">
            <w:r w:rsidRPr="00D12FCF">
              <w:rPr>
                <w:rStyle w:val="Hipervnculo"/>
                <w:rFonts w:eastAsia="Calibri"/>
                <w:noProof/>
                <w:color w:val="auto"/>
              </w:rPr>
              <w:t>h) Ampliación de plazo para resolver los Recurso de Revisión</w:t>
            </w:r>
            <w:r w:rsidRPr="00D12FCF">
              <w:rPr>
                <w:noProof/>
                <w:webHidden/>
              </w:rPr>
              <w:tab/>
            </w:r>
            <w:r w:rsidRPr="00D12FCF">
              <w:rPr>
                <w:noProof/>
                <w:webHidden/>
              </w:rPr>
              <w:fldChar w:fldCharType="begin"/>
            </w:r>
            <w:r w:rsidRPr="00D12FCF">
              <w:rPr>
                <w:noProof/>
                <w:webHidden/>
              </w:rPr>
              <w:instrText xml:space="preserve"> PAGEREF _Toc201208808 \h </w:instrText>
            </w:r>
            <w:r w:rsidRPr="00D12FCF">
              <w:rPr>
                <w:noProof/>
                <w:webHidden/>
              </w:rPr>
            </w:r>
            <w:r w:rsidRPr="00D12FCF">
              <w:rPr>
                <w:noProof/>
                <w:webHidden/>
              </w:rPr>
              <w:fldChar w:fldCharType="separate"/>
            </w:r>
            <w:r w:rsidR="00801452">
              <w:rPr>
                <w:noProof/>
                <w:webHidden/>
              </w:rPr>
              <w:t>8</w:t>
            </w:r>
            <w:r w:rsidRPr="00D12FCF">
              <w:rPr>
                <w:noProof/>
                <w:webHidden/>
              </w:rPr>
              <w:fldChar w:fldCharType="end"/>
            </w:r>
          </w:hyperlink>
        </w:p>
        <w:p w14:paraId="3408601B" w14:textId="423FA6F2" w:rsidR="00D12FCF" w:rsidRPr="00D12FCF" w:rsidRDefault="00D12FCF" w:rsidP="00D12FCF">
          <w:pPr>
            <w:pStyle w:val="TDC1"/>
            <w:tabs>
              <w:tab w:val="right" w:leader="dot" w:pos="9034"/>
            </w:tabs>
            <w:rPr>
              <w:rFonts w:asciiTheme="minorHAnsi" w:eastAsiaTheme="minorEastAsia" w:hAnsiTheme="minorHAnsi" w:cstheme="minorBidi"/>
              <w:noProof/>
              <w:szCs w:val="22"/>
              <w:lang w:eastAsia="es-MX"/>
            </w:rPr>
          </w:pPr>
          <w:hyperlink w:anchor="_Toc201208809" w:history="1">
            <w:r w:rsidRPr="00D12FCF">
              <w:rPr>
                <w:rStyle w:val="Hipervnculo"/>
                <w:rFonts w:eastAsiaTheme="minorHAnsi"/>
                <w:noProof/>
                <w:color w:val="auto"/>
                <w:lang w:eastAsia="en-US"/>
              </w:rPr>
              <w:t>CONSIDERANDOS</w:t>
            </w:r>
            <w:r w:rsidRPr="00D12FCF">
              <w:rPr>
                <w:noProof/>
                <w:webHidden/>
              </w:rPr>
              <w:tab/>
            </w:r>
            <w:r w:rsidRPr="00D12FCF">
              <w:rPr>
                <w:noProof/>
                <w:webHidden/>
              </w:rPr>
              <w:fldChar w:fldCharType="begin"/>
            </w:r>
            <w:r w:rsidRPr="00D12FCF">
              <w:rPr>
                <w:noProof/>
                <w:webHidden/>
              </w:rPr>
              <w:instrText xml:space="preserve"> PAGEREF _Toc201208809 \h </w:instrText>
            </w:r>
            <w:r w:rsidRPr="00D12FCF">
              <w:rPr>
                <w:noProof/>
                <w:webHidden/>
              </w:rPr>
            </w:r>
            <w:r w:rsidRPr="00D12FCF">
              <w:rPr>
                <w:noProof/>
                <w:webHidden/>
              </w:rPr>
              <w:fldChar w:fldCharType="separate"/>
            </w:r>
            <w:r w:rsidR="00801452">
              <w:rPr>
                <w:noProof/>
                <w:webHidden/>
              </w:rPr>
              <w:t>8</w:t>
            </w:r>
            <w:r w:rsidRPr="00D12FCF">
              <w:rPr>
                <w:noProof/>
                <w:webHidden/>
              </w:rPr>
              <w:fldChar w:fldCharType="end"/>
            </w:r>
          </w:hyperlink>
        </w:p>
        <w:p w14:paraId="405BB5FD" w14:textId="2388A942" w:rsidR="00D12FCF" w:rsidRPr="00D12FCF" w:rsidRDefault="00D12FCF" w:rsidP="00D12FCF">
          <w:pPr>
            <w:pStyle w:val="TDC2"/>
            <w:rPr>
              <w:rFonts w:asciiTheme="minorHAnsi" w:eastAsiaTheme="minorEastAsia" w:hAnsiTheme="minorHAnsi" w:cstheme="minorBidi"/>
              <w:noProof/>
              <w:szCs w:val="22"/>
              <w:lang w:eastAsia="es-MX"/>
            </w:rPr>
          </w:pPr>
          <w:hyperlink w:anchor="_Toc201208810" w:history="1">
            <w:r w:rsidRPr="00D12FCF">
              <w:rPr>
                <w:rStyle w:val="Hipervnculo"/>
                <w:rFonts w:eastAsia="Batang"/>
                <w:noProof/>
                <w:color w:val="auto"/>
              </w:rPr>
              <w:t>PRIMERO. Procedibilidad</w:t>
            </w:r>
            <w:r w:rsidRPr="00D12FCF">
              <w:rPr>
                <w:noProof/>
                <w:webHidden/>
              </w:rPr>
              <w:tab/>
            </w:r>
            <w:r w:rsidRPr="00D12FCF">
              <w:rPr>
                <w:noProof/>
                <w:webHidden/>
              </w:rPr>
              <w:fldChar w:fldCharType="begin"/>
            </w:r>
            <w:r w:rsidRPr="00D12FCF">
              <w:rPr>
                <w:noProof/>
                <w:webHidden/>
              </w:rPr>
              <w:instrText xml:space="preserve"> PAGEREF _Toc201208810 \h </w:instrText>
            </w:r>
            <w:r w:rsidRPr="00D12FCF">
              <w:rPr>
                <w:noProof/>
                <w:webHidden/>
              </w:rPr>
            </w:r>
            <w:r w:rsidRPr="00D12FCF">
              <w:rPr>
                <w:noProof/>
                <w:webHidden/>
              </w:rPr>
              <w:fldChar w:fldCharType="separate"/>
            </w:r>
            <w:r w:rsidR="00801452">
              <w:rPr>
                <w:noProof/>
                <w:webHidden/>
              </w:rPr>
              <w:t>8</w:t>
            </w:r>
            <w:r w:rsidRPr="00D12FCF">
              <w:rPr>
                <w:noProof/>
                <w:webHidden/>
              </w:rPr>
              <w:fldChar w:fldCharType="end"/>
            </w:r>
          </w:hyperlink>
        </w:p>
        <w:p w14:paraId="19617E02" w14:textId="33386CFD" w:rsidR="00D12FCF" w:rsidRPr="00D12FCF" w:rsidRDefault="00D12FCF" w:rsidP="00D12FCF">
          <w:pPr>
            <w:pStyle w:val="TDC3"/>
            <w:rPr>
              <w:rFonts w:asciiTheme="minorHAnsi" w:eastAsiaTheme="minorEastAsia" w:hAnsiTheme="minorHAnsi" w:cstheme="minorBidi"/>
              <w:noProof/>
              <w:szCs w:val="22"/>
              <w:lang w:eastAsia="es-MX"/>
            </w:rPr>
          </w:pPr>
          <w:hyperlink w:anchor="_Toc201208811" w:history="1">
            <w:r w:rsidRPr="00D12FCF">
              <w:rPr>
                <w:rStyle w:val="Hipervnculo"/>
                <w:noProof/>
                <w:color w:val="auto"/>
              </w:rPr>
              <w:t>a) Competencia del Instituto</w:t>
            </w:r>
            <w:r w:rsidRPr="00D12FCF">
              <w:rPr>
                <w:noProof/>
                <w:webHidden/>
              </w:rPr>
              <w:tab/>
            </w:r>
            <w:r w:rsidRPr="00D12FCF">
              <w:rPr>
                <w:noProof/>
                <w:webHidden/>
              </w:rPr>
              <w:fldChar w:fldCharType="begin"/>
            </w:r>
            <w:r w:rsidRPr="00D12FCF">
              <w:rPr>
                <w:noProof/>
                <w:webHidden/>
              </w:rPr>
              <w:instrText xml:space="preserve"> PAGEREF _Toc201208811 \h </w:instrText>
            </w:r>
            <w:r w:rsidRPr="00D12FCF">
              <w:rPr>
                <w:noProof/>
                <w:webHidden/>
              </w:rPr>
            </w:r>
            <w:r w:rsidRPr="00D12FCF">
              <w:rPr>
                <w:noProof/>
                <w:webHidden/>
              </w:rPr>
              <w:fldChar w:fldCharType="separate"/>
            </w:r>
            <w:r w:rsidR="00801452">
              <w:rPr>
                <w:noProof/>
                <w:webHidden/>
              </w:rPr>
              <w:t>8</w:t>
            </w:r>
            <w:r w:rsidRPr="00D12FCF">
              <w:rPr>
                <w:noProof/>
                <w:webHidden/>
              </w:rPr>
              <w:fldChar w:fldCharType="end"/>
            </w:r>
          </w:hyperlink>
        </w:p>
        <w:p w14:paraId="4C2BD710" w14:textId="7744E98D" w:rsidR="00D12FCF" w:rsidRPr="00D12FCF" w:rsidRDefault="00D12FCF" w:rsidP="00D12FCF">
          <w:pPr>
            <w:pStyle w:val="TDC3"/>
            <w:rPr>
              <w:rFonts w:asciiTheme="minorHAnsi" w:eastAsiaTheme="minorEastAsia" w:hAnsiTheme="minorHAnsi" w:cstheme="minorBidi"/>
              <w:noProof/>
              <w:szCs w:val="22"/>
              <w:lang w:eastAsia="es-MX"/>
            </w:rPr>
          </w:pPr>
          <w:hyperlink w:anchor="_Toc201208812" w:history="1">
            <w:r w:rsidRPr="00D12FCF">
              <w:rPr>
                <w:rStyle w:val="Hipervnculo"/>
                <w:noProof/>
                <w:color w:val="auto"/>
              </w:rPr>
              <w:t>b) Legitimidad de la parte recurrente</w:t>
            </w:r>
            <w:r w:rsidRPr="00D12FCF">
              <w:rPr>
                <w:noProof/>
                <w:webHidden/>
              </w:rPr>
              <w:tab/>
            </w:r>
            <w:r w:rsidRPr="00D12FCF">
              <w:rPr>
                <w:noProof/>
                <w:webHidden/>
              </w:rPr>
              <w:fldChar w:fldCharType="begin"/>
            </w:r>
            <w:r w:rsidRPr="00D12FCF">
              <w:rPr>
                <w:noProof/>
                <w:webHidden/>
              </w:rPr>
              <w:instrText xml:space="preserve"> PAGEREF _Toc201208812 \h </w:instrText>
            </w:r>
            <w:r w:rsidRPr="00D12FCF">
              <w:rPr>
                <w:noProof/>
                <w:webHidden/>
              </w:rPr>
            </w:r>
            <w:r w:rsidRPr="00D12FCF">
              <w:rPr>
                <w:noProof/>
                <w:webHidden/>
              </w:rPr>
              <w:fldChar w:fldCharType="separate"/>
            </w:r>
            <w:r w:rsidR="00801452">
              <w:rPr>
                <w:noProof/>
                <w:webHidden/>
              </w:rPr>
              <w:t>9</w:t>
            </w:r>
            <w:r w:rsidRPr="00D12FCF">
              <w:rPr>
                <w:noProof/>
                <w:webHidden/>
              </w:rPr>
              <w:fldChar w:fldCharType="end"/>
            </w:r>
          </w:hyperlink>
        </w:p>
        <w:p w14:paraId="48E64D77" w14:textId="60FC92A0" w:rsidR="00D12FCF" w:rsidRPr="00D12FCF" w:rsidRDefault="00D12FCF" w:rsidP="00D12FCF">
          <w:pPr>
            <w:pStyle w:val="TDC3"/>
            <w:rPr>
              <w:rFonts w:asciiTheme="minorHAnsi" w:eastAsiaTheme="minorEastAsia" w:hAnsiTheme="minorHAnsi" w:cstheme="minorBidi"/>
              <w:noProof/>
              <w:szCs w:val="22"/>
              <w:lang w:eastAsia="es-MX"/>
            </w:rPr>
          </w:pPr>
          <w:hyperlink w:anchor="_Toc201208813" w:history="1">
            <w:r w:rsidRPr="00D12FCF">
              <w:rPr>
                <w:rStyle w:val="Hipervnculo"/>
                <w:rFonts w:eastAsia="Calibri"/>
                <w:noProof/>
                <w:color w:val="auto"/>
                <w:lang w:eastAsia="es-ES_tradnl"/>
              </w:rPr>
              <w:t>c) Plazo para interponer los recursos</w:t>
            </w:r>
            <w:r w:rsidRPr="00D12FCF">
              <w:rPr>
                <w:noProof/>
                <w:webHidden/>
              </w:rPr>
              <w:tab/>
            </w:r>
            <w:r w:rsidRPr="00D12FCF">
              <w:rPr>
                <w:noProof/>
                <w:webHidden/>
              </w:rPr>
              <w:fldChar w:fldCharType="begin"/>
            </w:r>
            <w:r w:rsidRPr="00D12FCF">
              <w:rPr>
                <w:noProof/>
                <w:webHidden/>
              </w:rPr>
              <w:instrText xml:space="preserve"> PAGEREF _Toc201208813 \h </w:instrText>
            </w:r>
            <w:r w:rsidRPr="00D12FCF">
              <w:rPr>
                <w:noProof/>
                <w:webHidden/>
              </w:rPr>
            </w:r>
            <w:r w:rsidRPr="00D12FCF">
              <w:rPr>
                <w:noProof/>
                <w:webHidden/>
              </w:rPr>
              <w:fldChar w:fldCharType="separate"/>
            </w:r>
            <w:r w:rsidR="00801452">
              <w:rPr>
                <w:noProof/>
                <w:webHidden/>
              </w:rPr>
              <w:t>9</w:t>
            </w:r>
            <w:r w:rsidRPr="00D12FCF">
              <w:rPr>
                <w:noProof/>
                <w:webHidden/>
              </w:rPr>
              <w:fldChar w:fldCharType="end"/>
            </w:r>
          </w:hyperlink>
        </w:p>
        <w:p w14:paraId="4636A11A" w14:textId="7D2225B3" w:rsidR="00D12FCF" w:rsidRPr="00D12FCF" w:rsidRDefault="00D12FCF" w:rsidP="00D12FCF">
          <w:pPr>
            <w:pStyle w:val="TDC3"/>
            <w:rPr>
              <w:rFonts w:asciiTheme="minorHAnsi" w:eastAsiaTheme="minorEastAsia" w:hAnsiTheme="minorHAnsi" w:cstheme="minorBidi"/>
              <w:noProof/>
              <w:szCs w:val="22"/>
              <w:lang w:eastAsia="es-MX"/>
            </w:rPr>
          </w:pPr>
          <w:hyperlink w:anchor="_Toc201208814" w:history="1">
            <w:r w:rsidRPr="00D12FCF">
              <w:rPr>
                <w:rStyle w:val="Hipervnculo"/>
                <w:rFonts w:eastAsia="Calibri"/>
                <w:noProof/>
                <w:color w:val="auto"/>
                <w:lang w:eastAsia="es-ES_tradnl"/>
              </w:rPr>
              <w:t>d) Causal de Procedencia</w:t>
            </w:r>
            <w:r w:rsidRPr="00D12FCF">
              <w:rPr>
                <w:noProof/>
                <w:webHidden/>
              </w:rPr>
              <w:tab/>
            </w:r>
            <w:r w:rsidRPr="00D12FCF">
              <w:rPr>
                <w:noProof/>
                <w:webHidden/>
              </w:rPr>
              <w:fldChar w:fldCharType="begin"/>
            </w:r>
            <w:r w:rsidRPr="00D12FCF">
              <w:rPr>
                <w:noProof/>
                <w:webHidden/>
              </w:rPr>
              <w:instrText xml:space="preserve"> PAGEREF _Toc201208814 \h </w:instrText>
            </w:r>
            <w:r w:rsidRPr="00D12FCF">
              <w:rPr>
                <w:noProof/>
                <w:webHidden/>
              </w:rPr>
            </w:r>
            <w:r w:rsidRPr="00D12FCF">
              <w:rPr>
                <w:noProof/>
                <w:webHidden/>
              </w:rPr>
              <w:fldChar w:fldCharType="separate"/>
            </w:r>
            <w:r w:rsidR="00801452">
              <w:rPr>
                <w:noProof/>
                <w:webHidden/>
              </w:rPr>
              <w:t>9</w:t>
            </w:r>
            <w:r w:rsidRPr="00D12FCF">
              <w:rPr>
                <w:noProof/>
                <w:webHidden/>
              </w:rPr>
              <w:fldChar w:fldCharType="end"/>
            </w:r>
          </w:hyperlink>
        </w:p>
        <w:p w14:paraId="38CF383D" w14:textId="6EF46026" w:rsidR="00D12FCF" w:rsidRPr="00D12FCF" w:rsidRDefault="00D12FCF" w:rsidP="00D12FCF">
          <w:pPr>
            <w:pStyle w:val="TDC3"/>
            <w:rPr>
              <w:rFonts w:asciiTheme="minorHAnsi" w:eastAsiaTheme="minorEastAsia" w:hAnsiTheme="minorHAnsi" w:cstheme="minorBidi"/>
              <w:noProof/>
              <w:szCs w:val="22"/>
              <w:lang w:eastAsia="es-MX"/>
            </w:rPr>
          </w:pPr>
          <w:hyperlink w:anchor="_Toc201208815" w:history="1">
            <w:r w:rsidRPr="00D12FCF">
              <w:rPr>
                <w:rStyle w:val="Hipervnculo"/>
                <w:noProof/>
                <w:color w:val="auto"/>
              </w:rPr>
              <w:t>e) Requisitos formales para la interposición de los recursos</w:t>
            </w:r>
            <w:r w:rsidRPr="00D12FCF">
              <w:rPr>
                <w:noProof/>
                <w:webHidden/>
              </w:rPr>
              <w:tab/>
            </w:r>
            <w:r w:rsidRPr="00D12FCF">
              <w:rPr>
                <w:noProof/>
                <w:webHidden/>
              </w:rPr>
              <w:fldChar w:fldCharType="begin"/>
            </w:r>
            <w:r w:rsidRPr="00D12FCF">
              <w:rPr>
                <w:noProof/>
                <w:webHidden/>
              </w:rPr>
              <w:instrText xml:space="preserve"> PAGEREF _Toc201208815 \h </w:instrText>
            </w:r>
            <w:r w:rsidRPr="00D12FCF">
              <w:rPr>
                <w:noProof/>
                <w:webHidden/>
              </w:rPr>
            </w:r>
            <w:r w:rsidRPr="00D12FCF">
              <w:rPr>
                <w:noProof/>
                <w:webHidden/>
              </w:rPr>
              <w:fldChar w:fldCharType="separate"/>
            </w:r>
            <w:r w:rsidR="00801452">
              <w:rPr>
                <w:noProof/>
                <w:webHidden/>
              </w:rPr>
              <w:t>10</w:t>
            </w:r>
            <w:r w:rsidRPr="00D12FCF">
              <w:rPr>
                <w:noProof/>
                <w:webHidden/>
              </w:rPr>
              <w:fldChar w:fldCharType="end"/>
            </w:r>
          </w:hyperlink>
        </w:p>
        <w:p w14:paraId="00AD552E" w14:textId="6095C1F3" w:rsidR="00D12FCF" w:rsidRPr="00D12FCF" w:rsidRDefault="00D12FCF" w:rsidP="00D12FCF">
          <w:pPr>
            <w:pStyle w:val="TDC3"/>
            <w:rPr>
              <w:rFonts w:asciiTheme="minorHAnsi" w:eastAsiaTheme="minorEastAsia" w:hAnsiTheme="minorHAnsi" w:cstheme="minorBidi"/>
              <w:noProof/>
              <w:szCs w:val="22"/>
              <w:lang w:eastAsia="es-MX"/>
            </w:rPr>
          </w:pPr>
          <w:hyperlink w:anchor="_Toc201208816" w:history="1">
            <w:r w:rsidRPr="00D12FCF">
              <w:rPr>
                <w:rStyle w:val="Hipervnculo"/>
                <w:noProof/>
                <w:color w:val="auto"/>
              </w:rPr>
              <w:t>f) Acumulación de los Recursos de Revisión</w:t>
            </w:r>
            <w:r w:rsidRPr="00D12FCF">
              <w:rPr>
                <w:noProof/>
                <w:webHidden/>
              </w:rPr>
              <w:tab/>
            </w:r>
            <w:r w:rsidRPr="00D12FCF">
              <w:rPr>
                <w:noProof/>
                <w:webHidden/>
              </w:rPr>
              <w:fldChar w:fldCharType="begin"/>
            </w:r>
            <w:r w:rsidRPr="00D12FCF">
              <w:rPr>
                <w:noProof/>
                <w:webHidden/>
              </w:rPr>
              <w:instrText xml:space="preserve"> PAGEREF _Toc201208816 \h </w:instrText>
            </w:r>
            <w:r w:rsidRPr="00D12FCF">
              <w:rPr>
                <w:noProof/>
                <w:webHidden/>
              </w:rPr>
            </w:r>
            <w:r w:rsidRPr="00D12FCF">
              <w:rPr>
                <w:noProof/>
                <w:webHidden/>
              </w:rPr>
              <w:fldChar w:fldCharType="separate"/>
            </w:r>
            <w:r w:rsidR="00801452">
              <w:rPr>
                <w:noProof/>
                <w:webHidden/>
              </w:rPr>
              <w:t>11</w:t>
            </w:r>
            <w:r w:rsidRPr="00D12FCF">
              <w:rPr>
                <w:noProof/>
                <w:webHidden/>
              </w:rPr>
              <w:fldChar w:fldCharType="end"/>
            </w:r>
          </w:hyperlink>
        </w:p>
        <w:p w14:paraId="14A97119" w14:textId="352573C3" w:rsidR="00D12FCF" w:rsidRPr="00D12FCF" w:rsidRDefault="00D12FCF" w:rsidP="00D12FCF">
          <w:pPr>
            <w:pStyle w:val="TDC2"/>
            <w:rPr>
              <w:rFonts w:asciiTheme="minorHAnsi" w:eastAsiaTheme="minorEastAsia" w:hAnsiTheme="minorHAnsi" w:cstheme="minorBidi"/>
              <w:noProof/>
              <w:szCs w:val="22"/>
              <w:lang w:eastAsia="es-MX"/>
            </w:rPr>
          </w:pPr>
          <w:hyperlink w:anchor="_Toc201208817" w:history="1">
            <w:r w:rsidRPr="00D12FCF">
              <w:rPr>
                <w:rStyle w:val="Hipervnculo"/>
                <w:noProof/>
                <w:color w:val="auto"/>
              </w:rPr>
              <w:t>SEGUNDO. Estudio de Fondo</w:t>
            </w:r>
            <w:r w:rsidRPr="00D12FCF">
              <w:rPr>
                <w:noProof/>
                <w:webHidden/>
              </w:rPr>
              <w:tab/>
            </w:r>
            <w:r w:rsidRPr="00D12FCF">
              <w:rPr>
                <w:noProof/>
                <w:webHidden/>
              </w:rPr>
              <w:fldChar w:fldCharType="begin"/>
            </w:r>
            <w:r w:rsidRPr="00D12FCF">
              <w:rPr>
                <w:noProof/>
                <w:webHidden/>
              </w:rPr>
              <w:instrText xml:space="preserve"> PAGEREF _Toc201208817 \h </w:instrText>
            </w:r>
            <w:r w:rsidRPr="00D12FCF">
              <w:rPr>
                <w:noProof/>
                <w:webHidden/>
              </w:rPr>
            </w:r>
            <w:r w:rsidRPr="00D12FCF">
              <w:rPr>
                <w:noProof/>
                <w:webHidden/>
              </w:rPr>
              <w:fldChar w:fldCharType="separate"/>
            </w:r>
            <w:r w:rsidR="00801452">
              <w:rPr>
                <w:noProof/>
                <w:webHidden/>
              </w:rPr>
              <w:t>11</w:t>
            </w:r>
            <w:r w:rsidRPr="00D12FCF">
              <w:rPr>
                <w:noProof/>
                <w:webHidden/>
              </w:rPr>
              <w:fldChar w:fldCharType="end"/>
            </w:r>
          </w:hyperlink>
        </w:p>
        <w:p w14:paraId="43648614" w14:textId="65417BB1" w:rsidR="00D12FCF" w:rsidRPr="00D12FCF" w:rsidRDefault="00D12FCF" w:rsidP="00D12FCF">
          <w:pPr>
            <w:pStyle w:val="TDC3"/>
            <w:rPr>
              <w:rFonts w:asciiTheme="minorHAnsi" w:eastAsiaTheme="minorEastAsia" w:hAnsiTheme="minorHAnsi" w:cstheme="minorBidi"/>
              <w:noProof/>
              <w:szCs w:val="22"/>
              <w:lang w:eastAsia="es-MX"/>
            </w:rPr>
          </w:pPr>
          <w:hyperlink w:anchor="_Toc201208818" w:history="1">
            <w:r w:rsidRPr="00D12FCF">
              <w:rPr>
                <w:rStyle w:val="Hipervnculo"/>
                <w:noProof/>
                <w:color w:val="auto"/>
              </w:rPr>
              <w:t>a) Mandato de transparencia y responsabilidad del Sujeto Obligado</w:t>
            </w:r>
            <w:r w:rsidRPr="00D12FCF">
              <w:rPr>
                <w:noProof/>
                <w:webHidden/>
              </w:rPr>
              <w:tab/>
            </w:r>
            <w:r w:rsidRPr="00D12FCF">
              <w:rPr>
                <w:noProof/>
                <w:webHidden/>
              </w:rPr>
              <w:fldChar w:fldCharType="begin"/>
            </w:r>
            <w:r w:rsidRPr="00D12FCF">
              <w:rPr>
                <w:noProof/>
                <w:webHidden/>
              </w:rPr>
              <w:instrText xml:space="preserve"> PAGEREF _Toc201208818 \h </w:instrText>
            </w:r>
            <w:r w:rsidRPr="00D12FCF">
              <w:rPr>
                <w:noProof/>
                <w:webHidden/>
              </w:rPr>
            </w:r>
            <w:r w:rsidRPr="00D12FCF">
              <w:rPr>
                <w:noProof/>
                <w:webHidden/>
              </w:rPr>
              <w:fldChar w:fldCharType="separate"/>
            </w:r>
            <w:r w:rsidR="00801452">
              <w:rPr>
                <w:noProof/>
                <w:webHidden/>
              </w:rPr>
              <w:t>11</w:t>
            </w:r>
            <w:r w:rsidRPr="00D12FCF">
              <w:rPr>
                <w:noProof/>
                <w:webHidden/>
              </w:rPr>
              <w:fldChar w:fldCharType="end"/>
            </w:r>
          </w:hyperlink>
        </w:p>
        <w:p w14:paraId="027882E0" w14:textId="70AD0928" w:rsidR="00D12FCF" w:rsidRPr="00D12FCF" w:rsidRDefault="00D12FCF" w:rsidP="00D12FCF">
          <w:pPr>
            <w:pStyle w:val="TDC3"/>
            <w:rPr>
              <w:rFonts w:asciiTheme="minorHAnsi" w:eastAsiaTheme="minorEastAsia" w:hAnsiTheme="minorHAnsi" w:cstheme="minorBidi"/>
              <w:noProof/>
              <w:szCs w:val="22"/>
              <w:lang w:eastAsia="es-MX"/>
            </w:rPr>
          </w:pPr>
          <w:hyperlink w:anchor="_Toc201208819" w:history="1">
            <w:r w:rsidRPr="00D12FCF">
              <w:rPr>
                <w:rStyle w:val="Hipervnculo"/>
                <w:rFonts w:eastAsia="Calibri"/>
                <w:noProof/>
                <w:color w:val="auto"/>
                <w:lang w:eastAsia="es-ES_tradnl"/>
              </w:rPr>
              <w:t>b) Controversia a resolver</w:t>
            </w:r>
            <w:r w:rsidRPr="00D12FCF">
              <w:rPr>
                <w:noProof/>
                <w:webHidden/>
              </w:rPr>
              <w:tab/>
            </w:r>
            <w:r w:rsidRPr="00D12FCF">
              <w:rPr>
                <w:noProof/>
                <w:webHidden/>
              </w:rPr>
              <w:fldChar w:fldCharType="begin"/>
            </w:r>
            <w:r w:rsidRPr="00D12FCF">
              <w:rPr>
                <w:noProof/>
                <w:webHidden/>
              </w:rPr>
              <w:instrText xml:space="preserve"> PAGEREF _Toc201208819 \h </w:instrText>
            </w:r>
            <w:r w:rsidRPr="00D12FCF">
              <w:rPr>
                <w:noProof/>
                <w:webHidden/>
              </w:rPr>
            </w:r>
            <w:r w:rsidRPr="00D12FCF">
              <w:rPr>
                <w:noProof/>
                <w:webHidden/>
              </w:rPr>
              <w:fldChar w:fldCharType="separate"/>
            </w:r>
            <w:r w:rsidR="00801452">
              <w:rPr>
                <w:noProof/>
                <w:webHidden/>
              </w:rPr>
              <w:t>14</w:t>
            </w:r>
            <w:r w:rsidRPr="00D12FCF">
              <w:rPr>
                <w:noProof/>
                <w:webHidden/>
              </w:rPr>
              <w:fldChar w:fldCharType="end"/>
            </w:r>
          </w:hyperlink>
        </w:p>
        <w:p w14:paraId="64417FD3" w14:textId="30CB9A7A" w:rsidR="00D12FCF" w:rsidRPr="00D12FCF" w:rsidRDefault="00D12FCF" w:rsidP="00D12FCF">
          <w:pPr>
            <w:pStyle w:val="TDC3"/>
            <w:rPr>
              <w:rFonts w:asciiTheme="minorHAnsi" w:eastAsiaTheme="minorEastAsia" w:hAnsiTheme="minorHAnsi" w:cstheme="minorBidi"/>
              <w:noProof/>
              <w:szCs w:val="22"/>
              <w:lang w:eastAsia="es-MX"/>
            </w:rPr>
          </w:pPr>
          <w:hyperlink w:anchor="_Toc201208820" w:history="1">
            <w:r w:rsidRPr="00D12FCF">
              <w:rPr>
                <w:rStyle w:val="Hipervnculo"/>
                <w:noProof/>
                <w:color w:val="auto"/>
              </w:rPr>
              <w:t>c) Estudio de la controversia</w:t>
            </w:r>
            <w:r w:rsidRPr="00D12FCF">
              <w:rPr>
                <w:noProof/>
                <w:webHidden/>
              </w:rPr>
              <w:tab/>
            </w:r>
            <w:r w:rsidRPr="00D12FCF">
              <w:rPr>
                <w:noProof/>
                <w:webHidden/>
              </w:rPr>
              <w:fldChar w:fldCharType="begin"/>
            </w:r>
            <w:r w:rsidRPr="00D12FCF">
              <w:rPr>
                <w:noProof/>
                <w:webHidden/>
              </w:rPr>
              <w:instrText xml:space="preserve"> PAGEREF _Toc201208820 \h </w:instrText>
            </w:r>
            <w:r w:rsidRPr="00D12FCF">
              <w:rPr>
                <w:noProof/>
                <w:webHidden/>
              </w:rPr>
            </w:r>
            <w:r w:rsidRPr="00D12FCF">
              <w:rPr>
                <w:noProof/>
                <w:webHidden/>
              </w:rPr>
              <w:fldChar w:fldCharType="separate"/>
            </w:r>
            <w:r w:rsidR="00801452">
              <w:rPr>
                <w:noProof/>
                <w:webHidden/>
              </w:rPr>
              <w:t>14</w:t>
            </w:r>
            <w:r w:rsidRPr="00D12FCF">
              <w:rPr>
                <w:noProof/>
                <w:webHidden/>
              </w:rPr>
              <w:fldChar w:fldCharType="end"/>
            </w:r>
          </w:hyperlink>
        </w:p>
        <w:p w14:paraId="3FD1A130" w14:textId="1927AFA6" w:rsidR="00D12FCF" w:rsidRPr="00D12FCF" w:rsidRDefault="00D12FCF" w:rsidP="00D12FCF">
          <w:pPr>
            <w:pStyle w:val="TDC3"/>
            <w:rPr>
              <w:rFonts w:asciiTheme="minorHAnsi" w:eastAsiaTheme="minorEastAsia" w:hAnsiTheme="minorHAnsi" w:cstheme="minorBidi"/>
              <w:noProof/>
              <w:szCs w:val="22"/>
              <w:lang w:eastAsia="es-MX"/>
            </w:rPr>
          </w:pPr>
          <w:hyperlink w:anchor="_Toc201208821" w:history="1">
            <w:r w:rsidRPr="00D12FCF">
              <w:rPr>
                <w:rStyle w:val="Hipervnculo"/>
                <w:noProof/>
                <w:color w:val="auto"/>
              </w:rPr>
              <w:t>d) Conclusión</w:t>
            </w:r>
            <w:r w:rsidRPr="00D12FCF">
              <w:rPr>
                <w:noProof/>
                <w:webHidden/>
              </w:rPr>
              <w:tab/>
            </w:r>
            <w:r w:rsidRPr="00D12FCF">
              <w:rPr>
                <w:noProof/>
                <w:webHidden/>
              </w:rPr>
              <w:fldChar w:fldCharType="begin"/>
            </w:r>
            <w:r w:rsidRPr="00D12FCF">
              <w:rPr>
                <w:noProof/>
                <w:webHidden/>
              </w:rPr>
              <w:instrText xml:space="preserve"> PAGEREF _Toc201208821 \h </w:instrText>
            </w:r>
            <w:r w:rsidRPr="00D12FCF">
              <w:rPr>
                <w:noProof/>
                <w:webHidden/>
              </w:rPr>
            </w:r>
            <w:r w:rsidRPr="00D12FCF">
              <w:rPr>
                <w:noProof/>
                <w:webHidden/>
              </w:rPr>
              <w:fldChar w:fldCharType="separate"/>
            </w:r>
            <w:r w:rsidR="00801452">
              <w:rPr>
                <w:noProof/>
                <w:webHidden/>
              </w:rPr>
              <w:t>31</w:t>
            </w:r>
            <w:r w:rsidRPr="00D12FCF">
              <w:rPr>
                <w:noProof/>
                <w:webHidden/>
              </w:rPr>
              <w:fldChar w:fldCharType="end"/>
            </w:r>
          </w:hyperlink>
        </w:p>
        <w:p w14:paraId="68218F9E" w14:textId="2BDB975A" w:rsidR="00D12FCF" w:rsidRPr="00D12FCF" w:rsidRDefault="00D12FCF" w:rsidP="00D12FCF">
          <w:pPr>
            <w:pStyle w:val="TDC1"/>
            <w:tabs>
              <w:tab w:val="right" w:leader="dot" w:pos="9034"/>
            </w:tabs>
            <w:rPr>
              <w:rFonts w:asciiTheme="minorHAnsi" w:eastAsiaTheme="minorEastAsia" w:hAnsiTheme="minorHAnsi" w:cstheme="minorBidi"/>
              <w:noProof/>
              <w:szCs w:val="22"/>
              <w:lang w:eastAsia="es-MX"/>
            </w:rPr>
          </w:pPr>
          <w:hyperlink w:anchor="_Toc201208822" w:history="1">
            <w:r w:rsidRPr="00D12FCF">
              <w:rPr>
                <w:rStyle w:val="Hipervnculo"/>
                <w:noProof/>
                <w:color w:val="auto"/>
              </w:rPr>
              <w:t>RESUELVE</w:t>
            </w:r>
            <w:r w:rsidRPr="00D12FCF">
              <w:rPr>
                <w:noProof/>
                <w:webHidden/>
              </w:rPr>
              <w:tab/>
            </w:r>
            <w:r w:rsidRPr="00D12FCF">
              <w:rPr>
                <w:noProof/>
                <w:webHidden/>
              </w:rPr>
              <w:fldChar w:fldCharType="begin"/>
            </w:r>
            <w:r w:rsidRPr="00D12FCF">
              <w:rPr>
                <w:noProof/>
                <w:webHidden/>
              </w:rPr>
              <w:instrText xml:space="preserve"> PAGEREF _Toc201208822 \h </w:instrText>
            </w:r>
            <w:r w:rsidRPr="00D12FCF">
              <w:rPr>
                <w:noProof/>
                <w:webHidden/>
              </w:rPr>
            </w:r>
            <w:r w:rsidRPr="00D12FCF">
              <w:rPr>
                <w:noProof/>
                <w:webHidden/>
              </w:rPr>
              <w:fldChar w:fldCharType="separate"/>
            </w:r>
            <w:r w:rsidR="00801452">
              <w:rPr>
                <w:noProof/>
                <w:webHidden/>
              </w:rPr>
              <w:t>32</w:t>
            </w:r>
            <w:r w:rsidRPr="00D12FCF">
              <w:rPr>
                <w:noProof/>
                <w:webHidden/>
              </w:rPr>
              <w:fldChar w:fldCharType="end"/>
            </w:r>
          </w:hyperlink>
        </w:p>
        <w:p w14:paraId="0C82FD7A" w14:textId="39A01986" w:rsidR="009B2945" w:rsidRPr="00D12FCF" w:rsidRDefault="00AE3DA7" w:rsidP="00D12FCF">
          <w:pPr>
            <w:spacing w:line="240" w:lineRule="auto"/>
            <w:rPr>
              <w:b/>
              <w:bCs/>
              <w:lang w:val="es-ES"/>
            </w:rPr>
          </w:pPr>
          <w:r w:rsidRPr="00D12FCF">
            <w:rPr>
              <w:b/>
              <w:bCs/>
              <w:sz w:val="16"/>
              <w:szCs w:val="16"/>
              <w:lang w:val="es-ES"/>
            </w:rPr>
            <w:fldChar w:fldCharType="end"/>
          </w:r>
        </w:p>
      </w:sdtContent>
    </w:sdt>
    <w:p w14:paraId="603A07E2" w14:textId="77777777" w:rsidR="00646436" w:rsidRPr="00D12FCF" w:rsidRDefault="00646436" w:rsidP="00D12FCF">
      <w:pPr>
        <w:rPr>
          <w:rFonts w:cs="Tahoma"/>
          <w:szCs w:val="22"/>
        </w:rPr>
        <w:sectPr w:rsidR="00646436" w:rsidRPr="00D12FC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D76780E" w:rsidR="00775BFC" w:rsidRPr="00D12FCF" w:rsidRDefault="00775BFC" w:rsidP="00D12FCF">
      <w:pPr>
        <w:rPr>
          <w:b/>
          <w:bCs/>
        </w:rPr>
      </w:pPr>
      <w:r w:rsidRPr="00D12FCF">
        <w:lastRenderedPageBreak/>
        <w:t xml:space="preserve">Resolución del Pleno del Instituto de Transparencia, Acceso a la Información Pública y Protección de Datos Personales del Estado de México y Municipios, con domicilio en Metepec, Estado de México, </w:t>
      </w:r>
      <w:r w:rsidRPr="00D12FCF">
        <w:rPr>
          <w:b/>
          <w:bCs/>
        </w:rPr>
        <w:t>de</w:t>
      </w:r>
      <w:r w:rsidR="00420BD4" w:rsidRPr="00D12FCF">
        <w:rPr>
          <w:b/>
          <w:bCs/>
        </w:rPr>
        <w:t>l</w:t>
      </w:r>
      <w:r w:rsidRPr="00D12FCF">
        <w:rPr>
          <w:b/>
          <w:bCs/>
        </w:rPr>
        <w:t xml:space="preserve"> </w:t>
      </w:r>
      <w:r w:rsidR="00D354EB" w:rsidRPr="00D12FCF">
        <w:rPr>
          <w:b/>
          <w:bCs/>
        </w:rPr>
        <w:t>dieciocho</w:t>
      </w:r>
      <w:r w:rsidR="00420BD4" w:rsidRPr="00D12FCF">
        <w:rPr>
          <w:b/>
          <w:bCs/>
        </w:rPr>
        <w:t xml:space="preserve"> </w:t>
      </w:r>
      <w:r w:rsidRPr="00D12FCF">
        <w:rPr>
          <w:b/>
          <w:bCs/>
        </w:rPr>
        <w:t xml:space="preserve">de </w:t>
      </w:r>
      <w:r w:rsidR="00420BD4" w:rsidRPr="00D12FCF">
        <w:rPr>
          <w:b/>
          <w:bCs/>
        </w:rPr>
        <w:t xml:space="preserve">junio </w:t>
      </w:r>
      <w:r w:rsidRPr="00D12FCF">
        <w:rPr>
          <w:b/>
          <w:bCs/>
        </w:rPr>
        <w:t xml:space="preserve">de dos mil </w:t>
      </w:r>
      <w:r w:rsidR="00FE368B" w:rsidRPr="00D12FCF">
        <w:rPr>
          <w:b/>
          <w:bCs/>
        </w:rPr>
        <w:t>veinticinco</w:t>
      </w:r>
      <w:r w:rsidRPr="00D12FCF">
        <w:rPr>
          <w:b/>
          <w:bCs/>
        </w:rPr>
        <w:t>.</w:t>
      </w:r>
    </w:p>
    <w:p w14:paraId="0AF3AAC4" w14:textId="77777777" w:rsidR="00775BFC" w:rsidRPr="00D12FCF" w:rsidRDefault="00775BFC" w:rsidP="00D12FCF"/>
    <w:p w14:paraId="40EAE038" w14:textId="6D23FAF9" w:rsidR="00775BFC" w:rsidRPr="00D12FCF" w:rsidRDefault="00775BFC" w:rsidP="00D12FCF">
      <w:r w:rsidRPr="00D12FCF">
        <w:rPr>
          <w:b/>
        </w:rPr>
        <w:t>VISTO</w:t>
      </w:r>
      <w:r w:rsidR="00420BD4" w:rsidRPr="00D12FCF">
        <w:rPr>
          <w:b/>
        </w:rPr>
        <w:t>S</w:t>
      </w:r>
      <w:r w:rsidRPr="00D12FCF">
        <w:rPr>
          <w:b/>
        </w:rPr>
        <w:t xml:space="preserve"> </w:t>
      </w:r>
      <w:r w:rsidRPr="00D12FCF">
        <w:t>l</w:t>
      </w:r>
      <w:r w:rsidR="00420BD4" w:rsidRPr="00D12FCF">
        <w:t>os</w:t>
      </w:r>
      <w:r w:rsidRPr="00D12FCF">
        <w:t xml:space="preserve"> expediente</w:t>
      </w:r>
      <w:r w:rsidR="00420BD4" w:rsidRPr="00D12FCF">
        <w:t>s</w:t>
      </w:r>
      <w:r w:rsidRPr="00D12FCF">
        <w:t xml:space="preserve"> formado</w:t>
      </w:r>
      <w:r w:rsidR="00420BD4" w:rsidRPr="00D12FCF">
        <w:t>s</w:t>
      </w:r>
      <w:r w:rsidRPr="00D12FCF">
        <w:t xml:space="preserve"> con motivo de</w:t>
      </w:r>
      <w:r w:rsidR="00420BD4" w:rsidRPr="00D12FCF">
        <w:t xml:space="preserve"> </w:t>
      </w:r>
      <w:r w:rsidRPr="00D12FCF">
        <w:t>l</w:t>
      </w:r>
      <w:r w:rsidR="00420BD4" w:rsidRPr="00D12FCF">
        <w:t>os</w:t>
      </w:r>
      <w:r w:rsidRPr="00D12FCF">
        <w:t xml:space="preserve"> Recurso</w:t>
      </w:r>
      <w:r w:rsidR="00420BD4" w:rsidRPr="00D12FCF">
        <w:t>s</w:t>
      </w:r>
      <w:r w:rsidRPr="00D12FCF">
        <w:t xml:space="preserve"> de Revisión </w:t>
      </w:r>
      <w:r w:rsidR="00420BD4" w:rsidRPr="00D12FCF">
        <w:rPr>
          <w:rFonts w:eastAsia="Calibri"/>
          <w:b/>
          <w:lang w:eastAsia="en-US"/>
        </w:rPr>
        <w:t>04792/INFOEM/IP/RR/2025 y 04794/INFOEM/IP/RR/2025</w:t>
      </w:r>
      <w:r w:rsidRPr="00D12FCF">
        <w:rPr>
          <w:rFonts w:eastAsia="Calibri"/>
          <w:lang w:eastAsia="en-US"/>
        </w:rPr>
        <w:t xml:space="preserve"> </w:t>
      </w:r>
      <w:r w:rsidRPr="00D12FCF">
        <w:t>interpuesto</w:t>
      </w:r>
      <w:r w:rsidR="00420BD4" w:rsidRPr="00D12FCF">
        <w:t>s</w:t>
      </w:r>
      <w:r w:rsidRPr="00D12FCF">
        <w:t xml:space="preserve"> por </w:t>
      </w:r>
      <w:r w:rsidR="00420BD4" w:rsidRPr="00D12FCF">
        <w:rPr>
          <w:b/>
          <w:bCs/>
        </w:rPr>
        <w:t xml:space="preserve">una persona de manera anónima, </w:t>
      </w:r>
      <w:r w:rsidRPr="00D12FCF">
        <w:t xml:space="preserve">a quien en lo subsecuente se le denominará </w:t>
      </w:r>
      <w:r w:rsidRPr="00D12FCF">
        <w:rPr>
          <w:b/>
          <w:bCs/>
        </w:rPr>
        <w:t>LA PARTE RECURRENTE</w:t>
      </w:r>
      <w:r w:rsidRPr="00D12FCF">
        <w:t>, en contra de la</w:t>
      </w:r>
      <w:r w:rsidR="00420BD4" w:rsidRPr="00D12FCF">
        <w:t>s</w:t>
      </w:r>
      <w:r w:rsidRPr="00D12FCF">
        <w:t xml:space="preserve"> respuest</w:t>
      </w:r>
      <w:r w:rsidR="00420BD4" w:rsidRPr="00D12FCF">
        <w:t>as</w:t>
      </w:r>
      <w:r w:rsidRPr="00D12FCF">
        <w:t xml:space="preserve"> emitida</w:t>
      </w:r>
      <w:r w:rsidR="00420BD4" w:rsidRPr="00D12FCF">
        <w:t>s</w:t>
      </w:r>
      <w:r w:rsidRPr="00D12FCF">
        <w:t xml:space="preserve"> por</w:t>
      </w:r>
      <w:r w:rsidR="00420BD4" w:rsidRPr="00D12FCF">
        <w:t xml:space="preserve"> el</w:t>
      </w:r>
      <w:r w:rsidRPr="00D12FCF">
        <w:t xml:space="preserve"> </w:t>
      </w:r>
      <w:r w:rsidR="00420BD4" w:rsidRPr="00D12FCF">
        <w:rPr>
          <w:b/>
          <w:bCs/>
        </w:rPr>
        <w:t>Ayuntamiento de Ixtapan del Oro</w:t>
      </w:r>
      <w:r w:rsidRPr="00D12FCF">
        <w:t xml:space="preserve">, en adelante </w:t>
      </w:r>
      <w:r w:rsidRPr="00D12FCF">
        <w:rPr>
          <w:b/>
          <w:bCs/>
        </w:rPr>
        <w:t>EL SUJETO OBLIGADO</w:t>
      </w:r>
      <w:r w:rsidRPr="00D12FCF">
        <w:rPr>
          <w:rFonts w:eastAsia="Calibri"/>
          <w:lang w:eastAsia="en-US"/>
        </w:rPr>
        <w:t xml:space="preserve">, </w:t>
      </w:r>
      <w:r w:rsidRPr="00D12FCF">
        <w:t>se emite la presente Resolución con base en los Antecedentes y Considerandos que se exponen a continuación:</w:t>
      </w:r>
    </w:p>
    <w:p w14:paraId="2116968C" w14:textId="3F66528F" w:rsidR="00775BFC" w:rsidRPr="00D12FCF" w:rsidRDefault="00775BFC" w:rsidP="00D12FCF"/>
    <w:p w14:paraId="3D93716D" w14:textId="77777777" w:rsidR="00D12FCF" w:rsidRPr="00D12FCF" w:rsidRDefault="00D12FCF" w:rsidP="00D12FCF"/>
    <w:p w14:paraId="5A444FB6" w14:textId="639D3567" w:rsidR="00664420" w:rsidRPr="00D12FCF" w:rsidRDefault="00664420" w:rsidP="00D12FCF">
      <w:pPr>
        <w:pStyle w:val="Ttulo1"/>
      </w:pPr>
      <w:bookmarkStart w:id="2" w:name="_Toc201208796"/>
      <w:r w:rsidRPr="00D12FCF">
        <w:t>ANTECEDENTES</w:t>
      </w:r>
      <w:bookmarkEnd w:id="2"/>
    </w:p>
    <w:p w14:paraId="5CB5034E" w14:textId="77777777" w:rsidR="00AC2DB8" w:rsidRPr="00D12FCF" w:rsidRDefault="00AC2DB8" w:rsidP="00D12FCF"/>
    <w:p w14:paraId="09B2D38F" w14:textId="5F956D2C" w:rsidR="00664420" w:rsidRPr="00D12FCF" w:rsidRDefault="00E37A3F" w:rsidP="00D12FCF">
      <w:pPr>
        <w:pStyle w:val="Ttulo2"/>
      </w:pPr>
      <w:bookmarkStart w:id="3" w:name="_Toc201208797"/>
      <w:r w:rsidRPr="00D12FCF">
        <w:t>DE LA</w:t>
      </w:r>
      <w:r w:rsidR="00420BD4" w:rsidRPr="00D12FCF">
        <w:t>S</w:t>
      </w:r>
      <w:r w:rsidRPr="00D12FCF">
        <w:t xml:space="preserve"> SOLICITUD</w:t>
      </w:r>
      <w:r w:rsidR="00420BD4" w:rsidRPr="00D12FCF">
        <w:t>ES</w:t>
      </w:r>
      <w:r w:rsidRPr="00D12FCF">
        <w:t xml:space="preserve"> DE INFORMACIÓN</w:t>
      </w:r>
      <w:bookmarkEnd w:id="3"/>
    </w:p>
    <w:p w14:paraId="7B7535DF" w14:textId="77777777" w:rsidR="00E37A3F" w:rsidRPr="00D12FCF" w:rsidRDefault="00E37A3F" w:rsidP="00D12FCF"/>
    <w:p w14:paraId="2C6AD1A5" w14:textId="06943DE5" w:rsidR="00664420" w:rsidRPr="00D12FCF" w:rsidRDefault="00E37A3F" w:rsidP="00D12FCF">
      <w:pPr>
        <w:pStyle w:val="Ttulo3"/>
      </w:pPr>
      <w:bookmarkStart w:id="4" w:name="_Toc201208798"/>
      <w:r w:rsidRPr="00D12FCF">
        <w:t xml:space="preserve">a) </w:t>
      </w:r>
      <w:r w:rsidR="006B10B0" w:rsidRPr="00D12FCF">
        <w:t>S</w:t>
      </w:r>
      <w:r w:rsidR="00664420" w:rsidRPr="00D12FCF">
        <w:t>olicitud</w:t>
      </w:r>
      <w:r w:rsidR="00420BD4" w:rsidRPr="00D12FCF">
        <w:t>es</w:t>
      </w:r>
      <w:r w:rsidR="00664420" w:rsidRPr="00D12FCF">
        <w:t xml:space="preserve"> de </w:t>
      </w:r>
      <w:r w:rsidR="006B10B0" w:rsidRPr="00D12FCF">
        <w:t>i</w:t>
      </w:r>
      <w:r w:rsidR="00664420" w:rsidRPr="00D12FCF">
        <w:t>nformación</w:t>
      </w:r>
      <w:bookmarkEnd w:id="4"/>
    </w:p>
    <w:p w14:paraId="06DCD29D" w14:textId="35B81349" w:rsidR="009A2D78" w:rsidRPr="00D12FCF" w:rsidRDefault="006B10B0" w:rsidP="00D12FCF">
      <w:pPr>
        <w:pStyle w:val="Prrafodelista"/>
        <w:tabs>
          <w:tab w:val="left" w:pos="0"/>
        </w:tabs>
        <w:ind w:left="0"/>
        <w:contextualSpacing w:val="0"/>
        <w:rPr>
          <w:rFonts w:cs="Tahoma"/>
        </w:rPr>
      </w:pPr>
      <w:r w:rsidRPr="00D12FCF">
        <w:rPr>
          <w:rFonts w:cs="Tahoma"/>
        </w:rPr>
        <w:t>El</w:t>
      </w:r>
      <w:r w:rsidR="00664420" w:rsidRPr="00D12FCF">
        <w:rPr>
          <w:rFonts w:cs="Tahoma"/>
        </w:rPr>
        <w:t xml:space="preserve"> </w:t>
      </w:r>
      <w:r w:rsidR="00420BD4" w:rsidRPr="00D12FCF">
        <w:rPr>
          <w:rFonts w:cs="Tahoma"/>
          <w:b/>
          <w:bCs/>
        </w:rPr>
        <w:t>dos</w:t>
      </w:r>
      <w:r w:rsidR="00664420" w:rsidRPr="00D12FCF">
        <w:rPr>
          <w:rFonts w:cs="Tahoma"/>
          <w:b/>
          <w:bCs/>
        </w:rPr>
        <w:t xml:space="preserve"> de </w:t>
      </w:r>
      <w:r w:rsidR="00420BD4" w:rsidRPr="00D12FCF">
        <w:rPr>
          <w:rFonts w:cs="Tahoma"/>
          <w:b/>
          <w:bCs/>
        </w:rPr>
        <w:t xml:space="preserve">abril </w:t>
      </w:r>
      <w:r w:rsidR="00664420" w:rsidRPr="00D12FCF">
        <w:rPr>
          <w:rFonts w:cs="Tahoma"/>
          <w:b/>
          <w:bCs/>
        </w:rPr>
        <w:t xml:space="preserve">de dos mil </w:t>
      </w:r>
      <w:r w:rsidR="00FE368B" w:rsidRPr="00D12FCF">
        <w:rPr>
          <w:rFonts w:cs="Tahoma"/>
          <w:b/>
          <w:bCs/>
        </w:rPr>
        <w:t>veinticinco</w:t>
      </w:r>
      <w:r w:rsidR="00664420" w:rsidRPr="00D12FCF">
        <w:rPr>
          <w:rFonts w:cs="Tahoma"/>
        </w:rPr>
        <w:t xml:space="preserve">, </w:t>
      </w:r>
      <w:r w:rsidRPr="00D12FCF">
        <w:rPr>
          <w:b/>
          <w:bCs/>
        </w:rPr>
        <w:t>LA PARTE RECURRENTE</w:t>
      </w:r>
      <w:r w:rsidR="00664420" w:rsidRPr="00D12FCF">
        <w:rPr>
          <w:rFonts w:cs="Tahoma"/>
        </w:rPr>
        <w:t xml:space="preserve"> presentó una</w:t>
      </w:r>
      <w:r w:rsidR="00420BD4" w:rsidRPr="00D12FCF">
        <w:rPr>
          <w:rFonts w:cs="Tahoma"/>
        </w:rPr>
        <w:t>s</w:t>
      </w:r>
      <w:r w:rsidR="00664420" w:rsidRPr="00D12FCF">
        <w:rPr>
          <w:rFonts w:cs="Tahoma"/>
        </w:rPr>
        <w:t xml:space="preserve"> solicitud</w:t>
      </w:r>
      <w:r w:rsidR="00420BD4" w:rsidRPr="00D12FCF">
        <w:rPr>
          <w:rFonts w:cs="Tahoma"/>
        </w:rPr>
        <w:t>es</w:t>
      </w:r>
      <w:r w:rsidR="00664420" w:rsidRPr="00D12FCF">
        <w:rPr>
          <w:rFonts w:cs="Tahoma"/>
        </w:rPr>
        <w:t xml:space="preserve"> de acceso a la información pública </w:t>
      </w:r>
      <w:r w:rsidR="001F3515" w:rsidRPr="00D12FCF">
        <w:rPr>
          <w:rFonts w:cs="Tahoma"/>
        </w:rPr>
        <w:t xml:space="preserve">ante el </w:t>
      </w:r>
      <w:r w:rsidR="001F3515" w:rsidRPr="00D12FCF">
        <w:rPr>
          <w:rFonts w:cs="Tahoma"/>
          <w:b/>
          <w:bCs/>
        </w:rPr>
        <w:t>SUJETO OBLIGADO</w:t>
      </w:r>
      <w:r w:rsidR="001F3515" w:rsidRPr="00D12FCF">
        <w:rPr>
          <w:rFonts w:cs="Tahoma"/>
        </w:rPr>
        <w:t xml:space="preserve">, </w:t>
      </w:r>
      <w:r w:rsidR="00664420" w:rsidRPr="00D12FCF">
        <w:rPr>
          <w:rFonts w:cs="Tahoma"/>
        </w:rPr>
        <w:t xml:space="preserve">a través del </w:t>
      </w:r>
      <w:r w:rsidRPr="00D12FCF">
        <w:rPr>
          <w:rFonts w:cs="Tahoma"/>
        </w:rPr>
        <w:t>Sistema de Acceso a la Información Mexiquense</w:t>
      </w:r>
      <w:r w:rsidR="009A2D78" w:rsidRPr="00D12FCF">
        <w:rPr>
          <w:rFonts w:cs="Tahoma"/>
        </w:rPr>
        <w:t xml:space="preserve"> (</w:t>
      </w:r>
      <w:r w:rsidRPr="00D12FCF">
        <w:rPr>
          <w:rFonts w:cs="Tahoma"/>
        </w:rPr>
        <w:t>SAIMEX</w:t>
      </w:r>
      <w:r w:rsidR="009A2D78" w:rsidRPr="00D12FCF">
        <w:rPr>
          <w:rFonts w:cs="Tahoma"/>
        </w:rPr>
        <w:t>). Dicha</w:t>
      </w:r>
      <w:r w:rsidR="00420BD4" w:rsidRPr="00D12FCF">
        <w:rPr>
          <w:rFonts w:cs="Tahoma"/>
        </w:rPr>
        <w:t>s</w:t>
      </w:r>
      <w:r w:rsidR="009A2D78" w:rsidRPr="00D12FCF">
        <w:rPr>
          <w:rFonts w:cs="Tahoma"/>
        </w:rPr>
        <w:t xml:space="preserve"> solicitud</w:t>
      </w:r>
      <w:r w:rsidR="00420BD4" w:rsidRPr="00D12FCF">
        <w:rPr>
          <w:rFonts w:cs="Tahoma"/>
        </w:rPr>
        <w:t>es quedaron</w:t>
      </w:r>
      <w:r w:rsidRPr="00D12FCF">
        <w:rPr>
          <w:rFonts w:cs="Tahoma"/>
        </w:rPr>
        <w:t xml:space="preserve"> registrada</w:t>
      </w:r>
      <w:r w:rsidR="00420BD4" w:rsidRPr="00D12FCF">
        <w:rPr>
          <w:rFonts w:cs="Tahoma"/>
        </w:rPr>
        <w:t>s</w:t>
      </w:r>
      <w:r w:rsidRPr="00D12FCF">
        <w:rPr>
          <w:rFonts w:cs="Tahoma"/>
        </w:rPr>
        <w:t xml:space="preserve"> c</w:t>
      </w:r>
      <w:r w:rsidR="00420BD4" w:rsidRPr="00D12FCF">
        <w:rPr>
          <w:rFonts w:cs="Tahoma"/>
        </w:rPr>
        <w:t xml:space="preserve">on </w:t>
      </w:r>
      <w:r w:rsidR="00664420" w:rsidRPr="00D12FCF">
        <w:rPr>
          <w:rFonts w:cs="Tahoma"/>
        </w:rPr>
        <w:t>l</w:t>
      </w:r>
      <w:r w:rsidR="00420BD4" w:rsidRPr="00D12FCF">
        <w:rPr>
          <w:rFonts w:cs="Tahoma"/>
        </w:rPr>
        <w:t>os</w:t>
      </w:r>
      <w:r w:rsidR="00664420" w:rsidRPr="00D12FCF">
        <w:rPr>
          <w:rFonts w:cs="Tahoma"/>
        </w:rPr>
        <w:t xml:space="preserve"> número</w:t>
      </w:r>
      <w:r w:rsidR="00420BD4" w:rsidRPr="00D12FCF">
        <w:rPr>
          <w:rFonts w:cs="Tahoma"/>
        </w:rPr>
        <w:t>s</w:t>
      </w:r>
      <w:r w:rsidR="00664420" w:rsidRPr="00D12FCF">
        <w:rPr>
          <w:rFonts w:cs="Tahoma"/>
        </w:rPr>
        <w:t xml:space="preserve"> de folio</w:t>
      </w:r>
      <w:r w:rsidR="00664420" w:rsidRPr="00D12FCF">
        <w:rPr>
          <w:rFonts w:cs="Tahoma"/>
          <w:b/>
          <w:bCs/>
        </w:rPr>
        <w:t xml:space="preserve"> </w:t>
      </w:r>
      <w:r w:rsidR="00420BD4" w:rsidRPr="00D12FCF">
        <w:rPr>
          <w:rFonts w:cs="Tahoma"/>
          <w:b/>
          <w:bCs/>
        </w:rPr>
        <w:t>0002</w:t>
      </w:r>
      <w:r w:rsidR="006C2765" w:rsidRPr="00D12FCF">
        <w:rPr>
          <w:rFonts w:cs="Tahoma"/>
          <w:b/>
          <w:bCs/>
        </w:rPr>
        <w:t>4</w:t>
      </w:r>
      <w:r w:rsidR="00420BD4" w:rsidRPr="00D12FCF">
        <w:rPr>
          <w:rFonts w:cs="Tahoma"/>
          <w:b/>
          <w:bCs/>
        </w:rPr>
        <w:t xml:space="preserve">/IXTAORO/IP/2025 y 00022/IXTAORO/IP/2025 </w:t>
      </w:r>
      <w:r w:rsidR="002A3601" w:rsidRPr="00D12FCF">
        <w:rPr>
          <w:rFonts w:cs="Tahoma"/>
        </w:rPr>
        <w:t xml:space="preserve">y en ella </w:t>
      </w:r>
      <w:r w:rsidR="009A2D78" w:rsidRPr="00D12FCF">
        <w:rPr>
          <w:rFonts w:cs="Tahoma"/>
        </w:rPr>
        <w:t>se requirió la siguiente información:</w:t>
      </w:r>
    </w:p>
    <w:p w14:paraId="5BF22979" w14:textId="26FEE2F9" w:rsidR="00420BD4" w:rsidRPr="00D12FCF" w:rsidRDefault="00420BD4" w:rsidP="00D12FCF">
      <w:pPr>
        <w:pStyle w:val="Prrafodelista"/>
        <w:tabs>
          <w:tab w:val="left" w:pos="0"/>
        </w:tabs>
        <w:ind w:left="0"/>
        <w:contextualSpacing w:val="0"/>
        <w:rPr>
          <w:rFonts w:cs="Tahoma"/>
        </w:rPr>
      </w:pPr>
    </w:p>
    <w:p w14:paraId="1B564247" w14:textId="144202C8" w:rsidR="00D12FCF" w:rsidRPr="00D12FCF" w:rsidRDefault="00D12FCF" w:rsidP="00D12FCF">
      <w:pPr>
        <w:pStyle w:val="Prrafodelista"/>
        <w:tabs>
          <w:tab w:val="left" w:pos="0"/>
        </w:tabs>
        <w:ind w:left="0"/>
        <w:contextualSpacing w:val="0"/>
        <w:rPr>
          <w:rFonts w:cs="Tahoma"/>
        </w:rPr>
      </w:pPr>
    </w:p>
    <w:p w14:paraId="43717EB5" w14:textId="77777777" w:rsidR="00D12FCF" w:rsidRPr="00D12FCF" w:rsidRDefault="00D12FCF" w:rsidP="00D12FCF">
      <w:pPr>
        <w:pStyle w:val="Prrafodelista"/>
        <w:tabs>
          <w:tab w:val="left" w:pos="0"/>
        </w:tabs>
        <w:ind w:left="0"/>
        <w:contextualSpacing w:val="0"/>
        <w:rPr>
          <w:rFonts w:cs="Tahoma"/>
        </w:rPr>
      </w:pPr>
    </w:p>
    <w:p w14:paraId="742DF908" w14:textId="38382B67" w:rsidR="00420BD4" w:rsidRPr="00D12FCF" w:rsidRDefault="00420BD4" w:rsidP="00D12FCF">
      <w:pPr>
        <w:pStyle w:val="Prrafodelista"/>
        <w:tabs>
          <w:tab w:val="left" w:pos="0"/>
        </w:tabs>
        <w:ind w:left="0"/>
        <w:contextualSpacing w:val="0"/>
        <w:rPr>
          <w:rFonts w:cs="Tahoma"/>
        </w:rPr>
      </w:pPr>
      <w:r w:rsidRPr="00D12FCF">
        <w:rPr>
          <w:rFonts w:cs="Tahoma"/>
          <w:b/>
          <w:bCs/>
        </w:rPr>
        <w:lastRenderedPageBreak/>
        <w:t>0002</w:t>
      </w:r>
      <w:r w:rsidR="006C2765" w:rsidRPr="00D12FCF">
        <w:rPr>
          <w:rFonts w:cs="Tahoma"/>
          <w:b/>
          <w:bCs/>
        </w:rPr>
        <w:t>4</w:t>
      </w:r>
      <w:r w:rsidRPr="00D12FCF">
        <w:rPr>
          <w:rFonts w:cs="Tahoma"/>
          <w:b/>
          <w:bCs/>
        </w:rPr>
        <w:t>/IXTAORO/IP/2025</w:t>
      </w:r>
    </w:p>
    <w:p w14:paraId="0459D6AC" w14:textId="77777777" w:rsidR="00664420" w:rsidRPr="00D12FCF" w:rsidRDefault="00664420" w:rsidP="00D12FCF">
      <w:pPr>
        <w:tabs>
          <w:tab w:val="left" w:pos="4667"/>
        </w:tabs>
        <w:ind w:left="567" w:right="567"/>
        <w:rPr>
          <w:rFonts w:cs="Tahoma"/>
          <w:b/>
          <w:bCs/>
        </w:rPr>
      </w:pPr>
    </w:p>
    <w:p w14:paraId="179FB369" w14:textId="658958B1" w:rsidR="00664420" w:rsidRPr="00D12FCF" w:rsidRDefault="006C2765" w:rsidP="00D12FCF">
      <w:pPr>
        <w:pStyle w:val="Ttulo"/>
      </w:pPr>
      <w:r w:rsidRPr="00D12FCF">
        <w:t>EN TERMINOS DEL ART. 92 FRACCION XXV A, DE LA LEY DE TRANSPARENCIA Y ACCESO A LA INFORMACION PPUBLICA DEL ESTADO DE MEXICO, PRESUPUESTO ASIGNADO A ESE SUJETO OBLIGADO</w:t>
      </w:r>
      <w:r w:rsidR="00664420" w:rsidRPr="00D12FCF">
        <w:t>.</w:t>
      </w:r>
    </w:p>
    <w:p w14:paraId="64B27DE3" w14:textId="77777777" w:rsidR="00664420" w:rsidRPr="00D12FCF" w:rsidRDefault="00664420" w:rsidP="00D12FCF">
      <w:pPr>
        <w:tabs>
          <w:tab w:val="left" w:pos="4667"/>
        </w:tabs>
        <w:ind w:left="567" w:right="567"/>
        <w:rPr>
          <w:rFonts w:cs="Tahoma"/>
          <w:bCs/>
          <w:i/>
          <w:szCs w:val="22"/>
        </w:rPr>
      </w:pPr>
    </w:p>
    <w:p w14:paraId="4F496DB2" w14:textId="113F61E6" w:rsidR="00420BD4" w:rsidRPr="00D12FCF" w:rsidRDefault="00420BD4" w:rsidP="00D12FCF">
      <w:pPr>
        <w:pStyle w:val="Prrafodelista"/>
        <w:tabs>
          <w:tab w:val="left" w:pos="0"/>
        </w:tabs>
        <w:ind w:left="0"/>
        <w:contextualSpacing w:val="0"/>
        <w:rPr>
          <w:rFonts w:cs="Tahoma"/>
        </w:rPr>
      </w:pPr>
      <w:r w:rsidRPr="00D12FCF">
        <w:rPr>
          <w:rFonts w:cs="Tahoma"/>
          <w:b/>
          <w:bCs/>
        </w:rPr>
        <w:t>00022/IXTAORO/IP/2025</w:t>
      </w:r>
    </w:p>
    <w:p w14:paraId="4F0213F7" w14:textId="77777777" w:rsidR="00420BD4" w:rsidRPr="00D12FCF" w:rsidRDefault="00420BD4" w:rsidP="00D12FCF">
      <w:pPr>
        <w:tabs>
          <w:tab w:val="left" w:pos="4667"/>
        </w:tabs>
        <w:ind w:left="567" w:right="567"/>
        <w:rPr>
          <w:rFonts w:cs="Tahoma"/>
          <w:b/>
          <w:bCs/>
        </w:rPr>
      </w:pPr>
    </w:p>
    <w:p w14:paraId="1DC4BD74" w14:textId="7E84054F" w:rsidR="00420BD4" w:rsidRPr="00D12FCF" w:rsidRDefault="00420BD4" w:rsidP="00D12FCF">
      <w:pPr>
        <w:pStyle w:val="Ttulo"/>
      </w:pPr>
      <w:r w:rsidRPr="00D12FCF">
        <w:t>EN TERMINOS DEL ART. 92 FRACCION XXXV A, DE LA LEY DE TRANSPARENCIA Y ACCESO A LA INFORMACION PPUBLICA DEL ESTADO DE MEXICO, REQUIERO EL PRESUPUESTO ASIGNADO A ESE SUJETO OBLIGADO.</w:t>
      </w:r>
    </w:p>
    <w:p w14:paraId="7AD96E23" w14:textId="77777777" w:rsidR="00420BD4" w:rsidRPr="00D12FCF" w:rsidRDefault="00420BD4" w:rsidP="00D12FCF">
      <w:pPr>
        <w:tabs>
          <w:tab w:val="left" w:pos="4667"/>
        </w:tabs>
        <w:ind w:right="567"/>
        <w:rPr>
          <w:rFonts w:cs="Tahoma"/>
          <w:b/>
          <w:bCs/>
          <w:szCs w:val="22"/>
        </w:rPr>
      </w:pPr>
    </w:p>
    <w:p w14:paraId="0BD6321D" w14:textId="56D9ABBC" w:rsidR="00664420" w:rsidRPr="00D12FCF" w:rsidRDefault="009A2D78" w:rsidP="00D12FCF">
      <w:pPr>
        <w:tabs>
          <w:tab w:val="left" w:pos="4667"/>
        </w:tabs>
        <w:ind w:left="567" w:right="567"/>
        <w:rPr>
          <w:rFonts w:cs="Tahoma"/>
          <w:bCs/>
          <w:szCs w:val="22"/>
        </w:rPr>
      </w:pPr>
      <w:r w:rsidRPr="00D12FCF">
        <w:rPr>
          <w:rFonts w:cs="Tahoma"/>
          <w:b/>
          <w:bCs/>
          <w:szCs w:val="22"/>
        </w:rPr>
        <w:t>Modalidad de entrega</w:t>
      </w:r>
      <w:r w:rsidRPr="00D12FCF">
        <w:rPr>
          <w:rFonts w:cs="Tahoma"/>
          <w:bCs/>
          <w:szCs w:val="22"/>
        </w:rPr>
        <w:t>: a</w:t>
      </w:r>
      <w:r w:rsidR="00664420" w:rsidRPr="00D12FCF">
        <w:rPr>
          <w:rFonts w:cs="Tahoma"/>
          <w:bCs/>
          <w:i/>
          <w:szCs w:val="22"/>
        </w:rPr>
        <w:t xml:space="preserve"> través del SAIMEX</w:t>
      </w:r>
      <w:r w:rsidRPr="00D12FCF">
        <w:rPr>
          <w:rFonts w:cs="Tahoma"/>
          <w:bCs/>
          <w:i/>
          <w:szCs w:val="22"/>
        </w:rPr>
        <w:t>.</w:t>
      </w:r>
    </w:p>
    <w:p w14:paraId="334D2860" w14:textId="77777777" w:rsidR="00664420" w:rsidRPr="00D12FCF" w:rsidRDefault="00664420" w:rsidP="00D12FCF">
      <w:pPr>
        <w:autoSpaceDE w:val="0"/>
        <w:autoSpaceDN w:val="0"/>
        <w:adjustRightInd w:val="0"/>
        <w:ind w:right="-28"/>
        <w:rPr>
          <w:rFonts w:cs="Tahoma"/>
          <w:bCs/>
          <w:i/>
          <w:szCs w:val="22"/>
        </w:rPr>
      </w:pPr>
    </w:p>
    <w:p w14:paraId="3212BA4D" w14:textId="7A4E3D7A" w:rsidR="00664420" w:rsidRPr="00D12FCF" w:rsidRDefault="00E37A3F" w:rsidP="00D12FCF">
      <w:pPr>
        <w:pStyle w:val="Ttulo3"/>
        <w:rPr>
          <w:rFonts w:eastAsia="Calibri"/>
          <w:lang w:eastAsia="en-US"/>
        </w:rPr>
      </w:pPr>
      <w:bookmarkStart w:id="5" w:name="_Toc201208799"/>
      <w:r w:rsidRPr="00D12FCF">
        <w:t xml:space="preserve">b) </w:t>
      </w:r>
      <w:r w:rsidR="00664420" w:rsidRPr="00D12FCF">
        <w:rPr>
          <w:lang w:val="es-ES"/>
        </w:rPr>
        <w:t>Respuesta</w:t>
      </w:r>
      <w:r w:rsidR="00420BD4" w:rsidRPr="00D12FCF">
        <w:rPr>
          <w:lang w:val="es-ES"/>
        </w:rPr>
        <w:t>s</w:t>
      </w:r>
      <w:r w:rsidR="00664420" w:rsidRPr="00D12FCF">
        <w:rPr>
          <w:lang w:val="es-ES"/>
        </w:rPr>
        <w:t xml:space="preserve"> </w:t>
      </w:r>
      <w:r w:rsidR="00664420" w:rsidRPr="00D12FCF">
        <w:rPr>
          <w:rFonts w:eastAsia="Calibri"/>
          <w:lang w:eastAsia="en-US"/>
        </w:rPr>
        <w:t>del Sujeto Obligado</w:t>
      </w:r>
      <w:bookmarkEnd w:id="5"/>
    </w:p>
    <w:p w14:paraId="79199CC1" w14:textId="4964C9AB" w:rsidR="00664420" w:rsidRPr="00D12FCF" w:rsidRDefault="00664420" w:rsidP="00D12FCF">
      <w:pPr>
        <w:pStyle w:val="Sinespaciado"/>
        <w:spacing w:line="360" w:lineRule="auto"/>
        <w:rPr>
          <w:lang w:val="es-ES"/>
        </w:rPr>
      </w:pPr>
      <w:r w:rsidRPr="00D12FCF">
        <w:rPr>
          <w:lang w:val="es-ES"/>
        </w:rPr>
        <w:t xml:space="preserve">El </w:t>
      </w:r>
      <w:r w:rsidR="00420BD4" w:rsidRPr="00D12FCF">
        <w:rPr>
          <w:b/>
          <w:bCs/>
          <w:lang w:val="es-ES"/>
        </w:rPr>
        <w:t>diez</w:t>
      </w:r>
      <w:r w:rsidRPr="00D12FCF">
        <w:rPr>
          <w:b/>
          <w:bCs/>
          <w:lang w:val="es-ES"/>
        </w:rPr>
        <w:t xml:space="preserve"> de </w:t>
      </w:r>
      <w:r w:rsidR="00420BD4" w:rsidRPr="00D12FCF">
        <w:rPr>
          <w:b/>
          <w:bCs/>
          <w:lang w:val="es-ES"/>
        </w:rPr>
        <w:t xml:space="preserve">abril </w:t>
      </w:r>
      <w:r w:rsidRPr="00D12FCF">
        <w:rPr>
          <w:b/>
          <w:bCs/>
          <w:lang w:val="es-ES"/>
        </w:rPr>
        <w:t xml:space="preserve">de dos mil </w:t>
      </w:r>
      <w:r w:rsidR="00FE368B" w:rsidRPr="00D12FCF">
        <w:rPr>
          <w:b/>
          <w:bCs/>
          <w:lang w:val="es-ES"/>
        </w:rPr>
        <w:t>veinticinco</w:t>
      </w:r>
      <w:r w:rsidRPr="00D12FCF">
        <w:rPr>
          <w:lang w:val="es-ES"/>
        </w:rPr>
        <w:t xml:space="preserve">, </w:t>
      </w:r>
      <w:r w:rsidR="00F07EE6" w:rsidRPr="00D12FCF">
        <w:rPr>
          <w:lang w:val="es-ES"/>
        </w:rPr>
        <w:t xml:space="preserve">el Titular de la Unidad de Transparencia del </w:t>
      </w:r>
      <w:r w:rsidR="00F07EE6" w:rsidRPr="00D12FCF">
        <w:rPr>
          <w:b/>
          <w:lang w:val="es-ES"/>
        </w:rPr>
        <w:t>SUJETO OBLIGADO</w:t>
      </w:r>
      <w:r w:rsidR="00F07EE6" w:rsidRPr="00D12FCF">
        <w:rPr>
          <w:lang w:val="es-ES"/>
        </w:rPr>
        <w:t xml:space="preserve"> notificó la</w:t>
      </w:r>
      <w:r w:rsidR="00420BD4" w:rsidRPr="00D12FCF">
        <w:rPr>
          <w:lang w:val="es-ES"/>
        </w:rPr>
        <w:t>s</w:t>
      </w:r>
      <w:r w:rsidR="00F07EE6" w:rsidRPr="00D12FCF">
        <w:rPr>
          <w:lang w:val="es-ES"/>
        </w:rPr>
        <w:t xml:space="preserve"> siguiente</w:t>
      </w:r>
      <w:r w:rsidR="00420BD4" w:rsidRPr="00D12FCF">
        <w:rPr>
          <w:lang w:val="es-ES"/>
        </w:rPr>
        <w:t>s</w:t>
      </w:r>
      <w:r w:rsidR="00F07EE6" w:rsidRPr="00D12FCF">
        <w:rPr>
          <w:lang w:val="es-ES"/>
        </w:rPr>
        <w:t xml:space="preserve"> respuesta</w:t>
      </w:r>
      <w:r w:rsidR="00420BD4" w:rsidRPr="00D12FCF">
        <w:rPr>
          <w:lang w:val="es-ES"/>
        </w:rPr>
        <w:t>s</w:t>
      </w:r>
      <w:r w:rsidR="00F07EE6" w:rsidRPr="00D12FCF">
        <w:rPr>
          <w:lang w:val="es-ES"/>
        </w:rPr>
        <w:t xml:space="preserve"> a través del </w:t>
      </w:r>
      <w:r w:rsidRPr="00D12FCF">
        <w:rPr>
          <w:lang w:val="es-ES"/>
        </w:rPr>
        <w:t>SAIMEX</w:t>
      </w:r>
      <w:r w:rsidR="00F07EE6" w:rsidRPr="00D12FCF">
        <w:rPr>
          <w:lang w:val="es-ES"/>
        </w:rPr>
        <w:t>:</w:t>
      </w:r>
    </w:p>
    <w:p w14:paraId="7732EA1B" w14:textId="77777777" w:rsidR="00420BD4" w:rsidRPr="00D12FCF" w:rsidRDefault="00420BD4" w:rsidP="00D12FCF">
      <w:pPr>
        <w:pStyle w:val="Sinespaciado"/>
        <w:spacing w:line="360" w:lineRule="auto"/>
        <w:rPr>
          <w:lang w:val="es-ES"/>
        </w:rPr>
      </w:pPr>
    </w:p>
    <w:p w14:paraId="3A88ACFF" w14:textId="186283C3" w:rsidR="00420BD4" w:rsidRPr="00D12FCF" w:rsidRDefault="00420BD4" w:rsidP="00D12FCF">
      <w:pPr>
        <w:pStyle w:val="Prrafodelista"/>
        <w:tabs>
          <w:tab w:val="left" w:pos="0"/>
        </w:tabs>
        <w:ind w:left="0"/>
        <w:contextualSpacing w:val="0"/>
        <w:rPr>
          <w:rFonts w:cs="Tahoma"/>
        </w:rPr>
      </w:pPr>
      <w:r w:rsidRPr="00D12FCF">
        <w:rPr>
          <w:rFonts w:cs="Tahoma"/>
          <w:b/>
          <w:bCs/>
        </w:rPr>
        <w:t>0002</w:t>
      </w:r>
      <w:r w:rsidR="006C2765" w:rsidRPr="00D12FCF">
        <w:rPr>
          <w:rFonts w:cs="Tahoma"/>
          <w:b/>
          <w:bCs/>
        </w:rPr>
        <w:t>4</w:t>
      </w:r>
      <w:r w:rsidRPr="00D12FCF">
        <w:rPr>
          <w:rFonts w:cs="Tahoma"/>
          <w:b/>
          <w:bCs/>
        </w:rPr>
        <w:t>/IXTAORO/IP/2025</w:t>
      </w:r>
    </w:p>
    <w:p w14:paraId="042FE73D" w14:textId="022627D1" w:rsidR="00F07EE6" w:rsidRPr="00D12FCF" w:rsidRDefault="00420BD4" w:rsidP="00D12FCF">
      <w:pPr>
        <w:pStyle w:val="Ttulo"/>
      </w:pPr>
      <w:r w:rsidRPr="00D12FCF">
        <w:t>RESPUESTA A LA SOLICITUD 00023</w:t>
      </w:r>
      <w:r w:rsidR="00F07EE6" w:rsidRPr="00D12FCF">
        <w:t>.</w:t>
      </w:r>
    </w:p>
    <w:p w14:paraId="5D11024C" w14:textId="77777777" w:rsidR="00664420" w:rsidRPr="00D12FCF" w:rsidRDefault="00664420" w:rsidP="00D12FCF">
      <w:pPr>
        <w:autoSpaceDE w:val="0"/>
        <w:autoSpaceDN w:val="0"/>
        <w:adjustRightInd w:val="0"/>
        <w:ind w:right="-28"/>
        <w:rPr>
          <w:rFonts w:cs="Tahoma"/>
          <w:bCs/>
          <w:szCs w:val="22"/>
        </w:rPr>
      </w:pPr>
    </w:p>
    <w:p w14:paraId="70920289" w14:textId="1734249B" w:rsidR="00664420" w:rsidRPr="00D12FCF" w:rsidRDefault="00F07EE6" w:rsidP="00D12FCF">
      <w:pPr>
        <w:autoSpaceDE w:val="0"/>
        <w:autoSpaceDN w:val="0"/>
        <w:adjustRightInd w:val="0"/>
        <w:ind w:right="-28"/>
        <w:rPr>
          <w:rFonts w:cs="Tahoma"/>
          <w:bCs/>
          <w:szCs w:val="22"/>
          <w:lang w:val="es-ES"/>
        </w:rPr>
      </w:pPr>
      <w:r w:rsidRPr="00D12FCF">
        <w:rPr>
          <w:rFonts w:cs="Tahoma"/>
          <w:bCs/>
          <w:szCs w:val="22"/>
          <w:lang w:val="es-ES"/>
        </w:rPr>
        <w:t xml:space="preserve">Asimismo, </w:t>
      </w:r>
      <w:r w:rsidRPr="00D12FCF">
        <w:rPr>
          <w:rFonts w:cs="Tahoma"/>
          <w:b/>
          <w:szCs w:val="22"/>
          <w:lang w:val="es-ES"/>
        </w:rPr>
        <w:t xml:space="preserve">EL SUJETO OBLIGADO </w:t>
      </w:r>
      <w:r w:rsidRPr="00D12FCF">
        <w:rPr>
          <w:rFonts w:cs="Tahoma"/>
          <w:bCs/>
          <w:szCs w:val="22"/>
          <w:lang w:val="es-ES"/>
        </w:rPr>
        <w:t>adjuntó a su respuesta los archivos electrónicos que se describen a continuación</w:t>
      </w:r>
      <w:r w:rsidR="00664420" w:rsidRPr="00D12FCF">
        <w:rPr>
          <w:rFonts w:cs="Tahoma"/>
          <w:bCs/>
          <w:szCs w:val="22"/>
          <w:lang w:val="es-ES"/>
        </w:rPr>
        <w:t>:</w:t>
      </w:r>
    </w:p>
    <w:p w14:paraId="2C78354F" w14:textId="77777777" w:rsidR="00664420" w:rsidRPr="00D12FCF" w:rsidRDefault="00664420" w:rsidP="00D12FCF">
      <w:pPr>
        <w:autoSpaceDE w:val="0"/>
        <w:autoSpaceDN w:val="0"/>
        <w:adjustRightInd w:val="0"/>
        <w:ind w:right="-28"/>
        <w:rPr>
          <w:rFonts w:cs="Tahoma"/>
          <w:bCs/>
          <w:szCs w:val="22"/>
          <w:lang w:val="es-ES"/>
        </w:rPr>
      </w:pPr>
    </w:p>
    <w:p w14:paraId="7EC091F1" w14:textId="77777777" w:rsidR="00615FCE" w:rsidRPr="00D12FCF" w:rsidRDefault="006C2765" w:rsidP="00D12FCF">
      <w:pPr>
        <w:autoSpaceDE w:val="0"/>
        <w:autoSpaceDN w:val="0"/>
        <w:adjustRightInd w:val="0"/>
        <w:ind w:right="-28"/>
        <w:rPr>
          <w:rFonts w:cs="Tahoma"/>
          <w:szCs w:val="22"/>
          <w:lang w:val="es-ES"/>
        </w:rPr>
      </w:pPr>
      <w:r w:rsidRPr="00D12FCF">
        <w:rPr>
          <w:rFonts w:cs="Tahoma"/>
          <w:b/>
          <w:szCs w:val="22"/>
          <w:lang w:val="es-ES"/>
        </w:rPr>
        <w:t>6</w:t>
      </w:r>
      <w:r w:rsidR="00420BD4" w:rsidRPr="00D12FCF">
        <w:rPr>
          <w:rFonts w:cs="Tahoma"/>
          <w:b/>
          <w:szCs w:val="22"/>
          <w:lang w:val="es-ES"/>
        </w:rPr>
        <w:t xml:space="preserve">.pdf </w:t>
      </w:r>
      <w:r w:rsidR="00420BD4" w:rsidRPr="00D12FCF">
        <w:rPr>
          <w:rFonts w:cs="Tahoma"/>
          <w:szCs w:val="22"/>
          <w:lang w:val="es-ES"/>
        </w:rPr>
        <w:t xml:space="preserve">Archivo que contiene la respuesta emitida por el Tesorero Municipal mediante el cual en lo medular informa lo siguiente </w:t>
      </w:r>
    </w:p>
    <w:p w14:paraId="25DE9C3E" w14:textId="77777777" w:rsidR="00615FCE" w:rsidRPr="00D12FCF" w:rsidRDefault="00615FCE" w:rsidP="00D12FCF">
      <w:pPr>
        <w:autoSpaceDE w:val="0"/>
        <w:autoSpaceDN w:val="0"/>
        <w:adjustRightInd w:val="0"/>
        <w:ind w:right="-28"/>
        <w:rPr>
          <w:rFonts w:cs="Tahoma"/>
          <w:szCs w:val="22"/>
          <w:lang w:val="es-ES"/>
        </w:rPr>
      </w:pPr>
    </w:p>
    <w:p w14:paraId="442C5E8A" w14:textId="3CABCCDA" w:rsidR="00420BD4" w:rsidRPr="00D12FCF" w:rsidRDefault="00420BD4" w:rsidP="00D12FCF">
      <w:pPr>
        <w:pStyle w:val="Ttulo"/>
        <w:rPr>
          <w:lang w:val="es-ES"/>
        </w:rPr>
      </w:pPr>
      <w:r w:rsidRPr="00D12FCF">
        <w:rPr>
          <w:lang w:val="es-ES"/>
        </w:rPr>
        <w:lastRenderedPageBreak/>
        <w:t>“la información solicitada y que obra en el poder de la tesorería, contiene un volumen alto de datos, de la cual requiere una serie de procedimientos de análisis y revisión para identificar que no contenga información confidencial o reservada para proceder a identificar en su caso partes y/o secciones, a fin de generar las versiones publicas correspondientes, implicando actividades de procesamiento, lo cual sobrepasa las capacidades administrativas y humanas de</w:t>
      </w:r>
      <w:r w:rsidR="0028259D" w:rsidRPr="00D12FCF">
        <w:rPr>
          <w:lang w:val="es-ES"/>
        </w:rPr>
        <w:t xml:space="preserve"> </w:t>
      </w:r>
      <w:r w:rsidRPr="00D12FCF">
        <w:rPr>
          <w:lang w:val="es-ES"/>
        </w:rPr>
        <w:t>esta tesorería municipal, resultando insuficientes</w:t>
      </w:r>
      <w:r w:rsidR="0028259D" w:rsidRPr="00D12FCF">
        <w:rPr>
          <w:lang w:val="es-ES"/>
        </w:rPr>
        <w:t xml:space="preserve"> </w:t>
      </w:r>
      <w:r w:rsidRPr="00D12FCF">
        <w:rPr>
          <w:lang w:val="es-ES"/>
        </w:rPr>
        <w:t>los plazos legales de contestación de la solicitud</w:t>
      </w:r>
      <w:r w:rsidR="0028259D" w:rsidRPr="00D12FCF">
        <w:rPr>
          <w:lang w:val="es-ES"/>
        </w:rPr>
        <w:t xml:space="preserve"> </w:t>
      </w:r>
      <w:r w:rsidRPr="00D12FCF">
        <w:rPr>
          <w:lang w:val="es-ES"/>
        </w:rPr>
        <w:t>que prevé</w:t>
      </w:r>
      <w:r w:rsidR="0028259D" w:rsidRPr="00D12FCF">
        <w:rPr>
          <w:lang w:val="es-ES"/>
        </w:rPr>
        <w:t xml:space="preserve"> </w:t>
      </w:r>
      <w:r w:rsidRPr="00D12FCF">
        <w:rPr>
          <w:lang w:val="es-ES"/>
        </w:rPr>
        <w:t xml:space="preserve"> la ley de transparencia local, para entregar lo requerido por el particular por medio de la</w:t>
      </w:r>
      <w:r w:rsidR="0028259D" w:rsidRPr="00D12FCF">
        <w:rPr>
          <w:lang w:val="es-ES"/>
        </w:rPr>
        <w:t xml:space="preserve"> </w:t>
      </w:r>
      <w:r w:rsidRPr="00D12FCF">
        <w:rPr>
          <w:lang w:val="es-ES"/>
        </w:rPr>
        <w:t>modalidad solicitada.</w:t>
      </w:r>
    </w:p>
    <w:p w14:paraId="254E69B6" w14:textId="77777777" w:rsidR="0028259D" w:rsidRPr="00D12FCF" w:rsidRDefault="0028259D" w:rsidP="00D12FCF">
      <w:pPr>
        <w:pStyle w:val="Ttulo"/>
        <w:rPr>
          <w:lang w:val="es-ES"/>
        </w:rPr>
      </w:pPr>
    </w:p>
    <w:p w14:paraId="2ED4B04A" w14:textId="11B4FC00" w:rsidR="00DE1133" w:rsidRPr="00D12FCF" w:rsidRDefault="00420BD4" w:rsidP="00D12FCF">
      <w:pPr>
        <w:pStyle w:val="Ttulo"/>
        <w:rPr>
          <w:lang w:val="es-ES"/>
        </w:rPr>
      </w:pPr>
      <w:r w:rsidRPr="00D12FCF">
        <w:rPr>
          <w:lang w:val="es-ES"/>
        </w:rPr>
        <w:t>De lo anterior, se pondrá</w:t>
      </w:r>
      <w:r w:rsidR="0028259D" w:rsidRPr="00D12FCF">
        <w:rPr>
          <w:lang w:val="es-ES"/>
        </w:rPr>
        <w:t xml:space="preserve"> </w:t>
      </w:r>
      <w:r w:rsidRPr="00D12FCF">
        <w:rPr>
          <w:lang w:val="es-ES"/>
        </w:rPr>
        <w:t>a disposición del solicitante los documentos</w:t>
      </w:r>
      <w:r w:rsidR="0028259D" w:rsidRPr="00D12FCF">
        <w:rPr>
          <w:lang w:val="es-ES"/>
        </w:rPr>
        <w:t xml:space="preserve"> </w:t>
      </w:r>
      <w:r w:rsidRPr="00D12FCF">
        <w:rPr>
          <w:lang w:val="es-ES"/>
        </w:rPr>
        <w:t xml:space="preserve"> en cita en la</w:t>
      </w:r>
      <w:r w:rsidR="0028259D" w:rsidRPr="00D12FCF">
        <w:rPr>
          <w:lang w:val="es-ES"/>
        </w:rPr>
        <w:t xml:space="preserve"> </w:t>
      </w:r>
      <w:r w:rsidRPr="00D12FCF">
        <w:rPr>
          <w:lang w:val="es-ES"/>
        </w:rPr>
        <w:t>modalidad</w:t>
      </w:r>
      <w:r w:rsidR="0028259D" w:rsidRPr="00D12FCF">
        <w:rPr>
          <w:lang w:val="es-ES"/>
        </w:rPr>
        <w:t xml:space="preserve"> </w:t>
      </w:r>
      <w:r w:rsidRPr="00D12FCF">
        <w:rPr>
          <w:lang w:val="es-ES"/>
        </w:rPr>
        <w:t xml:space="preserve"> de consulta directa (in situ), salvo la información clasificada, ello con el fin de no</w:t>
      </w:r>
      <w:r w:rsidR="0028259D" w:rsidRPr="00D12FCF">
        <w:rPr>
          <w:lang w:val="es-ES"/>
        </w:rPr>
        <w:t xml:space="preserve"> </w:t>
      </w:r>
      <w:r w:rsidRPr="00D12FCF">
        <w:rPr>
          <w:lang w:val="es-ES"/>
        </w:rPr>
        <w:t>trastocar el derecho de acceso</w:t>
      </w:r>
      <w:r w:rsidR="0028259D" w:rsidRPr="00D12FCF">
        <w:rPr>
          <w:lang w:val="es-ES"/>
        </w:rPr>
        <w:t xml:space="preserve"> </w:t>
      </w:r>
      <w:r w:rsidRPr="00D12FCF">
        <w:rPr>
          <w:lang w:val="es-ES"/>
        </w:rPr>
        <w:t xml:space="preserve"> a la información del particular</w:t>
      </w:r>
      <w:r w:rsidR="0028259D" w:rsidRPr="00D12FCF">
        <w:rPr>
          <w:lang w:val="es-ES"/>
        </w:rPr>
        <w:t xml:space="preserve"> </w:t>
      </w:r>
      <w:r w:rsidRPr="00D12FCF">
        <w:rPr>
          <w:lang w:val="es-ES"/>
        </w:rPr>
        <w:t>el cual podrá asistir</w:t>
      </w:r>
      <w:r w:rsidR="0028259D" w:rsidRPr="00D12FCF">
        <w:rPr>
          <w:lang w:val="es-ES"/>
        </w:rPr>
        <w:t xml:space="preserve"> </w:t>
      </w:r>
      <w:r w:rsidRPr="00D12FCF">
        <w:rPr>
          <w:lang w:val="es-ES"/>
        </w:rPr>
        <w:t>a las oficinas que</w:t>
      </w:r>
      <w:r w:rsidR="0028259D" w:rsidRPr="00D12FCF">
        <w:rPr>
          <w:lang w:val="es-ES"/>
        </w:rPr>
        <w:t xml:space="preserve"> </w:t>
      </w:r>
      <w:r w:rsidRPr="00D12FCF">
        <w:rPr>
          <w:lang w:val="es-ES"/>
        </w:rPr>
        <w:t>ocupa la tesorería municipal, cito en palacio municipal s/n, Ixtapan del oro, México C.P. 51070; a</w:t>
      </w:r>
      <w:r w:rsidR="0028259D" w:rsidRPr="00D12FCF">
        <w:rPr>
          <w:lang w:val="es-ES"/>
        </w:rPr>
        <w:t xml:space="preserve"> </w:t>
      </w:r>
      <w:r w:rsidRPr="00D12FCF">
        <w:rPr>
          <w:lang w:val="es-ES"/>
        </w:rPr>
        <w:t>partir del 01 de abril del 2025, en</w:t>
      </w:r>
      <w:r w:rsidR="0028259D" w:rsidRPr="00D12FCF">
        <w:rPr>
          <w:lang w:val="es-ES"/>
        </w:rPr>
        <w:t xml:space="preserve"> </w:t>
      </w:r>
      <w:r w:rsidRPr="00D12FCF">
        <w:rPr>
          <w:lang w:val="es-ES"/>
        </w:rPr>
        <w:t>un horario de 11:00 a 13:00 horas en donde el servidor público</w:t>
      </w:r>
      <w:r w:rsidR="0028259D" w:rsidRPr="00D12FCF">
        <w:rPr>
          <w:lang w:val="es-ES"/>
        </w:rPr>
        <w:t xml:space="preserve"> </w:t>
      </w:r>
      <w:r w:rsidRPr="00D12FCF">
        <w:rPr>
          <w:lang w:val="es-ES"/>
        </w:rPr>
        <w:t>Cesar Mauro Antonio, auxiliar de la tesorería municipal, quien será la encargada de</w:t>
      </w:r>
      <w:r w:rsidR="0028259D" w:rsidRPr="00D12FCF">
        <w:rPr>
          <w:lang w:val="es-ES"/>
        </w:rPr>
        <w:t xml:space="preserve"> atenderle.</w:t>
      </w:r>
    </w:p>
    <w:p w14:paraId="18890BFD" w14:textId="77777777" w:rsidR="00DE1133" w:rsidRPr="00D12FCF" w:rsidRDefault="00DE1133" w:rsidP="00D12FCF">
      <w:pPr>
        <w:autoSpaceDE w:val="0"/>
        <w:autoSpaceDN w:val="0"/>
        <w:adjustRightInd w:val="0"/>
        <w:ind w:right="-28"/>
        <w:rPr>
          <w:rFonts w:cs="Tahoma"/>
          <w:bCs/>
          <w:szCs w:val="22"/>
          <w:lang w:val="es-ES"/>
        </w:rPr>
      </w:pPr>
    </w:p>
    <w:p w14:paraId="5C2EA913" w14:textId="78C44487" w:rsidR="0028259D" w:rsidRPr="00D12FCF" w:rsidRDefault="0028259D" w:rsidP="00D12FCF">
      <w:pPr>
        <w:pStyle w:val="Prrafodelista"/>
        <w:tabs>
          <w:tab w:val="left" w:pos="0"/>
        </w:tabs>
        <w:ind w:left="0"/>
        <w:contextualSpacing w:val="0"/>
        <w:rPr>
          <w:rFonts w:cs="Tahoma"/>
        </w:rPr>
      </w:pPr>
      <w:r w:rsidRPr="00D12FCF">
        <w:rPr>
          <w:rFonts w:cs="Tahoma"/>
          <w:bCs/>
          <w:szCs w:val="22"/>
          <w:lang w:val="es-ES"/>
        </w:rPr>
        <w:t xml:space="preserve">Cabe precisar que por lo que hace a la solicitud </w:t>
      </w:r>
      <w:r w:rsidRPr="00D12FCF">
        <w:rPr>
          <w:rFonts w:cs="Tahoma"/>
          <w:b/>
          <w:bCs/>
        </w:rPr>
        <w:t xml:space="preserve">00023/IXTAORO/IP/2025 </w:t>
      </w:r>
      <w:r w:rsidRPr="00D12FCF">
        <w:rPr>
          <w:rFonts w:cs="Tahoma"/>
          <w:bCs/>
        </w:rPr>
        <w:t>se respondió en los mismos términos.</w:t>
      </w:r>
    </w:p>
    <w:p w14:paraId="52460699" w14:textId="77777777" w:rsidR="00664420" w:rsidRPr="00D12FCF" w:rsidRDefault="00664420" w:rsidP="00D12FCF">
      <w:pPr>
        <w:autoSpaceDE w:val="0"/>
        <w:autoSpaceDN w:val="0"/>
        <w:adjustRightInd w:val="0"/>
        <w:ind w:right="-28"/>
        <w:rPr>
          <w:rFonts w:cs="Tahoma"/>
          <w:bCs/>
          <w:szCs w:val="22"/>
          <w:lang w:val="es-ES"/>
        </w:rPr>
      </w:pPr>
    </w:p>
    <w:p w14:paraId="5A5DAB9E" w14:textId="466C3EFC" w:rsidR="00E37A3F" w:rsidRPr="00D12FCF" w:rsidRDefault="00E37A3F" w:rsidP="00D12FCF">
      <w:pPr>
        <w:pStyle w:val="Ttulo2"/>
        <w:jc w:val="left"/>
      </w:pPr>
      <w:bookmarkStart w:id="6" w:name="_Toc201208800"/>
      <w:r w:rsidRPr="00D12FCF">
        <w:t>DE</w:t>
      </w:r>
      <w:r w:rsidR="0028259D" w:rsidRPr="00D12FCF">
        <w:t xml:space="preserve"> </w:t>
      </w:r>
      <w:r w:rsidRPr="00D12FCF">
        <w:t>L</w:t>
      </w:r>
      <w:r w:rsidR="0028259D" w:rsidRPr="00D12FCF">
        <w:t>OS</w:t>
      </w:r>
      <w:r w:rsidRPr="00D12FCF">
        <w:t xml:space="preserve"> RECURSO</w:t>
      </w:r>
      <w:r w:rsidR="0028259D" w:rsidRPr="00D12FCF">
        <w:t>S</w:t>
      </w:r>
      <w:r w:rsidRPr="00D12FCF">
        <w:t xml:space="preserve"> DE REVISIÓN</w:t>
      </w:r>
      <w:bookmarkEnd w:id="6"/>
    </w:p>
    <w:p w14:paraId="0B17CD08" w14:textId="77777777" w:rsidR="00664420" w:rsidRPr="00D12FCF" w:rsidRDefault="00664420" w:rsidP="00D12FCF">
      <w:pPr>
        <w:autoSpaceDE w:val="0"/>
        <w:autoSpaceDN w:val="0"/>
        <w:adjustRightInd w:val="0"/>
        <w:ind w:right="-28"/>
        <w:rPr>
          <w:rFonts w:cs="Tahoma"/>
          <w:bCs/>
          <w:szCs w:val="22"/>
          <w:lang w:val="es-ES"/>
        </w:rPr>
      </w:pPr>
    </w:p>
    <w:p w14:paraId="2B216813" w14:textId="4AFB3FC7" w:rsidR="00664420" w:rsidRPr="00D12FCF" w:rsidRDefault="006E25BC" w:rsidP="00D12FCF">
      <w:pPr>
        <w:pStyle w:val="Ttulo3"/>
      </w:pPr>
      <w:bookmarkStart w:id="7" w:name="_Toc201208801"/>
      <w:r w:rsidRPr="00D12FCF">
        <w:rPr>
          <w:szCs w:val="32"/>
        </w:rPr>
        <w:t>a)</w:t>
      </w:r>
      <w:r w:rsidRPr="00D12FCF">
        <w:t xml:space="preserve"> </w:t>
      </w:r>
      <w:r w:rsidR="00664420" w:rsidRPr="00D12FCF">
        <w:t>Interposición de</w:t>
      </w:r>
      <w:r w:rsidR="0028259D" w:rsidRPr="00D12FCF">
        <w:t xml:space="preserve"> </w:t>
      </w:r>
      <w:r w:rsidR="00664420" w:rsidRPr="00D12FCF">
        <w:t>l</w:t>
      </w:r>
      <w:r w:rsidR="0028259D" w:rsidRPr="00D12FCF">
        <w:t>os</w:t>
      </w:r>
      <w:r w:rsidR="00664420" w:rsidRPr="00D12FCF">
        <w:t xml:space="preserve"> Recurso</w:t>
      </w:r>
      <w:r w:rsidR="0028259D" w:rsidRPr="00D12FCF">
        <w:t>s</w:t>
      </w:r>
      <w:r w:rsidR="00664420" w:rsidRPr="00D12FCF">
        <w:t xml:space="preserve"> de Revisión</w:t>
      </w:r>
      <w:bookmarkEnd w:id="7"/>
    </w:p>
    <w:p w14:paraId="6279C622" w14:textId="58D2E9A7" w:rsidR="00664420" w:rsidRPr="00D12FCF" w:rsidRDefault="00664420" w:rsidP="00D12FCF">
      <w:pPr>
        <w:autoSpaceDE w:val="0"/>
        <w:autoSpaceDN w:val="0"/>
        <w:adjustRightInd w:val="0"/>
        <w:ind w:right="-28"/>
        <w:rPr>
          <w:rFonts w:cs="Tahoma"/>
          <w:szCs w:val="22"/>
        </w:rPr>
      </w:pPr>
      <w:r w:rsidRPr="00D12FCF">
        <w:rPr>
          <w:rFonts w:cs="Tahoma"/>
          <w:szCs w:val="22"/>
        </w:rPr>
        <w:t xml:space="preserve">El </w:t>
      </w:r>
      <w:r w:rsidR="0028259D" w:rsidRPr="00D12FCF">
        <w:rPr>
          <w:rFonts w:cs="Tahoma"/>
          <w:b/>
          <w:bCs/>
          <w:szCs w:val="22"/>
        </w:rPr>
        <w:t>veinticinco</w:t>
      </w:r>
      <w:r w:rsidRPr="00D12FCF">
        <w:rPr>
          <w:rFonts w:cs="Tahoma"/>
          <w:b/>
          <w:bCs/>
          <w:szCs w:val="22"/>
        </w:rPr>
        <w:t xml:space="preserve"> de </w:t>
      </w:r>
      <w:r w:rsidR="0028259D" w:rsidRPr="00D12FCF">
        <w:rPr>
          <w:rFonts w:cs="Tahoma"/>
          <w:b/>
          <w:bCs/>
          <w:szCs w:val="22"/>
        </w:rPr>
        <w:t xml:space="preserve">abril </w:t>
      </w:r>
      <w:r w:rsidRPr="00D12FCF">
        <w:rPr>
          <w:rFonts w:cs="Tahoma"/>
          <w:b/>
          <w:bCs/>
          <w:szCs w:val="22"/>
        </w:rPr>
        <w:t xml:space="preserve">de dos mil </w:t>
      </w:r>
      <w:r w:rsidR="00FE368B" w:rsidRPr="00D12FCF">
        <w:rPr>
          <w:rFonts w:cs="Tahoma"/>
          <w:b/>
          <w:bCs/>
          <w:szCs w:val="22"/>
        </w:rPr>
        <w:t xml:space="preserve">veinticinco </w:t>
      </w:r>
      <w:r w:rsidR="00F75D23" w:rsidRPr="00D12FCF">
        <w:rPr>
          <w:rFonts w:cs="Tahoma"/>
          <w:b/>
          <w:bCs/>
          <w:szCs w:val="22"/>
        </w:rPr>
        <w:t>LA PARTE RECURRENTE</w:t>
      </w:r>
      <w:r w:rsidR="00F75D23" w:rsidRPr="00D12FCF">
        <w:rPr>
          <w:rFonts w:cs="Tahoma"/>
          <w:szCs w:val="22"/>
        </w:rPr>
        <w:t xml:space="preserve"> interpuso </w:t>
      </w:r>
      <w:r w:rsidR="0028259D" w:rsidRPr="00D12FCF">
        <w:rPr>
          <w:rFonts w:cs="Tahoma"/>
          <w:szCs w:val="22"/>
        </w:rPr>
        <w:t>los</w:t>
      </w:r>
      <w:r w:rsidR="00F75D23" w:rsidRPr="00D12FCF">
        <w:rPr>
          <w:rFonts w:cs="Tahoma"/>
          <w:szCs w:val="22"/>
        </w:rPr>
        <w:t xml:space="preserve"> recurso</w:t>
      </w:r>
      <w:r w:rsidR="0028259D" w:rsidRPr="00D12FCF">
        <w:rPr>
          <w:rFonts w:cs="Tahoma"/>
          <w:szCs w:val="22"/>
        </w:rPr>
        <w:t>s</w:t>
      </w:r>
      <w:r w:rsidR="00F75D23" w:rsidRPr="00D12FCF">
        <w:rPr>
          <w:rFonts w:cs="Tahoma"/>
          <w:szCs w:val="22"/>
        </w:rPr>
        <w:t xml:space="preserve"> de revisión en contra de la</w:t>
      </w:r>
      <w:r w:rsidR="0028259D" w:rsidRPr="00D12FCF">
        <w:rPr>
          <w:rFonts w:cs="Tahoma"/>
          <w:szCs w:val="22"/>
        </w:rPr>
        <w:t>s</w:t>
      </w:r>
      <w:r w:rsidR="00F75D23" w:rsidRPr="00D12FCF">
        <w:rPr>
          <w:rFonts w:cs="Tahoma"/>
          <w:szCs w:val="22"/>
        </w:rPr>
        <w:t xml:space="preserve"> respuesta</w:t>
      </w:r>
      <w:r w:rsidR="0028259D" w:rsidRPr="00D12FCF">
        <w:rPr>
          <w:rFonts w:cs="Tahoma"/>
          <w:szCs w:val="22"/>
        </w:rPr>
        <w:t>s</w:t>
      </w:r>
      <w:r w:rsidR="00F75D23" w:rsidRPr="00D12FCF">
        <w:rPr>
          <w:rFonts w:cs="Tahoma"/>
          <w:szCs w:val="22"/>
        </w:rPr>
        <w:t xml:space="preserve"> emitida</w:t>
      </w:r>
      <w:r w:rsidR="0028259D" w:rsidRPr="00D12FCF">
        <w:rPr>
          <w:rFonts w:cs="Tahoma"/>
          <w:szCs w:val="22"/>
        </w:rPr>
        <w:t>s</w:t>
      </w:r>
      <w:r w:rsidR="00F75D23" w:rsidRPr="00D12FCF">
        <w:rPr>
          <w:rFonts w:cs="Tahoma"/>
          <w:szCs w:val="22"/>
        </w:rPr>
        <w:t xml:space="preserve"> por el </w:t>
      </w:r>
      <w:r w:rsidR="00F75D23" w:rsidRPr="00D12FCF">
        <w:rPr>
          <w:rFonts w:cs="Tahoma"/>
          <w:b/>
          <w:bCs/>
          <w:szCs w:val="22"/>
        </w:rPr>
        <w:t>SUJETO OBLIGADO</w:t>
      </w:r>
      <w:r w:rsidR="00953430" w:rsidRPr="00D12FCF">
        <w:rPr>
          <w:rFonts w:cs="Tahoma"/>
          <w:szCs w:val="22"/>
        </w:rPr>
        <w:t>, mismo</w:t>
      </w:r>
      <w:r w:rsidR="0028259D" w:rsidRPr="00D12FCF">
        <w:rPr>
          <w:rFonts w:cs="Tahoma"/>
          <w:szCs w:val="22"/>
        </w:rPr>
        <w:t>s</w:t>
      </w:r>
      <w:r w:rsidR="00953430" w:rsidRPr="00D12FCF">
        <w:rPr>
          <w:rFonts w:cs="Tahoma"/>
          <w:szCs w:val="22"/>
        </w:rPr>
        <w:t xml:space="preserve"> que fue</w:t>
      </w:r>
      <w:r w:rsidR="0028259D" w:rsidRPr="00D12FCF">
        <w:rPr>
          <w:rFonts w:cs="Tahoma"/>
          <w:szCs w:val="22"/>
        </w:rPr>
        <w:t>ron</w:t>
      </w:r>
      <w:r w:rsidR="00953430" w:rsidRPr="00D12FCF">
        <w:rPr>
          <w:rFonts w:cs="Tahoma"/>
          <w:szCs w:val="22"/>
        </w:rPr>
        <w:t xml:space="preserve"> registrado</w:t>
      </w:r>
      <w:r w:rsidR="0028259D" w:rsidRPr="00D12FCF">
        <w:rPr>
          <w:rFonts w:cs="Tahoma"/>
          <w:szCs w:val="22"/>
        </w:rPr>
        <w:t>s</w:t>
      </w:r>
      <w:r w:rsidR="00953430" w:rsidRPr="00D12FCF">
        <w:rPr>
          <w:rFonts w:cs="Tahoma"/>
          <w:szCs w:val="22"/>
        </w:rPr>
        <w:t xml:space="preserve"> en el SAIMEX con l</w:t>
      </w:r>
      <w:r w:rsidR="0028259D" w:rsidRPr="00D12FCF">
        <w:rPr>
          <w:rFonts w:cs="Tahoma"/>
          <w:szCs w:val="22"/>
        </w:rPr>
        <w:t>os</w:t>
      </w:r>
      <w:r w:rsidR="00953430" w:rsidRPr="00D12FCF">
        <w:rPr>
          <w:rFonts w:cs="Tahoma"/>
          <w:szCs w:val="22"/>
        </w:rPr>
        <w:t xml:space="preserve"> número</w:t>
      </w:r>
      <w:r w:rsidR="0028259D" w:rsidRPr="00D12FCF">
        <w:rPr>
          <w:rFonts w:cs="Tahoma"/>
          <w:szCs w:val="22"/>
        </w:rPr>
        <w:t>s</w:t>
      </w:r>
      <w:r w:rsidR="00953430" w:rsidRPr="00D12FCF">
        <w:rPr>
          <w:rFonts w:cs="Tahoma"/>
          <w:szCs w:val="22"/>
        </w:rPr>
        <w:t xml:space="preserve"> de expediente </w:t>
      </w:r>
      <w:r w:rsidR="0028259D" w:rsidRPr="00D12FCF">
        <w:rPr>
          <w:rFonts w:cs="Tahoma"/>
          <w:b/>
          <w:bCs/>
          <w:szCs w:val="22"/>
        </w:rPr>
        <w:t>04792/INFOEM/IP/RR/2025 y 04794/INFOEM/IP/RR/2025</w:t>
      </w:r>
      <w:r w:rsidR="00953430" w:rsidRPr="00D12FCF">
        <w:rPr>
          <w:rFonts w:cs="Tahoma"/>
          <w:szCs w:val="22"/>
        </w:rPr>
        <w:t xml:space="preserve">, y en </w:t>
      </w:r>
      <w:r w:rsidR="0028259D" w:rsidRPr="00D12FCF">
        <w:rPr>
          <w:rFonts w:cs="Tahoma"/>
          <w:szCs w:val="22"/>
        </w:rPr>
        <w:t>los</w:t>
      </w:r>
      <w:r w:rsidR="00953430" w:rsidRPr="00D12FCF">
        <w:rPr>
          <w:rFonts w:cs="Tahoma"/>
          <w:szCs w:val="22"/>
        </w:rPr>
        <w:t xml:space="preserve"> cual</w:t>
      </w:r>
      <w:r w:rsidR="0028259D" w:rsidRPr="00D12FCF">
        <w:rPr>
          <w:rFonts w:cs="Tahoma"/>
          <w:szCs w:val="22"/>
        </w:rPr>
        <w:t>es</w:t>
      </w:r>
      <w:r w:rsidR="00953430" w:rsidRPr="00D12FCF">
        <w:rPr>
          <w:rFonts w:cs="Tahoma"/>
          <w:szCs w:val="22"/>
        </w:rPr>
        <w:t xml:space="preserve"> manifiesta lo siguiente</w:t>
      </w:r>
      <w:r w:rsidRPr="00D12FCF">
        <w:rPr>
          <w:rFonts w:cs="Tahoma"/>
          <w:szCs w:val="22"/>
        </w:rPr>
        <w:t>:</w:t>
      </w:r>
    </w:p>
    <w:p w14:paraId="74B30008" w14:textId="2F1F197E" w:rsidR="00664420" w:rsidRPr="00D12FCF" w:rsidRDefault="00664420" w:rsidP="00D12FCF">
      <w:pPr>
        <w:tabs>
          <w:tab w:val="left" w:pos="4667"/>
        </w:tabs>
        <w:ind w:right="539"/>
        <w:rPr>
          <w:rFonts w:cs="Tahoma"/>
          <w:szCs w:val="22"/>
        </w:rPr>
      </w:pPr>
    </w:p>
    <w:p w14:paraId="5721D555" w14:textId="77777777" w:rsidR="00D12FCF" w:rsidRPr="00D12FCF" w:rsidRDefault="00D12FCF" w:rsidP="00D12FCF">
      <w:pPr>
        <w:tabs>
          <w:tab w:val="left" w:pos="4667"/>
        </w:tabs>
        <w:ind w:right="539"/>
        <w:rPr>
          <w:rFonts w:cs="Tahoma"/>
          <w:szCs w:val="22"/>
        </w:rPr>
      </w:pPr>
    </w:p>
    <w:p w14:paraId="67C1EF7D" w14:textId="160D743E" w:rsidR="0028259D" w:rsidRPr="00D12FCF" w:rsidRDefault="0028259D" w:rsidP="00D12FCF">
      <w:pPr>
        <w:tabs>
          <w:tab w:val="left" w:pos="4667"/>
        </w:tabs>
        <w:ind w:right="539"/>
        <w:rPr>
          <w:rFonts w:cs="Tahoma"/>
          <w:szCs w:val="22"/>
        </w:rPr>
      </w:pPr>
      <w:r w:rsidRPr="00D12FCF">
        <w:rPr>
          <w:rFonts w:cs="Tahoma"/>
          <w:b/>
          <w:bCs/>
          <w:szCs w:val="22"/>
        </w:rPr>
        <w:lastRenderedPageBreak/>
        <w:t>04792/INFOEM/IP/RR/2025</w:t>
      </w:r>
    </w:p>
    <w:p w14:paraId="12153283" w14:textId="77777777" w:rsidR="00664420" w:rsidRPr="00D12FCF" w:rsidRDefault="00664420" w:rsidP="00D12FCF">
      <w:pPr>
        <w:tabs>
          <w:tab w:val="left" w:pos="4667"/>
        </w:tabs>
        <w:ind w:left="567" w:right="539"/>
        <w:rPr>
          <w:rFonts w:cs="Tahoma"/>
          <w:b/>
          <w:iCs/>
        </w:rPr>
      </w:pPr>
      <w:r w:rsidRPr="00D12FCF">
        <w:rPr>
          <w:rFonts w:cs="Tahoma"/>
          <w:b/>
          <w:iCs/>
        </w:rPr>
        <w:t>ACTO IMPUGNADO</w:t>
      </w:r>
      <w:r w:rsidRPr="00D12FCF">
        <w:rPr>
          <w:rFonts w:cs="Tahoma"/>
          <w:b/>
          <w:iCs/>
        </w:rPr>
        <w:tab/>
      </w:r>
    </w:p>
    <w:p w14:paraId="523F8BF4" w14:textId="0025B200" w:rsidR="00664420" w:rsidRPr="00D12FCF" w:rsidRDefault="0028259D" w:rsidP="00D12FCF">
      <w:pPr>
        <w:pStyle w:val="Ttulo"/>
      </w:pPr>
      <w:r w:rsidRPr="00D12FCF">
        <w:t>RESPUESTA DEL SUJETO OBLIGADO A LA SOLICITUD DE INFORMACION 0023/IXTAORO/IP/2025</w:t>
      </w:r>
      <w:r w:rsidR="00664420" w:rsidRPr="00D12FCF">
        <w:t>.</w:t>
      </w:r>
    </w:p>
    <w:p w14:paraId="6AE8EA9A" w14:textId="77777777" w:rsidR="00664420" w:rsidRPr="00D12FCF" w:rsidRDefault="00664420" w:rsidP="00D12FCF">
      <w:pPr>
        <w:tabs>
          <w:tab w:val="left" w:pos="4667"/>
        </w:tabs>
        <w:ind w:left="567" w:right="539"/>
        <w:rPr>
          <w:rFonts w:cs="Tahoma"/>
          <w:bCs/>
          <w:i/>
        </w:rPr>
      </w:pPr>
    </w:p>
    <w:p w14:paraId="047D036B" w14:textId="77777777" w:rsidR="00664420" w:rsidRPr="00D12FCF" w:rsidRDefault="00664420" w:rsidP="00D12FCF">
      <w:pPr>
        <w:tabs>
          <w:tab w:val="left" w:pos="4667"/>
        </w:tabs>
        <w:ind w:left="567" w:right="539"/>
        <w:rPr>
          <w:rFonts w:cs="Tahoma"/>
          <w:b/>
          <w:iCs/>
        </w:rPr>
      </w:pPr>
      <w:r w:rsidRPr="00D12FCF">
        <w:rPr>
          <w:rFonts w:cs="Tahoma"/>
          <w:b/>
          <w:iCs/>
        </w:rPr>
        <w:t>RAZONES O MOTIVOS DE LA INCONFORMIDAD</w:t>
      </w:r>
      <w:r w:rsidRPr="00D12FCF">
        <w:rPr>
          <w:rFonts w:cs="Tahoma"/>
          <w:b/>
          <w:iCs/>
        </w:rPr>
        <w:tab/>
      </w:r>
    </w:p>
    <w:p w14:paraId="1DAE2563" w14:textId="194CF870" w:rsidR="00953430" w:rsidRPr="00D12FCF" w:rsidRDefault="006C2765" w:rsidP="00D12FCF">
      <w:pPr>
        <w:pStyle w:val="Ttulo"/>
      </w:pPr>
      <w:r w:rsidRPr="00D12FCF">
        <w:t xml:space="preserve">La respuesta emitida es violatoria de los principios de máxima publicidad, rendición de cuentas y transparencia, así como de las obligaciones de transparencia y publicación proactiva previstas en la legislación aplicable, por las siguientes razones: Obligación de Publicar el Presupuesto de Egresos: Conforme al artículo 92 fracción XXV de la LTAIPEM, el presupuesto de egresos autorizado constituye una obligación de transparencia común que debe estar disponible de manera permanente en el sitio web institucional, sin necesidad de que el solicitante acuda de manera presencial. Asimismo, en términos de los artículos 56 y 58 del Capítulo IV de la Ley General de Contabilidad Gubernamental, los entes públicos están obligados a publicar su Presupuesto de Egresos en formatos accesibles, homogéneos y oportunos, garantizando su disponibilidad en medios electrónicos de fácil acceso para la ciudadanía. Inexistencia de Información Confidencial o Reservada en el Presupuesto: El Presupuesto de Egresos,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del presupuesto debe ser, en todo momento, información pública de oficio conforme a lo establecido también en el artículo 6 de la Ley General de Contabilidad Gubernamental. Trasgresión al Principio de Máxima Publicidad: La negativa a proporcionar la información de manera directa y electrónica vulnera el principio de máxima publicidad, reconocido en el artículo 8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así como en los Capítulos IV y V de la Ley General de Contabilidad </w:t>
      </w:r>
      <w:r w:rsidRPr="00D12FCF">
        <w:lastRenderedPageBreak/>
        <w:t xml:space="preserve">Gubernamental, en relación con el artículo 6º de la Constitución Política de los Estados Unidos Mexicanos. Por lo anteriormente expuesto, respetuosamente solicito a este Órgano Garante: Se ordene al Ayuntamiento de Ixtapan del Oro que entregue de manera electrónica el Presupuesto de Egresos autorizado del ejercicio fiscal 2025,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oficiosas incluya la </w:t>
      </w:r>
      <w:proofErr w:type="spellStart"/>
      <w:r w:rsidRPr="00D12FCF">
        <w:t>pagina</w:t>
      </w:r>
      <w:proofErr w:type="spellEnd"/>
      <w:r w:rsidRPr="00D12FCF">
        <w:t xml:space="preserve"> web del Ayuntamiento de Ixtapan del Oro y verifique su cumplimiento y al Órgano Superior de Fiscalización para que en el ámbito de su competencia verifique el cumplimiento de la Ley General de Contabilidad Gubernamental de este Ayuntamiento</w:t>
      </w:r>
      <w:r w:rsidR="00953430" w:rsidRPr="00D12FCF">
        <w:t>.</w:t>
      </w:r>
    </w:p>
    <w:p w14:paraId="7C6212F2" w14:textId="77777777" w:rsidR="0028259D" w:rsidRPr="00D12FCF" w:rsidRDefault="0028259D" w:rsidP="00D12FCF">
      <w:pPr>
        <w:tabs>
          <w:tab w:val="left" w:pos="4667"/>
        </w:tabs>
        <w:ind w:left="567" w:right="539"/>
        <w:rPr>
          <w:rFonts w:cs="Tahoma"/>
          <w:bCs/>
          <w:i/>
        </w:rPr>
      </w:pPr>
    </w:p>
    <w:p w14:paraId="2D02D91A" w14:textId="24091391" w:rsidR="0028259D" w:rsidRPr="00D12FCF" w:rsidRDefault="0028259D" w:rsidP="00D12FCF">
      <w:pPr>
        <w:tabs>
          <w:tab w:val="left" w:pos="4667"/>
        </w:tabs>
        <w:ind w:right="539"/>
        <w:rPr>
          <w:rFonts w:cs="Tahoma"/>
          <w:szCs w:val="22"/>
        </w:rPr>
      </w:pPr>
      <w:r w:rsidRPr="00D12FCF">
        <w:rPr>
          <w:rFonts w:cs="Tahoma"/>
          <w:b/>
          <w:bCs/>
          <w:szCs w:val="22"/>
        </w:rPr>
        <w:t>04794/INFOEM/IP/RR/2025</w:t>
      </w:r>
    </w:p>
    <w:p w14:paraId="614F8F30" w14:textId="77777777" w:rsidR="0028259D" w:rsidRPr="00D12FCF" w:rsidRDefault="0028259D" w:rsidP="00D12FCF">
      <w:pPr>
        <w:tabs>
          <w:tab w:val="left" w:pos="4667"/>
        </w:tabs>
        <w:ind w:left="567" w:right="539"/>
        <w:rPr>
          <w:rFonts w:cs="Tahoma"/>
          <w:b/>
          <w:iCs/>
        </w:rPr>
      </w:pPr>
      <w:r w:rsidRPr="00D12FCF">
        <w:rPr>
          <w:rFonts w:cs="Tahoma"/>
          <w:b/>
          <w:iCs/>
        </w:rPr>
        <w:t>ACTO IMPUGNADO</w:t>
      </w:r>
      <w:r w:rsidRPr="00D12FCF">
        <w:rPr>
          <w:rFonts w:cs="Tahoma"/>
          <w:b/>
          <w:iCs/>
        </w:rPr>
        <w:tab/>
      </w:r>
    </w:p>
    <w:p w14:paraId="44350EFC" w14:textId="7192EBA3" w:rsidR="0028259D" w:rsidRPr="00D12FCF" w:rsidRDefault="0028259D" w:rsidP="00D12FCF">
      <w:pPr>
        <w:pStyle w:val="Ttulo"/>
      </w:pPr>
      <w:r w:rsidRPr="00D12FCF">
        <w:t>RESPUESTA DEL SUJETO OBLIGADO A LA SOLICITUD DE INFORMACION 0022/IXTAORO/IP/2025.</w:t>
      </w:r>
    </w:p>
    <w:p w14:paraId="428CBEA0" w14:textId="77777777" w:rsidR="0028259D" w:rsidRPr="00D12FCF" w:rsidRDefault="0028259D" w:rsidP="00D12FCF">
      <w:pPr>
        <w:tabs>
          <w:tab w:val="left" w:pos="4667"/>
        </w:tabs>
        <w:ind w:left="567" w:right="539"/>
        <w:rPr>
          <w:rFonts w:cs="Tahoma"/>
          <w:bCs/>
          <w:i/>
        </w:rPr>
      </w:pPr>
    </w:p>
    <w:p w14:paraId="2C79DB3D" w14:textId="77777777" w:rsidR="0028259D" w:rsidRPr="00D12FCF" w:rsidRDefault="0028259D" w:rsidP="00D12FCF">
      <w:pPr>
        <w:tabs>
          <w:tab w:val="left" w:pos="4667"/>
        </w:tabs>
        <w:ind w:left="567" w:right="539"/>
        <w:rPr>
          <w:rFonts w:cs="Tahoma"/>
          <w:b/>
          <w:iCs/>
        </w:rPr>
      </w:pPr>
      <w:r w:rsidRPr="00D12FCF">
        <w:rPr>
          <w:rFonts w:cs="Tahoma"/>
          <w:b/>
          <w:iCs/>
        </w:rPr>
        <w:t>RAZONES O MOTIVOS DE LA INCONFORMIDAD</w:t>
      </w:r>
      <w:r w:rsidRPr="00D12FCF">
        <w:rPr>
          <w:rFonts w:cs="Tahoma"/>
          <w:b/>
          <w:iCs/>
        </w:rPr>
        <w:tab/>
      </w:r>
    </w:p>
    <w:p w14:paraId="59DC8834" w14:textId="3C87D5B8" w:rsidR="0028259D" w:rsidRPr="00D12FCF" w:rsidRDefault="006C2765" w:rsidP="00D12FCF">
      <w:pPr>
        <w:pStyle w:val="Ttulo"/>
      </w:pPr>
      <w:r w:rsidRPr="00D12FCF">
        <w:t xml:space="preserve">La respuesta emitida es violatoria de los principios de máxima publicidad, rendición de cuentas y transparencia, así como de las obligaciones de transparencia y publicación proactiva previstas en la legislación aplicable, por las siguientes razones: Obligación de Publicar el Presupuesto de Egresos: Conforme al artículo 92 de la LTAIPEM, la publicación constituye una obligación de transparencia común que debe estar disponible de manera permanente en el sitio web institucional, sin necesidad de que el solicitante acuda de manera presencial. Asimismo, en términos del Capítulo V de la Ley General de Contabilidad Gubernamental, los entes públicos están obligados a publicar su Información Financiera y presupuestal en formatos accesibles, homogéneos y oportunos, garantizando su disponibilidad en medios electrónicos de fácil acceso para la ciudadanía. Inexistencia de Información Confidencial o Reservada en el Presupuesto: La información financiera y presupuestal,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w:t>
      </w:r>
      <w:r w:rsidRPr="00D12FCF">
        <w:lastRenderedPageBreak/>
        <w:t xml:space="preserve">de la autoridad sobre la necesidad de revisión para detectar información reservada carece de fundamento, dado que el contenido de la información financiera y presupuestal debe ser, en todo momento, información pública de oficio conforme a lo establecido también en el artículo 6 de la Ley General de Contabilidad Gubernamental. Trasgresión al Principio de Máxima Publicidad: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así como en los Capítulos IV y V de la Ley General de Contabilidad Gubernamental, en relación con el artículo 6º de la Constitución Política de los Estados Unidos Mexicanos. Por lo anteriormente expuesto, solicito a este Órgano Garante: Se ordene al Ayuntamiento de Ixtapan del Oro que entregue de manera electrónica </w:t>
      </w:r>
      <w:proofErr w:type="spellStart"/>
      <w:r w:rsidRPr="00D12FCF">
        <w:t>el</w:t>
      </w:r>
      <w:proofErr w:type="spellEnd"/>
      <w:r w:rsidRPr="00D12FCF">
        <w:t xml:space="preserve">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w:t>
      </w:r>
      <w:proofErr w:type="spellStart"/>
      <w:r w:rsidRPr="00D12FCF">
        <w:t>pagina</w:t>
      </w:r>
      <w:proofErr w:type="spellEnd"/>
      <w:r w:rsidRPr="00D12FCF">
        <w:t xml:space="preserve"> web del Ayuntamiento de Ixtapan del Oro y verifique su cumplimiento y al Órgano Superior de Fiscalización para que en el ámbito de su competencia verifique el cumplimiento de la Ley General de Contabilidad Gubernamental de este Ayuntamiento</w:t>
      </w:r>
      <w:r w:rsidR="0028259D" w:rsidRPr="00D12FCF">
        <w:t>.</w:t>
      </w:r>
    </w:p>
    <w:p w14:paraId="48FE75EA" w14:textId="77777777" w:rsidR="00664420" w:rsidRPr="00D12FCF" w:rsidRDefault="00664420" w:rsidP="00D12FCF">
      <w:pPr>
        <w:tabs>
          <w:tab w:val="left" w:pos="4667"/>
        </w:tabs>
        <w:ind w:right="567"/>
        <w:rPr>
          <w:rFonts w:cs="Tahoma"/>
          <w:b/>
          <w:bCs/>
        </w:rPr>
      </w:pPr>
    </w:p>
    <w:p w14:paraId="6804DEF1" w14:textId="1102742C" w:rsidR="00664420" w:rsidRPr="00D12FCF" w:rsidRDefault="006E25BC" w:rsidP="00D12FCF">
      <w:pPr>
        <w:pStyle w:val="Ttulo3"/>
      </w:pPr>
      <w:bookmarkStart w:id="8" w:name="_Toc201208802"/>
      <w:r w:rsidRPr="00D12FCF">
        <w:t>b</w:t>
      </w:r>
      <w:r w:rsidR="00664420" w:rsidRPr="00D12FCF">
        <w:t>) Turno de</w:t>
      </w:r>
      <w:r w:rsidR="006C2765" w:rsidRPr="00D12FCF">
        <w:t xml:space="preserve"> </w:t>
      </w:r>
      <w:r w:rsidR="00664420" w:rsidRPr="00D12FCF">
        <w:t>l</w:t>
      </w:r>
      <w:r w:rsidR="006C2765" w:rsidRPr="00D12FCF">
        <w:t>os</w:t>
      </w:r>
      <w:r w:rsidR="00664420" w:rsidRPr="00D12FCF">
        <w:t xml:space="preserve"> Recurso</w:t>
      </w:r>
      <w:r w:rsidR="006C2765" w:rsidRPr="00D12FCF">
        <w:t>s</w:t>
      </w:r>
      <w:r w:rsidR="00664420" w:rsidRPr="00D12FCF">
        <w:t xml:space="preserve"> de Revisión</w:t>
      </w:r>
      <w:bookmarkEnd w:id="8"/>
    </w:p>
    <w:p w14:paraId="1173671B" w14:textId="3D7298F8" w:rsidR="00C72DAA" w:rsidRPr="00D12FCF" w:rsidRDefault="00C72DAA" w:rsidP="00D12FCF">
      <w:r w:rsidRPr="00D12FCF">
        <w:t>Con fundamento en el artículo 185, fracción I de la Ley de Transparencia y Acceso a la Información Pública del Estado de México y Municipios, el</w:t>
      </w:r>
      <w:r w:rsidRPr="00D12FCF">
        <w:rPr>
          <w:b/>
          <w:bCs/>
        </w:rPr>
        <w:t xml:space="preserve"> </w:t>
      </w:r>
      <w:r w:rsidR="006C2765" w:rsidRPr="00D12FCF">
        <w:rPr>
          <w:rFonts w:cs="Tahoma"/>
          <w:b/>
          <w:bCs/>
          <w:szCs w:val="22"/>
        </w:rPr>
        <w:t xml:space="preserve">veinticinco de abril de dos mil veinticinco </w:t>
      </w:r>
      <w:r w:rsidRPr="00D12FCF">
        <w:t xml:space="preserve">se </w:t>
      </w:r>
      <w:r w:rsidR="006C2765" w:rsidRPr="00D12FCF">
        <w:t>turnaron los</w:t>
      </w:r>
      <w:r w:rsidRPr="00D12FCF">
        <w:t xml:space="preserve"> recurso</w:t>
      </w:r>
      <w:r w:rsidR="006C2765" w:rsidRPr="00D12FCF">
        <w:t>s</w:t>
      </w:r>
      <w:r w:rsidRPr="00D12FCF">
        <w:t xml:space="preserve"> de revisión a través del</w:t>
      </w:r>
      <w:r w:rsidRPr="00D12FCF">
        <w:rPr>
          <w:rFonts w:eastAsia="Arial Unicode MS"/>
        </w:rPr>
        <w:t xml:space="preserve"> </w:t>
      </w:r>
      <w:r w:rsidRPr="00D12FCF">
        <w:rPr>
          <w:rFonts w:eastAsia="Arial Unicode MS"/>
          <w:bCs/>
        </w:rPr>
        <w:t>SAIMEX</w:t>
      </w:r>
      <w:r w:rsidR="006C2765" w:rsidRPr="00D12FCF">
        <w:rPr>
          <w:rFonts w:eastAsia="Arial Unicode MS"/>
          <w:bCs/>
        </w:rPr>
        <w:t>,</w:t>
      </w:r>
      <w:r w:rsidRPr="00D12FCF">
        <w:t xml:space="preserve"> </w:t>
      </w:r>
      <w:r w:rsidR="006C2765" w:rsidRPr="00D12FCF">
        <w:t xml:space="preserve">el </w:t>
      </w:r>
      <w:r w:rsidR="006C2765" w:rsidRPr="00D12FCF">
        <w:rPr>
          <w:b/>
        </w:rPr>
        <w:t>04792/INFOEM/IP/RR/2025</w:t>
      </w:r>
      <w:r w:rsidR="006C2765" w:rsidRPr="00D12FCF">
        <w:t xml:space="preserve"> a la</w:t>
      </w:r>
      <w:r w:rsidRPr="00D12FCF">
        <w:t xml:space="preserve"> </w:t>
      </w:r>
      <w:r w:rsidRPr="00D12FCF">
        <w:rPr>
          <w:b/>
        </w:rPr>
        <w:t>Comisionada Sharon Cristina Morales Martínez</w:t>
      </w:r>
      <w:r w:rsidRPr="00D12FCF">
        <w:rPr>
          <w:bCs/>
        </w:rPr>
        <w:t>,</w:t>
      </w:r>
      <w:r w:rsidR="006C2765" w:rsidRPr="00D12FCF">
        <w:rPr>
          <w:bCs/>
        </w:rPr>
        <w:t xml:space="preserve"> y el </w:t>
      </w:r>
      <w:r w:rsidR="006C2765" w:rsidRPr="00D12FCF">
        <w:rPr>
          <w:b/>
        </w:rPr>
        <w:lastRenderedPageBreak/>
        <w:t>04794/INFOEM/IP/RR/2025</w:t>
      </w:r>
      <w:r w:rsidR="006C2765" w:rsidRPr="00D12FCF">
        <w:t xml:space="preserve"> a la </w:t>
      </w:r>
      <w:r w:rsidR="006C2765" w:rsidRPr="00D12FCF">
        <w:rPr>
          <w:b/>
        </w:rPr>
        <w:t>Comisionada</w:t>
      </w:r>
      <w:r w:rsidRPr="00D12FCF">
        <w:rPr>
          <w:bCs/>
        </w:rPr>
        <w:t xml:space="preserve"> </w:t>
      </w:r>
      <w:r w:rsidR="006C2765" w:rsidRPr="00D12FCF">
        <w:rPr>
          <w:b/>
          <w:bCs/>
        </w:rPr>
        <w:t>Guadalupe Ramírez Peña</w:t>
      </w:r>
      <w:r w:rsidR="006C2765" w:rsidRPr="00D12FCF">
        <w:rPr>
          <w:bCs/>
        </w:rPr>
        <w:t xml:space="preserve"> </w:t>
      </w:r>
      <w:r w:rsidRPr="00D12FCF">
        <w:t xml:space="preserve">a efecto de decretar su admisión o desechamiento. </w:t>
      </w:r>
    </w:p>
    <w:p w14:paraId="18F305CB" w14:textId="77777777" w:rsidR="00664420" w:rsidRPr="00D12FCF" w:rsidRDefault="00664420" w:rsidP="00D12FCF">
      <w:pPr>
        <w:rPr>
          <w:rFonts w:eastAsia="Batang" w:cs="Tahoma"/>
          <w:bCs/>
          <w:szCs w:val="22"/>
        </w:rPr>
      </w:pPr>
    </w:p>
    <w:p w14:paraId="3E31EC2D" w14:textId="40E184C1" w:rsidR="00664420" w:rsidRPr="00D12FCF" w:rsidRDefault="006E25BC" w:rsidP="00D12FCF">
      <w:pPr>
        <w:pStyle w:val="Ttulo3"/>
      </w:pPr>
      <w:bookmarkStart w:id="9" w:name="_Toc201208803"/>
      <w:r w:rsidRPr="00D12FCF">
        <w:t>c</w:t>
      </w:r>
      <w:r w:rsidR="00664420" w:rsidRPr="00D12FCF">
        <w:t>) Admisión de</w:t>
      </w:r>
      <w:r w:rsidR="006C2765" w:rsidRPr="00D12FCF">
        <w:t xml:space="preserve"> </w:t>
      </w:r>
      <w:r w:rsidR="00664420" w:rsidRPr="00D12FCF">
        <w:t>l</w:t>
      </w:r>
      <w:r w:rsidR="006C2765" w:rsidRPr="00D12FCF">
        <w:t>os</w:t>
      </w:r>
      <w:r w:rsidR="00664420" w:rsidRPr="00D12FCF">
        <w:t xml:space="preserve"> Recurso</w:t>
      </w:r>
      <w:r w:rsidR="006C2765" w:rsidRPr="00D12FCF">
        <w:t>s</w:t>
      </w:r>
      <w:r w:rsidR="00664420" w:rsidRPr="00D12FCF">
        <w:t xml:space="preserve"> de Revisión</w:t>
      </w:r>
      <w:bookmarkEnd w:id="9"/>
    </w:p>
    <w:p w14:paraId="240447D5" w14:textId="6A76C429" w:rsidR="000E09C4" w:rsidRPr="00D12FCF" w:rsidRDefault="000E09C4" w:rsidP="00D12FCF">
      <w:pPr>
        <w:rPr>
          <w:rFonts w:cs="Arial"/>
        </w:rPr>
      </w:pPr>
      <w:r w:rsidRPr="00D12FCF">
        <w:rPr>
          <w:rFonts w:cs="Arial"/>
        </w:rPr>
        <w:t xml:space="preserve">El </w:t>
      </w:r>
      <w:r w:rsidR="006C2765" w:rsidRPr="00D12FCF">
        <w:rPr>
          <w:rFonts w:eastAsia="Palatino Linotype" w:cs="Palatino Linotype"/>
          <w:b/>
        </w:rPr>
        <w:t>veintinueve y treinta</w:t>
      </w:r>
      <w:r w:rsidRPr="00D12FCF">
        <w:rPr>
          <w:rFonts w:eastAsia="Palatino Linotype" w:cs="Palatino Linotype"/>
          <w:b/>
        </w:rPr>
        <w:t xml:space="preserve"> de </w:t>
      </w:r>
      <w:r w:rsidR="006C2765" w:rsidRPr="00D12FCF">
        <w:rPr>
          <w:rFonts w:eastAsia="Palatino Linotype" w:cs="Palatino Linotype"/>
          <w:b/>
        </w:rPr>
        <w:t xml:space="preserve">abril </w:t>
      </w:r>
      <w:r w:rsidRPr="00D12FCF">
        <w:rPr>
          <w:rFonts w:eastAsia="Palatino Linotype" w:cs="Palatino Linotype"/>
          <w:b/>
        </w:rPr>
        <w:t xml:space="preserve">de dos mil </w:t>
      </w:r>
      <w:r w:rsidR="00FE368B" w:rsidRPr="00D12FCF">
        <w:rPr>
          <w:rFonts w:eastAsia="Palatino Linotype" w:cs="Palatino Linotype"/>
          <w:b/>
        </w:rPr>
        <w:t>veinticinco</w:t>
      </w:r>
      <w:r w:rsidR="006C2765" w:rsidRPr="00D12FCF">
        <w:rPr>
          <w:rFonts w:eastAsia="Palatino Linotype" w:cs="Palatino Linotype"/>
          <w:b/>
        </w:rPr>
        <w:t xml:space="preserve"> respectivamente </w:t>
      </w:r>
      <w:r w:rsidRPr="00D12FCF">
        <w:rPr>
          <w:rFonts w:cs="Arial"/>
        </w:rPr>
        <w:t>se acordó la admisión a trámite de</w:t>
      </w:r>
      <w:r w:rsidR="006C2765" w:rsidRPr="00D12FCF">
        <w:rPr>
          <w:rFonts w:cs="Arial"/>
        </w:rPr>
        <w:t xml:space="preserve"> </w:t>
      </w:r>
      <w:r w:rsidRPr="00D12FCF">
        <w:rPr>
          <w:rFonts w:cs="Arial"/>
        </w:rPr>
        <w:t>l</w:t>
      </w:r>
      <w:r w:rsidR="006C2765" w:rsidRPr="00D12FCF">
        <w:rPr>
          <w:rFonts w:cs="Arial"/>
        </w:rPr>
        <w:t>os</w:t>
      </w:r>
      <w:r w:rsidRPr="00D12FCF">
        <w:rPr>
          <w:rFonts w:cs="Arial"/>
        </w:rPr>
        <w:t xml:space="preserve"> Recurso</w:t>
      </w:r>
      <w:r w:rsidR="006C2765" w:rsidRPr="00D12FCF">
        <w:rPr>
          <w:rFonts w:cs="Arial"/>
        </w:rPr>
        <w:t>s</w:t>
      </w:r>
      <w:r w:rsidRPr="00D12FCF">
        <w:rPr>
          <w:rFonts w:cs="Arial"/>
        </w:rPr>
        <w:t xml:space="preserve"> de Revisión </w:t>
      </w:r>
      <w:r w:rsidR="006C2765" w:rsidRPr="00D12FCF">
        <w:rPr>
          <w:rFonts w:cs="Arial"/>
        </w:rPr>
        <w:t>y se integraron los</w:t>
      </w:r>
      <w:r w:rsidRPr="00D12FCF">
        <w:rPr>
          <w:rFonts w:cs="Arial"/>
        </w:rPr>
        <w:t xml:space="preserve"> expediente</w:t>
      </w:r>
      <w:r w:rsidR="00D12FCF" w:rsidRPr="00D12FCF">
        <w:rPr>
          <w:rFonts w:cs="Arial"/>
        </w:rPr>
        <w:t>s</w:t>
      </w:r>
      <w:r w:rsidRPr="00D12FCF">
        <w:rPr>
          <w:rFonts w:cs="Arial"/>
        </w:rPr>
        <w:t xml:space="preserve"> respectivo</w:t>
      </w:r>
      <w:r w:rsidR="006C2765" w:rsidRPr="00D12FCF">
        <w:rPr>
          <w:rFonts w:cs="Arial"/>
        </w:rPr>
        <w:t>s</w:t>
      </w:r>
      <w:r w:rsidRPr="00D12FCF">
        <w:rPr>
          <w:rFonts w:cs="Arial"/>
        </w:rPr>
        <w:t>, mismo</w:t>
      </w:r>
      <w:r w:rsidR="006C2765" w:rsidRPr="00D12FCF">
        <w:rPr>
          <w:rFonts w:cs="Arial"/>
        </w:rPr>
        <w:t>s que se pusieron</w:t>
      </w:r>
      <w:r w:rsidRPr="00D12FCF">
        <w:rPr>
          <w:rFonts w:cs="Arial"/>
        </w:rPr>
        <w:t xml:space="preserve"> a disposición de las partes para que, en un plazo de siete días hábiles, manifestaran lo que a su derecho conviniera, conforme a lo dispuesto por el artículo 185</w:t>
      </w:r>
      <w:r w:rsidR="00865CF4" w:rsidRPr="00D12FCF">
        <w:rPr>
          <w:rFonts w:cs="Arial"/>
        </w:rPr>
        <w:t>, fracción II</w:t>
      </w:r>
      <w:r w:rsidRPr="00D12FCF">
        <w:rPr>
          <w:rFonts w:cs="Arial"/>
        </w:rPr>
        <w:t xml:space="preserve"> de la Ley de Transparencia y Acceso a la Información Pública del Estado de México y Municipios.</w:t>
      </w:r>
    </w:p>
    <w:p w14:paraId="34EC3F86" w14:textId="77777777" w:rsidR="00D2790D" w:rsidRPr="00D12FCF" w:rsidRDefault="00D2790D" w:rsidP="00D12FCF">
      <w:pPr>
        <w:rPr>
          <w:rFonts w:cs="Arial"/>
        </w:rPr>
      </w:pPr>
    </w:p>
    <w:p w14:paraId="535A4241" w14:textId="1A1E3EA3" w:rsidR="00D2790D" w:rsidRPr="00D12FCF" w:rsidRDefault="006E25BC" w:rsidP="00D12FCF">
      <w:pPr>
        <w:pStyle w:val="Ttulo3"/>
      </w:pPr>
      <w:bookmarkStart w:id="10" w:name="_Toc201208804"/>
      <w:r w:rsidRPr="00D12FCF">
        <w:t>d</w:t>
      </w:r>
      <w:r w:rsidR="00D2790D" w:rsidRPr="00D12FCF">
        <w:t>) Acumulación de los Recursos de Revisión</w:t>
      </w:r>
      <w:bookmarkEnd w:id="10"/>
    </w:p>
    <w:p w14:paraId="6CEB581F" w14:textId="5BEBE4B2" w:rsidR="00575400" w:rsidRPr="00D12FCF" w:rsidRDefault="00D2790D" w:rsidP="00D12FCF">
      <w:pPr>
        <w:ind w:left="-57"/>
        <w:rPr>
          <w:bCs/>
          <w:lang w:val="es-ES_tradnl"/>
        </w:rPr>
      </w:pPr>
      <w:r w:rsidRPr="00D12FCF">
        <w:rPr>
          <w:rFonts w:cs="Arial"/>
          <w:lang w:val="es-ES_tradnl"/>
        </w:rPr>
        <w:t xml:space="preserve">Por economía procesal y </w:t>
      </w:r>
      <w:r w:rsidRPr="00D12FCF">
        <w:rPr>
          <w:rFonts w:cs="Arial"/>
        </w:rPr>
        <w:t xml:space="preserve">con la finalidad de evitar resoluciones contradictorias, en </w:t>
      </w:r>
      <w:r w:rsidRPr="00D12FCF">
        <w:t xml:space="preserve">la </w:t>
      </w:r>
      <w:r w:rsidR="006C2765" w:rsidRPr="00D12FCF">
        <w:rPr>
          <w:b/>
        </w:rPr>
        <w:t>Décima Sexta</w:t>
      </w:r>
      <w:r w:rsidRPr="00D12FCF">
        <w:rPr>
          <w:b/>
        </w:rPr>
        <w:t xml:space="preserve"> </w:t>
      </w:r>
      <w:r w:rsidR="00B95544" w:rsidRPr="00D12FCF">
        <w:rPr>
          <w:b/>
        </w:rPr>
        <w:t>Sesión Ordinaria</w:t>
      </w:r>
      <w:r w:rsidRPr="00D12FCF">
        <w:t xml:space="preserve">, celebrada </w:t>
      </w:r>
      <w:r w:rsidRPr="00D12FCF">
        <w:rPr>
          <w:b/>
          <w:bCs/>
        </w:rPr>
        <w:t xml:space="preserve">el </w:t>
      </w:r>
      <w:r w:rsidR="00965568" w:rsidRPr="00D12FCF">
        <w:rPr>
          <w:b/>
          <w:bCs/>
        </w:rPr>
        <w:t xml:space="preserve">ocho </w:t>
      </w:r>
      <w:r w:rsidRPr="00D12FCF">
        <w:rPr>
          <w:b/>
          <w:bCs/>
        </w:rPr>
        <w:t>de</w:t>
      </w:r>
      <w:r w:rsidR="00575400" w:rsidRPr="00D12FCF">
        <w:rPr>
          <w:b/>
          <w:bCs/>
        </w:rPr>
        <w:t xml:space="preserve"> </w:t>
      </w:r>
      <w:r w:rsidR="00965568" w:rsidRPr="00D12FCF">
        <w:rPr>
          <w:b/>
          <w:bCs/>
        </w:rPr>
        <w:t xml:space="preserve">mayo </w:t>
      </w:r>
      <w:r w:rsidR="00575400" w:rsidRPr="00D12FCF">
        <w:rPr>
          <w:b/>
          <w:bCs/>
        </w:rPr>
        <w:t>de</w:t>
      </w:r>
      <w:r w:rsidRPr="00D12FCF">
        <w:rPr>
          <w:b/>
          <w:bCs/>
        </w:rPr>
        <w:t xml:space="preserve"> dos mil </w:t>
      </w:r>
      <w:r w:rsidR="00FE368B" w:rsidRPr="00D12FCF">
        <w:rPr>
          <w:b/>
          <w:bCs/>
        </w:rPr>
        <w:t>veinticinco</w:t>
      </w:r>
      <w:r w:rsidRPr="00D12FCF">
        <w:t xml:space="preserve">, el Pleno de este Instituto </w:t>
      </w:r>
      <w:r w:rsidRPr="00D12FCF">
        <w:rPr>
          <w:rFonts w:cs="Arial"/>
        </w:rPr>
        <w:t xml:space="preserve">determinó </w:t>
      </w:r>
      <w:r w:rsidRPr="00D12FCF">
        <w:t>acumular los Recursos de Revisión</w:t>
      </w:r>
      <w:bookmarkStart w:id="11" w:name="_Hlk109159636"/>
      <w:r w:rsidRPr="00D12FCF">
        <w:rPr>
          <w:rFonts w:cs="Arial"/>
          <w:b/>
          <w:bCs/>
        </w:rPr>
        <w:t xml:space="preserve"> </w:t>
      </w:r>
      <w:bookmarkEnd w:id="11"/>
      <w:r w:rsidR="00965568" w:rsidRPr="00D12FCF">
        <w:rPr>
          <w:rFonts w:cs="Arial"/>
          <w:b/>
          <w:bCs/>
        </w:rPr>
        <w:t>04792/INFOEM/IP/RR/2025 y 04794/INFOEM/IP/RR/2025.</w:t>
      </w:r>
    </w:p>
    <w:p w14:paraId="09B589C5" w14:textId="77777777" w:rsidR="00664420" w:rsidRPr="00D12FCF" w:rsidRDefault="00664420" w:rsidP="00D12FCF">
      <w:pPr>
        <w:rPr>
          <w:rFonts w:cs="Tahoma"/>
          <w:b/>
          <w:szCs w:val="22"/>
        </w:rPr>
      </w:pPr>
    </w:p>
    <w:p w14:paraId="3B820F58" w14:textId="54741411" w:rsidR="00865CF4" w:rsidRPr="00D12FCF" w:rsidRDefault="006E25BC" w:rsidP="00D12FCF">
      <w:pPr>
        <w:pStyle w:val="Ttulo3"/>
      </w:pPr>
      <w:bookmarkStart w:id="12" w:name="_Toc201208805"/>
      <w:r w:rsidRPr="00D12FCF">
        <w:t>e</w:t>
      </w:r>
      <w:r w:rsidR="00664420" w:rsidRPr="00D12FCF">
        <w:t xml:space="preserve">) </w:t>
      </w:r>
      <w:r w:rsidR="00865CF4" w:rsidRPr="00D12FCF">
        <w:t>Informe</w:t>
      </w:r>
      <w:r w:rsidR="00965568" w:rsidRPr="00D12FCF">
        <w:t>s</w:t>
      </w:r>
      <w:r w:rsidR="00865CF4" w:rsidRPr="00D12FCF">
        <w:t xml:space="preserve"> Justificado</w:t>
      </w:r>
      <w:r w:rsidR="00965568" w:rsidRPr="00D12FCF">
        <w:t>s</w:t>
      </w:r>
      <w:r w:rsidR="00865CF4" w:rsidRPr="00D12FCF">
        <w:t xml:space="preserve"> del Sujeto Obligado</w:t>
      </w:r>
      <w:bookmarkEnd w:id="12"/>
    </w:p>
    <w:p w14:paraId="14A706BE" w14:textId="096020DF" w:rsidR="00865CF4" w:rsidRPr="00D12FCF" w:rsidRDefault="00865CF4" w:rsidP="00D12FCF">
      <w:pPr>
        <w:rPr>
          <w:rFonts w:eastAsia="Arial Unicode MS" w:cs="Arial"/>
        </w:rPr>
      </w:pPr>
      <w:r w:rsidRPr="00D12FCF">
        <w:rPr>
          <w:rFonts w:cs="Tahoma"/>
          <w:b/>
          <w:szCs w:val="24"/>
        </w:rPr>
        <w:t xml:space="preserve">EL SUJETO OBLIGADO </w:t>
      </w:r>
      <w:r w:rsidRPr="00D12FCF">
        <w:rPr>
          <w:rFonts w:eastAsia="Arial Unicode MS" w:cs="Arial"/>
        </w:rPr>
        <w:t>no rindió su</w:t>
      </w:r>
      <w:r w:rsidR="00965568" w:rsidRPr="00D12FCF">
        <w:rPr>
          <w:rFonts w:eastAsia="Arial Unicode MS" w:cs="Arial"/>
        </w:rPr>
        <w:t>s</w:t>
      </w:r>
      <w:r w:rsidRPr="00D12FCF">
        <w:rPr>
          <w:rFonts w:eastAsia="Arial Unicode MS" w:cs="Arial"/>
        </w:rPr>
        <w:t xml:space="preserve"> informe</w:t>
      </w:r>
      <w:r w:rsidR="00965568" w:rsidRPr="00D12FCF">
        <w:rPr>
          <w:rFonts w:eastAsia="Arial Unicode MS" w:cs="Arial"/>
        </w:rPr>
        <w:t>s</w:t>
      </w:r>
      <w:r w:rsidRPr="00D12FCF">
        <w:rPr>
          <w:rFonts w:eastAsia="Arial Unicode MS" w:cs="Arial"/>
        </w:rPr>
        <w:t xml:space="preserve"> justificado</w:t>
      </w:r>
      <w:r w:rsidR="00965568" w:rsidRPr="00D12FCF">
        <w:rPr>
          <w:rFonts w:eastAsia="Arial Unicode MS" w:cs="Arial"/>
        </w:rPr>
        <w:t>s</w:t>
      </w:r>
      <w:r w:rsidRPr="00D12FCF">
        <w:rPr>
          <w:rFonts w:eastAsia="Arial Unicode MS" w:cs="Arial"/>
        </w:rPr>
        <w:t xml:space="preserve"> dentro del término legalmente concedido para tal efecto.</w:t>
      </w:r>
    </w:p>
    <w:p w14:paraId="66BA6FC7" w14:textId="77777777" w:rsidR="00865CF4" w:rsidRPr="00D12FCF" w:rsidRDefault="00865CF4" w:rsidP="00D12FCF">
      <w:pPr>
        <w:rPr>
          <w:rFonts w:cs="Tahoma"/>
          <w:bCs/>
          <w:szCs w:val="24"/>
        </w:rPr>
      </w:pPr>
    </w:p>
    <w:p w14:paraId="755B7730" w14:textId="19C7EE54" w:rsidR="00664420" w:rsidRPr="00D12FCF" w:rsidRDefault="006E25BC" w:rsidP="00D12FCF">
      <w:pPr>
        <w:pStyle w:val="Ttulo3"/>
        <w:rPr>
          <w:lang w:val="es-ES"/>
        </w:rPr>
      </w:pPr>
      <w:bookmarkStart w:id="13" w:name="_Toc201208806"/>
      <w:r w:rsidRPr="00D12FCF">
        <w:rPr>
          <w:rFonts w:eastAsia="Calibri"/>
          <w:bCs/>
          <w:lang w:eastAsia="en-US"/>
        </w:rPr>
        <w:t>f</w:t>
      </w:r>
      <w:r w:rsidR="00664420" w:rsidRPr="00D12FCF">
        <w:rPr>
          <w:rFonts w:eastAsia="Calibri"/>
          <w:bCs/>
          <w:lang w:eastAsia="en-US"/>
        </w:rPr>
        <w:t>)</w:t>
      </w:r>
      <w:r w:rsidR="00664420" w:rsidRPr="00D12FCF">
        <w:t xml:space="preserve"> </w:t>
      </w:r>
      <w:r w:rsidR="00865CF4" w:rsidRPr="00D12FCF">
        <w:rPr>
          <w:lang w:val="es-ES"/>
        </w:rPr>
        <w:t>Manifestaciones de la Parte Recurrente</w:t>
      </w:r>
      <w:bookmarkEnd w:id="13"/>
    </w:p>
    <w:p w14:paraId="4E8AF011" w14:textId="77777777" w:rsidR="00865CF4" w:rsidRPr="00D12FCF" w:rsidRDefault="00865CF4" w:rsidP="00D12FCF">
      <w:pPr>
        <w:rPr>
          <w:rFonts w:eastAsia="Arial Unicode MS" w:cs="Arial"/>
        </w:rPr>
      </w:pPr>
      <w:r w:rsidRPr="00D12FCF">
        <w:rPr>
          <w:rFonts w:cs="Tahoma"/>
          <w:b/>
          <w:szCs w:val="24"/>
        </w:rPr>
        <w:t xml:space="preserve">LA PARTE RECURRENTE </w:t>
      </w:r>
      <w:r w:rsidRPr="00D12FCF">
        <w:rPr>
          <w:rFonts w:eastAsia="Arial Unicode MS" w:cs="Arial"/>
        </w:rPr>
        <w:t>no realizó manifestación alguna dentro del término legalmente concedido para tal efecto, ni presentó pruebas o alegatos.</w:t>
      </w:r>
    </w:p>
    <w:p w14:paraId="24F87764" w14:textId="77777777" w:rsidR="00664420" w:rsidRPr="00D12FCF" w:rsidRDefault="00664420" w:rsidP="00D12FCF">
      <w:pPr>
        <w:rPr>
          <w:rFonts w:cs="Tahoma"/>
          <w:bCs/>
          <w:szCs w:val="24"/>
        </w:rPr>
      </w:pPr>
    </w:p>
    <w:p w14:paraId="0E651988" w14:textId="57A18629" w:rsidR="00664420" w:rsidRPr="00D12FCF" w:rsidRDefault="006E25BC" w:rsidP="00D12FCF">
      <w:pPr>
        <w:pStyle w:val="Ttulo3"/>
      </w:pPr>
      <w:bookmarkStart w:id="14" w:name="_Toc201208807"/>
      <w:r w:rsidRPr="00D12FCF">
        <w:rPr>
          <w:rFonts w:eastAsia="Calibri"/>
        </w:rPr>
        <w:t>g</w:t>
      </w:r>
      <w:r w:rsidR="00664420" w:rsidRPr="00D12FCF">
        <w:rPr>
          <w:rFonts w:eastAsia="Calibri"/>
        </w:rPr>
        <w:t xml:space="preserve">) </w:t>
      </w:r>
      <w:r w:rsidR="00664420" w:rsidRPr="00D12FCF">
        <w:t>Cierre de instrucción</w:t>
      </w:r>
      <w:bookmarkEnd w:id="14"/>
    </w:p>
    <w:p w14:paraId="79AF95DC" w14:textId="6E073978" w:rsidR="00664420" w:rsidRPr="00D12FCF" w:rsidRDefault="00BF091A" w:rsidP="00D12FCF">
      <w:pPr>
        <w:rPr>
          <w:rFonts w:cs="Tahoma"/>
          <w:szCs w:val="22"/>
        </w:rPr>
      </w:pPr>
      <w:r w:rsidRPr="00D12FCF">
        <w:rPr>
          <w:rFonts w:cs="Tahoma"/>
          <w:szCs w:val="22"/>
        </w:rPr>
        <w:t>Al no existir diligencias pendientes por desahogar</w:t>
      </w:r>
      <w:r w:rsidRPr="00D12FCF">
        <w:rPr>
          <w:rFonts w:cs="Arial"/>
        </w:rPr>
        <w:t xml:space="preserve">, el </w:t>
      </w:r>
      <w:bookmarkStart w:id="15" w:name="_Hlk104892386"/>
      <w:r w:rsidR="00965568" w:rsidRPr="00D12FCF">
        <w:rPr>
          <w:rFonts w:cs="Arial"/>
          <w:b/>
        </w:rPr>
        <w:t>tres</w:t>
      </w:r>
      <w:r w:rsidRPr="00D12FCF">
        <w:rPr>
          <w:rFonts w:cs="Arial"/>
          <w:b/>
        </w:rPr>
        <w:t xml:space="preserve"> de </w:t>
      </w:r>
      <w:bookmarkEnd w:id="15"/>
      <w:r w:rsidR="00965568" w:rsidRPr="00D12FCF">
        <w:rPr>
          <w:rFonts w:cs="Arial"/>
          <w:b/>
        </w:rPr>
        <w:t xml:space="preserve">junio </w:t>
      </w:r>
      <w:r w:rsidRPr="00D12FCF">
        <w:rPr>
          <w:rFonts w:cs="Arial"/>
          <w:b/>
        </w:rPr>
        <w:t xml:space="preserve">de dos mil </w:t>
      </w:r>
      <w:r w:rsidR="00FE368B" w:rsidRPr="00D12FCF">
        <w:rPr>
          <w:rFonts w:cs="Arial"/>
          <w:b/>
        </w:rPr>
        <w:t xml:space="preserve">veinticinco </w:t>
      </w:r>
      <w:r w:rsidRPr="00D12FCF">
        <w:rPr>
          <w:rFonts w:cs="Arial"/>
        </w:rPr>
        <w:t xml:space="preserve">la </w:t>
      </w:r>
      <w:r w:rsidRPr="00D12FCF">
        <w:rPr>
          <w:rFonts w:cs="Arial"/>
          <w:b/>
          <w:bCs/>
        </w:rPr>
        <w:t xml:space="preserve">Comisionada </w:t>
      </w:r>
      <w:r w:rsidRPr="00D12FCF">
        <w:rPr>
          <w:b/>
        </w:rPr>
        <w:t xml:space="preserve">Sharon Cristina Morales Martínez </w:t>
      </w:r>
      <w:r w:rsidRPr="00D12FCF">
        <w:rPr>
          <w:rFonts w:cs="Arial"/>
        </w:rPr>
        <w:t>acordó el cierre de instrucción</w:t>
      </w:r>
      <w:r w:rsidR="0011350D" w:rsidRPr="00D12FCF">
        <w:rPr>
          <w:rFonts w:cs="Arial"/>
        </w:rPr>
        <w:t xml:space="preserve"> y</w:t>
      </w:r>
      <w:r w:rsidRPr="00D12FCF">
        <w:rPr>
          <w:rFonts w:cs="Arial"/>
        </w:rPr>
        <w:t xml:space="preserve"> </w:t>
      </w:r>
      <w:r w:rsidR="0011350D" w:rsidRPr="00D12FCF">
        <w:rPr>
          <w:rFonts w:cs="Arial"/>
        </w:rPr>
        <w:t xml:space="preserve">la </w:t>
      </w:r>
      <w:r w:rsidRPr="00D12FCF">
        <w:rPr>
          <w:rFonts w:cs="Arial"/>
        </w:rPr>
        <w:t>remisión de</w:t>
      </w:r>
      <w:r w:rsidR="00965568" w:rsidRPr="00D12FCF">
        <w:rPr>
          <w:rFonts w:cs="Arial"/>
        </w:rPr>
        <w:t xml:space="preserve"> </w:t>
      </w:r>
      <w:r w:rsidRPr="00D12FCF">
        <w:rPr>
          <w:rFonts w:cs="Arial"/>
        </w:rPr>
        <w:t>l</w:t>
      </w:r>
      <w:r w:rsidR="00965568" w:rsidRPr="00D12FCF">
        <w:rPr>
          <w:rFonts w:cs="Arial"/>
        </w:rPr>
        <w:t>os</w:t>
      </w:r>
      <w:r w:rsidRPr="00D12FCF">
        <w:rPr>
          <w:rFonts w:cs="Arial"/>
        </w:rPr>
        <w:t xml:space="preserve"> expediente</w:t>
      </w:r>
      <w:r w:rsidR="00965568" w:rsidRPr="00D12FCF">
        <w:rPr>
          <w:rFonts w:cs="Arial"/>
        </w:rPr>
        <w:t>s</w:t>
      </w:r>
      <w:r w:rsidRPr="00D12FCF">
        <w:rPr>
          <w:rFonts w:cs="Arial"/>
        </w:rPr>
        <w:t xml:space="preserve"> a efecto de ser resuelto</w:t>
      </w:r>
      <w:r w:rsidR="00965568" w:rsidRPr="00D12FCF">
        <w:rPr>
          <w:rFonts w:cs="Arial"/>
        </w:rPr>
        <w:t>s</w:t>
      </w:r>
      <w:r w:rsidRPr="00D12FCF">
        <w:rPr>
          <w:rFonts w:cs="Arial"/>
        </w:rPr>
        <w:t>, de conformidad con lo establecido en el artículo 185 fracciones VI y VIII de la Ley de Transparencia y Acceso a la Información Pública del Estado de México y Municipios</w:t>
      </w:r>
      <w:r w:rsidRPr="00D12FCF">
        <w:t>.</w:t>
      </w:r>
      <w:r w:rsidR="0011350D" w:rsidRPr="00D12FCF">
        <w:t xml:space="preserve"> Dicho acuerdo </w:t>
      </w:r>
      <w:r w:rsidR="00664420" w:rsidRPr="00D12FCF">
        <w:rPr>
          <w:rFonts w:cs="Tahoma"/>
          <w:szCs w:val="22"/>
        </w:rPr>
        <w:t xml:space="preserve">fue notificado a las partes el mismo día a través del </w:t>
      </w:r>
      <w:r w:rsidR="00664420" w:rsidRPr="00D12FCF">
        <w:rPr>
          <w:rFonts w:cs="Tahoma"/>
          <w:szCs w:val="22"/>
          <w:lang w:val="es-ES"/>
        </w:rPr>
        <w:t>SAIMEX</w:t>
      </w:r>
      <w:r w:rsidR="00664420" w:rsidRPr="00D12FCF">
        <w:rPr>
          <w:rFonts w:cs="Tahoma"/>
          <w:szCs w:val="22"/>
        </w:rPr>
        <w:t>.</w:t>
      </w:r>
    </w:p>
    <w:p w14:paraId="2634AA47" w14:textId="46C856C8" w:rsidR="008C6828" w:rsidRPr="00D12FCF" w:rsidRDefault="008C6828" w:rsidP="00D12FCF">
      <w:pPr>
        <w:rPr>
          <w:rFonts w:cs="Tahoma"/>
          <w:szCs w:val="22"/>
        </w:rPr>
      </w:pPr>
    </w:p>
    <w:p w14:paraId="3B98A20B" w14:textId="0A3BCB6D" w:rsidR="008C6828" w:rsidRPr="00D12FCF" w:rsidRDefault="008C6828" w:rsidP="00D12FCF">
      <w:pPr>
        <w:pStyle w:val="Ttulo3"/>
        <w:rPr>
          <w:rFonts w:eastAsia="Calibri"/>
        </w:rPr>
      </w:pPr>
      <w:bookmarkStart w:id="16" w:name="_Toc165402868"/>
      <w:bookmarkStart w:id="17" w:name="_Toc200533898"/>
      <w:bookmarkStart w:id="18" w:name="_Toc201208808"/>
      <w:r w:rsidRPr="00D12FCF">
        <w:rPr>
          <w:rFonts w:eastAsia="Calibri"/>
        </w:rPr>
        <w:t>h) Ampliación de plazo para resolver los Recurso de Revisión</w:t>
      </w:r>
      <w:bookmarkEnd w:id="16"/>
      <w:bookmarkEnd w:id="17"/>
      <w:bookmarkEnd w:id="18"/>
    </w:p>
    <w:p w14:paraId="698D4D95" w14:textId="43EB8EEF" w:rsidR="008C6828" w:rsidRPr="00D12FCF" w:rsidRDefault="008C6828" w:rsidP="00D12FCF">
      <w:pPr>
        <w:tabs>
          <w:tab w:val="left" w:pos="3261"/>
        </w:tabs>
        <w:rPr>
          <w:rFonts w:eastAsia="Calibri" w:cs="Tahoma"/>
          <w:szCs w:val="22"/>
        </w:rPr>
      </w:pPr>
      <w:r w:rsidRPr="00D12FCF">
        <w:rPr>
          <w:rFonts w:eastAsia="Calibri" w:cs="Tahoma"/>
          <w:szCs w:val="22"/>
        </w:rPr>
        <w:t xml:space="preserve">Con fundamento en lo dispuesto en el artículo 181, párrafo tercero, de la Ley de Transparencia y Acceso a la Información Pública del Estado de México y Municipios, </w:t>
      </w:r>
      <w:r w:rsidRPr="00D12FCF">
        <w:rPr>
          <w:rFonts w:eastAsia="Calibri" w:cs="Tahoma"/>
          <w:b/>
          <w:bCs/>
          <w:szCs w:val="22"/>
        </w:rPr>
        <w:t xml:space="preserve">el </w:t>
      </w:r>
      <w:r w:rsidR="00B95544" w:rsidRPr="00D12FCF">
        <w:rPr>
          <w:rFonts w:eastAsia="Calibri" w:cs="Tahoma"/>
          <w:b/>
          <w:bCs/>
          <w:szCs w:val="22"/>
        </w:rPr>
        <w:t>dieciséis</w:t>
      </w:r>
      <w:r w:rsidRPr="00D12FCF">
        <w:rPr>
          <w:rFonts w:eastAsia="Calibri" w:cs="Tahoma"/>
          <w:b/>
          <w:bCs/>
          <w:szCs w:val="22"/>
        </w:rPr>
        <w:t xml:space="preserve"> de junio de dos mil veinticinco </w:t>
      </w:r>
      <w:r w:rsidRPr="00D12FCF">
        <w:rPr>
          <w:rFonts w:eastAsia="Calibri" w:cs="Tahoma"/>
          <w:szCs w:val="22"/>
        </w:rPr>
        <w:t>se acordó ampliar por un periodo razonable el plazo para resolver los presentes Recursos de Revisión.</w:t>
      </w:r>
    </w:p>
    <w:p w14:paraId="0EB61EBC" w14:textId="77777777" w:rsidR="008C6828" w:rsidRPr="00D12FCF" w:rsidRDefault="008C6828" w:rsidP="00D12FCF"/>
    <w:p w14:paraId="741683E3" w14:textId="77777777" w:rsidR="0011350D" w:rsidRPr="00D12FCF" w:rsidRDefault="0011350D" w:rsidP="00D12FCF">
      <w:pPr>
        <w:rPr>
          <w:rFonts w:cs="Tahoma"/>
          <w:szCs w:val="22"/>
        </w:rPr>
      </w:pPr>
    </w:p>
    <w:p w14:paraId="7A9629DE" w14:textId="77777777" w:rsidR="00664420" w:rsidRPr="00D12FCF" w:rsidRDefault="00664420" w:rsidP="00D12FCF">
      <w:pPr>
        <w:pStyle w:val="Ttulo1"/>
        <w:rPr>
          <w:rFonts w:eastAsiaTheme="minorHAnsi"/>
          <w:lang w:eastAsia="en-US"/>
        </w:rPr>
      </w:pPr>
      <w:bookmarkStart w:id="19" w:name="_Toc201208809"/>
      <w:r w:rsidRPr="00D12FCF">
        <w:rPr>
          <w:rFonts w:eastAsiaTheme="minorHAnsi"/>
          <w:lang w:eastAsia="en-US"/>
        </w:rPr>
        <w:t>CONSIDERANDOS</w:t>
      </w:r>
      <w:bookmarkEnd w:id="19"/>
    </w:p>
    <w:p w14:paraId="6DD1243B" w14:textId="77777777" w:rsidR="00664420" w:rsidRPr="00D12FCF" w:rsidRDefault="00664420" w:rsidP="00D12FCF">
      <w:pPr>
        <w:contextualSpacing/>
        <w:jc w:val="center"/>
        <w:rPr>
          <w:rFonts w:eastAsiaTheme="minorHAnsi" w:cs="Tahoma"/>
          <w:b/>
          <w:szCs w:val="22"/>
          <w:lang w:eastAsia="en-US"/>
        </w:rPr>
      </w:pPr>
    </w:p>
    <w:p w14:paraId="0B67CB92" w14:textId="2E307D3B" w:rsidR="00664420" w:rsidRPr="00D12FCF" w:rsidRDefault="00664420" w:rsidP="00D12FCF">
      <w:pPr>
        <w:pStyle w:val="Ttulo2"/>
        <w:rPr>
          <w:rFonts w:eastAsia="Batang"/>
        </w:rPr>
      </w:pPr>
      <w:bookmarkStart w:id="20" w:name="_Toc201208810"/>
      <w:r w:rsidRPr="00D12FCF">
        <w:rPr>
          <w:rFonts w:eastAsia="Batang"/>
        </w:rPr>
        <w:t xml:space="preserve">PRIMERO. </w:t>
      </w:r>
      <w:r w:rsidR="00BA55A8" w:rsidRPr="00D12FCF">
        <w:rPr>
          <w:rFonts w:eastAsia="Batang"/>
        </w:rPr>
        <w:t>Procedibilidad</w:t>
      </w:r>
      <w:bookmarkEnd w:id="20"/>
    </w:p>
    <w:p w14:paraId="39C52BC1" w14:textId="56FCC20D" w:rsidR="00BA55A8" w:rsidRPr="00D12FCF" w:rsidRDefault="00BA55A8" w:rsidP="00D12FCF">
      <w:pPr>
        <w:pStyle w:val="Ttulo3"/>
      </w:pPr>
      <w:bookmarkStart w:id="21" w:name="_Toc201208811"/>
      <w:r w:rsidRPr="00D12FCF">
        <w:t>a) Competencia</w:t>
      </w:r>
      <w:r w:rsidR="00150C49" w:rsidRPr="00D12FCF">
        <w:t xml:space="preserve"> del Instituto</w:t>
      </w:r>
      <w:bookmarkEnd w:id="21"/>
    </w:p>
    <w:p w14:paraId="56E64942" w14:textId="0A14A870" w:rsidR="0011350D" w:rsidRPr="00D12FCF" w:rsidRDefault="0011350D" w:rsidP="00D12FCF">
      <w:pPr>
        <w:rPr>
          <w:rFonts w:cs="Arial"/>
        </w:rPr>
      </w:pPr>
      <w:r w:rsidRPr="00D12FCF">
        <w:t xml:space="preserve">Este Instituto de Transparencia, Acceso a la Información Pública y Protección de Datos Personales del Estado de México y Municipios es competente para conocer y resolver </w:t>
      </w:r>
      <w:r w:rsidR="005F65B7" w:rsidRPr="00D12FCF">
        <w:t xml:space="preserve">el </w:t>
      </w:r>
      <w:r w:rsidRPr="00D12FCF">
        <w:t xml:space="preserve">presente Recurso de Revisión, conforme a lo dispuesto en los artículos 6, Apartado A de la Constitución Política de los Estados Unidos Mexicanos; 5, </w:t>
      </w:r>
      <w:r w:rsidR="008D18C3" w:rsidRPr="00D12FCF">
        <w:t xml:space="preserve">párrafos trigésimo séptimo, </w:t>
      </w:r>
      <w:r w:rsidR="008D18C3" w:rsidRPr="00D12FCF">
        <w:lastRenderedPageBreak/>
        <w:t>trigésimo octavo y trigésimo noveno, fracciones IV y V de la Constitución Política del Estado Libre y Soberano de México</w:t>
      </w:r>
      <w:r w:rsidRPr="00D12FCF">
        <w:t>; ordinal 2, fracción II, 13, 29, 36, fracciones I y II, 176, 178, 179, 181 párrafo tercero y 185 de la Ley de Transparencia y Acceso a la Información Pública del Estado de México y Municipios</w:t>
      </w:r>
      <w:r w:rsidRPr="00D12FC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12FCF" w:rsidRDefault="00DB1C09" w:rsidP="00D12FCF">
      <w:pPr>
        <w:rPr>
          <w:rFonts w:cs="Arial"/>
        </w:rPr>
      </w:pPr>
    </w:p>
    <w:p w14:paraId="517A2DD6" w14:textId="4169BE4D" w:rsidR="00664420" w:rsidRPr="00D12FCF" w:rsidRDefault="00BA55A8" w:rsidP="00D12FCF">
      <w:pPr>
        <w:pStyle w:val="Ttulo3"/>
      </w:pPr>
      <w:bookmarkStart w:id="22" w:name="_Toc201208812"/>
      <w:r w:rsidRPr="00D12FCF">
        <w:t>b)</w:t>
      </w:r>
      <w:r w:rsidR="00664420" w:rsidRPr="00D12FCF">
        <w:t xml:space="preserve"> </w:t>
      </w:r>
      <w:r w:rsidR="00D91CB4" w:rsidRPr="00D12FCF">
        <w:t>Legitimidad</w:t>
      </w:r>
      <w:r w:rsidRPr="00D12FCF">
        <w:t xml:space="preserve"> de la parte recurrente</w:t>
      </w:r>
      <w:bookmarkEnd w:id="22"/>
    </w:p>
    <w:p w14:paraId="26FEA382" w14:textId="0B06695C" w:rsidR="00D91CB4" w:rsidRPr="00D12FCF" w:rsidRDefault="00D91CB4" w:rsidP="00D12FCF">
      <w:pPr>
        <w:rPr>
          <w:rFonts w:cs="Arial"/>
          <w:bCs/>
        </w:rPr>
      </w:pPr>
      <w:r w:rsidRPr="00D12FCF">
        <w:rPr>
          <w:rFonts w:cs="Arial"/>
          <w:bCs/>
        </w:rPr>
        <w:t>El recurso de revisión fue interpuesto por parte legítima, ya que se presentó por la misma persona que formuló la solicitud de acceso a la Información Pública,</w:t>
      </w:r>
      <w:r w:rsidRPr="00D12FCF">
        <w:rPr>
          <w:rFonts w:cs="Arial"/>
          <w:b/>
          <w:bCs/>
        </w:rPr>
        <w:t xml:space="preserve"> </w:t>
      </w:r>
      <w:r w:rsidRPr="00D12FCF">
        <w:rPr>
          <w:rFonts w:cs="Arial"/>
        </w:rPr>
        <w:t>debido a que los datos de acceso</w:t>
      </w:r>
      <w:r w:rsidRPr="00D12FCF">
        <w:rPr>
          <w:rFonts w:cs="Arial"/>
          <w:b/>
          <w:bCs/>
        </w:rPr>
        <w:t xml:space="preserve"> </w:t>
      </w:r>
      <w:r w:rsidRPr="00D12FCF">
        <w:rPr>
          <w:rFonts w:cs="Arial"/>
        </w:rPr>
        <w:t>SAIMEX</w:t>
      </w:r>
      <w:r w:rsidRPr="00D12FCF">
        <w:rPr>
          <w:rFonts w:eastAsia="Calibri" w:cs="Arial"/>
          <w:lang w:eastAsia="en-US"/>
        </w:rPr>
        <w:t xml:space="preserve"> son personales e irrepetibles.</w:t>
      </w:r>
    </w:p>
    <w:p w14:paraId="2C367810" w14:textId="77777777" w:rsidR="00D91CB4" w:rsidRPr="00D12FCF" w:rsidRDefault="00D91CB4" w:rsidP="00D12FCF"/>
    <w:p w14:paraId="496490FC" w14:textId="38CB6C64" w:rsidR="00D91CB4" w:rsidRPr="00D12FCF" w:rsidRDefault="00BA55A8" w:rsidP="00D12FCF">
      <w:pPr>
        <w:pStyle w:val="Ttulo3"/>
        <w:rPr>
          <w:rFonts w:eastAsia="Calibri"/>
          <w:lang w:eastAsia="es-ES_tradnl"/>
        </w:rPr>
      </w:pPr>
      <w:bookmarkStart w:id="23" w:name="_Toc201208813"/>
      <w:r w:rsidRPr="00D12FCF">
        <w:rPr>
          <w:rFonts w:eastAsia="Calibri"/>
          <w:lang w:eastAsia="es-ES_tradnl"/>
        </w:rPr>
        <w:t>c)</w:t>
      </w:r>
      <w:r w:rsidR="00664420" w:rsidRPr="00D12FCF">
        <w:rPr>
          <w:rFonts w:eastAsia="Calibri"/>
          <w:lang w:eastAsia="es-ES_tradnl"/>
        </w:rPr>
        <w:t xml:space="preserve"> </w:t>
      </w:r>
      <w:r w:rsidR="00D91CB4" w:rsidRPr="00D12FCF">
        <w:rPr>
          <w:rFonts w:eastAsia="Calibri"/>
          <w:lang w:eastAsia="es-ES_tradnl"/>
        </w:rPr>
        <w:t xml:space="preserve">Plazo para interponer </w:t>
      </w:r>
      <w:r w:rsidR="00965568" w:rsidRPr="00D12FCF">
        <w:rPr>
          <w:rFonts w:eastAsia="Calibri"/>
          <w:lang w:eastAsia="es-ES_tradnl"/>
        </w:rPr>
        <w:t>los</w:t>
      </w:r>
      <w:r w:rsidR="00D91CB4" w:rsidRPr="00D12FCF">
        <w:rPr>
          <w:rFonts w:eastAsia="Calibri"/>
          <w:lang w:eastAsia="es-ES_tradnl"/>
        </w:rPr>
        <w:t xml:space="preserve"> recurso</w:t>
      </w:r>
      <w:r w:rsidR="00965568" w:rsidRPr="00D12FCF">
        <w:rPr>
          <w:rFonts w:eastAsia="Calibri"/>
          <w:lang w:eastAsia="es-ES_tradnl"/>
        </w:rPr>
        <w:t>s</w:t>
      </w:r>
      <w:bookmarkEnd w:id="23"/>
    </w:p>
    <w:p w14:paraId="106D37EE" w14:textId="3EF75DFC" w:rsidR="00D91CB4" w:rsidRPr="00D12FCF" w:rsidRDefault="00D91CB4" w:rsidP="00D12FCF">
      <w:pPr>
        <w:rPr>
          <w:rFonts w:eastAsiaTheme="minorEastAsia" w:cs="Arial"/>
          <w:lang w:val="es-ES_tradnl"/>
        </w:rPr>
      </w:pPr>
      <w:r w:rsidRPr="00D12FCF">
        <w:rPr>
          <w:rFonts w:cs="Arial"/>
          <w:b/>
        </w:rPr>
        <w:t>EL SUJETO OBLIGADO</w:t>
      </w:r>
      <w:r w:rsidRPr="00D12FCF">
        <w:rPr>
          <w:rFonts w:cs="Arial"/>
        </w:rPr>
        <w:t xml:space="preserve"> notificó la respuesta a la solicitud de acceso a la Información Pública el </w:t>
      </w:r>
      <w:r w:rsidR="00965568" w:rsidRPr="00D12FCF">
        <w:rPr>
          <w:rFonts w:eastAsia="Palatino Linotype" w:cs="Palatino Linotype"/>
          <w:b/>
        </w:rPr>
        <w:t xml:space="preserve">diez </w:t>
      </w:r>
      <w:r w:rsidRPr="00D12FCF">
        <w:rPr>
          <w:rFonts w:eastAsia="Palatino Linotype" w:cs="Palatino Linotype"/>
          <w:b/>
        </w:rPr>
        <w:t xml:space="preserve">de </w:t>
      </w:r>
      <w:r w:rsidR="00965568" w:rsidRPr="00D12FCF">
        <w:rPr>
          <w:rFonts w:eastAsia="Palatino Linotype" w:cs="Palatino Linotype"/>
          <w:b/>
        </w:rPr>
        <w:t xml:space="preserve">abril </w:t>
      </w:r>
      <w:r w:rsidRPr="00D12FCF">
        <w:rPr>
          <w:rFonts w:eastAsia="Palatino Linotype" w:cs="Palatino Linotype"/>
          <w:b/>
        </w:rPr>
        <w:t xml:space="preserve">de dos mil </w:t>
      </w:r>
      <w:r w:rsidR="00FE368B" w:rsidRPr="00D12FCF">
        <w:rPr>
          <w:rFonts w:eastAsia="Palatino Linotype" w:cs="Palatino Linotype"/>
          <w:b/>
        </w:rPr>
        <w:t xml:space="preserve">veinticinco </w:t>
      </w:r>
      <w:r w:rsidR="00A53315" w:rsidRPr="00D12FCF">
        <w:rPr>
          <w:rFonts w:cs="Arial"/>
        </w:rPr>
        <w:t>y l</w:t>
      </w:r>
      <w:r w:rsidR="00965568" w:rsidRPr="00D12FCF">
        <w:rPr>
          <w:rFonts w:cs="Arial"/>
        </w:rPr>
        <w:t>os</w:t>
      </w:r>
      <w:r w:rsidR="00A53315" w:rsidRPr="00D12FCF">
        <w:rPr>
          <w:rFonts w:cs="Arial"/>
        </w:rPr>
        <w:t xml:space="preserve"> recurso</w:t>
      </w:r>
      <w:r w:rsidR="00965568" w:rsidRPr="00D12FCF">
        <w:rPr>
          <w:rFonts w:cs="Arial"/>
        </w:rPr>
        <w:t>s</w:t>
      </w:r>
      <w:r w:rsidR="00A53315" w:rsidRPr="00D12FCF">
        <w:rPr>
          <w:rFonts w:cs="Arial"/>
        </w:rPr>
        <w:t xml:space="preserve"> </w:t>
      </w:r>
      <w:r w:rsidR="00A53315" w:rsidRPr="00D12FCF">
        <w:rPr>
          <w:rFonts w:eastAsia="Palatino Linotype" w:cs="Palatino Linotype"/>
        </w:rPr>
        <w:t>que nos ocupa</w:t>
      </w:r>
      <w:r w:rsidR="00965568" w:rsidRPr="00D12FCF">
        <w:rPr>
          <w:rFonts w:eastAsia="Palatino Linotype" w:cs="Palatino Linotype"/>
        </w:rPr>
        <w:t>n se interpusieron</w:t>
      </w:r>
      <w:r w:rsidR="00A53315" w:rsidRPr="00D12FCF">
        <w:rPr>
          <w:rFonts w:eastAsia="Palatino Linotype" w:cs="Palatino Linotype"/>
        </w:rPr>
        <w:t xml:space="preserve"> el </w:t>
      </w:r>
      <w:r w:rsidR="00965568" w:rsidRPr="00D12FCF">
        <w:rPr>
          <w:rFonts w:eastAsia="Palatino Linotype" w:cs="Palatino Linotype"/>
          <w:b/>
        </w:rPr>
        <w:t xml:space="preserve">veinticinco </w:t>
      </w:r>
      <w:r w:rsidR="00A53315" w:rsidRPr="00D12FCF">
        <w:rPr>
          <w:rFonts w:eastAsia="Palatino Linotype" w:cs="Palatino Linotype"/>
          <w:b/>
        </w:rPr>
        <w:t xml:space="preserve">de </w:t>
      </w:r>
      <w:r w:rsidR="00965568" w:rsidRPr="00D12FCF">
        <w:rPr>
          <w:rFonts w:eastAsia="Palatino Linotype" w:cs="Palatino Linotype"/>
          <w:b/>
        </w:rPr>
        <w:t xml:space="preserve">abril </w:t>
      </w:r>
      <w:r w:rsidR="00A53315" w:rsidRPr="00D12FCF">
        <w:rPr>
          <w:rFonts w:eastAsia="Palatino Linotype" w:cs="Palatino Linotype"/>
          <w:b/>
        </w:rPr>
        <w:t xml:space="preserve">de dos mil </w:t>
      </w:r>
      <w:r w:rsidR="00FE368B" w:rsidRPr="00D12FCF">
        <w:rPr>
          <w:rFonts w:eastAsia="Palatino Linotype" w:cs="Palatino Linotype"/>
          <w:b/>
        </w:rPr>
        <w:t>veinticinco</w:t>
      </w:r>
      <w:r w:rsidR="00A53315" w:rsidRPr="00D12FCF">
        <w:rPr>
          <w:rFonts w:eastAsia="Palatino Linotype" w:cs="Palatino Linotype"/>
          <w:bCs/>
        </w:rPr>
        <w:t>;</w:t>
      </w:r>
      <w:r w:rsidR="00A53315" w:rsidRPr="00D12FCF">
        <w:rPr>
          <w:rFonts w:eastAsia="Palatino Linotype" w:cs="Palatino Linotype"/>
        </w:rPr>
        <w:t xml:space="preserve"> por lo tanto, </w:t>
      </w:r>
      <w:r w:rsidR="00965568" w:rsidRPr="00D12FCF">
        <w:rPr>
          <w:rFonts w:eastAsia="Palatino Linotype" w:cs="Palatino Linotype"/>
        </w:rPr>
        <w:t xml:space="preserve">éstos </w:t>
      </w:r>
      <w:r w:rsidR="00A53315" w:rsidRPr="00D12FCF">
        <w:rPr>
          <w:rFonts w:eastAsia="Palatino Linotype" w:cs="Palatino Linotype"/>
        </w:rPr>
        <w:t>se encuentra</w:t>
      </w:r>
      <w:r w:rsidR="00965568" w:rsidRPr="00D12FCF">
        <w:rPr>
          <w:rFonts w:eastAsia="Palatino Linotype" w:cs="Palatino Linotype"/>
        </w:rPr>
        <w:t>n</w:t>
      </w:r>
      <w:r w:rsidR="00A53315" w:rsidRPr="00D12FCF">
        <w:rPr>
          <w:rFonts w:eastAsia="Palatino Linotype" w:cs="Palatino Linotype"/>
        </w:rPr>
        <w:t xml:space="preserve"> dentro del margen temporal previsto en el artículo 178 de la </w:t>
      </w:r>
      <w:r w:rsidR="00A53315" w:rsidRPr="00D12FCF">
        <w:rPr>
          <w:rFonts w:cs="Arial"/>
        </w:rPr>
        <w:t>Ley de Transparencia y Acceso a la Información Pública del Estado de México y Municipios</w:t>
      </w:r>
      <w:r w:rsidR="00163D12" w:rsidRPr="00D12FCF">
        <w:rPr>
          <w:rFonts w:cs="Arial"/>
        </w:rPr>
        <w:t>.</w:t>
      </w:r>
    </w:p>
    <w:p w14:paraId="49076992" w14:textId="77777777" w:rsidR="00D91CB4" w:rsidRPr="00D12FCF" w:rsidRDefault="00D91CB4" w:rsidP="00D12FCF">
      <w:pPr>
        <w:rPr>
          <w:rFonts w:eastAsia="Palatino Linotype" w:cs="Palatino Linotype"/>
        </w:rPr>
      </w:pPr>
    </w:p>
    <w:p w14:paraId="46C0EB3A" w14:textId="15F1A919" w:rsidR="00A53315" w:rsidRPr="00D12FCF" w:rsidRDefault="00BA55A8" w:rsidP="00D12FCF">
      <w:pPr>
        <w:pStyle w:val="Ttulo3"/>
        <w:rPr>
          <w:rFonts w:eastAsia="Calibri"/>
          <w:lang w:eastAsia="es-ES_tradnl"/>
        </w:rPr>
      </w:pPr>
      <w:bookmarkStart w:id="24" w:name="_Toc201208814"/>
      <w:r w:rsidRPr="00D12FCF">
        <w:rPr>
          <w:rFonts w:eastAsia="Calibri"/>
          <w:lang w:eastAsia="es-ES_tradnl"/>
        </w:rPr>
        <w:t>d)</w:t>
      </w:r>
      <w:r w:rsidR="00D91CB4" w:rsidRPr="00D12FCF">
        <w:rPr>
          <w:rFonts w:eastAsia="Calibri"/>
          <w:lang w:eastAsia="es-ES_tradnl"/>
        </w:rPr>
        <w:t xml:space="preserve"> </w:t>
      </w:r>
      <w:r w:rsidR="009A0277" w:rsidRPr="00D12FCF">
        <w:rPr>
          <w:rFonts w:eastAsia="Calibri"/>
          <w:lang w:eastAsia="es-ES_tradnl"/>
        </w:rPr>
        <w:t>Causal de Procedencia</w:t>
      </w:r>
      <w:bookmarkEnd w:id="24"/>
    </w:p>
    <w:p w14:paraId="190404A6" w14:textId="3ED72F48" w:rsidR="00BA55A8" w:rsidRPr="00D12FCF" w:rsidRDefault="00BA55A8" w:rsidP="00D12FCF">
      <w:r w:rsidRPr="00D12FCF">
        <w:rPr>
          <w:rFonts w:cs="Arial"/>
        </w:rPr>
        <w:t>Resulta procedente la interposición de</w:t>
      </w:r>
      <w:r w:rsidR="00965568" w:rsidRPr="00D12FCF">
        <w:rPr>
          <w:rFonts w:cs="Arial"/>
        </w:rPr>
        <w:t xml:space="preserve"> </w:t>
      </w:r>
      <w:r w:rsidRPr="00D12FCF">
        <w:rPr>
          <w:rFonts w:cs="Arial"/>
        </w:rPr>
        <w:t>l</w:t>
      </w:r>
      <w:r w:rsidR="00965568" w:rsidRPr="00D12FCF">
        <w:rPr>
          <w:rFonts w:cs="Arial"/>
        </w:rPr>
        <w:t>os</w:t>
      </w:r>
      <w:r w:rsidRPr="00D12FCF">
        <w:rPr>
          <w:rFonts w:cs="Arial"/>
        </w:rPr>
        <w:t xml:space="preserve"> recurso</w:t>
      </w:r>
      <w:r w:rsidR="00B95544" w:rsidRPr="00D12FCF">
        <w:rPr>
          <w:rFonts w:cs="Arial"/>
        </w:rPr>
        <w:t>s</w:t>
      </w:r>
      <w:r w:rsidRPr="00D12FCF">
        <w:rPr>
          <w:rFonts w:cs="Arial"/>
        </w:rPr>
        <w:t xml:space="preserve"> de revisión, ya que </w:t>
      </w:r>
      <w:r w:rsidRPr="00D12FCF">
        <w:rPr>
          <w:rFonts w:eastAsia="Calibri" w:cs="Tahoma"/>
          <w:szCs w:val="22"/>
          <w:lang w:eastAsia="es-MX"/>
        </w:rPr>
        <w:t xml:space="preserve">se actualiza la causal de procedencia señalada en el artículo 179, fracción </w:t>
      </w:r>
      <w:r w:rsidR="00965568" w:rsidRPr="00D12FCF">
        <w:rPr>
          <w:rFonts w:eastAsia="Calibri" w:cs="Tahoma"/>
          <w:szCs w:val="22"/>
          <w:lang w:eastAsia="es-MX"/>
        </w:rPr>
        <w:t>I</w:t>
      </w:r>
      <w:r w:rsidRPr="00D12FCF">
        <w:rPr>
          <w:rFonts w:cs="Arial"/>
        </w:rPr>
        <w:t xml:space="preserve"> de la </w:t>
      </w:r>
      <w:r w:rsidRPr="00D12FCF">
        <w:t>Ley de Transparencia y Acceso a la Información Pública del Estado de México y Municipios.</w:t>
      </w:r>
    </w:p>
    <w:p w14:paraId="0EFF7141" w14:textId="77777777" w:rsidR="00362A11" w:rsidRPr="00D12FCF" w:rsidRDefault="00362A11" w:rsidP="00D12FCF"/>
    <w:p w14:paraId="2284D7EB" w14:textId="34E88DD9" w:rsidR="00BA55A8" w:rsidRPr="00D12FCF" w:rsidRDefault="00362A11" w:rsidP="00D12FCF">
      <w:pPr>
        <w:pStyle w:val="Ttulo3"/>
      </w:pPr>
      <w:bookmarkStart w:id="25" w:name="_Toc201208815"/>
      <w:r w:rsidRPr="00D12FCF">
        <w:lastRenderedPageBreak/>
        <w:t>e) Requisitos formales para la interposición de</w:t>
      </w:r>
      <w:r w:rsidR="00965568" w:rsidRPr="00D12FCF">
        <w:t xml:space="preserve"> </w:t>
      </w:r>
      <w:r w:rsidRPr="00D12FCF">
        <w:t>l</w:t>
      </w:r>
      <w:r w:rsidR="00965568" w:rsidRPr="00D12FCF">
        <w:t>os</w:t>
      </w:r>
      <w:r w:rsidRPr="00D12FCF">
        <w:t xml:space="preserve"> recurso</w:t>
      </w:r>
      <w:r w:rsidR="00D354EB" w:rsidRPr="00D12FCF">
        <w:t>s</w:t>
      </w:r>
      <w:bookmarkEnd w:id="25"/>
    </w:p>
    <w:p w14:paraId="6390674A" w14:textId="78A894DD" w:rsidR="00BA55A8" w:rsidRPr="00D12FCF" w:rsidRDefault="00BA55A8" w:rsidP="00D12FCF">
      <w:pPr>
        <w:rPr>
          <w:rFonts w:cs="Arial"/>
        </w:rPr>
      </w:pPr>
      <w:r w:rsidRPr="00D12FCF">
        <w:rPr>
          <w:rFonts w:cs="Arial"/>
          <w:b/>
          <w:bCs/>
        </w:rPr>
        <w:t xml:space="preserve">LA PARTE RECURRENTE </w:t>
      </w:r>
      <w:r w:rsidRPr="00D12FCF">
        <w:rPr>
          <w:rFonts w:cs="Arial"/>
        </w:rPr>
        <w:t>acreditó todos y cada uno de los elementos formales exigidos por el artículo 180 de la misma normatividad.</w:t>
      </w:r>
    </w:p>
    <w:p w14:paraId="20BDA7EE" w14:textId="77777777" w:rsidR="005F5301" w:rsidRPr="00D12FCF" w:rsidRDefault="005F5301" w:rsidP="00D12FCF">
      <w:pPr>
        <w:rPr>
          <w:rFonts w:cs="Arial"/>
        </w:rPr>
      </w:pPr>
    </w:p>
    <w:p w14:paraId="1E5C9B96" w14:textId="77777777" w:rsidR="005F5301" w:rsidRPr="00D12FCF" w:rsidRDefault="005F5301" w:rsidP="00D12FCF">
      <w:pPr>
        <w:rPr>
          <w:rFonts w:cs="Arial"/>
          <w:sz w:val="24"/>
          <w:szCs w:val="24"/>
          <w:lang w:val="es-ES"/>
        </w:rPr>
      </w:pPr>
      <w:r w:rsidRPr="00D12FCF">
        <w:rPr>
          <w:sz w:val="24"/>
          <w:szCs w:val="24"/>
          <w:lang w:val="es-ES"/>
        </w:rPr>
        <w:t xml:space="preserve">Es importante mencionar que, de la revisión del expediente electrónico del </w:t>
      </w:r>
      <w:r w:rsidRPr="00D12FCF">
        <w:rPr>
          <w:bCs/>
          <w:sz w:val="24"/>
          <w:szCs w:val="24"/>
          <w:lang w:val="es-ES"/>
        </w:rPr>
        <w:t>SAIMEX,</w:t>
      </w:r>
      <w:r w:rsidRPr="00D12FCF">
        <w:rPr>
          <w:sz w:val="24"/>
          <w:szCs w:val="24"/>
          <w:lang w:val="es-ES"/>
        </w:rPr>
        <w:t xml:space="preserve"> se observa que </w:t>
      </w:r>
      <w:r w:rsidRPr="00D12FCF">
        <w:rPr>
          <w:b/>
          <w:bCs/>
          <w:sz w:val="24"/>
          <w:szCs w:val="24"/>
          <w:lang w:val="es-ES"/>
        </w:rPr>
        <w:t>LA PARTE RECURRENTE</w:t>
      </w:r>
      <w:r w:rsidRPr="00D12FCF">
        <w:rPr>
          <w:sz w:val="24"/>
          <w:szCs w:val="24"/>
          <w:lang w:val="es-ES"/>
        </w:rPr>
        <w:t xml:space="preserve"> no proporcionó su nombre para ser identificado, lo que en estricto sentido provoca que </w:t>
      </w:r>
      <w:r w:rsidRPr="00D12FCF">
        <w:rPr>
          <w:rFonts w:cs="Arial"/>
          <w:sz w:val="24"/>
          <w:szCs w:val="24"/>
          <w:lang w:val="es-ES"/>
        </w:rPr>
        <w:t>no</w:t>
      </w:r>
      <w:r w:rsidRPr="00D12FCF">
        <w:rPr>
          <w:sz w:val="24"/>
          <w:szCs w:val="24"/>
          <w:lang w:val="es-ES"/>
        </w:rPr>
        <w:t xml:space="preserve"> se colmen los requisitos establecidos en el artículo 180 de la Ley de Transparencia; sin embargo, el artículo 15 de </w:t>
      </w:r>
      <w:r w:rsidRPr="00D12FCF">
        <w:rPr>
          <w:rFonts w:cs="Arial"/>
          <w:sz w:val="24"/>
          <w:szCs w:val="24"/>
          <w:lang w:val="es-ES" w:eastAsia="es-MX"/>
        </w:rPr>
        <w:t xml:space="preserve">Ley de Transparencia y Acceso a la </w:t>
      </w:r>
      <w:r w:rsidRPr="00D12FCF">
        <w:rPr>
          <w:rFonts w:cs="Arial"/>
          <w:sz w:val="24"/>
          <w:szCs w:val="24"/>
          <w:lang w:val="es-ES"/>
        </w:rPr>
        <w:t>Información</w:t>
      </w:r>
      <w:r w:rsidRPr="00D12FCF">
        <w:rPr>
          <w:rFonts w:cs="Arial"/>
          <w:sz w:val="24"/>
          <w:szCs w:val="24"/>
          <w:lang w:val="es-ES" w:eastAsia="es-MX"/>
        </w:rPr>
        <w:t xml:space="preserve"> Pública del Estado de México y Municipios </w:t>
      </w:r>
      <w:r w:rsidRPr="00D12FCF">
        <w:rPr>
          <w:rFonts w:cs="Arial"/>
          <w:iCs/>
          <w:sz w:val="24"/>
          <w:szCs w:val="24"/>
          <w:lang w:val="es-ES"/>
        </w:rPr>
        <w:t xml:space="preserve">prevé que </w:t>
      </w:r>
      <w:r w:rsidRPr="00D12FCF">
        <w:rPr>
          <w:sz w:val="24"/>
          <w:szCs w:val="24"/>
          <w:lang w:val="es-ES"/>
        </w:rPr>
        <w:t xml:space="preserve">toda persona tendrá acceso a la información </w:t>
      </w:r>
      <w:r w:rsidRPr="00D12FCF">
        <w:rPr>
          <w:rFonts w:cs="Arial"/>
          <w:sz w:val="24"/>
          <w:szCs w:val="24"/>
          <w:lang w:val="es-ES"/>
        </w:rPr>
        <w:t xml:space="preserve">sin necesidad de acreditar interés alguno o justificar su utilización, de lo que se infiere que </w:t>
      </w:r>
      <w:r w:rsidRPr="00D12FCF">
        <w:rPr>
          <w:rFonts w:cs="Arial"/>
          <w:b/>
          <w:sz w:val="24"/>
          <w:szCs w:val="24"/>
          <w:u w:val="single"/>
          <w:lang w:val="es-ES"/>
        </w:rPr>
        <w:t xml:space="preserve">el nombre no es un requisito </w:t>
      </w:r>
      <w:r w:rsidRPr="00D12FCF">
        <w:rPr>
          <w:rFonts w:cs="Arial"/>
          <w:b/>
          <w:iCs/>
          <w:sz w:val="24"/>
          <w:szCs w:val="24"/>
          <w:u w:val="single"/>
          <w:lang w:val="es-ES"/>
        </w:rPr>
        <w:t>indispensable</w:t>
      </w:r>
      <w:r w:rsidRPr="00D12FCF">
        <w:rPr>
          <w:rFonts w:cs="Arial"/>
          <w:sz w:val="24"/>
          <w:szCs w:val="24"/>
          <w:lang w:val="es-ES"/>
        </w:rPr>
        <w:t xml:space="preserve"> para que las y los ciudadanos ejerzan el derecho de acceso a la información pública. </w:t>
      </w:r>
    </w:p>
    <w:p w14:paraId="0DBCFA60" w14:textId="77777777" w:rsidR="005F5301" w:rsidRPr="00D12FCF" w:rsidRDefault="005F5301" w:rsidP="00D12FCF">
      <w:pPr>
        <w:rPr>
          <w:rFonts w:cs="Arial"/>
          <w:sz w:val="24"/>
          <w:szCs w:val="24"/>
          <w:lang w:val="es-ES"/>
        </w:rPr>
      </w:pPr>
    </w:p>
    <w:p w14:paraId="4B63C5CE" w14:textId="647DDEF6" w:rsidR="005F5301" w:rsidRPr="00D12FCF" w:rsidRDefault="005F5301" w:rsidP="00D12FCF">
      <w:pPr>
        <w:rPr>
          <w:sz w:val="24"/>
          <w:szCs w:val="24"/>
          <w:lang w:val="es-ES"/>
        </w:rPr>
      </w:pPr>
      <w:r w:rsidRPr="00D12FCF">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D12FCF">
        <w:rPr>
          <w:sz w:val="24"/>
          <w:szCs w:val="24"/>
          <w:lang w:val="es-ES"/>
        </w:rPr>
        <w:t xml:space="preserve"> </w:t>
      </w:r>
      <w:r w:rsidRPr="00D12FCF">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D12FCF">
        <w:rPr>
          <w:sz w:val="24"/>
          <w:szCs w:val="24"/>
          <w:lang w:val="es-ES"/>
        </w:rPr>
        <w:t>algunos</w:t>
      </w:r>
      <w:r w:rsidRPr="00D12FCF">
        <w:rPr>
          <w:sz w:val="24"/>
          <w:szCs w:val="24"/>
          <w:lang w:val="es-ES"/>
        </w:rPr>
        <w:t xml:space="preserve"> requisitos, entre ellos, el nombre de</w:t>
      </w:r>
      <w:r w:rsidR="00057B2D" w:rsidRPr="00D12FCF">
        <w:rPr>
          <w:sz w:val="24"/>
          <w:szCs w:val="24"/>
          <w:lang w:val="es-ES"/>
        </w:rPr>
        <w:t xml:space="preserve"> </w:t>
      </w:r>
      <w:r w:rsidR="00057B2D" w:rsidRPr="00D12FCF">
        <w:rPr>
          <w:b/>
          <w:bCs/>
          <w:sz w:val="24"/>
          <w:szCs w:val="24"/>
          <w:lang w:val="es-ES"/>
        </w:rPr>
        <w:t>LA PARTE RECURRENTE</w:t>
      </w:r>
      <w:r w:rsidRPr="00D12FCF">
        <w:rPr>
          <w:rFonts w:cs="Arial"/>
          <w:b/>
          <w:sz w:val="24"/>
          <w:szCs w:val="24"/>
          <w:lang w:val="es-ES"/>
        </w:rPr>
        <w:t>;</w:t>
      </w:r>
      <w:r w:rsidRPr="00D12FCF">
        <w:rPr>
          <w:sz w:val="24"/>
          <w:szCs w:val="24"/>
          <w:lang w:val="es-ES"/>
        </w:rPr>
        <w:t xml:space="preserve"> por lo que, en el presente caso, al haber sido presentado el recurso de revisión vía </w:t>
      </w:r>
      <w:r w:rsidRPr="00D12FCF">
        <w:rPr>
          <w:bCs/>
          <w:sz w:val="24"/>
          <w:szCs w:val="24"/>
          <w:lang w:val="es-ES"/>
        </w:rPr>
        <w:t>SAIMEX</w:t>
      </w:r>
      <w:r w:rsidRPr="00D12FCF">
        <w:rPr>
          <w:sz w:val="24"/>
          <w:szCs w:val="24"/>
          <w:lang w:val="es-ES"/>
        </w:rPr>
        <w:t>, dicho requisito resulta innecesario.</w:t>
      </w:r>
    </w:p>
    <w:p w14:paraId="7744E955" w14:textId="77777777" w:rsidR="00575400" w:rsidRPr="00D12FCF" w:rsidRDefault="00575400" w:rsidP="00D12FCF">
      <w:pPr>
        <w:rPr>
          <w:rFonts w:cs="Arial"/>
        </w:rPr>
      </w:pPr>
    </w:p>
    <w:p w14:paraId="1E55F6E2" w14:textId="685B7BAE" w:rsidR="00575400" w:rsidRPr="00D12FCF" w:rsidRDefault="00575400" w:rsidP="00D12FCF">
      <w:pPr>
        <w:pStyle w:val="Ttulo3"/>
      </w:pPr>
      <w:bookmarkStart w:id="26" w:name="_Toc201208816"/>
      <w:r w:rsidRPr="00D12FCF">
        <w:lastRenderedPageBreak/>
        <w:t>f) Acumulación de los Recursos de Revisión</w:t>
      </w:r>
      <w:bookmarkEnd w:id="26"/>
    </w:p>
    <w:p w14:paraId="48C8D8CC" w14:textId="25C57ECC" w:rsidR="00575400" w:rsidRPr="00D12FCF" w:rsidRDefault="00575400" w:rsidP="00D12FCF">
      <w:r w:rsidRPr="00D12FCF">
        <w:rPr>
          <w:rFonts w:eastAsiaTheme="minorEastAsia"/>
          <w:lang w:val="es-ES_tradnl"/>
        </w:rPr>
        <w:t>De las constancias que obran en los expedientes acumulados, se advierte que los recursos de revisión</w:t>
      </w:r>
      <w:r w:rsidRPr="00D12FCF">
        <w:rPr>
          <w:rFonts w:eastAsiaTheme="minorEastAsia" w:cstheme="minorBidi"/>
          <w:lang w:val="es-ES_tradnl"/>
        </w:rPr>
        <w:t xml:space="preserve"> </w:t>
      </w:r>
      <w:r w:rsidR="00965568" w:rsidRPr="00D12FCF">
        <w:rPr>
          <w:rFonts w:cs="Arial"/>
          <w:b/>
          <w:bCs/>
        </w:rPr>
        <w:t xml:space="preserve">04792/INFOEM/IP/RR/2025 y 04794/INFOEM/IP/RR/2025 </w:t>
      </w:r>
      <w:r w:rsidRPr="00D12FCF">
        <w:rPr>
          <w:rFonts w:eastAsiaTheme="minorEastAsia"/>
          <w:lang w:val="es-ES_tradnl"/>
        </w:rPr>
        <w:t xml:space="preserve">fueron presentados por </w:t>
      </w:r>
      <w:r w:rsidR="00CD0B92" w:rsidRPr="00D12FCF">
        <w:rPr>
          <w:rFonts w:eastAsiaTheme="minorEastAsia"/>
          <w:lang w:val="es-ES_tradnl"/>
        </w:rPr>
        <w:t>la</w:t>
      </w:r>
      <w:r w:rsidRPr="00D12FCF">
        <w:rPr>
          <w:rFonts w:eastAsiaTheme="minorEastAsia"/>
          <w:lang w:val="es-ES_tradnl"/>
        </w:rPr>
        <w:t xml:space="preserve"> mism</w:t>
      </w:r>
      <w:r w:rsidR="00CD0B92" w:rsidRPr="00D12FCF">
        <w:rPr>
          <w:rFonts w:eastAsiaTheme="minorEastAsia"/>
          <w:lang w:val="es-ES_tradnl"/>
        </w:rPr>
        <w:t>a</w:t>
      </w:r>
      <w:r w:rsidRPr="00D12FCF">
        <w:rPr>
          <w:rFonts w:eastAsiaTheme="minorEastAsia"/>
          <w:lang w:val="es-ES_tradnl"/>
        </w:rPr>
        <w:t xml:space="preserve"> </w:t>
      </w:r>
      <w:r w:rsidR="00CD0B92" w:rsidRPr="00D12FCF">
        <w:rPr>
          <w:rFonts w:eastAsiaTheme="minorEastAsia"/>
          <w:b/>
          <w:lang w:val="es-ES_tradnl"/>
        </w:rPr>
        <w:t>PARTE RECURRENTE</w:t>
      </w:r>
      <w:r w:rsidRPr="00D12FCF">
        <w:rPr>
          <w:rFonts w:eastAsiaTheme="minorEastAsia"/>
          <w:lang w:val="es-ES_tradnl"/>
        </w:rPr>
        <w:t xml:space="preserve"> respecto de actos u omisiones</w:t>
      </w:r>
      <w:r w:rsidR="00CD0B92" w:rsidRPr="00D12FCF">
        <w:rPr>
          <w:rFonts w:eastAsiaTheme="minorEastAsia"/>
          <w:lang w:val="es-ES_tradnl"/>
        </w:rPr>
        <w:t xml:space="preserve"> similares, realizados por el</w:t>
      </w:r>
      <w:r w:rsidRPr="00D12FCF">
        <w:rPr>
          <w:rFonts w:eastAsiaTheme="minorEastAsia"/>
          <w:lang w:val="es-ES_tradnl"/>
        </w:rPr>
        <w:t xml:space="preserve"> mismo </w:t>
      </w:r>
      <w:r w:rsidRPr="00D12FCF">
        <w:rPr>
          <w:rFonts w:eastAsiaTheme="minorEastAsia"/>
          <w:b/>
          <w:lang w:val="es-ES_tradnl"/>
        </w:rPr>
        <w:t>SUJETO OBLIGADO</w:t>
      </w:r>
      <w:r w:rsidRPr="00D12FCF">
        <w:rPr>
          <w:rFonts w:eastAsiaTheme="minorEastAsia"/>
          <w:lang w:val="es-ES_tradnl"/>
        </w:rPr>
        <w:t>, razón por la cual</w:t>
      </w:r>
      <w:r w:rsidR="00CD0B92" w:rsidRPr="00D12FCF">
        <w:rPr>
          <w:rFonts w:eastAsiaTheme="minorEastAsia"/>
          <w:lang w:val="es-ES_tradnl"/>
        </w:rPr>
        <w:t xml:space="preserve">, con la finalidad de evitar la emisión de resoluciones contradictorias, </w:t>
      </w:r>
      <w:r w:rsidRPr="00D12FCF">
        <w:rPr>
          <w:rFonts w:eastAsiaTheme="minorEastAsia"/>
          <w:lang w:val="es-ES_tradnl"/>
        </w:rPr>
        <w:t xml:space="preserve">este Órgano Garante realizó la acumulación respectiva, de conformidad con lo dispuesto en el artículo 18 del </w:t>
      </w:r>
      <w:r w:rsidRPr="00D12FCF">
        <w:rPr>
          <w:rFonts w:eastAsiaTheme="minorEastAsia"/>
          <w:lang w:val="es-ES"/>
        </w:rPr>
        <w:t xml:space="preserve">Código de Procedimientos Administrativos del Estado de México, de aplicación supletoria en términos del </w:t>
      </w:r>
      <w:r w:rsidRPr="00D12FCF">
        <w:rPr>
          <w:rFonts w:eastAsiaTheme="minorEastAsia"/>
          <w:lang w:val="es-ES_tradnl"/>
        </w:rPr>
        <w:t xml:space="preserve">artículo 195 de </w:t>
      </w:r>
      <w:r w:rsidRPr="00D12FCF">
        <w:rPr>
          <w:rFonts w:eastAsiaTheme="minorEastAsia" w:cstheme="minorBidi"/>
          <w:lang w:val="es-ES_tradnl"/>
        </w:rPr>
        <w:t>la Ley de Transparencia y Acceso a la Información Pública del Estado de México y Municipios en vigor</w:t>
      </w:r>
      <w:r w:rsidR="00CD0B92" w:rsidRPr="00D12FCF">
        <w:rPr>
          <w:rFonts w:eastAsiaTheme="minorEastAsia" w:cstheme="minorBidi"/>
          <w:lang w:val="es-ES_tradnl"/>
        </w:rPr>
        <w:t>.</w:t>
      </w:r>
    </w:p>
    <w:p w14:paraId="3A121826" w14:textId="77777777" w:rsidR="00C461EC" w:rsidRPr="00D12FCF" w:rsidRDefault="00C461EC" w:rsidP="00D12FCF">
      <w:pPr>
        <w:ind w:left="-57"/>
        <w:rPr>
          <w:bCs/>
          <w:lang w:val="es-ES_tradnl"/>
        </w:rPr>
      </w:pPr>
    </w:p>
    <w:p w14:paraId="457548E9" w14:textId="3F7AF03B" w:rsidR="00C71CEF" w:rsidRPr="00D12FCF" w:rsidRDefault="00C71CEF" w:rsidP="00D12FCF">
      <w:pPr>
        <w:pStyle w:val="Ttulo2"/>
      </w:pPr>
      <w:bookmarkStart w:id="27" w:name="_Toc201208817"/>
      <w:r w:rsidRPr="00D12FCF">
        <w:t>SEGUNDO. Estudio de Fondo</w:t>
      </w:r>
      <w:bookmarkEnd w:id="27"/>
    </w:p>
    <w:p w14:paraId="2A308F59" w14:textId="0FF373F0" w:rsidR="00C049E2" w:rsidRPr="00D12FCF" w:rsidRDefault="00C71CEF" w:rsidP="00D12FCF">
      <w:pPr>
        <w:pStyle w:val="Ttulo3"/>
      </w:pPr>
      <w:bookmarkStart w:id="28" w:name="_Toc201208818"/>
      <w:r w:rsidRPr="00D12FCF">
        <w:t>a</w:t>
      </w:r>
      <w:r w:rsidR="00C049E2" w:rsidRPr="00D12FCF">
        <w:t>) Mandato de transparencia y responsabilidad del Sujeto Obligado</w:t>
      </w:r>
      <w:bookmarkEnd w:id="28"/>
    </w:p>
    <w:p w14:paraId="6901A889" w14:textId="59EEDAE1" w:rsidR="00C049E2" w:rsidRPr="00D12FCF" w:rsidRDefault="00C049E2" w:rsidP="00D12FCF">
      <w:pPr>
        <w:rPr>
          <w:rFonts w:eastAsia="Palatino Linotype"/>
        </w:rPr>
      </w:pPr>
      <w:r w:rsidRPr="00D12FCF">
        <w:rPr>
          <w:rFonts w:eastAsia="Palatino Linotype"/>
        </w:rPr>
        <w:t xml:space="preserve">El </w:t>
      </w:r>
      <w:r w:rsidR="00717E59" w:rsidRPr="00D12FCF">
        <w:rPr>
          <w:rFonts w:eastAsia="Palatino Linotype"/>
        </w:rPr>
        <w:t>d</w:t>
      </w:r>
      <w:r w:rsidRPr="00D12FCF">
        <w:rPr>
          <w:rFonts w:eastAsia="Palatino Linotype"/>
        </w:rPr>
        <w:t xml:space="preserve">erecho de </w:t>
      </w:r>
      <w:r w:rsidR="00717E59" w:rsidRPr="00D12FCF">
        <w:rPr>
          <w:rFonts w:eastAsia="Palatino Linotype"/>
        </w:rPr>
        <w:t>a</w:t>
      </w:r>
      <w:r w:rsidRPr="00D12FCF">
        <w:rPr>
          <w:rFonts w:eastAsia="Palatino Linotype"/>
        </w:rPr>
        <w:t xml:space="preserve">cceso a la </w:t>
      </w:r>
      <w:r w:rsidR="00717E59" w:rsidRPr="00D12FCF">
        <w:rPr>
          <w:rFonts w:eastAsia="Palatino Linotype"/>
        </w:rPr>
        <w:t>i</w:t>
      </w:r>
      <w:r w:rsidRPr="00D12FCF">
        <w:rPr>
          <w:rFonts w:eastAsia="Palatino Linotype"/>
        </w:rPr>
        <w:t xml:space="preserve">nformación </w:t>
      </w:r>
      <w:r w:rsidR="00717E59" w:rsidRPr="00D12FCF">
        <w:rPr>
          <w:rFonts w:eastAsia="Palatino Linotype"/>
        </w:rPr>
        <w:t>p</w:t>
      </w:r>
      <w:r w:rsidRPr="00D12FC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12FCF">
        <w:rPr>
          <w:rFonts w:eastAsia="Palatino Linotype"/>
        </w:rPr>
        <w:t>:</w:t>
      </w:r>
    </w:p>
    <w:p w14:paraId="7FAB8D32" w14:textId="77777777" w:rsidR="00C049E2" w:rsidRPr="00D12FCF" w:rsidRDefault="00C049E2" w:rsidP="00D12FCF">
      <w:pPr>
        <w:rPr>
          <w:rFonts w:eastAsia="Palatino Linotype"/>
        </w:rPr>
      </w:pPr>
    </w:p>
    <w:p w14:paraId="05320813" w14:textId="77777777" w:rsidR="00C049E2" w:rsidRPr="00D12FCF" w:rsidRDefault="00C049E2" w:rsidP="00D12FCF">
      <w:pPr>
        <w:spacing w:line="240" w:lineRule="auto"/>
        <w:ind w:left="567" w:right="539"/>
        <w:rPr>
          <w:rFonts w:eastAsia="Palatino Linotype"/>
          <w:b/>
          <w:i/>
        </w:rPr>
      </w:pPr>
      <w:r w:rsidRPr="00D12FCF">
        <w:rPr>
          <w:rFonts w:eastAsia="Palatino Linotype"/>
          <w:b/>
          <w:i/>
        </w:rPr>
        <w:t>Constitución Política de los Estados Unidos Mexicanos</w:t>
      </w:r>
    </w:p>
    <w:p w14:paraId="6B6C67B6" w14:textId="77777777" w:rsidR="00C049E2" w:rsidRPr="00D12FCF" w:rsidRDefault="00C049E2" w:rsidP="00D12FCF">
      <w:pPr>
        <w:spacing w:line="240" w:lineRule="auto"/>
        <w:ind w:left="567" w:right="539"/>
        <w:rPr>
          <w:rFonts w:eastAsia="Palatino Linotype"/>
          <w:b/>
          <w:i/>
        </w:rPr>
      </w:pPr>
      <w:r w:rsidRPr="00D12FCF">
        <w:rPr>
          <w:rFonts w:eastAsia="Palatino Linotype"/>
          <w:b/>
          <w:i/>
        </w:rPr>
        <w:t>“Artículo 6.</w:t>
      </w:r>
    </w:p>
    <w:p w14:paraId="38D3B4C4" w14:textId="77777777" w:rsidR="00C049E2" w:rsidRPr="00D12FCF" w:rsidRDefault="00C049E2" w:rsidP="00D12FCF">
      <w:pPr>
        <w:spacing w:line="240" w:lineRule="auto"/>
        <w:ind w:left="567" w:right="539"/>
        <w:rPr>
          <w:rFonts w:eastAsia="Palatino Linotype"/>
          <w:i/>
        </w:rPr>
      </w:pPr>
      <w:r w:rsidRPr="00D12FCF">
        <w:rPr>
          <w:rFonts w:eastAsia="Palatino Linotype"/>
          <w:i/>
        </w:rPr>
        <w:t>(…)</w:t>
      </w:r>
    </w:p>
    <w:p w14:paraId="2CCAA297" w14:textId="6602827B" w:rsidR="00C049E2" w:rsidRPr="00D12FCF" w:rsidRDefault="00C049E2" w:rsidP="00D12FCF">
      <w:pPr>
        <w:spacing w:line="240" w:lineRule="auto"/>
        <w:ind w:left="567" w:right="539"/>
        <w:rPr>
          <w:rFonts w:eastAsia="Palatino Linotype"/>
          <w:i/>
        </w:rPr>
      </w:pPr>
      <w:r w:rsidRPr="00D12FCF">
        <w:rPr>
          <w:rFonts w:eastAsia="Palatino Linotype"/>
          <w:i/>
        </w:rPr>
        <w:t>Para efectos de lo dispuesto en el presente artículo se observará lo siguiente:</w:t>
      </w:r>
    </w:p>
    <w:p w14:paraId="74CC3718" w14:textId="77777777" w:rsidR="00C049E2" w:rsidRPr="00D12FCF" w:rsidRDefault="00C049E2" w:rsidP="00D12FCF">
      <w:pPr>
        <w:spacing w:line="240" w:lineRule="auto"/>
        <w:ind w:left="567" w:right="539"/>
        <w:rPr>
          <w:rFonts w:eastAsia="Palatino Linotype"/>
          <w:b/>
          <w:i/>
        </w:rPr>
      </w:pPr>
      <w:r w:rsidRPr="00D12FCF">
        <w:rPr>
          <w:rFonts w:eastAsia="Palatino Linotype"/>
          <w:b/>
          <w:i/>
        </w:rPr>
        <w:t>A</w:t>
      </w:r>
      <w:r w:rsidRPr="00D12FCF">
        <w:rPr>
          <w:rFonts w:eastAsia="Palatino Linotype"/>
          <w:i/>
        </w:rPr>
        <w:t xml:space="preserve">. </w:t>
      </w:r>
      <w:r w:rsidRPr="00D12FCF">
        <w:rPr>
          <w:rFonts w:eastAsia="Palatino Linotype"/>
          <w:b/>
          <w:i/>
        </w:rPr>
        <w:t>Para el ejercicio del derecho de acceso a la información</w:t>
      </w:r>
      <w:r w:rsidRPr="00D12FCF">
        <w:rPr>
          <w:rFonts w:eastAsia="Palatino Linotype"/>
          <w:i/>
        </w:rPr>
        <w:t xml:space="preserve">, la Federación y </w:t>
      </w:r>
      <w:r w:rsidRPr="00D12FCF">
        <w:rPr>
          <w:rFonts w:eastAsia="Palatino Linotype"/>
          <w:b/>
          <w:i/>
        </w:rPr>
        <w:t>las entidades federativas, en el ámbito de sus respectivas competencias, se regirán por los siguientes principios y bases:</w:t>
      </w:r>
    </w:p>
    <w:p w14:paraId="596A956B" w14:textId="77777777" w:rsidR="00C049E2" w:rsidRPr="00D12FCF" w:rsidRDefault="00C049E2" w:rsidP="00D12FCF">
      <w:pPr>
        <w:spacing w:line="240" w:lineRule="auto"/>
        <w:ind w:left="567" w:right="539"/>
        <w:rPr>
          <w:rFonts w:eastAsia="Palatino Linotype"/>
          <w:i/>
        </w:rPr>
      </w:pPr>
      <w:r w:rsidRPr="00D12FCF">
        <w:rPr>
          <w:rFonts w:eastAsia="Palatino Linotype"/>
          <w:b/>
          <w:i/>
        </w:rPr>
        <w:t xml:space="preserve">I. </w:t>
      </w:r>
      <w:r w:rsidRPr="00D12FCF">
        <w:rPr>
          <w:rFonts w:eastAsia="Palatino Linotype"/>
          <w:b/>
          <w:i/>
        </w:rPr>
        <w:tab/>
        <w:t>Toda la información en posesión de cualquier</w:t>
      </w:r>
      <w:r w:rsidRPr="00D12FCF">
        <w:rPr>
          <w:rFonts w:eastAsia="Palatino Linotype"/>
          <w:i/>
        </w:rPr>
        <w:t xml:space="preserve"> </w:t>
      </w:r>
      <w:r w:rsidRPr="00D12FCF">
        <w:rPr>
          <w:rFonts w:eastAsia="Palatino Linotype"/>
          <w:b/>
          <w:i/>
        </w:rPr>
        <w:t>autoridad</w:t>
      </w:r>
      <w:r w:rsidRPr="00D12FC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2FCF">
        <w:rPr>
          <w:rFonts w:eastAsia="Palatino Linotype"/>
          <w:b/>
          <w:i/>
        </w:rPr>
        <w:t>municipal</w:t>
      </w:r>
      <w:r w:rsidRPr="00D12FCF">
        <w:rPr>
          <w:rFonts w:eastAsia="Palatino Linotype"/>
          <w:i/>
        </w:rPr>
        <w:t xml:space="preserve">, </w:t>
      </w:r>
      <w:r w:rsidRPr="00D12FCF">
        <w:rPr>
          <w:rFonts w:eastAsia="Palatino Linotype"/>
          <w:b/>
          <w:i/>
        </w:rPr>
        <w:t>es pública</w:t>
      </w:r>
      <w:r w:rsidRPr="00D12FCF">
        <w:rPr>
          <w:rFonts w:eastAsia="Palatino Linotype"/>
          <w:i/>
        </w:rPr>
        <w:t xml:space="preserve"> y sólo podrá ser reservada temporalmente por razones de interés público y seguridad nacional, en los términos que fijen las leyes. </w:t>
      </w:r>
      <w:r w:rsidRPr="00D12FCF">
        <w:rPr>
          <w:rFonts w:eastAsia="Palatino Linotype"/>
          <w:b/>
          <w:i/>
        </w:rPr>
        <w:t xml:space="preserve">En la </w:t>
      </w:r>
      <w:r w:rsidRPr="00D12FCF">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D12FCF">
        <w:rPr>
          <w:rFonts w:eastAsia="Palatino Linotype"/>
          <w:i/>
        </w:rPr>
        <w:t>, la ley determinará los supuestos específicos bajo los cuales procederá la declaración de inexistencia de la información.”</w:t>
      </w:r>
    </w:p>
    <w:p w14:paraId="68F313E4" w14:textId="77777777" w:rsidR="00C049E2" w:rsidRPr="00D12FCF" w:rsidRDefault="00C049E2" w:rsidP="00D12FCF">
      <w:pPr>
        <w:spacing w:line="240" w:lineRule="auto"/>
        <w:ind w:left="567" w:right="539"/>
        <w:rPr>
          <w:rFonts w:eastAsia="Palatino Linotype"/>
          <w:b/>
          <w:i/>
        </w:rPr>
      </w:pPr>
    </w:p>
    <w:p w14:paraId="504F12DB" w14:textId="77777777" w:rsidR="00C049E2" w:rsidRPr="00D12FCF" w:rsidRDefault="00C049E2" w:rsidP="00D12FCF">
      <w:pPr>
        <w:spacing w:line="240" w:lineRule="auto"/>
        <w:ind w:left="567" w:right="539"/>
        <w:rPr>
          <w:rFonts w:eastAsia="Palatino Linotype"/>
          <w:b/>
          <w:i/>
        </w:rPr>
      </w:pPr>
      <w:r w:rsidRPr="00D12FCF">
        <w:rPr>
          <w:rFonts w:eastAsia="Palatino Linotype"/>
          <w:b/>
          <w:i/>
        </w:rPr>
        <w:t>Constitución Política del Estado Libre y Soberano de México</w:t>
      </w:r>
    </w:p>
    <w:p w14:paraId="04932D29" w14:textId="77777777" w:rsidR="00C049E2" w:rsidRPr="00D12FCF" w:rsidRDefault="00C049E2" w:rsidP="00D12FCF">
      <w:pPr>
        <w:spacing w:line="240" w:lineRule="auto"/>
        <w:ind w:left="567" w:right="539"/>
        <w:rPr>
          <w:rFonts w:eastAsia="Palatino Linotype"/>
          <w:i/>
        </w:rPr>
      </w:pPr>
      <w:r w:rsidRPr="00D12FCF">
        <w:rPr>
          <w:rFonts w:eastAsia="Palatino Linotype"/>
          <w:b/>
          <w:i/>
        </w:rPr>
        <w:t>“Artículo 5</w:t>
      </w:r>
      <w:r w:rsidRPr="00D12FCF">
        <w:rPr>
          <w:rFonts w:eastAsia="Palatino Linotype"/>
          <w:i/>
        </w:rPr>
        <w:t xml:space="preserve">.- </w:t>
      </w:r>
    </w:p>
    <w:p w14:paraId="1D3829F4" w14:textId="77777777" w:rsidR="00C049E2" w:rsidRPr="00D12FCF" w:rsidRDefault="00C049E2" w:rsidP="00D12FCF">
      <w:pPr>
        <w:spacing w:line="240" w:lineRule="auto"/>
        <w:ind w:left="567" w:right="539"/>
        <w:rPr>
          <w:rFonts w:eastAsia="Palatino Linotype"/>
          <w:i/>
        </w:rPr>
      </w:pPr>
      <w:r w:rsidRPr="00D12FCF">
        <w:rPr>
          <w:rFonts w:eastAsia="Palatino Linotype"/>
          <w:i/>
        </w:rPr>
        <w:t>(…)</w:t>
      </w:r>
    </w:p>
    <w:p w14:paraId="0EAE47FD" w14:textId="77777777" w:rsidR="00C049E2" w:rsidRPr="00D12FCF" w:rsidRDefault="00C049E2" w:rsidP="00D12FCF">
      <w:pPr>
        <w:spacing w:line="240" w:lineRule="auto"/>
        <w:ind w:left="567" w:right="539"/>
        <w:rPr>
          <w:rFonts w:eastAsia="Palatino Linotype"/>
          <w:i/>
        </w:rPr>
      </w:pPr>
      <w:r w:rsidRPr="00D12FCF">
        <w:rPr>
          <w:rFonts w:eastAsia="Palatino Linotype"/>
          <w:b/>
          <w:i/>
        </w:rPr>
        <w:t>El derecho a la información será garantizado por el Estado. La ley establecerá las previsiones que permitan asegurar la protección, el respeto y la difusión de este derecho</w:t>
      </w:r>
      <w:r w:rsidRPr="00D12FCF">
        <w:rPr>
          <w:rFonts w:eastAsia="Palatino Linotype"/>
          <w:i/>
        </w:rPr>
        <w:t>.</w:t>
      </w:r>
    </w:p>
    <w:p w14:paraId="4F0C804A" w14:textId="77777777" w:rsidR="00C049E2" w:rsidRPr="00D12FCF" w:rsidRDefault="00C049E2" w:rsidP="00D12FCF">
      <w:pPr>
        <w:spacing w:line="240" w:lineRule="auto"/>
        <w:ind w:left="567" w:right="539"/>
        <w:rPr>
          <w:rFonts w:eastAsia="Palatino Linotype"/>
          <w:i/>
        </w:rPr>
      </w:pPr>
      <w:r w:rsidRPr="00D12FC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12FCF" w:rsidRDefault="00C049E2" w:rsidP="00D12FCF">
      <w:pPr>
        <w:spacing w:line="240" w:lineRule="auto"/>
        <w:ind w:left="567" w:right="539"/>
        <w:rPr>
          <w:rFonts w:eastAsia="Palatino Linotype"/>
          <w:i/>
        </w:rPr>
      </w:pPr>
      <w:r w:rsidRPr="00D12FCF">
        <w:rPr>
          <w:rFonts w:eastAsia="Palatino Linotype"/>
          <w:b/>
          <w:i/>
        </w:rPr>
        <w:t>Este derecho se regirá por los principios y bases siguientes</w:t>
      </w:r>
      <w:r w:rsidRPr="00D12FCF">
        <w:rPr>
          <w:rFonts w:eastAsia="Palatino Linotype"/>
          <w:i/>
        </w:rPr>
        <w:t>:</w:t>
      </w:r>
    </w:p>
    <w:p w14:paraId="4A3E8CBA" w14:textId="77777777" w:rsidR="00C049E2" w:rsidRPr="00D12FCF" w:rsidRDefault="00C049E2" w:rsidP="00D12FCF">
      <w:pPr>
        <w:spacing w:line="240" w:lineRule="auto"/>
        <w:ind w:left="567" w:right="539"/>
        <w:rPr>
          <w:rFonts w:eastAsia="Palatino Linotype"/>
          <w:i/>
        </w:rPr>
      </w:pPr>
      <w:r w:rsidRPr="00D12FCF">
        <w:rPr>
          <w:rFonts w:eastAsia="Palatino Linotype"/>
          <w:b/>
          <w:i/>
        </w:rPr>
        <w:t>I. Toda la información en posesión de cualquier autoridad, entidad, órgano y organismos de los</w:t>
      </w:r>
      <w:r w:rsidRPr="00D12FCF">
        <w:rPr>
          <w:rFonts w:eastAsia="Palatino Linotype"/>
          <w:i/>
        </w:rPr>
        <w:t xml:space="preserve"> Poderes Ejecutivo, Legislativo y Judicial, órganos autónomos, partidos políticos, fideicomisos y fondos públicos estatales y </w:t>
      </w:r>
      <w:r w:rsidRPr="00D12FCF">
        <w:rPr>
          <w:rFonts w:eastAsia="Palatino Linotype"/>
          <w:b/>
          <w:i/>
        </w:rPr>
        <w:t>municipales</w:t>
      </w:r>
      <w:r w:rsidRPr="00D12FC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2FCF">
        <w:rPr>
          <w:rFonts w:eastAsia="Palatino Linotype"/>
          <w:b/>
          <w:i/>
        </w:rPr>
        <w:t>es pública</w:t>
      </w:r>
      <w:r w:rsidRPr="00D12FC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12FCF">
        <w:rPr>
          <w:rFonts w:eastAsia="Palatino Linotype"/>
          <w:b/>
          <w:i/>
        </w:rPr>
        <w:t>En la interpretación de este derecho deberá prevalecer el principio de máxima publicidad</w:t>
      </w:r>
      <w:r w:rsidRPr="00D12FCF">
        <w:rPr>
          <w:rFonts w:eastAsia="Palatino Linotype"/>
          <w:i/>
        </w:rPr>
        <w:t xml:space="preserve">. </w:t>
      </w:r>
      <w:r w:rsidRPr="00D12FCF">
        <w:rPr>
          <w:rFonts w:eastAsia="Palatino Linotype"/>
          <w:b/>
          <w:i/>
        </w:rPr>
        <w:t>Los sujetos obligados deberán documentar todo acto que derive del ejercicio de sus facultades, competencias o funciones</w:t>
      </w:r>
      <w:r w:rsidRPr="00D12FCF">
        <w:rPr>
          <w:rFonts w:eastAsia="Palatino Linotype"/>
          <w:i/>
        </w:rPr>
        <w:t>, la ley determinará los supuestos específicos bajo los cuales procederá la declaración de inexistencia de la información.”</w:t>
      </w:r>
    </w:p>
    <w:p w14:paraId="5CA98E37" w14:textId="77777777" w:rsidR="00C049E2" w:rsidRPr="00D12FCF" w:rsidRDefault="00C049E2" w:rsidP="00D12FCF">
      <w:pPr>
        <w:rPr>
          <w:rFonts w:eastAsia="Palatino Linotype"/>
          <w:b/>
          <w:i/>
        </w:rPr>
      </w:pPr>
    </w:p>
    <w:p w14:paraId="6FC1BB3B" w14:textId="3BF4A33D" w:rsidR="00C049E2" w:rsidRPr="00D12FCF" w:rsidRDefault="00717E59" w:rsidP="00D12FCF">
      <w:pPr>
        <w:rPr>
          <w:rFonts w:eastAsia="Palatino Linotype"/>
          <w:i/>
        </w:rPr>
      </w:pPr>
      <w:r w:rsidRPr="00D12FCF">
        <w:rPr>
          <w:rFonts w:eastAsia="Palatino Linotype"/>
        </w:rPr>
        <w:t xml:space="preserve">Asimismo, </w:t>
      </w:r>
      <w:r w:rsidR="00C049E2" w:rsidRPr="00D12FCF">
        <w:rPr>
          <w:rFonts w:eastAsia="Palatino Linotype"/>
        </w:rPr>
        <w:t>el artículo 150 de la Ley de Transparencia y Acceso a la Información Pública del Estado de México y Municipios</w:t>
      </w:r>
      <w:r w:rsidR="00057B2D" w:rsidRPr="00D12FCF">
        <w:rPr>
          <w:rFonts w:eastAsia="Palatino Linotype"/>
        </w:rPr>
        <w:t xml:space="preserve"> </w:t>
      </w:r>
      <w:r w:rsidR="00E9335C" w:rsidRPr="00D12FCF">
        <w:rPr>
          <w:rFonts w:eastAsia="Palatino Linotype"/>
        </w:rPr>
        <w:t xml:space="preserve">indica </w:t>
      </w:r>
      <w:r w:rsidR="00057B2D" w:rsidRPr="00D12FCF">
        <w:rPr>
          <w:rFonts w:eastAsia="Palatino Linotype"/>
        </w:rPr>
        <w:t>que</w:t>
      </w:r>
      <w:r w:rsidR="00C049E2" w:rsidRPr="00D12FCF">
        <w:rPr>
          <w:rFonts w:eastAsia="Palatino Linotype"/>
        </w:rPr>
        <w:t xml:space="preserve"> la solicitud es la garantía primaria del Derecho de Acceso a la Información, además, establece que se regirá </w:t>
      </w:r>
      <w:r w:rsidR="00C049E2" w:rsidRPr="00D12FCF">
        <w:rPr>
          <w:rFonts w:eastAsia="Palatino Linotype"/>
          <w:i/>
        </w:rPr>
        <w:t>por los principios de simplicidad, rapidez</w:t>
      </w:r>
      <w:r w:rsidR="005F65B7" w:rsidRPr="00D12FCF">
        <w:rPr>
          <w:rFonts w:eastAsia="Palatino Linotype"/>
          <w:i/>
        </w:rPr>
        <w:t>,</w:t>
      </w:r>
      <w:r w:rsidR="00C049E2" w:rsidRPr="00D12FCF">
        <w:rPr>
          <w:rFonts w:eastAsia="Palatino Linotype"/>
          <w:i/>
        </w:rPr>
        <w:t xml:space="preserve"> gratuidad del procedimiento, auxilio y orientación a los particulare</w:t>
      </w:r>
      <w:r w:rsidR="001A58B3" w:rsidRPr="00D12FCF">
        <w:rPr>
          <w:rFonts w:eastAsia="Palatino Linotype"/>
          <w:i/>
        </w:rPr>
        <w:t>s.</w:t>
      </w:r>
    </w:p>
    <w:p w14:paraId="033466A6" w14:textId="77777777" w:rsidR="001A58B3" w:rsidRPr="00D12FCF" w:rsidRDefault="001A58B3" w:rsidP="00D12FCF">
      <w:pPr>
        <w:rPr>
          <w:rFonts w:eastAsia="Palatino Linotype"/>
          <w:i/>
        </w:rPr>
      </w:pPr>
    </w:p>
    <w:p w14:paraId="04ADA10B" w14:textId="574A944A" w:rsidR="001A58B3" w:rsidRPr="00D12FCF" w:rsidRDefault="00233F17" w:rsidP="00D12FCF">
      <w:pPr>
        <w:rPr>
          <w:rFonts w:eastAsia="Palatino Linotype" w:cs="Palatino Linotype"/>
          <w:i/>
          <w:szCs w:val="22"/>
        </w:rPr>
      </w:pPr>
      <w:r w:rsidRPr="00D12FCF">
        <w:rPr>
          <w:rFonts w:eastAsia="Palatino Linotype" w:cs="Palatino Linotype"/>
        </w:rPr>
        <w:lastRenderedPageBreak/>
        <w:t xml:space="preserve">Por su parte, el artículo 4 de </w:t>
      </w:r>
      <w:r w:rsidR="001A58B3" w:rsidRPr="00D12FC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12FCF">
        <w:rPr>
          <w:rFonts w:eastAsia="Palatino Linotype" w:cs="Palatino Linotype"/>
        </w:rPr>
        <w:t>.</w:t>
      </w:r>
    </w:p>
    <w:p w14:paraId="1407DBB8" w14:textId="77777777" w:rsidR="001A58B3" w:rsidRPr="00D12FCF" w:rsidRDefault="001A58B3" w:rsidP="00D12FCF">
      <w:pPr>
        <w:rPr>
          <w:rFonts w:eastAsia="Palatino Linotype" w:cs="Palatino Linotype"/>
        </w:rPr>
      </w:pPr>
    </w:p>
    <w:p w14:paraId="7552AA79" w14:textId="5C52E4A4" w:rsidR="001A58B3" w:rsidRPr="00D12FCF" w:rsidRDefault="001A58B3" w:rsidP="00D12FCF">
      <w:pPr>
        <w:rPr>
          <w:rFonts w:eastAsia="Palatino Linotype" w:cs="Palatino Linotype"/>
        </w:rPr>
      </w:pPr>
      <w:r w:rsidRPr="00D12FCF">
        <w:rPr>
          <w:rFonts w:eastAsia="Palatino Linotype" w:cs="Palatino Linotype"/>
        </w:rPr>
        <w:t xml:space="preserve">Esto es, que los Sujetos Obligados </w:t>
      </w:r>
      <w:r w:rsidR="00FA5957" w:rsidRPr="00D12FCF">
        <w:rPr>
          <w:rFonts w:eastAsia="Palatino Linotype" w:cs="Palatino Linotype"/>
        </w:rPr>
        <w:t>deben</w:t>
      </w:r>
      <w:r w:rsidRPr="00D12FCF">
        <w:rPr>
          <w:rFonts w:eastAsia="Palatino Linotype" w:cs="Palatino Linotype"/>
        </w:rPr>
        <w:t xml:space="preserve"> atender las solicitudes de acceso a la información pública que se les </w:t>
      </w:r>
      <w:r w:rsidR="00FA5957" w:rsidRPr="00D12FCF">
        <w:rPr>
          <w:rFonts w:eastAsia="Palatino Linotype" w:cs="Palatino Linotype"/>
        </w:rPr>
        <w:t>sean realizadas,</w:t>
      </w:r>
      <w:r w:rsidRPr="00D12FCF">
        <w:rPr>
          <w:rFonts w:eastAsia="Palatino Linotype" w:cs="Palatino Linotype"/>
        </w:rPr>
        <w:t xml:space="preserve"> y proporcionar la información pública que obre en su poder</w:t>
      </w:r>
      <w:r w:rsidR="00FA5957" w:rsidRPr="00D12FCF">
        <w:rPr>
          <w:rFonts w:eastAsia="Palatino Linotype" w:cs="Palatino Linotype"/>
        </w:rPr>
        <w:t>,</w:t>
      </w:r>
      <w:r w:rsidRPr="00D12FCF">
        <w:rPr>
          <w:rFonts w:eastAsia="Palatino Linotype" w:cs="Palatino Linotype"/>
        </w:rPr>
        <w:t xml:space="preserve"> conforme </w:t>
      </w:r>
      <w:r w:rsidR="00FA5957" w:rsidRPr="00D12FCF">
        <w:rPr>
          <w:rFonts w:eastAsia="Palatino Linotype" w:cs="Palatino Linotype"/>
        </w:rPr>
        <w:t>a</w:t>
      </w:r>
      <w:r w:rsidRPr="00D12FCF">
        <w:rPr>
          <w:rFonts w:eastAsia="Palatino Linotype" w:cs="Palatino Linotype"/>
        </w:rPr>
        <w:t xml:space="preserve">l estado </w:t>
      </w:r>
      <w:r w:rsidR="00FA5957" w:rsidRPr="00D12FCF">
        <w:rPr>
          <w:rFonts w:eastAsia="Palatino Linotype" w:cs="Palatino Linotype"/>
        </w:rPr>
        <w:t xml:space="preserve">en </w:t>
      </w:r>
      <w:r w:rsidRPr="00D12FCF">
        <w:rPr>
          <w:rFonts w:eastAsia="Palatino Linotype" w:cs="Palatino Linotype"/>
        </w:rPr>
        <w:t>que se encuentr</w:t>
      </w:r>
      <w:r w:rsidR="00FA5957" w:rsidRPr="00D12FCF">
        <w:rPr>
          <w:rFonts w:eastAsia="Palatino Linotype" w:cs="Palatino Linotype"/>
        </w:rPr>
        <w:t>e, sin que sea necesario</w:t>
      </w:r>
      <w:r w:rsidRPr="00D12FCF">
        <w:rPr>
          <w:rFonts w:eastAsia="Palatino Linotype" w:cs="Palatino Linotype"/>
        </w:rPr>
        <w:t xml:space="preserve"> </w:t>
      </w:r>
      <w:r w:rsidR="00FA5957" w:rsidRPr="00D12FCF">
        <w:rPr>
          <w:rFonts w:eastAsia="Palatino Linotype" w:cs="Palatino Linotype"/>
        </w:rPr>
        <w:t>procesar</w:t>
      </w:r>
      <w:r w:rsidRPr="00D12FCF">
        <w:rPr>
          <w:rFonts w:eastAsia="Palatino Linotype" w:cs="Palatino Linotype"/>
        </w:rPr>
        <w:t xml:space="preserve"> la misma, ni presentarla conforme al interés del solicitante; </w:t>
      </w:r>
      <w:r w:rsidR="00FA5957" w:rsidRPr="00D12FCF">
        <w:rPr>
          <w:rFonts w:eastAsia="Palatino Linotype" w:cs="Palatino Linotype"/>
        </w:rPr>
        <w:t>tal y como</w:t>
      </w:r>
      <w:r w:rsidRPr="00D12FCF">
        <w:rPr>
          <w:rFonts w:eastAsia="Palatino Linotype" w:cs="Palatino Linotype"/>
        </w:rPr>
        <w:t xml:space="preserve"> lo establece el artículo 12 de la Ley de Transparencia y Acceso a la Información Pública del Estado de México y Municipios</w:t>
      </w:r>
      <w:r w:rsidR="00970EB3" w:rsidRPr="00D12FCF">
        <w:rPr>
          <w:rFonts w:eastAsia="Palatino Linotype" w:cs="Palatino Linotype"/>
        </w:rPr>
        <w:t>.</w:t>
      </w:r>
    </w:p>
    <w:p w14:paraId="73245195" w14:textId="77777777" w:rsidR="00970EB3" w:rsidRPr="00D12FCF" w:rsidRDefault="00970EB3" w:rsidP="00D12FCF">
      <w:pPr>
        <w:rPr>
          <w:rFonts w:eastAsia="Palatino Linotype" w:cs="Palatino Linotype"/>
        </w:rPr>
      </w:pPr>
    </w:p>
    <w:p w14:paraId="7F62D4DF" w14:textId="775730E1" w:rsidR="001A58B3" w:rsidRPr="00D12FCF" w:rsidRDefault="001A58B3" w:rsidP="00D12FCF">
      <w:pPr>
        <w:rPr>
          <w:rFonts w:eastAsia="Palatino Linotype" w:cs="Palatino Linotype"/>
        </w:rPr>
      </w:pPr>
      <w:r w:rsidRPr="00D12FCF">
        <w:rPr>
          <w:rFonts w:eastAsia="Palatino Linotype" w:cs="Palatino Linotype"/>
        </w:rPr>
        <w:t>Es decir, que todo sujeto obligado que genere, recopile, administre, procese, archive, posea o conserven, son responsables de la misma</w:t>
      </w:r>
      <w:r w:rsidR="00970EB3" w:rsidRPr="00D12FCF">
        <w:rPr>
          <w:rFonts w:eastAsia="Palatino Linotype" w:cs="Palatino Linotype"/>
        </w:rPr>
        <w:t>,</w:t>
      </w:r>
      <w:r w:rsidRPr="00D12FC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12FCF">
        <w:rPr>
          <w:rFonts w:eastAsia="Palatino Linotype" w:cs="Palatino Linotype"/>
        </w:rPr>
        <w:t>o</w:t>
      </w:r>
      <w:r w:rsidRPr="00D12FC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12FCF" w:rsidRDefault="001A58B3" w:rsidP="00D12FCF">
      <w:pPr>
        <w:rPr>
          <w:rFonts w:eastAsia="Palatino Linotype" w:cs="Palatino Linotype"/>
        </w:rPr>
      </w:pPr>
    </w:p>
    <w:p w14:paraId="04E42DFE" w14:textId="573F1198" w:rsidR="001A58B3" w:rsidRPr="00D12FCF" w:rsidRDefault="001A58B3" w:rsidP="00D12FCF">
      <w:pPr>
        <w:rPr>
          <w:rFonts w:eastAsia="Palatino Linotype" w:cs="Palatino Linotype"/>
        </w:rPr>
      </w:pPr>
      <w:r w:rsidRPr="00D12FC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12FCF">
        <w:rPr>
          <w:rFonts w:eastAsia="Palatino Linotype" w:cs="Palatino Linotype"/>
        </w:rPr>
        <w:t>, s</w:t>
      </w:r>
      <w:r w:rsidRPr="00D12FCF">
        <w:rPr>
          <w:rFonts w:eastAsia="Palatino Linotype" w:cs="Palatino Linotype"/>
        </w:rPr>
        <w:t xml:space="preserve">iempre y cuando no se trate de información reservada o </w:t>
      </w:r>
      <w:r w:rsidR="00331F35" w:rsidRPr="00D12FCF">
        <w:rPr>
          <w:rFonts w:eastAsia="Palatino Linotype" w:cs="Palatino Linotype"/>
        </w:rPr>
        <w:t>confidencial.</w:t>
      </w:r>
    </w:p>
    <w:p w14:paraId="40C5219F" w14:textId="7AA4FA81" w:rsidR="001A58B3" w:rsidRPr="00D12FCF" w:rsidRDefault="001A4818" w:rsidP="00D12FCF">
      <w:pPr>
        <w:rPr>
          <w:rFonts w:eastAsia="Palatino Linotype" w:cs="Palatino Linotype"/>
        </w:rPr>
      </w:pPr>
      <w:r w:rsidRPr="00D12FCF">
        <w:rPr>
          <w:rFonts w:eastAsia="Palatino Linotype" w:cs="Palatino Linotype"/>
        </w:rPr>
        <w:lastRenderedPageBreak/>
        <w:t xml:space="preserve">                                                      </w:t>
      </w:r>
    </w:p>
    <w:p w14:paraId="2E629608" w14:textId="01727E15" w:rsidR="00C049E2" w:rsidRPr="00D12FCF" w:rsidRDefault="006067C7" w:rsidP="00D12FCF">
      <w:pPr>
        <w:rPr>
          <w:rFonts w:eastAsia="Palatino Linotype"/>
        </w:rPr>
      </w:pPr>
      <w:bookmarkStart w:id="29" w:name="_heading=h.2s8eyo1" w:colFirst="0" w:colLast="0"/>
      <w:bookmarkEnd w:id="29"/>
      <w:r w:rsidRPr="00D12FCF">
        <w:rPr>
          <w:rFonts w:eastAsia="Palatino Linotype"/>
        </w:rPr>
        <w:t>Con base en lo anterior</w:t>
      </w:r>
      <w:r w:rsidR="00B22A80" w:rsidRPr="00D12FCF">
        <w:rPr>
          <w:rFonts w:eastAsia="Palatino Linotype"/>
        </w:rPr>
        <w:t>, se considera que</w:t>
      </w:r>
      <w:r w:rsidR="00C049E2" w:rsidRPr="00D12FCF">
        <w:rPr>
          <w:rFonts w:eastAsia="Palatino Linotype"/>
        </w:rPr>
        <w:t xml:space="preserve"> </w:t>
      </w:r>
      <w:r w:rsidR="00B22A80" w:rsidRPr="00D12FCF">
        <w:rPr>
          <w:rFonts w:eastAsia="Palatino Linotype"/>
          <w:b/>
          <w:bCs/>
        </w:rPr>
        <w:t>EL</w:t>
      </w:r>
      <w:r w:rsidR="00C049E2" w:rsidRPr="00D12FCF">
        <w:rPr>
          <w:rFonts w:eastAsia="Palatino Linotype"/>
        </w:rPr>
        <w:t xml:space="preserve"> </w:t>
      </w:r>
      <w:r w:rsidR="00C049E2" w:rsidRPr="00D12FCF">
        <w:rPr>
          <w:rFonts w:eastAsia="Palatino Linotype"/>
          <w:b/>
        </w:rPr>
        <w:t>SUJETO OBLIGADO</w:t>
      </w:r>
      <w:r w:rsidR="00C049E2" w:rsidRPr="00D12FCF">
        <w:rPr>
          <w:rFonts w:eastAsia="Palatino Linotype"/>
        </w:rPr>
        <w:t xml:space="preserve"> </w:t>
      </w:r>
      <w:r w:rsidR="00B22A80" w:rsidRPr="00D12FCF">
        <w:rPr>
          <w:rFonts w:eastAsia="Palatino Linotype"/>
        </w:rPr>
        <w:t xml:space="preserve">se </w:t>
      </w:r>
      <w:r w:rsidR="00717E59" w:rsidRPr="00D12FCF">
        <w:rPr>
          <w:rFonts w:eastAsia="Palatino Linotype"/>
        </w:rPr>
        <w:t>encontraba</w:t>
      </w:r>
      <w:r w:rsidR="00B22A80" w:rsidRPr="00D12FCF">
        <w:rPr>
          <w:rFonts w:eastAsia="Palatino Linotype"/>
        </w:rPr>
        <w:t xml:space="preserve"> compelido a</w:t>
      </w:r>
      <w:r w:rsidR="00C049E2" w:rsidRPr="00D12FCF">
        <w:rPr>
          <w:rFonts w:eastAsia="Palatino Linotype"/>
        </w:rPr>
        <w:t xml:space="preserve"> atender la solicitud de acceso a la información </w:t>
      </w:r>
      <w:r w:rsidR="00B22A80" w:rsidRPr="00D12FCF">
        <w:rPr>
          <w:rFonts w:eastAsia="Palatino Linotype"/>
        </w:rPr>
        <w:t xml:space="preserve">realizada por </w:t>
      </w:r>
      <w:r w:rsidR="00B22A80" w:rsidRPr="00D12FCF">
        <w:rPr>
          <w:rFonts w:eastAsia="Palatino Linotype"/>
          <w:b/>
          <w:bCs/>
        </w:rPr>
        <w:t>LA PARTE RECURRENTE</w:t>
      </w:r>
      <w:r w:rsidR="00331F35" w:rsidRPr="00D12FCF">
        <w:rPr>
          <w:rFonts w:eastAsia="Palatino Linotype"/>
        </w:rPr>
        <w:t>.</w:t>
      </w:r>
    </w:p>
    <w:p w14:paraId="1611F147" w14:textId="77777777" w:rsidR="00BD5A7C" w:rsidRPr="00D12FCF" w:rsidRDefault="00BD5A7C" w:rsidP="00D12FCF">
      <w:pPr>
        <w:rPr>
          <w:rFonts w:eastAsia="Palatino Linotype"/>
        </w:rPr>
      </w:pPr>
    </w:p>
    <w:p w14:paraId="51A0E8B4" w14:textId="676DCA47" w:rsidR="00664420" w:rsidRPr="00D12FCF" w:rsidRDefault="00C71CEF" w:rsidP="00D12FCF">
      <w:pPr>
        <w:pStyle w:val="Ttulo3"/>
        <w:rPr>
          <w:rFonts w:eastAsia="Calibri"/>
          <w:lang w:eastAsia="es-ES_tradnl"/>
        </w:rPr>
      </w:pPr>
      <w:bookmarkStart w:id="30" w:name="_Toc201208819"/>
      <w:r w:rsidRPr="00D12FCF">
        <w:rPr>
          <w:rFonts w:eastAsia="Calibri"/>
          <w:lang w:eastAsia="es-ES_tradnl"/>
        </w:rPr>
        <w:t>b)</w:t>
      </w:r>
      <w:r w:rsidR="00A53315" w:rsidRPr="00D12FCF">
        <w:rPr>
          <w:rFonts w:eastAsia="Calibri"/>
          <w:lang w:eastAsia="es-ES_tradnl"/>
        </w:rPr>
        <w:t xml:space="preserve"> </w:t>
      </w:r>
      <w:r w:rsidR="00A21A20" w:rsidRPr="00D12FCF">
        <w:rPr>
          <w:rFonts w:eastAsia="Calibri"/>
          <w:lang w:eastAsia="es-ES_tradnl"/>
        </w:rPr>
        <w:t>Controversia a resolver</w:t>
      </w:r>
      <w:bookmarkEnd w:id="30"/>
    </w:p>
    <w:p w14:paraId="5DAE2A65" w14:textId="382C31A9" w:rsidR="00664420" w:rsidRPr="00D12FCF" w:rsidRDefault="00664420" w:rsidP="00D12FCF">
      <w:pPr>
        <w:rPr>
          <w:rFonts w:eastAsia="Calibri"/>
          <w:lang w:eastAsia="es-ES_tradnl"/>
        </w:rPr>
      </w:pPr>
      <w:r w:rsidRPr="00D12FC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12FCF">
        <w:rPr>
          <w:rFonts w:eastAsia="Calibri"/>
          <w:b/>
          <w:bCs/>
          <w:lang w:eastAsia="es-ES_tradnl"/>
        </w:rPr>
        <w:t>LA PARTE RECURRENTE</w:t>
      </w:r>
      <w:r w:rsidRPr="00D12FCF">
        <w:rPr>
          <w:rFonts w:eastAsia="Calibri"/>
          <w:lang w:eastAsia="es-ES_tradnl"/>
        </w:rPr>
        <w:t xml:space="preserve"> solicitó lo siguiente:</w:t>
      </w:r>
    </w:p>
    <w:p w14:paraId="7D9D559B" w14:textId="77777777" w:rsidR="00664420" w:rsidRPr="00D12FCF" w:rsidRDefault="00664420" w:rsidP="00D12FCF">
      <w:pPr>
        <w:tabs>
          <w:tab w:val="left" w:pos="4962"/>
        </w:tabs>
        <w:contextualSpacing/>
        <w:rPr>
          <w:rFonts w:eastAsia="Calibri" w:cs="Tahoma"/>
          <w:iCs/>
          <w:szCs w:val="22"/>
          <w:lang w:eastAsia="es-ES_tradnl"/>
        </w:rPr>
      </w:pPr>
    </w:p>
    <w:p w14:paraId="49551A8D" w14:textId="1DB989AB" w:rsidR="005D5A50" w:rsidRPr="00D12FCF" w:rsidRDefault="00965568" w:rsidP="00D12FCF">
      <w:pPr>
        <w:pStyle w:val="Prrafodelista"/>
        <w:numPr>
          <w:ilvl w:val="0"/>
          <w:numId w:val="8"/>
        </w:numPr>
        <w:tabs>
          <w:tab w:val="left" w:pos="4962"/>
        </w:tabs>
        <w:rPr>
          <w:rFonts w:cs="Tahoma"/>
          <w:bCs/>
          <w:iCs/>
          <w:szCs w:val="22"/>
        </w:rPr>
      </w:pPr>
      <w:r w:rsidRPr="00D12FCF">
        <w:rPr>
          <w:rFonts w:cs="Tahoma"/>
          <w:bCs/>
          <w:iCs/>
          <w:szCs w:val="22"/>
        </w:rPr>
        <w:t>EN TERMINOS DEL ART. 92 FRACCION XXV A, DE LA LEY DE TRANSPARENCIA Y ACCESO A LA INFORMACION PPUBLICA DEL ESTADO DE MEXICO, PRESUPUESTO ASIGNADO A ESE SUJETO OBLIGADO.</w:t>
      </w:r>
    </w:p>
    <w:p w14:paraId="71E32269" w14:textId="6C336ADA" w:rsidR="00965568" w:rsidRPr="00D12FCF" w:rsidRDefault="00965568" w:rsidP="00D12FCF">
      <w:pPr>
        <w:pStyle w:val="Prrafodelista"/>
        <w:numPr>
          <w:ilvl w:val="0"/>
          <w:numId w:val="8"/>
        </w:numPr>
        <w:tabs>
          <w:tab w:val="left" w:pos="4962"/>
        </w:tabs>
        <w:rPr>
          <w:rFonts w:cs="Tahoma"/>
          <w:bCs/>
          <w:iCs/>
          <w:szCs w:val="22"/>
        </w:rPr>
      </w:pPr>
      <w:r w:rsidRPr="00D12FCF">
        <w:rPr>
          <w:rFonts w:cs="Tahoma"/>
          <w:bCs/>
          <w:iCs/>
          <w:szCs w:val="22"/>
        </w:rPr>
        <w:t>EN TERMINOS DEL ART. 92 FRACCION XXXV A, DE LA LEY DE TRANSPARENCIA Y ACCESO A LA INFORMACION PPUBLICA DEL ESTADO DE MEXICO, REQUIERO EL PRESUPUESTO ASIGNADO A ESE SUJETO OBLIGADO.</w:t>
      </w:r>
    </w:p>
    <w:p w14:paraId="249E1CD2" w14:textId="77777777" w:rsidR="00965568" w:rsidRPr="00D12FCF" w:rsidRDefault="00965568" w:rsidP="00D12FCF">
      <w:pPr>
        <w:tabs>
          <w:tab w:val="left" w:pos="4962"/>
        </w:tabs>
        <w:contextualSpacing/>
        <w:rPr>
          <w:rFonts w:eastAsiaTheme="minorHAnsi" w:cs="Tahoma"/>
          <w:bCs/>
          <w:iCs/>
          <w:szCs w:val="22"/>
          <w:lang w:eastAsia="en-US"/>
        </w:rPr>
      </w:pPr>
    </w:p>
    <w:p w14:paraId="1CED052A" w14:textId="7A7C261C" w:rsidR="00664420" w:rsidRPr="00D12FCF" w:rsidRDefault="00664420" w:rsidP="00D12FCF">
      <w:pPr>
        <w:tabs>
          <w:tab w:val="left" w:pos="4962"/>
        </w:tabs>
        <w:contextualSpacing/>
        <w:rPr>
          <w:rFonts w:eastAsiaTheme="minorHAnsi" w:cs="Tahoma"/>
          <w:bCs/>
          <w:iCs/>
          <w:szCs w:val="22"/>
          <w:lang w:eastAsia="en-US"/>
        </w:rPr>
      </w:pPr>
      <w:r w:rsidRPr="00D12FCF">
        <w:rPr>
          <w:rFonts w:eastAsiaTheme="minorHAnsi" w:cs="Tahoma"/>
          <w:bCs/>
          <w:iCs/>
          <w:szCs w:val="22"/>
          <w:lang w:eastAsia="en-US"/>
        </w:rPr>
        <w:t xml:space="preserve">En respuesta, </w:t>
      </w:r>
      <w:r w:rsidR="005D5A50" w:rsidRPr="00D12FCF">
        <w:rPr>
          <w:rFonts w:eastAsiaTheme="minorHAnsi" w:cs="Tahoma"/>
          <w:b/>
          <w:iCs/>
          <w:szCs w:val="22"/>
          <w:lang w:eastAsia="en-US"/>
        </w:rPr>
        <w:t>EL SUJETO OBLIGADO</w:t>
      </w:r>
      <w:r w:rsidRPr="00D12FCF">
        <w:rPr>
          <w:rFonts w:eastAsiaTheme="minorHAnsi" w:cs="Tahoma"/>
          <w:bCs/>
          <w:iCs/>
          <w:szCs w:val="22"/>
          <w:lang w:eastAsia="en-US"/>
        </w:rPr>
        <w:t xml:space="preserve"> se pronunció por conducto de</w:t>
      </w:r>
      <w:r w:rsidR="001A4818" w:rsidRPr="00D12FCF">
        <w:rPr>
          <w:rFonts w:eastAsiaTheme="minorHAnsi" w:cs="Tahoma"/>
          <w:bCs/>
          <w:iCs/>
          <w:szCs w:val="22"/>
          <w:lang w:eastAsia="en-US"/>
        </w:rPr>
        <w:t>l Tesorero quien pretendió realizar un cambio de modalidad.</w:t>
      </w:r>
      <w:r w:rsidR="00CF7586" w:rsidRPr="00D12FCF">
        <w:rPr>
          <w:rFonts w:eastAsiaTheme="minorHAnsi" w:cs="Tahoma"/>
          <w:bCs/>
          <w:iCs/>
          <w:szCs w:val="22"/>
          <w:lang w:eastAsia="en-US"/>
        </w:rPr>
        <w:t xml:space="preserve"> </w:t>
      </w:r>
    </w:p>
    <w:p w14:paraId="78248041" w14:textId="77777777" w:rsidR="005B18AF" w:rsidRPr="00D12FCF" w:rsidRDefault="005B18AF" w:rsidP="00D12FCF">
      <w:pPr>
        <w:tabs>
          <w:tab w:val="left" w:pos="4962"/>
        </w:tabs>
        <w:contextualSpacing/>
        <w:rPr>
          <w:rFonts w:eastAsiaTheme="minorHAnsi" w:cs="Tahoma"/>
          <w:bCs/>
          <w:iCs/>
          <w:szCs w:val="22"/>
          <w:lang w:eastAsia="en-US"/>
        </w:rPr>
      </w:pPr>
    </w:p>
    <w:p w14:paraId="31DD81D7" w14:textId="034C43D3" w:rsidR="00664420" w:rsidRPr="00D12FCF" w:rsidRDefault="00CF7586" w:rsidP="00D12FCF">
      <w:pPr>
        <w:tabs>
          <w:tab w:val="left" w:pos="4962"/>
        </w:tabs>
        <w:contextualSpacing/>
        <w:rPr>
          <w:rFonts w:eastAsiaTheme="minorHAnsi" w:cs="Tahoma"/>
          <w:bCs/>
          <w:iCs/>
          <w:szCs w:val="22"/>
          <w:lang w:eastAsia="en-US"/>
        </w:rPr>
      </w:pPr>
      <w:r w:rsidRPr="00D12FCF">
        <w:rPr>
          <w:rFonts w:eastAsiaTheme="minorHAnsi" w:cs="Tahoma"/>
          <w:bCs/>
          <w:iCs/>
          <w:szCs w:val="22"/>
          <w:lang w:eastAsia="en-US"/>
        </w:rPr>
        <w:t xml:space="preserve">Ahora bien, en la interposición del presente recurso </w:t>
      </w:r>
      <w:r w:rsidRPr="00D12FCF">
        <w:rPr>
          <w:rFonts w:eastAsiaTheme="minorHAnsi" w:cs="Tahoma"/>
          <w:b/>
          <w:iCs/>
          <w:szCs w:val="22"/>
          <w:lang w:eastAsia="en-US"/>
        </w:rPr>
        <w:t>LA PARTE RECURRENTE</w:t>
      </w:r>
      <w:r w:rsidR="00664420" w:rsidRPr="00D12FCF">
        <w:rPr>
          <w:rFonts w:eastAsiaTheme="minorHAnsi" w:cs="Tahoma"/>
          <w:bCs/>
          <w:iCs/>
          <w:szCs w:val="22"/>
          <w:lang w:eastAsia="en-US"/>
        </w:rPr>
        <w:t xml:space="preserve"> se inconformó </w:t>
      </w:r>
      <w:r w:rsidR="001A4818" w:rsidRPr="00D12FCF">
        <w:rPr>
          <w:rFonts w:eastAsiaTheme="minorHAnsi" w:cs="Tahoma"/>
          <w:bCs/>
          <w:iCs/>
          <w:szCs w:val="22"/>
          <w:lang w:eastAsia="en-US"/>
        </w:rPr>
        <w:t>medularmente respecto a que no se le entregó la información por lo cual el estudio se centrara en determinar si con la respuesta se colma o no con la pretensión de la parte recurrente.</w:t>
      </w:r>
    </w:p>
    <w:p w14:paraId="10C2416A" w14:textId="77777777" w:rsidR="001A4818" w:rsidRPr="00D12FCF" w:rsidRDefault="001A4818" w:rsidP="00D12FCF">
      <w:pPr>
        <w:tabs>
          <w:tab w:val="left" w:pos="4962"/>
        </w:tabs>
        <w:contextualSpacing/>
        <w:rPr>
          <w:rFonts w:eastAsiaTheme="minorHAnsi" w:cs="Tahoma"/>
          <w:bCs/>
          <w:iCs/>
          <w:szCs w:val="22"/>
          <w:lang w:eastAsia="en-US"/>
        </w:rPr>
      </w:pPr>
    </w:p>
    <w:p w14:paraId="414FD2D5" w14:textId="4408E416" w:rsidR="00664420" w:rsidRPr="00D12FCF" w:rsidRDefault="00A21A20" w:rsidP="00D12FCF">
      <w:pPr>
        <w:pStyle w:val="Ttulo3"/>
      </w:pPr>
      <w:bookmarkStart w:id="31" w:name="_Toc201208820"/>
      <w:r w:rsidRPr="00D12FCF">
        <w:t>c)</w:t>
      </w:r>
      <w:r w:rsidR="00664420" w:rsidRPr="00D12FCF">
        <w:t xml:space="preserve"> </w:t>
      </w:r>
      <w:r w:rsidRPr="00D12FCF">
        <w:t>Estudio de la controversia</w:t>
      </w:r>
      <w:bookmarkEnd w:id="31"/>
    </w:p>
    <w:p w14:paraId="1368964E" w14:textId="77777777" w:rsidR="001A4818" w:rsidRPr="00D12FCF" w:rsidRDefault="001A4818" w:rsidP="00D12FCF"/>
    <w:p w14:paraId="131725CD" w14:textId="52008C5D" w:rsidR="00A21A20" w:rsidRPr="00D12FCF" w:rsidRDefault="001A4818" w:rsidP="00D12FCF">
      <w:pPr>
        <w:ind w:right="-93"/>
        <w:rPr>
          <w:rFonts w:cs="Tahoma"/>
          <w:bCs/>
          <w:szCs w:val="22"/>
        </w:rPr>
      </w:pPr>
      <w:r w:rsidRPr="00D12FCF">
        <w:rPr>
          <w:rFonts w:cs="Tahoma"/>
          <w:bCs/>
          <w:szCs w:val="22"/>
        </w:rPr>
        <w:lastRenderedPageBreak/>
        <w:t xml:space="preserve">En primer </w:t>
      </w:r>
      <w:proofErr w:type="gramStart"/>
      <w:r w:rsidRPr="00D12FCF">
        <w:rPr>
          <w:rFonts w:cs="Tahoma"/>
          <w:bCs/>
          <w:szCs w:val="22"/>
        </w:rPr>
        <w:t>término</w:t>
      </w:r>
      <w:proofErr w:type="gramEnd"/>
      <w:r w:rsidRPr="00D12FCF">
        <w:rPr>
          <w:rFonts w:cs="Tahoma"/>
          <w:bCs/>
          <w:szCs w:val="22"/>
        </w:rPr>
        <w:t xml:space="preserve"> es importante hacer la precisión que la información </w:t>
      </w:r>
      <w:r w:rsidR="006253E5" w:rsidRPr="00D12FCF">
        <w:rPr>
          <w:rFonts w:cs="Tahoma"/>
          <w:bCs/>
          <w:szCs w:val="22"/>
        </w:rPr>
        <w:t xml:space="preserve">que solicita la parte recurrente en ambas solicitudes es la relativa al presupuesto asignado la cual corresponde con la obligación de transparencia XXV y es evidente que por lo que hace a la solicitud </w:t>
      </w:r>
      <w:r w:rsidR="006253E5" w:rsidRPr="00D12FCF">
        <w:rPr>
          <w:rFonts w:cs="Tahoma"/>
          <w:b/>
          <w:bCs/>
          <w:szCs w:val="22"/>
        </w:rPr>
        <w:t>00022/IXTAORO/IP/2025</w:t>
      </w:r>
      <w:r w:rsidR="006253E5" w:rsidRPr="00D12FCF">
        <w:rPr>
          <w:rFonts w:cs="Tahoma"/>
          <w:bCs/>
          <w:szCs w:val="22"/>
        </w:rPr>
        <w:t xml:space="preserve"> existe un error al escribir el numero romano XXXV ya que al final de la solicitud es claro como dice </w:t>
      </w:r>
      <w:r w:rsidR="006253E5" w:rsidRPr="00D12FCF">
        <w:rPr>
          <w:rFonts w:cs="Tahoma"/>
          <w:bCs/>
          <w:i/>
          <w:szCs w:val="22"/>
        </w:rPr>
        <w:t xml:space="preserve">“REQUIERO EL PRESUPUESTO ASIGNADO A ESE SUJETO OBLIGADO.” </w:t>
      </w:r>
      <w:r w:rsidR="006253E5" w:rsidRPr="00D12FCF">
        <w:rPr>
          <w:rFonts w:cs="Tahoma"/>
          <w:bCs/>
          <w:szCs w:val="22"/>
        </w:rPr>
        <w:t xml:space="preserve">Por lo cual el estudio únicamente se </w:t>
      </w:r>
      <w:proofErr w:type="gramStart"/>
      <w:r w:rsidR="006253E5" w:rsidRPr="00D12FCF">
        <w:rPr>
          <w:rFonts w:cs="Tahoma"/>
          <w:bCs/>
          <w:szCs w:val="22"/>
        </w:rPr>
        <w:t>centrara</w:t>
      </w:r>
      <w:proofErr w:type="gramEnd"/>
      <w:r w:rsidR="006253E5" w:rsidRPr="00D12FCF">
        <w:rPr>
          <w:rFonts w:cs="Tahoma"/>
          <w:bCs/>
          <w:szCs w:val="22"/>
        </w:rPr>
        <w:t xml:space="preserve"> en el Presupuesto asignado el cual corresponde a la fracción XXV.</w:t>
      </w:r>
    </w:p>
    <w:p w14:paraId="4DD9E233" w14:textId="77777777" w:rsidR="000605CC" w:rsidRPr="00D12FCF" w:rsidRDefault="000605CC" w:rsidP="00D12FCF">
      <w:pPr>
        <w:ind w:right="-93"/>
        <w:rPr>
          <w:rFonts w:cs="Tahoma"/>
          <w:bCs/>
          <w:szCs w:val="22"/>
        </w:rPr>
      </w:pPr>
    </w:p>
    <w:p w14:paraId="17DC4C6D" w14:textId="37DD7772" w:rsidR="000605CC" w:rsidRPr="00D12FCF" w:rsidRDefault="00522599" w:rsidP="00D12FCF">
      <w:pPr>
        <w:ind w:right="-93"/>
        <w:rPr>
          <w:rFonts w:cs="Tahoma"/>
          <w:bCs/>
          <w:szCs w:val="22"/>
        </w:rPr>
      </w:pPr>
      <w:r w:rsidRPr="00D12FCF">
        <w:t>Luego entonces</w:t>
      </w:r>
      <w:r w:rsidR="003F0154" w:rsidRPr="00D12FCF">
        <w:t xml:space="preserve">, es necesario </w:t>
      </w:r>
      <w:r w:rsidRPr="00D12FCF">
        <w:t xml:space="preserve">referir </w:t>
      </w:r>
      <w:r w:rsidR="003F0154" w:rsidRPr="00D12FCF">
        <w:t>que los particulares no son expertos en la materia, ya que, el aho</w:t>
      </w:r>
      <w:r w:rsidRPr="00D12FCF">
        <w:t>ra Recurrente puede desconocer la fracción de la obligación de transparencia que regula la información del Presupuesto Asignado</w:t>
      </w:r>
      <w:r w:rsidR="003F0154" w:rsidRPr="00D12FCF">
        <w:t xml:space="preserve">, pues esto resulta de interés, </w:t>
      </w:r>
      <w:proofErr w:type="gramStart"/>
      <w:r w:rsidR="003F0154" w:rsidRPr="00D12FCF">
        <w:t>ya que</w:t>
      </w:r>
      <w:proofErr w:type="gramEnd"/>
      <w:r w:rsidR="003F0154" w:rsidRPr="00D12FCF">
        <w:t xml:space="preserve"> </w:t>
      </w:r>
      <w:proofErr w:type="gramStart"/>
      <w:r w:rsidR="003F0154" w:rsidRPr="00D12FCF">
        <w:t>de acuerdo a</w:t>
      </w:r>
      <w:proofErr w:type="gramEnd"/>
      <w:r w:rsidR="003F0154" w:rsidRPr="00D12FCF">
        <w:t xml:space="preserve"> la</w:t>
      </w:r>
      <w:r w:rsidR="001918F5" w:rsidRPr="00D12FCF">
        <w:t>s</w:t>
      </w:r>
      <w:r w:rsidR="003F0154" w:rsidRPr="00D12FCF">
        <w:t xml:space="preserve"> solicitud</w:t>
      </w:r>
      <w:r w:rsidR="001918F5" w:rsidRPr="00D12FCF">
        <w:t>es</w:t>
      </w:r>
      <w:r w:rsidR="003F0154" w:rsidRPr="00D12FCF">
        <w:t xml:space="preserve"> de información, </w:t>
      </w:r>
      <w:r w:rsidR="001918F5" w:rsidRPr="00D12FCF">
        <w:t>éstas son</w:t>
      </w:r>
      <w:r w:rsidR="003F0154" w:rsidRPr="00D12FCF">
        <w:t xml:space="preserve"> </w:t>
      </w:r>
      <w:r w:rsidR="001918F5" w:rsidRPr="00D12FCF">
        <w:t>específicas</w:t>
      </w:r>
      <w:r w:rsidR="003F0154" w:rsidRPr="00D12FCF">
        <w:t xml:space="preserve"> en peticionar </w:t>
      </w:r>
      <w:r w:rsidR="001918F5" w:rsidRPr="00D12FCF">
        <w:t>el Presupuesto Asignado</w:t>
      </w:r>
      <w:r w:rsidR="003F0154" w:rsidRPr="00D12FCF">
        <w:t>.</w:t>
      </w:r>
    </w:p>
    <w:p w14:paraId="574DA3DA" w14:textId="77777777" w:rsidR="000605CC" w:rsidRPr="00D12FCF" w:rsidRDefault="000605CC" w:rsidP="00D12FCF">
      <w:pPr>
        <w:ind w:right="-93"/>
        <w:rPr>
          <w:rFonts w:cs="Tahoma"/>
          <w:bCs/>
          <w:szCs w:val="22"/>
        </w:rPr>
      </w:pPr>
    </w:p>
    <w:p w14:paraId="612731A1" w14:textId="71546526" w:rsidR="001918F5" w:rsidRPr="00D12FCF" w:rsidRDefault="003F0154" w:rsidP="00D12FCF">
      <w:pPr>
        <w:ind w:right="-93"/>
      </w:pPr>
      <w:r w:rsidRPr="00D12FCF">
        <w:t>Atento a lo anterior, resulta procedente citar los artículos 131</w:t>
      </w:r>
      <w:r w:rsidR="00522599" w:rsidRPr="00D12FCF">
        <w:rPr>
          <w:rStyle w:val="Refdenotaalpie"/>
        </w:rPr>
        <w:footnoteReference w:id="1"/>
      </w:r>
      <w:r w:rsidRPr="00D12FCF">
        <w:t xml:space="preserve"> y 1812 penúltimo párrafo de la Ley de Transparencia y Acceso a la Información Pública del Estado de México y Municipios, que son atenientes a la suplencia de la deficiencia en favor de </w:t>
      </w:r>
      <w:r w:rsidRPr="00D12FCF">
        <w:rPr>
          <w:b/>
        </w:rPr>
        <w:t>LA PARTE RECURRENTE</w:t>
      </w:r>
      <w:r w:rsidR="001918F5" w:rsidRPr="00D12FCF">
        <w:t>.</w:t>
      </w:r>
    </w:p>
    <w:p w14:paraId="3ABEF161" w14:textId="77777777" w:rsidR="001918F5" w:rsidRPr="00D12FCF" w:rsidRDefault="001918F5" w:rsidP="00D12FCF">
      <w:pPr>
        <w:ind w:right="-93"/>
      </w:pPr>
    </w:p>
    <w:p w14:paraId="031CA1FE" w14:textId="4A6CDD4D" w:rsidR="000605CC" w:rsidRPr="00D12FCF" w:rsidRDefault="001918F5" w:rsidP="00D12FCF">
      <w:pPr>
        <w:ind w:right="-93"/>
        <w:rPr>
          <w:rFonts w:cs="Tahoma"/>
          <w:bCs/>
          <w:szCs w:val="22"/>
        </w:rPr>
      </w:pPr>
      <w:r w:rsidRPr="00D12FCF">
        <w:rPr>
          <w:rFonts w:cs="Tahoma"/>
          <w:bCs/>
          <w:szCs w:val="22"/>
        </w:rPr>
        <w:t xml:space="preserve">Por lo anterior, el estudio se centrará únicamente en el presupuesto asignado el cual se encuentra estipulado en la obligación de transparencia relacionada con el artículo 92 fracción </w:t>
      </w:r>
      <w:r w:rsidRPr="00D12FCF">
        <w:rPr>
          <w:rFonts w:cs="Tahoma"/>
          <w:bCs/>
          <w:szCs w:val="22"/>
        </w:rPr>
        <w:lastRenderedPageBreak/>
        <w:t xml:space="preserve">XXV de la </w:t>
      </w:r>
      <w:r w:rsidRPr="00D12FCF">
        <w:t>Ley de Transparencia y Acceso a la Información Pública del Estado de México y Municipios.</w:t>
      </w:r>
    </w:p>
    <w:p w14:paraId="382BDFB4" w14:textId="77777777" w:rsidR="000605CC" w:rsidRPr="00D12FCF" w:rsidRDefault="000605CC" w:rsidP="00D12FCF">
      <w:pPr>
        <w:ind w:right="-93"/>
        <w:rPr>
          <w:rFonts w:cs="Tahoma"/>
          <w:bCs/>
          <w:szCs w:val="22"/>
        </w:rPr>
      </w:pPr>
    </w:p>
    <w:p w14:paraId="48D5A914" w14:textId="0FA44603" w:rsidR="001C5F74" w:rsidRPr="00D12FCF" w:rsidRDefault="001C5F74" w:rsidP="00D12FCF">
      <w:pPr>
        <w:rPr>
          <w:rFonts w:eastAsia="Calibri"/>
        </w:rPr>
      </w:pPr>
      <w:r w:rsidRPr="00D12FCF">
        <w:rPr>
          <w:rFonts w:eastAsia="Calibri"/>
        </w:rPr>
        <w:t>Señalado lo anterior, respecto a la naturaleza de la información solicitada cabe destacar que l</w:t>
      </w:r>
      <w:r w:rsidRPr="00D12FCF">
        <w:rPr>
          <w:rFonts w:cs="Arial"/>
        </w:rPr>
        <w:t xml:space="preserve">a Tesorería Municipal es el </w:t>
      </w:r>
      <w:r w:rsidRPr="00D12FCF">
        <w:t xml:space="preserve">área que de acuerdo a </w:t>
      </w:r>
      <w:r w:rsidRPr="00D12FCF">
        <w:rPr>
          <w:rFonts w:eastAsia="Calibri"/>
        </w:rPr>
        <w:t>sus funciones y atribuciones se encuentran constreñida a conocer acerca de la información en análisis, pues los artículos 31, fracciones XVIII y XIX y 95, fracciones I y IV de la Ley Orgánica Municipal del Estado de México disponen lo siguiente:</w:t>
      </w:r>
    </w:p>
    <w:p w14:paraId="47C452B6" w14:textId="77777777" w:rsidR="001C5F74" w:rsidRPr="00D12FCF" w:rsidRDefault="001C5F74" w:rsidP="00D12FCF">
      <w:pPr>
        <w:autoSpaceDE w:val="0"/>
        <w:autoSpaceDN w:val="0"/>
        <w:adjustRightInd w:val="0"/>
        <w:ind w:right="51"/>
        <w:rPr>
          <w:rFonts w:eastAsiaTheme="minorEastAsia" w:cs="Arial"/>
          <w:sz w:val="20"/>
        </w:rPr>
      </w:pPr>
    </w:p>
    <w:p w14:paraId="51A5DFEA" w14:textId="77777777" w:rsidR="001C5F74" w:rsidRPr="00D12FCF" w:rsidRDefault="001C5F74" w:rsidP="00D12FCF">
      <w:pPr>
        <w:pStyle w:val="Ttulo"/>
        <w:rPr>
          <w:b/>
        </w:rPr>
      </w:pPr>
      <w:r w:rsidRPr="00D12FCF">
        <w:t>“</w:t>
      </w:r>
      <w:r w:rsidRPr="00D12FCF">
        <w:rPr>
          <w:b/>
        </w:rPr>
        <w:t>Artículo 31.- Son atribuciones de los ayuntamientos:</w:t>
      </w:r>
    </w:p>
    <w:p w14:paraId="638BFF01" w14:textId="77777777" w:rsidR="001C5F74" w:rsidRPr="00D12FCF" w:rsidRDefault="001C5F74" w:rsidP="00D12FCF">
      <w:pPr>
        <w:pStyle w:val="Ttulo"/>
        <w:rPr>
          <w:rFonts w:cs="Arial"/>
          <w:szCs w:val="22"/>
        </w:rPr>
      </w:pPr>
      <w:r w:rsidRPr="00D12FCF">
        <w:rPr>
          <w:rFonts w:cs="Arial"/>
          <w:szCs w:val="22"/>
        </w:rPr>
        <w:t>…</w:t>
      </w:r>
    </w:p>
    <w:p w14:paraId="0CC2B1E4" w14:textId="77777777" w:rsidR="001C5F74" w:rsidRPr="00D12FCF" w:rsidRDefault="001C5F74" w:rsidP="00D12FCF">
      <w:pPr>
        <w:pStyle w:val="Ttulo"/>
        <w:rPr>
          <w:b/>
        </w:rPr>
      </w:pPr>
      <w:r w:rsidRPr="00D12FCF">
        <w:rPr>
          <w:b/>
        </w:rPr>
        <w:t>XVIII. Administrar su hacienda en términos de ley, y controlar a través del presidente y síndico la aplicación del presupuesto de egresos del municipio;</w:t>
      </w:r>
    </w:p>
    <w:p w14:paraId="242F3A37" w14:textId="77777777" w:rsidR="001C5F74" w:rsidRPr="00D12FCF" w:rsidRDefault="001C5F74" w:rsidP="00D12FCF">
      <w:pPr>
        <w:pStyle w:val="Ttulo"/>
        <w:rPr>
          <w:rFonts w:cs="Arial"/>
          <w:szCs w:val="22"/>
        </w:rPr>
      </w:pPr>
      <w:r w:rsidRPr="00D12FCF">
        <w:rPr>
          <w:rFonts w:cs="Arial"/>
          <w:szCs w:val="22"/>
        </w:rPr>
        <w:t>…</w:t>
      </w:r>
    </w:p>
    <w:p w14:paraId="42D92746" w14:textId="77777777" w:rsidR="001C5F74" w:rsidRPr="00D12FCF" w:rsidRDefault="001C5F74" w:rsidP="00D12FCF">
      <w:pPr>
        <w:pStyle w:val="Ttulo"/>
      </w:pPr>
      <w:r w:rsidRPr="00D12FCF">
        <w:rPr>
          <w:b/>
        </w:rPr>
        <w:t>XIX. Aprobar anualmente a más tardar el 20 de diciembre, su Presupuesto de Egresos, en base a los ingresos presupuestados para el ejercicio que corresponda</w:t>
      </w:r>
      <w:r w:rsidRPr="00D12FCF">
        <w:t>, el cual podrá ser adecuado en función de las implicaciones que deriven de la aprobación de la Ley de Ingresos Municipal que haga la Legislatura, así como por la asignación de las participaciones y aportaciones federales y estatales</w:t>
      </w:r>
    </w:p>
    <w:p w14:paraId="1FC4735C" w14:textId="77777777" w:rsidR="001C5F74" w:rsidRPr="00D12FCF" w:rsidRDefault="001C5F74" w:rsidP="00D12FCF">
      <w:pPr>
        <w:pStyle w:val="Ttulo"/>
      </w:pPr>
      <w:r w:rsidRPr="00D12FCF">
        <w:t>…</w:t>
      </w:r>
    </w:p>
    <w:p w14:paraId="4E8A5C79" w14:textId="77777777" w:rsidR="001C5F74" w:rsidRPr="00D12FCF" w:rsidRDefault="001C5F74" w:rsidP="00D12FCF">
      <w:pPr>
        <w:pStyle w:val="Ttulo"/>
        <w:rPr>
          <w:b/>
        </w:rPr>
      </w:pPr>
      <w:r w:rsidRPr="00D12FCF">
        <w:rPr>
          <w:b/>
        </w:rPr>
        <w:t>Artículo 95.- Son atribuciones del tesorero municipal:</w:t>
      </w:r>
    </w:p>
    <w:p w14:paraId="2D0A75CF" w14:textId="77777777" w:rsidR="001C5F74" w:rsidRPr="00D12FCF" w:rsidRDefault="001C5F74" w:rsidP="00D12FCF">
      <w:pPr>
        <w:pStyle w:val="Ttulo"/>
      </w:pPr>
      <w:r w:rsidRPr="00D12FCF">
        <w:t xml:space="preserve">I. </w:t>
      </w:r>
      <w:r w:rsidRPr="00D12FCF">
        <w:rPr>
          <w:b/>
        </w:rPr>
        <w:t>Administrar la hacienda pública municipal</w:t>
      </w:r>
      <w:r w:rsidRPr="00D12FCF">
        <w:t>, de conformidad con las disposiciones legales aplicables;</w:t>
      </w:r>
    </w:p>
    <w:p w14:paraId="0556569A" w14:textId="77777777" w:rsidR="001C5F74" w:rsidRPr="00D12FCF" w:rsidRDefault="001C5F74" w:rsidP="00D12FCF">
      <w:pPr>
        <w:pStyle w:val="Ttulo"/>
      </w:pPr>
      <w:r w:rsidRPr="00D12FCF">
        <w:t>…</w:t>
      </w:r>
    </w:p>
    <w:p w14:paraId="5C450199" w14:textId="77777777" w:rsidR="001C5F74" w:rsidRPr="00D12FCF" w:rsidRDefault="001C5F74" w:rsidP="00D12FCF">
      <w:pPr>
        <w:pStyle w:val="Ttulo"/>
        <w:rPr>
          <w:b/>
        </w:rPr>
      </w:pPr>
      <w:r w:rsidRPr="00D12FCF">
        <w:rPr>
          <w:b/>
        </w:rPr>
        <w:t>IV. Llevar los registros contables, financieros y administrativos de los ingresos, egresos, e inventarios;</w:t>
      </w:r>
    </w:p>
    <w:p w14:paraId="5E5B3880" w14:textId="77777777" w:rsidR="001C5F74" w:rsidRPr="00D12FCF" w:rsidRDefault="001C5F74" w:rsidP="00D12FCF">
      <w:pPr>
        <w:pStyle w:val="Ttulo"/>
      </w:pPr>
      <w:r w:rsidRPr="00D12FCF">
        <w:t>…”</w:t>
      </w:r>
    </w:p>
    <w:p w14:paraId="6C93723F" w14:textId="77777777" w:rsidR="001C5F74" w:rsidRPr="00D12FCF" w:rsidRDefault="001C5F74" w:rsidP="00D12FCF">
      <w:pPr>
        <w:pStyle w:val="Ttulo"/>
      </w:pPr>
      <w:r w:rsidRPr="00D12FCF">
        <w:t>(Énfasis añadido).</w:t>
      </w:r>
    </w:p>
    <w:p w14:paraId="6F92BC5E" w14:textId="77777777" w:rsidR="001C5F74" w:rsidRPr="00D12FCF" w:rsidRDefault="001C5F74" w:rsidP="00D12FCF">
      <w:pPr>
        <w:rPr>
          <w:rFonts w:cs="Arial"/>
        </w:rPr>
      </w:pPr>
    </w:p>
    <w:p w14:paraId="6B514820" w14:textId="77777777" w:rsidR="001C5F74" w:rsidRPr="00D12FCF" w:rsidRDefault="001C5F74" w:rsidP="00D12FCF">
      <w:pPr>
        <w:rPr>
          <w:rFonts w:eastAsia="Calibri"/>
        </w:rPr>
      </w:pPr>
      <w:r w:rsidRPr="00D12FCF">
        <w:rPr>
          <w:rFonts w:eastAsia="Calibri"/>
        </w:rPr>
        <w:t xml:space="preserve">De lo anterior se advierte que los ayuntamientos tienen la atribución de administrar libremente su hacienda y controlar la aplicación del presupuesto de egresos aprobado por </w:t>
      </w:r>
      <w:r w:rsidRPr="00D12FCF">
        <w:rPr>
          <w:rFonts w:eastAsia="Calibri"/>
        </w:rPr>
        <w:lastRenderedPageBreak/>
        <w:t>dicho cuerpo colegiado, siendo atribución del Tesorero Municipal la de llevar los registros contables, financieros y administrativos de los ingresos, egresos e inventarios.</w:t>
      </w:r>
    </w:p>
    <w:p w14:paraId="2848D5B5" w14:textId="77777777" w:rsidR="001C5F74" w:rsidRPr="00D12FCF" w:rsidRDefault="001C5F74" w:rsidP="00D12FCF">
      <w:pPr>
        <w:pStyle w:val="Ttulo"/>
        <w:spacing w:line="360" w:lineRule="auto"/>
        <w:ind w:left="0" w:right="-28"/>
        <w:rPr>
          <w:rFonts w:eastAsia="Times New Roman" w:cs="Times New Roman"/>
          <w:i w:val="0"/>
          <w:kern w:val="0"/>
          <w:szCs w:val="20"/>
        </w:rPr>
      </w:pPr>
    </w:p>
    <w:p w14:paraId="0D3B51C1" w14:textId="77777777" w:rsidR="001C5F74" w:rsidRPr="00D12FCF" w:rsidRDefault="001C5F74" w:rsidP="00D12FCF">
      <w:pPr>
        <w:pStyle w:val="Prrafodelista"/>
        <w:widowControl w:val="0"/>
        <w:autoSpaceDE w:val="0"/>
        <w:autoSpaceDN w:val="0"/>
        <w:adjustRightInd w:val="0"/>
        <w:ind w:left="0"/>
        <w:rPr>
          <w:rFonts w:eastAsia="Calibri" w:cs="Arial"/>
        </w:rPr>
      </w:pPr>
      <w:r w:rsidRPr="00D12FCF">
        <w:rPr>
          <w:lang w:eastAsia="es-MX"/>
        </w:rPr>
        <w:t>Una vez precisado lo anterior, y considerando la materia de la solicitud, es importante destacar q</w:t>
      </w:r>
      <w:r w:rsidRPr="00D12FCF">
        <w:rPr>
          <w:rFonts w:cs="Arial"/>
        </w:rPr>
        <w:t xml:space="preserve">ue el </w:t>
      </w:r>
      <w:r w:rsidRPr="00D12FCF">
        <w:rPr>
          <w:rFonts w:eastAsia="Calibri" w:cs="Arial"/>
        </w:rPr>
        <w:t>Manual para la Planeación, Programación y Presupuesto de Egresos Municipal para el ejercicio fiscal de 2025,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37BC1A27" w14:textId="77777777" w:rsidR="001C5F74" w:rsidRPr="00D12FCF" w:rsidRDefault="001C5F74" w:rsidP="00D12FCF">
      <w:pPr>
        <w:pStyle w:val="Prrafodelista"/>
        <w:widowControl w:val="0"/>
        <w:autoSpaceDE w:val="0"/>
        <w:autoSpaceDN w:val="0"/>
        <w:adjustRightInd w:val="0"/>
        <w:ind w:left="0"/>
        <w:rPr>
          <w:rFonts w:eastAsia="Calibri" w:cs="Arial"/>
        </w:rPr>
      </w:pPr>
    </w:p>
    <w:p w14:paraId="4644171F" w14:textId="77777777" w:rsidR="001C5F74" w:rsidRPr="00D12FCF" w:rsidRDefault="001C5F74" w:rsidP="00D12FCF">
      <w:pPr>
        <w:rPr>
          <w:rFonts w:eastAsia="Calibri" w:cs="Arial"/>
        </w:rPr>
      </w:pPr>
      <w:r w:rsidRPr="00D12FCF">
        <w:rPr>
          <w:rFonts w:eastAsia="Calibri" w:cs="Arial"/>
        </w:rPr>
        <w:t>Para las administraciones municipales, el Presupuesto basado en Resultados (</w:t>
      </w:r>
      <w:proofErr w:type="spellStart"/>
      <w:r w:rsidRPr="00D12FCF">
        <w:rPr>
          <w:rFonts w:eastAsia="Calibri" w:cs="Arial"/>
        </w:rPr>
        <w:t>PbR</w:t>
      </w:r>
      <w:proofErr w:type="spellEnd"/>
      <w:r w:rsidRPr="00D12FCF">
        <w:rPr>
          <w:rFonts w:eastAsia="Calibri" w:cs="Arial"/>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3D37C8A5" w14:textId="77777777" w:rsidR="001C5F74" w:rsidRPr="00D12FCF" w:rsidRDefault="001C5F74" w:rsidP="00D12FCF">
      <w:pPr>
        <w:rPr>
          <w:rFonts w:eastAsia="Calibri" w:cs="Arial"/>
        </w:rPr>
      </w:pPr>
    </w:p>
    <w:p w14:paraId="20192741" w14:textId="77777777" w:rsidR="001C5F74" w:rsidRPr="00D12FCF" w:rsidRDefault="001C5F74" w:rsidP="00D12FCF">
      <w:pPr>
        <w:rPr>
          <w:rFonts w:eastAsia="Calibri" w:cs="Arial"/>
        </w:rPr>
      </w:pPr>
      <w:r w:rsidRPr="00D12FCF">
        <w:rPr>
          <w:rFonts w:eastAsia="Calibri" w:cs="Arial"/>
        </w:rPr>
        <w:t xml:space="preserve">Con base en lo anterior el Clasificador por objeto del gasto,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D12FCF">
        <w:rPr>
          <w:rFonts w:eastAsia="Calibri" w:cs="Arial"/>
          <w:b/>
        </w:rPr>
        <w:t xml:space="preserve">para que éstos cuenten con </w:t>
      </w:r>
      <w:r w:rsidRPr="00D12FCF">
        <w:rPr>
          <w:rFonts w:eastAsia="Calibri" w:cs="Arial"/>
          <w:b/>
        </w:rPr>
        <w:lastRenderedPageBreak/>
        <w:t>un catálogo de partidas presupuestarias que se alinean al Clasificador por Objeto del Gasto autorizado por el CONAC</w:t>
      </w:r>
      <w:r w:rsidRPr="00D12FCF">
        <w:rPr>
          <w:rFonts w:eastAsia="Calibri" w:cs="Arial"/>
        </w:rPr>
        <w:t xml:space="preserve"> en la reunión celebrada el 28 de mayo del 2010 y que fue publicado en Gaceta del Gobierno del estado de México No. 118 del 23 de junio de 2010, el cual se integra por Capítulo, Concepto y Partida Genérica.</w:t>
      </w:r>
    </w:p>
    <w:p w14:paraId="00039CC5" w14:textId="77777777" w:rsidR="001C5F74" w:rsidRPr="00D12FCF" w:rsidRDefault="001C5F74" w:rsidP="00D12FCF">
      <w:pPr>
        <w:rPr>
          <w:rFonts w:eastAsia="Calibri" w:cs="Arial"/>
        </w:rPr>
      </w:pPr>
    </w:p>
    <w:p w14:paraId="25A1CEDE" w14:textId="77777777" w:rsidR="001C5F74" w:rsidRPr="00D12FCF" w:rsidRDefault="001C5F74" w:rsidP="00D12FCF">
      <w:pPr>
        <w:rPr>
          <w:rFonts w:eastAsia="Calibri" w:cs="Arial"/>
        </w:rPr>
      </w:pPr>
      <w:r w:rsidRPr="00D12FCF">
        <w:rPr>
          <w:rFonts w:eastAsia="Calibri" w:cs="Arial"/>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4B89CEF3" w14:textId="77777777" w:rsidR="001C5F74" w:rsidRPr="00D12FCF" w:rsidRDefault="001C5F74" w:rsidP="00D12FCF">
      <w:pPr>
        <w:rPr>
          <w:rFonts w:eastAsia="Calibri" w:cs="Arial"/>
        </w:rPr>
      </w:pPr>
    </w:p>
    <w:p w14:paraId="00D51FB4"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Ofrecer información valiosa de la demanda de bienes y servicios que realiza el Sector Público.</w:t>
      </w:r>
    </w:p>
    <w:p w14:paraId="0B2DE8E7"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Permite identificar con claridad y transparencia los bienes y servicios que se adquieren, las transferencias que se realizan y las aplicaciones previstas en el presupuesto.</w:t>
      </w:r>
    </w:p>
    <w:p w14:paraId="7B4C9558"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Facilitar la programación de las adquisiciones de bienes y servicios y otras acciones relacionadas con administración de bienes del Estado.</w:t>
      </w:r>
    </w:p>
    <w:p w14:paraId="440A5BD9"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En el marco del sistema de cuentas gubernamentales, integradas e interrelacionadas, el Clasificador por Objeto del Gasto es uno de los principales elementos para obtener clasificaciones agregadas.</w:t>
      </w:r>
    </w:p>
    <w:p w14:paraId="5C727443"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Facilitar el ejercicio del control interno y externo de las transacciones de los entes públicos.</w:t>
      </w:r>
    </w:p>
    <w:p w14:paraId="2DE325C7"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Promover el desarrollo y aplicación de los sistemas de programación y gestión del gasto público.</w:t>
      </w:r>
    </w:p>
    <w:p w14:paraId="7E2D0B4C" w14:textId="77777777" w:rsidR="001C5F74" w:rsidRPr="00D12FCF" w:rsidRDefault="001C5F74" w:rsidP="00D12FCF">
      <w:pPr>
        <w:pStyle w:val="Prrafodelista"/>
        <w:numPr>
          <w:ilvl w:val="0"/>
          <w:numId w:val="17"/>
        </w:numPr>
        <w:contextualSpacing w:val="0"/>
        <w:rPr>
          <w:rFonts w:eastAsia="Calibri" w:cs="Arial"/>
        </w:rPr>
      </w:pPr>
      <w:r w:rsidRPr="00D12FCF">
        <w:rPr>
          <w:rFonts w:eastAsia="Calibri" w:cs="Arial"/>
        </w:rPr>
        <w:t>Permitir el análisis de los efectos del gasto público y la proyección del mismo.</w:t>
      </w:r>
    </w:p>
    <w:p w14:paraId="211751CE" w14:textId="77777777" w:rsidR="001C5F74" w:rsidRPr="00D12FCF" w:rsidRDefault="001C5F74" w:rsidP="00D12FCF">
      <w:pPr>
        <w:pStyle w:val="Prrafodelista"/>
        <w:rPr>
          <w:rFonts w:eastAsia="Calibri" w:cs="Arial"/>
        </w:rPr>
      </w:pPr>
    </w:p>
    <w:p w14:paraId="16AA1498" w14:textId="77777777" w:rsidR="001C5F74" w:rsidRPr="00D12FCF" w:rsidRDefault="001C5F74" w:rsidP="00D12FCF">
      <w:pPr>
        <w:rPr>
          <w:rFonts w:eastAsia="Calibri" w:cs="Arial"/>
        </w:rPr>
      </w:pPr>
      <w:r w:rsidRPr="00D12FCF">
        <w:rPr>
          <w:rFonts w:eastAsia="Calibri"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15E4CD02" w14:textId="77777777" w:rsidR="001C5F74" w:rsidRPr="00D12FCF" w:rsidRDefault="001C5F74" w:rsidP="00D12FCF">
      <w:pPr>
        <w:rPr>
          <w:rFonts w:eastAsia="Calibri" w:cs="Arial"/>
        </w:rPr>
      </w:pPr>
    </w:p>
    <w:p w14:paraId="05998BA3" w14:textId="77777777" w:rsidR="001C5F74" w:rsidRPr="00D12FCF" w:rsidRDefault="001C5F74" w:rsidP="00D12FCF">
      <w:pPr>
        <w:jc w:val="center"/>
        <w:rPr>
          <w:rFonts w:eastAsia="Calibri" w:cs="Arial"/>
        </w:rPr>
      </w:pPr>
      <w:r w:rsidRPr="00D12FCF">
        <w:rPr>
          <w:noProof/>
          <w:lang w:eastAsia="es-MX"/>
        </w:rPr>
        <w:drawing>
          <wp:inline distT="0" distB="0" distL="0" distR="0" wp14:anchorId="16EE5980" wp14:editId="50EC4C55">
            <wp:extent cx="4982152" cy="928048"/>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440" t="43798" r="20464" b="36291"/>
                    <a:stretch/>
                  </pic:blipFill>
                  <pic:spPr bwMode="auto">
                    <a:xfrm>
                      <a:off x="0" y="0"/>
                      <a:ext cx="5000776" cy="93151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E8EB1BF" w14:textId="77777777" w:rsidR="001C5F74" w:rsidRPr="00D12FCF" w:rsidRDefault="001C5F74" w:rsidP="00D12FCF">
      <w:pPr>
        <w:jc w:val="center"/>
        <w:rPr>
          <w:rFonts w:eastAsia="Calibri" w:cs="Arial"/>
        </w:rPr>
      </w:pPr>
    </w:p>
    <w:p w14:paraId="7345DBCD" w14:textId="77777777" w:rsidR="001C5F74" w:rsidRPr="00D12FCF" w:rsidRDefault="001C5F74" w:rsidP="00D12FCF">
      <w:pPr>
        <w:rPr>
          <w:rFonts w:eastAsia="Calibri" w:cs="Arial"/>
        </w:rPr>
      </w:pPr>
      <w:r w:rsidRPr="00D12FCF">
        <w:rPr>
          <w:rFonts w:eastAsia="Calibri" w:cs="Arial"/>
        </w:rPr>
        <w:t>Debiendo definir cada una de las partes que lo integran como sigue:</w:t>
      </w:r>
    </w:p>
    <w:p w14:paraId="5A0E4B92" w14:textId="77777777" w:rsidR="001C5F74" w:rsidRPr="00D12FCF" w:rsidRDefault="001C5F74" w:rsidP="00D12FCF">
      <w:pPr>
        <w:pStyle w:val="Prrafodelista"/>
        <w:numPr>
          <w:ilvl w:val="0"/>
          <w:numId w:val="18"/>
        </w:numPr>
        <w:contextualSpacing w:val="0"/>
        <w:rPr>
          <w:rFonts w:eastAsia="Calibri" w:cs="Arial"/>
        </w:rPr>
      </w:pPr>
      <w:r w:rsidRPr="00D12FCF">
        <w:rPr>
          <w:rFonts w:eastAsia="Calibri" w:cs="Arial"/>
          <w:b/>
        </w:rPr>
        <w:t>Capítulo:</w:t>
      </w:r>
      <w:r w:rsidRPr="00D12FCF">
        <w:rPr>
          <w:rFonts w:eastAsia="Calibri" w:cs="Arial"/>
        </w:rPr>
        <w:t xml:space="preserve"> Es el mayor nivel de agregación que identifica el conjunto homogéneo y ordenado de los bienes y servicios requeridos por los entes públicos.</w:t>
      </w:r>
    </w:p>
    <w:p w14:paraId="717602DE" w14:textId="77777777" w:rsidR="001C5F74" w:rsidRPr="00D12FCF" w:rsidRDefault="001C5F74" w:rsidP="00D12FCF">
      <w:pPr>
        <w:pStyle w:val="Prrafodelista"/>
        <w:numPr>
          <w:ilvl w:val="0"/>
          <w:numId w:val="18"/>
        </w:numPr>
        <w:contextualSpacing w:val="0"/>
        <w:rPr>
          <w:rFonts w:eastAsia="Calibri" w:cs="Arial"/>
        </w:rPr>
      </w:pPr>
      <w:r w:rsidRPr="00D12FCF">
        <w:rPr>
          <w:rFonts w:eastAsia="Calibri" w:cs="Arial"/>
          <w:b/>
        </w:rPr>
        <w:t>Concepto:</w:t>
      </w:r>
      <w:r w:rsidRPr="00D12FCF">
        <w:rPr>
          <w:rFonts w:eastAsia="Calibri"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5758EEE4" w14:textId="77777777" w:rsidR="001C5F74" w:rsidRPr="00D12FCF" w:rsidRDefault="001C5F74" w:rsidP="00D12FCF">
      <w:pPr>
        <w:pStyle w:val="Prrafodelista"/>
        <w:rPr>
          <w:rFonts w:eastAsia="Calibri" w:cs="Arial"/>
        </w:rPr>
      </w:pPr>
      <w:r w:rsidRPr="00D12FCF">
        <w:rPr>
          <w:rFonts w:eastAsia="Calibri" w:cs="Arial"/>
          <w:b/>
        </w:rPr>
        <w:t>a) La Partida Genérica</w:t>
      </w:r>
      <w:r w:rsidRPr="00D12FCF">
        <w:rPr>
          <w:rFonts w:eastAsia="Calibri" w:cs="Arial"/>
        </w:rPr>
        <w:t xml:space="preserve"> se refiere al tercer dígito, el cual logrará la armonización a todos los niveles de gobierno. </w:t>
      </w:r>
    </w:p>
    <w:p w14:paraId="09D17E91" w14:textId="77777777" w:rsidR="001C5F74" w:rsidRPr="00D12FCF" w:rsidRDefault="001C5F74" w:rsidP="00D12FCF">
      <w:pPr>
        <w:pStyle w:val="Prrafodelista"/>
        <w:rPr>
          <w:rFonts w:eastAsia="Calibri" w:cs="Arial"/>
        </w:rPr>
      </w:pPr>
      <w:r w:rsidRPr="00D12FCF">
        <w:rPr>
          <w:rFonts w:eastAsia="Calibri" w:cs="Arial"/>
          <w:b/>
        </w:rPr>
        <w:t>b) La Partida Específica</w:t>
      </w:r>
      <w:r w:rsidRPr="00D12FCF">
        <w:rPr>
          <w:rFonts w:eastAsia="Calibri" w:cs="Arial"/>
        </w:rPr>
        <w:t xml:space="preserve"> corresponde al cuarto dígito, el cual permitirá que las unidades administrativas o instancias competentes en materia de Contabilidad Gubernamental y de Presupuesto de cada orden de gobierno, con base en sus </w:t>
      </w:r>
      <w:r w:rsidRPr="00D12FCF">
        <w:rPr>
          <w:rFonts w:eastAsia="Calibri" w:cs="Arial"/>
        </w:rPr>
        <w:lastRenderedPageBreak/>
        <w:t>necesidades, generen su apertura, conservando la estructura básica (capítulo, concepto y partida genérica), con el fin de mantener la armonización con el Plan de Cuenta.</w:t>
      </w:r>
    </w:p>
    <w:p w14:paraId="44F13D11" w14:textId="77777777" w:rsidR="001C5F74" w:rsidRPr="00D12FCF" w:rsidRDefault="001C5F74" w:rsidP="00D12FCF">
      <w:pPr>
        <w:pStyle w:val="Prrafodelista"/>
        <w:widowControl w:val="0"/>
        <w:autoSpaceDE w:val="0"/>
        <w:autoSpaceDN w:val="0"/>
        <w:adjustRightInd w:val="0"/>
        <w:ind w:left="0"/>
      </w:pPr>
    </w:p>
    <w:p w14:paraId="75C09E72" w14:textId="77777777" w:rsidR="001C5F74" w:rsidRPr="00D12FCF" w:rsidRDefault="001C5F74" w:rsidP="00D12FCF">
      <w:pPr>
        <w:pStyle w:val="Prrafodelista"/>
        <w:widowControl w:val="0"/>
        <w:autoSpaceDE w:val="0"/>
        <w:autoSpaceDN w:val="0"/>
        <w:adjustRightInd w:val="0"/>
        <w:ind w:left="0"/>
        <w:rPr>
          <w:u w:val="single"/>
        </w:rPr>
      </w:pPr>
      <w:r w:rsidRPr="00D12FCF">
        <w:rPr>
          <w:u w:val="single"/>
        </w:rPr>
        <w:t xml:space="preserve">Bajo ese tenor, de una interpretación armónica a lo hasta aquí expuesto, es claro que el presupuesto municipal se debe dar a conocer de manera clasificada, es decir, se debe hacer del conocimiento de la ciudadanía el propósito que tendrá, en qué y cómo se ejercerá dicho presupuesto por las dependencias, garantizando así que el recurso público sea ejecutado de acuerdo a lo que previamente se ha planeado. </w:t>
      </w:r>
    </w:p>
    <w:p w14:paraId="798B837B" w14:textId="77777777" w:rsidR="001C5F74" w:rsidRPr="00D12FCF" w:rsidRDefault="001C5F74" w:rsidP="00D12FCF">
      <w:pPr>
        <w:pStyle w:val="Prrafodelista"/>
        <w:widowControl w:val="0"/>
        <w:autoSpaceDE w:val="0"/>
        <w:autoSpaceDN w:val="0"/>
        <w:adjustRightInd w:val="0"/>
        <w:ind w:left="0"/>
      </w:pPr>
    </w:p>
    <w:p w14:paraId="7840007D" w14:textId="77777777" w:rsidR="001C5F74" w:rsidRPr="00D12FCF" w:rsidRDefault="001C5F74" w:rsidP="00D12FCF">
      <w:pPr>
        <w:rPr>
          <w:rFonts w:cs="Arial"/>
        </w:rPr>
      </w:pPr>
      <w:r w:rsidRPr="00D12FCF">
        <w:rPr>
          <w:rFonts w:cs="Arial"/>
        </w:rPr>
        <w:t>Asimismo, es importante destacar que la información solicitada se encuentra considerada dentro de las obligaciones de transparencias comunes que l</w:t>
      </w:r>
      <w:r w:rsidRPr="00D12FCF">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12FCF">
        <w:rPr>
          <w:rFonts w:cs="Arial"/>
        </w:rPr>
        <w:t>el artículo 92 de la de la Ley de Transparencia y Acceso a la Información Pública del Estado de México y Municipios, en su fracción XXV, que dispone lo siguiente:</w:t>
      </w:r>
    </w:p>
    <w:p w14:paraId="4A5FB086" w14:textId="77777777" w:rsidR="001C5F74" w:rsidRPr="00D12FCF" w:rsidRDefault="001C5F74" w:rsidP="00D12FCF">
      <w:pPr>
        <w:rPr>
          <w:rFonts w:cs="Arial"/>
        </w:rPr>
      </w:pPr>
    </w:p>
    <w:p w14:paraId="5403DAEC" w14:textId="77777777" w:rsidR="001C5F74" w:rsidRPr="00D12FCF" w:rsidRDefault="001C5F74" w:rsidP="00D12FCF">
      <w:pPr>
        <w:pStyle w:val="Ttulo"/>
      </w:pPr>
      <w:r w:rsidRPr="00D12FCF">
        <w:rPr>
          <w:b/>
          <w:bCs/>
        </w:rPr>
        <w:t>“Artículo 92. </w:t>
      </w:r>
      <w:r w:rsidRPr="00D12FCF">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F26C32" w14:textId="77777777" w:rsidR="001C5F74" w:rsidRPr="00D12FCF" w:rsidRDefault="001C5F74" w:rsidP="00D12FCF">
      <w:pPr>
        <w:pStyle w:val="Ttulo"/>
        <w:rPr>
          <w:rFonts w:cs="Arial"/>
          <w:i w:val="0"/>
          <w:iCs/>
          <w:szCs w:val="22"/>
        </w:rPr>
      </w:pPr>
      <w:r w:rsidRPr="00D12FCF">
        <w:rPr>
          <w:rFonts w:cs="Arial"/>
          <w:iCs/>
          <w:szCs w:val="22"/>
        </w:rPr>
        <w:t>…</w:t>
      </w:r>
    </w:p>
    <w:p w14:paraId="192D998D" w14:textId="77777777" w:rsidR="001C5F74" w:rsidRPr="00D12FCF" w:rsidRDefault="001C5F74" w:rsidP="00D12FCF">
      <w:pPr>
        <w:pStyle w:val="Ttulo"/>
        <w:rPr>
          <w:b/>
        </w:rPr>
      </w:pPr>
      <w:r w:rsidRPr="00D12FCF">
        <w:rPr>
          <w:b/>
        </w:rPr>
        <w:t xml:space="preserve">XXV. </w:t>
      </w:r>
      <w:proofErr w:type="gramStart"/>
      <w:r w:rsidRPr="00D12FCF">
        <w:rPr>
          <w:b/>
        </w:rPr>
        <w:t>La información financiera sobre el presupuesto asignado, así como los informes del ejercicio trimestral del gasto, en términos de la Ley General de Contabilidad Gubernamental y demás disposiciones jurídicas aplicables;</w:t>
      </w:r>
      <w:proofErr w:type="gramEnd"/>
    </w:p>
    <w:p w14:paraId="05687278" w14:textId="77777777" w:rsidR="001C5F74" w:rsidRPr="00D12FCF" w:rsidRDefault="001C5F74" w:rsidP="00D12FCF">
      <w:pPr>
        <w:pStyle w:val="Ttulo"/>
      </w:pPr>
      <w:r w:rsidRPr="00D12FCF">
        <w:t>…”</w:t>
      </w:r>
    </w:p>
    <w:p w14:paraId="12FC1A92" w14:textId="77777777" w:rsidR="001C5F74" w:rsidRPr="00D12FCF" w:rsidRDefault="001C5F74" w:rsidP="00D12FCF">
      <w:pPr>
        <w:pStyle w:val="Ttulo"/>
      </w:pPr>
      <w:r w:rsidRPr="00D12FCF">
        <w:t>(Énfasis añadido)</w:t>
      </w:r>
    </w:p>
    <w:p w14:paraId="6C94169F" w14:textId="77777777" w:rsidR="001C5F74" w:rsidRPr="00D12FCF" w:rsidRDefault="001C5F74" w:rsidP="00D12FCF">
      <w:pPr>
        <w:rPr>
          <w:rFonts w:cs="Arial"/>
        </w:rPr>
      </w:pPr>
    </w:p>
    <w:p w14:paraId="0834CBD3" w14:textId="77777777" w:rsidR="001C5F74" w:rsidRPr="00D12FCF" w:rsidRDefault="001C5F74" w:rsidP="00D12FCF">
      <w:pPr>
        <w:rPr>
          <w:rFonts w:cs="Arial"/>
        </w:rPr>
      </w:pPr>
      <w:r w:rsidRPr="00D12FCF">
        <w:rPr>
          <w:rFonts w:cs="Arial"/>
        </w:rPr>
        <w:lastRenderedPageBreak/>
        <w:t>De lo anterior, se desprende que los Sujetos Obligados están compelidos a poner a disposición del público de manera constante y actualizada, de forma sencilla, precisa y entendible, en los respectivos medios electrónicos, la información referente al presupuesto que les es asignado.</w:t>
      </w:r>
    </w:p>
    <w:p w14:paraId="6C7C0D14" w14:textId="77777777" w:rsidR="001C5F74" w:rsidRPr="00D12FCF" w:rsidRDefault="001C5F74" w:rsidP="00D12FCF">
      <w:pPr>
        <w:ind w:right="-93"/>
        <w:rPr>
          <w:rFonts w:cs="Tahoma"/>
          <w:bCs/>
          <w:szCs w:val="22"/>
        </w:rPr>
      </w:pPr>
    </w:p>
    <w:p w14:paraId="12FF30FE" w14:textId="77777777" w:rsidR="001C5F74" w:rsidRPr="00D12FCF" w:rsidRDefault="001C5F74" w:rsidP="00D12FCF">
      <w:pPr>
        <w:ind w:right="-93"/>
        <w:rPr>
          <w:rFonts w:cs="Tahoma"/>
          <w:bCs/>
          <w:szCs w:val="22"/>
        </w:rPr>
      </w:pPr>
      <w:r w:rsidRPr="00D12FCF">
        <w:rPr>
          <w:rFonts w:cs="Tahoma"/>
          <w:bCs/>
          <w:szCs w:val="22"/>
        </w:rPr>
        <w:t>Hasta aquí podemos dilucidar que existe fuente obligacional para generar la información solicitada, inclusive ello se puede corroborar con el cambio de modalidad que pretendió hacer el SUJETO OBLIGADO puesto que al pretender que la parte recurrente acuda de manera presencial por la información se presume la existencia de la misma.</w:t>
      </w:r>
    </w:p>
    <w:p w14:paraId="6307298F" w14:textId="77777777" w:rsidR="001C5F74" w:rsidRPr="00D12FCF" w:rsidRDefault="001C5F74" w:rsidP="00D12FCF">
      <w:pPr>
        <w:ind w:right="-93"/>
        <w:rPr>
          <w:rFonts w:cs="Tahoma"/>
          <w:bCs/>
          <w:szCs w:val="22"/>
        </w:rPr>
      </w:pPr>
    </w:p>
    <w:p w14:paraId="24D23003" w14:textId="77777777" w:rsidR="001C5F74" w:rsidRPr="00D12FCF" w:rsidRDefault="001C5F74" w:rsidP="00D12FCF">
      <w:pPr>
        <w:ind w:right="-312"/>
        <w:rPr>
          <w:rFonts w:eastAsia="MS Mincho" w:cs="Arial"/>
        </w:rPr>
      </w:pPr>
      <w:r w:rsidRPr="00D12FCF">
        <w:rPr>
          <w:rFonts w:cs="Tahoma"/>
          <w:bCs/>
          <w:szCs w:val="22"/>
        </w:rPr>
        <w:t>Ahora bien, respecto al cambio de modalidad</w:t>
      </w:r>
      <w:r w:rsidRPr="00D12FCF">
        <w:t xml:space="preserve">, es de puntualizar </w:t>
      </w:r>
      <w:proofErr w:type="gramStart"/>
      <w:r w:rsidRPr="00D12FCF">
        <w:t>que</w:t>
      </w:r>
      <w:proofErr w:type="gramEnd"/>
      <w:r w:rsidRPr="00D12FCF">
        <w:t xml:space="preserve"> conforme a la Ley </w:t>
      </w:r>
      <w:r w:rsidRPr="00D12FCF">
        <w:rPr>
          <w:rFonts w:eastAsia="MS Mincho" w:cs="Arial"/>
        </w:rPr>
        <w:t xml:space="preserve">de Transparencia y Acceso a la Información Pública del Estado de México y Municipios, </w:t>
      </w:r>
      <w:r w:rsidRPr="00D12FCF">
        <w:rPr>
          <w:rFonts w:cs="Arial"/>
        </w:rPr>
        <w:t xml:space="preserve">en el </w:t>
      </w:r>
      <w:r w:rsidRPr="00D12FCF">
        <w:rPr>
          <w:rFonts w:eastAsia="MS Mincho" w:cs="Arial"/>
        </w:rPr>
        <w:t xml:space="preserve">artículo 158 </w:t>
      </w:r>
      <w:r w:rsidRPr="00D12FCF">
        <w:t>se prevé el cambio de modalidad, como se ilustra</w:t>
      </w:r>
      <w:r w:rsidRPr="00D12FCF">
        <w:rPr>
          <w:rFonts w:cs="Arial"/>
        </w:rPr>
        <w:t xml:space="preserve">: </w:t>
      </w:r>
    </w:p>
    <w:p w14:paraId="2E88AD7F" w14:textId="77777777" w:rsidR="001C5F74" w:rsidRPr="00D12FCF" w:rsidRDefault="001C5F74" w:rsidP="00D12FCF">
      <w:pPr>
        <w:rPr>
          <w:lang w:eastAsia="es-MX"/>
        </w:rPr>
      </w:pPr>
    </w:p>
    <w:p w14:paraId="4C74A2C6" w14:textId="77777777" w:rsidR="001C5F74" w:rsidRPr="00D12FCF" w:rsidRDefault="001C5F74" w:rsidP="00D12FCF">
      <w:pPr>
        <w:pStyle w:val="Ttulo"/>
      </w:pPr>
      <w:r w:rsidRPr="00D12FCF">
        <w:t>“</w:t>
      </w:r>
      <w:r w:rsidRPr="00D12FCF">
        <w:rPr>
          <w:b/>
          <w:bCs/>
        </w:rPr>
        <w:t>Artículo 158.</w:t>
      </w:r>
      <w:r w:rsidRPr="00D12FCF">
        <w:t xml:space="preserve"> </w:t>
      </w:r>
      <w:r w:rsidRPr="00D12FCF">
        <w:rPr>
          <w:bCs/>
        </w:rPr>
        <w:t>De manera excepcional, cuando de forma fundada y motivada así lo determine el sujeto obligado</w:t>
      </w:r>
      <w:r w:rsidRPr="00D12FCF">
        <w:t xml:space="preserve">, en aquellos casos en que la información solicitada que ya se encuentre en su posesión implique análisis, estudio o procesamiento de documentos </w:t>
      </w:r>
      <w:r w:rsidRPr="00D12FCF">
        <w:rPr>
          <w:bCs/>
        </w:rPr>
        <w:t>cuya entrega o reproducción sobrepase las capacidades técnicas administrativas y humanas del sujeto obligado</w:t>
      </w:r>
      <w:r w:rsidRPr="00D12FCF">
        <w:t xml:space="preserve"> para cumplir con la solicitud, en los plazos establecidos para dichos efectos,</w:t>
      </w:r>
      <w:r w:rsidRPr="00D12FCF">
        <w:rPr>
          <w:bCs/>
        </w:rPr>
        <w:t xml:space="preserve"> se podrá poner a disposición del solicitante los documentos en consulta directa</w:t>
      </w:r>
      <w:r w:rsidRPr="00D12FCF">
        <w:t>, salvo la información clasificada”.</w:t>
      </w:r>
    </w:p>
    <w:p w14:paraId="31956444" w14:textId="77777777" w:rsidR="001C5F74" w:rsidRPr="00D12FCF" w:rsidRDefault="001C5F74" w:rsidP="00D12FCF">
      <w:pPr>
        <w:pStyle w:val="Ttulo"/>
      </w:pPr>
      <w:r w:rsidRPr="00D12FCF">
        <w:t xml:space="preserve"> (Énfasis añadido) </w:t>
      </w:r>
    </w:p>
    <w:p w14:paraId="4B34527A" w14:textId="77777777" w:rsidR="001C5F74" w:rsidRPr="00D12FCF" w:rsidRDefault="001C5F74" w:rsidP="00D12FCF">
      <w:pPr>
        <w:pStyle w:val="Ttulo"/>
      </w:pPr>
    </w:p>
    <w:p w14:paraId="314D00FE" w14:textId="77777777" w:rsidR="001C5F74" w:rsidRPr="00D12FCF" w:rsidRDefault="001C5F74" w:rsidP="00D12FCF">
      <w:pPr>
        <w:ind w:right="-312"/>
        <w:rPr>
          <w:rFonts w:eastAsia="MS Mincho" w:cs="Arial"/>
        </w:rPr>
      </w:pPr>
      <w:r w:rsidRPr="00D12FCF">
        <w:rPr>
          <w:rFonts w:eastAsia="MS Mincho"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14:paraId="722BCE9C" w14:textId="77777777" w:rsidR="001C5F74" w:rsidRPr="00D12FCF" w:rsidRDefault="001C5F74" w:rsidP="00D12FCF">
      <w:pPr>
        <w:rPr>
          <w:rFonts w:eastAsia="MS Mincho" w:cs="Arial"/>
        </w:rPr>
      </w:pPr>
    </w:p>
    <w:p w14:paraId="15A23BAC" w14:textId="77777777" w:rsidR="001C5F74" w:rsidRPr="00D12FCF" w:rsidRDefault="001C5F74" w:rsidP="00D12FCF">
      <w:pPr>
        <w:ind w:right="-312"/>
        <w:rPr>
          <w:rFonts w:eastAsia="MS Mincho"/>
          <w:b/>
        </w:rPr>
      </w:pPr>
      <w:r w:rsidRPr="00D12FCF">
        <w:rPr>
          <w:rFonts w:eastAsia="MS Mincho"/>
        </w:rPr>
        <w:lastRenderedPageBreak/>
        <w:t xml:space="preserve">Teniendo, por </w:t>
      </w:r>
      <w:proofErr w:type="gramStart"/>
      <w:r w:rsidRPr="00D12FCF">
        <w:rPr>
          <w:rFonts w:eastAsia="MS Mincho"/>
        </w:rPr>
        <w:t>tanto</w:t>
      </w:r>
      <w:proofErr w:type="gramEnd"/>
      <w:r w:rsidRPr="00D12FCF">
        <w:rPr>
          <w:rFonts w:eastAsia="MS Mincho"/>
        </w:rPr>
        <w:t xml:space="preserve"> varios elementos que se deben de cumplir para que se dé el cambio de entrega de la información a uno diferente al elegido por el particular, esto es, por un </w:t>
      </w:r>
      <w:proofErr w:type="gramStart"/>
      <w:r w:rsidRPr="00D12FCF">
        <w:rPr>
          <w:rFonts w:eastAsia="MS Mincho"/>
        </w:rPr>
        <w:t>lado</w:t>
      </w:r>
      <w:proofErr w:type="gramEnd"/>
      <w:r w:rsidRPr="00D12FCF">
        <w:rPr>
          <w:rFonts w:eastAsia="MS Mincho"/>
        </w:rPr>
        <w:t xml:space="preserve"> es deben de fundar y motivas, y por otro se deben de cumplir tres hipótesis </w:t>
      </w:r>
      <w:proofErr w:type="gramStart"/>
      <w:r w:rsidRPr="00D12FCF">
        <w:rPr>
          <w:rFonts w:eastAsia="MS Mincho"/>
        </w:rPr>
        <w:t>que</w:t>
      </w:r>
      <w:proofErr w:type="gramEnd"/>
      <w:r w:rsidRPr="00D12FCF">
        <w:rPr>
          <w:rFonts w:eastAsia="MS Mincho"/>
        </w:rPr>
        <w:t xml:space="preserve"> en conjunto, validan el cambio de modalidad de entrega de la información y las cuales son, que las documentales a proporcionar </w:t>
      </w:r>
      <w:r w:rsidRPr="00D12FCF">
        <w:rPr>
          <w:rFonts w:eastAsia="MS Mincho"/>
          <w:b/>
        </w:rPr>
        <w:t xml:space="preserve">sobrepasen las capacidades técnicas administrativas y humanas del Sujeto Obligado. </w:t>
      </w:r>
    </w:p>
    <w:p w14:paraId="0BD7F8D9" w14:textId="77777777" w:rsidR="001C5F74" w:rsidRPr="00D12FCF" w:rsidRDefault="001C5F74" w:rsidP="00D12FCF">
      <w:pPr>
        <w:rPr>
          <w:rFonts w:eastAsia="MS Mincho"/>
        </w:rPr>
      </w:pPr>
    </w:p>
    <w:p w14:paraId="77725B9E" w14:textId="77777777" w:rsidR="001C5F74" w:rsidRPr="00D12FCF" w:rsidRDefault="001C5F74" w:rsidP="00D12FCF">
      <w:pPr>
        <w:ind w:right="-312"/>
        <w:rPr>
          <w:rFonts w:eastAsia="Palatino Linotype" w:cs="Palatino Linotype"/>
          <w:szCs w:val="22"/>
        </w:rPr>
      </w:pPr>
      <w:r w:rsidRPr="00D12FCF">
        <w:rPr>
          <w:rFonts w:eastAsia="MS Mincho"/>
        </w:rPr>
        <w:t xml:space="preserve">Así, por principio, se analiza el primer elemento constitutivo referente al fundar y motivar, teniendo que </w:t>
      </w:r>
      <w:r w:rsidRPr="00D12FCF">
        <w:rPr>
          <w:rFonts w:eastAsia="Palatino Linotype" w:cs="Palatino Linotype"/>
          <w:szCs w:val="22"/>
        </w:rPr>
        <w:t xml:space="preserve">en </w:t>
      </w:r>
      <w:r w:rsidRPr="00D12FCF">
        <w:rPr>
          <w:rFonts w:eastAsia="MS Mincho"/>
        </w:rPr>
        <w:t>términos</w:t>
      </w:r>
      <w:r w:rsidRPr="00D12FCF">
        <w:rPr>
          <w:rFonts w:eastAsia="Palatino Linotype" w:cs="Palatino Linotype"/>
          <w:szCs w:val="22"/>
        </w:rPr>
        <w:t xml:space="preserve">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931C4D7" w14:textId="77777777" w:rsidR="001C5F74" w:rsidRPr="00D12FCF" w:rsidRDefault="001C5F74" w:rsidP="00D12FCF">
      <w:pPr>
        <w:ind w:right="-312"/>
        <w:rPr>
          <w:rFonts w:eastAsia="Palatino Linotype" w:cs="Palatino Linotype"/>
          <w:szCs w:val="22"/>
        </w:rPr>
      </w:pPr>
    </w:p>
    <w:p w14:paraId="05596378" w14:textId="77777777" w:rsidR="001C5F74" w:rsidRPr="00D12FCF" w:rsidRDefault="001C5F74" w:rsidP="00D12FCF">
      <w:pPr>
        <w:pStyle w:val="Ttulo"/>
        <w:rPr>
          <w:rFonts w:eastAsia="Palatino Linotype"/>
        </w:rPr>
      </w:pPr>
      <w:r w:rsidRPr="00D12FCF">
        <w:rPr>
          <w:rFonts w:eastAsia="Palatino Linotype"/>
          <w:b/>
        </w:rPr>
        <w:t>“FUNDAMENTACIÓN Y MOTIVACIÓN DE LOS ACTOS ADMINISTRATIVOS</w:t>
      </w:r>
      <w:r w:rsidRPr="00D12FCF">
        <w:rPr>
          <w:rFonts w:eastAsia="Palatino Linotype"/>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12FCF">
        <w:rPr>
          <w:rFonts w:eastAsia="Palatino Linotype"/>
        </w:rPr>
        <w:t>subincisos</w:t>
      </w:r>
      <w:proofErr w:type="spellEnd"/>
      <w:r w:rsidRPr="00D12FCF">
        <w:rPr>
          <w:rFonts w:eastAsia="Palatino Linotype"/>
        </w:rPr>
        <w:t xml:space="preserve">, fracciones y </w:t>
      </w:r>
      <w:r w:rsidRPr="00D12FCF">
        <w:rPr>
          <w:rFonts w:eastAsia="Palatino Linotype"/>
        </w:rPr>
        <w:lastRenderedPageBreak/>
        <w:t>preceptos aplicable, y b).- Los cuerpos legales y preceptos que otorgan competencia o facultades a las autoridades para emitir el acto en agravio del gobernado.”</w:t>
      </w:r>
    </w:p>
    <w:p w14:paraId="5149B3B5" w14:textId="77777777" w:rsidR="001C5F74" w:rsidRPr="00D12FCF" w:rsidRDefault="001C5F74" w:rsidP="00D12FCF">
      <w:pPr>
        <w:rPr>
          <w:rFonts w:eastAsia="Palatino Linotype"/>
        </w:rPr>
      </w:pPr>
    </w:p>
    <w:p w14:paraId="137FFAAD" w14:textId="77777777" w:rsidR="001C5F74" w:rsidRPr="00D12FCF" w:rsidRDefault="001C5F74" w:rsidP="00D12FCF">
      <w:pPr>
        <w:ind w:right="-312"/>
        <w:rPr>
          <w:rFonts w:eastAsia="Palatino Linotype" w:cs="Palatino Linotype"/>
          <w:szCs w:val="22"/>
        </w:rPr>
      </w:pPr>
      <w:r w:rsidRPr="00D12FCF">
        <w:rPr>
          <w:rFonts w:eastAsia="Palatino Linotype" w:cs="Palatino Linotype"/>
          <w:szCs w:val="22"/>
        </w:rPr>
        <w:t>En ese entendido, según lo dispuesto en los artículos 160 y 164 de la Ley de Transparencia y Acceso a la Información Pública del Estado de México y Municipios,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2FC0831C" w14:textId="77777777" w:rsidR="001C5F74" w:rsidRPr="00D12FCF" w:rsidRDefault="001C5F74" w:rsidP="00D12FCF">
      <w:pPr>
        <w:ind w:right="-312"/>
        <w:rPr>
          <w:rFonts w:eastAsia="Palatino Linotype" w:cs="Palatino Linotype"/>
          <w:szCs w:val="22"/>
        </w:rPr>
      </w:pPr>
    </w:p>
    <w:p w14:paraId="07728EDC" w14:textId="77777777" w:rsidR="001C5F74" w:rsidRPr="00D12FCF" w:rsidRDefault="001C5F74" w:rsidP="00D12FCF">
      <w:pPr>
        <w:pStyle w:val="Ttulo"/>
        <w:rPr>
          <w:rFonts w:eastAsia="Palatino Linotype"/>
        </w:rPr>
      </w:pPr>
      <w:r w:rsidRPr="00D12FCF">
        <w:rPr>
          <w:rFonts w:eastAsia="Palatino Linotype"/>
        </w:rPr>
        <w:t>“</w:t>
      </w:r>
      <w:r w:rsidRPr="00D12FCF">
        <w:rPr>
          <w:rFonts w:eastAsia="Palatino Linotype"/>
          <w:b/>
        </w:rPr>
        <w:t>Artículo 160.</w:t>
      </w:r>
      <w:r w:rsidRPr="00D12FCF">
        <w:rPr>
          <w:rFonts w:eastAsia="Palatino Linotype"/>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0DF3E8D" w14:textId="77777777" w:rsidR="001C5F74" w:rsidRPr="00D12FCF" w:rsidRDefault="001C5F74" w:rsidP="00D12FCF">
      <w:pPr>
        <w:rPr>
          <w:rFonts w:eastAsia="Palatino Linotype"/>
        </w:rPr>
      </w:pPr>
    </w:p>
    <w:p w14:paraId="1F6F7CA5" w14:textId="77777777" w:rsidR="001C5F74" w:rsidRPr="00D12FCF" w:rsidRDefault="001C5F74" w:rsidP="00D12FCF">
      <w:pPr>
        <w:pStyle w:val="Ttulo"/>
        <w:rPr>
          <w:rFonts w:eastAsia="Palatino Linotype"/>
        </w:rPr>
      </w:pPr>
      <w:r w:rsidRPr="00D12FCF">
        <w:rPr>
          <w:rFonts w:eastAsia="Palatino Linotype"/>
          <w:b/>
        </w:rPr>
        <w:t>Artículo 164.</w:t>
      </w:r>
      <w:r w:rsidRPr="00D12FCF">
        <w:rPr>
          <w:rFonts w:eastAsia="Palatino Linotype"/>
        </w:rPr>
        <w:t xml:space="preserve"> El acceso se dará en la modalidad de entrega y, en su caso, de envío elegidos por el solicitante. Cuando la información no pueda entregarse o enviarse en la modalidad solicitada, </w:t>
      </w:r>
      <w:r w:rsidRPr="00D12FCF">
        <w:rPr>
          <w:rFonts w:eastAsia="Palatino Linotype"/>
          <w:u w:val="single"/>
        </w:rPr>
        <w:t>el sujeto obligado deberá ofrecer otra u otras modalidades de entrega.</w:t>
      </w:r>
      <w:r w:rsidRPr="00D12FCF">
        <w:rPr>
          <w:rFonts w:eastAsia="Palatino Linotype"/>
        </w:rPr>
        <w:t xml:space="preserve"> En cualquier caso, se deberá fundar y motivar la necesidad de ofrecer otras modalidades.”</w:t>
      </w:r>
    </w:p>
    <w:p w14:paraId="130D7C1E" w14:textId="77777777" w:rsidR="001C5F74" w:rsidRPr="00D12FCF" w:rsidRDefault="001C5F74" w:rsidP="00D12FCF">
      <w:pPr>
        <w:rPr>
          <w:rFonts w:eastAsia="Palatino Linotype"/>
        </w:rPr>
      </w:pPr>
    </w:p>
    <w:p w14:paraId="075F4AE4" w14:textId="77777777" w:rsidR="001C5F74" w:rsidRPr="00D12FCF" w:rsidRDefault="001C5F74" w:rsidP="00D12FCF">
      <w:pPr>
        <w:ind w:right="-312"/>
        <w:rPr>
          <w:rFonts w:eastAsia="Palatino Linotype" w:cs="Palatino Linotype"/>
          <w:szCs w:val="22"/>
        </w:rPr>
      </w:pPr>
      <w:r w:rsidRPr="00D12FCF">
        <w:rPr>
          <w:rFonts w:eastAsia="Palatino Linotype" w:cs="Palatino Linotype"/>
          <w:szCs w:val="22"/>
        </w:rPr>
        <w:t>Esto es,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6DC8C4F2" w14:textId="77777777" w:rsidR="001C5F74" w:rsidRPr="00D12FCF" w:rsidRDefault="001C5F74" w:rsidP="00D12FCF">
      <w:pPr>
        <w:ind w:right="-312"/>
        <w:rPr>
          <w:rFonts w:eastAsia="Palatino Linotype" w:cs="Palatino Linotype"/>
          <w:szCs w:val="22"/>
        </w:rPr>
      </w:pPr>
    </w:p>
    <w:p w14:paraId="4A3879FD" w14:textId="77777777" w:rsidR="001C5F74" w:rsidRPr="00D12FCF" w:rsidRDefault="001C5F74" w:rsidP="00D12FCF">
      <w:pPr>
        <w:ind w:right="-312"/>
        <w:rPr>
          <w:rFonts w:eastAsia="Palatino Linotype" w:cs="Palatino Linotype"/>
          <w:b/>
          <w:szCs w:val="22"/>
        </w:rPr>
      </w:pPr>
      <w:r w:rsidRPr="00D12FCF">
        <w:rPr>
          <w:rFonts w:eastAsia="Palatino Linotype" w:cs="Palatino Linotype"/>
          <w:szCs w:val="22"/>
        </w:rPr>
        <w:lastRenderedPageBreak/>
        <w:t xml:space="preserve">Para lo cual, conforme al artículo 174 de la ley de la materia, los costos de reproducción y, en su caso, de envío para la obtención de la información deberán ser cubiertos por el solicitante de manera previa a la entrega por parte del </w:t>
      </w:r>
      <w:r w:rsidRPr="00D12FCF">
        <w:rPr>
          <w:rFonts w:eastAsia="Palatino Linotype" w:cs="Palatino Linotype"/>
          <w:b/>
          <w:szCs w:val="22"/>
        </w:rPr>
        <w:t>SUJETO OBLIGADO.</w:t>
      </w:r>
    </w:p>
    <w:p w14:paraId="73ACC556" w14:textId="77777777" w:rsidR="001C5F74" w:rsidRPr="00D12FCF" w:rsidRDefault="001C5F74" w:rsidP="00D12FCF">
      <w:pPr>
        <w:ind w:right="-312"/>
        <w:rPr>
          <w:rFonts w:eastAsia="Palatino Linotype" w:cs="Palatino Linotype"/>
          <w:b/>
          <w:szCs w:val="22"/>
        </w:rPr>
      </w:pPr>
    </w:p>
    <w:p w14:paraId="461B59B2" w14:textId="77777777" w:rsidR="001C5F74" w:rsidRPr="00D12FCF" w:rsidRDefault="001C5F74" w:rsidP="00D12FCF">
      <w:pPr>
        <w:ind w:right="-312"/>
        <w:rPr>
          <w:rFonts w:eastAsia="Palatino Linotype" w:cs="Palatino Linotype"/>
          <w:szCs w:val="22"/>
        </w:rPr>
      </w:pPr>
      <w:r w:rsidRPr="00D12FCF">
        <w:rPr>
          <w:rFonts w:eastAsia="Palatino Linotype" w:cs="Palatino Linotype"/>
          <w:szCs w:val="22"/>
        </w:rPr>
        <w:t xml:space="preserve">En tales consideraciones, la entrega deberá hacerse, </w:t>
      </w:r>
      <w:r w:rsidRPr="00D12FCF">
        <w:rPr>
          <w:rFonts w:eastAsia="Palatino Linotype" w:cs="Palatino Linotype"/>
          <w:b/>
          <w:szCs w:val="22"/>
        </w:rPr>
        <w:t>en la medida de lo posible, en la forma solicitada por el interesado, salvo que exista un impedimento justificado para atenderla</w:t>
      </w:r>
      <w:r w:rsidRPr="00D12FCF">
        <w:rPr>
          <w:rFonts w:eastAsia="Palatino Linotype" w:cs="Palatino Linotype"/>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D12FCF">
        <w:rPr>
          <w:rFonts w:eastAsia="Palatino Linotype" w:cs="Palatino Linotype"/>
          <w:b/>
          <w:szCs w:val="22"/>
        </w:rPr>
        <w:t>sólo procede, en caso de que se acredite la imposibilidad de atenderla.</w:t>
      </w:r>
      <w:r w:rsidRPr="00D12FCF">
        <w:rPr>
          <w:rFonts w:eastAsia="Palatino Linotype" w:cs="Palatino Linotype"/>
          <w:szCs w:val="22"/>
        </w:rPr>
        <w:t xml:space="preserve"> </w:t>
      </w:r>
    </w:p>
    <w:p w14:paraId="224CD968" w14:textId="77777777" w:rsidR="001C5F74" w:rsidRPr="00D12FCF" w:rsidRDefault="001C5F74" w:rsidP="00D12FCF">
      <w:pPr>
        <w:ind w:right="-312"/>
        <w:rPr>
          <w:rFonts w:eastAsia="Palatino Linotype" w:cs="Palatino Linotype"/>
          <w:szCs w:val="22"/>
        </w:rPr>
      </w:pPr>
    </w:p>
    <w:p w14:paraId="793D3927" w14:textId="77777777" w:rsidR="001C5F74" w:rsidRPr="00D12FCF" w:rsidRDefault="001C5F74" w:rsidP="00D12FCF">
      <w:pPr>
        <w:ind w:right="-312"/>
        <w:rPr>
          <w:rFonts w:eastAsia="MS Mincho" w:cs="Arial"/>
        </w:rPr>
      </w:pPr>
      <w:r w:rsidRPr="00D12FCF">
        <w:rPr>
          <w:rFonts w:eastAsia="MS Mincho" w:cs="Arial"/>
        </w:rPr>
        <w:t xml:space="preserve">Derivado de lo anterior, cabe mencionar lo que se entiende por </w:t>
      </w:r>
      <w:r w:rsidRPr="00D12FCF">
        <w:rPr>
          <w:rFonts w:eastAsia="MS Mincho" w:cs="Arial"/>
          <w:b/>
        </w:rPr>
        <w:t>“capacidad”</w:t>
      </w:r>
      <w:r w:rsidRPr="00D12FCF">
        <w:rPr>
          <w:rFonts w:eastAsia="MS Mincho" w:cs="Arial"/>
        </w:rPr>
        <w:t>, que de manera general puede ser interpretado como la circunstancia o conjunto de condiciones, cualidades o aptitudes que permiten el desarrollo o el cumplimiento de una función o desempeño de un cargo.</w:t>
      </w:r>
    </w:p>
    <w:p w14:paraId="3CC68D39" w14:textId="77777777" w:rsidR="001C5F74" w:rsidRPr="00D12FCF" w:rsidRDefault="001C5F74" w:rsidP="00D12FCF">
      <w:pPr>
        <w:rPr>
          <w:rFonts w:eastAsia="MS Mincho" w:cs="Arial"/>
        </w:rPr>
      </w:pPr>
    </w:p>
    <w:p w14:paraId="28248785" w14:textId="77777777" w:rsidR="001C5F74" w:rsidRPr="00D12FCF" w:rsidRDefault="001C5F74" w:rsidP="00D12FCF">
      <w:pPr>
        <w:ind w:right="-312"/>
        <w:rPr>
          <w:rFonts w:eastAsia="MS Mincho" w:cs="Arial"/>
        </w:rPr>
      </w:pPr>
      <w:r w:rsidRPr="00D12FCF">
        <w:rPr>
          <w:rFonts w:eastAsia="MS Gothic" w:cstheme="majorBidi"/>
        </w:rPr>
        <w:t>Ahora bien, re</w:t>
      </w:r>
      <w:r w:rsidRPr="00D12FCF">
        <w:rPr>
          <w:rFonts w:eastAsia="MS Mincho" w:cs="Arial"/>
        </w:rPr>
        <w:t xml:space="preserve">specto a las </w:t>
      </w:r>
      <w:r w:rsidRPr="00D12FCF">
        <w:rPr>
          <w:rFonts w:eastAsia="MS Mincho" w:cs="Arial"/>
          <w:b/>
        </w:rPr>
        <w:t>capacidades técnicas</w:t>
      </w:r>
      <w:r w:rsidRPr="00D12FCF">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1C6FBB8E" w14:textId="77777777" w:rsidR="001C5F74" w:rsidRPr="00D12FCF" w:rsidRDefault="001C5F74" w:rsidP="00D12FCF">
      <w:pPr>
        <w:rPr>
          <w:rFonts w:eastAsia="MS Mincho" w:cs="Arial"/>
        </w:rPr>
      </w:pPr>
    </w:p>
    <w:p w14:paraId="057AFFF2" w14:textId="77777777" w:rsidR="001C5F74" w:rsidRPr="00D12FCF" w:rsidRDefault="001C5F74" w:rsidP="00D12FCF">
      <w:pPr>
        <w:ind w:right="-312"/>
        <w:rPr>
          <w:rFonts w:eastAsiaTheme="minorEastAsia" w:cs="Arial"/>
          <w:lang w:val="es-ES_tradnl"/>
        </w:rPr>
      </w:pPr>
      <w:r w:rsidRPr="00D12FCF">
        <w:rPr>
          <w:rFonts w:eastAsia="MS Mincho" w:cs="Arial"/>
        </w:rPr>
        <w:t xml:space="preserve">Derivado de lo anterior, es importante señalar que el </w:t>
      </w:r>
      <w:r w:rsidRPr="00D12FCF">
        <w:rPr>
          <w:rFonts w:eastAsiaTheme="minorEastAsia" w:cs="Arial"/>
          <w:b/>
          <w:lang w:val="es-ES_tradnl"/>
        </w:rPr>
        <w:t>SAIMEX</w:t>
      </w:r>
      <w:r w:rsidRPr="00D12FCF">
        <w:rPr>
          <w:rFonts w:eastAsiaTheme="minorEastAsia" w:cs="Arial"/>
          <w:lang w:val="es-ES_tradnl"/>
        </w:rPr>
        <w:t xml:space="preserve"> cuenta con el soporte tecnológico para que se puedan adjuntar archivos con un peso aprox. de hasta 500Mb o un equivalente de hasta 8,</w:t>
      </w:r>
      <w:r w:rsidRPr="00D12FCF">
        <w:rPr>
          <w:rFonts w:eastAsia="MS Mincho" w:cs="Arial"/>
        </w:rPr>
        <w:t>000</w:t>
      </w:r>
      <w:r w:rsidRPr="00D12FCF">
        <w:rPr>
          <w:rFonts w:eastAsiaTheme="minorEastAsia" w:cs="Arial"/>
          <w:lang w:val="es-ES_tradnl"/>
        </w:rPr>
        <w:t xml:space="preserve"> hojas, garantizando que el Ciudadano no tenga problemas en la descarga de la información usando conexiones a internet convencionales bajo parámetros de escaneo en </w:t>
      </w:r>
      <w:r w:rsidRPr="00D12FCF">
        <w:rPr>
          <w:rFonts w:eastAsiaTheme="minorEastAsia" w:cs="Arial"/>
          <w:lang w:val="es-ES_tradnl"/>
        </w:rPr>
        <w:lastRenderedPageBreak/>
        <w:t xml:space="preserve">resolución máxima de 150Dpi's, escala de grises y formato "PDF" extraído directamente del escáner. </w:t>
      </w:r>
    </w:p>
    <w:p w14:paraId="5AB993B8" w14:textId="77777777" w:rsidR="001C5F74" w:rsidRPr="00D12FCF" w:rsidRDefault="001C5F74" w:rsidP="00D12FCF">
      <w:pPr>
        <w:rPr>
          <w:rFonts w:eastAsiaTheme="minorEastAsia" w:cs="Arial"/>
          <w:lang w:val="es-ES_tradnl"/>
        </w:rPr>
      </w:pPr>
    </w:p>
    <w:p w14:paraId="1C64EB83" w14:textId="77777777" w:rsidR="001C5F74" w:rsidRPr="00D12FCF" w:rsidRDefault="001C5F74" w:rsidP="00D12FCF">
      <w:pPr>
        <w:ind w:right="-312"/>
        <w:rPr>
          <w:rFonts w:cs="Arial"/>
          <w:lang w:val="es-ES"/>
        </w:rPr>
      </w:pPr>
      <w:r w:rsidRPr="00D12FCF">
        <w:rPr>
          <w:rFonts w:eastAsia="MS Mincho" w:cs="Arial"/>
        </w:rPr>
        <w:t xml:space="preserve">Es así que, en el presente asunto </w:t>
      </w:r>
      <w:r w:rsidRPr="00D12FCF">
        <w:rPr>
          <w:rFonts w:eastAsia="MS Mincho" w:cs="Arial"/>
          <w:b/>
        </w:rPr>
        <w:t xml:space="preserve">EL SUJETO OBLIGADO </w:t>
      </w:r>
      <w:r w:rsidRPr="00D12FCF">
        <w:rPr>
          <w:rFonts w:eastAsia="MS Mincho" w:cs="Arial"/>
        </w:rPr>
        <w:t xml:space="preserve">omitió </w:t>
      </w:r>
      <w:r w:rsidRPr="00D12FCF">
        <w:rPr>
          <w:rFonts w:cs="Arial"/>
          <w:lang w:val="es-ES"/>
        </w:rPr>
        <w:t>demostrar que los documentos con los que</w:t>
      </w:r>
      <w:r w:rsidRPr="00D12FCF">
        <w:rPr>
          <w:rFonts w:eastAsia="MS Mincho" w:cs="Arial"/>
        </w:rPr>
        <w:t xml:space="preserve"> </w:t>
      </w:r>
      <w:r w:rsidRPr="00D12FCF">
        <w:rPr>
          <w:rFonts w:cs="Arial"/>
          <w:lang w:val="es-ES"/>
        </w:rPr>
        <w:t xml:space="preserve">pretendía dar respuesta excedían de la capacidad para ser cargada en la plataforma </w:t>
      </w:r>
      <w:r w:rsidRPr="00D12FCF">
        <w:rPr>
          <w:rFonts w:cs="Arial"/>
          <w:b/>
          <w:lang w:val="es-ES"/>
        </w:rPr>
        <w:t>SAIMEX</w:t>
      </w:r>
      <w:r w:rsidRPr="00D12FCF">
        <w:rPr>
          <w:rFonts w:cs="Arial"/>
          <w:lang w:val="es-ES"/>
        </w:rPr>
        <w:t xml:space="preserve">, por lo que dicha respuesta carece de fundamentación y </w:t>
      </w:r>
      <w:r w:rsidRPr="00D12FCF">
        <w:rPr>
          <w:rFonts w:eastAsiaTheme="minorEastAsia" w:cs="Arial"/>
          <w:lang w:val="es-ES_tradnl"/>
        </w:rPr>
        <w:t>motivación</w:t>
      </w:r>
      <w:r w:rsidRPr="00D12FCF">
        <w:rPr>
          <w:rFonts w:cs="Arial"/>
          <w:lang w:val="es-ES"/>
        </w:rPr>
        <w:t>; por lo tanto, dicha situación implica un incumplimiento a los principios de transparencia, ya que no se proporcionó la información que requería el particular en la modalidad que ésta señaló que se le entregara, que en el caso en particular la peticionó vía SAIMEX, como se ilustra:</w:t>
      </w:r>
    </w:p>
    <w:p w14:paraId="66ABC91E" w14:textId="77777777" w:rsidR="001C5F74" w:rsidRPr="00D12FCF" w:rsidRDefault="001C5F74" w:rsidP="00D12FCF">
      <w:pPr>
        <w:rPr>
          <w:rFonts w:cs="Arial"/>
          <w:lang w:val="es-ES"/>
        </w:rPr>
      </w:pPr>
    </w:p>
    <w:p w14:paraId="674F7D81" w14:textId="77777777" w:rsidR="001C5F74" w:rsidRPr="00D12FCF" w:rsidRDefault="001C5F74" w:rsidP="00D12FCF">
      <w:pPr>
        <w:rPr>
          <w:rFonts w:cs="Arial"/>
          <w:lang w:val="es-ES"/>
        </w:rPr>
      </w:pPr>
      <w:r w:rsidRPr="00D12FCF">
        <w:rPr>
          <w:noProof/>
          <w:lang w:eastAsia="es-MX"/>
          <w14:ligatures w14:val="standardContextual"/>
        </w:rPr>
        <mc:AlternateContent>
          <mc:Choice Requires="wps">
            <w:drawing>
              <wp:anchor distT="0" distB="0" distL="114300" distR="114300" simplePos="0" relativeHeight="251659264" behindDoc="0" locked="0" layoutInCell="1" allowOverlap="1" wp14:anchorId="5106515A" wp14:editId="7A6BC52E">
                <wp:simplePos x="0" y="0"/>
                <wp:positionH relativeFrom="column">
                  <wp:posOffset>-19552</wp:posOffset>
                </wp:positionH>
                <wp:positionV relativeFrom="paragraph">
                  <wp:posOffset>192139</wp:posOffset>
                </wp:positionV>
                <wp:extent cx="1446028" cy="212651"/>
                <wp:effectExtent l="19050" t="19050" r="20955" b="16510"/>
                <wp:wrapNone/>
                <wp:docPr id="7" name="Elipse 7"/>
                <wp:cNvGraphicFramePr/>
                <a:graphic xmlns:a="http://schemas.openxmlformats.org/drawingml/2006/main">
                  <a:graphicData uri="http://schemas.microsoft.com/office/word/2010/wordprocessingShape">
                    <wps:wsp>
                      <wps:cNvSpPr/>
                      <wps:spPr>
                        <a:xfrm>
                          <a:off x="0" y="0"/>
                          <a:ext cx="1446028" cy="212651"/>
                        </a:xfrm>
                        <a:prstGeom prst="ellipse">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C701BA" id="Elipse 7" o:spid="_x0000_s1026" style="position:absolute;margin-left:-1.55pt;margin-top:15.15pt;width:113.85pt;height: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" filled="f" strokecolor="#156082 [3204]" strokeweight="2.25pt">
                <v:stroke joinstyle="miter"/>
              </v:oval>
            </w:pict>
          </mc:Fallback>
        </mc:AlternateContent>
      </w:r>
      <w:r w:rsidRPr="00D12FCF">
        <w:rPr>
          <w:noProof/>
          <w:lang w:eastAsia="es-MX"/>
          <w14:ligatures w14:val="standardContextual"/>
        </w:rPr>
        <w:drawing>
          <wp:inline distT="0" distB="0" distL="0" distR="0" wp14:anchorId="13786D99" wp14:editId="0E11520A">
            <wp:extent cx="5382895" cy="720725"/>
            <wp:effectExtent l="0" t="0" r="825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82895" cy="720725"/>
                    </a:xfrm>
                    <a:prstGeom prst="rect">
                      <a:avLst/>
                    </a:prstGeom>
                  </pic:spPr>
                </pic:pic>
              </a:graphicData>
            </a:graphic>
          </wp:inline>
        </w:drawing>
      </w:r>
    </w:p>
    <w:p w14:paraId="6F8EB67F" w14:textId="77777777" w:rsidR="001C5F74" w:rsidRPr="00D12FCF" w:rsidRDefault="001C5F74" w:rsidP="00D12FCF">
      <w:pPr>
        <w:rPr>
          <w:rFonts w:cs="Arial"/>
          <w:lang w:val="es-ES"/>
        </w:rPr>
      </w:pPr>
    </w:p>
    <w:p w14:paraId="50FC10E9" w14:textId="29E532A9" w:rsidR="001C5F74" w:rsidRPr="00D12FCF" w:rsidRDefault="001C5F74" w:rsidP="00D12FCF">
      <w:pPr>
        <w:ind w:right="-312"/>
        <w:rPr>
          <w:rFonts w:cs="Arial"/>
          <w:lang w:val="es-ES"/>
        </w:rPr>
      </w:pPr>
      <w:r w:rsidRPr="00D12FCF">
        <w:rPr>
          <w:rFonts w:cs="Arial"/>
          <w:lang w:val="es-ES"/>
        </w:rPr>
        <w:t xml:space="preserve">Además de que el propio estudio de las documentales solicitadas no se considera pueda ser viable se generen más de 8,000 hojas de acuerdo a la </w:t>
      </w:r>
      <w:r w:rsidR="00B95544" w:rsidRPr="00D12FCF">
        <w:rPr>
          <w:rFonts w:cs="Arial"/>
          <w:lang w:val="es-ES"/>
        </w:rPr>
        <w:t>temporalidad</w:t>
      </w:r>
      <w:r w:rsidRPr="00D12FCF">
        <w:rPr>
          <w:rFonts w:cs="Arial"/>
          <w:lang w:val="es-ES"/>
        </w:rPr>
        <w:t xml:space="preserve"> solicitada; Es así que, los Sujetos Obligados deben </w:t>
      </w:r>
      <w:r w:rsidRPr="00D12FCF">
        <w:rPr>
          <w:rFonts w:eastAsiaTheme="minorEastAsia" w:cs="Arial"/>
          <w:lang w:val="es-ES_tradnl"/>
        </w:rPr>
        <w:t>respetar</w:t>
      </w:r>
      <w:r w:rsidRPr="00D12FCF">
        <w:rPr>
          <w:rFonts w:cs="Arial"/>
          <w:lang w:val="es-ES"/>
        </w:rPr>
        <w:t xml:space="preserve"> la forma seleccionada por </w:t>
      </w:r>
      <w:r w:rsidRPr="00D12FCF">
        <w:rPr>
          <w:rFonts w:cs="Arial"/>
          <w:b/>
          <w:lang w:val="es-ES"/>
        </w:rPr>
        <w:t>LA RECURRENTE</w:t>
      </w:r>
      <w:r w:rsidRPr="00D12FCF">
        <w:rPr>
          <w:rFonts w:cs="Arial"/>
          <w:lang w:val="es-ES"/>
        </w:rPr>
        <w:t xml:space="preserve"> para la entrega de la información, por lo que, si éste eligió que la vía de entrega de la información sea el</w:t>
      </w:r>
      <w:r w:rsidRPr="00D12FCF">
        <w:rPr>
          <w:rFonts w:cs="Arial"/>
          <w:b/>
          <w:lang w:val="es-ES"/>
        </w:rPr>
        <w:t xml:space="preserve"> SAIMEX</w:t>
      </w:r>
      <w:r w:rsidRPr="00D12FCF">
        <w:rPr>
          <w:rFonts w:cs="Arial"/>
          <w:lang w:val="es-ES"/>
        </w:rPr>
        <w:t xml:space="preserve">, el responsable de la Unidad de Transparencia debió agregar los archivos electrónicos que contengan la información requerida en dicho sistema </w:t>
      </w:r>
      <w:r w:rsidRPr="00D12FCF">
        <w:rPr>
          <w:rFonts w:cs="Arial"/>
          <w:b/>
          <w:lang w:val="es-ES"/>
        </w:rPr>
        <w:t>y sólo en caso de imposibilidad técnica, y previo aviso a este Instituto, puede optarse por cambiar la modalidad de entrega.</w:t>
      </w:r>
      <w:r w:rsidRPr="00D12FCF">
        <w:rPr>
          <w:rFonts w:cs="Arial"/>
          <w:lang w:val="es-ES"/>
        </w:rPr>
        <w:t xml:space="preserve"> </w:t>
      </w:r>
    </w:p>
    <w:p w14:paraId="71218E56" w14:textId="77777777" w:rsidR="001C5F74" w:rsidRPr="00D12FCF" w:rsidRDefault="001C5F74" w:rsidP="00D12FCF">
      <w:pPr>
        <w:rPr>
          <w:rFonts w:cs="Arial"/>
          <w:lang w:val="es-ES"/>
        </w:rPr>
      </w:pPr>
    </w:p>
    <w:p w14:paraId="2F5E7553" w14:textId="1D31BEF6" w:rsidR="001C5F74" w:rsidRPr="00D12FCF" w:rsidRDefault="001C5F74" w:rsidP="00D12FCF">
      <w:pPr>
        <w:ind w:right="-312"/>
        <w:rPr>
          <w:rFonts w:eastAsia="Palatino Linotype" w:cs="Palatino Linotype"/>
        </w:rPr>
      </w:pPr>
      <w:r w:rsidRPr="00D12FCF">
        <w:rPr>
          <w:rFonts w:eastAsia="Palatino Linotype" w:cs="Palatino Linotype"/>
        </w:rPr>
        <w:t xml:space="preserve">Luego, es conveniente mencionar que, en el </w:t>
      </w:r>
      <w:r w:rsidRPr="00D12FCF">
        <w:rPr>
          <w:rFonts w:eastAsia="Palatino Linotype" w:cs="Palatino Linotype"/>
          <w:b/>
          <w:bCs/>
        </w:rPr>
        <w:t>diez de junio de dos mil veinticinco</w:t>
      </w:r>
      <w:r w:rsidRPr="00D12FCF">
        <w:rPr>
          <w:rFonts w:eastAsia="Palatino Linotype" w:cs="Palatino Linotype"/>
        </w:rPr>
        <w:t xml:space="preserve">, este Órgano Garante, solicitó al Director General de Informática vía correo electrónico informara si el SUJETO OBLIGADO había reportado alguna incidencia respecto a la información que nos ocupa, </w:t>
      </w:r>
      <w:r w:rsidRPr="00D12FCF">
        <w:rPr>
          <w:rFonts w:eastAsia="Palatino Linotype" w:cs="Palatino Linotype"/>
        </w:rPr>
        <w:lastRenderedPageBreak/>
        <w:t xml:space="preserve">recibiéndose como respuesta que no había incidencia alguna, tal como se muestra en las imágenes insertas a continuación: </w:t>
      </w:r>
    </w:p>
    <w:p w14:paraId="55C7C333" w14:textId="7F1BC84F" w:rsidR="001C5F74" w:rsidRPr="00D12FCF" w:rsidRDefault="005D2326" w:rsidP="00D12FCF">
      <w:pPr>
        <w:ind w:right="-312"/>
        <w:rPr>
          <w:rFonts w:eastAsia="Palatino Linotype" w:cs="Palatino Linotype"/>
        </w:rPr>
      </w:pPr>
      <w:r w:rsidRPr="00D12FCF">
        <w:rPr>
          <w:rFonts w:eastAsia="Palatino Linotype" w:cs="Palatino Linotype"/>
          <w:noProof/>
          <w:lang w:eastAsia="es-MX"/>
        </w:rPr>
        <w:drawing>
          <wp:inline distT="0" distB="0" distL="0" distR="0" wp14:anchorId="67E08C50" wp14:editId="631A11D1">
            <wp:extent cx="5742940" cy="33477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347720"/>
                    </a:xfrm>
                    <a:prstGeom prst="rect">
                      <a:avLst/>
                    </a:prstGeom>
                  </pic:spPr>
                </pic:pic>
              </a:graphicData>
            </a:graphic>
          </wp:inline>
        </w:drawing>
      </w:r>
    </w:p>
    <w:p w14:paraId="6B985165" w14:textId="2E1FB125" w:rsidR="001C5F74" w:rsidRPr="00D12FCF" w:rsidRDefault="0098146E" w:rsidP="00D12FCF">
      <w:pPr>
        <w:ind w:right="-312"/>
        <w:rPr>
          <w:rFonts w:eastAsia="Palatino Linotype" w:cs="Palatino Linotype"/>
        </w:rPr>
      </w:pPr>
      <w:r w:rsidRPr="00D12FCF">
        <w:rPr>
          <w:rFonts w:eastAsia="Palatino Linotype" w:cs="Palatino Linotype"/>
          <w:noProof/>
          <w:lang w:eastAsia="es-MX"/>
        </w:rPr>
        <w:drawing>
          <wp:inline distT="0" distB="0" distL="0" distR="0" wp14:anchorId="10DBB1FC" wp14:editId="5AE87600">
            <wp:extent cx="5742940" cy="18707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870710"/>
                    </a:xfrm>
                    <a:prstGeom prst="rect">
                      <a:avLst/>
                    </a:prstGeom>
                  </pic:spPr>
                </pic:pic>
              </a:graphicData>
            </a:graphic>
          </wp:inline>
        </w:drawing>
      </w:r>
    </w:p>
    <w:p w14:paraId="7A040D8C" w14:textId="77777777" w:rsidR="001C5F74" w:rsidRPr="00D12FCF" w:rsidRDefault="001C5F74" w:rsidP="00D12FCF">
      <w:pPr>
        <w:ind w:right="-312"/>
        <w:rPr>
          <w:rFonts w:eastAsia="Palatino Linotype" w:cs="Palatino Linotype"/>
        </w:rPr>
      </w:pPr>
      <w:r w:rsidRPr="00D12FCF">
        <w:rPr>
          <w:rFonts w:eastAsia="Palatino Linotype" w:cs="Palatino Linotype"/>
        </w:rPr>
        <w:t xml:space="preserve">Es decir, </w:t>
      </w:r>
      <w:r w:rsidRPr="00D12FCF">
        <w:rPr>
          <w:rFonts w:eastAsia="Palatino Linotype" w:cs="Palatino Linotype"/>
          <w:b/>
        </w:rPr>
        <w:t>EL SUJETO OBLIGADO</w:t>
      </w:r>
      <w:r w:rsidRPr="00D12FCF">
        <w:rPr>
          <w:rFonts w:eastAsia="Palatino Linotype" w:cs="Palatino Linotype"/>
        </w:rPr>
        <w:t xml:space="preserve"> no acreditó que lo peticionado sobrepasará las capacidades técnicas, administrativas y humanas; además que la entrega de la información y de acuerdo a la naturaleza del SAIMEX sí pudiese ser cargada en el propio sistema, aunado a ello, no se precisó el número de personas que se encontraban en las áreas, ni el formato y sí la información se debería </w:t>
      </w:r>
      <w:r w:rsidRPr="00D12FCF">
        <w:rPr>
          <w:rFonts w:eastAsia="Palatino Linotype" w:cs="Palatino Linotype"/>
        </w:rPr>
        <w:lastRenderedPageBreak/>
        <w:t>entregar en versión pública; esto es, no proporcionó los elementos necesarios para acreditar el cambio de modalidad, consecuentemente no justificó dicho cambio.</w:t>
      </w:r>
    </w:p>
    <w:p w14:paraId="08889B90" w14:textId="77777777" w:rsidR="001C5F74" w:rsidRPr="00D12FCF" w:rsidRDefault="001C5F74" w:rsidP="00D12FCF">
      <w:pPr>
        <w:rPr>
          <w:rFonts w:eastAsia="Palatino Linotype" w:cs="Palatino Linotype"/>
        </w:rPr>
      </w:pPr>
    </w:p>
    <w:p w14:paraId="7BC4A5C5" w14:textId="77777777" w:rsidR="001C5F74" w:rsidRPr="00D12FCF" w:rsidRDefault="001C5F74" w:rsidP="00D12FCF">
      <w:pPr>
        <w:ind w:right="-312"/>
        <w:rPr>
          <w:rFonts w:eastAsia="Palatino Linotype" w:cs="Palatino Linotype"/>
        </w:rPr>
      </w:pPr>
      <w:r w:rsidRPr="00D12FCF">
        <w:rPr>
          <w:rFonts w:eastAsia="Palatino Linotype" w:cs="Palatino Linotype"/>
        </w:rPr>
        <w:t>En el mismo tenor, cabe invocar el contenido del Capítulo X de Lineamientos Generales en Materia de Clasificación y Desclasificación de la Información, así como para la Elaboración de Versiones Públicas, respecto a la consulta directa, que señala:</w:t>
      </w:r>
    </w:p>
    <w:p w14:paraId="42187B31" w14:textId="77777777" w:rsidR="001C5F74" w:rsidRPr="00D12FCF" w:rsidRDefault="001C5F74" w:rsidP="00D12FCF">
      <w:pPr>
        <w:rPr>
          <w:rFonts w:eastAsia="Palatino Linotype" w:cs="Palatino Linotype"/>
        </w:rPr>
      </w:pPr>
    </w:p>
    <w:p w14:paraId="403ACDC2" w14:textId="77777777" w:rsidR="001C5F74" w:rsidRPr="00D12FCF" w:rsidRDefault="001C5F74" w:rsidP="00D12FCF">
      <w:pPr>
        <w:pStyle w:val="Ttulo"/>
        <w:jc w:val="center"/>
        <w:rPr>
          <w:rFonts w:eastAsia="Palatino Linotype"/>
          <w:b/>
        </w:rPr>
      </w:pPr>
      <w:r w:rsidRPr="00D12FCF">
        <w:rPr>
          <w:rFonts w:eastAsia="Palatino Linotype"/>
        </w:rPr>
        <w:t>“</w:t>
      </w:r>
      <w:r w:rsidRPr="00D12FCF">
        <w:rPr>
          <w:rFonts w:eastAsia="Palatino Linotype"/>
          <w:b/>
        </w:rPr>
        <w:t>CAPÍTULO X</w:t>
      </w:r>
    </w:p>
    <w:p w14:paraId="2AF465D7" w14:textId="77777777" w:rsidR="001C5F74" w:rsidRPr="00D12FCF" w:rsidRDefault="001C5F74" w:rsidP="00D12FCF">
      <w:pPr>
        <w:pStyle w:val="Ttulo"/>
        <w:jc w:val="center"/>
        <w:rPr>
          <w:rFonts w:eastAsia="Palatino Linotype"/>
          <w:b/>
        </w:rPr>
      </w:pPr>
      <w:r w:rsidRPr="00D12FCF">
        <w:rPr>
          <w:rFonts w:eastAsia="Palatino Linotype"/>
          <w:b/>
        </w:rPr>
        <w:t>DE LA CONSULTA DIRECTA</w:t>
      </w:r>
    </w:p>
    <w:p w14:paraId="7CF3C530" w14:textId="77777777" w:rsidR="001C5F74" w:rsidRPr="00D12FCF" w:rsidRDefault="001C5F74" w:rsidP="00D12FCF">
      <w:pPr>
        <w:pStyle w:val="Ttulo"/>
        <w:rPr>
          <w:rFonts w:eastAsia="Palatino Linotype"/>
        </w:rPr>
      </w:pPr>
      <w:r w:rsidRPr="00D12FCF">
        <w:rPr>
          <w:rFonts w:eastAsia="Palatino Linotype"/>
          <w:b/>
        </w:rPr>
        <w:t>Sexagésimo séptimo</w:t>
      </w:r>
      <w:r w:rsidRPr="00D12FCF">
        <w:rPr>
          <w:rFonts w:eastAsia="Palatino Linotype"/>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D12FCF">
        <w:rPr>
          <w:rFonts w:eastAsia="Palatino Linotype"/>
          <w:b/>
        </w:rPr>
        <w:t>deberá emitir la resolución en la que funde y motive la clasificación</w:t>
      </w:r>
      <w:r w:rsidRPr="00D12FCF">
        <w:rPr>
          <w:rFonts w:eastAsia="Palatino Linotype"/>
        </w:rPr>
        <w:t xml:space="preserve"> de las partes o secciones que no podrán dejarse a la vista del solicitante. </w:t>
      </w:r>
    </w:p>
    <w:p w14:paraId="2EE0CBB5" w14:textId="77777777" w:rsidR="001C5F74" w:rsidRPr="00D12FCF" w:rsidRDefault="001C5F74" w:rsidP="00D12FCF">
      <w:pPr>
        <w:pStyle w:val="Ttulo"/>
        <w:rPr>
          <w:rFonts w:eastAsia="Palatino Linotype"/>
        </w:rPr>
      </w:pPr>
      <w:r w:rsidRPr="00D12FCF">
        <w:rPr>
          <w:rFonts w:eastAsia="Palatino Linotype"/>
          <w:b/>
        </w:rPr>
        <w:t>Sexagésimo octavo</w:t>
      </w:r>
      <w:r w:rsidRPr="00D12FCF">
        <w:rPr>
          <w:rFonts w:eastAsia="Palatino Linotype"/>
        </w:rPr>
        <w:t xml:space="preserve">. En la </w:t>
      </w:r>
      <w:r w:rsidRPr="00D12FCF">
        <w:rPr>
          <w:rFonts w:eastAsia="Palatino Linotype"/>
          <w:b/>
        </w:rPr>
        <w:t>resolución del Comité de Transparencia</w:t>
      </w:r>
      <w:r w:rsidRPr="00D12FCF">
        <w:rPr>
          <w:rFonts w:eastAsia="Palatino Linotype"/>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0F3AF9B" w14:textId="77777777" w:rsidR="001C5F74" w:rsidRPr="00D12FCF" w:rsidRDefault="001C5F74" w:rsidP="00D12FCF">
      <w:pPr>
        <w:pStyle w:val="Ttulo"/>
        <w:rPr>
          <w:rFonts w:eastAsia="Palatino Linotype"/>
        </w:rPr>
      </w:pPr>
      <w:r w:rsidRPr="00D12FCF">
        <w:rPr>
          <w:rFonts w:eastAsia="Palatino Linotype"/>
          <w:b/>
        </w:rPr>
        <w:t>Sexagésimo noveno</w:t>
      </w:r>
      <w:r w:rsidRPr="00D12FCF">
        <w:rPr>
          <w:rFonts w:eastAsia="Palatino Linotype"/>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FA48069" w14:textId="77777777" w:rsidR="001C5F74" w:rsidRPr="00D12FCF" w:rsidRDefault="001C5F74" w:rsidP="00D12FCF">
      <w:pPr>
        <w:pStyle w:val="Ttulo"/>
        <w:rPr>
          <w:rFonts w:eastAsia="Palatino Linotype"/>
        </w:rPr>
      </w:pPr>
      <w:r w:rsidRPr="00D12FCF">
        <w:rPr>
          <w:rFonts w:eastAsia="Palatino Linotype"/>
          <w:b/>
        </w:rPr>
        <w:t>Septuagésimo</w:t>
      </w:r>
      <w:r w:rsidRPr="00D12FCF">
        <w:rPr>
          <w:rFonts w:eastAsia="Palatino Linotype"/>
        </w:rPr>
        <w:t xml:space="preserve">. Para el desahogo de las actuaciones tendientes a permitir la consulta directa, en los casos en que ésta resulte procedente, los sujetos obligados deberán observar lo siguiente: </w:t>
      </w:r>
    </w:p>
    <w:p w14:paraId="04DF1158" w14:textId="77777777" w:rsidR="001C5F74" w:rsidRPr="00D12FCF" w:rsidRDefault="001C5F74" w:rsidP="00D12FCF">
      <w:pPr>
        <w:pStyle w:val="Ttulo"/>
        <w:rPr>
          <w:rFonts w:eastAsia="Palatino Linotype"/>
        </w:rPr>
      </w:pPr>
      <w:r w:rsidRPr="00D12FCF">
        <w:rPr>
          <w:rFonts w:eastAsia="Palatino Linotype"/>
          <w:b/>
        </w:rPr>
        <w:t>I.</w:t>
      </w:r>
      <w:r w:rsidRPr="00D12FCF">
        <w:rPr>
          <w:rFonts w:eastAsia="Palatino Linotype"/>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CA909BC" w14:textId="77777777" w:rsidR="001C5F74" w:rsidRPr="00D12FCF" w:rsidRDefault="001C5F74" w:rsidP="00D12FCF">
      <w:pPr>
        <w:pStyle w:val="Ttulo"/>
        <w:rPr>
          <w:rFonts w:eastAsia="Palatino Linotype"/>
        </w:rPr>
      </w:pPr>
      <w:r w:rsidRPr="00D12FCF">
        <w:rPr>
          <w:rFonts w:eastAsia="Palatino Linotype"/>
          <w:b/>
        </w:rPr>
        <w:lastRenderedPageBreak/>
        <w:t>II.</w:t>
      </w:r>
      <w:r w:rsidRPr="00D12FCF">
        <w:rPr>
          <w:rFonts w:eastAsia="Palatino Linotype"/>
        </w:rPr>
        <w:t xml:space="preserve"> En su caso, la procedencia de los ajustes razonables solicitados y/o la procedencia de acceso en la lengua indígena requerida; </w:t>
      </w:r>
    </w:p>
    <w:p w14:paraId="7BE772A8" w14:textId="77777777" w:rsidR="001C5F74" w:rsidRPr="00D12FCF" w:rsidRDefault="001C5F74" w:rsidP="00D12FCF">
      <w:pPr>
        <w:pStyle w:val="Ttulo"/>
        <w:rPr>
          <w:rFonts w:eastAsia="Palatino Linotype"/>
        </w:rPr>
      </w:pPr>
      <w:r w:rsidRPr="00D12FCF">
        <w:rPr>
          <w:rFonts w:eastAsia="Palatino Linotype"/>
          <w:b/>
        </w:rPr>
        <w:t>III.</w:t>
      </w:r>
      <w:r w:rsidRPr="00D12FCF">
        <w:rPr>
          <w:rFonts w:eastAsia="Palatino Linotype"/>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9269B47" w14:textId="77777777" w:rsidR="001C5F74" w:rsidRPr="00D12FCF" w:rsidRDefault="001C5F74" w:rsidP="00D12FCF">
      <w:pPr>
        <w:pStyle w:val="Ttulo"/>
        <w:rPr>
          <w:rFonts w:eastAsia="Palatino Linotype"/>
        </w:rPr>
      </w:pPr>
      <w:r w:rsidRPr="00D12FCF">
        <w:rPr>
          <w:rFonts w:eastAsia="Palatino Linotype"/>
          <w:b/>
        </w:rPr>
        <w:t>IV.</w:t>
      </w:r>
      <w:r w:rsidRPr="00D12FCF">
        <w:rPr>
          <w:rFonts w:eastAsia="Palatino Linotype"/>
        </w:rPr>
        <w:t xml:space="preserve"> Proporcionar al solicitante las facilidades y asistencia requerida para la consulta de los documentos;</w:t>
      </w:r>
    </w:p>
    <w:p w14:paraId="591FE38F" w14:textId="77777777" w:rsidR="001C5F74" w:rsidRPr="00D12FCF" w:rsidRDefault="001C5F74" w:rsidP="00D12FCF">
      <w:pPr>
        <w:pStyle w:val="Ttulo"/>
        <w:rPr>
          <w:rFonts w:eastAsia="Palatino Linotype"/>
        </w:rPr>
      </w:pPr>
      <w:r w:rsidRPr="00D12FCF">
        <w:rPr>
          <w:rFonts w:eastAsia="Palatino Linotype"/>
          <w:b/>
        </w:rPr>
        <w:t>V.</w:t>
      </w:r>
      <w:r w:rsidRPr="00D12FCF">
        <w:rPr>
          <w:rFonts w:eastAsia="Palatino Linotype"/>
        </w:rPr>
        <w:t xml:space="preserve"> Abstenerse de requerir al solicitante que acredite interés alguno; </w:t>
      </w:r>
    </w:p>
    <w:p w14:paraId="3769CD07" w14:textId="77777777" w:rsidR="001C5F74" w:rsidRPr="00D12FCF" w:rsidRDefault="001C5F74" w:rsidP="00D12FCF">
      <w:pPr>
        <w:pStyle w:val="Ttulo"/>
        <w:rPr>
          <w:rFonts w:eastAsia="Palatino Linotype"/>
        </w:rPr>
      </w:pPr>
      <w:r w:rsidRPr="00D12FCF">
        <w:rPr>
          <w:rFonts w:eastAsia="Palatino Linotype"/>
          <w:b/>
        </w:rPr>
        <w:t>VI.</w:t>
      </w:r>
      <w:r w:rsidRPr="00D12FCF">
        <w:rPr>
          <w:rFonts w:eastAsia="Palatino Linotype"/>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0EB447B" w14:textId="77777777" w:rsidR="001C5F74" w:rsidRPr="00D12FCF" w:rsidRDefault="001C5F74" w:rsidP="00D12FCF">
      <w:pPr>
        <w:pStyle w:val="Ttulo"/>
        <w:rPr>
          <w:rFonts w:eastAsia="Palatino Linotype"/>
        </w:rPr>
      </w:pPr>
      <w:r w:rsidRPr="00D12FCF">
        <w:rPr>
          <w:rFonts w:eastAsia="Palatino Linotype"/>
          <w:b/>
        </w:rPr>
        <w:t>a)</w:t>
      </w:r>
      <w:r w:rsidRPr="00D12FCF">
        <w:rPr>
          <w:rFonts w:eastAsia="Palatino Linotype"/>
        </w:rPr>
        <w:t xml:space="preserve"> Contar con instalaciones y mobiliario adecuado para asegurar tanto la integridad del documento consultado, como para proporcionar al solicitante las mejores condiciones para poder llevar a cabo la consulta directa; </w:t>
      </w:r>
    </w:p>
    <w:p w14:paraId="0CAF12B4" w14:textId="77777777" w:rsidR="001C5F74" w:rsidRPr="00D12FCF" w:rsidRDefault="001C5F74" w:rsidP="00D12FCF">
      <w:pPr>
        <w:pStyle w:val="Ttulo"/>
        <w:rPr>
          <w:rFonts w:eastAsia="Palatino Linotype"/>
        </w:rPr>
      </w:pPr>
      <w:r w:rsidRPr="00D12FCF">
        <w:rPr>
          <w:rFonts w:eastAsia="Palatino Linotype"/>
          <w:b/>
        </w:rPr>
        <w:t>b)</w:t>
      </w:r>
      <w:r w:rsidRPr="00D12FCF">
        <w:rPr>
          <w:rFonts w:eastAsia="Palatino Linotype"/>
        </w:rPr>
        <w:t xml:space="preserve"> Equipo y personal de vigilancia;</w:t>
      </w:r>
    </w:p>
    <w:p w14:paraId="336D4C26" w14:textId="77777777" w:rsidR="001C5F74" w:rsidRPr="00D12FCF" w:rsidRDefault="001C5F74" w:rsidP="00D12FCF">
      <w:pPr>
        <w:pStyle w:val="Ttulo"/>
        <w:rPr>
          <w:rFonts w:eastAsia="Palatino Linotype"/>
        </w:rPr>
      </w:pPr>
      <w:r w:rsidRPr="00D12FCF">
        <w:rPr>
          <w:rFonts w:eastAsia="Palatino Linotype"/>
          <w:b/>
        </w:rPr>
        <w:t>c)</w:t>
      </w:r>
      <w:r w:rsidRPr="00D12FCF">
        <w:rPr>
          <w:rFonts w:eastAsia="Palatino Linotype"/>
        </w:rPr>
        <w:t xml:space="preserve"> Plan de acción contra robo o vandalismo; </w:t>
      </w:r>
    </w:p>
    <w:p w14:paraId="030F0F99" w14:textId="77777777" w:rsidR="001C5F74" w:rsidRPr="00D12FCF" w:rsidRDefault="001C5F74" w:rsidP="00D12FCF">
      <w:pPr>
        <w:pStyle w:val="Ttulo"/>
        <w:rPr>
          <w:rFonts w:eastAsia="Palatino Linotype"/>
        </w:rPr>
      </w:pPr>
      <w:r w:rsidRPr="00D12FCF">
        <w:rPr>
          <w:rFonts w:eastAsia="Palatino Linotype"/>
          <w:b/>
        </w:rPr>
        <w:t>d)</w:t>
      </w:r>
      <w:r w:rsidRPr="00D12FCF">
        <w:rPr>
          <w:rFonts w:eastAsia="Palatino Linotype"/>
        </w:rPr>
        <w:t xml:space="preserve"> Extintores de fuego de gas inocuo; </w:t>
      </w:r>
    </w:p>
    <w:p w14:paraId="73D60020" w14:textId="77777777" w:rsidR="001C5F74" w:rsidRPr="00D12FCF" w:rsidRDefault="001C5F74" w:rsidP="00D12FCF">
      <w:pPr>
        <w:pStyle w:val="Ttulo"/>
        <w:rPr>
          <w:rFonts w:eastAsia="Palatino Linotype"/>
        </w:rPr>
      </w:pPr>
      <w:r w:rsidRPr="00D12FCF">
        <w:rPr>
          <w:rFonts w:eastAsia="Palatino Linotype"/>
          <w:b/>
        </w:rPr>
        <w:t>e)</w:t>
      </w:r>
      <w:r w:rsidRPr="00D12FCF">
        <w:rPr>
          <w:rFonts w:eastAsia="Palatino Linotype"/>
        </w:rPr>
        <w:t xml:space="preserve"> Registro e identificación del personal autorizado para el tratamiento de los documentos o expedientes a revisar;</w:t>
      </w:r>
    </w:p>
    <w:p w14:paraId="73CFB785" w14:textId="77777777" w:rsidR="001C5F74" w:rsidRPr="00D12FCF" w:rsidRDefault="001C5F74" w:rsidP="00D12FCF">
      <w:pPr>
        <w:pStyle w:val="Ttulo"/>
        <w:rPr>
          <w:rFonts w:eastAsia="Palatino Linotype"/>
        </w:rPr>
      </w:pPr>
      <w:r w:rsidRPr="00D12FCF">
        <w:rPr>
          <w:rFonts w:eastAsia="Palatino Linotype"/>
          <w:b/>
        </w:rPr>
        <w:t>f)</w:t>
      </w:r>
      <w:r w:rsidRPr="00D12FCF">
        <w:rPr>
          <w:rFonts w:eastAsia="Palatino Linotype"/>
        </w:rPr>
        <w:t xml:space="preserve"> Registro e identificación de los particulares autorizados para llevar a cabo la consulta directa, y </w:t>
      </w:r>
    </w:p>
    <w:p w14:paraId="02C06FD1" w14:textId="77777777" w:rsidR="001C5F74" w:rsidRPr="00D12FCF" w:rsidRDefault="001C5F74" w:rsidP="00D12FCF">
      <w:pPr>
        <w:pStyle w:val="Ttulo"/>
        <w:rPr>
          <w:rFonts w:eastAsia="Palatino Linotype"/>
        </w:rPr>
      </w:pPr>
      <w:r w:rsidRPr="00D12FCF">
        <w:rPr>
          <w:rFonts w:eastAsia="Palatino Linotype"/>
          <w:b/>
        </w:rPr>
        <w:t>g)</w:t>
      </w:r>
      <w:r w:rsidRPr="00D12FCF">
        <w:rPr>
          <w:rFonts w:eastAsia="Palatino Linotype"/>
        </w:rPr>
        <w:t xml:space="preserve"> Las demás que, a criterio de los sujetos obligados, resulten necesarias. </w:t>
      </w:r>
    </w:p>
    <w:p w14:paraId="2B8E5A34" w14:textId="77777777" w:rsidR="001C5F74" w:rsidRPr="00D12FCF" w:rsidRDefault="001C5F74" w:rsidP="00D12FCF">
      <w:pPr>
        <w:pStyle w:val="Ttulo"/>
        <w:rPr>
          <w:rFonts w:eastAsia="Palatino Linotype"/>
        </w:rPr>
      </w:pPr>
      <w:r w:rsidRPr="00D12FCF">
        <w:rPr>
          <w:rFonts w:eastAsia="Palatino Linotype"/>
          <w:b/>
        </w:rPr>
        <w:t>VII.</w:t>
      </w:r>
      <w:r w:rsidRPr="00D12FCF">
        <w:rPr>
          <w:rFonts w:eastAsia="Palatino Linotype"/>
        </w:rPr>
        <w:t xml:space="preserve"> Hacer del conocimiento del solicitante, previo al acceso a la información, las reglas a que se sujetará la consulta para garantizar la integridad de los documentos, y</w:t>
      </w:r>
    </w:p>
    <w:p w14:paraId="0F2735FE" w14:textId="77777777" w:rsidR="001C5F74" w:rsidRPr="00D12FCF" w:rsidRDefault="001C5F74" w:rsidP="00D12FCF">
      <w:pPr>
        <w:pStyle w:val="Ttulo"/>
        <w:rPr>
          <w:rFonts w:eastAsia="Palatino Linotype"/>
          <w:b/>
        </w:rPr>
      </w:pPr>
      <w:r w:rsidRPr="00D12FCF">
        <w:rPr>
          <w:rFonts w:eastAsia="Palatino Linotype"/>
          <w:b/>
        </w:rPr>
        <w:t>VIII.</w:t>
      </w:r>
      <w:r w:rsidRPr="00D12FCF">
        <w:rPr>
          <w:rFonts w:eastAsia="Palatino Linotype"/>
        </w:rPr>
        <w:t xml:space="preserve"> Para el caso de documentos que contengan partes o secciones clasificadas como reservadas o confidenciales, el sujeto obligado deberá hacer del conocimiento del solicitante, </w:t>
      </w:r>
      <w:r w:rsidRPr="00D12FCF">
        <w:rPr>
          <w:rFonts w:eastAsia="Palatino Linotype"/>
          <w:b/>
        </w:rPr>
        <w:t xml:space="preserve">previo al acceso a la información, la resolución debidamente fundada y motivada del Comité de Transparencia, en la que se clasificaron las partes o secciones que no podrán dejarse a la vista del solicitante. </w:t>
      </w:r>
    </w:p>
    <w:p w14:paraId="6E4F051F" w14:textId="77777777" w:rsidR="001C5F74" w:rsidRPr="00D12FCF" w:rsidRDefault="001C5F74" w:rsidP="00D12FCF">
      <w:pPr>
        <w:pStyle w:val="Ttulo"/>
        <w:rPr>
          <w:rFonts w:eastAsia="Palatino Linotype"/>
        </w:rPr>
      </w:pPr>
      <w:r w:rsidRPr="00D12FCF">
        <w:rPr>
          <w:rFonts w:eastAsia="Palatino Linotype"/>
          <w:b/>
        </w:rPr>
        <w:t xml:space="preserve">Septuagésimo primero. </w:t>
      </w:r>
      <w:r w:rsidRPr="00D12FCF">
        <w:rPr>
          <w:rFonts w:eastAsia="Palatino Linotype"/>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8846AC6" w14:textId="77777777" w:rsidR="001C5F74" w:rsidRPr="00D12FCF" w:rsidRDefault="001C5F74" w:rsidP="00D12FCF">
      <w:pPr>
        <w:pStyle w:val="Ttulo"/>
        <w:rPr>
          <w:rFonts w:eastAsia="Palatino Linotype"/>
        </w:rPr>
      </w:pPr>
      <w:r w:rsidRPr="00D12FCF">
        <w:rPr>
          <w:rFonts w:eastAsia="Palatino Linotype"/>
        </w:rPr>
        <w:t xml:space="preserve">El solicitante deberá observar en todo momento las reglas que el sujeto obligado haya hecho de su conocimiento para efectos de la conservación de los documentos. </w:t>
      </w:r>
    </w:p>
    <w:p w14:paraId="3B011927" w14:textId="77777777" w:rsidR="001C5F74" w:rsidRPr="00D12FCF" w:rsidRDefault="001C5F74" w:rsidP="00D12FCF">
      <w:pPr>
        <w:pStyle w:val="Ttulo"/>
        <w:rPr>
          <w:rFonts w:eastAsia="Palatino Linotype"/>
        </w:rPr>
      </w:pPr>
      <w:r w:rsidRPr="00D12FCF">
        <w:rPr>
          <w:rFonts w:eastAsia="Palatino Linotype"/>
          <w:b/>
        </w:rPr>
        <w:t>Septuagésimo segundo.</w:t>
      </w:r>
      <w:r w:rsidRPr="00D12FCF">
        <w:rPr>
          <w:rFonts w:eastAsia="Palatino Linotype"/>
        </w:rPr>
        <w:t xml:space="preserve"> El solicitante deberá realizar la consulta de los documentos requeridos en el lugar, horarios y con la persona destinada para tal efecto. </w:t>
      </w:r>
    </w:p>
    <w:p w14:paraId="342EC43C" w14:textId="77777777" w:rsidR="001C5F74" w:rsidRPr="00D12FCF" w:rsidRDefault="001C5F74" w:rsidP="00D12FCF">
      <w:pPr>
        <w:pStyle w:val="Ttulo"/>
        <w:rPr>
          <w:rFonts w:eastAsia="Palatino Linotype"/>
        </w:rPr>
      </w:pPr>
      <w:r w:rsidRPr="00D12FCF">
        <w:rPr>
          <w:rFonts w:eastAsia="Palatino Linotype"/>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012B0E30" w14:textId="77777777" w:rsidR="001C5F74" w:rsidRPr="00D12FCF" w:rsidRDefault="001C5F74" w:rsidP="00D12FCF">
      <w:pPr>
        <w:pStyle w:val="Ttulo"/>
        <w:rPr>
          <w:rFonts w:eastAsia="Palatino Linotype" w:cs="Palatino Linotype"/>
          <w:szCs w:val="22"/>
        </w:rPr>
      </w:pPr>
      <w:r w:rsidRPr="00D12FCF">
        <w:rPr>
          <w:rFonts w:eastAsia="Palatino Linotype" w:cs="Palatino Linotype"/>
          <w:b/>
          <w:szCs w:val="22"/>
        </w:rPr>
        <w:t>Septuagésimo tercero</w:t>
      </w:r>
      <w:r w:rsidRPr="00D12FCF">
        <w:rPr>
          <w:rFonts w:eastAsia="Palatino Linotype" w:cs="Palatino Linotype"/>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BCBF97D" w14:textId="77777777" w:rsidR="001C5F74" w:rsidRPr="00D12FCF" w:rsidRDefault="001C5F74" w:rsidP="00D12FCF">
      <w:pPr>
        <w:pStyle w:val="Ttulo"/>
        <w:rPr>
          <w:rFonts w:eastAsia="Palatino Linotype" w:cs="Palatino Linotype"/>
          <w:szCs w:val="22"/>
        </w:rPr>
      </w:pPr>
      <w:r w:rsidRPr="00D12FCF">
        <w:rPr>
          <w:rFonts w:eastAsia="Palatino Linotype" w:cs="Palatino Linotype"/>
          <w:szCs w:val="22"/>
        </w:rPr>
        <w:t>La información deberá ser entregada sin costo, cuando implique la entrega de no más de veinte hojas simples</w:t>
      </w:r>
      <w:proofErr w:type="gramStart"/>
      <w:r w:rsidRPr="00D12FCF">
        <w:rPr>
          <w:rFonts w:eastAsia="Palatino Linotype" w:cs="Palatino Linotype"/>
          <w:szCs w:val="22"/>
        </w:rPr>
        <w:t>.”(</w:t>
      </w:r>
      <w:proofErr w:type="gramEnd"/>
      <w:r w:rsidRPr="00D12FCF">
        <w:rPr>
          <w:rFonts w:eastAsia="Palatino Linotype" w:cs="Palatino Linotype"/>
          <w:szCs w:val="22"/>
        </w:rPr>
        <w:t>Sic)</w:t>
      </w:r>
    </w:p>
    <w:p w14:paraId="0B2F1724" w14:textId="77777777" w:rsidR="001C5F74" w:rsidRPr="00D12FCF" w:rsidRDefault="001C5F74" w:rsidP="00D12FCF">
      <w:pPr>
        <w:rPr>
          <w:rFonts w:eastAsia="Palatino Linotype" w:cs="Palatino Linotype"/>
        </w:rPr>
      </w:pPr>
    </w:p>
    <w:p w14:paraId="2897804B" w14:textId="77777777" w:rsidR="001C5F74" w:rsidRPr="00D12FCF" w:rsidRDefault="001C5F74" w:rsidP="00D12FCF">
      <w:pPr>
        <w:ind w:right="-312"/>
        <w:rPr>
          <w:rFonts w:eastAsia="Palatino Linotype" w:cs="Palatino Linotype"/>
        </w:rPr>
      </w:pPr>
      <w:r w:rsidRPr="00D12FCF">
        <w:rPr>
          <w:rFonts w:eastAsia="Palatino Linotype" w:cs="Palatino Linotype"/>
        </w:rPr>
        <w:t xml:space="preserve">Preceptos legales que de igual forma fueron inobservados por </w:t>
      </w:r>
      <w:r w:rsidRPr="00D12FCF">
        <w:rPr>
          <w:rFonts w:eastAsia="Palatino Linotype" w:cs="Palatino Linotype"/>
          <w:b/>
        </w:rPr>
        <w:t>EL SUJETO OBLIGADO</w:t>
      </w:r>
      <w:r w:rsidRPr="00D12FCF">
        <w:rPr>
          <w:rFonts w:eastAsia="Palatino Linotype" w:cs="Palatino Linotype"/>
        </w:rPr>
        <w:t xml:space="preserve">, para hacer el cambio de modalidad a consulta directa. </w:t>
      </w:r>
    </w:p>
    <w:p w14:paraId="57218A45" w14:textId="77777777" w:rsidR="001C5F74" w:rsidRPr="00D12FCF" w:rsidRDefault="001C5F74" w:rsidP="00D12FCF">
      <w:pPr>
        <w:spacing w:after="240"/>
        <w:contextualSpacing/>
        <w:rPr>
          <w:rFonts w:eastAsia="Palatino Linotype" w:cs="Palatino Linotype"/>
        </w:rPr>
      </w:pPr>
    </w:p>
    <w:p w14:paraId="3CC26EC7" w14:textId="2C08BC26" w:rsidR="001C5F74" w:rsidRPr="00D12FCF" w:rsidRDefault="001C5F74" w:rsidP="00D12FCF">
      <w:pPr>
        <w:ind w:right="-312"/>
        <w:rPr>
          <w:rFonts w:eastAsia="Palatino Linotype" w:cs="Palatino Linotype"/>
        </w:rPr>
      </w:pPr>
      <w:r w:rsidRPr="00D12FCF">
        <w:rPr>
          <w:rFonts w:eastAsia="Palatino Linotype" w:cs="Palatino Linotype"/>
        </w:rPr>
        <w:t xml:space="preserve">En consecuencia, </w:t>
      </w:r>
      <w:r w:rsidRPr="00D12FCF">
        <w:rPr>
          <w:rFonts w:eastAsia="Palatino Linotype" w:cs="Palatino Linotype"/>
          <w:b/>
        </w:rPr>
        <w:t>EL SUJETO OBLIGADO</w:t>
      </w:r>
      <w:r w:rsidRPr="00D12FCF">
        <w:rPr>
          <w:rFonts w:eastAsia="Palatino Linotype" w:cs="Palatino Linotype"/>
        </w:rPr>
        <w:t xml:space="preserve"> no justificó el impedimento para remitir la información solicitada vía SAIMEX, siendo aplicable por analogía el criterio de interpretación 08/17, emitido por el </w:t>
      </w:r>
      <w:r w:rsidR="00762776" w:rsidRPr="00D12FCF">
        <w:rPr>
          <w:rFonts w:eastAsia="Palatino Linotype" w:cs="Palatino Linotype"/>
        </w:rPr>
        <w:t xml:space="preserve">entonces </w:t>
      </w:r>
      <w:r w:rsidRPr="00D12FCF">
        <w:rPr>
          <w:rFonts w:eastAsia="Palatino Linotype" w:cs="Palatino Linotype"/>
        </w:rPr>
        <w:t>Instituto Nacional de Transparencia, Acceso a la Información y Protección de Datos Personales, INAI, que es del tenor literal siguiente:</w:t>
      </w:r>
    </w:p>
    <w:p w14:paraId="0A20AFD9" w14:textId="77777777" w:rsidR="001C5F74" w:rsidRPr="00D12FCF" w:rsidRDefault="001C5F74" w:rsidP="00D12FCF">
      <w:pPr>
        <w:ind w:right="51"/>
        <w:rPr>
          <w:rFonts w:eastAsia="Palatino Linotype" w:cs="Palatino Linotype"/>
        </w:rPr>
      </w:pPr>
    </w:p>
    <w:p w14:paraId="2306CC5C" w14:textId="77777777" w:rsidR="001C5F74" w:rsidRPr="00D12FCF" w:rsidRDefault="001C5F74" w:rsidP="00D12FCF">
      <w:pPr>
        <w:pStyle w:val="Ttulo"/>
        <w:rPr>
          <w:rFonts w:eastAsia="Palatino Linotype"/>
        </w:rPr>
      </w:pPr>
      <w:r w:rsidRPr="00D12FCF">
        <w:rPr>
          <w:rFonts w:eastAsia="Palatino Linotype"/>
        </w:rPr>
        <w:t>“</w:t>
      </w:r>
      <w:r w:rsidRPr="00D12FCF">
        <w:rPr>
          <w:rFonts w:eastAsia="Palatino Linotype"/>
          <w:b/>
        </w:rPr>
        <w:t>Modalidad de entrega. Procedencia de proporcionar la información solicitada en una diversa a la elegida por el solicitante</w:t>
      </w:r>
      <w:r w:rsidRPr="00D12FCF">
        <w:rPr>
          <w:rFonts w:eastAsia="Palatino Linotype"/>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D12FCF">
        <w:rPr>
          <w:rFonts w:eastAsia="Palatino Linotype"/>
          <w:b/>
        </w:rPr>
        <w:t xml:space="preserve">a) justifique el impedimento para atender la misma </w:t>
      </w:r>
      <w:r w:rsidRPr="00D12FCF">
        <w:rPr>
          <w:rFonts w:eastAsia="Palatino Linotype"/>
        </w:rPr>
        <w:t xml:space="preserve">y </w:t>
      </w:r>
      <w:r w:rsidRPr="00D12FCF">
        <w:rPr>
          <w:rFonts w:eastAsia="Palatino Linotype"/>
          <w:b/>
        </w:rPr>
        <w:t>b) se notifique al particular la disposición de la información en todas las modalidades que permita el documento de que se trate</w:t>
      </w:r>
      <w:r w:rsidRPr="00D12FCF">
        <w:rPr>
          <w:rFonts w:eastAsia="Palatino Linotype"/>
        </w:rPr>
        <w:t>, procurando reducir, en todo momento, los costos de entrega.”(Sic)</w:t>
      </w:r>
    </w:p>
    <w:p w14:paraId="56DAA58F" w14:textId="77777777" w:rsidR="001C5F74" w:rsidRPr="00D12FCF" w:rsidRDefault="001C5F74" w:rsidP="00D12FCF">
      <w:pPr>
        <w:rPr>
          <w:rFonts w:eastAsia="Palatino Linotype" w:cs="Palatino Linotype"/>
        </w:rPr>
      </w:pPr>
    </w:p>
    <w:p w14:paraId="1D0E4B5F" w14:textId="77777777" w:rsidR="001C5F74" w:rsidRPr="00D12FCF" w:rsidRDefault="001C5F74" w:rsidP="00D12FCF">
      <w:pPr>
        <w:ind w:right="-312"/>
        <w:rPr>
          <w:rFonts w:eastAsia="MS Mincho" w:cs="Arial"/>
          <w:b/>
        </w:rPr>
      </w:pPr>
      <w:r w:rsidRPr="00D12FCF">
        <w:rPr>
          <w:rFonts w:eastAsia="MS Mincho" w:cs="Arial"/>
        </w:rPr>
        <w:t xml:space="preserve">Ahora bien, referente la </w:t>
      </w:r>
      <w:r w:rsidRPr="00D12FCF">
        <w:rPr>
          <w:rFonts w:eastAsia="MS Mincho" w:cs="Arial"/>
          <w:b/>
        </w:rPr>
        <w:t>capacidad administrativa</w:t>
      </w:r>
      <w:r w:rsidRPr="00D12FCF">
        <w:rPr>
          <w:rFonts w:eastAsia="MS Mincho" w:cs="Arial"/>
        </w:rPr>
        <w:t xml:space="preserve">, esta es definida como la habilidad institucional de un gobierno, para formular y realizar planes, políticas, programas, actividades, </w:t>
      </w:r>
      <w:r w:rsidRPr="00D12FCF">
        <w:rPr>
          <w:rFonts w:eastAsia="MS Mincho" w:cs="Arial"/>
        </w:rPr>
        <w:lastRenderedPageBreak/>
        <w:t xml:space="preserve">operaciones u otras medidas para cumplir con los propósitos de desarrollo. En palabras más simples, es la </w:t>
      </w:r>
      <w:r w:rsidRPr="00D12FCF">
        <w:rPr>
          <w:rFonts w:eastAsia="MS Mincho" w:cs="Arial"/>
          <w:b/>
        </w:rPr>
        <w:t>eficiencia organizacional para efectuar funciones esenciales.</w:t>
      </w:r>
    </w:p>
    <w:p w14:paraId="486E4EFB" w14:textId="77777777" w:rsidR="001C5F74" w:rsidRPr="00D12FCF" w:rsidRDefault="001C5F74" w:rsidP="00D12FCF">
      <w:pPr>
        <w:rPr>
          <w:rFonts w:eastAsia="MS Mincho" w:cs="Arial"/>
          <w:b/>
        </w:rPr>
      </w:pPr>
    </w:p>
    <w:p w14:paraId="4AD8DA5C" w14:textId="77777777" w:rsidR="001C5F74" w:rsidRPr="00D12FCF" w:rsidRDefault="001C5F74" w:rsidP="00D12FCF">
      <w:pPr>
        <w:ind w:right="-312"/>
        <w:rPr>
          <w:rFonts w:eastAsia="MS Mincho" w:cs="Arial"/>
        </w:rPr>
      </w:pPr>
      <w:r w:rsidRPr="00D12FCF">
        <w:rPr>
          <w:rFonts w:eastAsia="MS Mincho"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C3DD9D4" w14:textId="77777777" w:rsidR="001C5F74" w:rsidRPr="00D12FCF" w:rsidRDefault="001C5F74" w:rsidP="00D12FCF">
      <w:pPr>
        <w:rPr>
          <w:rFonts w:eastAsia="MS Mincho" w:cs="Arial"/>
        </w:rPr>
      </w:pPr>
    </w:p>
    <w:p w14:paraId="6BDA951F" w14:textId="77777777" w:rsidR="001C5F74" w:rsidRPr="00D12FCF" w:rsidRDefault="001C5F74" w:rsidP="00D12FCF">
      <w:pPr>
        <w:ind w:right="-312"/>
        <w:rPr>
          <w:rFonts w:eastAsia="MS Mincho" w:cs="Arial"/>
          <w:i/>
        </w:rPr>
      </w:pPr>
      <w:r w:rsidRPr="00D12FCF">
        <w:rPr>
          <w:rFonts w:eastAsia="MS Mincho" w:cs="Arial"/>
        </w:rPr>
        <w:t xml:space="preserve">Desde una perspectiva institucional, la </w:t>
      </w:r>
      <w:r w:rsidRPr="00D12FCF">
        <w:rPr>
          <w:rFonts w:eastAsia="MS Mincho" w:cs="Arial"/>
          <w:b/>
        </w:rPr>
        <w:t xml:space="preserve">capacidad administrativa </w:t>
      </w:r>
      <w:r w:rsidRPr="00D12FCF">
        <w:rPr>
          <w:rFonts w:eastAsia="MS Mincho" w:cs="Arial"/>
        </w:rPr>
        <w:t xml:space="preserve">es entendida como </w:t>
      </w:r>
      <w:r w:rsidRPr="00D12FCF">
        <w:rPr>
          <w:rFonts w:eastAsia="MS Mincho" w:cs="Arial"/>
          <w:i/>
        </w:rPr>
        <w:t xml:space="preserve">“las habilidades técnico-burocráticas del aparato estatal requeridas para alcanzar sus objetos. En este componente se ubican el nivel micro y meso de la Capacidad Institucional. El </w:t>
      </w:r>
      <w:r w:rsidRPr="00D12FCF">
        <w:rPr>
          <w:rFonts w:eastAsia="MS Mincho" w:cs="Arial"/>
          <w:b/>
          <w:i/>
        </w:rPr>
        <w:t xml:space="preserve">primero </w:t>
      </w:r>
      <w:r w:rsidRPr="00D12FCF">
        <w:rPr>
          <w:rFonts w:eastAsia="MS Mincho" w:cs="Arial"/>
          <w:i/>
        </w:rPr>
        <w:t xml:space="preserve">hace alusión al individuo, al </w:t>
      </w:r>
      <w:proofErr w:type="gramStart"/>
      <w:r w:rsidRPr="00D12FCF">
        <w:rPr>
          <w:rFonts w:eastAsia="MS Mincho" w:cs="Arial"/>
          <w:b/>
          <w:i/>
        </w:rPr>
        <w:t>recursos humano</w:t>
      </w:r>
      <w:proofErr w:type="gramEnd"/>
      <w:r w:rsidRPr="00D12FCF">
        <w:rPr>
          <w:rFonts w:eastAsia="MS Mincho" w:cs="Arial"/>
          <w:i/>
        </w:rPr>
        <w:t xml:space="preserve">. En el segundo nivel, se ubica la </w:t>
      </w:r>
      <w:r w:rsidRPr="00D12FCF">
        <w:rPr>
          <w:rFonts w:eastAsia="MS Mincho" w:cs="Arial"/>
          <w:b/>
          <w:i/>
        </w:rPr>
        <w:t>capacidad de gestión</w:t>
      </w:r>
      <w:r w:rsidRPr="00D12FCF">
        <w:rPr>
          <w:rFonts w:eastAsia="MS Mincho" w:cs="Arial"/>
          <w:i/>
        </w:rPr>
        <w:t xml:space="preserve">, el cual se centra en el fortalecimiento organizacional como área de intervención para construir capacidad; cultura organizacional, sistemas de comunicación u organización”. </w:t>
      </w:r>
      <w:r w:rsidRPr="00D12FCF">
        <w:rPr>
          <w:rStyle w:val="Refdenotaalpie"/>
          <w:rFonts w:eastAsia="MS Mincho" w:cs="Arial"/>
          <w:i/>
        </w:rPr>
        <w:footnoteReference w:id="2"/>
      </w:r>
    </w:p>
    <w:p w14:paraId="3B97B0E3" w14:textId="77777777" w:rsidR="001C5F74" w:rsidRPr="00D12FCF" w:rsidRDefault="001C5F74" w:rsidP="00D12FCF">
      <w:pPr>
        <w:rPr>
          <w:rFonts w:eastAsia="MS Mincho" w:cs="Arial"/>
        </w:rPr>
      </w:pPr>
    </w:p>
    <w:p w14:paraId="4569BA39" w14:textId="77777777" w:rsidR="001C5F74" w:rsidRPr="00D12FCF" w:rsidRDefault="001C5F74" w:rsidP="00D12FCF">
      <w:pPr>
        <w:ind w:right="-312"/>
        <w:rPr>
          <w:rFonts w:eastAsia="MS Mincho" w:cs="Arial"/>
        </w:rPr>
      </w:pPr>
      <w:r w:rsidRPr="00D12FCF">
        <w:rPr>
          <w:rFonts w:eastAsia="MS Mincho"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419FAAC" w14:textId="77777777" w:rsidR="001C5F74" w:rsidRPr="00D12FCF" w:rsidRDefault="001C5F74" w:rsidP="00D12FCF">
      <w:pPr>
        <w:ind w:right="-312"/>
        <w:rPr>
          <w:rFonts w:eastAsia="MS Mincho" w:cs="Arial"/>
        </w:rPr>
      </w:pPr>
    </w:p>
    <w:p w14:paraId="73B2436A" w14:textId="77777777" w:rsidR="001C5F74" w:rsidRPr="00D12FCF" w:rsidRDefault="001C5F74" w:rsidP="00D12FCF">
      <w:pPr>
        <w:ind w:right="-312"/>
        <w:rPr>
          <w:rFonts w:eastAsia="MS Mincho" w:cs="Arial"/>
        </w:rPr>
      </w:pPr>
      <w:r w:rsidRPr="00D12FCF">
        <w:rPr>
          <w:rFonts w:eastAsia="MS Mincho" w:cs="Arial"/>
        </w:rPr>
        <w:t xml:space="preserve">Ahora bien, respecto de las </w:t>
      </w:r>
      <w:r w:rsidRPr="00D12FCF">
        <w:rPr>
          <w:rFonts w:eastAsia="MS Mincho" w:cs="Arial"/>
          <w:b/>
        </w:rPr>
        <w:t>capacidades humanas</w:t>
      </w:r>
      <w:r w:rsidRPr="00D12FCF">
        <w:rPr>
          <w:rFonts w:eastAsia="MS Mincho" w:cs="Arial"/>
        </w:rPr>
        <w:t xml:space="preserve"> vale la pena precisar lo que se denomina por </w:t>
      </w:r>
      <w:r w:rsidRPr="00D12FCF">
        <w:rPr>
          <w:rFonts w:eastAsia="MS Mincho" w:cs="Arial"/>
          <w:b/>
        </w:rPr>
        <w:t>recursos humanos</w:t>
      </w:r>
      <w:r w:rsidRPr="00D12FCF">
        <w:rPr>
          <w:rFonts w:eastAsia="MS Mincho" w:cs="Arial"/>
        </w:rPr>
        <w:t xml:space="preserve">, es decir, es el conjunto de personas con las que cuenta una determinada </w:t>
      </w:r>
      <w:r w:rsidRPr="00D12FCF">
        <w:rPr>
          <w:rFonts w:eastAsia="MS Mincho" w:cs="Arial"/>
        </w:rPr>
        <w:lastRenderedPageBreak/>
        <w:t xml:space="preserve">organización, para desarrollar y ejecutar de manera correcta las acciones, actividades, labores y tareas que deben realizarse y que han sido solicitadas. </w:t>
      </w:r>
    </w:p>
    <w:p w14:paraId="18D13CC9" w14:textId="77777777" w:rsidR="001C5F74" w:rsidRPr="00D12FCF" w:rsidRDefault="001C5F74" w:rsidP="00D12FCF">
      <w:pPr>
        <w:rPr>
          <w:rFonts w:eastAsia="MS Mincho" w:cs="Arial"/>
        </w:rPr>
      </w:pPr>
    </w:p>
    <w:p w14:paraId="2E15A77D" w14:textId="77777777" w:rsidR="001C5F74" w:rsidRPr="00D12FCF" w:rsidRDefault="001C5F74" w:rsidP="00D12FCF">
      <w:pPr>
        <w:ind w:right="-312"/>
        <w:rPr>
          <w:rFonts w:eastAsia="MS Mincho" w:cs="Arial"/>
        </w:rPr>
      </w:pPr>
      <w:r w:rsidRPr="00D12FCF">
        <w:rPr>
          <w:rFonts w:eastAsia="MS Mincho" w:cs="Arial"/>
        </w:rPr>
        <w:t xml:space="preserve">Las personas, son la </w:t>
      </w:r>
      <w:r w:rsidRPr="00D12FCF">
        <w:rPr>
          <w:rFonts w:eastAsia="MS Mincho" w:cs="Arial"/>
          <w:b/>
        </w:rPr>
        <w:t xml:space="preserve">parte fundamental de una organización </w:t>
      </w:r>
      <w:r w:rsidRPr="00D12FCF">
        <w:rPr>
          <w:rFonts w:eastAsia="MS Mincho" w:cs="Arial"/>
        </w:rPr>
        <w:t xml:space="preserve">y junto con los recursos materiales, financieros e intangibles, conforman </w:t>
      </w:r>
      <w:r w:rsidRPr="00D12FCF">
        <w:rPr>
          <w:rFonts w:eastAsia="MS Mincho" w:cs="Arial"/>
          <w:i/>
        </w:rPr>
        <w:t>el</w:t>
      </w:r>
      <w:r w:rsidRPr="00D12FCF">
        <w:rPr>
          <w:rFonts w:eastAsia="MS Mincho" w:cs="Arial"/>
        </w:rPr>
        <w:t xml:space="preserve"> “todo” que una organización necesita, es decir, para el correcto funcionamiento y el alcance de objetivos, deben coexistir uno con otro, de otra forma, el desarrollo no sería el apropiado y el cumplimiento de metas inasequible. </w:t>
      </w:r>
    </w:p>
    <w:p w14:paraId="0FC7304B" w14:textId="77777777" w:rsidR="001C5F74" w:rsidRPr="00D12FCF" w:rsidRDefault="001C5F74" w:rsidP="00D12FCF">
      <w:pPr>
        <w:rPr>
          <w:rFonts w:eastAsia="MS Mincho" w:cs="Arial"/>
        </w:rPr>
      </w:pPr>
    </w:p>
    <w:p w14:paraId="4C7EC100" w14:textId="6626CDC0" w:rsidR="000605CC" w:rsidRPr="00D12FCF" w:rsidRDefault="001C5F74" w:rsidP="00D12FCF">
      <w:pPr>
        <w:ind w:right="-312"/>
        <w:rPr>
          <w:rFonts w:cs="Tahoma"/>
          <w:szCs w:val="22"/>
          <w:lang w:val="es-ES"/>
        </w:rPr>
      </w:pPr>
      <w:r w:rsidRPr="00D12FCF">
        <w:t xml:space="preserve">Es así que, del análisis realizado a las documentales que integra la respuesta a la solicitud de información, se puede advertir que </w:t>
      </w:r>
      <w:r w:rsidRPr="00D12FCF">
        <w:rPr>
          <w:b/>
        </w:rPr>
        <w:t xml:space="preserve">EL SUJETO OBLIGADO </w:t>
      </w:r>
      <w:r w:rsidRPr="00D12FCF">
        <w:t xml:space="preserve">no fundó adecuadamente ni motivó válidamente la imposibilidad de entregar la información solicitada en formato electrónico a </w:t>
      </w:r>
      <w:r w:rsidRPr="00D12FCF">
        <w:rPr>
          <w:rFonts w:eastAsia="MS Mincho" w:cs="Arial"/>
        </w:rPr>
        <w:t>través</w:t>
      </w:r>
      <w:r w:rsidRPr="00D12FCF">
        <w:t xml:space="preserve"> del </w:t>
      </w:r>
      <w:r w:rsidRPr="00D12FCF">
        <w:rPr>
          <w:b/>
        </w:rPr>
        <w:t>SAIMEX</w:t>
      </w:r>
      <w:r w:rsidRPr="00D12FCF">
        <w:t xml:space="preserve">, pues se limitó a señalar que lo requerido se encontraba a </w:t>
      </w:r>
      <w:r w:rsidRPr="00D12FCF">
        <w:rPr>
          <w:rFonts w:cs="Tahoma"/>
          <w:szCs w:val="22"/>
          <w:lang w:val="es-ES"/>
        </w:rPr>
        <w:t>disposición en las oficinas de esta Dependencia Administrativa.</w:t>
      </w:r>
    </w:p>
    <w:p w14:paraId="7D7480B8" w14:textId="77777777" w:rsidR="000605CC" w:rsidRPr="00D12FCF" w:rsidRDefault="000605CC" w:rsidP="00D12FCF">
      <w:pPr>
        <w:ind w:right="-93"/>
        <w:rPr>
          <w:rFonts w:cs="Tahoma"/>
          <w:bCs/>
          <w:szCs w:val="22"/>
        </w:rPr>
      </w:pPr>
    </w:p>
    <w:p w14:paraId="6CD05AC4" w14:textId="00252363" w:rsidR="00BD5A7C" w:rsidRPr="00D12FCF" w:rsidRDefault="00BD5A7C" w:rsidP="00D12FCF">
      <w:pPr>
        <w:pStyle w:val="Ttulo3"/>
      </w:pPr>
      <w:bookmarkStart w:id="32" w:name="_Toc201208821"/>
      <w:r w:rsidRPr="00D12FCF">
        <w:t>d</w:t>
      </w:r>
      <w:r w:rsidR="00A21A20" w:rsidRPr="00D12FCF">
        <w:t>)</w:t>
      </w:r>
      <w:r w:rsidR="00664420" w:rsidRPr="00D12FCF">
        <w:t xml:space="preserve"> </w:t>
      </w:r>
      <w:r w:rsidRPr="00D12FCF">
        <w:t>Conclusión</w:t>
      </w:r>
      <w:bookmarkEnd w:id="32"/>
    </w:p>
    <w:p w14:paraId="64474B5E" w14:textId="79F7C836" w:rsidR="00F264C1" w:rsidRPr="00D12FCF" w:rsidRDefault="00F264C1" w:rsidP="00D12FCF">
      <w:pPr>
        <w:widowControl w:val="0"/>
        <w:tabs>
          <w:tab w:val="left" w:pos="1701"/>
          <w:tab w:val="left" w:pos="1843"/>
        </w:tabs>
        <w:autoSpaceDE w:val="0"/>
        <w:autoSpaceDN w:val="0"/>
        <w:adjustRightInd w:val="0"/>
        <w:rPr>
          <w:rFonts w:cs="Arial"/>
        </w:rPr>
      </w:pPr>
      <w:r w:rsidRPr="00D12FCF">
        <w:rPr>
          <w:rFonts w:cs="Arial"/>
        </w:rPr>
        <w:t xml:space="preserve">En conclusión y con base en lo anteriormente expuesto, este Instituto estima que las razones o motivos de inconformidad hechos valer por </w:t>
      </w:r>
      <w:r w:rsidRPr="00D12FCF">
        <w:rPr>
          <w:rFonts w:cs="Arial"/>
          <w:b/>
          <w:bCs/>
          <w:iCs/>
        </w:rPr>
        <w:t xml:space="preserve">LA PARTE RECURRENTE </w:t>
      </w:r>
      <w:r w:rsidRPr="00D12FCF">
        <w:rPr>
          <w:rFonts w:cs="Arial"/>
        </w:rPr>
        <w:t xml:space="preserve">devienen </w:t>
      </w:r>
      <w:r w:rsidRPr="00D12FCF">
        <w:rPr>
          <w:rFonts w:cs="Arial"/>
          <w:b/>
        </w:rPr>
        <w:t>fundadas</w:t>
      </w:r>
      <w:r w:rsidRPr="00D12FCF">
        <w:rPr>
          <w:rFonts w:cs="Arial"/>
        </w:rPr>
        <w:t xml:space="preserve"> y suficientes para </w:t>
      </w:r>
      <w:r w:rsidR="00762776" w:rsidRPr="00D12FCF">
        <w:rPr>
          <w:rFonts w:cs="Arial"/>
          <w:b/>
        </w:rPr>
        <w:t>REVOCAR</w:t>
      </w:r>
      <w:r w:rsidRPr="00D12FCF">
        <w:rPr>
          <w:rFonts w:cs="Arial"/>
          <w:b/>
        </w:rPr>
        <w:t xml:space="preserve"> </w:t>
      </w:r>
      <w:r w:rsidRPr="00D12FCF">
        <w:rPr>
          <w:rFonts w:cs="Arial"/>
        </w:rPr>
        <w:t>la</w:t>
      </w:r>
      <w:r w:rsidR="008F7464" w:rsidRPr="00D12FCF">
        <w:rPr>
          <w:rFonts w:cs="Arial"/>
        </w:rPr>
        <w:t>s</w:t>
      </w:r>
      <w:r w:rsidRPr="00D12FCF">
        <w:rPr>
          <w:rFonts w:cs="Arial"/>
        </w:rPr>
        <w:t xml:space="preserve"> respuesta</w:t>
      </w:r>
      <w:r w:rsidR="008F7464" w:rsidRPr="00D12FCF">
        <w:rPr>
          <w:rFonts w:cs="Arial"/>
        </w:rPr>
        <w:t>s</w:t>
      </w:r>
      <w:r w:rsidRPr="00D12FCF">
        <w:rPr>
          <w:rFonts w:cs="Arial"/>
        </w:rPr>
        <w:t xml:space="preserve"> del </w:t>
      </w:r>
      <w:r w:rsidRPr="00D12FCF">
        <w:rPr>
          <w:rFonts w:cs="Arial"/>
          <w:b/>
        </w:rPr>
        <w:t>SUJETO OBLIGADO</w:t>
      </w:r>
      <w:r w:rsidRPr="00D12FCF">
        <w:rPr>
          <w:rFonts w:cs="Arial"/>
        </w:rPr>
        <w:t xml:space="preserve"> y ordenarle haga entrega de la información descrita en el presente Considerando.</w:t>
      </w:r>
    </w:p>
    <w:p w14:paraId="1D8BD437" w14:textId="77777777" w:rsidR="000605CC" w:rsidRPr="00D12FCF" w:rsidRDefault="000605CC" w:rsidP="00D12FCF">
      <w:pPr>
        <w:widowControl w:val="0"/>
        <w:tabs>
          <w:tab w:val="left" w:pos="1701"/>
          <w:tab w:val="left" w:pos="1843"/>
        </w:tabs>
        <w:autoSpaceDE w:val="0"/>
        <w:autoSpaceDN w:val="0"/>
        <w:adjustRightInd w:val="0"/>
        <w:rPr>
          <w:rFonts w:cs="Arial"/>
        </w:rPr>
      </w:pPr>
    </w:p>
    <w:p w14:paraId="6C4C444E" w14:textId="6C62C8D5" w:rsidR="00BD5A7C" w:rsidRPr="00D12FCF" w:rsidRDefault="00BD5A7C" w:rsidP="00D12FCF">
      <w:pPr>
        <w:ind w:right="-93"/>
        <w:rPr>
          <w:rFonts w:cs="Tahoma"/>
          <w:bCs/>
          <w:szCs w:val="22"/>
        </w:rPr>
      </w:pPr>
      <w:bookmarkStart w:id="33" w:name="_Hlk165381027"/>
      <w:r w:rsidRPr="00D12FCF">
        <w:rPr>
          <w:rFonts w:cs="Tahoma"/>
          <w:bCs/>
          <w:szCs w:val="22"/>
        </w:rPr>
        <w:t xml:space="preserve">Así, con fundamento en lo establecido en los artículos 5, </w:t>
      </w:r>
      <w:proofErr w:type="gramStart"/>
      <w:r w:rsidR="008D18C3" w:rsidRPr="00D12FCF">
        <w:t>párrafos trigésimo séptimo</w:t>
      </w:r>
      <w:proofErr w:type="gramEnd"/>
      <w:r w:rsidR="008D18C3" w:rsidRPr="00D12FCF">
        <w:t>, trigésimo octavo y trigésimo noveno, fracciones IV y V de la Constitución Política del Estado Libre y Soberano de México</w:t>
      </w:r>
      <w:r w:rsidRPr="00D12FCF">
        <w:rPr>
          <w:rFonts w:cs="Tahoma"/>
          <w:bCs/>
          <w:szCs w:val="22"/>
        </w:rPr>
        <w:t>; y en los artículos 2, fracción II, 9, 29, 36, fracciones I y II, 176, 178, 179, 186 y 188 de la Ley de Transparencia y Acceso a la Información Pública del Estado de México y Municipios, este Pleno:</w:t>
      </w:r>
    </w:p>
    <w:p w14:paraId="5C396097" w14:textId="684A0E4F" w:rsidR="00664420" w:rsidRPr="00D12FCF" w:rsidRDefault="00664420" w:rsidP="00D12FCF">
      <w:pPr>
        <w:pStyle w:val="Ttulo1"/>
      </w:pPr>
      <w:bookmarkStart w:id="34" w:name="_Toc201208822"/>
      <w:bookmarkEnd w:id="33"/>
      <w:r w:rsidRPr="00D12FCF">
        <w:lastRenderedPageBreak/>
        <w:t>RESUELVE</w:t>
      </w:r>
      <w:bookmarkEnd w:id="34"/>
    </w:p>
    <w:p w14:paraId="203B7093" w14:textId="77777777" w:rsidR="00664420" w:rsidRPr="00D12FCF" w:rsidRDefault="00664420" w:rsidP="00D12FCF">
      <w:pPr>
        <w:ind w:right="113"/>
        <w:rPr>
          <w:rFonts w:cs="Arial"/>
          <w:b/>
          <w:szCs w:val="22"/>
        </w:rPr>
      </w:pPr>
    </w:p>
    <w:p w14:paraId="40DE562B" w14:textId="1F95750F" w:rsidR="00FC3CE0" w:rsidRPr="00D12FCF" w:rsidRDefault="00FC3CE0" w:rsidP="00D12FCF">
      <w:pPr>
        <w:widowControl w:val="0"/>
        <w:rPr>
          <w:rFonts w:eastAsia="Calibri" w:cs="Tahoma"/>
          <w:bCs/>
          <w:szCs w:val="22"/>
          <w:lang w:eastAsia="en-US"/>
        </w:rPr>
      </w:pPr>
      <w:r w:rsidRPr="00D12FCF">
        <w:rPr>
          <w:b/>
          <w:bCs/>
        </w:rPr>
        <w:t>PRIMERO.</w:t>
      </w:r>
      <w:r w:rsidRPr="00D12FCF">
        <w:t xml:space="preserve"> </w:t>
      </w:r>
      <w:r w:rsidRPr="00D12FCF">
        <w:rPr>
          <w:rFonts w:cs="Tahoma"/>
          <w:szCs w:val="22"/>
        </w:rPr>
        <w:t xml:space="preserve">Se </w:t>
      </w:r>
      <w:r w:rsidR="004E5068" w:rsidRPr="00D12FCF">
        <w:rPr>
          <w:rFonts w:cs="Tahoma"/>
          <w:b/>
          <w:bCs/>
          <w:szCs w:val="22"/>
        </w:rPr>
        <w:t>REVOCA</w:t>
      </w:r>
      <w:r w:rsidR="008F7464" w:rsidRPr="00D12FCF">
        <w:rPr>
          <w:rFonts w:cs="Tahoma"/>
          <w:b/>
          <w:bCs/>
          <w:szCs w:val="22"/>
        </w:rPr>
        <w:t>N</w:t>
      </w:r>
      <w:r w:rsidRPr="00D12FCF">
        <w:rPr>
          <w:rFonts w:cs="Tahoma"/>
          <w:szCs w:val="22"/>
        </w:rPr>
        <w:t xml:space="preserve"> la</w:t>
      </w:r>
      <w:r w:rsidR="008F7464" w:rsidRPr="00D12FCF">
        <w:rPr>
          <w:rFonts w:cs="Tahoma"/>
          <w:szCs w:val="22"/>
        </w:rPr>
        <w:t>s</w:t>
      </w:r>
      <w:r w:rsidRPr="00D12FCF">
        <w:rPr>
          <w:rFonts w:cs="Tahoma"/>
          <w:szCs w:val="22"/>
        </w:rPr>
        <w:t xml:space="preserve"> respuesta</w:t>
      </w:r>
      <w:r w:rsidR="008F7464" w:rsidRPr="00D12FCF">
        <w:rPr>
          <w:rFonts w:cs="Tahoma"/>
          <w:szCs w:val="22"/>
        </w:rPr>
        <w:t>s</w:t>
      </w:r>
      <w:r w:rsidRPr="00D12FCF">
        <w:rPr>
          <w:rFonts w:cs="Tahoma"/>
          <w:szCs w:val="22"/>
        </w:rPr>
        <w:t xml:space="preserve"> entregada</w:t>
      </w:r>
      <w:r w:rsidR="008F7464" w:rsidRPr="00D12FCF">
        <w:rPr>
          <w:rFonts w:cs="Tahoma"/>
          <w:szCs w:val="22"/>
        </w:rPr>
        <w:t>s</w:t>
      </w:r>
      <w:r w:rsidRPr="00D12FCF">
        <w:rPr>
          <w:rFonts w:cs="Tahoma"/>
          <w:szCs w:val="22"/>
        </w:rPr>
        <w:t xml:space="preserve"> por el </w:t>
      </w:r>
      <w:r w:rsidR="004E5068" w:rsidRPr="00D12FCF">
        <w:rPr>
          <w:rFonts w:cs="Tahoma"/>
          <w:b/>
          <w:bCs/>
          <w:szCs w:val="22"/>
        </w:rPr>
        <w:t>SUJETO OBLIGADO</w:t>
      </w:r>
      <w:r w:rsidR="004E5068" w:rsidRPr="00D12FCF">
        <w:rPr>
          <w:rFonts w:cs="Tahoma"/>
          <w:szCs w:val="22"/>
        </w:rPr>
        <w:t xml:space="preserve"> </w:t>
      </w:r>
      <w:r w:rsidR="0041385B" w:rsidRPr="00D12FCF">
        <w:rPr>
          <w:rFonts w:cs="Tahoma"/>
          <w:szCs w:val="22"/>
        </w:rPr>
        <w:t>en</w:t>
      </w:r>
      <w:r w:rsidRPr="00D12FCF">
        <w:rPr>
          <w:rFonts w:cs="Tahoma"/>
          <w:szCs w:val="22"/>
        </w:rPr>
        <w:t xml:space="preserve"> la</w:t>
      </w:r>
      <w:r w:rsidR="008F7464" w:rsidRPr="00D12FCF">
        <w:rPr>
          <w:rFonts w:cs="Tahoma"/>
          <w:szCs w:val="22"/>
        </w:rPr>
        <w:t>s</w:t>
      </w:r>
      <w:r w:rsidRPr="00D12FCF">
        <w:rPr>
          <w:rFonts w:cs="Tahoma"/>
          <w:szCs w:val="22"/>
        </w:rPr>
        <w:t xml:space="preserve"> solicitud</w:t>
      </w:r>
      <w:r w:rsidR="008F7464" w:rsidRPr="00D12FCF">
        <w:rPr>
          <w:rFonts w:cs="Tahoma"/>
          <w:szCs w:val="22"/>
        </w:rPr>
        <w:t>es</w:t>
      </w:r>
      <w:r w:rsidRPr="00D12FCF">
        <w:rPr>
          <w:rFonts w:cs="Tahoma"/>
          <w:szCs w:val="22"/>
        </w:rPr>
        <w:t xml:space="preserve"> de información </w:t>
      </w:r>
      <w:r w:rsidR="008F7464" w:rsidRPr="00D12FCF">
        <w:rPr>
          <w:rFonts w:cs="Tahoma"/>
          <w:b/>
        </w:rPr>
        <w:t>00024/IXTAORO/IP/2025 y 00022/IXTAORO/IP/2025</w:t>
      </w:r>
      <w:r w:rsidR="008F7464" w:rsidRPr="00D12FCF">
        <w:rPr>
          <w:rFonts w:cs="Tahoma"/>
        </w:rPr>
        <w:t>,</w:t>
      </w:r>
      <w:r w:rsidRPr="00D12FCF">
        <w:rPr>
          <w:rFonts w:cs="Tahoma"/>
          <w:bCs/>
          <w:szCs w:val="22"/>
        </w:rPr>
        <w:t xml:space="preserve"> </w:t>
      </w:r>
      <w:r w:rsidRPr="00D12FCF">
        <w:rPr>
          <w:rFonts w:eastAsia="Calibri" w:cs="Tahoma"/>
          <w:bCs/>
          <w:szCs w:val="22"/>
          <w:lang w:eastAsia="en-US"/>
        </w:rPr>
        <w:t xml:space="preserve">por resultar </w:t>
      </w:r>
      <w:r w:rsidRPr="00D12FCF">
        <w:rPr>
          <w:rFonts w:eastAsia="Calibri" w:cs="Tahoma"/>
          <w:b/>
          <w:bCs/>
          <w:szCs w:val="22"/>
          <w:lang w:eastAsia="en-US"/>
        </w:rPr>
        <w:t>FUNDADAS</w:t>
      </w:r>
      <w:r w:rsidRPr="00D12FCF">
        <w:rPr>
          <w:rFonts w:eastAsia="Calibri" w:cs="Tahoma"/>
          <w:bCs/>
          <w:szCs w:val="22"/>
          <w:lang w:eastAsia="en-US"/>
        </w:rPr>
        <w:t xml:space="preserve"> las razones o motivos de inconformidad hechos valer por </w:t>
      </w:r>
      <w:r w:rsidRPr="00D12FCF">
        <w:rPr>
          <w:rFonts w:eastAsia="Calibri" w:cs="Tahoma"/>
          <w:b/>
          <w:szCs w:val="22"/>
          <w:lang w:eastAsia="en-US"/>
        </w:rPr>
        <w:t>LA PARTE RECURRENTE</w:t>
      </w:r>
      <w:r w:rsidRPr="00D12FCF">
        <w:rPr>
          <w:rFonts w:eastAsia="Calibri" w:cs="Tahoma"/>
          <w:bCs/>
          <w:szCs w:val="22"/>
          <w:lang w:eastAsia="en-US"/>
        </w:rPr>
        <w:t xml:space="preserve"> en </w:t>
      </w:r>
      <w:r w:rsidR="008F7464" w:rsidRPr="00D12FCF">
        <w:rPr>
          <w:rFonts w:eastAsia="Calibri" w:cs="Tahoma"/>
          <w:bCs/>
          <w:szCs w:val="22"/>
          <w:lang w:eastAsia="en-US"/>
        </w:rPr>
        <w:t>los</w:t>
      </w:r>
      <w:r w:rsidRPr="00D12FCF">
        <w:rPr>
          <w:rFonts w:eastAsia="Calibri" w:cs="Tahoma"/>
          <w:bCs/>
          <w:szCs w:val="22"/>
          <w:lang w:eastAsia="en-US"/>
        </w:rPr>
        <w:t xml:space="preserve"> Recurso</w:t>
      </w:r>
      <w:r w:rsidR="008F7464" w:rsidRPr="00D12FCF">
        <w:rPr>
          <w:rFonts w:eastAsia="Calibri" w:cs="Tahoma"/>
          <w:bCs/>
          <w:szCs w:val="22"/>
          <w:lang w:eastAsia="en-US"/>
        </w:rPr>
        <w:t>s</w:t>
      </w:r>
      <w:r w:rsidRPr="00D12FCF">
        <w:rPr>
          <w:rFonts w:eastAsia="Calibri" w:cs="Tahoma"/>
          <w:bCs/>
          <w:szCs w:val="22"/>
          <w:lang w:eastAsia="en-US"/>
        </w:rPr>
        <w:t xml:space="preserve"> de Revisión </w:t>
      </w:r>
      <w:r w:rsidR="008F7464" w:rsidRPr="00D12FCF">
        <w:rPr>
          <w:rFonts w:eastAsiaTheme="minorHAnsi" w:cstheme="minorBidi"/>
          <w:b/>
          <w:bCs/>
          <w:szCs w:val="22"/>
          <w:lang w:eastAsia="en-US"/>
        </w:rPr>
        <w:t>04792/INFOEM/IP/RR/2025 y 04794/INFOEM/IP/RR/2025</w:t>
      </w:r>
      <w:r w:rsidR="000605CC" w:rsidRPr="00D12FCF">
        <w:rPr>
          <w:rFonts w:eastAsiaTheme="minorHAnsi" w:cstheme="minorBidi"/>
          <w:b/>
          <w:bCs/>
          <w:szCs w:val="22"/>
          <w:lang w:eastAsia="en-US"/>
        </w:rPr>
        <w:t>,</w:t>
      </w:r>
      <w:r w:rsidRPr="00D12FCF">
        <w:rPr>
          <w:rFonts w:cs="Tahoma"/>
          <w:b/>
          <w:szCs w:val="22"/>
        </w:rPr>
        <w:t xml:space="preserve"> </w:t>
      </w:r>
      <w:r w:rsidRPr="00D12FCF">
        <w:rPr>
          <w:rFonts w:eastAsia="Calibri" w:cs="Tahoma"/>
          <w:bCs/>
          <w:szCs w:val="22"/>
          <w:lang w:eastAsia="en-US"/>
        </w:rPr>
        <w:t xml:space="preserve">en términos del considerando </w:t>
      </w:r>
      <w:r w:rsidRPr="00D12FCF">
        <w:rPr>
          <w:rFonts w:eastAsia="Calibri" w:cs="Tahoma"/>
          <w:b/>
          <w:szCs w:val="22"/>
          <w:lang w:eastAsia="en-US"/>
        </w:rPr>
        <w:t>SEGUNDO</w:t>
      </w:r>
      <w:r w:rsidRPr="00D12FCF">
        <w:rPr>
          <w:rFonts w:eastAsia="Calibri" w:cs="Tahoma"/>
          <w:bCs/>
          <w:szCs w:val="22"/>
          <w:lang w:eastAsia="en-US"/>
        </w:rPr>
        <w:t xml:space="preserve"> de la presente Resolución.</w:t>
      </w:r>
    </w:p>
    <w:p w14:paraId="78D4A482" w14:textId="77777777" w:rsidR="00FC3CE0" w:rsidRPr="00D12FCF" w:rsidRDefault="00FC3CE0" w:rsidP="00D12FCF">
      <w:pPr>
        <w:widowControl w:val="0"/>
        <w:rPr>
          <w:rFonts w:eastAsia="Calibri" w:cs="Tahoma"/>
          <w:bCs/>
          <w:szCs w:val="22"/>
          <w:lang w:eastAsia="en-US"/>
        </w:rPr>
      </w:pPr>
    </w:p>
    <w:p w14:paraId="16CF919C" w14:textId="0E2763C7" w:rsidR="00FC3CE0" w:rsidRPr="00D12FCF" w:rsidRDefault="00FC3CE0" w:rsidP="00D12FCF">
      <w:pPr>
        <w:ind w:right="-93"/>
        <w:rPr>
          <w:rFonts w:eastAsia="Calibri" w:cs="Tahoma"/>
          <w:bCs/>
          <w:szCs w:val="22"/>
          <w:lang w:eastAsia="en-US"/>
        </w:rPr>
      </w:pPr>
      <w:r w:rsidRPr="00D12FCF">
        <w:rPr>
          <w:rFonts w:eastAsia="Calibri" w:cs="Tahoma"/>
          <w:b/>
          <w:bCs/>
          <w:szCs w:val="22"/>
          <w:lang w:eastAsia="en-US"/>
        </w:rPr>
        <w:t>SEGUNDO.</w:t>
      </w:r>
      <w:r w:rsidRPr="00D12FCF">
        <w:rPr>
          <w:rFonts w:eastAsia="Calibri" w:cs="Tahoma"/>
          <w:szCs w:val="22"/>
          <w:lang w:eastAsia="es-MX"/>
        </w:rPr>
        <w:t xml:space="preserve"> Se </w:t>
      </w:r>
      <w:r w:rsidRPr="00D12FCF">
        <w:rPr>
          <w:rFonts w:eastAsia="Calibri" w:cs="Tahoma"/>
          <w:b/>
          <w:szCs w:val="22"/>
          <w:lang w:eastAsia="es-MX"/>
        </w:rPr>
        <w:t xml:space="preserve">ORDENA </w:t>
      </w:r>
      <w:r w:rsidRPr="00D12FCF">
        <w:rPr>
          <w:rFonts w:eastAsia="Calibri" w:cs="Tahoma"/>
          <w:szCs w:val="22"/>
          <w:lang w:eastAsia="es-MX"/>
        </w:rPr>
        <w:t xml:space="preserve">al </w:t>
      </w:r>
      <w:r w:rsidRPr="00D12FCF">
        <w:rPr>
          <w:rFonts w:eastAsia="Calibri" w:cs="Tahoma"/>
          <w:b/>
          <w:bCs/>
          <w:szCs w:val="22"/>
          <w:lang w:eastAsia="es-MX"/>
        </w:rPr>
        <w:t>SUJETO OBLIGADO</w:t>
      </w:r>
      <w:r w:rsidRPr="00D12FCF">
        <w:rPr>
          <w:rFonts w:eastAsia="Calibri" w:cs="Tahoma"/>
          <w:szCs w:val="22"/>
          <w:lang w:eastAsia="es-MX"/>
        </w:rPr>
        <w:t xml:space="preserve">, </w:t>
      </w:r>
      <w:r w:rsidRPr="00D12FCF">
        <w:rPr>
          <w:rFonts w:eastAsia="Calibri" w:cs="Tahoma"/>
          <w:bCs/>
          <w:szCs w:val="22"/>
          <w:lang w:eastAsia="en-US"/>
        </w:rPr>
        <w:t xml:space="preserve">a efecto de que, entregue a través del </w:t>
      </w:r>
      <w:r w:rsidR="00234534" w:rsidRPr="00D12FCF">
        <w:rPr>
          <w:rFonts w:eastAsia="Calibri" w:cs="Tahoma"/>
          <w:b/>
          <w:bCs/>
          <w:szCs w:val="22"/>
          <w:lang w:eastAsia="en-US"/>
        </w:rPr>
        <w:t>SAIMEX</w:t>
      </w:r>
      <w:r w:rsidRPr="00D12FCF">
        <w:rPr>
          <w:rFonts w:eastAsia="Calibri" w:cs="Tahoma"/>
          <w:bCs/>
          <w:szCs w:val="22"/>
          <w:lang w:eastAsia="en-US"/>
        </w:rPr>
        <w:t>, los documentos que den cuenta de lo siguiente:</w:t>
      </w:r>
    </w:p>
    <w:p w14:paraId="1752509E" w14:textId="77777777" w:rsidR="008F7464" w:rsidRPr="00D12FCF" w:rsidRDefault="008F7464" w:rsidP="00D12FCF">
      <w:pPr>
        <w:ind w:right="-93"/>
        <w:rPr>
          <w:rFonts w:eastAsia="Calibri" w:cs="Tahoma"/>
          <w:bCs/>
          <w:szCs w:val="22"/>
          <w:lang w:eastAsia="en-US"/>
        </w:rPr>
      </w:pPr>
    </w:p>
    <w:p w14:paraId="0787CC8E" w14:textId="0C7C62FE" w:rsidR="001C5F74" w:rsidRPr="00D12FCF" w:rsidRDefault="00615FCE" w:rsidP="00D12FCF">
      <w:pPr>
        <w:pStyle w:val="Ttulo"/>
        <w:rPr>
          <w:rFonts w:eastAsia="Calibri"/>
          <w:bCs/>
          <w:lang w:eastAsia="en-US"/>
        </w:rPr>
      </w:pPr>
      <w:r w:rsidRPr="00D12FCF">
        <w:rPr>
          <w:rFonts w:eastAsia="Calibri"/>
          <w:lang w:eastAsia="es-ES_tradnl"/>
        </w:rPr>
        <w:t>El p</w:t>
      </w:r>
      <w:r w:rsidR="001C5F74" w:rsidRPr="00D12FCF">
        <w:rPr>
          <w:rFonts w:eastAsia="Calibri"/>
          <w:lang w:eastAsia="es-ES_tradnl"/>
        </w:rPr>
        <w:t xml:space="preserve">resupuesto asignado al </w:t>
      </w:r>
      <w:r w:rsidR="001C5F74" w:rsidRPr="00D12FCF">
        <w:rPr>
          <w:rFonts w:eastAsia="Calibri"/>
          <w:b/>
          <w:lang w:eastAsia="es-ES_tradnl"/>
        </w:rPr>
        <w:t>SUJETO OBLIGADO</w:t>
      </w:r>
      <w:r w:rsidR="001C5F74" w:rsidRPr="00D12FCF">
        <w:rPr>
          <w:rFonts w:eastAsia="Calibri"/>
          <w:lang w:eastAsia="es-ES_tradnl"/>
        </w:rPr>
        <w:t xml:space="preserve"> para el ejercicio 2025.</w:t>
      </w:r>
    </w:p>
    <w:p w14:paraId="52BF7288" w14:textId="1AEE5031" w:rsidR="00E40A98" w:rsidRPr="00D12FCF" w:rsidRDefault="00E40A98" w:rsidP="00D12FCF">
      <w:pPr>
        <w:tabs>
          <w:tab w:val="left" w:pos="4962"/>
        </w:tabs>
        <w:ind w:right="822"/>
        <w:rPr>
          <w:rFonts w:eastAsia="Calibri" w:cs="Tahoma"/>
          <w:bCs/>
          <w:szCs w:val="22"/>
          <w:lang w:eastAsia="en-US"/>
        </w:rPr>
      </w:pPr>
    </w:p>
    <w:p w14:paraId="3230BFEF" w14:textId="77777777" w:rsidR="009A0277" w:rsidRPr="00D12FCF" w:rsidRDefault="009A0277" w:rsidP="00D12FCF">
      <w:r w:rsidRPr="00D12FCF">
        <w:rPr>
          <w:b/>
          <w:bCs/>
        </w:rPr>
        <w:t>TERCERO.</w:t>
      </w:r>
      <w:r w:rsidRPr="00D12FCF">
        <w:t xml:space="preserve"> </w:t>
      </w:r>
      <w:r w:rsidRPr="00D12FCF">
        <w:rPr>
          <w:rFonts w:eastAsia="Palatino Linotype" w:cs="Palatino Linotype"/>
          <w:b/>
          <w:lang w:eastAsia="es-MX"/>
        </w:rPr>
        <w:t xml:space="preserve">Notifíquese </w:t>
      </w:r>
      <w:r w:rsidRPr="00D12FCF">
        <w:rPr>
          <w:szCs w:val="17"/>
          <w:lang w:eastAsia="es-ES_tradnl"/>
        </w:rPr>
        <w:t xml:space="preserve">vía </w:t>
      </w:r>
      <w:r w:rsidRPr="00D12FCF">
        <w:rPr>
          <w:rFonts w:cs="Arial"/>
        </w:rPr>
        <w:t>Sistema de Acceso a la Información Mexiquense (</w:t>
      </w:r>
      <w:r w:rsidRPr="00D12FCF">
        <w:rPr>
          <w:rFonts w:cs="Arial"/>
          <w:b/>
          <w:bCs/>
        </w:rPr>
        <w:t>SAIMEX)</w:t>
      </w:r>
      <w:r w:rsidRPr="00D12FCF">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D12FCF" w:rsidRDefault="00FC3CE0" w:rsidP="00D12FCF"/>
    <w:p w14:paraId="16A4F4E2" w14:textId="64DF9CE2" w:rsidR="00FC3CE0" w:rsidRPr="00D12FCF" w:rsidRDefault="00FC3CE0" w:rsidP="00D12FCF">
      <w:r w:rsidRPr="00D12FCF">
        <w:rPr>
          <w:b/>
          <w:bCs/>
        </w:rPr>
        <w:lastRenderedPageBreak/>
        <w:t>CUARTO.</w:t>
      </w:r>
      <w:r w:rsidRPr="00D12FCF">
        <w:t xml:space="preserve"> Notifíquese a </w:t>
      </w:r>
      <w:r w:rsidRPr="00D12FCF">
        <w:rPr>
          <w:b/>
          <w:bCs/>
        </w:rPr>
        <w:t>LA PARTE RECURRENTE</w:t>
      </w:r>
      <w:r w:rsidRPr="00D12FCF">
        <w:t xml:space="preserve"> la presente resolución vía Sistema de Acceso a la Información Mexiquense </w:t>
      </w:r>
      <w:r w:rsidR="008B1E16" w:rsidRPr="00D12FCF">
        <w:t>(</w:t>
      </w:r>
      <w:r w:rsidRPr="00D12FCF">
        <w:t>SAIMEX</w:t>
      </w:r>
      <w:r w:rsidR="008B1E16" w:rsidRPr="00D12FCF">
        <w:t>)</w:t>
      </w:r>
      <w:r w:rsidRPr="00D12FCF">
        <w:t>.</w:t>
      </w:r>
    </w:p>
    <w:p w14:paraId="515336ED" w14:textId="77777777" w:rsidR="00FC3CE0" w:rsidRPr="00D12FCF" w:rsidRDefault="00FC3CE0" w:rsidP="00D12FCF"/>
    <w:p w14:paraId="006EFE1D" w14:textId="07CDFDE4" w:rsidR="00FC3CE0" w:rsidRPr="00D12FCF" w:rsidRDefault="00FC3CE0" w:rsidP="00D12FCF">
      <w:r w:rsidRPr="00D12FCF">
        <w:rPr>
          <w:b/>
          <w:bCs/>
        </w:rPr>
        <w:t>QUINTO</w:t>
      </w:r>
      <w:r w:rsidRPr="00D12FCF">
        <w:t>. Hágase del conocimiento a</w:t>
      </w:r>
      <w:r w:rsidR="008B1E16" w:rsidRPr="00D12FCF">
        <w:t xml:space="preserve"> </w:t>
      </w:r>
      <w:r w:rsidR="008B1E16" w:rsidRPr="00D12FCF">
        <w:rPr>
          <w:b/>
          <w:bCs/>
        </w:rPr>
        <w:t xml:space="preserve">LA PARTE </w:t>
      </w:r>
      <w:r w:rsidRPr="00D12FCF">
        <w:rPr>
          <w:b/>
          <w:bCs/>
        </w:rPr>
        <w:t>RECURRENTE</w:t>
      </w:r>
      <w:r w:rsidRPr="00D12FCF">
        <w:t xml:space="preserve"> que</w:t>
      </w:r>
      <w:r w:rsidR="008B1E16" w:rsidRPr="00D12FCF">
        <w:t>,</w:t>
      </w:r>
      <w:r w:rsidRPr="00D12FCF">
        <w:t xml:space="preserve"> de conformidad con lo establecido en el artículo 196 de la Ley de Transparencia y Acceso a la Información Pública del Estado de México y Municipios, podrá impugnar</w:t>
      </w:r>
      <w:r w:rsidR="008B1E16" w:rsidRPr="00D12FCF">
        <w:t xml:space="preserve"> la presente resolución</w:t>
      </w:r>
      <w:r w:rsidRPr="00D12FCF">
        <w:t xml:space="preserve"> vía Juicio de Amparo en los términos de las leyes aplicables.</w:t>
      </w:r>
    </w:p>
    <w:p w14:paraId="1FDCA0FE" w14:textId="77777777" w:rsidR="00163D12" w:rsidRPr="00D12FCF" w:rsidRDefault="00163D12" w:rsidP="00D12FCF"/>
    <w:p w14:paraId="43DF9D99" w14:textId="4C6E52F9" w:rsidR="00FC3CE0" w:rsidRPr="00D12FCF" w:rsidRDefault="00FC3CE0" w:rsidP="00D12FCF">
      <w:r w:rsidRPr="00D12FCF">
        <w:rPr>
          <w:b/>
          <w:bCs/>
        </w:rPr>
        <w:t>SEXTO.</w:t>
      </w:r>
      <w:r w:rsidRPr="00D12FCF">
        <w:t xml:space="preserve"> De conformidad con el artículo 198 de la Ley de Transparencia y Acceso a la Información Pública del Estado de México y Municipios, el </w:t>
      </w:r>
      <w:r w:rsidR="008B1E16" w:rsidRPr="00D12FCF">
        <w:rPr>
          <w:b/>
          <w:bCs/>
        </w:rPr>
        <w:t>SUJETO OBLIGADO</w:t>
      </w:r>
      <w:r w:rsidR="008B1E16" w:rsidRPr="00D12FCF">
        <w:t xml:space="preserve"> </w:t>
      </w:r>
      <w:r w:rsidRPr="00D12FCF">
        <w:t>podrá solicitar</w:t>
      </w:r>
      <w:r w:rsidR="008B1E16" w:rsidRPr="00D12FCF">
        <w:t xml:space="preserve"> </w:t>
      </w:r>
      <w:r w:rsidRPr="00D12FCF">
        <w:t xml:space="preserve">una ampliación de plazo </w:t>
      </w:r>
      <w:r w:rsidR="008B1E16" w:rsidRPr="00D12FCF">
        <w:t xml:space="preserve">de manera fundada y motivada, </w:t>
      </w:r>
      <w:r w:rsidRPr="00D12FCF">
        <w:t>para el cumplimiento de la presente resolución.</w:t>
      </w:r>
    </w:p>
    <w:p w14:paraId="2BC8564F" w14:textId="77777777" w:rsidR="00FC3CE0" w:rsidRPr="00D12FCF" w:rsidRDefault="00FC3CE0" w:rsidP="00D12FCF">
      <w:pPr>
        <w:ind w:right="113"/>
        <w:rPr>
          <w:rFonts w:cs="Arial"/>
          <w:b/>
          <w:szCs w:val="22"/>
        </w:rPr>
      </w:pPr>
    </w:p>
    <w:p w14:paraId="719A5C63" w14:textId="494867D6" w:rsidR="00664420" w:rsidRPr="00D12FCF" w:rsidRDefault="00664420" w:rsidP="00D12FCF">
      <w:pPr>
        <w:rPr>
          <w:rFonts w:eastAsia="Palatino Linotype" w:cs="Palatino Linotype"/>
          <w:szCs w:val="22"/>
        </w:rPr>
      </w:pPr>
      <w:r w:rsidRPr="00D12FCF">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7464" w:rsidRPr="00D12FCF">
        <w:rPr>
          <w:rFonts w:eastAsia="Palatino Linotype" w:cs="Palatino Linotype"/>
          <w:szCs w:val="22"/>
        </w:rPr>
        <w:t>VIGÉSIMA SEGUNDA</w:t>
      </w:r>
      <w:r w:rsidRPr="00D12FCF">
        <w:rPr>
          <w:rFonts w:eastAsia="Palatino Linotype" w:cs="Palatino Linotype"/>
          <w:szCs w:val="22"/>
        </w:rPr>
        <w:t xml:space="preserve"> SESIÓN ORDINARIA, CELEBRADA EL </w:t>
      </w:r>
      <w:r w:rsidR="008F7464" w:rsidRPr="00D12FCF">
        <w:rPr>
          <w:rFonts w:eastAsia="Palatino Linotype" w:cs="Palatino Linotype"/>
          <w:szCs w:val="22"/>
        </w:rPr>
        <w:t>DIECIOCHO</w:t>
      </w:r>
      <w:r w:rsidRPr="00D12FCF">
        <w:rPr>
          <w:rFonts w:eastAsia="Palatino Linotype" w:cs="Palatino Linotype"/>
          <w:szCs w:val="22"/>
        </w:rPr>
        <w:t xml:space="preserve"> DE </w:t>
      </w:r>
      <w:r w:rsidR="008F7464" w:rsidRPr="00D12FCF">
        <w:rPr>
          <w:rFonts w:eastAsia="Palatino Linotype" w:cs="Palatino Linotype"/>
          <w:szCs w:val="22"/>
        </w:rPr>
        <w:t>JUNIO</w:t>
      </w:r>
      <w:r w:rsidRPr="00D12FCF">
        <w:rPr>
          <w:rFonts w:eastAsia="Palatino Linotype" w:cs="Palatino Linotype"/>
          <w:szCs w:val="22"/>
        </w:rPr>
        <w:t xml:space="preserve"> DE DOS MIL </w:t>
      </w:r>
      <w:r w:rsidR="008F7464" w:rsidRPr="00D12FCF">
        <w:rPr>
          <w:rFonts w:eastAsia="Palatino Linotype" w:cs="Palatino Linotype"/>
          <w:szCs w:val="22"/>
        </w:rPr>
        <w:t>VEINTICINCO</w:t>
      </w:r>
      <w:r w:rsidRPr="00D12FCF">
        <w:rPr>
          <w:rFonts w:eastAsia="Palatino Linotype" w:cs="Palatino Linotype"/>
          <w:szCs w:val="22"/>
        </w:rPr>
        <w:t>, ANTE EL SECRETARIO TÉCNICO DEL PLENO, ALEXIS TAPIA RAMÍREZ.</w:t>
      </w:r>
    </w:p>
    <w:p w14:paraId="2AB73DBD" w14:textId="77777777" w:rsidR="009A0277" w:rsidRPr="00D12FCF" w:rsidRDefault="009A0277" w:rsidP="00D12FCF">
      <w:pPr>
        <w:widowControl w:val="0"/>
        <w:autoSpaceDE w:val="0"/>
        <w:autoSpaceDN w:val="0"/>
        <w:adjustRightInd w:val="0"/>
        <w:rPr>
          <w:rFonts w:eastAsiaTheme="minorEastAsia"/>
          <w:sz w:val="18"/>
          <w:szCs w:val="18"/>
          <w:lang w:val="it-IT"/>
        </w:rPr>
      </w:pPr>
      <w:r w:rsidRPr="00D12FCF">
        <w:rPr>
          <w:rFonts w:eastAsiaTheme="minorEastAsia"/>
          <w:sz w:val="18"/>
          <w:szCs w:val="18"/>
          <w:lang w:val="it-IT"/>
        </w:rPr>
        <w:t>SCMM/AGZ/DEMF/JMMO</w:t>
      </w:r>
    </w:p>
    <w:p w14:paraId="49D72DA3" w14:textId="77777777" w:rsidR="00664420" w:rsidRPr="00D12FCF" w:rsidRDefault="00664420" w:rsidP="00D12FCF">
      <w:pPr>
        <w:ind w:right="-93"/>
        <w:rPr>
          <w:rFonts w:eastAsia="Calibri" w:cs="Tahoma"/>
          <w:bCs/>
          <w:szCs w:val="22"/>
          <w:lang w:eastAsia="en-US"/>
        </w:rPr>
      </w:pPr>
    </w:p>
    <w:p w14:paraId="5EFEA0CD" w14:textId="77777777" w:rsidR="00664420" w:rsidRPr="00D12FCF" w:rsidRDefault="00664420" w:rsidP="00D12FCF">
      <w:pPr>
        <w:ind w:right="-93"/>
        <w:rPr>
          <w:rFonts w:eastAsia="Calibri" w:cs="Tahoma"/>
          <w:szCs w:val="22"/>
          <w:lang w:val="es-ES"/>
        </w:rPr>
      </w:pPr>
    </w:p>
    <w:p w14:paraId="696BC976" w14:textId="77777777" w:rsidR="00664420" w:rsidRPr="00D12FCF" w:rsidRDefault="00664420" w:rsidP="00D12FCF">
      <w:pPr>
        <w:ind w:right="-93"/>
        <w:rPr>
          <w:rFonts w:eastAsia="Calibri" w:cs="Tahoma"/>
          <w:bCs/>
          <w:szCs w:val="22"/>
          <w:lang w:val="es-ES" w:eastAsia="en-US"/>
        </w:rPr>
      </w:pPr>
    </w:p>
    <w:p w14:paraId="671CB0C5" w14:textId="77777777" w:rsidR="00664420" w:rsidRPr="00D12FCF" w:rsidRDefault="00664420" w:rsidP="00D12FCF">
      <w:pPr>
        <w:ind w:right="-93"/>
        <w:rPr>
          <w:rFonts w:eastAsia="Calibri" w:cs="Tahoma"/>
          <w:bCs/>
          <w:szCs w:val="22"/>
          <w:lang w:val="es-ES_tradnl" w:eastAsia="en-US"/>
        </w:rPr>
      </w:pPr>
    </w:p>
    <w:p w14:paraId="52B66DE7" w14:textId="77777777" w:rsidR="00664420" w:rsidRPr="00D12FCF" w:rsidRDefault="00664420" w:rsidP="00D12FCF">
      <w:pPr>
        <w:ind w:right="-93"/>
        <w:rPr>
          <w:rFonts w:eastAsia="Calibri" w:cs="Tahoma"/>
          <w:bCs/>
          <w:szCs w:val="22"/>
          <w:lang w:val="es-ES_tradnl" w:eastAsia="en-US"/>
        </w:rPr>
      </w:pPr>
    </w:p>
    <w:p w14:paraId="3BA305D1" w14:textId="77777777" w:rsidR="00664420" w:rsidRPr="00D12FCF" w:rsidRDefault="00664420" w:rsidP="00D12FCF">
      <w:pPr>
        <w:ind w:right="-93"/>
        <w:rPr>
          <w:rFonts w:eastAsia="Calibri" w:cs="Tahoma"/>
          <w:bCs/>
          <w:szCs w:val="22"/>
          <w:lang w:val="es-ES_tradnl" w:eastAsia="en-US"/>
        </w:rPr>
      </w:pPr>
    </w:p>
    <w:p w14:paraId="78230707" w14:textId="77777777" w:rsidR="00664420" w:rsidRPr="00D12FCF" w:rsidRDefault="00664420" w:rsidP="00D12FCF">
      <w:pPr>
        <w:ind w:right="-93"/>
        <w:rPr>
          <w:rFonts w:eastAsia="Calibri" w:cs="Tahoma"/>
          <w:bCs/>
          <w:szCs w:val="22"/>
          <w:lang w:val="es-ES_tradnl" w:eastAsia="en-US"/>
        </w:rPr>
      </w:pPr>
    </w:p>
    <w:p w14:paraId="72D18B28" w14:textId="77777777" w:rsidR="00664420" w:rsidRPr="00D12FCF" w:rsidRDefault="00664420" w:rsidP="00D12FCF">
      <w:pPr>
        <w:ind w:right="-93"/>
        <w:rPr>
          <w:rFonts w:eastAsia="Calibri" w:cs="Tahoma"/>
          <w:bCs/>
          <w:szCs w:val="22"/>
          <w:lang w:val="es-ES_tradnl" w:eastAsia="en-US"/>
        </w:rPr>
      </w:pPr>
    </w:p>
    <w:p w14:paraId="6BD461DC" w14:textId="77777777" w:rsidR="00664420" w:rsidRPr="00D12FCF" w:rsidRDefault="00664420" w:rsidP="00D12FCF">
      <w:pPr>
        <w:tabs>
          <w:tab w:val="center" w:pos="4568"/>
        </w:tabs>
        <w:ind w:right="-93"/>
        <w:rPr>
          <w:rFonts w:eastAsia="Calibri" w:cs="Tahoma"/>
          <w:bCs/>
          <w:szCs w:val="22"/>
          <w:lang w:eastAsia="en-US"/>
        </w:rPr>
      </w:pPr>
    </w:p>
    <w:p w14:paraId="4DBB1727" w14:textId="77777777" w:rsidR="00664420" w:rsidRPr="00D12FCF" w:rsidRDefault="00664420" w:rsidP="00D12FCF">
      <w:pPr>
        <w:tabs>
          <w:tab w:val="center" w:pos="4568"/>
        </w:tabs>
        <w:ind w:right="-93"/>
        <w:rPr>
          <w:rFonts w:eastAsia="Calibri" w:cs="Tahoma"/>
          <w:bCs/>
          <w:szCs w:val="22"/>
          <w:lang w:eastAsia="en-US"/>
        </w:rPr>
      </w:pPr>
    </w:p>
    <w:p w14:paraId="1D74121B" w14:textId="77777777" w:rsidR="00664420" w:rsidRPr="00D12FCF" w:rsidRDefault="00664420" w:rsidP="00D12FCF">
      <w:pPr>
        <w:tabs>
          <w:tab w:val="center" w:pos="4568"/>
        </w:tabs>
        <w:ind w:right="-93"/>
        <w:rPr>
          <w:rFonts w:eastAsia="Calibri" w:cs="Tahoma"/>
          <w:bCs/>
          <w:szCs w:val="22"/>
          <w:lang w:eastAsia="en-US"/>
        </w:rPr>
      </w:pPr>
    </w:p>
    <w:p w14:paraId="08E74E9C" w14:textId="77777777" w:rsidR="00664420" w:rsidRPr="00D12FCF" w:rsidRDefault="00664420" w:rsidP="00D12FCF">
      <w:pPr>
        <w:tabs>
          <w:tab w:val="center" w:pos="4568"/>
        </w:tabs>
        <w:ind w:right="-93"/>
        <w:rPr>
          <w:rFonts w:eastAsia="Calibri" w:cs="Tahoma"/>
          <w:bCs/>
          <w:szCs w:val="22"/>
          <w:lang w:eastAsia="en-US"/>
        </w:rPr>
      </w:pPr>
    </w:p>
    <w:p w14:paraId="2CBF5E03" w14:textId="77777777" w:rsidR="00664420" w:rsidRPr="00D12FCF" w:rsidRDefault="00664420" w:rsidP="00D12FCF">
      <w:pPr>
        <w:tabs>
          <w:tab w:val="center" w:pos="4568"/>
        </w:tabs>
        <w:ind w:right="-93"/>
        <w:rPr>
          <w:rFonts w:eastAsia="Calibri" w:cs="Tahoma"/>
          <w:bCs/>
          <w:szCs w:val="22"/>
          <w:lang w:eastAsia="en-US"/>
        </w:rPr>
      </w:pPr>
    </w:p>
    <w:p w14:paraId="44865A6D" w14:textId="77777777" w:rsidR="00664420" w:rsidRPr="00D12FCF" w:rsidRDefault="00664420" w:rsidP="00D12FCF">
      <w:pPr>
        <w:tabs>
          <w:tab w:val="center" w:pos="4568"/>
        </w:tabs>
        <w:ind w:right="-93"/>
        <w:rPr>
          <w:rFonts w:eastAsia="Calibri" w:cs="Tahoma"/>
          <w:bCs/>
          <w:szCs w:val="22"/>
          <w:lang w:eastAsia="en-US"/>
        </w:rPr>
      </w:pPr>
    </w:p>
    <w:p w14:paraId="7147F06B" w14:textId="77777777" w:rsidR="00664420" w:rsidRPr="00D12FCF" w:rsidRDefault="00664420" w:rsidP="00D12FCF">
      <w:pPr>
        <w:tabs>
          <w:tab w:val="center" w:pos="4568"/>
        </w:tabs>
        <w:ind w:right="-93"/>
        <w:rPr>
          <w:rFonts w:eastAsia="Calibri" w:cs="Tahoma"/>
          <w:bCs/>
          <w:szCs w:val="22"/>
          <w:lang w:eastAsia="en-US"/>
        </w:rPr>
      </w:pPr>
    </w:p>
    <w:p w14:paraId="6FDF3D7E" w14:textId="77777777" w:rsidR="00664420" w:rsidRPr="00D12FCF" w:rsidRDefault="00664420" w:rsidP="00D12FCF">
      <w:pPr>
        <w:tabs>
          <w:tab w:val="center" w:pos="4568"/>
        </w:tabs>
        <w:ind w:right="-93"/>
        <w:rPr>
          <w:rFonts w:eastAsia="Calibri" w:cs="Tahoma"/>
          <w:bCs/>
          <w:szCs w:val="22"/>
          <w:lang w:eastAsia="en-US"/>
        </w:rPr>
      </w:pPr>
    </w:p>
    <w:p w14:paraId="6246F818" w14:textId="77777777" w:rsidR="00664420" w:rsidRPr="00D12FCF" w:rsidRDefault="00664420" w:rsidP="00D12FCF">
      <w:pPr>
        <w:tabs>
          <w:tab w:val="center" w:pos="4568"/>
        </w:tabs>
        <w:ind w:right="-93"/>
        <w:rPr>
          <w:rFonts w:eastAsia="Calibri" w:cs="Tahoma"/>
          <w:bCs/>
          <w:szCs w:val="22"/>
          <w:lang w:eastAsia="en-US"/>
        </w:rPr>
      </w:pPr>
    </w:p>
    <w:p w14:paraId="57A88B28" w14:textId="77777777" w:rsidR="00664420" w:rsidRPr="00D12FCF" w:rsidRDefault="00664420" w:rsidP="00D12FCF">
      <w:pPr>
        <w:tabs>
          <w:tab w:val="center" w:pos="4568"/>
        </w:tabs>
        <w:ind w:right="-93"/>
        <w:rPr>
          <w:rFonts w:eastAsia="Calibri" w:cs="Tahoma"/>
          <w:bCs/>
          <w:szCs w:val="22"/>
          <w:lang w:eastAsia="en-US"/>
        </w:rPr>
      </w:pPr>
    </w:p>
    <w:p w14:paraId="77EF6095" w14:textId="77777777" w:rsidR="00664420" w:rsidRPr="00D12FCF" w:rsidRDefault="00664420" w:rsidP="00D12FCF">
      <w:pPr>
        <w:tabs>
          <w:tab w:val="center" w:pos="4568"/>
        </w:tabs>
        <w:ind w:right="-93"/>
        <w:rPr>
          <w:rFonts w:eastAsia="Calibri" w:cs="Tahoma"/>
          <w:bCs/>
          <w:szCs w:val="22"/>
          <w:lang w:eastAsia="en-US"/>
        </w:rPr>
      </w:pPr>
    </w:p>
    <w:p w14:paraId="35593947" w14:textId="77777777" w:rsidR="00664420" w:rsidRPr="00D12FCF" w:rsidRDefault="00664420" w:rsidP="00D12FCF">
      <w:pPr>
        <w:tabs>
          <w:tab w:val="center" w:pos="4568"/>
        </w:tabs>
        <w:ind w:right="-93"/>
        <w:rPr>
          <w:rFonts w:eastAsia="Calibri" w:cs="Tahoma"/>
          <w:bCs/>
          <w:szCs w:val="22"/>
          <w:lang w:eastAsia="en-US"/>
        </w:rPr>
      </w:pPr>
    </w:p>
    <w:p w14:paraId="3AF72A17" w14:textId="77777777" w:rsidR="00664420" w:rsidRPr="00D12FCF" w:rsidRDefault="00664420" w:rsidP="00D12FCF">
      <w:pPr>
        <w:tabs>
          <w:tab w:val="center" w:pos="4568"/>
        </w:tabs>
        <w:ind w:right="-93"/>
        <w:rPr>
          <w:rFonts w:eastAsia="Calibri" w:cs="Tahoma"/>
          <w:bCs/>
          <w:szCs w:val="22"/>
          <w:lang w:eastAsia="en-US"/>
        </w:rPr>
      </w:pPr>
    </w:p>
    <w:p w14:paraId="37169144" w14:textId="77777777" w:rsidR="00664420" w:rsidRPr="00D12FCF" w:rsidRDefault="00664420" w:rsidP="00D12FCF">
      <w:pPr>
        <w:tabs>
          <w:tab w:val="center" w:pos="4568"/>
        </w:tabs>
        <w:ind w:right="-93"/>
        <w:rPr>
          <w:rFonts w:eastAsia="Calibri" w:cs="Tahoma"/>
          <w:bCs/>
          <w:szCs w:val="22"/>
          <w:lang w:eastAsia="en-US"/>
        </w:rPr>
      </w:pPr>
    </w:p>
    <w:p w14:paraId="77CFC088" w14:textId="77777777" w:rsidR="00664420" w:rsidRPr="00D12FCF" w:rsidRDefault="00664420" w:rsidP="00D12FCF">
      <w:pPr>
        <w:tabs>
          <w:tab w:val="center" w:pos="4568"/>
        </w:tabs>
        <w:ind w:right="-93"/>
        <w:rPr>
          <w:rFonts w:eastAsia="Calibri" w:cs="Tahoma"/>
          <w:bCs/>
          <w:szCs w:val="22"/>
          <w:lang w:eastAsia="en-US"/>
        </w:rPr>
      </w:pPr>
    </w:p>
    <w:p w14:paraId="781A11A5" w14:textId="77777777" w:rsidR="00664420" w:rsidRPr="00D12FCF" w:rsidRDefault="00664420" w:rsidP="00D12FCF">
      <w:pPr>
        <w:tabs>
          <w:tab w:val="center" w:pos="4568"/>
        </w:tabs>
        <w:ind w:right="-93"/>
        <w:rPr>
          <w:rFonts w:eastAsia="Calibri" w:cs="Tahoma"/>
          <w:bCs/>
          <w:szCs w:val="22"/>
          <w:lang w:eastAsia="en-US"/>
        </w:rPr>
      </w:pPr>
    </w:p>
    <w:p w14:paraId="5B4ADFF3" w14:textId="77777777" w:rsidR="00A131AC" w:rsidRPr="00D12FCF" w:rsidRDefault="00A131AC" w:rsidP="00D12FCF"/>
    <w:sectPr w:rsidR="00A131AC" w:rsidRPr="00D12FCF"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6050" w14:textId="77777777" w:rsidR="004714EB" w:rsidRDefault="004714EB" w:rsidP="00664420">
      <w:pPr>
        <w:spacing w:line="240" w:lineRule="auto"/>
      </w:pPr>
      <w:r>
        <w:separator/>
      </w:r>
    </w:p>
  </w:endnote>
  <w:endnote w:type="continuationSeparator" w:id="0">
    <w:p w14:paraId="0605CAB1" w14:textId="77777777" w:rsidR="004714EB" w:rsidRDefault="004714E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0A6ED8" w:rsidRDefault="000A6ED8">
    <w:pPr>
      <w:tabs>
        <w:tab w:val="center" w:pos="4550"/>
        <w:tab w:val="left" w:pos="5818"/>
      </w:tabs>
      <w:ind w:right="260"/>
      <w:jc w:val="right"/>
      <w:rPr>
        <w:color w:val="071320" w:themeColor="text2" w:themeShade="80"/>
        <w:sz w:val="24"/>
        <w:szCs w:val="24"/>
      </w:rPr>
    </w:pPr>
  </w:p>
  <w:p w14:paraId="1BCA7F23" w14:textId="77777777" w:rsidR="000A6ED8" w:rsidRDefault="000A6E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3ACB4EDA" w:rsidR="000A6ED8" w:rsidRDefault="000A6ED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12FCF" w:rsidRPr="00D12FCF">
      <w:rPr>
        <w:noProof/>
        <w:color w:val="0A1D30" w:themeColor="text2" w:themeShade="BF"/>
        <w:sz w:val="24"/>
        <w:szCs w:val="24"/>
        <w:lang w:val="es-ES"/>
      </w:rPr>
      <w:t>32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12FCF" w:rsidRPr="00D12FCF">
      <w:rPr>
        <w:noProof/>
        <w:color w:val="0A1D30" w:themeColor="text2" w:themeShade="BF"/>
        <w:sz w:val="24"/>
        <w:szCs w:val="24"/>
        <w:lang w:val="es-ES"/>
      </w:rPr>
      <w:t>36</w:t>
    </w:r>
    <w:r>
      <w:rPr>
        <w:color w:val="0A1D30" w:themeColor="text2" w:themeShade="BF"/>
        <w:sz w:val="24"/>
        <w:szCs w:val="24"/>
      </w:rPr>
      <w:fldChar w:fldCharType="end"/>
    </w:r>
  </w:p>
  <w:p w14:paraId="310E15C0" w14:textId="77777777" w:rsidR="000A6ED8" w:rsidRDefault="000A6E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C9B5" w14:textId="77777777" w:rsidR="004714EB" w:rsidRDefault="004714EB" w:rsidP="00664420">
      <w:pPr>
        <w:spacing w:line="240" w:lineRule="auto"/>
      </w:pPr>
      <w:r>
        <w:separator/>
      </w:r>
    </w:p>
  </w:footnote>
  <w:footnote w:type="continuationSeparator" w:id="0">
    <w:p w14:paraId="4DB1819B" w14:textId="77777777" w:rsidR="004714EB" w:rsidRDefault="004714EB" w:rsidP="00664420">
      <w:pPr>
        <w:spacing w:line="240" w:lineRule="auto"/>
      </w:pPr>
      <w:r>
        <w:continuationSeparator/>
      </w:r>
    </w:p>
  </w:footnote>
  <w:footnote w:id="1">
    <w:p w14:paraId="1C1778AE" w14:textId="54ECF514" w:rsidR="000A6ED8" w:rsidRDefault="000A6ED8" w:rsidP="00522599">
      <w:pPr>
        <w:pStyle w:val="Textonotapie"/>
      </w:pPr>
      <w:r>
        <w:rPr>
          <w:rStyle w:val="Refdenotaalpie"/>
        </w:rPr>
        <w:footnoteRef/>
      </w:r>
      <w:r>
        <w:t xml:space="preserve"> Artículo 13. El Instituto, en el ámbito de sus atribuciones, deberá suplir cualquier deficiencia para garantizar el ejercicio del derecho de acceso a la información.</w:t>
      </w:r>
    </w:p>
    <w:p w14:paraId="4B7D5A31" w14:textId="77777777" w:rsidR="000A6ED8" w:rsidRDefault="000A6ED8" w:rsidP="00522599">
      <w:pPr>
        <w:pStyle w:val="Textonotapie"/>
      </w:pPr>
      <w:r>
        <w:t>2 Artículo 181. …</w:t>
      </w:r>
    </w:p>
    <w:p w14:paraId="22F9DF5F" w14:textId="77777777" w:rsidR="000A6ED8" w:rsidRDefault="000A6ED8" w:rsidP="00522599">
      <w:pPr>
        <w:pStyle w:val="Textonotapie"/>
      </w:pPr>
      <w:r>
        <w:t>…</w:t>
      </w:r>
    </w:p>
    <w:p w14:paraId="15C9F3E2" w14:textId="745B28CC" w:rsidR="000A6ED8" w:rsidRDefault="000A6ED8" w:rsidP="00522599">
      <w:pPr>
        <w:pStyle w:val="Textonotapie"/>
      </w:pPr>
      <w:r>
        <w:t>Durante el procedimiento deberá aplicarse la suplencia de la queja a favor del recurrente, sin cambiar los hechos expuestos, asegurándose de que las partes puedan presentar, de manera oral o escrita, los argumentos que funden y motiven sus pretensiones.</w:t>
      </w:r>
      <w:r>
        <w:cr/>
      </w:r>
    </w:p>
  </w:footnote>
  <w:footnote w:id="2">
    <w:p w14:paraId="4EF75AF4" w14:textId="77777777" w:rsidR="000A6ED8" w:rsidRDefault="000A6ED8" w:rsidP="001C5F74">
      <w:pPr>
        <w:pStyle w:val="Textonotapie"/>
        <w:rPr>
          <w:sz w:val="18"/>
        </w:rPr>
      </w:pPr>
      <w:r>
        <w:rPr>
          <w:rStyle w:val="Refdenotaalpie"/>
        </w:rPr>
        <w:footnoteRef/>
      </w:r>
      <w:r>
        <w:t xml:space="preserve"> </w:t>
      </w:r>
      <w:r>
        <w:rPr>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A6ED8" w:rsidRPr="00330DA7" w14:paraId="070A4B18" w14:textId="77777777" w:rsidTr="003F35FD">
      <w:trPr>
        <w:trHeight w:val="144"/>
        <w:jc w:val="right"/>
      </w:trPr>
      <w:tc>
        <w:tcPr>
          <w:tcW w:w="2727" w:type="dxa"/>
        </w:tcPr>
        <w:p w14:paraId="62B7493A" w14:textId="77777777" w:rsidR="000A6ED8" w:rsidRPr="00330DA7" w:rsidRDefault="000A6ED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643A219" w:rsidR="000A6ED8" w:rsidRPr="00A90C72" w:rsidRDefault="000A6ED8" w:rsidP="00D12FCF">
          <w:pPr>
            <w:tabs>
              <w:tab w:val="right" w:pos="8838"/>
            </w:tabs>
            <w:ind w:left="-74" w:right="-105"/>
            <w:rPr>
              <w:rFonts w:eastAsia="Calibri" w:cs="Tahoma"/>
              <w:szCs w:val="22"/>
              <w:lang w:eastAsia="en-US"/>
            </w:rPr>
          </w:pPr>
          <w:r>
            <w:rPr>
              <w:rFonts w:eastAsia="Calibri" w:cs="Tahoma"/>
              <w:szCs w:val="22"/>
              <w:lang w:eastAsia="en-US"/>
            </w:rPr>
            <w:t>04792/</w:t>
          </w:r>
          <w:r w:rsidRPr="00A90C72">
            <w:rPr>
              <w:rFonts w:eastAsia="Calibri" w:cs="Tahoma"/>
              <w:szCs w:val="22"/>
              <w:lang w:eastAsia="en-US"/>
            </w:rPr>
            <w:t>INFOEM/IP/RR</w:t>
          </w:r>
          <w:r>
            <w:rPr>
              <w:rFonts w:eastAsia="Calibri" w:cs="Tahoma"/>
              <w:szCs w:val="22"/>
              <w:lang w:eastAsia="en-US"/>
            </w:rPr>
            <w:t xml:space="preserve">/2025 y </w:t>
          </w:r>
          <w:r w:rsidR="00D12FCF">
            <w:rPr>
              <w:rFonts w:eastAsia="Calibri" w:cs="Tahoma"/>
              <w:szCs w:val="22"/>
              <w:lang w:eastAsia="en-US"/>
            </w:rPr>
            <w:t>acumulado</w:t>
          </w:r>
        </w:p>
      </w:tc>
    </w:tr>
    <w:tr w:rsidR="000A6ED8" w:rsidRPr="00330DA7" w14:paraId="4521E058" w14:textId="77777777" w:rsidTr="003F35FD">
      <w:trPr>
        <w:trHeight w:val="283"/>
        <w:jc w:val="right"/>
      </w:trPr>
      <w:tc>
        <w:tcPr>
          <w:tcW w:w="2727" w:type="dxa"/>
        </w:tcPr>
        <w:p w14:paraId="0B68C086" w14:textId="77777777" w:rsidR="000A6ED8" w:rsidRPr="00330DA7" w:rsidRDefault="000A6ED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C3BE952" w:rsidR="000A6ED8" w:rsidRPr="00952DD0" w:rsidRDefault="000A6ED8" w:rsidP="003F35FD">
          <w:pPr>
            <w:tabs>
              <w:tab w:val="left" w:pos="2834"/>
              <w:tab w:val="right" w:pos="8838"/>
            </w:tabs>
            <w:ind w:left="-108" w:right="-105"/>
            <w:rPr>
              <w:rFonts w:eastAsia="Calibri" w:cs="Tahoma"/>
              <w:szCs w:val="22"/>
              <w:lang w:eastAsia="en-US"/>
            </w:rPr>
          </w:pPr>
          <w:r w:rsidRPr="00420BD4">
            <w:rPr>
              <w:rFonts w:eastAsia="Calibri" w:cs="Tahoma"/>
              <w:szCs w:val="22"/>
              <w:lang w:eastAsia="en-US"/>
            </w:rPr>
            <w:t>Ayuntamiento de Ixtapan del Oro</w:t>
          </w:r>
        </w:p>
      </w:tc>
    </w:tr>
    <w:tr w:rsidR="000A6ED8" w:rsidRPr="00330DA7" w14:paraId="6331D9B6" w14:textId="77777777" w:rsidTr="003F35FD">
      <w:trPr>
        <w:trHeight w:val="283"/>
        <w:jc w:val="right"/>
      </w:trPr>
      <w:tc>
        <w:tcPr>
          <w:tcW w:w="2727" w:type="dxa"/>
        </w:tcPr>
        <w:p w14:paraId="3FA86BAE" w14:textId="04F1C45E" w:rsidR="000A6ED8" w:rsidRPr="00330DA7" w:rsidRDefault="000A6ED8"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A6ED8" w:rsidRPr="00EA66FC" w:rsidRDefault="000A6ED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A6ED8" w:rsidRPr="00443C6B" w:rsidRDefault="000A6ED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0A6ED8" w:rsidRPr="00330DA7" w14:paraId="29CFF901" w14:textId="77777777" w:rsidTr="00420BD4">
      <w:trPr>
        <w:trHeight w:val="1435"/>
      </w:trPr>
      <w:tc>
        <w:tcPr>
          <w:tcW w:w="283" w:type="dxa"/>
          <w:shd w:val="clear" w:color="auto" w:fill="auto"/>
        </w:tcPr>
        <w:p w14:paraId="046B9F8F" w14:textId="77777777" w:rsidR="000A6ED8" w:rsidRPr="00330DA7" w:rsidRDefault="000A6ED8" w:rsidP="00420BD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A6ED8" w:rsidRPr="00330DA7" w14:paraId="04F272D2" w14:textId="77777777" w:rsidTr="00420BD4">
            <w:trPr>
              <w:trHeight w:val="144"/>
            </w:trPr>
            <w:tc>
              <w:tcPr>
                <w:tcW w:w="2727" w:type="dxa"/>
              </w:tcPr>
              <w:p w14:paraId="2FD4DBF6" w14:textId="77777777" w:rsidR="000A6ED8" w:rsidRPr="00330DA7" w:rsidRDefault="000A6ED8" w:rsidP="00420BD4">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914EA9F" w:rsidR="000A6ED8" w:rsidRPr="00A90C72" w:rsidRDefault="000A6ED8" w:rsidP="00D12FCF">
                <w:pPr>
                  <w:tabs>
                    <w:tab w:val="right" w:pos="8838"/>
                  </w:tabs>
                  <w:ind w:left="-74" w:right="-105"/>
                  <w:rPr>
                    <w:rFonts w:eastAsia="Calibri" w:cs="Tahoma"/>
                    <w:szCs w:val="22"/>
                    <w:lang w:eastAsia="en-US"/>
                  </w:rPr>
                </w:pPr>
                <w:r>
                  <w:rPr>
                    <w:rFonts w:eastAsia="Calibri" w:cs="Tahoma"/>
                    <w:szCs w:val="22"/>
                    <w:lang w:eastAsia="en-US"/>
                  </w:rPr>
                  <w:t>04792/</w:t>
                </w:r>
                <w:r w:rsidRPr="00A90C72">
                  <w:rPr>
                    <w:rFonts w:eastAsia="Calibri" w:cs="Tahoma"/>
                    <w:szCs w:val="22"/>
                    <w:lang w:eastAsia="en-US"/>
                  </w:rPr>
                  <w:t>INFOEM/IP/RR</w:t>
                </w:r>
                <w:r>
                  <w:rPr>
                    <w:rFonts w:eastAsia="Calibri" w:cs="Tahoma"/>
                    <w:szCs w:val="22"/>
                    <w:lang w:eastAsia="en-US"/>
                  </w:rPr>
                  <w:t xml:space="preserve">/2025 y </w:t>
                </w:r>
                <w:r w:rsidR="00D12FCF">
                  <w:rPr>
                    <w:rFonts w:eastAsia="Calibri" w:cs="Tahoma"/>
                    <w:szCs w:val="22"/>
                    <w:lang w:eastAsia="en-US"/>
                  </w:rPr>
                  <w:t>acumulado</w:t>
                </w:r>
              </w:p>
            </w:tc>
            <w:tc>
              <w:tcPr>
                <w:tcW w:w="3402" w:type="dxa"/>
              </w:tcPr>
              <w:p w14:paraId="71DEA1CF" w14:textId="77777777" w:rsidR="000A6ED8" w:rsidRDefault="000A6ED8" w:rsidP="00420BD4">
                <w:pPr>
                  <w:tabs>
                    <w:tab w:val="right" w:pos="8838"/>
                  </w:tabs>
                  <w:ind w:left="-74" w:right="-105"/>
                  <w:rPr>
                    <w:rFonts w:eastAsia="Calibri" w:cs="Tahoma"/>
                    <w:szCs w:val="22"/>
                    <w:lang w:eastAsia="en-US"/>
                  </w:rPr>
                </w:pPr>
              </w:p>
            </w:tc>
          </w:tr>
          <w:tr w:rsidR="000A6ED8" w:rsidRPr="00330DA7" w14:paraId="05C58951" w14:textId="77777777" w:rsidTr="00420BD4">
            <w:trPr>
              <w:trHeight w:val="144"/>
            </w:trPr>
            <w:tc>
              <w:tcPr>
                <w:tcW w:w="2727" w:type="dxa"/>
              </w:tcPr>
              <w:p w14:paraId="642B9610" w14:textId="77777777" w:rsidR="000A6ED8" w:rsidRPr="00330DA7" w:rsidRDefault="000A6ED8" w:rsidP="00420BD4">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51680EE" w:rsidR="000A6ED8" w:rsidRPr="005F19B1" w:rsidRDefault="000A6ED8" w:rsidP="00420BD4">
                <w:pPr>
                  <w:tabs>
                    <w:tab w:val="left" w:pos="3122"/>
                    <w:tab w:val="right" w:pos="8838"/>
                  </w:tabs>
                  <w:ind w:left="-105" w:right="-105"/>
                  <w:rPr>
                    <w:rFonts w:eastAsia="Calibri" w:cs="Tahoma"/>
                    <w:szCs w:val="22"/>
                    <w:lang w:eastAsia="en-US"/>
                  </w:rPr>
                </w:pPr>
              </w:p>
            </w:tc>
            <w:tc>
              <w:tcPr>
                <w:tcW w:w="3402" w:type="dxa"/>
              </w:tcPr>
              <w:p w14:paraId="73F47F53" w14:textId="77777777" w:rsidR="000A6ED8" w:rsidRPr="005F19B1" w:rsidRDefault="000A6ED8" w:rsidP="00420BD4">
                <w:pPr>
                  <w:tabs>
                    <w:tab w:val="left" w:pos="3122"/>
                    <w:tab w:val="right" w:pos="8838"/>
                  </w:tabs>
                  <w:ind w:left="-105" w:right="-105"/>
                  <w:rPr>
                    <w:rFonts w:eastAsia="Calibri" w:cs="Tahoma"/>
                    <w:szCs w:val="22"/>
                    <w:lang w:eastAsia="en-US"/>
                  </w:rPr>
                </w:pPr>
              </w:p>
            </w:tc>
          </w:tr>
          <w:bookmarkEnd w:id="1"/>
          <w:tr w:rsidR="000A6ED8" w:rsidRPr="00330DA7" w14:paraId="00E6CDC1" w14:textId="77777777" w:rsidTr="00420BD4">
            <w:trPr>
              <w:trHeight w:val="283"/>
            </w:trPr>
            <w:tc>
              <w:tcPr>
                <w:tcW w:w="2727" w:type="dxa"/>
              </w:tcPr>
              <w:p w14:paraId="0631AD24" w14:textId="77777777" w:rsidR="000A6ED8" w:rsidRPr="00330DA7" w:rsidRDefault="000A6ED8" w:rsidP="00420BD4">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1453878" w:rsidR="000A6ED8" w:rsidRPr="00952DD0" w:rsidRDefault="000A6ED8" w:rsidP="00420BD4">
                <w:pPr>
                  <w:tabs>
                    <w:tab w:val="left" w:pos="2834"/>
                    <w:tab w:val="right" w:pos="8838"/>
                  </w:tabs>
                  <w:ind w:left="-108" w:right="-105"/>
                  <w:rPr>
                    <w:rFonts w:eastAsia="Calibri" w:cs="Tahoma"/>
                    <w:szCs w:val="22"/>
                    <w:lang w:eastAsia="en-US"/>
                  </w:rPr>
                </w:pPr>
                <w:r w:rsidRPr="00420BD4">
                  <w:rPr>
                    <w:rFonts w:eastAsia="Calibri" w:cs="Tahoma"/>
                    <w:szCs w:val="22"/>
                    <w:lang w:eastAsia="en-US"/>
                  </w:rPr>
                  <w:t>Ayuntamiento de Ixtapan del Oro</w:t>
                </w:r>
              </w:p>
            </w:tc>
            <w:tc>
              <w:tcPr>
                <w:tcW w:w="3402" w:type="dxa"/>
              </w:tcPr>
              <w:p w14:paraId="3A7DA319" w14:textId="77777777" w:rsidR="000A6ED8" w:rsidRPr="00A90C72" w:rsidRDefault="000A6ED8" w:rsidP="00420BD4">
                <w:pPr>
                  <w:tabs>
                    <w:tab w:val="left" w:pos="2834"/>
                    <w:tab w:val="right" w:pos="8838"/>
                  </w:tabs>
                  <w:ind w:left="-108" w:right="-105"/>
                  <w:rPr>
                    <w:rFonts w:eastAsia="Calibri" w:cs="Tahoma"/>
                    <w:szCs w:val="22"/>
                    <w:lang w:eastAsia="en-US"/>
                  </w:rPr>
                </w:pPr>
              </w:p>
            </w:tc>
          </w:tr>
          <w:tr w:rsidR="000A6ED8" w:rsidRPr="00330DA7" w14:paraId="0F6CD8D2" w14:textId="77777777" w:rsidTr="00420BD4">
            <w:trPr>
              <w:trHeight w:val="283"/>
            </w:trPr>
            <w:tc>
              <w:tcPr>
                <w:tcW w:w="2727" w:type="dxa"/>
              </w:tcPr>
              <w:p w14:paraId="31700628" w14:textId="385332FF" w:rsidR="000A6ED8" w:rsidRPr="00330DA7" w:rsidRDefault="000A6ED8" w:rsidP="00420BD4">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A6ED8" w:rsidRPr="00EA66FC" w:rsidRDefault="000A6ED8" w:rsidP="00420BD4">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A6ED8" w:rsidRPr="00330DA7" w:rsidRDefault="000A6ED8" w:rsidP="00420BD4">
                <w:pPr>
                  <w:tabs>
                    <w:tab w:val="right" w:pos="8838"/>
                  </w:tabs>
                  <w:ind w:left="-108" w:right="-105"/>
                  <w:rPr>
                    <w:rFonts w:eastAsia="Calibri" w:cs="Tahoma"/>
                    <w:szCs w:val="22"/>
                    <w:lang w:eastAsia="en-US"/>
                  </w:rPr>
                </w:pPr>
              </w:p>
            </w:tc>
          </w:tr>
        </w:tbl>
        <w:p w14:paraId="5DC6AC61" w14:textId="77777777" w:rsidR="000A6ED8" w:rsidRPr="00330DA7" w:rsidRDefault="000A6ED8" w:rsidP="00420BD4">
          <w:pPr>
            <w:tabs>
              <w:tab w:val="right" w:pos="8838"/>
            </w:tabs>
            <w:ind w:left="-28"/>
            <w:rPr>
              <w:rFonts w:ascii="Arial" w:eastAsia="Calibri" w:hAnsi="Arial" w:cs="Arial"/>
              <w:b/>
              <w:szCs w:val="22"/>
              <w:lang w:eastAsia="en-US"/>
            </w:rPr>
          </w:pPr>
        </w:p>
      </w:tc>
    </w:tr>
  </w:tbl>
  <w:p w14:paraId="2A906731" w14:textId="77777777" w:rsidR="000A6ED8" w:rsidRPr="00765661" w:rsidRDefault="00801452" w:rsidP="00420BD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3DD14E97"/>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2544929">
    <w:abstractNumId w:val="8"/>
  </w:num>
  <w:num w:numId="2" w16cid:durableId="1392583438">
    <w:abstractNumId w:val="12"/>
  </w:num>
  <w:num w:numId="3" w16cid:durableId="1899708527">
    <w:abstractNumId w:val="14"/>
  </w:num>
  <w:num w:numId="4" w16cid:durableId="234172295">
    <w:abstractNumId w:val="4"/>
  </w:num>
  <w:num w:numId="5" w16cid:durableId="1713575875">
    <w:abstractNumId w:val="1"/>
  </w:num>
  <w:num w:numId="6" w16cid:durableId="1952661180">
    <w:abstractNumId w:val="15"/>
  </w:num>
  <w:num w:numId="7" w16cid:durableId="1659652100">
    <w:abstractNumId w:val="10"/>
  </w:num>
  <w:num w:numId="8" w16cid:durableId="1169832609">
    <w:abstractNumId w:val="3"/>
  </w:num>
  <w:num w:numId="9" w16cid:durableId="2009021407">
    <w:abstractNumId w:val="9"/>
  </w:num>
  <w:num w:numId="10" w16cid:durableId="726339513">
    <w:abstractNumId w:val="6"/>
    <w:lvlOverride w:ilvl="0">
      <w:startOverride w:val="1"/>
    </w:lvlOverride>
    <w:lvlOverride w:ilvl="1"/>
    <w:lvlOverride w:ilvl="2"/>
    <w:lvlOverride w:ilvl="3"/>
    <w:lvlOverride w:ilvl="4"/>
    <w:lvlOverride w:ilvl="5"/>
    <w:lvlOverride w:ilvl="6"/>
    <w:lvlOverride w:ilvl="7"/>
    <w:lvlOverride w:ilvl="8"/>
  </w:num>
  <w:num w:numId="11" w16cid:durableId="1373071934">
    <w:abstractNumId w:val="6"/>
  </w:num>
  <w:num w:numId="12" w16cid:durableId="964192222">
    <w:abstractNumId w:val="5"/>
  </w:num>
  <w:num w:numId="13" w16cid:durableId="1158231923">
    <w:abstractNumId w:val="0"/>
  </w:num>
  <w:num w:numId="14" w16cid:durableId="1458257819">
    <w:abstractNumId w:val="2"/>
  </w:num>
  <w:num w:numId="15" w16cid:durableId="335882569">
    <w:abstractNumId w:val="11"/>
  </w:num>
  <w:num w:numId="16" w16cid:durableId="1430546147">
    <w:abstractNumId w:val="7"/>
  </w:num>
  <w:num w:numId="17" w16cid:durableId="562763379">
    <w:abstractNumId w:val="13"/>
  </w:num>
  <w:num w:numId="18" w16cid:durableId="1103185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0920"/>
    <w:rsid w:val="000318BC"/>
    <w:rsid w:val="00057B2D"/>
    <w:rsid w:val="000605CC"/>
    <w:rsid w:val="00080071"/>
    <w:rsid w:val="000A6ED8"/>
    <w:rsid w:val="000D0017"/>
    <w:rsid w:val="000D0D67"/>
    <w:rsid w:val="000E09C4"/>
    <w:rsid w:val="0011350D"/>
    <w:rsid w:val="00141876"/>
    <w:rsid w:val="0014207B"/>
    <w:rsid w:val="00150C49"/>
    <w:rsid w:val="001616D1"/>
    <w:rsid w:val="00163D12"/>
    <w:rsid w:val="001918F5"/>
    <w:rsid w:val="001A4818"/>
    <w:rsid w:val="001A58B3"/>
    <w:rsid w:val="001C5F74"/>
    <w:rsid w:val="001C7688"/>
    <w:rsid w:val="001D30FA"/>
    <w:rsid w:val="001F3515"/>
    <w:rsid w:val="001F5C8C"/>
    <w:rsid w:val="001F78C6"/>
    <w:rsid w:val="00202706"/>
    <w:rsid w:val="00233005"/>
    <w:rsid w:val="00233F17"/>
    <w:rsid w:val="00234534"/>
    <w:rsid w:val="0028259D"/>
    <w:rsid w:val="002A3601"/>
    <w:rsid w:val="002B7C6F"/>
    <w:rsid w:val="002D111C"/>
    <w:rsid w:val="002F4BBA"/>
    <w:rsid w:val="00302476"/>
    <w:rsid w:val="00331F35"/>
    <w:rsid w:val="00335CDF"/>
    <w:rsid w:val="00337F4D"/>
    <w:rsid w:val="00362A11"/>
    <w:rsid w:val="003A40C1"/>
    <w:rsid w:val="003B5D3E"/>
    <w:rsid w:val="003D13C6"/>
    <w:rsid w:val="003E4F98"/>
    <w:rsid w:val="003F0154"/>
    <w:rsid w:val="003F35FD"/>
    <w:rsid w:val="003F6FBF"/>
    <w:rsid w:val="0041385B"/>
    <w:rsid w:val="00420BD4"/>
    <w:rsid w:val="00441BFA"/>
    <w:rsid w:val="00454FBD"/>
    <w:rsid w:val="004714EB"/>
    <w:rsid w:val="004D7CD8"/>
    <w:rsid w:val="004E5068"/>
    <w:rsid w:val="004F7A00"/>
    <w:rsid w:val="00522599"/>
    <w:rsid w:val="00523F48"/>
    <w:rsid w:val="005365FA"/>
    <w:rsid w:val="005723CB"/>
    <w:rsid w:val="00575400"/>
    <w:rsid w:val="005B18AF"/>
    <w:rsid w:val="005D2326"/>
    <w:rsid w:val="005D5A50"/>
    <w:rsid w:val="005E0A7D"/>
    <w:rsid w:val="005E199F"/>
    <w:rsid w:val="005F5301"/>
    <w:rsid w:val="005F65B7"/>
    <w:rsid w:val="006067C7"/>
    <w:rsid w:val="00606A65"/>
    <w:rsid w:val="006159AD"/>
    <w:rsid w:val="00615FCE"/>
    <w:rsid w:val="006253E5"/>
    <w:rsid w:val="00646436"/>
    <w:rsid w:val="00664420"/>
    <w:rsid w:val="006A646A"/>
    <w:rsid w:val="006B10B0"/>
    <w:rsid w:val="006C2765"/>
    <w:rsid w:val="006D1B05"/>
    <w:rsid w:val="006D7C87"/>
    <w:rsid w:val="006E25BC"/>
    <w:rsid w:val="006E6BBC"/>
    <w:rsid w:val="006F7768"/>
    <w:rsid w:val="00717E59"/>
    <w:rsid w:val="00762776"/>
    <w:rsid w:val="00762878"/>
    <w:rsid w:val="00775BFC"/>
    <w:rsid w:val="007A3459"/>
    <w:rsid w:val="007B6074"/>
    <w:rsid w:val="007D066F"/>
    <w:rsid w:val="007D1C55"/>
    <w:rsid w:val="007D29D7"/>
    <w:rsid w:val="007D317F"/>
    <w:rsid w:val="007F5D06"/>
    <w:rsid w:val="007F7EDC"/>
    <w:rsid w:val="00801452"/>
    <w:rsid w:val="00805A6E"/>
    <w:rsid w:val="008560B7"/>
    <w:rsid w:val="00865CF4"/>
    <w:rsid w:val="00876DBC"/>
    <w:rsid w:val="008A6003"/>
    <w:rsid w:val="008A6F88"/>
    <w:rsid w:val="008B1E16"/>
    <w:rsid w:val="008C6828"/>
    <w:rsid w:val="008D18C3"/>
    <w:rsid w:val="008E1316"/>
    <w:rsid w:val="008E1CA9"/>
    <w:rsid w:val="008F7464"/>
    <w:rsid w:val="00902EE5"/>
    <w:rsid w:val="00910FD2"/>
    <w:rsid w:val="00931437"/>
    <w:rsid w:val="00950777"/>
    <w:rsid w:val="00953430"/>
    <w:rsid w:val="00965568"/>
    <w:rsid w:val="00970EB3"/>
    <w:rsid w:val="009718B6"/>
    <w:rsid w:val="0098146E"/>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B0A1E"/>
    <w:rsid w:val="00AC2DB8"/>
    <w:rsid w:val="00AC3CA0"/>
    <w:rsid w:val="00AD2762"/>
    <w:rsid w:val="00AE3DA7"/>
    <w:rsid w:val="00AF03C4"/>
    <w:rsid w:val="00B22A80"/>
    <w:rsid w:val="00B94487"/>
    <w:rsid w:val="00B95544"/>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12FCF"/>
    <w:rsid w:val="00D2790D"/>
    <w:rsid w:val="00D31951"/>
    <w:rsid w:val="00D354EB"/>
    <w:rsid w:val="00D51ECD"/>
    <w:rsid w:val="00D6170E"/>
    <w:rsid w:val="00D91CB4"/>
    <w:rsid w:val="00DB1C09"/>
    <w:rsid w:val="00DC2048"/>
    <w:rsid w:val="00DE1133"/>
    <w:rsid w:val="00DF3CC0"/>
    <w:rsid w:val="00E03906"/>
    <w:rsid w:val="00E16BF5"/>
    <w:rsid w:val="00E175A4"/>
    <w:rsid w:val="00E31767"/>
    <w:rsid w:val="00E37A3F"/>
    <w:rsid w:val="00E37D3C"/>
    <w:rsid w:val="00E40A98"/>
    <w:rsid w:val="00E62E6A"/>
    <w:rsid w:val="00E706EC"/>
    <w:rsid w:val="00E83CF7"/>
    <w:rsid w:val="00E83EF5"/>
    <w:rsid w:val="00E86E5D"/>
    <w:rsid w:val="00E9335C"/>
    <w:rsid w:val="00ED1C1E"/>
    <w:rsid w:val="00ED5EE0"/>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22599"/>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22599"/>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22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604DF-5B2D-41BB-B5F6-1FCC3303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9327</Words>
  <Characters>51302</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2025-06-20T07:00:00Z</cp:lastPrinted>
  <dcterms:created xsi:type="dcterms:W3CDTF">2025-06-16T20:56:00Z</dcterms:created>
  <dcterms:modified xsi:type="dcterms:W3CDTF">2025-06-20T07:00:00Z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