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eastAsia="en-US"/>
        </w:rPr>
        <w:id w:val="2061285339"/>
        <w:docPartObj>
          <w:docPartGallery w:val="Table of Contents"/>
          <w:docPartUnique/>
        </w:docPartObj>
      </w:sdtPr>
      <w:sdtEndPr>
        <w:rPr>
          <w:b/>
          <w:bCs/>
        </w:rPr>
      </w:sdtEndPr>
      <w:sdtContent>
        <w:p w14:paraId="6AC47B23" w14:textId="0F4182E9" w:rsidR="00A94A35" w:rsidRPr="00A94A35" w:rsidRDefault="00A94A35">
          <w:pPr>
            <w:pStyle w:val="TtulodeTDC"/>
            <w:rPr>
              <w:rFonts w:ascii="Palatino Linotype" w:hAnsi="Palatino Linotype"/>
              <w:color w:val="000000" w:themeColor="text1"/>
              <w:sz w:val="22"/>
              <w:szCs w:val="22"/>
            </w:rPr>
          </w:pPr>
          <w:r w:rsidRPr="00A94A35">
            <w:rPr>
              <w:rFonts w:ascii="Palatino Linotype" w:hAnsi="Palatino Linotype"/>
              <w:color w:val="000000" w:themeColor="text1"/>
              <w:sz w:val="22"/>
              <w:szCs w:val="22"/>
              <w:lang w:val="es-ES"/>
            </w:rPr>
            <w:t xml:space="preserve">Resolución del Recurso de Revisión </w:t>
          </w:r>
          <w:r w:rsidR="00FE450E">
            <w:rPr>
              <w:rFonts w:ascii="Palatino Linotype" w:hAnsi="Palatino Linotype"/>
              <w:color w:val="000000" w:themeColor="text1"/>
              <w:sz w:val="22"/>
              <w:szCs w:val="22"/>
            </w:rPr>
            <w:t>08981</w:t>
          </w:r>
          <w:r w:rsidRPr="00A94A35">
            <w:rPr>
              <w:rFonts w:ascii="Palatino Linotype" w:hAnsi="Palatino Linotype"/>
              <w:color w:val="000000" w:themeColor="text1"/>
              <w:sz w:val="22"/>
              <w:szCs w:val="22"/>
            </w:rPr>
            <w:t>/INFOEM/IP/RR/2025 y acumulados</w:t>
          </w:r>
        </w:p>
        <w:p w14:paraId="39FB656D" w14:textId="526A9C13" w:rsidR="00A94A35" w:rsidRPr="00A94A35" w:rsidRDefault="00A94A35">
          <w:pPr>
            <w:pStyle w:val="TDC1"/>
            <w:tabs>
              <w:tab w:val="right" w:leader="dot" w:pos="8921"/>
            </w:tabs>
            <w:rPr>
              <w:noProof/>
              <w:color w:val="000000" w:themeColor="text1"/>
            </w:rPr>
          </w:pPr>
          <w:r w:rsidRPr="00A94A35">
            <w:rPr>
              <w:color w:val="000000" w:themeColor="text1"/>
            </w:rPr>
            <w:fldChar w:fldCharType="begin"/>
          </w:r>
          <w:r w:rsidRPr="00A94A35">
            <w:rPr>
              <w:color w:val="000000" w:themeColor="text1"/>
            </w:rPr>
            <w:instrText xml:space="preserve"> TOC \o "1-3" \h \z \u </w:instrText>
          </w:r>
          <w:r w:rsidRPr="00A94A35">
            <w:rPr>
              <w:color w:val="000000" w:themeColor="text1"/>
            </w:rPr>
            <w:fldChar w:fldCharType="separate"/>
          </w:r>
          <w:hyperlink w:anchor="_Toc211524155" w:history="1">
            <w:r w:rsidRPr="00A94A35">
              <w:rPr>
                <w:rStyle w:val="Hipervnculo"/>
                <w:noProof/>
                <w:color w:val="000000" w:themeColor="text1"/>
              </w:rPr>
              <w:t>A N T E C E D E N T E S</w:t>
            </w:r>
            <w:r w:rsidRPr="00A94A35">
              <w:rPr>
                <w:noProof/>
                <w:webHidden/>
                <w:color w:val="000000" w:themeColor="text1"/>
              </w:rPr>
              <w:tab/>
            </w:r>
            <w:r w:rsidRPr="00A94A35">
              <w:rPr>
                <w:noProof/>
                <w:webHidden/>
                <w:color w:val="000000" w:themeColor="text1"/>
              </w:rPr>
              <w:fldChar w:fldCharType="begin"/>
            </w:r>
            <w:r w:rsidRPr="00A94A35">
              <w:rPr>
                <w:noProof/>
                <w:webHidden/>
                <w:color w:val="000000" w:themeColor="text1"/>
              </w:rPr>
              <w:instrText xml:space="preserve"> PAGEREF _Toc211524155 \h </w:instrText>
            </w:r>
            <w:r w:rsidRPr="00A94A35">
              <w:rPr>
                <w:noProof/>
                <w:webHidden/>
                <w:color w:val="000000" w:themeColor="text1"/>
              </w:rPr>
            </w:r>
            <w:r w:rsidRPr="00A94A35">
              <w:rPr>
                <w:noProof/>
                <w:webHidden/>
                <w:color w:val="000000" w:themeColor="text1"/>
              </w:rPr>
              <w:fldChar w:fldCharType="separate"/>
            </w:r>
            <w:r w:rsidR="00350285">
              <w:rPr>
                <w:noProof/>
                <w:webHidden/>
                <w:color w:val="000000" w:themeColor="text1"/>
              </w:rPr>
              <w:t>2</w:t>
            </w:r>
            <w:r w:rsidRPr="00A94A35">
              <w:rPr>
                <w:noProof/>
                <w:webHidden/>
                <w:color w:val="000000" w:themeColor="text1"/>
              </w:rPr>
              <w:fldChar w:fldCharType="end"/>
            </w:r>
          </w:hyperlink>
        </w:p>
        <w:p w14:paraId="7C6EDCD6" w14:textId="0AC7F521" w:rsidR="00A94A35" w:rsidRPr="00A94A35" w:rsidRDefault="00BB64D8">
          <w:pPr>
            <w:pStyle w:val="TDC2"/>
            <w:tabs>
              <w:tab w:val="right" w:leader="dot" w:pos="8921"/>
            </w:tabs>
            <w:rPr>
              <w:noProof/>
              <w:color w:val="000000" w:themeColor="text1"/>
            </w:rPr>
          </w:pPr>
          <w:hyperlink w:anchor="_Toc211524156" w:history="1">
            <w:r w:rsidR="00A94A35" w:rsidRPr="00A94A35">
              <w:rPr>
                <w:rStyle w:val="Hipervnculo"/>
                <w:noProof/>
                <w:color w:val="000000" w:themeColor="text1"/>
              </w:rPr>
              <w:t>I. Presentación de las solicitudes de información</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_Toc211524156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2</w:t>
            </w:r>
            <w:r w:rsidR="00A94A35" w:rsidRPr="00A94A35">
              <w:rPr>
                <w:noProof/>
                <w:webHidden/>
                <w:color w:val="000000" w:themeColor="text1"/>
              </w:rPr>
              <w:fldChar w:fldCharType="end"/>
            </w:r>
          </w:hyperlink>
        </w:p>
        <w:p w14:paraId="441B0091" w14:textId="1AD54512" w:rsidR="00A94A35" w:rsidRPr="00A94A35" w:rsidRDefault="00BB64D8">
          <w:pPr>
            <w:pStyle w:val="TDC2"/>
            <w:tabs>
              <w:tab w:val="right" w:leader="dot" w:pos="8921"/>
            </w:tabs>
            <w:rPr>
              <w:noProof/>
              <w:color w:val="000000" w:themeColor="text1"/>
            </w:rPr>
          </w:pPr>
          <w:hyperlink w:anchor="_Toc211524157" w:history="1">
            <w:r w:rsidR="00A94A35" w:rsidRPr="00A94A35">
              <w:rPr>
                <w:rStyle w:val="Hipervnculo"/>
                <w:noProof/>
                <w:color w:val="000000" w:themeColor="text1"/>
              </w:rPr>
              <w:t>II. Respuestas del Sujeto Obligado</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_Toc211524157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3</w:t>
            </w:r>
            <w:r w:rsidR="00A94A35" w:rsidRPr="00A94A35">
              <w:rPr>
                <w:noProof/>
                <w:webHidden/>
                <w:color w:val="000000" w:themeColor="text1"/>
              </w:rPr>
              <w:fldChar w:fldCharType="end"/>
            </w:r>
          </w:hyperlink>
        </w:p>
        <w:p w14:paraId="5AF19A35" w14:textId="792A4421" w:rsidR="00A94A35" w:rsidRPr="00A94A35" w:rsidRDefault="00BB64D8">
          <w:pPr>
            <w:pStyle w:val="TDC2"/>
            <w:tabs>
              <w:tab w:val="right" w:leader="dot" w:pos="8921"/>
            </w:tabs>
            <w:rPr>
              <w:noProof/>
              <w:color w:val="000000" w:themeColor="text1"/>
            </w:rPr>
          </w:pPr>
          <w:hyperlink w:anchor="_Toc211524158" w:history="1">
            <w:r w:rsidR="00A94A35" w:rsidRPr="00A94A35">
              <w:rPr>
                <w:rStyle w:val="Hipervnculo"/>
                <w:noProof/>
                <w:color w:val="000000" w:themeColor="text1"/>
              </w:rPr>
              <w:t>III. Interposición de los Recursos de Revisión</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_Toc211524158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4</w:t>
            </w:r>
            <w:r w:rsidR="00A94A35" w:rsidRPr="00A94A35">
              <w:rPr>
                <w:noProof/>
                <w:webHidden/>
                <w:color w:val="000000" w:themeColor="text1"/>
              </w:rPr>
              <w:fldChar w:fldCharType="end"/>
            </w:r>
          </w:hyperlink>
        </w:p>
        <w:p w14:paraId="01B5D3CD" w14:textId="6652531C" w:rsidR="00A94A35" w:rsidRPr="00A94A35" w:rsidRDefault="00BB64D8">
          <w:pPr>
            <w:pStyle w:val="TDC2"/>
            <w:tabs>
              <w:tab w:val="right" w:leader="dot" w:pos="8921"/>
            </w:tabs>
            <w:rPr>
              <w:noProof/>
              <w:color w:val="000000" w:themeColor="text1"/>
            </w:rPr>
          </w:pPr>
          <w:hyperlink w:anchor="_Toc211524159" w:history="1">
            <w:r w:rsidR="00A94A35" w:rsidRPr="00A94A35">
              <w:rPr>
                <w:rStyle w:val="Hipervnculo"/>
                <w:noProof/>
                <w:color w:val="000000" w:themeColor="text1"/>
              </w:rPr>
              <w:t>IV. Trámite de los Recursos de Revisión ante este Instituto</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_Toc211524159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5</w:t>
            </w:r>
            <w:r w:rsidR="00A94A35" w:rsidRPr="00A94A35">
              <w:rPr>
                <w:noProof/>
                <w:webHidden/>
                <w:color w:val="000000" w:themeColor="text1"/>
              </w:rPr>
              <w:fldChar w:fldCharType="end"/>
            </w:r>
          </w:hyperlink>
        </w:p>
        <w:p w14:paraId="378B0C35" w14:textId="7DA2DCC2" w:rsidR="00A94A35" w:rsidRPr="00A94A35" w:rsidRDefault="00BB64D8">
          <w:pPr>
            <w:pStyle w:val="TDC1"/>
            <w:tabs>
              <w:tab w:val="right" w:leader="dot" w:pos="8921"/>
            </w:tabs>
            <w:rPr>
              <w:noProof/>
              <w:color w:val="000000" w:themeColor="text1"/>
            </w:rPr>
          </w:pPr>
          <w:hyperlink w:anchor="_Toc211524160" w:history="1">
            <w:r w:rsidR="00A94A35" w:rsidRPr="00A94A35">
              <w:rPr>
                <w:rStyle w:val="Hipervnculo"/>
                <w:noProof/>
                <w:color w:val="000000" w:themeColor="text1"/>
              </w:rPr>
              <w:t>C O N S I D E R A N D O S</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_Toc211524160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7</w:t>
            </w:r>
            <w:r w:rsidR="00A94A35" w:rsidRPr="00A94A35">
              <w:rPr>
                <w:noProof/>
                <w:webHidden/>
                <w:color w:val="000000" w:themeColor="text1"/>
              </w:rPr>
              <w:fldChar w:fldCharType="end"/>
            </w:r>
          </w:hyperlink>
        </w:p>
        <w:p w14:paraId="6C601197" w14:textId="2D486D1A" w:rsidR="00A94A35" w:rsidRPr="00A94A35" w:rsidRDefault="00BB64D8">
          <w:pPr>
            <w:pStyle w:val="TDC2"/>
            <w:tabs>
              <w:tab w:val="right" w:leader="dot" w:pos="8921"/>
            </w:tabs>
            <w:rPr>
              <w:noProof/>
              <w:color w:val="000000" w:themeColor="text1"/>
            </w:rPr>
          </w:pPr>
          <w:hyperlink w:anchor="_Toc211524161" w:history="1">
            <w:r w:rsidR="00A94A35" w:rsidRPr="00A94A35">
              <w:rPr>
                <w:rStyle w:val="Hipervnculo"/>
                <w:noProof/>
                <w:color w:val="000000" w:themeColor="text1"/>
              </w:rPr>
              <w:t>PRIMERO. Competencia</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_Toc211524161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7</w:t>
            </w:r>
            <w:r w:rsidR="00A94A35" w:rsidRPr="00A94A35">
              <w:rPr>
                <w:noProof/>
                <w:webHidden/>
                <w:color w:val="000000" w:themeColor="text1"/>
              </w:rPr>
              <w:fldChar w:fldCharType="end"/>
            </w:r>
          </w:hyperlink>
        </w:p>
        <w:p w14:paraId="3C8FB183" w14:textId="4584A581" w:rsidR="00A94A35" w:rsidRPr="00A94A35" w:rsidRDefault="00BB64D8">
          <w:pPr>
            <w:pStyle w:val="TDC2"/>
            <w:tabs>
              <w:tab w:val="right" w:leader="dot" w:pos="8921"/>
            </w:tabs>
            <w:rPr>
              <w:noProof/>
              <w:color w:val="000000" w:themeColor="text1"/>
            </w:rPr>
          </w:pPr>
          <w:hyperlink w:anchor="_Toc211524162" w:history="1">
            <w:r w:rsidR="00A94A35" w:rsidRPr="00A94A35">
              <w:rPr>
                <w:rStyle w:val="Hipervnculo"/>
                <w:noProof/>
                <w:color w:val="000000" w:themeColor="text1"/>
              </w:rPr>
              <w:t>SEGUNDO. Causales de improcedencia y sobreseimiento</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_Toc211524162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8</w:t>
            </w:r>
            <w:r w:rsidR="00A94A35" w:rsidRPr="00A94A35">
              <w:rPr>
                <w:noProof/>
                <w:webHidden/>
                <w:color w:val="000000" w:themeColor="text1"/>
              </w:rPr>
              <w:fldChar w:fldCharType="end"/>
            </w:r>
          </w:hyperlink>
        </w:p>
        <w:p w14:paraId="6F99B88B" w14:textId="0B419751" w:rsidR="00A94A35" w:rsidRPr="00A94A35" w:rsidRDefault="00BB64D8">
          <w:pPr>
            <w:pStyle w:val="TDC2"/>
            <w:tabs>
              <w:tab w:val="right" w:leader="dot" w:pos="8921"/>
            </w:tabs>
            <w:rPr>
              <w:noProof/>
              <w:color w:val="000000" w:themeColor="text1"/>
            </w:rPr>
          </w:pPr>
          <w:hyperlink w:anchor="_Toc211524163" w:history="1">
            <w:r w:rsidR="00A94A35" w:rsidRPr="00A94A35">
              <w:rPr>
                <w:rStyle w:val="Hipervnculo"/>
                <w:noProof/>
                <w:color w:val="000000" w:themeColor="text1"/>
              </w:rPr>
              <w:t>TERCERO. Determinación de la Controversia</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_Toc211524163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9</w:t>
            </w:r>
            <w:r w:rsidR="00A94A35" w:rsidRPr="00A94A35">
              <w:rPr>
                <w:noProof/>
                <w:webHidden/>
                <w:color w:val="000000" w:themeColor="text1"/>
              </w:rPr>
              <w:fldChar w:fldCharType="end"/>
            </w:r>
          </w:hyperlink>
        </w:p>
        <w:p w14:paraId="7749910C" w14:textId="697857D6" w:rsidR="00A94A35" w:rsidRPr="00A94A35" w:rsidRDefault="00BB64D8">
          <w:pPr>
            <w:pStyle w:val="TDC2"/>
            <w:tabs>
              <w:tab w:val="right" w:leader="dot" w:pos="8921"/>
            </w:tabs>
            <w:rPr>
              <w:noProof/>
              <w:color w:val="000000" w:themeColor="text1"/>
            </w:rPr>
          </w:pPr>
          <w:hyperlink w:anchor="_Toc211524164" w:history="1">
            <w:r w:rsidR="00A94A35" w:rsidRPr="00A94A35">
              <w:rPr>
                <w:rStyle w:val="Hipervnculo"/>
                <w:noProof/>
                <w:color w:val="000000" w:themeColor="text1"/>
              </w:rPr>
              <w:t>CUARTO. Marco normativo aplicable en materia de transparencia y acceso a la información pública</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_Toc211524164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11</w:t>
            </w:r>
            <w:r w:rsidR="00A94A35" w:rsidRPr="00A94A35">
              <w:rPr>
                <w:noProof/>
                <w:webHidden/>
                <w:color w:val="000000" w:themeColor="text1"/>
              </w:rPr>
              <w:fldChar w:fldCharType="end"/>
            </w:r>
          </w:hyperlink>
        </w:p>
        <w:p w14:paraId="5C4E7092" w14:textId="543AC7DD" w:rsidR="00A94A35" w:rsidRPr="00A94A35" w:rsidRDefault="00BB64D8">
          <w:pPr>
            <w:pStyle w:val="TDC2"/>
            <w:tabs>
              <w:tab w:val="right" w:leader="dot" w:pos="8921"/>
            </w:tabs>
            <w:rPr>
              <w:noProof/>
              <w:color w:val="000000" w:themeColor="text1"/>
            </w:rPr>
          </w:pPr>
          <w:hyperlink w:anchor="_Toc211524165" w:history="1">
            <w:r w:rsidR="00A94A35" w:rsidRPr="00A94A35">
              <w:rPr>
                <w:rStyle w:val="Hipervnculo"/>
                <w:noProof/>
                <w:color w:val="000000" w:themeColor="text1"/>
              </w:rPr>
              <w:t>Quinto. Estudio de Fondo</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_Toc211524165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12</w:t>
            </w:r>
            <w:r w:rsidR="00A94A35" w:rsidRPr="00A94A35">
              <w:rPr>
                <w:noProof/>
                <w:webHidden/>
                <w:color w:val="000000" w:themeColor="text1"/>
              </w:rPr>
              <w:fldChar w:fldCharType="end"/>
            </w:r>
          </w:hyperlink>
        </w:p>
        <w:p w14:paraId="48416A94" w14:textId="61EA2EF3" w:rsidR="00A94A35" w:rsidRPr="00A94A35" w:rsidRDefault="00BB64D8">
          <w:pPr>
            <w:pStyle w:val="TDC2"/>
            <w:tabs>
              <w:tab w:val="right" w:leader="dot" w:pos="8921"/>
            </w:tabs>
            <w:rPr>
              <w:noProof/>
              <w:color w:val="000000" w:themeColor="text1"/>
            </w:rPr>
          </w:pPr>
          <w:hyperlink w:anchor="_Toc211524166" w:history="1">
            <w:r w:rsidR="00A94A35" w:rsidRPr="00A94A35">
              <w:rPr>
                <w:rStyle w:val="Hipervnculo"/>
                <w:noProof/>
                <w:color w:val="000000" w:themeColor="text1"/>
                <w:lang w:val="es-ES" w:eastAsia="es-ES"/>
              </w:rPr>
              <w:t>SEXTO. Decisión</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_Toc211524166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46</w:t>
            </w:r>
            <w:r w:rsidR="00A94A35" w:rsidRPr="00A94A35">
              <w:rPr>
                <w:noProof/>
                <w:webHidden/>
                <w:color w:val="000000" w:themeColor="text1"/>
              </w:rPr>
              <w:fldChar w:fldCharType="end"/>
            </w:r>
          </w:hyperlink>
        </w:p>
        <w:p w14:paraId="10A28BEE" w14:textId="229A2B59" w:rsidR="00A94A35" w:rsidRPr="00A94A35" w:rsidRDefault="00BB64D8">
          <w:pPr>
            <w:pStyle w:val="TDC1"/>
            <w:tabs>
              <w:tab w:val="right" w:leader="dot" w:pos="8921"/>
            </w:tabs>
            <w:rPr>
              <w:noProof/>
              <w:color w:val="000000" w:themeColor="text1"/>
            </w:rPr>
          </w:pPr>
          <w:hyperlink w:anchor="_Toc211524167" w:history="1">
            <w:r w:rsidR="00A94A35" w:rsidRPr="00A94A35">
              <w:rPr>
                <w:rStyle w:val="Hipervnculo"/>
                <w:noProof/>
                <w:color w:val="000000" w:themeColor="text1"/>
              </w:rPr>
              <w:t>R E S U E L V E</w:t>
            </w:r>
            <w:r w:rsidR="00A94A35" w:rsidRPr="00A94A35">
              <w:rPr>
                <w:noProof/>
                <w:webHidden/>
                <w:color w:val="000000" w:themeColor="text1"/>
              </w:rPr>
              <w:tab/>
            </w:r>
            <w:r w:rsidR="00A94A35" w:rsidRPr="00A94A35">
              <w:rPr>
                <w:noProof/>
                <w:webHidden/>
                <w:color w:val="000000" w:themeColor="text1"/>
              </w:rPr>
              <w:fldChar w:fldCharType="begin"/>
            </w:r>
            <w:r w:rsidR="00A94A35" w:rsidRPr="00A94A35">
              <w:rPr>
                <w:noProof/>
                <w:webHidden/>
                <w:color w:val="000000" w:themeColor="text1"/>
              </w:rPr>
              <w:instrText xml:space="preserve"> PAGEREF _Toc211524167 \h </w:instrText>
            </w:r>
            <w:r w:rsidR="00A94A35" w:rsidRPr="00A94A35">
              <w:rPr>
                <w:noProof/>
                <w:webHidden/>
                <w:color w:val="000000" w:themeColor="text1"/>
              </w:rPr>
            </w:r>
            <w:r w:rsidR="00A94A35" w:rsidRPr="00A94A35">
              <w:rPr>
                <w:noProof/>
                <w:webHidden/>
                <w:color w:val="000000" w:themeColor="text1"/>
              </w:rPr>
              <w:fldChar w:fldCharType="separate"/>
            </w:r>
            <w:r w:rsidR="00350285">
              <w:rPr>
                <w:noProof/>
                <w:webHidden/>
                <w:color w:val="000000" w:themeColor="text1"/>
              </w:rPr>
              <w:t>47</w:t>
            </w:r>
            <w:r w:rsidR="00A94A35" w:rsidRPr="00A94A35">
              <w:rPr>
                <w:noProof/>
                <w:webHidden/>
                <w:color w:val="000000" w:themeColor="text1"/>
              </w:rPr>
              <w:fldChar w:fldCharType="end"/>
            </w:r>
          </w:hyperlink>
        </w:p>
        <w:p w14:paraId="0EB4E90D" w14:textId="23F1BFB9" w:rsidR="00A94A35" w:rsidRDefault="00A94A35">
          <w:r w:rsidRPr="00A94A35">
            <w:rPr>
              <w:b/>
              <w:bCs/>
              <w:color w:val="000000" w:themeColor="text1"/>
              <w:lang w:val="es-ES"/>
            </w:rPr>
            <w:fldChar w:fldCharType="end"/>
          </w:r>
        </w:p>
      </w:sdtContent>
    </w:sdt>
    <w:p w14:paraId="3FB7EB5E" w14:textId="51397BFD" w:rsidR="005C690F" w:rsidRPr="00BE5F44" w:rsidRDefault="00A94A35" w:rsidP="00963119">
      <w:pPr>
        <w:tabs>
          <w:tab w:val="left" w:pos="8931"/>
        </w:tabs>
        <w:spacing w:after="0" w:line="360" w:lineRule="auto"/>
      </w:pPr>
      <w:r>
        <w:br w:type="column"/>
      </w:r>
      <w:r w:rsidR="007D6307" w:rsidRPr="00BE5F44">
        <w:lastRenderedPageBreak/>
        <w:t xml:space="preserve">Resolución del Pleno del Instituto de Transparencia, Acceso a la Información Pública y Protección de Datos Personales del Estado de México y Municipios, con domicilio en Metepec, Estado de México, de </w:t>
      </w:r>
      <w:r w:rsidR="00FE450E">
        <w:t>veinte</w:t>
      </w:r>
      <w:r w:rsidR="00244E20">
        <w:t xml:space="preserve"> de noviembre</w:t>
      </w:r>
      <w:r w:rsidR="007775E1" w:rsidRPr="00BE5F44">
        <w:t xml:space="preserve"> de dos mil veinticinco</w:t>
      </w:r>
      <w:r w:rsidR="007D6307" w:rsidRPr="00BE5F44">
        <w:t xml:space="preserve">. </w:t>
      </w:r>
    </w:p>
    <w:p w14:paraId="0DCD3B82" w14:textId="77777777" w:rsidR="005C690F" w:rsidRPr="00BE5F44" w:rsidRDefault="005C690F" w:rsidP="00963119">
      <w:pPr>
        <w:spacing w:after="0" w:line="360" w:lineRule="auto"/>
        <w:rPr>
          <w:b/>
          <w:color w:val="FF0000"/>
        </w:rPr>
      </w:pPr>
    </w:p>
    <w:p w14:paraId="1570B336" w14:textId="1DBEA47A" w:rsidR="005C690F" w:rsidRPr="00BE5F44" w:rsidRDefault="007D6307" w:rsidP="00963119">
      <w:pPr>
        <w:spacing w:after="0" w:line="360" w:lineRule="auto"/>
      </w:pPr>
      <w:r w:rsidRPr="00BE5F44">
        <w:rPr>
          <w:b/>
        </w:rPr>
        <w:t xml:space="preserve">VISTO </w:t>
      </w:r>
      <w:r w:rsidRPr="00BE5F44">
        <w:t>el expediente electrónico conformado con motivo de</w:t>
      </w:r>
      <w:r w:rsidR="00182020" w:rsidRPr="00BE5F44">
        <w:t xml:space="preserve"> </w:t>
      </w:r>
      <w:r w:rsidRPr="00BE5F44">
        <w:t>l</w:t>
      </w:r>
      <w:r w:rsidR="00182020" w:rsidRPr="00BE5F44">
        <w:t>os</w:t>
      </w:r>
      <w:r w:rsidRPr="00BE5F44">
        <w:t xml:space="preserve"> Recurso</w:t>
      </w:r>
      <w:r w:rsidR="00182020" w:rsidRPr="00BE5F44">
        <w:t>s</w:t>
      </w:r>
      <w:r w:rsidRPr="00BE5F44">
        <w:t xml:space="preserve"> de Revisión </w:t>
      </w:r>
      <w:r w:rsidR="007775E1" w:rsidRPr="004E6CDD">
        <w:rPr>
          <w:b/>
        </w:rPr>
        <w:t>0</w:t>
      </w:r>
      <w:r w:rsidR="00FE450E" w:rsidRPr="004E6CDD">
        <w:rPr>
          <w:b/>
        </w:rPr>
        <w:t>8981</w:t>
      </w:r>
      <w:r w:rsidR="0029572E" w:rsidRPr="004E6CDD">
        <w:rPr>
          <w:b/>
        </w:rPr>
        <w:t>/INFOEM/IP/RR/2025</w:t>
      </w:r>
      <w:r w:rsidR="007775E1" w:rsidRPr="004E6CDD">
        <w:rPr>
          <w:b/>
        </w:rPr>
        <w:t>,</w:t>
      </w:r>
      <w:r w:rsidR="00FE450E" w:rsidRPr="004E6CDD">
        <w:rPr>
          <w:b/>
        </w:rPr>
        <w:t xml:space="preserve"> 09000/INFOEM/IP/RR/2025, 09212/INFOEM/IP/RR/2025, 09215,/INFOEM/IP/RR/2025, 09218/INFOEM/IP/RR/2025, 09219/INFOEM/IP/RR/2025, 09220/INFOEM/IP/RR/2025, 09222/INFOEM/IP/RR/2025, 09223INFOEM/IP/RR/2025, 09230/INFOEM/IP/RR/2025 y 09231/INFOEM/IP/RR/2025</w:t>
      </w:r>
      <w:r w:rsidR="007775E1" w:rsidRPr="00BE5F44">
        <w:t xml:space="preserve"> </w:t>
      </w:r>
      <w:r w:rsidRPr="004E21B7">
        <w:t>,</w:t>
      </w:r>
      <w:r w:rsidRPr="00BE5F44">
        <w:t xml:space="preserve"> </w:t>
      </w:r>
      <w:r w:rsidR="007775E1" w:rsidRPr="00BE5F44">
        <w:t xml:space="preserve">acumulados, </w:t>
      </w:r>
      <w:r w:rsidRPr="00BE5F44">
        <w:t>interpuesto</w:t>
      </w:r>
      <w:r w:rsidR="007775E1" w:rsidRPr="00BE5F44">
        <w:t>s</w:t>
      </w:r>
      <w:r w:rsidRPr="00BE5F44">
        <w:t xml:space="preserve"> por</w:t>
      </w:r>
      <w:r w:rsidR="00D44EE1" w:rsidRPr="00BE5F44">
        <w:t xml:space="preserve"> </w:t>
      </w:r>
      <w:r w:rsidR="00FE450E">
        <w:t>una persona usuaria del Sistema de Acceso a la Información Mexiquense</w:t>
      </w:r>
      <w:r w:rsidR="004E21B7">
        <w:t xml:space="preserve">, </w:t>
      </w:r>
      <w:r w:rsidR="007C5477" w:rsidRPr="00BE5F44">
        <w:t xml:space="preserve">en </w:t>
      </w:r>
      <w:r w:rsidR="0029572E" w:rsidRPr="00BE5F44">
        <w:t>lo sucesivo</w:t>
      </w:r>
      <w:r w:rsidR="007C5477" w:rsidRPr="00BE5F44">
        <w:t xml:space="preserve"> </w:t>
      </w:r>
      <w:r w:rsidR="0029572E" w:rsidRPr="00BE5F44">
        <w:t xml:space="preserve">la persona </w:t>
      </w:r>
      <w:r w:rsidRPr="00BE5F44">
        <w:t xml:space="preserve">Recurrente o Particular, en contra de la respuesta del Sujeto Obligado, </w:t>
      </w:r>
      <w:r w:rsidR="0029572E" w:rsidRPr="004E6CDD">
        <w:rPr>
          <w:b/>
        </w:rPr>
        <w:t xml:space="preserve">Ayuntamiento de </w:t>
      </w:r>
      <w:r w:rsidR="007775E1" w:rsidRPr="004E6CDD">
        <w:rPr>
          <w:b/>
        </w:rPr>
        <w:t>Toluca</w:t>
      </w:r>
      <w:r w:rsidR="0029572E" w:rsidRPr="00BE5F44">
        <w:t>,</w:t>
      </w:r>
      <w:r w:rsidRPr="00BE5F44">
        <w:t xml:space="preserve"> a la</w:t>
      </w:r>
      <w:r w:rsidR="00724CBC" w:rsidRPr="00BE5F44">
        <w:t>s</w:t>
      </w:r>
      <w:r w:rsidRPr="00BE5F44">
        <w:t xml:space="preserve"> solicitud</w:t>
      </w:r>
      <w:r w:rsidR="00724CBC" w:rsidRPr="00BE5F44">
        <w:t>es</w:t>
      </w:r>
      <w:r w:rsidRPr="00BE5F44">
        <w:t xml:space="preserve"> de acceso a la información pública</w:t>
      </w:r>
      <w:r w:rsidR="00FE450E">
        <w:t xml:space="preserve"> </w:t>
      </w:r>
      <w:r w:rsidR="00FE450E" w:rsidRPr="00FE450E">
        <w:t>03699/TOLUCA/IP/2025</w:t>
      </w:r>
      <w:r w:rsidR="00FE450E">
        <w:t xml:space="preserve">, </w:t>
      </w:r>
      <w:r w:rsidR="00FE450E" w:rsidRPr="00FE450E">
        <w:t>03379/TOLUCA/IP/2025</w:t>
      </w:r>
      <w:r w:rsidR="00FE450E">
        <w:t xml:space="preserve">, </w:t>
      </w:r>
      <w:r w:rsidR="00FE450E" w:rsidRPr="00FE450E">
        <w:t>03381/TOLUCA/IP/2025</w:t>
      </w:r>
      <w:r w:rsidR="00FE450E">
        <w:t xml:space="preserve">, </w:t>
      </w:r>
      <w:r w:rsidR="00FE450E" w:rsidRPr="00FE450E">
        <w:t>03391/TOLUCA/IP/2025</w:t>
      </w:r>
      <w:r w:rsidR="00FE450E">
        <w:t xml:space="preserve">, 03387/TOLUCA/IP/2025, </w:t>
      </w:r>
      <w:r w:rsidR="00FE450E" w:rsidRPr="00FE450E">
        <w:t>03386/TOLUCA/IP/2025</w:t>
      </w:r>
      <w:r w:rsidR="00FE450E">
        <w:t xml:space="preserve">, </w:t>
      </w:r>
      <w:r w:rsidR="00FE450E" w:rsidRPr="00FE450E">
        <w:t>03374/TOLUCA/IP/2025</w:t>
      </w:r>
      <w:r w:rsidR="00FE450E">
        <w:t xml:space="preserve">, </w:t>
      </w:r>
      <w:r w:rsidR="00FE450E" w:rsidRPr="00FE450E">
        <w:t>03384/TOLUCA/IP/2025</w:t>
      </w:r>
      <w:r w:rsidR="00FE450E">
        <w:t xml:space="preserve">, </w:t>
      </w:r>
      <w:r w:rsidR="00FE450E" w:rsidRPr="00FE450E">
        <w:t>03383/TOLUCA/IP/2025</w:t>
      </w:r>
      <w:r w:rsidR="00FE450E">
        <w:t xml:space="preserve">, </w:t>
      </w:r>
      <w:r w:rsidR="00FE450E" w:rsidRPr="00FE450E">
        <w:t>03382/TOLUCA/IP/2025</w:t>
      </w:r>
      <w:r w:rsidR="00FE450E">
        <w:t xml:space="preserve"> y 03380/TOLUCA/IP/2025</w:t>
      </w:r>
      <w:r w:rsidR="00724CBC" w:rsidRPr="00BE5F44">
        <w:t xml:space="preserve">, </w:t>
      </w:r>
      <w:r w:rsidRPr="00BE5F44">
        <w:t>s</w:t>
      </w:r>
      <w:r w:rsidRPr="00BE5F44">
        <w:rPr>
          <w:bCs/>
        </w:rPr>
        <w:t>e</w:t>
      </w:r>
      <w:r w:rsidRPr="00BE5F44">
        <w:t xml:space="preserve"> emite la presente Resolución, con base en los Antecedentes y Considerandos que se exponen a continuación:</w:t>
      </w:r>
    </w:p>
    <w:p w14:paraId="1F97CEF3" w14:textId="77777777" w:rsidR="005C690F" w:rsidRPr="00BE5F44" w:rsidRDefault="005C690F" w:rsidP="00963119">
      <w:pPr>
        <w:spacing w:after="0" w:line="360" w:lineRule="auto"/>
        <w:rPr>
          <w:b/>
          <w:color w:val="FF0000"/>
        </w:rPr>
      </w:pPr>
    </w:p>
    <w:p w14:paraId="1DEAF9D3" w14:textId="37358D04" w:rsidR="005C690F" w:rsidRPr="00BE5F44" w:rsidRDefault="00EB35EB" w:rsidP="00A94A35">
      <w:pPr>
        <w:pStyle w:val="Ttulo1"/>
      </w:pPr>
      <w:bookmarkStart w:id="0" w:name="_Toc211524155"/>
      <w:r w:rsidRPr="00BE5F44">
        <w:t>A N T E C E D E N T E S</w:t>
      </w:r>
      <w:bookmarkEnd w:id="0"/>
    </w:p>
    <w:p w14:paraId="5A7EDA4F" w14:textId="77777777" w:rsidR="005C690F" w:rsidRPr="00BE5F44" w:rsidRDefault="005C690F" w:rsidP="00963119">
      <w:pPr>
        <w:spacing w:after="0" w:line="360" w:lineRule="auto"/>
        <w:jc w:val="center"/>
        <w:rPr>
          <w:b/>
        </w:rPr>
      </w:pPr>
    </w:p>
    <w:p w14:paraId="4F89ED8D" w14:textId="2CC26C15" w:rsidR="005C690F" w:rsidRPr="00BE5F44" w:rsidRDefault="007D6307" w:rsidP="00A94A35">
      <w:pPr>
        <w:pStyle w:val="Ttulo2"/>
      </w:pPr>
      <w:bookmarkStart w:id="1" w:name="_Toc211524156"/>
      <w:r w:rsidRPr="00BE5F44">
        <w:t>I. Presentación</w:t>
      </w:r>
      <w:r w:rsidR="00EB35EB" w:rsidRPr="00BE5F44">
        <w:t xml:space="preserve"> de la</w:t>
      </w:r>
      <w:r w:rsidR="00182020" w:rsidRPr="00BE5F44">
        <w:t>s</w:t>
      </w:r>
      <w:r w:rsidR="00EB35EB" w:rsidRPr="00BE5F44">
        <w:t xml:space="preserve"> solicitud</w:t>
      </w:r>
      <w:r w:rsidR="00182020" w:rsidRPr="00BE5F44">
        <w:t>es</w:t>
      </w:r>
      <w:r w:rsidR="00EB35EB" w:rsidRPr="00BE5F44">
        <w:t xml:space="preserve"> de información</w:t>
      </w:r>
      <w:bookmarkEnd w:id="1"/>
    </w:p>
    <w:p w14:paraId="796B26CA" w14:textId="77777777" w:rsidR="005C690F" w:rsidRPr="00BE5F44" w:rsidRDefault="005C690F" w:rsidP="00963119">
      <w:pPr>
        <w:spacing w:after="0" w:line="360" w:lineRule="auto"/>
        <w:rPr>
          <w:b/>
          <w:color w:val="FF0000"/>
        </w:rPr>
      </w:pPr>
    </w:p>
    <w:p w14:paraId="1EBC1B28" w14:textId="6335C5A3" w:rsidR="005C690F" w:rsidRPr="00BE5F44" w:rsidRDefault="0029572E" w:rsidP="00963119">
      <w:pPr>
        <w:spacing w:after="0" w:line="360" w:lineRule="auto"/>
      </w:pPr>
      <w:r w:rsidRPr="00BE5F44">
        <w:t>El</w:t>
      </w:r>
      <w:r w:rsidR="007D6307" w:rsidRPr="00BE5F44">
        <w:t xml:space="preserve"> </w:t>
      </w:r>
      <w:r w:rsidR="00FE450E">
        <w:t>once y veintiséis de junio</w:t>
      </w:r>
      <w:r w:rsidR="007D6307" w:rsidRPr="00BE5F44">
        <w:t xml:space="preserve"> de dos mil </w:t>
      </w:r>
      <w:r w:rsidRPr="00BE5F44">
        <w:t>veinticinco</w:t>
      </w:r>
      <w:r w:rsidR="007D6307" w:rsidRPr="00BE5F44">
        <w:t xml:space="preserve">, </w:t>
      </w:r>
      <w:r w:rsidRPr="00BE5F44">
        <w:t>la persona</w:t>
      </w:r>
      <w:r w:rsidR="007D6307" w:rsidRPr="00BE5F44">
        <w:t xml:space="preserve"> </w:t>
      </w:r>
      <w:r w:rsidRPr="00BE5F44">
        <w:t>Solicitante</w:t>
      </w:r>
      <w:r w:rsidR="00387A7E" w:rsidRPr="00BE5F44">
        <w:t xml:space="preserve"> presentó </w:t>
      </w:r>
      <w:r w:rsidR="004E21B7">
        <w:t>tres</w:t>
      </w:r>
      <w:r w:rsidR="007D6307" w:rsidRPr="00BE5F44">
        <w:t xml:space="preserve"> solicitud</w:t>
      </w:r>
      <w:r w:rsidR="00182020" w:rsidRPr="00BE5F44">
        <w:t>es</w:t>
      </w:r>
      <w:r w:rsidR="007D6307" w:rsidRPr="00BE5F44">
        <w:t xml:space="preserve"> de acceso a la información, a través del Sistema de Acceso a la Información Mexiquense (SAIMEX), ante el</w:t>
      </w:r>
      <w:r w:rsidR="009C716A" w:rsidRPr="00BE5F44">
        <w:t xml:space="preserve"> </w:t>
      </w:r>
      <w:r w:rsidR="004E21B7">
        <w:t>Ayuntamiento de Toluca</w:t>
      </w:r>
      <w:r w:rsidRPr="00BE5F44">
        <w:t xml:space="preserve">, </w:t>
      </w:r>
      <w:r w:rsidR="007D6307" w:rsidRPr="00BE5F44">
        <w:t>en los siguientes términos:</w:t>
      </w:r>
    </w:p>
    <w:p w14:paraId="316A861A" w14:textId="77777777" w:rsidR="005C690F" w:rsidRPr="00BE5F44" w:rsidRDefault="005C690F" w:rsidP="00963119">
      <w:pPr>
        <w:spacing w:after="0" w:line="360" w:lineRule="auto"/>
        <w:rPr>
          <w:color w:val="FF0000"/>
        </w:rPr>
      </w:pPr>
    </w:p>
    <w:p w14:paraId="20EBEF6F" w14:textId="77777777" w:rsidR="00FE450E" w:rsidRDefault="00FE450E" w:rsidP="00963119">
      <w:pPr>
        <w:tabs>
          <w:tab w:val="left" w:pos="4667"/>
        </w:tabs>
        <w:spacing w:after="0" w:line="360" w:lineRule="auto"/>
        <w:ind w:right="567"/>
        <w:rPr>
          <w:b/>
          <w:i/>
          <w:sz w:val="20"/>
          <w:szCs w:val="20"/>
        </w:rPr>
      </w:pPr>
    </w:p>
    <w:p w14:paraId="2BC693C1" w14:textId="77777777" w:rsidR="00FE450E" w:rsidRDefault="00FE450E" w:rsidP="00963119">
      <w:pPr>
        <w:tabs>
          <w:tab w:val="left" w:pos="4667"/>
        </w:tabs>
        <w:spacing w:after="0" w:line="360" w:lineRule="auto"/>
        <w:ind w:right="567"/>
        <w:rPr>
          <w:b/>
          <w:i/>
          <w:sz w:val="20"/>
          <w:szCs w:val="20"/>
        </w:rPr>
      </w:pPr>
    </w:p>
    <w:tbl>
      <w:tblPr>
        <w:tblStyle w:val="Tablaconcuadrcula"/>
        <w:tblW w:w="9209" w:type="dxa"/>
        <w:tblLook w:val="04A0" w:firstRow="1" w:lastRow="0" w:firstColumn="1" w:lastColumn="0" w:noHBand="0" w:noVBand="1"/>
      </w:tblPr>
      <w:tblGrid>
        <w:gridCol w:w="3539"/>
        <w:gridCol w:w="5670"/>
      </w:tblGrid>
      <w:tr w:rsidR="007A3708" w:rsidRPr="007A3708" w14:paraId="13707C4E" w14:textId="77777777" w:rsidTr="007A3708">
        <w:tc>
          <w:tcPr>
            <w:tcW w:w="3539" w:type="dxa"/>
            <w:shd w:val="clear" w:color="auto" w:fill="DDD9C3" w:themeFill="background2" w:themeFillShade="E6"/>
          </w:tcPr>
          <w:p w14:paraId="198B9ABC" w14:textId="22C8940B" w:rsidR="007A3708" w:rsidRPr="00B81C13" w:rsidRDefault="007A3708" w:rsidP="007A3708">
            <w:pPr>
              <w:tabs>
                <w:tab w:val="left" w:pos="4667"/>
              </w:tabs>
              <w:spacing w:line="276" w:lineRule="auto"/>
              <w:ind w:right="567"/>
              <w:jc w:val="center"/>
              <w:rPr>
                <w:b/>
                <w:sz w:val="20"/>
                <w:szCs w:val="24"/>
              </w:rPr>
            </w:pPr>
            <w:r w:rsidRPr="00B81C13">
              <w:rPr>
                <w:b/>
                <w:sz w:val="20"/>
                <w:szCs w:val="24"/>
              </w:rPr>
              <w:t>Solicitud de información</w:t>
            </w:r>
          </w:p>
        </w:tc>
        <w:tc>
          <w:tcPr>
            <w:tcW w:w="5670" w:type="dxa"/>
            <w:shd w:val="clear" w:color="auto" w:fill="DDD9C3" w:themeFill="background2" w:themeFillShade="E6"/>
          </w:tcPr>
          <w:p w14:paraId="1BBBEC99" w14:textId="1963BFFA" w:rsidR="007A3708" w:rsidRPr="00B81C13" w:rsidRDefault="007A3708" w:rsidP="007A3708">
            <w:pPr>
              <w:tabs>
                <w:tab w:val="left" w:pos="4667"/>
              </w:tabs>
              <w:spacing w:line="276" w:lineRule="auto"/>
              <w:ind w:right="567"/>
              <w:jc w:val="center"/>
              <w:rPr>
                <w:b/>
                <w:i/>
                <w:iCs/>
                <w:sz w:val="20"/>
              </w:rPr>
            </w:pPr>
            <w:r w:rsidRPr="00B81C13">
              <w:rPr>
                <w:b/>
                <w:i/>
                <w:iCs/>
                <w:sz w:val="20"/>
              </w:rPr>
              <w:t>Requerimiento</w:t>
            </w:r>
          </w:p>
        </w:tc>
      </w:tr>
      <w:tr w:rsidR="00FE450E" w:rsidRPr="007A3708" w14:paraId="7812E6EE" w14:textId="77777777" w:rsidTr="007A3708">
        <w:tc>
          <w:tcPr>
            <w:tcW w:w="3539" w:type="dxa"/>
          </w:tcPr>
          <w:p w14:paraId="40C6292A" w14:textId="16A17FF0"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03699/TOLUCA/IP/2025</w:t>
            </w:r>
          </w:p>
          <w:p w14:paraId="34BDBE80" w14:textId="528ADBBF"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08981/INFOEM/IP/RR/2025</w:t>
            </w:r>
          </w:p>
        </w:tc>
        <w:tc>
          <w:tcPr>
            <w:tcW w:w="5670" w:type="dxa"/>
          </w:tcPr>
          <w:p w14:paraId="6E421455" w14:textId="4A3705E3" w:rsidR="00FE450E" w:rsidRPr="00B81C13" w:rsidRDefault="007A3708" w:rsidP="007A3708">
            <w:pPr>
              <w:tabs>
                <w:tab w:val="left" w:pos="4667"/>
              </w:tabs>
              <w:spacing w:line="276" w:lineRule="auto"/>
              <w:ind w:right="34"/>
              <w:rPr>
                <w:i/>
                <w:iCs/>
                <w:sz w:val="20"/>
              </w:rPr>
            </w:pPr>
            <w:r w:rsidRPr="00B81C13">
              <w:rPr>
                <w:i/>
                <w:iCs/>
                <w:sz w:val="20"/>
              </w:rPr>
              <w:t>Recibos de nómina de la primera quincena de junio del año 2025</w:t>
            </w:r>
          </w:p>
        </w:tc>
      </w:tr>
      <w:tr w:rsidR="00FE450E" w:rsidRPr="007A3708" w14:paraId="453A05E6" w14:textId="77777777" w:rsidTr="007A3708">
        <w:tc>
          <w:tcPr>
            <w:tcW w:w="3539" w:type="dxa"/>
          </w:tcPr>
          <w:p w14:paraId="0D26053B" w14:textId="73BCD6F5"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03379/TOLUCA/IP/2025</w:t>
            </w:r>
          </w:p>
          <w:p w14:paraId="08322197" w14:textId="486F1928"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09000/INFOEM/IP/RR/2025</w:t>
            </w:r>
          </w:p>
        </w:tc>
        <w:tc>
          <w:tcPr>
            <w:tcW w:w="5670" w:type="dxa"/>
          </w:tcPr>
          <w:p w14:paraId="063F4B57" w14:textId="6C0BD6E1"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 presidencia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r w:rsidR="00FE450E" w:rsidRPr="007A3708" w14:paraId="6E9B9A92" w14:textId="77777777" w:rsidTr="007A3708">
        <w:tc>
          <w:tcPr>
            <w:tcW w:w="3539" w:type="dxa"/>
          </w:tcPr>
          <w:p w14:paraId="06A35B2A" w14:textId="508CC6B3"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03381/TOLUCA/IP/2025</w:t>
            </w:r>
          </w:p>
          <w:p w14:paraId="5E01125C" w14:textId="1C87E2A0"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09212/INFOEM/IP/RR/2025</w:t>
            </w:r>
          </w:p>
        </w:tc>
        <w:tc>
          <w:tcPr>
            <w:tcW w:w="5670" w:type="dxa"/>
          </w:tcPr>
          <w:p w14:paraId="6A2A2A09" w14:textId="56ECDD67"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 la dirección general de administración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r w:rsidR="00FE450E" w:rsidRPr="007A3708" w14:paraId="39DACA46" w14:textId="77777777" w:rsidTr="007A3708">
        <w:tc>
          <w:tcPr>
            <w:tcW w:w="3539" w:type="dxa"/>
          </w:tcPr>
          <w:p w14:paraId="063EA43D" w14:textId="348EBE07"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03391/TOLUCA/IP/2025</w:t>
            </w:r>
          </w:p>
          <w:p w14:paraId="6285C42E" w14:textId="3FFBFA82" w:rsidR="007A3708"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w:t>
            </w:r>
            <w:r w:rsidR="007A3708" w:rsidRPr="00B81C13">
              <w:rPr>
                <w:sz w:val="20"/>
                <w:szCs w:val="24"/>
                <w:lang w:val="en-US"/>
              </w:rPr>
              <w:t>9215</w:t>
            </w:r>
            <w:r w:rsidRPr="00B81C13">
              <w:rPr>
                <w:sz w:val="20"/>
                <w:szCs w:val="24"/>
                <w:lang w:val="en-US"/>
              </w:rPr>
              <w:t>/INFOEM/IP/RR/2025</w:t>
            </w:r>
          </w:p>
        </w:tc>
        <w:tc>
          <w:tcPr>
            <w:tcW w:w="5670" w:type="dxa"/>
          </w:tcPr>
          <w:p w14:paraId="40C3FD57" w14:textId="5C16D203" w:rsidR="00FE450E" w:rsidRPr="00B81C13" w:rsidRDefault="007A3708" w:rsidP="007A3708">
            <w:pPr>
              <w:tabs>
                <w:tab w:val="left" w:pos="4667"/>
              </w:tabs>
              <w:spacing w:line="276" w:lineRule="auto"/>
              <w:ind w:right="34"/>
              <w:rPr>
                <w:i/>
                <w:iCs/>
                <w:sz w:val="20"/>
              </w:rPr>
            </w:pPr>
            <w:r w:rsidRPr="00B81C13">
              <w:rPr>
                <w:i/>
                <w:iCs/>
                <w:sz w:val="20"/>
              </w:rPr>
              <w:t xml:space="preserve">Por este medio me permito solicitar los recibos de </w:t>
            </w:r>
            <w:proofErr w:type="spellStart"/>
            <w:r w:rsidRPr="00B81C13">
              <w:rPr>
                <w:i/>
                <w:iCs/>
                <w:sz w:val="20"/>
              </w:rPr>
              <w:t>nomina</w:t>
            </w:r>
            <w:proofErr w:type="spellEnd"/>
            <w:r w:rsidRPr="00B81C13">
              <w:rPr>
                <w:i/>
                <w:iCs/>
                <w:sz w:val="20"/>
              </w:rPr>
              <w:t xml:space="preserve"> de todo el personal que labora en la Unidad de Transparencia del Ayuntamiento</w:t>
            </w:r>
          </w:p>
        </w:tc>
      </w:tr>
      <w:tr w:rsidR="00FE450E" w:rsidRPr="007A3708" w14:paraId="617D33F2" w14:textId="77777777" w:rsidTr="007A3708">
        <w:tc>
          <w:tcPr>
            <w:tcW w:w="3539" w:type="dxa"/>
          </w:tcPr>
          <w:p w14:paraId="2C2F7DB2" w14:textId="4087F8F1"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03388/TOLUCA/IP/2025</w:t>
            </w:r>
          </w:p>
          <w:p w14:paraId="198EA6D7" w14:textId="79B92764"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09218/INFOEM/IP/RR/2025</w:t>
            </w:r>
          </w:p>
        </w:tc>
        <w:tc>
          <w:tcPr>
            <w:tcW w:w="5670" w:type="dxa"/>
          </w:tcPr>
          <w:p w14:paraId="10A33D8E" w14:textId="20F94338"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 la secretaria del ayuntamiento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r w:rsidR="00FE450E" w:rsidRPr="007A3708" w14:paraId="362DDAE6" w14:textId="77777777" w:rsidTr="007A3708">
        <w:tc>
          <w:tcPr>
            <w:tcW w:w="3539" w:type="dxa"/>
          </w:tcPr>
          <w:p w14:paraId="34F5DEB8" w14:textId="3F4032F6"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03387/TOLUCA/IP/2025</w:t>
            </w:r>
          </w:p>
          <w:p w14:paraId="1B3EB012" w14:textId="360DBEC2"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09219/INFOEM/IP/RR/2025</w:t>
            </w:r>
          </w:p>
        </w:tc>
        <w:tc>
          <w:tcPr>
            <w:tcW w:w="5670" w:type="dxa"/>
          </w:tcPr>
          <w:p w14:paraId="4EF55E42" w14:textId="24D79505"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del instituto de la mujer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r w:rsidR="00FE450E" w:rsidRPr="007A3708" w14:paraId="47D7AE8E" w14:textId="77777777" w:rsidTr="007A3708">
        <w:tc>
          <w:tcPr>
            <w:tcW w:w="3539" w:type="dxa"/>
          </w:tcPr>
          <w:p w14:paraId="576E1681" w14:textId="1423DB6B"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03386/TOLUCA/IP/2025</w:t>
            </w:r>
          </w:p>
          <w:p w14:paraId="183389FD" w14:textId="65E673D8"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09220/INFOEM/IP/RR/2025</w:t>
            </w:r>
          </w:p>
        </w:tc>
        <w:tc>
          <w:tcPr>
            <w:tcW w:w="5670" w:type="dxa"/>
          </w:tcPr>
          <w:p w14:paraId="0C417FFC" w14:textId="2F2031EB"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 la dirección general de desarrollo social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r w:rsidR="00FE450E" w:rsidRPr="007A3708" w14:paraId="7057C546" w14:textId="77777777" w:rsidTr="007A3708">
        <w:tc>
          <w:tcPr>
            <w:tcW w:w="3539" w:type="dxa"/>
          </w:tcPr>
          <w:p w14:paraId="35622EA7" w14:textId="1FEF53EA"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03384/TOLUCA/IP/2025</w:t>
            </w:r>
          </w:p>
          <w:p w14:paraId="3850466B" w14:textId="092A9649"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09222/INFOEM/IP/RR/2025</w:t>
            </w:r>
          </w:p>
        </w:tc>
        <w:tc>
          <w:tcPr>
            <w:tcW w:w="5670" w:type="dxa"/>
          </w:tcPr>
          <w:p w14:paraId="7AAA3FA0" w14:textId="7EF0532E"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 la dirección general de desarrollo social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r w:rsidR="00FE450E" w:rsidRPr="007A3708" w14:paraId="07C7977F" w14:textId="77777777" w:rsidTr="007A3708">
        <w:tc>
          <w:tcPr>
            <w:tcW w:w="3539" w:type="dxa"/>
          </w:tcPr>
          <w:p w14:paraId="12A483B4" w14:textId="01ABA6D7"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03383/TOLUCA/IP/2025</w:t>
            </w:r>
          </w:p>
          <w:p w14:paraId="0C57FA18" w14:textId="01DCEFD2"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09223</w:t>
            </w:r>
            <w:r w:rsidR="007A3708" w:rsidRPr="00B81C13">
              <w:rPr>
                <w:sz w:val="20"/>
                <w:szCs w:val="24"/>
                <w:lang w:val="en-US"/>
              </w:rPr>
              <w:t>/</w:t>
            </w:r>
            <w:r w:rsidRPr="00B81C13">
              <w:rPr>
                <w:sz w:val="20"/>
                <w:szCs w:val="24"/>
                <w:lang w:val="en-US"/>
              </w:rPr>
              <w:t>INFOEM/IP/RR/2025</w:t>
            </w:r>
          </w:p>
        </w:tc>
        <w:tc>
          <w:tcPr>
            <w:tcW w:w="5670" w:type="dxa"/>
          </w:tcPr>
          <w:p w14:paraId="26222A90" w14:textId="764CF842"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 la dirección general de servicios públicos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r w:rsidR="00FE450E" w:rsidRPr="007A3708" w14:paraId="25C659F1" w14:textId="77777777" w:rsidTr="007A3708">
        <w:tc>
          <w:tcPr>
            <w:tcW w:w="3539" w:type="dxa"/>
          </w:tcPr>
          <w:p w14:paraId="4C5D4B5C" w14:textId="5B5407C2"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03382/TOLUCA/IP/2025</w:t>
            </w:r>
          </w:p>
          <w:p w14:paraId="35D72173" w14:textId="45753623"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09230/INFOEM/IP/RR/2025</w:t>
            </w:r>
          </w:p>
        </w:tc>
        <w:tc>
          <w:tcPr>
            <w:tcW w:w="5670" w:type="dxa"/>
          </w:tcPr>
          <w:p w14:paraId="192B1B63" w14:textId="775A01E1"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 la dirección general de gobierno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r w:rsidR="00FE450E" w:rsidRPr="007A3708" w14:paraId="20645E3E" w14:textId="77777777" w:rsidTr="007A3708">
        <w:tc>
          <w:tcPr>
            <w:tcW w:w="3539" w:type="dxa"/>
          </w:tcPr>
          <w:p w14:paraId="3220E064" w14:textId="5DA3EDF6" w:rsidR="007A3708" w:rsidRPr="00B81C13" w:rsidRDefault="007A3708" w:rsidP="007A3708">
            <w:pPr>
              <w:tabs>
                <w:tab w:val="left" w:pos="4667"/>
              </w:tabs>
              <w:spacing w:line="276" w:lineRule="auto"/>
              <w:ind w:right="-108"/>
              <w:jc w:val="center"/>
              <w:rPr>
                <w:sz w:val="20"/>
                <w:szCs w:val="24"/>
                <w:lang w:val="en-US"/>
              </w:rPr>
            </w:pPr>
            <w:r w:rsidRPr="00B81C13">
              <w:rPr>
                <w:sz w:val="20"/>
                <w:szCs w:val="24"/>
                <w:lang w:val="en-US"/>
              </w:rPr>
              <w:t>03380/TOLUCA/IP/2025</w:t>
            </w:r>
          </w:p>
          <w:p w14:paraId="2808CD55" w14:textId="716DFC73" w:rsidR="00FE450E" w:rsidRPr="00B81C13" w:rsidRDefault="00FE450E" w:rsidP="007A3708">
            <w:pPr>
              <w:tabs>
                <w:tab w:val="left" w:pos="4667"/>
              </w:tabs>
              <w:spacing w:line="276" w:lineRule="auto"/>
              <w:ind w:right="-108"/>
              <w:jc w:val="center"/>
              <w:rPr>
                <w:sz w:val="20"/>
                <w:szCs w:val="24"/>
                <w:lang w:val="en-US"/>
              </w:rPr>
            </w:pPr>
            <w:r w:rsidRPr="00B81C13">
              <w:rPr>
                <w:sz w:val="20"/>
                <w:szCs w:val="24"/>
                <w:lang w:val="en-US"/>
              </w:rPr>
              <w:t>09231/INFOEM/IP/RR/2025</w:t>
            </w:r>
          </w:p>
        </w:tc>
        <w:tc>
          <w:tcPr>
            <w:tcW w:w="5670" w:type="dxa"/>
          </w:tcPr>
          <w:p w14:paraId="74BA0BD2" w14:textId="7A1D7221" w:rsidR="00FE450E" w:rsidRPr="00B81C13" w:rsidRDefault="007A3708" w:rsidP="007A3708">
            <w:pPr>
              <w:tabs>
                <w:tab w:val="left" w:pos="4667"/>
              </w:tabs>
              <w:spacing w:line="276" w:lineRule="auto"/>
              <w:ind w:right="34"/>
              <w:rPr>
                <w:i/>
                <w:iCs/>
                <w:sz w:val="20"/>
              </w:rPr>
            </w:pPr>
            <w:r w:rsidRPr="00B81C13">
              <w:rPr>
                <w:i/>
                <w:iCs/>
                <w:sz w:val="20"/>
              </w:rPr>
              <w:t xml:space="preserve">Los recibos de </w:t>
            </w:r>
            <w:proofErr w:type="spellStart"/>
            <w:r w:rsidRPr="00B81C13">
              <w:rPr>
                <w:i/>
                <w:iCs/>
                <w:sz w:val="20"/>
              </w:rPr>
              <w:t>nomina</w:t>
            </w:r>
            <w:proofErr w:type="spellEnd"/>
            <w:r w:rsidRPr="00B81C13">
              <w:rPr>
                <w:i/>
                <w:iCs/>
                <w:sz w:val="20"/>
              </w:rPr>
              <w:t xml:space="preserve"> de todo el personal de la dirección general de seguridad pública y su </w:t>
            </w:r>
            <w:proofErr w:type="spellStart"/>
            <w:r w:rsidRPr="00B81C13">
              <w:rPr>
                <w:i/>
                <w:iCs/>
                <w:sz w:val="20"/>
              </w:rPr>
              <w:t>areas</w:t>
            </w:r>
            <w:proofErr w:type="spellEnd"/>
            <w:r w:rsidRPr="00B81C13">
              <w:rPr>
                <w:i/>
                <w:iCs/>
                <w:sz w:val="20"/>
              </w:rPr>
              <w:t xml:space="preserve"> </w:t>
            </w:r>
            <w:proofErr w:type="spellStart"/>
            <w:r w:rsidRPr="00B81C13">
              <w:rPr>
                <w:i/>
                <w:iCs/>
                <w:sz w:val="20"/>
              </w:rPr>
              <w:t>adcritas</w:t>
            </w:r>
            <w:proofErr w:type="spellEnd"/>
            <w:r w:rsidRPr="00B81C13">
              <w:rPr>
                <w:i/>
                <w:iCs/>
                <w:sz w:val="20"/>
              </w:rPr>
              <w:t xml:space="preserve"> de la </w:t>
            </w:r>
            <w:proofErr w:type="spellStart"/>
            <w:r w:rsidRPr="00B81C13">
              <w:rPr>
                <w:i/>
                <w:iCs/>
                <w:sz w:val="20"/>
              </w:rPr>
              <w:t>ultima</w:t>
            </w:r>
            <w:proofErr w:type="spellEnd"/>
            <w:r w:rsidRPr="00B81C13">
              <w:rPr>
                <w:i/>
                <w:iCs/>
                <w:sz w:val="20"/>
              </w:rPr>
              <w:t xml:space="preserve"> quincena de mayo de 2025.</w:t>
            </w:r>
          </w:p>
        </w:tc>
      </w:tr>
    </w:tbl>
    <w:p w14:paraId="7237FAD9" w14:textId="77777777" w:rsidR="00FE450E" w:rsidRDefault="00FE450E" w:rsidP="00963119">
      <w:pPr>
        <w:tabs>
          <w:tab w:val="left" w:pos="4667"/>
        </w:tabs>
        <w:spacing w:after="0" w:line="360" w:lineRule="auto"/>
        <w:ind w:right="567"/>
        <w:rPr>
          <w:szCs w:val="20"/>
        </w:rPr>
      </w:pPr>
    </w:p>
    <w:p w14:paraId="12538406" w14:textId="4E1A1815" w:rsidR="00387A7E" w:rsidRPr="00BE5F44" w:rsidRDefault="00E8206C" w:rsidP="00963119">
      <w:pPr>
        <w:tabs>
          <w:tab w:val="left" w:pos="4667"/>
        </w:tabs>
        <w:spacing w:after="0" w:line="360" w:lineRule="auto"/>
        <w:ind w:right="567"/>
        <w:rPr>
          <w:szCs w:val="20"/>
        </w:rPr>
      </w:pPr>
      <w:r w:rsidRPr="00BE5F44">
        <w:rPr>
          <w:szCs w:val="20"/>
        </w:rPr>
        <w:t xml:space="preserve">En todas las solicitudes </w:t>
      </w:r>
      <w:r w:rsidR="004E21B7">
        <w:rPr>
          <w:szCs w:val="20"/>
        </w:rPr>
        <w:t>estableció</w:t>
      </w:r>
      <w:r w:rsidRPr="00BE5F44">
        <w:rPr>
          <w:szCs w:val="20"/>
        </w:rPr>
        <w:t xml:space="preserve"> como modalidad de entrega a través del SAIMEX.</w:t>
      </w:r>
    </w:p>
    <w:p w14:paraId="3A94A141" w14:textId="62AF12B8" w:rsidR="00FE450E" w:rsidRDefault="00FE450E" w:rsidP="007A3708">
      <w:pPr>
        <w:tabs>
          <w:tab w:val="left" w:pos="4667"/>
        </w:tabs>
        <w:spacing w:after="0" w:line="360" w:lineRule="auto"/>
        <w:ind w:right="567"/>
        <w:rPr>
          <w:b/>
          <w:i/>
          <w:sz w:val="20"/>
          <w:szCs w:val="20"/>
        </w:rPr>
      </w:pPr>
    </w:p>
    <w:p w14:paraId="6F3EA0EF" w14:textId="08FDC797" w:rsidR="005C690F" w:rsidRPr="00BE5F44" w:rsidRDefault="00E24E36" w:rsidP="00A94A35">
      <w:pPr>
        <w:pStyle w:val="Ttulo2"/>
      </w:pPr>
      <w:bookmarkStart w:id="2" w:name="_Toc211524157"/>
      <w:r w:rsidRPr="00BE5F44">
        <w:t xml:space="preserve">II. </w:t>
      </w:r>
      <w:r w:rsidR="00C6040D" w:rsidRPr="00BE5F44">
        <w:t>Respuesta</w:t>
      </w:r>
      <w:r w:rsidR="00FA0896" w:rsidRPr="00BE5F44">
        <w:t>s</w:t>
      </w:r>
      <w:r w:rsidR="00C6040D" w:rsidRPr="00BE5F44">
        <w:t xml:space="preserve"> del Sujeto Obligado</w:t>
      </w:r>
      <w:bookmarkEnd w:id="2"/>
    </w:p>
    <w:p w14:paraId="469BCC58" w14:textId="77777777" w:rsidR="00C6040D" w:rsidRDefault="00C6040D" w:rsidP="00963119">
      <w:pPr>
        <w:spacing w:after="0" w:line="360" w:lineRule="auto"/>
        <w:rPr>
          <w:b/>
          <w:color w:val="FF0000"/>
        </w:rPr>
      </w:pPr>
    </w:p>
    <w:p w14:paraId="7FCAC970" w14:textId="77777777" w:rsidR="00244E20" w:rsidRPr="00BE5F44" w:rsidRDefault="00244E20" w:rsidP="00963119">
      <w:pPr>
        <w:spacing w:after="0" w:line="360" w:lineRule="auto"/>
        <w:rPr>
          <w:b/>
          <w:color w:val="FF0000"/>
        </w:rPr>
      </w:pPr>
    </w:p>
    <w:p w14:paraId="17C8D47D" w14:textId="1E65BF6F" w:rsidR="00963119" w:rsidRDefault="0029572E" w:rsidP="00963119">
      <w:pPr>
        <w:spacing w:after="0" w:line="360" w:lineRule="auto"/>
      </w:pPr>
      <w:bookmarkStart w:id="3" w:name="_heading=h.gjdgxs" w:colFirst="0" w:colLast="0"/>
      <w:bookmarkEnd w:id="3"/>
      <w:r w:rsidRPr="00BE5F44">
        <w:t xml:space="preserve">El </w:t>
      </w:r>
      <w:r w:rsidR="007A3708">
        <w:t>dos y diecisiete de julio</w:t>
      </w:r>
      <w:r w:rsidRPr="00BE5F44">
        <w:t xml:space="preserve"> de dos mil veinticinco</w:t>
      </w:r>
      <w:r w:rsidR="007D6307" w:rsidRPr="00BE5F44">
        <w:t xml:space="preserve">, el </w:t>
      </w:r>
      <w:r w:rsidRPr="00BE5F44">
        <w:t xml:space="preserve">Ayuntamiento de </w:t>
      </w:r>
      <w:r w:rsidR="00FA0896" w:rsidRPr="00BE5F44">
        <w:t>Toluca</w:t>
      </w:r>
      <w:r w:rsidRPr="00BE5F44">
        <w:t xml:space="preserve">, </w:t>
      </w:r>
      <w:r w:rsidR="007D6307" w:rsidRPr="00BE5F44">
        <w:t>notificó la respuesta a la</w:t>
      </w:r>
      <w:r w:rsidR="00182020" w:rsidRPr="00BE5F44">
        <w:t xml:space="preserve">s </w:t>
      </w:r>
      <w:r w:rsidR="007D6307" w:rsidRPr="00BE5F44">
        <w:t>solicitud</w:t>
      </w:r>
      <w:r w:rsidR="00182020" w:rsidRPr="00BE5F44">
        <w:t>es</w:t>
      </w:r>
      <w:r w:rsidR="007D6307" w:rsidRPr="00BE5F44">
        <w:t>, a través del Sistema de Acceso a la Informació</w:t>
      </w:r>
      <w:r w:rsidR="00F57508" w:rsidRPr="00BE5F44">
        <w:t xml:space="preserve">n Mexiquense (SAIMEX), </w:t>
      </w:r>
      <w:r w:rsidR="007A3708">
        <w:t xml:space="preserve">donde señaló lo siguiente: </w:t>
      </w:r>
    </w:p>
    <w:p w14:paraId="406DCCF5" w14:textId="77777777" w:rsidR="007A3708" w:rsidRDefault="007A3708" w:rsidP="00963119">
      <w:pPr>
        <w:spacing w:after="0" w:line="360" w:lineRule="auto"/>
      </w:pPr>
    </w:p>
    <w:p w14:paraId="4F5C9F5B" w14:textId="3B931F49" w:rsidR="007A3708" w:rsidRDefault="007A3708" w:rsidP="007A3708">
      <w:pPr>
        <w:pStyle w:val="Prrafodelista"/>
        <w:numPr>
          <w:ilvl w:val="0"/>
          <w:numId w:val="37"/>
        </w:numPr>
        <w:spacing w:line="360" w:lineRule="auto"/>
      </w:pPr>
      <w:r>
        <w:t xml:space="preserve">Oficio de fecha uno de julio de dos mil veinticinco, signado por la Directora de Recursos Humanos, donde refiere que la información solicitada puede encontrarse en </w:t>
      </w:r>
      <w:proofErr w:type="spellStart"/>
      <w:r>
        <w:t>Ipomex</w:t>
      </w:r>
      <w:proofErr w:type="spellEnd"/>
      <w:r>
        <w:t xml:space="preserve">. </w:t>
      </w:r>
    </w:p>
    <w:p w14:paraId="33098438" w14:textId="77777777" w:rsidR="007A3708" w:rsidRPr="007A3708" w:rsidRDefault="007A3708" w:rsidP="007A3708">
      <w:pPr>
        <w:pStyle w:val="Prrafodelista"/>
        <w:spacing w:line="360" w:lineRule="auto"/>
        <w:rPr>
          <w:b/>
          <w:i/>
        </w:rPr>
      </w:pPr>
      <w:r w:rsidRPr="007A3708">
        <w:rPr>
          <w:b/>
          <w:i/>
        </w:rPr>
        <w:t>03387/TOLUCA/IP/2025</w:t>
      </w:r>
    </w:p>
    <w:p w14:paraId="16241A79" w14:textId="0F221B42" w:rsidR="007A3708" w:rsidRDefault="007A3708" w:rsidP="007A3708">
      <w:pPr>
        <w:pStyle w:val="Prrafodelista"/>
        <w:numPr>
          <w:ilvl w:val="0"/>
          <w:numId w:val="37"/>
        </w:numPr>
        <w:spacing w:line="360" w:lineRule="auto"/>
      </w:pPr>
      <w:r>
        <w:t xml:space="preserve">Oficio de fecha dieciséis de junio de dos mil veinticinco, signado por la Coordinadora de Administración quien señala que remite los recibos de nómina correspondientes. </w:t>
      </w:r>
    </w:p>
    <w:p w14:paraId="0EBDDFC6" w14:textId="483A0C5E" w:rsidR="007A3708" w:rsidRDefault="007A3708" w:rsidP="007A3708">
      <w:pPr>
        <w:pStyle w:val="Prrafodelista"/>
        <w:numPr>
          <w:ilvl w:val="0"/>
          <w:numId w:val="37"/>
        </w:numPr>
        <w:spacing w:line="360" w:lineRule="auto"/>
      </w:pPr>
      <w:r>
        <w:t xml:space="preserve">Recibos de nómina en versión pública. </w:t>
      </w:r>
    </w:p>
    <w:p w14:paraId="4D65C26B" w14:textId="77777777" w:rsidR="007A3708" w:rsidRPr="00BE5F44" w:rsidRDefault="007A3708" w:rsidP="007A3708">
      <w:pPr>
        <w:pStyle w:val="Prrafodelista"/>
        <w:spacing w:line="360" w:lineRule="auto"/>
      </w:pPr>
    </w:p>
    <w:p w14:paraId="6770F932" w14:textId="5BFE0528" w:rsidR="005C690F" w:rsidRPr="00BE5F44" w:rsidRDefault="0026334C" w:rsidP="00A94A35">
      <w:pPr>
        <w:pStyle w:val="Ttulo2"/>
      </w:pPr>
      <w:bookmarkStart w:id="4" w:name="_Toc211524158"/>
      <w:r w:rsidRPr="00BE5F44">
        <w:t>III</w:t>
      </w:r>
      <w:r w:rsidR="007D6307" w:rsidRPr="00BE5F44">
        <w:t>. Interpo</w:t>
      </w:r>
      <w:r w:rsidR="00EB35EB" w:rsidRPr="00BE5F44">
        <w:t>sición de</w:t>
      </w:r>
      <w:r w:rsidR="00182020" w:rsidRPr="00BE5F44">
        <w:t xml:space="preserve"> </w:t>
      </w:r>
      <w:r w:rsidR="00EB35EB" w:rsidRPr="00BE5F44">
        <w:t>l</w:t>
      </w:r>
      <w:r w:rsidR="00182020" w:rsidRPr="00BE5F44">
        <w:t>os</w:t>
      </w:r>
      <w:r w:rsidR="00EB35EB" w:rsidRPr="00BE5F44">
        <w:t xml:space="preserve"> Recurso</w:t>
      </w:r>
      <w:r w:rsidR="00182020" w:rsidRPr="00BE5F44">
        <w:t>s</w:t>
      </w:r>
      <w:r w:rsidR="00EB35EB" w:rsidRPr="00BE5F44">
        <w:t xml:space="preserve"> de Revisión</w:t>
      </w:r>
      <w:bookmarkEnd w:id="4"/>
    </w:p>
    <w:p w14:paraId="7414D026" w14:textId="77777777" w:rsidR="005C690F" w:rsidRPr="00BE5F44" w:rsidRDefault="005C690F" w:rsidP="00963119">
      <w:pPr>
        <w:spacing w:after="0" w:line="360" w:lineRule="auto"/>
        <w:rPr>
          <w:color w:val="FF0000"/>
        </w:rPr>
      </w:pPr>
    </w:p>
    <w:p w14:paraId="5D822B9A" w14:textId="06F27F3A" w:rsidR="005C690F" w:rsidRPr="00BE5F44" w:rsidRDefault="0029572E" w:rsidP="00963119">
      <w:pPr>
        <w:widowControl w:val="0"/>
        <w:spacing w:after="0" w:line="360" w:lineRule="auto"/>
      </w:pPr>
      <w:r w:rsidRPr="00BE5F44">
        <w:t xml:space="preserve">El </w:t>
      </w:r>
      <w:r w:rsidR="007A3708">
        <w:t>veintidós de julio</w:t>
      </w:r>
      <w:r w:rsidR="002C4990">
        <w:t xml:space="preserve"> </w:t>
      </w:r>
      <w:r w:rsidR="00244E20">
        <w:t>y seis de agosto, ambos de dos mil veinticinco</w:t>
      </w:r>
      <w:r w:rsidR="007D6307" w:rsidRPr="00BE5F44">
        <w:t xml:space="preserve">, </w:t>
      </w:r>
      <w:r w:rsidR="00182020" w:rsidRPr="00BE5F44">
        <w:t>se recibieron</w:t>
      </w:r>
      <w:r w:rsidR="007D6307" w:rsidRPr="00BE5F44">
        <w:t xml:space="preserve"> en este Instituto, a través del Sistema de Acceso a la Información Mexiquense (SAIMEX), </w:t>
      </w:r>
      <w:r w:rsidR="002C4990">
        <w:t>tres</w:t>
      </w:r>
      <w:r w:rsidR="00182020" w:rsidRPr="00BE5F44">
        <w:t xml:space="preserve"> </w:t>
      </w:r>
      <w:r w:rsidR="007D6307" w:rsidRPr="00BE5F44">
        <w:t>Recurso</w:t>
      </w:r>
      <w:r w:rsidR="00182020" w:rsidRPr="00BE5F44">
        <w:t>s</w:t>
      </w:r>
      <w:r w:rsidR="007D6307" w:rsidRPr="00BE5F44">
        <w:t xml:space="preserve"> de Revisión</w:t>
      </w:r>
      <w:r w:rsidR="00182020" w:rsidRPr="00BE5F44">
        <w:t xml:space="preserve">, </w:t>
      </w:r>
      <w:r w:rsidR="007D6307" w:rsidRPr="00BE5F44">
        <w:t>interpuesto</w:t>
      </w:r>
      <w:r w:rsidR="00182020" w:rsidRPr="00BE5F44">
        <w:t>s</w:t>
      </w:r>
      <w:r w:rsidR="007D6307" w:rsidRPr="00BE5F44">
        <w:t xml:space="preserve"> por la </w:t>
      </w:r>
      <w:r w:rsidR="0026334C" w:rsidRPr="00BE5F44">
        <w:t>persona</w:t>
      </w:r>
      <w:r w:rsidR="007D6307" w:rsidRPr="00BE5F44">
        <w:t xml:space="preserve"> Recurrente, en contra de la respuesta del Sujeto Obligado, </w:t>
      </w:r>
      <w:r w:rsidR="007A3708">
        <w:t>el cual</w:t>
      </w:r>
      <w:r w:rsidR="00244E20">
        <w:t xml:space="preserve"> los presentados en la primera fecha</w:t>
      </w:r>
      <w:r w:rsidR="007A3708">
        <w:t xml:space="preserve"> por corresponder a días inhábiles quedó registrado el cuatro de agosto </w:t>
      </w:r>
      <w:r w:rsidR="00244E20">
        <w:t>del presente año</w:t>
      </w:r>
      <w:r w:rsidR="007A3708">
        <w:t xml:space="preserve">, </w:t>
      </w:r>
      <w:r w:rsidR="007D6307" w:rsidRPr="00BE5F44">
        <w:t xml:space="preserve">en los </w:t>
      </w:r>
      <w:r w:rsidR="002C4990">
        <w:t xml:space="preserve">mismos </w:t>
      </w:r>
      <w:r w:rsidR="007D6307" w:rsidRPr="00BE5F44">
        <w:t xml:space="preserve">términos </w:t>
      </w:r>
      <w:r w:rsidR="002C4990">
        <w:t xml:space="preserve">conforme a lo </w:t>
      </w:r>
      <w:r w:rsidR="007D6307" w:rsidRPr="00BE5F44">
        <w:t xml:space="preserve">siguiente: </w:t>
      </w:r>
    </w:p>
    <w:p w14:paraId="65CF9F11" w14:textId="77777777" w:rsidR="005C690F" w:rsidRDefault="005C690F" w:rsidP="00963119">
      <w:pPr>
        <w:tabs>
          <w:tab w:val="left" w:pos="4667"/>
        </w:tabs>
        <w:spacing w:after="0" w:line="360" w:lineRule="auto"/>
        <w:ind w:left="567" w:right="567"/>
        <w:rPr>
          <w:b/>
          <w:i/>
          <w:color w:val="FF0000"/>
          <w:sz w:val="20"/>
          <w:szCs w:val="20"/>
        </w:rPr>
      </w:pPr>
    </w:p>
    <w:p w14:paraId="12DCD404" w14:textId="77777777" w:rsidR="002C4990" w:rsidRDefault="002C4990" w:rsidP="002C4990">
      <w:pPr>
        <w:spacing w:after="0" w:line="360" w:lineRule="auto"/>
        <w:ind w:left="567" w:right="567"/>
        <w:rPr>
          <w:bCs/>
          <w:i/>
          <w:sz w:val="20"/>
          <w:szCs w:val="20"/>
        </w:rPr>
      </w:pPr>
      <w:r>
        <w:rPr>
          <w:b/>
          <w:bCs/>
          <w:i/>
          <w:sz w:val="20"/>
          <w:szCs w:val="20"/>
        </w:rPr>
        <w:t>‘’ACTO IMPUGNADO</w:t>
      </w:r>
    </w:p>
    <w:p w14:paraId="3CBE5773" w14:textId="633BA492" w:rsidR="002C4990" w:rsidRDefault="007A3708" w:rsidP="002C4990">
      <w:pPr>
        <w:spacing w:after="0" w:line="360" w:lineRule="auto"/>
        <w:ind w:left="567" w:right="567"/>
        <w:rPr>
          <w:i/>
          <w:sz w:val="20"/>
          <w:szCs w:val="20"/>
        </w:rPr>
      </w:pPr>
      <w:r w:rsidRPr="007A3708">
        <w:rPr>
          <w:i/>
          <w:iCs/>
          <w:sz w:val="20"/>
          <w:szCs w:val="20"/>
        </w:rPr>
        <w:t>La negativa de la información son opacos y se exige se entregue lo solicitado</w:t>
      </w:r>
      <w:r w:rsidR="002C4990">
        <w:rPr>
          <w:i/>
          <w:iCs/>
          <w:sz w:val="20"/>
          <w:szCs w:val="20"/>
        </w:rPr>
        <w:t>” (Sic.)</w:t>
      </w:r>
    </w:p>
    <w:p w14:paraId="6D2DA0E1" w14:textId="77777777" w:rsidR="002C4990" w:rsidRDefault="002C4990" w:rsidP="002C4990">
      <w:pPr>
        <w:spacing w:after="0" w:line="360" w:lineRule="auto"/>
        <w:ind w:left="567" w:right="567"/>
        <w:rPr>
          <w:i/>
          <w:sz w:val="20"/>
          <w:szCs w:val="20"/>
        </w:rPr>
      </w:pPr>
    </w:p>
    <w:p w14:paraId="0A81CA3B" w14:textId="77777777" w:rsidR="002C4990" w:rsidRDefault="002C4990" w:rsidP="002C4990">
      <w:pPr>
        <w:spacing w:after="0" w:line="360" w:lineRule="auto"/>
        <w:ind w:left="567" w:right="567"/>
        <w:rPr>
          <w:b/>
          <w:i/>
          <w:sz w:val="20"/>
          <w:szCs w:val="20"/>
        </w:rPr>
      </w:pPr>
      <w:r>
        <w:rPr>
          <w:b/>
          <w:i/>
          <w:sz w:val="20"/>
          <w:szCs w:val="20"/>
        </w:rPr>
        <w:t>‘’RAZONES O MOTIVOS DE LA INCONFORMIDAD</w:t>
      </w:r>
    </w:p>
    <w:p w14:paraId="303801E4" w14:textId="6D1491AC" w:rsidR="002C4990" w:rsidRDefault="007A3708" w:rsidP="002C4990">
      <w:pPr>
        <w:spacing w:after="0" w:line="360" w:lineRule="auto"/>
        <w:ind w:left="567" w:right="567"/>
        <w:rPr>
          <w:i/>
          <w:iCs/>
          <w:sz w:val="20"/>
          <w:szCs w:val="20"/>
        </w:rPr>
      </w:pPr>
      <w:r w:rsidRPr="007A3708">
        <w:rPr>
          <w:i/>
          <w:iCs/>
          <w:sz w:val="20"/>
          <w:szCs w:val="20"/>
        </w:rPr>
        <w:t>La negativa de la información son opacos y se exige se entregue lo solicitado</w:t>
      </w:r>
      <w:r w:rsidR="002C4990">
        <w:rPr>
          <w:i/>
          <w:iCs/>
          <w:sz w:val="20"/>
          <w:szCs w:val="20"/>
        </w:rPr>
        <w:t>” (Sic.)</w:t>
      </w:r>
    </w:p>
    <w:p w14:paraId="33042135" w14:textId="77777777" w:rsidR="002C4990" w:rsidRDefault="002C4990" w:rsidP="002C4990">
      <w:pPr>
        <w:widowControl w:val="0"/>
        <w:spacing w:after="0" w:line="360" w:lineRule="auto"/>
      </w:pPr>
    </w:p>
    <w:p w14:paraId="62480CDA" w14:textId="77777777" w:rsidR="00244E20" w:rsidRPr="002C4990" w:rsidRDefault="00244E20" w:rsidP="002C4990">
      <w:pPr>
        <w:widowControl w:val="0"/>
        <w:spacing w:after="0" w:line="360" w:lineRule="auto"/>
      </w:pPr>
    </w:p>
    <w:p w14:paraId="401C00BF" w14:textId="4FFEC317" w:rsidR="002C4990" w:rsidRDefault="002C4990" w:rsidP="002C4990">
      <w:pPr>
        <w:widowControl w:val="0"/>
        <w:spacing w:after="0" w:line="360" w:lineRule="auto"/>
      </w:pPr>
      <w:r>
        <w:t>El Particular adjuntó la digitalización de un escrito libre por medio del cual solicita se le entregue el último recibo de nómina, pues este sirve para transparentar en que se utiliza el dinero público y erogaciones de sueldos.</w:t>
      </w:r>
    </w:p>
    <w:p w14:paraId="21170673" w14:textId="77777777" w:rsidR="002C4990" w:rsidRPr="002C4990" w:rsidRDefault="002C4990" w:rsidP="002C4990">
      <w:pPr>
        <w:widowControl w:val="0"/>
        <w:spacing w:after="0" w:line="360" w:lineRule="auto"/>
      </w:pPr>
    </w:p>
    <w:p w14:paraId="60D99221" w14:textId="61809419" w:rsidR="005C690F" w:rsidRPr="00BE5F44" w:rsidRDefault="0029572E" w:rsidP="00A94A35">
      <w:pPr>
        <w:pStyle w:val="Ttulo2"/>
      </w:pPr>
      <w:bookmarkStart w:id="5" w:name="_Toc211524159"/>
      <w:r w:rsidRPr="00BE5F44">
        <w:t>I</w:t>
      </w:r>
      <w:r w:rsidR="007D6307" w:rsidRPr="00BE5F44">
        <w:t>V. Trámite de</w:t>
      </w:r>
      <w:r w:rsidR="00A72698" w:rsidRPr="00BE5F44">
        <w:t xml:space="preserve"> </w:t>
      </w:r>
      <w:r w:rsidR="007D6307" w:rsidRPr="00BE5F44">
        <w:t>l</w:t>
      </w:r>
      <w:r w:rsidR="00A72698" w:rsidRPr="00BE5F44">
        <w:t>os</w:t>
      </w:r>
      <w:r w:rsidR="007D6307" w:rsidRPr="00BE5F44">
        <w:t xml:space="preserve"> Recurso</w:t>
      </w:r>
      <w:r w:rsidR="00A72698" w:rsidRPr="00BE5F44">
        <w:t>s</w:t>
      </w:r>
      <w:r w:rsidR="007D6307" w:rsidRPr="00BE5F44">
        <w:t xml:space="preserve"> </w:t>
      </w:r>
      <w:r w:rsidR="00EB35EB" w:rsidRPr="00BE5F44">
        <w:t>de Revisión ante este Instituto</w:t>
      </w:r>
      <w:bookmarkEnd w:id="5"/>
    </w:p>
    <w:p w14:paraId="15C7ED82" w14:textId="77777777" w:rsidR="005C690F" w:rsidRPr="00BE5F44" w:rsidRDefault="005C690F" w:rsidP="00963119">
      <w:pPr>
        <w:spacing w:after="0" w:line="360" w:lineRule="auto"/>
        <w:rPr>
          <w:b/>
          <w:color w:val="FF0000"/>
        </w:rPr>
      </w:pPr>
    </w:p>
    <w:p w14:paraId="31EF4ED2" w14:textId="706A77C2" w:rsidR="005C690F" w:rsidRPr="00BE5F44" w:rsidRDefault="007D6307" w:rsidP="00963119">
      <w:pPr>
        <w:spacing w:after="0" w:line="360" w:lineRule="auto"/>
        <w:rPr>
          <w:b/>
        </w:rPr>
      </w:pPr>
      <w:r w:rsidRPr="007A3708">
        <w:rPr>
          <w:b/>
        </w:rPr>
        <w:t>a) Turno de</w:t>
      </w:r>
      <w:r w:rsidR="00A72698" w:rsidRPr="007A3708">
        <w:rPr>
          <w:b/>
        </w:rPr>
        <w:t xml:space="preserve"> </w:t>
      </w:r>
      <w:r w:rsidRPr="007A3708">
        <w:rPr>
          <w:b/>
        </w:rPr>
        <w:t>l</w:t>
      </w:r>
      <w:r w:rsidR="00A72698" w:rsidRPr="007A3708">
        <w:rPr>
          <w:b/>
        </w:rPr>
        <w:t>os</w:t>
      </w:r>
      <w:r w:rsidRPr="007A3708">
        <w:rPr>
          <w:b/>
        </w:rPr>
        <w:t xml:space="preserve"> Medio</w:t>
      </w:r>
      <w:r w:rsidR="00A72698" w:rsidRPr="007A3708">
        <w:rPr>
          <w:b/>
        </w:rPr>
        <w:t>s</w:t>
      </w:r>
      <w:r w:rsidRPr="007A3708">
        <w:rPr>
          <w:b/>
        </w:rPr>
        <w:t xml:space="preserve"> de Impugnación. </w:t>
      </w:r>
      <w:r w:rsidRPr="007A3708">
        <w:t xml:space="preserve">El </w:t>
      </w:r>
      <w:r w:rsidR="00244E20">
        <w:t xml:space="preserve">cuatro </w:t>
      </w:r>
      <w:r w:rsidR="007A3708">
        <w:t>y seis de agosto</w:t>
      </w:r>
      <w:r w:rsidR="003C5185" w:rsidRPr="007A3708">
        <w:t xml:space="preserve"> </w:t>
      </w:r>
      <w:r w:rsidR="0029572E" w:rsidRPr="007A3708">
        <w:t>de dos mil veinticinco</w:t>
      </w:r>
      <w:r w:rsidRPr="007A3708">
        <w:t>, el Sistema de Acceso a la Información Mexiquense (SAIMEX), asignó el número de expediente</w:t>
      </w:r>
      <w:r w:rsidRPr="007A3708">
        <w:rPr>
          <w:b/>
        </w:rPr>
        <w:t xml:space="preserve"> </w:t>
      </w:r>
      <w:r w:rsidR="007A3708" w:rsidRPr="007A3708">
        <w:rPr>
          <w:b/>
        </w:rPr>
        <w:t xml:space="preserve">08981/INFOEM/IP/RR/2025, 09000/INFOEM/IP/RR/2025, 09212/INFOEM/IP/RR/2025, 09215,/INFOEM/IP/RR/2025, 09218/INFOEM/IP/RR/2025, 09219/INFOEM/IP/RR/2025, 09220/INFOEM/IP/RR/2025, 09222/INFOEM/IP/RR/2025, 09223INFOEM/IP/RR/2025, 09230/INFOEM/IP/RR/2025 y 09231/INFOEM/IP/RR/2025 </w:t>
      </w:r>
      <w:r w:rsidRPr="007A3708">
        <w:t>a</w:t>
      </w:r>
      <w:r w:rsidR="00A72698" w:rsidRPr="007A3708">
        <w:t xml:space="preserve"> </w:t>
      </w:r>
      <w:r w:rsidRPr="007A3708">
        <w:t>l</w:t>
      </w:r>
      <w:r w:rsidR="00A72698" w:rsidRPr="007A3708">
        <w:t>os</w:t>
      </w:r>
      <w:r w:rsidRPr="007A3708">
        <w:t xml:space="preserve"> Medio</w:t>
      </w:r>
      <w:r w:rsidR="00A72698" w:rsidRPr="007A3708">
        <w:t>s</w:t>
      </w:r>
      <w:r w:rsidRPr="007A3708">
        <w:t xml:space="preserve"> de Impugnación que nos ocupa</w:t>
      </w:r>
      <w:r w:rsidR="00A72698" w:rsidRPr="007A3708">
        <w:t>n</w:t>
      </w:r>
      <w:r w:rsidRPr="007A3708">
        <w:t>, con base en el sistema aprobado por el Pleno de este Órgano Garante y lo</w:t>
      </w:r>
      <w:r w:rsidR="00A72698" w:rsidRPr="007A3708">
        <w:t>s</w:t>
      </w:r>
      <w:r w:rsidRPr="007A3708">
        <w:t xml:space="preserve"> turn</w:t>
      </w:r>
      <w:r w:rsidR="00A72698" w:rsidRPr="007A3708">
        <w:t>aron</w:t>
      </w:r>
      <w:r w:rsidRPr="007A3708">
        <w:t xml:space="preserve"> a</w:t>
      </w:r>
      <w:r w:rsidR="00021D8D" w:rsidRPr="007A3708">
        <w:t xml:space="preserve"> los</w:t>
      </w:r>
      <w:r w:rsidRPr="007A3708">
        <w:t xml:space="preserve"> </w:t>
      </w:r>
      <w:r w:rsidRPr="007A3708">
        <w:rPr>
          <w:b/>
        </w:rPr>
        <w:t>Comisionado</w:t>
      </w:r>
      <w:r w:rsidR="00021D8D" w:rsidRPr="007A3708">
        <w:rPr>
          <w:b/>
        </w:rPr>
        <w:t>s</w:t>
      </w:r>
      <w:r w:rsidRPr="007A3708">
        <w:rPr>
          <w:b/>
        </w:rPr>
        <w:t xml:space="preserve"> Luis Gustavo Parra Noriega</w:t>
      </w:r>
      <w:r w:rsidR="002C4990" w:rsidRPr="007A3708">
        <w:rPr>
          <w:b/>
        </w:rPr>
        <w:t>, Guadalupe Ramírez Peña y Sharon Cristina Morales Martínez</w:t>
      </w:r>
      <w:r w:rsidR="00A72698" w:rsidRPr="007A3708">
        <w:rPr>
          <w:b/>
        </w:rPr>
        <w:t xml:space="preserve">, </w:t>
      </w:r>
      <w:r w:rsidR="00A72698" w:rsidRPr="007A3708">
        <w:rPr>
          <w:bCs/>
        </w:rPr>
        <w:t>respectivamente</w:t>
      </w:r>
      <w:r w:rsidRPr="007A3708">
        <w:t>, para los efectos del artículo 185, fracción I de la Ley de Transparencia y Acceso a la Información Pública del Estado de México y Municipios.</w:t>
      </w:r>
    </w:p>
    <w:p w14:paraId="44AFA9C7" w14:textId="77777777" w:rsidR="005C690F" w:rsidRPr="00BE5F44" w:rsidRDefault="005C690F" w:rsidP="00963119">
      <w:pPr>
        <w:spacing w:after="0" w:line="360" w:lineRule="auto"/>
        <w:rPr>
          <w:color w:val="FF0000"/>
        </w:rPr>
      </w:pPr>
    </w:p>
    <w:p w14:paraId="221108D1" w14:textId="4699F66B" w:rsidR="005C690F" w:rsidRPr="00BE5F44" w:rsidRDefault="00DF525C" w:rsidP="00963119">
      <w:pPr>
        <w:spacing w:after="0" w:line="360" w:lineRule="auto"/>
      </w:pPr>
      <w:r w:rsidRPr="00BE5F44">
        <w:rPr>
          <w:rFonts w:eastAsia="Batang" w:cs="Tahoma"/>
          <w:b/>
          <w:bCs/>
          <w:lang w:eastAsia="es-ES"/>
        </w:rPr>
        <w:t xml:space="preserve">b) </w:t>
      </w:r>
      <w:r w:rsidR="007D6307" w:rsidRPr="00BE5F44">
        <w:rPr>
          <w:b/>
        </w:rPr>
        <w:t xml:space="preserve">Admisión del Recurso de Revisión. </w:t>
      </w:r>
      <w:r w:rsidR="007D6307" w:rsidRPr="00BE5F44">
        <w:t xml:space="preserve">El </w:t>
      </w:r>
      <w:r w:rsidR="007A3708">
        <w:t>siete, ocho y once de agosto</w:t>
      </w:r>
      <w:r w:rsidR="00E73BE4" w:rsidRPr="00BE5F44">
        <w:t xml:space="preserve"> de dos mil veinticinco</w:t>
      </w:r>
      <w:r w:rsidR="007D6307" w:rsidRPr="00BE5F44">
        <w:t>,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w:t>
      </w:r>
      <w:r w:rsidR="00950E22" w:rsidRPr="00BE5F44">
        <w:t xml:space="preserve"> mismo día</w:t>
      </w:r>
      <w:r w:rsidR="007D6307" w:rsidRPr="00BE5F44">
        <w:t xml:space="preserve">, a través del Sistema de Acceso a la Información Mexiquense (SAIMEX), en el que se les otorgó un plazo de siete días hábiles posteriores a la misma, para que manifestaran lo que a su derecho conviniera y formularan alegatos. </w:t>
      </w:r>
    </w:p>
    <w:p w14:paraId="028C0562" w14:textId="77777777" w:rsidR="005C690F" w:rsidRPr="00BE5F44" w:rsidRDefault="005C690F" w:rsidP="00963119">
      <w:pPr>
        <w:spacing w:after="0" w:line="360" w:lineRule="auto"/>
        <w:rPr>
          <w:color w:val="FF0000"/>
        </w:rPr>
      </w:pPr>
    </w:p>
    <w:p w14:paraId="2E127AD0" w14:textId="3C28F0E8" w:rsidR="00A72698" w:rsidRPr="00BE5F44" w:rsidRDefault="007E41C3" w:rsidP="00963119">
      <w:pPr>
        <w:spacing w:after="0" w:line="360" w:lineRule="auto"/>
        <w:rPr>
          <w:rFonts w:cs="Tahoma"/>
          <w:b/>
          <w:bCs/>
          <w:color w:val="0D0D0D" w:themeColor="text1" w:themeTint="F2"/>
          <w:lang w:val="es-ES_tradnl"/>
        </w:rPr>
      </w:pPr>
      <w:r w:rsidRPr="00BE5F44">
        <w:rPr>
          <w:b/>
        </w:rPr>
        <w:lastRenderedPageBreak/>
        <w:t>c</w:t>
      </w:r>
      <w:r w:rsidR="007D6307" w:rsidRPr="00BE5F44">
        <w:rPr>
          <w:b/>
        </w:rPr>
        <w:t xml:space="preserve">) </w:t>
      </w:r>
      <w:r w:rsidR="00A72698" w:rsidRPr="00BE5F44">
        <w:rPr>
          <w:rFonts w:eastAsia="Calibri" w:cs="Tahoma"/>
          <w:b/>
        </w:rPr>
        <w:t>Acumulación de los asuntos.</w:t>
      </w:r>
      <w:r w:rsidR="00D25CFA" w:rsidRPr="00BE5F44">
        <w:rPr>
          <w:rFonts w:eastAsia="Calibri" w:cs="Tahoma"/>
        </w:rPr>
        <w:t xml:space="preserve"> El </w:t>
      </w:r>
      <w:r w:rsidR="007A3708">
        <w:rPr>
          <w:rFonts w:eastAsia="Calibri" w:cs="Tahoma"/>
        </w:rPr>
        <w:t>veintiuno de agosto</w:t>
      </w:r>
      <w:r w:rsidR="00A72698" w:rsidRPr="00BE5F44">
        <w:rPr>
          <w:rFonts w:eastAsia="Calibri" w:cs="Tahoma"/>
        </w:rPr>
        <w:t xml:space="preserve"> de dos mil veinticinco, el Pleno del Instituto de Transparencia, Acceso a la Información Pública y Protección de Datos Personales del Estado de México</w:t>
      </w:r>
      <w:r w:rsidR="00D25CFA" w:rsidRPr="00BE5F44">
        <w:rPr>
          <w:rFonts w:eastAsia="Calibri" w:cs="Tahoma"/>
        </w:rPr>
        <w:t xml:space="preserve"> y Municipios, durante la Décima</w:t>
      </w:r>
      <w:r w:rsidR="002C4990">
        <w:rPr>
          <w:rFonts w:eastAsia="Calibri" w:cs="Tahoma"/>
        </w:rPr>
        <w:t xml:space="preserve"> Octava</w:t>
      </w:r>
      <w:r w:rsidR="00A72698" w:rsidRPr="00BE5F44">
        <w:rPr>
          <w:rFonts w:eastAsia="Calibri" w:cs="Tahoma"/>
        </w:rPr>
        <w:t xml:space="preserve"> Sesión Ordinaria,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A72698" w:rsidRPr="00BE5F44">
        <w:rPr>
          <w:rFonts w:eastAsia="Calibri" w:cs="Tahoma"/>
          <w:b/>
          <w:bCs/>
        </w:rPr>
        <w:t xml:space="preserve">decretó </w:t>
      </w:r>
      <w:r w:rsidR="00A72698" w:rsidRPr="00BE5F44">
        <w:rPr>
          <w:rFonts w:eastAsia="Calibri" w:cs="Tahoma"/>
        </w:rPr>
        <w:t>la acumulación del Recurso de Revisión</w:t>
      </w:r>
      <w:r w:rsidR="00A72698" w:rsidRPr="00BE5F44">
        <w:rPr>
          <w:rFonts w:cs="Tahoma"/>
          <w:b/>
          <w:bCs/>
          <w:color w:val="0D0D0D" w:themeColor="text1" w:themeTint="F2"/>
          <w:lang w:val="es-ES_tradnl"/>
        </w:rPr>
        <w:t xml:space="preserve"> </w:t>
      </w:r>
      <w:r w:rsidR="007A3708" w:rsidRPr="007A3708">
        <w:rPr>
          <w:b/>
        </w:rPr>
        <w:t xml:space="preserve">09000/INFOEM/IP/RR/2025, 09212/INFOEM/IP/RR/2025, 09215,/INFOEM/IP/RR/2025, 09218/INFOEM/IP/RR/2025, 09219/INFOEM/IP/RR/2025, 09220/INFOEM/IP/RR/2025, 09222/INFOEM/IP/RR/2025, 09223INFOEM/IP/RR/2025, 09230/INFOEM/IP/RR/2025 y 09231/INFOEM/IP/RR/2025 </w:t>
      </w:r>
      <w:r w:rsidR="00A72698" w:rsidRPr="00BE5F44">
        <w:rPr>
          <w:b/>
          <w:bCs/>
        </w:rPr>
        <w:t xml:space="preserve"> </w:t>
      </w:r>
      <w:r w:rsidR="00A72698" w:rsidRPr="00BE5F44">
        <w:rPr>
          <w:rFonts w:eastAsia="Calibri" w:cs="Tahoma"/>
        </w:rPr>
        <w:t>al diverso</w:t>
      </w:r>
      <w:r w:rsidR="00A72698" w:rsidRPr="00BE5F44">
        <w:rPr>
          <w:rFonts w:cs="Tahoma"/>
          <w:b/>
          <w:bCs/>
          <w:color w:val="0D0D0D" w:themeColor="text1" w:themeTint="F2"/>
          <w:lang w:val="es-ES_tradnl"/>
        </w:rPr>
        <w:t xml:space="preserve"> </w:t>
      </w:r>
      <w:r w:rsidR="007A3708" w:rsidRPr="007A3708">
        <w:rPr>
          <w:b/>
        </w:rPr>
        <w:t>08981/INFOEM/IP/RR/2025</w:t>
      </w:r>
      <w:r w:rsidR="00A72698" w:rsidRPr="00BE5F44">
        <w:rPr>
          <w:rFonts w:eastAsia="Calibri" w:cs="Tahoma"/>
          <w:b/>
          <w:bCs/>
        </w:rPr>
        <w:t>,</w:t>
      </w:r>
      <w:r w:rsidR="00A72698" w:rsidRPr="00BE5F44">
        <w:rPr>
          <w:rFonts w:eastAsia="Calibri" w:cs="Tahoma"/>
        </w:rPr>
        <w:t xml:space="preserve"> por ser este último el más antiguo, sustanciado bajo el índice de esta Ponencia.</w:t>
      </w:r>
    </w:p>
    <w:p w14:paraId="13DD9653" w14:textId="77777777" w:rsidR="00A72698" w:rsidRPr="00BE5F44" w:rsidRDefault="00A72698" w:rsidP="00963119">
      <w:pPr>
        <w:spacing w:after="0" w:line="360" w:lineRule="auto"/>
        <w:rPr>
          <w:b/>
        </w:rPr>
      </w:pPr>
    </w:p>
    <w:p w14:paraId="4BAB196A" w14:textId="6969A3D6" w:rsidR="005C690F" w:rsidRPr="00BE5F44" w:rsidRDefault="00A72698" w:rsidP="00963119">
      <w:pPr>
        <w:spacing w:after="0" w:line="360" w:lineRule="auto"/>
      </w:pPr>
      <w:r w:rsidRPr="00BE5F44">
        <w:rPr>
          <w:b/>
        </w:rPr>
        <w:t xml:space="preserve">d) </w:t>
      </w:r>
      <w:r w:rsidR="007D6307" w:rsidRPr="00BE5F44">
        <w:rPr>
          <w:b/>
        </w:rPr>
        <w:t>Informe Justificad</w:t>
      </w:r>
      <w:r w:rsidR="00E73BE4" w:rsidRPr="00BE5F44">
        <w:rPr>
          <w:b/>
        </w:rPr>
        <w:t>o o manifestaciones</w:t>
      </w:r>
      <w:r w:rsidR="007D6307" w:rsidRPr="00BE5F44">
        <w:rPr>
          <w:b/>
        </w:rPr>
        <w:t>.</w:t>
      </w:r>
      <w:r w:rsidR="007D6307" w:rsidRPr="00BE5F44">
        <w:t xml:space="preserve"> </w:t>
      </w:r>
      <w:r w:rsidR="00D30C9B" w:rsidRPr="00BE5F44">
        <w:t xml:space="preserve">El </w:t>
      </w:r>
      <w:r w:rsidR="007A3708">
        <w:t>trec</w:t>
      </w:r>
      <w:r w:rsidR="007475B9">
        <w:t xml:space="preserve">e, </w:t>
      </w:r>
      <w:r w:rsidR="007A3708">
        <w:t>dieciocho</w:t>
      </w:r>
      <w:r w:rsidR="00CC678B">
        <w:t>,</w:t>
      </w:r>
      <w:r w:rsidR="007475B9">
        <w:t xml:space="preserve"> diecinueve</w:t>
      </w:r>
      <w:r w:rsidR="00CC678B">
        <w:t xml:space="preserve"> y veinte </w:t>
      </w:r>
      <w:r w:rsidR="007A3708">
        <w:t>de agosto</w:t>
      </w:r>
      <w:r w:rsidR="00D30C9B" w:rsidRPr="00BE5F44">
        <w:t xml:space="preserve"> de dos mil veinticinco, </w:t>
      </w:r>
      <w:r w:rsidR="002C4990">
        <w:t>se recibió a través del Sistema de Acceso a la Información Mexiquense (SAIM</w:t>
      </w:r>
      <w:r w:rsidR="00CC678B">
        <w:t xml:space="preserve">EX), los Informes Justificados, en donde el Sujeto Obligado ratificó su respuesta inicial. </w:t>
      </w:r>
    </w:p>
    <w:p w14:paraId="2C0B2A74" w14:textId="77777777" w:rsidR="0005404B" w:rsidRPr="00BE5F44" w:rsidRDefault="0005404B" w:rsidP="00963119">
      <w:pPr>
        <w:spacing w:after="0" w:line="360" w:lineRule="auto"/>
      </w:pPr>
    </w:p>
    <w:p w14:paraId="600ED022" w14:textId="220608AC" w:rsidR="002C4990" w:rsidRDefault="00A72698" w:rsidP="00963119">
      <w:pPr>
        <w:spacing w:after="0" w:line="360" w:lineRule="auto"/>
        <w:rPr>
          <w:b/>
          <w:bCs/>
        </w:rPr>
      </w:pPr>
      <w:r w:rsidRPr="00BE5F44">
        <w:rPr>
          <w:b/>
          <w:bCs/>
        </w:rPr>
        <w:t>e</w:t>
      </w:r>
      <w:r w:rsidR="000229AF" w:rsidRPr="00BE5F44">
        <w:rPr>
          <w:b/>
          <w:bCs/>
        </w:rPr>
        <w:t>)</w:t>
      </w:r>
      <w:r w:rsidR="002C4990" w:rsidRPr="002C4990">
        <w:rPr>
          <w:b/>
        </w:rPr>
        <w:t xml:space="preserve"> </w:t>
      </w:r>
      <w:r w:rsidR="002C4990">
        <w:rPr>
          <w:b/>
        </w:rPr>
        <w:t>Vista del Informe Justificado.</w:t>
      </w:r>
      <w:r w:rsidR="002C4990">
        <w:t xml:space="preserve"> El </w:t>
      </w:r>
      <w:proofErr w:type="spellStart"/>
      <w:r w:rsidR="00244E20">
        <w:t>el</w:t>
      </w:r>
      <w:proofErr w:type="spellEnd"/>
      <w:r w:rsidR="00244E20">
        <w:t xml:space="preserve"> diez</w:t>
      </w:r>
      <w:r w:rsidR="00CC678B">
        <w:t xml:space="preserve"> de noviembre</w:t>
      </w:r>
      <w:r w:rsidR="002C4990">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p>
    <w:p w14:paraId="2953F9D5" w14:textId="77777777" w:rsidR="002C4990" w:rsidRDefault="002C4990" w:rsidP="00963119">
      <w:pPr>
        <w:spacing w:after="0" w:line="360" w:lineRule="auto"/>
        <w:rPr>
          <w:b/>
          <w:bCs/>
        </w:rPr>
      </w:pPr>
    </w:p>
    <w:p w14:paraId="085140C5" w14:textId="0E4C3D3E" w:rsidR="002C4990" w:rsidRDefault="002C4990" w:rsidP="00963119">
      <w:pPr>
        <w:spacing w:after="0" w:line="360" w:lineRule="auto"/>
        <w:rPr>
          <w:b/>
          <w:bCs/>
        </w:rPr>
      </w:pPr>
      <w:r>
        <w:rPr>
          <w:b/>
          <w:bCs/>
        </w:rPr>
        <w:t xml:space="preserve">f) </w:t>
      </w:r>
      <w:r>
        <w:rPr>
          <w:rFonts w:cs="Tahoma"/>
          <w:b/>
          <w:bCs/>
        </w:rPr>
        <w:t xml:space="preserve">Ampliación de plazo para resolver. </w:t>
      </w:r>
      <w:r>
        <w:rPr>
          <w:rFonts w:cs="Tahoma"/>
        </w:rPr>
        <w:t xml:space="preserve">El </w:t>
      </w:r>
      <w:r w:rsidR="00CC678B">
        <w:rPr>
          <w:rFonts w:cs="Tahoma"/>
        </w:rPr>
        <w:t>doce de noviembre</w:t>
      </w:r>
      <w:r>
        <w:rPr>
          <w:rFonts w:cs="Tahoma"/>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Pr>
          <w:rFonts w:cs="Tahoma"/>
        </w:rPr>
        <w:lastRenderedPageBreak/>
        <w:t>Recurso de Revisión que nos ocupa; acto que fue notificado a las partes, mediante el Sistema de Acceso a la Información Mexiquense (SAIMEX)</w:t>
      </w:r>
      <w:r w:rsidR="002B54ED">
        <w:rPr>
          <w:rFonts w:cs="Tahoma"/>
        </w:rPr>
        <w:t>.</w:t>
      </w:r>
    </w:p>
    <w:p w14:paraId="024B0825" w14:textId="77777777" w:rsidR="002C4990" w:rsidRDefault="002C4990" w:rsidP="00963119">
      <w:pPr>
        <w:spacing w:after="0" w:line="360" w:lineRule="auto"/>
        <w:rPr>
          <w:b/>
          <w:bCs/>
        </w:rPr>
      </w:pPr>
    </w:p>
    <w:p w14:paraId="43765914" w14:textId="1A9DAF7E" w:rsidR="00E93EE3" w:rsidRPr="00E93EE3" w:rsidRDefault="002C4990" w:rsidP="00963119">
      <w:pPr>
        <w:spacing w:after="0" w:line="360" w:lineRule="auto"/>
      </w:pPr>
      <w:r>
        <w:rPr>
          <w:b/>
          <w:bCs/>
        </w:rPr>
        <w:t>g)</w:t>
      </w:r>
      <w:r w:rsidR="000229AF" w:rsidRPr="00BE5F44">
        <w:rPr>
          <w:b/>
          <w:bCs/>
        </w:rPr>
        <w:t xml:space="preserve"> </w:t>
      </w:r>
      <w:r w:rsidR="00E93EE3" w:rsidRPr="00A94A35">
        <w:rPr>
          <w:b/>
          <w:bCs/>
        </w:rPr>
        <w:t xml:space="preserve">Manifestaciones de la persona Recurrente: </w:t>
      </w:r>
      <w:r w:rsidR="00CC678B">
        <w:t>La parte solicitante fue omisa en rendir manifestaciones</w:t>
      </w:r>
    </w:p>
    <w:p w14:paraId="07AF7EBC" w14:textId="77777777" w:rsidR="00E93EE3" w:rsidRDefault="00E93EE3" w:rsidP="00963119">
      <w:pPr>
        <w:spacing w:after="0" w:line="360" w:lineRule="auto"/>
        <w:rPr>
          <w:b/>
          <w:bCs/>
        </w:rPr>
      </w:pPr>
    </w:p>
    <w:p w14:paraId="5AAF6F49" w14:textId="5C877FB5" w:rsidR="0005404B" w:rsidRPr="00BE5F44" w:rsidRDefault="00E93EE3" w:rsidP="00963119">
      <w:pPr>
        <w:spacing w:after="0" w:line="360" w:lineRule="auto"/>
        <w:rPr>
          <w:rFonts w:cs="Tahoma"/>
        </w:rPr>
      </w:pPr>
      <w:r>
        <w:rPr>
          <w:b/>
          <w:bCs/>
        </w:rPr>
        <w:t xml:space="preserve">h) </w:t>
      </w:r>
      <w:r w:rsidR="0005404B" w:rsidRPr="00BE5F44">
        <w:rPr>
          <w:rFonts w:cs="Tahoma"/>
          <w:b/>
        </w:rPr>
        <w:t>Cierre de instrucción.</w:t>
      </w:r>
      <w:r w:rsidR="0005404B" w:rsidRPr="00BE5F44">
        <w:rPr>
          <w:rFonts w:cs="Tahoma"/>
        </w:rPr>
        <w:t xml:space="preserve"> El </w:t>
      </w:r>
      <w:r w:rsidR="00CC678B">
        <w:rPr>
          <w:rFonts w:cs="Tahoma"/>
        </w:rPr>
        <w:t>diecinueve</w:t>
      </w:r>
      <w:r w:rsidR="002B54ED">
        <w:rPr>
          <w:rFonts w:cs="Tahoma"/>
        </w:rPr>
        <w:t xml:space="preserve"> de </w:t>
      </w:r>
      <w:r w:rsidR="00CC678B">
        <w:rPr>
          <w:rFonts w:cs="Tahoma"/>
        </w:rPr>
        <w:t>noviembre</w:t>
      </w:r>
      <w:r w:rsidR="007E41C3" w:rsidRPr="00BE5F44">
        <w:rPr>
          <w:rFonts w:cs="Tahoma"/>
        </w:rPr>
        <w:t xml:space="preserve"> de dos mil veinticinco,</w:t>
      </w:r>
      <w:r w:rsidR="0005404B" w:rsidRPr="00BE5F44">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BE5F44">
        <w:rPr>
          <w:lang w:val="es-ES"/>
        </w:rPr>
        <w:t>acto que fue notificado a las partes, mediante el Sistema de Acceso a la Información Mexiquense (SAIMEX.</w:t>
      </w:r>
    </w:p>
    <w:p w14:paraId="174D393C" w14:textId="77777777" w:rsidR="0005404B" w:rsidRPr="00BE5F44" w:rsidRDefault="0005404B" w:rsidP="00963119">
      <w:pPr>
        <w:spacing w:after="0" w:line="360" w:lineRule="auto"/>
        <w:ind w:right="-28"/>
      </w:pPr>
    </w:p>
    <w:p w14:paraId="089973FD" w14:textId="77777777" w:rsidR="0005404B" w:rsidRPr="00BE5F44" w:rsidRDefault="0005404B" w:rsidP="00963119">
      <w:pPr>
        <w:spacing w:after="0" w:line="360" w:lineRule="auto"/>
        <w:rPr>
          <w:color w:val="000000"/>
        </w:rPr>
      </w:pPr>
      <w:r w:rsidRPr="00BE5F44">
        <w:rPr>
          <w:color w:val="000000"/>
        </w:rPr>
        <w:t>En razón de que fue debidamente sustanciado e integrado el expediente electrónico y no existe diligencia pendiente de desahogo, se emite la resolución que conforme a Derecho proceda, de acuerdo a los siguientes:</w:t>
      </w:r>
    </w:p>
    <w:p w14:paraId="7D7AC4F1" w14:textId="77777777" w:rsidR="002B54ED" w:rsidRDefault="002B54ED" w:rsidP="00963119">
      <w:pPr>
        <w:spacing w:after="0" w:line="360" w:lineRule="auto"/>
        <w:jc w:val="center"/>
        <w:rPr>
          <w:b/>
        </w:rPr>
      </w:pPr>
    </w:p>
    <w:p w14:paraId="250F6589" w14:textId="378B7E58" w:rsidR="005C690F" w:rsidRPr="00BE5F44" w:rsidRDefault="00EB35EB" w:rsidP="00A94A35">
      <w:pPr>
        <w:pStyle w:val="Ttulo1"/>
      </w:pPr>
      <w:bookmarkStart w:id="6" w:name="_Toc211524160"/>
      <w:r w:rsidRPr="00BE5F44">
        <w:t>C O N S I D E R A N D O S</w:t>
      </w:r>
      <w:bookmarkEnd w:id="6"/>
    </w:p>
    <w:p w14:paraId="5AB6ED71" w14:textId="77777777" w:rsidR="005C690F" w:rsidRPr="00BE5F44" w:rsidRDefault="005C690F" w:rsidP="00963119">
      <w:pPr>
        <w:spacing w:after="0" w:line="360" w:lineRule="auto"/>
        <w:jc w:val="center"/>
        <w:rPr>
          <w:b/>
        </w:rPr>
      </w:pPr>
    </w:p>
    <w:p w14:paraId="36BFFC7E" w14:textId="682FE507" w:rsidR="005C690F" w:rsidRPr="00BE5F44" w:rsidRDefault="007D6307" w:rsidP="00A94A35">
      <w:pPr>
        <w:pStyle w:val="Ttulo2"/>
      </w:pPr>
      <w:bookmarkStart w:id="7" w:name="_Toc211524161"/>
      <w:r w:rsidRPr="00BE5F44">
        <w:t xml:space="preserve">PRIMERO. </w:t>
      </w:r>
      <w:r w:rsidR="00EB35EB" w:rsidRPr="00BE5F44">
        <w:t>Competencia</w:t>
      </w:r>
      <w:bookmarkEnd w:id="7"/>
    </w:p>
    <w:p w14:paraId="7E462B96" w14:textId="77777777" w:rsidR="005C690F" w:rsidRPr="00BE5F44" w:rsidRDefault="005C690F" w:rsidP="00963119">
      <w:pPr>
        <w:spacing w:after="0" w:line="360" w:lineRule="auto"/>
        <w:rPr>
          <w:b/>
          <w:color w:val="FF0000"/>
        </w:rPr>
      </w:pPr>
    </w:p>
    <w:p w14:paraId="55692140" w14:textId="77777777" w:rsidR="004612DA" w:rsidRPr="004612DA" w:rsidRDefault="004612DA" w:rsidP="004612DA">
      <w:pPr>
        <w:spacing w:after="0" w:line="360" w:lineRule="auto"/>
        <w:rPr>
          <w:rFonts w:eastAsia="Calibri" w:cs="Times New Roman"/>
          <w:color w:val="000000"/>
        </w:rPr>
      </w:pPr>
      <w:bookmarkStart w:id="8" w:name="_heading=h.30j0zll" w:colFirst="0" w:colLast="0"/>
      <w:bookmarkEnd w:id="8"/>
      <w:r w:rsidRPr="004612DA">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w:t>
      </w:r>
      <w:r w:rsidRPr="004612DA">
        <w:rPr>
          <w:rFonts w:eastAsia="Calibri" w:cs="Times New Roman"/>
          <w:color w:val="000000"/>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BE5F44" w:rsidRDefault="005C690F" w:rsidP="00963119">
      <w:pPr>
        <w:spacing w:after="0" w:line="360" w:lineRule="auto"/>
        <w:rPr>
          <w:b/>
          <w:color w:val="FF0000"/>
        </w:rPr>
      </w:pPr>
    </w:p>
    <w:p w14:paraId="46691DD5" w14:textId="5834B274" w:rsidR="005C690F" w:rsidRPr="00BE5F44" w:rsidRDefault="007D6307" w:rsidP="00A94A35">
      <w:pPr>
        <w:pStyle w:val="Ttulo2"/>
      </w:pPr>
      <w:bookmarkStart w:id="9" w:name="_Toc211524162"/>
      <w:r w:rsidRPr="00BE5F44">
        <w:t>SEGUNDO. Causales de</w:t>
      </w:r>
      <w:r w:rsidR="00EB35EB" w:rsidRPr="00BE5F44">
        <w:t xml:space="preserve"> improcedencia y sobreseimiento</w:t>
      </w:r>
      <w:bookmarkEnd w:id="9"/>
    </w:p>
    <w:p w14:paraId="49AA4CDE" w14:textId="77777777" w:rsidR="005C690F" w:rsidRPr="00BE5F44" w:rsidRDefault="005C690F" w:rsidP="00963119">
      <w:pPr>
        <w:spacing w:after="0" w:line="360" w:lineRule="auto"/>
        <w:rPr>
          <w:color w:val="FF0000"/>
        </w:rPr>
      </w:pPr>
    </w:p>
    <w:p w14:paraId="2553CE58" w14:textId="77777777" w:rsidR="005C690F" w:rsidRPr="00BE5F44" w:rsidRDefault="007D6307" w:rsidP="00963119">
      <w:pPr>
        <w:spacing w:after="0" w:line="360" w:lineRule="auto"/>
      </w:pPr>
      <w:r w:rsidRPr="00BE5F44">
        <w:t xml:space="preserve">De las constancias que forma parte del Recurso de Revisión que se analiza, se advierte que previo al estudio del fondo de la </w:t>
      </w:r>
      <w:r w:rsidRPr="00BE5F44">
        <w:rPr>
          <w:i/>
        </w:rPr>
        <w:t>litis</w:t>
      </w:r>
      <w:r w:rsidRPr="00BE5F44">
        <w:t>, es necesario estudiar las causales de improcedencia y sobreseimiento que se adviertan, para determinar lo que en Derecho proceda.</w:t>
      </w:r>
    </w:p>
    <w:p w14:paraId="1B1FDCD0" w14:textId="77777777" w:rsidR="005C690F" w:rsidRPr="00BE5F44" w:rsidRDefault="005C690F" w:rsidP="00963119">
      <w:pPr>
        <w:spacing w:after="0" w:line="360" w:lineRule="auto"/>
        <w:rPr>
          <w:b/>
          <w:color w:val="FF0000"/>
        </w:rPr>
      </w:pPr>
    </w:p>
    <w:p w14:paraId="3066DF0C" w14:textId="77777777" w:rsidR="005C690F" w:rsidRPr="00BE5F44" w:rsidRDefault="007D6307" w:rsidP="00963119">
      <w:pPr>
        <w:spacing w:after="0" w:line="360" w:lineRule="auto"/>
        <w:rPr>
          <w:b/>
        </w:rPr>
      </w:pPr>
      <w:r w:rsidRPr="00BE5F44">
        <w:rPr>
          <w:b/>
        </w:rPr>
        <w:t>Causales de improcedencia</w:t>
      </w:r>
    </w:p>
    <w:p w14:paraId="75878DC6" w14:textId="77777777" w:rsidR="005C690F" w:rsidRPr="00BE5F44" w:rsidRDefault="005C690F" w:rsidP="00963119">
      <w:pPr>
        <w:spacing w:after="0" w:line="360" w:lineRule="auto"/>
        <w:rPr>
          <w:color w:val="FF0000"/>
        </w:rPr>
      </w:pPr>
    </w:p>
    <w:p w14:paraId="6C56CA88" w14:textId="77777777" w:rsidR="005C690F" w:rsidRPr="00BE5F44" w:rsidRDefault="007D6307" w:rsidP="00963119">
      <w:pPr>
        <w:spacing w:after="0" w:line="360" w:lineRule="auto"/>
      </w:pPr>
      <w:r w:rsidRPr="00BE5F44">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E5F44" w:rsidRDefault="005C690F" w:rsidP="00963119">
      <w:pPr>
        <w:spacing w:after="0" w:line="360" w:lineRule="auto"/>
        <w:rPr>
          <w:color w:val="FF0000"/>
        </w:rPr>
      </w:pPr>
    </w:p>
    <w:p w14:paraId="3FF1B775" w14:textId="77777777" w:rsidR="005C690F" w:rsidRPr="00BE5F44" w:rsidRDefault="007D6307" w:rsidP="00963119">
      <w:pPr>
        <w:spacing w:after="0" w:line="360" w:lineRule="auto"/>
      </w:pPr>
      <w:r w:rsidRPr="00BE5F44">
        <w:t>En el presente caso, </w:t>
      </w:r>
      <w:r w:rsidRPr="00BE5F44">
        <w:rPr>
          <w:b/>
        </w:rPr>
        <w:t>no se actualiza ninguna de las causales de improcedencia</w:t>
      </w:r>
      <w:r w:rsidRPr="00BE5F44">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BE5F44">
        <w:lastRenderedPageBreak/>
        <w:t>formó parte del agravio; ni se realizó una consulta o ampliación a los alcances del requerimiento informativo.</w:t>
      </w:r>
    </w:p>
    <w:p w14:paraId="17F0652B" w14:textId="77777777" w:rsidR="001664D6" w:rsidRPr="00BE5F44" w:rsidRDefault="001664D6" w:rsidP="00963119">
      <w:pPr>
        <w:spacing w:after="0" w:line="360" w:lineRule="auto"/>
        <w:rPr>
          <w:color w:val="FF0000"/>
        </w:rPr>
      </w:pPr>
    </w:p>
    <w:p w14:paraId="2BF1CF5B" w14:textId="18C0A7CB" w:rsidR="005C690F" w:rsidRPr="00BE5F44" w:rsidRDefault="007D6307" w:rsidP="00963119">
      <w:pPr>
        <w:spacing w:after="0" w:line="360" w:lineRule="auto"/>
      </w:pPr>
      <w:r w:rsidRPr="00BE5F44">
        <w:t>Por lo cual, se actualiza</w:t>
      </w:r>
      <w:r w:rsidR="00BA032C" w:rsidRPr="00BE5F44">
        <w:t>n</w:t>
      </w:r>
      <w:r w:rsidRPr="00BE5F44">
        <w:t xml:space="preserve"> la</w:t>
      </w:r>
      <w:r w:rsidR="00BA032C" w:rsidRPr="00BE5F44">
        <w:t>s</w:t>
      </w:r>
      <w:r w:rsidRPr="00BE5F44">
        <w:t xml:space="preserve"> causal</w:t>
      </w:r>
      <w:r w:rsidR="00BA032C" w:rsidRPr="00BE5F44">
        <w:t>es</w:t>
      </w:r>
      <w:r w:rsidRPr="00BE5F44">
        <w:t xml:space="preserve"> de procedencia del Recurso de Revisión señalada</w:t>
      </w:r>
      <w:r w:rsidR="00BA032C" w:rsidRPr="00BE5F44">
        <w:t xml:space="preserve">s en el artículo 179, </w:t>
      </w:r>
      <w:r w:rsidR="007E41C3" w:rsidRPr="00BE5F44">
        <w:t xml:space="preserve">fracción </w:t>
      </w:r>
      <w:r w:rsidR="008111C3">
        <w:t>V</w:t>
      </w:r>
      <w:r w:rsidR="007E41C3" w:rsidRPr="00BE5F44">
        <w:t>I,</w:t>
      </w:r>
      <w:r w:rsidR="00BA032C" w:rsidRPr="00BE5F44">
        <w:t xml:space="preserve"> </w:t>
      </w:r>
      <w:r w:rsidRPr="00BE5F44">
        <w:t xml:space="preserve">de la Ley en cita, pues la parte Recurrente se inconformó </w:t>
      </w:r>
      <w:r w:rsidR="007E41C3" w:rsidRPr="00BE5F44">
        <w:t xml:space="preserve">de la </w:t>
      </w:r>
      <w:r w:rsidR="008111C3">
        <w:t>entrega de información que no corresponde con lo solicitado</w:t>
      </w:r>
      <w:r w:rsidR="007E41C3" w:rsidRPr="00BE5F44">
        <w:t>.</w:t>
      </w:r>
    </w:p>
    <w:p w14:paraId="76AC95E5" w14:textId="77777777" w:rsidR="005C690F" w:rsidRPr="00BE5F44" w:rsidRDefault="005C690F" w:rsidP="00963119">
      <w:pPr>
        <w:spacing w:after="0" w:line="360" w:lineRule="auto"/>
      </w:pPr>
    </w:p>
    <w:p w14:paraId="55FF691A" w14:textId="6C1AD8ED" w:rsidR="005C690F" w:rsidRPr="00BE5F44" w:rsidRDefault="00EB35EB" w:rsidP="00963119">
      <w:pPr>
        <w:spacing w:after="0" w:line="360" w:lineRule="auto"/>
      </w:pPr>
      <w:r w:rsidRPr="00BE5F44">
        <w:rPr>
          <w:b/>
        </w:rPr>
        <w:t>Causales de sobreseimiento</w:t>
      </w:r>
    </w:p>
    <w:p w14:paraId="426FEE7A" w14:textId="77777777" w:rsidR="005C690F" w:rsidRPr="00BE5F44" w:rsidRDefault="005C690F" w:rsidP="00963119">
      <w:pPr>
        <w:spacing w:after="0" w:line="360" w:lineRule="auto"/>
      </w:pPr>
    </w:p>
    <w:p w14:paraId="5B1C849A" w14:textId="77777777" w:rsidR="005C690F" w:rsidRPr="00BE5F44" w:rsidRDefault="007D6307" w:rsidP="00963119">
      <w:pPr>
        <w:spacing w:after="0" w:line="360" w:lineRule="auto"/>
      </w:pPr>
      <w:r w:rsidRPr="00BE5F44">
        <w:t>Por ser de previo y especial pronunciamiento, este Instituto analiza si se actualiza alguna causal de sobreseimiento.</w:t>
      </w:r>
    </w:p>
    <w:p w14:paraId="7017F051" w14:textId="77777777" w:rsidR="005C690F" w:rsidRPr="00BE5F44" w:rsidRDefault="005C690F" w:rsidP="00963119">
      <w:pPr>
        <w:spacing w:after="0" w:line="360" w:lineRule="auto"/>
      </w:pPr>
    </w:p>
    <w:p w14:paraId="616B549A" w14:textId="77777777" w:rsidR="005C690F" w:rsidRPr="00BE5F44" w:rsidRDefault="007D6307" w:rsidP="00963119">
      <w:pPr>
        <w:spacing w:after="0" w:line="360" w:lineRule="auto"/>
      </w:pPr>
      <w:r w:rsidRPr="00BE5F44">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99777A" w14:textId="77777777" w:rsidR="005C690F" w:rsidRPr="00BE5F44" w:rsidRDefault="005C690F" w:rsidP="00963119">
      <w:pPr>
        <w:spacing w:after="0" w:line="360" w:lineRule="auto"/>
      </w:pPr>
    </w:p>
    <w:p w14:paraId="338973DD" w14:textId="77777777" w:rsidR="005C690F" w:rsidRPr="00BE5F44" w:rsidRDefault="007D6307" w:rsidP="00963119">
      <w:pPr>
        <w:spacing w:after="0" w:line="360" w:lineRule="auto"/>
      </w:pPr>
      <w:r w:rsidRPr="00BE5F44">
        <w:t xml:space="preserve">Por tales motivos, se considera procedente entrar al fondo del presente asunto. </w:t>
      </w:r>
    </w:p>
    <w:p w14:paraId="3B2EB888" w14:textId="77777777" w:rsidR="005C690F" w:rsidRPr="00BE5F44" w:rsidRDefault="005C690F" w:rsidP="00963119">
      <w:pPr>
        <w:spacing w:after="0" w:line="360" w:lineRule="auto"/>
        <w:rPr>
          <w:b/>
        </w:rPr>
      </w:pPr>
    </w:p>
    <w:p w14:paraId="0A6A0BAE" w14:textId="07E1FE7C" w:rsidR="005C690F" w:rsidRPr="00BE5F44" w:rsidRDefault="007D6307" w:rsidP="00A94A35">
      <w:pPr>
        <w:pStyle w:val="Ttulo2"/>
      </w:pPr>
      <w:bookmarkStart w:id="10" w:name="_Toc211524163"/>
      <w:r w:rsidRPr="00BE5F44">
        <w:t>TERCERO. De</w:t>
      </w:r>
      <w:r w:rsidR="00EB35EB" w:rsidRPr="00BE5F44">
        <w:t>terminación de la Controversia</w:t>
      </w:r>
      <w:bookmarkEnd w:id="10"/>
    </w:p>
    <w:p w14:paraId="214ED69F" w14:textId="77777777" w:rsidR="005C690F" w:rsidRDefault="005C690F" w:rsidP="00963119">
      <w:pPr>
        <w:spacing w:after="0" w:line="360" w:lineRule="auto"/>
        <w:rPr>
          <w:color w:val="FF0000"/>
        </w:rPr>
      </w:pPr>
    </w:p>
    <w:p w14:paraId="6AC26254" w14:textId="504A016C" w:rsidR="002B54ED" w:rsidRDefault="002B54ED" w:rsidP="002B54ED">
      <w:pPr>
        <w:spacing w:after="0" w:line="360" w:lineRule="auto"/>
        <w:rPr>
          <w:rFonts w:cs="Tahoma"/>
          <w:color w:val="000000"/>
          <w:lang w:eastAsia="es-MX"/>
        </w:rPr>
      </w:pPr>
      <w:r w:rsidRPr="008D0189">
        <w:rPr>
          <w:rFonts w:cs="Tahoma"/>
          <w:color w:val="000000"/>
          <w:lang w:eastAsia="es-MX"/>
        </w:rPr>
        <w:t xml:space="preserve">Con el objetivo de ilustrar la controversia planteada, resulta conveniente precisar, que una vez realizado el estudio de las constancias que integran el expediente en el que se actúa, se </w:t>
      </w:r>
      <w:r w:rsidRPr="008D0189">
        <w:rPr>
          <w:rFonts w:cs="Tahoma"/>
          <w:color w:val="000000"/>
          <w:lang w:eastAsia="es-MX"/>
        </w:rPr>
        <w:lastRenderedPageBreak/>
        <w:t>despr</w:t>
      </w:r>
      <w:r>
        <w:rPr>
          <w:rFonts w:cs="Tahoma"/>
          <w:color w:val="000000"/>
          <w:lang w:eastAsia="es-MX"/>
        </w:rPr>
        <w:t xml:space="preserve">ende que el Particular, por medio de </w:t>
      </w:r>
      <w:r w:rsidR="008111C3">
        <w:rPr>
          <w:rFonts w:cs="Tahoma"/>
          <w:color w:val="000000"/>
          <w:lang w:eastAsia="es-MX"/>
        </w:rPr>
        <w:t xml:space="preserve">once </w:t>
      </w:r>
      <w:r>
        <w:rPr>
          <w:rFonts w:cs="Tahoma"/>
          <w:color w:val="000000"/>
          <w:lang w:eastAsia="es-MX"/>
        </w:rPr>
        <w:t xml:space="preserve">solicitudes de información, requirió </w:t>
      </w:r>
      <w:r w:rsidR="008111C3">
        <w:rPr>
          <w:rFonts w:cs="Tahoma"/>
          <w:color w:val="000000"/>
          <w:lang w:eastAsia="es-MX"/>
        </w:rPr>
        <w:t>los siguientes recibos de nómina</w:t>
      </w:r>
      <w:r>
        <w:rPr>
          <w:rFonts w:cs="Tahoma"/>
          <w:color w:val="000000"/>
          <w:lang w:eastAsia="es-MX"/>
        </w:rPr>
        <w:t>:</w:t>
      </w:r>
    </w:p>
    <w:p w14:paraId="2BA9F666" w14:textId="77777777" w:rsidR="002B54ED" w:rsidRDefault="002B54ED" w:rsidP="002B54ED">
      <w:pPr>
        <w:spacing w:after="0" w:line="360" w:lineRule="auto"/>
        <w:rPr>
          <w:rFonts w:cs="Tahoma"/>
          <w:color w:val="000000"/>
          <w:lang w:eastAsia="es-MX"/>
        </w:rPr>
      </w:pPr>
    </w:p>
    <w:p w14:paraId="6A986FFF" w14:textId="42001750" w:rsidR="002B54ED" w:rsidRDefault="000770D6" w:rsidP="002B54ED">
      <w:pPr>
        <w:pStyle w:val="Prrafodelista"/>
        <w:numPr>
          <w:ilvl w:val="0"/>
          <w:numId w:val="10"/>
        </w:numPr>
        <w:spacing w:line="360" w:lineRule="auto"/>
        <w:rPr>
          <w:rFonts w:eastAsia="Palatino Linotype" w:cs="Tahoma"/>
          <w:color w:val="000000"/>
          <w:lang w:eastAsia="es-MX"/>
        </w:rPr>
      </w:pPr>
      <w:r>
        <w:rPr>
          <w:rFonts w:eastAsia="Palatino Linotype" w:cs="Tahoma"/>
          <w:color w:val="000000"/>
          <w:lang w:eastAsia="es-MX"/>
        </w:rPr>
        <w:t>De la primera quincena de junio de dos mil veinticinco, de todos los servidores públicos adscritos al Ayuntamiento</w:t>
      </w:r>
      <w:r w:rsidR="002B54ED">
        <w:rPr>
          <w:rFonts w:eastAsia="Palatino Linotype" w:cs="Tahoma"/>
          <w:color w:val="000000"/>
          <w:lang w:eastAsia="es-MX"/>
        </w:rPr>
        <w:t>, y</w:t>
      </w:r>
    </w:p>
    <w:p w14:paraId="2EBE5FD3" w14:textId="77777777" w:rsidR="000770D6" w:rsidRDefault="000770D6" w:rsidP="000770D6">
      <w:pPr>
        <w:pStyle w:val="Prrafodelista"/>
        <w:spacing w:line="360" w:lineRule="auto"/>
        <w:rPr>
          <w:rFonts w:eastAsia="Palatino Linotype" w:cs="Tahoma"/>
          <w:color w:val="000000"/>
          <w:lang w:eastAsia="es-MX"/>
        </w:rPr>
      </w:pPr>
    </w:p>
    <w:p w14:paraId="73467090" w14:textId="35768540" w:rsidR="000770D6" w:rsidRDefault="000770D6" w:rsidP="00B3136F">
      <w:pPr>
        <w:pStyle w:val="Prrafodelista"/>
        <w:numPr>
          <w:ilvl w:val="0"/>
          <w:numId w:val="10"/>
        </w:numPr>
        <w:spacing w:line="360" w:lineRule="auto"/>
        <w:rPr>
          <w:rFonts w:eastAsia="Palatino Linotype" w:cs="Tahoma"/>
          <w:color w:val="000000"/>
          <w:lang w:eastAsia="es-MX"/>
        </w:rPr>
      </w:pPr>
      <w:r>
        <w:rPr>
          <w:rFonts w:eastAsia="Palatino Linotype" w:cs="Tahoma"/>
          <w:color w:val="000000"/>
          <w:lang w:eastAsia="es-MX"/>
        </w:rPr>
        <w:t xml:space="preserve">De la segunda quincena de mayo de dos mil veinticinco, de todo el personal adscrito a la Presidencia Municipal, a la Secretaría del Ayuntamiento, a la Dirección General de Administración, a la Dirección de Desarrollo Social, </w:t>
      </w:r>
      <w:r w:rsidR="00B3136F">
        <w:rPr>
          <w:rFonts w:eastAsia="Palatino Linotype" w:cs="Tahoma"/>
          <w:color w:val="000000"/>
          <w:lang w:eastAsia="es-MX"/>
        </w:rPr>
        <w:t xml:space="preserve">a la Dirección Servicios Públicos, a la Dirección General de Gobierno, Dirección General de Seguridad y </w:t>
      </w:r>
      <w:r>
        <w:rPr>
          <w:rFonts w:eastAsia="Palatino Linotype" w:cs="Tahoma"/>
          <w:color w:val="000000"/>
          <w:lang w:eastAsia="es-MX"/>
        </w:rPr>
        <w:t>al Instituto Municipal de la Mujer</w:t>
      </w:r>
      <w:r w:rsidR="00B3136F">
        <w:rPr>
          <w:rFonts w:eastAsia="Palatino Linotype" w:cs="Tahoma"/>
          <w:color w:val="000000"/>
          <w:lang w:eastAsia="es-MX"/>
        </w:rPr>
        <w:t>.</w:t>
      </w:r>
    </w:p>
    <w:p w14:paraId="0E85EA5C" w14:textId="77777777" w:rsidR="002B54ED" w:rsidRDefault="002B54ED" w:rsidP="002B54ED">
      <w:pPr>
        <w:pStyle w:val="Prrafodelista"/>
        <w:spacing w:line="360" w:lineRule="auto"/>
        <w:rPr>
          <w:rFonts w:eastAsia="Palatino Linotype" w:cs="Tahoma"/>
          <w:color w:val="000000"/>
          <w:lang w:eastAsia="es-MX"/>
        </w:rPr>
      </w:pPr>
    </w:p>
    <w:p w14:paraId="6BABAE8A" w14:textId="04D4C0D5" w:rsidR="002B54ED" w:rsidRPr="002B54ED" w:rsidRDefault="000770D6" w:rsidP="002B54ED">
      <w:pPr>
        <w:pStyle w:val="Prrafodelista"/>
        <w:numPr>
          <w:ilvl w:val="0"/>
          <w:numId w:val="10"/>
        </w:numPr>
        <w:spacing w:line="360" w:lineRule="auto"/>
        <w:rPr>
          <w:rFonts w:eastAsia="Palatino Linotype" w:cs="Tahoma"/>
          <w:color w:val="000000"/>
          <w:lang w:eastAsia="es-MX"/>
        </w:rPr>
      </w:pPr>
      <w:r>
        <w:rPr>
          <w:rFonts w:eastAsia="Palatino Linotype" w:cs="Tahoma"/>
          <w:color w:val="000000"/>
          <w:lang w:eastAsia="es-MX"/>
        </w:rPr>
        <w:t>De las últimas dos quincenas pagadas, del personal adscrito a la Unidad de Transparencia</w:t>
      </w:r>
      <w:r w:rsidR="002B54ED">
        <w:rPr>
          <w:rFonts w:eastAsia="Palatino Linotype" w:cs="Tahoma"/>
          <w:color w:val="000000"/>
          <w:lang w:eastAsia="es-MX"/>
        </w:rPr>
        <w:t>.</w:t>
      </w:r>
    </w:p>
    <w:p w14:paraId="24996A0B" w14:textId="77777777" w:rsidR="002B54ED" w:rsidRDefault="002B54ED" w:rsidP="00963119">
      <w:pPr>
        <w:spacing w:after="0" w:line="360" w:lineRule="auto"/>
        <w:rPr>
          <w:color w:val="FF0000"/>
        </w:rPr>
      </w:pPr>
    </w:p>
    <w:p w14:paraId="209765DD" w14:textId="4D67D29B" w:rsidR="005C690F" w:rsidRPr="002B54ED" w:rsidRDefault="002B54ED" w:rsidP="002B54ED">
      <w:pPr>
        <w:spacing w:after="0" w:line="360" w:lineRule="auto"/>
        <w:rPr>
          <w:rFonts w:cs="Tahoma"/>
          <w:bCs/>
          <w:iCs/>
          <w:lang w:val="es-ES"/>
        </w:rPr>
      </w:pPr>
      <w:r w:rsidRPr="008D0189">
        <w:rPr>
          <w:rFonts w:cs="Tahoma"/>
          <w:bCs/>
          <w:iCs/>
          <w:lang w:val="es-ES"/>
        </w:rPr>
        <w:t>En respuesta, el Sujeto Obligado,</w:t>
      </w:r>
      <w:r>
        <w:rPr>
          <w:rFonts w:cs="Tahoma"/>
          <w:bCs/>
          <w:iCs/>
          <w:lang w:val="es-ES"/>
        </w:rPr>
        <w:t xml:space="preserve"> por medio de la Dirección </w:t>
      </w:r>
      <w:r w:rsidR="000770D6">
        <w:rPr>
          <w:rFonts w:cs="Tahoma"/>
          <w:bCs/>
          <w:iCs/>
          <w:lang w:val="es-ES"/>
        </w:rPr>
        <w:t>de Recursos Humanos</w:t>
      </w:r>
      <w:r w:rsidRPr="008D0189">
        <w:rPr>
          <w:rFonts w:cs="Tahoma"/>
          <w:bCs/>
          <w:iCs/>
          <w:lang w:val="es-ES"/>
        </w:rPr>
        <w:t xml:space="preserve"> señal</w:t>
      </w:r>
      <w:r>
        <w:rPr>
          <w:rFonts w:cs="Tahoma"/>
          <w:bCs/>
          <w:iCs/>
          <w:lang w:val="es-ES"/>
        </w:rPr>
        <w:t xml:space="preserve">ó </w:t>
      </w:r>
      <w:r w:rsidR="000770D6">
        <w:rPr>
          <w:rFonts w:cs="Tahoma"/>
          <w:bCs/>
          <w:iCs/>
          <w:lang w:val="es-ES"/>
        </w:rPr>
        <w:t>que la información solicitada se localizaba en una liga electrónica que proporcionó; por su parte, el Instituto Municipal de la Mujer, proporcionó la versión pública de los recibos de nómina de la segunda quincena de mayo de dos mil veinticinco</w:t>
      </w:r>
      <w:r w:rsidR="00B3136F">
        <w:rPr>
          <w:rFonts w:cs="Tahoma"/>
          <w:bCs/>
          <w:iCs/>
          <w:lang w:val="es-ES"/>
        </w:rPr>
        <w:t xml:space="preserve">; </w:t>
      </w:r>
      <w:r>
        <w:rPr>
          <w:rFonts w:cs="Tahoma"/>
          <w:bCs/>
          <w:iCs/>
          <w:lang w:val="es-ES"/>
        </w:rPr>
        <w:t>por lo que el particular</w:t>
      </w:r>
      <w:r w:rsidRPr="008D0189">
        <w:rPr>
          <w:rFonts w:cs="Tahoma"/>
          <w:bCs/>
          <w:iCs/>
          <w:lang w:val="es-ES"/>
        </w:rPr>
        <w:t xml:space="preserve">, </w:t>
      </w:r>
      <w:r>
        <w:rPr>
          <w:rFonts w:cs="Tahoma"/>
          <w:bCs/>
          <w:iCs/>
          <w:lang w:val="es-ES"/>
        </w:rPr>
        <w:t xml:space="preserve">se inconformó </w:t>
      </w:r>
      <w:r w:rsidR="000770D6">
        <w:rPr>
          <w:rFonts w:cs="Tahoma"/>
          <w:bCs/>
          <w:iCs/>
          <w:lang w:val="es-ES"/>
        </w:rPr>
        <w:t>de la entrega de información que no corresponde con lo solicitado</w:t>
      </w:r>
      <w:r>
        <w:rPr>
          <w:rFonts w:cs="Tahoma"/>
          <w:bCs/>
          <w:iCs/>
          <w:lang w:val="es-ES"/>
        </w:rPr>
        <w:t xml:space="preserve">, al señalar </w:t>
      </w:r>
      <w:r w:rsidR="000770D6">
        <w:rPr>
          <w:rFonts w:cs="Tahoma"/>
          <w:bCs/>
          <w:iCs/>
          <w:lang w:val="es-ES"/>
        </w:rPr>
        <w:t>que se encontraba incompleta, que no atendía su pedimiento y le negaban lo solicitado</w:t>
      </w:r>
      <w:r w:rsidRPr="008D0189">
        <w:rPr>
          <w:rFonts w:cs="Tahoma"/>
          <w:bCs/>
          <w:iCs/>
          <w:lang w:val="es-ES"/>
        </w:rPr>
        <w:t xml:space="preserve">, lo cual se actualiza el supuesto previsto en el artículo 179, fracción </w:t>
      </w:r>
      <w:r w:rsidR="000770D6">
        <w:rPr>
          <w:rFonts w:cs="Tahoma"/>
          <w:bCs/>
          <w:iCs/>
          <w:lang w:val="es-ES"/>
        </w:rPr>
        <w:t>VI</w:t>
      </w:r>
      <w:r w:rsidRPr="008D0189">
        <w:rPr>
          <w:rFonts w:cs="Tahoma"/>
          <w:bCs/>
          <w:iCs/>
          <w:lang w:val="es-ES"/>
        </w:rPr>
        <w:t>, de la Ley de Transparencia y Acceso a la Información Pública del Estado de México y Municipios</w:t>
      </w:r>
      <w:r w:rsidR="00B3136F">
        <w:rPr>
          <w:rFonts w:cs="Tahoma"/>
          <w:bCs/>
          <w:iCs/>
          <w:lang w:val="es-ES"/>
        </w:rPr>
        <w:t xml:space="preserve">; </w:t>
      </w:r>
      <w:r w:rsidR="00B3136F" w:rsidRPr="00B3136F">
        <w:rPr>
          <w:lang w:eastAsia="es-MX"/>
        </w:rPr>
        <w:t xml:space="preserve">dicha situación, al aplicar la suplencia de la queja a favor de la Solicitante, en términos de los diversos 13 y, penúltimo párrafo, del 181 del ordenamiento señalado. </w:t>
      </w:r>
      <w:r w:rsidR="007D6307" w:rsidRPr="00BE5F44">
        <w:t>Así las cosas, una vez admitido y notificado el Recurso de Revisión</w:t>
      </w:r>
      <w:r w:rsidR="00773978" w:rsidRPr="00BE5F44">
        <w:t xml:space="preserve"> a las partes, </w:t>
      </w:r>
      <w:r w:rsidR="006455A9" w:rsidRPr="00BE5F44">
        <w:t xml:space="preserve">el Sujeto Obligado </w:t>
      </w:r>
      <w:r>
        <w:t>ratificó la respuesta primigenia.</w:t>
      </w:r>
    </w:p>
    <w:p w14:paraId="6B2BA4ED" w14:textId="77777777" w:rsidR="005C690F" w:rsidRPr="00BE5F44" w:rsidRDefault="005C690F" w:rsidP="00963119">
      <w:pPr>
        <w:tabs>
          <w:tab w:val="left" w:pos="4962"/>
        </w:tabs>
        <w:spacing w:after="0" w:line="360" w:lineRule="auto"/>
        <w:rPr>
          <w:color w:val="FF0000"/>
        </w:rPr>
      </w:pPr>
    </w:p>
    <w:p w14:paraId="0463098B" w14:textId="56F7AD89" w:rsidR="005C690F" w:rsidRPr="00BE5F44" w:rsidRDefault="007D6307" w:rsidP="00963119">
      <w:pPr>
        <w:tabs>
          <w:tab w:val="left" w:pos="4962"/>
        </w:tabs>
        <w:spacing w:after="0" w:line="360" w:lineRule="auto"/>
      </w:pPr>
      <w:r w:rsidRPr="00BE5F44">
        <w:t>Lo anterior, se desprende de las documentales que obran en el expediente de referencia, materia de la presente resolución, consistente en: la</w:t>
      </w:r>
      <w:r w:rsidR="002B54ED">
        <w:t>s</w:t>
      </w:r>
      <w:r w:rsidRPr="00BE5F44">
        <w:t xml:space="preserve"> solic</w:t>
      </w:r>
      <w:r w:rsidR="00CB5335" w:rsidRPr="00BE5F44">
        <w:t>itud</w:t>
      </w:r>
      <w:r w:rsidR="002B54ED">
        <w:t>es</w:t>
      </w:r>
      <w:r w:rsidR="00CB5335" w:rsidRPr="00BE5F44">
        <w:t xml:space="preserve"> de acceso a la información, la</w:t>
      </w:r>
      <w:r w:rsidR="002B54ED">
        <w:t>s</w:t>
      </w:r>
      <w:r w:rsidR="00CB5335" w:rsidRPr="00BE5F44">
        <w:t xml:space="preserve"> respuesta</w:t>
      </w:r>
      <w:r w:rsidR="002B54ED">
        <w:t xml:space="preserve">s entregadas, los </w:t>
      </w:r>
      <w:r w:rsidRPr="00BE5F44">
        <w:t>escrito</w:t>
      </w:r>
      <w:r w:rsidR="002B54ED">
        <w:t>s</w:t>
      </w:r>
      <w:r w:rsidRPr="00BE5F44">
        <w:t xml:space="preserve"> recursal</w:t>
      </w:r>
      <w:r w:rsidR="002B54ED">
        <w:t>es y el Informe Justificado</w:t>
      </w:r>
      <w:r w:rsidRPr="00BE5F44">
        <w:t>; instrumentales que se toman en cuenta a efecto de resolver el presente medio de impugnación, conforme a lo dispuesto por el artículo 185, fracción IV, de la Ley de Transparencia y Acceso a la Información Pública del Estado de México y Municipios.</w:t>
      </w:r>
    </w:p>
    <w:p w14:paraId="6671CD45" w14:textId="77777777" w:rsidR="005C690F" w:rsidRPr="00BE5F44" w:rsidRDefault="005C690F" w:rsidP="00963119">
      <w:pPr>
        <w:spacing w:after="0" w:line="360" w:lineRule="auto"/>
        <w:rPr>
          <w:b/>
        </w:rPr>
      </w:pPr>
    </w:p>
    <w:p w14:paraId="36DCBD9D" w14:textId="2594974F" w:rsidR="005C690F" w:rsidRPr="00BE5F44" w:rsidRDefault="007D6307" w:rsidP="00A94A35">
      <w:pPr>
        <w:pStyle w:val="Ttulo2"/>
      </w:pPr>
      <w:bookmarkStart w:id="11" w:name="_Toc211524164"/>
      <w:r w:rsidRPr="00BE5F44">
        <w:t xml:space="preserve">CUARTO. Marco normativo aplicable en materia de transparencia y </w:t>
      </w:r>
      <w:r w:rsidR="00EB35EB" w:rsidRPr="00BE5F44">
        <w:t>acceso a la información pública</w:t>
      </w:r>
      <w:bookmarkEnd w:id="11"/>
    </w:p>
    <w:p w14:paraId="4D62F8F1" w14:textId="77777777" w:rsidR="005C690F" w:rsidRPr="00BE5F44" w:rsidRDefault="005C690F" w:rsidP="00963119">
      <w:pPr>
        <w:spacing w:after="0" w:line="360" w:lineRule="auto"/>
        <w:rPr>
          <w:color w:val="FF0000"/>
        </w:rPr>
      </w:pPr>
    </w:p>
    <w:p w14:paraId="68F50546" w14:textId="77777777" w:rsidR="005C690F" w:rsidRPr="00BE5F44" w:rsidRDefault="007D6307" w:rsidP="00963119">
      <w:pPr>
        <w:spacing w:after="0" w:line="360" w:lineRule="auto"/>
      </w:pPr>
      <w:r w:rsidRPr="00BE5F44">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D83276" w14:textId="77777777" w:rsidR="005C690F" w:rsidRPr="00BE5F44" w:rsidRDefault="005C690F" w:rsidP="00963119">
      <w:pPr>
        <w:spacing w:after="0" w:line="360" w:lineRule="auto"/>
      </w:pPr>
    </w:p>
    <w:p w14:paraId="73149F26" w14:textId="77777777" w:rsidR="005C690F" w:rsidRPr="00BE5F44" w:rsidRDefault="007D6307" w:rsidP="00963119">
      <w:pPr>
        <w:spacing w:after="0" w:line="360" w:lineRule="auto"/>
      </w:pPr>
      <w:r w:rsidRPr="00BE5F44">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92A5D2D" w14:textId="77777777" w:rsidR="005C690F" w:rsidRPr="00BE5F44" w:rsidRDefault="005C690F" w:rsidP="00963119">
      <w:pPr>
        <w:spacing w:after="0" w:line="360" w:lineRule="auto"/>
      </w:pPr>
    </w:p>
    <w:p w14:paraId="69458899" w14:textId="77777777" w:rsidR="005C690F" w:rsidRPr="00BE5F44" w:rsidRDefault="007D6307" w:rsidP="00963119">
      <w:pPr>
        <w:spacing w:after="0" w:line="360" w:lineRule="auto"/>
      </w:pPr>
      <w:r w:rsidRPr="00BE5F44">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BE5F44" w:rsidRDefault="005C690F" w:rsidP="00963119">
      <w:pPr>
        <w:spacing w:after="0" w:line="360" w:lineRule="auto"/>
      </w:pPr>
    </w:p>
    <w:p w14:paraId="3D8EBDEC" w14:textId="77777777" w:rsidR="005C690F" w:rsidRPr="00BE5F44" w:rsidRDefault="007D6307" w:rsidP="00963119">
      <w:pPr>
        <w:spacing w:after="0" w:line="360" w:lineRule="auto"/>
      </w:pPr>
      <w:r w:rsidRPr="00BE5F44">
        <w:t>Por su parte, la Ley de Transparencia y Acceso a la Información Pública del Estado de México y Municipios (Reglamentaria del artículo 5° de la Constitución Local), establece lo siguiente:</w:t>
      </w:r>
    </w:p>
    <w:p w14:paraId="2818D616" w14:textId="77777777" w:rsidR="005C690F" w:rsidRPr="00BE5F44" w:rsidRDefault="005C690F" w:rsidP="00963119">
      <w:pPr>
        <w:spacing w:after="0" w:line="360" w:lineRule="auto"/>
      </w:pPr>
    </w:p>
    <w:p w14:paraId="5BD9CB2E" w14:textId="77777777" w:rsidR="005C690F" w:rsidRPr="00BE5F44" w:rsidRDefault="007D6307" w:rsidP="00963119">
      <w:pPr>
        <w:spacing w:after="0" w:line="360" w:lineRule="auto"/>
      </w:pPr>
      <w:r w:rsidRPr="00BE5F44">
        <w:t>El artículo 12, que, quienes generen, recopilen, administren, manejen, procesen, archiven o conserven información pública serán responsables de la misma.</w:t>
      </w:r>
    </w:p>
    <w:p w14:paraId="6F3883CF" w14:textId="49D4BDDE" w:rsidR="008C607D" w:rsidRPr="00BE5F44" w:rsidRDefault="008C607D" w:rsidP="00963119">
      <w:pPr>
        <w:spacing w:after="0" w:line="360" w:lineRule="auto"/>
      </w:pPr>
    </w:p>
    <w:p w14:paraId="3D899A16" w14:textId="77777777" w:rsidR="005C690F" w:rsidRPr="00BE5F44" w:rsidRDefault="007D6307" w:rsidP="00963119">
      <w:pPr>
        <w:widowControl w:val="0"/>
        <w:spacing w:after="0" w:line="360" w:lineRule="auto"/>
      </w:pPr>
      <w:r w:rsidRPr="00BE5F44">
        <w:t>El artículo 18, que, los Sujetos Obligados deberán documentar todo acto que derive del ejercicio de sus facultades, competencias o funciones, considerando desde su origen la eventual publicidad y reutilización de la información que generen.</w:t>
      </w:r>
    </w:p>
    <w:p w14:paraId="62E9040C" w14:textId="77777777" w:rsidR="005C690F" w:rsidRPr="00BE5F44" w:rsidRDefault="005C690F" w:rsidP="00963119">
      <w:pPr>
        <w:spacing w:after="0" w:line="360" w:lineRule="auto"/>
      </w:pPr>
    </w:p>
    <w:p w14:paraId="204D3A32" w14:textId="0DD83477" w:rsidR="005C690F" w:rsidRPr="00BE5F44" w:rsidRDefault="007D6307" w:rsidP="00963119">
      <w:pPr>
        <w:spacing w:after="0" w:line="360" w:lineRule="auto"/>
      </w:pPr>
      <w:r w:rsidRPr="00BE5F44">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61673D" w14:textId="45C256DE" w:rsidR="00570E7D" w:rsidRPr="00BE5F44" w:rsidRDefault="00570E7D" w:rsidP="00963119">
      <w:pPr>
        <w:spacing w:after="0" w:line="360" w:lineRule="auto"/>
      </w:pPr>
    </w:p>
    <w:p w14:paraId="3AF871E5" w14:textId="7A36EC1F" w:rsidR="005C690F" w:rsidRPr="00BE5F44" w:rsidRDefault="00EB35EB" w:rsidP="00A94A35">
      <w:pPr>
        <w:pStyle w:val="Ttulo2"/>
      </w:pPr>
      <w:bookmarkStart w:id="12" w:name="_Toc211524165"/>
      <w:r w:rsidRPr="00BE5F44">
        <w:t>Quinto. Estudio de Fondo</w:t>
      </w:r>
      <w:bookmarkEnd w:id="12"/>
    </w:p>
    <w:p w14:paraId="68364344" w14:textId="77777777" w:rsidR="005C690F" w:rsidRDefault="005C690F" w:rsidP="00963119">
      <w:pPr>
        <w:spacing w:after="0" w:line="360" w:lineRule="auto"/>
        <w:rPr>
          <w:b/>
        </w:rPr>
      </w:pPr>
    </w:p>
    <w:p w14:paraId="7B4AC23C" w14:textId="77777777" w:rsidR="002B54ED" w:rsidRPr="002B54ED" w:rsidRDefault="002B54ED" w:rsidP="002B54ED">
      <w:pPr>
        <w:spacing w:after="0" w:line="360" w:lineRule="auto"/>
        <w:contextualSpacing/>
        <w:rPr>
          <w:rFonts w:eastAsia="Times New Roman" w:cs="Tahoma"/>
          <w:iCs/>
          <w:lang w:val="es-ES" w:eastAsia="es-ES"/>
        </w:rPr>
      </w:pPr>
      <w:r w:rsidRPr="002B54ED">
        <w:rPr>
          <w:rFonts w:eastAsia="Times New Roman" w:cs="Tahoma"/>
          <w:iCs/>
          <w:lang w:val="es-ES" w:eastAsia="es-ES"/>
        </w:rPr>
        <w:t xml:space="preserve">Expuestas las posturas de las partes, se procede al análisis de los agravios hechos valer por la persona Recurrente, sin embargo, en principio es necesario contextualizar la solicitud de información.  </w:t>
      </w:r>
    </w:p>
    <w:p w14:paraId="7E0A8003" w14:textId="77777777" w:rsidR="002B54ED" w:rsidRPr="002B54ED" w:rsidRDefault="002B54ED" w:rsidP="002B54ED">
      <w:pPr>
        <w:spacing w:after="0" w:line="360" w:lineRule="auto"/>
        <w:contextualSpacing/>
        <w:rPr>
          <w:rFonts w:eastAsia="Times New Roman" w:cs="Tahoma"/>
          <w:iCs/>
          <w:lang w:val="es-ES" w:eastAsia="es-ES"/>
        </w:rPr>
      </w:pPr>
    </w:p>
    <w:p w14:paraId="73DDFBFB" w14:textId="77777777" w:rsidR="002B54ED" w:rsidRPr="002B54ED" w:rsidRDefault="002B54ED" w:rsidP="002B54ED">
      <w:pPr>
        <w:spacing w:after="0" w:line="360" w:lineRule="auto"/>
        <w:ind w:right="-28"/>
        <w:rPr>
          <w:rFonts w:eastAsia="Calibri" w:cs="Times New Roman"/>
          <w:b/>
          <w:color w:val="000000"/>
        </w:rPr>
      </w:pPr>
      <w:r w:rsidRPr="002B54ED">
        <w:rPr>
          <w:rFonts w:eastAsia="Calibri" w:cs="Times New Roman"/>
          <w:color w:val="000000"/>
        </w:rPr>
        <w:t>Al respecto, es necesario traer a colación la Guía Técnica 9 “La Administración del Personal Municipal”, define a los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2618C6FE" w14:textId="77777777" w:rsidR="002B54ED" w:rsidRPr="002B54ED" w:rsidRDefault="002B54ED" w:rsidP="002B54ED">
      <w:pPr>
        <w:spacing w:after="0" w:line="360" w:lineRule="auto"/>
        <w:ind w:right="-28"/>
        <w:rPr>
          <w:rFonts w:eastAsia="Calibri" w:cs="Times New Roman"/>
          <w:b/>
          <w:color w:val="000000"/>
        </w:rPr>
      </w:pPr>
    </w:p>
    <w:p w14:paraId="1F96CD06" w14:textId="77777777" w:rsidR="002B54ED" w:rsidRPr="002B54ED" w:rsidRDefault="002B54ED" w:rsidP="002B54ED">
      <w:pPr>
        <w:spacing w:after="0" w:line="360" w:lineRule="auto"/>
        <w:rPr>
          <w:rFonts w:eastAsia="Calibri" w:cs="Times New Roman"/>
          <w:color w:val="000000"/>
        </w:rPr>
      </w:pPr>
      <w:r w:rsidRPr="002B54ED">
        <w:rPr>
          <w:rFonts w:eastAsia="Calibri" w:cs="Times New Roman"/>
          <w:color w:val="000000"/>
        </w:rPr>
        <w:lastRenderedPageBreak/>
        <w:t>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77443558" w14:textId="77777777" w:rsidR="002B54ED" w:rsidRPr="002B54ED" w:rsidRDefault="002B54ED" w:rsidP="002B54ED">
      <w:pPr>
        <w:widowControl w:val="0"/>
        <w:spacing w:after="0" w:line="360" w:lineRule="auto"/>
        <w:rPr>
          <w:rFonts w:eastAsia="Calibri" w:cs="Times New Roman"/>
          <w:color w:val="000000"/>
        </w:rPr>
      </w:pPr>
    </w:p>
    <w:p w14:paraId="0EBF6CD4" w14:textId="77777777" w:rsidR="002B54ED" w:rsidRPr="002B54ED" w:rsidRDefault="002B54ED" w:rsidP="002B54ED">
      <w:pPr>
        <w:spacing w:after="0" w:line="360" w:lineRule="auto"/>
        <w:rPr>
          <w:rFonts w:eastAsia="Calibri" w:cs="Tahoma"/>
          <w:bCs/>
          <w:color w:val="000000"/>
          <w:lang w:val="es-ES"/>
        </w:rPr>
      </w:pPr>
      <w:r w:rsidRPr="002B54ED">
        <w:rPr>
          <w:rFonts w:eastAsia="Calibri" w:cs="Tahoma"/>
          <w:bCs/>
          <w:color w:val="000000"/>
          <w:lang w:val="es-ES"/>
        </w:rPr>
        <w:t>Además, el artículo 4°, fracción VI, de la Ley del Trabajo de los servidores públicos del Estado y Municipios, precisa que son servidores públicos, todas las personas físicas que presten a una institución pública un trabajo personal subordinado, mediante el pago de remuneraciones.</w:t>
      </w:r>
    </w:p>
    <w:p w14:paraId="60BEBE3B" w14:textId="77777777" w:rsidR="002B54ED" w:rsidRPr="002B54ED" w:rsidRDefault="002B54ED" w:rsidP="002B54ED">
      <w:pPr>
        <w:spacing w:after="0" w:line="360" w:lineRule="auto"/>
        <w:rPr>
          <w:rFonts w:eastAsia="Calibri" w:cs="Tahoma"/>
          <w:bCs/>
          <w:color w:val="000000"/>
          <w:lang w:val="es-ES"/>
        </w:rPr>
      </w:pPr>
    </w:p>
    <w:p w14:paraId="1094C6A3" w14:textId="77777777" w:rsidR="002B54ED" w:rsidRPr="002B54ED" w:rsidRDefault="002B54ED" w:rsidP="002B54ED">
      <w:pPr>
        <w:spacing w:after="0" w:line="360" w:lineRule="auto"/>
        <w:rPr>
          <w:rFonts w:eastAsia="Calibri" w:cs="Tahoma"/>
          <w:bCs/>
          <w:color w:val="000000"/>
          <w:lang w:val="es-ES"/>
        </w:rPr>
      </w:pPr>
      <w:r w:rsidRPr="002B54ED">
        <w:rPr>
          <w:rFonts w:eastAsia="Calibri" w:cs="Tahoma"/>
          <w:bCs/>
          <w:color w:val="000000"/>
          <w:lang w:val="es-ES"/>
        </w:rPr>
        <w:t xml:space="preserve">Ahora bien, sobre los datos solicitados, el artículo 92, fracción VIII, de la Ley de Transparencia y Acceso a la Información Pública del Estado de México y Municipios, que establece que los sujetos obligados deben proporcionar </w:t>
      </w:r>
      <w:r w:rsidRPr="002B54ED">
        <w:rPr>
          <w:rFonts w:eastAsia="Calibri" w:cs="Tahoma"/>
          <w:bCs/>
          <w:color w:val="000000"/>
        </w:rPr>
        <w:t>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2B54ED">
        <w:rPr>
          <w:rFonts w:eastAsia="Calibri" w:cs="Tahoma"/>
          <w:bCs/>
          <w:color w:val="000000"/>
          <w:lang w:val="es-ES"/>
        </w:rPr>
        <w:t>.</w:t>
      </w:r>
    </w:p>
    <w:p w14:paraId="36950F97" w14:textId="77777777" w:rsidR="002B54ED" w:rsidRPr="002B54ED" w:rsidRDefault="002B54ED" w:rsidP="002B54ED">
      <w:pPr>
        <w:spacing w:after="0" w:line="360" w:lineRule="auto"/>
        <w:rPr>
          <w:rFonts w:eastAsia="Calibri" w:cs="Tahoma"/>
          <w:bCs/>
          <w:color w:val="000000"/>
          <w:lang w:val="es-ES"/>
        </w:rPr>
      </w:pPr>
    </w:p>
    <w:p w14:paraId="0F83EC6D" w14:textId="77777777" w:rsidR="002B54ED" w:rsidRPr="002B54ED" w:rsidRDefault="002B54ED" w:rsidP="002B54ED">
      <w:pPr>
        <w:spacing w:after="0" w:line="360" w:lineRule="auto"/>
        <w:rPr>
          <w:rFonts w:eastAsia="Calibri" w:cs="Times New Roman"/>
          <w:color w:val="000000"/>
        </w:rPr>
      </w:pPr>
      <w:r w:rsidRPr="002B54ED">
        <w:rPr>
          <w:rFonts w:eastAsia="Calibri" w:cs="Tahoma"/>
          <w:bCs/>
          <w:color w:val="000000"/>
          <w:lang w:val="es-ES"/>
        </w:rPr>
        <w:t xml:space="preserve">Por otra parte, respecto a los recibos de pago, </w:t>
      </w:r>
      <w:r w:rsidRPr="002B54ED">
        <w:rPr>
          <w:rFonts w:eastAsia="Calibri" w:cs="Times New Roman"/>
          <w:color w:val="000000"/>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311B989" w14:textId="77777777" w:rsidR="002B54ED" w:rsidRPr="002B54ED" w:rsidRDefault="002B54ED" w:rsidP="002B54ED">
      <w:pPr>
        <w:spacing w:after="0" w:line="360" w:lineRule="auto"/>
        <w:rPr>
          <w:rFonts w:eastAsia="Calibri" w:cs="Times New Roman"/>
          <w:color w:val="000000"/>
        </w:rPr>
      </w:pPr>
    </w:p>
    <w:p w14:paraId="6A078F7D" w14:textId="77777777" w:rsidR="002B54ED" w:rsidRPr="002B54ED" w:rsidRDefault="002B54ED" w:rsidP="002B54ED">
      <w:pPr>
        <w:spacing w:after="0" w:line="360" w:lineRule="auto"/>
        <w:rPr>
          <w:rFonts w:eastAsia="Calibri" w:cs="Times New Roman"/>
          <w:color w:val="000000"/>
        </w:rPr>
      </w:pPr>
      <w:r w:rsidRPr="002B54ED">
        <w:rPr>
          <w:rFonts w:eastAsia="Calibri" w:cs="Times New Roman"/>
          <w:color w:val="000000"/>
        </w:rPr>
        <w:lastRenderedPageBreak/>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3F189CA1" w14:textId="77777777" w:rsidR="002B54ED" w:rsidRPr="002B54ED" w:rsidRDefault="002B54ED" w:rsidP="002B54ED">
      <w:pPr>
        <w:spacing w:after="0" w:line="360" w:lineRule="auto"/>
        <w:rPr>
          <w:rFonts w:eastAsia="Calibri" w:cs="Times New Roman"/>
          <w:color w:val="000000"/>
        </w:rPr>
      </w:pPr>
    </w:p>
    <w:p w14:paraId="2E3DADBF" w14:textId="77777777" w:rsidR="002B54ED" w:rsidRPr="002B54ED" w:rsidRDefault="002B54ED" w:rsidP="002B54ED">
      <w:pPr>
        <w:spacing w:after="0" w:line="360" w:lineRule="auto"/>
        <w:rPr>
          <w:rFonts w:eastAsia="Calibri" w:cs="Times New Roman"/>
          <w:color w:val="000000"/>
        </w:rPr>
      </w:pPr>
      <w:r w:rsidRPr="002B54ED">
        <w:rPr>
          <w:rFonts w:eastAsia="Calibri" w:cs="Times New Roman"/>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F3F4963" w14:textId="77777777" w:rsidR="002B54ED" w:rsidRPr="002B54ED" w:rsidRDefault="002B54ED" w:rsidP="002B54ED">
      <w:pPr>
        <w:widowControl w:val="0"/>
        <w:spacing w:after="0" w:line="360" w:lineRule="auto"/>
        <w:rPr>
          <w:rFonts w:eastAsia="Calibri" w:cs="Times New Roman"/>
          <w:color w:val="000000"/>
        </w:rPr>
      </w:pPr>
    </w:p>
    <w:p w14:paraId="09EF1C02" w14:textId="77777777" w:rsidR="002B54ED" w:rsidRPr="002B54ED" w:rsidRDefault="002B54ED" w:rsidP="002B54ED">
      <w:pPr>
        <w:spacing w:after="0" w:line="360" w:lineRule="auto"/>
        <w:rPr>
          <w:rFonts w:eastAsia="Calibri" w:cs="Times New Roman"/>
          <w:b/>
          <w:color w:val="000000"/>
        </w:rPr>
      </w:pPr>
      <w:r w:rsidRPr="002B54ED">
        <w:rPr>
          <w:rFonts w:eastAsia="Calibri" w:cs="Times New Roman"/>
          <w:color w:val="000000"/>
        </w:rPr>
        <w:t xml:space="preserve">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w:t>
      </w:r>
      <w:r w:rsidRPr="002B54ED">
        <w:rPr>
          <w:rFonts w:eastAsia="Calibri" w:cs="Times New Roman"/>
          <w:b/>
          <w:color w:val="000000"/>
        </w:rPr>
        <w:t>1000 Servicios Personales</w:t>
      </w:r>
      <w:r w:rsidRPr="002B54ED">
        <w:rPr>
          <w:rFonts w:eastAsia="Calibri" w:cs="Times New Roman"/>
          <w:color w:val="000000"/>
        </w:rPr>
        <w:t>,</w:t>
      </w:r>
      <w:r w:rsidRPr="002B54ED">
        <w:rPr>
          <w:rFonts w:eastAsia="Calibri" w:cs="Times New Roman"/>
          <w:b/>
          <w:color w:val="000000"/>
        </w:rPr>
        <w:t xml:space="preserve"> que agrupa las remuneraciones del personal al servicio de los entes públicos, tales como el sueldo, salarios, dietas, honorarios, prestaciones, aguinaldo, obligaciones laborales, entre otras.</w:t>
      </w:r>
    </w:p>
    <w:p w14:paraId="35121F51" w14:textId="77777777" w:rsidR="002B54ED" w:rsidRPr="002B54ED" w:rsidRDefault="002B54ED" w:rsidP="002B54ED">
      <w:pPr>
        <w:spacing w:after="0" w:line="360" w:lineRule="auto"/>
        <w:rPr>
          <w:rFonts w:eastAsia="Calibri" w:cs="Times New Roman"/>
          <w:b/>
          <w:color w:val="000000"/>
        </w:rPr>
      </w:pPr>
    </w:p>
    <w:p w14:paraId="13482ECF" w14:textId="77777777" w:rsidR="002B54ED" w:rsidRPr="002B54ED" w:rsidRDefault="002B54ED" w:rsidP="002B54ED">
      <w:pPr>
        <w:spacing w:after="0" w:line="360" w:lineRule="auto"/>
        <w:rPr>
          <w:rFonts w:eastAsia="Calibri" w:cs="Times New Roman"/>
          <w:color w:val="000000"/>
        </w:rPr>
      </w:pPr>
      <w:r w:rsidRPr="002B54ED">
        <w:rPr>
          <w:rFonts w:eastAsia="Calibri" w:cs="Times New Roman"/>
          <w:color w:val="000000"/>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3388082" w14:textId="77777777" w:rsidR="002B54ED" w:rsidRPr="002B54ED" w:rsidRDefault="002B54ED" w:rsidP="002B54ED">
      <w:pPr>
        <w:spacing w:after="0" w:line="360" w:lineRule="auto"/>
        <w:rPr>
          <w:rFonts w:eastAsia="Calibri" w:cs="Times New Roman"/>
          <w:color w:val="000000"/>
        </w:rPr>
      </w:pPr>
    </w:p>
    <w:p w14:paraId="39A6D5BE" w14:textId="77777777" w:rsidR="002B54ED" w:rsidRPr="002B54ED" w:rsidRDefault="002B54ED" w:rsidP="002B54ED">
      <w:pPr>
        <w:spacing w:after="0" w:line="360" w:lineRule="auto"/>
        <w:ind w:left="567" w:right="567"/>
        <w:rPr>
          <w:rFonts w:eastAsia="Calibri" w:cs="Times New Roman"/>
          <w:i/>
          <w:color w:val="000000"/>
          <w:sz w:val="20"/>
          <w:szCs w:val="20"/>
        </w:rPr>
      </w:pPr>
      <w:r w:rsidRPr="002B54ED">
        <w:rPr>
          <w:rFonts w:eastAsia="Calibri" w:cs="Times New Roman"/>
          <w:b/>
          <w:i/>
          <w:color w:val="000000"/>
          <w:sz w:val="20"/>
          <w:szCs w:val="20"/>
        </w:rPr>
        <w:t>“RECIBOS DE PAGO</w:t>
      </w:r>
      <w:r w:rsidRPr="002B54ED">
        <w:rPr>
          <w:rFonts w:eastAsia="Calibri" w:cs="Times New Roman"/>
          <w:i/>
          <w:color w:val="000000"/>
          <w:sz w:val="20"/>
          <w:szCs w:val="20"/>
        </w:rPr>
        <w:t xml:space="preserve"> </w:t>
      </w:r>
      <w:r w:rsidRPr="002B54ED">
        <w:rPr>
          <w:rFonts w:eastAsia="Calibri" w:cs="Times New Roman"/>
          <w:b/>
          <w:i/>
          <w:color w:val="000000"/>
          <w:sz w:val="20"/>
          <w:szCs w:val="20"/>
        </w:rPr>
        <w:t xml:space="preserve">EMITIDOS POR MEDIOS ELECTRÓNICOS SIN FIRMA DEL TRABAJADOR. SON VÁLIDOS PARA ACREDITAR LOS CONCEPTOS Y MONTOS QUE EN ELLOS SE INSERTAN (APLICACIÓN SUPLETORIA DEL ARTÍCULO 776, FRACCIONES II Y VIII, DE LA LEY FEDERAL DEL TRABAJO, A LA LEY FEDERAL DE </w:t>
      </w:r>
      <w:r w:rsidRPr="002B54ED">
        <w:rPr>
          <w:rFonts w:eastAsia="Calibri" w:cs="Times New Roman"/>
          <w:b/>
          <w:i/>
          <w:color w:val="000000"/>
          <w:sz w:val="20"/>
          <w:szCs w:val="20"/>
        </w:rPr>
        <w:lastRenderedPageBreak/>
        <w:t xml:space="preserve">LOS TRABAJADORES AL SERVICIO DEL ESTADO). </w:t>
      </w:r>
      <w:r w:rsidRPr="002B54ED">
        <w:rPr>
          <w:rFonts w:eastAsia="Calibri" w:cs="Times New Roman"/>
          <w:i/>
          <w:color w:val="000000"/>
          <w:sz w:val="20"/>
          <w:szCs w:val="20"/>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0629DAF" w14:textId="77777777" w:rsidR="002B54ED" w:rsidRPr="002B54ED" w:rsidRDefault="002B54ED" w:rsidP="002B54ED">
      <w:pPr>
        <w:spacing w:after="0" w:line="360" w:lineRule="auto"/>
        <w:rPr>
          <w:rFonts w:eastAsia="Calibri" w:cs="Times New Roman"/>
          <w:b/>
          <w:i/>
          <w:color w:val="000000"/>
        </w:rPr>
      </w:pPr>
    </w:p>
    <w:p w14:paraId="72481D3C" w14:textId="77777777" w:rsidR="002B54ED" w:rsidRPr="002B54ED" w:rsidRDefault="002B54ED" w:rsidP="002B54ED">
      <w:pPr>
        <w:spacing w:after="0" w:line="360" w:lineRule="auto"/>
        <w:rPr>
          <w:rFonts w:eastAsia="Calibri" w:cs="Times New Roman"/>
          <w:color w:val="000000"/>
        </w:rPr>
      </w:pPr>
      <w:r w:rsidRPr="002B54ED">
        <w:rPr>
          <w:rFonts w:eastAsia="Calibri" w:cs="Times New Roman"/>
          <w:color w:val="000000"/>
        </w:rPr>
        <w:t xml:space="preserve">De la tesis transcrita, se desprende que en materia burocrática los recibos de pago acreditan los conceptos y montos que en ellos se insertan y constituyen prueba para demostrar las percepciones y montos que reciben los servidores públicos. </w:t>
      </w:r>
    </w:p>
    <w:p w14:paraId="53967EC2" w14:textId="77777777" w:rsidR="002B54ED" w:rsidRPr="002B54ED" w:rsidRDefault="002B54ED" w:rsidP="002B54ED">
      <w:pPr>
        <w:spacing w:after="0" w:line="360" w:lineRule="auto"/>
        <w:rPr>
          <w:rFonts w:eastAsia="Calibri" w:cs="Times New Roman"/>
          <w:color w:val="000000"/>
        </w:rPr>
      </w:pPr>
    </w:p>
    <w:p w14:paraId="1C8DE5AC" w14:textId="77777777" w:rsidR="00B3136F" w:rsidRDefault="00B3136F" w:rsidP="00B3136F">
      <w:pPr>
        <w:spacing w:after="0" w:line="360" w:lineRule="auto"/>
      </w:pPr>
      <w:r>
        <w:t xml:space="preserve">En ese contexto, los Lineamientos para la integración y presentación de los Informes Trimestrales Estatales y Municipales del Ejercicio Fiscal 2025, emitidos por el Órgano Superior de Fiscalización del Estado de México, el cual precisa que los Ayuntamientos y los Organismos Descentralizados deben de proporcionar, para su fiscalización, diversos documentos, entre los cuales se encuentran aquellos del </w:t>
      </w:r>
      <w:r>
        <w:rPr>
          <w:b/>
        </w:rPr>
        <w:t>Módulo 1</w:t>
      </w:r>
      <w:r>
        <w:t>, que contienen los Comprobantes Fiscales Digitales por Internet por concepto de nómina (recibos de nómina)</w:t>
      </w:r>
      <w:r>
        <w:rPr>
          <w:b/>
        </w:rPr>
        <w:t>.</w:t>
      </w:r>
      <w:r>
        <w:t xml:space="preserve"> </w:t>
      </w:r>
    </w:p>
    <w:p w14:paraId="7578CB42" w14:textId="77777777" w:rsidR="002B54ED" w:rsidRDefault="002B54ED" w:rsidP="00963119">
      <w:pPr>
        <w:spacing w:after="0" w:line="360" w:lineRule="auto"/>
        <w:rPr>
          <w:b/>
        </w:rPr>
      </w:pPr>
    </w:p>
    <w:p w14:paraId="590F1951" w14:textId="0F831621" w:rsidR="00B3136F" w:rsidRDefault="00B3136F" w:rsidP="00B3136F">
      <w:pPr>
        <w:spacing w:after="0" w:line="360" w:lineRule="auto"/>
        <w:rPr>
          <w:b/>
          <w:color w:val="000000"/>
        </w:rPr>
      </w:pPr>
      <w:r>
        <w:rPr>
          <w:color w:val="000000"/>
        </w:rPr>
        <w:t xml:space="preserve">No pasa desapercibido mencionar que en la solicitud donde se requirió la información de la Unidad de Transparencia, el particular no señaló temporalidad de la cual requería obtener la información solicitada, por lo que, es necesario traer a colación el Criterio Reiterado 04/2024 emitido por este Organismo Garante, el cual señala que cuando el particular no refiera el periodo respecto del cual requiere la información o no se adviertan elementos que permitan </w:t>
      </w:r>
      <w:r>
        <w:rPr>
          <w:color w:val="000000"/>
        </w:rPr>
        <w:lastRenderedPageBreak/>
        <w:t xml:space="preserve">identificarlo, se </w:t>
      </w:r>
      <w:r>
        <w:rPr>
          <w:b/>
          <w:color w:val="000000"/>
        </w:rPr>
        <w:t>deberá hacer entrega de la información relativa a las últimas dos quincenas pagadas.</w:t>
      </w:r>
    </w:p>
    <w:p w14:paraId="6D6ED815" w14:textId="77777777" w:rsidR="00B3136F" w:rsidRDefault="00B3136F" w:rsidP="00963119">
      <w:pPr>
        <w:spacing w:after="0" w:line="360" w:lineRule="auto"/>
        <w:rPr>
          <w:b/>
        </w:rPr>
      </w:pPr>
    </w:p>
    <w:p w14:paraId="7D2A4548" w14:textId="6279D30C" w:rsidR="00A94A35" w:rsidRDefault="00B3136F" w:rsidP="00963119">
      <w:pPr>
        <w:spacing w:after="0" w:line="360" w:lineRule="auto"/>
        <w:rPr>
          <w:bCs/>
        </w:rPr>
      </w:pPr>
      <w:r>
        <w:rPr>
          <w:bCs/>
        </w:rPr>
        <w:t>Ahora bien, respecto a las áreas solicitadas es necesario precisar que este Instituto revisó el Portal de Información Pública de Oficio Mexiquense, en específico el apartado de Organigrama, de cuya revisión se logra vislumbrar que el Ayuntamiento de Toluca cuenta con las siguientes áreas:</w:t>
      </w:r>
    </w:p>
    <w:p w14:paraId="4BEE49E5" w14:textId="77777777" w:rsidR="00B3136F" w:rsidRDefault="00B3136F" w:rsidP="00963119">
      <w:pPr>
        <w:spacing w:after="0" w:line="360" w:lineRule="auto"/>
        <w:rPr>
          <w:bCs/>
        </w:rPr>
      </w:pPr>
    </w:p>
    <w:p w14:paraId="7FED4DC7" w14:textId="23A98265" w:rsidR="00B3136F" w:rsidRDefault="00B3136F" w:rsidP="00B3136F">
      <w:pPr>
        <w:pStyle w:val="Prrafodelista"/>
        <w:numPr>
          <w:ilvl w:val="0"/>
          <w:numId w:val="23"/>
        </w:numPr>
        <w:spacing w:line="360" w:lineRule="auto"/>
        <w:rPr>
          <w:bCs/>
        </w:rPr>
      </w:pPr>
      <w:r>
        <w:rPr>
          <w:bCs/>
        </w:rPr>
        <w:t>Presidencia Municipal;</w:t>
      </w:r>
    </w:p>
    <w:p w14:paraId="3D40C28A" w14:textId="7EF7B448" w:rsidR="00B3136F" w:rsidRDefault="00B3136F" w:rsidP="00B3136F">
      <w:pPr>
        <w:pStyle w:val="Prrafodelista"/>
        <w:numPr>
          <w:ilvl w:val="0"/>
          <w:numId w:val="23"/>
        </w:numPr>
        <w:spacing w:line="360" w:lineRule="auto"/>
        <w:rPr>
          <w:bCs/>
        </w:rPr>
      </w:pPr>
      <w:r>
        <w:rPr>
          <w:bCs/>
        </w:rPr>
        <w:t>Secretaría del Ayuntamiento;</w:t>
      </w:r>
    </w:p>
    <w:p w14:paraId="57045234" w14:textId="4F01825F" w:rsidR="00B3136F" w:rsidRDefault="00B3136F" w:rsidP="00B3136F">
      <w:pPr>
        <w:pStyle w:val="Prrafodelista"/>
        <w:numPr>
          <w:ilvl w:val="0"/>
          <w:numId w:val="23"/>
        </w:numPr>
        <w:spacing w:line="360" w:lineRule="auto"/>
        <w:rPr>
          <w:bCs/>
        </w:rPr>
      </w:pPr>
      <w:r>
        <w:rPr>
          <w:bCs/>
        </w:rPr>
        <w:t>Unidad de Transparencia</w:t>
      </w:r>
      <w:r w:rsidR="007427DA">
        <w:rPr>
          <w:bCs/>
        </w:rPr>
        <w:t>;</w:t>
      </w:r>
    </w:p>
    <w:p w14:paraId="31062800" w14:textId="3D6731EE" w:rsidR="00B3136F" w:rsidRDefault="00B3136F" w:rsidP="00B3136F">
      <w:pPr>
        <w:pStyle w:val="Prrafodelista"/>
        <w:numPr>
          <w:ilvl w:val="0"/>
          <w:numId w:val="23"/>
        </w:numPr>
        <w:spacing w:line="360" w:lineRule="auto"/>
        <w:rPr>
          <w:bCs/>
        </w:rPr>
      </w:pPr>
      <w:r>
        <w:rPr>
          <w:bCs/>
        </w:rPr>
        <w:t>Dirección General de Gobierno;</w:t>
      </w:r>
    </w:p>
    <w:p w14:paraId="5B99F0F2" w14:textId="3952CECE" w:rsidR="00B3136F" w:rsidRDefault="00B3136F" w:rsidP="00B3136F">
      <w:pPr>
        <w:pStyle w:val="Prrafodelista"/>
        <w:numPr>
          <w:ilvl w:val="0"/>
          <w:numId w:val="23"/>
        </w:numPr>
        <w:spacing w:line="360" w:lineRule="auto"/>
        <w:rPr>
          <w:bCs/>
        </w:rPr>
      </w:pPr>
      <w:r>
        <w:rPr>
          <w:bCs/>
        </w:rPr>
        <w:t>Dirección General de Seguridad y Protección;</w:t>
      </w:r>
    </w:p>
    <w:p w14:paraId="4CC2FC68" w14:textId="51D59202" w:rsidR="00B3136F" w:rsidRDefault="00B3136F" w:rsidP="00B3136F">
      <w:pPr>
        <w:pStyle w:val="Prrafodelista"/>
        <w:numPr>
          <w:ilvl w:val="0"/>
          <w:numId w:val="23"/>
        </w:numPr>
        <w:spacing w:line="360" w:lineRule="auto"/>
        <w:rPr>
          <w:bCs/>
        </w:rPr>
      </w:pPr>
      <w:r>
        <w:rPr>
          <w:bCs/>
        </w:rPr>
        <w:t>Dirección General de Administración;</w:t>
      </w:r>
    </w:p>
    <w:p w14:paraId="7CC66377" w14:textId="56DC8B74" w:rsidR="00B3136F" w:rsidRDefault="00B3136F" w:rsidP="00B3136F">
      <w:pPr>
        <w:pStyle w:val="Prrafodelista"/>
        <w:numPr>
          <w:ilvl w:val="0"/>
          <w:numId w:val="23"/>
        </w:numPr>
        <w:spacing w:line="360" w:lineRule="auto"/>
        <w:rPr>
          <w:bCs/>
        </w:rPr>
      </w:pPr>
      <w:r>
        <w:rPr>
          <w:bCs/>
        </w:rPr>
        <w:t>Dirección General de Servicios Públicos, y</w:t>
      </w:r>
    </w:p>
    <w:p w14:paraId="565F4D70" w14:textId="45571BCD" w:rsidR="00B3136F" w:rsidRPr="00B3136F" w:rsidRDefault="00B3136F" w:rsidP="00B3136F">
      <w:pPr>
        <w:pStyle w:val="Prrafodelista"/>
        <w:numPr>
          <w:ilvl w:val="0"/>
          <w:numId w:val="23"/>
        </w:numPr>
        <w:spacing w:line="360" w:lineRule="auto"/>
        <w:rPr>
          <w:bCs/>
        </w:rPr>
      </w:pPr>
      <w:r>
        <w:rPr>
          <w:bCs/>
        </w:rPr>
        <w:t>Dirección General de Bienestar.</w:t>
      </w:r>
    </w:p>
    <w:p w14:paraId="47E2FC53" w14:textId="45B8A3E5" w:rsidR="00B3136F" w:rsidRDefault="00B3136F" w:rsidP="00963119">
      <w:pPr>
        <w:spacing w:after="0" w:line="360" w:lineRule="auto"/>
        <w:rPr>
          <w:b/>
        </w:rPr>
      </w:pPr>
    </w:p>
    <w:p w14:paraId="252132C1" w14:textId="3919B599" w:rsidR="00B3136F" w:rsidRPr="00B3136F" w:rsidRDefault="00B3136F" w:rsidP="00963119">
      <w:pPr>
        <w:spacing w:after="0" w:line="360" w:lineRule="auto"/>
        <w:rPr>
          <w:bCs/>
        </w:rPr>
      </w:pPr>
      <w:r>
        <w:rPr>
          <w:bCs/>
        </w:rPr>
        <w:t>Además, que el Ayuntamiento cuenta con un Organismo Público Descentralizado, denominado Instituto Municipal de la Mujer, que a la fecha de presentación de la solicitud, de información formaba parte del Ayuntamiento, en materia de acceso a la información pública, al no ser Sujeto Obligado específico.</w:t>
      </w:r>
    </w:p>
    <w:p w14:paraId="3F6D8C92" w14:textId="77777777" w:rsidR="00B3136F" w:rsidRDefault="00B3136F" w:rsidP="00963119">
      <w:pPr>
        <w:spacing w:after="0" w:line="360" w:lineRule="auto"/>
        <w:rPr>
          <w:b/>
        </w:rPr>
      </w:pPr>
    </w:p>
    <w:p w14:paraId="22DDB8BE" w14:textId="67E58843" w:rsidR="00B3136F" w:rsidRPr="00B3136F" w:rsidRDefault="00B3136F" w:rsidP="00963119">
      <w:pPr>
        <w:spacing w:after="0" w:line="360" w:lineRule="auto"/>
        <w:rPr>
          <w:bCs/>
        </w:rPr>
      </w:pPr>
      <w:r>
        <w:rPr>
          <w:bCs/>
        </w:rPr>
        <w:t xml:space="preserve">Conforme a lo anterior, se logra vislumbrar que la pretensión de la persona Recurrente, es obtener los recibos de nómina </w:t>
      </w:r>
      <w:r w:rsidR="007427DA">
        <w:rPr>
          <w:bCs/>
        </w:rPr>
        <w:t>de los siguientes periodos:</w:t>
      </w:r>
    </w:p>
    <w:p w14:paraId="71C36F0D" w14:textId="77777777" w:rsidR="00B3136F" w:rsidRDefault="00B3136F" w:rsidP="00963119">
      <w:pPr>
        <w:spacing w:after="0" w:line="360" w:lineRule="auto"/>
        <w:rPr>
          <w:b/>
        </w:rPr>
      </w:pPr>
    </w:p>
    <w:p w14:paraId="54C828D8" w14:textId="77777777" w:rsidR="00B3136F" w:rsidRDefault="00B3136F" w:rsidP="007427DA">
      <w:pPr>
        <w:pStyle w:val="Prrafodelista"/>
        <w:numPr>
          <w:ilvl w:val="0"/>
          <w:numId w:val="24"/>
        </w:numPr>
        <w:spacing w:line="360" w:lineRule="auto"/>
        <w:rPr>
          <w:rFonts w:eastAsia="Palatino Linotype" w:cs="Tahoma"/>
          <w:color w:val="000000"/>
          <w:lang w:eastAsia="es-MX"/>
        </w:rPr>
      </w:pPr>
      <w:r>
        <w:rPr>
          <w:rFonts w:eastAsia="Palatino Linotype" w:cs="Tahoma"/>
          <w:color w:val="000000"/>
          <w:lang w:eastAsia="es-MX"/>
        </w:rPr>
        <w:t>De la primera quincena de junio de dos mil veinticinco, de todos los servidores públicos adscritos al Ayuntamiento, y</w:t>
      </w:r>
    </w:p>
    <w:p w14:paraId="1DD3D8D0" w14:textId="77777777" w:rsidR="00B3136F" w:rsidRDefault="00B3136F" w:rsidP="00B3136F">
      <w:pPr>
        <w:pStyle w:val="Prrafodelista"/>
        <w:spacing w:line="360" w:lineRule="auto"/>
        <w:rPr>
          <w:rFonts w:eastAsia="Palatino Linotype" w:cs="Tahoma"/>
          <w:color w:val="000000"/>
          <w:lang w:eastAsia="es-MX"/>
        </w:rPr>
      </w:pPr>
    </w:p>
    <w:p w14:paraId="63315E14" w14:textId="6F111718" w:rsidR="00B3136F" w:rsidRDefault="00B3136F" w:rsidP="007427DA">
      <w:pPr>
        <w:pStyle w:val="Prrafodelista"/>
        <w:numPr>
          <w:ilvl w:val="0"/>
          <w:numId w:val="24"/>
        </w:numPr>
        <w:spacing w:line="360" w:lineRule="auto"/>
        <w:rPr>
          <w:rFonts w:eastAsia="Palatino Linotype" w:cs="Tahoma"/>
          <w:color w:val="000000"/>
          <w:lang w:eastAsia="es-MX"/>
        </w:rPr>
      </w:pPr>
      <w:r>
        <w:rPr>
          <w:rFonts w:eastAsia="Palatino Linotype" w:cs="Tahoma"/>
          <w:color w:val="000000"/>
          <w:lang w:eastAsia="es-MX"/>
        </w:rPr>
        <w:t xml:space="preserve">De la segunda quincena de mayo de dos mil veinticinco, de todo el personal adscrito a la </w:t>
      </w:r>
      <w:r w:rsidRPr="007427DA">
        <w:rPr>
          <w:rFonts w:eastAsia="Palatino Linotype" w:cs="Tahoma"/>
          <w:color w:val="000000"/>
          <w:lang w:eastAsia="es-MX"/>
        </w:rPr>
        <w:t>Presidencia Municipal, a la Secretaría del Ayuntamiento, a la</w:t>
      </w:r>
      <w:r w:rsidR="007427DA">
        <w:rPr>
          <w:rFonts w:eastAsia="Palatino Linotype" w:cs="Tahoma"/>
          <w:color w:val="000000"/>
          <w:lang w:eastAsia="es-MX"/>
        </w:rPr>
        <w:t xml:space="preserve"> </w:t>
      </w:r>
      <w:r w:rsidR="007427DA">
        <w:rPr>
          <w:bCs/>
        </w:rPr>
        <w:t>Dirección General de Gobierno, a la</w:t>
      </w:r>
      <w:r w:rsidR="007427DA" w:rsidRPr="007427DA">
        <w:rPr>
          <w:bCs/>
        </w:rPr>
        <w:t xml:space="preserve"> </w:t>
      </w:r>
      <w:r w:rsidR="007427DA">
        <w:rPr>
          <w:bCs/>
        </w:rPr>
        <w:t>Dirección General de Seguridad y Protección, a la</w:t>
      </w:r>
      <w:r w:rsidRPr="007427DA">
        <w:rPr>
          <w:rFonts w:eastAsia="Palatino Linotype" w:cs="Tahoma"/>
          <w:color w:val="000000"/>
          <w:lang w:eastAsia="es-MX"/>
        </w:rPr>
        <w:t xml:space="preserve"> Dirección General de Administración, </w:t>
      </w:r>
      <w:r w:rsidR="007427DA">
        <w:rPr>
          <w:rFonts w:eastAsia="Palatino Linotype" w:cs="Tahoma"/>
          <w:color w:val="000000"/>
          <w:lang w:eastAsia="es-MX"/>
        </w:rPr>
        <w:t xml:space="preserve">a la </w:t>
      </w:r>
      <w:r w:rsidR="007427DA">
        <w:rPr>
          <w:bCs/>
        </w:rPr>
        <w:t>Dirección General de Servicios Públicos</w:t>
      </w:r>
      <w:r w:rsidRPr="007427DA">
        <w:rPr>
          <w:rFonts w:eastAsia="Palatino Linotype" w:cs="Tahoma"/>
          <w:color w:val="000000"/>
          <w:lang w:eastAsia="es-MX"/>
        </w:rPr>
        <w:t xml:space="preserve">, a la </w:t>
      </w:r>
      <w:r w:rsidR="007427DA">
        <w:rPr>
          <w:bCs/>
        </w:rPr>
        <w:t>Dirección General de Bienestar</w:t>
      </w:r>
      <w:r w:rsidRPr="007427DA">
        <w:rPr>
          <w:rFonts w:eastAsia="Palatino Linotype" w:cs="Tahoma"/>
          <w:color w:val="000000"/>
          <w:lang w:eastAsia="es-MX"/>
        </w:rPr>
        <w:t xml:space="preserve"> y al Instituto Municipal de la Mujer</w:t>
      </w:r>
      <w:r w:rsidR="007427DA">
        <w:rPr>
          <w:rFonts w:eastAsia="Palatino Linotype" w:cs="Tahoma"/>
          <w:color w:val="000000"/>
          <w:lang w:eastAsia="es-MX"/>
        </w:rPr>
        <w:t xml:space="preserve"> (que incluyan las áreas que conforman a cada uno).</w:t>
      </w:r>
    </w:p>
    <w:p w14:paraId="77F32025" w14:textId="77777777" w:rsidR="00B3136F" w:rsidRDefault="00B3136F" w:rsidP="00B3136F">
      <w:pPr>
        <w:pStyle w:val="Prrafodelista"/>
        <w:spacing w:line="360" w:lineRule="auto"/>
        <w:rPr>
          <w:rFonts w:eastAsia="Palatino Linotype" w:cs="Tahoma"/>
          <w:color w:val="000000"/>
          <w:lang w:eastAsia="es-MX"/>
        </w:rPr>
      </w:pPr>
    </w:p>
    <w:p w14:paraId="45252773" w14:textId="397D9473" w:rsidR="00B3136F" w:rsidRPr="002B54ED" w:rsidRDefault="007427DA" w:rsidP="007427DA">
      <w:pPr>
        <w:pStyle w:val="Prrafodelista"/>
        <w:numPr>
          <w:ilvl w:val="0"/>
          <w:numId w:val="24"/>
        </w:numPr>
        <w:spacing w:line="360" w:lineRule="auto"/>
        <w:rPr>
          <w:rFonts w:eastAsia="Palatino Linotype" w:cs="Tahoma"/>
          <w:color w:val="000000"/>
          <w:lang w:eastAsia="es-MX"/>
        </w:rPr>
      </w:pPr>
      <w:r>
        <w:rPr>
          <w:rFonts w:eastAsia="Palatino Linotype" w:cs="Tahoma"/>
          <w:color w:val="000000"/>
          <w:lang w:eastAsia="es-MX"/>
        </w:rPr>
        <w:t>De la primera y segunda quincena de mayo de dos mil veinticinco,</w:t>
      </w:r>
      <w:r w:rsidR="00B3136F">
        <w:rPr>
          <w:rFonts w:eastAsia="Palatino Linotype" w:cs="Tahoma"/>
          <w:color w:val="000000"/>
          <w:lang w:eastAsia="es-MX"/>
        </w:rPr>
        <w:t xml:space="preserve"> del personal adscrito a la Unidad de Transparencia</w:t>
      </w:r>
      <w:r>
        <w:rPr>
          <w:rFonts w:eastAsia="Palatino Linotype" w:cs="Tahoma"/>
          <w:color w:val="000000"/>
          <w:lang w:eastAsia="es-MX"/>
        </w:rPr>
        <w:t xml:space="preserve"> (al ser las últimas dos quincenas pagadas al once de junio de dos mil veinticinco).</w:t>
      </w:r>
    </w:p>
    <w:p w14:paraId="572F4B9D" w14:textId="77777777" w:rsidR="00244E20" w:rsidRDefault="00244E20" w:rsidP="007475D7">
      <w:pPr>
        <w:spacing w:after="0" w:line="360" w:lineRule="auto"/>
        <w:rPr>
          <w:color w:val="000000"/>
        </w:rPr>
      </w:pPr>
    </w:p>
    <w:p w14:paraId="1E376E1E" w14:textId="553B18B2" w:rsidR="007475D7" w:rsidRDefault="007475D7" w:rsidP="007475D7">
      <w:pPr>
        <w:spacing w:after="0" w:line="360" w:lineRule="auto"/>
      </w:pPr>
      <w:r>
        <w:rPr>
          <w:color w:val="000000"/>
        </w:rPr>
        <w:t>Ahora bien, de las constancias que obran en el expediente electrónico, se advierte que el Sujeto Obligado</w:t>
      </w:r>
      <w:r>
        <w:rPr>
          <w:color w:val="0D0D0D"/>
        </w:rPr>
        <w:t>, turnó la solicitud de información a la Dirección de Recursos Humanos y al Instituto Municipal de la Mujer</w:t>
      </w:r>
      <w:r>
        <w:rPr>
          <w:color w:val="000000"/>
        </w:rPr>
        <w:t xml:space="preserve">;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F883D5A" w14:textId="77777777" w:rsidR="007475D7" w:rsidRDefault="007475D7" w:rsidP="007475D7">
      <w:pPr>
        <w:spacing w:after="0" w:line="360" w:lineRule="auto"/>
      </w:pPr>
    </w:p>
    <w:p w14:paraId="38A69856" w14:textId="77777777" w:rsidR="007475D7" w:rsidRDefault="007475D7" w:rsidP="007475D7">
      <w:pPr>
        <w:spacing w:after="0" w:line="360" w:lineRule="auto"/>
      </w:pPr>
      <w:r>
        <w:t>En ese sentido, los artículos 90 y 92, del Bando Municipal de Toluca, dos mil veinticinco, así como, los diversos 3.20, 3.24, 3.43, 3.44 y 3.45, del Código Reglamentario Municipal de Toluca, vigente, establecen las atribuciones de la Tesorería Municipal la Dirección General de Administración, como se muestra a continuación:</w:t>
      </w:r>
    </w:p>
    <w:p w14:paraId="6A2EF1A2" w14:textId="77777777" w:rsidR="007475D7" w:rsidRDefault="007475D7" w:rsidP="007475D7">
      <w:pPr>
        <w:spacing w:after="0" w:line="360" w:lineRule="auto"/>
      </w:pPr>
    </w:p>
    <w:p w14:paraId="25F8BE40" w14:textId="77777777" w:rsidR="007475D7" w:rsidRDefault="007475D7" w:rsidP="007475D7">
      <w:pPr>
        <w:pStyle w:val="Prrafodelista"/>
        <w:numPr>
          <w:ilvl w:val="0"/>
          <w:numId w:val="25"/>
        </w:numPr>
        <w:spacing w:line="360" w:lineRule="auto"/>
      </w:pPr>
      <w:r>
        <w:rPr>
          <w:b/>
          <w:bCs/>
        </w:rPr>
        <w:t>Tesorería Municipal:</w:t>
      </w:r>
      <w:r>
        <w:t xml:space="preserve"> A través de la Dirección de Contaduría, se encargará de registrar y controlar las operaciones financieras, presupuestales y contables que emanen de las dependencias de la administración pública municipal y recopilar, organizar y consolidar la información financiera, presupuestal y programática, así como la documentación generada por las dependencias para integrar y presentar los informes mensuales, financieros y la cuenta pública anual; además, conforme al Manual de Organización de la Tesorería Municipal, también cuenta con el Departamento de Control de Pagos de Servicios Personales, encargada de gestionar, organizar, coordinar y realizar el pago de nómina, así como, de revisar y dispersar cada quincena, la nómina electrónica de la administración pública municipal.</w:t>
      </w:r>
    </w:p>
    <w:p w14:paraId="52A77464" w14:textId="77777777" w:rsidR="007475D7" w:rsidRDefault="007475D7" w:rsidP="007475D7">
      <w:pPr>
        <w:pStyle w:val="Prrafodelista"/>
        <w:spacing w:line="360" w:lineRule="auto"/>
      </w:pPr>
    </w:p>
    <w:p w14:paraId="7D2903AE" w14:textId="77777777" w:rsidR="007475D7" w:rsidRDefault="007475D7" w:rsidP="007475D7">
      <w:pPr>
        <w:pStyle w:val="Prrafodelista"/>
        <w:numPr>
          <w:ilvl w:val="0"/>
          <w:numId w:val="25"/>
        </w:numPr>
        <w:spacing w:line="360" w:lineRule="auto"/>
      </w:pPr>
      <w:r>
        <w:rPr>
          <w:b/>
          <w:bCs/>
        </w:rPr>
        <w:t xml:space="preserve">Dirección General de Administración: </w:t>
      </w:r>
      <w:r>
        <w:t>A través de la Dirección de Recursos Humanos, se encargará de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para lograr lo anterior, conforme al Manual de Organización de la Dirección General de Administración, dicha área cuenta con el Departamento de Nómina encargada de realizar el timbrado de nómina, para la obtención de los CFDIS de cada servidor público.</w:t>
      </w:r>
    </w:p>
    <w:p w14:paraId="297F24DF" w14:textId="77777777" w:rsidR="007475D7" w:rsidRDefault="007475D7" w:rsidP="007475D7">
      <w:pPr>
        <w:spacing w:after="0" w:line="360" w:lineRule="auto"/>
      </w:pPr>
    </w:p>
    <w:p w14:paraId="3C54ECA4" w14:textId="6AB1442F" w:rsidR="007475D7" w:rsidRDefault="007475D7" w:rsidP="007475D7">
      <w:pPr>
        <w:spacing w:after="0" w:line="360" w:lineRule="auto"/>
      </w:pPr>
      <w:r>
        <w:t xml:space="preserve">Por su parte, el Manual General de Organización del Instituto Municipal de la Mujer precisa que dicho Organismo Municipal Descentralizado, cuenta con diversas unidades administrativas para el ejercicio de sus funciones, entre las cuales se encuentra la Coordinación de Administración y Finanzas, que por medio de su Departamento de Capital Humano, Control Presupuestal y Recursos Materiales, se encarga de la administración de </w:t>
      </w:r>
      <w:r>
        <w:lastRenderedPageBreak/>
        <w:t>recursos humanos, así como, elaborar y proporcionar la información financiera, contable, presupuestal y fiscal.</w:t>
      </w:r>
    </w:p>
    <w:p w14:paraId="2ADB1EE6" w14:textId="77777777" w:rsidR="007475D7" w:rsidRDefault="007475D7" w:rsidP="007475D7">
      <w:pPr>
        <w:spacing w:after="0" w:line="360" w:lineRule="auto"/>
      </w:pPr>
    </w:p>
    <w:p w14:paraId="04572A03" w14:textId="4E8BB93D" w:rsidR="00DF3228" w:rsidRDefault="007475D7" w:rsidP="007475D7">
      <w:pPr>
        <w:spacing w:after="0" w:line="360" w:lineRule="auto"/>
        <w:rPr>
          <w:color w:val="000000"/>
        </w:rPr>
      </w:pPr>
      <w:r>
        <w:rPr>
          <w:color w:val="000000"/>
        </w:rPr>
        <w:t xml:space="preserve">Por tal circunstancia, se advierte que </w:t>
      </w:r>
      <w:r>
        <w:t xml:space="preserve">el Sujeto Obligado no cumplió parcialmente con el procedimiento de búsqueda </w:t>
      </w:r>
      <w:r>
        <w:rPr>
          <w:color w:val="000000"/>
        </w:rPr>
        <w:t>establecido en el artículo 162 de la Ley de Transparencia y Acceso a la Información Pública del Estado de México y Municipios, toda vez, que no gestionó el requerimiento de información a todas las áreas competentes para conocer de lo peticionado, a saber, a la Tesorería Municipal; sin menoscabar lo anterior, se procede analizar la respuesta entregada por el Sujeto Obligado, conforme a lo siguiente:</w:t>
      </w:r>
    </w:p>
    <w:p w14:paraId="0E18EEEB" w14:textId="77777777" w:rsidR="007475D7" w:rsidRDefault="007475D7" w:rsidP="007475D7">
      <w:pPr>
        <w:spacing w:after="0" w:line="360" w:lineRule="auto"/>
        <w:rPr>
          <w:color w:val="000000"/>
        </w:rPr>
      </w:pPr>
    </w:p>
    <w:p w14:paraId="264657BA" w14:textId="3E15769D" w:rsidR="007475D7" w:rsidRDefault="007475D7" w:rsidP="007475D7">
      <w:pPr>
        <w:spacing w:after="0" w:line="360" w:lineRule="auto"/>
        <w:rPr>
          <w:b/>
          <w:bCs/>
          <w:color w:val="000000"/>
        </w:rPr>
      </w:pPr>
      <w:r>
        <w:rPr>
          <w:b/>
          <w:bCs/>
          <w:color w:val="000000"/>
        </w:rPr>
        <w:t>Personal adscrito al Ayuntamiento de Toluca</w:t>
      </w:r>
    </w:p>
    <w:p w14:paraId="7BCE4960" w14:textId="77777777" w:rsidR="007475D7" w:rsidRDefault="007475D7" w:rsidP="007475D7">
      <w:pPr>
        <w:spacing w:after="0" w:line="360" w:lineRule="auto"/>
        <w:rPr>
          <w:b/>
          <w:bCs/>
          <w:color w:val="000000"/>
        </w:rPr>
      </w:pPr>
    </w:p>
    <w:p w14:paraId="3218B5A4" w14:textId="1C275C1C" w:rsidR="00190EA4" w:rsidRDefault="00190EA4" w:rsidP="00190EA4">
      <w:pPr>
        <w:spacing w:after="0" w:line="360" w:lineRule="auto"/>
        <w:rPr>
          <w:rFonts w:eastAsia="Calibri" w:cs="Times New Roman"/>
          <w:color w:val="000000"/>
          <w:lang w:eastAsia="es-MX"/>
        </w:rPr>
      </w:pPr>
      <w:r>
        <w:rPr>
          <w:rFonts w:eastAsia="Times New Roman" w:cs="Tahoma"/>
          <w:lang w:eastAsia="es-ES"/>
        </w:rPr>
        <w:t>E</w:t>
      </w:r>
      <w:r w:rsidRPr="00190EA4">
        <w:rPr>
          <w:rFonts w:eastAsia="Times New Roman" w:cs="Tahoma"/>
          <w:lang w:eastAsia="es-ES"/>
        </w:rPr>
        <w:t>n respuesta</w:t>
      </w:r>
      <w:r>
        <w:rPr>
          <w:rFonts w:eastAsia="Times New Roman" w:cs="Tahoma"/>
          <w:lang w:eastAsia="es-ES"/>
        </w:rPr>
        <w:t xml:space="preserve">, </w:t>
      </w:r>
      <w:r w:rsidRPr="00190EA4">
        <w:rPr>
          <w:rFonts w:eastAsia="Times New Roman" w:cs="Tahoma"/>
          <w:lang w:eastAsia="es-ES"/>
        </w:rPr>
        <w:t xml:space="preserve">la </w:t>
      </w:r>
      <w:r>
        <w:rPr>
          <w:rFonts w:eastAsia="Times New Roman" w:cs="Tahoma"/>
          <w:lang w:eastAsia="es-ES"/>
        </w:rPr>
        <w:t>Dirección</w:t>
      </w:r>
      <w:r w:rsidRPr="00190EA4">
        <w:rPr>
          <w:rFonts w:eastAsia="Times New Roman" w:cs="Tahoma"/>
          <w:lang w:eastAsia="es-ES"/>
        </w:rPr>
        <w:t xml:space="preserve"> de Recursos Humanos, señaló </w:t>
      </w:r>
      <w:r>
        <w:rPr>
          <w:rFonts w:eastAsia="Times New Roman" w:cs="Tahoma"/>
          <w:lang w:eastAsia="es-ES"/>
        </w:rPr>
        <w:t>que la información se localizaba en una</w:t>
      </w:r>
      <w:r w:rsidRPr="00190EA4">
        <w:rPr>
          <w:rFonts w:eastAsia="Times New Roman" w:cs="Tahoma"/>
          <w:lang w:eastAsia="es-ES"/>
        </w:rPr>
        <w:t xml:space="preserve"> liga electrónica</w:t>
      </w:r>
      <w:r w:rsidRPr="00190EA4">
        <w:rPr>
          <w:lang w:eastAsia="es-ES"/>
        </w:rPr>
        <w:t xml:space="preserve">, </w:t>
      </w:r>
      <w:r w:rsidRPr="00190EA4">
        <w:rPr>
          <w:rFonts w:eastAsia="Calibri" w:cs="Times New Roman"/>
          <w:color w:val="000000"/>
          <w:lang w:eastAsia="es-MX"/>
        </w:rPr>
        <w:t>de cuya revisión se logra vislumbrar que se encuentra en un formato cerrado, es decir, que no se puede copiar y pegar para tener acceso</w:t>
      </w:r>
      <w:r>
        <w:rPr>
          <w:rFonts w:eastAsia="Calibri" w:cs="Times New Roman"/>
          <w:color w:val="000000"/>
          <w:lang w:eastAsia="es-MX"/>
        </w:rPr>
        <w:t>; s</w:t>
      </w:r>
      <w:r w:rsidRPr="00190EA4">
        <w:rPr>
          <w:rFonts w:eastAsia="Calibri" w:cs="Times New Roman"/>
          <w:color w:val="000000"/>
          <w:lang w:eastAsia="es-MX"/>
        </w:rPr>
        <w:t>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C9058A0" w14:textId="77777777" w:rsidR="00190EA4" w:rsidRPr="00190EA4" w:rsidRDefault="00190EA4" w:rsidP="00190EA4">
      <w:pPr>
        <w:spacing w:after="0" w:line="360" w:lineRule="auto"/>
        <w:rPr>
          <w:rFonts w:eastAsia="Calibri" w:cs="Times New Roman"/>
          <w:color w:val="000000"/>
          <w:lang w:eastAsia="es-MX"/>
        </w:rPr>
      </w:pPr>
    </w:p>
    <w:p w14:paraId="78FD1490" w14:textId="77777777" w:rsidR="00190EA4" w:rsidRPr="00190EA4" w:rsidRDefault="00190EA4" w:rsidP="00190EA4">
      <w:pPr>
        <w:spacing w:after="0" w:line="360" w:lineRule="auto"/>
        <w:rPr>
          <w:rFonts w:eastAsia="Calibri" w:cs="Times New Roman"/>
          <w:color w:val="000000"/>
          <w:lang w:eastAsia="es-MX"/>
        </w:rPr>
      </w:pPr>
      <w:r w:rsidRPr="00190EA4">
        <w:rPr>
          <w:rFonts w:eastAsia="Calibri" w:cs="Times New Roman"/>
          <w:color w:val="000000"/>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200ADD2A" w14:textId="77777777" w:rsidR="00190EA4" w:rsidRPr="00190EA4" w:rsidRDefault="00190EA4" w:rsidP="00190EA4">
      <w:pPr>
        <w:spacing w:after="0" w:line="360" w:lineRule="auto"/>
        <w:rPr>
          <w:rFonts w:eastAsia="Calibri" w:cs="Times New Roman"/>
          <w:color w:val="000000"/>
          <w:lang w:eastAsia="es-MX"/>
        </w:rPr>
      </w:pPr>
    </w:p>
    <w:p w14:paraId="5BD349AE" w14:textId="77777777" w:rsidR="00190EA4" w:rsidRPr="00190EA4" w:rsidRDefault="00190EA4" w:rsidP="00190EA4">
      <w:pPr>
        <w:spacing w:after="0" w:line="360" w:lineRule="auto"/>
        <w:rPr>
          <w:rFonts w:eastAsia="Calibri" w:cs="Times New Roman"/>
          <w:color w:val="000000"/>
          <w:lang w:eastAsia="es-MX"/>
        </w:rPr>
      </w:pPr>
      <w:r w:rsidRPr="00190EA4">
        <w:rPr>
          <w:rFonts w:eastAsia="Calibri" w:cs="Times New Roman"/>
          <w:color w:val="000000"/>
          <w:lang w:eastAsia="es-MX"/>
        </w:rPr>
        <w:t xml:space="preserve">En ese contexto, el artículo 3°, fracción VI y X, de la Ley General de Transparencia y Acceso a la Información Pública, con relación, al diverso 3°, fracciones VIII y XVI de la Ley de </w:t>
      </w:r>
      <w:r w:rsidRPr="00190EA4">
        <w:rPr>
          <w:rFonts w:eastAsia="Calibri" w:cs="Times New Roman"/>
          <w:color w:val="000000"/>
          <w:lang w:eastAsia="es-MX"/>
        </w:rPr>
        <w:lastRenderedPageBreak/>
        <w:t>Transparencia y Acceso a la Información Pública del Estado de México y Municipios, precisan lo siguiente:</w:t>
      </w:r>
    </w:p>
    <w:p w14:paraId="53BE859B" w14:textId="77777777" w:rsidR="00190EA4" w:rsidRPr="00190EA4" w:rsidRDefault="00190EA4" w:rsidP="00190EA4">
      <w:pPr>
        <w:spacing w:after="0" w:line="360" w:lineRule="auto"/>
        <w:rPr>
          <w:rFonts w:eastAsia="Calibri" w:cs="Times New Roman"/>
          <w:color w:val="000000"/>
          <w:lang w:eastAsia="es-MX"/>
        </w:rPr>
      </w:pPr>
    </w:p>
    <w:p w14:paraId="4F186CA4" w14:textId="77777777" w:rsidR="00190EA4" w:rsidRPr="00190EA4" w:rsidRDefault="00190EA4" w:rsidP="00190EA4">
      <w:pPr>
        <w:numPr>
          <w:ilvl w:val="0"/>
          <w:numId w:val="26"/>
        </w:numPr>
        <w:spacing w:after="0" w:line="360" w:lineRule="auto"/>
        <w:rPr>
          <w:rFonts w:eastAsia="Calibri" w:cs="Times New Roman"/>
          <w:color w:val="000000"/>
          <w:szCs w:val="24"/>
          <w:lang w:eastAsia="es-ES"/>
        </w:rPr>
      </w:pPr>
      <w:r w:rsidRPr="00190EA4">
        <w:rPr>
          <w:rFonts w:eastAsia="Calibri" w:cs="Times New Roman"/>
          <w:b/>
          <w:bCs/>
          <w:color w:val="000000"/>
          <w:szCs w:val="24"/>
          <w:lang w:eastAsia="es-ES"/>
        </w:rPr>
        <w:t>Dato abierto:</w:t>
      </w:r>
      <w:r w:rsidRPr="00190EA4">
        <w:rPr>
          <w:rFonts w:eastAsia="Calibri" w:cs="Times New Roman"/>
          <w:color w:val="000000"/>
          <w:szCs w:val="24"/>
          <w:lang w:eastAsia="es-ES"/>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70CA78A" w14:textId="77777777" w:rsidR="00190EA4" w:rsidRPr="00190EA4" w:rsidRDefault="00190EA4" w:rsidP="00190EA4">
      <w:pPr>
        <w:spacing w:after="0" w:line="360" w:lineRule="auto"/>
        <w:rPr>
          <w:lang w:eastAsia="es-MX"/>
        </w:rPr>
      </w:pPr>
    </w:p>
    <w:p w14:paraId="3B8462C7" w14:textId="77777777" w:rsidR="00190EA4" w:rsidRPr="00190EA4" w:rsidRDefault="00190EA4" w:rsidP="00190EA4">
      <w:pPr>
        <w:numPr>
          <w:ilvl w:val="0"/>
          <w:numId w:val="26"/>
        </w:numPr>
        <w:spacing w:after="0" w:line="360" w:lineRule="auto"/>
        <w:rPr>
          <w:rFonts w:eastAsia="Calibri" w:cs="Times New Roman"/>
          <w:color w:val="000000"/>
          <w:szCs w:val="24"/>
          <w:lang w:eastAsia="es-ES"/>
        </w:rPr>
      </w:pPr>
      <w:r w:rsidRPr="00190EA4">
        <w:rPr>
          <w:rFonts w:eastAsia="Calibri" w:cs="Times New Roman"/>
          <w:b/>
          <w:bCs/>
          <w:color w:val="000000"/>
          <w:szCs w:val="24"/>
          <w:lang w:eastAsia="es-ES"/>
        </w:rPr>
        <w:t>Formato accesible:</w:t>
      </w:r>
      <w:r w:rsidRPr="00190EA4">
        <w:rPr>
          <w:rFonts w:eastAsia="Calibri" w:cs="Times New Roman"/>
          <w:color w:val="000000"/>
          <w:szCs w:val="24"/>
          <w:lang w:eastAsia="es-ES"/>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0CE39B1" w14:textId="77777777" w:rsidR="00190EA4" w:rsidRPr="00190EA4" w:rsidRDefault="00190EA4" w:rsidP="00190EA4">
      <w:pPr>
        <w:spacing w:after="0" w:line="360" w:lineRule="auto"/>
        <w:rPr>
          <w:rFonts w:eastAsia="Calibri" w:cs="Times New Roman"/>
          <w:color w:val="000000"/>
          <w:lang w:eastAsia="es-MX"/>
        </w:rPr>
      </w:pPr>
    </w:p>
    <w:p w14:paraId="62882D7D" w14:textId="77777777" w:rsidR="00190EA4" w:rsidRPr="00190EA4" w:rsidRDefault="00190EA4" w:rsidP="00190EA4">
      <w:pPr>
        <w:spacing w:after="0" w:line="360" w:lineRule="auto"/>
        <w:rPr>
          <w:rFonts w:eastAsia="Calibri" w:cs="Times New Roman"/>
          <w:color w:val="000000"/>
          <w:lang w:eastAsia="es-MX"/>
        </w:rPr>
      </w:pPr>
      <w:r w:rsidRPr="00190EA4">
        <w:rPr>
          <w:rFonts w:eastAsia="Calibri" w:cs="Times New Roman"/>
          <w:color w:val="000000"/>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1D460DB9" w14:textId="77777777" w:rsidR="00190EA4" w:rsidRPr="00190EA4" w:rsidRDefault="00190EA4" w:rsidP="00190EA4">
      <w:pPr>
        <w:spacing w:after="0" w:line="360" w:lineRule="auto"/>
        <w:rPr>
          <w:rFonts w:eastAsia="Calibri" w:cs="Times New Roman"/>
          <w:color w:val="000000"/>
          <w:lang w:eastAsia="es-MX"/>
        </w:rPr>
      </w:pPr>
    </w:p>
    <w:p w14:paraId="2389289B" w14:textId="77777777" w:rsidR="00190EA4" w:rsidRPr="00190EA4" w:rsidRDefault="00190EA4" w:rsidP="00190EA4">
      <w:pPr>
        <w:spacing w:after="0" w:line="360" w:lineRule="auto"/>
        <w:rPr>
          <w:rFonts w:eastAsia="Calibri" w:cs="Times New Roman"/>
          <w:color w:val="000000"/>
          <w:lang w:eastAsia="es-MX"/>
        </w:rPr>
      </w:pPr>
      <w:r w:rsidRPr="00190EA4">
        <w:rPr>
          <w:rFonts w:eastAsia="Calibri" w:cs="Times New Roman"/>
          <w:color w:val="000000"/>
          <w:lang w:eastAsia="es-MX"/>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FE79733" w14:textId="77777777" w:rsidR="00190EA4" w:rsidRPr="00190EA4" w:rsidRDefault="00190EA4" w:rsidP="00190EA4">
      <w:pPr>
        <w:spacing w:after="0" w:line="360" w:lineRule="auto"/>
        <w:rPr>
          <w:rFonts w:eastAsia="Calibri" w:cs="Times New Roman"/>
          <w:color w:val="000000"/>
          <w:lang w:eastAsia="es-MX"/>
        </w:rPr>
      </w:pPr>
    </w:p>
    <w:p w14:paraId="52A07803" w14:textId="77777777" w:rsidR="00190EA4" w:rsidRPr="00190EA4" w:rsidRDefault="00190EA4" w:rsidP="00190EA4">
      <w:pPr>
        <w:spacing w:after="0" w:line="360" w:lineRule="auto"/>
        <w:ind w:right="-93"/>
        <w:rPr>
          <w:rFonts w:eastAsia="Calibri" w:cs="Times New Roman"/>
          <w:color w:val="000000"/>
          <w:lang w:eastAsia="es-MX"/>
        </w:rPr>
      </w:pPr>
      <w:r w:rsidRPr="00190EA4">
        <w:rPr>
          <w:rFonts w:eastAsia="Calibri" w:cs="Times New Roman"/>
          <w:color w:val="000000"/>
          <w:lang w:eastAsia="es-MX"/>
        </w:rPr>
        <w:lastRenderedPageBreak/>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por lo que, se considera que incumplió con lo establecido en el artículo 161 de la Ley de Transparencia y Acceso a la Información Pública del Estado de México y Municipios. </w:t>
      </w:r>
    </w:p>
    <w:p w14:paraId="7128E7EC" w14:textId="77777777" w:rsidR="00190EA4" w:rsidRPr="00190EA4" w:rsidRDefault="00190EA4" w:rsidP="00190EA4">
      <w:pPr>
        <w:spacing w:after="0" w:line="360" w:lineRule="auto"/>
        <w:ind w:right="-93"/>
        <w:rPr>
          <w:rFonts w:eastAsia="Calibri" w:cs="Tahoma"/>
          <w:iCs/>
          <w:lang w:eastAsia="es-ES_tradnl"/>
        </w:rPr>
      </w:pPr>
    </w:p>
    <w:p w14:paraId="49564AF6" w14:textId="42BFDDB8" w:rsidR="00190EA4" w:rsidRPr="00190EA4" w:rsidRDefault="00190EA4" w:rsidP="00190EA4">
      <w:pPr>
        <w:spacing w:after="0" w:line="360" w:lineRule="auto"/>
        <w:rPr>
          <w:b/>
          <w:bCs/>
          <w:lang w:eastAsia="es-ES"/>
        </w:rPr>
      </w:pPr>
      <w:r w:rsidRPr="00190EA4">
        <w:rPr>
          <w:lang w:eastAsia="es-ES"/>
        </w:rPr>
        <w:t xml:space="preserve">No obstante, del texto de la liga se puede advertir que corresponde al IPOMEX del Sujeto Obligado en el apartado de remuneraciones, por lo que no es el documento solicitado por el Particular, ya que el de manera específica solicitó, los recibos de nómina, lo cual da como resultado que el agravio sea </w:t>
      </w:r>
      <w:r w:rsidRPr="00190EA4">
        <w:rPr>
          <w:b/>
          <w:bCs/>
          <w:lang w:eastAsia="es-ES"/>
        </w:rPr>
        <w:t>FUNDADO.</w:t>
      </w:r>
    </w:p>
    <w:p w14:paraId="7BAB235B" w14:textId="7355033E" w:rsidR="007475D7" w:rsidRPr="007475D7" w:rsidRDefault="007475D7" w:rsidP="007475D7">
      <w:pPr>
        <w:spacing w:after="0" w:line="360" w:lineRule="auto"/>
        <w:rPr>
          <w:b/>
          <w:bCs/>
        </w:rPr>
      </w:pPr>
    </w:p>
    <w:p w14:paraId="480DE065" w14:textId="347E9CB4" w:rsidR="00190EA4" w:rsidRPr="00190EA4" w:rsidRDefault="00190EA4" w:rsidP="00190EA4">
      <w:pPr>
        <w:spacing w:after="0" w:line="360" w:lineRule="auto"/>
        <w:rPr>
          <w:rFonts w:eastAsia="Calibri" w:cs="Times New Roman"/>
          <w:color w:val="000000"/>
          <w:lang w:eastAsia="es-MX"/>
        </w:rPr>
      </w:pPr>
      <w:r>
        <w:rPr>
          <w:rFonts w:eastAsia="Calibri"/>
          <w:color w:val="000000"/>
          <w:lang w:eastAsia="es-MX"/>
        </w:rPr>
        <w:t>Por lo que para atender el requerimiento de información, el Sujeto Obligado deberá realizar una búsqueda exhaustiva y razonable en los archivos de todas sus áreas competentes, a efecto que proporcione los recibos de nómina peticionados; d</w:t>
      </w:r>
      <w:r w:rsidRPr="00190EA4">
        <w:rPr>
          <w:rFonts w:eastAsia="Calibri" w:cs="Times New Roman"/>
          <w:color w:val="000000"/>
          <w:lang w:eastAsia="es-MX"/>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76668D1" w14:textId="77777777" w:rsidR="00190EA4" w:rsidRPr="00190EA4" w:rsidRDefault="00190EA4" w:rsidP="00190EA4">
      <w:pPr>
        <w:spacing w:after="0" w:line="360" w:lineRule="auto"/>
        <w:rPr>
          <w:rFonts w:eastAsia="Calibri" w:cs="Times New Roman"/>
          <w:color w:val="000000"/>
          <w:lang w:eastAsia="es-MX"/>
        </w:rPr>
      </w:pPr>
    </w:p>
    <w:p w14:paraId="0ED009DF" w14:textId="77777777" w:rsidR="00190EA4" w:rsidRPr="00190EA4" w:rsidRDefault="00190EA4" w:rsidP="00190EA4">
      <w:pPr>
        <w:spacing w:after="0" w:line="360" w:lineRule="auto"/>
        <w:rPr>
          <w:rFonts w:eastAsia="Calibri" w:cs="Times New Roman"/>
          <w:color w:val="000000"/>
          <w:lang w:eastAsia="es-MX"/>
        </w:rPr>
      </w:pPr>
      <w:r w:rsidRPr="00190EA4">
        <w:rPr>
          <w:rFonts w:eastAsia="Calibri" w:cs="Times New Roman"/>
          <w:color w:val="000000"/>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190EA4">
        <w:rPr>
          <w:rFonts w:eastAsia="Calibri" w:cs="Times New Roman"/>
          <w:i/>
          <w:iCs/>
          <w:color w:val="000000"/>
          <w:lang w:eastAsia="es-MX"/>
        </w:rPr>
        <w:t>ad hoc;</w:t>
      </w:r>
      <w:r w:rsidRPr="00190EA4">
        <w:rPr>
          <w:rFonts w:eastAsia="Calibri" w:cs="Times New Roman"/>
          <w:color w:val="000000"/>
          <w:lang w:eastAsia="es-MX"/>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5E1771B9" w14:textId="77777777" w:rsidR="00190EA4" w:rsidRPr="00190EA4" w:rsidRDefault="00190EA4" w:rsidP="00190EA4">
      <w:pPr>
        <w:spacing w:after="0" w:line="360" w:lineRule="auto"/>
        <w:rPr>
          <w:rFonts w:eastAsia="Calibri" w:cs="Times New Roman"/>
          <w:color w:val="000000"/>
          <w:lang w:eastAsia="es-MX"/>
        </w:rPr>
      </w:pPr>
    </w:p>
    <w:p w14:paraId="4472AB83" w14:textId="22685E78" w:rsidR="00190EA4" w:rsidRPr="00190EA4" w:rsidRDefault="00190EA4" w:rsidP="00190EA4">
      <w:pPr>
        <w:spacing w:after="0" w:line="360" w:lineRule="auto"/>
        <w:rPr>
          <w:lang w:eastAsia="es-ES"/>
        </w:rPr>
      </w:pPr>
      <w:r w:rsidRPr="00190EA4">
        <w:rPr>
          <w:rFonts w:eastAsia="Calibri" w:cs="Times New Roman"/>
          <w:color w:val="000000"/>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recibos de nómina</w:t>
      </w:r>
      <w:r>
        <w:rPr>
          <w:rFonts w:eastAsia="Calibri" w:cs="Times New Roman"/>
          <w:color w:val="000000"/>
          <w:lang w:eastAsia="es-MX"/>
        </w:rPr>
        <w:t>.</w:t>
      </w:r>
    </w:p>
    <w:p w14:paraId="157C8D5A" w14:textId="77777777" w:rsidR="007427DA" w:rsidRDefault="007427DA" w:rsidP="001A05AC">
      <w:pPr>
        <w:spacing w:after="0" w:line="360" w:lineRule="auto"/>
        <w:rPr>
          <w:rFonts w:eastAsia="Times New Roman" w:cs="Tahoma"/>
          <w:bCs/>
          <w:iCs/>
          <w:color w:val="000000" w:themeColor="text1"/>
          <w:lang w:eastAsia="es-ES"/>
        </w:rPr>
      </w:pPr>
    </w:p>
    <w:p w14:paraId="1AB20858" w14:textId="2EFFBE7E" w:rsidR="00190EA4" w:rsidRPr="00190EA4" w:rsidRDefault="00190EA4" w:rsidP="00190EA4">
      <w:pPr>
        <w:spacing w:after="0" w:line="360" w:lineRule="auto"/>
        <w:rPr>
          <w:lang w:eastAsia="es-ES"/>
        </w:rPr>
      </w:pPr>
      <w:r w:rsidRPr="00190EA4">
        <w:rPr>
          <w:lang w:eastAsia="es-ES"/>
        </w:rPr>
        <w:t xml:space="preserve">Ahora bien, resulta necesario analizar si el nombre de los servidores públicos operativos en materia de seguridad de la </w:t>
      </w:r>
      <w:r>
        <w:rPr>
          <w:bCs/>
        </w:rPr>
        <w:t>Dirección General de Seguridad y Protección</w:t>
      </w:r>
      <w:r>
        <w:rPr>
          <w:lang w:eastAsia="es-ES"/>
        </w:rPr>
        <w:t xml:space="preserve"> </w:t>
      </w:r>
      <w:r w:rsidRPr="00190EA4">
        <w:rPr>
          <w:lang w:eastAsia="es-ES"/>
        </w:rPr>
        <w:t>actualizan alguna causal de clasificación; al respecto, con relación, los primeros dos datos referidos, el artículo 140, fracción IV, de la Ley de Transparencia y Acceso a la Información Pública del Estado de México y Municipios, prevé lo siguiente:</w:t>
      </w:r>
    </w:p>
    <w:p w14:paraId="3AF6E9CB" w14:textId="77777777" w:rsidR="00190EA4" w:rsidRPr="00190EA4" w:rsidRDefault="00190EA4" w:rsidP="00190EA4">
      <w:pPr>
        <w:spacing w:after="0" w:line="360" w:lineRule="auto"/>
        <w:rPr>
          <w:i/>
          <w:lang w:eastAsia="es-ES"/>
        </w:rPr>
      </w:pPr>
      <w:r w:rsidRPr="00190EA4">
        <w:rPr>
          <w:i/>
          <w:lang w:eastAsia="es-ES"/>
        </w:rPr>
        <w:t xml:space="preserve"> </w:t>
      </w:r>
    </w:p>
    <w:p w14:paraId="2D73D1B6" w14:textId="77777777" w:rsidR="00190EA4" w:rsidRPr="00190EA4" w:rsidRDefault="00190EA4" w:rsidP="00190EA4">
      <w:pPr>
        <w:spacing w:after="0" w:line="360" w:lineRule="auto"/>
        <w:ind w:left="567" w:right="567"/>
        <w:contextualSpacing/>
        <w:rPr>
          <w:i/>
          <w:sz w:val="20"/>
          <w:szCs w:val="20"/>
          <w:lang w:eastAsia="es-ES"/>
        </w:rPr>
      </w:pPr>
      <w:r w:rsidRPr="00190EA4">
        <w:rPr>
          <w:i/>
          <w:sz w:val="20"/>
          <w:szCs w:val="20"/>
          <w:lang w:eastAsia="es-ES"/>
        </w:rPr>
        <w:t xml:space="preserve"> “</w:t>
      </w:r>
      <w:r w:rsidRPr="00190EA4">
        <w:rPr>
          <w:b/>
          <w:i/>
          <w:sz w:val="20"/>
          <w:szCs w:val="20"/>
          <w:lang w:eastAsia="es-ES"/>
        </w:rPr>
        <w:t>Artículo 140.</w:t>
      </w:r>
      <w:r w:rsidRPr="00190EA4">
        <w:rPr>
          <w:i/>
          <w:sz w:val="20"/>
          <w:szCs w:val="20"/>
          <w:lang w:eastAsia="es-ES"/>
        </w:rPr>
        <w:t xml:space="preserve"> El acceso a la información pública será restringido excepcionalmente, cuando por razones de interés público, ésta sea clasificada como reservada, conforme a los criterios siguientes: </w:t>
      </w:r>
    </w:p>
    <w:p w14:paraId="4F40F919" w14:textId="77777777" w:rsidR="00190EA4" w:rsidRPr="00190EA4" w:rsidRDefault="00190EA4" w:rsidP="00190EA4">
      <w:pPr>
        <w:spacing w:after="0" w:line="360" w:lineRule="auto"/>
        <w:ind w:left="567" w:right="567"/>
        <w:contextualSpacing/>
        <w:rPr>
          <w:i/>
          <w:sz w:val="20"/>
          <w:szCs w:val="20"/>
          <w:lang w:eastAsia="es-ES"/>
        </w:rPr>
      </w:pPr>
      <w:r w:rsidRPr="00190EA4">
        <w:rPr>
          <w:i/>
          <w:sz w:val="20"/>
          <w:szCs w:val="20"/>
          <w:lang w:eastAsia="es-ES"/>
        </w:rPr>
        <w:t>…</w:t>
      </w:r>
    </w:p>
    <w:p w14:paraId="0AA126F3" w14:textId="77777777" w:rsidR="00190EA4" w:rsidRPr="00190EA4" w:rsidRDefault="00190EA4" w:rsidP="00190EA4">
      <w:pPr>
        <w:spacing w:after="0" w:line="360" w:lineRule="auto"/>
        <w:ind w:left="567" w:right="567"/>
        <w:contextualSpacing/>
        <w:rPr>
          <w:i/>
          <w:sz w:val="20"/>
          <w:szCs w:val="20"/>
          <w:lang w:eastAsia="es-ES"/>
        </w:rPr>
      </w:pPr>
      <w:r w:rsidRPr="00190EA4">
        <w:rPr>
          <w:i/>
          <w:sz w:val="20"/>
          <w:szCs w:val="20"/>
          <w:lang w:eastAsia="es-ES"/>
        </w:rPr>
        <w:t>IV. Ponga en riesgo la vida, la seguridad o la salud de una persona física;</w:t>
      </w:r>
    </w:p>
    <w:p w14:paraId="635FFD36" w14:textId="77777777" w:rsidR="00190EA4" w:rsidRPr="00190EA4" w:rsidRDefault="00190EA4" w:rsidP="00190EA4">
      <w:pPr>
        <w:spacing w:after="0" w:line="360" w:lineRule="auto"/>
        <w:ind w:left="567" w:right="567"/>
        <w:contextualSpacing/>
        <w:rPr>
          <w:i/>
          <w:sz w:val="20"/>
          <w:szCs w:val="20"/>
          <w:lang w:eastAsia="es-ES"/>
        </w:rPr>
      </w:pPr>
      <w:r w:rsidRPr="00190EA4">
        <w:rPr>
          <w:i/>
          <w:sz w:val="20"/>
          <w:szCs w:val="20"/>
          <w:lang w:eastAsia="es-ES"/>
        </w:rPr>
        <w:t xml:space="preserve">…” </w:t>
      </w:r>
    </w:p>
    <w:p w14:paraId="7481DEA6" w14:textId="77777777" w:rsidR="00190EA4" w:rsidRPr="00190EA4" w:rsidRDefault="00190EA4" w:rsidP="00190EA4">
      <w:pPr>
        <w:spacing w:after="0" w:line="360" w:lineRule="auto"/>
        <w:rPr>
          <w:lang w:eastAsia="es-ES"/>
        </w:rPr>
      </w:pPr>
      <w:r w:rsidRPr="00190EA4">
        <w:rPr>
          <w:lang w:eastAsia="es-ES"/>
        </w:rPr>
        <w:t xml:space="preserve"> </w:t>
      </w:r>
    </w:p>
    <w:p w14:paraId="354784EF" w14:textId="77777777" w:rsidR="00190EA4" w:rsidRPr="00190EA4" w:rsidRDefault="00190EA4" w:rsidP="00190EA4">
      <w:pPr>
        <w:spacing w:after="0" w:line="360" w:lineRule="auto"/>
        <w:rPr>
          <w:lang w:eastAsia="es-ES"/>
        </w:rPr>
      </w:pPr>
      <w:r w:rsidRPr="00190EA4">
        <w:rPr>
          <w:lang w:eastAsia="es-E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13C39DC4" w14:textId="77777777" w:rsidR="00190EA4" w:rsidRPr="00190EA4" w:rsidRDefault="00190EA4" w:rsidP="00190EA4">
      <w:pPr>
        <w:spacing w:after="0" w:line="360" w:lineRule="auto"/>
        <w:rPr>
          <w:lang w:eastAsia="es-ES"/>
        </w:rPr>
      </w:pPr>
      <w:r w:rsidRPr="00190EA4">
        <w:rPr>
          <w:lang w:eastAsia="es-ES"/>
        </w:rPr>
        <w:t xml:space="preserve"> </w:t>
      </w:r>
    </w:p>
    <w:p w14:paraId="528832FB" w14:textId="77777777" w:rsidR="00190EA4" w:rsidRPr="00190EA4" w:rsidRDefault="00190EA4" w:rsidP="00190EA4">
      <w:pPr>
        <w:spacing w:after="0" w:line="360" w:lineRule="auto"/>
        <w:ind w:firstLine="567"/>
        <w:rPr>
          <w:i/>
          <w:iCs/>
          <w:lang w:eastAsia="es-ES"/>
        </w:rPr>
      </w:pPr>
      <w:r w:rsidRPr="00190EA4">
        <w:rPr>
          <w:i/>
          <w:iCs/>
          <w:lang w:eastAsia="es-ES"/>
        </w:rPr>
        <w:t>“…</w:t>
      </w:r>
    </w:p>
    <w:p w14:paraId="4E18ABA9" w14:textId="77777777" w:rsidR="00190EA4" w:rsidRPr="00190EA4" w:rsidRDefault="00190EA4" w:rsidP="00190EA4">
      <w:pPr>
        <w:spacing w:after="0" w:line="360" w:lineRule="auto"/>
        <w:ind w:left="567" w:right="567"/>
        <w:contextualSpacing/>
        <w:rPr>
          <w:i/>
          <w:sz w:val="20"/>
          <w:szCs w:val="20"/>
          <w:lang w:eastAsia="es-ES"/>
        </w:rPr>
      </w:pPr>
      <w:r w:rsidRPr="00190EA4">
        <w:rPr>
          <w:b/>
          <w:i/>
          <w:sz w:val="20"/>
          <w:szCs w:val="20"/>
          <w:lang w:eastAsia="es-ES"/>
        </w:rPr>
        <w:t xml:space="preserve">“Vigésimo tercero. </w:t>
      </w:r>
      <w:r w:rsidRPr="00190EA4">
        <w:rPr>
          <w:i/>
          <w:sz w:val="20"/>
          <w:szCs w:val="20"/>
          <w:lang w:eastAsia="es-E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237E627D" w14:textId="77777777" w:rsidR="00190EA4" w:rsidRPr="00190EA4" w:rsidRDefault="00190EA4" w:rsidP="00190EA4">
      <w:pPr>
        <w:spacing w:after="0" w:line="360" w:lineRule="auto"/>
        <w:rPr>
          <w:i/>
          <w:lang w:eastAsia="es-ES"/>
        </w:rPr>
      </w:pPr>
      <w:r w:rsidRPr="00190EA4">
        <w:rPr>
          <w:i/>
          <w:lang w:eastAsia="es-ES"/>
        </w:rPr>
        <w:t xml:space="preserve"> </w:t>
      </w:r>
      <w:r w:rsidRPr="00190EA4">
        <w:rPr>
          <w:i/>
          <w:lang w:eastAsia="es-ES"/>
        </w:rPr>
        <w:tab/>
        <w:t>…”</w:t>
      </w:r>
    </w:p>
    <w:p w14:paraId="4295250F" w14:textId="77777777" w:rsidR="00190EA4" w:rsidRPr="00190EA4" w:rsidRDefault="00190EA4" w:rsidP="00190EA4">
      <w:pPr>
        <w:spacing w:after="0" w:line="360" w:lineRule="auto"/>
        <w:rPr>
          <w:i/>
          <w:lang w:eastAsia="es-ES"/>
        </w:rPr>
      </w:pPr>
    </w:p>
    <w:p w14:paraId="6EBB8D82" w14:textId="77777777" w:rsidR="00190EA4" w:rsidRPr="00190EA4" w:rsidRDefault="00190EA4" w:rsidP="00190EA4">
      <w:pPr>
        <w:spacing w:after="0" w:line="360" w:lineRule="auto"/>
        <w:rPr>
          <w:b/>
          <w:lang w:eastAsia="es-ES"/>
        </w:rPr>
      </w:pPr>
      <w:r w:rsidRPr="00190EA4">
        <w:rPr>
          <w:lang w:eastAsia="es-ES"/>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2C30A4FF" w14:textId="77777777" w:rsidR="00190EA4" w:rsidRPr="00190EA4" w:rsidRDefault="00190EA4" w:rsidP="00190EA4">
      <w:pPr>
        <w:spacing w:after="0" w:line="360" w:lineRule="auto"/>
        <w:rPr>
          <w:lang w:eastAsia="es-ES"/>
        </w:rPr>
      </w:pPr>
      <w:r w:rsidRPr="00190EA4">
        <w:rPr>
          <w:lang w:eastAsia="es-ES"/>
        </w:rPr>
        <w:t xml:space="preserve"> </w:t>
      </w:r>
    </w:p>
    <w:p w14:paraId="61368C59" w14:textId="77777777" w:rsidR="00190EA4" w:rsidRPr="00190EA4" w:rsidRDefault="00190EA4" w:rsidP="00190EA4">
      <w:pPr>
        <w:spacing w:after="0" w:line="360" w:lineRule="auto"/>
        <w:rPr>
          <w:lang w:eastAsia="es-ES"/>
        </w:rPr>
      </w:pPr>
      <w:r w:rsidRPr="00190EA4">
        <w:rPr>
          <w:lang w:eastAsia="es-ES"/>
        </w:rPr>
        <w:t>Además, el artículo 81, fracción III, de la Ley de Seguridad del Estado de México, establece lo siguiente:</w:t>
      </w:r>
    </w:p>
    <w:p w14:paraId="04B317A4" w14:textId="77777777" w:rsidR="00190EA4" w:rsidRPr="00190EA4" w:rsidRDefault="00190EA4" w:rsidP="00190EA4">
      <w:pPr>
        <w:spacing w:after="0" w:line="360" w:lineRule="auto"/>
        <w:rPr>
          <w:lang w:eastAsia="es-ES"/>
        </w:rPr>
      </w:pPr>
      <w:r w:rsidRPr="00190EA4">
        <w:rPr>
          <w:lang w:eastAsia="es-ES"/>
        </w:rPr>
        <w:t xml:space="preserve"> </w:t>
      </w:r>
    </w:p>
    <w:p w14:paraId="659E91DE" w14:textId="77777777" w:rsidR="00190EA4" w:rsidRPr="00190EA4" w:rsidRDefault="00190EA4" w:rsidP="00190EA4">
      <w:pPr>
        <w:spacing w:after="0" w:line="360" w:lineRule="auto"/>
        <w:ind w:left="567" w:right="567"/>
        <w:contextualSpacing/>
        <w:rPr>
          <w:i/>
          <w:sz w:val="20"/>
          <w:szCs w:val="20"/>
          <w:lang w:eastAsia="es-ES"/>
        </w:rPr>
      </w:pPr>
      <w:r w:rsidRPr="00190EA4">
        <w:rPr>
          <w:b/>
          <w:i/>
          <w:sz w:val="20"/>
          <w:szCs w:val="20"/>
          <w:lang w:eastAsia="es-ES"/>
        </w:rPr>
        <w:t>“Artículo 81.-</w:t>
      </w:r>
      <w:r w:rsidRPr="00190EA4">
        <w:rPr>
          <w:i/>
          <w:sz w:val="20"/>
          <w:szCs w:val="20"/>
          <w:lang w:eastAsia="es-E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F4EE0B2" w14:textId="77777777" w:rsidR="00190EA4" w:rsidRPr="00190EA4" w:rsidRDefault="00190EA4" w:rsidP="00190EA4">
      <w:pPr>
        <w:spacing w:after="0" w:line="360" w:lineRule="auto"/>
        <w:ind w:left="567" w:right="567"/>
        <w:contextualSpacing/>
        <w:rPr>
          <w:i/>
          <w:sz w:val="20"/>
          <w:szCs w:val="20"/>
          <w:lang w:eastAsia="es-ES"/>
        </w:rPr>
      </w:pPr>
      <w:r w:rsidRPr="00190EA4">
        <w:rPr>
          <w:i/>
          <w:sz w:val="20"/>
          <w:szCs w:val="20"/>
          <w:lang w:eastAsia="es-ES"/>
        </w:rPr>
        <w:t>…</w:t>
      </w:r>
    </w:p>
    <w:p w14:paraId="600EC77B" w14:textId="77777777" w:rsidR="00190EA4" w:rsidRPr="00190EA4" w:rsidRDefault="00190EA4" w:rsidP="00190EA4">
      <w:pPr>
        <w:spacing w:after="0" w:line="360" w:lineRule="auto"/>
        <w:ind w:left="567" w:right="567"/>
        <w:contextualSpacing/>
        <w:rPr>
          <w:i/>
          <w:sz w:val="20"/>
          <w:szCs w:val="20"/>
          <w:lang w:eastAsia="es-ES"/>
        </w:rPr>
      </w:pPr>
      <w:r w:rsidRPr="00190EA4">
        <w:rPr>
          <w:i/>
          <w:sz w:val="20"/>
          <w:szCs w:val="20"/>
          <w:lang w:eastAsia="es-ES"/>
        </w:rPr>
        <w:t>III. La relativa a los servidores públicos integrantes de las instituciones de seguridad pública, cuya revelación pueda poner en riesgo su vida e integridad física con motivo de sus funciones;</w:t>
      </w:r>
    </w:p>
    <w:p w14:paraId="3207AA14" w14:textId="77777777" w:rsidR="00190EA4" w:rsidRPr="00190EA4" w:rsidRDefault="00190EA4" w:rsidP="00190EA4">
      <w:pPr>
        <w:spacing w:after="0" w:line="360" w:lineRule="auto"/>
        <w:ind w:left="567" w:right="567"/>
        <w:contextualSpacing/>
        <w:rPr>
          <w:i/>
          <w:sz w:val="20"/>
          <w:szCs w:val="20"/>
          <w:lang w:eastAsia="es-ES"/>
        </w:rPr>
      </w:pPr>
      <w:r w:rsidRPr="00190EA4">
        <w:rPr>
          <w:i/>
          <w:sz w:val="20"/>
          <w:szCs w:val="20"/>
          <w:lang w:eastAsia="es-ES"/>
        </w:rPr>
        <w:t>…”</w:t>
      </w:r>
    </w:p>
    <w:p w14:paraId="6B14866C" w14:textId="77777777" w:rsidR="00190EA4" w:rsidRPr="00190EA4" w:rsidRDefault="00190EA4" w:rsidP="00190EA4">
      <w:pPr>
        <w:spacing w:after="0" w:line="360" w:lineRule="auto"/>
        <w:rPr>
          <w:lang w:eastAsia="es-ES"/>
        </w:rPr>
      </w:pPr>
    </w:p>
    <w:p w14:paraId="0D75D02E" w14:textId="77777777" w:rsidR="00190EA4" w:rsidRPr="00190EA4" w:rsidRDefault="00190EA4" w:rsidP="00190EA4">
      <w:pPr>
        <w:spacing w:after="0" w:line="360" w:lineRule="auto"/>
        <w:rPr>
          <w:lang w:eastAsia="es-ES"/>
        </w:rPr>
      </w:pPr>
      <w:r w:rsidRPr="00190EA4">
        <w:rPr>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BC01A66" w14:textId="77777777" w:rsidR="00190EA4" w:rsidRPr="00190EA4" w:rsidRDefault="00190EA4" w:rsidP="00190EA4">
      <w:pPr>
        <w:spacing w:after="0" w:line="360" w:lineRule="auto"/>
        <w:rPr>
          <w:lang w:eastAsia="es-ES"/>
        </w:rPr>
      </w:pPr>
      <w:r w:rsidRPr="00190EA4">
        <w:rPr>
          <w:lang w:eastAsia="es-ES"/>
        </w:rPr>
        <w:t xml:space="preserve"> </w:t>
      </w:r>
    </w:p>
    <w:p w14:paraId="13C1A2E9" w14:textId="77777777" w:rsidR="00190EA4" w:rsidRPr="00190EA4" w:rsidRDefault="00190EA4" w:rsidP="00190EA4">
      <w:pPr>
        <w:spacing w:after="0" w:line="360" w:lineRule="auto"/>
        <w:rPr>
          <w:lang w:eastAsia="es-MX"/>
        </w:rPr>
      </w:pPr>
      <w:r w:rsidRPr="00190EA4">
        <w:rPr>
          <w:lang w:eastAsia="es-MX"/>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06936ED5" w14:textId="77777777" w:rsidR="00190EA4" w:rsidRPr="00190EA4" w:rsidRDefault="00190EA4" w:rsidP="00190EA4">
      <w:pPr>
        <w:spacing w:after="0" w:line="360" w:lineRule="auto"/>
        <w:rPr>
          <w:lang w:eastAsia="es-ES"/>
        </w:rPr>
      </w:pPr>
      <w:r w:rsidRPr="00190EA4">
        <w:rPr>
          <w:lang w:eastAsia="es-ES"/>
        </w:rPr>
        <w:t xml:space="preserve"> </w:t>
      </w:r>
    </w:p>
    <w:p w14:paraId="610F9EF8" w14:textId="77777777" w:rsidR="00190EA4" w:rsidRPr="00190EA4" w:rsidRDefault="00190EA4" w:rsidP="00190EA4">
      <w:pPr>
        <w:spacing w:after="0" w:line="360" w:lineRule="auto"/>
        <w:rPr>
          <w:lang w:eastAsia="es-ES"/>
        </w:rPr>
      </w:pPr>
      <w:r w:rsidRPr="00190EA4">
        <w:rPr>
          <w:lang w:eastAsia="es-ES"/>
        </w:rPr>
        <w:lastRenderedPageBreak/>
        <w:t>No obstante, resulta necesario traer a colación por analogía, el Criterio de interpretación,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14:paraId="2F5275C6" w14:textId="77777777" w:rsidR="00190EA4" w:rsidRPr="00190EA4" w:rsidRDefault="00190EA4" w:rsidP="00190EA4">
      <w:pPr>
        <w:spacing w:after="0" w:line="360" w:lineRule="auto"/>
        <w:rPr>
          <w:i/>
          <w:lang w:eastAsia="es-ES"/>
        </w:rPr>
      </w:pPr>
      <w:r w:rsidRPr="00190EA4">
        <w:rPr>
          <w:i/>
          <w:lang w:eastAsia="es-ES"/>
        </w:rPr>
        <w:t xml:space="preserve"> </w:t>
      </w:r>
    </w:p>
    <w:p w14:paraId="097CF311" w14:textId="77777777" w:rsidR="00190EA4" w:rsidRPr="00190EA4" w:rsidRDefault="00190EA4" w:rsidP="00190EA4">
      <w:pPr>
        <w:spacing w:after="0" w:line="360" w:lineRule="auto"/>
        <w:ind w:left="567" w:right="567"/>
        <w:contextualSpacing/>
        <w:rPr>
          <w:i/>
          <w:sz w:val="20"/>
          <w:szCs w:val="20"/>
          <w:lang w:eastAsia="es-ES"/>
        </w:rPr>
      </w:pPr>
      <w:r w:rsidRPr="00190EA4">
        <w:rPr>
          <w:b/>
          <w:i/>
          <w:sz w:val="20"/>
          <w:szCs w:val="20"/>
          <w:lang w:eastAsia="es-ES"/>
        </w:rPr>
        <w:t>“Nombres de servidores públicos dedicados a actividades en materia de seguridad, por excepción pueden considerarse información reservada.</w:t>
      </w:r>
      <w:r w:rsidRPr="00190EA4">
        <w:rPr>
          <w:i/>
          <w:sz w:val="20"/>
          <w:szCs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9858741" w14:textId="77777777" w:rsidR="00190EA4" w:rsidRPr="00190EA4" w:rsidRDefault="00190EA4" w:rsidP="00190EA4">
      <w:pPr>
        <w:spacing w:after="0" w:line="360" w:lineRule="auto"/>
        <w:rPr>
          <w:lang w:eastAsia="es-ES"/>
        </w:rPr>
      </w:pPr>
      <w:r w:rsidRPr="00190EA4">
        <w:rPr>
          <w:lang w:eastAsia="es-ES"/>
        </w:rPr>
        <w:t xml:space="preserve"> </w:t>
      </w:r>
    </w:p>
    <w:p w14:paraId="32A2854E" w14:textId="77777777" w:rsidR="00190EA4" w:rsidRPr="00190EA4" w:rsidRDefault="00190EA4" w:rsidP="00190EA4">
      <w:pPr>
        <w:spacing w:after="0" w:line="360" w:lineRule="auto"/>
        <w:rPr>
          <w:lang w:eastAsia="es-ES"/>
        </w:rPr>
      </w:pPr>
      <w:r w:rsidRPr="00190EA4">
        <w:rPr>
          <w:lang w:eastAsia="es-E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w:t>
      </w:r>
      <w:r w:rsidRPr="00190EA4">
        <w:rPr>
          <w:lang w:eastAsia="es-ES"/>
        </w:rPr>
        <w:lastRenderedPageBreak/>
        <w:t>manifestaciones; por lo que, una forma en que la delincuencia puede llegar a poner en riesgo la seguridad del País, Estado y Municipio, anulando, impidiendo u obstaculizando la actuación de los servidores públicos que realizan funciones de carácter operativo.</w:t>
      </w:r>
    </w:p>
    <w:p w14:paraId="1FE0E01F" w14:textId="77777777" w:rsidR="00190EA4" w:rsidRPr="00190EA4" w:rsidRDefault="00190EA4" w:rsidP="00190EA4">
      <w:pPr>
        <w:spacing w:after="0" w:line="360" w:lineRule="auto"/>
        <w:rPr>
          <w:lang w:eastAsia="es-ES"/>
        </w:rPr>
      </w:pPr>
    </w:p>
    <w:p w14:paraId="1102D67D" w14:textId="77777777" w:rsidR="00190EA4" w:rsidRPr="00190EA4" w:rsidRDefault="00190EA4" w:rsidP="00190EA4">
      <w:pPr>
        <w:spacing w:after="0" w:line="360" w:lineRule="auto"/>
        <w:rPr>
          <w:lang w:eastAsia="es-ES"/>
        </w:rPr>
      </w:pPr>
      <w:r w:rsidRPr="00190EA4">
        <w:rPr>
          <w:lang w:eastAsia="es-ES"/>
        </w:rPr>
        <w:t xml:space="preserve"> 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34EB28FE" w14:textId="77777777" w:rsidR="00190EA4" w:rsidRPr="00190EA4" w:rsidRDefault="00190EA4" w:rsidP="00190EA4">
      <w:pPr>
        <w:spacing w:after="0" w:line="360" w:lineRule="auto"/>
        <w:rPr>
          <w:lang w:eastAsia="es-ES"/>
        </w:rPr>
      </w:pPr>
      <w:r w:rsidRPr="00190EA4">
        <w:rPr>
          <w:lang w:eastAsia="es-ES"/>
        </w:rPr>
        <w:t xml:space="preserve"> </w:t>
      </w:r>
    </w:p>
    <w:p w14:paraId="3C9058DD" w14:textId="77777777" w:rsidR="00190EA4" w:rsidRPr="00190EA4" w:rsidRDefault="00190EA4" w:rsidP="00190EA4">
      <w:pPr>
        <w:spacing w:after="0" w:line="360" w:lineRule="auto"/>
        <w:rPr>
          <w:lang w:eastAsia="es-ES"/>
        </w:rPr>
      </w:pPr>
      <w:r w:rsidRPr="00190EA4">
        <w:rPr>
          <w:lang w:eastAsia="es-ES"/>
        </w:rPr>
        <w:t xml:space="preserve">En ese orden de ideas, si bien por regla general los nombres de los trabajadores gubernamentales son información pública de oficio, existe una excepción relativa a </w:t>
      </w:r>
      <w:r w:rsidRPr="00190EA4">
        <w:rPr>
          <w:b/>
          <w:lang w:eastAsia="es-ES"/>
        </w:rPr>
        <w:t>aquellos que realicen actividades operativas en materia de seguridad,</w:t>
      </w:r>
      <w:r w:rsidRPr="00190EA4">
        <w:rPr>
          <w:lang w:eastAsia="es-ES"/>
        </w:rPr>
        <w:t xml:space="preserve"> como es el caso de los elementos operativos y la policía municipal.</w:t>
      </w:r>
    </w:p>
    <w:p w14:paraId="08ADDFCB" w14:textId="77777777" w:rsidR="00190EA4" w:rsidRPr="00190EA4" w:rsidRDefault="00190EA4" w:rsidP="00190EA4">
      <w:pPr>
        <w:spacing w:after="0" w:line="360" w:lineRule="auto"/>
        <w:rPr>
          <w:lang w:eastAsia="es-ES"/>
        </w:rPr>
      </w:pPr>
      <w:r w:rsidRPr="00190EA4">
        <w:rPr>
          <w:lang w:eastAsia="es-ES"/>
        </w:rPr>
        <w:t xml:space="preserve"> </w:t>
      </w:r>
    </w:p>
    <w:p w14:paraId="116F297E" w14:textId="77777777" w:rsidR="00190EA4" w:rsidRPr="00190EA4" w:rsidRDefault="00190EA4" w:rsidP="00190EA4">
      <w:pPr>
        <w:spacing w:after="0" w:line="360" w:lineRule="auto"/>
        <w:rPr>
          <w:lang w:eastAsia="es-ES"/>
        </w:rPr>
      </w:pPr>
      <w:r w:rsidRPr="00190EA4">
        <w:rPr>
          <w:lang w:eastAsia="es-E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09789D5" w14:textId="77777777" w:rsidR="00190EA4" w:rsidRPr="00190EA4" w:rsidRDefault="00190EA4" w:rsidP="00190EA4">
      <w:pPr>
        <w:spacing w:after="0" w:line="360" w:lineRule="auto"/>
        <w:rPr>
          <w:lang w:eastAsia="es-ES"/>
        </w:rPr>
      </w:pPr>
      <w:r w:rsidRPr="00190EA4">
        <w:rPr>
          <w:lang w:eastAsia="es-ES"/>
        </w:rPr>
        <w:t xml:space="preserve"> </w:t>
      </w:r>
    </w:p>
    <w:p w14:paraId="008FA007" w14:textId="77777777" w:rsidR="00190EA4" w:rsidRPr="00190EA4" w:rsidRDefault="00190EA4" w:rsidP="00190EA4">
      <w:pPr>
        <w:spacing w:after="0" w:line="360" w:lineRule="auto"/>
        <w:rPr>
          <w:lang w:eastAsia="es-ES"/>
        </w:rPr>
      </w:pPr>
      <w:r w:rsidRPr="00190EA4">
        <w:rPr>
          <w:lang w:eastAsia="es-ES"/>
        </w:rPr>
        <w:t>En ese contexto, el artículo 6°, fracciones XI y XII de dicho ordenamiento jurídico, establece los siguientes conceptos:</w:t>
      </w:r>
    </w:p>
    <w:p w14:paraId="20FAD289" w14:textId="77777777" w:rsidR="00190EA4" w:rsidRPr="00190EA4" w:rsidRDefault="00190EA4" w:rsidP="00190EA4">
      <w:pPr>
        <w:spacing w:after="0" w:line="360" w:lineRule="auto"/>
        <w:rPr>
          <w:lang w:eastAsia="es-ES"/>
        </w:rPr>
      </w:pPr>
      <w:r w:rsidRPr="00190EA4">
        <w:rPr>
          <w:lang w:eastAsia="es-ES"/>
        </w:rPr>
        <w:t xml:space="preserve"> </w:t>
      </w:r>
    </w:p>
    <w:p w14:paraId="516B88C4" w14:textId="77777777" w:rsidR="00190EA4" w:rsidRPr="00190EA4" w:rsidRDefault="00190EA4" w:rsidP="00244E20">
      <w:pPr>
        <w:numPr>
          <w:ilvl w:val="0"/>
          <w:numId w:val="27"/>
        </w:numPr>
        <w:spacing w:after="0" w:line="360" w:lineRule="auto"/>
        <w:contextualSpacing/>
        <w:rPr>
          <w:b/>
          <w:lang w:eastAsia="es-ES"/>
        </w:rPr>
      </w:pPr>
      <w:r w:rsidRPr="00190EA4">
        <w:rPr>
          <w:b/>
          <w:lang w:eastAsia="es-ES"/>
        </w:rPr>
        <w:lastRenderedPageBreak/>
        <w:t xml:space="preserve">Instituciones Policiales: </w:t>
      </w:r>
      <w:r w:rsidRPr="00190EA4">
        <w:rPr>
          <w:lang w:eastAsia="es-ES"/>
        </w:rPr>
        <w:t xml:space="preserve">Son los cuerpos de policía, de vigilancia y custodia de los establecimientos penitenciarios, detención preventiva, centros de arraigo y en general, </w:t>
      </w:r>
      <w:r w:rsidRPr="00190EA4">
        <w:rPr>
          <w:b/>
          <w:lang w:eastAsia="es-ES"/>
        </w:rPr>
        <w:t>todas las dependencias encargadas de la seguridad pública a nivel</w:t>
      </w:r>
      <w:r w:rsidRPr="00190EA4">
        <w:rPr>
          <w:lang w:eastAsia="es-ES"/>
        </w:rPr>
        <w:t xml:space="preserve"> estatal y </w:t>
      </w:r>
      <w:r w:rsidRPr="00190EA4">
        <w:rPr>
          <w:b/>
          <w:lang w:eastAsia="es-ES"/>
        </w:rPr>
        <w:t>municipal.</w:t>
      </w:r>
    </w:p>
    <w:p w14:paraId="256AB8FC" w14:textId="77777777" w:rsidR="00190EA4" w:rsidRPr="00190EA4" w:rsidRDefault="00190EA4" w:rsidP="00190EA4">
      <w:pPr>
        <w:spacing w:after="0" w:line="360" w:lineRule="auto"/>
        <w:rPr>
          <w:b/>
          <w:lang w:eastAsia="es-ES"/>
        </w:rPr>
      </w:pPr>
      <w:r w:rsidRPr="00190EA4">
        <w:rPr>
          <w:b/>
          <w:lang w:eastAsia="es-ES"/>
        </w:rPr>
        <w:t xml:space="preserve"> </w:t>
      </w:r>
    </w:p>
    <w:p w14:paraId="0A475B64" w14:textId="77777777" w:rsidR="00190EA4" w:rsidRPr="00190EA4" w:rsidRDefault="00190EA4" w:rsidP="00244E20">
      <w:pPr>
        <w:numPr>
          <w:ilvl w:val="0"/>
          <w:numId w:val="27"/>
        </w:numPr>
        <w:spacing w:after="0" w:line="360" w:lineRule="auto"/>
        <w:contextualSpacing/>
        <w:rPr>
          <w:b/>
          <w:lang w:eastAsia="es-ES"/>
        </w:rPr>
      </w:pPr>
      <w:r w:rsidRPr="00190EA4">
        <w:rPr>
          <w:b/>
          <w:lang w:eastAsia="es-ES"/>
        </w:rPr>
        <w:t xml:space="preserve">Instituciones de Seguridad Pública: </w:t>
      </w:r>
      <w:r w:rsidRPr="00190EA4">
        <w:rPr>
          <w:lang w:eastAsia="es-ES"/>
        </w:rPr>
        <w:t xml:space="preserve">Instituciones Policiales, Procuración de Justicia, Sistema Penitenciario y </w:t>
      </w:r>
      <w:r w:rsidRPr="00190EA4">
        <w:rPr>
          <w:b/>
          <w:lang w:eastAsia="es-ES"/>
        </w:rPr>
        <w:t xml:space="preserve">dependencias encargadas de la seguridad pública a nivel </w:t>
      </w:r>
      <w:r w:rsidRPr="00190EA4">
        <w:rPr>
          <w:lang w:eastAsia="es-ES"/>
        </w:rPr>
        <w:t xml:space="preserve">estatal y </w:t>
      </w:r>
      <w:r w:rsidRPr="00190EA4">
        <w:rPr>
          <w:b/>
          <w:lang w:eastAsia="es-ES"/>
        </w:rPr>
        <w:t>municipal.</w:t>
      </w:r>
    </w:p>
    <w:p w14:paraId="6E89B583" w14:textId="77777777" w:rsidR="00190EA4" w:rsidRPr="00190EA4" w:rsidRDefault="00190EA4" w:rsidP="00190EA4">
      <w:pPr>
        <w:spacing w:after="0" w:line="360" w:lineRule="auto"/>
        <w:rPr>
          <w:lang w:eastAsia="es-ES"/>
        </w:rPr>
      </w:pPr>
      <w:r w:rsidRPr="00190EA4">
        <w:rPr>
          <w:lang w:eastAsia="es-ES"/>
        </w:rPr>
        <w:t xml:space="preserve"> </w:t>
      </w:r>
    </w:p>
    <w:p w14:paraId="3405468C" w14:textId="1EF629F5" w:rsidR="00190EA4" w:rsidRPr="00190EA4" w:rsidRDefault="00190EA4" w:rsidP="00190EA4">
      <w:pPr>
        <w:spacing w:after="0" w:line="360" w:lineRule="auto"/>
        <w:rPr>
          <w:lang w:eastAsia="es-ES"/>
        </w:rPr>
      </w:pPr>
      <w:r w:rsidRPr="00190EA4">
        <w:rPr>
          <w:lang w:eastAsia="es-ES"/>
        </w:rPr>
        <w:t xml:space="preserve">Conforme a lo anterior, se puede deducir que la </w:t>
      </w:r>
      <w:r>
        <w:rPr>
          <w:bCs/>
        </w:rPr>
        <w:t>Dirección General de Seguridad y Protección</w:t>
      </w:r>
      <w:r w:rsidRPr="00190EA4">
        <w:rPr>
          <w:lang w:eastAsia="es-ES"/>
        </w:rPr>
        <w:t>, es una institución de seguridad pública, pues tiene como atribución principal, la prevención de delitos y proteger a las personas, sus propiedades, posesiones y derechos.</w:t>
      </w:r>
    </w:p>
    <w:p w14:paraId="49702853" w14:textId="77777777" w:rsidR="00190EA4" w:rsidRPr="00190EA4" w:rsidRDefault="00190EA4" w:rsidP="00190EA4">
      <w:pPr>
        <w:spacing w:after="0" w:line="360" w:lineRule="auto"/>
        <w:rPr>
          <w:lang w:eastAsia="es-ES"/>
        </w:rPr>
      </w:pPr>
      <w:r w:rsidRPr="00190EA4">
        <w:rPr>
          <w:lang w:eastAsia="es-ES"/>
        </w:rPr>
        <w:t xml:space="preserve"> </w:t>
      </w:r>
    </w:p>
    <w:p w14:paraId="6EC7CC38" w14:textId="77777777" w:rsidR="00190EA4" w:rsidRPr="00190EA4" w:rsidRDefault="00190EA4" w:rsidP="00190EA4">
      <w:pPr>
        <w:spacing w:after="0" w:line="360" w:lineRule="auto"/>
        <w:rPr>
          <w:lang w:eastAsia="es-ES"/>
        </w:rPr>
      </w:pPr>
      <w:r w:rsidRPr="00190EA4">
        <w:rPr>
          <w:lang w:eastAsia="es-ES"/>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190EA4">
        <w:rPr>
          <w:b/>
          <w:lang w:eastAsia="es-ES"/>
        </w:rPr>
        <w:t>desempeña funciones de mando</w:t>
      </w:r>
      <w:r w:rsidRPr="00190EA4">
        <w:rPr>
          <w:lang w:eastAsia="es-ES"/>
        </w:rPr>
        <w:t xml:space="preserve">), entre los cuales, se encuentra </w:t>
      </w:r>
      <w:r w:rsidRPr="00190EA4">
        <w:rPr>
          <w:b/>
          <w:lang w:eastAsia="es-ES"/>
        </w:rPr>
        <w:t>la Policía Municipal</w:t>
      </w:r>
      <w:r w:rsidRPr="00190EA4">
        <w:rPr>
          <w:lang w:eastAsia="es-ES"/>
        </w:rPr>
        <w:t>.</w:t>
      </w:r>
    </w:p>
    <w:p w14:paraId="01F278E8" w14:textId="77777777" w:rsidR="00190EA4" w:rsidRPr="00190EA4" w:rsidRDefault="00190EA4" w:rsidP="00190EA4">
      <w:pPr>
        <w:spacing w:after="0" w:line="360" w:lineRule="auto"/>
        <w:rPr>
          <w:lang w:eastAsia="es-ES"/>
        </w:rPr>
      </w:pPr>
      <w:r w:rsidRPr="00190EA4">
        <w:rPr>
          <w:lang w:eastAsia="es-ES"/>
        </w:rPr>
        <w:t xml:space="preserve"> </w:t>
      </w:r>
    </w:p>
    <w:p w14:paraId="4E1519CC" w14:textId="77777777" w:rsidR="00190EA4" w:rsidRPr="00190EA4" w:rsidRDefault="00190EA4" w:rsidP="00190EA4">
      <w:pPr>
        <w:spacing w:after="0" w:line="360" w:lineRule="auto"/>
        <w:rPr>
          <w:lang w:eastAsia="es-ES"/>
        </w:rPr>
      </w:pPr>
      <w:r w:rsidRPr="00190EA4">
        <w:rPr>
          <w:lang w:eastAsia="es-ES"/>
        </w:rPr>
        <w:t xml:space="preserve">Asimismo, se advierte que las Instituciones Policiales, se conforman del personal </w:t>
      </w:r>
      <w:r w:rsidRPr="00190EA4">
        <w:rPr>
          <w:b/>
          <w:lang w:eastAsia="es-ES"/>
        </w:rPr>
        <w:t>administrativo,</w:t>
      </w:r>
      <w:r w:rsidRPr="00190EA4">
        <w:rPr>
          <w:lang w:eastAsia="es-ES"/>
        </w:rPr>
        <w:t xml:space="preserve"> que son los trabajadores de apoyo (chofer, personal de mantenimiento, servicios generales y área secretaria); </w:t>
      </w:r>
      <w:r w:rsidRPr="00190EA4">
        <w:rPr>
          <w:b/>
          <w:lang w:eastAsia="es-ES"/>
        </w:rPr>
        <w:t>así como, el personal de mando</w:t>
      </w:r>
      <w:r w:rsidRPr="00190EA4">
        <w:rPr>
          <w:lang w:eastAsia="es-ES"/>
        </w:rPr>
        <w:t xml:space="preserve"> (alto, medio y superior), que es aquel que realiza funciones de dirección, coordinación y supervisión, por lo cual, corresponde a aquel que tenga trabajadores a su cargo.</w:t>
      </w:r>
    </w:p>
    <w:p w14:paraId="1A8B85D3" w14:textId="77777777" w:rsidR="00190EA4" w:rsidRPr="00190EA4" w:rsidRDefault="00190EA4" w:rsidP="00190EA4">
      <w:pPr>
        <w:spacing w:after="0" w:line="360" w:lineRule="auto"/>
        <w:rPr>
          <w:lang w:eastAsia="es-ES"/>
        </w:rPr>
      </w:pPr>
      <w:r w:rsidRPr="00190EA4">
        <w:rPr>
          <w:lang w:eastAsia="es-ES"/>
        </w:rPr>
        <w:t xml:space="preserve"> </w:t>
      </w:r>
    </w:p>
    <w:p w14:paraId="7599AA8B" w14:textId="77777777" w:rsidR="00190EA4" w:rsidRPr="00190EA4" w:rsidRDefault="00190EA4" w:rsidP="00190EA4">
      <w:pPr>
        <w:spacing w:after="0" w:line="360" w:lineRule="auto"/>
        <w:rPr>
          <w:lang w:eastAsia="es-ES"/>
        </w:rPr>
      </w:pPr>
      <w:r w:rsidRPr="00190EA4">
        <w:rPr>
          <w:lang w:eastAsia="es-ES"/>
        </w:rPr>
        <w:t xml:space="preserve">Así, dar a conocer el nombre de las personas, vinculado con el hecho que son policías, los vuelve identificables y posiblemente reconocibles para grupos delictivos, puesto que pueden </w:t>
      </w:r>
      <w:r w:rsidRPr="00190EA4">
        <w:rPr>
          <w:lang w:eastAsia="es-ES"/>
        </w:rPr>
        <w:lastRenderedPageBreak/>
        <w:t>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3308DDC" w14:textId="77777777" w:rsidR="00190EA4" w:rsidRPr="00190EA4" w:rsidRDefault="00190EA4" w:rsidP="00190EA4">
      <w:pPr>
        <w:spacing w:after="0" w:line="360" w:lineRule="auto"/>
        <w:rPr>
          <w:lang w:eastAsia="es-ES"/>
        </w:rPr>
      </w:pPr>
      <w:r w:rsidRPr="00190EA4">
        <w:rPr>
          <w:lang w:eastAsia="es-ES"/>
        </w:rPr>
        <w:t xml:space="preserve"> </w:t>
      </w:r>
    </w:p>
    <w:p w14:paraId="18BEF20A" w14:textId="77777777" w:rsidR="00190EA4" w:rsidRPr="00190EA4" w:rsidRDefault="00190EA4" w:rsidP="00190EA4">
      <w:pPr>
        <w:spacing w:after="0" w:line="360" w:lineRule="auto"/>
        <w:rPr>
          <w:lang w:eastAsia="es-ES"/>
        </w:rPr>
      </w:pPr>
      <w:r w:rsidRPr="00190EA4">
        <w:rPr>
          <w:lang w:eastAsia="es-ES"/>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70581730" w14:textId="77777777" w:rsidR="00190EA4" w:rsidRPr="00190EA4" w:rsidRDefault="00190EA4" w:rsidP="00190EA4">
      <w:pPr>
        <w:spacing w:after="0" w:line="360" w:lineRule="auto"/>
        <w:rPr>
          <w:lang w:eastAsia="es-ES"/>
        </w:rPr>
      </w:pPr>
      <w:r w:rsidRPr="00190EA4">
        <w:rPr>
          <w:lang w:eastAsia="es-ES"/>
        </w:rPr>
        <w:t xml:space="preserve"> </w:t>
      </w:r>
    </w:p>
    <w:p w14:paraId="7E7E770F" w14:textId="77777777" w:rsidR="00190EA4" w:rsidRPr="00190EA4" w:rsidRDefault="00190EA4" w:rsidP="00190EA4">
      <w:pPr>
        <w:spacing w:after="0" w:line="360" w:lineRule="auto"/>
        <w:rPr>
          <w:lang w:eastAsia="es-ES"/>
        </w:rPr>
      </w:pPr>
      <w:r w:rsidRPr="00190EA4">
        <w:rPr>
          <w:lang w:eastAsia="es-ES"/>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4AA6692" w14:textId="77777777" w:rsidR="00190EA4" w:rsidRPr="00190EA4" w:rsidRDefault="00190EA4" w:rsidP="00190EA4">
      <w:pPr>
        <w:spacing w:after="0" w:line="360" w:lineRule="auto"/>
        <w:rPr>
          <w:lang w:eastAsia="es-ES"/>
        </w:rPr>
      </w:pPr>
      <w:r w:rsidRPr="00190EA4">
        <w:rPr>
          <w:lang w:eastAsia="es-ES"/>
        </w:rPr>
        <w:t xml:space="preserve"> </w:t>
      </w:r>
    </w:p>
    <w:p w14:paraId="282DCD13" w14:textId="77777777" w:rsidR="00190EA4" w:rsidRPr="00190EA4" w:rsidRDefault="00190EA4" w:rsidP="00190EA4">
      <w:pPr>
        <w:spacing w:after="0" w:line="360" w:lineRule="auto"/>
        <w:rPr>
          <w:lang w:eastAsia="es-ES"/>
        </w:rPr>
      </w:pPr>
      <w:r w:rsidRPr="00190EA4">
        <w:rPr>
          <w:lang w:eastAsia="es-ES"/>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00212A2C" w14:textId="77777777" w:rsidR="00190EA4" w:rsidRPr="00190EA4" w:rsidRDefault="00190EA4" w:rsidP="00190EA4">
      <w:pPr>
        <w:spacing w:after="0" w:line="360" w:lineRule="auto"/>
        <w:rPr>
          <w:lang w:eastAsia="es-ES"/>
        </w:rPr>
      </w:pPr>
      <w:r w:rsidRPr="00190EA4">
        <w:rPr>
          <w:lang w:eastAsia="es-ES"/>
        </w:rPr>
        <w:lastRenderedPageBreak/>
        <w:t xml:space="preserve"> </w:t>
      </w:r>
    </w:p>
    <w:p w14:paraId="135B8C6A" w14:textId="74FD2957" w:rsidR="00190EA4" w:rsidRPr="00190EA4" w:rsidRDefault="00190EA4" w:rsidP="00190EA4">
      <w:pPr>
        <w:spacing w:after="0" w:line="360" w:lineRule="auto"/>
        <w:rPr>
          <w:b/>
          <w:lang w:eastAsia="es-ES"/>
        </w:rPr>
      </w:pPr>
      <w:r w:rsidRPr="00190EA4">
        <w:rPr>
          <w:lang w:eastAsia="es-ES"/>
        </w:rPr>
        <w:t xml:space="preserve">Por tales consideraciones, </w:t>
      </w:r>
      <w:r w:rsidRPr="00190EA4">
        <w:rPr>
          <w:b/>
          <w:lang w:eastAsia="es-ES"/>
        </w:rPr>
        <w:t>resulta procedente la reserva del nombre de los elementos operativos adscritos a la Dirección General de Seguridad y Protección, en términos del artículo 140, fracción IV, de la Ley de Transparencia y Acceso a la Información Pública del Estado de México y Municipios.</w:t>
      </w:r>
    </w:p>
    <w:p w14:paraId="3A267B5A" w14:textId="77777777" w:rsidR="00190EA4" w:rsidRPr="00190EA4" w:rsidRDefault="00190EA4" w:rsidP="00190EA4">
      <w:pPr>
        <w:spacing w:after="0" w:line="360" w:lineRule="auto"/>
        <w:rPr>
          <w:lang w:eastAsia="es-ES"/>
        </w:rPr>
      </w:pPr>
      <w:r w:rsidRPr="00190EA4">
        <w:rPr>
          <w:lang w:eastAsia="es-ES"/>
        </w:rPr>
        <w:t xml:space="preserve"> </w:t>
      </w:r>
    </w:p>
    <w:p w14:paraId="7157006B" w14:textId="77777777" w:rsidR="00190EA4" w:rsidRPr="00190EA4" w:rsidRDefault="00190EA4" w:rsidP="00190EA4">
      <w:pPr>
        <w:spacing w:after="0" w:line="360" w:lineRule="auto"/>
        <w:rPr>
          <w:lang w:eastAsia="es-ES"/>
        </w:rPr>
      </w:pPr>
      <w:r w:rsidRPr="00190EA4">
        <w:rPr>
          <w:lang w:eastAsia="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1B7FB4A" w14:textId="77777777" w:rsidR="00190EA4" w:rsidRPr="00190EA4" w:rsidRDefault="00190EA4" w:rsidP="00190EA4">
      <w:pPr>
        <w:spacing w:after="0" w:line="360" w:lineRule="auto"/>
        <w:rPr>
          <w:lang w:eastAsia="es-ES"/>
        </w:rPr>
      </w:pPr>
      <w:r w:rsidRPr="00190EA4">
        <w:rPr>
          <w:lang w:eastAsia="es-ES"/>
        </w:rPr>
        <w:t xml:space="preserve"> </w:t>
      </w:r>
    </w:p>
    <w:p w14:paraId="7A300771" w14:textId="77777777" w:rsidR="00190EA4" w:rsidRPr="00190EA4" w:rsidRDefault="00190EA4" w:rsidP="00190EA4">
      <w:pPr>
        <w:numPr>
          <w:ilvl w:val="0"/>
          <w:numId w:val="28"/>
        </w:numPr>
        <w:spacing w:after="0" w:line="360" w:lineRule="auto"/>
        <w:contextualSpacing/>
        <w:rPr>
          <w:lang w:eastAsia="es-ES"/>
        </w:rPr>
      </w:pPr>
      <w:r w:rsidRPr="00190EA4">
        <w:rPr>
          <w:lang w:eastAsia="es-ES"/>
        </w:rPr>
        <w:t>La divulgación de la información representa un riesgo real, demostrable e identificable de perjuicio significativo al interés público o a la seguridad nacional.</w:t>
      </w:r>
    </w:p>
    <w:p w14:paraId="1F9A77C8" w14:textId="77777777" w:rsidR="00190EA4" w:rsidRPr="00190EA4" w:rsidRDefault="00190EA4" w:rsidP="00190EA4">
      <w:pPr>
        <w:numPr>
          <w:ilvl w:val="0"/>
          <w:numId w:val="28"/>
        </w:numPr>
        <w:spacing w:after="0" w:line="360" w:lineRule="auto"/>
        <w:contextualSpacing/>
        <w:rPr>
          <w:lang w:eastAsia="es-ES"/>
        </w:rPr>
      </w:pPr>
      <w:r w:rsidRPr="00190EA4">
        <w:rPr>
          <w:lang w:eastAsia="es-ES"/>
        </w:rPr>
        <w:t>El riesgo de perjuicio supera el interés público general de que se difunda.</w:t>
      </w:r>
    </w:p>
    <w:p w14:paraId="03F205B5" w14:textId="77777777" w:rsidR="00190EA4" w:rsidRPr="00190EA4" w:rsidRDefault="00190EA4" w:rsidP="00190EA4">
      <w:pPr>
        <w:numPr>
          <w:ilvl w:val="0"/>
          <w:numId w:val="28"/>
        </w:numPr>
        <w:spacing w:after="0" w:line="360" w:lineRule="auto"/>
        <w:contextualSpacing/>
        <w:rPr>
          <w:lang w:eastAsia="es-ES"/>
        </w:rPr>
      </w:pPr>
      <w:r w:rsidRPr="00190EA4">
        <w:rPr>
          <w:lang w:eastAsia="es-ES"/>
        </w:rPr>
        <w:t>Que la limitación se adecua al principio de proporcionalidad y representa el medio menos restrictivo disponible para evitar el perjuicio.</w:t>
      </w:r>
    </w:p>
    <w:p w14:paraId="76D1A041" w14:textId="77777777" w:rsidR="00190EA4" w:rsidRPr="00190EA4" w:rsidRDefault="00190EA4" w:rsidP="00190EA4">
      <w:pPr>
        <w:spacing w:after="0" w:line="360" w:lineRule="auto"/>
        <w:rPr>
          <w:lang w:eastAsia="es-ES"/>
        </w:rPr>
      </w:pPr>
      <w:r w:rsidRPr="00190EA4">
        <w:rPr>
          <w:lang w:eastAsia="es-ES"/>
        </w:rPr>
        <w:t xml:space="preserve"> </w:t>
      </w:r>
    </w:p>
    <w:p w14:paraId="62FDE3F5" w14:textId="77777777" w:rsidR="00190EA4" w:rsidRPr="00190EA4" w:rsidRDefault="00190EA4" w:rsidP="00190EA4">
      <w:pPr>
        <w:spacing w:after="0" w:line="360" w:lineRule="auto"/>
        <w:rPr>
          <w:lang w:eastAsia="es-ES"/>
        </w:rPr>
      </w:pPr>
      <w:r w:rsidRPr="00190EA4">
        <w:rPr>
          <w:lang w:eastAsia="es-ES"/>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190EA4">
        <w:rPr>
          <w:lang w:eastAsia="es-ES"/>
        </w:rPr>
        <w:lastRenderedPageBreak/>
        <w:t>versiones públicas, deberá clasificar el nombre de los elementos operativos de la Dirección de Seguridad Pública, de manera fundada y motivada, mediante la respectiva prueba de daño.</w:t>
      </w:r>
    </w:p>
    <w:p w14:paraId="411F2211" w14:textId="77777777" w:rsidR="00190EA4" w:rsidRPr="00190EA4" w:rsidRDefault="00190EA4" w:rsidP="00190EA4">
      <w:pPr>
        <w:spacing w:after="0" w:line="360" w:lineRule="auto"/>
        <w:rPr>
          <w:lang w:eastAsia="es-ES"/>
        </w:rPr>
      </w:pPr>
    </w:p>
    <w:p w14:paraId="626ACDE0" w14:textId="6FACBD32" w:rsidR="00190EA4" w:rsidRPr="00190EA4" w:rsidRDefault="00190EA4" w:rsidP="00190EA4">
      <w:pPr>
        <w:spacing w:after="0" w:line="360" w:lineRule="auto"/>
        <w:rPr>
          <w:lang w:eastAsia="es-ES"/>
        </w:rPr>
      </w:pPr>
      <w:r w:rsidRPr="00190EA4">
        <w:rPr>
          <w:lang w:eastAsia="es-ES"/>
        </w:rPr>
        <w:t>Así, este Instituto considera que el Sujeto Obligado deberá proporcionar lo solicitado</w:t>
      </w:r>
      <w:r>
        <w:rPr>
          <w:lang w:eastAsia="es-ES"/>
        </w:rPr>
        <w:t xml:space="preserve"> </w:t>
      </w:r>
      <w:r w:rsidRPr="00190EA4">
        <w:rPr>
          <w:lang w:eastAsia="es-ES"/>
        </w:rPr>
        <w:t>en versión pública</w:t>
      </w:r>
      <w:r>
        <w:rPr>
          <w:lang w:eastAsia="es-ES"/>
        </w:rPr>
        <w:t>, tomando en cuenta lo analizado en el presente apartado y los datos analizados en párrafos posteriores</w:t>
      </w:r>
      <w:r w:rsidRPr="00190EA4">
        <w:rPr>
          <w:lang w:eastAsia="es-ES"/>
        </w:rPr>
        <w:t>;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668F333" w14:textId="77777777" w:rsidR="00190EA4" w:rsidRPr="00190EA4" w:rsidRDefault="00190EA4" w:rsidP="00190EA4">
      <w:pPr>
        <w:spacing w:after="0" w:line="360" w:lineRule="auto"/>
        <w:rPr>
          <w:rFonts w:eastAsia="Calibri" w:cs="Adelle Sans Devanagari"/>
          <w:bCs/>
          <w:iCs/>
          <w:color w:val="000000"/>
          <w:lang w:val="es-ES"/>
        </w:rPr>
      </w:pPr>
    </w:p>
    <w:p w14:paraId="5BBA58BE" w14:textId="7346C9C9" w:rsidR="007427DA" w:rsidRDefault="00190EA4" w:rsidP="00190EA4">
      <w:pPr>
        <w:spacing w:after="0" w:line="360" w:lineRule="auto"/>
        <w:rPr>
          <w:rFonts w:eastAsia="Times New Roman" w:cs="Tahoma"/>
          <w:bCs/>
          <w:iCs/>
          <w:color w:val="000000" w:themeColor="text1"/>
          <w:lang w:eastAsia="es-ES"/>
        </w:rPr>
      </w:pPr>
      <w:r w:rsidRPr="00190EA4">
        <w:rPr>
          <w:rFonts w:eastAsia="Calibri" w:cs="Adelle Sans Devanagari"/>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DC039A4" w14:textId="77777777" w:rsidR="007427DA" w:rsidRDefault="007427DA" w:rsidP="001A05AC">
      <w:pPr>
        <w:spacing w:after="0" w:line="360" w:lineRule="auto"/>
        <w:rPr>
          <w:rFonts w:eastAsia="Times New Roman" w:cs="Tahoma"/>
          <w:bCs/>
          <w:iCs/>
          <w:color w:val="000000" w:themeColor="text1"/>
          <w:lang w:eastAsia="es-ES"/>
        </w:rPr>
      </w:pPr>
    </w:p>
    <w:p w14:paraId="1774400A" w14:textId="3EF3C56C" w:rsidR="007427DA" w:rsidRPr="00190EA4" w:rsidRDefault="00190EA4" w:rsidP="001A05AC">
      <w:pPr>
        <w:spacing w:after="0" w:line="360" w:lineRule="auto"/>
        <w:rPr>
          <w:rFonts w:eastAsia="Times New Roman" w:cs="Tahoma"/>
          <w:b/>
          <w:iCs/>
          <w:color w:val="000000" w:themeColor="text1"/>
          <w:lang w:eastAsia="es-ES"/>
        </w:rPr>
      </w:pPr>
      <w:r>
        <w:rPr>
          <w:rFonts w:eastAsia="Times New Roman" w:cs="Tahoma"/>
          <w:b/>
          <w:iCs/>
          <w:color w:val="000000" w:themeColor="text1"/>
          <w:lang w:eastAsia="es-ES"/>
        </w:rPr>
        <w:t>Instituto Municipal de la Mujer de Toluca</w:t>
      </w:r>
    </w:p>
    <w:p w14:paraId="0A79B204" w14:textId="77777777" w:rsidR="007427DA" w:rsidRDefault="007427DA" w:rsidP="001A05AC">
      <w:pPr>
        <w:spacing w:after="0" w:line="360" w:lineRule="auto"/>
        <w:rPr>
          <w:rFonts w:eastAsia="Times New Roman" w:cs="Tahoma"/>
          <w:bCs/>
          <w:iCs/>
          <w:color w:val="000000" w:themeColor="text1"/>
          <w:lang w:eastAsia="es-ES"/>
        </w:rPr>
      </w:pPr>
    </w:p>
    <w:p w14:paraId="0736659A" w14:textId="63F965EC" w:rsidR="00125BBD" w:rsidRDefault="00190EA4" w:rsidP="001A05AC">
      <w:pPr>
        <w:spacing w:after="0" w:line="360" w:lineRule="auto"/>
        <w:rPr>
          <w:rFonts w:eastAsia="Times New Roman" w:cs="Tahoma"/>
          <w:bCs/>
          <w:iCs/>
          <w:color w:val="000000" w:themeColor="text1"/>
          <w:lang w:eastAsia="es-ES"/>
        </w:rPr>
      </w:pPr>
      <w:r>
        <w:rPr>
          <w:rFonts w:eastAsia="Times New Roman" w:cs="Tahoma"/>
          <w:bCs/>
          <w:iCs/>
          <w:color w:val="000000" w:themeColor="text1"/>
          <w:lang w:eastAsia="es-ES"/>
        </w:rPr>
        <w:t xml:space="preserve">Al respecto, la Coordinación de Administración y Finanzas proporcionó los recibos de nómina de la segunda quincena de mayo de dos mil veinticinco, de cuya revisión </w:t>
      </w:r>
      <w:r w:rsidR="00125BBD">
        <w:rPr>
          <w:rFonts w:eastAsia="Times New Roman" w:cs="Tahoma"/>
          <w:bCs/>
          <w:iCs/>
          <w:color w:val="000000" w:themeColor="text1"/>
          <w:lang w:eastAsia="es-ES"/>
        </w:rPr>
        <w:t xml:space="preserve">y cotejo con la información publicada en el Portal de Información Pública de Oficio Mexiquense, </w:t>
      </w:r>
      <w:r>
        <w:rPr>
          <w:rFonts w:eastAsia="Times New Roman" w:cs="Tahoma"/>
          <w:bCs/>
          <w:iCs/>
          <w:color w:val="000000" w:themeColor="text1"/>
          <w:lang w:eastAsia="es-ES"/>
        </w:rPr>
        <w:t xml:space="preserve">se logra vislumbrar </w:t>
      </w:r>
      <w:r w:rsidR="00125BBD">
        <w:rPr>
          <w:rFonts w:eastAsia="Times New Roman" w:cs="Tahoma"/>
          <w:bCs/>
          <w:iCs/>
          <w:color w:val="000000" w:themeColor="text1"/>
          <w:lang w:eastAsia="es-ES"/>
        </w:rPr>
        <w:t xml:space="preserve">que proporcionó la información que obraba en sus archivos y daba cuenta de lo peticionado, con lo cual dio cumplimiento a los artículos 12 y 160 de la Ley de </w:t>
      </w:r>
      <w:r w:rsidR="00125BBD">
        <w:rPr>
          <w:rFonts w:eastAsia="Times New Roman" w:cs="Tahoma"/>
          <w:bCs/>
          <w:iCs/>
          <w:color w:val="000000" w:themeColor="text1"/>
          <w:lang w:eastAsia="es-ES"/>
        </w:rPr>
        <w:lastRenderedPageBreak/>
        <w:t xml:space="preserve">Transparencia y Acceso a la Información Pública del Estado de México y Municipios. No obstante, fueron </w:t>
      </w:r>
      <w:proofErr w:type="gramStart"/>
      <w:r w:rsidR="00125BBD">
        <w:rPr>
          <w:rFonts w:eastAsia="Times New Roman" w:cs="Tahoma"/>
          <w:bCs/>
          <w:iCs/>
          <w:color w:val="000000" w:themeColor="text1"/>
          <w:lang w:eastAsia="es-ES"/>
        </w:rPr>
        <w:t>entregado</w:t>
      </w:r>
      <w:proofErr w:type="gramEnd"/>
      <w:r w:rsidR="00125BBD">
        <w:rPr>
          <w:rFonts w:eastAsia="Times New Roman" w:cs="Tahoma"/>
          <w:bCs/>
          <w:iCs/>
          <w:color w:val="000000" w:themeColor="text1"/>
          <w:lang w:eastAsia="es-ES"/>
        </w:rPr>
        <w:t xml:space="preserve"> en versión pública, en donde clasificó los siguientes datos:</w:t>
      </w:r>
    </w:p>
    <w:p w14:paraId="758AE63B" w14:textId="77777777" w:rsidR="00125BBD" w:rsidRDefault="00125BBD" w:rsidP="001A05AC">
      <w:pPr>
        <w:spacing w:after="0" w:line="360" w:lineRule="auto"/>
        <w:rPr>
          <w:rFonts w:eastAsia="Times New Roman" w:cs="Tahoma"/>
          <w:bCs/>
          <w:iCs/>
          <w:color w:val="000000" w:themeColor="text1"/>
          <w:lang w:eastAsia="es-ES"/>
        </w:rPr>
      </w:pPr>
    </w:p>
    <w:p w14:paraId="1A8A2C46" w14:textId="77777777" w:rsidR="00364674" w:rsidRPr="00364674" w:rsidRDefault="00364674" w:rsidP="00364674">
      <w:pPr>
        <w:numPr>
          <w:ilvl w:val="0"/>
          <w:numId w:val="16"/>
        </w:numPr>
        <w:spacing w:after="0" w:line="360" w:lineRule="auto"/>
        <w:rPr>
          <w:color w:val="000000"/>
          <w:lang w:eastAsia="es-MX"/>
        </w:rPr>
      </w:pPr>
      <w:bookmarkStart w:id="13" w:name="_Hlk179971039"/>
      <w:r w:rsidRPr="00364674">
        <w:rPr>
          <w:color w:val="000000"/>
          <w:lang w:eastAsia="es-MX"/>
        </w:rPr>
        <w:t>Clave Única de Registro de Población (CURP);</w:t>
      </w:r>
    </w:p>
    <w:p w14:paraId="41D141F6" w14:textId="77777777" w:rsidR="00364674" w:rsidRDefault="00364674" w:rsidP="00364674">
      <w:pPr>
        <w:numPr>
          <w:ilvl w:val="0"/>
          <w:numId w:val="16"/>
        </w:numPr>
        <w:spacing w:after="0" w:line="360" w:lineRule="auto"/>
        <w:rPr>
          <w:color w:val="000000"/>
          <w:lang w:eastAsia="es-MX"/>
        </w:rPr>
      </w:pPr>
      <w:r w:rsidRPr="00364674">
        <w:rPr>
          <w:color w:val="000000"/>
          <w:lang w:eastAsia="es-MX"/>
        </w:rPr>
        <w:t>Registro Federal de Contribuyentes del servidor público (RFC);</w:t>
      </w:r>
    </w:p>
    <w:p w14:paraId="13DC4D9E" w14:textId="77777777" w:rsidR="00364674" w:rsidRDefault="00364674" w:rsidP="00364674">
      <w:pPr>
        <w:numPr>
          <w:ilvl w:val="0"/>
          <w:numId w:val="16"/>
        </w:numPr>
        <w:spacing w:after="0" w:line="360" w:lineRule="auto"/>
        <w:rPr>
          <w:color w:val="000000"/>
          <w:lang w:eastAsia="es-MX"/>
        </w:rPr>
      </w:pPr>
      <w:r w:rsidRPr="00364674">
        <w:rPr>
          <w:color w:val="000000"/>
          <w:lang w:eastAsia="es-MX"/>
        </w:rPr>
        <w:t>Número de seguridad social del Instituto de Seguridad Social del Estado de México y Municipios;</w:t>
      </w:r>
    </w:p>
    <w:p w14:paraId="70C40BB1" w14:textId="1349F3A8" w:rsidR="00125BBD" w:rsidRDefault="00125BBD" w:rsidP="00364674">
      <w:pPr>
        <w:numPr>
          <w:ilvl w:val="0"/>
          <w:numId w:val="16"/>
        </w:numPr>
        <w:spacing w:after="0" w:line="360" w:lineRule="auto"/>
        <w:rPr>
          <w:color w:val="000000"/>
          <w:lang w:eastAsia="es-MX"/>
        </w:rPr>
      </w:pPr>
      <w:r>
        <w:rPr>
          <w:color w:val="000000"/>
          <w:lang w:eastAsia="es-MX"/>
        </w:rPr>
        <w:t>Número de empleado;</w:t>
      </w:r>
    </w:p>
    <w:p w14:paraId="21A21783" w14:textId="127F27D7" w:rsidR="00125BBD" w:rsidRPr="00364674" w:rsidRDefault="00125BBD" w:rsidP="00364674">
      <w:pPr>
        <w:numPr>
          <w:ilvl w:val="0"/>
          <w:numId w:val="16"/>
        </w:numPr>
        <w:spacing w:after="0" w:line="360" w:lineRule="auto"/>
        <w:rPr>
          <w:color w:val="000000"/>
          <w:lang w:eastAsia="es-MX"/>
        </w:rPr>
      </w:pPr>
      <w:r>
        <w:rPr>
          <w:color w:val="000000"/>
          <w:lang w:eastAsia="es-MX"/>
        </w:rPr>
        <w:t>Código Postal;</w:t>
      </w:r>
    </w:p>
    <w:p w14:paraId="059A524F" w14:textId="77777777" w:rsidR="00364674" w:rsidRPr="00364674" w:rsidRDefault="00364674" w:rsidP="00364674">
      <w:pPr>
        <w:numPr>
          <w:ilvl w:val="0"/>
          <w:numId w:val="16"/>
        </w:numPr>
        <w:spacing w:after="0" w:line="360" w:lineRule="auto"/>
        <w:rPr>
          <w:color w:val="000000"/>
          <w:lang w:eastAsia="es-MX"/>
        </w:rPr>
      </w:pPr>
      <w:r w:rsidRPr="00364674">
        <w:rPr>
          <w:color w:val="000000"/>
          <w:lang w:eastAsia="es-MX"/>
        </w:rPr>
        <w:t>Deducciones personales;</w:t>
      </w:r>
    </w:p>
    <w:p w14:paraId="0C54651D" w14:textId="77777777" w:rsidR="00364674" w:rsidRPr="00125BBD" w:rsidRDefault="00364674" w:rsidP="00364674">
      <w:pPr>
        <w:numPr>
          <w:ilvl w:val="0"/>
          <w:numId w:val="16"/>
        </w:numPr>
        <w:spacing w:after="0" w:line="360" w:lineRule="auto"/>
        <w:rPr>
          <w:color w:val="000000"/>
          <w:lang w:eastAsia="es-MX"/>
        </w:rPr>
      </w:pPr>
      <w:r w:rsidRPr="00364674">
        <w:rPr>
          <w:rFonts w:eastAsia="Times New Roman" w:cs="Tahoma"/>
          <w:bCs/>
          <w:color w:val="000000" w:themeColor="text1"/>
          <w:lang w:val="es-ES" w:eastAsia="es-MX"/>
        </w:rPr>
        <w:t>Código bidimensional o QR;</w:t>
      </w:r>
    </w:p>
    <w:p w14:paraId="64854E13" w14:textId="4360B35E" w:rsidR="00125BBD" w:rsidRPr="00125BBD" w:rsidRDefault="00125BBD" w:rsidP="00364674">
      <w:pPr>
        <w:numPr>
          <w:ilvl w:val="0"/>
          <w:numId w:val="16"/>
        </w:numPr>
        <w:spacing w:after="0" w:line="360" w:lineRule="auto"/>
        <w:rPr>
          <w:color w:val="000000"/>
          <w:lang w:eastAsia="es-MX"/>
        </w:rPr>
      </w:pPr>
      <w:r>
        <w:rPr>
          <w:rFonts w:eastAsia="Times New Roman" w:cs="Tahoma"/>
          <w:bCs/>
          <w:color w:val="000000" w:themeColor="text1"/>
          <w:lang w:val="es-ES" w:eastAsia="es-MX"/>
        </w:rPr>
        <w:t>Folio fiscal;</w:t>
      </w:r>
    </w:p>
    <w:p w14:paraId="48D7389F" w14:textId="119EBAE8" w:rsidR="00125BBD" w:rsidRPr="00125BBD" w:rsidRDefault="00125BBD" w:rsidP="00364674">
      <w:pPr>
        <w:numPr>
          <w:ilvl w:val="0"/>
          <w:numId w:val="16"/>
        </w:numPr>
        <w:spacing w:after="0" w:line="360" w:lineRule="auto"/>
        <w:rPr>
          <w:color w:val="000000"/>
          <w:lang w:eastAsia="es-MX"/>
        </w:rPr>
      </w:pPr>
      <w:r>
        <w:rPr>
          <w:rFonts w:eastAsia="Times New Roman" w:cs="Tahoma"/>
          <w:bCs/>
          <w:color w:val="000000" w:themeColor="text1"/>
          <w:lang w:val="es-ES" w:eastAsia="es-MX"/>
        </w:rPr>
        <w:t>Institución bancaria;</w:t>
      </w:r>
    </w:p>
    <w:p w14:paraId="5448CF06" w14:textId="351A07ED" w:rsidR="00125BBD" w:rsidRPr="00125BBD" w:rsidRDefault="00125BBD" w:rsidP="00364674">
      <w:pPr>
        <w:numPr>
          <w:ilvl w:val="0"/>
          <w:numId w:val="16"/>
        </w:numPr>
        <w:spacing w:after="0" w:line="360" w:lineRule="auto"/>
        <w:rPr>
          <w:color w:val="000000"/>
          <w:lang w:eastAsia="es-MX"/>
        </w:rPr>
      </w:pPr>
      <w:r>
        <w:rPr>
          <w:rFonts w:eastAsia="Times New Roman" w:cs="Tahoma"/>
          <w:bCs/>
          <w:color w:val="000000" w:themeColor="text1"/>
          <w:lang w:val="es-ES" w:eastAsia="es-MX"/>
        </w:rPr>
        <w:t>Número de cuenta bancario, y</w:t>
      </w:r>
    </w:p>
    <w:p w14:paraId="488A6F1F" w14:textId="1B3A897B" w:rsidR="00125BBD" w:rsidRPr="00364674" w:rsidRDefault="00125BBD" w:rsidP="00364674">
      <w:pPr>
        <w:numPr>
          <w:ilvl w:val="0"/>
          <w:numId w:val="16"/>
        </w:numPr>
        <w:spacing w:after="0" w:line="360" w:lineRule="auto"/>
        <w:rPr>
          <w:color w:val="000000"/>
          <w:lang w:eastAsia="es-MX"/>
        </w:rPr>
      </w:pPr>
      <w:r>
        <w:rPr>
          <w:rFonts w:eastAsia="Times New Roman" w:cs="Tahoma"/>
          <w:bCs/>
          <w:color w:val="000000" w:themeColor="text1"/>
          <w:lang w:val="es-ES" w:eastAsia="es-MX"/>
        </w:rPr>
        <w:t>Firma de servidores públicos.</w:t>
      </w:r>
    </w:p>
    <w:bookmarkEnd w:id="13"/>
    <w:p w14:paraId="5C0BD64E" w14:textId="77777777" w:rsidR="00364674" w:rsidRDefault="00364674" w:rsidP="00364674">
      <w:pPr>
        <w:spacing w:after="0" w:line="360" w:lineRule="auto"/>
        <w:ind w:left="420"/>
        <w:rPr>
          <w:color w:val="000000"/>
          <w:lang w:eastAsia="es-MX"/>
        </w:rPr>
      </w:pPr>
    </w:p>
    <w:p w14:paraId="382FFB8E" w14:textId="1B4A8A53" w:rsidR="00364674" w:rsidRPr="00364674" w:rsidRDefault="00364674" w:rsidP="00364674">
      <w:pPr>
        <w:spacing w:after="0" w:line="360" w:lineRule="auto"/>
        <w:ind w:right="-28"/>
        <w:rPr>
          <w:color w:val="000000"/>
          <w:lang w:eastAsia="es-MX"/>
        </w:rPr>
      </w:pPr>
      <w:r w:rsidRPr="00364674">
        <w:rPr>
          <w:color w:val="000000"/>
          <w:lang w:eastAsia="es-MX"/>
        </w:rPr>
        <w:t xml:space="preserve">De lo anterior, resulta procedente analizar si dichos datos son públicos o privados; </w:t>
      </w:r>
      <w:r>
        <w:rPr>
          <w:color w:val="000000"/>
          <w:lang w:eastAsia="es-MX"/>
        </w:rPr>
        <w:t xml:space="preserve">para lo cual </w:t>
      </w:r>
      <w:r w:rsidRPr="00364674">
        <w:rPr>
          <w:color w:val="000000"/>
          <w:lang w:eastAsia="es-MX"/>
        </w:rPr>
        <w:t>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23D23873" w14:textId="77777777" w:rsidR="00364674" w:rsidRPr="00364674" w:rsidRDefault="00364674" w:rsidP="00364674">
      <w:pPr>
        <w:spacing w:after="0" w:line="360" w:lineRule="auto"/>
        <w:rPr>
          <w:color w:val="000000"/>
          <w:lang w:eastAsia="es-MX"/>
        </w:rPr>
      </w:pPr>
    </w:p>
    <w:p w14:paraId="52CC60A7" w14:textId="3D6E04C1" w:rsidR="00364674" w:rsidRPr="00364674" w:rsidRDefault="00364674" w:rsidP="00364674">
      <w:pPr>
        <w:spacing w:after="0" w:line="360" w:lineRule="auto"/>
        <w:rPr>
          <w:color w:val="000000"/>
          <w:lang w:eastAsia="es-MX"/>
        </w:rPr>
      </w:pPr>
      <w:r w:rsidRPr="00364674">
        <w:rPr>
          <w:color w:val="000000"/>
          <w:lang w:eastAsia="es-MX"/>
        </w:rPr>
        <w:t>Asimismo, el artículo 145 de la</w:t>
      </w:r>
      <w:r>
        <w:rPr>
          <w:color w:val="000000"/>
          <w:lang w:eastAsia="es-MX"/>
        </w:rPr>
        <w:t xml:space="preserve"> Ley de la materia</w:t>
      </w:r>
      <w:r w:rsidRPr="00364674">
        <w:rPr>
          <w:color w:val="000000"/>
          <w:lang w:eastAsia="es-MX"/>
        </w:rPr>
        <w:t xml:space="preserve">,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sidRPr="00364674">
        <w:rPr>
          <w:color w:val="000000"/>
          <w:lang w:eastAsia="es-MX"/>
        </w:rPr>
        <w:lastRenderedPageBreak/>
        <w:t>para proteger los derechos de terceros o cuando se transmita entre sujetos obligados en términos de los tratados y los acuerdos interinstitucionales.</w:t>
      </w:r>
    </w:p>
    <w:p w14:paraId="05A4CE73" w14:textId="77777777" w:rsidR="00364674" w:rsidRPr="00364674" w:rsidRDefault="00364674" w:rsidP="00364674">
      <w:pPr>
        <w:spacing w:after="0" w:line="360" w:lineRule="auto"/>
        <w:rPr>
          <w:color w:val="000000"/>
          <w:lang w:eastAsia="es-MX"/>
        </w:rPr>
      </w:pPr>
    </w:p>
    <w:p w14:paraId="1E90B4D9" w14:textId="77777777" w:rsidR="00364674" w:rsidRPr="00364674" w:rsidRDefault="00364674" w:rsidP="00364674">
      <w:pPr>
        <w:spacing w:after="0" w:line="360" w:lineRule="auto"/>
        <w:rPr>
          <w:color w:val="000000"/>
          <w:lang w:eastAsia="es-MX"/>
        </w:rPr>
      </w:pPr>
      <w:r w:rsidRPr="00364674">
        <w:rPr>
          <w:color w:val="000000"/>
          <w:lang w:eastAsia="es-MX"/>
        </w:rPr>
        <w:t>En términos de lo expuesto, la documentación y aquellos datos que se consideren confidenciales, serán una limitante del derecho de acceso a la información, siempre y cuando:</w:t>
      </w:r>
    </w:p>
    <w:p w14:paraId="30769C9C" w14:textId="77777777" w:rsidR="00364674" w:rsidRPr="00364674" w:rsidRDefault="00364674" w:rsidP="00364674">
      <w:pPr>
        <w:spacing w:after="0" w:line="360" w:lineRule="auto"/>
        <w:rPr>
          <w:color w:val="000000"/>
          <w:lang w:eastAsia="es-MX"/>
        </w:rPr>
      </w:pPr>
    </w:p>
    <w:p w14:paraId="5162D3DA" w14:textId="77777777" w:rsidR="00364674" w:rsidRDefault="00364674" w:rsidP="00364674">
      <w:pPr>
        <w:numPr>
          <w:ilvl w:val="0"/>
          <w:numId w:val="4"/>
        </w:numPr>
        <w:spacing w:after="0" w:line="360" w:lineRule="auto"/>
        <w:rPr>
          <w:color w:val="000000"/>
          <w:lang w:eastAsia="es-MX"/>
        </w:rPr>
      </w:pPr>
      <w:r w:rsidRPr="00364674">
        <w:rPr>
          <w:color w:val="000000"/>
          <w:lang w:eastAsia="es-MX"/>
        </w:rPr>
        <w:t xml:space="preserve">Se trate de datos personales o información privada; esto es, información concerniente a una persona física o jurídico colectiva y que esta sea identificada o identificable. </w:t>
      </w:r>
    </w:p>
    <w:p w14:paraId="57664176" w14:textId="77777777" w:rsidR="00364674" w:rsidRPr="00364674" w:rsidRDefault="00364674" w:rsidP="00364674">
      <w:pPr>
        <w:numPr>
          <w:ilvl w:val="0"/>
          <w:numId w:val="4"/>
        </w:numPr>
        <w:spacing w:after="0" w:line="360" w:lineRule="auto"/>
        <w:rPr>
          <w:color w:val="000000"/>
          <w:lang w:eastAsia="es-MX"/>
        </w:rPr>
      </w:pPr>
      <w:r w:rsidRPr="00364674">
        <w:rPr>
          <w:color w:val="000000"/>
          <w:lang w:eastAsia="es-MX"/>
        </w:rPr>
        <w:t xml:space="preserve">Para la difusión de los datos, se requiera el consentimiento del titular. </w:t>
      </w:r>
    </w:p>
    <w:p w14:paraId="08EA41F5" w14:textId="77777777" w:rsidR="00364674" w:rsidRPr="00364674" w:rsidRDefault="00364674" w:rsidP="00364674">
      <w:pPr>
        <w:spacing w:after="0" w:line="360" w:lineRule="auto"/>
        <w:rPr>
          <w:color w:val="000000"/>
          <w:lang w:eastAsia="es-MX"/>
        </w:rPr>
      </w:pPr>
    </w:p>
    <w:p w14:paraId="1DF111AC" w14:textId="77777777" w:rsidR="00364674" w:rsidRPr="00364674" w:rsidRDefault="00364674" w:rsidP="00364674">
      <w:pPr>
        <w:spacing w:after="0" w:line="360" w:lineRule="auto"/>
        <w:rPr>
          <w:color w:val="000000"/>
          <w:lang w:eastAsia="es-MX"/>
        </w:rPr>
      </w:pPr>
      <w:r w:rsidRPr="00364674">
        <w:rPr>
          <w:color w:val="000000"/>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43FB9C4" w14:textId="77777777" w:rsidR="00364674" w:rsidRPr="00364674" w:rsidRDefault="00364674" w:rsidP="00364674">
      <w:pPr>
        <w:spacing w:after="0" w:line="360" w:lineRule="auto"/>
        <w:rPr>
          <w:color w:val="000000"/>
          <w:lang w:eastAsia="es-MX"/>
        </w:rPr>
      </w:pPr>
    </w:p>
    <w:p w14:paraId="5BC67C94" w14:textId="77777777" w:rsidR="00364674" w:rsidRPr="00364674" w:rsidRDefault="00364674" w:rsidP="00364674">
      <w:pPr>
        <w:spacing w:after="0" w:line="360" w:lineRule="auto"/>
        <w:rPr>
          <w:color w:val="000000"/>
          <w:lang w:eastAsia="es-MX"/>
        </w:rPr>
      </w:pPr>
      <w:r w:rsidRPr="00364674">
        <w:rPr>
          <w:color w:val="000000"/>
          <w:lang w:eastAsia="es-MX"/>
        </w:rPr>
        <w:t>Además, en el artículo 5° de dicho ordenamiento jurídico, establece que es la Ley aplicable para todo tratamiento de datos personales.</w:t>
      </w:r>
    </w:p>
    <w:p w14:paraId="68A61494" w14:textId="77777777" w:rsidR="00364674" w:rsidRPr="00364674" w:rsidRDefault="00364674" w:rsidP="00364674">
      <w:pPr>
        <w:spacing w:after="0" w:line="360" w:lineRule="auto"/>
        <w:rPr>
          <w:color w:val="000000"/>
          <w:lang w:eastAsia="es-MX"/>
        </w:rPr>
      </w:pPr>
    </w:p>
    <w:p w14:paraId="4670514D" w14:textId="77777777" w:rsidR="00364674" w:rsidRPr="00364674" w:rsidRDefault="00364674" w:rsidP="00364674">
      <w:pPr>
        <w:spacing w:after="0" w:line="360" w:lineRule="auto"/>
        <w:rPr>
          <w:color w:val="000000"/>
          <w:lang w:eastAsia="es-MX"/>
        </w:rPr>
      </w:pPr>
      <w:r w:rsidRPr="00364674">
        <w:rPr>
          <w:color w:val="000000"/>
          <w:lang w:eastAsia="es-MX"/>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w:t>
      </w:r>
      <w:r w:rsidRPr="00364674">
        <w:rPr>
          <w:color w:val="000000"/>
          <w:lang w:eastAsia="es-MX"/>
        </w:rPr>
        <w:lastRenderedPageBreak/>
        <w:t>atribuciones legales y con el consentimiento de su titular, además de que debe estar justificado en ley (principio de finalidad).</w:t>
      </w:r>
    </w:p>
    <w:p w14:paraId="5DEBC126" w14:textId="77777777" w:rsidR="00364674" w:rsidRPr="00364674" w:rsidRDefault="00364674" w:rsidP="00364674">
      <w:pPr>
        <w:spacing w:after="0" w:line="360" w:lineRule="auto"/>
        <w:rPr>
          <w:color w:val="000000"/>
          <w:lang w:eastAsia="es-MX"/>
        </w:rPr>
      </w:pPr>
    </w:p>
    <w:p w14:paraId="385DC844" w14:textId="77777777" w:rsidR="00364674" w:rsidRDefault="00364674" w:rsidP="00364674">
      <w:pPr>
        <w:spacing w:after="0" w:line="360" w:lineRule="auto"/>
        <w:rPr>
          <w:color w:val="000000"/>
          <w:lang w:eastAsia="es-MX"/>
        </w:rPr>
      </w:pPr>
      <w:r w:rsidRPr="00364674">
        <w:rPr>
          <w:color w:val="000000"/>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631BA67B" w14:textId="77777777" w:rsidR="00125BBD" w:rsidRPr="00364674" w:rsidRDefault="00125BBD" w:rsidP="00364674">
      <w:pPr>
        <w:spacing w:after="0" w:line="360" w:lineRule="auto"/>
        <w:rPr>
          <w:color w:val="000000"/>
          <w:lang w:eastAsia="es-MX"/>
        </w:rPr>
      </w:pPr>
    </w:p>
    <w:p w14:paraId="110D554A" w14:textId="77777777" w:rsidR="00364674" w:rsidRPr="00364674" w:rsidRDefault="00364674" w:rsidP="00364674">
      <w:pPr>
        <w:numPr>
          <w:ilvl w:val="0"/>
          <w:numId w:val="17"/>
        </w:numPr>
        <w:spacing w:after="0" w:line="360" w:lineRule="auto"/>
        <w:rPr>
          <w:b/>
          <w:color w:val="000000"/>
          <w:lang w:eastAsia="es-MX"/>
        </w:rPr>
      </w:pPr>
      <w:r w:rsidRPr="00364674">
        <w:rPr>
          <w:b/>
          <w:color w:val="000000"/>
          <w:lang w:eastAsia="es-MX"/>
        </w:rPr>
        <w:t>Clave Única de Registro de Población (CURP)</w:t>
      </w:r>
    </w:p>
    <w:p w14:paraId="478DA464" w14:textId="77777777" w:rsidR="00364674" w:rsidRPr="00364674" w:rsidRDefault="00364674" w:rsidP="00364674">
      <w:pPr>
        <w:spacing w:after="0" w:line="360" w:lineRule="auto"/>
        <w:rPr>
          <w:color w:val="000000"/>
          <w:lang w:eastAsia="es-MX"/>
        </w:rPr>
      </w:pPr>
    </w:p>
    <w:p w14:paraId="1FE871A0" w14:textId="77777777" w:rsidR="00364674" w:rsidRPr="00364674" w:rsidRDefault="00364674" w:rsidP="00364674">
      <w:pPr>
        <w:spacing w:after="0" w:line="360" w:lineRule="auto"/>
        <w:rPr>
          <w:color w:val="000000"/>
          <w:lang w:eastAsia="es-MX"/>
        </w:rPr>
      </w:pPr>
      <w:r w:rsidRPr="00364674">
        <w:rPr>
          <w:color w:val="000000"/>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35BC877" w14:textId="77777777" w:rsidR="00364674" w:rsidRPr="00364674" w:rsidRDefault="00364674" w:rsidP="00364674">
      <w:pPr>
        <w:spacing w:after="0" w:line="360" w:lineRule="auto"/>
        <w:rPr>
          <w:color w:val="000000"/>
          <w:lang w:eastAsia="es-MX"/>
        </w:rPr>
      </w:pPr>
    </w:p>
    <w:p w14:paraId="63263FB1" w14:textId="77777777" w:rsidR="00364674" w:rsidRPr="00364674" w:rsidRDefault="00364674" w:rsidP="00364674">
      <w:pPr>
        <w:spacing w:after="0" w:line="360" w:lineRule="auto"/>
        <w:rPr>
          <w:color w:val="000000"/>
          <w:lang w:eastAsia="es-MX"/>
        </w:rPr>
      </w:pPr>
      <w:r w:rsidRPr="00364674">
        <w:rPr>
          <w:color w:val="000000"/>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D66478F" w14:textId="77777777" w:rsidR="00364674" w:rsidRPr="00364674" w:rsidRDefault="00364674" w:rsidP="00364674">
      <w:pPr>
        <w:spacing w:after="0" w:line="360" w:lineRule="auto"/>
        <w:rPr>
          <w:color w:val="000000"/>
          <w:lang w:eastAsia="es-MX"/>
        </w:rPr>
      </w:pPr>
    </w:p>
    <w:p w14:paraId="3FA781D2" w14:textId="36CE9939" w:rsidR="00A94A35" w:rsidRDefault="00364674" w:rsidP="00364674">
      <w:pPr>
        <w:spacing w:after="0" w:line="360" w:lineRule="auto"/>
        <w:rPr>
          <w:color w:val="000000"/>
          <w:lang w:eastAsia="es-MX"/>
        </w:rPr>
      </w:pPr>
      <w:r w:rsidRPr="00364674">
        <w:rPr>
          <w:color w:val="000000"/>
          <w:lang w:eastAsia="es-MX"/>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64674">
        <w:rPr>
          <w:b/>
          <w:color w:val="000000"/>
          <w:lang w:eastAsia="es-MX"/>
        </w:rPr>
        <w:t xml:space="preserve">se generan a partir de los </w:t>
      </w:r>
      <w:r w:rsidRPr="00364674">
        <w:rPr>
          <w:b/>
          <w:color w:val="000000"/>
          <w:lang w:eastAsia="es-MX"/>
        </w:rPr>
        <w:lastRenderedPageBreak/>
        <w:t>datos contenidos en el documento probatorio de la identidad</w:t>
      </w:r>
      <w:r w:rsidRPr="00364674">
        <w:rPr>
          <w:color w:val="000000"/>
          <w:lang w:eastAsia="es-MX"/>
        </w:rPr>
        <w:t xml:space="preserve"> </w:t>
      </w:r>
      <w:r w:rsidRPr="00364674">
        <w:rPr>
          <w:b/>
          <w:color w:val="000000"/>
          <w:lang w:eastAsia="es-MX"/>
        </w:rPr>
        <w:t xml:space="preserve">del interesado </w:t>
      </w:r>
      <w:r w:rsidRPr="00364674">
        <w:rPr>
          <w:color w:val="000000"/>
          <w:lang w:eastAsia="es-MX"/>
        </w:rPr>
        <w:t>(acta de nacimiento, carta de naturalización o documento migratorio) de la siguiente forma:</w:t>
      </w:r>
    </w:p>
    <w:p w14:paraId="61DF8B6E" w14:textId="77777777" w:rsidR="00A94A35" w:rsidRDefault="00A94A35" w:rsidP="00364674">
      <w:pPr>
        <w:spacing w:after="0" w:line="360" w:lineRule="auto"/>
        <w:rPr>
          <w:color w:val="000000"/>
          <w:lang w:eastAsia="es-MX"/>
        </w:rPr>
      </w:pPr>
    </w:p>
    <w:p w14:paraId="06E32745" w14:textId="77777777" w:rsidR="00364674" w:rsidRPr="00364674" w:rsidRDefault="00364674" w:rsidP="00364674">
      <w:pPr>
        <w:numPr>
          <w:ilvl w:val="0"/>
          <w:numId w:val="18"/>
        </w:numPr>
        <w:spacing w:after="0" w:line="360" w:lineRule="auto"/>
        <w:rPr>
          <w:color w:val="000000"/>
          <w:lang w:eastAsia="es-MX"/>
        </w:rPr>
      </w:pPr>
      <w:r w:rsidRPr="00364674">
        <w:rPr>
          <w:color w:val="000000"/>
          <w:lang w:eastAsia="es-MX"/>
        </w:rPr>
        <w:t>El primero y segundo apellidos, así como al nombre de pila;</w:t>
      </w:r>
    </w:p>
    <w:p w14:paraId="53663DDC" w14:textId="77777777" w:rsidR="00364674" w:rsidRPr="00364674" w:rsidRDefault="00364674" w:rsidP="00364674">
      <w:pPr>
        <w:numPr>
          <w:ilvl w:val="0"/>
          <w:numId w:val="18"/>
        </w:numPr>
        <w:spacing w:after="0" w:line="360" w:lineRule="auto"/>
        <w:rPr>
          <w:color w:val="000000"/>
          <w:lang w:eastAsia="es-MX"/>
        </w:rPr>
      </w:pPr>
      <w:r w:rsidRPr="00364674">
        <w:rPr>
          <w:color w:val="000000"/>
          <w:lang w:eastAsia="es-MX"/>
        </w:rPr>
        <w:t>La fecha de nacimiento;</w:t>
      </w:r>
    </w:p>
    <w:p w14:paraId="145FF8D1" w14:textId="77777777" w:rsidR="00364674" w:rsidRPr="00364674" w:rsidRDefault="00364674" w:rsidP="00364674">
      <w:pPr>
        <w:numPr>
          <w:ilvl w:val="0"/>
          <w:numId w:val="18"/>
        </w:numPr>
        <w:spacing w:after="0" w:line="360" w:lineRule="auto"/>
        <w:rPr>
          <w:color w:val="000000"/>
          <w:lang w:eastAsia="es-MX"/>
        </w:rPr>
      </w:pPr>
      <w:r w:rsidRPr="00364674">
        <w:rPr>
          <w:color w:val="000000"/>
          <w:lang w:eastAsia="es-MX"/>
        </w:rPr>
        <w:t>El sexo, y</w:t>
      </w:r>
    </w:p>
    <w:p w14:paraId="40D91FE0" w14:textId="77777777" w:rsidR="00364674" w:rsidRPr="00364674" w:rsidRDefault="00364674" w:rsidP="00364674">
      <w:pPr>
        <w:numPr>
          <w:ilvl w:val="0"/>
          <w:numId w:val="18"/>
        </w:numPr>
        <w:spacing w:after="0" w:line="360" w:lineRule="auto"/>
        <w:rPr>
          <w:color w:val="000000"/>
          <w:lang w:eastAsia="es-MX"/>
        </w:rPr>
      </w:pPr>
      <w:r w:rsidRPr="00364674">
        <w:rPr>
          <w:color w:val="000000"/>
          <w:lang w:eastAsia="es-MX"/>
        </w:rPr>
        <w:t>La entidad federativa de nacimiento.</w:t>
      </w:r>
    </w:p>
    <w:p w14:paraId="64A8A5D2" w14:textId="77777777" w:rsidR="00364674" w:rsidRPr="00364674" w:rsidRDefault="00364674" w:rsidP="00364674">
      <w:pPr>
        <w:spacing w:after="0" w:line="360" w:lineRule="auto"/>
        <w:rPr>
          <w:color w:val="000000"/>
          <w:lang w:eastAsia="es-MX"/>
        </w:rPr>
      </w:pPr>
    </w:p>
    <w:p w14:paraId="34EE5423" w14:textId="77777777" w:rsidR="00364674" w:rsidRPr="00364674" w:rsidRDefault="00364674" w:rsidP="00364674">
      <w:pPr>
        <w:spacing w:after="0" w:line="360" w:lineRule="auto"/>
        <w:rPr>
          <w:color w:val="000000"/>
          <w:lang w:eastAsia="es-MX"/>
        </w:rPr>
      </w:pPr>
      <w:r w:rsidRPr="00364674">
        <w:rPr>
          <w:color w:val="000000"/>
          <w:lang w:eastAsia="es-MX"/>
        </w:rPr>
        <w:t>Los dos últimos elementos de la Clave Única de Registro de Población evitan la duplicidad de la Clave y garantizan su correcta integración.</w:t>
      </w:r>
    </w:p>
    <w:p w14:paraId="361E9D4E" w14:textId="77777777" w:rsidR="00364674" w:rsidRPr="00364674" w:rsidRDefault="00364674" w:rsidP="00364674">
      <w:pPr>
        <w:spacing w:after="0" w:line="360" w:lineRule="auto"/>
        <w:rPr>
          <w:color w:val="000000"/>
          <w:lang w:eastAsia="es-MX"/>
        </w:rPr>
      </w:pPr>
    </w:p>
    <w:p w14:paraId="4F8583F7" w14:textId="77777777" w:rsidR="00364674" w:rsidRPr="00364674" w:rsidRDefault="00364674" w:rsidP="00364674">
      <w:pPr>
        <w:spacing w:after="0" w:line="360" w:lineRule="auto"/>
        <w:rPr>
          <w:color w:val="000000"/>
          <w:lang w:eastAsia="es-MX"/>
        </w:rPr>
      </w:pPr>
      <w:r w:rsidRPr="00364674">
        <w:rPr>
          <w:color w:val="000000"/>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0247146" w14:textId="77777777" w:rsidR="00364674" w:rsidRPr="00364674" w:rsidRDefault="00364674" w:rsidP="00364674">
      <w:pPr>
        <w:spacing w:after="0" w:line="360" w:lineRule="auto"/>
        <w:rPr>
          <w:color w:val="000000"/>
          <w:lang w:eastAsia="es-MX"/>
        </w:rPr>
      </w:pPr>
    </w:p>
    <w:p w14:paraId="211A5C67" w14:textId="2D803F92" w:rsidR="00364674" w:rsidRPr="00364674" w:rsidRDefault="00364674" w:rsidP="00364674">
      <w:pPr>
        <w:spacing w:after="0" w:line="360" w:lineRule="auto"/>
        <w:rPr>
          <w:color w:val="000000"/>
          <w:lang w:eastAsia="es-MX"/>
        </w:rPr>
      </w:pPr>
      <w:r w:rsidRPr="00364674">
        <w:rPr>
          <w:color w:val="000000"/>
          <w:lang w:eastAsia="es-MX"/>
        </w:rPr>
        <w:t xml:space="preserve">Situación que se robustece, con el </w:t>
      </w:r>
      <w:r>
        <w:rPr>
          <w:color w:val="000000"/>
          <w:lang w:eastAsia="es-MX"/>
        </w:rPr>
        <w:t>Criterio Orientador</w:t>
      </w:r>
      <w:r w:rsidRPr="00364674">
        <w:rPr>
          <w:color w:val="000000"/>
          <w:lang w:eastAsia="es-MX"/>
        </w:rPr>
        <w:t xml:space="preserve">, de la Segunda Época, con número de registro SO/018/2017, </w:t>
      </w:r>
      <w:r>
        <w:rPr>
          <w:color w:val="000000"/>
          <w:lang w:eastAsia="es-MX"/>
        </w:rPr>
        <w:t xml:space="preserve">emitido por el entonces Instituto </w:t>
      </w:r>
      <w:r w:rsidRPr="00364674">
        <w:rPr>
          <w:color w:val="000000"/>
          <w:lang w:eastAsia="es-MX"/>
        </w:rPr>
        <w:t>Nacional de Transparencia, Acceso a la Información y Protección de Datos Personales, que establece lo siguiente:</w:t>
      </w:r>
    </w:p>
    <w:p w14:paraId="0B57AA52" w14:textId="77777777" w:rsidR="00364674" w:rsidRPr="00364674" w:rsidRDefault="00364674" w:rsidP="00364674">
      <w:pPr>
        <w:spacing w:after="0" w:line="360" w:lineRule="auto"/>
        <w:ind w:left="567" w:right="567"/>
        <w:rPr>
          <w:color w:val="000000"/>
          <w:sz w:val="20"/>
          <w:szCs w:val="20"/>
          <w:lang w:eastAsia="es-MX"/>
        </w:rPr>
      </w:pPr>
    </w:p>
    <w:p w14:paraId="3D2DC988" w14:textId="77777777" w:rsidR="00364674" w:rsidRPr="00364674" w:rsidRDefault="00364674" w:rsidP="00364674">
      <w:pPr>
        <w:spacing w:after="0" w:line="360" w:lineRule="auto"/>
        <w:ind w:left="567" w:right="567"/>
        <w:rPr>
          <w:i/>
          <w:color w:val="000000"/>
          <w:sz w:val="20"/>
          <w:szCs w:val="20"/>
          <w:lang w:eastAsia="es-MX"/>
        </w:rPr>
      </w:pPr>
      <w:r w:rsidRPr="00364674">
        <w:rPr>
          <w:b/>
          <w:i/>
          <w:color w:val="000000"/>
          <w:sz w:val="20"/>
          <w:szCs w:val="20"/>
          <w:lang w:eastAsia="es-MX"/>
        </w:rPr>
        <w:t xml:space="preserve">“Clave Única de Registro de Población (CURP). </w:t>
      </w:r>
      <w:r w:rsidRPr="00364674">
        <w:rPr>
          <w:i/>
          <w:color w:val="000000"/>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09933A9" w14:textId="77777777" w:rsidR="00364674" w:rsidRPr="00364674" w:rsidRDefault="00364674" w:rsidP="00364674">
      <w:pPr>
        <w:spacing w:after="0" w:line="360" w:lineRule="auto"/>
        <w:rPr>
          <w:color w:val="000000"/>
          <w:lang w:eastAsia="es-MX"/>
        </w:rPr>
      </w:pPr>
    </w:p>
    <w:p w14:paraId="305F9849" w14:textId="77777777" w:rsidR="00364674" w:rsidRPr="00364674" w:rsidRDefault="00364674" w:rsidP="00364674">
      <w:pPr>
        <w:spacing w:after="0" w:line="360" w:lineRule="auto"/>
        <w:rPr>
          <w:color w:val="000000"/>
          <w:lang w:eastAsia="es-MX"/>
        </w:rPr>
      </w:pPr>
      <w:r w:rsidRPr="00364674">
        <w:rPr>
          <w:color w:val="000000"/>
          <w:lang w:eastAsia="es-MX"/>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E6203B5" w14:textId="77777777" w:rsidR="00364674" w:rsidRPr="00364674" w:rsidRDefault="00364674" w:rsidP="00364674">
      <w:pPr>
        <w:spacing w:after="0" w:line="360" w:lineRule="auto"/>
        <w:rPr>
          <w:color w:val="000000"/>
          <w:lang w:eastAsia="es-MX"/>
        </w:rPr>
      </w:pPr>
    </w:p>
    <w:p w14:paraId="713512C3" w14:textId="77777777" w:rsidR="00364674" w:rsidRPr="00364674" w:rsidRDefault="00364674" w:rsidP="00364674">
      <w:pPr>
        <w:numPr>
          <w:ilvl w:val="0"/>
          <w:numId w:val="17"/>
        </w:numPr>
        <w:spacing w:after="0" w:line="360" w:lineRule="auto"/>
        <w:rPr>
          <w:b/>
          <w:color w:val="000000"/>
          <w:lang w:eastAsia="es-MX"/>
        </w:rPr>
      </w:pPr>
      <w:r w:rsidRPr="00364674">
        <w:rPr>
          <w:b/>
          <w:color w:val="000000"/>
          <w:lang w:eastAsia="es-MX"/>
        </w:rPr>
        <w:t>Registro Federal de Contribuyentes (RFC)</w:t>
      </w:r>
    </w:p>
    <w:p w14:paraId="4D4B85C4" w14:textId="77777777" w:rsidR="00A94A35" w:rsidRDefault="00A94A35" w:rsidP="00364674">
      <w:pPr>
        <w:spacing w:after="0" w:line="360" w:lineRule="auto"/>
        <w:rPr>
          <w:color w:val="000000"/>
          <w:lang w:eastAsia="es-MX"/>
        </w:rPr>
      </w:pPr>
    </w:p>
    <w:p w14:paraId="3D20CB1F" w14:textId="3383406E" w:rsidR="00364674" w:rsidRPr="00364674" w:rsidRDefault="00364674" w:rsidP="00364674">
      <w:pPr>
        <w:spacing w:after="0" w:line="360" w:lineRule="auto"/>
        <w:rPr>
          <w:color w:val="000000"/>
          <w:lang w:eastAsia="es-MX"/>
        </w:rPr>
      </w:pPr>
      <w:r w:rsidRPr="00364674">
        <w:rPr>
          <w:color w:val="000000"/>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E1D4452" w14:textId="77777777" w:rsidR="00364674" w:rsidRPr="00364674" w:rsidRDefault="00364674" w:rsidP="00364674">
      <w:pPr>
        <w:spacing w:after="0" w:line="360" w:lineRule="auto"/>
        <w:rPr>
          <w:color w:val="000000"/>
          <w:lang w:eastAsia="es-MX"/>
        </w:rPr>
      </w:pPr>
    </w:p>
    <w:p w14:paraId="33D2D262" w14:textId="77777777" w:rsidR="00364674" w:rsidRPr="00364674" w:rsidRDefault="00364674" w:rsidP="00364674">
      <w:pPr>
        <w:spacing w:after="0" w:line="360" w:lineRule="auto"/>
        <w:rPr>
          <w:color w:val="000000"/>
          <w:lang w:eastAsia="es-MX"/>
        </w:rPr>
      </w:pPr>
      <w:r w:rsidRPr="00364674">
        <w:rPr>
          <w:color w:val="000000"/>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364674">
        <w:rPr>
          <w:color w:val="000000"/>
          <w:lang w:eastAsia="es-MX"/>
        </w:rPr>
        <w:t>homoclave</w:t>
      </w:r>
      <w:proofErr w:type="spellEnd"/>
      <w:r w:rsidRPr="00364674">
        <w:rPr>
          <w:color w:val="000000"/>
          <w:lang w:eastAsia="es-MX"/>
        </w:rPr>
        <w:t xml:space="preserve"> que establece el sistema automático del Servicio de Administración Tributaria.</w:t>
      </w:r>
    </w:p>
    <w:p w14:paraId="39DDD637" w14:textId="77777777" w:rsidR="00364674" w:rsidRPr="00364674" w:rsidRDefault="00364674" w:rsidP="00364674">
      <w:pPr>
        <w:spacing w:after="0" w:line="360" w:lineRule="auto"/>
        <w:rPr>
          <w:color w:val="000000"/>
          <w:lang w:eastAsia="es-MX"/>
        </w:rPr>
      </w:pPr>
    </w:p>
    <w:p w14:paraId="0E6FC2F1" w14:textId="77777777" w:rsidR="00364674" w:rsidRPr="00364674" w:rsidRDefault="00364674" w:rsidP="00364674">
      <w:pPr>
        <w:spacing w:after="0" w:line="360" w:lineRule="auto"/>
        <w:rPr>
          <w:color w:val="000000"/>
          <w:lang w:eastAsia="es-MX"/>
        </w:rPr>
      </w:pPr>
      <w:r w:rsidRPr="00364674">
        <w:rPr>
          <w:color w:val="000000"/>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0964B8C" w14:textId="77777777" w:rsidR="00364674" w:rsidRPr="00364674" w:rsidRDefault="00364674" w:rsidP="00364674">
      <w:pPr>
        <w:spacing w:after="0" w:line="360" w:lineRule="auto"/>
        <w:rPr>
          <w:color w:val="000000"/>
          <w:lang w:eastAsia="es-MX"/>
        </w:rPr>
      </w:pPr>
    </w:p>
    <w:p w14:paraId="50DD3C4F" w14:textId="77777777" w:rsidR="00364674" w:rsidRPr="00364674" w:rsidRDefault="00364674" w:rsidP="00364674">
      <w:pPr>
        <w:spacing w:after="0" w:line="360" w:lineRule="auto"/>
        <w:rPr>
          <w:color w:val="000000"/>
          <w:lang w:eastAsia="es-MX"/>
        </w:rPr>
      </w:pPr>
      <w:r w:rsidRPr="00364674">
        <w:rPr>
          <w:color w:val="000000"/>
          <w:lang w:eastAsia="es-MX"/>
        </w:rPr>
        <w:t xml:space="preserve">Así, el Registro Federal de Contribuyentes, es un dato personal, ya que hace a las personas físicas identificas e identificables, además de que las relaciona como contribuyentes de las </w:t>
      </w:r>
      <w:r w:rsidRPr="00364674">
        <w:rPr>
          <w:color w:val="000000"/>
          <w:lang w:eastAsia="es-MX"/>
        </w:rPr>
        <w:lastRenderedPageBreak/>
        <w:t xml:space="preserve">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76384D5" w14:textId="77777777" w:rsidR="00A94A35" w:rsidRDefault="00A94A35" w:rsidP="00364674">
      <w:pPr>
        <w:spacing w:after="0" w:line="360" w:lineRule="auto"/>
        <w:rPr>
          <w:color w:val="000000"/>
          <w:lang w:eastAsia="es-MX"/>
        </w:rPr>
      </w:pPr>
    </w:p>
    <w:p w14:paraId="35983C07" w14:textId="57F4DA32" w:rsidR="00364674" w:rsidRPr="00364674" w:rsidRDefault="00364674" w:rsidP="00364674">
      <w:pPr>
        <w:spacing w:after="0" w:line="360" w:lineRule="auto"/>
        <w:rPr>
          <w:color w:val="000000"/>
          <w:lang w:eastAsia="es-MX"/>
        </w:rPr>
      </w:pPr>
      <w:r w:rsidRPr="00364674">
        <w:rPr>
          <w:color w:val="000000"/>
          <w:lang w:eastAsia="es-MX"/>
        </w:rPr>
        <w:t xml:space="preserve">Lo anterior, resulta congruente con el </w:t>
      </w:r>
      <w:r>
        <w:rPr>
          <w:color w:val="000000"/>
          <w:lang w:eastAsia="es-MX"/>
        </w:rPr>
        <w:t>Criterio Orientador</w:t>
      </w:r>
      <w:r w:rsidRPr="00364674">
        <w:rPr>
          <w:color w:val="000000"/>
          <w:lang w:eastAsia="es-MX"/>
        </w:rPr>
        <w:t xml:space="preserve">, de la Segunda Época, con número de registro SO/019/2017, </w:t>
      </w:r>
      <w:r>
        <w:rPr>
          <w:color w:val="000000"/>
          <w:lang w:eastAsia="es-MX"/>
        </w:rPr>
        <w:t xml:space="preserve">emitido por el entonces Instituto </w:t>
      </w:r>
      <w:r w:rsidRPr="00364674">
        <w:rPr>
          <w:color w:val="000000"/>
          <w:lang w:eastAsia="es-MX"/>
        </w:rPr>
        <w:t>Nacional de Transparencia, Acceso a la Información y Protección de Datos Personales, en el cual se señala lo siguiente:</w:t>
      </w:r>
    </w:p>
    <w:p w14:paraId="2C43ADE3" w14:textId="77777777" w:rsidR="00364674" w:rsidRPr="00364674" w:rsidRDefault="00364674" w:rsidP="00364674">
      <w:pPr>
        <w:spacing w:after="0" w:line="360" w:lineRule="auto"/>
        <w:rPr>
          <w:color w:val="000000"/>
          <w:lang w:eastAsia="es-MX"/>
        </w:rPr>
      </w:pPr>
    </w:p>
    <w:p w14:paraId="3B72B309" w14:textId="77777777" w:rsidR="00364674" w:rsidRPr="00364674" w:rsidRDefault="00364674" w:rsidP="00364674">
      <w:pPr>
        <w:spacing w:after="0" w:line="360" w:lineRule="auto"/>
        <w:ind w:left="567" w:right="567"/>
        <w:rPr>
          <w:i/>
          <w:color w:val="000000"/>
          <w:sz w:val="20"/>
          <w:szCs w:val="20"/>
          <w:lang w:eastAsia="es-MX"/>
        </w:rPr>
      </w:pPr>
      <w:r w:rsidRPr="00364674">
        <w:rPr>
          <w:b/>
          <w:i/>
          <w:color w:val="000000"/>
          <w:sz w:val="20"/>
          <w:szCs w:val="20"/>
          <w:lang w:eastAsia="es-MX"/>
        </w:rPr>
        <w:t>“Registro Federal de Contribuyentes (RFC) de personas físicas.</w:t>
      </w:r>
      <w:r w:rsidRPr="00364674">
        <w:rPr>
          <w:i/>
          <w:color w:val="000000"/>
          <w:sz w:val="20"/>
          <w:szCs w:val="20"/>
          <w:lang w:eastAsia="es-MX"/>
        </w:rPr>
        <w:t xml:space="preserve"> El RFC es una clave de carácter fiscal, única e irrepetible, que permite identificar al titular, su edad y fecha de nacimiento, por lo que es un dato personal de carácter confidencial.”</w:t>
      </w:r>
    </w:p>
    <w:p w14:paraId="3A4B2461" w14:textId="77777777" w:rsidR="00364674" w:rsidRPr="00364674" w:rsidRDefault="00364674" w:rsidP="00364674">
      <w:pPr>
        <w:spacing w:after="0" w:line="360" w:lineRule="auto"/>
        <w:rPr>
          <w:color w:val="000000"/>
          <w:lang w:eastAsia="es-MX"/>
        </w:rPr>
      </w:pPr>
    </w:p>
    <w:p w14:paraId="6FBF7B58" w14:textId="77777777" w:rsidR="00364674" w:rsidRPr="00364674" w:rsidRDefault="00364674" w:rsidP="00364674">
      <w:pPr>
        <w:spacing w:after="0" w:line="360" w:lineRule="auto"/>
        <w:rPr>
          <w:color w:val="000000"/>
          <w:lang w:eastAsia="es-MX"/>
        </w:rPr>
      </w:pPr>
      <w:r w:rsidRPr="00364674">
        <w:rPr>
          <w:color w:val="000000"/>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FEBE491" w14:textId="77777777" w:rsidR="00364674" w:rsidRPr="00364674" w:rsidRDefault="00364674" w:rsidP="00364674">
      <w:pPr>
        <w:tabs>
          <w:tab w:val="center" w:pos="4522"/>
        </w:tabs>
        <w:spacing w:after="0" w:line="360" w:lineRule="auto"/>
        <w:rPr>
          <w:color w:val="000000"/>
          <w:lang w:eastAsia="es-MX"/>
        </w:rPr>
      </w:pPr>
    </w:p>
    <w:p w14:paraId="37AC636C" w14:textId="77777777" w:rsidR="00364674" w:rsidRPr="00364674" w:rsidRDefault="00364674" w:rsidP="00364674">
      <w:pPr>
        <w:numPr>
          <w:ilvl w:val="0"/>
          <w:numId w:val="19"/>
        </w:numPr>
        <w:spacing w:after="0" w:line="360" w:lineRule="auto"/>
        <w:contextualSpacing/>
        <w:jc w:val="left"/>
        <w:rPr>
          <w:rFonts w:eastAsia="Calibri" w:cs="Tahoma"/>
          <w:b/>
          <w:bCs/>
          <w:iCs/>
          <w:color w:val="000000" w:themeColor="text1"/>
          <w:lang w:eastAsia="es-MX"/>
        </w:rPr>
      </w:pPr>
      <w:r w:rsidRPr="00364674">
        <w:rPr>
          <w:rFonts w:eastAsia="Calibri" w:cs="Tahoma"/>
          <w:b/>
          <w:bCs/>
          <w:iCs/>
          <w:color w:val="000000" w:themeColor="text1"/>
          <w:lang w:eastAsia="es-MX"/>
        </w:rPr>
        <w:t xml:space="preserve">Código bidimensional o </w:t>
      </w:r>
      <w:proofErr w:type="spellStart"/>
      <w:r w:rsidRPr="00364674">
        <w:rPr>
          <w:rFonts w:eastAsia="Calibri" w:cs="Tahoma"/>
          <w:b/>
          <w:bCs/>
          <w:iCs/>
          <w:color w:val="000000" w:themeColor="text1"/>
          <w:lang w:eastAsia="es-MX"/>
        </w:rPr>
        <w:t>Qr</w:t>
      </w:r>
      <w:proofErr w:type="spellEnd"/>
    </w:p>
    <w:p w14:paraId="6B6EEA6B" w14:textId="77777777" w:rsidR="00364674" w:rsidRPr="00364674" w:rsidRDefault="00364674" w:rsidP="00364674">
      <w:pPr>
        <w:spacing w:line="360" w:lineRule="auto"/>
        <w:contextualSpacing/>
        <w:rPr>
          <w:rFonts w:eastAsia="Calibri" w:cs="Tahoma"/>
          <w:b/>
          <w:bCs/>
          <w:iCs/>
          <w:color w:val="000000" w:themeColor="text1"/>
          <w:lang w:eastAsia="es-MX"/>
        </w:rPr>
      </w:pPr>
    </w:p>
    <w:p w14:paraId="1923EFF4" w14:textId="77777777" w:rsidR="00364674" w:rsidRPr="00364674" w:rsidRDefault="00364674" w:rsidP="00364674">
      <w:pPr>
        <w:spacing w:line="360" w:lineRule="auto"/>
        <w:contextualSpacing/>
        <w:rPr>
          <w:rFonts w:eastAsia="Calibri" w:cs="Tahoma"/>
          <w:bCs/>
          <w:color w:val="000000" w:themeColor="text1"/>
          <w:lang w:eastAsia="es-MX"/>
        </w:rPr>
      </w:pPr>
      <w:r w:rsidRPr="00364674">
        <w:rPr>
          <w:rFonts w:eastAsia="Calibri" w:cs="Tahoma"/>
          <w:bCs/>
          <w:color w:val="000000" w:themeColor="text1"/>
          <w:lang w:eastAsia="es-MX"/>
        </w:rPr>
        <w:t xml:space="preserve">En principio, resulta necesario señalar que los comprobantes fiscales digitales por Internet, deben de incluir un código bidimensional conforme al formato </w:t>
      </w:r>
      <w:r w:rsidRPr="00364674">
        <w:rPr>
          <w:rFonts w:eastAsia="Calibri" w:cs="Tahoma"/>
          <w:bCs/>
          <w:i/>
          <w:color w:val="000000" w:themeColor="text1"/>
          <w:lang w:eastAsia="es-MX"/>
        </w:rPr>
        <w:t xml:space="preserve">QR </w:t>
      </w:r>
      <w:proofErr w:type="spellStart"/>
      <w:r w:rsidRPr="00364674">
        <w:rPr>
          <w:rFonts w:eastAsia="Calibri" w:cs="Tahoma"/>
          <w:bCs/>
          <w:i/>
          <w:color w:val="000000" w:themeColor="text1"/>
          <w:lang w:eastAsia="es-MX"/>
        </w:rPr>
        <w:t>Code</w:t>
      </w:r>
      <w:proofErr w:type="spellEnd"/>
      <w:r w:rsidRPr="00364674">
        <w:rPr>
          <w:rFonts w:eastAsia="Calibri" w:cs="Tahoma"/>
          <w:bCs/>
          <w:i/>
          <w:color w:val="000000" w:themeColor="text1"/>
          <w:lang w:eastAsia="es-MX"/>
        </w:rPr>
        <w:t xml:space="preserve"> (Quick Response </w:t>
      </w:r>
      <w:proofErr w:type="spellStart"/>
      <w:r w:rsidRPr="00364674">
        <w:rPr>
          <w:rFonts w:eastAsia="Calibri" w:cs="Tahoma"/>
          <w:bCs/>
          <w:i/>
          <w:color w:val="000000" w:themeColor="text1"/>
          <w:lang w:eastAsia="es-MX"/>
        </w:rPr>
        <w:t>Code</w:t>
      </w:r>
      <w:proofErr w:type="spellEnd"/>
      <w:r w:rsidRPr="00364674">
        <w:rPr>
          <w:rFonts w:eastAsia="Calibri" w:cs="Tahoma"/>
          <w:bCs/>
          <w:i/>
          <w:color w:val="000000" w:themeColor="text1"/>
          <w:lang w:eastAsia="es-MX"/>
        </w:rPr>
        <w:t>)</w:t>
      </w:r>
      <w:r w:rsidRPr="00364674">
        <w:rPr>
          <w:rFonts w:eastAsia="Calibri" w:cs="Tahoma"/>
          <w:bCs/>
          <w:color w:val="000000" w:themeColor="text1"/>
          <w:lang w:eastAsia="es-MX"/>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364674">
          <w:rPr>
            <w:rFonts w:eastAsia="Calibri" w:cs="Tahoma"/>
            <w:bCs/>
            <w:color w:val="0563C1"/>
            <w:u w:val="single"/>
            <w:lang w:eastAsia="es-MX"/>
          </w:rPr>
          <w:t>http://dof.gob.mx/nota_detalle.php?codigo=5492254&amp;fecha=28/07/2017</w:t>
        </w:r>
      </w:hyperlink>
      <w:r w:rsidRPr="00364674">
        <w:rPr>
          <w:rFonts w:eastAsia="Calibri" w:cs="Tahoma"/>
          <w:bCs/>
          <w:color w:val="000000" w:themeColor="text1"/>
          <w:lang w:eastAsia="es-MX"/>
        </w:rPr>
        <w:t xml:space="preserve">. Incluso con la </w:t>
      </w:r>
      <w:r w:rsidRPr="00364674">
        <w:rPr>
          <w:rFonts w:eastAsia="Calibri" w:cs="Tahoma"/>
          <w:bCs/>
          <w:color w:val="000000" w:themeColor="text1"/>
          <w:lang w:eastAsia="es-MX"/>
        </w:rPr>
        <w:lastRenderedPageBreak/>
        <w:t>captura de dicho código, a través de la aplicación móvil del Servicio de Administración Tributaria, permite el acceso al Registro Federal de Contribuyentes, como del Sujeto Obligado, como de los servidores públicos.</w:t>
      </w:r>
    </w:p>
    <w:p w14:paraId="12B91878" w14:textId="77777777" w:rsidR="00364674" w:rsidRPr="00364674" w:rsidRDefault="00364674" w:rsidP="00364674">
      <w:pPr>
        <w:spacing w:line="360" w:lineRule="auto"/>
        <w:contextualSpacing/>
        <w:rPr>
          <w:rFonts w:eastAsia="Calibri" w:cs="Tahoma"/>
          <w:bCs/>
          <w:color w:val="000000" w:themeColor="text1"/>
          <w:lang w:eastAsia="es-MX"/>
        </w:rPr>
      </w:pPr>
    </w:p>
    <w:p w14:paraId="61EC693E" w14:textId="77777777" w:rsidR="00364674" w:rsidRPr="00364674" w:rsidRDefault="00364674" w:rsidP="00364674">
      <w:pPr>
        <w:spacing w:line="360" w:lineRule="auto"/>
        <w:contextualSpacing/>
        <w:rPr>
          <w:rFonts w:eastAsia="Calibri" w:cs="Tahoma"/>
          <w:bCs/>
          <w:color w:val="000000" w:themeColor="text1"/>
          <w:lang w:eastAsia="es-MX"/>
        </w:rPr>
      </w:pPr>
      <w:r w:rsidRPr="00364674">
        <w:rPr>
          <w:rFonts w:eastAsia="Calibri" w:cs="Tahoma"/>
          <w:bCs/>
          <w:color w:val="000000" w:themeColor="text1"/>
          <w:lang w:eastAsia="es-MX"/>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58E4B76" w14:textId="77777777" w:rsidR="00364674" w:rsidRPr="00364674" w:rsidRDefault="00364674" w:rsidP="00364674">
      <w:pPr>
        <w:tabs>
          <w:tab w:val="center" w:pos="4522"/>
        </w:tabs>
        <w:spacing w:after="0" w:line="360" w:lineRule="auto"/>
        <w:rPr>
          <w:color w:val="000000"/>
          <w:lang w:eastAsia="es-MX"/>
        </w:rPr>
      </w:pPr>
    </w:p>
    <w:p w14:paraId="7EF1C2D5" w14:textId="77777777" w:rsidR="00364674" w:rsidRPr="00364674" w:rsidRDefault="00364674" w:rsidP="00364674">
      <w:pPr>
        <w:numPr>
          <w:ilvl w:val="0"/>
          <w:numId w:val="17"/>
        </w:numPr>
        <w:spacing w:after="0" w:line="360" w:lineRule="auto"/>
        <w:rPr>
          <w:b/>
          <w:color w:val="000000"/>
          <w:lang w:eastAsia="es-MX"/>
        </w:rPr>
      </w:pPr>
      <w:r w:rsidRPr="00364674">
        <w:rPr>
          <w:b/>
          <w:color w:val="000000"/>
          <w:lang w:eastAsia="es-MX"/>
        </w:rPr>
        <w:t>Número de seguridad social del Instituto de Seguridad Social del Estado de México y Municipios</w:t>
      </w:r>
    </w:p>
    <w:p w14:paraId="1BCC64D6" w14:textId="77777777" w:rsidR="00364674" w:rsidRPr="00364674" w:rsidRDefault="00364674" w:rsidP="00364674">
      <w:pPr>
        <w:spacing w:after="0" w:line="360" w:lineRule="auto"/>
        <w:rPr>
          <w:b/>
          <w:color w:val="000000"/>
          <w:lang w:eastAsia="es-MX"/>
        </w:rPr>
      </w:pPr>
    </w:p>
    <w:p w14:paraId="0B45182C" w14:textId="77777777" w:rsidR="00364674" w:rsidRPr="00364674" w:rsidRDefault="00364674" w:rsidP="00364674">
      <w:pPr>
        <w:spacing w:after="0" w:line="360" w:lineRule="auto"/>
        <w:rPr>
          <w:color w:val="000000"/>
          <w:lang w:eastAsia="es-MX"/>
        </w:rPr>
      </w:pPr>
      <w:r w:rsidRPr="00364674">
        <w:rPr>
          <w:color w:val="000000"/>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4BD0CD3" w14:textId="77777777" w:rsidR="00364674" w:rsidRPr="00364674" w:rsidRDefault="00364674" w:rsidP="00364674">
      <w:pPr>
        <w:spacing w:after="0" w:line="360" w:lineRule="auto"/>
        <w:rPr>
          <w:color w:val="000000"/>
          <w:lang w:eastAsia="es-MX"/>
        </w:rPr>
      </w:pPr>
    </w:p>
    <w:p w14:paraId="13A1E760" w14:textId="77777777" w:rsidR="00364674" w:rsidRDefault="00364674" w:rsidP="00364674">
      <w:pPr>
        <w:spacing w:after="0" w:line="360" w:lineRule="auto"/>
        <w:rPr>
          <w:color w:val="000000"/>
          <w:lang w:eastAsia="es-MX"/>
        </w:rPr>
      </w:pPr>
      <w:r w:rsidRPr="00364674">
        <w:rPr>
          <w:color w:val="000000"/>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w:t>
      </w:r>
      <w:r w:rsidRPr="00364674">
        <w:rPr>
          <w:color w:val="000000"/>
          <w:lang w:eastAsia="es-MX"/>
        </w:rPr>
        <w:lastRenderedPageBreak/>
        <w:t>trabajador con el objetivo de poder proporcionar los servicios que brinda el Instituto de Seguridad Social del Estado de México y Municipios.</w:t>
      </w:r>
    </w:p>
    <w:p w14:paraId="42A31A34" w14:textId="77777777" w:rsidR="00A94A35" w:rsidRPr="00364674" w:rsidRDefault="00A94A35" w:rsidP="00364674">
      <w:pPr>
        <w:spacing w:after="0" w:line="360" w:lineRule="auto"/>
        <w:rPr>
          <w:color w:val="000000"/>
          <w:lang w:eastAsia="es-MX"/>
        </w:rPr>
      </w:pPr>
    </w:p>
    <w:p w14:paraId="471A861F" w14:textId="77777777" w:rsidR="00364674" w:rsidRPr="00364674" w:rsidRDefault="00364674" w:rsidP="00364674">
      <w:pPr>
        <w:spacing w:after="0" w:line="360" w:lineRule="auto"/>
        <w:rPr>
          <w:color w:val="000000"/>
          <w:lang w:eastAsia="es-MX"/>
        </w:rPr>
      </w:pPr>
      <w:r w:rsidRPr="00364674">
        <w:rPr>
          <w:color w:val="000000"/>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F982F0C" w14:textId="77777777" w:rsidR="00364674" w:rsidRPr="00364674" w:rsidRDefault="00364674" w:rsidP="00364674">
      <w:pPr>
        <w:spacing w:after="0" w:line="360" w:lineRule="auto"/>
        <w:rPr>
          <w:color w:val="000000"/>
          <w:lang w:eastAsia="es-MX"/>
        </w:rPr>
      </w:pPr>
    </w:p>
    <w:p w14:paraId="6C51CCC1" w14:textId="77777777" w:rsidR="00364674" w:rsidRPr="00364674" w:rsidRDefault="00364674" w:rsidP="00364674">
      <w:pPr>
        <w:spacing w:after="0" w:line="360" w:lineRule="auto"/>
        <w:rPr>
          <w:color w:val="000000"/>
          <w:lang w:eastAsia="es-MX"/>
        </w:rPr>
      </w:pPr>
      <w:r w:rsidRPr="00364674">
        <w:rPr>
          <w:color w:val="000000"/>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928E973" w14:textId="77777777" w:rsidR="00364674" w:rsidRPr="00364674" w:rsidRDefault="00364674" w:rsidP="00364674">
      <w:pPr>
        <w:spacing w:after="0" w:line="360" w:lineRule="auto"/>
        <w:rPr>
          <w:color w:val="000000"/>
          <w:lang w:eastAsia="es-MX"/>
        </w:rPr>
      </w:pPr>
    </w:p>
    <w:p w14:paraId="51909274" w14:textId="77777777" w:rsidR="00364674" w:rsidRPr="00364674" w:rsidRDefault="00364674" w:rsidP="00364674">
      <w:pPr>
        <w:numPr>
          <w:ilvl w:val="0"/>
          <w:numId w:val="20"/>
        </w:numPr>
        <w:spacing w:after="0" w:line="360" w:lineRule="auto"/>
        <w:jc w:val="left"/>
        <w:rPr>
          <w:b/>
          <w:color w:val="000000"/>
          <w:lang w:eastAsia="es-MX"/>
        </w:rPr>
      </w:pPr>
      <w:r w:rsidRPr="00364674">
        <w:rPr>
          <w:b/>
          <w:color w:val="000000"/>
          <w:lang w:eastAsia="es-MX"/>
        </w:rPr>
        <w:t>Deducciones personales</w:t>
      </w:r>
    </w:p>
    <w:p w14:paraId="324F5664" w14:textId="77777777" w:rsidR="00364674" w:rsidRPr="00364674" w:rsidRDefault="00364674" w:rsidP="00364674">
      <w:pPr>
        <w:spacing w:after="0" w:line="360" w:lineRule="auto"/>
        <w:ind w:left="720"/>
        <w:rPr>
          <w:b/>
          <w:color w:val="000000"/>
          <w:lang w:eastAsia="es-MX"/>
        </w:rPr>
      </w:pPr>
    </w:p>
    <w:p w14:paraId="28B20389" w14:textId="77777777" w:rsidR="00364674" w:rsidRPr="00364674" w:rsidRDefault="00364674" w:rsidP="00364674">
      <w:pPr>
        <w:spacing w:after="0" w:line="360" w:lineRule="auto"/>
        <w:rPr>
          <w:color w:val="000000"/>
          <w:lang w:eastAsia="es-MX"/>
        </w:rPr>
      </w:pPr>
      <w:r w:rsidRPr="00364674">
        <w:rPr>
          <w:color w:val="000000"/>
          <w:lang w:eastAsia="es-MX"/>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03E6401" w14:textId="77777777" w:rsidR="00364674" w:rsidRPr="00364674" w:rsidRDefault="00364674" w:rsidP="00364674">
      <w:pPr>
        <w:spacing w:after="0" w:line="360" w:lineRule="auto"/>
        <w:rPr>
          <w:color w:val="000000"/>
          <w:lang w:eastAsia="es-MX"/>
        </w:rPr>
      </w:pPr>
    </w:p>
    <w:p w14:paraId="048F4DEA" w14:textId="77777777" w:rsidR="00364674" w:rsidRPr="00364674" w:rsidRDefault="00364674" w:rsidP="00364674">
      <w:pPr>
        <w:spacing w:after="0" w:line="360" w:lineRule="auto"/>
        <w:rPr>
          <w:color w:val="000000"/>
          <w:lang w:eastAsia="es-MX"/>
        </w:rPr>
      </w:pPr>
      <w:r w:rsidRPr="00364674">
        <w:rPr>
          <w:color w:val="000000"/>
          <w:lang w:eastAsia="es-MX"/>
        </w:rPr>
        <w:lastRenderedPageBreak/>
        <w:t xml:space="preserve">Asimismo, hay otras que se generan con motivo de una sentencia judicial, como es la pensión alimenticia que periódicamente se retira de la cuenta de un empleado, a efecto de que sea entregado a un tercero.  </w:t>
      </w:r>
    </w:p>
    <w:p w14:paraId="08ACAB6E" w14:textId="77777777" w:rsidR="00364674" w:rsidRPr="00364674" w:rsidRDefault="00364674" w:rsidP="00364674">
      <w:pPr>
        <w:spacing w:after="0" w:line="360" w:lineRule="auto"/>
        <w:rPr>
          <w:color w:val="000000"/>
          <w:lang w:eastAsia="es-MX"/>
        </w:rPr>
      </w:pPr>
    </w:p>
    <w:p w14:paraId="63394EE2" w14:textId="77777777" w:rsidR="00364674" w:rsidRPr="00364674" w:rsidRDefault="00364674" w:rsidP="00364674">
      <w:pPr>
        <w:spacing w:after="0" w:line="360" w:lineRule="auto"/>
        <w:rPr>
          <w:color w:val="000000"/>
          <w:lang w:eastAsia="es-MX"/>
        </w:rPr>
      </w:pPr>
      <w:r w:rsidRPr="00364674">
        <w:rPr>
          <w:color w:val="000000"/>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8942F96" w14:textId="77777777" w:rsidR="00364674" w:rsidRPr="00364674" w:rsidRDefault="00364674" w:rsidP="00364674">
      <w:pPr>
        <w:spacing w:after="0" w:line="360" w:lineRule="auto"/>
        <w:rPr>
          <w:color w:val="000000"/>
          <w:lang w:eastAsia="es-MX"/>
        </w:rPr>
      </w:pPr>
    </w:p>
    <w:p w14:paraId="57F24E27" w14:textId="77777777" w:rsidR="00364674" w:rsidRPr="00364674" w:rsidRDefault="00364674" w:rsidP="00364674">
      <w:pPr>
        <w:spacing w:after="0" w:line="360" w:lineRule="auto"/>
        <w:rPr>
          <w:b/>
          <w:bCs/>
          <w:color w:val="000000"/>
          <w:lang w:eastAsia="es-MX"/>
        </w:rPr>
      </w:pPr>
      <w:r w:rsidRPr="00364674">
        <w:rPr>
          <w:color w:val="000000"/>
          <w:lang w:eastAsia="es-MX"/>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r w:rsidRPr="00364674">
        <w:rPr>
          <w:b/>
          <w:bCs/>
          <w:color w:val="000000"/>
          <w:lang w:eastAsia="es-MX"/>
        </w:rPr>
        <w:t>Cabe precisar que el Sujeto Obligado dejó visible la cuota sindical.</w:t>
      </w:r>
    </w:p>
    <w:p w14:paraId="05AD2502" w14:textId="77777777" w:rsidR="00364674" w:rsidRPr="00364674" w:rsidRDefault="00364674" w:rsidP="00364674">
      <w:pPr>
        <w:spacing w:after="0" w:line="360" w:lineRule="auto"/>
        <w:rPr>
          <w:color w:val="000000"/>
          <w:lang w:eastAsia="es-MX"/>
        </w:rPr>
      </w:pPr>
    </w:p>
    <w:p w14:paraId="64893371" w14:textId="77777777" w:rsidR="00125BBD" w:rsidRPr="00125BBD" w:rsidRDefault="00125BBD" w:rsidP="00125BBD">
      <w:pPr>
        <w:numPr>
          <w:ilvl w:val="0"/>
          <w:numId w:val="29"/>
        </w:numPr>
        <w:spacing w:after="0" w:line="360" w:lineRule="auto"/>
        <w:contextualSpacing/>
        <w:jc w:val="left"/>
        <w:rPr>
          <w:rFonts w:eastAsia="Times New Roman" w:cs="Adelle Sans Devanagari"/>
          <w:b/>
          <w:color w:val="000000"/>
          <w:lang w:eastAsia="es-ES"/>
        </w:rPr>
      </w:pPr>
      <w:r w:rsidRPr="00125BBD">
        <w:rPr>
          <w:rFonts w:eastAsia="Times New Roman" w:cs="Adelle Sans Devanagari"/>
          <w:b/>
          <w:color w:val="000000"/>
          <w:lang w:eastAsia="es-ES"/>
        </w:rPr>
        <w:t>Folio Fiscal</w:t>
      </w:r>
    </w:p>
    <w:p w14:paraId="7E876025" w14:textId="77777777" w:rsidR="00125BBD" w:rsidRPr="00125BBD" w:rsidRDefault="00125BBD" w:rsidP="00125BBD">
      <w:pPr>
        <w:spacing w:after="0" w:line="360" w:lineRule="auto"/>
        <w:ind w:left="360"/>
        <w:rPr>
          <w:rFonts w:eastAsia="Times New Roman" w:cs="Adelle Sans Devanagari"/>
          <w:b/>
          <w:color w:val="000000"/>
          <w:sz w:val="20"/>
          <w:lang w:eastAsia="es-ES"/>
        </w:rPr>
      </w:pPr>
    </w:p>
    <w:p w14:paraId="2A807370" w14:textId="77777777" w:rsidR="00125BBD" w:rsidRPr="00125BBD" w:rsidRDefault="00125BBD" w:rsidP="00125BBD">
      <w:pPr>
        <w:spacing w:after="0" w:line="360" w:lineRule="auto"/>
        <w:rPr>
          <w:rFonts w:eastAsia="Times New Roman" w:cs="Adelle Sans Devanagari"/>
          <w:bCs/>
          <w:color w:val="000000"/>
          <w:lang w:eastAsia="es-ES"/>
        </w:rPr>
      </w:pPr>
      <w:r w:rsidRPr="00125BBD">
        <w:rPr>
          <w:rFonts w:eastAsia="Times New Roman" w:cs="Adelle Sans Devanagari"/>
          <w:bCs/>
          <w:color w:val="000000"/>
          <w:lang w:eastAsia="es-ES"/>
        </w:rPr>
        <w:t xml:space="preserve">Ahora bien, por lo que hace </w:t>
      </w:r>
      <w:r w:rsidRPr="00125BBD">
        <w:rPr>
          <w:rFonts w:eastAsia="Times New Roman" w:cs="Adelle Sans Devanagari"/>
          <w:b/>
          <w:bCs/>
          <w:color w:val="000000"/>
          <w:lang w:eastAsia="es-ES"/>
        </w:rPr>
        <w:t>Folio Fiscal,</w:t>
      </w:r>
      <w:r w:rsidRPr="00125BBD">
        <w:rPr>
          <w:rFonts w:eastAsia="Times New Roman" w:cs="Adelle Sans Devanagari"/>
          <w:bCs/>
          <w:color w:val="000000"/>
          <w:lang w:eastAsia="es-ES"/>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CD95D3E" w14:textId="77777777" w:rsidR="00125BBD" w:rsidRPr="00125BBD" w:rsidRDefault="00125BBD" w:rsidP="00125BBD">
      <w:pPr>
        <w:spacing w:after="0" w:line="360" w:lineRule="auto"/>
        <w:rPr>
          <w:rFonts w:eastAsia="Times New Roman" w:cs="Adelle Sans Devanagari"/>
          <w:bCs/>
          <w:color w:val="000000"/>
          <w:lang w:eastAsia="es-ES"/>
        </w:rPr>
      </w:pPr>
      <w:r w:rsidRPr="00125BBD">
        <w:rPr>
          <w:rFonts w:eastAsia="Times New Roman" w:cs="Adelle Sans Devanagari"/>
          <w:bCs/>
          <w:color w:val="000000"/>
          <w:lang w:eastAsia="es-ES"/>
        </w:rPr>
        <w:t xml:space="preserve"> </w:t>
      </w:r>
    </w:p>
    <w:p w14:paraId="59DAC6EC" w14:textId="77777777" w:rsidR="00125BBD" w:rsidRPr="00125BBD" w:rsidRDefault="00125BBD" w:rsidP="00125BBD">
      <w:pPr>
        <w:spacing w:after="0" w:line="360" w:lineRule="auto"/>
        <w:jc w:val="center"/>
        <w:rPr>
          <w:rFonts w:eastAsia="Times New Roman" w:cs="Adelle Sans Devanagari"/>
          <w:bCs/>
          <w:color w:val="000000"/>
          <w:lang w:eastAsia="es-ES"/>
        </w:rPr>
      </w:pPr>
      <w:r w:rsidRPr="00125BBD">
        <w:rPr>
          <w:rFonts w:eastAsia="Times New Roman" w:cs="Adelle Sans Devanagari"/>
          <w:noProof/>
          <w:color w:val="000000"/>
          <w:lang w:eastAsia="es-MX"/>
        </w:rPr>
        <w:lastRenderedPageBreak/>
        <w:drawing>
          <wp:inline distT="0" distB="0" distL="0" distR="0" wp14:anchorId="049ECE67" wp14:editId="5B60EE67">
            <wp:extent cx="4438650" cy="1028700"/>
            <wp:effectExtent l="0" t="0" r="0" b="0"/>
            <wp:docPr id="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ext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390E3CCD" w14:textId="77777777" w:rsidR="00125BBD" w:rsidRPr="00125BBD" w:rsidRDefault="00125BBD" w:rsidP="00125BBD">
      <w:pPr>
        <w:spacing w:after="0" w:line="360" w:lineRule="auto"/>
        <w:rPr>
          <w:rFonts w:eastAsia="Times New Roman" w:cs="Adelle Sans Devanagari"/>
          <w:bCs/>
          <w:color w:val="000000"/>
          <w:lang w:eastAsia="es-ES"/>
        </w:rPr>
      </w:pPr>
    </w:p>
    <w:p w14:paraId="723F61FB" w14:textId="77777777" w:rsidR="00125BBD" w:rsidRPr="00125BBD" w:rsidRDefault="00125BBD" w:rsidP="00125BBD">
      <w:pPr>
        <w:spacing w:after="0" w:line="360" w:lineRule="auto"/>
        <w:rPr>
          <w:rFonts w:eastAsia="Times New Roman" w:cs="Adelle Sans Devanagari"/>
          <w:bCs/>
          <w:color w:val="000000"/>
          <w:lang w:eastAsia="es-ES"/>
        </w:rPr>
      </w:pPr>
      <w:r w:rsidRPr="00125BBD">
        <w:rPr>
          <w:rFonts w:eastAsia="Times New Roman" w:cs="Adelle Sans Devanagari"/>
          <w:bCs/>
          <w:color w:val="000000"/>
          <w:lang w:eastAsia="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10A8E26" w14:textId="77777777" w:rsidR="00125BBD" w:rsidRDefault="00125BBD" w:rsidP="00364674">
      <w:pPr>
        <w:spacing w:after="0" w:line="360" w:lineRule="auto"/>
        <w:ind w:right="-28"/>
        <w:rPr>
          <w:rFonts w:eastAsia="Times New Roman" w:cs="Tahoma"/>
          <w:b/>
          <w:bCs/>
          <w:color w:val="000000" w:themeColor="text1"/>
          <w:szCs w:val="24"/>
          <w:lang w:eastAsia="es-ES"/>
        </w:rPr>
      </w:pPr>
    </w:p>
    <w:p w14:paraId="6FB0C213" w14:textId="77777777" w:rsidR="00125BBD" w:rsidRPr="00125BBD" w:rsidRDefault="00125BBD" w:rsidP="00125BBD">
      <w:pPr>
        <w:numPr>
          <w:ilvl w:val="0"/>
          <w:numId w:val="29"/>
        </w:numPr>
        <w:spacing w:after="0" w:line="360" w:lineRule="auto"/>
        <w:ind w:right="-93"/>
        <w:contextualSpacing/>
        <w:jc w:val="left"/>
        <w:rPr>
          <w:rFonts w:eastAsia="Times New Roman" w:cs="Tahoma"/>
          <w:b/>
          <w:lang w:eastAsia="es-ES"/>
        </w:rPr>
      </w:pPr>
      <w:r w:rsidRPr="00125BBD">
        <w:rPr>
          <w:rFonts w:eastAsia="Times New Roman" w:cs="Tahoma"/>
          <w:b/>
          <w:bCs/>
          <w:iCs/>
          <w:lang w:eastAsia="es-ES"/>
        </w:rPr>
        <w:t>Número de cuenta o CLABE interbancaria</w:t>
      </w:r>
    </w:p>
    <w:p w14:paraId="6B12568D" w14:textId="77777777" w:rsidR="00125BBD" w:rsidRPr="00125BBD" w:rsidRDefault="00125BBD" w:rsidP="00125BBD">
      <w:pPr>
        <w:spacing w:after="0" w:line="360" w:lineRule="auto"/>
        <w:ind w:right="-93"/>
        <w:rPr>
          <w:rFonts w:eastAsia="Times New Roman" w:cs="Tahoma"/>
          <w:lang w:eastAsia="es-ES"/>
        </w:rPr>
      </w:pPr>
    </w:p>
    <w:p w14:paraId="398F3E9B" w14:textId="77777777" w:rsidR="00125BBD" w:rsidRPr="00125BBD" w:rsidRDefault="00125BBD" w:rsidP="00125BBD">
      <w:pPr>
        <w:spacing w:after="0" w:line="360" w:lineRule="auto"/>
        <w:rPr>
          <w:color w:val="000000"/>
          <w:lang w:eastAsia="es-MX"/>
        </w:rPr>
      </w:pPr>
      <w:r w:rsidRPr="00125BBD">
        <w:rPr>
          <w:color w:val="000000"/>
          <w:lang w:eastAsia="es-MX"/>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4761A2FD" w14:textId="77777777" w:rsidR="00125BBD" w:rsidRPr="00125BBD" w:rsidRDefault="00125BBD" w:rsidP="00125BBD">
      <w:pPr>
        <w:spacing w:after="0" w:line="360" w:lineRule="auto"/>
        <w:rPr>
          <w:color w:val="000000"/>
          <w:lang w:eastAsia="es-MX"/>
        </w:rPr>
      </w:pPr>
      <w:r w:rsidRPr="00125BBD">
        <w:rPr>
          <w:color w:val="000000"/>
          <w:lang w:eastAsia="es-MX"/>
        </w:rPr>
        <w:t> </w:t>
      </w:r>
    </w:p>
    <w:p w14:paraId="07B6A638" w14:textId="77777777" w:rsidR="00125BBD" w:rsidRPr="00125BBD" w:rsidRDefault="00125BBD" w:rsidP="00125BBD">
      <w:pPr>
        <w:spacing w:after="0" w:line="360" w:lineRule="auto"/>
        <w:rPr>
          <w:color w:val="000000"/>
          <w:lang w:eastAsia="es-MX"/>
        </w:rPr>
      </w:pPr>
      <w:r w:rsidRPr="00125BBD">
        <w:rPr>
          <w:color w:val="000000"/>
          <w:lang w:eastAsia="es-MX"/>
        </w:rPr>
        <w:t xml:space="preserve">A mayor abundamiento, resulta necesario traer a colación el Criterio Orientador SO/010/2017, emitido por el entonces Instituto Nacional de Transparencia, Acceso a la </w:t>
      </w:r>
      <w:r w:rsidRPr="00125BBD">
        <w:rPr>
          <w:color w:val="000000"/>
          <w:lang w:eastAsia="es-MX"/>
        </w:rPr>
        <w:lastRenderedPageBreak/>
        <w:t>Información y Protección de Datos Personales, vigente a la fecha de la solicitud, mismo que establece lo siguiente:</w:t>
      </w:r>
    </w:p>
    <w:p w14:paraId="051371D0" w14:textId="77777777" w:rsidR="00125BBD" w:rsidRPr="00125BBD" w:rsidRDefault="00125BBD" w:rsidP="00125BBD">
      <w:pPr>
        <w:spacing w:after="0" w:line="360" w:lineRule="auto"/>
        <w:rPr>
          <w:color w:val="000000"/>
          <w:lang w:eastAsia="es-MX"/>
        </w:rPr>
      </w:pPr>
    </w:p>
    <w:p w14:paraId="5601E645" w14:textId="77777777" w:rsidR="00125BBD" w:rsidRPr="00125BBD" w:rsidRDefault="00125BBD" w:rsidP="00125BBD">
      <w:pPr>
        <w:spacing w:after="0" w:line="360" w:lineRule="auto"/>
        <w:ind w:left="567" w:right="567"/>
        <w:rPr>
          <w:i/>
          <w:color w:val="000000"/>
          <w:sz w:val="20"/>
          <w:szCs w:val="20"/>
          <w:lang w:eastAsia="es-MX"/>
        </w:rPr>
      </w:pPr>
      <w:r w:rsidRPr="00125BBD">
        <w:rPr>
          <w:i/>
          <w:color w:val="000000"/>
          <w:sz w:val="20"/>
          <w:szCs w:val="20"/>
          <w:lang w:eastAsia="es-MX"/>
        </w:rPr>
        <w:t>“</w:t>
      </w:r>
      <w:r w:rsidRPr="00125BBD">
        <w:rPr>
          <w:b/>
          <w:i/>
          <w:color w:val="000000"/>
          <w:sz w:val="20"/>
          <w:szCs w:val="20"/>
          <w:lang w:eastAsia="es-MX"/>
        </w:rPr>
        <w:t>Cuentas bancarias y/o CLABE interbancaria de personas físicas y morales privadas.</w:t>
      </w:r>
      <w:r w:rsidRPr="00125BBD">
        <w:rPr>
          <w:i/>
          <w:color w:val="000000"/>
          <w:sz w:val="20"/>
          <w:szCs w:val="2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1EBB744" w14:textId="77777777" w:rsidR="00125BBD" w:rsidRPr="00125BBD" w:rsidRDefault="00125BBD" w:rsidP="00125BBD">
      <w:pPr>
        <w:spacing w:after="0" w:line="360" w:lineRule="auto"/>
        <w:rPr>
          <w:color w:val="000000"/>
          <w:lang w:eastAsia="es-MX"/>
        </w:rPr>
      </w:pPr>
    </w:p>
    <w:p w14:paraId="6AE26924" w14:textId="77777777" w:rsidR="00125BBD" w:rsidRPr="00125BBD" w:rsidRDefault="00125BBD" w:rsidP="00125BBD">
      <w:pPr>
        <w:spacing w:after="0" w:line="360" w:lineRule="auto"/>
        <w:rPr>
          <w:color w:val="000000"/>
          <w:lang w:eastAsia="es-MX"/>
        </w:rPr>
      </w:pPr>
      <w:r w:rsidRPr="00125BBD">
        <w:rPr>
          <w:color w:val="000000"/>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AE88830" w14:textId="77777777" w:rsidR="00125BBD" w:rsidRPr="00125BBD" w:rsidRDefault="00125BBD" w:rsidP="00125BBD">
      <w:pPr>
        <w:spacing w:after="0" w:line="360" w:lineRule="auto"/>
        <w:rPr>
          <w:rFonts w:eastAsia="Times New Roman" w:cs="Adelle Sans Devanagari"/>
          <w:bCs/>
          <w:color w:val="000000"/>
          <w:lang w:eastAsia="es-ES"/>
        </w:rPr>
      </w:pPr>
    </w:p>
    <w:p w14:paraId="15BD4187" w14:textId="77777777" w:rsidR="00125BBD" w:rsidRPr="00125BBD" w:rsidRDefault="00125BBD" w:rsidP="00125BBD">
      <w:pPr>
        <w:tabs>
          <w:tab w:val="left" w:pos="4962"/>
        </w:tabs>
        <w:spacing w:after="0" w:line="360" w:lineRule="auto"/>
        <w:rPr>
          <w:rFonts w:eastAsia="Calibri" w:cs="Adelle Sans Devanagari"/>
          <w:bCs/>
          <w:iCs/>
          <w:color w:val="000000"/>
          <w:lang w:val="es-ES"/>
        </w:rPr>
      </w:pPr>
      <w:r w:rsidRPr="00125BBD">
        <w:rPr>
          <w:rFonts w:eastAsia="Times New Roman" w:cs="Adelle Sans Devanagari"/>
          <w:bCs/>
          <w:color w:val="000000"/>
          <w:lang w:eastAsia="es-ES"/>
        </w:rPr>
        <w:t>Así, este Instituto considera que el Sujeto Obligado deberá proporcionar los documentos solicitados en versión pública; sobre dicha circunstancia, el a</w:t>
      </w:r>
      <w:proofErr w:type="spellStart"/>
      <w:r w:rsidRPr="00125BBD">
        <w:rPr>
          <w:rFonts w:eastAsia="Calibri" w:cs="Adelle Sans Devanagari"/>
          <w:bCs/>
          <w:iCs/>
          <w:color w:val="000000"/>
          <w:lang w:val="es-ES"/>
        </w:rPr>
        <w:t>rtículo</w:t>
      </w:r>
      <w:proofErr w:type="spellEnd"/>
      <w:r w:rsidRPr="00125BBD">
        <w:rPr>
          <w:rFonts w:eastAsia="Calibri" w:cs="Adelle Sans Devanagari"/>
          <w:bCs/>
          <w:iCs/>
          <w:color w:val="000000"/>
          <w:lang w:val="es-E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FEB6562" w14:textId="77777777" w:rsidR="00125BBD" w:rsidRPr="00125BBD" w:rsidRDefault="00125BBD" w:rsidP="00364674">
      <w:pPr>
        <w:spacing w:after="0" w:line="360" w:lineRule="auto"/>
        <w:ind w:right="-28"/>
        <w:rPr>
          <w:rFonts w:eastAsia="Times New Roman" w:cs="Tahoma"/>
          <w:b/>
          <w:bCs/>
          <w:color w:val="000000" w:themeColor="text1"/>
          <w:szCs w:val="24"/>
          <w:lang w:val="es-ES" w:eastAsia="es-ES"/>
        </w:rPr>
      </w:pPr>
    </w:p>
    <w:p w14:paraId="58176E1D" w14:textId="77777777" w:rsidR="00125BBD" w:rsidRPr="00125BBD" w:rsidRDefault="00125BBD" w:rsidP="00125BBD">
      <w:pPr>
        <w:numPr>
          <w:ilvl w:val="0"/>
          <w:numId w:val="30"/>
        </w:numPr>
        <w:spacing w:after="0" w:line="360" w:lineRule="auto"/>
        <w:jc w:val="left"/>
        <w:rPr>
          <w:b/>
          <w:color w:val="000000"/>
          <w:lang w:eastAsia="es-MX"/>
        </w:rPr>
      </w:pPr>
      <w:r w:rsidRPr="00125BBD">
        <w:rPr>
          <w:b/>
          <w:color w:val="000000"/>
          <w:lang w:eastAsia="es-MX"/>
        </w:rPr>
        <w:t>Código Postal del Trabajador</w:t>
      </w:r>
    </w:p>
    <w:p w14:paraId="15E83F01" w14:textId="77777777" w:rsidR="00125BBD" w:rsidRPr="00125BBD" w:rsidRDefault="00125BBD" w:rsidP="00125BBD">
      <w:pPr>
        <w:spacing w:after="0" w:line="360" w:lineRule="auto"/>
        <w:jc w:val="left"/>
        <w:rPr>
          <w:b/>
          <w:color w:val="000000"/>
          <w:lang w:eastAsia="es-MX"/>
        </w:rPr>
      </w:pPr>
    </w:p>
    <w:p w14:paraId="09C5D57E" w14:textId="77777777" w:rsidR="00125BBD" w:rsidRPr="00125BBD" w:rsidRDefault="00125BBD" w:rsidP="00125BBD">
      <w:pPr>
        <w:spacing w:after="0" w:line="360" w:lineRule="auto"/>
        <w:ind w:right="-93"/>
        <w:rPr>
          <w:color w:val="000000"/>
          <w:lang w:eastAsia="es-MX"/>
        </w:rPr>
      </w:pPr>
      <w:r w:rsidRPr="00125BBD">
        <w:rPr>
          <w:color w:val="000000"/>
          <w:lang w:eastAsia="es-MX"/>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59C0B3C" w14:textId="77777777" w:rsidR="00125BBD" w:rsidRPr="00125BBD" w:rsidRDefault="00125BBD" w:rsidP="00125BBD">
      <w:pPr>
        <w:spacing w:after="0" w:line="360" w:lineRule="auto"/>
        <w:ind w:right="-93"/>
        <w:rPr>
          <w:color w:val="000000"/>
          <w:lang w:eastAsia="es-MX"/>
        </w:rPr>
      </w:pPr>
    </w:p>
    <w:p w14:paraId="4E67A2B6" w14:textId="77777777" w:rsidR="00125BBD" w:rsidRPr="00125BBD" w:rsidRDefault="00125BBD" w:rsidP="00125BBD">
      <w:pPr>
        <w:spacing w:after="0" w:line="360" w:lineRule="auto"/>
        <w:ind w:right="-93"/>
        <w:rPr>
          <w:color w:val="000000"/>
          <w:lang w:eastAsia="es-MX"/>
        </w:rPr>
      </w:pPr>
      <w:r w:rsidRPr="00125BBD">
        <w:rPr>
          <w:color w:val="000000"/>
          <w:lang w:eastAsia="es-MX"/>
        </w:rPr>
        <w:t>De la misma manera, lo establece el artículo 29 del Código Civil Federal, al precisar que el domicilio de personas físicas</w:t>
      </w:r>
      <w:r w:rsidRPr="00125BBD">
        <w:rPr>
          <w:b/>
          <w:color w:val="000000"/>
          <w:lang w:eastAsia="es-MX"/>
        </w:rPr>
        <w:t xml:space="preserve">, </w:t>
      </w:r>
      <w:r w:rsidRPr="00125BBD">
        <w:rPr>
          <w:color w:val="000000"/>
          <w:lang w:eastAsia="es-MX"/>
        </w:rPr>
        <w:t>es el lugar donde residen habitualmente, el lugar del centro principal de sus negocios, donde residan o el lugar donde se encuentren.</w:t>
      </w:r>
    </w:p>
    <w:p w14:paraId="78D9F682" w14:textId="77777777" w:rsidR="00125BBD" w:rsidRPr="00125BBD" w:rsidRDefault="00125BBD" w:rsidP="00125BBD">
      <w:pPr>
        <w:spacing w:after="0" w:line="360" w:lineRule="auto"/>
        <w:ind w:right="-93"/>
        <w:rPr>
          <w:b/>
          <w:color w:val="000000"/>
          <w:lang w:eastAsia="es-MX"/>
        </w:rPr>
      </w:pPr>
    </w:p>
    <w:p w14:paraId="5CD2C3A0" w14:textId="77777777" w:rsidR="00125BBD" w:rsidRPr="00125BBD" w:rsidRDefault="00125BBD" w:rsidP="00125BBD">
      <w:pPr>
        <w:spacing w:after="0" w:line="360" w:lineRule="auto"/>
        <w:ind w:right="-93"/>
        <w:rPr>
          <w:color w:val="000000"/>
          <w:lang w:eastAsia="es-MX"/>
        </w:rPr>
      </w:pPr>
      <w:r w:rsidRPr="00125BBD">
        <w:rPr>
          <w:color w:val="000000"/>
          <w:lang w:eastAsia="es-MX"/>
        </w:rPr>
        <w:t xml:space="preserve">En ese contexto, el Código Postal es un código por lo general numérico asignado a diferentes zonas, el cual tiene como objetivo ayudar a ubicar un domicilio que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1CA7A845" w14:textId="77777777" w:rsidR="00125BBD" w:rsidRPr="00125BBD" w:rsidRDefault="00125BBD" w:rsidP="00125BBD">
      <w:pPr>
        <w:spacing w:after="0" w:line="360" w:lineRule="auto"/>
        <w:ind w:right="-93"/>
        <w:rPr>
          <w:color w:val="000000"/>
          <w:lang w:eastAsia="es-MX"/>
        </w:rPr>
      </w:pPr>
    </w:p>
    <w:p w14:paraId="66EF1C0E" w14:textId="4B1D6F43" w:rsidR="00125BBD" w:rsidRDefault="00125BBD" w:rsidP="00125BBD">
      <w:pPr>
        <w:spacing w:after="0" w:line="360" w:lineRule="auto"/>
        <w:ind w:right="-93"/>
        <w:rPr>
          <w:color w:val="000000"/>
          <w:lang w:eastAsia="es-MX"/>
        </w:rPr>
      </w:pPr>
      <w:r w:rsidRPr="00125BBD">
        <w:rPr>
          <w:color w:val="000000"/>
          <w:lang w:eastAsia="es-MX"/>
        </w:rPr>
        <w:t>En ese sentido, el Código Postal guarda la naturaleza de privado, pues no abona en nada a la transparencia, ni rinde cuentas de la forma de actuar del trabajador, al contrario, la hace ubicable en su carácter de particular.</w:t>
      </w:r>
    </w:p>
    <w:p w14:paraId="68008034" w14:textId="77777777" w:rsidR="00125BBD" w:rsidRPr="00125BBD" w:rsidRDefault="00125BBD" w:rsidP="00125BBD">
      <w:pPr>
        <w:spacing w:after="0" w:line="360" w:lineRule="auto"/>
        <w:ind w:right="-93"/>
        <w:rPr>
          <w:color w:val="000000"/>
          <w:lang w:eastAsia="es-MX"/>
        </w:rPr>
      </w:pPr>
    </w:p>
    <w:p w14:paraId="7E143FBD" w14:textId="77777777" w:rsidR="00125BBD" w:rsidRPr="00125BBD" w:rsidRDefault="00125BBD" w:rsidP="00125BBD">
      <w:pPr>
        <w:spacing w:after="0" w:line="360" w:lineRule="auto"/>
        <w:ind w:right="-93"/>
        <w:rPr>
          <w:color w:val="000000"/>
          <w:lang w:eastAsia="es-MX"/>
        </w:rPr>
      </w:pPr>
      <w:r w:rsidRPr="00125BBD">
        <w:rPr>
          <w:color w:val="000000"/>
          <w:lang w:eastAsia="es-MX"/>
        </w:rPr>
        <w:t>Por lo tanto, se actualiza la clasificación del Código Postal, de conformidad con la fracción I, del artículo 143 de la Ley de Transparencia y Acceso a la Información Pública del Estado de México y Municipios.</w:t>
      </w:r>
    </w:p>
    <w:p w14:paraId="3B3B94EF" w14:textId="77777777" w:rsidR="00125BBD" w:rsidRDefault="00125BBD" w:rsidP="00364674">
      <w:pPr>
        <w:spacing w:after="0" w:line="360" w:lineRule="auto"/>
        <w:ind w:right="-28"/>
        <w:rPr>
          <w:rFonts w:eastAsia="Times New Roman" w:cs="Tahoma"/>
          <w:b/>
          <w:bCs/>
          <w:color w:val="000000" w:themeColor="text1"/>
          <w:szCs w:val="24"/>
          <w:lang w:eastAsia="es-ES"/>
        </w:rPr>
      </w:pPr>
    </w:p>
    <w:p w14:paraId="1E81A7CA" w14:textId="77777777" w:rsidR="008D3356" w:rsidRPr="008D3356" w:rsidRDefault="008D3356" w:rsidP="008D3356">
      <w:pPr>
        <w:numPr>
          <w:ilvl w:val="0"/>
          <w:numId w:val="31"/>
        </w:numPr>
        <w:tabs>
          <w:tab w:val="left" w:pos="3962"/>
        </w:tabs>
        <w:spacing w:after="0" w:line="360" w:lineRule="auto"/>
        <w:contextualSpacing/>
        <w:rPr>
          <w:rFonts w:eastAsia="Calibri" w:cs="Tahoma"/>
          <w:b/>
          <w:color w:val="000000"/>
        </w:rPr>
      </w:pPr>
      <w:r w:rsidRPr="008D3356">
        <w:rPr>
          <w:rFonts w:eastAsia="Calibri" w:cs="Tahoma"/>
          <w:b/>
          <w:color w:val="000000"/>
        </w:rPr>
        <w:lastRenderedPageBreak/>
        <w:t>Firma de servidores públicos</w:t>
      </w:r>
    </w:p>
    <w:p w14:paraId="6F0EA727" w14:textId="77777777" w:rsidR="008D3356" w:rsidRPr="008D3356" w:rsidRDefault="008D3356" w:rsidP="008D3356">
      <w:pPr>
        <w:tabs>
          <w:tab w:val="left" w:pos="3962"/>
        </w:tabs>
        <w:spacing w:after="0" w:line="360" w:lineRule="auto"/>
        <w:rPr>
          <w:rFonts w:eastAsia="Calibri" w:cs="Tahoma"/>
          <w:bCs/>
          <w:color w:val="000000"/>
        </w:rPr>
      </w:pPr>
    </w:p>
    <w:p w14:paraId="202F7AE8" w14:textId="77777777" w:rsidR="008D3356" w:rsidRPr="008D3356" w:rsidRDefault="008D3356" w:rsidP="008D3356">
      <w:pPr>
        <w:tabs>
          <w:tab w:val="left" w:pos="3962"/>
        </w:tabs>
        <w:spacing w:after="0" w:line="360" w:lineRule="auto"/>
        <w:rPr>
          <w:rFonts w:eastAsia="Calibri" w:cs="Tahoma"/>
          <w:bCs/>
          <w:color w:val="000000"/>
        </w:rPr>
      </w:pPr>
      <w:r w:rsidRPr="008D3356">
        <w:rPr>
          <w:rFonts w:eastAsia="Calibri" w:cs="Tahoma"/>
          <w:bCs/>
          <w:color w:val="000000"/>
        </w:rPr>
        <w:t>Al respecto, cabe precisar que, en el presente caso, se trata de la firma en un documento público, es decir, en su calidad de servidores públicos; por lo que, si bien la firma es un dato personal confidencial, lo cierto es que, en el presente caso, la firma en los recibos de nómina es para acreditar que reciben su salario, por lo que, es de naturaleza pública.</w:t>
      </w:r>
    </w:p>
    <w:p w14:paraId="588AD3F2" w14:textId="77777777" w:rsidR="008D3356" w:rsidRPr="008D3356" w:rsidRDefault="008D3356" w:rsidP="008D3356">
      <w:pPr>
        <w:tabs>
          <w:tab w:val="left" w:pos="3962"/>
        </w:tabs>
        <w:spacing w:after="0" w:line="360" w:lineRule="auto"/>
        <w:rPr>
          <w:rFonts w:eastAsia="Calibri" w:cs="Tahoma"/>
          <w:bCs/>
          <w:color w:val="000000"/>
        </w:rPr>
      </w:pPr>
    </w:p>
    <w:p w14:paraId="60F1D78F" w14:textId="77777777" w:rsidR="008D3356" w:rsidRPr="008D3356" w:rsidRDefault="008D3356" w:rsidP="008D3356">
      <w:pPr>
        <w:tabs>
          <w:tab w:val="left" w:pos="3962"/>
        </w:tabs>
        <w:spacing w:after="0" w:line="360" w:lineRule="auto"/>
        <w:rPr>
          <w:rFonts w:eastAsia="Calibri" w:cs="Tahoma"/>
          <w:bCs/>
          <w:color w:val="000000"/>
        </w:rPr>
      </w:pPr>
      <w:r w:rsidRPr="008D3356">
        <w:rPr>
          <w:rFonts w:eastAsia="Calibri" w:cs="Tahoma"/>
          <w:bCs/>
          <w:color w:val="000000"/>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38E77153" w14:textId="77777777" w:rsidR="008D3356" w:rsidRPr="008D3356" w:rsidRDefault="008D3356" w:rsidP="008D3356">
      <w:pPr>
        <w:tabs>
          <w:tab w:val="left" w:pos="3962"/>
        </w:tabs>
        <w:spacing w:after="0" w:line="360" w:lineRule="auto"/>
        <w:rPr>
          <w:rFonts w:eastAsia="Calibri" w:cs="Tahoma"/>
          <w:bCs/>
          <w:color w:val="000000"/>
        </w:rPr>
      </w:pPr>
    </w:p>
    <w:p w14:paraId="21F357F8" w14:textId="77777777" w:rsidR="008D3356" w:rsidRPr="008D3356" w:rsidRDefault="008D3356" w:rsidP="008D3356">
      <w:pPr>
        <w:shd w:val="clear" w:color="auto" w:fill="FFFFFF"/>
        <w:spacing w:after="0" w:line="360" w:lineRule="auto"/>
        <w:rPr>
          <w:rFonts w:eastAsia="Times New Roman" w:cs="Times New Roman"/>
          <w:color w:val="000000"/>
        </w:rPr>
      </w:pPr>
      <w:r w:rsidRPr="008D3356">
        <w:rPr>
          <w:rFonts w:eastAsia="Times New Roman" w:cs="Times New Roman"/>
          <w:color w:val="000000"/>
          <w:bdr w:val="none" w:sz="0" w:space="0" w:color="auto" w:frame="1"/>
        </w:rPr>
        <w:t>La publicidad de dichos datos, se robustece, con el </w:t>
      </w:r>
      <w:r w:rsidRPr="008D3356">
        <w:rPr>
          <w:rFonts w:eastAsia="Times New Roman" w:cs="Times New Roman"/>
          <w:color w:val="000000"/>
          <w:bdr w:val="none" w:sz="0" w:space="0" w:color="auto" w:frame="1"/>
          <w:lang w:val="es-ES"/>
        </w:rPr>
        <w:t>Criterio de Interpretación, de la Segunda Época, con clave de control </w:t>
      </w:r>
      <w:r w:rsidRPr="008D3356">
        <w:rPr>
          <w:rFonts w:eastAsia="Times New Roman" w:cs="Times New Roman"/>
          <w:color w:val="000000"/>
        </w:rPr>
        <w:t>SO/002/2019</w:t>
      </w:r>
      <w:r w:rsidRPr="008D3356">
        <w:rPr>
          <w:rFonts w:eastAsia="Times New Roman" w:cs="Times New Roman"/>
          <w:color w:val="000000"/>
          <w:bdr w:val="none" w:sz="0" w:space="0" w:color="auto" w:frame="1"/>
        </w:rPr>
        <w:t>, emitido por el Instituto Nacional de Transparencia, Acceso a la Información y Protección de Datos Personales, que establece lo siguiente:</w:t>
      </w:r>
    </w:p>
    <w:p w14:paraId="0F827E44" w14:textId="77777777" w:rsidR="008D3356" w:rsidRPr="008D3356" w:rsidRDefault="008D3356" w:rsidP="008D3356">
      <w:pPr>
        <w:tabs>
          <w:tab w:val="left" w:pos="3962"/>
        </w:tabs>
        <w:spacing w:after="0" w:line="360" w:lineRule="auto"/>
        <w:rPr>
          <w:rFonts w:eastAsia="Calibri" w:cs="Tahoma"/>
          <w:bCs/>
          <w:color w:val="000000"/>
        </w:rPr>
      </w:pPr>
    </w:p>
    <w:p w14:paraId="1C32C0E2" w14:textId="77777777" w:rsidR="008D3356" w:rsidRPr="008D3356" w:rsidRDefault="008D3356" w:rsidP="008D3356">
      <w:pPr>
        <w:tabs>
          <w:tab w:val="left" w:pos="3962"/>
        </w:tabs>
        <w:spacing w:after="0" w:line="360" w:lineRule="auto"/>
        <w:ind w:left="708"/>
        <w:rPr>
          <w:rFonts w:eastAsia="Calibri" w:cs="Tahoma"/>
          <w:bCs/>
          <w:i/>
          <w:iCs/>
          <w:color w:val="000000"/>
          <w:sz w:val="20"/>
          <w:szCs w:val="20"/>
        </w:rPr>
      </w:pPr>
      <w:r w:rsidRPr="008D3356">
        <w:rPr>
          <w:rFonts w:eastAsia="Calibri" w:cs="Tahoma"/>
          <w:b/>
          <w:i/>
          <w:iCs/>
          <w:color w:val="000000"/>
          <w:sz w:val="20"/>
          <w:szCs w:val="20"/>
        </w:rPr>
        <w:t>“Firma y rúbrica de servidores públicos.</w:t>
      </w:r>
      <w:r w:rsidRPr="008D3356">
        <w:rPr>
          <w:rFonts w:eastAsia="Calibri" w:cs="Tahoma"/>
          <w:bCs/>
          <w:i/>
          <w:iCs/>
          <w:color w:val="000000"/>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21E7132" w14:textId="77777777" w:rsidR="008D3356" w:rsidRPr="008D3356" w:rsidRDefault="008D3356" w:rsidP="008D3356">
      <w:pPr>
        <w:tabs>
          <w:tab w:val="left" w:pos="3962"/>
        </w:tabs>
        <w:spacing w:after="0" w:line="360" w:lineRule="auto"/>
        <w:rPr>
          <w:rFonts w:eastAsia="Calibri" w:cs="Tahoma"/>
          <w:bCs/>
          <w:color w:val="000000"/>
        </w:rPr>
      </w:pPr>
    </w:p>
    <w:p w14:paraId="44E975DD" w14:textId="77777777" w:rsidR="008D3356" w:rsidRPr="008D3356" w:rsidRDefault="008D3356" w:rsidP="008D3356">
      <w:pPr>
        <w:tabs>
          <w:tab w:val="left" w:pos="3962"/>
        </w:tabs>
        <w:spacing w:after="0" w:line="360" w:lineRule="auto"/>
        <w:rPr>
          <w:rFonts w:eastAsia="Calibri" w:cs="Tahoma"/>
          <w:bCs/>
          <w:color w:val="000000"/>
        </w:rPr>
      </w:pPr>
      <w:r w:rsidRPr="008D3356">
        <w:rPr>
          <w:rFonts w:eastAsia="Calibri" w:cs="Tahoma"/>
          <w:bCs/>
          <w:color w:val="000000"/>
        </w:rPr>
        <w:t>Conforme a lo expuesto, no procede la clasificación, en términos del artículo 143, fracción I de la Ley de Transparencia y Acceso a la Información Pública del Estado de México y Municipios, de la firma de los servidores públicos plasmado en los recibos de nómina, o documentos públicos.</w:t>
      </w:r>
    </w:p>
    <w:p w14:paraId="1C1BC3F6" w14:textId="77777777" w:rsidR="00125BBD" w:rsidRDefault="00125BBD" w:rsidP="00364674">
      <w:pPr>
        <w:spacing w:after="0" w:line="360" w:lineRule="auto"/>
        <w:ind w:right="-28"/>
        <w:rPr>
          <w:rFonts w:eastAsia="Times New Roman" w:cs="Tahoma"/>
          <w:b/>
          <w:bCs/>
          <w:color w:val="000000" w:themeColor="text1"/>
          <w:szCs w:val="24"/>
          <w:lang w:eastAsia="es-ES"/>
        </w:rPr>
      </w:pPr>
    </w:p>
    <w:p w14:paraId="603285E3" w14:textId="77777777" w:rsidR="008D3356" w:rsidRPr="008D3356" w:rsidRDefault="008D3356" w:rsidP="008D3356">
      <w:pPr>
        <w:numPr>
          <w:ilvl w:val="0"/>
          <w:numId w:val="32"/>
        </w:numPr>
        <w:spacing w:after="0" w:line="360" w:lineRule="auto"/>
        <w:jc w:val="left"/>
        <w:rPr>
          <w:b/>
          <w:color w:val="000000"/>
          <w:lang w:eastAsia="es-MX"/>
        </w:rPr>
      </w:pPr>
      <w:r w:rsidRPr="008D3356">
        <w:rPr>
          <w:b/>
          <w:color w:val="000000"/>
          <w:lang w:eastAsia="es-MX"/>
        </w:rPr>
        <w:t>Nombre de institución bancaria utilizada por el servidor público</w:t>
      </w:r>
    </w:p>
    <w:p w14:paraId="0D474B08" w14:textId="77777777" w:rsidR="008D3356" w:rsidRPr="008D3356" w:rsidRDefault="008D3356" w:rsidP="008D3356">
      <w:pPr>
        <w:spacing w:after="0" w:line="360" w:lineRule="auto"/>
        <w:rPr>
          <w:b/>
          <w:color w:val="000000"/>
          <w:lang w:eastAsia="es-MX"/>
        </w:rPr>
      </w:pPr>
    </w:p>
    <w:p w14:paraId="03162529" w14:textId="77777777" w:rsidR="008D3356" w:rsidRPr="008D3356" w:rsidRDefault="008D3356" w:rsidP="008D3356">
      <w:pPr>
        <w:spacing w:after="0" w:line="360" w:lineRule="auto"/>
        <w:rPr>
          <w:color w:val="000000"/>
          <w:lang w:eastAsia="es-MX"/>
        </w:rPr>
      </w:pPr>
      <w:r w:rsidRPr="008D3356">
        <w:rPr>
          <w:color w:val="000000"/>
          <w:lang w:eastAsia="es-MX"/>
        </w:rPr>
        <w:lastRenderedPageBreak/>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039C52AA" w14:textId="77777777" w:rsidR="008D3356" w:rsidRPr="008D3356" w:rsidRDefault="008D3356" w:rsidP="008D3356">
      <w:pPr>
        <w:spacing w:after="0" w:line="360" w:lineRule="auto"/>
        <w:rPr>
          <w:color w:val="000000"/>
          <w:lang w:eastAsia="es-MX"/>
        </w:rPr>
      </w:pPr>
    </w:p>
    <w:p w14:paraId="1F1C0327" w14:textId="77777777" w:rsidR="008D3356" w:rsidRPr="008D3356" w:rsidRDefault="008D3356" w:rsidP="008D3356">
      <w:pPr>
        <w:spacing w:after="0" w:line="360" w:lineRule="auto"/>
        <w:rPr>
          <w:color w:val="000000"/>
          <w:lang w:eastAsia="es-MX"/>
        </w:rPr>
      </w:pPr>
      <w:r w:rsidRPr="008D3356">
        <w:rPr>
          <w:color w:val="000000"/>
          <w:lang w:eastAsia="es-MX"/>
        </w:rPr>
        <w:t xml:space="preserve">En ese orden de ideas, en el portal de la Comisión Nacional para la Protección y Defensa de los Usuarios de Servicios Financieros consultado en </w:t>
      </w:r>
      <w:hyperlink r:id="rId11" w:history="1">
        <w:r w:rsidRPr="008D3356">
          <w:rPr>
            <w:color w:val="0000FF"/>
            <w:u w:val="single"/>
            <w:lang w:eastAsia="es-MX"/>
          </w:rPr>
          <w:t>https://www.condusef.gob.mx/Revista/index.php/usuario-inteligente/condusef-responde/777-la-condusef-te-puede-ayudar</w:t>
        </w:r>
      </w:hyperlink>
      <w:r w:rsidRPr="008D3356">
        <w:rPr>
          <w:color w:val="000000"/>
          <w:lang w:eastAsia="es-MX"/>
        </w:rPr>
        <w:t>), se establece que los bancos son instituciones financieras; conforme a lo anterior, se puede advertir que las instituciones bancarias, son personas morales.</w:t>
      </w:r>
    </w:p>
    <w:p w14:paraId="10B1ACE7" w14:textId="77777777" w:rsidR="008D3356" w:rsidRPr="008D3356" w:rsidRDefault="008D3356" w:rsidP="008D3356">
      <w:pPr>
        <w:spacing w:after="0" w:line="360" w:lineRule="auto"/>
        <w:rPr>
          <w:color w:val="000000"/>
          <w:lang w:eastAsia="es-MX"/>
        </w:rPr>
      </w:pPr>
    </w:p>
    <w:p w14:paraId="0B42D7ED" w14:textId="77777777" w:rsidR="008D3356" w:rsidRPr="008D3356" w:rsidRDefault="008D3356" w:rsidP="008D3356">
      <w:pPr>
        <w:spacing w:after="0" w:line="360" w:lineRule="auto"/>
        <w:rPr>
          <w:color w:val="000000"/>
          <w:lang w:eastAsia="es-MX"/>
        </w:rPr>
      </w:pPr>
      <w:r w:rsidRPr="008D3356">
        <w:rPr>
          <w:color w:val="000000"/>
          <w:lang w:eastAsia="es-MX"/>
        </w:rPr>
        <w:t xml:space="preserve">En ese orden de ideas, se considera que la denominación o razón social de una persona moral, es pública, pues dichos datos se encuentran inscritos en el Registro Público del Comercio; lo anterior, se robustece con el hecho de que existe el Sistema de Registro de Prestadores de Servicios Financieros, consultado en la liga </w:t>
      </w:r>
      <w:hyperlink r:id="rId12" w:history="1">
        <w:r w:rsidRPr="008D3356">
          <w:rPr>
            <w:color w:val="0000FF" w:themeColor="hyperlink"/>
            <w:u w:val="single"/>
            <w:lang w:eastAsia="es-MX"/>
          </w:rPr>
          <w:t>https://webapps.condusef.gob.mx/SIPRES/jsp/pub/index.jsp</w:t>
        </w:r>
      </w:hyperlink>
      <w:r w:rsidRPr="008D3356">
        <w:rPr>
          <w:color w:val="000000"/>
          <w:lang w:eastAsia="es-MX"/>
        </w:rPr>
        <w:t xml:space="preserve"> , que es un registro de </w:t>
      </w:r>
      <w:r w:rsidRPr="008D3356">
        <w:rPr>
          <w:b/>
          <w:color w:val="000000"/>
          <w:lang w:eastAsia="es-MX"/>
        </w:rPr>
        <w:t xml:space="preserve">carácter público, </w:t>
      </w:r>
      <w:r w:rsidRPr="008D3356">
        <w:rPr>
          <w:color w:val="000000"/>
          <w:lang w:eastAsia="es-MX"/>
        </w:rPr>
        <w:t xml:space="preserve">cuyo objetivo principal, consiste en proporcionar información corporativa y general </w:t>
      </w:r>
      <w:r w:rsidRPr="008D3356">
        <w:rPr>
          <w:color w:val="000000"/>
          <w:lang w:eastAsia="es-MX"/>
        </w:rPr>
        <w:lastRenderedPageBreak/>
        <w:t>de las instituciones financieras</w:t>
      </w:r>
      <w:r w:rsidRPr="008D3356">
        <w:rPr>
          <w:b/>
          <w:color w:val="000000"/>
          <w:lang w:eastAsia="es-MX"/>
        </w:rPr>
        <w:t xml:space="preserve">; además, que permite conocer al público general, información de dichos entes, </w:t>
      </w:r>
      <w:r w:rsidRPr="008D3356">
        <w:rPr>
          <w:color w:val="000000"/>
          <w:lang w:eastAsia="es-MX"/>
        </w:rPr>
        <w:t xml:space="preserve">se muestra un ejemplo a continuación: </w:t>
      </w:r>
    </w:p>
    <w:p w14:paraId="1E624B32" w14:textId="77777777" w:rsidR="008D3356" w:rsidRPr="008D3356" w:rsidRDefault="008D3356" w:rsidP="008D3356">
      <w:pPr>
        <w:spacing w:after="0" w:line="360" w:lineRule="auto"/>
        <w:rPr>
          <w:color w:val="000000"/>
          <w:lang w:eastAsia="es-MX"/>
        </w:rPr>
      </w:pPr>
    </w:p>
    <w:p w14:paraId="3BEB7FD0" w14:textId="77777777" w:rsidR="008D3356" w:rsidRPr="008D3356" w:rsidRDefault="008D3356" w:rsidP="008D3356">
      <w:pPr>
        <w:spacing w:after="0" w:line="360" w:lineRule="auto"/>
        <w:jc w:val="center"/>
        <w:rPr>
          <w:color w:val="000000"/>
          <w:lang w:eastAsia="es-MX"/>
        </w:rPr>
      </w:pPr>
      <w:r w:rsidRPr="008D3356">
        <w:rPr>
          <w:noProof/>
          <w:color w:val="000000"/>
          <w:lang w:eastAsia="es-MX"/>
        </w:rPr>
        <w:drawing>
          <wp:inline distT="0" distB="0" distL="0" distR="0" wp14:anchorId="770DC17C" wp14:editId="65C4B339">
            <wp:extent cx="5295900" cy="1295400"/>
            <wp:effectExtent l="0" t="0" r="0" b="0"/>
            <wp:docPr id="1231101556" name="image2.png"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agen que contiene Escala de tiemp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t="2" b="52956"/>
                    <a:stretch>
                      <a:fillRect/>
                    </a:stretch>
                  </pic:blipFill>
                  <pic:spPr bwMode="auto">
                    <a:xfrm>
                      <a:off x="0" y="0"/>
                      <a:ext cx="5295900" cy="1295400"/>
                    </a:xfrm>
                    <a:prstGeom prst="rect">
                      <a:avLst/>
                    </a:prstGeom>
                    <a:noFill/>
                    <a:ln>
                      <a:noFill/>
                    </a:ln>
                  </pic:spPr>
                </pic:pic>
              </a:graphicData>
            </a:graphic>
          </wp:inline>
        </w:drawing>
      </w:r>
    </w:p>
    <w:p w14:paraId="54932B10" w14:textId="77777777" w:rsidR="008D3356" w:rsidRPr="008D3356" w:rsidRDefault="008D3356" w:rsidP="008D3356">
      <w:pPr>
        <w:spacing w:after="0" w:line="360" w:lineRule="auto"/>
        <w:rPr>
          <w:color w:val="000000"/>
          <w:lang w:eastAsia="es-MX"/>
        </w:rPr>
      </w:pPr>
    </w:p>
    <w:p w14:paraId="2CE7D48A" w14:textId="77777777" w:rsidR="008D3356" w:rsidRPr="008D3356" w:rsidRDefault="008D3356" w:rsidP="008D3356">
      <w:pPr>
        <w:spacing w:after="0" w:line="360" w:lineRule="auto"/>
        <w:rPr>
          <w:color w:val="000000"/>
          <w:lang w:eastAsia="es-MX"/>
        </w:rPr>
      </w:pPr>
      <w:r w:rsidRPr="008D3356">
        <w:rPr>
          <w:color w:val="000000"/>
          <w:lang w:eastAsia="es-MX"/>
        </w:rPr>
        <w:t>Conforme a lo anterior, se logra vislumbrar que el nombre de las instituciones bancarias es de naturaleza pública; sin embargo, en el presente caso, se relacionada con el hecho de que corresponde al banco en el cual el servidor público decidió recibir el pago de remuneraciones; es decir, daría cuenta de la decisión voluntaria del servidor público de recibir el pago de sus servicios en una determinada institución.</w:t>
      </w:r>
    </w:p>
    <w:p w14:paraId="54D16FCC" w14:textId="77777777" w:rsidR="008D3356" w:rsidRPr="008D3356" w:rsidRDefault="008D3356" w:rsidP="008D3356">
      <w:pPr>
        <w:spacing w:after="0" w:line="360" w:lineRule="auto"/>
        <w:rPr>
          <w:color w:val="000000"/>
          <w:lang w:eastAsia="es-MX"/>
        </w:rPr>
      </w:pPr>
    </w:p>
    <w:p w14:paraId="01BAD1C2" w14:textId="77777777" w:rsidR="008D3356" w:rsidRPr="008D3356" w:rsidRDefault="008D3356" w:rsidP="008D3356">
      <w:pPr>
        <w:spacing w:after="0" w:line="360" w:lineRule="auto"/>
        <w:rPr>
          <w:color w:val="000000"/>
          <w:lang w:eastAsia="es-MX"/>
        </w:rPr>
      </w:pPr>
      <w:r w:rsidRPr="008D3356">
        <w:rPr>
          <w:color w:val="000000"/>
          <w:lang w:eastAsia="es-MX"/>
        </w:rPr>
        <w:t>Además, revelaría el lugar en donde el trabajador es cliente para ocupar los servicios del banco, lo cual únicamente está relacionado a su vida íntima o privada; por lo que, este Instituto considera que el nombre de la institución bancaria, actualiza la causal de clasificación prevista en el artículo 143, fracción I, de la Ley de Transparencia y Acceso a la Información Pública del Estado de México y Municipios.</w:t>
      </w:r>
    </w:p>
    <w:p w14:paraId="692E6EA6" w14:textId="77777777" w:rsidR="00125BBD" w:rsidRDefault="00125BBD" w:rsidP="00364674">
      <w:pPr>
        <w:spacing w:after="0" w:line="360" w:lineRule="auto"/>
        <w:ind w:right="-28"/>
        <w:rPr>
          <w:rFonts w:eastAsia="Times New Roman" w:cs="Tahoma"/>
          <w:b/>
          <w:bCs/>
          <w:color w:val="000000" w:themeColor="text1"/>
          <w:szCs w:val="24"/>
          <w:lang w:eastAsia="es-ES"/>
        </w:rPr>
      </w:pPr>
    </w:p>
    <w:p w14:paraId="3F6489EC" w14:textId="77777777" w:rsidR="008D3356" w:rsidRPr="008D3356" w:rsidRDefault="008D3356" w:rsidP="008D3356">
      <w:pPr>
        <w:numPr>
          <w:ilvl w:val="0"/>
          <w:numId w:val="33"/>
        </w:numPr>
        <w:spacing w:after="0" w:line="360" w:lineRule="auto"/>
        <w:rPr>
          <w:b/>
          <w:color w:val="000000"/>
          <w:lang w:eastAsia="es-MX"/>
        </w:rPr>
      </w:pPr>
      <w:r w:rsidRPr="008D3356">
        <w:rPr>
          <w:b/>
          <w:color w:val="000000"/>
          <w:lang w:eastAsia="es-MX"/>
        </w:rPr>
        <w:t>Número de empleado.</w:t>
      </w:r>
    </w:p>
    <w:p w14:paraId="0F0C04F8" w14:textId="77777777" w:rsidR="008D3356" w:rsidRPr="008D3356" w:rsidRDefault="008D3356" w:rsidP="008D3356">
      <w:pPr>
        <w:spacing w:after="0" w:line="360" w:lineRule="auto"/>
        <w:ind w:left="720"/>
        <w:rPr>
          <w:b/>
          <w:color w:val="000000"/>
          <w:lang w:eastAsia="es-MX"/>
        </w:rPr>
      </w:pPr>
    </w:p>
    <w:p w14:paraId="5A0A5496" w14:textId="77777777" w:rsidR="005455F3" w:rsidRPr="00B43B48" w:rsidRDefault="005455F3" w:rsidP="005455F3">
      <w:pPr>
        <w:spacing w:after="0" w:line="360" w:lineRule="auto"/>
        <w:rPr>
          <w:rFonts w:eastAsia="Calibri" w:cs="Tahoma"/>
          <w:bCs/>
          <w:iCs/>
          <w:lang w:eastAsia="es-ES"/>
        </w:rPr>
      </w:pPr>
      <w:r w:rsidRPr="00B43B48">
        <w:rPr>
          <w:rFonts w:eastAsia="Calibri" w:cs="Tahoma"/>
          <w:bCs/>
          <w:iCs/>
          <w:lang w:eastAsia="es-E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595BE30B" w14:textId="77777777" w:rsidR="005455F3" w:rsidRPr="00B43B48" w:rsidRDefault="005455F3" w:rsidP="005455F3">
      <w:pPr>
        <w:spacing w:after="0" w:line="360" w:lineRule="auto"/>
        <w:rPr>
          <w:rFonts w:eastAsia="Calibri" w:cs="Tahoma"/>
          <w:bCs/>
          <w:iCs/>
          <w:lang w:eastAsia="es-ES"/>
        </w:rPr>
      </w:pPr>
    </w:p>
    <w:p w14:paraId="3522140F" w14:textId="77777777" w:rsidR="005455F3" w:rsidRPr="00B43B48" w:rsidRDefault="005455F3" w:rsidP="005455F3">
      <w:pPr>
        <w:spacing w:after="0" w:line="360" w:lineRule="auto"/>
        <w:rPr>
          <w:rFonts w:eastAsia="Calibri" w:cs="Tahoma"/>
          <w:bCs/>
          <w:iCs/>
          <w:lang w:eastAsia="es-ES"/>
        </w:rPr>
      </w:pPr>
      <w:r w:rsidRPr="00B43B48">
        <w:rPr>
          <w:rFonts w:eastAsia="Calibri" w:cs="Tahoma"/>
          <w:bCs/>
          <w:iCs/>
          <w:lang w:eastAsia="es-E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7684EF9" w14:textId="77777777" w:rsidR="005455F3" w:rsidRPr="00B43B48" w:rsidRDefault="005455F3" w:rsidP="005455F3">
      <w:pPr>
        <w:spacing w:after="0" w:line="360" w:lineRule="auto"/>
        <w:rPr>
          <w:rFonts w:eastAsia="Calibri" w:cs="Tahoma"/>
          <w:bCs/>
          <w:iCs/>
          <w:lang w:eastAsia="es-ES"/>
        </w:rPr>
      </w:pPr>
    </w:p>
    <w:p w14:paraId="77AAAA41" w14:textId="77777777" w:rsidR="005455F3" w:rsidRPr="00B43B48" w:rsidRDefault="005455F3" w:rsidP="005455F3">
      <w:pPr>
        <w:spacing w:after="0" w:line="360" w:lineRule="auto"/>
        <w:contextualSpacing/>
        <w:rPr>
          <w:rFonts w:eastAsia="Calibri" w:cs="Tahoma"/>
          <w:bCs/>
          <w:iCs/>
        </w:rPr>
      </w:pPr>
      <w:r w:rsidRPr="00B43B48">
        <w:rPr>
          <w:rFonts w:eastAsia="Calibri" w:cs="Tahoma"/>
          <w:bCs/>
          <w:iCs/>
        </w:rPr>
        <w:t xml:space="preserve">Lo anterior, toma sustento en el </w:t>
      </w:r>
      <w:r w:rsidRPr="00B43B48">
        <w:rPr>
          <w:rFonts w:eastAsia="Calibri" w:cs="Tahoma"/>
          <w:bCs/>
          <w:lang w:val="es-ES"/>
        </w:rPr>
        <w:t xml:space="preserve">Criterio </w:t>
      </w:r>
      <w:r>
        <w:rPr>
          <w:rFonts w:eastAsia="Calibri" w:cs="Tahoma"/>
          <w:bCs/>
          <w:lang w:val="es-ES"/>
        </w:rPr>
        <w:t>Orientador</w:t>
      </w:r>
      <w:r w:rsidRPr="00B43B48">
        <w:rPr>
          <w:rFonts w:eastAsia="Calibri" w:cs="Tahoma"/>
          <w:bCs/>
          <w:lang w:val="es-ES"/>
        </w:rPr>
        <w:t xml:space="preserve">, de la Segunda Época, con número de registro </w:t>
      </w:r>
      <w:r w:rsidRPr="00B43B48">
        <w:rPr>
          <w:rFonts w:eastAsia="Calibri" w:cs="Tahoma"/>
          <w:bCs/>
        </w:rPr>
        <w:t>SO/006/2019</w:t>
      </w:r>
      <w:r w:rsidRPr="00B43B48">
        <w:rPr>
          <w:rFonts w:eastAsia="Calibri" w:cs="Tahoma"/>
          <w:bCs/>
          <w:iCs/>
        </w:rPr>
        <w:t>, emitido por el Instituto Nacional de Transparencia, Acceso a la Información y Protección de Datos Personales, que solamente procederá la clasificación del número de empleado, cuando se integre con datos personales de los servidores públicos o funcione como clave de acceso que no requiera una contraseña para ingresar a sistemas o bases de datos.</w:t>
      </w:r>
    </w:p>
    <w:p w14:paraId="69526CEE" w14:textId="77777777" w:rsidR="005455F3" w:rsidRPr="00B43B48" w:rsidRDefault="005455F3" w:rsidP="005455F3">
      <w:pPr>
        <w:spacing w:after="0" w:line="360" w:lineRule="auto"/>
        <w:contextualSpacing/>
        <w:rPr>
          <w:rFonts w:eastAsia="Calibri" w:cs="Tahoma"/>
          <w:b/>
          <w:bCs/>
          <w:iCs/>
        </w:rPr>
      </w:pPr>
    </w:p>
    <w:p w14:paraId="1A29E744" w14:textId="77777777" w:rsidR="005455F3" w:rsidRPr="00B43B48" w:rsidRDefault="005455F3" w:rsidP="005455F3">
      <w:pPr>
        <w:spacing w:after="0" w:line="360" w:lineRule="auto"/>
        <w:ind w:right="-93"/>
        <w:rPr>
          <w:rFonts w:eastAsia="Times New Roman" w:cs="Tahoma"/>
          <w:lang w:val="es-ES" w:eastAsia="es-ES"/>
        </w:rPr>
      </w:pPr>
      <w:r w:rsidRPr="00B43B48">
        <w:rPr>
          <w:rFonts w:eastAsia="Times New Roman" w:cs="Tahoma"/>
          <w:lang w:val="es-ES" w:eastAsia="es-ES"/>
        </w:rPr>
        <w:t xml:space="preserve">Conforme a lo anterior, se considera que el Ente Recurrido </w:t>
      </w:r>
      <w:r w:rsidRPr="00B43B48">
        <w:rPr>
          <w:rFonts w:eastAsia="Times New Roman" w:cs="Tahoma"/>
          <w:b/>
          <w:bCs/>
          <w:lang w:val="es-ES" w:eastAsia="es-ES"/>
        </w:rPr>
        <w:t>deberá proporcionar dicho dato, en el caso, de que no se conforme de datos personales o bien, de que de ninguna manera puedan dar acceso a sistemas con información de los trabajadores</w:t>
      </w:r>
      <w:r w:rsidRPr="00B43B48">
        <w:rPr>
          <w:rFonts w:eastAsia="Times New Roman" w:cs="Tahoma"/>
          <w:lang w:val="es-ES" w:eastAsia="es-ES"/>
        </w:rPr>
        <w:t>; en el caso contrario, esto es que, de acceso a sistemas o base de datos, procederá su clasificación, en términos del artículo 143, fracción I de la Ley de la materia.</w:t>
      </w:r>
    </w:p>
    <w:p w14:paraId="06068851" w14:textId="77777777" w:rsidR="00125BBD" w:rsidRPr="005455F3" w:rsidRDefault="00125BBD" w:rsidP="00364674">
      <w:pPr>
        <w:spacing w:after="0" w:line="360" w:lineRule="auto"/>
        <w:ind w:right="-28"/>
        <w:rPr>
          <w:rFonts w:eastAsia="Times New Roman" w:cs="Tahoma"/>
          <w:b/>
          <w:bCs/>
          <w:color w:val="000000" w:themeColor="text1"/>
          <w:szCs w:val="24"/>
          <w:lang w:val="es-ES" w:eastAsia="es-ES"/>
        </w:rPr>
      </w:pPr>
    </w:p>
    <w:p w14:paraId="3B66D82A" w14:textId="64C12F85" w:rsidR="00364674" w:rsidRDefault="00AB418A" w:rsidP="00364674">
      <w:pPr>
        <w:spacing w:after="0" w:line="360" w:lineRule="auto"/>
        <w:ind w:right="-28"/>
        <w:rPr>
          <w:color w:val="000000"/>
        </w:rPr>
      </w:pPr>
      <w:r>
        <w:rPr>
          <w:rFonts w:eastAsia="Times New Roman" w:cs="Tahoma"/>
          <w:lang w:eastAsia="es-ES"/>
        </w:rPr>
        <w:t xml:space="preserve">Conforme a lo anterior, se logra vislumbrar que si bien el Sujeto Obligado proporcionó los recibos de nómina solicitados, también lo es que clasificó datos de naturaleza pública, a saber, el folio fiscal y, en su caso, el número de empleado, por lo que el agravio resulta </w:t>
      </w:r>
      <w:r>
        <w:rPr>
          <w:rFonts w:eastAsia="Times New Roman" w:cs="Tahoma"/>
          <w:b/>
          <w:bCs/>
          <w:lang w:eastAsia="es-ES"/>
        </w:rPr>
        <w:t xml:space="preserve">PARCIALMENTE FUNDADO y </w:t>
      </w:r>
      <w:r>
        <w:rPr>
          <w:rFonts w:eastAsia="Times New Roman" w:cs="Tahoma"/>
          <w:lang w:eastAsia="es-ES"/>
        </w:rPr>
        <w:t>deberá entregaros en versión pública, en atención a los datos analizados, junto con e</w:t>
      </w:r>
      <w:r w:rsidR="00364674">
        <w:rPr>
          <w:rFonts w:eastAsia="Times New Roman" w:cs="Tahoma"/>
          <w:lang w:eastAsia="es-ES"/>
        </w:rPr>
        <w:t xml:space="preserve">l Acuerdo, por parte del Comité de Transparencia, donde </w:t>
      </w:r>
      <w:r w:rsidR="00364674">
        <w:rPr>
          <w:rFonts w:eastAsia="Times New Roman" w:cs="Tahoma"/>
          <w:lang w:eastAsia="es-ES"/>
        </w:rPr>
        <w:lastRenderedPageBreak/>
        <w:t>confirme la clasificación</w:t>
      </w:r>
      <w:r w:rsidR="00364674">
        <w:rPr>
          <w:color w:val="000000"/>
        </w:rPr>
        <w:t xml:space="preserve"> de manera enunciativa más no limitativa los datos previamente señalados, fundando y motivando la clasificación.</w:t>
      </w:r>
    </w:p>
    <w:p w14:paraId="55CAB4FA" w14:textId="77777777" w:rsidR="0079001B" w:rsidRDefault="0079001B" w:rsidP="00963119">
      <w:pPr>
        <w:spacing w:after="0" w:line="360" w:lineRule="auto"/>
        <w:rPr>
          <w:rFonts w:eastAsia="Calibri" w:cs="Tahoma"/>
          <w:color w:val="000000"/>
        </w:rPr>
      </w:pPr>
    </w:p>
    <w:p w14:paraId="36982C10" w14:textId="77777777" w:rsidR="004528C0" w:rsidRPr="00BE5F44" w:rsidRDefault="004528C0" w:rsidP="00A94A35">
      <w:pPr>
        <w:pStyle w:val="Ttulo2"/>
        <w:rPr>
          <w:lang w:val="es-ES" w:eastAsia="es-ES"/>
        </w:rPr>
      </w:pPr>
      <w:bookmarkStart w:id="14" w:name="_Toc211524166"/>
      <w:r w:rsidRPr="00BE5F44">
        <w:rPr>
          <w:lang w:val="es-ES" w:eastAsia="es-ES"/>
        </w:rPr>
        <w:t>SEXTO. Decisión</w:t>
      </w:r>
      <w:bookmarkEnd w:id="14"/>
    </w:p>
    <w:p w14:paraId="06DF2121" w14:textId="77777777" w:rsidR="004528C0" w:rsidRPr="00BE5F44" w:rsidRDefault="004528C0" w:rsidP="00963119">
      <w:pPr>
        <w:spacing w:after="0" w:line="360" w:lineRule="auto"/>
        <w:contextualSpacing/>
        <w:rPr>
          <w:rFonts w:eastAsia="Times New Roman" w:cs="Tahoma"/>
          <w:iCs/>
          <w:lang w:val="es-ES" w:eastAsia="es-ES"/>
        </w:rPr>
      </w:pPr>
    </w:p>
    <w:p w14:paraId="515F40B3" w14:textId="0E3C10A9" w:rsidR="004528C0" w:rsidRDefault="004528C0" w:rsidP="00963119">
      <w:pPr>
        <w:spacing w:after="0" w:line="360" w:lineRule="auto"/>
        <w:contextualSpacing/>
        <w:rPr>
          <w:rFonts w:eastAsia="Times New Roman" w:cs="Tahoma"/>
          <w:iCs/>
          <w:lang w:val="es-ES" w:eastAsia="es-ES"/>
        </w:rPr>
      </w:pPr>
      <w:r w:rsidRPr="00BE5F44">
        <w:rPr>
          <w:rFonts w:eastAsia="Times New Roman" w:cs="Tahoma"/>
          <w:iCs/>
          <w:lang w:val="es-ES" w:eastAsia="es-ES"/>
        </w:rPr>
        <w:t>Con fundamento en el artículo 186, fracción III, de la Ley de Transparencia y Acceso a la Información Pública del Estado de México y Municipios, este Instituto considera procedente</w:t>
      </w:r>
      <w:r w:rsidR="00B5577C">
        <w:rPr>
          <w:rFonts w:eastAsia="Times New Roman" w:cs="Tahoma"/>
          <w:iCs/>
          <w:lang w:val="es-ES" w:eastAsia="es-ES"/>
        </w:rPr>
        <w:t xml:space="preserve"> realizar lo siguiente:</w:t>
      </w:r>
    </w:p>
    <w:p w14:paraId="111A635A" w14:textId="77777777" w:rsidR="00B5577C" w:rsidRDefault="00B5577C" w:rsidP="00963119">
      <w:pPr>
        <w:spacing w:after="0" w:line="360" w:lineRule="auto"/>
        <w:contextualSpacing/>
        <w:rPr>
          <w:rFonts w:eastAsia="Times New Roman" w:cs="Tahoma"/>
          <w:iCs/>
          <w:lang w:val="es-ES" w:eastAsia="es-ES"/>
        </w:rPr>
      </w:pPr>
    </w:p>
    <w:p w14:paraId="37BC47DC" w14:textId="459159F5" w:rsidR="00B5577C" w:rsidRDefault="00364674" w:rsidP="00B5577C">
      <w:pPr>
        <w:pStyle w:val="Prrafodelista"/>
        <w:numPr>
          <w:ilvl w:val="0"/>
          <w:numId w:val="34"/>
        </w:numPr>
        <w:tabs>
          <w:tab w:val="left" w:pos="4962"/>
        </w:tabs>
        <w:spacing w:line="360" w:lineRule="auto"/>
        <w:rPr>
          <w:rFonts w:cs="Tahoma"/>
          <w:iCs/>
          <w:lang w:val="es-ES"/>
        </w:rPr>
      </w:pPr>
      <w:r w:rsidRPr="00B5577C">
        <w:rPr>
          <w:rFonts w:cs="Tahoma"/>
          <w:b/>
          <w:bCs/>
          <w:iCs/>
          <w:lang w:val="es-ES"/>
        </w:rPr>
        <w:t>REVO</w:t>
      </w:r>
      <w:r w:rsidR="004528C0" w:rsidRPr="00B5577C">
        <w:rPr>
          <w:rFonts w:cs="Tahoma"/>
          <w:b/>
          <w:bCs/>
          <w:iCs/>
          <w:lang w:val="es-ES"/>
        </w:rPr>
        <w:t>CAR</w:t>
      </w:r>
      <w:r w:rsidR="004528C0" w:rsidRPr="00B5577C">
        <w:rPr>
          <w:rFonts w:cs="Tahoma"/>
          <w:iCs/>
          <w:lang w:val="es-ES"/>
        </w:rPr>
        <w:t xml:space="preserve"> la respuesta otorgada a la</w:t>
      </w:r>
      <w:r w:rsidR="00865A09" w:rsidRPr="00B5577C">
        <w:rPr>
          <w:rFonts w:cs="Tahoma"/>
          <w:iCs/>
          <w:lang w:val="es-ES"/>
        </w:rPr>
        <w:t>s</w:t>
      </w:r>
      <w:r w:rsidR="004528C0" w:rsidRPr="00B5577C">
        <w:rPr>
          <w:rFonts w:cs="Tahoma"/>
          <w:iCs/>
          <w:lang w:val="es-ES"/>
        </w:rPr>
        <w:t xml:space="preserve"> solicitud</w:t>
      </w:r>
      <w:r w:rsidR="00865A09" w:rsidRPr="00B5577C">
        <w:rPr>
          <w:rFonts w:cs="Tahoma"/>
          <w:iCs/>
          <w:lang w:val="es-ES"/>
        </w:rPr>
        <w:t>es de información</w:t>
      </w:r>
      <w:r w:rsidR="00B5577C">
        <w:rPr>
          <w:rFonts w:cs="Tahoma"/>
          <w:iCs/>
          <w:lang w:val="es-ES"/>
        </w:rPr>
        <w:t xml:space="preserve"> </w:t>
      </w:r>
      <w:r w:rsidR="00B5577C" w:rsidRPr="00B5577C">
        <w:rPr>
          <w:rFonts w:cs="Tahoma"/>
          <w:iCs/>
          <w:lang w:val="es-ES"/>
        </w:rPr>
        <w:t>03699/TOLUCA/IP/2025, 03379/TOLUCA/IP/2025</w:t>
      </w:r>
      <w:r w:rsidR="00B5577C">
        <w:rPr>
          <w:rFonts w:cs="Tahoma"/>
          <w:iCs/>
          <w:lang w:val="es-ES"/>
        </w:rPr>
        <w:t xml:space="preserve">, </w:t>
      </w:r>
      <w:r w:rsidR="00B5577C" w:rsidRPr="00B5577C">
        <w:rPr>
          <w:rFonts w:cs="Tahoma"/>
          <w:iCs/>
          <w:lang w:val="es-ES"/>
        </w:rPr>
        <w:t>033</w:t>
      </w:r>
      <w:r w:rsidR="00B5577C">
        <w:rPr>
          <w:rFonts w:cs="Tahoma"/>
          <w:iCs/>
          <w:lang w:val="es-ES"/>
        </w:rPr>
        <w:t>81</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91</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88</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86</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84</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83</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82</w:t>
      </w:r>
      <w:r w:rsidR="00B5577C" w:rsidRPr="00B5577C">
        <w:rPr>
          <w:rFonts w:cs="Tahoma"/>
          <w:iCs/>
          <w:lang w:val="es-ES"/>
        </w:rPr>
        <w:t>/TOLUCA/IP/2025</w:t>
      </w:r>
      <w:r w:rsidR="00B5577C">
        <w:rPr>
          <w:rFonts w:cs="Tahoma"/>
          <w:iCs/>
          <w:lang w:val="es-ES"/>
        </w:rPr>
        <w:t xml:space="preserve"> y </w:t>
      </w:r>
      <w:r w:rsidR="00B5577C" w:rsidRPr="00B5577C">
        <w:rPr>
          <w:rFonts w:cs="Tahoma"/>
          <w:iCs/>
          <w:lang w:val="es-ES"/>
        </w:rPr>
        <w:t>033</w:t>
      </w:r>
      <w:r w:rsidR="00B5577C">
        <w:rPr>
          <w:rFonts w:cs="Tahoma"/>
          <w:iCs/>
          <w:lang w:val="es-ES"/>
        </w:rPr>
        <w:t>80</w:t>
      </w:r>
      <w:r w:rsidR="00B5577C" w:rsidRPr="00B5577C">
        <w:rPr>
          <w:rFonts w:cs="Tahoma"/>
          <w:iCs/>
          <w:lang w:val="es-ES"/>
        </w:rPr>
        <w:t>/TOLUCA/IP/2025</w:t>
      </w:r>
      <w:r w:rsidR="00B5577C" w:rsidRPr="00B5577C">
        <w:t xml:space="preserve"> </w:t>
      </w:r>
      <w:r w:rsidR="00B5577C" w:rsidRPr="00B5577C">
        <w:rPr>
          <w:rFonts w:cs="Tahoma"/>
          <w:iCs/>
          <w:lang w:val="es-ES"/>
        </w:rPr>
        <w:t>a efecto de que, previa búsqueda exhaustiva y razonable en las unidades administrativas competentes, entregue los recibos de nómina solicitados.</w:t>
      </w:r>
    </w:p>
    <w:p w14:paraId="41E5C56A" w14:textId="55B8A28E" w:rsidR="00B5577C" w:rsidRPr="00B5577C" w:rsidRDefault="00B5577C" w:rsidP="00B5577C">
      <w:pPr>
        <w:pStyle w:val="Prrafodelista"/>
        <w:numPr>
          <w:ilvl w:val="0"/>
          <w:numId w:val="34"/>
        </w:numPr>
        <w:tabs>
          <w:tab w:val="left" w:pos="4962"/>
        </w:tabs>
        <w:spacing w:line="360" w:lineRule="auto"/>
        <w:rPr>
          <w:rFonts w:cs="Tahoma"/>
          <w:iCs/>
          <w:lang w:val="es-ES"/>
        </w:rPr>
      </w:pPr>
      <w:r>
        <w:rPr>
          <w:rFonts w:cs="Tahoma"/>
          <w:b/>
          <w:bCs/>
          <w:iCs/>
          <w:lang w:val="es-ES"/>
        </w:rPr>
        <w:t>MODIFICAR</w:t>
      </w:r>
      <w:r w:rsidRPr="00B5577C">
        <w:rPr>
          <w:rFonts w:cs="Tahoma"/>
          <w:iCs/>
          <w:lang w:val="es-ES"/>
        </w:rPr>
        <w:t xml:space="preserve"> la respuesta otorgada a la</w:t>
      </w:r>
      <w:r>
        <w:rPr>
          <w:rFonts w:cs="Tahoma"/>
          <w:iCs/>
          <w:lang w:val="es-ES"/>
        </w:rPr>
        <w:t xml:space="preserve"> solicitud de información </w:t>
      </w:r>
      <w:r w:rsidRPr="00B5577C">
        <w:rPr>
          <w:rFonts w:cs="Tahoma"/>
          <w:iCs/>
          <w:lang w:val="es-ES"/>
        </w:rPr>
        <w:t>033</w:t>
      </w:r>
      <w:r>
        <w:rPr>
          <w:rFonts w:cs="Tahoma"/>
          <w:iCs/>
          <w:lang w:val="es-ES"/>
        </w:rPr>
        <w:t>87</w:t>
      </w:r>
      <w:r w:rsidRPr="00B5577C">
        <w:rPr>
          <w:rFonts w:cs="Tahoma"/>
          <w:iCs/>
          <w:lang w:val="es-ES"/>
        </w:rPr>
        <w:t>/TOLUCA/IP/2025</w:t>
      </w:r>
      <w:r>
        <w:rPr>
          <w:rFonts w:cs="Tahoma"/>
          <w:iCs/>
          <w:lang w:val="es-ES"/>
        </w:rPr>
        <w:t>, a efecto de que proporcione los recibos de nómina entregados en respuesta.</w:t>
      </w:r>
    </w:p>
    <w:p w14:paraId="001184AF" w14:textId="77777777" w:rsidR="00B5577C" w:rsidRDefault="00B5577C" w:rsidP="00963119">
      <w:pPr>
        <w:tabs>
          <w:tab w:val="left" w:pos="4962"/>
        </w:tabs>
        <w:spacing w:after="0" w:line="360" w:lineRule="auto"/>
        <w:contextualSpacing/>
        <w:rPr>
          <w:rFonts w:eastAsia="Times New Roman" w:cs="Tahoma"/>
          <w:iCs/>
          <w:lang w:val="es-ES" w:eastAsia="es-ES"/>
        </w:rPr>
      </w:pPr>
    </w:p>
    <w:p w14:paraId="7ECF696D" w14:textId="3A48206A" w:rsidR="009B45E2" w:rsidRPr="00BE5F44" w:rsidRDefault="0099645E" w:rsidP="00963119">
      <w:pPr>
        <w:spacing w:after="0" w:line="360" w:lineRule="auto"/>
        <w:contextualSpacing/>
        <w:rPr>
          <w:rFonts w:eastAsia="Times New Roman" w:cs="Tahoma"/>
          <w:b/>
          <w:bCs/>
          <w:iCs/>
          <w:lang w:val="es-ES" w:eastAsia="es-ES"/>
        </w:rPr>
      </w:pPr>
      <w:r w:rsidRPr="00BE5F44">
        <w:rPr>
          <w:rFonts w:eastAsia="Times New Roman" w:cs="Tahoma"/>
          <w:b/>
          <w:bCs/>
          <w:iCs/>
          <w:lang w:val="es-ES" w:eastAsia="es-ES"/>
        </w:rPr>
        <w:t>Términos de la Resolución para conocimiento del Particular</w:t>
      </w:r>
    </w:p>
    <w:p w14:paraId="6A047520" w14:textId="77777777" w:rsidR="004528C0" w:rsidRPr="00BE5F44" w:rsidRDefault="004528C0" w:rsidP="00963119">
      <w:pPr>
        <w:spacing w:after="0" w:line="360" w:lineRule="auto"/>
        <w:contextualSpacing/>
        <w:rPr>
          <w:rFonts w:eastAsia="Times New Roman" w:cs="Tahoma"/>
          <w:iCs/>
          <w:lang w:val="es-ES" w:eastAsia="es-ES"/>
        </w:rPr>
      </w:pPr>
    </w:p>
    <w:p w14:paraId="2A3E1EA8" w14:textId="364862EE" w:rsidR="00AF7D2D" w:rsidRPr="00BE5F44" w:rsidRDefault="00BB55CC" w:rsidP="00963119">
      <w:pPr>
        <w:spacing w:after="0" w:line="360" w:lineRule="auto"/>
        <w:contextualSpacing/>
      </w:pPr>
      <w:r w:rsidRPr="00BE5F44">
        <w:t xml:space="preserve">Se le hace del conocimiento a la Particular, que, en el presente caso, se le concede la razón, toda vez que el Sujeto Obligado </w:t>
      </w:r>
      <w:r w:rsidR="00B5577C">
        <w:t>no entregó todos los recibos de nómina solicitados y en los que proporcionó clasificó datos de naturaleza pública, por lo que, deberá entregar la información de manera completa y correcta.</w:t>
      </w:r>
      <w:r w:rsidR="00244E20">
        <w:t xml:space="preserve"> </w:t>
      </w:r>
      <w:r w:rsidR="006D59E7" w:rsidRPr="00BE5F44">
        <w:t xml:space="preserve">Finalmente, la labor del Instituto, es apoyar a la </w:t>
      </w:r>
      <w:r w:rsidR="006D59E7" w:rsidRPr="00BE5F44">
        <w:lastRenderedPageBreak/>
        <w:t>población a acceder a la información pública y garantizar la protección de sus datos personales.</w:t>
      </w:r>
    </w:p>
    <w:p w14:paraId="359869A6" w14:textId="77777777" w:rsidR="006D59E7" w:rsidRPr="00BE5F44" w:rsidRDefault="006D59E7" w:rsidP="00963119">
      <w:pPr>
        <w:spacing w:after="0" w:line="360" w:lineRule="auto"/>
        <w:contextualSpacing/>
      </w:pPr>
    </w:p>
    <w:p w14:paraId="2346E822" w14:textId="77777777" w:rsidR="006D59E7" w:rsidRPr="00BE5F44" w:rsidRDefault="006D59E7" w:rsidP="00963119">
      <w:pPr>
        <w:spacing w:after="0" w:line="360" w:lineRule="auto"/>
        <w:contextualSpacing/>
      </w:pPr>
      <w:r w:rsidRPr="00BE5F44">
        <w:t>Por lo expuesto y fundado, este Pleno:</w:t>
      </w:r>
    </w:p>
    <w:p w14:paraId="72442AD4" w14:textId="77777777" w:rsidR="006D59E7" w:rsidRPr="00BE5F44" w:rsidRDefault="006D59E7" w:rsidP="00963119">
      <w:pPr>
        <w:spacing w:after="0" w:line="360" w:lineRule="auto"/>
        <w:contextualSpacing/>
      </w:pPr>
    </w:p>
    <w:p w14:paraId="0213E5CF" w14:textId="3C2BF5FC" w:rsidR="006D59E7" w:rsidRPr="00BE5F44" w:rsidRDefault="006D59E7" w:rsidP="00A94A35">
      <w:pPr>
        <w:pStyle w:val="Ttulo1"/>
      </w:pPr>
      <w:bookmarkStart w:id="15" w:name="_Toc211524167"/>
      <w:r w:rsidRPr="00BE5F44">
        <w:t>R E S U E L V E</w:t>
      </w:r>
      <w:bookmarkEnd w:id="15"/>
    </w:p>
    <w:p w14:paraId="377690E8" w14:textId="77777777" w:rsidR="00A56E19" w:rsidRPr="00BE5F44" w:rsidRDefault="00A56E19" w:rsidP="00963119">
      <w:pPr>
        <w:spacing w:after="0" w:line="360" w:lineRule="auto"/>
        <w:contextualSpacing/>
        <w:jc w:val="center"/>
        <w:rPr>
          <w:b/>
          <w:bCs/>
        </w:rPr>
      </w:pPr>
    </w:p>
    <w:p w14:paraId="5D8B7CB4" w14:textId="65D2CB11" w:rsidR="00671B91" w:rsidRPr="00BE5F44" w:rsidRDefault="00671B91" w:rsidP="00963119">
      <w:pPr>
        <w:spacing w:after="0" w:line="360" w:lineRule="auto"/>
        <w:contextualSpacing/>
      </w:pPr>
      <w:r w:rsidRPr="00BE5F44">
        <w:rPr>
          <w:b/>
          <w:bCs/>
        </w:rPr>
        <w:t>PRIMERO.</w:t>
      </w:r>
      <w:r w:rsidRPr="00BE5F44">
        <w:t xml:space="preserve"> Se </w:t>
      </w:r>
      <w:r w:rsidR="00364674">
        <w:rPr>
          <w:b/>
          <w:bCs/>
        </w:rPr>
        <w:t xml:space="preserve">REVOCA </w:t>
      </w:r>
      <w:r w:rsidRPr="00BE5F44">
        <w:t xml:space="preserve">la respuesta entregada por el </w:t>
      </w:r>
      <w:r w:rsidR="004E21B7">
        <w:t>Ayuntamiento de Toluca</w:t>
      </w:r>
      <w:r w:rsidR="00E0416F" w:rsidRPr="00BE5F44">
        <w:t xml:space="preserve"> </w:t>
      </w:r>
      <w:r w:rsidRPr="00BE5F44">
        <w:t>a la</w:t>
      </w:r>
      <w:r w:rsidR="0057694C" w:rsidRPr="00BE5F44">
        <w:t>s</w:t>
      </w:r>
      <w:r w:rsidR="00A56E19" w:rsidRPr="00BE5F44">
        <w:t xml:space="preserve"> </w:t>
      </w:r>
      <w:r w:rsidRPr="00BE5F44">
        <w:t>solicitud</w:t>
      </w:r>
      <w:r w:rsidR="0057694C" w:rsidRPr="00BE5F44">
        <w:t>es</w:t>
      </w:r>
      <w:r w:rsidRPr="00BE5F44">
        <w:t xml:space="preserve"> de información</w:t>
      </w:r>
      <w:r w:rsidR="003A5923" w:rsidRPr="00BE5F44">
        <w:rPr>
          <w:color w:val="FF0000"/>
        </w:rPr>
        <w:t xml:space="preserve"> </w:t>
      </w:r>
      <w:r w:rsidR="00B5577C" w:rsidRPr="00B5577C">
        <w:rPr>
          <w:rFonts w:cs="Tahoma"/>
          <w:iCs/>
          <w:lang w:val="es-ES"/>
        </w:rPr>
        <w:t>03699/TOLUCA/IP/2025</w:t>
      </w:r>
      <w:r w:rsidR="00B5577C" w:rsidRPr="00B5577C">
        <w:rPr>
          <w:rFonts w:eastAsia="Times New Roman" w:cs="Tahoma"/>
          <w:iCs/>
          <w:lang w:val="es-ES" w:eastAsia="es-ES"/>
        </w:rPr>
        <w:t xml:space="preserve">, </w:t>
      </w:r>
      <w:r w:rsidR="00B5577C" w:rsidRPr="00B5577C">
        <w:rPr>
          <w:rFonts w:cs="Tahoma"/>
          <w:iCs/>
          <w:lang w:val="es-ES"/>
        </w:rPr>
        <w:t>03379/TOLUCA/IP/2025</w:t>
      </w:r>
      <w:r w:rsidR="00B5577C">
        <w:rPr>
          <w:rFonts w:cs="Tahoma"/>
          <w:iCs/>
          <w:lang w:val="es-ES"/>
        </w:rPr>
        <w:t xml:space="preserve">, </w:t>
      </w:r>
      <w:r w:rsidR="00B5577C" w:rsidRPr="00B5577C">
        <w:rPr>
          <w:rFonts w:cs="Tahoma"/>
          <w:iCs/>
          <w:lang w:val="es-ES"/>
        </w:rPr>
        <w:t>033</w:t>
      </w:r>
      <w:r w:rsidR="00B5577C">
        <w:rPr>
          <w:rFonts w:cs="Tahoma"/>
          <w:iCs/>
          <w:lang w:val="es-ES"/>
        </w:rPr>
        <w:t>81</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91</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88</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86</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84</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83</w:t>
      </w:r>
      <w:r w:rsidR="00B5577C" w:rsidRPr="00B5577C">
        <w:rPr>
          <w:rFonts w:cs="Tahoma"/>
          <w:iCs/>
          <w:lang w:val="es-ES"/>
        </w:rPr>
        <w:t>/TOLUCA/IP/2025</w:t>
      </w:r>
      <w:r w:rsidR="00B5577C">
        <w:rPr>
          <w:rFonts w:cs="Tahoma"/>
          <w:iCs/>
          <w:lang w:val="es-ES"/>
        </w:rPr>
        <w:t xml:space="preserve">, </w:t>
      </w:r>
      <w:r w:rsidR="00B5577C" w:rsidRPr="00B5577C">
        <w:rPr>
          <w:rFonts w:cs="Tahoma"/>
          <w:iCs/>
          <w:lang w:val="es-ES"/>
        </w:rPr>
        <w:t>033</w:t>
      </w:r>
      <w:r w:rsidR="00B5577C">
        <w:rPr>
          <w:rFonts w:cs="Tahoma"/>
          <w:iCs/>
          <w:lang w:val="es-ES"/>
        </w:rPr>
        <w:t>82</w:t>
      </w:r>
      <w:r w:rsidR="00B5577C" w:rsidRPr="00B5577C">
        <w:rPr>
          <w:rFonts w:cs="Tahoma"/>
          <w:iCs/>
          <w:lang w:val="es-ES"/>
        </w:rPr>
        <w:t>/TOLUCA/IP/2025</w:t>
      </w:r>
      <w:r w:rsidR="00B5577C">
        <w:rPr>
          <w:rFonts w:cs="Tahoma"/>
          <w:iCs/>
          <w:lang w:val="es-ES"/>
        </w:rPr>
        <w:t xml:space="preserve"> y </w:t>
      </w:r>
      <w:r w:rsidR="00B5577C" w:rsidRPr="00B5577C">
        <w:rPr>
          <w:rFonts w:cs="Tahoma"/>
          <w:iCs/>
          <w:lang w:val="es-ES"/>
        </w:rPr>
        <w:t>033</w:t>
      </w:r>
      <w:r w:rsidR="00B5577C">
        <w:rPr>
          <w:rFonts w:cs="Tahoma"/>
          <w:iCs/>
          <w:lang w:val="es-ES"/>
        </w:rPr>
        <w:t>80</w:t>
      </w:r>
      <w:r w:rsidR="00B5577C" w:rsidRPr="00B5577C">
        <w:rPr>
          <w:rFonts w:cs="Tahoma"/>
          <w:iCs/>
          <w:lang w:val="es-ES"/>
        </w:rPr>
        <w:t>/TOLUCA/IP/2025</w:t>
      </w:r>
      <w:r w:rsidR="00E57F83" w:rsidRPr="00BE5F44">
        <w:rPr>
          <w:bCs/>
        </w:rPr>
        <w:t>,</w:t>
      </w:r>
      <w:r w:rsidRPr="00BE5F44">
        <w:t xml:space="preserve"> por resultar </w:t>
      </w:r>
      <w:r w:rsidRPr="00BE5F44">
        <w:rPr>
          <w:b/>
          <w:bCs/>
        </w:rPr>
        <w:t xml:space="preserve">FUNDADAS </w:t>
      </w:r>
      <w:r w:rsidRPr="00BE5F44">
        <w:t>las razones o</w:t>
      </w:r>
      <w:r w:rsidR="003A5923" w:rsidRPr="00BE5F44">
        <w:t xml:space="preserve"> </w:t>
      </w:r>
      <w:r w:rsidRPr="00BE5F44">
        <w:t>motivos de inconformidad hechos valer por el Recurrente, en términos de los</w:t>
      </w:r>
      <w:r w:rsidR="00A56E19" w:rsidRPr="00BE5F44">
        <w:t xml:space="preserve"> </w:t>
      </w:r>
      <w:r w:rsidRPr="00BE5F44">
        <w:t>considerandos QUINTO y SEXTO de la presente Resolución.</w:t>
      </w:r>
    </w:p>
    <w:p w14:paraId="66FB49E4" w14:textId="77777777" w:rsidR="00B5577C" w:rsidRDefault="00B5577C" w:rsidP="00B5577C">
      <w:pPr>
        <w:spacing w:after="0" w:line="360" w:lineRule="auto"/>
      </w:pPr>
    </w:p>
    <w:p w14:paraId="553C72B0" w14:textId="76EC4F42" w:rsidR="00B5577C" w:rsidRDefault="00B5577C" w:rsidP="00B5577C">
      <w:pPr>
        <w:spacing w:after="0" w:line="360" w:lineRule="auto"/>
        <w:rPr>
          <w:bCs/>
        </w:rPr>
      </w:pPr>
      <w:r w:rsidRPr="00BE5F44">
        <w:t xml:space="preserve">Se </w:t>
      </w:r>
      <w:r w:rsidRPr="00BE5F44">
        <w:rPr>
          <w:b/>
          <w:bCs/>
        </w:rPr>
        <w:t>ORDENA</w:t>
      </w:r>
      <w:r w:rsidRPr="00BE5F44">
        <w:t xml:space="preserve"> al Sujeto Obligado, a efecto de que previa búsqueda exhaustiva y razonable, en los archivos de las unidades administrativas competentes, entregue a través del Sistema de Acceso a la Información Mexiquense (SAIMEX), en versión pública, </w:t>
      </w:r>
      <w:r>
        <w:rPr>
          <w:bCs/>
        </w:rPr>
        <w:t>los recibos de nómina de los siguientes periodos:</w:t>
      </w:r>
    </w:p>
    <w:p w14:paraId="719E5772" w14:textId="77777777" w:rsidR="00B5577C" w:rsidRDefault="00B5577C" w:rsidP="00B5577C">
      <w:pPr>
        <w:spacing w:after="0" w:line="360" w:lineRule="auto"/>
        <w:rPr>
          <w:b/>
        </w:rPr>
      </w:pPr>
    </w:p>
    <w:p w14:paraId="628DA1B4" w14:textId="77777777" w:rsidR="00B5577C" w:rsidRDefault="00B5577C" w:rsidP="00B5577C">
      <w:pPr>
        <w:pStyle w:val="Prrafodelista"/>
        <w:numPr>
          <w:ilvl w:val="0"/>
          <w:numId w:val="36"/>
        </w:numPr>
        <w:spacing w:line="360" w:lineRule="auto"/>
        <w:rPr>
          <w:rFonts w:eastAsia="Palatino Linotype" w:cs="Tahoma"/>
          <w:color w:val="000000"/>
          <w:lang w:eastAsia="es-MX"/>
        </w:rPr>
      </w:pPr>
      <w:r>
        <w:rPr>
          <w:rFonts w:eastAsia="Palatino Linotype" w:cs="Tahoma"/>
          <w:color w:val="000000"/>
          <w:lang w:eastAsia="es-MX"/>
        </w:rPr>
        <w:t>De la primera quincena de junio de dos mil veinticinco, de todos los servidores públicos adscritos al Ayuntamiento, y</w:t>
      </w:r>
    </w:p>
    <w:p w14:paraId="766522A3" w14:textId="77777777" w:rsidR="00F25AF7" w:rsidRDefault="00F25AF7" w:rsidP="00F25AF7">
      <w:pPr>
        <w:pStyle w:val="Prrafodelista"/>
        <w:spacing w:line="360" w:lineRule="auto"/>
        <w:rPr>
          <w:rFonts w:eastAsia="Palatino Linotype" w:cs="Tahoma"/>
          <w:color w:val="000000"/>
          <w:lang w:eastAsia="es-MX"/>
        </w:rPr>
      </w:pPr>
    </w:p>
    <w:p w14:paraId="759E8EAF" w14:textId="672F29B8" w:rsidR="00B5577C" w:rsidRDefault="00B5577C" w:rsidP="00B5577C">
      <w:pPr>
        <w:pStyle w:val="Prrafodelista"/>
        <w:numPr>
          <w:ilvl w:val="0"/>
          <w:numId w:val="36"/>
        </w:numPr>
        <w:spacing w:line="360" w:lineRule="auto"/>
        <w:rPr>
          <w:rFonts w:eastAsia="Palatino Linotype" w:cs="Tahoma"/>
          <w:color w:val="000000"/>
          <w:lang w:eastAsia="es-MX"/>
        </w:rPr>
      </w:pPr>
      <w:r>
        <w:rPr>
          <w:rFonts w:eastAsia="Palatino Linotype" w:cs="Tahoma"/>
          <w:color w:val="000000"/>
          <w:lang w:eastAsia="es-MX"/>
        </w:rPr>
        <w:t xml:space="preserve">De la segunda quincena de mayo de dos mil veinticinco, de todo el personal adscrito a la </w:t>
      </w:r>
      <w:r w:rsidRPr="007427DA">
        <w:rPr>
          <w:rFonts w:eastAsia="Palatino Linotype" w:cs="Tahoma"/>
          <w:color w:val="000000"/>
          <w:lang w:eastAsia="es-MX"/>
        </w:rPr>
        <w:t>Presidencia Municipal, a la Secretaría del Ayuntamiento, a la</w:t>
      </w:r>
      <w:r>
        <w:rPr>
          <w:rFonts w:eastAsia="Palatino Linotype" w:cs="Tahoma"/>
          <w:color w:val="000000"/>
          <w:lang w:eastAsia="es-MX"/>
        </w:rPr>
        <w:t xml:space="preserve"> </w:t>
      </w:r>
      <w:r>
        <w:rPr>
          <w:bCs/>
        </w:rPr>
        <w:t>Dirección General de Gobierno, a la</w:t>
      </w:r>
      <w:r w:rsidRPr="007427DA">
        <w:rPr>
          <w:bCs/>
        </w:rPr>
        <w:t xml:space="preserve"> </w:t>
      </w:r>
      <w:r>
        <w:rPr>
          <w:bCs/>
        </w:rPr>
        <w:t>Dirección General de Seguridad y Protección, a la</w:t>
      </w:r>
      <w:r w:rsidRPr="007427DA">
        <w:rPr>
          <w:rFonts w:eastAsia="Palatino Linotype" w:cs="Tahoma"/>
          <w:color w:val="000000"/>
          <w:lang w:eastAsia="es-MX"/>
        </w:rPr>
        <w:t xml:space="preserve"> Dirección General </w:t>
      </w:r>
      <w:r w:rsidRPr="007427DA">
        <w:rPr>
          <w:rFonts w:eastAsia="Palatino Linotype" w:cs="Tahoma"/>
          <w:color w:val="000000"/>
          <w:lang w:eastAsia="es-MX"/>
        </w:rPr>
        <w:lastRenderedPageBreak/>
        <w:t xml:space="preserve">de Administración, </w:t>
      </w:r>
      <w:r>
        <w:rPr>
          <w:rFonts w:eastAsia="Palatino Linotype" w:cs="Tahoma"/>
          <w:color w:val="000000"/>
          <w:lang w:eastAsia="es-MX"/>
        </w:rPr>
        <w:t xml:space="preserve">a la </w:t>
      </w:r>
      <w:r>
        <w:rPr>
          <w:bCs/>
        </w:rPr>
        <w:t>Dirección General de Servicios Públicos</w:t>
      </w:r>
      <w:r>
        <w:rPr>
          <w:rFonts w:eastAsia="Palatino Linotype" w:cs="Tahoma"/>
          <w:color w:val="000000"/>
          <w:lang w:eastAsia="es-MX"/>
        </w:rPr>
        <w:t xml:space="preserve"> y</w:t>
      </w:r>
      <w:r w:rsidRPr="007427DA">
        <w:rPr>
          <w:rFonts w:eastAsia="Palatino Linotype" w:cs="Tahoma"/>
          <w:color w:val="000000"/>
          <w:lang w:eastAsia="es-MX"/>
        </w:rPr>
        <w:t xml:space="preserve"> a la </w:t>
      </w:r>
      <w:r>
        <w:rPr>
          <w:bCs/>
        </w:rPr>
        <w:t>Dirección General de Bienestar</w:t>
      </w:r>
      <w:r w:rsidRPr="007427DA">
        <w:rPr>
          <w:rFonts w:eastAsia="Palatino Linotype" w:cs="Tahoma"/>
          <w:color w:val="000000"/>
          <w:lang w:eastAsia="es-MX"/>
        </w:rPr>
        <w:t xml:space="preserve"> </w:t>
      </w:r>
      <w:r>
        <w:rPr>
          <w:rFonts w:eastAsia="Palatino Linotype" w:cs="Tahoma"/>
          <w:color w:val="000000"/>
          <w:lang w:eastAsia="es-MX"/>
        </w:rPr>
        <w:t>(que incluyan las áreas que conforman a cada uno).</w:t>
      </w:r>
    </w:p>
    <w:p w14:paraId="23CF6714" w14:textId="0B57280A" w:rsidR="00B5577C" w:rsidRPr="002B54ED" w:rsidRDefault="00B5577C" w:rsidP="00B5577C">
      <w:pPr>
        <w:pStyle w:val="Prrafodelista"/>
        <w:numPr>
          <w:ilvl w:val="0"/>
          <w:numId w:val="36"/>
        </w:numPr>
        <w:spacing w:line="360" w:lineRule="auto"/>
        <w:rPr>
          <w:rFonts w:eastAsia="Palatino Linotype" w:cs="Tahoma"/>
          <w:color w:val="000000"/>
          <w:lang w:eastAsia="es-MX"/>
        </w:rPr>
      </w:pPr>
      <w:r>
        <w:rPr>
          <w:rFonts w:eastAsia="Palatino Linotype" w:cs="Tahoma"/>
          <w:color w:val="000000"/>
          <w:lang w:eastAsia="es-MX"/>
        </w:rPr>
        <w:t>De la primera y segunda quincena de mayo de dos mil veinticinco, del personal adscrito a la Unidad de Transparencia.</w:t>
      </w:r>
    </w:p>
    <w:p w14:paraId="77626768" w14:textId="77777777" w:rsidR="00DE54B9" w:rsidRDefault="00DE54B9" w:rsidP="00B5577C">
      <w:pPr>
        <w:spacing w:after="0" w:line="360" w:lineRule="auto"/>
        <w:contextualSpacing/>
        <w:rPr>
          <w:b/>
          <w:bCs/>
        </w:rPr>
      </w:pPr>
    </w:p>
    <w:p w14:paraId="2FA7010F" w14:textId="77777777" w:rsidR="00DE54B9" w:rsidRDefault="00DE54B9" w:rsidP="00DE54B9">
      <w:pPr>
        <w:spacing w:after="0" w:line="360" w:lineRule="auto"/>
        <w:contextualSpacing/>
      </w:pPr>
      <w:r w:rsidRPr="00BE5F44">
        <w:t>Además, deberá proporcionar el Acuerdo de Clasificación donde el Comité de Transparencia, confirme la eliminación de los datos o información, en la versión pública,</w:t>
      </w:r>
      <w:r>
        <w:t xml:space="preserve"> en términos del Considerando QUINTO,</w:t>
      </w:r>
      <w:r w:rsidRPr="00BE5F44">
        <w:t xml:space="preserve"> de conformidad con los artículos 49, fracciones II y VIII y 132, fracción II, de la Ley de Transparencia y Acceso a la Información Pública del Estado de México y Municipios.</w:t>
      </w:r>
    </w:p>
    <w:p w14:paraId="6ADBB981" w14:textId="77777777" w:rsidR="00DE54B9" w:rsidRDefault="00DE54B9" w:rsidP="00B5577C">
      <w:pPr>
        <w:spacing w:after="0" w:line="360" w:lineRule="auto"/>
        <w:contextualSpacing/>
        <w:rPr>
          <w:b/>
          <w:bCs/>
        </w:rPr>
      </w:pPr>
    </w:p>
    <w:p w14:paraId="54783AF6" w14:textId="1525EC02" w:rsidR="00B5577C" w:rsidRPr="00BE5F44" w:rsidRDefault="00671B91" w:rsidP="00B5577C">
      <w:pPr>
        <w:spacing w:after="0" w:line="360" w:lineRule="auto"/>
        <w:contextualSpacing/>
      </w:pPr>
      <w:r w:rsidRPr="00BE5F44">
        <w:rPr>
          <w:b/>
          <w:bCs/>
        </w:rPr>
        <w:t>SEGUNDO</w:t>
      </w:r>
      <w:r w:rsidRPr="00BE5F44">
        <w:t>.</w:t>
      </w:r>
      <w:r w:rsidR="00B5577C" w:rsidRPr="00B5577C">
        <w:t xml:space="preserve"> </w:t>
      </w:r>
      <w:r w:rsidR="00B5577C" w:rsidRPr="00BE5F44">
        <w:t xml:space="preserve">Se </w:t>
      </w:r>
      <w:r w:rsidR="00B5577C">
        <w:rPr>
          <w:b/>
          <w:bCs/>
        </w:rPr>
        <w:t xml:space="preserve">MODIFICA </w:t>
      </w:r>
      <w:r w:rsidR="00B5577C" w:rsidRPr="00BE5F44">
        <w:t xml:space="preserve">la respuesta entregada por el </w:t>
      </w:r>
      <w:r w:rsidR="00B5577C">
        <w:t>Ayuntamiento de Toluca</w:t>
      </w:r>
      <w:r w:rsidR="00B5577C" w:rsidRPr="00BE5F44">
        <w:t xml:space="preserve"> a la</w:t>
      </w:r>
      <w:r w:rsidR="00B5577C">
        <w:t xml:space="preserve"> </w:t>
      </w:r>
      <w:r w:rsidR="00B5577C" w:rsidRPr="00BE5F44">
        <w:t>solicitud de información</w:t>
      </w:r>
      <w:r w:rsidR="00B5577C" w:rsidRPr="00BE5F44">
        <w:rPr>
          <w:color w:val="FF0000"/>
        </w:rPr>
        <w:t xml:space="preserve"> </w:t>
      </w:r>
      <w:r w:rsidR="00B5577C" w:rsidRPr="00B5577C">
        <w:rPr>
          <w:rFonts w:cs="Tahoma"/>
          <w:iCs/>
          <w:lang w:val="es-ES"/>
        </w:rPr>
        <w:t>033</w:t>
      </w:r>
      <w:r w:rsidR="00B5577C">
        <w:rPr>
          <w:rFonts w:cs="Tahoma"/>
          <w:iCs/>
          <w:lang w:val="es-ES"/>
        </w:rPr>
        <w:t>87</w:t>
      </w:r>
      <w:r w:rsidR="00B5577C" w:rsidRPr="00B5577C">
        <w:rPr>
          <w:rFonts w:cs="Tahoma"/>
          <w:iCs/>
          <w:lang w:val="es-ES"/>
        </w:rPr>
        <w:t>/TOLUCA/IP/2025</w:t>
      </w:r>
      <w:r w:rsidR="00B5577C" w:rsidRPr="00BE5F44">
        <w:rPr>
          <w:bCs/>
        </w:rPr>
        <w:t>,</w:t>
      </w:r>
      <w:r w:rsidR="00B5577C" w:rsidRPr="00BE5F44">
        <w:t xml:space="preserve"> por resultar </w:t>
      </w:r>
      <w:r w:rsidR="00B5577C" w:rsidRPr="00BE5F44">
        <w:rPr>
          <w:b/>
          <w:bCs/>
        </w:rPr>
        <w:t xml:space="preserve">FUNDADAS </w:t>
      </w:r>
      <w:r w:rsidR="00B5577C" w:rsidRPr="00BE5F44">
        <w:t>las razones o motivos de inconformidad hechos valer por el Recurrente, en términos de los considerandos QUINTO y SEXTO de la presente Resolución.</w:t>
      </w:r>
    </w:p>
    <w:p w14:paraId="3B3DFF4F" w14:textId="77777777" w:rsidR="00B5577C" w:rsidRDefault="00B5577C" w:rsidP="00364674">
      <w:pPr>
        <w:spacing w:after="0" w:line="360" w:lineRule="auto"/>
      </w:pPr>
    </w:p>
    <w:p w14:paraId="647EC31E" w14:textId="6BEFCE76" w:rsidR="00364674" w:rsidRDefault="00671B91" w:rsidP="00364674">
      <w:pPr>
        <w:spacing w:after="0" w:line="360" w:lineRule="auto"/>
        <w:rPr>
          <w:bCs/>
        </w:rPr>
      </w:pPr>
      <w:r w:rsidRPr="00BE5F44">
        <w:t xml:space="preserve">Se </w:t>
      </w:r>
      <w:r w:rsidRPr="00BE5F44">
        <w:rPr>
          <w:b/>
          <w:bCs/>
        </w:rPr>
        <w:t>ORDENA</w:t>
      </w:r>
      <w:r w:rsidRPr="00BE5F44">
        <w:t xml:space="preserve"> al Sujeto Obligado, a efecto de que previa búsqueda exhaustiva</w:t>
      </w:r>
      <w:r w:rsidR="003A5923" w:rsidRPr="00BE5F44">
        <w:t xml:space="preserve"> </w:t>
      </w:r>
      <w:r w:rsidRPr="00BE5F44">
        <w:t>y razonable, en los archivos de las unidades administrativas competentes, entregue a</w:t>
      </w:r>
      <w:r w:rsidR="003A5923" w:rsidRPr="00BE5F44">
        <w:t xml:space="preserve"> </w:t>
      </w:r>
      <w:r w:rsidRPr="00BE5F44">
        <w:t xml:space="preserve">través del Sistema de Acceso a la Información Mexiquense (SAIMEX), </w:t>
      </w:r>
      <w:r w:rsidR="00E57F83" w:rsidRPr="00BE5F44">
        <w:t xml:space="preserve">en </w:t>
      </w:r>
      <w:r w:rsidRPr="00BE5F44">
        <w:t xml:space="preserve">versión </w:t>
      </w:r>
      <w:r w:rsidR="00222A40" w:rsidRPr="00BE5F44">
        <w:t xml:space="preserve">pública, </w:t>
      </w:r>
      <w:r w:rsidR="00364674">
        <w:rPr>
          <w:bCs/>
        </w:rPr>
        <w:t xml:space="preserve">los recibos de nómina </w:t>
      </w:r>
      <w:r w:rsidR="00DE54B9">
        <w:rPr>
          <w:bCs/>
        </w:rPr>
        <w:t>entregados en respuesta.</w:t>
      </w:r>
    </w:p>
    <w:p w14:paraId="6E104670" w14:textId="77777777" w:rsidR="00364674" w:rsidRDefault="00364674" w:rsidP="00364674">
      <w:pPr>
        <w:spacing w:after="0" w:line="360" w:lineRule="auto"/>
        <w:rPr>
          <w:bCs/>
        </w:rPr>
      </w:pPr>
    </w:p>
    <w:p w14:paraId="7E8F622A" w14:textId="6A6DA230" w:rsidR="00671B91" w:rsidRDefault="00671B91" w:rsidP="00963119">
      <w:pPr>
        <w:spacing w:after="0" w:line="360" w:lineRule="auto"/>
        <w:contextualSpacing/>
      </w:pPr>
      <w:r w:rsidRPr="00BE5F44">
        <w:t>Además</w:t>
      </w:r>
      <w:r w:rsidR="00E0416F" w:rsidRPr="00BE5F44">
        <w:t xml:space="preserve">, </w:t>
      </w:r>
      <w:r w:rsidRPr="00BE5F44">
        <w:t>deberá proporcionar el Acuerdo de Clasificación donde el</w:t>
      </w:r>
      <w:r w:rsidR="00222A40" w:rsidRPr="00BE5F44">
        <w:t xml:space="preserve"> </w:t>
      </w:r>
      <w:r w:rsidRPr="00BE5F44">
        <w:t>Comité de Transparencia, confirme la eliminación de los datos</w:t>
      </w:r>
      <w:r w:rsidR="008E0FB5" w:rsidRPr="00BE5F44">
        <w:t xml:space="preserve"> o información</w:t>
      </w:r>
      <w:r w:rsidRPr="00BE5F44">
        <w:t>, en la versión pública,</w:t>
      </w:r>
      <w:r w:rsidR="00364674">
        <w:t xml:space="preserve"> en términos del Considerando QUINTO,</w:t>
      </w:r>
      <w:r w:rsidRPr="00BE5F44">
        <w:t xml:space="preserve"> de</w:t>
      </w:r>
      <w:r w:rsidR="00222A40" w:rsidRPr="00BE5F44">
        <w:t xml:space="preserve"> </w:t>
      </w:r>
      <w:r w:rsidRPr="00BE5F44">
        <w:t>conformidad con los artículos 49, fracciones II y VIII y 132, fracción II, de la Ley de</w:t>
      </w:r>
      <w:r w:rsidR="00222A40" w:rsidRPr="00BE5F44">
        <w:t xml:space="preserve"> </w:t>
      </w:r>
      <w:r w:rsidRPr="00BE5F44">
        <w:t>Transparencia y Acceso a la Información Pública del Estado de México y Municipios.</w:t>
      </w:r>
    </w:p>
    <w:p w14:paraId="79F386F8" w14:textId="77777777" w:rsidR="00BE5F44" w:rsidRDefault="00BE5F44" w:rsidP="00963119">
      <w:pPr>
        <w:spacing w:after="0" w:line="360" w:lineRule="auto"/>
        <w:contextualSpacing/>
      </w:pPr>
    </w:p>
    <w:p w14:paraId="2FCE815A" w14:textId="4FFE4C98" w:rsidR="00903FF3" w:rsidRPr="00BE5F44" w:rsidRDefault="002966D0" w:rsidP="00963119">
      <w:pPr>
        <w:spacing w:after="0" w:line="360" w:lineRule="auto"/>
        <w:contextualSpacing/>
      </w:pPr>
      <w:r w:rsidRPr="00BE5F44">
        <w:rPr>
          <w:b/>
          <w:bCs/>
        </w:rPr>
        <w:lastRenderedPageBreak/>
        <w:t>TERCERO. NOTIFÍQUESE</w:t>
      </w:r>
      <w:r w:rsidRPr="00BE5F44">
        <w:t xml:space="preserve"> </w:t>
      </w:r>
      <w:r w:rsidR="00D15CC6" w:rsidRPr="00BE5F44">
        <w:rPr>
          <w:b/>
        </w:rPr>
        <w:t>VÍA SAIMEX</w:t>
      </w:r>
      <w:r w:rsidR="00D15CC6" w:rsidRPr="00BE5F44">
        <w:t xml:space="preserve">, </w:t>
      </w:r>
      <w:r w:rsidRPr="00BE5F44">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870467" w:rsidRPr="00BE5F44">
        <w:t>Ley de Transparencia y Acceso a la Información Pública del Estado de México y Municipios</w:t>
      </w:r>
      <w:r w:rsidR="00870467">
        <w:t>.</w:t>
      </w:r>
      <w:r w:rsidR="00B81C13">
        <w:t xml:space="preserve"> </w:t>
      </w:r>
      <w:r w:rsidR="00903FF3" w:rsidRPr="00BE5F44">
        <w:t xml:space="preserve">De conformidad con el artículo 198 de la </w:t>
      </w:r>
      <w:r w:rsidR="00B81C13">
        <w:t>Ley citada</w:t>
      </w:r>
      <w:r w:rsidR="00903FF3" w:rsidRPr="00BE5F44">
        <w:t>, de considerarlo procedente, el Sujeto Obligado de manera fundada y motivada, podrá solicitar una ampliación de plazo para el cumplimiento de la presente resolución.</w:t>
      </w:r>
    </w:p>
    <w:p w14:paraId="29F22196" w14:textId="77777777" w:rsidR="00903FF3" w:rsidRPr="00BE5F44" w:rsidRDefault="00903FF3" w:rsidP="00963119">
      <w:pPr>
        <w:spacing w:after="0" w:line="360" w:lineRule="auto"/>
        <w:contextualSpacing/>
      </w:pPr>
    </w:p>
    <w:p w14:paraId="134A90AE" w14:textId="71CDBB8D" w:rsidR="00A41EB9" w:rsidRPr="00BE5F44" w:rsidRDefault="00A41EB9" w:rsidP="00963119">
      <w:pPr>
        <w:spacing w:after="0" w:line="360" w:lineRule="auto"/>
        <w:contextualSpacing/>
      </w:pPr>
      <w:r w:rsidRPr="00BE5F44">
        <w:rPr>
          <w:b/>
          <w:bCs/>
        </w:rPr>
        <w:t>CUARTO. NOTIFÍQUESE</w:t>
      </w:r>
      <w:r w:rsidRPr="00BE5F44">
        <w:t xml:space="preserve"> </w:t>
      </w:r>
      <w:r w:rsidR="00D15CC6" w:rsidRPr="00BE5F44">
        <w:rPr>
          <w:b/>
        </w:rPr>
        <w:t>VÍA SAIMEX</w:t>
      </w:r>
      <w:r w:rsidR="00D15CC6" w:rsidRPr="00BE5F44">
        <w:t xml:space="preserve"> </w:t>
      </w:r>
      <w:r w:rsidRPr="00BE5F44">
        <w:t xml:space="preserve">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5A4B7D51" w14:textId="77777777" w:rsidR="00A41EB9" w:rsidRPr="00BE5F44" w:rsidRDefault="00A41EB9" w:rsidP="00963119">
      <w:pPr>
        <w:spacing w:after="0" w:line="360" w:lineRule="auto"/>
        <w:contextualSpacing/>
      </w:pPr>
    </w:p>
    <w:p w14:paraId="1CABFA8B" w14:textId="32479DC1" w:rsidR="000542FF" w:rsidRDefault="000542FF" w:rsidP="00963119">
      <w:pPr>
        <w:spacing w:after="0" w:line="360" w:lineRule="auto"/>
        <w:contextualSpacing/>
        <w:rPr>
          <w:rFonts w:eastAsiaTheme="minorHAnsi" w:cstheme="minorBidi"/>
        </w:rPr>
      </w:pPr>
      <w:r w:rsidRPr="00D367EB">
        <w:rPr>
          <w:rFonts w:eastAsiaTheme="minorHAnsi" w:cstheme="minorBidi"/>
        </w:rPr>
        <w:t xml:space="preserve">ASÍ LO RESUELVE, POR </w:t>
      </w:r>
      <w:r w:rsidRPr="004E6CDD">
        <w:rPr>
          <w:rFonts w:eastAsiaTheme="minorHAnsi" w:cstheme="minorBidi"/>
          <w:b/>
        </w:rPr>
        <w:t>UNANIMIDAD</w:t>
      </w:r>
      <w:r w:rsidRPr="00D367EB">
        <w:rPr>
          <w:rFonts w:eastAsiaTheme="minorHAnsi" w:cstheme="minorBidi"/>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244E20">
        <w:rPr>
          <w:rFonts w:eastAsiaTheme="minorHAnsi" w:cstheme="minorBidi"/>
        </w:rPr>
        <w:t xml:space="preserve">CON VOTO PARTICULAR </w:t>
      </w:r>
      <w:r w:rsidRPr="00D367EB">
        <w:rPr>
          <w:rFonts w:eastAsiaTheme="minorHAnsi" w:cstheme="minorBidi"/>
        </w:rPr>
        <w:t>Y GUADALUPE RAMÍREZ PEÑA</w:t>
      </w:r>
      <w:r w:rsidR="004E6CDD">
        <w:rPr>
          <w:rFonts w:eastAsiaTheme="minorHAnsi" w:cstheme="minorBidi"/>
        </w:rPr>
        <w:t xml:space="preserve"> CON VOTO PARTICULAR</w:t>
      </w:r>
      <w:bookmarkStart w:id="16" w:name="_GoBack"/>
      <w:bookmarkEnd w:id="16"/>
      <w:r w:rsidRPr="00D367EB">
        <w:rPr>
          <w:rFonts w:eastAsiaTheme="minorHAnsi" w:cstheme="minorBidi"/>
        </w:rPr>
        <w:t xml:space="preserve">; EN LA </w:t>
      </w:r>
      <w:r w:rsidR="00244E20">
        <w:rPr>
          <w:rFonts w:eastAsiaTheme="minorHAnsi" w:cstheme="minorBidi"/>
        </w:rPr>
        <w:t>CUADRAGÉSIMA PRIMERA</w:t>
      </w:r>
      <w:r w:rsidRPr="00D367EB">
        <w:rPr>
          <w:rFonts w:eastAsiaTheme="minorHAnsi" w:cstheme="minorBidi"/>
        </w:rPr>
        <w:t xml:space="preserve"> SESIÓN ORDINARIA CELEBRADA EL </w:t>
      </w:r>
      <w:r w:rsidR="00244E20">
        <w:rPr>
          <w:rFonts w:eastAsiaTheme="minorHAnsi" w:cstheme="minorBidi"/>
        </w:rPr>
        <w:t>VEINTE DE NOVIEMBRE</w:t>
      </w:r>
      <w:r>
        <w:rPr>
          <w:rFonts w:eastAsiaTheme="minorHAnsi" w:cstheme="minorBidi"/>
        </w:rPr>
        <w:t xml:space="preserve"> DE DOS MIL VEINTICINCO</w:t>
      </w:r>
      <w:r w:rsidRPr="00D367EB">
        <w:rPr>
          <w:rFonts w:eastAsiaTheme="minorHAnsi" w:cstheme="minorBidi"/>
        </w:rPr>
        <w:t>, ANTE EL SECRETARIO TÉCNICO DEL PLENO, ALEXIS TAPIA RAMÍREZ.</w:t>
      </w:r>
    </w:p>
    <w:p w14:paraId="179505B9" w14:textId="77777777" w:rsidR="00A41EB9" w:rsidRPr="00BE5F44" w:rsidRDefault="00A41EB9" w:rsidP="00963119">
      <w:pPr>
        <w:spacing w:after="0" w:line="360" w:lineRule="auto"/>
        <w:contextualSpacing/>
      </w:pPr>
    </w:p>
    <w:p w14:paraId="7A0E0F35" w14:textId="77777777" w:rsidR="00AB00E8" w:rsidRDefault="00AB00E8" w:rsidP="00963119">
      <w:pPr>
        <w:spacing w:after="0" w:line="360" w:lineRule="auto"/>
        <w:contextualSpacing/>
      </w:pPr>
    </w:p>
    <w:p w14:paraId="086A4E82" w14:textId="77777777" w:rsidR="00AB00E8" w:rsidRDefault="00AB00E8" w:rsidP="00963119">
      <w:pPr>
        <w:spacing w:after="0" w:line="360" w:lineRule="auto"/>
        <w:contextualSpacing/>
      </w:pPr>
    </w:p>
    <w:p w14:paraId="71527437" w14:textId="77777777" w:rsidR="00AB00E8" w:rsidRDefault="00AB00E8" w:rsidP="00963119">
      <w:pPr>
        <w:spacing w:after="0" w:line="360" w:lineRule="auto"/>
        <w:contextualSpacing/>
      </w:pPr>
    </w:p>
    <w:p w14:paraId="03415B85" w14:textId="77777777" w:rsidR="00AB00E8" w:rsidRDefault="00AB00E8" w:rsidP="00963119">
      <w:pPr>
        <w:spacing w:after="0" w:line="360" w:lineRule="auto"/>
        <w:contextualSpacing/>
      </w:pPr>
    </w:p>
    <w:p w14:paraId="264EBB5E" w14:textId="77777777" w:rsidR="00AB00E8" w:rsidRDefault="00AB00E8" w:rsidP="00963119">
      <w:pPr>
        <w:spacing w:after="0" w:line="360" w:lineRule="auto"/>
        <w:contextualSpacing/>
      </w:pPr>
    </w:p>
    <w:p w14:paraId="3576DAA5" w14:textId="77777777" w:rsidR="00AB00E8" w:rsidRDefault="00AB00E8" w:rsidP="00963119">
      <w:pPr>
        <w:spacing w:after="0" w:line="360" w:lineRule="auto"/>
        <w:contextualSpacing/>
      </w:pPr>
    </w:p>
    <w:p w14:paraId="2BAEA916" w14:textId="77777777" w:rsidR="00AB00E8" w:rsidRDefault="00AB00E8" w:rsidP="00963119">
      <w:pPr>
        <w:spacing w:after="0" w:line="360" w:lineRule="auto"/>
        <w:contextualSpacing/>
      </w:pPr>
    </w:p>
    <w:p w14:paraId="66996CDC" w14:textId="77777777" w:rsidR="00AB00E8" w:rsidRPr="00BE5F44" w:rsidRDefault="00AB00E8" w:rsidP="00963119">
      <w:pPr>
        <w:spacing w:after="0" w:line="360" w:lineRule="auto"/>
        <w:contextualSpacing/>
      </w:pPr>
    </w:p>
    <w:p w14:paraId="17BD76D7" w14:textId="77777777" w:rsidR="00A41EB9" w:rsidRPr="00BE5F44" w:rsidRDefault="00A41EB9" w:rsidP="00963119">
      <w:pPr>
        <w:spacing w:after="0" w:line="360" w:lineRule="auto"/>
        <w:contextualSpacing/>
      </w:pPr>
    </w:p>
    <w:p w14:paraId="340AE13B" w14:textId="77777777" w:rsidR="00A41EB9" w:rsidRPr="00BE5F44" w:rsidRDefault="00A41EB9" w:rsidP="00963119">
      <w:pPr>
        <w:spacing w:after="0" w:line="360" w:lineRule="auto"/>
        <w:contextualSpacing/>
      </w:pPr>
    </w:p>
    <w:p w14:paraId="6E1FC283" w14:textId="77777777" w:rsidR="00A41EB9" w:rsidRPr="00BE5F44" w:rsidRDefault="00A41EB9" w:rsidP="00963119">
      <w:pPr>
        <w:spacing w:after="0" w:line="360" w:lineRule="auto"/>
        <w:contextualSpacing/>
      </w:pPr>
    </w:p>
    <w:p w14:paraId="74295718" w14:textId="77777777" w:rsidR="00A41EB9" w:rsidRPr="00BE5F44" w:rsidRDefault="00A41EB9" w:rsidP="00963119">
      <w:pPr>
        <w:spacing w:after="0" w:line="360" w:lineRule="auto"/>
        <w:contextualSpacing/>
      </w:pPr>
    </w:p>
    <w:p w14:paraId="095817D5" w14:textId="77777777" w:rsidR="00A41EB9" w:rsidRPr="00BE5F44" w:rsidRDefault="00A41EB9" w:rsidP="00963119">
      <w:pPr>
        <w:spacing w:after="0" w:line="360" w:lineRule="auto"/>
        <w:contextualSpacing/>
      </w:pPr>
    </w:p>
    <w:p w14:paraId="22F90CDA" w14:textId="77777777" w:rsidR="00A41EB9" w:rsidRPr="00BE5F44" w:rsidRDefault="00A41EB9" w:rsidP="00963119">
      <w:pPr>
        <w:spacing w:after="0" w:line="360" w:lineRule="auto"/>
        <w:contextualSpacing/>
      </w:pPr>
    </w:p>
    <w:p w14:paraId="010FC6BA" w14:textId="77777777" w:rsidR="00A41EB9" w:rsidRPr="00BE5F44" w:rsidRDefault="00A41EB9" w:rsidP="00963119">
      <w:pPr>
        <w:spacing w:after="0" w:line="360" w:lineRule="auto"/>
        <w:contextualSpacing/>
      </w:pPr>
    </w:p>
    <w:p w14:paraId="309F1885" w14:textId="77777777" w:rsidR="00A41EB9" w:rsidRPr="00BE5F44" w:rsidRDefault="00A41EB9" w:rsidP="00963119">
      <w:pPr>
        <w:spacing w:after="0" w:line="360" w:lineRule="auto"/>
        <w:contextualSpacing/>
      </w:pPr>
    </w:p>
    <w:p w14:paraId="5C087ED1" w14:textId="77777777" w:rsidR="00A41EB9" w:rsidRPr="00BE5F44" w:rsidRDefault="00A41EB9" w:rsidP="00963119">
      <w:pPr>
        <w:spacing w:after="0" w:line="360" w:lineRule="auto"/>
        <w:contextualSpacing/>
      </w:pPr>
    </w:p>
    <w:p w14:paraId="13039579" w14:textId="77777777" w:rsidR="00A41EB9" w:rsidRPr="00BE5F44" w:rsidRDefault="00A41EB9" w:rsidP="00963119">
      <w:pPr>
        <w:spacing w:after="0" w:line="360" w:lineRule="auto"/>
        <w:contextualSpacing/>
      </w:pPr>
    </w:p>
    <w:p w14:paraId="46C8719C" w14:textId="77777777" w:rsidR="00A41EB9" w:rsidRPr="00BE5F44" w:rsidRDefault="00A41EB9" w:rsidP="00963119">
      <w:pPr>
        <w:spacing w:after="0" w:line="360" w:lineRule="auto"/>
        <w:contextualSpacing/>
      </w:pPr>
    </w:p>
    <w:p w14:paraId="33C7B461" w14:textId="77777777" w:rsidR="00A41EB9" w:rsidRPr="00BE5F44" w:rsidRDefault="00A41EB9" w:rsidP="00963119">
      <w:pPr>
        <w:spacing w:after="0" w:line="360" w:lineRule="auto"/>
        <w:contextualSpacing/>
      </w:pPr>
    </w:p>
    <w:p w14:paraId="64B3667C" w14:textId="77777777" w:rsidR="00A41EB9" w:rsidRPr="00BE5F44" w:rsidRDefault="00A41EB9" w:rsidP="00963119">
      <w:pPr>
        <w:spacing w:after="0" w:line="360" w:lineRule="auto"/>
        <w:contextualSpacing/>
      </w:pPr>
    </w:p>
    <w:p w14:paraId="3EFCAC48" w14:textId="77777777" w:rsidR="00A41EB9" w:rsidRPr="00BE5F44" w:rsidRDefault="00A41EB9" w:rsidP="00963119">
      <w:pPr>
        <w:spacing w:after="0" w:line="360" w:lineRule="auto"/>
        <w:contextualSpacing/>
      </w:pPr>
    </w:p>
    <w:p w14:paraId="4765F64D" w14:textId="77777777" w:rsidR="00A41EB9" w:rsidRPr="00BE5F44" w:rsidRDefault="00A41EB9" w:rsidP="00963119">
      <w:pPr>
        <w:spacing w:after="0" w:line="360" w:lineRule="auto"/>
        <w:contextualSpacing/>
        <w:rPr>
          <w:b/>
          <w:bCs/>
        </w:rPr>
      </w:pPr>
    </w:p>
    <w:sectPr w:rsidR="00A41EB9" w:rsidRPr="00BE5F44" w:rsidSect="00254117">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24D21" w14:textId="77777777" w:rsidR="00BB64D8" w:rsidRDefault="00BB64D8">
      <w:pPr>
        <w:spacing w:after="0" w:line="240" w:lineRule="auto"/>
      </w:pPr>
      <w:r>
        <w:separator/>
      </w:r>
    </w:p>
  </w:endnote>
  <w:endnote w:type="continuationSeparator" w:id="0">
    <w:p w14:paraId="20EC1E8D" w14:textId="77777777" w:rsidR="00BB64D8" w:rsidRDefault="00BB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elle Sans Devanagari">
    <w:charset w:val="B2"/>
    <w:family w:val="auto"/>
    <w:pitch w:val="variable"/>
    <w:sig w:usb0="0300A007" w:usb1="00000001" w:usb2="00000008" w:usb3="00000000" w:csb0="0001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FE450E" w:rsidRDefault="00FE45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50285">
      <w:rPr>
        <w:b/>
        <w:noProof/>
        <w:color w:val="000000"/>
        <w:sz w:val="24"/>
        <w:szCs w:val="24"/>
      </w:rPr>
      <w:t>50</w:t>
    </w:r>
    <w:r>
      <w:rPr>
        <w:b/>
        <w:color w:val="000000"/>
        <w:sz w:val="24"/>
        <w:szCs w:val="24"/>
      </w:rPr>
      <w:fldChar w:fldCharType="end"/>
    </w:r>
  </w:p>
  <w:p w14:paraId="7EB9860B" w14:textId="77777777" w:rsidR="00FE450E" w:rsidRDefault="00FE450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77777777" w:rsidR="00FE450E" w:rsidRDefault="00FE45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50285">
      <w:rPr>
        <w:b/>
        <w:noProof/>
        <w:color w:val="000000"/>
        <w:sz w:val="24"/>
        <w:szCs w:val="24"/>
      </w:rPr>
      <w:t>49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50285">
      <w:rPr>
        <w:b/>
        <w:noProof/>
        <w:color w:val="000000"/>
        <w:sz w:val="24"/>
        <w:szCs w:val="24"/>
      </w:rPr>
      <w:t>50</w:t>
    </w:r>
    <w:r>
      <w:rPr>
        <w:b/>
        <w:color w:val="000000"/>
        <w:sz w:val="24"/>
        <w:szCs w:val="24"/>
      </w:rPr>
      <w:fldChar w:fldCharType="end"/>
    </w:r>
  </w:p>
  <w:p w14:paraId="0D7FA8D9" w14:textId="77777777" w:rsidR="00FE450E" w:rsidRDefault="00FE450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E450E" w:rsidRDefault="00FE45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5028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50285">
      <w:rPr>
        <w:b/>
        <w:noProof/>
        <w:color w:val="000000"/>
        <w:sz w:val="24"/>
        <w:szCs w:val="24"/>
      </w:rPr>
      <w:t>50</w:t>
    </w:r>
    <w:r>
      <w:rPr>
        <w:b/>
        <w:color w:val="000000"/>
        <w:sz w:val="24"/>
        <w:szCs w:val="24"/>
      </w:rPr>
      <w:fldChar w:fldCharType="end"/>
    </w:r>
  </w:p>
  <w:p w14:paraId="6796AF5F" w14:textId="77777777" w:rsidR="00FE450E" w:rsidRDefault="00FE450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1ACE" w14:textId="77777777" w:rsidR="00BB64D8" w:rsidRDefault="00BB64D8">
      <w:pPr>
        <w:spacing w:after="0" w:line="240" w:lineRule="auto"/>
      </w:pPr>
      <w:r>
        <w:separator/>
      </w:r>
    </w:p>
  </w:footnote>
  <w:footnote w:type="continuationSeparator" w:id="0">
    <w:p w14:paraId="53CBDB1A" w14:textId="77777777" w:rsidR="00BB64D8" w:rsidRDefault="00BB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E450E" w:rsidRDefault="00FE450E">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E450E" w14:paraId="10C29E94" w14:textId="77777777">
      <w:trPr>
        <w:trHeight w:val="132"/>
      </w:trPr>
      <w:tc>
        <w:tcPr>
          <w:tcW w:w="2691" w:type="dxa"/>
        </w:tcPr>
        <w:p w14:paraId="7D85A4B8" w14:textId="77777777" w:rsidR="00FE450E" w:rsidRDefault="00FE450E">
          <w:pPr>
            <w:tabs>
              <w:tab w:val="right" w:pos="8838"/>
            </w:tabs>
            <w:ind w:right="-105"/>
            <w:rPr>
              <w:b/>
            </w:rPr>
          </w:pPr>
          <w:r>
            <w:rPr>
              <w:b/>
            </w:rPr>
            <w:t>Recurso de Revisión:</w:t>
          </w:r>
        </w:p>
      </w:tc>
      <w:tc>
        <w:tcPr>
          <w:tcW w:w="3405" w:type="dxa"/>
        </w:tcPr>
        <w:p w14:paraId="0B0D1A9D" w14:textId="77777777" w:rsidR="00FE450E" w:rsidRDefault="00FE450E">
          <w:pPr>
            <w:tabs>
              <w:tab w:val="right" w:pos="8838"/>
            </w:tabs>
            <w:ind w:left="-28" w:right="-32"/>
          </w:pPr>
          <w:r>
            <w:t>03846/INFOEM/IP/RR/2020</w:t>
          </w:r>
        </w:p>
      </w:tc>
    </w:tr>
    <w:tr w:rsidR="00FE450E" w14:paraId="2F47AC72" w14:textId="77777777">
      <w:trPr>
        <w:trHeight w:val="261"/>
      </w:trPr>
      <w:tc>
        <w:tcPr>
          <w:tcW w:w="2691" w:type="dxa"/>
        </w:tcPr>
        <w:p w14:paraId="154A4752" w14:textId="77777777" w:rsidR="00FE450E" w:rsidRDefault="00FE450E">
          <w:pPr>
            <w:tabs>
              <w:tab w:val="right" w:pos="8838"/>
            </w:tabs>
            <w:ind w:right="-105"/>
            <w:rPr>
              <w:b/>
            </w:rPr>
          </w:pPr>
          <w:r>
            <w:rPr>
              <w:b/>
            </w:rPr>
            <w:t>Sujeto Obligado:</w:t>
          </w:r>
        </w:p>
      </w:tc>
      <w:tc>
        <w:tcPr>
          <w:tcW w:w="3405" w:type="dxa"/>
        </w:tcPr>
        <w:p w14:paraId="5D9EC711" w14:textId="77777777" w:rsidR="00FE450E" w:rsidRDefault="00FE450E">
          <w:pPr>
            <w:tabs>
              <w:tab w:val="right" w:pos="8838"/>
            </w:tabs>
            <w:ind w:right="-32"/>
          </w:pPr>
          <w:r>
            <w:t>Ayuntamiento de Temascalcingo</w:t>
          </w:r>
        </w:p>
      </w:tc>
    </w:tr>
    <w:tr w:rsidR="00FE450E" w14:paraId="11FBB450" w14:textId="77777777">
      <w:trPr>
        <w:trHeight w:val="261"/>
      </w:trPr>
      <w:tc>
        <w:tcPr>
          <w:tcW w:w="2691" w:type="dxa"/>
        </w:tcPr>
        <w:p w14:paraId="6BAF6003" w14:textId="77777777" w:rsidR="00FE450E" w:rsidRDefault="00FE450E">
          <w:pPr>
            <w:tabs>
              <w:tab w:val="right" w:pos="8838"/>
            </w:tabs>
            <w:ind w:right="-105"/>
            <w:rPr>
              <w:b/>
            </w:rPr>
          </w:pPr>
          <w:r>
            <w:rPr>
              <w:b/>
            </w:rPr>
            <w:t>Comisionado Ponente:</w:t>
          </w:r>
        </w:p>
      </w:tc>
      <w:tc>
        <w:tcPr>
          <w:tcW w:w="3405" w:type="dxa"/>
        </w:tcPr>
        <w:p w14:paraId="420341AF" w14:textId="77777777" w:rsidR="00FE450E" w:rsidRDefault="00FE450E">
          <w:pPr>
            <w:tabs>
              <w:tab w:val="right" w:pos="8838"/>
            </w:tabs>
            <w:ind w:right="-32"/>
            <w:rPr>
              <w:b/>
            </w:rPr>
          </w:pPr>
          <w:r>
            <w:t>Luis Gustavo Parra Noriega</w:t>
          </w:r>
        </w:p>
      </w:tc>
    </w:tr>
  </w:tbl>
  <w:p w14:paraId="00411D75" w14:textId="77777777" w:rsidR="00FE450E" w:rsidRDefault="00BB64D8">
    <w:pPr>
      <w:pBdr>
        <w:top w:val="nil"/>
        <w:left w:val="nil"/>
        <w:bottom w:val="nil"/>
        <w:right w:val="nil"/>
        <w:between w:val="nil"/>
      </w:pBdr>
      <w:tabs>
        <w:tab w:val="center" w:pos="4419"/>
        <w:tab w:val="right" w:pos="8838"/>
      </w:tabs>
      <w:spacing w:after="0" w:line="240" w:lineRule="auto"/>
      <w:rPr>
        <w:color w:val="000000"/>
      </w:rPr>
    </w:pPr>
    <w:r>
      <w:rPr>
        <w:color w:val="000000"/>
      </w:rPr>
      <w:pict w14:anchorId="3CBDC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77777777" w:rsidR="00FE450E" w:rsidRDefault="00FE450E">
    <w:pPr>
      <w:widowControl w:val="0"/>
      <w:pBdr>
        <w:top w:val="nil"/>
        <w:left w:val="nil"/>
        <w:bottom w:val="nil"/>
        <w:right w:val="nil"/>
        <w:between w:val="nil"/>
      </w:pBdr>
      <w:spacing w:after="0" w:line="276" w:lineRule="auto"/>
      <w:jc w:val="left"/>
    </w:pPr>
  </w:p>
  <w:tbl>
    <w:tblPr>
      <w:tblStyle w:val="a0"/>
      <w:tblW w:w="6803"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FE450E" w14:paraId="40D5D5A3" w14:textId="77777777" w:rsidTr="00244E20">
      <w:trPr>
        <w:trHeight w:val="138"/>
      </w:trPr>
      <w:tc>
        <w:tcPr>
          <w:tcW w:w="2551" w:type="dxa"/>
          <w:vAlign w:val="center"/>
        </w:tcPr>
        <w:p w14:paraId="1DB5C8D0" w14:textId="77777777" w:rsidR="00FE450E" w:rsidRDefault="00FE450E">
          <w:pPr>
            <w:tabs>
              <w:tab w:val="right" w:pos="8838"/>
            </w:tabs>
            <w:ind w:right="-105"/>
            <w:jc w:val="left"/>
            <w:rPr>
              <w:b/>
            </w:rPr>
          </w:pPr>
          <w:r>
            <w:rPr>
              <w:b/>
            </w:rPr>
            <w:t>Recurso de Revisión:</w:t>
          </w:r>
        </w:p>
      </w:tc>
      <w:tc>
        <w:tcPr>
          <w:tcW w:w="4252" w:type="dxa"/>
        </w:tcPr>
        <w:p w14:paraId="61E59D71" w14:textId="39498910" w:rsidR="00FE450E" w:rsidRDefault="00FE450E" w:rsidP="00FE450E">
          <w:pPr>
            <w:tabs>
              <w:tab w:val="right" w:pos="8838"/>
            </w:tabs>
            <w:ind w:left="-113" w:right="57"/>
          </w:pPr>
          <w:r>
            <w:t>08981</w:t>
          </w:r>
          <w:r w:rsidRPr="00652269">
            <w:t>INFOEM/IP/RR/2025 y acumulado</w:t>
          </w:r>
          <w:r>
            <w:t>s</w:t>
          </w:r>
        </w:p>
      </w:tc>
    </w:tr>
    <w:tr w:rsidR="00FE450E" w14:paraId="7A281F30" w14:textId="77777777" w:rsidTr="00244E20">
      <w:trPr>
        <w:trHeight w:val="273"/>
      </w:trPr>
      <w:tc>
        <w:tcPr>
          <w:tcW w:w="2551" w:type="dxa"/>
        </w:tcPr>
        <w:p w14:paraId="6671A308" w14:textId="77777777" w:rsidR="00FE450E" w:rsidRDefault="00FE450E">
          <w:pPr>
            <w:tabs>
              <w:tab w:val="right" w:pos="8838"/>
            </w:tabs>
            <w:ind w:right="-105"/>
            <w:rPr>
              <w:b/>
            </w:rPr>
          </w:pPr>
          <w:r>
            <w:rPr>
              <w:b/>
            </w:rPr>
            <w:t>Sujeto Obligado:</w:t>
          </w:r>
        </w:p>
      </w:tc>
      <w:tc>
        <w:tcPr>
          <w:tcW w:w="4252" w:type="dxa"/>
        </w:tcPr>
        <w:p w14:paraId="30885B6D" w14:textId="569C703C" w:rsidR="00FE450E" w:rsidRDefault="00FE450E" w:rsidP="00B60DBE">
          <w:pPr>
            <w:tabs>
              <w:tab w:val="right" w:pos="8838"/>
            </w:tabs>
            <w:ind w:left="-113" w:right="-113"/>
          </w:pPr>
          <w:r>
            <w:t>Ayuntamiento de Toluca</w:t>
          </w:r>
        </w:p>
      </w:tc>
    </w:tr>
    <w:tr w:rsidR="00FE450E" w14:paraId="00C22F2F" w14:textId="77777777" w:rsidTr="00244E20">
      <w:trPr>
        <w:trHeight w:val="273"/>
      </w:trPr>
      <w:tc>
        <w:tcPr>
          <w:tcW w:w="2551" w:type="dxa"/>
        </w:tcPr>
        <w:p w14:paraId="70417649" w14:textId="77777777" w:rsidR="00FE450E" w:rsidRDefault="00FE450E">
          <w:pPr>
            <w:tabs>
              <w:tab w:val="right" w:pos="8838"/>
            </w:tabs>
            <w:ind w:right="-105"/>
            <w:rPr>
              <w:b/>
            </w:rPr>
          </w:pPr>
          <w:r>
            <w:rPr>
              <w:b/>
            </w:rPr>
            <w:t>Comisionado Ponente:</w:t>
          </w:r>
        </w:p>
      </w:tc>
      <w:tc>
        <w:tcPr>
          <w:tcW w:w="4252" w:type="dxa"/>
        </w:tcPr>
        <w:p w14:paraId="1A63C67B" w14:textId="77777777" w:rsidR="00FE450E" w:rsidRDefault="00FE450E">
          <w:pPr>
            <w:tabs>
              <w:tab w:val="right" w:pos="8838"/>
            </w:tabs>
            <w:ind w:left="-113" w:right="-170"/>
            <w:rPr>
              <w:b/>
            </w:rPr>
          </w:pPr>
          <w:r>
            <w:t>Luis Gustavo Parra Noriega</w:t>
          </w:r>
        </w:p>
      </w:tc>
    </w:tr>
  </w:tbl>
  <w:p w14:paraId="3498D107" w14:textId="77777777" w:rsidR="00FE450E" w:rsidRDefault="00BB64D8">
    <w:pPr>
      <w:pBdr>
        <w:top w:val="nil"/>
        <w:left w:val="nil"/>
        <w:bottom w:val="nil"/>
        <w:right w:val="nil"/>
        <w:between w:val="nil"/>
      </w:pBdr>
      <w:tabs>
        <w:tab w:val="center" w:pos="4419"/>
        <w:tab w:val="right" w:pos="8838"/>
      </w:tabs>
      <w:spacing w:after="0" w:line="240" w:lineRule="auto"/>
      <w:rPr>
        <w:color w:val="000000"/>
      </w:rPr>
    </w:pPr>
    <w:r>
      <w:rPr>
        <w:color w:val="000000"/>
      </w:rPr>
      <w:pict w14:anchorId="1265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FE450E" w:rsidRDefault="00FE450E"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E450E" w14:paraId="6B3232BD" w14:textId="77777777" w:rsidTr="00182020">
      <w:trPr>
        <w:trHeight w:val="132"/>
      </w:trPr>
      <w:tc>
        <w:tcPr>
          <w:tcW w:w="2551" w:type="dxa"/>
        </w:tcPr>
        <w:p w14:paraId="38F16E2F" w14:textId="77777777" w:rsidR="00FE450E" w:rsidRDefault="00FE450E">
          <w:pPr>
            <w:tabs>
              <w:tab w:val="right" w:pos="8838"/>
            </w:tabs>
            <w:ind w:right="-105"/>
            <w:rPr>
              <w:b/>
            </w:rPr>
          </w:pPr>
          <w:r>
            <w:rPr>
              <w:b/>
            </w:rPr>
            <w:t>Recurso de Revisión:</w:t>
          </w:r>
        </w:p>
      </w:tc>
      <w:tc>
        <w:tcPr>
          <w:tcW w:w="4253" w:type="dxa"/>
        </w:tcPr>
        <w:p w14:paraId="211CDC0A" w14:textId="4CFCF604" w:rsidR="00FE450E" w:rsidRDefault="00FE450E">
          <w:pPr>
            <w:tabs>
              <w:tab w:val="right" w:pos="8838"/>
            </w:tabs>
            <w:ind w:left="-111" w:right="-32"/>
          </w:pPr>
          <w:r>
            <w:t>08981/INFOEM/IP/RR/2025 y acumulados</w:t>
          </w:r>
        </w:p>
      </w:tc>
    </w:tr>
    <w:tr w:rsidR="00FE450E" w14:paraId="6AA3CC58" w14:textId="77777777" w:rsidTr="00182020">
      <w:trPr>
        <w:trHeight w:val="132"/>
      </w:trPr>
      <w:tc>
        <w:tcPr>
          <w:tcW w:w="2551" w:type="dxa"/>
        </w:tcPr>
        <w:p w14:paraId="7FD164F5" w14:textId="77777777" w:rsidR="00FE450E" w:rsidRDefault="00FE450E">
          <w:pPr>
            <w:tabs>
              <w:tab w:val="left" w:pos="1875"/>
            </w:tabs>
            <w:ind w:right="-105"/>
            <w:rPr>
              <w:b/>
            </w:rPr>
          </w:pPr>
          <w:r>
            <w:rPr>
              <w:b/>
            </w:rPr>
            <w:t>Recurrente:</w:t>
          </w:r>
          <w:r>
            <w:rPr>
              <w:b/>
            </w:rPr>
            <w:tab/>
          </w:r>
        </w:p>
      </w:tc>
      <w:tc>
        <w:tcPr>
          <w:tcW w:w="4253" w:type="dxa"/>
        </w:tcPr>
        <w:p w14:paraId="1F1B0537" w14:textId="1F76E3F4" w:rsidR="00FE450E" w:rsidRPr="004E21B7" w:rsidRDefault="00FE450E">
          <w:pPr>
            <w:tabs>
              <w:tab w:val="right" w:pos="8838"/>
            </w:tabs>
            <w:ind w:left="-113"/>
          </w:pPr>
        </w:p>
      </w:tc>
    </w:tr>
    <w:tr w:rsidR="00FE450E" w14:paraId="5113CAA6" w14:textId="77777777" w:rsidTr="00182020">
      <w:trPr>
        <w:trHeight w:val="261"/>
      </w:trPr>
      <w:tc>
        <w:tcPr>
          <w:tcW w:w="2551" w:type="dxa"/>
        </w:tcPr>
        <w:p w14:paraId="28E3431B" w14:textId="77777777" w:rsidR="00FE450E" w:rsidRDefault="00FE450E">
          <w:pPr>
            <w:tabs>
              <w:tab w:val="right" w:pos="8838"/>
            </w:tabs>
            <w:ind w:right="-105"/>
            <w:rPr>
              <w:b/>
            </w:rPr>
          </w:pPr>
          <w:r>
            <w:rPr>
              <w:b/>
            </w:rPr>
            <w:t>Sujeto Obligado:</w:t>
          </w:r>
        </w:p>
      </w:tc>
      <w:tc>
        <w:tcPr>
          <w:tcW w:w="4253" w:type="dxa"/>
        </w:tcPr>
        <w:p w14:paraId="3192354E" w14:textId="6A72C5B5" w:rsidR="00FE450E" w:rsidRDefault="00FE450E">
          <w:pPr>
            <w:tabs>
              <w:tab w:val="right" w:pos="8838"/>
            </w:tabs>
            <w:ind w:left="-111" w:right="-32"/>
          </w:pPr>
          <w:r>
            <w:t>Ayuntamiento de Toluca</w:t>
          </w:r>
        </w:p>
      </w:tc>
    </w:tr>
    <w:tr w:rsidR="00FE450E" w14:paraId="5D4C2A35" w14:textId="77777777" w:rsidTr="00182020">
      <w:trPr>
        <w:trHeight w:val="261"/>
      </w:trPr>
      <w:tc>
        <w:tcPr>
          <w:tcW w:w="2551" w:type="dxa"/>
        </w:tcPr>
        <w:p w14:paraId="7F522FEC" w14:textId="77777777" w:rsidR="00FE450E" w:rsidRDefault="00FE450E">
          <w:pPr>
            <w:tabs>
              <w:tab w:val="right" w:pos="8838"/>
            </w:tabs>
            <w:ind w:right="-105"/>
            <w:rPr>
              <w:b/>
            </w:rPr>
          </w:pPr>
          <w:r>
            <w:rPr>
              <w:b/>
            </w:rPr>
            <w:t>Comisionado Ponente:</w:t>
          </w:r>
        </w:p>
      </w:tc>
      <w:tc>
        <w:tcPr>
          <w:tcW w:w="4253" w:type="dxa"/>
        </w:tcPr>
        <w:p w14:paraId="0F0566F9" w14:textId="77777777" w:rsidR="00FE450E" w:rsidRDefault="00FE450E">
          <w:pPr>
            <w:tabs>
              <w:tab w:val="right" w:pos="8838"/>
            </w:tabs>
            <w:ind w:left="-111" w:right="-32"/>
            <w:rPr>
              <w:b/>
            </w:rPr>
          </w:pPr>
          <w:r>
            <w:t>Luis Gustavo Parra Noriega</w:t>
          </w:r>
        </w:p>
      </w:tc>
    </w:tr>
  </w:tbl>
  <w:p w14:paraId="4DFC2598" w14:textId="77777777" w:rsidR="00FE450E" w:rsidRDefault="00BB64D8"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5E307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965557"/>
    <w:multiLevelType w:val="hybridMultilevel"/>
    <w:tmpl w:val="11B6C6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F032DB"/>
    <w:multiLevelType w:val="hybridMultilevel"/>
    <w:tmpl w:val="09BE158A"/>
    <w:lvl w:ilvl="0" w:tplc="B3B6009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5964FB"/>
    <w:multiLevelType w:val="hybridMultilevel"/>
    <w:tmpl w:val="5930F51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095B17"/>
    <w:multiLevelType w:val="hybridMultilevel"/>
    <w:tmpl w:val="A170E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E365D0"/>
    <w:multiLevelType w:val="hybridMultilevel"/>
    <w:tmpl w:val="43D6F3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5755DF"/>
    <w:multiLevelType w:val="hybridMultilevel"/>
    <w:tmpl w:val="0F32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C2E0160"/>
    <w:multiLevelType w:val="hybridMultilevel"/>
    <w:tmpl w:val="11B6C6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DF1B08"/>
    <w:multiLevelType w:val="hybridMultilevel"/>
    <w:tmpl w:val="8326C690"/>
    <w:lvl w:ilvl="0" w:tplc="9E62B940">
      <w:start w:val="1"/>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58002C1"/>
    <w:multiLevelType w:val="multilevel"/>
    <w:tmpl w:val="974A97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930D64"/>
    <w:multiLevelType w:val="hybridMultilevel"/>
    <w:tmpl w:val="B9DCC7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FE30FD5"/>
    <w:multiLevelType w:val="multilevel"/>
    <w:tmpl w:val="FD7E77C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F6B6374"/>
    <w:multiLevelType w:val="hybridMultilevel"/>
    <w:tmpl w:val="7FD6C02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8F2F2D"/>
    <w:multiLevelType w:val="hybridMultilevel"/>
    <w:tmpl w:val="3758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CB031B"/>
    <w:multiLevelType w:val="hybridMultilevel"/>
    <w:tmpl w:val="7FD6C0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8D23E1"/>
    <w:multiLevelType w:val="hybridMultilevel"/>
    <w:tmpl w:val="70F6E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7" w15:restartNumberingAfterBreak="0">
    <w:nsid w:val="7D172E8E"/>
    <w:multiLevelType w:val="multilevel"/>
    <w:tmpl w:val="951835B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DF02C35"/>
    <w:multiLevelType w:val="hybridMultilevel"/>
    <w:tmpl w:val="3A08A9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8"/>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3"/>
  </w:num>
  <w:num w:numId="8">
    <w:abstractNumId w:val="16"/>
  </w:num>
  <w:num w:numId="9">
    <w:abstractNumId w:val="7"/>
  </w:num>
  <w:num w:numId="10">
    <w:abstractNumId w:val="22"/>
  </w:num>
  <w:num w:numId="11">
    <w:abstractNumId w:val="5"/>
  </w:num>
  <w:num w:numId="12">
    <w:abstractNumId w:val="2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8"/>
  </w:num>
  <w:num w:numId="17">
    <w:abstractNumId w:val="0"/>
  </w:num>
  <w:num w:numId="18">
    <w:abstractNumId w:val="9"/>
  </w:num>
  <w:num w:numId="19">
    <w:abstractNumId w:val="3"/>
  </w:num>
  <w:num w:numId="20">
    <w:abstractNumId w:val="16"/>
  </w:num>
  <w:num w:numId="21">
    <w:abstractNumId w:val="29"/>
  </w:num>
  <w:num w:numId="22">
    <w:abstractNumId w:val="6"/>
  </w:num>
  <w:num w:numId="23">
    <w:abstractNumId w:val="23"/>
  </w:num>
  <w:num w:numId="24">
    <w:abstractNumId w:val="11"/>
  </w:num>
  <w:num w:numId="25">
    <w:abstractNumId w:val="14"/>
  </w:num>
  <w:num w:numId="26">
    <w:abstractNumId w:val="10"/>
  </w:num>
  <w:num w:numId="27">
    <w:abstractNumId w:val="2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5"/>
  </w:num>
  <w:num w:numId="31">
    <w:abstractNumId w:val="4"/>
  </w:num>
  <w:num w:numId="32">
    <w:abstractNumId w:val="27"/>
  </w:num>
  <w:num w:numId="33">
    <w:abstractNumId w:val="13"/>
  </w:num>
  <w:num w:numId="34">
    <w:abstractNumId w:val="21"/>
  </w:num>
  <w:num w:numId="35">
    <w:abstractNumId w:val="17"/>
  </w:num>
  <w:num w:numId="36">
    <w:abstractNumId w:val="1"/>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5062"/>
    <w:rsid w:val="00016290"/>
    <w:rsid w:val="00021D8D"/>
    <w:rsid w:val="000229AF"/>
    <w:rsid w:val="00024F00"/>
    <w:rsid w:val="0002588C"/>
    <w:rsid w:val="00030404"/>
    <w:rsid w:val="0003084A"/>
    <w:rsid w:val="00040A1A"/>
    <w:rsid w:val="0004408E"/>
    <w:rsid w:val="000525DA"/>
    <w:rsid w:val="0005404B"/>
    <w:rsid w:val="000542FF"/>
    <w:rsid w:val="00061123"/>
    <w:rsid w:val="0007199C"/>
    <w:rsid w:val="000735F0"/>
    <w:rsid w:val="0007454B"/>
    <w:rsid w:val="000751D7"/>
    <w:rsid w:val="000760EC"/>
    <w:rsid w:val="000770D6"/>
    <w:rsid w:val="000771BA"/>
    <w:rsid w:val="00080CDD"/>
    <w:rsid w:val="00092D0E"/>
    <w:rsid w:val="000939C6"/>
    <w:rsid w:val="000950E3"/>
    <w:rsid w:val="00095789"/>
    <w:rsid w:val="000A3DC3"/>
    <w:rsid w:val="000A4A44"/>
    <w:rsid w:val="000A4AA6"/>
    <w:rsid w:val="000A7F91"/>
    <w:rsid w:val="000C0D96"/>
    <w:rsid w:val="000C7058"/>
    <w:rsid w:val="000D2B3B"/>
    <w:rsid w:val="000E6248"/>
    <w:rsid w:val="000F1944"/>
    <w:rsid w:val="00104C38"/>
    <w:rsid w:val="001065C6"/>
    <w:rsid w:val="00115D96"/>
    <w:rsid w:val="0011710B"/>
    <w:rsid w:val="0012063F"/>
    <w:rsid w:val="001209B4"/>
    <w:rsid w:val="001240CA"/>
    <w:rsid w:val="00124EDA"/>
    <w:rsid w:val="00125BBD"/>
    <w:rsid w:val="00130BC1"/>
    <w:rsid w:val="00136BF5"/>
    <w:rsid w:val="00137036"/>
    <w:rsid w:val="00141D6C"/>
    <w:rsid w:val="00143765"/>
    <w:rsid w:val="001479C0"/>
    <w:rsid w:val="001558BD"/>
    <w:rsid w:val="001636B3"/>
    <w:rsid w:val="00165F1F"/>
    <w:rsid w:val="001664D6"/>
    <w:rsid w:val="00173C13"/>
    <w:rsid w:val="00174B8E"/>
    <w:rsid w:val="00174EDF"/>
    <w:rsid w:val="00180046"/>
    <w:rsid w:val="00182020"/>
    <w:rsid w:val="00185A17"/>
    <w:rsid w:val="00190EA4"/>
    <w:rsid w:val="00191605"/>
    <w:rsid w:val="00192C48"/>
    <w:rsid w:val="001A05AC"/>
    <w:rsid w:val="001B0019"/>
    <w:rsid w:val="001B2064"/>
    <w:rsid w:val="001C24A2"/>
    <w:rsid w:val="001D1EB8"/>
    <w:rsid w:val="001D2A2A"/>
    <w:rsid w:val="001E53D7"/>
    <w:rsid w:val="001F0268"/>
    <w:rsid w:val="002115FB"/>
    <w:rsid w:val="002121F9"/>
    <w:rsid w:val="00215023"/>
    <w:rsid w:val="0021659C"/>
    <w:rsid w:val="00222A40"/>
    <w:rsid w:val="002237EF"/>
    <w:rsid w:val="00226133"/>
    <w:rsid w:val="002357E6"/>
    <w:rsid w:val="002365DE"/>
    <w:rsid w:val="002374EA"/>
    <w:rsid w:val="00244E20"/>
    <w:rsid w:val="00254117"/>
    <w:rsid w:val="0026334C"/>
    <w:rsid w:val="00293E53"/>
    <w:rsid w:val="00294C03"/>
    <w:rsid w:val="0029572E"/>
    <w:rsid w:val="002966D0"/>
    <w:rsid w:val="002A3947"/>
    <w:rsid w:val="002B54ED"/>
    <w:rsid w:val="002C0769"/>
    <w:rsid w:val="002C4990"/>
    <w:rsid w:val="002C64AD"/>
    <w:rsid w:val="002D48DA"/>
    <w:rsid w:val="002D6E95"/>
    <w:rsid w:val="002D76E8"/>
    <w:rsid w:val="002E5C60"/>
    <w:rsid w:val="002F08A1"/>
    <w:rsid w:val="00302BCB"/>
    <w:rsid w:val="00307F86"/>
    <w:rsid w:val="003131F2"/>
    <w:rsid w:val="00315D87"/>
    <w:rsid w:val="0033681E"/>
    <w:rsid w:val="003459AF"/>
    <w:rsid w:val="00345AE7"/>
    <w:rsid w:val="00350285"/>
    <w:rsid w:val="00362295"/>
    <w:rsid w:val="00364674"/>
    <w:rsid w:val="00366246"/>
    <w:rsid w:val="0036690D"/>
    <w:rsid w:val="00366BB8"/>
    <w:rsid w:val="00385F62"/>
    <w:rsid w:val="00387A7E"/>
    <w:rsid w:val="003A4A24"/>
    <w:rsid w:val="003A5923"/>
    <w:rsid w:val="003B51E0"/>
    <w:rsid w:val="003B7575"/>
    <w:rsid w:val="003C5185"/>
    <w:rsid w:val="003D1DC8"/>
    <w:rsid w:val="003F1C87"/>
    <w:rsid w:val="003F3BBA"/>
    <w:rsid w:val="003F6C55"/>
    <w:rsid w:val="003F6DB9"/>
    <w:rsid w:val="004130B0"/>
    <w:rsid w:val="00413B16"/>
    <w:rsid w:val="00421D0F"/>
    <w:rsid w:val="00424ADE"/>
    <w:rsid w:val="004431A6"/>
    <w:rsid w:val="0044451C"/>
    <w:rsid w:val="004528C0"/>
    <w:rsid w:val="00455784"/>
    <w:rsid w:val="004612DA"/>
    <w:rsid w:val="0047432B"/>
    <w:rsid w:val="00483B2B"/>
    <w:rsid w:val="004863F7"/>
    <w:rsid w:val="00487B31"/>
    <w:rsid w:val="004937B2"/>
    <w:rsid w:val="00493883"/>
    <w:rsid w:val="004A01B0"/>
    <w:rsid w:val="004A0B53"/>
    <w:rsid w:val="004A3918"/>
    <w:rsid w:val="004A3D4D"/>
    <w:rsid w:val="004A497F"/>
    <w:rsid w:val="004A58DD"/>
    <w:rsid w:val="004B057A"/>
    <w:rsid w:val="004B4FBD"/>
    <w:rsid w:val="004C1D8D"/>
    <w:rsid w:val="004C1E47"/>
    <w:rsid w:val="004C4625"/>
    <w:rsid w:val="004C68AD"/>
    <w:rsid w:val="004D7BFA"/>
    <w:rsid w:val="004E21B7"/>
    <w:rsid w:val="004E47CC"/>
    <w:rsid w:val="004E661E"/>
    <w:rsid w:val="004E6735"/>
    <w:rsid w:val="004E6CDD"/>
    <w:rsid w:val="004F0490"/>
    <w:rsid w:val="004F66CF"/>
    <w:rsid w:val="005022A7"/>
    <w:rsid w:val="00515399"/>
    <w:rsid w:val="00517D0A"/>
    <w:rsid w:val="00525797"/>
    <w:rsid w:val="00531A8A"/>
    <w:rsid w:val="005455F3"/>
    <w:rsid w:val="00545867"/>
    <w:rsid w:val="00545DC7"/>
    <w:rsid w:val="00546639"/>
    <w:rsid w:val="005572DD"/>
    <w:rsid w:val="00557BC1"/>
    <w:rsid w:val="005618D0"/>
    <w:rsid w:val="0056443F"/>
    <w:rsid w:val="00566EE1"/>
    <w:rsid w:val="00570E7D"/>
    <w:rsid w:val="00571E1C"/>
    <w:rsid w:val="00575CC8"/>
    <w:rsid w:val="0057694C"/>
    <w:rsid w:val="00576A76"/>
    <w:rsid w:val="005816DE"/>
    <w:rsid w:val="005825C9"/>
    <w:rsid w:val="00587759"/>
    <w:rsid w:val="005A1D48"/>
    <w:rsid w:val="005A1EA6"/>
    <w:rsid w:val="005B354D"/>
    <w:rsid w:val="005B41A9"/>
    <w:rsid w:val="005B5507"/>
    <w:rsid w:val="005C6174"/>
    <w:rsid w:val="005C690F"/>
    <w:rsid w:val="005D4CE5"/>
    <w:rsid w:val="005D6BC1"/>
    <w:rsid w:val="005E022D"/>
    <w:rsid w:val="005E1B32"/>
    <w:rsid w:val="005E513B"/>
    <w:rsid w:val="005E56D2"/>
    <w:rsid w:val="005F3F3F"/>
    <w:rsid w:val="006010D8"/>
    <w:rsid w:val="006037C1"/>
    <w:rsid w:val="00603969"/>
    <w:rsid w:val="00604493"/>
    <w:rsid w:val="00615C93"/>
    <w:rsid w:val="006214F0"/>
    <w:rsid w:val="006242F2"/>
    <w:rsid w:val="00630F09"/>
    <w:rsid w:val="00631A3B"/>
    <w:rsid w:val="006455A9"/>
    <w:rsid w:val="00652269"/>
    <w:rsid w:val="00652B3E"/>
    <w:rsid w:val="00655628"/>
    <w:rsid w:val="00664865"/>
    <w:rsid w:val="00671B38"/>
    <w:rsid w:val="00671B91"/>
    <w:rsid w:val="006741BC"/>
    <w:rsid w:val="00681CD4"/>
    <w:rsid w:val="006912CF"/>
    <w:rsid w:val="0069197C"/>
    <w:rsid w:val="006A2326"/>
    <w:rsid w:val="006A596C"/>
    <w:rsid w:val="006A5C6D"/>
    <w:rsid w:val="006A5CAF"/>
    <w:rsid w:val="006A5D58"/>
    <w:rsid w:val="006C41AD"/>
    <w:rsid w:val="006D0B39"/>
    <w:rsid w:val="006D1757"/>
    <w:rsid w:val="006D59E7"/>
    <w:rsid w:val="006D65A5"/>
    <w:rsid w:val="006E72D4"/>
    <w:rsid w:val="006F1838"/>
    <w:rsid w:val="00700106"/>
    <w:rsid w:val="007003B8"/>
    <w:rsid w:val="007010E1"/>
    <w:rsid w:val="00706DFE"/>
    <w:rsid w:val="0070752B"/>
    <w:rsid w:val="0071030D"/>
    <w:rsid w:val="00710CDC"/>
    <w:rsid w:val="007141CE"/>
    <w:rsid w:val="00715EBE"/>
    <w:rsid w:val="00720ACF"/>
    <w:rsid w:val="0072384E"/>
    <w:rsid w:val="007241C3"/>
    <w:rsid w:val="007242E5"/>
    <w:rsid w:val="00724CBC"/>
    <w:rsid w:val="00726ADD"/>
    <w:rsid w:val="007275CE"/>
    <w:rsid w:val="00727DDA"/>
    <w:rsid w:val="00731AD1"/>
    <w:rsid w:val="00733C21"/>
    <w:rsid w:val="007370D6"/>
    <w:rsid w:val="00737DC2"/>
    <w:rsid w:val="007427DA"/>
    <w:rsid w:val="007445B5"/>
    <w:rsid w:val="007475B9"/>
    <w:rsid w:val="007475D7"/>
    <w:rsid w:val="00764A84"/>
    <w:rsid w:val="0076657F"/>
    <w:rsid w:val="00770E69"/>
    <w:rsid w:val="00773978"/>
    <w:rsid w:val="007775E1"/>
    <w:rsid w:val="00782AB8"/>
    <w:rsid w:val="00784CEA"/>
    <w:rsid w:val="0079001B"/>
    <w:rsid w:val="00793436"/>
    <w:rsid w:val="00795B91"/>
    <w:rsid w:val="007A28BC"/>
    <w:rsid w:val="007A3708"/>
    <w:rsid w:val="007C1238"/>
    <w:rsid w:val="007C5477"/>
    <w:rsid w:val="007C7FE7"/>
    <w:rsid w:val="007D354B"/>
    <w:rsid w:val="007D6307"/>
    <w:rsid w:val="007E41C3"/>
    <w:rsid w:val="007E7D1B"/>
    <w:rsid w:val="007F1825"/>
    <w:rsid w:val="007F1FDE"/>
    <w:rsid w:val="007F6273"/>
    <w:rsid w:val="007F7FAB"/>
    <w:rsid w:val="008046BD"/>
    <w:rsid w:val="008111C3"/>
    <w:rsid w:val="00814006"/>
    <w:rsid w:val="00825655"/>
    <w:rsid w:val="00825F20"/>
    <w:rsid w:val="00826412"/>
    <w:rsid w:val="00835AD2"/>
    <w:rsid w:val="00840538"/>
    <w:rsid w:val="00841947"/>
    <w:rsid w:val="0084266E"/>
    <w:rsid w:val="0084381A"/>
    <w:rsid w:val="008446AF"/>
    <w:rsid w:val="008448BE"/>
    <w:rsid w:val="00853647"/>
    <w:rsid w:val="00854E73"/>
    <w:rsid w:val="008609DD"/>
    <w:rsid w:val="00865A09"/>
    <w:rsid w:val="00870467"/>
    <w:rsid w:val="00870729"/>
    <w:rsid w:val="00872EBF"/>
    <w:rsid w:val="00874E6B"/>
    <w:rsid w:val="0089209E"/>
    <w:rsid w:val="008A1DF8"/>
    <w:rsid w:val="008A35D4"/>
    <w:rsid w:val="008A507D"/>
    <w:rsid w:val="008A55BB"/>
    <w:rsid w:val="008A7C67"/>
    <w:rsid w:val="008B2159"/>
    <w:rsid w:val="008B31D5"/>
    <w:rsid w:val="008B48CA"/>
    <w:rsid w:val="008B65FE"/>
    <w:rsid w:val="008B7D4E"/>
    <w:rsid w:val="008C41EF"/>
    <w:rsid w:val="008C5311"/>
    <w:rsid w:val="008C607D"/>
    <w:rsid w:val="008D0AEA"/>
    <w:rsid w:val="008D3356"/>
    <w:rsid w:val="008D6CEC"/>
    <w:rsid w:val="008E0FB5"/>
    <w:rsid w:val="008E3738"/>
    <w:rsid w:val="00901728"/>
    <w:rsid w:val="00903FF3"/>
    <w:rsid w:val="009073D8"/>
    <w:rsid w:val="0091128A"/>
    <w:rsid w:val="00911A99"/>
    <w:rsid w:val="00911F82"/>
    <w:rsid w:val="0091239A"/>
    <w:rsid w:val="009164C9"/>
    <w:rsid w:val="00917CB5"/>
    <w:rsid w:val="00922FF2"/>
    <w:rsid w:val="009253ED"/>
    <w:rsid w:val="0093433C"/>
    <w:rsid w:val="009343C9"/>
    <w:rsid w:val="00935C9C"/>
    <w:rsid w:val="00937304"/>
    <w:rsid w:val="00940DCE"/>
    <w:rsid w:val="00945DB5"/>
    <w:rsid w:val="00950E22"/>
    <w:rsid w:val="00956BB1"/>
    <w:rsid w:val="00963119"/>
    <w:rsid w:val="009643D0"/>
    <w:rsid w:val="00965B3A"/>
    <w:rsid w:val="00967676"/>
    <w:rsid w:val="00977A93"/>
    <w:rsid w:val="00981A9C"/>
    <w:rsid w:val="00994107"/>
    <w:rsid w:val="00995579"/>
    <w:rsid w:val="0099645E"/>
    <w:rsid w:val="009A3E6E"/>
    <w:rsid w:val="009B45E2"/>
    <w:rsid w:val="009C5AA2"/>
    <w:rsid w:val="009C716A"/>
    <w:rsid w:val="009C78CF"/>
    <w:rsid w:val="009D628B"/>
    <w:rsid w:val="009E0F24"/>
    <w:rsid w:val="009E159C"/>
    <w:rsid w:val="009F05B7"/>
    <w:rsid w:val="009F071A"/>
    <w:rsid w:val="009F11D5"/>
    <w:rsid w:val="009F770E"/>
    <w:rsid w:val="00A0143D"/>
    <w:rsid w:val="00A033B7"/>
    <w:rsid w:val="00A045F2"/>
    <w:rsid w:val="00A15A6C"/>
    <w:rsid w:val="00A34673"/>
    <w:rsid w:val="00A35E88"/>
    <w:rsid w:val="00A36E65"/>
    <w:rsid w:val="00A417CB"/>
    <w:rsid w:val="00A41EB9"/>
    <w:rsid w:val="00A45EE8"/>
    <w:rsid w:val="00A56E19"/>
    <w:rsid w:val="00A63A42"/>
    <w:rsid w:val="00A725DE"/>
    <w:rsid w:val="00A72698"/>
    <w:rsid w:val="00A72D79"/>
    <w:rsid w:val="00A73E9A"/>
    <w:rsid w:val="00A7420B"/>
    <w:rsid w:val="00A75CCB"/>
    <w:rsid w:val="00A80AC3"/>
    <w:rsid w:val="00A9389F"/>
    <w:rsid w:val="00A94490"/>
    <w:rsid w:val="00A94A35"/>
    <w:rsid w:val="00AA1014"/>
    <w:rsid w:val="00AA46D6"/>
    <w:rsid w:val="00AB00E8"/>
    <w:rsid w:val="00AB418A"/>
    <w:rsid w:val="00AB6D5E"/>
    <w:rsid w:val="00AC46AC"/>
    <w:rsid w:val="00AD468B"/>
    <w:rsid w:val="00AD5E14"/>
    <w:rsid w:val="00AE00D2"/>
    <w:rsid w:val="00AE0B54"/>
    <w:rsid w:val="00AE1A7F"/>
    <w:rsid w:val="00AE5C65"/>
    <w:rsid w:val="00AE7D7A"/>
    <w:rsid w:val="00AF0924"/>
    <w:rsid w:val="00AF0F00"/>
    <w:rsid w:val="00AF4DA4"/>
    <w:rsid w:val="00AF5A2D"/>
    <w:rsid w:val="00AF7D2D"/>
    <w:rsid w:val="00B050D9"/>
    <w:rsid w:val="00B07349"/>
    <w:rsid w:val="00B1191D"/>
    <w:rsid w:val="00B14F69"/>
    <w:rsid w:val="00B1579E"/>
    <w:rsid w:val="00B17B26"/>
    <w:rsid w:val="00B2222A"/>
    <w:rsid w:val="00B22A17"/>
    <w:rsid w:val="00B23894"/>
    <w:rsid w:val="00B24F38"/>
    <w:rsid w:val="00B3136F"/>
    <w:rsid w:val="00B326D6"/>
    <w:rsid w:val="00B37AFC"/>
    <w:rsid w:val="00B42101"/>
    <w:rsid w:val="00B54628"/>
    <w:rsid w:val="00B5577C"/>
    <w:rsid w:val="00B60DBE"/>
    <w:rsid w:val="00B675A3"/>
    <w:rsid w:val="00B72E8D"/>
    <w:rsid w:val="00B73BAE"/>
    <w:rsid w:val="00B74E53"/>
    <w:rsid w:val="00B75392"/>
    <w:rsid w:val="00B755EB"/>
    <w:rsid w:val="00B76EC5"/>
    <w:rsid w:val="00B80CDA"/>
    <w:rsid w:val="00B81C13"/>
    <w:rsid w:val="00B878DD"/>
    <w:rsid w:val="00B92EA5"/>
    <w:rsid w:val="00B94D06"/>
    <w:rsid w:val="00BA032C"/>
    <w:rsid w:val="00BA5F75"/>
    <w:rsid w:val="00BA6CAF"/>
    <w:rsid w:val="00BB0D42"/>
    <w:rsid w:val="00BB3E6C"/>
    <w:rsid w:val="00BB55CC"/>
    <w:rsid w:val="00BB64D8"/>
    <w:rsid w:val="00BC39D9"/>
    <w:rsid w:val="00BD1024"/>
    <w:rsid w:val="00BD4D4A"/>
    <w:rsid w:val="00BD6505"/>
    <w:rsid w:val="00BE5F44"/>
    <w:rsid w:val="00BF0C25"/>
    <w:rsid w:val="00BF4B51"/>
    <w:rsid w:val="00BF616E"/>
    <w:rsid w:val="00C1699A"/>
    <w:rsid w:val="00C174CE"/>
    <w:rsid w:val="00C241CA"/>
    <w:rsid w:val="00C30287"/>
    <w:rsid w:val="00C307A8"/>
    <w:rsid w:val="00C32E6A"/>
    <w:rsid w:val="00C35C8B"/>
    <w:rsid w:val="00C42A8E"/>
    <w:rsid w:val="00C500A8"/>
    <w:rsid w:val="00C529B0"/>
    <w:rsid w:val="00C54B58"/>
    <w:rsid w:val="00C6040D"/>
    <w:rsid w:val="00C60D14"/>
    <w:rsid w:val="00C771DF"/>
    <w:rsid w:val="00C8214A"/>
    <w:rsid w:val="00C82973"/>
    <w:rsid w:val="00C85B33"/>
    <w:rsid w:val="00C91E33"/>
    <w:rsid w:val="00C97E41"/>
    <w:rsid w:val="00CA02B6"/>
    <w:rsid w:val="00CB32BD"/>
    <w:rsid w:val="00CB5335"/>
    <w:rsid w:val="00CC0435"/>
    <w:rsid w:val="00CC678B"/>
    <w:rsid w:val="00CD6876"/>
    <w:rsid w:val="00CE1F3F"/>
    <w:rsid w:val="00CE2973"/>
    <w:rsid w:val="00CE719D"/>
    <w:rsid w:val="00CF3A4D"/>
    <w:rsid w:val="00CF71CE"/>
    <w:rsid w:val="00CF7CC5"/>
    <w:rsid w:val="00D02831"/>
    <w:rsid w:val="00D04B25"/>
    <w:rsid w:val="00D04FC1"/>
    <w:rsid w:val="00D076B8"/>
    <w:rsid w:val="00D07E4B"/>
    <w:rsid w:val="00D11A3C"/>
    <w:rsid w:val="00D13ABB"/>
    <w:rsid w:val="00D143F3"/>
    <w:rsid w:val="00D144B1"/>
    <w:rsid w:val="00D15CC6"/>
    <w:rsid w:val="00D164BC"/>
    <w:rsid w:val="00D201BB"/>
    <w:rsid w:val="00D25683"/>
    <w:rsid w:val="00D25CFA"/>
    <w:rsid w:val="00D30C9B"/>
    <w:rsid w:val="00D338D9"/>
    <w:rsid w:val="00D4009D"/>
    <w:rsid w:val="00D43035"/>
    <w:rsid w:val="00D438D9"/>
    <w:rsid w:val="00D44EE1"/>
    <w:rsid w:val="00D45BA7"/>
    <w:rsid w:val="00D62F25"/>
    <w:rsid w:val="00D641E4"/>
    <w:rsid w:val="00D663A5"/>
    <w:rsid w:val="00D72EDD"/>
    <w:rsid w:val="00D87BA4"/>
    <w:rsid w:val="00D918B3"/>
    <w:rsid w:val="00DA0B8F"/>
    <w:rsid w:val="00DB61CB"/>
    <w:rsid w:val="00DB68B0"/>
    <w:rsid w:val="00DC0199"/>
    <w:rsid w:val="00DC4300"/>
    <w:rsid w:val="00DC6C7E"/>
    <w:rsid w:val="00DC7907"/>
    <w:rsid w:val="00DD4191"/>
    <w:rsid w:val="00DD4394"/>
    <w:rsid w:val="00DD5666"/>
    <w:rsid w:val="00DD60F4"/>
    <w:rsid w:val="00DE07E8"/>
    <w:rsid w:val="00DE54B9"/>
    <w:rsid w:val="00DE5550"/>
    <w:rsid w:val="00DF3228"/>
    <w:rsid w:val="00DF413B"/>
    <w:rsid w:val="00DF525C"/>
    <w:rsid w:val="00E00FB3"/>
    <w:rsid w:val="00E01492"/>
    <w:rsid w:val="00E02EF5"/>
    <w:rsid w:val="00E0322E"/>
    <w:rsid w:val="00E0416F"/>
    <w:rsid w:val="00E07436"/>
    <w:rsid w:val="00E10D97"/>
    <w:rsid w:val="00E145A9"/>
    <w:rsid w:val="00E152EB"/>
    <w:rsid w:val="00E15E3A"/>
    <w:rsid w:val="00E24E36"/>
    <w:rsid w:val="00E25D0D"/>
    <w:rsid w:val="00E2710E"/>
    <w:rsid w:val="00E30794"/>
    <w:rsid w:val="00E332FF"/>
    <w:rsid w:val="00E34B3F"/>
    <w:rsid w:val="00E4572D"/>
    <w:rsid w:val="00E52A73"/>
    <w:rsid w:val="00E57F83"/>
    <w:rsid w:val="00E6106E"/>
    <w:rsid w:val="00E618A0"/>
    <w:rsid w:val="00E67777"/>
    <w:rsid w:val="00E67882"/>
    <w:rsid w:val="00E73871"/>
    <w:rsid w:val="00E73BE4"/>
    <w:rsid w:val="00E8206C"/>
    <w:rsid w:val="00E91A60"/>
    <w:rsid w:val="00E9384A"/>
    <w:rsid w:val="00E93EE3"/>
    <w:rsid w:val="00EA05AF"/>
    <w:rsid w:val="00EA063F"/>
    <w:rsid w:val="00EA372C"/>
    <w:rsid w:val="00EA39E0"/>
    <w:rsid w:val="00EA5F5D"/>
    <w:rsid w:val="00EA7D4C"/>
    <w:rsid w:val="00EB12B1"/>
    <w:rsid w:val="00EB35EB"/>
    <w:rsid w:val="00EB6872"/>
    <w:rsid w:val="00EB6CF0"/>
    <w:rsid w:val="00EC1ABE"/>
    <w:rsid w:val="00EC1E08"/>
    <w:rsid w:val="00ED0171"/>
    <w:rsid w:val="00ED0A8C"/>
    <w:rsid w:val="00ED3627"/>
    <w:rsid w:val="00EF092F"/>
    <w:rsid w:val="00EF1B16"/>
    <w:rsid w:val="00EF6C8B"/>
    <w:rsid w:val="00F02694"/>
    <w:rsid w:val="00F04168"/>
    <w:rsid w:val="00F10C95"/>
    <w:rsid w:val="00F2122C"/>
    <w:rsid w:val="00F21999"/>
    <w:rsid w:val="00F2518C"/>
    <w:rsid w:val="00F25AF7"/>
    <w:rsid w:val="00F33A95"/>
    <w:rsid w:val="00F35BEC"/>
    <w:rsid w:val="00F36880"/>
    <w:rsid w:val="00F4055D"/>
    <w:rsid w:val="00F4644A"/>
    <w:rsid w:val="00F46BC3"/>
    <w:rsid w:val="00F50072"/>
    <w:rsid w:val="00F50145"/>
    <w:rsid w:val="00F54034"/>
    <w:rsid w:val="00F57508"/>
    <w:rsid w:val="00F61D24"/>
    <w:rsid w:val="00F6479C"/>
    <w:rsid w:val="00F7006D"/>
    <w:rsid w:val="00F71C92"/>
    <w:rsid w:val="00F75A8B"/>
    <w:rsid w:val="00F81A76"/>
    <w:rsid w:val="00F90D5B"/>
    <w:rsid w:val="00F936DE"/>
    <w:rsid w:val="00F94611"/>
    <w:rsid w:val="00F95DFD"/>
    <w:rsid w:val="00FA0896"/>
    <w:rsid w:val="00FA322B"/>
    <w:rsid w:val="00FB2F7E"/>
    <w:rsid w:val="00FB3A22"/>
    <w:rsid w:val="00FC1EB8"/>
    <w:rsid w:val="00FC2034"/>
    <w:rsid w:val="00FC5EA3"/>
    <w:rsid w:val="00FC71D4"/>
    <w:rsid w:val="00FC7EF5"/>
    <w:rsid w:val="00FD6527"/>
    <w:rsid w:val="00FE3139"/>
    <w:rsid w:val="00FE40AD"/>
    <w:rsid w:val="00FE450E"/>
    <w:rsid w:val="00FF4B6B"/>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5FC65C4B-E43C-4E5B-8E61-F50345C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A7E"/>
  </w:style>
  <w:style w:type="paragraph" w:styleId="Ttulo1">
    <w:name w:val="heading 1"/>
    <w:basedOn w:val="Normal"/>
    <w:next w:val="Normal"/>
    <w:uiPriority w:val="9"/>
    <w:qFormat/>
    <w:rsid w:val="00A94A35"/>
    <w:pPr>
      <w:keepNext/>
      <w:keepLines/>
      <w:spacing w:after="0" w:line="360" w:lineRule="auto"/>
      <w:jc w:val="center"/>
      <w:outlineLvl w:val="0"/>
    </w:pPr>
    <w:rPr>
      <w:b/>
      <w:szCs w:val="48"/>
    </w:rPr>
  </w:style>
  <w:style w:type="paragraph" w:styleId="Ttulo2">
    <w:name w:val="heading 2"/>
    <w:basedOn w:val="Normal"/>
    <w:next w:val="Normal"/>
    <w:uiPriority w:val="9"/>
    <w:unhideWhenUsed/>
    <w:qFormat/>
    <w:rsid w:val="00A94A35"/>
    <w:pPr>
      <w:keepNext/>
      <w:keepLines/>
      <w:spacing w:after="0" w:line="360" w:lineRule="auto"/>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 w:type="paragraph" w:styleId="TtulodeTDC">
    <w:name w:val="TOC Heading"/>
    <w:basedOn w:val="Ttulo1"/>
    <w:next w:val="Normal"/>
    <w:uiPriority w:val="39"/>
    <w:unhideWhenUsed/>
    <w:qFormat/>
    <w:rsid w:val="00A94A35"/>
    <w:pP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s-MX"/>
    </w:rPr>
  </w:style>
  <w:style w:type="paragraph" w:styleId="TDC1">
    <w:name w:val="toc 1"/>
    <w:basedOn w:val="Normal"/>
    <w:next w:val="Normal"/>
    <w:autoRedefine/>
    <w:uiPriority w:val="39"/>
    <w:unhideWhenUsed/>
    <w:rsid w:val="00A94A35"/>
    <w:pPr>
      <w:spacing w:after="100"/>
    </w:pPr>
  </w:style>
  <w:style w:type="paragraph" w:styleId="TDC2">
    <w:name w:val="toc 2"/>
    <w:basedOn w:val="Normal"/>
    <w:next w:val="Normal"/>
    <w:autoRedefine/>
    <w:uiPriority w:val="39"/>
    <w:unhideWhenUsed/>
    <w:rsid w:val="00A94A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66348101">
      <w:bodyDiv w:val="1"/>
      <w:marLeft w:val="0"/>
      <w:marRight w:val="0"/>
      <w:marTop w:val="0"/>
      <w:marBottom w:val="0"/>
      <w:divBdr>
        <w:top w:val="none" w:sz="0" w:space="0" w:color="auto"/>
        <w:left w:val="none" w:sz="0" w:space="0" w:color="auto"/>
        <w:bottom w:val="none" w:sz="0" w:space="0" w:color="auto"/>
        <w:right w:val="none" w:sz="0" w:space="0" w:color="auto"/>
      </w:divBdr>
    </w:div>
    <w:div w:id="68115931">
      <w:bodyDiv w:val="1"/>
      <w:marLeft w:val="0"/>
      <w:marRight w:val="0"/>
      <w:marTop w:val="0"/>
      <w:marBottom w:val="0"/>
      <w:divBdr>
        <w:top w:val="none" w:sz="0" w:space="0" w:color="auto"/>
        <w:left w:val="none" w:sz="0" w:space="0" w:color="auto"/>
        <w:bottom w:val="none" w:sz="0" w:space="0" w:color="auto"/>
        <w:right w:val="none" w:sz="0" w:space="0" w:color="auto"/>
      </w:divBdr>
    </w:div>
    <w:div w:id="70126699">
      <w:bodyDiv w:val="1"/>
      <w:marLeft w:val="0"/>
      <w:marRight w:val="0"/>
      <w:marTop w:val="0"/>
      <w:marBottom w:val="0"/>
      <w:divBdr>
        <w:top w:val="none" w:sz="0" w:space="0" w:color="auto"/>
        <w:left w:val="none" w:sz="0" w:space="0" w:color="auto"/>
        <w:bottom w:val="none" w:sz="0" w:space="0" w:color="auto"/>
        <w:right w:val="none" w:sz="0" w:space="0" w:color="auto"/>
      </w:divBdr>
    </w:div>
    <w:div w:id="82727228">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92553799">
      <w:bodyDiv w:val="1"/>
      <w:marLeft w:val="0"/>
      <w:marRight w:val="0"/>
      <w:marTop w:val="0"/>
      <w:marBottom w:val="0"/>
      <w:divBdr>
        <w:top w:val="none" w:sz="0" w:space="0" w:color="auto"/>
        <w:left w:val="none" w:sz="0" w:space="0" w:color="auto"/>
        <w:bottom w:val="none" w:sz="0" w:space="0" w:color="auto"/>
        <w:right w:val="none" w:sz="0" w:space="0" w:color="auto"/>
      </w:divBdr>
    </w:div>
    <w:div w:id="96682900">
      <w:bodyDiv w:val="1"/>
      <w:marLeft w:val="0"/>
      <w:marRight w:val="0"/>
      <w:marTop w:val="0"/>
      <w:marBottom w:val="0"/>
      <w:divBdr>
        <w:top w:val="none" w:sz="0" w:space="0" w:color="auto"/>
        <w:left w:val="none" w:sz="0" w:space="0" w:color="auto"/>
        <w:bottom w:val="none" w:sz="0" w:space="0" w:color="auto"/>
        <w:right w:val="none" w:sz="0" w:space="0" w:color="auto"/>
      </w:divBdr>
    </w:div>
    <w:div w:id="106002629">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0096643">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182207767">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192693660">
      <w:bodyDiv w:val="1"/>
      <w:marLeft w:val="0"/>
      <w:marRight w:val="0"/>
      <w:marTop w:val="0"/>
      <w:marBottom w:val="0"/>
      <w:divBdr>
        <w:top w:val="none" w:sz="0" w:space="0" w:color="auto"/>
        <w:left w:val="none" w:sz="0" w:space="0" w:color="auto"/>
        <w:bottom w:val="none" w:sz="0" w:space="0" w:color="auto"/>
        <w:right w:val="none" w:sz="0" w:space="0" w:color="auto"/>
      </w:divBdr>
    </w:div>
    <w:div w:id="267852987">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05821938">
      <w:bodyDiv w:val="1"/>
      <w:marLeft w:val="0"/>
      <w:marRight w:val="0"/>
      <w:marTop w:val="0"/>
      <w:marBottom w:val="0"/>
      <w:divBdr>
        <w:top w:val="none" w:sz="0" w:space="0" w:color="auto"/>
        <w:left w:val="none" w:sz="0" w:space="0" w:color="auto"/>
        <w:bottom w:val="none" w:sz="0" w:space="0" w:color="auto"/>
        <w:right w:val="none" w:sz="0" w:space="0" w:color="auto"/>
      </w:divBdr>
    </w:div>
    <w:div w:id="356078168">
      <w:bodyDiv w:val="1"/>
      <w:marLeft w:val="0"/>
      <w:marRight w:val="0"/>
      <w:marTop w:val="0"/>
      <w:marBottom w:val="0"/>
      <w:divBdr>
        <w:top w:val="none" w:sz="0" w:space="0" w:color="auto"/>
        <w:left w:val="none" w:sz="0" w:space="0" w:color="auto"/>
        <w:bottom w:val="none" w:sz="0" w:space="0" w:color="auto"/>
        <w:right w:val="none" w:sz="0" w:space="0" w:color="auto"/>
      </w:divBdr>
    </w:div>
    <w:div w:id="360595211">
      <w:bodyDiv w:val="1"/>
      <w:marLeft w:val="0"/>
      <w:marRight w:val="0"/>
      <w:marTop w:val="0"/>
      <w:marBottom w:val="0"/>
      <w:divBdr>
        <w:top w:val="none" w:sz="0" w:space="0" w:color="auto"/>
        <w:left w:val="none" w:sz="0" w:space="0" w:color="auto"/>
        <w:bottom w:val="none" w:sz="0" w:space="0" w:color="auto"/>
        <w:right w:val="none" w:sz="0" w:space="0" w:color="auto"/>
      </w:divBdr>
    </w:div>
    <w:div w:id="365721391">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397169570">
      <w:bodyDiv w:val="1"/>
      <w:marLeft w:val="0"/>
      <w:marRight w:val="0"/>
      <w:marTop w:val="0"/>
      <w:marBottom w:val="0"/>
      <w:divBdr>
        <w:top w:val="none" w:sz="0" w:space="0" w:color="auto"/>
        <w:left w:val="none" w:sz="0" w:space="0" w:color="auto"/>
        <w:bottom w:val="none" w:sz="0" w:space="0" w:color="auto"/>
        <w:right w:val="none" w:sz="0" w:space="0" w:color="auto"/>
      </w:divBdr>
    </w:div>
    <w:div w:id="444009169">
      <w:bodyDiv w:val="1"/>
      <w:marLeft w:val="0"/>
      <w:marRight w:val="0"/>
      <w:marTop w:val="0"/>
      <w:marBottom w:val="0"/>
      <w:divBdr>
        <w:top w:val="none" w:sz="0" w:space="0" w:color="auto"/>
        <w:left w:val="none" w:sz="0" w:space="0" w:color="auto"/>
        <w:bottom w:val="none" w:sz="0" w:space="0" w:color="auto"/>
        <w:right w:val="none" w:sz="0" w:space="0" w:color="auto"/>
      </w:divBdr>
    </w:div>
    <w:div w:id="517236357">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10095111">
      <w:bodyDiv w:val="1"/>
      <w:marLeft w:val="0"/>
      <w:marRight w:val="0"/>
      <w:marTop w:val="0"/>
      <w:marBottom w:val="0"/>
      <w:divBdr>
        <w:top w:val="none" w:sz="0" w:space="0" w:color="auto"/>
        <w:left w:val="none" w:sz="0" w:space="0" w:color="auto"/>
        <w:bottom w:val="none" w:sz="0" w:space="0" w:color="auto"/>
        <w:right w:val="none" w:sz="0" w:space="0" w:color="auto"/>
      </w:divBdr>
    </w:div>
    <w:div w:id="629089169">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696588017">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59524497">
      <w:bodyDiv w:val="1"/>
      <w:marLeft w:val="0"/>
      <w:marRight w:val="0"/>
      <w:marTop w:val="0"/>
      <w:marBottom w:val="0"/>
      <w:divBdr>
        <w:top w:val="none" w:sz="0" w:space="0" w:color="auto"/>
        <w:left w:val="none" w:sz="0" w:space="0" w:color="auto"/>
        <w:bottom w:val="none" w:sz="0" w:space="0" w:color="auto"/>
        <w:right w:val="none" w:sz="0" w:space="0" w:color="auto"/>
      </w:divBdr>
    </w:div>
    <w:div w:id="876429286">
      <w:bodyDiv w:val="1"/>
      <w:marLeft w:val="0"/>
      <w:marRight w:val="0"/>
      <w:marTop w:val="0"/>
      <w:marBottom w:val="0"/>
      <w:divBdr>
        <w:top w:val="none" w:sz="0" w:space="0" w:color="auto"/>
        <w:left w:val="none" w:sz="0" w:space="0" w:color="auto"/>
        <w:bottom w:val="none" w:sz="0" w:space="0" w:color="auto"/>
        <w:right w:val="none" w:sz="0" w:space="0" w:color="auto"/>
      </w:divBdr>
    </w:div>
    <w:div w:id="942225521">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35678442">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147552146">
      <w:bodyDiv w:val="1"/>
      <w:marLeft w:val="0"/>
      <w:marRight w:val="0"/>
      <w:marTop w:val="0"/>
      <w:marBottom w:val="0"/>
      <w:divBdr>
        <w:top w:val="none" w:sz="0" w:space="0" w:color="auto"/>
        <w:left w:val="none" w:sz="0" w:space="0" w:color="auto"/>
        <w:bottom w:val="none" w:sz="0" w:space="0" w:color="auto"/>
        <w:right w:val="none" w:sz="0" w:space="0" w:color="auto"/>
      </w:divBdr>
    </w:div>
    <w:div w:id="1229533045">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294480691">
      <w:bodyDiv w:val="1"/>
      <w:marLeft w:val="0"/>
      <w:marRight w:val="0"/>
      <w:marTop w:val="0"/>
      <w:marBottom w:val="0"/>
      <w:divBdr>
        <w:top w:val="none" w:sz="0" w:space="0" w:color="auto"/>
        <w:left w:val="none" w:sz="0" w:space="0" w:color="auto"/>
        <w:bottom w:val="none" w:sz="0" w:space="0" w:color="auto"/>
        <w:right w:val="none" w:sz="0" w:space="0" w:color="auto"/>
      </w:divBdr>
    </w:div>
    <w:div w:id="1328749118">
      <w:bodyDiv w:val="1"/>
      <w:marLeft w:val="0"/>
      <w:marRight w:val="0"/>
      <w:marTop w:val="0"/>
      <w:marBottom w:val="0"/>
      <w:divBdr>
        <w:top w:val="none" w:sz="0" w:space="0" w:color="auto"/>
        <w:left w:val="none" w:sz="0" w:space="0" w:color="auto"/>
        <w:bottom w:val="none" w:sz="0" w:space="0" w:color="auto"/>
        <w:right w:val="none" w:sz="0" w:space="0" w:color="auto"/>
      </w:divBdr>
    </w:div>
    <w:div w:id="1331981533">
      <w:bodyDiv w:val="1"/>
      <w:marLeft w:val="0"/>
      <w:marRight w:val="0"/>
      <w:marTop w:val="0"/>
      <w:marBottom w:val="0"/>
      <w:divBdr>
        <w:top w:val="none" w:sz="0" w:space="0" w:color="auto"/>
        <w:left w:val="none" w:sz="0" w:space="0" w:color="auto"/>
        <w:bottom w:val="none" w:sz="0" w:space="0" w:color="auto"/>
        <w:right w:val="none" w:sz="0" w:space="0" w:color="auto"/>
      </w:divBdr>
    </w:div>
    <w:div w:id="1332371263">
      <w:bodyDiv w:val="1"/>
      <w:marLeft w:val="0"/>
      <w:marRight w:val="0"/>
      <w:marTop w:val="0"/>
      <w:marBottom w:val="0"/>
      <w:divBdr>
        <w:top w:val="none" w:sz="0" w:space="0" w:color="auto"/>
        <w:left w:val="none" w:sz="0" w:space="0" w:color="auto"/>
        <w:bottom w:val="none" w:sz="0" w:space="0" w:color="auto"/>
        <w:right w:val="none" w:sz="0" w:space="0" w:color="auto"/>
      </w:divBdr>
    </w:div>
    <w:div w:id="1339229755">
      <w:bodyDiv w:val="1"/>
      <w:marLeft w:val="0"/>
      <w:marRight w:val="0"/>
      <w:marTop w:val="0"/>
      <w:marBottom w:val="0"/>
      <w:divBdr>
        <w:top w:val="none" w:sz="0" w:space="0" w:color="auto"/>
        <w:left w:val="none" w:sz="0" w:space="0" w:color="auto"/>
        <w:bottom w:val="none" w:sz="0" w:space="0" w:color="auto"/>
        <w:right w:val="none" w:sz="0" w:space="0" w:color="auto"/>
      </w:divBdr>
    </w:div>
    <w:div w:id="1387340771">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470825882">
      <w:bodyDiv w:val="1"/>
      <w:marLeft w:val="0"/>
      <w:marRight w:val="0"/>
      <w:marTop w:val="0"/>
      <w:marBottom w:val="0"/>
      <w:divBdr>
        <w:top w:val="none" w:sz="0" w:space="0" w:color="auto"/>
        <w:left w:val="none" w:sz="0" w:space="0" w:color="auto"/>
        <w:bottom w:val="none" w:sz="0" w:space="0" w:color="auto"/>
        <w:right w:val="none" w:sz="0" w:space="0" w:color="auto"/>
      </w:divBdr>
    </w:div>
    <w:div w:id="1487547291">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566648087">
      <w:bodyDiv w:val="1"/>
      <w:marLeft w:val="0"/>
      <w:marRight w:val="0"/>
      <w:marTop w:val="0"/>
      <w:marBottom w:val="0"/>
      <w:divBdr>
        <w:top w:val="none" w:sz="0" w:space="0" w:color="auto"/>
        <w:left w:val="none" w:sz="0" w:space="0" w:color="auto"/>
        <w:bottom w:val="none" w:sz="0" w:space="0" w:color="auto"/>
        <w:right w:val="none" w:sz="0" w:space="0" w:color="auto"/>
      </w:divBdr>
    </w:div>
    <w:div w:id="1615743719">
      <w:bodyDiv w:val="1"/>
      <w:marLeft w:val="0"/>
      <w:marRight w:val="0"/>
      <w:marTop w:val="0"/>
      <w:marBottom w:val="0"/>
      <w:divBdr>
        <w:top w:val="none" w:sz="0" w:space="0" w:color="auto"/>
        <w:left w:val="none" w:sz="0" w:space="0" w:color="auto"/>
        <w:bottom w:val="none" w:sz="0" w:space="0" w:color="auto"/>
        <w:right w:val="none" w:sz="0" w:space="0" w:color="auto"/>
      </w:divBdr>
    </w:div>
    <w:div w:id="1645085323">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866404834">
      <w:bodyDiv w:val="1"/>
      <w:marLeft w:val="0"/>
      <w:marRight w:val="0"/>
      <w:marTop w:val="0"/>
      <w:marBottom w:val="0"/>
      <w:divBdr>
        <w:top w:val="none" w:sz="0" w:space="0" w:color="auto"/>
        <w:left w:val="none" w:sz="0" w:space="0" w:color="auto"/>
        <w:bottom w:val="none" w:sz="0" w:space="0" w:color="auto"/>
        <w:right w:val="none" w:sz="0" w:space="0" w:color="auto"/>
      </w:divBdr>
    </w:div>
    <w:div w:id="1893425142">
      <w:bodyDiv w:val="1"/>
      <w:marLeft w:val="0"/>
      <w:marRight w:val="0"/>
      <w:marTop w:val="0"/>
      <w:marBottom w:val="0"/>
      <w:divBdr>
        <w:top w:val="none" w:sz="0" w:space="0" w:color="auto"/>
        <w:left w:val="none" w:sz="0" w:space="0" w:color="auto"/>
        <w:bottom w:val="none" w:sz="0" w:space="0" w:color="auto"/>
        <w:right w:val="none" w:sz="0" w:space="0" w:color="auto"/>
      </w:divBdr>
    </w:div>
    <w:div w:id="1905484608">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1957448925">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ebapps.condusef.gob.mx/SIPRES/jsp/pub/index.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dusef.gob.mx/Revista/index.php/usuario-inteligente/condusef-responde/777-la-condusef-te-puede-ayuda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6E38B6-2ABE-4F06-BBF8-50EA9EF4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13064</Words>
  <Characters>71853</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2025-11-24T15:55:00Z</cp:lastPrinted>
  <dcterms:created xsi:type="dcterms:W3CDTF">2025-11-24T15:55:00Z</dcterms:created>
  <dcterms:modified xsi:type="dcterms:W3CDTF">2025-11-24T15:56:00Z</dcterms:modified>
</cp:coreProperties>
</file>