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de fecha seis de febrero de dos mil veinticuatro. </w:t>
      </w:r>
    </w:p>
    <w:p w:rsidR="00000000" w:rsidDel="00000000" w:rsidP="00000000" w:rsidRDefault="00000000" w:rsidRPr="00000000" w14:paraId="0000000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relativo al recurso de revisión </w:t>
      </w:r>
      <w:r w:rsidDel="00000000" w:rsidR="00000000" w:rsidRPr="00000000">
        <w:rPr>
          <w:rFonts w:ascii="Palatino Linotype" w:cs="Palatino Linotype" w:eastAsia="Palatino Linotype" w:hAnsi="Palatino Linotype"/>
          <w:b w:val="1"/>
          <w:sz w:val="22"/>
          <w:szCs w:val="22"/>
          <w:rtl w:val="0"/>
        </w:rPr>
        <w:t xml:space="preserve">00104/INFOEM/IP/RR/2024</w:t>
      </w:r>
      <w:r w:rsidDel="00000000" w:rsidR="00000000" w:rsidRPr="00000000">
        <w:rPr>
          <w:rFonts w:ascii="Palatino Linotype" w:cs="Palatino Linotype" w:eastAsia="Palatino Linotype" w:hAnsi="Palatino Linotype"/>
          <w:sz w:val="22"/>
          <w:szCs w:val="22"/>
          <w:rtl w:val="0"/>
        </w:rPr>
        <w:t xml:space="preserve">, interpuesto por </w:t>
      </w:r>
      <w:r w:rsidDel="00000000" w:rsidR="00000000" w:rsidRPr="00000000">
        <w:rPr>
          <w:rFonts w:ascii="Palatino Linotype" w:cs="Palatino Linotype" w:eastAsia="Palatino Linotype" w:hAnsi="Palatino Linotype"/>
          <w:b w:val="1"/>
          <w:sz w:val="22"/>
          <w:szCs w:val="22"/>
          <w:rtl w:val="0"/>
        </w:rPr>
        <w:t xml:space="preserve">una persona usuaria del Sistema de Acceso a la Información Mexiquense, </w:t>
      </w:r>
      <w:r w:rsidDel="00000000" w:rsidR="00000000" w:rsidRPr="00000000">
        <w:rPr>
          <w:rFonts w:ascii="Palatino Linotype" w:cs="Palatino Linotype" w:eastAsia="Palatino Linotype" w:hAnsi="Palatino Linotype"/>
          <w:sz w:val="22"/>
          <w:szCs w:val="22"/>
          <w:rtl w:val="0"/>
        </w:rPr>
        <w:t xml:space="preserve">en lo sucesivo se le denominará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contra de la respuesta a su solicitud de información con número de folio</w:t>
      </w:r>
      <w:r w:rsidDel="00000000" w:rsidR="00000000" w:rsidRPr="00000000">
        <w:rPr>
          <w:rFonts w:ascii="Palatino Linotype" w:cs="Palatino Linotype" w:eastAsia="Palatino Linotype" w:hAnsi="Palatino Linotype"/>
          <w:b w:val="1"/>
          <w:sz w:val="22"/>
          <w:szCs w:val="22"/>
          <w:rtl w:val="0"/>
        </w:rPr>
        <w:t xml:space="preserve"> 00546/IXTASAL/IP/2024</w:t>
      </w:r>
      <w:r w:rsidDel="00000000" w:rsidR="00000000" w:rsidRPr="00000000">
        <w:rPr>
          <w:rFonts w:ascii="Palatino Linotype" w:cs="Palatino Linotype" w:eastAsia="Palatino Linotype" w:hAnsi="Palatino Linotype"/>
          <w:sz w:val="22"/>
          <w:szCs w:val="22"/>
          <w:rtl w:val="0"/>
        </w:rPr>
        <w:t xml:space="preserve">, por parte, del </w:t>
      </w:r>
      <w:r w:rsidDel="00000000" w:rsidR="00000000" w:rsidRPr="00000000">
        <w:rPr>
          <w:rFonts w:ascii="Palatino Linotype" w:cs="Palatino Linotype" w:eastAsia="Palatino Linotype" w:hAnsi="Palatino Linotype"/>
          <w:b w:val="1"/>
          <w:sz w:val="22"/>
          <w:szCs w:val="22"/>
          <w:rtl w:val="0"/>
        </w:rPr>
        <w:t xml:space="preserve">Ayuntamiento de Ixtapan de la Sal</w:t>
      </w:r>
      <w:r w:rsidDel="00000000" w:rsidR="00000000" w:rsidRPr="00000000">
        <w:rPr>
          <w:rFonts w:ascii="Palatino Linotype" w:cs="Palatino Linotype" w:eastAsia="Palatino Linotype" w:hAnsi="Palatino Linotype"/>
          <w:sz w:val="22"/>
          <w:szCs w:val="22"/>
          <w:rtl w:val="0"/>
        </w:rPr>
        <w:t xml:space="preserve">, en lo sucesivo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 </w:t>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line="360" w:lineRule="auto"/>
        <w:ind w:left="993" w:hanging="276.0000000000001"/>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 N T E C E D E N T E S:</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360" w:lineRule="auto"/>
        <w:ind w:left="1077" w:firstLine="0"/>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6">
      <w:pPr>
        <w:numPr>
          <w:ilvl w:val="1"/>
          <w:numId w:val="1"/>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Solicitud de acceso a la información.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diecisiete de diciembre de dos mil veinticuatro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formuló solicitud de acceso a información pública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requiriéndole lo siguiente:</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8">
      <w:pPr>
        <w:ind w:left="851" w:right="616" w:firstLine="0"/>
        <w:jc w:val="center"/>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“Agenda pública del presidente municipal durante enero y febrero 2022.”</w:t>
      </w:r>
    </w:p>
    <w:p w:rsidR="00000000" w:rsidDel="00000000" w:rsidP="00000000" w:rsidRDefault="00000000" w:rsidRPr="00000000" w14:paraId="00000009">
      <w:pPr>
        <w:spacing w:line="360" w:lineRule="auto"/>
        <w:ind w:left="709" w:right="90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0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elegida para la entrega de la información: </w:t>
      </w:r>
      <w:r w:rsidDel="00000000" w:rsidR="00000000" w:rsidRPr="00000000">
        <w:rPr>
          <w:rFonts w:ascii="Palatino Linotype" w:cs="Palatino Linotype" w:eastAsia="Palatino Linotype" w:hAnsi="Palatino Linotype"/>
          <w:sz w:val="22"/>
          <w:szCs w:val="22"/>
          <w:rtl w:val="0"/>
        </w:rPr>
        <w:t xml:space="preserve">a través del Sistema de Acceso a la Información Mexiquense. </w:t>
      </w:r>
    </w:p>
    <w:p w:rsidR="00000000" w:rsidDel="00000000" w:rsidP="00000000" w:rsidRDefault="00000000" w:rsidRPr="00000000" w14:paraId="0000000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Respuesta.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veinte de diciembre de dos mil veinticuatro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envió su respuesta a la solicitud de acceso a la información a través del SAIMEX, la cual versa como sigue: </w:t>
      </w:r>
    </w:p>
    <w:p w:rsidR="00000000" w:rsidDel="00000000" w:rsidP="00000000" w:rsidRDefault="00000000" w:rsidRPr="00000000" w14:paraId="0000000D">
      <w:pPr>
        <w:tabs>
          <w:tab w:val="left" w:leader="none" w:pos="7371"/>
        </w:tabs>
        <w:spacing w:line="360" w:lineRule="auto"/>
        <w:ind w:left="567" w:right="616" w:firstLine="0"/>
        <w:jc w:val="both"/>
        <w:rPr>
          <w:rFonts w:ascii="Palatino Linotype" w:cs="Palatino Linotype" w:eastAsia="Palatino Linotype" w:hAnsi="Palatino Linotype"/>
          <w:i w:val="1"/>
          <w:sz w:val="22"/>
          <w:szCs w:val="22"/>
        </w:rPr>
      </w:pPr>
      <w:bookmarkStart w:colFirst="0" w:colLast="0" w:name="_heading=h.3znysh7" w:id="0"/>
      <w:bookmarkEnd w:id="0"/>
      <w:r w:rsidDel="00000000" w:rsidR="00000000" w:rsidRPr="00000000">
        <w:rPr>
          <w:rtl w:val="0"/>
        </w:rPr>
      </w:r>
    </w:p>
    <w:p w:rsidR="00000000" w:rsidDel="00000000" w:rsidP="00000000" w:rsidRDefault="00000000" w:rsidRPr="00000000" w14:paraId="0000000E">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 fundamento en los artículos 3 fracciones XLIV, 12, 19, 23 fracción IV, 50, 52, 53, fracción II y VI, 163 de la Ley de Transparencia y Acceso a la Información Pública del Estado de México y Municipios, y en atención a la solicitud de información número 546/IXTASAL/IP/2024, presentada mediante el Sistema de Acceso a la Información Mexiquense (SAIMEX); </w:t>
      </w:r>
      <w:r w:rsidDel="00000000" w:rsidR="00000000" w:rsidRPr="00000000">
        <w:rPr>
          <w:rFonts w:ascii="Palatino Linotype" w:cs="Palatino Linotype" w:eastAsia="Palatino Linotype" w:hAnsi="Palatino Linotype"/>
          <w:b w:val="1"/>
          <w:i w:val="1"/>
          <w:sz w:val="22"/>
          <w:szCs w:val="22"/>
          <w:rtl w:val="0"/>
        </w:rPr>
        <w:t xml:space="preserve">adjunto al presente encontrara la respuesta a su solicitud. </w:t>
      </w:r>
      <w:r w:rsidDel="00000000" w:rsidR="00000000" w:rsidRPr="00000000">
        <w:rPr>
          <w:rFonts w:ascii="Palatino Linotype" w:cs="Palatino Linotype" w:eastAsia="Palatino Linotype" w:hAnsi="Palatino Linotype"/>
          <w:i w:val="1"/>
          <w:sz w:val="22"/>
          <w:szCs w:val="22"/>
          <w:rtl w:val="0"/>
        </w:rPr>
        <w:t xml:space="preserve">Asimismo, se hace de su conocimiento que el derecho a la información no es absoluto se encuentra limitado, y en caso de no estar conforme con la respuesta proporcionada, tiene derecho de interponer recurso de revisión dentro del pazo de 15 días hábiles contados a partir del día siguiente de la notificación del presente; de conformidad con lo dispuesto por el artículo 177 de la Ley de Transparencia y Acceso a la Información Pública del Estado de México y Municipios. Por último, se pone a su disposición la siguiente liga electrónica https://www.ixtapandelasal.gob.mx/ encuesta donde usted podrá evaluar el desempeño de la Dirección de Transparencia, Protección de Datos Personales y Gobierno Democrático, así como el de los Servidores Públicos Habilitados. Lo anterior con el propósito de conocer y mejorar la calidad del servicio. Sin otro particular y en espera de haber dado cumplimiento a lo solicitado, me reitero a sus órdenes.</w:t>
      </w:r>
    </w:p>
    <w:p w:rsidR="00000000" w:rsidDel="00000000" w:rsidP="00000000" w:rsidRDefault="00000000" w:rsidRPr="00000000" w14:paraId="0000000F">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10">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 EN D. OSCAR DELFINO LARA ORTEGA</w:t>
      </w:r>
    </w:p>
    <w:p w:rsidR="00000000" w:rsidDel="00000000" w:rsidP="00000000" w:rsidRDefault="00000000" w:rsidRPr="00000000" w14:paraId="00000011">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2">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mismo modo,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adjuntó a su respuesta el archivo electrónico denominado </w:t>
      </w:r>
      <w:r w:rsidDel="00000000" w:rsidR="00000000" w:rsidRPr="00000000">
        <w:rPr>
          <w:rFonts w:ascii="Palatino Linotype" w:cs="Palatino Linotype" w:eastAsia="Palatino Linotype" w:hAnsi="Palatino Linotype"/>
          <w:i w:val="1"/>
          <w:sz w:val="22"/>
          <w:szCs w:val="22"/>
          <w:rtl w:val="0"/>
        </w:rPr>
        <w:t xml:space="preserve">“RESP SOL 546-24.pdf”,</w:t>
      </w:r>
      <w:r w:rsidDel="00000000" w:rsidR="00000000" w:rsidRPr="00000000">
        <w:rPr>
          <w:rFonts w:ascii="Palatino Linotype" w:cs="Palatino Linotype" w:eastAsia="Palatino Linotype" w:hAnsi="Palatino Linotype"/>
          <w:sz w:val="22"/>
          <w:szCs w:val="22"/>
          <w:rtl w:val="0"/>
        </w:rPr>
        <w:t xml:space="preserve"> el cual contiene: </w:t>
      </w:r>
    </w:p>
    <w:p w:rsidR="00000000" w:rsidDel="00000000" w:rsidP="00000000" w:rsidRDefault="00000000" w:rsidRPr="00000000" w14:paraId="0000001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851"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número DUTPDPYGD/984/2024 signado por el Director de Transparencia, Protección de Datos Personales y Gobierno Democrático, de fecha veinte de diciembre de dos mil veinticuatro, mediante el cual informó que la agenda del Presidente Municipal es considerada información pública de oficio, por lo que puede ser consultada en la siguiente liga: </w:t>
      </w:r>
      <w:hyperlink r:id="rId8">
        <w:r w:rsidDel="00000000" w:rsidR="00000000" w:rsidRPr="00000000">
          <w:rPr>
            <w:rFonts w:ascii="Palatino Linotype" w:cs="Palatino Linotype" w:eastAsia="Palatino Linotype" w:hAnsi="Palatino Linotype"/>
            <w:b w:val="0"/>
            <w:i w:val="0"/>
            <w:smallCaps w:val="0"/>
            <w:strike w:val="0"/>
            <w:color w:val="000000"/>
            <w:sz w:val="22"/>
            <w:szCs w:val="22"/>
            <w:u w:val="single"/>
            <w:shd w:fill="auto" w:val="clear"/>
            <w:vertAlign w:val="baseline"/>
            <w:rtl w:val="0"/>
          </w:rPr>
          <w:t xml:space="preserve">https://www.ipomex.org.mx/ipo3/lgt/indice/IXTAPANDELASAL/art_92_ix_v/4.web</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tabs>
          <w:tab w:val="left" w:leader="none" w:pos="426"/>
        </w:tabs>
        <w:spacing w:line="360" w:lineRule="auto"/>
        <w:ind w:left="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la respuesta del </w:t>
      </w:r>
      <w:r w:rsidDel="00000000" w:rsidR="00000000" w:rsidRPr="00000000">
        <w:rPr>
          <w:rFonts w:ascii="Palatino Linotype" w:cs="Palatino Linotype" w:eastAsia="Palatino Linotype" w:hAnsi="Palatino Linotype"/>
          <w:b w:val="1"/>
          <w:sz w:val="22"/>
          <w:szCs w:val="22"/>
          <w:rtl w:val="0"/>
        </w:rPr>
        <w:t xml:space="preserve">SUJETO OBLIGADO la parte RECURRENTE</w:t>
      </w:r>
      <w:r w:rsidDel="00000000" w:rsidR="00000000" w:rsidRPr="00000000">
        <w:rPr>
          <w:rFonts w:ascii="Palatino Linotype" w:cs="Palatino Linotype" w:eastAsia="Palatino Linotype" w:hAnsi="Palatino Linotype"/>
          <w:sz w:val="22"/>
          <w:szCs w:val="22"/>
          <w:rtl w:val="0"/>
        </w:rPr>
        <w:t xml:space="preserve"> interpuso recurso de revisión a través del SAIMEX en fecha </w:t>
      </w:r>
      <w:r w:rsidDel="00000000" w:rsidR="00000000" w:rsidRPr="00000000">
        <w:rPr>
          <w:rFonts w:ascii="Palatino Linotype" w:cs="Palatino Linotype" w:eastAsia="Palatino Linotype" w:hAnsi="Palatino Linotype"/>
          <w:b w:val="1"/>
          <w:sz w:val="22"/>
          <w:szCs w:val="22"/>
          <w:rtl w:val="0"/>
        </w:rPr>
        <w:t xml:space="preserve">quince de enero de dos mil veinticinco</w:t>
      </w:r>
      <w:r w:rsidDel="00000000" w:rsidR="00000000" w:rsidRPr="00000000">
        <w:rPr>
          <w:rFonts w:ascii="Palatino Linotype" w:cs="Palatino Linotype" w:eastAsia="Palatino Linotype" w:hAnsi="Palatino Linotype"/>
          <w:sz w:val="22"/>
          <w:szCs w:val="22"/>
          <w:rtl w:val="0"/>
        </w:rPr>
        <w:t xml:space="preserve">, a través del cual expresó lo siguiente:</w:t>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7">
      <w:pPr>
        <w:spacing w:line="3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Acto impugnado. </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18">
      <w:pPr>
        <w:spacing w:line="3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“Información incompleta para lo cual se actúa con intención y dolo, al entregar aleatoriamente oficios generados, si es bien cierto que cada área conforme a los lineamientos, criterios que establece o rigen la administración publica deben llevar un inventario o control de de sus oficios, para lo cual se ve claro que ocultan algo..” </w:t>
      </w:r>
    </w:p>
    <w:p w:rsidR="00000000" w:rsidDel="00000000" w:rsidP="00000000" w:rsidRDefault="00000000" w:rsidRPr="00000000" w14:paraId="00000019">
      <w:pPr>
        <w:spacing w:line="360" w:lineRule="auto"/>
        <w:ind w:left="851" w:right="616"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360" w:lineRule="auto"/>
        <w:ind w:left="851" w:right="61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Motivos de inconformidad. </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360" w:lineRule="auto"/>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“Información incompleta para lo cual se actúa con intención y dolo, al entregar aleatoriamente oficios generados, si es bien cierto que cada área conforme a los lineamientos, criterios que establece o rigen la administración publica deben llevar un inventario o control de de sus oficios, para lo cual se ve claro que ocultan algo...”</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sz w:val="22"/>
          <w:szCs w:val="22"/>
          <w:rtl w:val="0"/>
        </w:rPr>
        <w:t xml:space="preserve">000104/INFOEM/IP/RR/2025</w:t>
      </w:r>
      <w:r w:rsidDel="00000000" w:rsidR="00000000" w:rsidRPr="00000000">
        <w:rPr>
          <w:rFonts w:ascii="Palatino Linotype" w:cs="Palatino Linotype" w:eastAsia="Palatino Linotype" w:hAnsi="Palatino Linotype"/>
          <w:sz w:val="22"/>
          <w:szCs w:val="22"/>
          <w:rtl w:val="0"/>
        </w:rPr>
        <w:t xml:space="preserve">,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w:t>
      </w:r>
      <w:r w:rsidDel="00000000" w:rsidR="00000000" w:rsidRPr="00000000">
        <w:rPr>
          <w:rFonts w:ascii="Palatino Linotype" w:cs="Palatino Linotype" w:eastAsia="Palatino Linotype" w:hAnsi="Palatino Linotype"/>
          <w:sz w:val="22"/>
          <w:szCs w:val="22"/>
          <w:rtl w:val="0"/>
        </w:rPr>
        <w:t xml:space="preserve">, para su análisis, estudio, elaboración del proyecto y presentación ante el Pleno de este Instituto.</w:t>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bookmarkStart w:colFirst="0" w:colLast="0" w:name="_heading=h.gjdgxs" w:id="1"/>
      <w:bookmarkEnd w:id="1"/>
      <w:r w:rsidDel="00000000" w:rsidR="00000000" w:rsidRPr="00000000">
        <w:rPr>
          <w:rFonts w:ascii="Palatino Linotype" w:cs="Palatino Linotype" w:eastAsia="Palatino Linotype" w:hAnsi="Palatino Linotype"/>
          <w:b w:val="1"/>
          <w:sz w:val="22"/>
          <w:szCs w:val="22"/>
          <w:rtl w:val="0"/>
        </w:rPr>
        <w:t xml:space="preserve">Admisión del recurso de revisión: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sz w:val="22"/>
          <w:szCs w:val="22"/>
          <w:rtl w:val="0"/>
        </w:rPr>
        <w:t xml:space="preserve">veinte de enero de dos mil veinticinco</w:t>
      </w:r>
      <w:r w:rsidDel="00000000" w:rsidR="00000000" w:rsidRPr="00000000">
        <w:rPr>
          <w:rFonts w:ascii="Palatino Linotype" w:cs="Palatino Linotype" w:eastAsia="Palatino Linotype" w:hAnsi="Palatino Linotype"/>
          <w:sz w:val="22"/>
          <w:szCs w:val="22"/>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presentará su informe justificado.</w:t>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1">
      <w:pPr>
        <w:numPr>
          <w:ilvl w:val="0"/>
          <w:numId w:val="1"/>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Manifestaciones</w:t>
      </w:r>
      <w:r w:rsidDel="00000000" w:rsidR="00000000" w:rsidRPr="00000000">
        <w:rPr>
          <w:rFonts w:ascii="Palatino Linotype" w:cs="Palatino Linotype" w:eastAsia="Palatino Linotype" w:hAnsi="Palatino Linotype"/>
          <w:sz w:val="22"/>
          <w:szCs w:val="22"/>
          <w:rtl w:val="0"/>
        </w:rPr>
        <w:t xml:space="preserve">: De las constancias que obran en el expediente electrónico del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se desprende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rindió su informe justificado, del mismo modo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omitió realizar manifestaciones, como se observa a continuación:</w:t>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938530"/>
            <wp:effectExtent b="0" l="0" r="0" t="0"/>
            <wp:docPr id="3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612130" cy="93853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4">
      <w:pPr>
        <w:numPr>
          <w:ilvl w:val="0"/>
          <w:numId w:val="1"/>
        </w:numPr>
        <w:pBdr>
          <w:top w:space="0" w:sz="0" w:val="nil"/>
          <w:left w:space="0" w:sz="0" w:val="nil"/>
          <w:bottom w:space="0" w:sz="0" w:val="nil"/>
          <w:right w:space="0" w:sz="0" w:val="nil"/>
          <w:between w:space="0" w:sz="0" w:val="nil"/>
        </w:pBdr>
        <w:tabs>
          <w:tab w:val="left" w:leader="none" w:pos="426"/>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Cierre de instrucción.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treinta de enero de dos mil veinticinco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2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8">
      <w:pPr>
        <w:numPr>
          <w:ilvl w:val="0"/>
          <w:numId w:val="3"/>
        </w:numPr>
        <w:pBdr>
          <w:top w:space="0" w:sz="0" w:val="nil"/>
          <w:left w:space="0" w:sz="0" w:val="nil"/>
          <w:bottom w:space="0" w:sz="0" w:val="nil"/>
          <w:right w:space="0" w:sz="0" w:val="nil"/>
          <w:between w:space="0" w:sz="0" w:val="nil"/>
        </w:pBdr>
        <w:spacing w:line="360" w:lineRule="auto"/>
        <w:ind w:left="1077" w:hanging="360"/>
        <w:jc w:val="center"/>
        <w:rPr>
          <w:rFonts w:ascii="Palatino Linotype" w:cs="Palatino Linotype" w:eastAsia="Palatino Linotype" w:hAnsi="Palatino Linotype"/>
          <w:b w:val="1"/>
          <w:sz w:val="22"/>
          <w:szCs w:val="22"/>
        </w:rPr>
      </w:pPr>
      <w:bookmarkStart w:colFirst="0" w:colLast="0" w:name="_heading=h.30j0zll" w:id="2"/>
      <w:bookmarkEnd w:id="2"/>
      <w:r w:rsidDel="00000000" w:rsidR="00000000" w:rsidRPr="00000000">
        <w:rPr>
          <w:rFonts w:ascii="Palatino Linotype" w:cs="Palatino Linotype" w:eastAsia="Palatino Linotype" w:hAnsi="Palatino Linotype"/>
          <w:b w:val="1"/>
          <w:sz w:val="22"/>
          <w:szCs w:val="22"/>
          <w:rtl w:val="0"/>
        </w:rPr>
        <w:t xml:space="preserve">C O N S I D E R A N D O:</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360" w:lineRule="auto"/>
        <w:ind w:left="1077" w:firstLine="0"/>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2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 </w:t>
      </w:r>
      <w:r w:rsidDel="00000000" w:rsidR="00000000" w:rsidRPr="00000000">
        <w:rPr>
          <w:rFonts w:ascii="Palatino Linotype" w:cs="Palatino Linotype" w:eastAsia="Palatino Linotype" w:hAnsi="Palatino Linotype"/>
          <w:sz w:val="22"/>
          <w:szCs w:val="22"/>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2B">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2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2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E">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ya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proporcionó su respuesta a la solicitud de información el </w:t>
      </w:r>
      <w:r w:rsidDel="00000000" w:rsidR="00000000" w:rsidRPr="00000000">
        <w:rPr>
          <w:rFonts w:ascii="Palatino Linotype" w:cs="Palatino Linotype" w:eastAsia="Palatino Linotype" w:hAnsi="Palatino Linotype"/>
          <w:b w:val="1"/>
          <w:sz w:val="22"/>
          <w:szCs w:val="22"/>
          <w:rtl w:val="0"/>
        </w:rPr>
        <w:t xml:space="preserve">veinte de diciembre de dos mil veinticuatro</w:t>
      </w:r>
      <w:r w:rsidDel="00000000" w:rsidR="00000000" w:rsidRPr="00000000">
        <w:rPr>
          <w:rFonts w:ascii="Palatino Linotype" w:cs="Palatino Linotype" w:eastAsia="Palatino Linotype" w:hAnsi="Palatino Linotype"/>
          <w:sz w:val="22"/>
          <w:szCs w:val="22"/>
          <w:rtl w:val="0"/>
        </w:rPr>
        <w:t xml:space="preserve">, y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presentó su recurso de revisión el </w:t>
      </w:r>
      <w:r w:rsidDel="00000000" w:rsidR="00000000" w:rsidRPr="00000000">
        <w:rPr>
          <w:rFonts w:ascii="Palatino Linotype" w:cs="Palatino Linotype" w:eastAsia="Palatino Linotype" w:hAnsi="Palatino Linotype"/>
          <w:b w:val="1"/>
          <w:sz w:val="22"/>
          <w:szCs w:val="22"/>
          <w:rtl w:val="0"/>
        </w:rPr>
        <w:t xml:space="preserve">quince de enero de dos mil veinticinco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esto es al tercer día hábil siguiente en que tuvo conocimiento de la respuesta. </w:t>
      </w:r>
    </w:p>
    <w:p w:rsidR="00000000" w:rsidDel="00000000" w:rsidP="00000000" w:rsidRDefault="00000000" w:rsidRPr="00000000" w14:paraId="0000002F">
      <w:pPr>
        <w:spacing w:line="360" w:lineRule="auto"/>
        <w:ind w:right="843"/>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3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3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efecto de sustentar lo anterior, es de suma importancia mencionar que, si bien la persona solicitante no proporcionó un nombre para ser identificado,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33">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anónimas</w:t>
      </w:r>
      <w:r w:rsidDel="00000000" w:rsidR="00000000" w:rsidRPr="00000000">
        <w:rPr>
          <w:rFonts w:ascii="Palatino Linotype" w:cs="Palatino Linotype" w:eastAsia="Palatino Linotype" w:hAnsi="Palatino Linotype"/>
          <w:i w:val="1"/>
          <w:sz w:val="22"/>
          <w:szCs w:val="22"/>
          <w:rtl w:val="0"/>
        </w:rPr>
        <w:t xml:space="preserve">, con nombre incompleto o seudónimo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3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procedente la interposición del recurso de revisión al rubro anotado, toda vez que se actualiza las hipótesis previstas en el artículo 179, fracción V de la ley de la materia, que a la letra dice:</w:t>
      </w:r>
    </w:p>
    <w:p w:rsidR="00000000" w:rsidDel="00000000" w:rsidP="00000000" w:rsidRDefault="00000000" w:rsidRPr="00000000" w14:paraId="0000003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 </w:t>
      </w:r>
    </w:p>
    <w:p w:rsidR="00000000" w:rsidDel="00000000" w:rsidP="00000000" w:rsidRDefault="00000000" w:rsidRPr="00000000" w14:paraId="0000003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9">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entrega de información incompleta;</w:t>
      </w:r>
    </w:p>
    <w:p w:rsidR="00000000" w:rsidDel="00000000" w:rsidP="00000000" w:rsidRDefault="00000000" w:rsidRPr="00000000" w14:paraId="0000003A">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3B">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3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Análisis de las causales de improcedencia y sobreseimiento del recurso de revisión. </w:t>
      </w:r>
      <w:r w:rsidDel="00000000" w:rsidR="00000000" w:rsidRPr="00000000">
        <w:rPr>
          <w:rFonts w:ascii="Palatino Linotype" w:cs="Palatino Linotype" w:eastAsia="Palatino Linotype" w:hAnsi="Palatino Linotype"/>
          <w:sz w:val="22"/>
          <w:szCs w:val="22"/>
          <w:rtl w:val="0"/>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000000" w:rsidDel="00000000" w:rsidP="00000000" w:rsidRDefault="00000000" w:rsidRPr="00000000" w14:paraId="0000003D">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este no se coarta por regular causas de improcedencia y sobreseimiento con tales fines.</w:t>
      </w:r>
    </w:p>
    <w:p w:rsidR="00000000" w:rsidDel="00000000" w:rsidP="00000000" w:rsidRDefault="00000000" w:rsidRPr="00000000" w14:paraId="0000003E">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manera preliminar en el caso concreto conviene analizar si se actualiza alguna de las causales de sobreseimiento del recurso de revisión.</w:t>
      </w:r>
    </w:p>
    <w:p w:rsidR="00000000" w:rsidDel="00000000" w:rsidP="00000000" w:rsidRDefault="00000000" w:rsidRPr="00000000" w14:paraId="0000003F">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del análisis de la solicitud de información motivo del recurso de revisión que ahora se resuelve, se advierte que la persona solicitante requirió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agenda pública del presidente municipal durante enero y febrero de dos mil veintidós. </w:t>
      </w:r>
    </w:p>
    <w:p w:rsidR="00000000" w:rsidDel="00000000" w:rsidP="00000000" w:rsidRDefault="00000000" w:rsidRPr="00000000" w14:paraId="0000004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por conducto del Director de Transparencia, Protección de Datos Personales y Gobierno Democrático, informó que la agenda del Presidente Municipal es considerada información pública de oficio, por lo que podía ser consultada en la siguiente liga electrónica: </w:t>
      </w:r>
      <w:hyperlink r:id="rId10">
        <w:r w:rsidDel="00000000" w:rsidR="00000000" w:rsidRPr="00000000">
          <w:rPr>
            <w:rFonts w:ascii="Palatino Linotype" w:cs="Palatino Linotype" w:eastAsia="Palatino Linotype" w:hAnsi="Palatino Linotype"/>
            <w:color w:val="000000"/>
            <w:sz w:val="22"/>
            <w:szCs w:val="22"/>
            <w:u w:val="single"/>
            <w:rtl w:val="0"/>
          </w:rPr>
          <w:t xml:space="preserve">https://www.ipomex.org.mx/ipo3/lgt/indice/IXTAPANDELASAL/art_92_ix_v/4.web</w:t>
        </w:r>
      </w:hyperlink>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4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Conocida la respuesta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al no estar conforme con los términos de la misma, presentó el recurso de revisión que nos ocupa, mediante el cual en sus motivos de inconformidad hizo valer lo siguiente: “</w:t>
      </w:r>
      <w:r w:rsidDel="00000000" w:rsidR="00000000" w:rsidRPr="00000000">
        <w:rPr>
          <w:rFonts w:ascii="Palatino Linotype" w:cs="Palatino Linotype" w:eastAsia="Palatino Linotype" w:hAnsi="Palatino Linotype"/>
          <w:b w:val="1"/>
          <w:i w:val="1"/>
          <w:sz w:val="22"/>
          <w:szCs w:val="22"/>
          <w:u w:val="single"/>
          <w:rtl w:val="0"/>
        </w:rPr>
        <w:t xml:space="preserve">Información incompleta para lo cual se actúa con intención y dolo, al entregar aleatoriamente oficios generados, si es bien cierto que cada área conforme a los lineamientos, criterios que establece o rigen la administración publica deben llevar un inventario o control de de sus oficios, para lo cual se ve claro que ocultan algo.</w:t>
      </w:r>
      <w:r w:rsidDel="00000000" w:rsidR="00000000" w:rsidRPr="00000000">
        <w:rPr>
          <w:rFonts w:ascii="Palatino Linotype" w:cs="Palatino Linotype" w:eastAsia="Palatino Linotype" w:hAnsi="Palatino Linotype"/>
          <w:i w:val="1"/>
          <w:sz w:val="22"/>
          <w:szCs w:val="22"/>
          <w:rtl w:val="0"/>
        </w:rPr>
        <w:t xml:space="preserve">” (Sic)</w:t>
      </w:r>
      <w:r w:rsidDel="00000000" w:rsidR="00000000" w:rsidRPr="00000000">
        <w:rPr>
          <w:rtl w:val="0"/>
        </w:rPr>
      </w:r>
    </w:p>
    <w:p w:rsidR="00000000" w:rsidDel="00000000" w:rsidP="00000000" w:rsidRDefault="00000000" w:rsidRPr="00000000" w14:paraId="0000004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Admitido el presente recurso de revisión, en términos del artículo 185 fracción II</w:t>
      </w:r>
      <w:r w:rsidDel="00000000" w:rsidR="00000000" w:rsidRPr="00000000">
        <w:rPr>
          <w:rFonts w:ascii="Palatino Linotype" w:cs="Palatino Linotype" w:eastAsia="Palatino Linotype" w:hAnsi="Palatino Linotype"/>
          <w:sz w:val="22"/>
          <w:szCs w:val="22"/>
          <w:vertAlign w:val="superscript"/>
        </w:rPr>
        <w:footnoteReference w:customMarkFollows="0" w:id="0"/>
      </w:r>
      <w:r w:rsidDel="00000000" w:rsidR="00000000" w:rsidRPr="00000000">
        <w:rPr>
          <w:rFonts w:ascii="Palatino Linotype" w:cs="Palatino Linotype" w:eastAsia="Palatino Linotype" w:hAnsi="Palatino Linotype"/>
          <w:sz w:val="22"/>
          <w:szCs w:val="22"/>
          <w:rtl w:val="0"/>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rsidR="00000000" w:rsidDel="00000000" w:rsidP="00000000" w:rsidRDefault="00000000" w:rsidRPr="00000000" w14:paraId="00000045">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Cabe resaltar que durante la etapa de manifestaciones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fue omisa de rendir alegatos, por lo que respecta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este fue omiso en rendir su informe justificado. </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cabe señalar que de la lectura a los motivos de inconformidad se advierte que estos no corresponden a la respuesta otorgada a la solicitud de información con número de folio 00546/IXTASAL/IP/2024</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ya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se adolece por la entrega de información incompleta, al hacer la entrega de los oficios generados aleatoriamente, sin embargo, en la respuesta otorgada, el</w:t>
      </w:r>
      <w:r w:rsidDel="00000000" w:rsidR="00000000" w:rsidRPr="00000000">
        <w:rPr>
          <w:rFonts w:ascii="Palatino Linotype" w:cs="Palatino Linotype" w:eastAsia="Palatino Linotype" w:hAnsi="Palatino Linotype"/>
          <w:b w:val="1"/>
          <w:sz w:val="22"/>
          <w:szCs w:val="22"/>
          <w:rtl w:val="0"/>
        </w:rPr>
        <w:t xml:space="preserve"> Sujeto Obligado </w:t>
      </w:r>
      <w:r w:rsidDel="00000000" w:rsidR="00000000" w:rsidRPr="00000000">
        <w:rPr>
          <w:rFonts w:ascii="Palatino Linotype" w:cs="Palatino Linotype" w:eastAsia="Palatino Linotype" w:hAnsi="Palatino Linotype"/>
          <w:sz w:val="22"/>
          <w:szCs w:val="22"/>
          <w:rtl w:val="0"/>
        </w:rPr>
        <w:t xml:space="preserve">no refirió la entrega de oficios, por el contrario informó la entrega de una liga electrónica, misma que a su decir contiene la información solicitada. </w:t>
      </w:r>
    </w:p>
    <w:p w:rsidR="00000000" w:rsidDel="00000000" w:rsidP="00000000" w:rsidRDefault="00000000" w:rsidRPr="00000000" w14:paraId="0000004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efecto, atentos a la inconformidad planteada resulta necesario señalar que la misma no versa sobre el contenido de la respuesta emitida, en esa virtud, no se actualiza ninguna causal de procedencia, al acreditarse con las constancias que integran el expediente, que las razones o motivos de inconformidad no guardan relación con la solicitud inicial, es por ello que se actualiza la causal de improcedencia prevista en la fracción IV del artículo 192 de la Ley en la materia, en relación con la fracción III del artículo 191 del mismo ordenamiento, disposiciones normativas que señalan:</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C">
      <w:pPr>
        <w:tabs>
          <w:tab w:val="left" w:leader="none" w:pos="7938"/>
        </w:tabs>
        <w:spacing w:line="276" w:lineRule="auto"/>
        <w:ind w:left="851" w:right="618"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191. </w:t>
      </w:r>
      <w:r w:rsidDel="00000000" w:rsidR="00000000" w:rsidRPr="00000000">
        <w:rPr>
          <w:rFonts w:ascii="Palatino Linotype" w:cs="Palatino Linotype" w:eastAsia="Palatino Linotype" w:hAnsi="Palatino Linotype"/>
          <w:i w:val="1"/>
          <w:sz w:val="22"/>
          <w:szCs w:val="22"/>
          <w:rtl w:val="0"/>
        </w:rPr>
        <w:t xml:space="preserve">El recurso será desechado por improcedente cuando:</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04D">
      <w:pPr>
        <w:tabs>
          <w:tab w:val="left" w:leader="none" w:pos="7938"/>
        </w:tabs>
        <w:spacing w:line="276" w:lineRule="auto"/>
        <w:ind w:left="851" w:right="618"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4E">
      <w:pPr>
        <w:tabs>
          <w:tab w:val="left" w:leader="none" w:pos="7938"/>
        </w:tabs>
        <w:spacing w:line="276" w:lineRule="auto"/>
        <w:ind w:left="851" w:right="618"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No se actualice alguno de los supuestos previstos en la Ley.</w:t>
      </w:r>
    </w:p>
    <w:p w:rsidR="00000000" w:rsidDel="00000000" w:rsidP="00000000" w:rsidRDefault="00000000" w:rsidRPr="00000000" w14:paraId="0000004F">
      <w:pPr>
        <w:tabs>
          <w:tab w:val="left" w:leader="none" w:pos="7938"/>
        </w:tabs>
        <w:spacing w:line="276" w:lineRule="auto"/>
        <w:ind w:left="851" w:right="618"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50">
      <w:pPr>
        <w:tabs>
          <w:tab w:val="left" w:leader="none" w:pos="7938"/>
        </w:tabs>
        <w:spacing w:line="276" w:lineRule="auto"/>
        <w:ind w:left="851"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192. </w:t>
      </w:r>
      <w:r w:rsidDel="00000000" w:rsidR="00000000" w:rsidRPr="00000000">
        <w:rPr>
          <w:rFonts w:ascii="Palatino Linotype" w:cs="Palatino Linotype" w:eastAsia="Palatino Linotype" w:hAnsi="Palatino Linotype"/>
          <w:i w:val="1"/>
          <w:sz w:val="22"/>
          <w:szCs w:val="22"/>
          <w:rtl w:val="0"/>
        </w:rPr>
        <w:t xml:space="preserve">El recurso será </w:t>
      </w:r>
      <w:r w:rsidDel="00000000" w:rsidR="00000000" w:rsidRPr="00000000">
        <w:rPr>
          <w:rFonts w:ascii="Palatino Linotype" w:cs="Palatino Linotype" w:eastAsia="Palatino Linotype" w:hAnsi="Palatino Linotype"/>
          <w:i w:val="1"/>
          <w:sz w:val="22"/>
          <w:szCs w:val="22"/>
          <w:u w:val="single"/>
          <w:rtl w:val="0"/>
        </w:rPr>
        <w:t xml:space="preserve">sobreseído</w:t>
      </w:r>
      <w:r w:rsidDel="00000000" w:rsidR="00000000" w:rsidRPr="00000000">
        <w:rPr>
          <w:rFonts w:ascii="Palatino Linotype" w:cs="Palatino Linotype" w:eastAsia="Palatino Linotype" w:hAnsi="Palatino Linotype"/>
          <w:i w:val="1"/>
          <w:sz w:val="22"/>
          <w:szCs w:val="22"/>
          <w:rtl w:val="0"/>
        </w:rPr>
        <w:t xml:space="preserve">, en todo o en parte, cuando una vez admitido, se actualicen alguno de los siguientes supuestos:</w:t>
      </w:r>
    </w:p>
    <w:p w:rsidR="00000000" w:rsidDel="00000000" w:rsidP="00000000" w:rsidRDefault="00000000" w:rsidRPr="00000000" w14:paraId="00000051">
      <w:pPr>
        <w:tabs>
          <w:tab w:val="left" w:leader="none" w:pos="7938"/>
        </w:tabs>
        <w:spacing w:line="276" w:lineRule="auto"/>
        <w:ind w:left="851" w:right="618"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52">
      <w:pPr>
        <w:tabs>
          <w:tab w:val="left" w:leader="none" w:pos="7938"/>
        </w:tabs>
        <w:spacing w:line="276" w:lineRule="auto"/>
        <w:ind w:left="851" w:right="618"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Admitido el recurso de revisión aparezca alguna causal de improcedencia en términos de la presente Ley… (Sic)”</w:t>
      </w:r>
    </w:p>
    <w:p w:rsidR="00000000" w:rsidDel="00000000" w:rsidP="00000000" w:rsidRDefault="00000000" w:rsidRPr="00000000" w14:paraId="00000053">
      <w:pPr>
        <w:tabs>
          <w:tab w:val="left" w:leader="none" w:pos="7938"/>
        </w:tabs>
        <w:spacing w:after="120" w:lineRule="auto"/>
        <w:ind w:right="902"/>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consiguiente, en estricto derecho la alegación de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se califican de inoperantes; motivo por el cual lo procedente es sobreseer el recurso de revisión; resultando necesario traer a colación la Tesis Aislada con número de registro 2017549 de rubro “INEXISTENCIA DE LOS ACTOS RECLAMADOS EN EL AMPARO. NO ES UN MOTIVO MANIFIESTO E INDUDABLE DE IMPROCEDENCIA QUE DÉ LUGAR AL DESECHAMIENTO DE LA DEMANDA, SINO QUE CONSTITUYE UNA CAUSAL DE SOBRESEIMIENTO EN EL JUICIO.”, la cual constituye un criterio orientador para este Órgano Garante, que pone en aptitudes de poder sobreseer el presente recurso de revisión, lo que en el caso particular, se tiene por acreditada la inexistencia del acto reclamado, quedando sin materia el presente asunto.</w:t>
      </w:r>
    </w:p>
    <w:p w:rsidR="00000000" w:rsidDel="00000000" w:rsidP="00000000" w:rsidRDefault="00000000" w:rsidRPr="00000000" w14:paraId="0000005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lo expuesto, es necesario hacer del conocimiento de la persona solicitante que, de la simple lectura a su Recurso de Revisión, se desprende que</w:t>
      </w:r>
      <w:r w:rsidDel="00000000" w:rsidR="00000000" w:rsidRPr="00000000">
        <w:rPr>
          <w:rFonts w:ascii="Palatino Linotype" w:cs="Palatino Linotype" w:eastAsia="Palatino Linotype" w:hAnsi="Palatino Linotype"/>
          <w:b w:val="1"/>
          <w:sz w:val="22"/>
          <w:szCs w:val="22"/>
          <w:u w:val="single"/>
          <w:rtl w:val="0"/>
        </w:rPr>
        <w:t xml:space="preserve"> las razones o motivos de inconformidad hechas valer, no corresponden con la respuesta del Sujeto Obligado para atender su requerimiento de información,</w:t>
      </w:r>
      <w:r w:rsidDel="00000000" w:rsidR="00000000" w:rsidRPr="00000000">
        <w:rPr>
          <w:rFonts w:ascii="Palatino Linotype" w:cs="Palatino Linotype" w:eastAsia="Palatino Linotype" w:hAnsi="Palatino Linotype"/>
          <w:sz w:val="22"/>
          <w:szCs w:val="22"/>
          <w:rtl w:val="0"/>
        </w:rPr>
        <w:t xml:space="preserve"> por lo tanto, es claro que el Recurso de Revisión que nos ocupa, no actualiza ninguno de los supuestos previstos en la Ley de la materia conforme a las actuaciones que obran en el expediente electrónico formado en el Sistema de Acceso a la Información Mexiquense (SAIMEX).</w:t>
      </w:r>
    </w:p>
    <w:p w:rsidR="00000000" w:rsidDel="00000000" w:rsidP="00000000" w:rsidRDefault="00000000" w:rsidRPr="00000000" w14:paraId="0000005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tales circunstancias, este Instituto se encuentra impedido a entrar al estudio de fondo, en virtud que la particular no manifestó razones o motivos de inconformidad, relacionados con la respuesta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fin de atender su solicitud de acceso.</w:t>
      </w:r>
    </w:p>
    <w:p w:rsidR="00000000" w:rsidDel="00000000" w:rsidP="00000000" w:rsidRDefault="00000000" w:rsidRPr="00000000" w14:paraId="0000005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A">
      <w:pPr>
        <w:spacing w:line="360" w:lineRule="auto"/>
        <w:ind w:right="96"/>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tanto, en virtud de los argumentos expuestos con anterioridad, así como del análisis realizado a las constancias que obran en el expediente electrónico, toda vez que no se actualizó algún supuesto de procedencia, se determina </w:t>
      </w:r>
      <w:r w:rsidDel="00000000" w:rsidR="00000000" w:rsidRPr="00000000">
        <w:rPr>
          <w:rFonts w:ascii="Palatino Linotype" w:cs="Palatino Linotype" w:eastAsia="Palatino Linotype" w:hAnsi="Palatino Linotype"/>
          <w:i w:val="1"/>
          <w:sz w:val="22"/>
          <w:szCs w:val="22"/>
          <w:rtl w:val="0"/>
        </w:rPr>
        <w:t xml:space="preserve">sobreseer </w:t>
      </w:r>
      <w:r w:rsidDel="00000000" w:rsidR="00000000" w:rsidRPr="00000000">
        <w:rPr>
          <w:rFonts w:ascii="Palatino Linotype" w:cs="Palatino Linotype" w:eastAsia="Palatino Linotype" w:hAnsi="Palatino Linotype"/>
          <w:sz w:val="22"/>
          <w:szCs w:val="22"/>
          <w:rtl w:val="0"/>
        </w:rPr>
        <w:t xml:space="preserve">el presente recurso de revisión. </w:t>
      </w:r>
    </w:p>
    <w:p w:rsidR="00000000" w:rsidDel="00000000" w:rsidP="00000000" w:rsidRDefault="00000000" w:rsidRPr="00000000" w14:paraId="0000005B">
      <w:pPr>
        <w:spacing w:line="360" w:lineRule="auto"/>
        <w:ind w:right="96"/>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C">
      <w:pPr>
        <w:spacing w:line="360" w:lineRule="auto"/>
        <w:ind w:right="96"/>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el </w:t>
      </w:r>
      <w:r w:rsidDel="00000000" w:rsidR="00000000" w:rsidRPr="00000000">
        <w:rPr>
          <w:rFonts w:ascii="Palatino Linotype" w:cs="Palatino Linotype" w:eastAsia="Palatino Linotype" w:hAnsi="Palatino Linotype"/>
          <w:i w:val="1"/>
          <w:sz w:val="22"/>
          <w:szCs w:val="22"/>
          <w:rtl w:val="0"/>
        </w:rPr>
        <w:t xml:space="preserve">sobreseimiento</w:t>
      </w:r>
      <w:r w:rsidDel="00000000" w:rsidR="00000000" w:rsidRPr="00000000">
        <w:rPr>
          <w:rFonts w:ascii="Palatino Linotype" w:cs="Palatino Linotype" w:eastAsia="Palatino Linotype" w:hAnsi="Palatino Linotype"/>
          <w:sz w:val="22"/>
          <w:szCs w:val="22"/>
          <w:rtl w:val="0"/>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rsidR="00000000" w:rsidDel="00000000" w:rsidP="00000000" w:rsidRDefault="00000000" w:rsidRPr="00000000" w14:paraId="0000005D">
      <w:pPr>
        <w:spacing w:line="360" w:lineRule="auto"/>
        <w:ind w:right="96"/>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5E">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SOBRESEIMIENTO, NO PERMITE ENTRAR AL ESTUDIO DE LAS CUESTIONES DE FONDO</w:t>
      </w:r>
    </w:p>
    <w:p w:rsidR="00000000" w:rsidDel="00000000" w:rsidP="00000000" w:rsidRDefault="00000000" w:rsidRPr="00000000" w14:paraId="0000005F">
      <w:pPr>
        <w:spacing w:after="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Localización: 213609. II.2o.183 K. Tribunales Colegiados de Circuito. Octava Época. Semanario Judicial de la Federación. Tomo XIII, Febrero de 1994, Pág. 420</w:t>
      </w:r>
    </w:p>
    <w:p w:rsidR="00000000" w:rsidDel="00000000" w:rsidP="00000000" w:rsidRDefault="00000000" w:rsidRPr="00000000" w14:paraId="00000060">
      <w:pPr>
        <w:spacing w:before="12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000000" w:rsidDel="00000000" w:rsidP="00000000" w:rsidRDefault="00000000" w:rsidRPr="00000000" w14:paraId="00000061">
      <w:pPr>
        <w:spacing w:line="360" w:lineRule="auto"/>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Cabe destacar que la decisión de este Organismo Colegiado de sobreseer el recurso de revisión no implica una limitación o negación a la justicia, según lo ha establecido el Poder Judicial Federal, en el criterio que es aplicable por analogía, con rubro:</w:t>
      </w:r>
    </w:p>
    <w:p w:rsidR="00000000" w:rsidDel="00000000" w:rsidP="00000000" w:rsidRDefault="00000000" w:rsidRPr="00000000" w14:paraId="0000006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4">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DESECHAMIENTO O SOBRESEIMIENTO EN EL JUICIO DE AMPARO. NO IMPLICA DENEGACIÓN DE JUSTICIA NI GENERA INSEGURIDAD JURÍDICA”</w:t>
      </w:r>
    </w:p>
    <w:p w:rsidR="00000000" w:rsidDel="00000000" w:rsidP="00000000" w:rsidRDefault="00000000" w:rsidRPr="00000000" w14:paraId="00000065">
      <w:pPr>
        <w:spacing w:before="120"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sidDel="00000000" w:rsidR="00000000" w:rsidRPr="00000000">
        <w:rPr>
          <w:rFonts w:ascii="Palatino Linotype" w:cs="Palatino Linotype" w:eastAsia="Palatino Linotype" w:hAnsi="Palatino Linotype"/>
          <w:sz w:val="22"/>
          <w:szCs w:val="22"/>
          <w:rtl w:val="0"/>
        </w:rPr>
        <w:tab/>
      </w:r>
    </w:p>
    <w:p w:rsidR="00000000" w:rsidDel="00000000" w:rsidP="00000000" w:rsidRDefault="00000000" w:rsidRPr="00000000" w14:paraId="00000066">
      <w:pPr>
        <w:spacing w:after="120" w:before="120"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7">
      <w:pPr>
        <w:spacing w:before="12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Bajo ese tenor con fundamento en la segunda hipótesis de la fracción I del artículo 186, de la Ley de Transparencia y Acceso a la Información Pública del Estado de México y Municipios, se </w:t>
      </w:r>
      <w:r w:rsidDel="00000000" w:rsidR="00000000" w:rsidRPr="00000000">
        <w:rPr>
          <w:rFonts w:ascii="Palatino Linotype" w:cs="Palatino Linotype" w:eastAsia="Palatino Linotype" w:hAnsi="Palatino Linotype"/>
          <w:b w:val="1"/>
          <w:sz w:val="22"/>
          <w:szCs w:val="22"/>
          <w:rtl w:val="0"/>
        </w:rPr>
        <w:t xml:space="preserve">Sobresee </w:t>
      </w:r>
      <w:r w:rsidDel="00000000" w:rsidR="00000000" w:rsidRPr="00000000">
        <w:rPr>
          <w:rFonts w:ascii="Palatino Linotype" w:cs="Palatino Linotype" w:eastAsia="Palatino Linotype" w:hAnsi="Palatino Linotype"/>
          <w:sz w:val="22"/>
          <w:szCs w:val="22"/>
          <w:rtl w:val="0"/>
        </w:rPr>
        <w:t xml:space="preserve">el recurso de revisión </w:t>
      </w:r>
      <w:r w:rsidDel="00000000" w:rsidR="00000000" w:rsidRPr="00000000">
        <w:rPr>
          <w:rFonts w:ascii="Palatino Linotype" w:cs="Palatino Linotype" w:eastAsia="Palatino Linotype" w:hAnsi="Palatino Linotype"/>
          <w:b w:val="1"/>
          <w:sz w:val="22"/>
          <w:szCs w:val="22"/>
          <w:rtl w:val="0"/>
        </w:rPr>
        <w:t xml:space="preserve">00104/INFOEM/IP/RR/2025</w:t>
      </w:r>
      <w:r w:rsidDel="00000000" w:rsidR="00000000" w:rsidRPr="00000000">
        <w:rPr>
          <w:rFonts w:ascii="Palatino Linotype" w:cs="Palatino Linotype" w:eastAsia="Palatino Linotype" w:hAnsi="Palatino Linotype"/>
          <w:sz w:val="22"/>
          <w:szCs w:val="22"/>
          <w:rtl w:val="0"/>
        </w:rPr>
        <w:t xml:space="preserve">, que ha sido materia del presente fallo.</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segundo, trigésimo tercero y trigésimo cuarto fracciones IV y V de la Constitución Política del Estado Libre y Soberano de México; 2, fracción II; 29, 36 fracciones I y II; 176, 178, 181, 185 y 186 fracción I de la Ley de Transparencia y Acceso a la Información Pública del Estado de México y Municipios, este Pleno:</w:t>
      </w:r>
    </w:p>
    <w:p w:rsidR="00000000" w:rsidDel="00000000" w:rsidP="00000000" w:rsidRDefault="00000000" w:rsidRPr="00000000" w14:paraId="0000006A">
      <w:pPr>
        <w:spacing w:line="360" w:lineRule="auto"/>
        <w:ind w:right="-93"/>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 E S U E L V E:</w:t>
      </w:r>
    </w:p>
    <w:p w:rsidR="00000000" w:rsidDel="00000000" w:rsidP="00000000" w:rsidRDefault="00000000" w:rsidRPr="00000000" w14:paraId="0000006B">
      <w:pPr>
        <w:tabs>
          <w:tab w:val="left" w:leader="none" w:pos="7936"/>
        </w:tabs>
        <w:spacing w:after="240" w:before="240" w:line="360" w:lineRule="auto"/>
        <w:jc w:val="both"/>
        <w:rPr>
          <w:rFonts w:ascii="Palatino Linotype" w:cs="Palatino Linotype" w:eastAsia="Palatino Linotype" w:hAnsi="Palatino Linotype"/>
          <w:sz w:val="22"/>
          <w:szCs w:val="22"/>
        </w:rPr>
      </w:pPr>
      <w:bookmarkStart w:colFirst="0" w:colLast="0" w:name="_heading=h.3dy6vkm" w:id="3"/>
      <w:bookmarkEnd w:id="3"/>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Se </w:t>
      </w:r>
      <w:r w:rsidDel="00000000" w:rsidR="00000000" w:rsidRPr="00000000">
        <w:rPr>
          <w:rFonts w:ascii="Palatino Linotype" w:cs="Palatino Linotype" w:eastAsia="Palatino Linotype" w:hAnsi="Palatino Linotype"/>
          <w:b w:val="1"/>
          <w:sz w:val="22"/>
          <w:szCs w:val="22"/>
          <w:rtl w:val="0"/>
        </w:rPr>
        <w:t xml:space="preserve">SOBRESEE</w:t>
      </w:r>
      <w:r w:rsidDel="00000000" w:rsidR="00000000" w:rsidRPr="00000000">
        <w:rPr>
          <w:rFonts w:ascii="Palatino Linotype" w:cs="Palatino Linotype" w:eastAsia="Palatino Linotype" w:hAnsi="Palatino Linotype"/>
          <w:sz w:val="22"/>
          <w:szCs w:val="22"/>
          <w:rtl w:val="0"/>
        </w:rPr>
        <w:t xml:space="preserve"> el Recurso de Revisión </w:t>
      </w:r>
      <w:r w:rsidDel="00000000" w:rsidR="00000000" w:rsidRPr="00000000">
        <w:rPr>
          <w:rFonts w:ascii="Palatino Linotype" w:cs="Palatino Linotype" w:eastAsia="Palatino Linotype" w:hAnsi="Palatino Linotype"/>
          <w:b w:val="1"/>
          <w:sz w:val="22"/>
          <w:szCs w:val="22"/>
          <w:rtl w:val="0"/>
        </w:rPr>
        <w:t xml:space="preserve">00104/INFOEM/IP/RR/2025</w:t>
      </w:r>
      <w:r w:rsidDel="00000000" w:rsidR="00000000" w:rsidRPr="00000000">
        <w:rPr>
          <w:rFonts w:ascii="Palatino Linotype" w:cs="Palatino Linotype" w:eastAsia="Palatino Linotype" w:hAnsi="Palatino Linotype"/>
          <w:sz w:val="22"/>
          <w:szCs w:val="22"/>
          <w:rtl w:val="0"/>
        </w:rPr>
        <w:t xml:space="preserve">, por improcedente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por actualizarse la fracción IV del artículo 192, en relación con la fracción III del artículo 191, ambos, de la Ley de Transparencia y Acceso a la Información Pública del Estado de México y Municipios, en términos del </w:t>
      </w:r>
      <w:r w:rsidDel="00000000" w:rsidR="00000000" w:rsidRPr="00000000">
        <w:rPr>
          <w:rFonts w:ascii="Palatino Linotype" w:cs="Palatino Linotype" w:eastAsia="Palatino Linotype" w:hAnsi="Palatino Linotype"/>
          <w:b w:val="1"/>
          <w:sz w:val="22"/>
          <w:szCs w:val="22"/>
          <w:rtl w:val="0"/>
        </w:rPr>
        <w:t xml:space="preserve">Considerando Tercero</w:t>
      </w:r>
      <w:r w:rsidDel="00000000" w:rsidR="00000000" w:rsidRPr="00000000">
        <w:rPr>
          <w:rFonts w:ascii="Palatino Linotype" w:cs="Palatino Linotype" w:eastAsia="Palatino Linotype" w:hAnsi="Palatino Linotype"/>
          <w:sz w:val="22"/>
          <w:szCs w:val="22"/>
          <w:rtl w:val="0"/>
        </w:rPr>
        <w:t xml:space="preserve"> de la presente resolución.</w:t>
      </w:r>
    </w:p>
    <w:p w:rsidR="00000000" w:rsidDel="00000000" w:rsidP="00000000" w:rsidRDefault="00000000" w:rsidRPr="00000000" w14:paraId="0000006C">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Notifíquese </w:t>
      </w:r>
      <w:r w:rsidDel="00000000" w:rsidR="00000000" w:rsidRPr="00000000">
        <w:rPr>
          <w:rFonts w:ascii="Palatino Linotype" w:cs="Palatino Linotype" w:eastAsia="Palatino Linotype" w:hAnsi="Palatino Linotype"/>
          <w:sz w:val="22"/>
          <w:szCs w:val="22"/>
          <w:rtl w:val="0"/>
        </w:rPr>
        <w:t xml:space="preserve">vía SAIMEX la presente resolución al Titular de la Unidad de Transparencia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para su conocimiento.</w:t>
      </w:r>
    </w:p>
    <w:p w:rsidR="00000000" w:rsidDel="00000000" w:rsidP="00000000" w:rsidRDefault="00000000" w:rsidRPr="00000000" w14:paraId="0000006D">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E">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Notifíquese </w:t>
      </w:r>
      <w:r w:rsidDel="00000000" w:rsidR="00000000" w:rsidRPr="00000000">
        <w:rPr>
          <w:rFonts w:ascii="Palatino Linotype" w:cs="Palatino Linotype" w:eastAsia="Palatino Linotype" w:hAnsi="Palatino Linotype"/>
          <w:sz w:val="22"/>
          <w:szCs w:val="22"/>
          <w:rtl w:val="0"/>
        </w:rPr>
        <w:t xml:space="preserve">vía SAIMEX</w:t>
      </w:r>
      <w:r w:rsidDel="00000000" w:rsidR="00000000" w:rsidRPr="00000000">
        <w:rPr>
          <w:rFonts w:ascii="Palatino Linotype" w:cs="Palatino Linotype" w:eastAsia="Palatino Linotype" w:hAnsi="Palatino Linotype"/>
          <w:b w:val="1"/>
          <w:sz w:val="22"/>
          <w:szCs w:val="22"/>
          <w:rtl w:val="0"/>
        </w:rPr>
        <w:t xml:space="preserve"> a la parte Recurrente</w:t>
      </w:r>
      <w:r w:rsidDel="00000000" w:rsidR="00000000" w:rsidRPr="00000000">
        <w:rPr>
          <w:rFonts w:ascii="Palatino Linotype" w:cs="Palatino Linotype" w:eastAsia="Palatino Linotype" w:hAnsi="Palatino Linotype"/>
          <w:sz w:val="22"/>
          <w:szCs w:val="22"/>
          <w:rtl w:val="0"/>
        </w:rPr>
        <w:t xml:space="preserve">, la presente resolución, además que de conformidad con lo establecido en el artículo 196 de la Ley de Transparencia y Acceso a la Información Pública del Estado de México y Municipios, podrá impugnarla vía Juicio de Amparo en los términos de las leyes aplicables.</w:t>
      </w:r>
    </w:p>
    <w:p w:rsidR="00000000" w:rsidDel="00000000" w:rsidP="00000000" w:rsidRDefault="00000000" w:rsidRPr="00000000" w14:paraId="0000006F">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0">
      <w:pPr>
        <w:spacing w:line="360" w:lineRule="auto"/>
        <w:jc w:val="both"/>
        <w:rPr>
          <w:rFonts w:ascii="Palatino Linotype" w:cs="Palatino Linotype" w:eastAsia="Palatino Linotype" w:hAnsi="Palatino Linotype"/>
          <w:sz w:val="22"/>
          <w:szCs w:val="22"/>
        </w:rPr>
        <w:sectPr>
          <w:headerReference r:id="rId11" w:type="default"/>
          <w:headerReference r:id="rId12" w:type="first"/>
          <w:footerReference r:id="rId13" w:type="default"/>
          <w:footerReference r:id="rId14" w:type="first"/>
          <w:pgSz w:h="15840" w:w="12240" w:orient="portrait"/>
          <w:pgMar w:bottom="1701" w:top="2041" w:left="1701" w:right="1701" w:header="709" w:footer="709"/>
          <w:pgNumType w:start="1"/>
          <w:titlePg w:val="1"/>
        </w:sectPr>
      </w:pPr>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SEIS DE FEBRERO DE DOS MIL VEINTICINCO, ANTE EL SECRETARIO TÉCNICO DEL PLENO ALEXIS TAPIA RAMÍREZ.                              </w:t>
      </w:r>
    </w:p>
    <w:p w:rsidR="00000000" w:rsidDel="00000000" w:rsidP="00000000" w:rsidRDefault="00000000" w:rsidRPr="00000000" w14:paraId="00000071">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15" w:type="first"/>
      <w:type w:val="nextPage"/>
      <w:pgSz w:h="15840" w:w="12240" w:orient="portrait"/>
      <w:pgMar w:bottom="1701" w:top="2041"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72">
      <w:pPr>
        <w:ind w:left="720" w:hanging="720"/>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color w:val="000000"/>
          <w:sz w:val="16"/>
          <w:szCs w:val="16"/>
          <w:rtl w:val="0"/>
        </w:rPr>
        <w:t xml:space="preserve">Artículo 185.</w:t>
      </w:r>
      <w:r w:rsidDel="00000000" w:rsidR="00000000" w:rsidRPr="00000000">
        <w:rPr>
          <w:rFonts w:ascii="Palatino Linotype" w:cs="Palatino Linotype" w:eastAsia="Palatino Linotype" w:hAnsi="Palatino Linotype"/>
          <w:color w:val="000000"/>
          <w:sz w:val="16"/>
          <w:szCs w:val="16"/>
          <w:rtl w:val="0"/>
        </w:rPr>
        <w:t xml:space="preserve"> El Instituto resolverá el recurso de revisión conforme a lo siguiente: (…)</w:t>
      </w:r>
    </w:p>
    <w:p w:rsidR="00000000" w:rsidDel="00000000" w:rsidP="00000000" w:rsidRDefault="00000000" w:rsidRPr="00000000" w14:paraId="00000073">
      <w:pP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-638174</wp:posOffset>
          </wp:positionH>
          <wp:positionV relativeFrom="paragraph">
            <wp:posOffset>-450214</wp:posOffset>
          </wp:positionV>
          <wp:extent cx="7809876" cy="10165823"/>
          <wp:effectExtent b="0" l="0" r="0" t="0"/>
          <wp:wrapNone/>
          <wp:docPr id="3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528.0" w:type="dxa"/>
      <w:jc w:val="left"/>
      <w:tblInd w:w="3261.0" w:type="dxa"/>
      <w:tblLayout w:type="fixed"/>
      <w:tblLook w:val="0400"/>
    </w:tblPr>
    <w:tblGrid>
      <w:gridCol w:w="2551"/>
      <w:gridCol w:w="2977"/>
      <w:tblGridChange w:id="0">
        <w:tblGrid>
          <w:gridCol w:w="2551"/>
          <w:gridCol w:w="2977"/>
        </w:tblGrid>
      </w:tblGridChange>
    </w:tblGrid>
    <w:tr>
      <w:trPr>
        <w:cantSplit w:val="0"/>
        <w:tblHeader w:val="0"/>
      </w:trPr>
      <w:tc>
        <w:tcPr>
          <w:vAlign w:val="center"/>
        </w:tcPr>
        <w:p w:rsidR="00000000" w:rsidDel="00000000" w:rsidP="00000000" w:rsidRDefault="00000000" w:rsidRPr="00000000" w14:paraId="0000007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076">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00104/INFOEM/IP/RR/2025</w:t>
          </w:r>
        </w:p>
      </w:tc>
    </w:tr>
    <w:tr>
      <w:trPr>
        <w:cantSplit w:val="0"/>
        <w:trHeight w:val="228" w:hRule="atLeast"/>
        <w:tblHeader w:val="0"/>
      </w:trPr>
      <w:tc>
        <w:tcPr>
          <w:vAlign w:val="center"/>
        </w:tcPr>
        <w:p w:rsidR="00000000" w:rsidDel="00000000" w:rsidP="00000000" w:rsidRDefault="00000000" w:rsidRPr="00000000" w14:paraId="0000007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078">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Ixtapan de la Sal</w:t>
          </w:r>
        </w:p>
      </w:tc>
    </w:tr>
    <w:tr>
      <w:trPr>
        <w:cantSplit w:val="0"/>
        <w:tblHeader w:val="0"/>
      </w:trPr>
      <w:tc>
        <w:tcPr>
          <w:vAlign w:val="center"/>
        </w:tcPr>
        <w:p w:rsidR="00000000" w:rsidDel="00000000" w:rsidP="00000000" w:rsidRDefault="00000000" w:rsidRPr="00000000" w14:paraId="0000007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07A">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libri" w:cs="Calibri" w:eastAsia="Calibri" w:hAnsi="Calibri"/>
        <w:color w:val="000000"/>
      </w:rPr>
    </w:pPr>
    <w:r w:rsidDel="00000000" w:rsidR="00000000" w:rsidRPr="00000000">
      <w:rPr>
        <w:rFonts w:ascii="Calibri" w:cs="Calibri" w:eastAsia="Calibri" w:hAnsi="Calibri"/>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-798193</wp:posOffset>
          </wp:positionH>
          <wp:positionV relativeFrom="paragraph">
            <wp:posOffset>-399413</wp:posOffset>
          </wp:positionV>
          <wp:extent cx="7809876" cy="10165823"/>
          <wp:effectExtent b="0" l="0" r="0" t="0"/>
          <wp:wrapNone/>
          <wp:docPr id="3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5670.0" w:type="dxa"/>
      <w:jc w:val="left"/>
      <w:tblInd w:w="3119.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07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07E">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00104/INFOEM/IP/RR/2025</w:t>
          </w:r>
        </w:p>
      </w:tc>
    </w:tr>
    <w:tr>
      <w:trPr>
        <w:cantSplit w:val="0"/>
        <w:tblHeader w:val="0"/>
      </w:trPr>
      <w:tc>
        <w:tcPr>
          <w:vAlign w:val="center"/>
        </w:tcPr>
        <w:p w:rsidR="00000000" w:rsidDel="00000000" w:rsidP="00000000" w:rsidRDefault="00000000" w:rsidRPr="00000000" w14:paraId="0000007F">
          <w:pPr>
            <w:ind w:left="35" w:hanging="3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080">
          <w:pPr>
            <w:ind w:right="-533"/>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081">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082">
          <w:pPr>
            <w:ind w:right="27"/>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Ixtapan de la Sal</w:t>
          </w:r>
        </w:p>
      </w:tc>
    </w:tr>
    <w:tr>
      <w:trPr>
        <w:cantSplit w:val="0"/>
        <w:tblHeader w:val="0"/>
      </w:trPr>
      <w:tc>
        <w:tcPr>
          <w:vAlign w:val="center"/>
        </w:tcPr>
        <w:p w:rsidR="00000000" w:rsidDel="00000000" w:rsidP="00000000" w:rsidRDefault="00000000" w:rsidRPr="00000000" w14:paraId="0000008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084">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b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3"/>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upperRoman"/>
      <w:lvlText w:val="%1."/>
      <w:lvlJc w:val="right"/>
      <w:pPr>
        <w:ind w:left="1077" w:hanging="360"/>
      </w:pPr>
      <w:rPr/>
    </w:lvl>
    <w:lvl w:ilvl="1">
      <w:start w:val="1"/>
      <w:numFmt w:val="decimal"/>
      <w:lvlText w:val="%2."/>
      <w:lvlJc w:val="left"/>
      <w:pPr>
        <w:ind w:left="1797" w:hanging="360"/>
      </w:pPr>
      <w:rPr/>
    </w:lvl>
    <w:lvl w:ilvl="2">
      <w:start w:val="1"/>
      <w:numFmt w:val="lowerRoman"/>
      <w:lvlText w:val="%3."/>
      <w:lvlJc w:val="right"/>
      <w:pPr>
        <w:ind w:left="2517" w:hanging="180"/>
      </w:pPr>
      <w:rPr/>
    </w:lvl>
    <w:lvl w:ilvl="3">
      <w:start w:val="1"/>
      <w:numFmt w:val="decimal"/>
      <w:lvlText w:val="%4."/>
      <w:lvlJc w:val="left"/>
      <w:pPr>
        <w:ind w:left="3237" w:hanging="360"/>
      </w:pPr>
      <w:rPr/>
    </w:lvl>
    <w:lvl w:ilvl="4">
      <w:start w:val="1"/>
      <w:numFmt w:val="lowerLetter"/>
      <w:lvlText w:val="%5."/>
      <w:lvlJc w:val="left"/>
      <w:pPr>
        <w:ind w:left="3957" w:hanging="360"/>
      </w:pPr>
      <w:rPr/>
    </w:lvl>
    <w:lvl w:ilvl="5">
      <w:start w:val="1"/>
      <w:numFmt w:val="lowerRoman"/>
      <w:lvlText w:val="%6."/>
      <w:lvlJc w:val="right"/>
      <w:pPr>
        <w:ind w:left="4677" w:hanging="180"/>
      </w:pPr>
      <w:rPr/>
    </w:lvl>
    <w:lvl w:ilvl="6">
      <w:start w:val="1"/>
      <w:numFmt w:val="decimal"/>
      <w:lvlText w:val="%7."/>
      <w:lvlJc w:val="left"/>
      <w:pPr>
        <w:ind w:left="5397" w:hanging="360"/>
      </w:pPr>
      <w:rPr/>
    </w:lvl>
    <w:lvl w:ilvl="7">
      <w:start w:val="1"/>
      <w:numFmt w:val="lowerLetter"/>
      <w:lvlText w:val="%8."/>
      <w:lvlJc w:val="left"/>
      <w:pPr>
        <w:ind w:left="6117" w:hanging="360"/>
      </w:pPr>
      <w:rPr/>
    </w:lvl>
    <w:lvl w:ilvl="8">
      <w:start w:val="1"/>
      <w:numFmt w:val="lowerRoman"/>
      <w:lvlText w:val="%9."/>
      <w:lvlJc w:val="right"/>
      <w:pPr>
        <w:ind w:left="6837"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E2631"/>
    <w:rPr>
      <w:lang w:eastAsia="es-ES"/>
    </w:rPr>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link w:val="Ttulo3Car"/>
    <w:uiPriority w:val="9"/>
    <w:qFormat w:val="1"/>
    <w:rsid w:val="002D2EAC"/>
    <w:pPr>
      <w:spacing w:after="100" w:afterAutospacing="1" w:before="100" w:beforeAutospacing="1"/>
      <w:outlineLvl w:val="2"/>
    </w:pPr>
    <w:rPr>
      <w:b w:val="1"/>
      <w:bCs w:val="1"/>
      <w:sz w:val="27"/>
      <w:szCs w:val="27"/>
      <w:lang w:eastAsia="es-MX" w:val="es-MX"/>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AC3C64"/>
    <w:rPr>
      <w:rFonts w:eastAsiaTheme="minorEastAsia"/>
      <w:sz w:val="24"/>
      <w:szCs w:val="24"/>
      <w:lang w:eastAsia="es-ES" w:val="es-ES_tradnl"/>
    </w:rPr>
  </w:style>
  <w:style w:type="paragraph" w:styleId="Piedepgina">
    <w:name w:val="footer"/>
    <w:basedOn w:val="Normal"/>
    <w:link w:val="Piedepgina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AC3C64"/>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AC3C64"/>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AC3C64"/>
  </w:style>
  <w:style w:type="character" w:styleId="apple-converted-space" w:customStyle="1">
    <w:name w:val="apple-converted-space"/>
    <w:basedOn w:val="Fuentedeprrafopredeter"/>
    <w:rsid w:val="00AC3C64"/>
  </w:style>
  <w:style w:type="paragraph" w:styleId="paragraph" w:customStyle="1">
    <w:name w:val="paragraph"/>
    <w:basedOn w:val="Normal"/>
    <w:rsid w:val="00AC3C64"/>
    <w:pPr>
      <w:spacing w:after="100" w:afterAutospacing="1" w:before="100" w:beforeAutospacing="1"/>
    </w:pPr>
    <w:rPr>
      <w:lang w:eastAsia="es-MX" w:val="es-MX"/>
    </w:rPr>
  </w:style>
  <w:style w:type="character" w:styleId="eop" w:customStyle="1">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AC3C64"/>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val="1"/>
    <w:rsid w:val="00AC3C64"/>
    <w:rPr>
      <w:color w:val="0563c1" w:themeColor="hyperlink"/>
      <w:u w:val="single"/>
    </w:rPr>
  </w:style>
  <w:style w:type="paragraph" w:styleId="NormalWeb">
    <w:name w:val="Normal (Web)"/>
    <w:basedOn w:val="Normal"/>
    <w:uiPriority w:val="99"/>
    <w:unhideWhenUsed w:val="1"/>
    <w:rsid w:val="00AC3C64"/>
    <w:pPr>
      <w:spacing w:after="100" w:afterAutospacing="1" w:before="100" w:beforeAutospacing="1"/>
    </w:pPr>
    <w:rPr>
      <w:lang w:eastAsia="es-MX" w:val="es-MX"/>
    </w:rPr>
  </w:style>
  <w:style w:type="character" w:styleId="Ttulo3Car" w:customStyle="1">
    <w:name w:val="Título 3 Car"/>
    <w:basedOn w:val="Fuentedeprrafopredeter"/>
    <w:link w:val="Ttulo3"/>
    <w:uiPriority w:val="9"/>
    <w:rsid w:val="002D2EAC"/>
    <w:rPr>
      <w:rFonts w:ascii="Times New Roman" w:cs="Times New Roman" w:eastAsia="Times New Roman" w:hAnsi="Times New Roman"/>
      <w:b w:val="1"/>
      <w:bCs w:val="1"/>
      <w:sz w:val="27"/>
      <w:szCs w:val="27"/>
      <w:lang w:eastAsia="es-MX"/>
    </w:rPr>
  </w:style>
  <w:style w:type="character" w:styleId="titulorubro" w:customStyle="1">
    <w:name w:val="titulorubro"/>
    <w:basedOn w:val="Fuentedeprrafopredeter"/>
    <w:rsid w:val="002D2EAC"/>
  </w:style>
  <w:style w:type="paragraph" w:styleId="Textoindependiente">
    <w:name w:val="Body Text"/>
    <w:basedOn w:val="Normal"/>
    <w:link w:val="TextoindependienteCar"/>
    <w:uiPriority w:val="1"/>
    <w:qFormat w:val="1"/>
    <w:rsid w:val="006F3C93"/>
    <w:pPr>
      <w:autoSpaceDE w:val="0"/>
      <w:autoSpaceDN w:val="0"/>
      <w:adjustRightInd w:val="0"/>
      <w:ind w:left="93"/>
    </w:pPr>
    <w:rPr>
      <w:rFonts w:eastAsiaTheme="minorHAnsi"/>
      <w:sz w:val="23"/>
      <w:szCs w:val="23"/>
      <w:lang w:eastAsia="en-US" w:val="es-MX"/>
    </w:rPr>
  </w:style>
  <w:style w:type="character" w:styleId="TextoindependienteCar" w:customStyle="1">
    <w:name w:val="Texto independiente Car"/>
    <w:basedOn w:val="Fuentedeprrafopredeter"/>
    <w:link w:val="Textoindependiente"/>
    <w:uiPriority w:val="1"/>
    <w:rsid w:val="006F3C93"/>
    <w:rPr>
      <w:rFonts w:ascii="Times New Roman" w:cs="Times New Roman" w:hAnsi="Times New Roman"/>
      <w:sz w:val="23"/>
      <w:szCs w:val="23"/>
    </w:rPr>
  </w:style>
  <w:style w:type="paragraph" w:styleId="Textodeglobo">
    <w:name w:val="Balloon Text"/>
    <w:basedOn w:val="Normal"/>
    <w:link w:val="TextodegloboCar"/>
    <w:uiPriority w:val="99"/>
    <w:semiHidden w:val="1"/>
    <w:unhideWhenUsed w:val="1"/>
    <w:rsid w:val="00A037B6"/>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A037B6"/>
    <w:rPr>
      <w:rFonts w:ascii="Segoe UI" w:cs="Segoe UI" w:eastAsia="Times New Roman" w:hAnsi="Segoe UI"/>
      <w:sz w:val="18"/>
      <w:szCs w:val="18"/>
      <w:lang w:eastAsia="es-ES" w:val="es-ES"/>
    </w:rPr>
  </w:style>
  <w:style w:type="paragraph" w:styleId="Pa1" w:customStyle="1">
    <w:name w:val="Pa1"/>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2" w:customStyle="1">
    <w:name w:val="Pa2"/>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3" w:customStyle="1">
    <w:name w:val="Pa3"/>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Sinespaciado">
    <w:name w:val="No Spacing"/>
    <w:aliases w:val="Francesa,INAI"/>
    <w:link w:val="SinespaciadoCar"/>
    <w:uiPriority w:val="1"/>
    <w:qFormat w:val="1"/>
    <w:rsid w:val="00CE2CFE"/>
  </w:style>
  <w:style w:type="character" w:styleId="SinespaciadoCar" w:customStyle="1">
    <w:name w:val="Sin espaciado Car"/>
    <w:aliases w:val="Francesa Car,INAI Car"/>
    <w:link w:val="Sinespaciado"/>
    <w:uiPriority w:val="1"/>
    <w:locked w:val="1"/>
    <w:rsid w:val="00CE2CFE"/>
  </w:style>
  <w:style w:type="table" w:styleId="Tabladelista1clara-nfasis1">
    <w:name w:val="List Table 1 Light Accent 1"/>
    <w:basedOn w:val="Tablanormal"/>
    <w:uiPriority w:val="46"/>
    <w:rsid w:val="00D30935"/>
    <w:rPr>
      <w:rFonts w:eastAsiaTheme="minorEastAsia"/>
      <w:lang w:eastAsia="es-ES" w:val="es-ES_tradnl"/>
    </w:rPr>
    <w:tblPr>
      <w:tblStyleRowBandSize w:val="1"/>
      <w:tblStyleColBandSize w:val="1"/>
    </w:tblPr>
    <w:tblStylePr w:type="firstRow">
      <w:rPr>
        <w:b w:val="1"/>
        <w:bCs w:val="1"/>
      </w:rPr>
      <w:tblPr/>
      <w:tcPr>
        <w:tcBorders>
          <w:bottom w:color="9cc2e5" w:space="0" w:sz="4" w:themeColor="accent1" w:themeTint="000099" w:val="single"/>
        </w:tcBorders>
      </w:tcPr>
    </w:tblStylePr>
    <w:tblStylePr w:type="lastRow">
      <w:rPr>
        <w:b w:val="1"/>
        <w:bCs w:val="1"/>
      </w:rPr>
      <w:tblPr/>
      <w:tcPr>
        <w:tcBorders>
          <w:top w:color="9cc2e5"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2"/>
    <w:tblPr>
      <w:tblStyleRowBandSize w:val="1"/>
      <w:tblStyleColBandSize w:val="1"/>
      <w:tblCellMar>
        <w:left w:w="108.0" w:type="dxa"/>
        <w:right w:w="108.0" w:type="dxa"/>
      </w:tblCellMar>
    </w:tblPr>
  </w:style>
  <w:style w:type="table" w:styleId="a0" w:customStyle="1">
    <w:basedOn w:val="TableNormal2"/>
    <w:tblPr>
      <w:tblStyleRowBandSize w:val="1"/>
      <w:tblStyleColBandSize w:val="1"/>
      <w:tblCellMar>
        <w:left w:w="115.0" w:type="dxa"/>
        <w:right w:w="115.0" w:type="dxa"/>
      </w:tblCellMar>
    </w:tblPr>
  </w:style>
  <w:style w:type="table" w:styleId="a1" w:customStyle="1">
    <w:basedOn w:val="TableNormal2"/>
    <w:tblPr>
      <w:tblStyleRowBandSize w:val="1"/>
      <w:tblStyleColBandSize w:val="1"/>
      <w:tblCellMar>
        <w:left w:w="115.0" w:type="dxa"/>
        <w:right w:w="115.0" w:type="dxa"/>
      </w:tblCellMar>
    </w:tblPr>
  </w:style>
  <w:style w:type="character" w:styleId="Hipervnculovisitado">
    <w:name w:val="FollowedHyperlink"/>
    <w:basedOn w:val="Fuentedeprrafopredeter"/>
    <w:uiPriority w:val="99"/>
    <w:semiHidden w:val="1"/>
    <w:unhideWhenUsed w:val="1"/>
    <w:rsid w:val="00B93218"/>
    <w:rPr>
      <w:color w:val="954f72" w:themeColor="followedHyperlink"/>
      <w:u w:val="single"/>
    </w:rPr>
  </w:style>
  <w:style w:type="table" w:styleId="a2" w:customStyle="1">
    <w:basedOn w:val="TableNormal2"/>
    <w:tblPr>
      <w:tblStyleRowBandSize w:val="1"/>
      <w:tblStyleColBandSize w:val="1"/>
      <w:tblCellMar>
        <w:left w:w="108.0" w:type="dxa"/>
        <w:right w:w="108.0" w:type="dxa"/>
      </w:tblCellMar>
    </w:tblPr>
  </w:style>
  <w:style w:type="table" w:styleId="a3" w:customStyle="1">
    <w:basedOn w:val="TableNormal2"/>
    <w:tblPr>
      <w:tblStyleRowBandSize w:val="1"/>
      <w:tblStyleColBandSize w:val="1"/>
      <w:tblCellMar>
        <w:left w:w="108.0" w:type="dxa"/>
        <w:right w:w="108.0" w:type="dxa"/>
      </w:tblCellMar>
    </w:tblPr>
  </w:style>
  <w:style w:type="table" w:styleId="a4" w:customStyle="1">
    <w:basedOn w:val="TableNormal2"/>
    <w:tblPr>
      <w:tblStyleRowBandSize w:val="1"/>
      <w:tblStyleColBandSize w:val="1"/>
      <w:tblCellMar>
        <w:left w:w="108.0" w:type="dxa"/>
        <w:right w:w="108.0" w:type="dxa"/>
      </w:tblCellMar>
    </w:tblPr>
  </w:style>
  <w:style w:type="table" w:styleId="a5" w:customStyle="1">
    <w:basedOn w:val="TableNormal2"/>
    <w:tblPr>
      <w:tblStyleRowBandSize w:val="1"/>
      <w:tblStyleColBandSize w:val="1"/>
      <w:tblCellMar>
        <w:left w:w="108.0" w:type="dxa"/>
        <w:right w:w="108.0" w:type="dxa"/>
      </w:tblCellMar>
    </w:tblPr>
  </w:style>
  <w:style w:type="table" w:styleId="a6" w:customStyle="1">
    <w:basedOn w:val="TableNormal2"/>
    <w:tblPr>
      <w:tblStyleRowBandSize w:val="1"/>
      <w:tblStyleColBandSize w:val="1"/>
      <w:tblCellMar>
        <w:left w:w="108.0" w:type="dxa"/>
        <w:right w:w="108.0" w:type="dxa"/>
      </w:tblCellMar>
    </w:tblPr>
  </w:style>
  <w:style w:type="table" w:styleId="a7" w:customStyle="1">
    <w:basedOn w:val="TableNormal2"/>
    <w:tblPr>
      <w:tblStyleRowBandSize w:val="1"/>
      <w:tblStyleColBandSize w:val="1"/>
      <w:tblCellMar>
        <w:left w:w="108.0" w:type="dxa"/>
        <w:right w:w="108.0" w:type="dxa"/>
      </w:tblCellMar>
    </w:tblPr>
  </w:style>
  <w:style w:type="table" w:styleId="a8" w:customStyle="1">
    <w:basedOn w:val="TableNormal2"/>
    <w:tblPr>
      <w:tblStyleRowBandSize w:val="1"/>
      <w:tblStyleColBandSize w:val="1"/>
      <w:tblCellMar>
        <w:left w:w="108.0" w:type="dxa"/>
        <w:right w:w="108.0" w:type="dxa"/>
      </w:tblCellMar>
    </w:tblPr>
  </w:style>
  <w:style w:type="table" w:styleId="a9" w:customStyle="1">
    <w:basedOn w:val="TableNormal2"/>
    <w:tblPr>
      <w:tblStyleRowBandSize w:val="1"/>
      <w:tblStyleColBandSize w:val="1"/>
      <w:tblCellMar>
        <w:left w:w="115.0" w:type="dxa"/>
        <w:right w:w="115.0" w:type="dxa"/>
      </w:tblCellMar>
    </w:tblPr>
  </w:style>
  <w:style w:type="table" w:styleId="aa" w:customStyle="1">
    <w:basedOn w:val="TableNormal2"/>
    <w:tblPr>
      <w:tblStyleRowBandSize w:val="1"/>
      <w:tblStyleColBandSize w:val="1"/>
      <w:tblCellMar>
        <w:left w:w="115.0" w:type="dxa"/>
        <w:right w:w="115.0" w:type="dxa"/>
      </w:tblCellMar>
    </w:tblPr>
  </w:style>
  <w:style w:type="table" w:styleId="ab" w:customStyle="1">
    <w:basedOn w:val="TableNormal2"/>
    <w:tblPr>
      <w:tblStyleRowBandSize w:val="1"/>
      <w:tblStyleColBandSize w:val="1"/>
      <w:tblCellMar>
        <w:left w:w="115.0" w:type="dxa"/>
        <w:right w:w="115.0" w:type="dxa"/>
      </w:tblCellMar>
    </w:tblPr>
  </w:style>
  <w:style w:type="table" w:styleId="ac" w:customStyle="1">
    <w:basedOn w:val="TableNormal1"/>
    <w:tblPr>
      <w:tblStyleRowBandSize w:val="1"/>
      <w:tblStyleColBandSize w:val="1"/>
      <w:tblCellMar>
        <w:left w:w="115.0" w:type="dxa"/>
        <w:right w:w="115.0" w:type="dxa"/>
      </w:tblCellMar>
    </w:tblPr>
  </w:style>
  <w:style w:type="table" w:styleId="ad" w:customStyle="1">
    <w:basedOn w:val="TableNormal1"/>
    <w:tblPr>
      <w:tblStyleRowBandSize w:val="1"/>
      <w:tblStyleColBandSize w:val="1"/>
      <w:tblCellMar>
        <w:left w:w="115.0" w:type="dxa"/>
        <w:right w:w="115.0" w:type="dxa"/>
      </w:tblCellMar>
    </w:tblPr>
  </w:style>
  <w:style w:type="table" w:styleId="ae" w:customStyle="1">
    <w:basedOn w:val="TableNormal1"/>
    <w:tblPr>
      <w:tblStyleRowBandSize w:val="1"/>
      <w:tblStyleColBandSize w:val="1"/>
      <w:tblCellMar>
        <w:left w:w="115.0" w:type="dxa"/>
        <w:right w:w="115.0" w:type="dxa"/>
      </w:tblCellMar>
    </w:tblPr>
  </w:style>
  <w:style w:type="character" w:styleId="Textoennegrita">
    <w:name w:val="Strong"/>
    <w:uiPriority w:val="22"/>
    <w:qFormat w:val="1"/>
    <w:rsid w:val="002B3D0A"/>
    <w:rPr>
      <w:b w:val="1"/>
      <w:bCs w:val="1"/>
    </w:rPr>
  </w:style>
  <w:style w:type="paragraph" w:styleId="Texto" w:customStyle="1">
    <w:name w:val="Texto"/>
    <w:basedOn w:val="Normal"/>
    <w:link w:val="TextoCar"/>
    <w:qFormat w:val="1"/>
    <w:rsid w:val="002B3D0A"/>
    <w:pPr>
      <w:spacing w:after="101" w:line="216" w:lineRule="exact"/>
      <w:ind w:firstLine="288"/>
      <w:jc w:val="both"/>
    </w:pPr>
    <w:rPr>
      <w:rFonts w:ascii="Arial" w:cs="Arial" w:hAnsi="Arial"/>
      <w:sz w:val="18"/>
      <w:szCs w:val="18"/>
      <w:lang w:val="es-MX"/>
    </w:rPr>
  </w:style>
  <w:style w:type="character" w:styleId="apple-style-span" w:customStyle="1">
    <w:name w:val="apple-style-span"/>
    <w:rsid w:val="002B3D0A"/>
  </w:style>
  <w:style w:type="character" w:styleId="TextoCar" w:customStyle="1">
    <w:name w:val="Texto Car"/>
    <w:link w:val="Texto"/>
    <w:locked w:val="1"/>
    <w:rsid w:val="002B3D0A"/>
    <w:rPr>
      <w:rFonts w:ascii="Arial" w:cs="Arial" w:hAnsi="Arial"/>
      <w:sz w:val="18"/>
      <w:szCs w:val="18"/>
      <w:lang w:eastAsia="es-ES" w:val="es-MX"/>
    </w:rPr>
  </w:style>
  <w:style w:type="paragraph" w:styleId="Citas" w:customStyle="1">
    <w:name w:val="Citas"/>
    <w:basedOn w:val="Normal"/>
    <w:qFormat w:val="1"/>
    <w:rsid w:val="009D3D69"/>
    <w:pPr>
      <w:spacing w:after="160" w:before="240" w:line="360" w:lineRule="auto"/>
      <w:ind w:left="851" w:right="851"/>
      <w:jc w:val="both"/>
    </w:pPr>
    <w:rPr>
      <w:rFonts w:ascii="Palatino Linotype" w:cs="Arial" w:hAnsi="Palatino Linotype" w:eastAsiaTheme="minorHAnsi"/>
      <w:i w:val="1"/>
      <w:sz w:val="22"/>
      <w:szCs w:val="22"/>
      <w:lang w:eastAsia="en-US" w:val="es-MX"/>
    </w:rPr>
  </w:style>
  <w:style w:type="paragraph" w:styleId="Listaconvietas3">
    <w:name w:val="List Bullet 3"/>
    <w:basedOn w:val="Normal"/>
    <w:uiPriority w:val="99"/>
    <w:unhideWhenUsed w:val="1"/>
    <w:rsid w:val="009E0405"/>
    <w:pPr>
      <w:numPr>
        <w:numId w:val="4"/>
      </w:numPr>
      <w:contextualSpacing w:val="1"/>
    </w:pPr>
    <w:rPr>
      <w:lang w:eastAsia="es-MX" w:val="es-MX"/>
    </w:rPr>
  </w:style>
  <w:style w:type="paragraph" w:styleId="Listaconvietas">
    <w:name w:val="List Bullet"/>
    <w:basedOn w:val="Normal"/>
    <w:uiPriority w:val="99"/>
    <w:unhideWhenUsed w:val="1"/>
    <w:rsid w:val="00E6231A"/>
    <w:pPr>
      <w:tabs>
        <w:tab w:val="num" w:pos="720"/>
      </w:tabs>
      <w:ind w:left="720" w:hanging="720"/>
      <w:contextualSpacing w:val="1"/>
    </w:pPr>
    <w:rPr>
      <w:lang w:eastAsia="es-MX" w:val="es-MX"/>
    </w:rPr>
  </w:style>
  <w:style w:type="character" w:styleId="Mencinsinresolver1" w:customStyle="1">
    <w:name w:val="Mención sin resolver1"/>
    <w:basedOn w:val="Fuentedeprrafopredeter"/>
    <w:uiPriority w:val="99"/>
    <w:semiHidden w:val="1"/>
    <w:unhideWhenUsed w:val="1"/>
    <w:rsid w:val="00582A33"/>
    <w:rPr>
      <w:color w:val="605e5c"/>
      <w:shd w:color="auto" w:fill="e1dfdd" w:val="clear"/>
    </w:rPr>
  </w:style>
  <w:style w:type="table" w:styleId="af" w:customStyle="1">
    <w:basedOn w:val="TableNormal0"/>
    <w:tblPr>
      <w:tblStyleRowBandSize w:val="1"/>
      <w:tblStyleColBandSize w:val="1"/>
      <w:tblCellMar>
        <w:left w:w="115.0" w:type="dxa"/>
        <w:right w:w="115.0" w:type="dxa"/>
      </w:tblCellMar>
    </w:tblPr>
  </w:style>
  <w:style w:type="table" w:styleId="af0" w:customStyle="1">
    <w:basedOn w:val="TableNormal0"/>
    <w:tblPr>
      <w:tblStyleRowBandSize w:val="1"/>
      <w:tblStyleColBandSize w:val="1"/>
      <w:tblCellMar>
        <w:left w:w="115.0" w:type="dxa"/>
        <w:right w:w="115.0" w:type="dxa"/>
      </w:tblCellMar>
    </w:tblPr>
  </w:style>
  <w:style w:type="character" w:styleId="Mencinsinresolver2" w:customStyle="1">
    <w:name w:val="Mención sin resolver2"/>
    <w:basedOn w:val="Fuentedeprrafopredeter"/>
    <w:uiPriority w:val="99"/>
    <w:semiHidden w:val="1"/>
    <w:unhideWhenUsed w:val="1"/>
    <w:rsid w:val="00836A8D"/>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www.ipomex.org.mx/ipo3/lgt/indice/IXTAPANDELASAL/art_92_ix_v/4.web" TargetMode="External"/><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5" Type="http://schemas.openxmlformats.org/officeDocument/2006/relationships/header" Target="header3.xml"/><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ipomex.org.mx/ipo3/lgt/indice/IXTAPANDELASAL/art_92_ix_v/4.web"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kbA3aVuHpRasl7Fa8alj4ZVF7A==">CgMxLjAyCWguM3pueXNoNzIIaC5namRneHMyCWguMzBqMHpsbDIJaC4zZHk2dmttOAByITEwdExoQjAyOVF1OENUQkFVVW5BVGJqY01NWXptT3FDQw==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2025-02-24T18:16:00Z</dcterms:created>
  <dc:creator>USER</dc:creator>
</cp:coreProperties>
</file>