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75DA"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dos de abril de dos mil veinticinco. </w:t>
      </w:r>
    </w:p>
    <w:p w14:paraId="7782DCD2" w14:textId="3893A670"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VISTO</w:t>
      </w:r>
      <w:r w:rsidRPr="007955F3">
        <w:rPr>
          <w:rFonts w:ascii="Palatino Linotype" w:eastAsia="Palatino Linotype" w:hAnsi="Palatino Linotype" w:cs="Palatino Linotype"/>
          <w:sz w:val="22"/>
          <w:szCs w:val="22"/>
        </w:rPr>
        <w:t xml:space="preserve"> el expediente formado con motivo del recurso de revisión </w:t>
      </w:r>
      <w:r w:rsidRPr="007955F3">
        <w:rPr>
          <w:rFonts w:ascii="Palatino Linotype" w:eastAsia="Palatino Linotype" w:hAnsi="Palatino Linotype" w:cs="Palatino Linotype"/>
          <w:b/>
          <w:sz w:val="22"/>
          <w:szCs w:val="22"/>
        </w:rPr>
        <w:t>01494/INFOEM/IP/RR/2025</w:t>
      </w:r>
      <w:r w:rsidRPr="007955F3">
        <w:rPr>
          <w:rFonts w:ascii="Palatino Linotype" w:eastAsia="Palatino Linotype" w:hAnsi="Palatino Linotype" w:cs="Palatino Linotype"/>
          <w:sz w:val="22"/>
          <w:szCs w:val="22"/>
        </w:rPr>
        <w:t>, por</w:t>
      </w:r>
      <w:r w:rsidRPr="007955F3">
        <w:rPr>
          <w:rFonts w:ascii="Palatino Linotype" w:eastAsia="Palatino Linotype" w:hAnsi="Palatino Linotype" w:cs="Palatino Linotype"/>
          <w:b/>
          <w:sz w:val="22"/>
          <w:szCs w:val="22"/>
        </w:rPr>
        <w:t xml:space="preserve"> </w:t>
      </w:r>
      <w:r w:rsidRPr="007955F3">
        <w:rPr>
          <w:rFonts w:ascii="Palatino Linotype" w:eastAsia="Palatino Linotype" w:hAnsi="Palatino Linotype" w:cs="Palatino Linotype"/>
          <w:sz w:val="22"/>
          <w:szCs w:val="22"/>
        </w:rPr>
        <w:t>interpuesto por</w:t>
      </w:r>
      <w:r w:rsidRPr="007955F3">
        <w:rPr>
          <w:rFonts w:ascii="Palatino Linotype" w:eastAsia="Palatino Linotype" w:hAnsi="Palatino Linotype" w:cs="Palatino Linotype"/>
          <w:b/>
          <w:sz w:val="22"/>
          <w:szCs w:val="22"/>
        </w:rPr>
        <w:t xml:space="preserve"> </w:t>
      </w:r>
      <w:r w:rsidR="008B5CA2" w:rsidRPr="008B5CA2">
        <w:rPr>
          <w:rFonts w:ascii="Palatino Linotype" w:eastAsia="Palatino Linotype" w:hAnsi="Palatino Linotype" w:cs="Palatino Linotype"/>
          <w:b/>
          <w:sz w:val="22"/>
          <w:szCs w:val="22"/>
        </w:rPr>
        <w:t>XXXXX XXXXXX XXXXX XXXXXX XXXXXXXX</w:t>
      </w:r>
      <w:r w:rsidRPr="007955F3">
        <w:rPr>
          <w:rFonts w:ascii="Palatino Linotype" w:eastAsia="Palatino Linotype" w:hAnsi="Palatino Linotype" w:cs="Palatino Linotype"/>
          <w:b/>
          <w:sz w:val="22"/>
          <w:szCs w:val="22"/>
        </w:rPr>
        <w:t>,</w:t>
      </w:r>
      <w:r w:rsidRPr="007955F3">
        <w:rPr>
          <w:rFonts w:ascii="Palatino Linotype" w:eastAsia="Palatino Linotype" w:hAnsi="Palatino Linotype" w:cs="Palatino Linotype"/>
          <w:sz w:val="22"/>
          <w:szCs w:val="22"/>
        </w:rPr>
        <w:t xml:space="preserve"> en lo sucesivo la parte </w:t>
      </w:r>
      <w:r w:rsidRPr="007955F3">
        <w:rPr>
          <w:rFonts w:ascii="Palatino Linotype" w:eastAsia="Palatino Linotype" w:hAnsi="Palatino Linotype" w:cs="Palatino Linotype"/>
          <w:b/>
          <w:sz w:val="22"/>
          <w:szCs w:val="22"/>
        </w:rPr>
        <w:t>RECURRENTE,</w:t>
      </w:r>
      <w:r w:rsidRPr="007955F3">
        <w:rPr>
          <w:rFonts w:ascii="Palatino Linotype" w:eastAsia="Palatino Linotype" w:hAnsi="Palatino Linotype" w:cs="Palatino Linotype"/>
          <w:sz w:val="22"/>
          <w:szCs w:val="22"/>
        </w:rPr>
        <w:t xml:space="preserve"> en contra de la respuesta a su solicitud por parte del </w:t>
      </w:r>
      <w:r w:rsidRPr="007955F3">
        <w:rPr>
          <w:rFonts w:ascii="Palatino Linotype" w:eastAsia="Palatino Linotype" w:hAnsi="Palatino Linotype" w:cs="Palatino Linotype"/>
          <w:b/>
          <w:sz w:val="22"/>
          <w:szCs w:val="22"/>
        </w:rPr>
        <w:t xml:space="preserve">Ayuntamiento de Xonacatlán, </w:t>
      </w:r>
      <w:r w:rsidRPr="007955F3">
        <w:rPr>
          <w:rFonts w:ascii="Palatino Linotype" w:eastAsia="Palatino Linotype" w:hAnsi="Palatino Linotype" w:cs="Palatino Linotype"/>
          <w:sz w:val="22"/>
          <w:szCs w:val="22"/>
        </w:rPr>
        <w:t xml:space="preserve">en lo sucesivo el </w:t>
      </w:r>
      <w:r w:rsidRPr="007955F3">
        <w:rPr>
          <w:rFonts w:ascii="Palatino Linotype" w:eastAsia="Palatino Linotype" w:hAnsi="Palatino Linotype" w:cs="Palatino Linotype"/>
          <w:b/>
          <w:sz w:val="22"/>
          <w:szCs w:val="22"/>
        </w:rPr>
        <w:t xml:space="preserve">SUJETO OBLIGADO, </w:t>
      </w:r>
      <w:r w:rsidRPr="007955F3">
        <w:rPr>
          <w:rFonts w:ascii="Palatino Linotype" w:eastAsia="Palatino Linotype" w:hAnsi="Palatino Linotype" w:cs="Palatino Linotype"/>
          <w:sz w:val="22"/>
          <w:szCs w:val="22"/>
        </w:rPr>
        <w:t xml:space="preserve">se procede a dictar la presente resolución con base en los siguientes: </w:t>
      </w:r>
    </w:p>
    <w:p w14:paraId="725E6011" w14:textId="77777777" w:rsidR="00F47683" w:rsidRPr="007955F3" w:rsidRDefault="00550645">
      <w:pPr>
        <w:spacing w:before="240" w:after="240" w:line="360" w:lineRule="auto"/>
        <w:jc w:val="center"/>
        <w:rPr>
          <w:rFonts w:ascii="Palatino Linotype" w:eastAsia="Palatino Linotype" w:hAnsi="Palatino Linotype" w:cs="Palatino Linotype"/>
          <w:b/>
          <w:sz w:val="22"/>
          <w:szCs w:val="22"/>
        </w:rPr>
      </w:pPr>
      <w:r w:rsidRPr="007955F3">
        <w:rPr>
          <w:rFonts w:ascii="Palatino Linotype" w:eastAsia="Palatino Linotype" w:hAnsi="Palatino Linotype" w:cs="Palatino Linotype"/>
          <w:b/>
          <w:sz w:val="22"/>
          <w:szCs w:val="22"/>
        </w:rPr>
        <w:t>I. A N T E C E D E N T E S</w:t>
      </w:r>
    </w:p>
    <w:p w14:paraId="29986F14"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1. Solicitud de acceso a la información.</w:t>
      </w:r>
      <w:r w:rsidRPr="007955F3">
        <w:rPr>
          <w:rFonts w:ascii="Palatino Linotype" w:eastAsia="Palatino Linotype" w:hAnsi="Palatino Linotype" w:cs="Palatino Linotype"/>
          <w:sz w:val="22"/>
          <w:szCs w:val="22"/>
        </w:rPr>
        <w:t xml:space="preserve"> Con fecha </w:t>
      </w:r>
      <w:r w:rsidRPr="007955F3">
        <w:rPr>
          <w:rFonts w:ascii="Palatino Linotype" w:eastAsia="Palatino Linotype" w:hAnsi="Palatino Linotype" w:cs="Palatino Linotype"/>
          <w:b/>
          <w:sz w:val="22"/>
          <w:szCs w:val="22"/>
        </w:rPr>
        <w:t>cuatro de febrero de dos mil veinticinco</w:t>
      </w:r>
      <w:r w:rsidRPr="007955F3">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7955F3">
        <w:rPr>
          <w:rFonts w:ascii="Palatino Linotype" w:eastAsia="Palatino Linotype" w:hAnsi="Palatino Linotype" w:cs="Palatino Linotype"/>
          <w:b/>
          <w:sz w:val="22"/>
          <w:szCs w:val="22"/>
        </w:rPr>
        <w:t>SAIMEX,</w:t>
      </w:r>
      <w:r w:rsidRPr="007955F3">
        <w:rPr>
          <w:rFonts w:ascii="Palatino Linotype" w:eastAsia="Palatino Linotype" w:hAnsi="Palatino Linotype" w:cs="Palatino Linotype"/>
          <w:sz w:val="22"/>
          <w:szCs w:val="22"/>
        </w:rPr>
        <w:t xml:space="preserve"> ante 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la solicitud de acceso a la información pública, a la que se le asignó el número</w:t>
      </w:r>
      <w:r w:rsidRPr="007955F3">
        <w:rPr>
          <w:rFonts w:ascii="Palatino Linotype" w:eastAsia="Palatino Linotype" w:hAnsi="Palatino Linotype" w:cs="Palatino Linotype"/>
          <w:b/>
          <w:sz w:val="22"/>
          <w:szCs w:val="22"/>
        </w:rPr>
        <w:t xml:space="preserve"> 00017/XONACAT/IP/2025, </w:t>
      </w:r>
      <w:r w:rsidRPr="007955F3">
        <w:rPr>
          <w:rFonts w:ascii="Palatino Linotype" w:eastAsia="Palatino Linotype" w:hAnsi="Palatino Linotype" w:cs="Palatino Linotype"/>
          <w:sz w:val="22"/>
          <w:szCs w:val="22"/>
        </w:rPr>
        <w:t>mediante la cual requirió la información siguiente:</w:t>
      </w:r>
    </w:p>
    <w:p w14:paraId="57EA1254" w14:textId="77777777" w:rsidR="00F47683" w:rsidRPr="007955F3" w:rsidRDefault="00550645">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i/>
          <w:color w:val="000000"/>
          <w:sz w:val="22"/>
          <w:szCs w:val="22"/>
        </w:rPr>
        <w:t xml:space="preserve">Solicito amablemente se respondan a los siguientes cuestionamientos: 1. cual fue la </w:t>
      </w:r>
      <w:proofErr w:type="spellStart"/>
      <w:r w:rsidRPr="007955F3">
        <w:rPr>
          <w:rFonts w:ascii="Palatino Linotype" w:eastAsia="Palatino Linotype" w:hAnsi="Palatino Linotype" w:cs="Palatino Linotype"/>
          <w:i/>
          <w:color w:val="000000"/>
          <w:sz w:val="22"/>
          <w:szCs w:val="22"/>
        </w:rPr>
        <w:t>razon</w:t>
      </w:r>
      <w:proofErr w:type="spellEnd"/>
      <w:r w:rsidRPr="007955F3">
        <w:rPr>
          <w:rFonts w:ascii="Palatino Linotype" w:eastAsia="Palatino Linotype" w:hAnsi="Palatino Linotype" w:cs="Palatino Linotype"/>
          <w:i/>
          <w:color w:val="000000"/>
          <w:sz w:val="22"/>
          <w:szCs w:val="22"/>
        </w:rPr>
        <w:t xml:space="preserve"> que motivo a la </w:t>
      </w:r>
      <w:proofErr w:type="spellStart"/>
      <w:r w:rsidRPr="007955F3">
        <w:rPr>
          <w:rFonts w:ascii="Palatino Linotype" w:eastAsia="Palatino Linotype" w:hAnsi="Palatino Linotype" w:cs="Palatino Linotype"/>
          <w:i/>
          <w:color w:val="000000"/>
          <w:sz w:val="22"/>
          <w:szCs w:val="22"/>
        </w:rPr>
        <w:t>tesoreria</w:t>
      </w:r>
      <w:proofErr w:type="spellEnd"/>
      <w:r w:rsidRPr="007955F3">
        <w:rPr>
          <w:rFonts w:ascii="Palatino Linotype" w:eastAsia="Palatino Linotype" w:hAnsi="Palatino Linotype" w:cs="Palatino Linotype"/>
          <w:i/>
          <w:color w:val="000000"/>
          <w:sz w:val="22"/>
          <w:szCs w:val="22"/>
        </w:rPr>
        <w:t xml:space="preserve"> realizar a los servidores </w:t>
      </w:r>
      <w:proofErr w:type="spellStart"/>
      <w:r w:rsidRPr="007955F3">
        <w:rPr>
          <w:rFonts w:ascii="Palatino Linotype" w:eastAsia="Palatino Linotype" w:hAnsi="Palatino Linotype" w:cs="Palatino Linotype"/>
          <w:i/>
          <w:color w:val="000000"/>
          <w:sz w:val="22"/>
          <w:szCs w:val="22"/>
        </w:rPr>
        <w:t>publicos</w:t>
      </w:r>
      <w:proofErr w:type="spellEnd"/>
      <w:r w:rsidRPr="007955F3">
        <w:rPr>
          <w:rFonts w:ascii="Palatino Linotype" w:eastAsia="Palatino Linotype" w:hAnsi="Palatino Linotype" w:cs="Palatino Linotype"/>
          <w:i/>
          <w:color w:val="000000"/>
          <w:sz w:val="22"/>
          <w:szCs w:val="22"/>
        </w:rPr>
        <w:t xml:space="preserve"> el pago correspondiente a la primera y segunda quincena en efectivo? 2. solicito los recibos correspondientes del pago que se hizo a cada servidor </w:t>
      </w:r>
      <w:proofErr w:type="spellStart"/>
      <w:r w:rsidRPr="007955F3">
        <w:rPr>
          <w:rFonts w:ascii="Palatino Linotype" w:eastAsia="Palatino Linotype" w:hAnsi="Palatino Linotype" w:cs="Palatino Linotype"/>
          <w:i/>
          <w:color w:val="000000"/>
          <w:sz w:val="22"/>
          <w:szCs w:val="22"/>
        </w:rPr>
        <w:t>publico</w:t>
      </w:r>
      <w:proofErr w:type="spellEnd"/>
      <w:r w:rsidRPr="007955F3">
        <w:rPr>
          <w:rFonts w:ascii="Palatino Linotype" w:eastAsia="Palatino Linotype" w:hAnsi="Palatino Linotype" w:cs="Palatino Linotype"/>
          <w:i/>
          <w:color w:val="000000"/>
          <w:sz w:val="22"/>
          <w:szCs w:val="22"/>
        </w:rPr>
        <w:t xml:space="preserve"> correspondiente a las </w:t>
      </w:r>
      <w:proofErr w:type="spellStart"/>
      <w:r w:rsidRPr="007955F3">
        <w:rPr>
          <w:rFonts w:ascii="Palatino Linotype" w:eastAsia="Palatino Linotype" w:hAnsi="Palatino Linotype" w:cs="Palatino Linotype"/>
          <w:i/>
          <w:color w:val="000000"/>
          <w:sz w:val="22"/>
          <w:szCs w:val="22"/>
        </w:rPr>
        <w:t>quiencenas</w:t>
      </w:r>
      <w:proofErr w:type="spellEnd"/>
      <w:r w:rsidRPr="007955F3">
        <w:rPr>
          <w:rFonts w:ascii="Palatino Linotype" w:eastAsia="Palatino Linotype" w:hAnsi="Palatino Linotype" w:cs="Palatino Linotype"/>
          <w:i/>
          <w:color w:val="000000"/>
          <w:sz w:val="22"/>
          <w:szCs w:val="22"/>
        </w:rPr>
        <w:t xml:space="preserve"> primera y segunda de enero. 3. El tabulador de sueldos y salarios correspondiente al año fiscal 2025. 4. La </w:t>
      </w:r>
      <w:proofErr w:type="spellStart"/>
      <w:r w:rsidRPr="007955F3">
        <w:rPr>
          <w:rFonts w:ascii="Palatino Linotype" w:eastAsia="Palatino Linotype" w:hAnsi="Palatino Linotype" w:cs="Palatino Linotype"/>
          <w:i/>
          <w:color w:val="000000"/>
          <w:sz w:val="22"/>
          <w:szCs w:val="22"/>
        </w:rPr>
        <w:t>conciliacion</w:t>
      </w:r>
      <w:proofErr w:type="spellEnd"/>
      <w:r w:rsidRPr="007955F3">
        <w:rPr>
          <w:rFonts w:ascii="Palatino Linotype" w:eastAsia="Palatino Linotype" w:hAnsi="Palatino Linotype" w:cs="Palatino Linotype"/>
          <w:i/>
          <w:color w:val="000000"/>
          <w:sz w:val="22"/>
          <w:szCs w:val="22"/>
        </w:rPr>
        <w:t xml:space="preserve"> de </w:t>
      </w:r>
      <w:proofErr w:type="spellStart"/>
      <w:r w:rsidRPr="007955F3">
        <w:rPr>
          <w:rFonts w:ascii="Palatino Linotype" w:eastAsia="Palatino Linotype" w:hAnsi="Palatino Linotype" w:cs="Palatino Linotype"/>
          <w:i/>
          <w:color w:val="000000"/>
          <w:sz w:val="22"/>
          <w:szCs w:val="22"/>
        </w:rPr>
        <w:t>nomina</w:t>
      </w:r>
      <w:proofErr w:type="spellEnd"/>
      <w:r w:rsidRPr="007955F3">
        <w:rPr>
          <w:rFonts w:ascii="Palatino Linotype" w:eastAsia="Palatino Linotype" w:hAnsi="Palatino Linotype" w:cs="Palatino Linotype"/>
          <w:i/>
          <w:color w:val="000000"/>
          <w:sz w:val="22"/>
          <w:szCs w:val="22"/>
        </w:rPr>
        <w:t xml:space="preserve"> correspondiente a la segunda quincena de enero 2025</w:t>
      </w:r>
      <w:r w:rsidRPr="007955F3">
        <w:rPr>
          <w:rFonts w:ascii="Palatino Linotype" w:eastAsia="Palatino Linotype" w:hAnsi="Palatino Linotype" w:cs="Palatino Linotype"/>
          <w:i/>
          <w:sz w:val="22"/>
          <w:szCs w:val="22"/>
        </w:rPr>
        <w:t>.” (Sic)</w:t>
      </w:r>
    </w:p>
    <w:p w14:paraId="49CE05F8" w14:textId="77777777" w:rsidR="00F47683" w:rsidRPr="007955F3" w:rsidRDefault="00F47683">
      <w:pPr>
        <w:ind w:left="851" w:right="902"/>
        <w:jc w:val="both"/>
        <w:rPr>
          <w:rFonts w:ascii="Palatino Linotype" w:eastAsia="Palatino Linotype" w:hAnsi="Palatino Linotype" w:cs="Palatino Linotype"/>
          <w:i/>
          <w:sz w:val="22"/>
          <w:szCs w:val="22"/>
        </w:rPr>
      </w:pPr>
    </w:p>
    <w:p w14:paraId="7FC7D2AE"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Modalidad de Entrega:</w:t>
      </w:r>
      <w:r w:rsidRPr="007955F3">
        <w:rPr>
          <w:rFonts w:ascii="Palatino Linotype" w:eastAsia="Palatino Linotype" w:hAnsi="Palatino Linotype" w:cs="Palatino Linotype"/>
          <w:sz w:val="22"/>
          <w:szCs w:val="22"/>
        </w:rPr>
        <w:t xml:space="preserve"> A través de SAIMEX.</w:t>
      </w:r>
    </w:p>
    <w:p w14:paraId="2FEA6A61"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4EFFC6CE" w14:textId="77777777" w:rsidR="00F47683" w:rsidRPr="007955F3" w:rsidRDefault="00550645">
      <w:pPr>
        <w:spacing w:after="240" w:line="360" w:lineRule="auto"/>
        <w:jc w:val="both"/>
        <w:rPr>
          <w:rFonts w:ascii="Palatino Linotype" w:eastAsia="Palatino Linotype" w:hAnsi="Palatino Linotype" w:cs="Palatino Linotype"/>
          <w:b/>
          <w:sz w:val="22"/>
          <w:szCs w:val="22"/>
        </w:rPr>
      </w:pPr>
      <w:r w:rsidRPr="007955F3">
        <w:rPr>
          <w:rFonts w:ascii="Palatino Linotype" w:eastAsia="Palatino Linotype" w:hAnsi="Palatino Linotype" w:cs="Palatino Linotype"/>
          <w:b/>
          <w:sz w:val="22"/>
          <w:szCs w:val="22"/>
        </w:rPr>
        <w:lastRenderedPageBreak/>
        <w:t xml:space="preserve">2. Respuesta. </w:t>
      </w:r>
      <w:r w:rsidRPr="007955F3">
        <w:rPr>
          <w:rFonts w:ascii="Palatino Linotype" w:eastAsia="Palatino Linotype" w:hAnsi="Palatino Linotype" w:cs="Palatino Linotype"/>
          <w:sz w:val="22"/>
          <w:szCs w:val="22"/>
        </w:rPr>
        <w:t xml:space="preserve">Con fecha </w:t>
      </w:r>
      <w:r w:rsidRPr="007955F3">
        <w:rPr>
          <w:rFonts w:ascii="Palatino Linotype" w:eastAsia="Palatino Linotype" w:hAnsi="Palatino Linotype" w:cs="Palatino Linotype"/>
          <w:b/>
          <w:sz w:val="22"/>
          <w:szCs w:val="22"/>
        </w:rPr>
        <w:t>trece de febrero de dos mil veinticinco</w:t>
      </w:r>
      <w:r w:rsidRPr="007955F3">
        <w:rPr>
          <w:rFonts w:ascii="Palatino Linotype" w:eastAsia="Palatino Linotype" w:hAnsi="Palatino Linotype" w:cs="Palatino Linotype"/>
          <w:sz w:val="22"/>
          <w:szCs w:val="22"/>
        </w:rPr>
        <w:t xml:space="preserve">, el </w:t>
      </w:r>
      <w:r w:rsidRPr="007955F3">
        <w:rPr>
          <w:rFonts w:ascii="Palatino Linotype" w:eastAsia="Palatino Linotype" w:hAnsi="Palatino Linotype" w:cs="Palatino Linotype"/>
          <w:b/>
          <w:sz w:val="22"/>
          <w:szCs w:val="22"/>
        </w:rPr>
        <w:t xml:space="preserve">SUJETO OBLIGADO </w:t>
      </w:r>
      <w:r w:rsidRPr="007955F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57AB62F" w14:textId="77777777" w:rsidR="00F47683" w:rsidRPr="007955F3" w:rsidRDefault="00550645">
      <w:pPr>
        <w:spacing w:before="240" w:after="240"/>
        <w:ind w:left="851"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“se da respuesta a la solicitud y se anexan documentos en </w:t>
      </w:r>
      <w:proofErr w:type="spellStart"/>
      <w:r w:rsidRPr="007955F3">
        <w:rPr>
          <w:rFonts w:ascii="Palatino Linotype" w:eastAsia="Palatino Linotype" w:hAnsi="Palatino Linotype" w:cs="Palatino Linotype"/>
          <w:i/>
          <w:sz w:val="22"/>
          <w:szCs w:val="22"/>
        </w:rPr>
        <w:t>pdf</w:t>
      </w:r>
      <w:proofErr w:type="spellEnd"/>
    </w:p>
    <w:p w14:paraId="0FAC11C1" w14:textId="77777777" w:rsidR="00F47683" w:rsidRPr="007955F3" w:rsidRDefault="00550645">
      <w:pPr>
        <w:spacing w:before="240" w:after="240"/>
        <w:ind w:left="851"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ATENTAMENTE</w:t>
      </w:r>
    </w:p>
    <w:p w14:paraId="5731C312" w14:textId="77777777" w:rsidR="00F47683" w:rsidRPr="007955F3" w:rsidRDefault="00550645">
      <w:pPr>
        <w:spacing w:before="240" w:after="240"/>
        <w:ind w:left="851"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L.L.L Miguel </w:t>
      </w:r>
      <w:proofErr w:type="spellStart"/>
      <w:r w:rsidRPr="007955F3">
        <w:rPr>
          <w:rFonts w:ascii="Palatino Linotype" w:eastAsia="Palatino Linotype" w:hAnsi="Palatino Linotype" w:cs="Palatino Linotype"/>
          <w:i/>
          <w:sz w:val="22"/>
          <w:szCs w:val="22"/>
        </w:rPr>
        <w:t>Angel</w:t>
      </w:r>
      <w:proofErr w:type="spellEnd"/>
      <w:r w:rsidRPr="007955F3">
        <w:rPr>
          <w:rFonts w:ascii="Palatino Linotype" w:eastAsia="Palatino Linotype" w:hAnsi="Palatino Linotype" w:cs="Palatino Linotype"/>
          <w:i/>
          <w:sz w:val="22"/>
          <w:szCs w:val="22"/>
        </w:rPr>
        <w:t xml:space="preserve"> Esquivel Bernal” (Sic)</w:t>
      </w:r>
    </w:p>
    <w:p w14:paraId="2B157EF4" w14:textId="77777777" w:rsidR="00F47683" w:rsidRPr="007955F3" w:rsidRDefault="00550645">
      <w:p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color w:val="000000"/>
          <w:sz w:val="22"/>
          <w:szCs w:val="22"/>
        </w:rPr>
        <w:t>El Sujeto Obligado adjuntó los documentos electrónicos siguientes:</w:t>
      </w:r>
    </w:p>
    <w:p w14:paraId="72B42251" w14:textId="77777777" w:rsidR="00F47683" w:rsidRPr="007955F3" w:rsidRDefault="0055064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 xml:space="preserve">CN20042202501: </w:t>
      </w:r>
      <w:r w:rsidRPr="007955F3">
        <w:rPr>
          <w:rFonts w:ascii="Palatino Linotype" w:eastAsia="Palatino Linotype" w:hAnsi="Palatino Linotype" w:cs="Palatino Linotype"/>
          <w:color w:val="000000"/>
          <w:sz w:val="22"/>
          <w:szCs w:val="22"/>
        </w:rPr>
        <w:t>Documento que contiene la conciliación de nómina correspondiente a la segunda quincena del mes de enero de dos mil veinticinco.</w:t>
      </w:r>
    </w:p>
    <w:p w14:paraId="039568CD" w14:textId="77777777" w:rsidR="00F47683" w:rsidRPr="007955F3" w:rsidRDefault="0055064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 xml:space="preserve">2da QNA ENERO 2025.PDF: </w:t>
      </w:r>
      <w:r w:rsidRPr="007955F3">
        <w:rPr>
          <w:rFonts w:ascii="Palatino Linotype" w:eastAsia="Palatino Linotype" w:hAnsi="Palatino Linotype" w:cs="Palatino Linotype"/>
          <w:color w:val="000000"/>
          <w:sz w:val="22"/>
          <w:szCs w:val="22"/>
        </w:rPr>
        <w:t>Contiene trescientos setenta y ocho recibos de nómina en versión pública.</w:t>
      </w:r>
    </w:p>
    <w:p w14:paraId="15E23F31" w14:textId="77777777" w:rsidR="00F47683" w:rsidRPr="007955F3" w:rsidRDefault="0055064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b/>
          <w:i/>
          <w:color w:val="000000"/>
          <w:sz w:val="22"/>
          <w:szCs w:val="22"/>
        </w:rPr>
        <w:t>1ER QNA ENERO 2025 (2).</w:t>
      </w:r>
      <w:proofErr w:type="spellStart"/>
      <w:r w:rsidRPr="007955F3">
        <w:rPr>
          <w:rFonts w:ascii="Palatino Linotype" w:eastAsia="Palatino Linotype" w:hAnsi="Palatino Linotype" w:cs="Palatino Linotype"/>
          <w:b/>
          <w:i/>
          <w:color w:val="000000"/>
          <w:sz w:val="22"/>
          <w:szCs w:val="22"/>
        </w:rPr>
        <w:t>pdf</w:t>
      </w:r>
      <w:proofErr w:type="spellEnd"/>
      <w:r w:rsidRPr="007955F3">
        <w:rPr>
          <w:rFonts w:ascii="Palatino Linotype" w:eastAsia="Palatino Linotype" w:hAnsi="Palatino Linotype" w:cs="Palatino Linotype"/>
          <w:b/>
          <w:i/>
          <w:color w:val="000000"/>
          <w:sz w:val="22"/>
          <w:szCs w:val="22"/>
        </w:rPr>
        <w:t xml:space="preserve">: </w:t>
      </w:r>
      <w:r w:rsidRPr="007955F3">
        <w:rPr>
          <w:rFonts w:ascii="Palatino Linotype" w:eastAsia="Palatino Linotype" w:hAnsi="Palatino Linotype" w:cs="Palatino Linotype"/>
          <w:color w:val="000000"/>
          <w:sz w:val="22"/>
          <w:szCs w:val="22"/>
        </w:rPr>
        <w:t>Documento que contiene trescientos cuarenta y dos recibos de nómina en versión pública.</w:t>
      </w:r>
    </w:p>
    <w:p w14:paraId="239EEF8D" w14:textId="77777777" w:rsidR="00F47683" w:rsidRPr="007955F3" w:rsidRDefault="0055064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b/>
          <w:i/>
          <w:color w:val="000000"/>
          <w:sz w:val="22"/>
          <w:szCs w:val="22"/>
        </w:rPr>
        <w:t xml:space="preserve">RES SOL 17.pdf: </w:t>
      </w:r>
      <w:r w:rsidRPr="007955F3">
        <w:rPr>
          <w:rFonts w:ascii="Palatino Linotype" w:eastAsia="Palatino Linotype" w:hAnsi="Palatino Linotype" w:cs="Palatino Linotype"/>
          <w:color w:val="000000"/>
          <w:sz w:val="22"/>
          <w:szCs w:val="22"/>
        </w:rPr>
        <w:t>Oficio XON/TM/078/2025 suscrito por la Tesorera Municipal, mediante el cual refiere que entrega en versión pública los recibos de nómina de la primera y segunda quincena del mes de enero de dos mil veinticinco. Respecto al tabulador de sueldos, este documento se encuentra en proceso de elaboración y será aprobado hasta el veinticinco de febrero del año en curso. Se remite la conciliación de nómina correspondiente a la segunda quincena de enero de dos mil veinticinco.</w:t>
      </w:r>
    </w:p>
    <w:p w14:paraId="2358C945"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3. Interposición del recurso de revisión. </w:t>
      </w:r>
      <w:r w:rsidRPr="007955F3">
        <w:rPr>
          <w:rFonts w:ascii="Palatino Linotype" w:eastAsia="Palatino Linotype" w:hAnsi="Palatino Linotype" w:cs="Palatino Linotype"/>
          <w:sz w:val="22"/>
          <w:szCs w:val="22"/>
        </w:rPr>
        <w:t xml:space="preserve">Inconforme con los términos de la respuesta emitida por parte del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el </w:t>
      </w:r>
      <w:r w:rsidRPr="007955F3">
        <w:rPr>
          <w:rFonts w:ascii="Palatino Linotype" w:eastAsia="Palatino Linotype" w:hAnsi="Palatino Linotype" w:cs="Palatino Linotype"/>
          <w:b/>
          <w:sz w:val="22"/>
          <w:szCs w:val="22"/>
        </w:rPr>
        <w:t>diecisiete</w:t>
      </w:r>
      <w:r w:rsidRPr="007955F3">
        <w:rPr>
          <w:rFonts w:ascii="Palatino Linotype" w:eastAsia="Palatino Linotype" w:hAnsi="Palatino Linotype" w:cs="Palatino Linotype"/>
          <w:sz w:val="22"/>
          <w:szCs w:val="22"/>
        </w:rPr>
        <w:t xml:space="preserve"> </w:t>
      </w:r>
      <w:r w:rsidRPr="007955F3">
        <w:rPr>
          <w:rFonts w:ascii="Palatino Linotype" w:eastAsia="Palatino Linotype" w:hAnsi="Palatino Linotype" w:cs="Palatino Linotype"/>
          <w:b/>
          <w:sz w:val="22"/>
          <w:szCs w:val="22"/>
        </w:rPr>
        <w:t>de febrero del año dos mil veinticinco,</w:t>
      </w:r>
      <w:r w:rsidRPr="007955F3">
        <w:rPr>
          <w:rFonts w:ascii="Palatino Linotype" w:eastAsia="Palatino Linotype" w:hAnsi="Palatino Linotype" w:cs="Palatino Linotype"/>
          <w:sz w:val="22"/>
          <w:szCs w:val="22"/>
        </w:rPr>
        <w:t xml:space="preserve"> la parte </w:t>
      </w:r>
      <w:r w:rsidRPr="007955F3">
        <w:rPr>
          <w:rFonts w:ascii="Palatino Linotype" w:eastAsia="Palatino Linotype" w:hAnsi="Palatino Linotype" w:cs="Palatino Linotype"/>
          <w:b/>
          <w:sz w:val="22"/>
          <w:szCs w:val="22"/>
        </w:rPr>
        <w:t>RECURRENTE</w:t>
      </w:r>
      <w:r w:rsidRPr="007955F3">
        <w:rPr>
          <w:rFonts w:ascii="Palatino Linotype" w:eastAsia="Palatino Linotype" w:hAnsi="Palatino Linotype" w:cs="Palatino Linotype"/>
          <w:sz w:val="22"/>
          <w:szCs w:val="22"/>
        </w:rPr>
        <w:t xml:space="preserve"> interpuso el recurso de revisión a través de </w:t>
      </w:r>
      <w:r w:rsidRPr="007955F3">
        <w:rPr>
          <w:rFonts w:ascii="Palatino Linotype" w:eastAsia="Palatino Linotype" w:hAnsi="Palatino Linotype" w:cs="Palatino Linotype"/>
          <w:b/>
          <w:sz w:val="22"/>
          <w:szCs w:val="22"/>
        </w:rPr>
        <w:t xml:space="preserve">SAIMEX, </w:t>
      </w:r>
      <w:r w:rsidRPr="007955F3">
        <w:rPr>
          <w:rFonts w:ascii="Palatino Linotype" w:eastAsia="Palatino Linotype" w:hAnsi="Palatino Linotype" w:cs="Palatino Linotype"/>
          <w:sz w:val="22"/>
          <w:szCs w:val="22"/>
        </w:rPr>
        <w:t>en donde se manifestó de la siguiente manera:</w:t>
      </w:r>
    </w:p>
    <w:p w14:paraId="202E15C3" w14:textId="77777777" w:rsidR="00F47683" w:rsidRPr="007955F3" w:rsidRDefault="00550645">
      <w:pPr>
        <w:numPr>
          <w:ilvl w:val="0"/>
          <w:numId w:val="1"/>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7955F3">
        <w:rPr>
          <w:rFonts w:ascii="Palatino Linotype" w:eastAsia="Palatino Linotype" w:hAnsi="Palatino Linotype" w:cs="Palatino Linotype"/>
          <w:b/>
          <w:color w:val="000000"/>
          <w:sz w:val="22"/>
          <w:szCs w:val="22"/>
        </w:rPr>
        <w:t xml:space="preserve">Acto impugnado: </w:t>
      </w:r>
    </w:p>
    <w:p w14:paraId="2305AE70" w14:textId="77777777" w:rsidR="00F47683" w:rsidRPr="007955F3" w:rsidRDefault="00550645">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“Repuesta a la solicitud de manera parcial o incompleta” (Sic)</w:t>
      </w:r>
    </w:p>
    <w:p w14:paraId="2C01B4F0" w14:textId="77777777" w:rsidR="00F47683" w:rsidRPr="007955F3" w:rsidRDefault="00F47683">
      <w:pPr>
        <w:ind w:left="851" w:right="902"/>
        <w:jc w:val="both"/>
        <w:rPr>
          <w:rFonts w:ascii="Palatino Linotype" w:eastAsia="Palatino Linotype" w:hAnsi="Palatino Linotype" w:cs="Palatino Linotype"/>
          <w:i/>
          <w:sz w:val="22"/>
          <w:szCs w:val="22"/>
        </w:rPr>
      </w:pPr>
    </w:p>
    <w:p w14:paraId="58872225" w14:textId="77777777" w:rsidR="00F47683" w:rsidRPr="007955F3" w:rsidRDefault="0055064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b/>
          <w:color w:val="000000"/>
          <w:sz w:val="22"/>
          <w:szCs w:val="22"/>
        </w:rPr>
        <w:t>Y Razones o motivos de inconformidad</w:t>
      </w:r>
      <w:r w:rsidRPr="007955F3">
        <w:rPr>
          <w:rFonts w:ascii="Palatino Linotype" w:eastAsia="Palatino Linotype" w:hAnsi="Palatino Linotype" w:cs="Palatino Linotype"/>
          <w:color w:val="000000"/>
          <w:sz w:val="22"/>
          <w:szCs w:val="22"/>
        </w:rPr>
        <w:t>:</w:t>
      </w:r>
    </w:p>
    <w:p w14:paraId="5335BFCE" w14:textId="77777777" w:rsidR="00F47683" w:rsidRPr="007955F3" w:rsidRDefault="00550645">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7955F3">
        <w:rPr>
          <w:rFonts w:ascii="Palatino Linotype" w:eastAsia="Palatino Linotype" w:hAnsi="Palatino Linotype" w:cs="Palatino Linotype"/>
          <w:i/>
          <w:color w:val="000000"/>
          <w:sz w:val="22"/>
          <w:szCs w:val="22"/>
        </w:rPr>
        <w:t>“No da respuesta a los puntos 1 y 2” (Sic)</w:t>
      </w:r>
    </w:p>
    <w:p w14:paraId="500C1DEC" w14:textId="77777777" w:rsidR="00F47683" w:rsidRPr="007955F3" w:rsidRDefault="00F47683">
      <w:pPr>
        <w:spacing w:before="240" w:line="360" w:lineRule="auto"/>
        <w:ind w:right="51"/>
        <w:jc w:val="both"/>
        <w:rPr>
          <w:rFonts w:ascii="Palatino Linotype" w:eastAsia="Palatino Linotype" w:hAnsi="Palatino Linotype" w:cs="Palatino Linotype"/>
          <w:b/>
          <w:sz w:val="22"/>
          <w:szCs w:val="22"/>
        </w:rPr>
      </w:pPr>
    </w:p>
    <w:p w14:paraId="7BE4C9A3" w14:textId="77777777" w:rsidR="00F47683" w:rsidRPr="007955F3" w:rsidRDefault="00550645">
      <w:pPr>
        <w:spacing w:line="360" w:lineRule="auto"/>
        <w:ind w:right="5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4. Turno. </w:t>
      </w:r>
      <w:r w:rsidRPr="007955F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955F3">
        <w:rPr>
          <w:rFonts w:ascii="Palatino Linotype" w:eastAsia="Palatino Linotype" w:hAnsi="Palatino Linotype" w:cs="Palatino Linotype"/>
          <w:b/>
          <w:sz w:val="22"/>
          <w:szCs w:val="22"/>
        </w:rPr>
        <w:t xml:space="preserve">Guadalupe Ramírez Peña, </w:t>
      </w:r>
      <w:r w:rsidRPr="007955F3">
        <w:rPr>
          <w:rFonts w:ascii="Palatino Linotype" w:eastAsia="Palatino Linotype" w:hAnsi="Palatino Linotype" w:cs="Palatino Linotype"/>
          <w:sz w:val="22"/>
          <w:szCs w:val="22"/>
        </w:rPr>
        <w:t xml:space="preserve">a efecto de que analizara sobre su admisión o su </w:t>
      </w:r>
      <w:proofErr w:type="spellStart"/>
      <w:r w:rsidRPr="007955F3">
        <w:rPr>
          <w:rFonts w:ascii="Palatino Linotype" w:eastAsia="Palatino Linotype" w:hAnsi="Palatino Linotype" w:cs="Palatino Linotype"/>
          <w:sz w:val="22"/>
          <w:szCs w:val="22"/>
        </w:rPr>
        <w:t>desechamiento</w:t>
      </w:r>
      <w:proofErr w:type="spellEnd"/>
      <w:r w:rsidRPr="007955F3">
        <w:rPr>
          <w:rFonts w:ascii="Palatino Linotype" w:eastAsia="Palatino Linotype" w:hAnsi="Palatino Linotype" w:cs="Palatino Linotype"/>
          <w:sz w:val="22"/>
          <w:szCs w:val="22"/>
        </w:rPr>
        <w:t>.</w:t>
      </w:r>
    </w:p>
    <w:p w14:paraId="1318696E" w14:textId="77777777" w:rsidR="00F47683" w:rsidRPr="007955F3" w:rsidRDefault="00F47683">
      <w:pPr>
        <w:spacing w:line="360" w:lineRule="auto"/>
        <w:ind w:right="51"/>
        <w:jc w:val="both"/>
        <w:rPr>
          <w:rFonts w:ascii="Palatino Linotype" w:eastAsia="Palatino Linotype" w:hAnsi="Palatino Linotype" w:cs="Palatino Linotype"/>
          <w:sz w:val="22"/>
          <w:szCs w:val="22"/>
        </w:rPr>
      </w:pPr>
    </w:p>
    <w:p w14:paraId="2A915423" w14:textId="77777777" w:rsidR="00F47683" w:rsidRPr="007955F3" w:rsidRDefault="00550645">
      <w:pPr>
        <w:spacing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5. Admisión del Recurso de revisión.</w:t>
      </w:r>
      <w:r w:rsidRPr="007955F3">
        <w:rPr>
          <w:rFonts w:ascii="Palatino Linotype" w:eastAsia="Palatino Linotype" w:hAnsi="Palatino Linotype" w:cs="Palatino Linotype"/>
          <w:sz w:val="22"/>
          <w:szCs w:val="22"/>
        </w:rPr>
        <w:t xml:space="preserve"> Con fecha</w:t>
      </w:r>
      <w:r w:rsidRPr="007955F3">
        <w:rPr>
          <w:rFonts w:ascii="Palatino Linotype" w:eastAsia="Palatino Linotype" w:hAnsi="Palatino Linotype" w:cs="Palatino Linotype"/>
          <w:b/>
          <w:sz w:val="22"/>
          <w:szCs w:val="22"/>
        </w:rPr>
        <w:t xml:space="preserve"> veinte de febrero de dos mil veinticinco,</w:t>
      </w:r>
      <w:r w:rsidRPr="007955F3">
        <w:rPr>
          <w:rFonts w:ascii="Palatino Linotype" w:eastAsia="Palatino Linotype" w:hAnsi="Palatino Linotype" w:cs="Palatino Linotype"/>
          <w:b/>
          <w:color w:val="FF0000"/>
          <w:sz w:val="22"/>
          <w:szCs w:val="22"/>
        </w:rPr>
        <w:t xml:space="preserve"> </w:t>
      </w:r>
      <w:r w:rsidRPr="007955F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955F3">
        <w:rPr>
          <w:rFonts w:ascii="Palatino Linotype" w:eastAsia="Palatino Linotype" w:hAnsi="Palatino Linotype" w:cs="Palatino Linotype"/>
          <w:b/>
          <w:sz w:val="22"/>
          <w:szCs w:val="22"/>
        </w:rPr>
        <w:t xml:space="preserve">SUJETO OBLIGADO </w:t>
      </w:r>
      <w:r w:rsidRPr="007955F3">
        <w:rPr>
          <w:rFonts w:ascii="Palatino Linotype" w:eastAsia="Palatino Linotype" w:hAnsi="Palatino Linotype" w:cs="Palatino Linotype"/>
          <w:sz w:val="22"/>
          <w:szCs w:val="22"/>
        </w:rPr>
        <w:t>presentara su informe justificado.</w:t>
      </w:r>
    </w:p>
    <w:p w14:paraId="24559EE1" w14:textId="77777777" w:rsidR="00F47683" w:rsidRPr="007955F3" w:rsidRDefault="0055064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7955F3">
        <w:rPr>
          <w:rFonts w:ascii="Palatino Linotype" w:eastAsia="Palatino Linotype" w:hAnsi="Palatino Linotype" w:cs="Palatino Linotype"/>
          <w:b/>
          <w:sz w:val="22"/>
          <w:szCs w:val="22"/>
        </w:rPr>
        <w:t>6. Manifestaciones</w:t>
      </w:r>
      <w:r w:rsidRPr="007955F3">
        <w:rPr>
          <w:rFonts w:ascii="Palatino Linotype" w:eastAsia="Palatino Linotype" w:hAnsi="Palatino Linotype" w:cs="Palatino Linotype"/>
          <w:sz w:val="22"/>
          <w:szCs w:val="22"/>
        </w:rPr>
        <w:t>. De las constancias que obran en el expediente electrónico del SAIMEX, se advierte que tanto el Sujeto Obligado como el Recurrente fueron omisos en realizar manifestaciones, rendir informe justificado, presentar pruebas o alegatos.</w:t>
      </w:r>
    </w:p>
    <w:p w14:paraId="03BCE141"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7. Cierre de instrucción. </w:t>
      </w:r>
      <w:r w:rsidRPr="007955F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7955F3">
        <w:rPr>
          <w:rFonts w:ascii="Palatino Linotype" w:eastAsia="Palatino Linotype" w:hAnsi="Palatino Linotype" w:cs="Palatino Linotype"/>
          <w:b/>
          <w:sz w:val="22"/>
          <w:szCs w:val="22"/>
        </w:rPr>
        <w:t>veinticuatro</w:t>
      </w:r>
      <w:r w:rsidRPr="007955F3">
        <w:rPr>
          <w:rFonts w:ascii="Palatino Linotype" w:eastAsia="Palatino Linotype" w:hAnsi="Palatino Linotype" w:cs="Palatino Linotype"/>
          <w:sz w:val="22"/>
          <w:szCs w:val="22"/>
        </w:rPr>
        <w:t xml:space="preserve"> </w:t>
      </w:r>
      <w:r w:rsidRPr="007955F3">
        <w:rPr>
          <w:rFonts w:ascii="Palatino Linotype" w:eastAsia="Palatino Linotype" w:hAnsi="Palatino Linotype" w:cs="Palatino Linotype"/>
          <w:b/>
          <w:sz w:val="22"/>
          <w:szCs w:val="22"/>
        </w:rPr>
        <w:t xml:space="preserve">de marzo de dos mil veinticinco, </w:t>
      </w:r>
      <w:r w:rsidRPr="007955F3">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001A20FB"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56FF0AA" w14:textId="77777777" w:rsidR="00F47683" w:rsidRPr="007955F3" w:rsidRDefault="00550645">
      <w:pPr>
        <w:widowControl w:val="0"/>
        <w:spacing w:line="360" w:lineRule="auto"/>
        <w:jc w:val="center"/>
        <w:rPr>
          <w:rFonts w:ascii="Palatino Linotype" w:eastAsia="Palatino Linotype" w:hAnsi="Palatino Linotype" w:cs="Palatino Linotype"/>
          <w:b/>
          <w:sz w:val="22"/>
          <w:szCs w:val="22"/>
        </w:rPr>
      </w:pPr>
      <w:r w:rsidRPr="007955F3">
        <w:rPr>
          <w:rFonts w:ascii="Palatino Linotype" w:eastAsia="Palatino Linotype" w:hAnsi="Palatino Linotype" w:cs="Palatino Linotype"/>
          <w:b/>
          <w:sz w:val="22"/>
          <w:szCs w:val="22"/>
        </w:rPr>
        <w:t>II. C O N S I D E R A N D O S</w:t>
      </w:r>
    </w:p>
    <w:p w14:paraId="32705512"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Primero. Competencia.</w:t>
      </w:r>
      <w:r w:rsidRPr="007955F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A7C54F1"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7955F3">
        <w:rPr>
          <w:rFonts w:ascii="Palatino Linotype" w:eastAsia="Palatino Linotype" w:hAnsi="Palatino Linotype" w:cs="Palatino Linotype"/>
          <w:b/>
          <w:sz w:val="22"/>
          <w:szCs w:val="22"/>
        </w:rPr>
        <w:t xml:space="preserve">Segundo. Oportunidad y Procedibilidad del Recurso de Revisión. </w:t>
      </w:r>
      <w:r w:rsidRPr="007955F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D35417"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7C4DD0D4" w14:textId="77777777" w:rsidR="00F47683" w:rsidRPr="007955F3" w:rsidRDefault="00550645">
      <w:pPr>
        <w:ind w:left="851"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“Artículo 178. </w:t>
      </w:r>
      <w:r w:rsidRPr="007955F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514EBC"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remitió la respuesta a la solicitud de información el </w:t>
      </w:r>
      <w:r w:rsidRPr="007955F3">
        <w:rPr>
          <w:rFonts w:ascii="Palatino Linotype" w:eastAsia="Palatino Linotype" w:hAnsi="Palatino Linotype" w:cs="Palatino Linotype"/>
          <w:b/>
          <w:sz w:val="22"/>
          <w:szCs w:val="22"/>
        </w:rPr>
        <w:t>trece</w:t>
      </w:r>
      <w:r w:rsidRPr="007955F3">
        <w:rPr>
          <w:rFonts w:ascii="Palatino Linotype" w:eastAsia="Palatino Linotype" w:hAnsi="Palatino Linotype" w:cs="Palatino Linotype"/>
          <w:sz w:val="22"/>
          <w:szCs w:val="22"/>
        </w:rPr>
        <w:t xml:space="preserve"> </w:t>
      </w:r>
      <w:r w:rsidRPr="007955F3">
        <w:rPr>
          <w:rFonts w:ascii="Palatino Linotype" w:eastAsia="Palatino Linotype" w:hAnsi="Palatino Linotype" w:cs="Palatino Linotype"/>
          <w:b/>
          <w:sz w:val="22"/>
          <w:szCs w:val="22"/>
        </w:rPr>
        <w:t xml:space="preserve">de febrero de dos mil veinticinco, </w:t>
      </w:r>
      <w:r w:rsidRPr="007955F3">
        <w:rPr>
          <w:rFonts w:ascii="Palatino Linotype" w:eastAsia="Palatino Linotype" w:hAnsi="Palatino Linotype" w:cs="Palatino Linotype"/>
          <w:sz w:val="22"/>
          <w:szCs w:val="22"/>
        </w:rPr>
        <w:t xml:space="preserve">mientras que el recurso de revisión interpuesto por la parte </w:t>
      </w:r>
      <w:r w:rsidRPr="007955F3">
        <w:rPr>
          <w:rFonts w:ascii="Palatino Linotype" w:eastAsia="Palatino Linotype" w:hAnsi="Palatino Linotype" w:cs="Palatino Linotype"/>
          <w:b/>
          <w:sz w:val="22"/>
          <w:szCs w:val="22"/>
        </w:rPr>
        <w:t>RECURRENTE</w:t>
      </w:r>
      <w:r w:rsidRPr="007955F3">
        <w:rPr>
          <w:rFonts w:ascii="Palatino Linotype" w:eastAsia="Palatino Linotype" w:hAnsi="Palatino Linotype" w:cs="Palatino Linotype"/>
          <w:sz w:val="22"/>
          <w:szCs w:val="22"/>
        </w:rPr>
        <w:t xml:space="preserve">, se tuvo por presentado el día </w:t>
      </w:r>
      <w:r w:rsidRPr="007955F3">
        <w:rPr>
          <w:rFonts w:ascii="Palatino Linotype" w:eastAsia="Palatino Linotype" w:hAnsi="Palatino Linotype" w:cs="Palatino Linotype"/>
          <w:b/>
          <w:sz w:val="22"/>
          <w:szCs w:val="22"/>
        </w:rPr>
        <w:t>diecisiete de febrero del año dos mil veinticinco</w:t>
      </w:r>
      <w:r w:rsidRPr="007955F3">
        <w:rPr>
          <w:rFonts w:ascii="Palatino Linotype" w:eastAsia="Palatino Linotype" w:hAnsi="Palatino Linotype" w:cs="Palatino Linotype"/>
          <w:sz w:val="22"/>
          <w:szCs w:val="22"/>
        </w:rPr>
        <w:t>; esto es, al segundo día hábil siguiente al que se tuvo conocimiento de la respuesta.</w:t>
      </w:r>
    </w:p>
    <w:p w14:paraId="5A467250"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5B9C561B" w14:textId="77777777" w:rsidR="00F47683" w:rsidRPr="007955F3" w:rsidRDefault="00550645">
      <w:pPr>
        <w:ind w:left="851" w:right="1041"/>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b/>
          <w:i/>
          <w:sz w:val="22"/>
          <w:szCs w:val="22"/>
        </w:rPr>
        <w:t xml:space="preserve">Artículo 179. </w:t>
      </w:r>
      <w:r w:rsidRPr="007955F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7A02AFE" w14:textId="77777777" w:rsidR="00F47683" w:rsidRPr="007955F3" w:rsidRDefault="00550645">
      <w:pPr>
        <w:ind w:left="851" w:right="1041"/>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769E1C4D" w14:textId="77777777" w:rsidR="00F47683" w:rsidRPr="007955F3" w:rsidRDefault="00550645">
      <w:pPr>
        <w:ind w:left="851" w:right="1041"/>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V. La entrega de información incompleta;</w:t>
      </w:r>
    </w:p>
    <w:p w14:paraId="2AB0A17F" w14:textId="77777777" w:rsidR="00F47683" w:rsidRPr="007955F3" w:rsidRDefault="00550645">
      <w:pPr>
        <w:ind w:left="851" w:right="1041"/>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(Sic)</w:t>
      </w:r>
    </w:p>
    <w:p w14:paraId="553051CA"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color w:val="000000"/>
          <w:sz w:val="22"/>
          <w:szCs w:val="22"/>
        </w:rPr>
        <w:t>Tercero. Materia de Revisión</w:t>
      </w:r>
      <w:r w:rsidRPr="007955F3">
        <w:rPr>
          <w:rFonts w:ascii="Palatino Linotype" w:eastAsia="Palatino Linotype" w:hAnsi="Palatino Linotype" w:cs="Palatino Linotype"/>
          <w:color w:val="000000"/>
          <w:sz w:val="22"/>
          <w:szCs w:val="22"/>
        </w:rPr>
        <w:t xml:space="preserve">: </w:t>
      </w:r>
      <w:r w:rsidRPr="007955F3">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w:t>
      </w:r>
      <w:r w:rsidRPr="007955F3">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7955F3">
        <w:rPr>
          <w:rFonts w:ascii="Palatino Linotype" w:eastAsia="Palatino Linotype" w:hAnsi="Palatino Linotype" w:cs="Palatino Linotype"/>
          <w:sz w:val="22"/>
          <w:szCs w:val="22"/>
        </w:rPr>
        <w:t xml:space="preserve">del </w:t>
      </w:r>
      <w:r w:rsidRPr="007955F3">
        <w:rPr>
          <w:rFonts w:ascii="Palatino Linotype" w:eastAsia="Palatino Linotype" w:hAnsi="Palatino Linotype" w:cs="Palatino Linotype"/>
          <w:b/>
          <w:sz w:val="22"/>
          <w:szCs w:val="22"/>
        </w:rPr>
        <w:t>RECURRENTE</w:t>
      </w:r>
      <w:r w:rsidRPr="007955F3">
        <w:rPr>
          <w:rFonts w:ascii="Palatino Linotype" w:eastAsia="Palatino Linotype" w:hAnsi="Palatino Linotype" w:cs="Palatino Linotype"/>
          <w:sz w:val="22"/>
          <w:szCs w:val="22"/>
        </w:rPr>
        <w:t>, o en su defecto, en caso de ser procedente, ordenar la entrega de información.</w:t>
      </w:r>
    </w:p>
    <w:p w14:paraId="39BE8541"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Cuarto. Estudio de fondo del asunto. </w:t>
      </w:r>
      <w:r w:rsidRPr="007955F3">
        <w:rPr>
          <w:rFonts w:ascii="Palatino Linotype" w:eastAsia="Palatino Linotype" w:hAnsi="Palatino Linotype" w:cs="Palatino Linotype"/>
          <w:sz w:val="22"/>
          <w:szCs w:val="22"/>
        </w:rPr>
        <w:t xml:space="preserve">Es conveniente analizar si la respuesta del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w:t>
      </w:r>
      <w:r w:rsidRPr="007955F3">
        <w:rPr>
          <w:rFonts w:ascii="Palatino Linotype" w:eastAsia="Palatino Linotype" w:hAnsi="Palatino Linotype" w:cs="Palatino Linotype"/>
          <w:sz w:val="22"/>
          <w:szCs w:val="22"/>
        </w:rPr>
        <w:lastRenderedPageBreak/>
        <w:t>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0AE468" w14:textId="77777777" w:rsidR="00F47683" w:rsidRPr="007955F3" w:rsidRDefault="00550645">
      <w:pPr>
        <w:spacing w:before="240"/>
        <w:ind w:left="709" w:right="76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 “</w:t>
      </w:r>
      <w:r w:rsidRPr="007955F3">
        <w:rPr>
          <w:rFonts w:ascii="Palatino Linotype" w:eastAsia="Palatino Linotype" w:hAnsi="Palatino Linotype" w:cs="Palatino Linotype"/>
          <w:b/>
          <w:i/>
          <w:sz w:val="22"/>
          <w:szCs w:val="22"/>
        </w:rPr>
        <w:t>Artículo 4</w:t>
      </w:r>
      <w:r w:rsidRPr="007955F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5E942CD" w14:textId="77777777" w:rsidR="00F47683" w:rsidRPr="007955F3" w:rsidRDefault="00550645">
      <w:pPr>
        <w:ind w:left="709" w:right="76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955F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0B45DDB" w14:textId="77777777" w:rsidR="00F47683" w:rsidRPr="007955F3" w:rsidRDefault="00550645">
      <w:pPr>
        <w:ind w:left="709" w:right="76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955F3">
        <w:rPr>
          <w:rFonts w:ascii="Palatino Linotype" w:eastAsia="Palatino Linotype" w:hAnsi="Palatino Linotype" w:cs="Palatino Linotype"/>
          <w:i/>
          <w:sz w:val="22"/>
          <w:szCs w:val="22"/>
        </w:rPr>
        <w:t>.”</w:t>
      </w:r>
    </w:p>
    <w:p w14:paraId="02817AEC"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3C55537A"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0703B73"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5CA58A3C" w14:textId="77777777" w:rsidR="00F47683" w:rsidRPr="007955F3" w:rsidRDefault="00550645">
      <w:pPr>
        <w:ind w:left="567" w:right="758"/>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“Artículo 12.-</w:t>
      </w:r>
      <w:r w:rsidRPr="007955F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5B5095F" w14:textId="77777777" w:rsidR="00F47683" w:rsidRPr="007955F3" w:rsidRDefault="00F47683">
      <w:pPr>
        <w:ind w:left="567" w:right="758"/>
        <w:jc w:val="both"/>
        <w:rPr>
          <w:rFonts w:ascii="Palatino Linotype" w:eastAsia="Palatino Linotype" w:hAnsi="Palatino Linotype" w:cs="Palatino Linotype"/>
          <w:i/>
          <w:sz w:val="22"/>
          <w:szCs w:val="22"/>
        </w:rPr>
      </w:pPr>
    </w:p>
    <w:p w14:paraId="1D3558BB" w14:textId="77777777" w:rsidR="00F47683" w:rsidRPr="007955F3" w:rsidRDefault="00550645">
      <w:pPr>
        <w:ind w:left="567" w:right="758"/>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7955F3">
        <w:rPr>
          <w:rFonts w:ascii="Palatino Linotype" w:eastAsia="Palatino Linotype" w:hAnsi="Palatino Linotype" w:cs="Palatino Linotype"/>
          <w:i/>
          <w:sz w:val="22"/>
          <w:szCs w:val="22"/>
        </w:rPr>
        <w:t xml:space="preserve">. </w:t>
      </w:r>
      <w:r w:rsidRPr="007955F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299C1E5" w14:textId="77777777" w:rsidR="00F47683" w:rsidRPr="007955F3" w:rsidRDefault="00F47683">
      <w:pPr>
        <w:ind w:left="567" w:right="758"/>
        <w:jc w:val="both"/>
        <w:rPr>
          <w:rFonts w:ascii="Palatino Linotype" w:eastAsia="Palatino Linotype" w:hAnsi="Palatino Linotype" w:cs="Palatino Linotype"/>
          <w:i/>
          <w:sz w:val="22"/>
          <w:szCs w:val="22"/>
        </w:rPr>
      </w:pPr>
    </w:p>
    <w:p w14:paraId="7FB03E5C" w14:textId="77777777" w:rsidR="00F47683" w:rsidRPr="007955F3" w:rsidRDefault="00550645">
      <w:pPr>
        <w:spacing w:line="360" w:lineRule="auto"/>
        <w:ind w:right="-93"/>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7955F3">
        <w:rPr>
          <w:rFonts w:ascii="Palatino Linotype" w:eastAsia="Palatino Linotype" w:hAnsi="Palatino Linotype" w:cs="Palatino Linotype"/>
          <w:sz w:val="22"/>
          <w:szCs w:val="22"/>
        </w:rPr>
        <w:t>sólo</w:t>
      </w:r>
      <w:r w:rsidRPr="007955F3">
        <w:rPr>
          <w:rFonts w:ascii="Palatino Linotype" w:eastAsia="Palatino Linotype" w:hAnsi="Palatino Linotype" w:cs="Palatino Linotype"/>
          <w:color w:val="000000"/>
          <w:sz w:val="22"/>
          <w:szCs w:val="22"/>
        </w:rPr>
        <w:t xml:space="preserve"> se </w:t>
      </w:r>
      <w:r w:rsidRPr="007955F3">
        <w:rPr>
          <w:rFonts w:ascii="Palatino Linotype" w:eastAsia="Palatino Linotype" w:hAnsi="Palatino Linotype" w:cs="Palatino Linotype"/>
          <w:sz w:val="22"/>
          <w:szCs w:val="22"/>
        </w:rPr>
        <w:t>concretarán</w:t>
      </w:r>
      <w:r w:rsidRPr="007955F3">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27555D43" w14:textId="77777777" w:rsidR="00F47683" w:rsidRPr="007955F3" w:rsidRDefault="00F47683">
      <w:pPr>
        <w:spacing w:line="360" w:lineRule="auto"/>
        <w:ind w:right="-93"/>
        <w:jc w:val="both"/>
        <w:rPr>
          <w:rFonts w:ascii="Palatino Linotype" w:eastAsia="Palatino Linotype" w:hAnsi="Palatino Linotype" w:cs="Palatino Linotype"/>
          <w:color w:val="000000"/>
          <w:sz w:val="22"/>
          <w:szCs w:val="22"/>
        </w:rPr>
      </w:pPr>
    </w:p>
    <w:p w14:paraId="10E7A756" w14:textId="77777777" w:rsidR="00F47683" w:rsidRPr="007955F3" w:rsidRDefault="00550645">
      <w:pPr>
        <w:spacing w:line="360" w:lineRule="auto"/>
        <w:jc w:val="both"/>
        <w:rPr>
          <w:rFonts w:ascii="Palatino Linotype" w:eastAsia="Palatino Linotype" w:hAnsi="Palatino Linotype" w:cs="Palatino Linotype"/>
          <w:b/>
          <w:color w:val="000000"/>
          <w:sz w:val="22"/>
          <w:szCs w:val="22"/>
        </w:rPr>
      </w:pPr>
      <w:r w:rsidRPr="007955F3">
        <w:rPr>
          <w:rFonts w:ascii="Palatino Linotype" w:eastAsia="Palatino Linotype" w:hAnsi="Palatino Linotype" w:cs="Palatino Linotype"/>
          <w:color w:val="000000"/>
          <w:sz w:val="22"/>
          <w:szCs w:val="22"/>
        </w:rPr>
        <w:t>Sirve de apoyo a lo anterior, el criterio 03-17, expuesto por el entonces Instituto Nacional de Transparencia, Acceso a la Información y Protección de Datos Personales, que dice:</w:t>
      </w:r>
      <w:r w:rsidRPr="007955F3">
        <w:rPr>
          <w:rFonts w:ascii="Palatino Linotype" w:eastAsia="Palatino Linotype" w:hAnsi="Palatino Linotype" w:cs="Palatino Linotype"/>
          <w:b/>
          <w:color w:val="000000"/>
          <w:sz w:val="22"/>
          <w:szCs w:val="22"/>
        </w:rPr>
        <w:t xml:space="preserve"> </w:t>
      </w:r>
    </w:p>
    <w:p w14:paraId="220B5979" w14:textId="77777777" w:rsidR="00F47683" w:rsidRPr="007955F3" w:rsidRDefault="00F47683">
      <w:pPr>
        <w:ind w:left="851" w:right="850"/>
        <w:jc w:val="both"/>
        <w:rPr>
          <w:rFonts w:ascii="Palatino Linotype" w:eastAsia="Palatino Linotype" w:hAnsi="Palatino Linotype" w:cs="Palatino Linotype"/>
          <w:color w:val="000000"/>
          <w:sz w:val="22"/>
          <w:szCs w:val="22"/>
        </w:rPr>
      </w:pPr>
    </w:p>
    <w:p w14:paraId="28743885" w14:textId="77777777" w:rsidR="00F47683" w:rsidRPr="007955F3" w:rsidRDefault="00550645">
      <w:pPr>
        <w:ind w:left="851" w:right="901"/>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7955F3">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DA91DB0" w14:textId="77777777" w:rsidR="00F47683" w:rsidRPr="007955F3" w:rsidRDefault="00550645">
      <w:pPr>
        <w:ind w:left="851" w:right="901"/>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 xml:space="preserve">Resoluciones: </w:t>
      </w:r>
    </w:p>
    <w:p w14:paraId="2BE49479" w14:textId="77777777" w:rsidR="00F47683" w:rsidRPr="007955F3" w:rsidRDefault="00550645">
      <w:pPr>
        <w:ind w:left="851" w:right="901"/>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7B20ADE3" w14:textId="77777777" w:rsidR="00F47683" w:rsidRPr="007955F3" w:rsidRDefault="00550645">
      <w:pPr>
        <w:ind w:left="851" w:right="901"/>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2FBBC5B1" w14:textId="77777777" w:rsidR="00F47683" w:rsidRPr="007955F3" w:rsidRDefault="00550645">
      <w:pPr>
        <w:ind w:left="851" w:right="901"/>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lastRenderedPageBreak/>
        <w:t>∙ RRA 1889/16. Secretaría de Hacienda y Crédito Público. 05 de octubre de 2016. Por unanimidad. Comisionada Ponente. Ximena Puente de la Mora.”</w:t>
      </w:r>
    </w:p>
    <w:p w14:paraId="519BE440" w14:textId="77777777" w:rsidR="00F47683" w:rsidRPr="007955F3" w:rsidRDefault="00F47683">
      <w:pPr>
        <w:spacing w:line="360" w:lineRule="auto"/>
        <w:ind w:right="-93"/>
        <w:jc w:val="both"/>
        <w:rPr>
          <w:rFonts w:ascii="Palatino Linotype" w:eastAsia="Palatino Linotype" w:hAnsi="Palatino Linotype" w:cs="Palatino Linotype"/>
          <w:color w:val="000000"/>
          <w:sz w:val="22"/>
          <w:szCs w:val="22"/>
        </w:rPr>
      </w:pPr>
    </w:p>
    <w:p w14:paraId="649059FE" w14:textId="77777777" w:rsidR="00F47683" w:rsidRPr="007955F3" w:rsidRDefault="00550645">
      <w:pP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7955F3">
        <w:rPr>
          <w:rFonts w:ascii="Palatino Linotype" w:eastAsia="Palatino Linotype" w:hAnsi="Palatino Linotype" w:cs="Palatino Linotype"/>
          <w:color w:val="000000"/>
          <w:sz w:val="22"/>
          <w:szCs w:val="22"/>
        </w:rPr>
        <w:t xml:space="preserve">sólo proporcionarán la información pública que </w:t>
      </w:r>
      <w:r w:rsidRPr="007955F3">
        <w:rPr>
          <w:rFonts w:ascii="Palatino Linotype" w:eastAsia="Palatino Linotype" w:hAnsi="Palatino Linotype" w:cs="Palatino Linotype"/>
          <w:sz w:val="22"/>
          <w:szCs w:val="22"/>
        </w:rPr>
        <w:t>generen</w:t>
      </w:r>
      <w:r w:rsidRPr="007955F3">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0D950F3" w14:textId="77777777" w:rsidR="00F47683" w:rsidRPr="007955F3" w:rsidRDefault="00F47683">
      <w:pPr>
        <w:spacing w:line="360" w:lineRule="auto"/>
        <w:jc w:val="both"/>
        <w:rPr>
          <w:rFonts w:ascii="Palatino Linotype" w:eastAsia="Palatino Linotype" w:hAnsi="Palatino Linotype" w:cs="Palatino Linotype"/>
          <w:color w:val="000000"/>
          <w:sz w:val="22"/>
          <w:szCs w:val="22"/>
        </w:rPr>
      </w:pPr>
    </w:p>
    <w:p w14:paraId="7C032E6D" w14:textId="77777777" w:rsidR="00F47683" w:rsidRPr="007955F3" w:rsidRDefault="00550645">
      <w:pPr>
        <w:spacing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118F5A0" w14:textId="77777777" w:rsidR="00F47683" w:rsidRPr="007955F3" w:rsidRDefault="00F47683">
      <w:pPr>
        <w:spacing w:line="360" w:lineRule="auto"/>
        <w:ind w:right="49"/>
        <w:jc w:val="both"/>
        <w:rPr>
          <w:rFonts w:ascii="Palatino Linotype" w:eastAsia="Palatino Linotype" w:hAnsi="Palatino Linotype" w:cs="Palatino Linotype"/>
          <w:sz w:val="22"/>
          <w:szCs w:val="22"/>
        </w:rPr>
      </w:pPr>
    </w:p>
    <w:p w14:paraId="5593AF80"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C09A11" w14:textId="77777777" w:rsidR="00F47683" w:rsidRPr="007955F3" w:rsidRDefault="00F47683">
      <w:pPr>
        <w:ind w:left="851" w:right="899"/>
        <w:jc w:val="both"/>
        <w:rPr>
          <w:rFonts w:ascii="Palatino Linotype" w:eastAsia="Palatino Linotype" w:hAnsi="Palatino Linotype" w:cs="Palatino Linotype"/>
          <w:i/>
          <w:sz w:val="22"/>
          <w:szCs w:val="22"/>
        </w:rPr>
      </w:pPr>
    </w:p>
    <w:p w14:paraId="00E34C7B" w14:textId="77777777" w:rsidR="00F47683" w:rsidRPr="007955F3" w:rsidRDefault="00550645">
      <w:pPr>
        <w:ind w:left="851" w:right="89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b/>
          <w:i/>
          <w:sz w:val="22"/>
          <w:szCs w:val="22"/>
        </w:rPr>
        <w:t xml:space="preserve">Artículo 3. </w:t>
      </w:r>
      <w:r w:rsidRPr="007955F3">
        <w:rPr>
          <w:rFonts w:ascii="Palatino Linotype" w:eastAsia="Palatino Linotype" w:hAnsi="Palatino Linotype" w:cs="Palatino Linotype"/>
          <w:i/>
          <w:sz w:val="22"/>
          <w:szCs w:val="22"/>
        </w:rPr>
        <w:t>Para los efectos de la presente Ley se entenderá por:</w:t>
      </w:r>
    </w:p>
    <w:p w14:paraId="2AF9B70B" w14:textId="77777777" w:rsidR="00F47683" w:rsidRPr="007955F3" w:rsidRDefault="00550645">
      <w:pPr>
        <w:ind w:left="851" w:right="89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48EFE8DA" w14:textId="77777777" w:rsidR="00F47683" w:rsidRPr="007955F3" w:rsidRDefault="00550645">
      <w:pPr>
        <w:ind w:left="851" w:right="899"/>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XI. Documento:</w:t>
      </w:r>
      <w:r w:rsidRPr="007955F3">
        <w:rPr>
          <w:rFonts w:ascii="Palatino Linotype" w:eastAsia="Palatino Linotype" w:hAnsi="Palatino Linotype" w:cs="Palatino Linotype"/>
          <w:i/>
          <w:color w:val="000000"/>
          <w:sz w:val="22"/>
          <w:szCs w:val="22"/>
        </w:rPr>
        <w:t xml:space="preserve"> Los expedientes, reportes, estudios, actas</w:t>
      </w:r>
      <w:r w:rsidRPr="007955F3">
        <w:rPr>
          <w:rFonts w:ascii="Palatino Linotype" w:eastAsia="Palatino Linotype" w:hAnsi="Palatino Linotype" w:cs="Palatino Linotype"/>
          <w:b/>
          <w:i/>
          <w:color w:val="000000"/>
          <w:sz w:val="22"/>
          <w:szCs w:val="22"/>
        </w:rPr>
        <w:t>,</w:t>
      </w:r>
      <w:r w:rsidRPr="007955F3">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w:t>
      </w:r>
      <w:r w:rsidRPr="007955F3">
        <w:rPr>
          <w:rFonts w:ascii="Palatino Linotype" w:eastAsia="Palatino Linotype" w:hAnsi="Palatino Linotype" w:cs="Palatino Linotype"/>
          <w:i/>
          <w:color w:val="000000"/>
          <w:sz w:val="22"/>
          <w:szCs w:val="22"/>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6C4DFF4" w14:textId="77777777" w:rsidR="00F47683" w:rsidRPr="007955F3" w:rsidRDefault="00F47683">
      <w:pPr>
        <w:ind w:left="851" w:right="899"/>
        <w:jc w:val="both"/>
        <w:rPr>
          <w:rFonts w:ascii="Palatino Linotype" w:eastAsia="Palatino Linotype" w:hAnsi="Palatino Linotype" w:cs="Palatino Linotype"/>
          <w:sz w:val="22"/>
          <w:szCs w:val="22"/>
        </w:rPr>
      </w:pPr>
    </w:p>
    <w:p w14:paraId="39D07340"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E22F67" w14:textId="77777777" w:rsidR="00F47683" w:rsidRPr="007955F3" w:rsidRDefault="00F47683">
      <w:pPr>
        <w:ind w:left="851" w:right="899"/>
        <w:jc w:val="both"/>
        <w:rPr>
          <w:rFonts w:ascii="Palatino Linotype" w:eastAsia="Palatino Linotype" w:hAnsi="Palatino Linotype" w:cs="Palatino Linotype"/>
          <w:sz w:val="22"/>
          <w:szCs w:val="22"/>
        </w:rPr>
      </w:pPr>
    </w:p>
    <w:p w14:paraId="5C412B07" w14:textId="77777777" w:rsidR="00F47683" w:rsidRPr="007955F3" w:rsidRDefault="00550645">
      <w:pPr>
        <w:ind w:left="851" w:right="899"/>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sz w:val="22"/>
          <w:szCs w:val="22"/>
        </w:rPr>
        <w:t>“</w:t>
      </w:r>
      <w:r w:rsidRPr="007955F3">
        <w:rPr>
          <w:rFonts w:ascii="Palatino Linotype" w:eastAsia="Palatino Linotype" w:hAnsi="Palatino Linotype" w:cs="Palatino Linotype"/>
          <w:b/>
          <w:i/>
          <w:sz w:val="22"/>
          <w:szCs w:val="22"/>
        </w:rPr>
        <w:t>CRITERIO 0002-11</w:t>
      </w:r>
    </w:p>
    <w:p w14:paraId="4B1C969D" w14:textId="77777777" w:rsidR="00F47683" w:rsidRPr="007955F3" w:rsidRDefault="00550645">
      <w:pPr>
        <w:ind w:left="851" w:right="89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955F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2CAF488" w14:textId="77777777" w:rsidR="00F47683" w:rsidRPr="007955F3" w:rsidRDefault="00550645">
      <w:pPr>
        <w:ind w:left="851" w:right="89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En </w:t>
      </w:r>
      <w:proofErr w:type="gramStart"/>
      <w:r w:rsidRPr="007955F3">
        <w:rPr>
          <w:rFonts w:ascii="Palatino Linotype" w:eastAsia="Palatino Linotype" w:hAnsi="Palatino Linotype" w:cs="Palatino Linotype"/>
          <w:i/>
          <w:sz w:val="22"/>
          <w:szCs w:val="22"/>
        </w:rPr>
        <w:t>consecuencia</w:t>
      </w:r>
      <w:proofErr w:type="gramEnd"/>
      <w:r w:rsidRPr="007955F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F13C3AC" w14:textId="77777777" w:rsidR="00F47683" w:rsidRPr="007955F3" w:rsidRDefault="00550645">
      <w:pPr>
        <w:ind w:left="851" w:right="89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955F3">
        <w:rPr>
          <w:rFonts w:ascii="Palatino Linotype" w:eastAsia="Palatino Linotype" w:hAnsi="Palatino Linotype" w:cs="Palatino Linotype"/>
          <w:i/>
          <w:sz w:val="22"/>
          <w:szCs w:val="22"/>
        </w:rPr>
        <w:t>que</w:t>
      </w:r>
      <w:proofErr w:type="gramEnd"/>
      <w:r w:rsidRPr="007955F3">
        <w:rPr>
          <w:rFonts w:ascii="Palatino Linotype" w:eastAsia="Palatino Linotype" w:hAnsi="Palatino Linotype" w:cs="Palatino Linotype"/>
          <w:i/>
          <w:sz w:val="22"/>
          <w:szCs w:val="22"/>
        </w:rPr>
        <w:t xml:space="preserve"> en ejercicio de las atribuciones conferidas, sea generada por los Sujetos Obligados;</w:t>
      </w:r>
    </w:p>
    <w:p w14:paraId="14467527" w14:textId="77777777" w:rsidR="00F47683" w:rsidRPr="007955F3" w:rsidRDefault="00550645">
      <w:pPr>
        <w:ind w:left="851" w:right="899"/>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7955F3">
        <w:rPr>
          <w:rFonts w:ascii="Palatino Linotype" w:eastAsia="Palatino Linotype" w:hAnsi="Palatino Linotype" w:cs="Palatino Linotype"/>
          <w:b/>
          <w:i/>
          <w:sz w:val="22"/>
          <w:szCs w:val="22"/>
        </w:rPr>
        <w:t>que</w:t>
      </w:r>
      <w:proofErr w:type="gramEnd"/>
      <w:r w:rsidRPr="007955F3">
        <w:rPr>
          <w:rFonts w:ascii="Palatino Linotype" w:eastAsia="Palatino Linotype" w:hAnsi="Palatino Linotype" w:cs="Palatino Linotype"/>
          <w:b/>
          <w:i/>
          <w:sz w:val="22"/>
          <w:szCs w:val="22"/>
        </w:rPr>
        <w:t xml:space="preserve"> en ejercicio de las atribuciones conferidas, sea administrada por los Sujetos Obligados, y</w:t>
      </w:r>
    </w:p>
    <w:p w14:paraId="6E092092" w14:textId="77777777" w:rsidR="00F47683" w:rsidRPr="007955F3" w:rsidRDefault="00550645">
      <w:pPr>
        <w:ind w:left="851" w:right="899"/>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7955F3">
        <w:rPr>
          <w:rFonts w:ascii="Palatino Linotype" w:eastAsia="Palatino Linotype" w:hAnsi="Palatino Linotype" w:cs="Palatino Linotype"/>
          <w:b/>
          <w:i/>
          <w:sz w:val="22"/>
          <w:szCs w:val="22"/>
        </w:rPr>
        <w:t>que</w:t>
      </w:r>
      <w:proofErr w:type="gramEnd"/>
      <w:r w:rsidRPr="007955F3">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6F338536"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268A5258" w14:textId="77777777" w:rsidR="00F47683" w:rsidRPr="007955F3" w:rsidRDefault="00550645">
      <w:pPr>
        <w:spacing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7955F3">
        <w:rPr>
          <w:rFonts w:ascii="Palatino Linotype" w:eastAsia="Palatino Linotype" w:hAnsi="Palatino Linotype" w:cs="Palatino Linotype"/>
          <w:b/>
          <w:sz w:val="22"/>
          <w:szCs w:val="22"/>
        </w:rPr>
        <w:t>Ayuntamiento de Xonacatlán</w:t>
      </w:r>
      <w:r w:rsidRPr="007955F3">
        <w:rPr>
          <w:rFonts w:ascii="Palatino Linotype" w:eastAsia="Palatino Linotype" w:hAnsi="Palatino Linotype" w:cs="Palatino Linotype"/>
          <w:sz w:val="22"/>
          <w:szCs w:val="22"/>
        </w:rPr>
        <w:t xml:space="preserve">, la siguiente información: </w:t>
      </w:r>
    </w:p>
    <w:p w14:paraId="2385B8D6" w14:textId="77777777" w:rsidR="00F47683" w:rsidRPr="007955F3" w:rsidRDefault="0055064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lastRenderedPageBreak/>
        <w:t>Razón que motivo a la Tesorería realizar a los servidores públicos el pago correspondiente a la primera y segunda quincena en efectivo;</w:t>
      </w:r>
    </w:p>
    <w:p w14:paraId="5C10AC6D" w14:textId="77777777" w:rsidR="00F47683" w:rsidRPr="007955F3" w:rsidRDefault="0055064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Recibos de pago de servidores públicos recibos correspondientes a las primera y segunda quincena de enero;</w:t>
      </w:r>
    </w:p>
    <w:p w14:paraId="06B3C4C4" w14:textId="77777777" w:rsidR="00F47683" w:rsidRPr="007955F3" w:rsidRDefault="0055064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Tabulador de sueldos y salarios correspondiente al año fiscal 2025; y,</w:t>
      </w:r>
    </w:p>
    <w:p w14:paraId="39904DA6" w14:textId="77777777" w:rsidR="00F47683" w:rsidRPr="007955F3" w:rsidRDefault="0055064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La conciliación de nómina correspondiente a la segunda quincena de enero 2025.</w:t>
      </w:r>
    </w:p>
    <w:p w14:paraId="6FFFA6DA" w14:textId="77777777" w:rsidR="00F47683" w:rsidRPr="007955F3" w:rsidRDefault="00F47683">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3DB0F953"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En un inicio, el Sujeto Obligado, a través de la Tesorería Municipal entregó la siguiente información:</w:t>
      </w:r>
    </w:p>
    <w:p w14:paraId="4959B001" w14:textId="77777777" w:rsidR="00F47683" w:rsidRPr="007955F3" w:rsidRDefault="0055064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Conciliación de nómina de la segunda quincena del mes de enero de dos mil veinticinco;</w:t>
      </w:r>
    </w:p>
    <w:p w14:paraId="10C201D0" w14:textId="77777777" w:rsidR="00F47683" w:rsidRPr="007955F3" w:rsidRDefault="0055064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Recibos de nómina de la primera quincena del mes de enero de dos mil veinticinco;</w:t>
      </w:r>
    </w:p>
    <w:p w14:paraId="7DCC4E2B" w14:textId="77777777" w:rsidR="00F47683" w:rsidRPr="007955F3" w:rsidRDefault="0055064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Recibos de nómina de la segunda quincena del mes de enero de dos mil veinticinco;</w:t>
      </w:r>
    </w:p>
    <w:p w14:paraId="21DFBE03" w14:textId="77777777" w:rsidR="00F47683" w:rsidRPr="007955F3" w:rsidRDefault="00550645">
      <w:pPr>
        <w:numPr>
          <w:ilvl w:val="0"/>
          <w:numId w:val="3"/>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Indicó que el que el tabulador de sueldos está en proceso de integración, será aprobado el veinticinco de febrero de dos mil veinticinco.</w:t>
      </w:r>
    </w:p>
    <w:p w14:paraId="1F892C45"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Conocida la respuesta, el Recurrente se inconformó porque no se </w:t>
      </w:r>
      <w:proofErr w:type="gramStart"/>
      <w:r w:rsidRPr="007955F3">
        <w:rPr>
          <w:rFonts w:ascii="Palatino Linotype" w:eastAsia="Palatino Linotype" w:hAnsi="Palatino Linotype" w:cs="Palatino Linotype"/>
          <w:sz w:val="22"/>
          <w:szCs w:val="22"/>
        </w:rPr>
        <w:t>le</w:t>
      </w:r>
      <w:proofErr w:type="gramEnd"/>
      <w:r w:rsidRPr="007955F3">
        <w:rPr>
          <w:rFonts w:ascii="Palatino Linotype" w:eastAsia="Palatino Linotype" w:hAnsi="Palatino Linotype" w:cs="Palatino Linotype"/>
          <w:sz w:val="22"/>
          <w:szCs w:val="22"/>
        </w:rPr>
        <w:t xml:space="preserve"> dio respuesta a los puntos 1 y 2.</w:t>
      </w:r>
    </w:p>
    <w:p w14:paraId="6C7408DD"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que no se le dio respuesta a los puntos 1 y 2; es decir, no mostró inconformidad por los puntos 3 y 4.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w:t>
      </w:r>
      <w:r w:rsidRPr="007955F3">
        <w:rPr>
          <w:rFonts w:ascii="Palatino Linotype" w:eastAsia="Palatino Linotype" w:hAnsi="Palatino Linotype" w:cs="Palatino Linotype"/>
          <w:sz w:val="22"/>
          <w:szCs w:val="22"/>
        </w:rPr>
        <w:lastRenderedPageBreak/>
        <w:t>infiere que la información proporcionada por el Sujeto Obligado, satisface la solicitud presentada.</w:t>
      </w:r>
    </w:p>
    <w:p w14:paraId="3A84F029" w14:textId="77777777" w:rsidR="00F47683" w:rsidRPr="007955F3" w:rsidRDefault="00F47683">
      <w:pPr>
        <w:spacing w:after="240" w:line="360" w:lineRule="auto"/>
        <w:ind w:right="49"/>
        <w:jc w:val="both"/>
        <w:rPr>
          <w:rFonts w:ascii="Palatino Linotype" w:eastAsia="Palatino Linotype" w:hAnsi="Palatino Linotype" w:cs="Palatino Linotype"/>
          <w:sz w:val="22"/>
          <w:szCs w:val="22"/>
        </w:rPr>
      </w:pPr>
    </w:p>
    <w:p w14:paraId="18FE21B3"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85F8A78" w14:textId="77777777" w:rsidR="00F47683" w:rsidRPr="007955F3" w:rsidRDefault="00550645">
      <w:pPr>
        <w:spacing w:after="240" w:line="360" w:lineRule="auto"/>
        <w:ind w:left="567" w:right="616"/>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i/>
          <w:sz w:val="22"/>
          <w:szCs w:val="22"/>
        </w:rPr>
        <w:t xml:space="preserve">“REVISIÓN EN AMPARO. LOS RESOLUTIVOS NO COMBATIDOS DEBEN DECLARARSE FIRMES. </w:t>
      </w:r>
      <w:r w:rsidRPr="007955F3">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4501182"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7EBC81FD"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Lo anterior se sustenta con lo plasmado en el criterio 01/20 emitido por el entonces Instituto Nacional de Transparencia, Acceso a la Información, y Protección de Datos Personales, INAI, que lleva por rubro y texto los siguientes: </w:t>
      </w:r>
    </w:p>
    <w:p w14:paraId="20D3B7FB" w14:textId="77777777" w:rsidR="00F47683" w:rsidRPr="007955F3" w:rsidRDefault="00550645">
      <w:pPr>
        <w:spacing w:after="240" w:line="360" w:lineRule="auto"/>
        <w:ind w:left="567" w:right="616"/>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i/>
          <w:sz w:val="22"/>
          <w:szCs w:val="22"/>
        </w:rPr>
        <w:lastRenderedPageBreak/>
        <w:t>“</w:t>
      </w:r>
      <w:r w:rsidRPr="007955F3">
        <w:rPr>
          <w:rFonts w:ascii="Palatino Linotype" w:eastAsia="Palatino Linotype" w:hAnsi="Palatino Linotype" w:cs="Palatino Linotype"/>
          <w:b/>
          <w:i/>
          <w:sz w:val="22"/>
          <w:szCs w:val="22"/>
        </w:rPr>
        <w:t xml:space="preserve">Actos consentidos tácitamente. Improcedencia de su análisis. </w:t>
      </w:r>
      <w:r w:rsidRPr="007955F3">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545CF67"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12329D9A" w14:textId="77777777" w:rsidR="00F47683" w:rsidRPr="007955F3" w:rsidRDefault="00550645">
      <w:pPr>
        <w:spacing w:after="240" w:line="360" w:lineRule="auto"/>
        <w:ind w:left="567" w:right="616"/>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i/>
          <w:sz w:val="22"/>
          <w:szCs w:val="22"/>
        </w:rPr>
        <w:t xml:space="preserve">“ACTOS CONSENTIDOS. SON LOS QUE NO SE IMPUGNAN MEDIANTE EL RECURSO IDÓNEO. </w:t>
      </w:r>
      <w:r w:rsidRPr="007955F3">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7955F3">
        <w:rPr>
          <w:rFonts w:ascii="Palatino Linotype" w:eastAsia="Palatino Linotype" w:hAnsi="Palatino Linotype" w:cs="Palatino Linotype"/>
          <w:i/>
          <w:sz w:val="22"/>
          <w:szCs w:val="22"/>
        </w:rPr>
        <w:t>ya que</w:t>
      </w:r>
      <w:proofErr w:type="gramEnd"/>
      <w:r w:rsidRPr="007955F3">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AD4E819"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Dicho lo anterior, la información de la que resulta procedente pronunciarse es respecto a los siguientes puntos:</w:t>
      </w:r>
    </w:p>
    <w:p w14:paraId="14D8E80B" w14:textId="77777777" w:rsidR="00F47683" w:rsidRPr="007955F3" w:rsidRDefault="0055064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¿Cuál fue la razón que motivó a la Tesorería realizar a los servidores públicos el pago correspondiente a la primera y segunda quincena en efectivo?</w:t>
      </w:r>
    </w:p>
    <w:p w14:paraId="604AA31E" w14:textId="77777777" w:rsidR="00F47683" w:rsidRPr="007955F3" w:rsidRDefault="00550645">
      <w:pPr>
        <w:numPr>
          <w:ilvl w:val="0"/>
          <w:numId w:val="5"/>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Recibos de pago a servidores públicos correspondientes a la primera y segunda quincena del mes de enero.</w:t>
      </w:r>
    </w:p>
    <w:p w14:paraId="2A60ADC9"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Entonces, derivado de la naturaleza de la información requerida, n primer lugar, respecto las documentales donde se adviertan las percepciones de los servidores públicos, como la nómina del personal, es importante traer a colación el contenido del artículo 147 de la Constitución Política del Estado Libre y Soberano de México, el cual establece lo siguiente: </w:t>
      </w:r>
    </w:p>
    <w:p w14:paraId="59F7C379" w14:textId="77777777" w:rsidR="00F47683" w:rsidRPr="007955F3" w:rsidRDefault="00F47683">
      <w:pPr>
        <w:spacing w:line="360" w:lineRule="auto"/>
        <w:rPr>
          <w:color w:val="000000"/>
          <w:sz w:val="22"/>
          <w:szCs w:val="22"/>
        </w:rPr>
      </w:pPr>
    </w:p>
    <w:p w14:paraId="1112CF6D"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lastRenderedPageBreak/>
        <w:t>“</w:t>
      </w:r>
      <w:r w:rsidRPr="007955F3">
        <w:rPr>
          <w:rFonts w:ascii="Palatino Linotype" w:eastAsia="Palatino Linotype" w:hAnsi="Palatino Linotype" w:cs="Palatino Linotype"/>
          <w:b/>
          <w:i/>
          <w:color w:val="000000"/>
          <w:sz w:val="22"/>
          <w:szCs w:val="22"/>
        </w:rPr>
        <w:t>Artículo 147.-</w:t>
      </w:r>
      <w:r w:rsidRPr="007955F3">
        <w:rPr>
          <w:rFonts w:ascii="Palatino Linotype" w:eastAsia="Palatino Linotype" w:hAnsi="Palatino Linotype" w:cs="Palatino Linotype"/>
          <w:i/>
          <w:color w:val="000000"/>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w:t>
      </w:r>
      <w:r w:rsidRPr="007955F3">
        <w:rPr>
          <w:rFonts w:ascii="Palatino Linotype" w:eastAsia="Palatino Linotype" w:hAnsi="Palatino Linotype" w:cs="Palatino Linotype"/>
          <w:b/>
          <w:i/>
          <w:color w:val="000000"/>
          <w:sz w:val="22"/>
          <w:szCs w:val="22"/>
        </w:rPr>
        <w:t>trabajadoras al servicio del Estado</w:t>
      </w:r>
      <w:r w:rsidRPr="007955F3">
        <w:rPr>
          <w:rFonts w:ascii="Palatino Linotype" w:eastAsia="Palatino Linotype" w:hAnsi="Palatino Linotype" w:cs="Palatino Linotype"/>
          <w:i/>
          <w:color w:val="000000"/>
          <w:sz w:val="22"/>
          <w:szCs w:val="22"/>
        </w:rPr>
        <w:t>, las y los integrantes, y las y los servidores de los organismos constitucionalmente autónomos, así como los</w:t>
      </w:r>
      <w:r w:rsidRPr="007955F3">
        <w:rPr>
          <w:rFonts w:ascii="Palatino Linotype" w:eastAsia="Palatino Linotype" w:hAnsi="Palatino Linotype" w:cs="Palatino Linotype"/>
          <w:b/>
          <w:i/>
          <w:color w:val="000000"/>
          <w:sz w:val="22"/>
          <w:szCs w:val="22"/>
        </w:rPr>
        <w:t xml:space="preserve"> </w:t>
      </w:r>
      <w:r w:rsidRPr="007955F3">
        <w:rPr>
          <w:rFonts w:ascii="Palatino Linotype" w:eastAsia="Palatino Linotype" w:hAnsi="Palatino Linotype" w:cs="Palatino Linotype"/>
          <w:i/>
          <w:color w:val="000000"/>
          <w:sz w:val="22"/>
          <w:szCs w:val="22"/>
        </w:rPr>
        <w:t xml:space="preserve">miembros de los ayuntamientos y demás servidores públicos municipales </w:t>
      </w:r>
      <w:r w:rsidRPr="007955F3">
        <w:rPr>
          <w:rFonts w:ascii="Palatino Linotype" w:eastAsia="Palatino Linotype" w:hAnsi="Palatino Linotype" w:cs="Palatino Linotype"/>
          <w:b/>
          <w:i/>
          <w:color w:val="000000"/>
          <w:sz w:val="22"/>
          <w:szCs w:val="22"/>
        </w:rPr>
        <w:t>recibirán una retribución adecuada e irrenunciable por el desempeño de su empleo, cargo o comisión, que será determinada en el presupuesto de egresos que corresponda.</w:t>
      </w:r>
      <w:r w:rsidRPr="007955F3">
        <w:rPr>
          <w:rFonts w:ascii="Palatino Linotype" w:eastAsia="Palatino Linotype" w:hAnsi="Palatino Linotype" w:cs="Palatino Linotype"/>
          <w:i/>
          <w:color w:val="000000"/>
          <w:sz w:val="22"/>
          <w:szCs w:val="22"/>
        </w:rPr>
        <w:t> </w:t>
      </w:r>
    </w:p>
    <w:p w14:paraId="19AC539B"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3100DF8"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La remuneración será determinada anual y equitativamente en el Presupuesto de Egresos correspondiente bajo las bases siguientes:</w:t>
      </w:r>
    </w:p>
    <w:p w14:paraId="19F4A076"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I. Se considera remuneración o retribución toda percepción en efectivo o en especie, con excepción de los apoyos y los gastos sujetos a comprobación que sean propios del desarrollo del trabajo y los gastos de viaje en actividades oficiales; </w:t>
      </w:r>
    </w:p>
    <w:p w14:paraId="58BC9FA4"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II. Ningún servidor público podrá recibir remuneración, en términos de la fracción anterior, por el desempeño de su función, empleo, cargo o comisión, mayor a la establecida; </w:t>
      </w:r>
    </w:p>
    <w:p w14:paraId="57454013"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w:t>
      </w:r>
      <w:r w:rsidRPr="007955F3">
        <w:rPr>
          <w:rFonts w:ascii="Palatino Linotype" w:eastAsia="Palatino Linotype" w:hAnsi="Palatino Linotype" w:cs="Palatino Linotype"/>
          <w:i/>
          <w:color w:val="000000"/>
          <w:sz w:val="22"/>
          <w:szCs w:val="22"/>
        </w:rPr>
        <w:lastRenderedPageBreak/>
        <w:t>establecida para el Presidente de la República y la remuneración establecida para la Gobernadora o Gobernador del Estado en el presupuesto correspondiente; </w:t>
      </w:r>
    </w:p>
    <w:p w14:paraId="16B80F84"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2E380309"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V. Las remuneraciones y sus tabuladores serán públicos, y deberán especificar y diferenciar la totalidad de sus elementos fijos y variables tanto en efectivo como en especie”</w:t>
      </w:r>
    </w:p>
    <w:p w14:paraId="35D94012" w14:textId="77777777" w:rsidR="00F47683" w:rsidRPr="007955F3" w:rsidRDefault="00F47683">
      <w:pPr>
        <w:spacing w:line="360" w:lineRule="auto"/>
        <w:rPr>
          <w:color w:val="000000"/>
          <w:sz w:val="22"/>
          <w:szCs w:val="22"/>
        </w:rPr>
      </w:pPr>
    </w:p>
    <w:p w14:paraId="6A7BB72C"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Por otra parte, la Ley del Trabajo de los Servidores Públicos del Estado y Municipios, en su artículo 220 K, establece los documentos que tiene la obligación de conservar el </w:t>
      </w:r>
      <w:r w:rsidRPr="007955F3">
        <w:rPr>
          <w:rFonts w:ascii="Palatino Linotype" w:eastAsia="Palatino Linotype" w:hAnsi="Palatino Linotype" w:cs="Palatino Linotype"/>
          <w:b/>
          <w:color w:val="000000"/>
          <w:sz w:val="22"/>
          <w:szCs w:val="22"/>
        </w:rPr>
        <w:t>Sujeto Obligado</w:t>
      </w:r>
      <w:r w:rsidRPr="007955F3">
        <w:rPr>
          <w:rFonts w:ascii="Palatino Linotype" w:eastAsia="Palatino Linotype" w:hAnsi="Palatino Linotype" w:cs="Palatino Linotype"/>
          <w:color w:val="000000"/>
          <w:sz w:val="22"/>
          <w:szCs w:val="22"/>
        </w:rPr>
        <w:t>, entre los que se encuentran los recibos de pagos: </w:t>
      </w:r>
    </w:p>
    <w:p w14:paraId="272EFB83" w14:textId="77777777" w:rsidR="00F47683" w:rsidRPr="007955F3" w:rsidRDefault="00F47683">
      <w:pPr>
        <w:spacing w:line="360" w:lineRule="auto"/>
        <w:rPr>
          <w:color w:val="000000"/>
          <w:sz w:val="22"/>
          <w:szCs w:val="22"/>
        </w:rPr>
      </w:pPr>
    </w:p>
    <w:p w14:paraId="507392FA"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b/>
          <w:i/>
          <w:color w:val="000000"/>
          <w:sz w:val="22"/>
          <w:szCs w:val="22"/>
        </w:rPr>
        <w:t>“ARTÍCULO 220 K.-</w:t>
      </w:r>
      <w:r w:rsidRPr="007955F3">
        <w:rPr>
          <w:rFonts w:ascii="Palatino Linotype" w:eastAsia="Palatino Linotype" w:hAnsi="Palatino Linotype" w:cs="Palatino Linotype"/>
          <w:i/>
          <w:color w:val="000000"/>
          <w:sz w:val="22"/>
          <w:szCs w:val="22"/>
        </w:rPr>
        <w:t xml:space="preserve"> La institución o dependencia pública tiene la obligación de conservar y exhibir en el proceso los documentos que a continuación se precisan:</w:t>
      </w:r>
    </w:p>
    <w:p w14:paraId="7CDA581C"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p>
    <w:p w14:paraId="5F731B76"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b/>
          <w:i/>
          <w:color w:val="000000"/>
          <w:sz w:val="22"/>
          <w:szCs w:val="22"/>
        </w:rPr>
        <w:t>II. Recibos de pagos de salarios o las constancias documentales del pago de salario cuando sea por depósito o mediante información electrónica; “</w:t>
      </w:r>
    </w:p>
    <w:p w14:paraId="5DF17048" w14:textId="77777777" w:rsidR="00F47683" w:rsidRPr="007955F3" w:rsidRDefault="00F47683">
      <w:pPr>
        <w:spacing w:line="360" w:lineRule="auto"/>
        <w:rPr>
          <w:color w:val="000000"/>
          <w:sz w:val="22"/>
          <w:szCs w:val="22"/>
        </w:rPr>
      </w:pPr>
    </w:p>
    <w:p w14:paraId="126D6203"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Del anterior precepto legal, se advierte que toda entidad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0955B721" w14:textId="77777777" w:rsidR="00F47683" w:rsidRPr="007955F3" w:rsidRDefault="00F47683">
      <w:pPr>
        <w:spacing w:line="360" w:lineRule="auto"/>
        <w:rPr>
          <w:color w:val="000000"/>
          <w:sz w:val="22"/>
          <w:szCs w:val="22"/>
        </w:rPr>
      </w:pPr>
    </w:p>
    <w:p w14:paraId="385F1CA5"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lastRenderedPageBreak/>
        <w:t>Por su parte el artículo 804, fracción II de la Ley Federal del Trabajo prevé lo siguiente:</w:t>
      </w:r>
    </w:p>
    <w:p w14:paraId="33DAAD80" w14:textId="77777777" w:rsidR="00F47683" w:rsidRPr="007955F3" w:rsidRDefault="00F47683">
      <w:pPr>
        <w:spacing w:line="360" w:lineRule="auto"/>
        <w:rPr>
          <w:color w:val="000000"/>
          <w:sz w:val="22"/>
          <w:szCs w:val="22"/>
        </w:rPr>
      </w:pPr>
    </w:p>
    <w:p w14:paraId="673ECCE2"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Artículo 804.- El patrón tiene obligación de conservar y exhibir en juicio los documentos que a continuación se precisan:</w:t>
      </w:r>
    </w:p>
    <w:p w14:paraId="6F46DB95"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p>
    <w:p w14:paraId="0C62C909"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b/>
          <w:i/>
          <w:color w:val="000000"/>
          <w:sz w:val="22"/>
          <w:szCs w:val="22"/>
        </w:rPr>
        <w:t>II. Listas de raya o nómina de personal, cuando se lleven en el centro de trabajo; o recibos de pagos de salarios;”</w:t>
      </w:r>
    </w:p>
    <w:p w14:paraId="44C712F2" w14:textId="77777777" w:rsidR="00F47683" w:rsidRPr="007955F3" w:rsidRDefault="00F47683">
      <w:pPr>
        <w:spacing w:line="360" w:lineRule="auto"/>
        <w:rPr>
          <w:color w:val="000000"/>
          <w:sz w:val="22"/>
          <w:szCs w:val="22"/>
        </w:rPr>
      </w:pPr>
    </w:p>
    <w:p w14:paraId="242E9BFE"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Aunado a lo anterior, es necesario destacar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2B231D17" w14:textId="77777777" w:rsidR="00F47683" w:rsidRPr="007955F3" w:rsidRDefault="00F47683">
      <w:pPr>
        <w:spacing w:line="360" w:lineRule="auto"/>
        <w:rPr>
          <w:color w:val="000000"/>
          <w:sz w:val="22"/>
          <w:szCs w:val="22"/>
        </w:rPr>
      </w:pPr>
    </w:p>
    <w:p w14:paraId="7D1FCF92"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Artículo 342</w:t>
      </w:r>
      <w:r w:rsidRPr="007955F3">
        <w:rPr>
          <w:rFonts w:ascii="Palatino Linotype" w:eastAsia="Palatino Linotype" w:hAnsi="Palatino Linotype" w:cs="Palatino Linotype"/>
          <w:i/>
          <w:color w:val="000000"/>
          <w:sz w:val="22"/>
          <w:szCs w:val="22"/>
        </w:rPr>
        <w:t>.-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486B1A89"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4FE5D568" w14:textId="77777777" w:rsidR="00F47683" w:rsidRPr="007955F3" w:rsidRDefault="00F47683">
      <w:pPr>
        <w:spacing w:line="360" w:lineRule="auto"/>
        <w:ind w:left="567" w:right="616"/>
        <w:rPr>
          <w:color w:val="000000"/>
          <w:sz w:val="22"/>
          <w:szCs w:val="22"/>
        </w:rPr>
      </w:pPr>
    </w:p>
    <w:p w14:paraId="3F38D63E"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b/>
          <w:i/>
          <w:color w:val="000000"/>
          <w:sz w:val="22"/>
          <w:szCs w:val="22"/>
        </w:rPr>
        <w:t>Artículo 343.-</w:t>
      </w:r>
      <w:r w:rsidRPr="007955F3">
        <w:rPr>
          <w:rFonts w:ascii="Palatino Linotype" w:eastAsia="Palatino Linotype" w:hAnsi="Palatino Linotype" w:cs="Palatino Linotype"/>
          <w:i/>
          <w:color w:val="000000"/>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contabilidad sobre base acumulativa total, se sustentará en las normas emitidas por el Consejo Nacional de Armonización Contable.</w:t>
      </w:r>
    </w:p>
    <w:p w14:paraId="027FCBBD" w14:textId="77777777" w:rsidR="00F47683" w:rsidRPr="007955F3" w:rsidRDefault="00F47683">
      <w:pPr>
        <w:spacing w:line="360" w:lineRule="auto"/>
        <w:ind w:left="567" w:right="616"/>
        <w:rPr>
          <w:color w:val="000000"/>
          <w:sz w:val="22"/>
          <w:szCs w:val="22"/>
        </w:rPr>
      </w:pPr>
    </w:p>
    <w:p w14:paraId="7BB7C283"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b/>
          <w:i/>
          <w:color w:val="000000"/>
          <w:sz w:val="22"/>
          <w:szCs w:val="22"/>
        </w:rPr>
        <w:t>Artículo 344.-</w:t>
      </w:r>
      <w:r w:rsidRPr="007955F3">
        <w:rPr>
          <w:rFonts w:ascii="Palatino Linotype" w:eastAsia="Palatino Linotype" w:hAnsi="Palatino Linotype" w:cs="Palatino Linotype"/>
          <w:i/>
          <w:color w:val="000000"/>
          <w:sz w:val="22"/>
          <w:szCs w:val="22"/>
        </w:rPr>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w:t>
      </w:r>
    </w:p>
    <w:p w14:paraId="53AE05EA"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En el caso de los Municipios, dicha obligación corresponderá a la Tesorería. </w:t>
      </w:r>
    </w:p>
    <w:p w14:paraId="5625C92F"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Tratándose de documentos de carácter histórico, se estará a lo dispuesto por la legislación de la materia.</w:t>
      </w:r>
      <w:r w:rsidRPr="007955F3">
        <w:rPr>
          <w:rFonts w:ascii="Palatino Linotype" w:eastAsia="Palatino Linotype" w:hAnsi="Palatino Linotype" w:cs="Palatino Linotype"/>
          <w:b/>
          <w:i/>
          <w:color w:val="000000"/>
          <w:sz w:val="22"/>
          <w:szCs w:val="22"/>
        </w:rPr>
        <w:t> </w:t>
      </w:r>
    </w:p>
    <w:p w14:paraId="02A3EE7D" w14:textId="77777777" w:rsidR="00F47683" w:rsidRPr="007955F3" w:rsidRDefault="00F47683">
      <w:pPr>
        <w:spacing w:line="360" w:lineRule="auto"/>
        <w:ind w:left="567" w:right="616"/>
        <w:rPr>
          <w:color w:val="000000"/>
          <w:sz w:val="22"/>
          <w:szCs w:val="22"/>
        </w:rPr>
      </w:pPr>
    </w:p>
    <w:p w14:paraId="6600DFCA"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b/>
          <w:i/>
          <w:color w:val="000000"/>
          <w:sz w:val="22"/>
          <w:szCs w:val="22"/>
        </w:rPr>
        <w:t>Artículo 345</w:t>
      </w:r>
      <w:r w:rsidRPr="007955F3">
        <w:rPr>
          <w:rFonts w:ascii="Palatino Linotype" w:eastAsia="Palatino Linotype" w:hAnsi="Palatino Linotype" w:cs="Palatino Linotype"/>
          <w:i/>
          <w:color w:val="000000"/>
          <w:sz w:val="22"/>
          <w:szCs w:val="22"/>
        </w:rPr>
        <w:t>.-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4A9632EF"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w:t>
      </w:r>
      <w:r w:rsidRPr="007955F3">
        <w:rPr>
          <w:rFonts w:ascii="Palatino Linotype" w:eastAsia="Palatino Linotype" w:hAnsi="Palatino Linotype" w:cs="Palatino Linotype"/>
          <w:i/>
          <w:color w:val="000000"/>
          <w:sz w:val="22"/>
          <w:szCs w:val="22"/>
        </w:rPr>
        <w:lastRenderedPageBreak/>
        <w:t>Tratándose de los comprobantes fiscales digitales, estos deberán estar agregados en forma electrónica a cada póliza de registro contable. </w:t>
      </w:r>
    </w:p>
    <w:p w14:paraId="7F2CD08A" w14:textId="77777777" w:rsidR="00F47683" w:rsidRPr="007955F3" w:rsidRDefault="00550645">
      <w:pPr>
        <w:pBdr>
          <w:top w:val="nil"/>
          <w:left w:val="nil"/>
          <w:bottom w:val="nil"/>
          <w:right w:val="nil"/>
          <w:between w:val="nil"/>
        </w:pBdr>
        <w:spacing w:line="360" w:lineRule="auto"/>
        <w:ind w:left="567" w:right="616"/>
        <w:jc w:val="both"/>
        <w:rPr>
          <w:color w:val="000000"/>
          <w:sz w:val="22"/>
          <w:szCs w:val="22"/>
        </w:rPr>
      </w:pPr>
      <w:r w:rsidRPr="007955F3">
        <w:rPr>
          <w:rFonts w:ascii="Palatino Linotype" w:eastAsia="Palatino Linotype" w:hAnsi="Palatino Linotype" w:cs="Palatino Linotype"/>
          <w:i/>
          <w:color w:val="000000"/>
          <w:sz w:val="22"/>
          <w:szCs w:val="22"/>
        </w:rPr>
        <w:t>El plazo señalado en este artículo empezará a contar a partir de la publicación en el Periódico Oficial, del decreto correspondiente.”</w:t>
      </w:r>
    </w:p>
    <w:p w14:paraId="7549368A" w14:textId="77777777" w:rsidR="00F47683" w:rsidRPr="007955F3" w:rsidRDefault="00F47683">
      <w:pPr>
        <w:spacing w:line="360" w:lineRule="auto"/>
        <w:rPr>
          <w:color w:val="000000"/>
          <w:sz w:val="22"/>
          <w:szCs w:val="22"/>
        </w:rPr>
      </w:pPr>
    </w:p>
    <w:p w14:paraId="14BE4871"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De una interpretación sistemática de los artículos transcritos se </w:t>
      </w:r>
      <w:proofErr w:type="gramStart"/>
      <w:r w:rsidRPr="007955F3">
        <w:rPr>
          <w:rFonts w:ascii="Palatino Linotype" w:eastAsia="Palatino Linotype" w:hAnsi="Palatino Linotype" w:cs="Palatino Linotype"/>
          <w:color w:val="000000"/>
          <w:sz w:val="22"/>
          <w:szCs w:val="22"/>
        </w:rPr>
        <w:t>desprende</w:t>
      </w:r>
      <w:proofErr w:type="gramEnd"/>
      <w:r w:rsidRPr="007955F3">
        <w:rPr>
          <w:rFonts w:ascii="Palatino Linotype" w:eastAsia="Palatino Linotype" w:hAnsi="Palatino Linotype" w:cs="Palatino Linotype"/>
          <w:color w:val="000000"/>
          <w:sz w:val="22"/>
          <w:szCs w:val="22"/>
        </w:rPr>
        <w:t xml:space="preserv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62EDD7B6" w14:textId="77777777" w:rsidR="00F47683" w:rsidRPr="007955F3" w:rsidRDefault="00F47683">
      <w:pPr>
        <w:spacing w:line="360" w:lineRule="auto"/>
        <w:rPr>
          <w:color w:val="000000"/>
          <w:sz w:val="22"/>
          <w:szCs w:val="22"/>
        </w:rPr>
      </w:pPr>
    </w:p>
    <w:p w14:paraId="597957F4"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1F3008A1" w14:textId="77777777" w:rsidR="00F47683" w:rsidRPr="007955F3" w:rsidRDefault="00F47683">
      <w:pPr>
        <w:spacing w:line="360" w:lineRule="auto"/>
        <w:rPr>
          <w:color w:val="000000"/>
          <w:sz w:val="22"/>
          <w:szCs w:val="22"/>
        </w:rPr>
      </w:pPr>
    </w:p>
    <w:p w14:paraId="10C7CBED"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También es importante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BE708DB" w14:textId="77777777" w:rsidR="00F47683" w:rsidRPr="007955F3" w:rsidRDefault="00F47683">
      <w:pPr>
        <w:spacing w:line="360" w:lineRule="auto"/>
        <w:rPr>
          <w:color w:val="000000"/>
          <w:sz w:val="22"/>
          <w:szCs w:val="22"/>
        </w:rPr>
      </w:pPr>
    </w:p>
    <w:p w14:paraId="494B9785"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lastRenderedPageBreak/>
        <w:t>“</w:t>
      </w:r>
      <w:r w:rsidRPr="007955F3">
        <w:rPr>
          <w:rFonts w:ascii="Palatino Linotype" w:eastAsia="Palatino Linotype" w:hAnsi="Palatino Linotype" w:cs="Palatino Linotype"/>
          <w:b/>
          <w:i/>
          <w:color w:val="000000"/>
          <w:sz w:val="22"/>
          <w:szCs w:val="22"/>
        </w:rPr>
        <w:t>REGISTRO CONTABLE </w:t>
      </w:r>
    </w:p>
    <w:p w14:paraId="74009A9C"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Asiento que se realiza en los libros de contabilidad de las actividades relacionadas con el ingreso y egresos de un ente económico.”</w:t>
      </w:r>
    </w:p>
    <w:p w14:paraId="563855F2" w14:textId="77777777" w:rsidR="00F47683" w:rsidRPr="007955F3" w:rsidRDefault="00F47683">
      <w:pPr>
        <w:spacing w:line="360" w:lineRule="auto"/>
        <w:rPr>
          <w:color w:val="000000"/>
          <w:sz w:val="22"/>
          <w:szCs w:val="22"/>
        </w:rPr>
      </w:pPr>
    </w:p>
    <w:p w14:paraId="4A4607BF"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REGISTRO PRESUPUESTARIO</w:t>
      </w:r>
    </w:p>
    <w:p w14:paraId="7BA3F443"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Asiento contable de las erogaciones realizadas por las dependencias y entidades con relación a la asignación, modificación y ejercicio de los recursos presupuestarios que se les hayan autorizado.”</w:t>
      </w:r>
    </w:p>
    <w:p w14:paraId="5BDEB24A" w14:textId="77777777" w:rsidR="00F47683" w:rsidRPr="007955F3" w:rsidRDefault="00F47683">
      <w:pPr>
        <w:spacing w:line="360" w:lineRule="auto"/>
        <w:rPr>
          <w:color w:val="000000"/>
          <w:sz w:val="22"/>
          <w:szCs w:val="22"/>
        </w:rPr>
      </w:pPr>
    </w:p>
    <w:p w14:paraId="096A95C8"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Aunado a lo establecido en el Código Financiero del Estado de México y Municipios, el treinta y uno de 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5900C56A" w14:textId="77777777" w:rsidR="00F47683" w:rsidRPr="007955F3" w:rsidRDefault="00F47683">
      <w:pPr>
        <w:spacing w:line="360" w:lineRule="auto"/>
        <w:rPr>
          <w:color w:val="000000"/>
          <w:sz w:val="22"/>
          <w:szCs w:val="22"/>
        </w:rPr>
      </w:pPr>
    </w:p>
    <w:p w14:paraId="0DA25059"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En este sentido, de acuerdo a la naturaleza de la información solicitada se concluye que ésta es de interés general y de alcance público, puesto que la ciudadanía tiene derecho a saber 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citado al inicio del presente estudio, mismo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26F11BD5" w14:textId="77777777" w:rsidR="00F47683" w:rsidRPr="007955F3" w:rsidRDefault="00F47683">
      <w:pPr>
        <w:spacing w:line="360" w:lineRule="auto"/>
        <w:rPr>
          <w:color w:val="000000"/>
          <w:sz w:val="22"/>
          <w:szCs w:val="22"/>
        </w:rPr>
      </w:pPr>
    </w:p>
    <w:p w14:paraId="0AC58862" w14:textId="77777777" w:rsidR="00F47683" w:rsidRPr="007955F3" w:rsidRDefault="00550645">
      <w:pPr>
        <w:pBdr>
          <w:top w:val="nil"/>
          <w:left w:val="nil"/>
          <w:bottom w:val="nil"/>
          <w:right w:val="nil"/>
          <w:between w:val="nil"/>
        </w:pBdr>
        <w:spacing w:after="280" w:line="360" w:lineRule="auto"/>
        <w:jc w:val="both"/>
        <w:rPr>
          <w:color w:val="000000"/>
          <w:sz w:val="22"/>
          <w:szCs w:val="22"/>
        </w:rPr>
      </w:pPr>
      <w:r w:rsidRPr="007955F3">
        <w:rPr>
          <w:rFonts w:ascii="Palatino Linotype" w:eastAsia="Palatino Linotype" w:hAnsi="Palatino Linotype" w:cs="Palatino Linotype"/>
          <w:color w:val="000000"/>
          <w:sz w:val="22"/>
          <w:szCs w:val="22"/>
        </w:rPr>
        <w:t>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570DCE73" w14:textId="77777777" w:rsidR="00F47683" w:rsidRPr="007955F3" w:rsidRDefault="00550645">
      <w:pPr>
        <w:pBdr>
          <w:top w:val="nil"/>
          <w:left w:val="nil"/>
          <w:bottom w:val="nil"/>
          <w:right w:val="nil"/>
          <w:between w:val="nil"/>
        </w:pBdr>
        <w:spacing w:line="360" w:lineRule="auto"/>
        <w:ind w:left="851" w:right="822"/>
        <w:jc w:val="center"/>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Criterio 01/2003.</w:t>
      </w:r>
    </w:p>
    <w:p w14:paraId="47B5EA1E" w14:textId="77777777" w:rsidR="00F47683" w:rsidRPr="007955F3" w:rsidRDefault="00F47683">
      <w:pPr>
        <w:spacing w:line="360" w:lineRule="auto"/>
        <w:rPr>
          <w:color w:val="000000"/>
          <w:sz w:val="22"/>
          <w:szCs w:val="22"/>
        </w:rPr>
      </w:pPr>
    </w:p>
    <w:p w14:paraId="28E360A9"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 xml:space="preserve">INGRESOS DE LOS SERVIDORES PÚBLICOS. CONSTITUYEN INFORMACIÓN PÚBLICA AÚN Y CUANDO SU DIFUSIÓN PUEDE AFECTAR LA VIDA O LA SEGURIDAD DE AQUELLOS. </w:t>
      </w:r>
      <w:r w:rsidRPr="007955F3">
        <w:rPr>
          <w:rFonts w:ascii="Palatino Linotype" w:eastAsia="Palatino Linotype" w:hAnsi="Palatino Linotype" w:cs="Palatino Linotype"/>
          <w:i/>
          <w:color w:val="000000"/>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955F3">
        <w:rPr>
          <w:rFonts w:ascii="Palatino Linotype" w:eastAsia="Palatino Linotype" w:hAnsi="Palatino Linotype" w:cs="Palatino Linotype"/>
          <w:b/>
          <w:i/>
          <w:color w:val="000000"/>
          <w:sz w:val="22"/>
          <w:szCs w:val="22"/>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7955F3">
        <w:rPr>
          <w:rFonts w:ascii="Palatino Linotype" w:eastAsia="Palatino Linotype" w:hAnsi="Palatino Linotype" w:cs="Palatino Linotype"/>
          <w:i/>
          <w:color w:val="000000"/>
          <w:sz w:val="22"/>
          <w:szCs w:val="22"/>
        </w:rPr>
        <w:t>…”</w:t>
      </w:r>
    </w:p>
    <w:p w14:paraId="35FFEC1E" w14:textId="77777777" w:rsidR="00F47683" w:rsidRPr="007955F3" w:rsidRDefault="00F47683">
      <w:pPr>
        <w:spacing w:line="360" w:lineRule="auto"/>
        <w:rPr>
          <w:color w:val="000000"/>
          <w:sz w:val="22"/>
          <w:szCs w:val="22"/>
        </w:rPr>
      </w:pPr>
    </w:p>
    <w:p w14:paraId="361201A2"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Criterio 02/2003.</w:t>
      </w:r>
    </w:p>
    <w:p w14:paraId="6BD5694F" w14:textId="77777777" w:rsidR="00F47683" w:rsidRPr="007955F3" w:rsidRDefault="00F47683">
      <w:pPr>
        <w:spacing w:line="360" w:lineRule="auto"/>
        <w:rPr>
          <w:color w:val="000000"/>
          <w:sz w:val="22"/>
          <w:szCs w:val="22"/>
        </w:rPr>
      </w:pPr>
    </w:p>
    <w:p w14:paraId="7535E425"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b/>
          <w:i/>
          <w:color w:val="000000"/>
          <w:sz w:val="22"/>
          <w:szCs w:val="22"/>
        </w:rPr>
        <w:lastRenderedPageBreak/>
        <w:t>INGRESOS DE LOS SERVIDORES PÚBLICOS, SON INFORMACIÓN PÚBLICA AÚN Y CUANDO CONSTITUYEN DATOS PERSONALES QUE SE REFIEREN AL PATRIMONIO DE AQUÉLLOS</w:t>
      </w:r>
      <w:r w:rsidRPr="007955F3">
        <w:rPr>
          <w:rFonts w:ascii="Palatino Linotype" w:eastAsia="Palatino Linotype" w:hAnsi="Palatino Linotype" w:cs="Palatino Linotype"/>
          <w:i/>
          <w:color w:val="000000"/>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955F3">
        <w:rPr>
          <w:rFonts w:ascii="Palatino Linotype" w:eastAsia="Palatino Linotype" w:hAnsi="Palatino Linotype" w:cs="Palatino Linotype"/>
          <w:b/>
          <w:i/>
          <w:color w:val="000000"/>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r w:rsidRPr="007955F3">
        <w:rPr>
          <w:rFonts w:ascii="Palatino Linotype" w:eastAsia="Palatino Linotype" w:hAnsi="Palatino Linotype" w:cs="Palatino Linotype"/>
          <w:i/>
          <w:color w:val="000000"/>
          <w:sz w:val="22"/>
          <w:szCs w:val="22"/>
        </w:rPr>
        <w:t>”</w:t>
      </w:r>
    </w:p>
    <w:p w14:paraId="2F7E67BD"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i/>
          <w:color w:val="000000"/>
          <w:sz w:val="22"/>
          <w:szCs w:val="22"/>
        </w:rPr>
        <w:t>(Énfasis añadido)</w:t>
      </w:r>
    </w:p>
    <w:p w14:paraId="1F5E80B9" w14:textId="77777777" w:rsidR="00F47683" w:rsidRPr="007955F3" w:rsidRDefault="00F47683">
      <w:pPr>
        <w:spacing w:after="240" w:line="360" w:lineRule="auto"/>
        <w:ind w:right="49"/>
        <w:jc w:val="both"/>
        <w:rPr>
          <w:rFonts w:ascii="Palatino Linotype" w:eastAsia="Palatino Linotype" w:hAnsi="Palatino Linotype" w:cs="Palatino Linotype"/>
          <w:color w:val="000000"/>
          <w:sz w:val="22"/>
          <w:szCs w:val="22"/>
        </w:rPr>
      </w:pPr>
    </w:p>
    <w:p w14:paraId="077D027E" w14:textId="77777777" w:rsidR="00F47683" w:rsidRPr="007955F3" w:rsidRDefault="00550645">
      <w:pP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Dicho lo anterior, es necesario traer a contexto el artículo 93 de la Ley Orgánica Municipal del Estado de México, el cual establece lo siguiente: </w:t>
      </w:r>
    </w:p>
    <w:p w14:paraId="61D5419C" w14:textId="77777777" w:rsidR="00F47683" w:rsidRPr="007955F3" w:rsidRDefault="00550645">
      <w:pPr>
        <w:spacing w:after="240" w:line="360" w:lineRule="auto"/>
        <w:ind w:left="567" w:right="616"/>
        <w:jc w:val="center"/>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CAPITULO SEGUNDO</w:t>
      </w:r>
    </w:p>
    <w:p w14:paraId="4D42F375" w14:textId="77777777" w:rsidR="00F47683" w:rsidRPr="007955F3" w:rsidRDefault="00550645">
      <w:pPr>
        <w:spacing w:after="240" w:line="360" w:lineRule="auto"/>
        <w:ind w:left="567" w:right="616"/>
        <w:jc w:val="center"/>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De la Tesorería Municipal</w:t>
      </w:r>
    </w:p>
    <w:p w14:paraId="1C82BE07"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Artículo 93.-</w:t>
      </w:r>
      <w:r w:rsidRPr="007955F3">
        <w:rPr>
          <w:rFonts w:ascii="Palatino Linotype" w:eastAsia="Palatino Linotype" w:hAnsi="Palatino Linotype" w:cs="Palatino Linotype"/>
          <w:i/>
          <w:color w:val="000000"/>
          <w:sz w:val="22"/>
          <w:szCs w:val="22"/>
        </w:rPr>
        <w:t xml:space="preserve"> La tesorería municipal es el órgano encargado de la recaudación de los ingresos municipales y responsable de realizar las erogaciones que haga el ayuntamiento.</w:t>
      </w:r>
    </w:p>
    <w:p w14:paraId="5EC0C2F2"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Artículo 95.- Son atribuciones del tesorero municipal:</w:t>
      </w:r>
    </w:p>
    <w:p w14:paraId="2403A4CB"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I. Administrar la hacienda pública municipal, de conformidad con las disposiciones legales aplicables;</w:t>
      </w:r>
    </w:p>
    <w:p w14:paraId="3AD5C248"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lastRenderedPageBreak/>
        <w:t>…</w:t>
      </w:r>
    </w:p>
    <w:p w14:paraId="358B2963"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IV. Llevar los registros contables, financieros y administrativos de los ingresos, egresos, e inventarios;</w:t>
      </w:r>
    </w:p>
    <w:p w14:paraId="36BF7DA7" w14:textId="77777777" w:rsidR="00F47683" w:rsidRPr="007955F3" w:rsidRDefault="00550645">
      <w:pP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Por su parte, el bando Municipal del Sujeto Obligado establece lo siguiente:</w:t>
      </w:r>
    </w:p>
    <w:p w14:paraId="6B443C78"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ARTÍCULO 48. La Tesorería Municipal, es la dependencia de Administración Pública Municipal que, por conducto de su titular, se encarga de la recaudación de los ingresos municipales y de realizar las erogaciones conforme al presupuesto de egresos autorizado por el Ayuntamiento, conforme a la normatividad aplicable.</w:t>
      </w:r>
    </w:p>
    <w:p w14:paraId="33D0A867" w14:textId="77777777" w:rsidR="00F47683" w:rsidRPr="007955F3" w:rsidRDefault="00550645">
      <w:pPr>
        <w:spacing w:after="240" w:line="360" w:lineRule="auto"/>
        <w:ind w:left="567" w:right="616"/>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A la Tesorera Municipal, le corresponden las atribuciones que expresamente señalan la Constitución Local, la Ley Orgánica, el Código Financiero, el Código Administrativo, y demás normas legales, administrativas y reglamentarias.</w:t>
      </w:r>
    </w:p>
    <w:p w14:paraId="66D944F7" w14:textId="77777777" w:rsidR="00F47683" w:rsidRPr="007955F3" w:rsidRDefault="00550645">
      <w:pPr>
        <w:pBdr>
          <w:top w:val="nil"/>
          <w:left w:val="nil"/>
          <w:bottom w:val="nil"/>
          <w:right w:val="nil"/>
          <w:between w:val="nil"/>
        </w:pBdr>
        <w:spacing w:line="360" w:lineRule="auto"/>
        <w:ind w:left="567" w:right="616"/>
        <w:rPr>
          <w:rFonts w:ascii="Palatino Linotype" w:eastAsia="Palatino Linotype" w:hAnsi="Palatino Linotype" w:cs="Palatino Linotype"/>
          <w:i/>
          <w:color w:val="323231"/>
          <w:sz w:val="22"/>
          <w:szCs w:val="22"/>
        </w:rPr>
      </w:pPr>
      <w:r w:rsidRPr="007955F3">
        <w:rPr>
          <w:rFonts w:ascii="Palatino Linotype" w:eastAsia="Palatino Linotype" w:hAnsi="Palatino Linotype" w:cs="Palatino Linotype"/>
          <w:i/>
          <w:color w:val="323231"/>
          <w:sz w:val="22"/>
          <w:szCs w:val="22"/>
        </w:rPr>
        <w:t>ARTÍCULO 49. La Tesorería municipal para el ejercicio de sus atribuciones</w:t>
      </w:r>
    </w:p>
    <w:p w14:paraId="3837B7DC" w14:textId="77777777" w:rsidR="00F47683" w:rsidRPr="007955F3" w:rsidRDefault="00550645">
      <w:pPr>
        <w:pBdr>
          <w:top w:val="nil"/>
          <w:left w:val="nil"/>
          <w:bottom w:val="nil"/>
          <w:right w:val="nil"/>
          <w:between w:val="nil"/>
        </w:pBdr>
        <w:spacing w:line="360" w:lineRule="auto"/>
        <w:ind w:left="567" w:right="616"/>
        <w:rPr>
          <w:rFonts w:ascii="Palatino Linotype" w:eastAsia="Palatino Linotype" w:hAnsi="Palatino Linotype" w:cs="Palatino Linotype"/>
          <w:i/>
          <w:color w:val="323231"/>
          <w:sz w:val="22"/>
          <w:szCs w:val="22"/>
        </w:rPr>
      </w:pPr>
      <w:r w:rsidRPr="007955F3">
        <w:rPr>
          <w:rFonts w:ascii="Palatino Linotype" w:eastAsia="Palatino Linotype" w:hAnsi="Palatino Linotype" w:cs="Palatino Linotype"/>
          <w:i/>
          <w:color w:val="323231"/>
          <w:sz w:val="22"/>
          <w:szCs w:val="22"/>
        </w:rPr>
        <w:t>se auxiliará de las siguientes dependencias:</w:t>
      </w:r>
    </w:p>
    <w:p w14:paraId="4C953DA0" w14:textId="77777777" w:rsidR="00F47683" w:rsidRPr="007955F3" w:rsidRDefault="00550645">
      <w:pPr>
        <w:pBdr>
          <w:top w:val="nil"/>
          <w:left w:val="nil"/>
          <w:bottom w:val="nil"/>
          <w:right w:val="nil"/>
          <w:between w:val="nil"/>
        </w:pBdr>
        <w:spacing w:line="360" w:lineRule="auto"/>
        <w:ind w:left="567" w:right="616"/>
        <w:rPr>
          <w:rFonts w:ascii="Palatino Linotype" w:eastAsia="Palatino Linotype" w:hAnsi="Palatino Linotype" w:cs="Palatino Linotype"/>
          <w:i/>
          <w:color w:val="323231"/>
          <w:sz w:val="22"/>
          <w:szCs w:val="22"/>
        </w:rPr>
      </w:pPr>
      <w:r w:rsidRPr="007955F3">
        <w:rPr>
          <w:rFonts w:ascii="Palatino Linotype" w:eastAsia="Palatino Linotype" w:hAnsi="Palatino Linotype" w:cs="Palatino Linotype"/>
          <w:i/>
          <w:color w:val="323231"/>
          <w:sz w:val="22"/>
          <w:szCs w:val="22"/>
        </w:rPr>
        <w:t>…</w:t>
      </w:r>
    </w:p>
    <w:p w14:paraId="146A00A3" w14:textId="77777777" w:rsidR="00F47683" w:rsidRPr="007955F3" w:rsidRDefault="00550645">
      <w:pPr>
        <w:pBdr>
          <w:top w:val="nil"/>
          <w:left w:val="nil"/>
          <w:bottom w:val="nil"/>
          <w:right w:val="nil"/>
          <w:between w:val="nil"/>
        </w:pBdr>
        <w:spacing w:line="360" w:lineRule="auto"/>
        <w:ind w:left="567" w:right="616"/>
        <w:rPr>
          <w:rFonts w:ascii="Palatino Linotype" w:eastAsia="Palatino Linotype" w:hAnsi="Palatino Linotype" w:cs="Palatino Linotype"/>
          <w:i/>
          <w:color w:val="323231"/>
          <w:sz w:val="22"/>
          <w:szCs w:val="22"/>
        </w:rPr>
      </w:pPr>
      <w:r w:rsidRPr="007955F3">
        <w:rPr>
          <w:rFonts w:ascii="Palatino Linotype" w:eastAsia="Palatino Linotype" w:hAnsi="Palatino Linotype" w:cs="Palatino Linotype"/>
          <w:i/>
          <w:color w:val="323231"/>
          <w:sz w:val="22"/>
          <w:szCs w:val="22"/>
        </w:rPr>
        <w:t>E. Departamento de recursos humanos y nomina</w:t>
      </w:r>
    </w:p>
    <w:p w14:paraId="41A73B11" w14:textId="77777777" w:rsidR="00F47683" w:rsidRPr="007955F3" w:rsidRDefault="00550645">
      <w:pPr>
        <w:pBdr>
          <w:top w:val="nil"/>
          <w:left w:val="nil"/>
          <w:bottom w:val="nil"/>
          <w:right w:val="nil"/>
          <w:between w:val="nil"/>
        </w:pBdr>
        <w:spacing w:line="360" w:lineRule="auto"/>
        <w:ind w:left="567" w:right="616"/>
        <w:rPr>
          <w:rFonts w:ascii="Palatino Linotype" w:eastAsia="Palatino Linotype" w:hAnsi="Palatino Linotype" w:cs="Palatino Linotype"/>
          <w:i/>
          <w:color w:val="323231"/>
          <w:sz w:val="22"/>
          <w:szCs w:val="22"/>
        </w:rPr>
      </w:pPr>
      <w:r w:rsidRPr="007955F3">
        <w:rPr>
          <w:rFonts w:ascii="Palatino Linotype" w:eastAsia="Palatino Linotype" w:hAnsi="Palatino Linotype" w:cs="Palatino Linotype"/>
          <w:i/>
          <w:color w:val="323231"/>
          <w:sz w:val="22"/>
          <w:szCs w:val="22"/>
        </w:rPr>
        <w:t>…</w:t>
      </w:r>
    </w:p>
    <w:p w14:paraId="4791CA73" w14:textId="77777777" w:rsidR="00F47683" w:rsidRPr="007955F3" w:rsidRDefault="00F47683">
      <w:pPr>
        <w:spacing w:after="240" w:line="360" w:lineRule="auto"/>
        <w:ind w:right="49"/>
        <w:jc w:val="both"/>
        <w:rPr>
          <w:rFonts w:ascii="Palatino Linotype" w:eastAsia="Palatino Linotype" w:hAnsi="Palatino Linotype" w:cs="Palatino Linotype"/>
          <w:color w:val="000000"/>
          <w:sz w:val="22"/>
          <w:szCs w:val="22"/>
        </w:rPr>
      </w:pPr>
    </w:p>
    <w:p w14:paraId="3F107E5C" w14:textId="77777777" w:rsidR="00F47683" w:rsidRPr="007955F3" w:rsidRDefault="00550645">
      <w:pP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Tal y como se aprecia, la Tesorería Municipal es la unidad administrativa encargada de realizar cualquier erogación que requiera el Ayuntamiento, tal como lo son el pago de la nómina quincenalmente, para tal efecto, cuenta con el departamento de recursos humanos y nómina. </w:t>
      </w:r>
    </w:p>
    <w:p w14:paraId="76CC6E6E" w14:textId="77777777" w:rsidR="00F47683" w:rsidRPr="007955F3" w:rsidRDefault="0055064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Entonces, al haber turnado la solicitud a la Tesorería Municipal, se advierte que el Sujeto Obligado turnó la solicitud al área competente, incumpliendo con lo que disponen los </w:t>
      </w:r>
      <w:r w:rsidRPr="007955F3">
        <w:rPr>
          <w:rFonts w:ascii="Palatino Linotype" w:eastAsia="Palatino Linotype" w:hAnsi="Palatino Linotype" w:cs="Palatino Linotype"/>
          <w:sz w:val="22"/>
          <w:szCs w:val="22"/>
        </w:rPr>
        <w:lastRenderedPageBreak/>
        <w:t>artículos 151, 160, 162, 163, 164, 165 y 166, de la Ley de Transparencia y Acceso a la Información Pública del Estado de México y Municipios:</w:t>
      </w:r>
    </w:p>
    <w:p w14:paraId="1BB55817" w14:textId="77777777" w:rsidR="00F47683" w:rsidRPr="007955F3" w:rsidRDefault="00F4768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7013403"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4351FC6"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2510A9C0"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B4CF4C8"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25761D1"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D505B82" w14:textId="77777777" w:rsidR="00F47683" w:rsidRPr="007955F3" w:rsidRDefault="00550645">
      <w:pPr>
        <w:spacing w:line="360" w:lineRule="auto"/>
        <w:ind w:left="284"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w:t>
      </w:r>
      <w:r w:rsidRPr="007955F3">
        <w:rPr>
          <w:rFonts w:ascii="Palatino Linotype" w:eastAsia="Palatino Linotype" w:hAnsi="Palatino Linotype" w:cs="Palatino Linotype"/>
          <w:sz w:val="22"/>
          <w:szCs w:val="22"/>
        </w:rPr>
        <w:lastRenderedPageBreak/>
        <w:t xml:space="preserve">los Sujetos Obligados darán por concluida la solicitud y procederán de ser el caso, a la destrucción del material; </w:t>
      </w:r>
    </w:p>
    <w:p w14:paraId="5ED32FC4" w14:textId="77777777" w:rsidR="00F47683" w:rsidRPr="007955F3" w:rsidRDefault="00F47683">
      <w:pPr>
        <w:spacing w:line="360" w:lineRule="auto"/>
        <w:ind w:left="284" w:right="191"/>
        <w:jc w:val="both"/>
        <w:rPr>
          <w:rFonts w:ascii="Palatino Linotype" w:eastAsia="Palatino Linotype" w:hAnsi="Palatino Linotype" w:cs="Palatino Linotype"/>
          <w:sz w:val="22"/>
          <w:szCs w:val="22"/>
        </w:rPr>
      </w:pPr>
    </w:p>
    <w:p w14:paraId="66DC4C1D" w14:textId="77777777" w:rsidR="00F47683" w:rsidRPr="007955F3" w:rsidRDefault="00550645">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 la Tesorería Municipal, por el área competente para generar la documentación requerida por el particular, relativa al pago de la nómina, de acuerdo con la Ley Orgánica Municipal del Estado de México y el Bando Municipal Vigente.  </w:t>
      </w:r>
    </w:p>
    <w:p w14:paraId="2C60F38A" w14:textId="77777777" w:rsidR="00F47683" w:rsidRPr="007955F3" w:rsidRDefault="00F47683">
      <w:pPr>
        <w:spacing w:after="240" w:line="360" w:lineRule="auto"/>
        <w:ind w:right="49"/>
        <w:jc w:val="both"/>
        <w:rPr>
          <w:rFonts w:ascii="Palatino Linotype" w:eastAsia="Palatino Linotype" w:hAnsi="Palatino Linotype" w:cs="Palatino Linotype"/>
          <w:sz w:val="22"/>
          <w:szCs w:val="22"/>
        </w:rPr>
      </w:pPr>
    </w:p>
    <w:p w14:paraId="1E6BCA67"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Dicho lo anterior, es necesario recordar que el agravio del particular se basó en manifestar que el Sujeto Obligado no dio respuesta al requerimiento 1 y 2.</w:t>
      </w:r>
    </w:p>
    <w:p w14:paraId="2840A005"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Por lo que corresponde al primer requerimiento, el particular formuló el siguiente cuestionamiento:</w:t>
      </w:r>
    </w:p>
    <w:p w14:paraId="5247A80C" w14:textId="77777777" w:rsidR="00F47683" w:rsidRPr="007955F3" w:rsidRDefault="00550645">
      <w:pPr>
        <w:numPr>
          <w:ilvl w:val="0"/>
          <w:numId w:val="6"/>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¿Cuál fue la razón que motivo a la tesorería realizar a los servidores públicos el pago correspondiente a la primera y segunda quincena en efectivo?</w:t>
      </w:r>
    </w:p>
    <w:p w14:paraId="2206B219"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En primera instancia es de señalar que la pretensión del ahora parte </w:t>
      </w:r>
      <w:r w:rsidRPr="007955F3">
        <w:rPr>
          <w:rFonts w:ascii="Palatino Linotype" w:eastAsia="Palatino Linotype" w:hAnsi="Palatino Linotype" w:cs="Palatino Linotype"/>
          <w:b/>
          <w:color w:val="000000"/>
          <w:sz w:val="22"/>
          <w:szCs w:val="22"/>
        </w:rPr>
        <w:t>Recurrente</w:t>
      </w:r>
      <w:r w:rsidRPr="007955F3">
        <w:rPr>
          <w:rFonts w:ascii="Palatino Linotype" w:eastAsia="Palatino Linotype" w:hAnsi="Palatino Linotype" w:cs="Palatino Linotype"/>
          <w:color w:val="000000"/>
          <w:sz w:val="22"/>
          <w:szCs w:val="22"/>
        </w:rPr>
        <w:t xml:space="preserve"> es obtener un pronunciamiento específico respecto a una situación en Particular, de servidores públicos determinados,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75EB2579" w14:textId="77777777" w:rsidR="00F47683" w:rsidRPr="007955F3" w:rsidRDefault="00F47683">
      <w:pPr>
        <w:spacing w:line="360" w:lineRule="auto"/>
        <w:rPr>
          <w:color w:val="000000"/>
          <w:sz w:val="22"/>
          <w:szCs w:val="22"/>
        </w:rPr>
      </w:pPr>
    </w:p>
    <w:p w14:paraId="59097C3B"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lastRenderedPageBreak/>
        <w:t>Robustece lo anterior, el Criterio 03/17 emitido por el entonces Instituto Nacional de Transparencia, Acceso a la Información y Protección de Datos Personales, el cual establece lo siguiente: </w:t>
      </w:r>
    </w:p>
    <w:p w14:paraId="5BEFC537" w14:textId="77777777" w:rsidR="00F47683" w:rsidRPr="007955F3" w:rsidRDefault="00F47683">
      <w:pPr>
        <w:spacing w:line="360" w:lineRule="auto"/>
        <w:rPr>
          <w:color w:val="000000"/>
          <w:sz w:val="22"/>
          <w:szCs w:val="22"/>
        </w:rPr>
      </w:pPr>
    </w:p>
    <w:p w14:paraId="186DAA65" w14:textId="77777777" w:rsidR="00F47683" w:rsidRPr="007955F3" w:rsidRDefault="00550645">
      <w:pPr>
        <w:pBdr>
          <w:top w:val="nil"/>
          <w:left w:val="nil"/>
          <w:bottom w:val="nil"/>
          <w:right w:val="nil"/>
          <w:between w:val="nil"/>
        </w:pBdr>
        <w:spacing w:line="360" w:lineRule="auto"/>
        <w:ind w:left="567" w:right="567"/>
        <w:jc w:val="both"/>
        <w:rPr>
          <w:color w:val="000000"/>
          <w:sz w:val="22"/>
          <w:szCs w:val="22"/>
        </w:rPr>
      </w:pPr>
      <w:r w:rsidRPr="007955F3">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7955F3">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22EAF3F" w14:textId="77777777" w:rsidR="00F47683" w:rsidRPr="007955F3" w:rsidRDefault="00F47683">
      <w:pPr>
        <w:spacing w:line="360" w:lineRule="auto"/>
        <w:rPr>
          <w:color w:val="000000"/>
          <w:sz w:val="22"/>
          <w:szCs w:val="22"/>
        </w:rPr>
      </w:pPr>
    </w:p>
    <w:p w14:paraId="1405D377"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Por otro lado, es importante mencionar que el requerimiento del Particular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7955F3">
        <w:rPr>
          <w:rFonts w:ascii="Palatino Linotype" w:eastAsia="Palatino Linotype" w:hAnsi="Palatino Linotype" w:cs="Palatino Linotype"/>
          <w:b/>
          <w:color w:val="000000"/>
          <w:sz w:val="22"/>
          <w:szCs w:val="22"/>
        </w:rPr>
        <w:t>Sujeto Obligado</w:t>
      </w:r>
      <w:r w:rsidRPr="007955F3">
        <w:rPr>
          <w:rFonts w:ascii="Palatino Linotype" w:eastAsia="Palatino Linotype" w:hAnsi="Palatino Linotype" w:cs="Palatino Linotype"/>
          <w:color w:val="000000"/>
          <w:sz w:val="22"/>
          <w:szCs w:val="22"/>
        </w:rPr>
        <w:t>, ya que no se encontró fuente obligacional que establezca que la Titular de la Unidad de Transparencia deba generar, poseer o administrar un documento en el que conste el pronunciamiento solicitado por el particular. </w:t>
      </w:r>
    </w:p>
    <w:p w14:paraId="3E8E2BF6" w14:textId="77777777" w:rsidR="00F47683" w:rsidRPr="007955F3" w:rsidRDefault="00F47683">
      <w:pPr>
        <w:spacing w:line="360" w:lineRule="auto"/>
        <w:rPr>
          <w:color w:val="000000"/>
          <w:sz w:val="22"/>
          <w:szCs w:val="22"/>
        </w:rPr>
      </w:pPr>
    </w:p>
    <w:p w14:paraId="6F394AE4"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Es por lo anterior que se advierte que la solicitud no constituye un derecho de acceso a la información </w:t>
      </w:r>
      <w:proofErr w:type="gramStart"/>
      <w:r w:rsidRPr="007955F3">
        <w:rPr>
          <w:rFonts w:ascii="Palatino Linotype" w:eastAsia="Palatino Linotype" w:hAnsi="Palatino Linotype" w:cs="Palatino Linotype"/>
          <w:color w:val="000000"/>
          <w:sz w:val="22"/>
          <w:szCs w:val="22"/>
        </w:rPr>
        <w:t>y</w:t>
      </w:r>
      <w:proofErr w:type="gramEnd"/>
      <w:r w:rsidRPr="007955F3">
        <w:rPr>
          <w:rFonts w:ascii="Palatino Linotype" w:eastAsia="Palatino Linotype" w:hAnsi="Palatino Linotype" w:cs="Palatino Linotype"/>
          <w:color w:val="000000"/>
          <w:sz w:val="22"/>
          <w:szCs w:val="22"/>
        </w:rPr>
        <w:t xml:space="preserve"> por lo tanto, no es atendible mediante una solicitud de acceso a la información pública, ya que se tratan de una petición del Particular, situación que conlleva a afirmar que </w:t>
      </w:r>
      <w:r w:rsidRPr="007955F3">
        <w:rPr>
          <w:rFonts w:ascii="Palatino Linotype" w:eastAsia="Palatino Linotype" w:hAnsi="Palatino Linotype" w:cs="Palatino Linotype"/>
          <w:color w:val="000000"/>
          <w:sz w:val="22"/>
          <w:szCs w:val="22"/>
        </w:rPr>
        <w:lastRenderedPageBreak/>
        <w:t>se está en presencia del ejercicio del derecho a la libre expresión y en todo caso a un derecho de petición. </w:t>
      </w:r>
    </w:p>
    <w:p w14:paraId="03FAF475" w14:textId="77777777" w:rsidR="00F47683" w:rsidRPr="007955F3" w:rsidRDefault="00F47683">
      <w:pPr>
        <w:spacing w:line="360" w:lineRule="auto"/>
        <w:rPr>
          <w:color w:val="000000"/>
          <w:sz w:val="22"/>
          <w:szCs w:val="22"/>
        </w:rPr>
      </w:pPr>
    </w:p>
    <w:p w14:paraId="4D80E812"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A efecto de sustentar lo anterior, es preciso mencionar que David Cienfuegos Salgado, concibe al derecho de petición como </w:t>
      </w: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u w:val="single"/>
        </w:rPr>
        <w:t>el derecho de toda persona a ser escuchado por quienes ejercen el poder públic</w:t>
      </w:r>
      <w:r w:rsidRPr="007955F3">
        <w:rPr>
          <w:rFonts w:ascii="Palatino Linotype" w:eastAsia="Palatino Linotype" w:hAnsi="Palatino Linotype" w:cs="Palatino Linotype"/>
          <w:i/>
          <w:color w:val="000000"/>
          <w:sz w:val="22"/>
          <w:szCs w:val="22"/>
        </w:rPr>
        <w:t>o</w:t>
      </w:r>
      <w:proofErr w:type="gramStart"/>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i/>
          <w:color w:val="000000"/>
          <w:sz w:val="22"/>
          <w:szCs w:val="22"/>
          <w:vertAlign w:val="superscript"/>
        </w:rPr>
        <w:t xml:space="preserve"> </w:t>
      </w:r>
      <w:r w:rsidRPr="007955F3">
        <w:rPr>
          <w:rFonts w:ascii="Palatino Linotype" w:eastAsia="Palatino Linotype" w:hAnsi="Palatino Linotype" w:cs="Palatino Linotype"/>
          <w:i/>
          <w:color w:val="000000"/>
          <w:sz w:val="22"/>
          <w:szCs w:val="22"/>
        </w:rPr>
        <w:t>”</w:t>
      </w:r>
      <w:proofErr w:type="gramEnd"/>
      <w:r w:rsidRPr="007955F3">
        <w:rPr>
          <w:rFonts w:ascii="Palatino Linotype" w:eastAsia="Palatino Linotype" w:hAnsi="Palatino Linotype" w:cs="Palatino Linotype"/>
          <w:i/>
          <w:color w:val="000000"/>
          <w:sz w:val="22"/>
          <w:szCs w:val="22"/>
        </w:rPr>
        <w:t>  </w:t>
      </w:r>
    </w:p>
    <w:p w14:paraId="6553E3E3" w14:textId="77777777" w:rsidR="00F47683" w:rsidRPr="007955F3" w:rsidRDefault="00F47683">
      <w:pPr>
        <w:spacing w:line="360" w:lineRule="auto"/>
        <w:rPr>
          <w:color w:val="000000"/>
          <w:sz w:val="22"/>
          <w:szCs w:val="22"/>
        </w:rPr>
      </w:pPr>
    </w:p>
    <w:p w14:paraId="5E5A6423"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 xml:space="preserve">De la misma manera, Miguel Carbonell en su libro “Los derechos fundamentales” refiere que el </w:t>
      </w:r>
      <w:r w:rsidRPr="007955F3">
        <w:rPr>
          <w:rFonts w:ascii="Palatino Linotype" w:eastAsia="Palatino Linotype" w:hAnsi="Palatino Linotype" w:cs="Palatino Linotype"/>
          <w:color w:val="000000"/>
          <w:sz w:val="22"/>
          <w:szCs w:val="22"/>
          <w:u w:val="single"/>
        </w:rPr>
        <w:t>derecho de petición se ha entendido de dos distintitas maneras</w:t>
      </w:r>
      <w:r w:rsidRPr="007955F3">
        <w:rPr>
          <w:rFonts w:ascii="Palatino Linotype" w:eastAsia="Palatino Linotype" w:hAnsi="Palatino Linotype" w:cs="Palatino Linotype"/>
          <w:color w:val="000000"/>
          <w:sz w:val="22"/>
          <w:szCs w:val="22"/>
        </w:rPr>
        <w:t xml:space="preserve">, a saber: como un derecho fundamental de participación política ya que </w:t>
      </w:r>
      <w:r w:rsidRPr="007955F3">
        <w:rPr>
          <w:rFonts w:ascii="Palatino Linotype" w:eastAsia="Palatino Linotype" w:hAnsi="Palatino Linotype" w:cs="Palatino Linotype"/>
          <w:color w:val="000000"/>
          <w:sz w:val="22"/>
          <w:szCs w:val="22"/>
          <w:u w:val="single"/>
        </w:rPr>
        <w:t xml:space="preserve">permite a los </w:t>
      </w:r>
      <w:r w:rsidRPr="007955F3">
        <w:rPr>
          <w:rFonts w:ascii="Palatino Linotype" w:eastAsia="Palatino Linotype" w:hAnsi="Palatino Linotype" w:cs="Palatino Linotype"/>
          <w:color w:val="000000"/>
          <w:sz w:val="22"/>
          <w:szCs w:val="22"/>
        </w:rPr>
        <w:t xml:space="preserve">particulares trasladar a las autoridades sus </w:t>
      </w:r>
      <w:r w:rsidRPr="007955F3">
        <w:rPr>
          <w:rFonts w:ascii="Palatino Linotype" w:eastAsia="Palatino Linotype" w:hAnsi="Palatino Linotype" w:cs="Palatino Linotype"/>
          <w:b/>
          <w:color w:val="000000"/>
          <w:sz w:val="22"/>
          <w:szCs w:val="22"/>
        </w:rPr>
        <w:t>inquietudes, quejas</w:t>
      </w:r>
      <w:r w:rsidRPr="007955F3">
        <w:rPr>
          <w:rFonts w:ascii="Palatino Linotype" w:eastAsia="Palatino Linotype" w:hAnsi="Palatino Linotype" w:cs="Palatino Linotype"/>
          <w:color w:val="000000"/>
          <w:sz w:val="22"/>
          <w:szCs w:val="22"/>
        </w:rPr>
        <w:t xml:space="preserve">, sugerencias y requerimientos en cualquier materia o asunto; y como una </w:t>
      </w:r>
      <w:r w:rsidRPr="007955F3">
        <w:rPr>
          <w:rFonts w:ascii="Palatino Linotype" w:eastAsia="Palatino Linotype" w:hAnsi="Palatino Linotype" w:cs="Palatino Linotype"/>
          <w:b/>
          <w:color w:val="000000"/>
          <w:sz w:val="22"/>
          <w:szCs w:val="22"/>
        </w:rPr>
        <w:t>forma específica de la libertad de expresión</w:t>
      </w:r>
      <w:r w:rsidRPr="007955F3">
        <w:rPr>
          <w:rFonts w:ascii="Palatino Linotype" w:eastAsia="Palatino Linotype" w:hAnsi="Palatino Linotype" w:cs="Palatino Linotype"/>
          <w:color w:val="000000"/>
          <w:sz w:val="22"/>
          <w:szCs w:val="22"/>
        </w:rPr>
        <w:t>, en tanto que permite expresarse frente a las autoridades. </w:t>
      </w:r>
    </w:p>
    <w:p w14:paraId="4CC08967" w14:textId="77777777" w:rsidR="00F47683" w:rsidRPr="007955F3" w:rsidRDefault="00F47683">
      <w:pPr>
        <w:spacing w:line="360" w:lineRule="auto"/>
        <w:rPr>
          <w:color w:val="000000"/>
          <w:sz w:val="22"/>
          <w:szCs w:val="22"/>
        </w:rPr>
      </w:pPr>
    </w:p>
    <w:p w14:paraId="11640378" w14:textId="77777777" w:rsidR="00F47683" w:rsidRPr="007955F3" w:rsidRDefault="00550645">
      <w:pPr>
        <w:pBdr>
          <w:top w:val="nil"/>
          <w:left w:val="nil"/>
          <w:bottom w:val="nil"/>
          <w:right w:val="nil"/>
          <w:between w:val="nil"/>
        </w:pBdr>
        <w:spacing w:line="360" w:lineRule="auto"/>
        <w:jc w:val="both"/>
        <w:rPr>
          <w:color w:val="000000"/>
          <w:sz w:val="22"/>
          <w:szCs w:val="22"/>
        </w:rPr>
      </w:pPr>
      <w:r w:rsidRPr="007955F3">
        <w:rPr>
          <w:rFonts w:ascii="Palatino Linotype" w:eastAsia="Palatino Linotype" w:hAnsi="Palatino Linotype" w:cs="Palatino Linotype"/>
          <w:color w:val="000000"/>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44E5DE45" w14:textId="77777777" w:rsidR="00F47683" w:rsidRPr="007955F3" w:rsidRDefault="00F47683">
      <w:pPr>
        <w:spacing w:line="360" w:lineRule="auto"/>
        <w:rPr>
          <w:color w:val="000000"/>
          <w:sz w:val="22"/>
          <w:szCs w:val="22"/>
        </w:rPr>
      </w:pPr>
    </w:p>
    <w:p w14:paraId="418CE870" w14:textId="77777777" w:rsidR="00F47683" w:rsidRPr="007955F3" w:rsidRDefault="00550645">
      <w:pPr>
        <w:pBdr>
          <w:top w:val="nil"/>
          <w:left w:val="nil"/>
          <w:bottom w:val="nil"/>
          <w:right w:val="nil"/>
          <w:between w:val="nil"/>
        </w:pBdr>
        <w:spacing w:line="360" w:lineRule="auto"/>
        <w:ind w:right="99"/>
        <w:jc w:val="both"/>
        <w:rPr>
          <w:color w:val="000000"/>
          <w:sz w:val="22"/>
          <w:szCs w:val="22"/>
        </w:rPr>
      </w:pPr>
      <w:r w:rsidRPr="007955F3">
        <w:rPr>
          <w:rFonts w:ascii="Palatino Linotype" w:eastAsia="Palatino Linotype" w:hAnsi="Palatino Linotype" w:cs="Palatino Linotype"/>
          <w:color w:val="000000"/>
          <w:sz w:val="22"/>
          <w:szCs w:val="22"/>
        </w:rPr>
        <w:t xml:space="preserve">Por otro lado, el autor anteriormente citado, indica que el </w:t>
      </w:r>
      <w:r w:rsidRPr="007955F3">
        <w:rPr>
          <w:rFonts w:ascii="Palatino Linotype" w:eastAsia="Palatino Linotype" w:hAnsi="Palatino Linotype" w:cs="Palatino Linotype"/>
          <w:b/>
          <w:color w:val="000000"/>
          <w:sz w:val="22"/>
          <w:szCs w:val="22"/>
          <w:u w:val="single"/>
        </w:rPr>
        <w:t>derecho de acceso a la información pública</w:t>
      </w:r>
      <w:r w:rsidRPr="007955F3">
        <w:rPr>
          <w:rFonts w:ascii="Palatino Linotype" w:eastAsia="Palatino Linotype" w:hAnsi="Palatino Linotype" w:cs="Palatino Linotype"/>
          <w:color w:val="000000"/>
          <w:sz w:val="22"/>
          <w:szCs w:val="22"/>
        </w:rPr>
        <w:t xml:space="preserve"> es el derecho de conocer la </w:t>
      </w:r>
      <w:r w:rsidRPr="007955F3">
        <w:rPr>
          <w:rFonts w:ascii="Palatino Linotype" w:eastAsia="Palatino Linotype" w:hAnsi="Palatino Linotype" w:cs="Palatino Linotype"/>
          <w:color w:val="000000"/>
          <w:sz w:val="22"/>
          <w:szCs w:val="22"/>
          <w:u w:val="single"/>
        </w:rPr>
        <w:t>información de carácter público que se genera o está en posesión de los órganos del poder público</w:t>
      </w:r>
      <w:r w:rsidRPr="007955F3">
        <w:rPr>
          <w:rFonts w:ascii="Palatino Linotype" w:eastAsia="Palatino Linotype" w:hAnsi="Palatino Linotype" w:cs="Palatino Linotype"/>
          <w:color w:val="000000"/>
          <w:sz w:val="22"/>
          <w:szCs w:val="22"/>
        </w:rPr>
        <w:t xml:space="preserve"> o de los sujetos que utilizan o se benefician con recursos provenientes del Estado, es el derecho que tienen los ciudadanos para acceder a documentos y datos que obren en el poder del gobierno.</w:t>
      </w:r>
    </w:p>
    <w:p w14:paraId="55BDF5B1" w14:textId="77777777" w:rsidR="00F47683" w:rsidRPr="007955F3" w:rsidRDefault="00F47683">
      <w:pPr>
        <w:spacing w:line="360" w:lineRule="auto"/>
        <w:rPr>
          <w:color w:val="000000"/>
          <w:sz w:val="22"/>
          <w:szCs w:val="22"/>
        </w:rPr>
      </w:pPr>
    </w:p>
    <w:p w14:paraId="73875B71" w14:textId="77777777" w:rsidR="00F47683" w:rsidRPr="007955F3" w:rsidRDefault="00550645">
      <w:pPr>
        <w:pBdr>
          <w:top w:val="nil"/>
          <w:left w:val="nil"/>
          <w:bottom w:val="nil"/>
          <w:right w:val="nil"/>
          <w:between w:val="nil"/>
        </w:pBdr>
        <w:spacing w:line="360" w:lineRule="auto"/>
        <w:ind w:right="99"/>
        <w:jc w:val="both"/>
        <w:rPr>
          <w:color w:val="000000"/>
          <w:sz w:val="22"/>
          <w:szCs w:val="22"/>
        </w:rPr>
      </w:pPr>
      <w:r w:rsidRPr="007955F3">
        <w:rPr>
          <w:rFonts w:ascii="Palatino Linotype" w:eastAsia="Palatino Linotype" w:hAnsi="Palatino Linotype" w:cs="Palatino Linotype"/>
          <w:color w:val="000000"/>
          <w:sz w:val="22"/>
          <w:szCs w:val="22"/>
        </w:rPr>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w:t>
      </w:r>
      <w:r w:rsidRPr="007955F3">
        <w:rPr>
          <w:rFonts w:ascii="Palatino Linotype" w:eastAsia="Palatino Linotype" w:hAnsi="Palatino Linotype" w:cs="Palatino Linotype"/>
          <w:color w:val="000000"/>
          <w:sz w:val="22"/>
          <w:szCs w:val="22"/>
        </w:rPr>
        <w:lastRenderedPageBreak/>
        <w:t>cumplen funciones de autoridad, con las excepciones taxativas que establezca la ley en una sociedad democrática.</w:t>
      </w:r>
    </w:p>
    <w:p w14:paraId="2ACBFD95" w14:textId="77777777" w:rsidR="00F47683" w:rsidRPr="007955F3" w:rsidRDefault="00F47683">
      <w:pPr>
        <w:spacing w:line="360" w:lineRule="auto"/>
        <w:rPr>
          <w:color w:val="000000"/>
          <w:sz w:val="22"/>
          <w:szCs w:val="22"/>
        </w:rPr>
      </w:pPr>
    </w:p>
    <w:p w14:paraId="6ECBF699"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De lo anterior se puede concluir que la distinción entre el </w:t>
      </w:r>
      <w:r w:rsidRPr="007955F3">
        <w:rPr>
          <w:rFonts w:ascii="Palatino Linotype" w:eastAsia="Palatino Linotype" w:hAnsi="Palatino Linotype" w:cs="Palatino Linotype"/>
          <w:b/>
          <w:color w:val="000000"/>
          <w:sz w:val="22"/>
          <w:szCs w:val="22"/>
        </w:rPr>
        <w:t>derecho de petición</w:t>
      </w:r>
      <w:r w:rsidRPr="007955F3">
        <w:rPr>
          <w:rFonts w:ascii="Palatino Linotype" w:eastAsia="Palatino Linotype" w:hAnsi="Palatino Linotype" w:cs="Palatino Linotype"/>
          <w:color w:val="000000"/>
          <w:sz w:val="22"/>
          <w:szCs w:val="22"/>
        </w:rPr>
        <w:t xml:space="preserve"> y el derecho de acceso a la información descansa, principalmente, en que </w:t>
      </w:r>
      <w:r w:rsidRPr="007955F3">
        <w:rPr>
          <w:rFonts w:ascii="Palatino Linotype" w:eastAsia="Palatino Linotype" w:hAnsi="Palatino Linotype" w:cs="Palatino Linotype"/>
          <w:color w:val="000000"/>
          <w:sz w:val="22"/>
          <w:szCs w:val="22"/>
          <w:u w:val="single"/>
        </w:rPr>
        <w:t>la pretensión del peticionario consiste generalmente en obligar a la autoridad responsable a que actúe en el sentido de contestar lo solicitado</w:t>
      </w:r>
      <w:r w:rsidRPr="007955F3">
        <w:rPr>
          <w:rFonts w:ascii="Palatino Linotype" w:eastAsia="Palatino Linotype" w:hAnsi="Palatino Linotype" w:cs="Palatino Linotype"/>
          <w:color w:val="000000"/>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1C031A3"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653CFCF9"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No obstante, aún y cuando se trata de un derecho de petición, el Tesorero Municipal dio respuesta al requerimiento del particular y señaló </w:t>
      </w:r>
      <w:r w:rsidRPr="007955F3">
        <w:rPr>
          <w:rFonts w:ascii="Palatino Linotype" w:eastAsia="Palatino Linotype" w:hAnsi="Palatino Linotype" w:cs="Palatino Linotype"/>
          <w:b/>
          <w:color w:val="000000"/>
          <w:sz w:val="22"/>
          <w:szCs w:val="22"/>
        </w:rPr>
        <w:t xml:space="preserve">que se efectuó el pago en efectivo de la nómina debido al cambio de banco, así como a la instalación de un cajero. </w:t>
      </w:r>
      <w:r w:rsidRPr="007955F3">
        <w:rPr>
          <w:rFonts w:ascii="Palatino Linotype" w:eastAsia="Palatino Linotype" w:hAnsi="Palatino Linotype" w:cs="Palatino Linotype"/>
          <w:color w:val="000000"/>
          <w:sz w:val="22"/>
          <w:szCs w:val="22"/>
        </w:rPr>
        <w:t>El pronunciamiento del Tesorero Municipal atiende el requerimiento del particular, aún y cuando no constituye un derecho de acceso a la información pública.</w:t>
      </w:r>
    </w:p>
    <w:p w14:paraId="6FC1D696"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7A523B8A"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Entonces, sobre este primer requerimiento, contrario a lo que refirió el Particular, el Sujeto Obligado si dio respuesta al punto identificado con el numeral 1, tal y como se ha establecido en líneas anteriores, atendiendo el cuestionamiento formulado por el Recurrente.</w:t>
      </w:r>
    </w:p>
    <w:p w14:paraId="3FC3117F"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3983126C"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Ahora bien, respecto al segundo requerimiento, el particular solicitó los recibos de pago de servidores públicos recibos correspondientes a las primera y segunda quincena de enero.</w:t>
      </w:r>
    </w:p>
    <w:p w14:paraId="7466988A"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1EF6E823"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Al respecto, el Sujeto Obligado a través del Tesorero Municipal remitió:</w:t>
      </w:r>
    </w:p>
    <w:p w14:paraId="01343FE4"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4C83B1A5" w14:textId="77777777" w:rsidR="00F47683" w:rsidRPr="007955F3" w:rsidRDefault="0055064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lastRenderedPageBreak/>
        <w:t>Trescientos cuarenta y dos recibos de nómina de la primera quincena del mes de enero de dos mil veinticinco; y</w:t>
      </w:r>
    </w:p>
    <w:p w14:paraId="7342DA09" w14:textId="77777777" w:rsidR="00F47683" w:rsidRPr="007955F3" w:rsidRDefault="00550645">
      <w:pPr>
        <w:numPr>
          <w:ilvl w:val="0"/>
          <w:numId w:val="3"/>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Trescientos setenta y ocho recibos de nómina de la segunda quincena del mes de enero de dos mil veinticinco.</w:t>
      </w:r>
    </w:p>
    <w:p w14:paraId="66B3816E"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Se inserta imagen de referencia:</w:t>
      </w:r>
    </w:p>
    <w:p w14:paraId="0F794409" w14:textId="77777777" w:rsidR="00F47683" w:rsidRPr="007955F3" w:rsidRDefault="00550645">
      <w:pPr>
        <w:spacing w:after="240" w:line="360" w:lineRule="auto"/>
        <w:ind w:right="49"/>
        <w:jc w:val="center"/>
        <w:rPr>
          <w:rFonts w:ascii="Palatino Linotype" w:eastAsia="Palatino Linotype" w:hAnsi="Palatino Linotype" w:cs="Palatino Linotype"/>
          <w:sz w:val="22"/>
          <w:szCs w:val="22"/>
        </w:rPr>
      </w:pPr>
      <w:r w:rsidRPr="007955F3">
        <w:rPr>
          <w:rFonts w:ascii="Palatino Linotype" w:eastAsia="Palatino Linotype" w:hAnsi="Palatino Linotype" w:cs="Palatino Linotype"/>
          <w:noProof/>
          <w:sz w:val="22"/>
          <w:szCs w:val="22"/>
          <w:lang w:val="es-MX"/>
        </w:rPr>
        <w:drawing>
          <wp:inline distT="0" distB="0" distL="0" distR="0" wp14:anchorId="02407376" wp14:editId="7D9A24C5">
            <wp:extent cx="5196295" cy="5693111"/>
            <wp:effectExtent l="0" t="0" r="0" b="0"/>
            <wp:docPr id="2047654972" name="image2.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10;&#10;El contenido generado por IA puede ser incorrecto."/>
                    <pic:cNvPicPr preferRelativeResize="0"/>
                  </pic:nvPicPr>
                  <pic:blipFill>
                    <a:blip r:embed="rId8"/>
                    <a:srcRect/>
                    <a:stretch>
                      <a:fillRect/>
                    </a:stretch>
                  </pic:blipFill>
                  <pic:spPr>
                    <a:xfrm>
                      <a:off x="0" y="0"/>
                      <a:ext cx="5196295" cy="5693111"/>
                    </a:xfrm>
                    <a:prstGeom prst="rect">
                      <a:avLst/>
                    </a:prstGeom>
                    <a:ln/>
                  </pic:spPr>
                </pic:pic>
              </a:graphicData>
            </a:graphic>
          </wp:inline>
        </w:drawing>
      </w:r>
    </w:p>
    <w:p w14:paraId="3A33D666"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noProof/>
          <w:sz w:val="22"/>
          <w:szCs w:val="22"/>
          <w:lang w:val="es-MX"/>
        </w:rPr>
        <w:lastRenderedPageBreak/>
        <w:drawing>
          <wp:inline distT="0" distB="0" distL="0" distR="0" wp14:anchorId="1D818E89" wp14:editId="0E45D6A5">
            <wp:extent cx="5612130" cy="6010275"/>
            <wp:effectExtent l="0" t="0" r="0" b="0"/>
            <wp:docPr id="2047654974" name="image4.png" descr="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10;&#10;El contenido generado por IA puede ser incorrecto."/>
                    <pic:cNvPicPr preferRelativeResize="0"/>
                  </pic:nvPicPr>
                  <pic:blipFill>
                    <a:blip r:embed="rId9"/>
                    <a:srcRect/>
                    <a:stretch>
                      <a:fillRect/>
                    </a:stretch>
                  </pic:blipFill>
                  <pic:spPr>
                    <a:xfrm>
                      <a:off x="0" y="0"/>
                      <a:ext cx="5612130" cy="6010275"/>
                    </a:xfrm>
                    <a:prstGeom prst="rect">
                      <a:avLst/>
                    </a:prstGeom>
                    <a:ln/>
                  </pic:spPr>
                </pic:pic>
              </a:graphicData>
            </a:graphic>
          </wp:inline>
        </w:drawing>
      </w:r>
    </w:p>
    <w:p w14:paraId="71B4EBAE"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Tal y como se aprecia, el Sujeto Obligado remitió recibos de nómina correspondientes a la primera y segunda quincena de enero de dos mil veinticinco, es decir, existió un pronunciamiento del Servidor Público Habilitado competente a efecto de atender el requerimiento del particular, proporcionando los recibos de nómina de servidores públicos adscritos al Ayuntamiento.</w:t>
      </w:r>
    </w:p>
    <w:p w14:paraId="44C2703E"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7258C214"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Es necesario precisar que el agravio del particular es en relación con la falta de respuesta al requerimiento, sin embargo, tal y como se ha demostrado, el Sujeto Obligado si dio respuesta a tal requerimiento, entregando los recibos de nómina de los servidores públicos del Ayuntamiento.</w:t>
      </w:r>
    </w:p>
    <w:p w14:paraId="521A6503"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59A205B8"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Primeramente, al analizar las documentales proporcionadas en respuesta, este Organismo Garante determina que los recibos de nómina se proporcionaron en versión pública sin que medie el acuerdo de clasificación emitido por el Comité de Transparencia.</w:t>
      </w:r>
    </w:p>
    <w:p w14:paraId="37C257AF" w14:textId="77777777" w:rsidR="00F47683" w:rsidRPr="007955F3" w:rsidRDefault="00550645">
      <w:pPr>
        <w:spacing w:before="240" w:after="240" w:line="360" w:lineRule="auto"/>
        <w:ind w:right="5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Es necesario mencionar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5AAA75F" w14:textId="77777777" w:rsidR="00F47683" w:rsidRPr="007955F3" w:rsidRDefault="00550645">
      <w:pPr>
        <w:ind w:left="851"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“Artículo 91. </w:t>
      </w:r>
      <w:r w:rsidRPr="007955F3">
        <w:rPr>
          <w:rFonts w:ascii="Palatino Linotype" w:eastAsia="Palatino Linotype" w:hAnsi="Palatino Linotype" w:cs="Palatino Linotype"/>
          <w:i/>
          <w:sz w:val="22"/>
          <w:szCs w:val="22"/>
        </w:rPr>
        <w:t xml:space="preserve">El acceso a la información pública será </w:t>
      </w:r>
      <w:proofErr w:type="gramStart"/>
      <w:r w:rsidRPr="007955F3">
        <w:rPr>
          <w:rFonts w:ascii="Palatino Linotype" w:eastAsia="Palatino Linotype" w:hAnsi="Palatino Linotype" w:cs="Palatino Linotype"/>
          <w:i/>
          <w:sz w:val="22"/>
          <w:szCs w:val="22"/>
        </w:rPr>
        <w:t>restringido  excepcionalmente</w:t>
      </w:r>
      <w:proofErr w:type="gramEnd"/>
      <w:r w:rsidRPr="007955F3">
        <w:rPr>
          <w:rFonts w:ascii="Palatino Linotype" w:eastAsia="Palatino Linotype" w:hAnsi="Palatino Linotype" w:cs="Palatino Linotype"/>
          <w:i/>
          <w:sz w:val="22"/>
          <w:szCs w:val="22"/>
        </w:rPr>
        <w:t>, cuando ésta sea clasificada como reservada o confidencial.”</w:t>
      </w:r>
    </w:p>
    <w:p w14:paraId="6EE3B655" w14:textId="77777777" w:rsidR="00F47683" w:rsidRPr="007955F3" w:rsidRDefault="00F47683">
      <w:pPr>
        <w:ind w:left="851" w:right="900"/>
        <w:jc w:val="both"/>
        <w:rPr>
          <w:rFonts w:ascii="Palatino Linotype" w:eastAsia="Palatino Linotype" w:hAnsi="Palatino Linotype" w:cs="Palatino Linotype"/>
          <w:i/>
          <w:sz w:val="22"/>
          <w:szCs w:val="22"/>
        </w:rPr>
      </w:pPr>
    </w:p>
    <w:p w14:paraId="30D6DE61"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1E00B0"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De manera que, la Ley de Transparencia y Acceso a la Información Pública del Estado de México y Municipios, en su artículo 143 prevé los siguientes supuestos para clasificar la información como confidencial:</w:t>
      </w:r>
    </w:p>
    <w:p w14:paraId="200D246D" w14:textId="77777777" w:rsidR="00F47683" w:rsidRPr="007955F3" w:rsidRDefault="00550645">
      <w:pPr>
        <w:spacing w:before="120" w:after="120"/>
        <w:ind w:left="851"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Artículo 143. </w:t>
      </w:r>
      <w:r w:rsidRPr="007955F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33B1DD3" w14:textId="77777777" w:rsidR="00F47683" w:rsidRPr="007955F3" w:rsidRDefault="00550645">
      <w:pPr>
        <w:spacing w:before="120" w:after="120"/>
        <w:ind w:left="1134"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I. </w:t>
      </w:r>
      <w:r w:rsidRPr="007955F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DF3F247" w14:textId="77777777" w:rsidR="00F47683" w:rsidRPr="007955F3" w:rsidRDefault="00550645">
      <w:pPr>
        <w:spacing w:before="120" w:after="120"/>
        <w:ind w:left="1134"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II. </w:t>
      </w:r>
      <w:r w:rsidRPr="007955F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2A28AB4" w14:textId="77777777" w:rsidR="00F47683" w:rsidRPr="007955F3" w:rsidRDefault="00550645">
      <w:pPr>
        <w:spacing w:before="120" w:after="120"/>
        <w:ind w:left="1134"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 xml:space="preserve">III. </w:t>
      </w:r>
      <w:r w:rsidRPr="007955F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0AFC714" w14:textId="77777777" w:rsidR="00F47683" w:rsidRPr="007955F3" w:rsidRDefault="00550645">
      <w:pPr>
        <w:spacing w:before="120" w:after="120"/>
        <w:ind w:left="851"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274F9C4" w14:textId="77777777" w:rsidR="00F47683" w:rsidRPr="007955F3" w:rsidRDefault="00550645">
      <w:pPr>
        <w:spacing w:before="120" w:after="120"/>
        <w:ind w:left="70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C9EDA8E"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5332C76" w14:textId="77777777" w:rsidR="00F47683" w:rsidRPr="007955F3" w:rsidRDefault="00550645">
      <w:pPr>
        <w:numPr>
          <w:ilvl w:val="0"/>
          <w:numId w:val="7"/>
        </w:numPr>
        <w:tabs>
          <w:tab w:val="left" w:pos="851"/>
        </w:tabs>
        <w:spacing w:before="280" w:line="360" w:lineRule="auto"/>
        <w:ind w:left="567" w:firstLine="0"/>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Se reciba una solicitud de acceso a la información;</w:t>
      </w:r>
    </w:p>
    <w:p w14:paraId="573D9185" w14:textId="77777777" w:rsidR="00F47683" w:rsidRPr="007955F3" w:rsidRDefault="00550645">
      <w:pPr>
        <w:numPr>
          <w:ilvl w:val="0"/>
          <w:numId w:val="7"/>
        </w:numPr>
        <w:tabs>
          <w:tab w:val="left" w:pos="851"/>
        </w:tabs>
        <w:spacing w:line="360" w:lineRule="auto"/>
        <w:ind w:left="567" w:firstLine="0"/>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Se determine mediante resolución de autoridad competente; y/o</w:t>
      </w:r>
    </w:p>
    <w:p w14:paraId="70046F4F" w14:textId="77777777" w:rsidR="00F47683" w:rsidRPr="007955F3" w:rsidRDefault="00550645">
      <w:pPr>
        <w:numPr>
          <w:ilvl w:val="0"/>
          <w:numId w:val="7"/>
        </w:numPr>
        <w:tabs>
          <w:tab w:val="left" w:pos="851"/>
        </w:tabs>
        <w:spacing w:after="280" w:line="360" w:lineRule="auto"/>
        <w:ind w:left="567" w:firstLine="0"/>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Se generen versiones públicas para dar cumplimiento a las obligaciones de transparencia previstas en la Ley.</w:t>
      </w:r>
    </w:p>
    <w:p w14:paraId="752F1B4A"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Por cuando hace a la elaboración de versiones públicas, debe considerarse que dentro de los datos personales que pudieran contenerse se destacan los datos personales sensibles, los </w:t>
      </w:r>
      <w:r w:rsidRPr="007955F3">
        <w:rPr>
          <w:rFonts w:ascii="Palatino Linotype" w:eastAsia="Palatino Linotype" w:hAnsi="Palatino Linotype" w:cs="Palatino Linotype"/>
          <w:sz w:val="22"/>
          <w:szCs w:val="22"/>
        </w:rPr>
        <w:lastRenderedPageBreak/>
        <w:t>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w:t>
      </w:r>
      <w:r w:rsidRPr="007955F3">
        <w:rPr>
          <w:rFonts w:ascii="Palatino Linotype" w:eastAsia="Palatino Linotype" w:hAnsi="Palatino Linotype" w:cs="Palatino Linotype"/>
          <w:sz w:val="22"/>
          <w:szCs w:val="22"/>
          <w:vertAlign w:val="superscript"/>
        </w:rPr>
        <w:footnoteReference w:id="1"/>
      </w:r>
      <w:r w:rsidRPr="007955F3">
        <w:rPr>
          <w:rFonts w:ascii="Palatino Linotype" w:eastAsia="Palatino Linotype" w:hAnsi="Palatino Linotype" w:cs="Palatino Linotype"/>
          <w:sz w:val="22"/>
          <w:szCs w:val="22"/>
        </w:rPr>
        <w:t>, fracción XII de la Ley de Protección de Datos Personales en Posesión de Sujetos Obligados del Estado de México y Municipios.</w:t>
      </w:r>
    </w:p>
    <w:p w14:paraId="2B36CDCF" w14:textId="77777777" w:rsidR="00F47683" w:rsidRPr="007955F3" w:rsidRDefault="00550645">
      <w:pPr>
        <w:spacing w:before="280" w:after="280" w:line="360" w:lineRule="auto"/>
        <w:ind w:right="51"/>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De igual forma, es de precisar que la clasificación de la información no se da por el simple mandato de la Ley, sino que es necesario que 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se presente ante al Comité de Transparencia de así resultar procedente el proyecto de clasificación de la información y que finalmente sea éste último quien apruebe, modifique o revoque la misma, como se desprende de los artículos 59 fracción V, 53 fracción X, y 49 fracciones II y VIII de la Ley de Transparencia y Acceso a la Información Pública del Estado de México y Municipios, a saber:</w:t>
      </w:r>
    </w:p>
    <w:p w14:paraId="708255A3" w14:textId="77777777" w:rsidR="00F47683" w:rsidRPr="007955F3" w:rsidRDefault="00550645">
      <w:pPr>
        <w:pBdr>
          <w:top w:val="nil"/>
          <w:left w:val="nil"/>
          <w:bottom w:val="nil"/>
          <w:right w:val="nil"/>
          <w:between w:val="nil"/>
        </w:pBdr>
        <w:spacing w:before="120" w:after="120"/>
        <w:ind w:left="851"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b/>
          <w:i/>
          <w:color w:val="000000"/>
          <w:sz w:val="22"/>
          <w:szCs w:val="22"/>
        </w:rPr>
        <w:t>Artículo 59</w:t>
      </w:r>
      <w:r w:rsidRPr="007955F3">
        <w:rPr>
          <w:rFonts w:ascii="Palatino Linotype" w:eastAsia="Palatino Linotype" w:hAnsi="Palatino Linotype" w:cs="Palatino Linotype"/>
          <w:i/>
          <w:color w:val="000000"/>
          <w:sz w:val="22"/>
          <w:szCs w:val="22"/>
        </w:rPr>
        <w:t>. Los servidores públicos habilitados tendrán las funciones siguientes:</w:t>
      </w:r>
    </w:p>
    <w:p w14:paraId="531C4D71"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p>
    <w:p w14:paraId="7FD3D25F"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lastRenderedPageBreak/>
        <w:t>V.</w:t>
      </w:r>
      <w:r w:rsidRPr="007955F3">
        <w:rPr>
          <w:rFonts w:ascii="Palatino Linotype" w:eastAsia="Palatino Linotype" w:hAnsi="Palatino Linotype" w:cs="Palatino Linotype"/>
          <w:i/>
          <w:color w:val="000000"/>
          <w:sz w:val="22"/>
          <w:szCs w:val="22"/>
        </w:rPr>
        <w:t xml:space="preserve"> Integrar y presentar al responsable de la Unidad de Transparencia la propuesta de clasificación de información, la cual tendrá los fundamentos y argumentos en que se basa dicha propuesta;</w:t>
      </w:r>
    </w:p>
    <w:p w14:paraId="7C3A7D0C" w14:textId="77777777" w:rsidR="00F47683" w:rsidRPr="007955F3" w:rsidRDefault="00550645">
      <w:pPr>
        <w:pBdr>
          <w:top w:val="nil"/>
          <w:left w:val="nil"/>
          <w:bottom w:val="nil"/>
          <w:right w:val="nil"/>
          <w:between w:val="nil"/>
        </w:pBdr>
        <w:spacing w:before="120" w:after="120"/>
        <w:ind w:left="851"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p>
    <w:p w14:paraId="6ADC1CFC" w14:textId="77777777" w:rsidR="00F47683" w:rsidRPr="007955F3" w:rsidRDefault="00550645">
      <w:pPr>
        <w:pBdr>
          <w:top w:val="nil"/>
          <w:left w:val="nil"/>
          <w:bottom w:val="nil"/>
          <w:right w:val="nil"/>
          <w:between w:val="nil"/>
        </w:pBdr>
        <w:spacing w:before="120" w:after="120"/>
        <w:ind w:left="851"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Artículo 53</w:t>
      </w:r>
      <w:r w:rsidRPr="007955F3">
        <w:rPr>
          <w:rFonts w:ascii="Palatino Linotype" w:eastAsia="Palatino Linotype" w:hAnsi="Palatino Linotype" w:cs="Palatino Linotype"/>
          <w:i/>
          <w:color w:val="000000"/>
          <w:sz w:val="22"/>
          <w:szCs w:val="22"/>
        </w:rPr>
        <w:t>. Las Unidades de Transparencia tendrán las siguientes funciones:</w:t>
      </w:r>
    </w:p>
    <w:p w14:paraId="1950D17B"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p>
    <w:p w14:paraId="4C811EBE"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X.</w:t>
      </w:r>
      <w:r w:rsidRPr="007955F3">
        <w:rPr>
          <w:rFonts w:ascii="Palatino Linotype" w:eastAsia="Palatino Linotype" w:hAnsi="Palatino Linotype" w:cs="Palatino Linotype"/>
          <w:i/>
          <w:color w:val="000000"/>
          <w:sz w:val="22"/>
          <w:szCs w:val="22"/>
        </w:rPr>
        <w:t xml:space="preserve"> Presentar ante el Comité, el proyecto de clasificación de información;</w:t>
      </w:r>
    </w:p>
    <w:p w14:paraId="10854EAB" w14:textId="77777777" w:rsidR="00F47683" w:rsidRPr="007955F3" w:rsidRDefault="00550645">
      <w:pPr>
        <w:pBdr>
          <w:top w:val="nil"/>
          <w:left w:val="nil"/>
          <w:bottom w:val="nil"/>
          <w:right w:val="nil"/>
          <w:between w:val="nil"/>
        </w:pBdr>
        <w:spacing w:before="120" w:after="120"/>
        <w:ind w:left="851"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Artículo 49</w:t>
      </w:r>
      <w:r w:rsidRPr="007955F3">
        <w:rPr>
          <w:rFonts w:ascii="Palatino Linotype" w:eastAsia="Palatino Linotype" w:hAnsi="Palatino Linotype" w:cs="Palatino Linotype"/>
          <w:i/>
          <w:color w:val="000000"/>
          <w:sz w:val="22"/>
          <w:szCs w:val="22"/>
        </w:rPr>
        <w:t>. Los Comités de Transparencia tendrán las siguientes atribuciones:</w:t>
      </w:r>
    </w:p>
    <w:p w14:paraId="6527C252"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p>
    <w:p w14:paraId="4156B994"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II.</w:t>
      </w:r>
      <w:r w:rsidRPr="007955F3">
        <w:rPr>
          <w:rFonts w:ascii="Palatino Linotype" w:eastAsia="Palatino Linotype" w:hAnsi="Palatino Linotype" w:cs="Palatino Linotype"/>
          <w:i/>
          <w:color w:val="000000"/>
          <w:sz w:val="22"/>
          <w:szCs w:val="22"/>
        </w:rPr>
        <w:t xml:space="preserve"> Confirmar, modificar o revocar las determinaciones </w:t>
      </w:r>
      <w:proofErr w:type="gramStart"/>
      <w:r w:rsidRPr="007955F3">
        <w:rPr>
          <w:rFonts w:ascii="Palatino Linotype" w:eastAsia="Palatino Linotype" w:hAnsi="Palatino Linotype" w:cs="Palatino Linotype"/>
          <w:i/>
          <w:color w:val="000000"/>
          <w:sz w:val="22"/>
          <w:szCs w:val="22"/>
        </w:rPr>
        <w:t>que</w:t>
      </w:r>
      <w:proofErr w:type="gramEnd"/>
      <w:r w:rsidRPr="007955F3">
        <w:rPr>
          <w:rFonts w:ascii="Palatino Linotype" w:eastAsia="Palatino Linotype" w:hAnsi="Palatino Linotype" w:cs="Palatino Linotype"/>
          <w:i/>
          <w:color w:val="000000"/>
          <w:sz w:val="22"/>
          <w:szCs w:val="22"/>
        </w:rPr>
        <w:t xml:space="preserve"> en materia de ampliación del plazo de respuesta, clasificación de la información y declaración de inexistencia o de incompetencia realicen los titulares de las áreas de los sujetos obligados;</w:t>
      </w:r>
    </w:p>
    <w:p w14:paraId="371A2AEC"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w:t>
      </w:r>
    </w:p>
    <w:p w14:paraId="01ED7681" w14:textId="77777777" w:rsidR="00F47683" w:rsidRPr="007955F3" w:rsidRDefault="00550645">
      <w:pPr>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b/>
          <w:i/>
          <w:color w:val="000000"/>
          <w:sz w:val="22"/>
          <w:szCs w:val="22"/>
        </w:rPr>
        <w:t>VIII</w:t>
      </w:r>
      <w:r w:rsidRPr="007955F3">
        <w:rPr>
          <w:rFonts w:ascii="Palatino Linotype" w:eastAsia="Palatino Linotype" w:hAnsi="Palatino Linotype" w:cs="Palatino Linotype"/>
          <w:i/>
          <w:color w:val="000000"/>
          <w:sz w:val="22"/>
          <w:szCs w:val="22"/>
        </w:rPr>
        <w:t>. Aprobar, modificar o revocar la clasificación de la información;”</w:t>
      </w:r>
    </w:p>
    <w:p w14:paraId="0DE7F361"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bookmarkStart w:id="4" w:name="_heading=h.mchylseq09tw" w:colFirst="0" w:colLast="0"/>
      <w:bookmarkEnd w:id="4"/>
      <w:r w:rsidRPr="007955F3">
        <w:rPr>
          <w:rFonts w:ascii="Palatino Linotype" w:eastAsia="Palatino Linotype" w:hAnsi="Palatino Linotype" w:cs="Palatino Linotype"/>
          <w:sz w:val="22"/>
          <w:szCs w:val="22"/>
        </w:rPr>
        <w:t>Ahora bien, en el caso que nos ocupa, como se advierte de las constancias que obran en el expediente en el que se actúa, la servidora pública habilitada entregó diversos recibos de nómina donde se testaron datos personales, sin que se proporcionara el acuerdo del Comité de Transparencia, incumpliendo así con lo previsto en el artículo 168 de la Ley de la Materia, a saber:</w:t>
      </w:r>
    </w:p>
    <w:p w14:paraId="167092C8" w14:textId="77777777" w:rsidR="00F47683" w:rsidRPr="007955F3" w:rsidRDefault="00550645">
      <w:pPr>
        <w:spacing w:before="120" w:after="120"/>
        <w:ind w:left="851"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b/>
          <w:i/>
          <w:sz w:val="22"/>
          <w:szCs w:val="22"/>
        </w:rPr>
        <w:t>Artículo 168</w:t>
      </w:r>
      <w:r w:rsidRPr="007955F3">
        <w:rPr>
          <w:rFonts w:ascii="Palatino Linotype" w:eastAsia="Palatino Linotype" w:hAnsi="Palatino Linotype" w:cs="Palatino Linotype"/>
          <w:i/>
          <w:sz w:val="22"/>
          <w:szCs w:val="22"/>
        </w:rPr>
        <w:t xml:space="preserve">. En caso de que los sujetos obligados consideren que los documentos o la información deban ser clasificados, se sujetará a lo siguiente: </w:t>
      </w:r>
    </w:p>
    <w:p w14:paraId="77BBB228" w14:textId="77777777" w:rsidR="00F47683" w:rsidRPr="007955F3" w:rsidRDefault="00550645">
      <w:pPr>
        <w:spacing w:before="120" w:after="120"/>
        <w:ind w:left="1134"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I.</w:t>
      </w:r>
      <w:r w:rsidRPr="007955F3">
        <w:rPr>
          <w:rFonts w:ascii="Palatino Linotype" w:eastAsia="Palatino Linotype" w:hAnsi="Palatino Linotype" w:cs="Palatino Linotype"/>
          <w:i/>
          <w:sz w:val="22"/>
          <w:szCs w:val="22"/>
        </w:rPr>
        <w:t xml:space="preserve"> El Área deberá remitir la solicitud, así como un escrito en el que funde y motive la clasificación al Comité de Transparencia, mismo que deberá resolver para:</w:t>
      </w:r>
    </w:p>
    <w:p w14:paraId="76AEAEE0" w14:textId="77777777" w:rsidR="00F47683" w:rsidRPr="007955F3" w:rsidRDefault="00550645">
      <w:pPr>
        <w:spacing w:before="120" w:after="120"/>
        <w:ind w:left="1418"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w:t>
      </w:r>
      <w:r w:rsidRPr="007955F3">
        <w:rPr>
          <w:rFonts w:ascii="Palatino Linotype" w:eastAsia="Palatino Linotype" w:hAnsi="Palatino Linotype" w:cs="Palatino Linotype"/>
          <w:i/>
          <w:sz w:val="22"/>
          <w:szCs w:val="22"/>
        </w:rPr>
        <w:t xml:space="preserve"> Confirmar la clasificación; </w:t>
      </w:r>
    </w:p>
    <w:p w14:paraId="2677BB71" w14:textId="77777777" w:rsidR="00F47683" w:rsidRPr="007955F3" w:rsidRDefault="00550645">
      <w:pPr>
        <w:spacing w:before="120" w:after="120"/>
        <w:ind w:left="1418"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b)</w:t>
      </w:r>
      <w:r w:rsidRPr="007955F3">
        <w:rPr>
          <w:rFonts w:ascii="Palatino Linotype" w:eastAsia="Palatino Linotype" w:hAnsi="Palatino Linotype" w:cs="Palatino Linotype"/>
          <w:i/>
          <w:sz w:val="22"/>
          <w:szCs w:val="22"/>
        </w:rPr>
        <w:t xml:space="preserve"> Modificar. la clasificación y otorgar total o parcialmente el acceso a la información; y </w:t>
      </w:r>
    </w:p>
    <w:p w14:paraId="5A5E9F76" w14:textId="77777777" w:rsidR="00F47683" w:rsidRPr="007955F3" w:rsidRDefault="00550645">
      <w:pPr>
        <w:spacing w:before="120" w:after="120"/>
        <w:ind w:left="1418"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c)</w:t>
      </w:r>
      <w:r w:rsidRPr="007955F3">
        <w:rPr>
          <w:rFonts w:ascii="Palatino Linotype" w:eastAsia="Palatino Linotype" w:hAnsi="Palatino Linotype" w:cs="Palatino Linotype"/>
          <w:i/>
          <w:sz w:val="22"/>
          <w:szCs w:val="22"/>
        </w:rPr>
        <w:t xml:space="preserve"> Revocar la clasificación y conceder el acceso a la información. </w:t>
      </w:r>
    </w:p>
    <w:p w14:paraId="7B1861A8" w14:textId="77777777" w:rsidR="00F47683" w:rsidRPr="007955F3" w:rsidRDefault="00550645">
      <w:pPr>
        <w:spacing w:before="120" w:after="120"/>
        <w:ind w:left="1134"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lastRenderedPageBreak/>
        <w:t>II</w:t>
      </w:r>
      <w:r w:rsidRPr="007955F3">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 </w:t>
      </w:r>
    </w:p>
    <w:p w14:paraId="71676A88" w14:textId="77777777" w:rsidR="00F47683" w:rsidRPr="007955F3" w:rsidRDefault="00550645">
      <w:pPr>
        <w:spacing w:before="120" w:after="120"/>
        <w:ind w:left="1134" w:right="902"/>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III</w:t>
      </w:r>
      <w:r w:rsidRPr="007955F3">
        <w:rPr>
          <w:rFonts w:ascii="Palatino Linotype" w:eastAsia="Palatino Linotype" w:hAnsi="Palatino Linotype" w:cs="Palatino Linotype"/>
          <w:i/>
          <w:sz w:val="22"/>
          <w:szCs w:val="22"/>
        </w:rPr>
        <w:t xml:space="preserve">. </w:t>
      </w:r>
      <w:r w:rsidRPr="007955F3">
        <w:rPr>
          <w:rFonts w:ascii="Palatino Linotype" w:eastAsia="Palatino Linotype" w:hAnsi="Palatino Linotype" w:cs="Palatino Linotype"/>
          <w:b/>
          <w:i/>
          <w:sz w:val="22"/>
          <w:szCs w:val="22"/>
        </w:rPr>
        <w:t>La resolución del Comité de Transparencia será notificada al interesado en el plazo de respuesta a la solicitud que establece esta Ley</w:t>
      </w:r>
      <w:r w:rsidRPr="007955F3">
        <w:rPr>
          <w:rFonts w:ascii="Palatino Linotype" w:eastAsia="Palatino Linotype" w:hAnsi="Palatino Linotype" w:cs="Palatino Linotype"/>
          <w:i/>
          <w:sz w:val="22"/>
          <w:szCs w:val="22"/>
        </w:rPr>
        <w:t>.”</w:t>
      </w:r>
    </w:p>
    <w:p w14:paraId="276ED107" w14:textId="77777777" w:rsidR="00F47683" w:rsidRPr="007955F3" w:rsidRDefault="00550645">
      <w:pPr>
        <w:spacing w:before="280" w:after="28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Bajo lo previo, es evidente que el derecho de acceso a la información no se atiende por al no proporcionar el acuerdo del Comité de Transparencia en el que se expongan los fundamentos y razonamientos que llevaron al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a testar, suprimir o eliminar datos del soporte documental entregado, este no es legal ni formalmente una versión pública, sino más bien una documentación ilegible, incompleta o tachada; toda vez que no señalar las razones por las que no se aprecian determinados datos -ya sea porque se testan o suprimen- deja al solicitante en estado de incertidumbre, al no conocer o comprender porque no aparecen en la documentación respectiva, es decir, al no exponer de manera puntual las razones de ello, se violenta su derecho de acceso a la información, por lo que es indispensable que el acuerdo respectivo, se haga del conocimiento de la parte </w:t>
      </w:r>
      <w:r w:rsidRPr="007955F3">
        <w:rPr>
          <w:rFonts w:ascii="Palatino Linotype" w:eastAsia="Palatino Linotype" w:hAnsi="Palatino Linotype" w:cs="Palatino Linotype"/>
          <w:b/>
          <w:sz w:val="22"/>
          <w:szCs w:val="22"/>
        </w:rPr>
        <w:t>Recurrente</w:t>
      </w:r>
      <w:r w:rsidRPr="007955F3">
        <w:rPr>
          <w:rFonts w:ascii="Palatino Linotype" w:eastAsia="Palatino Linotype" w:hAnsi="Palatino Linotype" w:cs="Palatino Linotype"/>
          <w:sz w:val="22"/>
          <w:szCs w:val="22"/>
        </w:rPr>
        <w:t>.</w:t>
      </w:r>
    </w:p>
    <w:p w14:paraId="6155C97D"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331FB958"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Además, es necesario precisar que los recibos de nómina se integran de los siguientes elementos: </w:t>
      </w:r>
    </w:p>
    <w:p w14:paraId="63164540"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686B91BF"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Registro Federal de Contribuyentes (RFC);</w:t>
      </w:r>
    </w:p>
    <w:p w14:paraId="01C34301"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CURP;</w:t>
      </w:r>
    </w:p>
    <w:p w14:paraId="3AEE1F15"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roofErr w:type="gramStart"/>
      <w:r w:rsidRPr="007955F3">
        <w:rPr>
          <w:rFonts w:ascii="Palatino Linotype" w:eastAsia="Palatino Linotype" w:hAnsi="Palatino Linotype" w:cs="Palatino Linotype"/>
          <w:color w:val="000000"/>
          <w:sz w:val="22"/>
          <w:szCs w:val="22"/>
        </w:rPr>
        <w:t>Total</w:t>
      </w:r>
      <w:proofErr w:type="gramEnd"/>
      <w:r w:rsidRPr="007955F3">
        <w:rPr>
          <w:rFonts w:ascii="Palatino Linotype" w:eastAsia="Palatino Linotype" w:hAnsi="Palatino Linotype" w:cs="Palatino Linotype"/>
          <w:color w:val="000000"/>
          <w:sz w:val="22"/>
          <w:szCs w:val="22"/>
        </w:rPr>
        <w:t xml:space="preserve"> de Deducciones;</w:t>
      </w:r>
    </w:p>
    <w:p w14:paraId="5C2B386E"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Código QR;</w:t>
      </w:r>
    </w:p>
    <w:p w14:paraId="0120AF9A"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Sello Digital del SAT.</w:t>
      </w:r>
    </w:p>
    <w:p w14:paraId="5DFD600A"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Sello Digital del Contribuyente; y</w:t>
      </w:r>
    </w:p>
    <w:p w14:paraId="5C5A4935"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Número de Serie del CSD del SAT;</w:t>
      </w:r>
    </w:p>
    <w:p w14:paraId="0EB758F0"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Número de Serie del CDS del emisor;</w:t>
      </w:r>
    </w:p>
    <w:p w14:paraId="2ADBAB22" w14:textId="77777777" w:rsidR="00F47683" w:rsidRPr="007955F3" w:rsidRDefault="00550645">
      <w:pPr>
        <w:numPr>
          <w:ilvl w:val="0"/>
          <w:numId w:val="9"/>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lastRenderedPageBreak/>
        <w:t>Serie y folio;</w:t>
      </w:r>
    </w:p>
    <w:p w14:paraId="4840F6D1" w14:textId="77777777" w:rsidR="00F47683" w:rsidRPr="007955F3" w:rsidRDefault="00F47683">
      <w:pPr>
        <w:tabs>
          <w:tab w:val="left" w:pos="567"/>
        </w:tabs>
        <w:spacing w:line="360" w:lineRule="auto"/>
        <w:jc w:val="both"/>
        <w:rPr>
          <w:rFonts w:ascii="Palatino Linotype" w:eastAsia="Palatino Linotype" w:hAnsi="Palatino Linotype" w:cs="Palatino Linotype"/>
          <w:sz w:val="22"/>
          <w:szCs w:val="22"/>
        </w:rPr>
      </w:pPr>
    </w:p>
    <w:p w14:paraId="7F4983FE" w14:textId="77777777" w:rsidR="00F47683" w:rsidRPr="007955F3" w:rsidRDefault="00550645">
      <w:pPr>
        <w:spacing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Los elementos enlistados, serán analizados de manera individual para determinar si debe prevalecer su publicidad o, por el contrario, procede su clasificación, a efecto de determinar si la versión pública que realizó el Sujeto Obligado se encuentra apegada a derecho.</w:t>
      </w:r>
    </w:p>
    <w:p w14:paraId="42599FD5" w14:textId="77777777" w:rsidR="00F47683" w:rsidRPr="007955F3" w:rsidRDefault="00550645">
      <w:pPr>
        <w:pStyle w:val="Ttulo3"/>
        <w:ind w:left="1276" w:firstLine="1440"/>
        <w:rPr>
          <w:rFonts w:ascii="Palatino Linotype" w:eastAsia="Palatino Linotype" w:hAnsi="Palatino Linotype" w:cs="Palatino Linotype"/>
          <w:b w:val="0"/>
          <w:sz w:val="22"/>
          <w:szCs w:val="22"/>
        </w:rPr>
      </w:pPr>
      <w:bookmarkStart w:id="5" w:name="_heading=h.mdhfre415bry" w:colFirst="0" w:colLast="0"/>
      <w:bookmarkEnd w:id="5"/>
      <w:r w:rsidRPr="007955F3">
        <w:rPr>
          <w:rFonts w:ascii="Palatino Linotype" w:eastAsia="Palatino Linotype" w:hAnsi="Palatino Linotype" w:cs="Palatino Linotype"/>
          <w:sz w:val="22"/>
          <w:szCs w:val="22"/>
        </w:rPr>
        <w:t xml:space="preserve">I. </w:t>
      </w:r>
      <w:proofErr w:type="spellStart"/>
      <w:r w:rsidRPr="007955F3">
        <w:rPr>
          <w:rFonts w:ascii="Palatino Linotype" w:eastAsia="Palatino Linotype" w:hAnsi="Palatino Linotype" w:cs="Palatino Linotype"/>
          <w:sz w:val="22"/>
          <w:szCs w:val="22"/>
        </w:rPr>
        <w:t>Registro</w:t>
      </w:r>
      <w:proofErr w:type="spellEnd"/>
      <w:r w:rsidRPr="007955F3">
        <w:rPr>
          <w:rFonts w:ascii="Palatino Linotype" w:eastAsia="Palatino Linotype" w:hAnsi="Palatino Linotype" w:cs="Palatino Linotype"/>
          <w:sz w:val="22"/>
          <w:szCs w:val="22"/>
        </w:rPr>
        <w:t xml:space="preserve"> Federal de </w:t>
      </w:r>
      <w:proofErr w:type="spellStart"/>
      <w:r w:rsidRPr="007955F3">
        <w:rPr>
          <w:rFonts w:ascii="Palatino Linotype" w:eastAsia="Palatino Linotype" w:hAnsi="Palatino Linotype" w:cs="Palatino Linotype"/>
          <w:sz w:val="22"/>
          <w:szCs w:val="22"/>
        </w:rPr>
        <w:t>Contribuyentes</w:t>
      </w:r>
      <w:proofErr w:type="spellEnd"/>
      <w:r w:rsidRPr="007955F3">
        <w:rPr>
          <w:rFonts w:ascii="Palatino Linotype" w:eastAsia="Palatino Linotype" w:hAnsi="Palatino Linotype" w:cs="Palatino Linotype"/>
          <w:sz w:val="22"/>
          <w:szCs w:val="22"/>
        </w:rPr>
        <w:t xml:space="preserve"> (RFC) </w:t>
      </w:r>
    </w:p>
    <w:p w14:paraId="03559243" w14:textId="77777777" w:rsidR="00F47683" w:rsidRPr="007955F3" w:rsidRDefault="00F47683">
      <w:pPr>
        <w:rPr>
          <w:rFonts w:ascii="Palatino Linotype" w:eastAsia="Palatino Linotype" w:hAnsi="Palatino Linotype" w:cs="Palatino Linotype"/>
          <w:sz w:val="22"/>
          <w:szCs w:val="22"/>
        </w:rPr>
      </w:pPr>
    </w:p>
    <w:p w14:paraId="04D8CCB1"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C314632"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95E9FDD"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 (s), fecha de nacimiento del titular, más una </w:t>
      </w:r>
      <w:proofErr w:type="spellStart"/>
      <w:r w:rsidRPr="007955F3">
        <w:rPr>
          <w:rFonts w:ascii="Palatino Linotype" w:eastAsia="Palatino Linotype" w:hAnsi="Palatino Linotype" w:cs="Palatino Linotype"/>
          <w:color w:val="000000"/>
          <w:sz w:val="22"/>
          <w:szCs w:val="22"/>
        </w:rPr>
        <w:t>homoclave</w:t>
      </w:r>
      <w:proofErr w:type="spellEnd"/>
      <w:r w:rsidRPr="007955F3">
        <w:rPr>
          <w:rFonts w:ascii="Palatino Linotype" w:eastAsia="Palatino Linotype" w:hAnsi="Palatino Linotype" w:cs="Palatino Linotype"/>
          <w:color w:val="000000"/>
          <w:sz w:val="22"/>
          <w:szCs w:val="22"/>
        </w:rPr>
        <w:t xml:space="preserve"> que establece el sistema automático del Servicio de Administración Tributaria.</w:t>
      </w:r>
    </w:p>
    <w:p w14:paraId="1E27C7DD" w14:textId="77777777" w:rsidR="00F47683" w:rsidRPr="007955F3" w:rsidRDefault="00F47683">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72B364F"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FCF6A69" w14:textId="77777777" w:rsidR="00F47683" w:rsidRPr="007955F3" w:rsidRDefault="00F47683">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33225C5"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Conforme a lo expuesto, el Registro Federal de Contribuyentes, es un dato personal, ya que hace a las personas físicas identificas e identificables, además de que las relaciona como contribuyentes de las autoridades fiscales. Es de destacar que el Registro Federal de </w:t>
      </w:r>
      <w:r w:rsidRPr="007955F3">
        <w:rPr>
          <w:rFonts w:ascii="Palatino Linotype" w:eastAsia="Palatino Linotype" w:hAnsi="Palatino Linotype" w:cs="Palatino Linotype"/>
          <w:color w:val="000000"/>
          <w:sz w:val="22"/>
          <w:szCs w:val="22"/>
        </w:rPr>
        <w:lastRenderedPageBreak/>
        <w:t>Contribuyentes únicamente sirve para efectos fiscales y pago de contribuciones, por lo que se trata de un dato relevante únicamente para las personas involucradas, en el pago de estos.</w:t>
      </w:r>
    </w:p>
    <w:p w14:paraId="15DFD86D" w14:textId="77777777" w:rsidR="00F47683" w:rsidRPr="007955F3" w:rsidRDefault="00F47683">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77E899D"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Lo anterior, resulta congruente con el Criterio 19/17 emitido por el entonces Instituto Nacional de Transparencia, Acceso a la Información y Protección de Datos Personales, en el cual se señala lo siguiente:</w:t>
      </w:r>
    </w:p>
    <w:p w14:paraId="5C7238D4"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24FB1354" w14:textId="77777777" w:rsidR="00F47683" w:rsidRPr="007955F3" w:rsidRDefault="00550645">
      <w:pPr>
        <w:spacing w:line="360" w:lineRule="auto"/>
        <w:ind w:left="567"/>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t xml:space="preserve">Registro Federal de Contribuyentes (RFC) de personas físicas. </w:t>
      </w:r>
    </w:p>
    <w:p w14:paraId="4F215016" w14:textId="77777777" w:rsidR="00F47683" w:rsidRPr="007955F3" w:rsidRDefault="0055064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El RFC es una clave de carácter fiscal, única e irrepetible, que permite identificar al titular, su edad y fecha de nacimiento, por lo que es un dato personal de carácter confidencial.</w:t>
      </w:r>
    </w:p>
    <w:p w14:paraId="4C0A3C46" w14:textId="77777777" w:rsidR="00F47683" w:rsidRPr="007955F3" w:rsidRDefault="00F47683">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rPr>
      </w:pPr>
    </w:p>
    <w:p w14:paraId="3FB732EE"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b/>
          <w:color w:val="000000"/>
          <w:sz w:val="22"/>
          <w:szCs w:val="22"/>
        </w:rPr>
        <w:t>De tal suerte, el Registro Federal de Contribuyentes de las personas físicas no guarda relación con la transparencia de los recursos públicos</w:t>
      </w:r>
      <w:r w:rsidRPr="007955F3">
        <w:rPr>
          <w:rFonts w:ascii="Palatino Linotype" w:eastAsia="Palatino Linotype" w:hAnsi="Palatino Linotype" w:cs="Palatino Linotype"/>
          <w:color w:val="000000"/>
          <w:sz w:val="22"/>
          <w:szCs w:val="22"/>
        </w:rPr>
        <w:t>, así como tampoco con el desempeño laboral que pueda tener una persona, por lo que debe ser clasificado como confidencial. En términos del artículo 143, fracción I de la Ley de Transparencia y Acceso a la Información Pública del Estado de México y Municipios.</w:t>
      </w:r>
    </w:p>
    <w:p w14:paraId="7229A4B5"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A0A233" w14:textId="77777777" w:rsidR="00F47683" w:rsidRPr="007955F3" w:rsidRDefault="00550645">
      <w:pPr>
        <w:numPr>
          <w:ilvl w:val="0"/>
          <w:numId w:val="11"/>
        </w:numPr>
        <w:pBdr>
          <w:top w:val="nil"/>
          <w:left w:val="nil"/>
          <w:bottom w:val="nil"/>
          <w:right w:val="nil"/>
          <w:between w:val="nil"/>
        </w:pBdr>
        <w:rPr>
          <w:b/>
          <w:color w:val="000000"/>
        </w:rPr>
      </w:pPr>
      <w:r w:rsidRPr="007955F3">
        <w:rPr>
          <w:b/>
          <w:color w:val="000000"/>
        </w:rPr>
        <w:t>Clave Única de Registro de Población.</w:t>
      </w:r>
    </w:p>
    <w:p w14:paraId="277B4E7A"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07E70E4"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La </w:t>
      </w:r>
      <w:r w:rsidRPr="007955F3">
        <w:rPr>
          <w:rFonts w:ascii="Palatino Linotype" w:eastAsia="Palatino Linotype" w:hAnsi="Palatino Linotype" w:cs="Palatino Linotype"/>
          <w:b/>
          <w:color w:val="000000"/>
          <w:sz w:val="22"/>
          <w:szCs w:val="22"/>
        </w:rPr>
        <w:t>clave única del registro de población,</w:t>
      </w:r>
      <w:r w:rsidRPr="007955F3">
        <w:rPr>
          <w:rFonts w:ascii="Palatino Linotype" w:eastAsia="Palatino Linotype" w:hAnsi="Palatino Linotype" w:cs="Palatino Linotype"/>
          <w:i/>
          <w:color w:val="000000"/>
          <w:sz w:val="22"/>
          <w:szCs w:val="22"/>
        </w:rPr>
        <w:t xml:space="preserve"> </w:t>
      </w:r>
      <w:r w:rsidRPr="007955F3">
        <w:rPr>
          <w:rFonts w:ascii="Palatino Linotype" w:eastAsia="Palatino Linotype" w:hAnsi="Palatino Linotype" w:cs="Palatino Linotype"/>
          <w:color w:val="000000"/>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4DBDBB1C" w14:textId="77777777" w:rsidR="00F47683" w:rsidRPr="007955F3" w:rsidRDefault="00F47683">
      <w:pPr>
        <w:spacing w:line="360" w:lineRule="auto"/>
        <w:rPr>
          <w:rFonts w:ascii="Palatino Linotype" w:eastAsia="Palatino Linotype" w:hAnsi="Palatino Linotype" w:cs="Palatino Linotype"/>
          <w:sz w:val="22"/>
          <w:szCs w:val="22"/>
        </w:rPr>
      </w:pPr>
    </w:p>
    <w:p w14:paraId="02C00AAD"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Al respecto, el entonces INAI a través del Criterio 18/17, señala literalmente lo siguiente:</w:t>
      </w:r>
    </w:p>
    <w:p w14:paraId="1C6638BC" w14:textId="77777777" w:rsidR="00F47683" w:rsidRPr="007955F3" w:rsidRDefault="00F47683">
      <w:pPr>
        <w:rPr>
          <w:rFonts w:ascii="Palatino Linotype" w:eastAsia="Palatino Linotype" w:hAnsi="Palatino Linotype" w:cs="Palatino Linotype"/>
          <w:sz w:val="22"/>
          <w:szCs w:val="22"/>
        </w:rPr>
      </w:pPr>
    </w:p>
    <w:p w14:paraId="189B4C62" w14:textId="77777777" w:rsidR="00F47683" w:rsidRPr="007955F3" w:rsidRDefault="00550645">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i/>
          <w:color w:val="000000"/>
          <w:sz w:val="22"/>
          <w:szCs w:val="22"/>
        </w:rPr>
        <w:lastRenderedPageBreak/>
        <w:t>“</w:t>
      </w:r>
      <w:r w:rsidRPr="007955F3">
        <w:rPr>
          <w:rFonts w:ascii="Palatino Linotype" w:eastAsia="Palatino Linotype" w:hAnsi="Palatino Linotype" w:cs="Palatino Linotype"/>
          <w:b/>
          <w:i/>
          <w:color w:val="000000"/>
          <w:sz w:val="22"/>
          <w:szCs w:val="22"/>
        </w:rPr>
        <w:t>Clave Única de Registro de Población (CURP).</w:t>
      </w:r>
      <w:r w:rsidRPr="007955F3">
        <w:rPr>
          <w:rFonts w:ascii="Palatino Linotype" w:eastAsia="Palatino Linotype" w:hAnsi="Palatino Linotype" w:cs="Palatino Linotype"/>
          <w:i/>
          <w:color w:val="000000"/>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8CE0C0B" w14:textId="77777777" w:rsidR="00F47683" w:rsidRPr="007955F3" w:rsidRDefault="00550645">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i/>
          <w:color w:val="000000"/>
          <w:sz w:val="22"/>
          <w:szCs w:val="22"/>
        </w:rPr>
        <w:t>Resoluciones:</w:t>
      </w:r>
    </w:p>
    <w:p w14:paraId="33B0BD91" w14:textId="77777777" w:rsidR="00F47683" w:rsidRPr="007955F3" w:rsidRDefault="00550645">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i/>
          <w:color w:val="000000"/>
          <w:sz w:val="22"/>
          <w:szCs w:val="22"/>
        </w:rPr>
        <w:t xml:space="preserve">• RRA 3995/16. Secretaría de la Defensa Nacional. 1 de febrero de 2017. Por unanimidad. Comisionado Ponente </w:t>
      </w:r>
      <w:proofErr w:type="spellStart"/>
      <w:r w:rsidRPr="007955F3">
        <w:rPr>
          <w:rFonts w:ascii="Palatino Linotype" w:eastAsia="Palatino Linotype" w:hAnsi="Palatino Linotype" w:cs="Palatino Linotype"/>
          <w:i/>
          <w:color w:val="000000"/>
          <w:sz w:val="22"/>
          <w:szCs w:val="22"/>
        </w:rPr>
        <w:t>Rosendoevgueni</w:t>
      </w:r>
      <w:proofErr w:type="spellEnd"/>
      <w:r w:rsidRPr="007955F3">
        <w:rPr>
          <w:rFonts w:ascii="Palatino Linotype" w:eastAsia="Palatino Linotype" w:hAnsi="Palatino Linotype" w:cs="Palatino Linotype"/>
          <w:i/>
          <w:color w:val="000000"/>
          <w:sz w:val="22"/>
          <w:szCs w:val="22"/>
        </w:rPr>
        <w:t xml:space="preserve"> Monterrey </w:t>
      </w:r>
      <w:proofErr w:type="spellStart"/>
      <w:r w:rsidRPr="007955F3">
        <w:rPr>
          <w:rFonts w:ascii="Palatino Linotype" w:eastAsia="Palatino Linotype" w:hAnsi="Palatino Linotype" w:cs="Palatino Linotype"/>
          <w:i/>
          <w:color w:val="000000"/>
          <w:sz w:val="22"/>
          <w:szCs w:val="22"/>
        </w:rPr>
        <w:t>Chepov</w:t>
      </w:r>
      <w:proofErr w:type="spellEnd"/>
      <w:r w:rsidRPr="007955F3">
        <w:rPr>
          <w:rFonts w:ascii="Palatino Linotype" w:eastAsia="Palatino Linotype" w:hAnsi="Palatino Linotype" w:cs="Palatino Linotype"/>
          <w:i/>
          <w:color w:val="000000"/>
          <w:sz w:val="22"/>
          <w:szCs w:val="22"/>
        </w:rPr>
        <w:t>.</w:t>
      </w:r>
    </w:p>
    <w:p w14:paraId="1E6526AA" w14:textId="77777777" w:rsidR="00F47683" w:rsidRPr="007955F3" w:rsidRDefault="00550645">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i/>
          <w:color w:val="000000"/>
          <w:sz w:val="22"/>
          <w:szCs w:val="22"/>
        </w:rPr>
        <w:t>• RRA 0937/17. Senado de la República. 15 de marzo de 2017. Por unanimidad. Comisionada Ponente Ximena Puente de la Mora.</w:t>
      </w:r>
    </w:p>
    <w:p w14:paraId="29890A12" w14:textId="77777777" w:rsidR="00F47683" w:rsidRPr="007955F3" w:rsidRDefault="00550645">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i/>
          <w:color w:val="000000"/>
          <w:sz w:val="22"/>
          <w:szCs w:val="22"/>
        </w:rPr>
        <w:t>• RRA 0478/17. Secretaría de Relaciones Exteriores. 26 de abril de 2017. Por unanimidad. Comisionada Ponente Areli Cano Guadiana.”</w:t>
      </w:r>
    </w:p>
    <w:p w14:paraId="095424DE"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C170155" w14:textId="77777777" w:rsidR="00F47683" w:rsidRPr="007955F3" w:rsidRDefault="00550645">
      <w:pPr>
        <w:pStyle w:val="Ttulo3"/>
        <w:numPr>
          <w:ilvl w:val="0"/>
          <w:numId w:val="11"/>
        </w:numPr>
        <w:rPr>
          <w:rFonts w:ascii="Palatino Linotype" w:eastAsia="Palatino Linotype" w:hAnsi="Palatino Linotype" w:cs="Palatino Linotype"/>
          <w:sz w:val="22"/>
          <w:szCs w:val="22"/>
        </w:rPr>
      </w:pPr>
      <w:bookmarkStart w:id="6" w:name="_heading=h.rl5gsloww2o0" w:colFirst="0" w:colLast="0"/>
      <w:bookmarkEnd w:id="6"/>
      <w:proofErr w:type="spellStart"/>
      <w:r w:rsidRPr="007955F3">
        <w:rPr>
          <w:rFonts w:ascii="Palatino Linotype" w:eastAsia="Palatino Linotype" w:hAnsi="Palatino Linotype" w:cs="Palatino Linotype"/>
          <w:sz w:val="22"/>
          <w:szCs w:val="22"/>
        </w:rPr>
        <w:t>Deducciones</w:t>
      </w:r>
      <w:proofErr w:type="spellEnd"/>
      <w:r w:rsidRPr="007955F3">
        <w:rPr>
          <w:rFonts w:ascii="Palatino Linotype" w:eastAsia="Palatino Linotype" w:hAnsi="Palatino Linotype" w:cs="Palatino Linotype"/>
          <w:sz w:val="22"/>
          <w:szCs w:val="22"/>
        </w:rPr>
        <w:t>.</w:t>
      </w:r>
    </w:p>
    <w:p w14:paraId="199B0BEC" w14:textId="77777777" w:rsidR="00F47683" w:rsidRPr="007955F3" w:rsidRDefault="00F47683">
      <w:pPr>
        <w:pBdr>
          <w:top w:val="nil"/>
          <w:left w:val="nil"/>
          <w:bottom w:val="nil"/>
          <w:right w:val="nil"/>
          <w:between w:val="nil"/>
        </w:pBdr>
        <w:ind w:left="1080"/>
        <w:rPr>
          <w:color w:val="000000"/>
        </w:rPr>
      </w:pPr>
    </w:p>
    <w:p w14:paraId="6C2521E4"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w:t>
      </w:r>
      <w:r w:rsidRPr="007955F3">
        <w:rPr>
          <w:rFonts w:ascii="Palatino Linotype" w:eastAsia="Palatino Linotype" w:hAnsi="Palatino Linotype" w:cs="Palatino Linotype"/>
          <w:b/>
          <w:color w:val="000000"/>
          <w:sz w:val="22"/>
          <w:szCs w:val="22"/>
        </w:rPr>
        <w:t xml:space="preserve">créditos personales, pensiones alimenticias, </w:t>
      </w:r>
      <w:r w:rsidRPr="007955F3">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 seguro de vida, accidentes y enfermedades.</w:t>
      </w:r>
    </w:p>
    <w:p w14:paraId="67921AC4"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B19C39E"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14:paraId="56726C3F" w14:textId="77777777" w:rsidR="00F47683" w:rsidRPr="007955F3" w:rsidRDefault="00F47683">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EAFA3CB"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332BAD11" w14:textId="77777777" w:rsidR="00F47683" w:rsidRPr="007955F3" w:rsidRDefault="00F47683">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D9B24A4"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Así, dichas deducciones reflejan el destino que un servidor público da a su patrimonio, lo que se aleja de la transparencia y rendición de cuentas.</w:t>
      </w:r>
    </w:p>
    <w:p w14:paraId="33D97BA6"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696180" w14:textId="77777777" w:rsidR="00F47683" w:rsidRPr="007955F3" w:rsidRDefault="00550645">
      <w:pPr>
        <w:numPr>
          <w:ilvl w:val="4"/>
          <w:numId w:val="8"/>
        </w:numPr>
        <w:pBdr>
          <w:top w:val="nil"/>
          <w:left w:val="nil"/>
          <w:bottom w:val="nil"/>
          <w:right w:val="nil"/>
          <w:between w:val="nil"/>
        </w:pBdr>
        <w:ind w:left="709"/>
        <w:rPr>
          <w:rFonts w:ascii="Palatino Linotype" w:eastAsia="Palatino Linotype" w:hAnsi="Palatino Linotype" w:cs="Palatino Linotype"/>
          <w:b/>
          <w:color w:val="000000"/>
          <w:sz w:val="22"/>
          <w:szCs w:val="22"/>
        </w:rPr>
      </w:pPr>
      <w:r w:rsidRPr="007955F3">
        <w:rPr>
          <w:rFonts w:ascii="Palatino Linotype" w:eastAsia="Palatino Linotype" w:hAnsi="Palatino Linotype" w:cs="Palatino Linotype"/>
          <w:b/>
          <w:color w:val="000000"/>
          <w:sz w:val="22"/>
          <w:szCs w:val="22"/>
        </w:rPr>
        <w:t>Del Sistema De Capitalización Individual (SCI)</w:t>
      </w:r>
    </w:p>
    <w:p w14:paraId="1ACE4F4F" w14:textId="77777777" w:rsidR="00F47683" w:rsidRPr="007955F3" w:rsidRDefault="00F47683">
      <w:pPr>
        <w:rPr>
          <w:rFonts w:ascii="Palatino Linotype" w:eastAsia="Palatino Linotype" w:hAnsi="Palatino Linotype" w:cs="Palatino Linotype"/>
          <w:b/>
          <w:sz w:val="22"/>
          <w:szCs w:val="22"/>
        </w:rPr>
      </w:pPr>
    </w:p>
    <w:p w14:paraId="77C53B13" w14:textId="77777777" w:rsidR="00F47683" w:rsidRPr="007955F3" w:rsidRDefault="00F47683">
      <w:pPr>
        <w:rPr>
          <w:rFonts w:ascii="Palatino Linotype" w:eastAsia="Palatino Linotype" w:hAnsi="Palatino Linotype" w:cs="Palatino Linotype"/>
          <w:b/>
          <w:sz w:val="22"/>
          <w:szCs w:val="22"/>
        </w:rPr>
      </w:pPr>
    </w:p>
    <w:p w14:paraId="64783CA4"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Por principio, debemos precisar que la deducción denominada: Sistema de Capitalización Individualizado (SCI), es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14:paraId="73BB396A"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70968F8A" w14:textId="77777777" w:rsidR="00F47683" w:rsidRPr="007955F3" w:rsidRDefault="00550645">
      <w:pPr>
        <w:spacing w:line="276" w:lineRule="auto"/>
        <w:ind w:left="567"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“ARTICULO 84.-</w:t>
      </w:r>
      <w:r w:rsidRPr="007955F3">
        <w:rPr>
          <w:rFonts w:ascii="Palatino Linotype" w:eastAsia="Palatino Linotype" w:hAnsi="Palatino Linotype" w:cs="Palatino Linotype"/>
          <w:i/>
          <w:sz w:val="22"/>
          <w:szCs w:val="22"/>
        </w:rPr>
        <w:t xml:space="preserve"> Las pensiones que otorga esta ley, se basan en un régimen mixto, siendo una parte de beneficios definidos denominado </w:t>
      </w:r>
      <w:r w:rsidRPr="007955F3">
        <w:rPr>
          <w:rFonts w:ascii="Palatino Linotype" w:eastAsia="Palatino Linotype" w:hAnsi="Palatino Linotype" w:cs="Palatino Linotype"/>
          <w:b/>
          <w:i/>
          <w:sz w:val="22"/>
          <w:szCs w:val="22"/>
        </w:rPr>
        <w:t>sistema solidario de reparto y otra de contribuciones definidas denominado sistema de capitalización individual</w:t>
      </w:r>
      <w:r w:rsidRPr="007955F3">
        <w:rPr>
          <w:rFonts w:ascii="Palatino Linotype" w:eastAsia="Palatino Linotype" w:hAnsi="Palatino Linotype" w:cs="Palatino Linotype"/>
          <w:i/>
          <w:sz w:val="22"/>
          <w:szCs w:val="22"/>
        </w:rPr>
        <w:t>.</w:t>
      </w:r>
    </w:p>
    <w:p w14:paraId="5B0DA109" w14:textId="77777777" w:rsidR="00F47683" w:rsidRPr="007955F3" w:rsidRDefault="00F47683">
      <w:pPr>
        <w:spacing w:line="276" w:lineRule="auto"/>
        <w:ind w:left="567" w:right="900"/>
        <w:jc w:val="both"/>
        <w:rPr>
          <w:rFonts w:ascii="Palatino Linotype" w:eastAsia="Palatino Linotype" w:hAnsi="Palatino Linotype" w:cs="Palatino Linotype"/>
          <w:i/>
          <w:sz w:val="22"/>
          <w:szCs w:val="22"/>
        </w:rPr>
      </w:pPr>
    </w:p>
    <w:p w14:paraId="34E7B282" w14:textId="77777777" w:rsidR="00F47683" w:rsidRPr="007955F3" w:rsidRDefault="00550645">
      <w:pPr>
        <w:spacing w:line="276" w:lineRule="auto"/>
        <w:ind w:left="567"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El monto total para el financiamiento de pensiones de cada servidor público, es equivalente al 16.77% de su sueldo sujeto a cotización, del cual el 13.52% se aplicará al fondo del sistema solidario de reparto y el 3.25% al sistema de capitalización individual.</w:t>
      </w:r>
    </w:p>
    <w:p w14:paraId="37B7EFB5" w14:textId="77777777" w:rsidR="00F47683" w:rsidRPr="007955F3" w:rsidRDefault="00550645">
      <w:pPr>
        <w:spacing w:line="276" w:lineRule="auto"/>
        <w:ind w:left="567" w:right="900"/>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 </w:t>
      </w:r>
      <w:r w:rsidRPr="007955F3">
        <w:rPr>
          <w:rFonts w:ascii="Palatino Linotype" w:eastAsia="Palatino Linotype" w:hAnsi="Palatino Linotype" w:cs="Palatino Linotype"/>
          <w:b/>
          <w:i/>
          <w:sz w:val="22"/>
          <w:szCs w:val="22"/>
        </w:rPr>
        <w:t>ARTICULO 115.-</w:t>
      </w:r>
      <w:r w:rsidRPr="007955F3">
        <w:rPr>
          <w:rFonts w:ascii="Palatino Linotype" w:eastAsia="Palatino Linotype" w:hAnsi="Palatino Linotype" w:cs="Palatino Linotype"/>
          <w:i/>
          <w:sz w:val="22"/>
          <w:szCs w:val="22"/>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14:paraId="2673BB5C"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40E792A3" w14:textId="77777777" w:rsidR="00F47683" w:rsidRPr="007955F3" w:rsidRDefault="00550645">
      <w:pPr>
        <w:spacing w:line="360" w:lineRule="auto"/>
        <w:jc w:val="both"/>
        <w:rPr>
          <w:rFonts w:ascii="Palatino Linotype" w:eastAsia="Palatino Linotype" w:hAnsi="Palatino Linotype" w:cs="Palatino Linotype"/>
          <w:sz w:val="22"/>
          <w:szCs w:val="22"/>
        </w:rPr>
      </w:pPr>
      <w:proofErr w:type="gramStart"/>
      <w:r w:rsidRPr="007955F3">
        <w:rPr>
          <w:rFonts w:ascii="Palatino Linotype" w:eastAsia="Palatino Linotype" w:hAnsi="Palatino Linotype" w:cs="Palatino Linotype"/>
          <w:sz w:val="22"/>
          <w:szCs w:val="22"/>
        </w:rPr>
        <w:t>En  esta</w:t>
      </w:r>
      <w:proofErr w:type="gramEnd"/>
      <w:r w:rsidRPr="007955F3">
        <w:rPr>
          <w:rFonts w:ascii="Palatino Linotype" w:eastAsia="Palatino Linotype" w:hAnsi="Palatino Linotype" w:cs="Palatino Linotype"/>
          <w:sz w:val="22"/>
          <w:szCs w:val="22"/>
        </w:rPr>
        <w:t xml:space="preserve"> misma disposición normativa, en los artículos 5 fracciones II, VII y VIII; 32, 34 y 35, dispone lo siguiente:</w:t>
      </w:r>
    </w:p>
    <w:p w14:paraId="0EF1455E"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58FEEBEE"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“ARTÍCULO 5.- Para los efectos de esta ley se entiende por:</w:t>
      </w:r>
    </w:p>
    <w:p w14:paraId="46ADFFEC"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lastRenderedPageBreak/>
        <w:t>…</w:t>
      </w:r>
    </w:p>
    <w:p w14:paraId="1C3FE13F"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 Institución pública, a los poderes públicos del estado, los ayuntamientos de los municipios y los tribunales administrativos, así como los organismos auxiliares y fideicomisos públicos de carácter estatal y municipal;</w:t>
      </w:r>
    </w:p>
    <w:p w14:paraId="59B0DF90"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717D818F"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VII. Cuota, al monto que le corresponde cubrir al servidor público, equivalente a un porcentaje determinado de </w:t>
      </w:r>
      <w:proofErr w:type="gramStart"/>
      <w:r w:rsidRPr="007955F3">
        <w:rPr>
          <w:rFonts w:ascii="Palatino Linotype" w:eastAsia="Palatino Linotype" w:hAnsi="Palatino Linotype" w:cs="Palatino Linotype"/>
          <w:i/>
          <w:sz w:val="22"/>
          <w:szCs w:val="22"/>
        </w:rPr>
        <w:t>sus sueldo sujeto</w:t>
      </w:r>
      <w:proofErr w:type="gramEnd"/>
      <w:r w:rsidRPr="007955F3">
        <w:rPr>
          <w:rFonts w:ascii="Palatino Linotype" w:eastAsia="Palatino Linotype" w:hAnsi="Palatino Linotype" w:cs="Palatino Linotype"/>
          <w:i/>
          <w:sz w:val="22"/>
          <w:szCs w:val="22"/>
        </w:rPr>
        <w:t xml:space="preserve"> a cotización, así como el que debe cubrir el pensionado o pensionista y que recibe el Instituto para otorgar las prestaciones establecidas en la presente ley; </w:t>
      </w:r>
    </w:p>
    <w:p w14:paraId="76E03A84" w14:textId="77777777" w:rsidR="00F47683" w:rsidRPr="007955F3" w:rsidRDefault="00550645">
      <w:pPr>
        <w:spacing w:line="276" w:lineRule="auto"/>
        <w:ind w:left="567" w:right="616"/>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i/>
          <w:sz w:val="22"/>
          <w:szCs w:val="22"/>
        </w:rPr>
        <w:t xml:space="preserve">VIII. </w:t>
      </w:r>
      <w:r w:rsidRPr="007955F3">
        <w:rPr>
          <w:rFonts w:ascii="Palatino Linotype" w:eastAsia="Palatino Linotype" w:hAnsi="Palatino Linotype" w:cs="Palatino Linotype"/>
          <w:b/>
          <w:i/>
          <w:sz w:val="22"/>
          <w:szCs w:val="22"/>
        </w:rPr>
        <w:t>Aportación, al monto que le corresponde cubrir a las instituciones públicas como porcentaje del sueldo sujeto a cotización de cada servidor público;</w:t>
      </w:r>
    </w:p>
    <w:p w14:paraId="1331C5A1"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777765B6" w14:textId="77777777" w:rsidR="00F47683" w:rsidRPr="007955F3" w:rsidRDefault="00550645">
      <w:pPr>
        <w:spacing w:line="276" w:lineRule="auto"/>
        <w:ind w:left="567" w:right="616"/>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i/>
          <w:sz w:val="22"/>
          <w:szCs w:val="22"/>
        </w:rPr>
        <w:t xml:space="preserve">Artículo 32.- </w:t>
      </w:r>
      <w:r w:rsidRPr="007955F3">
        <w:rPr>
          <w:rFonts w:ascii="Palatino Linotype" w:eastAsia="Palatino Linotype" w:hAnsi="Palatino Linotype" w:cs="Palatino Linotype"/>
          <w:b/>
          <w:i/>
          <w:sz w:val="22"/>
          <w:szCs w:val="22"/>
        </w:rPr>
        <w:t xml:space="preserve">Las cuotas obligatorias que deberán cubrir los servidores públicos al Instituto, serán las siguientes: </w:t>
      </w:r>
    </w:p>
    <w:p w14:paraId="3A85E81C"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 El 4.625% del sueldo sujeto a cotización, para cubrir las prestaciones de servicios de salud; </w:t>
      </w:r>
    </w:p>
    <w:p w14:paraId="3E2650B7"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 El 7.50% del sueldo sujeto a cotización, para cubrir el financiamiento de pensiones, de la siguiente manera: </w:t>
      </w:r>
    </w:p>
    <w:p w14:paraId="5EF34E73"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a. 6.10% para el fondo del sistema solidario de reparto. </w:t>
      </w:r>
    </w:p>
    <w:p w14:paraId="3715870A" w14:textId="77777777" w:rsidR="00F47683" w:rsidRPr="007955F3" w:rsidRDefault="00550645">
      <w:pPr>
        <w:spacing w:line="276" w:lineRule="auto"/>
        <w:ind w:left="567" w:right="616"/>
        <w:jc w:val="both"/>
        <w:rPr>
          <w:rFonts w:ascii="Palatino Linotype" w:eastAsia="Palatino Linotype" w:hAnsi="Palatino Linotype" w:cs="Palatino Linotype"/>
          <w:b/>
          <w:i/>
          <w:sz w:val="22"/>
          <w:szCs w:val="22"/>
          <w:u w:val="single"/>
        </w:rPr>
      </w:pPr>
      <w:r w:rsidRPr="007955F3">
        <w:rPr>
          <w:rFonts w:ascii="Palatino Linotype" w:eastAsia="Palatino Linotype" w:hAnsi="Palatino Linotype" w:cs="Palatino Linotype"/>
          <w:b/>
          <w:i/>
          <w:sz w:val="22"/>
          <w:szCs w:val="22"/>
          <w:u w:val="single"/>
        </w:rPr>
        <w:t xml:space="preserve">b. 1.40% para el sistema de capitalización individual. </w:t>
      </w:r>
    </w:p>
    <w:p w14:paraId="4FEA6EBD"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III. Las que determine anualmente el Consejo Directivo para otras prestaciones, señaladas en el Título IV.</w:t>
      </w:r>
    </w:p>
    <w:p w14:paraId="6FA715E9"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78006FE5"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Artículo 34.- </w:t>
      </w:r>
      <w:r w:rsidRPr="007955F3">
        <w:rPr>
          <w:rFonts w:ascii="Palatino Linotype" w:eastAsia="Palatino Linotype" w:hAnsi="Palatino Linotype" w:cs="Palatino Linotype"/>
          <w:b/>
          <w:i/>
          <w:sz w:val="22"/>
          <w:szCs w:val="22"/>
        </w:rPr>
        <w:t>Las aportaciones que deberán cubrir obligatoriamente las instituciones públicas serán las siguientes</w:t>
      </w:r>
      <w:r w:rsidRPr="007955F3">
        <w:rPr>
          <w:rFonts w:ascii="Palatino Linotype" w:eastAsia="Palatino Linotype" w:hAnsi="Palatino Linotype" w:cs="Palatino Linotype"/>
          <w:i/>
          <w:sz w:val="22"/>
          <w:szCs w:val="22"/>
        </w:rPr>
        <w:t xml:space="preserve">: </w:t>
      </w:r>
    </w:p>
    <w:p w14:paraId="43D1A5E4"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 El 10% del sueldo sujeto a cotización, para cubrir las prestaciones de servicios de salud; </w:t>
      </w:r>
    </w:p>
    <w:p w14:paraId="5CD605DA"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 El 9.27% del sueldo sujeto a cotización, para cubrir el financiamiento de pensiones, de la siguiente manera: </w:t>
      </w:r>
    </w:p>
    <w:p w14:paraId="19AB56DC"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a. 7.42% para el fondo del sistema solidario de reparto. </w:t>
      </w:r>
    </w:p>
    <w:p w14:paraId="5D300784" w14:textId="77777777" w:rsidR="00F47683" w:rsidRPr="007955F3" w:rsidRDefault="00550645">
      <w:pPr>
        <w:spacing w:line="276" w:lineRule="auto"/>
        <w:ind w:left="567" w:right="616"/>
        <w:jc w:val="both"/>
        <w:rPr>
          <w:rFonts w:ascii="Palatino Linotype" w:eastAsia="Palatino Linotype" w:hAnsi="Palatino Linotype" w:cs="Palatino Linotype"/>
          <w:b/>
          <w:i/>
          <w:sz w:val="22"/>
          <w:szCs w:val="22"/>
          <w:u w:val="single"/>
        </w:rPr>
      </w:pPr>
      <w:r w:rsidRPr="007955F3">
        <w:rPr>
          <w:rFonts w:ascii="Palatino Linotype" w:eastAsia="Palatino Linotype" w:hAnsi="Palatino Linotype" w:cs="Palatino Linotype"/>
          <w:i/>
          <w:sz w:val="22"/>
          <w:szCs w:val="22"/>
          <w:u w:val="single"/>
        </w:rPr>
        <w:t xml:space="preserve">b. </w:t>
      </w:r>
      <w:r w:rsidRPr="007955F3">
        <w:rPr>
          <w:rFonts w:ascii="Palatino Linotype" w:eastAsia="Palatino Linotype" w:hAnsi="Palatino Linotype" w:cs="Palatino Linotype"/>
          <w:b/>
          <w:i/>
          <w:sz w:val="22"/>
          <w:szCs w:val="22"/>
          <w:u w:val="single"/>
        </w:rPr>
        <w:t xml:space="preserve">1.85% para el sistema de capitalización individual. </w:t>
      </w:r>
    </w:p>
    <w:p w14:paraId="169D4BBE"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III. Las que determine anualmente el Consejo Directivo para otras prestaciones, señaladas en el Título IV; </w:t>
      </w:r>
    </w:p>
    <w:p w14:paraId="2B6F6402"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IV. El 0.875% para gastos de administración; </w:t>
      </w:r>
    </w:p>
    <w:p w14:paraId="6B5C6C1A" w14:textId="77777777" w:rsidR="00F47683" w:rsidRPr="007955F3" w:rsidRDefault="00550645">
      <w:pPr>
        <w:spacing w:line="276" w:lineRule="auto"/>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V. Las que se generen a cargo de las Instituciones públicas por concepto de riesgos de trabajo.</w:t>
      </w:r>
    </w:p>
    <w:p w14:paraId="53AC174F"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0C0700E7"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14:paraId="03BA512C"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1DC8C1C1" w14:textId="77777777" w:rsidR="00F47683" w:rsidRPr="007955F3" w:rsidRDefault="00550645">
      <w:pPr>
        <w:spacing w:line="360" w:lineRule="auto"/>
        <w:jc w:val="both"/>
        <w:rPr>
          <w:rFonts w:ascii="Palatino Linotype" w:eastAsia="Palatino Linotype" w:hAnsi="Palatino Linotype" w:cs="Palatino Linotype"/>
          <w:b/>
          <w:sz w:val="22"/>
          <w:szCs w:val="22"/>
        </w:rPr>
      </w:pPr>
      <w:r w:rsidRPr="007955F3">
        <w:rPr>
          <w:rFonts w:ascii="Palatino Linotype" w:eastAsia="Palatino Linotype" w:hAnsi="Palatino Linotype" w:cs="Palatino Linotype"/>
          <w:sz w:val="22"/>
          <w:szCs w:val="22"/>
        </w:rPr>
        <w:t>Sobre este punto, al considerarse información de carácter público, es que se determina que los recibos de nómina remitidos en respuesta no se encuentran en una correcta versión pública, ya que se testó información que debe ser pública.</w:t>
      </w:r>
    </w:p>
    <w:p w14:paraId="39BDC881" w14:textId="77777777" w:rsidR="00F47683" w:rsidRPr="007955F3" w:rsidRDefault="00550645">
      <w:pPr>
        <w:pStyle w:val="Ttulo3"/>
        <w:ind w:left="1134" w:firstLine="1439"/>
        <w:rPr>
          <w:rFonts w:ascii="Palatino Linotype" w:eastAsia="Palatino Linotype" w:hAnsi="Palatino Linotype" w:cs="Palatino Linotype"/>
          <w:b w:val="0"/>
          <w:sz w:val="22"/>
          <w:szCs w:val="22"/>
        </w:rPr>
      </w:pPr>
      <w:bookmarkStart w:id="7" w:name="_heading=h.cube0keiepd0" w:colFirst="0" w:colLast="0"/>
      <w:bookmarkEnd w:id="7"/>
      <w:r w:rsidRPr="007955F3">
        <w:rPr>
          <w:rFonts w:ascii="Palatino Linotype" w:eastAsia="Palatino Linotype" w:hAnsi="Palatino Linotype" w:cs="Palatino Linotype"/>
          <w:sz w:val="22"/>
          <w:szCs w:val="22"/>
        </w:rPr>
        <w:t>IV. CÓDIGO QR</w:t>
      </w:r>
    </w:p>
    <w:p w14:paraId="40C1C9F7" w14:textId="77777777" w:rsidR="00F47683" w:rsidRPr="007955F3" w:rsidRDefault="00F47683">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56DDF0C"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Los comprobantes fiscales digitales por Internet, deben de incluir un código bidimensional conforme al formato </w:t>
      </w:r>
      <w:r w:rsidRPr="007955F3">
        <w:rPr>
          <w:rFonts w:ascii="Palatino Linotype" w:eastAsia="Palatino Linotype" w:hAnsi="Palatino Linotype" w:cs="Palatino Linotype"/>
          <w:i/>
          <w:color w:val="000000"/>
          <w:sz w:val="22"/>
          <w:szCs w:val="22"/>
        </w:rPr>
        <w:t xml:space="preserve">QR </w:t>
      </w:r>
      <w:proofErr w:type="spellStart"/>
      <w:r w:rsidRPr="007955F3">
        <w:rPr>
          <w:rFonts w:ascii="Palatino Linotype" w:eastAsia="Palatino Linotype" w:hAnsi="Palatino Linotype" w:cs="Palatino Linotype"/>
          <w:i/>
          <w:color w:val="000000"/>
          <w:sz w:val="22"/>
          <w:szCs w:val="22"/>
        </w:rPr>
        <w:t>Code</w:t>
      </w:r>
      <w:proofErr w:type="spellEnd"/>
      <w:r w:rsidRPr="007955F3">
        <w:rPr>
          <w:rFonts w:ascii="Palatino Linotype" w:eastAsia="Palatino Linotype" w:hAnsi="Palatino Linotype" w:cs="Palatino Linotype"/>
          <w:i/>
          <w:color w:val="000000"/>
          <w:sz w:val="22"/>
          <w:szCs w:val="22"/>
        </w:rPr>
        <w:t xml:space="preserve"> (Quick Response </w:t>
      </w:r>
      <w:proofErr w:type="spellStart"/>
      <w:r w:rsidRPr="007955F3">
        <w:rPr>
          <w:rFonts w:ascii="Palatino Linotype" w:eastAsia="Palatino Linotype" w:hAnsi="Palatino Linotype" w:cs="Palatino Linotype"/>
          <w:i/>
          <w:color w:val="000000"/>
          <w:sz w:val="22"/>
          <w:szCs w:val="22"/>
        </w:rPr>
        <w:t>Code</w:t>
      </w:r>
      <w:proofErr w:type="spellEnd"/>
      <w:r w:rsidRPr="007955F3">
        <w:rPr>
          <w:rFonts w:ascii="Palatino Linotype" w:eastAsia="Palatino Linotype" w:hAnsi="Palatino Linotype" w:cs="Palatino Linotype"/>
          <w:i/>
          <w:color w:val="000000"/>
          <w:sz w:val="22"/>
          <w:szCs w:val="22"/>
        </w:rPr>
        <w:t>)</w:t>
      </w:r>
      <w:r w:rsidRPr="007955F3">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r w:rsidRPr="007955F3">
          <w:rPr>
            <w:rFonts w:ascii="Palatino Linotype" w:eastAsia="Palatino Linotype" w:hAnsi="Palatino Linotype" w:cs="Palatino Linotype"/>
            <w:color w:val="0000FF"/>
            <w:sz w:val="22"/>
            <w:szCs w:val="22"/>
            <w:u w:val="single"/>
          </w:rPr>
          <w:t>http://dof.gob.mx/nota_detalle.php?codigo=5492254&amp;fecha=28/07/2017</w:t>
        </w:r>
      </w:hyperlink>
      <w:r w:rsidRPr="007955F3">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4312B2CA"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F61CAA5"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De tales circunstancias, se considera que dicho dato actualiza la causal de clasificación prevista en el artículo 143, fracción I de la Ley de la materia, toda vez que da acceso al </w:t>
      </w:r>
      <w:r w:rsidRPr="007955F3">
        <w:rPr>
          <w:rFonts w:ascii="Palatino Linotype" w:eastAsia="Palatino Linotype" w:hAnsi="Palatino Linotype" w:cs="Palatino Linotype"/>
          <w:color w:val="000000"/>
          <w:sz w:val="22"/>
          <w:szCs w:val="22"/>
        </w:rPr>
        <w:lastRenderedPageBreak/>
        <w:t>Registro Federal de Contribuyentes de los servidores públicos del Sujeto Obligado, datos que tal como se señaló previamente, son clasificados.</w:t>
      </w:r>
    </w:p>
    <w:p w14:paraId="25A7FEEC" w14:textId="77777777" w:rsidR="00F47683" w:rsidRPr="007955F3" w:rsidRDefault="00550645">
      <w:pPr>
        <w:pStyle w:val="Ttulo3"/>
        <w:numPr>
          <w:ilvl w:val="0"/>
          <w:numId w:val="12"/>
        </w:numPr>
        <w:ind w:left="709" w:right="397" w:hanging="513"/>
        <w:jc w:val="both"/>
        <w:rPr>
          <w:rFonts w:ascii="Palatino Linotype" w:eastAsia="Palatino Linotype" w:hAnsi="Palatino Linotype" w:cs="Palatino Linotype"/>
          <w:sz w:val="22"/>
          <w:szCs w:val="22"/>
        </w:rPr>
      </w:pPr>
      <w:bookmarkStart w:id="8" w:name="_heading=h.fch3unp5vro1" w:colFirst="0" w:colLast="0"/>
      <w:bookmarkEnd w:id="8"/>
      <w:proofErr w:type="spellStart"/>
      <w:r w:rsidRPr="007955F3">
        <w:rPr>
          <w:rFonts w:ascii="Palatino Linotype" w:eastAsia="Palatino Linotype" w:hAnsi="Palatino Linotype" w:cs="Palatino Linotype"/>
          <w:sz w:val="22"/>
          <w:szCs w:val="22"/>
        </w:rPr>
        <w:t>Sellos</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digitales</w:t>
      </w:r>
      <w:proofErr w:type="spellEnd"/>
      <w:r w:rsidRPr="007955F3">
        <w:rPr>
          <w:rFonts w:ascii="Palatino Linotype" w:eastAsia="Palatino Linotype" w:hAnsi="Palatino Linotype" w:cs="Palatino Linotype"/>
          <w:sz w:val="22"/>
          <w:szCs w:val="22"/>
        </w:rPr>
        <w:t xml:space="preserve"> del </w:t>
      </w:r>
      <w:proofErr w:type="spellStart"/>
      <w:r w:rsidRPr="007955F3">
        <w:rPr>
          <w:rFonts w:ascii="Palatino Linotype" w:eastAsia="Palatino Linotype" w:hAnsi="Palatino Linotype" w:cs="Palatino Linotype"/>
          <w:sz w:val="22"/>
          <w:szCs w:val="22"/>
        </w:rPr>
        <w:t>emisor</w:t>
      </w:r>
      <w:proofErr w:type="spellEnd"/>
      <w:r w:rsidRPr="007955F3">
        <w:rPr>
          <w:rFonts w:ascii="Palatino Linotype" w:eastAsia="Palatino Linotype" w:hAnsi="Palatino Linotype" w:cs="Palatino Linotype"/>
          <w:sz w:val="22"/>
          <w:szCs w:val="22"/>
        </w:rPr>
        <w:t xml:space="preserve"> y del </w:t>
      </w:r>
      <w:proofErr w:type="spellStart"/>
      <w:r w:rsidRPr="007955F3">
        <w:rPr>
          <w:rFonts w:ascii="Palatino Linotype" w:eastAsia="Palatino Linotype" w:hAnsi="Palatino Linotype" w:cs="Palatino Linotype"/>
          <w:sz w:val="22"/>
          <w:szCs w:val="22"/>
        </w:rPr>
        <w:t>Servicio</w:t>
      </w:r>
      <w:proofErr w:type="spellEnd"/>
      <w:r w:rsidRPr="007955F3">
        <w:rPr>
          <w:rFonts w:ascii="Palatino Linotype" w:eastAsia="Palatino Linotype" w:hAnsi="Palatino Linotype" w:cs="Palatino Linotype"/>
          <w:sz w:val="22"/>
          <w:szCs w:val="22"/>
        </w:rPr>
        <w:t xml:space="preserve"> de </w:t>
      </w:r>
      <w:proofErr w:type="spellStart"/>
      <w:r w:rsidRPr="007955F3">
        <w:rPr>
          <w:rFonts w:ascii="Palatino Linotype" w:eastAsia="Palatino Linotype" w:hAnsi="Palatino Linotype" w:cs="Palatino Linotype"/>
          <w:sz w:val="22"/>
          <w:szCs w:val="22"/>
        </w:rPr>
        <w:t>Administración</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Tributaria</w:t>
      </w:r>
      <w:proofErr w:type="spellEnd"/>
      <w:r w:rsidRPr="007955F3">
        <w:rPr>
          <w:rFonts w:ascii="Palatino Linotype" w:eastAsia="Palatino Linotype" w:hAnsi="Palatino Linotype" w:cs="Palatino Linotype"/>
          <w:sz w:val="22"/>
          <w:szCs w:val="22"/>
        </w:rPr>
        <w:t xml:space="preserve"> y </w:t>
      </w:r>
      <w:proofErr w:type="spellStart"/>
      <w:r w:rsidRPr="007955F3">
        <w:rPr>
          <w:rFonts w:ascii="Palatino Linotype" w:eastAsia="Palatino Linotype" w:hAnsi="Palatino Linotype" w:cs="Palatino Linotype"/>
          <w:sz w:val="22"/>
          <w:szCs w:val="22"/>
        </w:rPr>
        <w:t>cadena</w:t>
      </w:r>
      <w:proofErr w:type="spellEnd"/>
      <w:r w:rsidRPr="007955F3">
        <w:rPr>
          <w:rFonts w:ascii="Palatino Linotype" w:eastAsia="Palatino Linotype" w:hAnsi="Palatino Linotype" w:cs="Palatino Linotype"/>
          <w:sz w:val="22"/>
          <w:szCs w:val="22"/>
        </w:rPr>
        <w:t xml:space="preserve"> original del </w:t>
      </w:r>
      <w:proofErr w:type="spellStart"/>
      <w:r w:rsidRPr="007955F3">
        <w:rPr>
          <w:rFonts w:ascii="Palatino Linotype" w:eastAsia="Palatino Linotype" w:hAnsi="Palatino Linotype" w:cs="Palatino Linotype"/>
          <w:sz w:val="22"/>
          <w:szCs w:val="22"/>
        </w:rPr>
        <w:t>complemento</w:t>
      </w:r>
      <w:proofErr w:type="spellEnd"/>
      <w:r w:rsidRPr="007955F3">
        <w:rPr>
          <w:rFonts w:ascii="Palatino Linotype" w:eastAsia="Palatino Linotype" w:hAnsi="Palatino Linotype" w:cs="Palatino Linotype"/>
          <w:sz w:val="22"/>
          <w:szCs w:val="22"/>
        </w:rPr>
        <w:t xml:space="preserve"> de </w:t>
      </w:r>
      <w:proofErr w:type="spellStart"/>
      <w:r w:rsidRPr="007955F3">
        <w:rPr>
          <w:rFonts w:ascii="Palatino Linotype" w:eastAsia="Palatino Linotype" w:hAnsi="Palatino Linotype" w:cs="Palatino Linotype"/>
          <w:sz w:val="22"/>
          <w:szCs w:val="22"/>
        </w:rPr>
        <w:t>certificación</w:t>
      </w:r>
      <w:proofErr w:type="spellEnd"/>
      <w:r w:rsidRPr="007955F3">
        <w:rPr>
          <w:rFonts w:ascii="Palatino Linotype" w:eastAsia="Palatino Linotype" w:hAnsi="Palatino Linotype" w:cs="Palatino Linotype"/>
          <w:sz w:val="22"/>
          <w:szCs w:val="22"/>
        </w:rPr>
        <w:t xml:space="preserve"> digital del </w:t>
      </w:r>
      <w:proofErr w:type="spellStart"/>
      <w:r w:rsidRPr="007955F3">
        <w:rPr>
          <w:rFonts w:ascii="Palatino Linotype" w:eastAsia="Palatino Linotype" w:hAnsi="Palatino Linotype" w:cs="Palatino Linotype"/>
          <w:sz w:val="22"/>
          <w:szCs w:val="22"/>
        </w:rPr>
        <w:t>órgano</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previamente</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señalado</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así</w:t>
      </w:r>
      <w:proofErr w:type="spellEnd"/>
      <w:r w:rsidRPr="007955F3">
        <w:rPr>
          <w:rFonts w:ascii="Palatino Linotype" w:eastAsia="Palatino Linotype" w:hAnsi="Palatino Linotype" w:cs="Palatino Linotype"/>
          <w:sz w:val="22"/>
          <w:szCs w:val="22"/>
        </w:rPr>
        <w:t xml:space="preserve"> </w:t>
      </w:r>
      <w:proofErr w:type="spellStart"/>
      <w:r w:rsidRPr="007955F3">
        <w:rPr>
          <w:rFonts w:ascii="Palatino Linotype" w:eastAsia="Palatino Linotype" w:hAnsi="Palatino Linotype" w:cs="Palatino Linotype"/>
          <w:sz w:val="22"/>
          <w:szCs w:val="22"/>
        </w:rPr>
        <w:t>como</w:t>
      </w:r>
      <w:proofErr w:type="spellEnd"/>
      <w:r w:rsidRPr="007955F3">
        <w:rPr>
          <w:rFonts w:ascii="Palatino Linotype" w:eastAsia="Palatino Linotype" w:hAnsi="Palatino Linotype" w:cs="Palatino Linotype"/>
          <w:sz w:val="22"/>
          <w:szCs w:val="22"/>
        </w:rPr>
        <w:t xml:space="preserve"> folio fiscal. </w:t>
      </w:r>
    </w:p>
    <w:p w14:paraId="38EB7B8D" w14:textId="77777777" w:rsidR="00F47683" w:rsidRPr="007955F3" w:rsidRDefault="00F47683">
      <w:pPr>
        <w:pBdr>
          <w:top w:val="nil"/>
          <w:left w:val="nil"/>
          <w:bottom w:val="nil"/>
          <w:right w:val="nil"/>
          <w:between w:val="nil"/>
        </w:pBdr>
        <w:ind w:left="1080"/>
        <w:rPr>
          <w:color w:val="000000"/>
        </w:rPr>
      </w:pPr>
    </w:p>
    <w:p w14:paraId="3CEFA591"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b/>
          <w:color w:val="000000"/>
          <w:sz w:val="22"/>
          <w:szCs w:val="22"/>
        </w:rPr>
        <w:t>Cuando, de la secuencia de números y letras, no se advierta un Registro Federal de Contribuyentes o una Clave Única de Registro de Población, que pueda hacer identificable al titular del dato personal, no puede tenerse como dato personal</w:t>
      </w:r>
      <w:r w:rsidRPr="007955F3">
        <w:rPr>
          <w:rFonts w:ascii="Palatino Linotype" w:eastAsia="Palatino Linotype" w:hAnsi="Palatino Linotype" w:cs="Palatino Linotype"/>
          <w:color w:val="000000"/>
          <w:sz w:val="22"/>
          <w:szCs w:val="22"/>
        </w:rPr>
        <w:t xml:space="preserve">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0AF813E"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7FE11FE"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Las cadenas originales y sellos que se agregan a las facturas</w:t>
      </w:r>
      <w:r w:rsidRPr="007955F3">
        <w:rPr>
          <w:rFonts w:ascii="Palatino Linotype" w:eastAsia="Palatino Linotype" w:hAnsi="Palatino Linotype" w:cs="Palatino Linotype"/>
          <w:b/>
          <w:color w:val="000000"/>
          <w:sz w:val="22"/>
          <w:szCs w:val="22"/>
        </w:rPr>
        <w:t>,</w:t>
      </w:r>
      <w:r w:rsidRPr="007955F3">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690541BF"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w:t>
      </w:r>
    </w:p>
    <w:p w14:paraId="09B81BA0"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“Elementos utilizados en la generación de Sellos Digitales:</w:t>
      </w:r>
    </w:p>
    <w:p w14:paraId="7708776D"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i/>
          <w:sz w:val="22"/>
          <w:szCs w:val="22"/>
        </w:rPr>
        <w:tab/>
        <w:t>Cadena Original, el elemento a sellar, en este caso de un comprobante fiscal digital a través de Internet.</w:t>
      </w:r>
    </w:p>
    <w:p w14:paraId="1ADA9A8B"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lastRenderedPageBreak/>
        <w:t>•</w:t>
      </w:r>
      <w:r w:rsidRPr="007955F3">
        <w:rPr>
          <w:rFonts w:ascii="Palatino Linotype" w:eastAsia="Palatino Linotype" w:hAnsi="Palatino Linotype" w:cs="Palatino Linotype"/>
          <w:i/>
          <w:sz w:val="22"/>
          <w:szCs w:val="22"/>
        </w:rPr>
        <w:tab/>
        <w:t>Certificado de Sello Digital y su correspondiente clave privada.</w:t>
      </w:r>
    </w:p>
    <w:p w14:paraId="4F678968"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i/>
          <w:sz w:val="22"/>
          <w:szCs w:val="22"/>
        </w:rPr>
        <w:tab/>
        <w:t>Algoritmos de criptografía de clave pública para firma electrónica avanzada.</w:t>
      </w:r>
    </w:p>
    <w:p w14:paraId="520F3C7D"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i/>
          <w:sz w:val="22"/>
          <w:szCs w:val="22"/>
        </w:rPr>
        <w:tab/>
        <w:t>Especificaciones de conversión de la firma electrónica avanzada a Base 64.</w:t>
      </w:r>
    </w:p>
    <w:p w14:paraId="2D905BDB"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Para la generación de sellos digitales se utiliza criptografía de clave pública aplicada a una cadena original.</w:t>
      </w:r>
    </w:p>
    <w:p w14:paraId="1620AF3C" w14:textId="77777777" w:rsidR="00F47683" w:rsidRPr="007955F3" w:rsidRDefault="00F47683">
      <w:pPr>
        <w:spacing w:line="360" w:lineRule="auto"/>
        <w:ind w:left="567" w:right="539"/>
        <w:jc w:val="both"/>
        <w:rPr>
          <w:rFonts w:ascii="Palatino Linotype" w:eastAsia="Palatino Linotype" w:hAnsi="Palatino Linotype" w:cs="Palatino Linotype"/>
          <w:i/>
          <w:sz w:val="22"/>
          <w:szCs w:val="22"/>
        </w:rPr>
      </w:pPr>
    </w:p>
    <w:p w14:paraId="7EEF5FFE"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Criptografía de la Clave Pública</w:t>
      </w:r>
    </w:p>
    <w:p w14:paraId="40429340" w14:textId="77777777" w:rsidR="00F47683" w:rsidRPr="007955F3" w:rsidRDefault="00550645">
      <w:pPr>
        <w:spacing w:line="360" w:lineRule="auto"/>
        <w:ind w:left="567" w:right="539"/>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sidRPr="007955F3">
        <w:rPr>
          <w:rFonts w:ascii="Palatino Linotype" w:eastAsia="Palatino Linotype" w:hAnsi="Palatino Linotype" w:cs="Palatino Linotype"/>
          <w:i/>
          <w:sz w:val="22"/>
          <w:szCs w:val="22"/>
        </w:rPr>
        <w:t>encripción</w:t>
      </w:r>
      <w:proofErr w:type="spellEnd"/>
      <w:r w:rsidRPr="007955F3">
        <w:rPr>
          <w:rFonts w:ascii="Palatino Linotype" w:eastAsia="Palatino Linotype" w:hAnsi="Palatino Linotype" w:cs="Palatino Linotype"/>
          <w:i/>
          <w:sz w:val="22"/>
          <w:szCs w:val="22"/>
        </w:rPr>
        <w:t xml:space="preserve"> sobre un mensaje tomando como clave de </w:t>
      </w:r>
      <w:proofErr w:type="spellStart"/>
      <w:r w:rsidRPr="007955F3">
        <w:rPr>
          <w:rFonts w:ascii="Palatino Linotype" w:eastAsia="Palatino Linotype" w:hAnsi="Palatino Linotype" w:cs="Palatino Linotype"/>
          <w:i/>
          <w:sz w:val="22"/>
          <w:szCs w:val="22"/>
        </w:rPr>
        <w:t>encripción</w:t>
      </w:r>
      <w:proofErr w:type="spellEnd"/>
      <w:r w:rsidRPr="007955F3">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sidRPr="007955F3">
        <w:rPr>
          <w:rFonts w:ascii="Palatino Linotype" w:eastAsia="Palatino Linotype" w:hAnsi="Palatino Linotype" w:cs="Palatino Linotype"/>
          <w:i/>
          <w:sz w:val="22"/>
          <w:szCs w:val="22"/>
        </w:rPr>
        <w:t>desencripción</w:t>
      </w:r>
      <w:proofErr w:type="spellEnd"/>
      <w:r w:rsidRPr="007955F3">
        <w:rPr>
          <w:rFonts w:ascii="Palatino Linotype" w:eastAsia="Palatino Linotype" w:hAnsi="Palatino Linotype" w:cs="Palatino Linotype"/>
          <w:i/>
          <w:sz w:val="22"/>
          <w:szCs w:val="22"/>
        </w:rPr>
        <w:t xml:space="preserve"> correspondiente tomando como clave de </w:t>
      </w:r>
      <w:proofErr w:type="spellStart"/>
      <w:r w:rsidRPr="007955F3">
        <w:rPr>
          <w:rFonts w:ascii="Palatino Linotype" w:eastAsia="Palatino Linotype" w:hAnsi="Palatino Linotype" w:cs="Palatino Linotype"/>
          <w:i/>
          <w:sz w:val="22"/>
          <w:szCs w:val="22"/>
        </w:rPr>
        <w:t>desencripción</w:t>
      </w:r>
      <w:proofErr w:type="spellEnd"/>
      <w:r w:rsidRPr="007955F3">
        <w:rPr>
          <w:rFonts w:ascii="Palatino Linotype" w:eastAsia="Palatino Linotype" w:hAnsi="Palatino Linotype" w:cs="Palatino Linotype"/>
          <w:i/>
          <w:sz w:val="22"/>
          <w:szCs w:val="22"/>
        </w:rPr>
        <w:t xml:space="preserve"> al otro número de la pareja.”</w:t>
      </w:r>
    </w:p>
    <w:p w14:paraId="5517E161"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w:t>
      </w:r>
    </w:p>
    <w:p w14:paraId="102E2BFF"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65A7C60"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8624531"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w:t>
      </w:r>
      <w:r w:rsidRPr="007955F3">
        <w:rPr>
          <w:rFonts w:ascii="Palatino Linotype" w:eastAsia="Palatino Linotype" w:hAnsi="Palatino Linotype" w:cs="Palatino Linotype"/>
          <w:color w:val="000000"/>
          <w:sz w:val="22"/>
          <w:szCs w:val="22"/>
        </w:rPr>
        <w:lastRenderedPageBreak/>
        <w:t>digitales, compuesto por 5 grupos de números y letras separados por guiones, tal como se muestra a continuación:</w:t>
      </w:r>
    </w:p>
    <w:p w14:paraId="1D054C3C"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w:t>
      </w:r>
    </w:p>
    <w:p w14:paraId="6F4A4EB2" w14:textId="77777777" w:rsidR="00F47683" w:rsidRPr="007955F3" w:rsidRDefault="00550645">
      <w:pPr>
        <w:spacing w:line="360" w:lineRule="auto"/>
        <w:jc w:val="center"/>
        <w:rPr>
          <w:rFonts w:ascii="Palatino Linotype" w:eastAsia="Palatino Linotype" w:hAnsi="Palatino Linotype" w:cs="Palatino Linotype"/>
          <w:sz w:val="22"/>
          <w:szCs w:val="22"/>
        </w:rPr>
      </w:pPr>
      <w:r w:rsidRPr="007955F3">
        <w:rPr>
          <w:rFonts w:ascii="Palatino Linotype" w:eastAsia="Palatino Linotype" w:hAnsi="Palatino Linotype" w:cs="Palatino Linotype"/>
          <w:noProof/>
          <w:sz w:val="22"/>
          <w:szCs w:val="22"/>
          <w:lang w:val="es-MX"/>
        </w:rPr>
        <w:drawing>
          <wp:inline distT="0" distB="0" distL="0" distR="0" wp14:anchorId="28482640" wp14:editId="72F02277">
            <wp:extent cx="5823257" cy="440926"/>
            <wp:effectExtent l="0" t="0" r="0" b="0"/>
            <wp:docPr id="20476549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40505" r="32587" b="47481"/>
                    <a:stretch>
                      <a:fillRect/>
                    </a:stretch>
                  </pic:blipFill>
                  <pic:spPr>
                    <a:xfrm>
                      <a:off x="0" y="0"/>
                      <a:ext cx="5823257" cy="440926"/>
                    </a:xfrm>
                    <a:prstGeom prst="rect">
                      <a:avLst/>
                    </a:prstGeom>
                    <a:ln/>
                  </pic:spPr>
                </pic:pic>
              </a:graphicData>
            </a:graphic>
          </wp:inline>
        </w:drawing>
      </w:r>
    </w:p>
    <w:p w14:paraId="10B9E5A6" w14:textId="77777777" w:rsidR="00F47683" w:rsidRPr="007955F3" w:rsidRDefault="00F47683">
      <w:pPr>
        <w:spacing w:line="360" w:lineRule="auto"/>
        <w:jc w:val="center"/>
        <w:rPr>
          <w:rFonts w:ascii="Palatino Linotype" w:eastAsia="Palatino Linotype" w:hAnsi="Palatino Linotype" w:cs="Palatino Linotype"/>
          <w:sz w:val="22"/>
          <w:szCs w:val="22"/>
        </w:rPr>
      </w:pPr>
    </w:p>
    <w:p w14:paraId="46ABC2D5" w14:textId="77777777" w:rsidR="00F47683" w:rsidRPr="007955F3" w:rsidRDefault="005506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 </w:t>
      </w:r>
    </w:p>
    <w:p w14:paraId="465E41B1" w14:textId="77777777" w:rsidR="00F47683" w:rsidRPr="007955F3" w:rsidRDefault="00F4768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90AF4C0"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De lo anteriormente transcrito, se aprecia que la versión pública que remitió el Sujeto Obligado resulta excesiva, pues se pretende clasificar información que es de carácter pública, tal como como sellos, cadenas digitales, folio fiscal, así como certificados.</w:t>
      </w:r>
    </w:p>
    <w:p w14:paraId="245C2E3D" w14:textId="77777777" w:rsidR="00F47683" w:rsidRPr="007955F3" w:rsidRDefault="00F47683">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p>
    <w:p w14:paraId="7F668E62" w14:textId="77777777" w:rsidR="00F47683" w:rsidRPr="007955F3" w:rsidRDefault="00550645">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color w:val="000000"/>
          <w:sz w:val="22"/>
          <w:szCs w:val="22"/>
        </w:rPr>
        <w:t>Por lo anterior, se ORDENA entregar nuevamente los recibos de nómina remitidos en respuesta en una correcta versión pública, para tal efecto, deberá estar a lo dispuesto en el Considerando QUINTO de la presente resolución.</w:t>
      </w:r>
    </w:p>
    <w:p w14:paraId="1C713699" w14:textId="77777777" w:rsidR="00F47683" w:rsidRPr="007955F3" w:rsidRDefault="00F47683">
      <w:pPr>
        <w:tabs>
          <w:tab w:val="left" w:pos="567"/>
        </w:tabs>
        <w:spacing w:line="360" w:lineRule="auto"/>
        <w:jc w:val="both"/>
        <w:rPr>
          <w:rFonts w:ascii="Palatino Linotype" w:eastAsia="Palatino Linotype" w:hAnsi="Palatino Linotype" w:cs="Palatino Linotype"/>
          <w:sz w:val="22"/>
          <w:szCs w:val="22"/>
        </w:rPr>
      </w:pPr>
    </w:p>
    <w:p w14:paraId="3E483BC3" w14:textId="77777777" w:rsidR="00F47683" w:rsidRPr="007955F3" w:rsidRDefault="00550645">
      <w:pPr>
        <w:tabs>
          <w:tab w:val="left" w:pos="567"/>
        </w:tabs>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Por último y no menos importante, de la respuesta proporcionada por el Sujeto Obligado, se advierte que se dejaron a la vista datos personales, tales como cuotas sindicales, las cuales no están sujetas al escrutinio público, por corresponder a recursos privados que aportan los trabajadores afiliados. Sirve de sustento el criterio orientador 009/2017 del entonces Instituto </w:t>
      </w:r>
      <w:r w:rsidRPr="007955F3">
        <w:rPr>
          <w:rFonts w:ascii="Palatino Linotype" w:eastAsia="Palatino Linotype" w:hAnsi="Palatino Linotype" w:cs="Palatino Linotype"/>
          <w:sz w:val="22"/>
          <w:szCs w:val="22"/>
        </w:rPr>
        <w:lastRenderedPageBreak/>
        <w:t>Nacional de Transparencia, Acceso a la Información y Protección de Datos Personales, cuyo rubro y texto disponen lo siguiente:</w:t>
      </w:r>
    </w:p>
    <w:p w14:paraId="742979CF" w14:textId="77777777" w:rsidR="00F47683" w:rsidRPr="007955F3" w:rsidRDefault="00F47683">
      <w:pPr>
        <w:tabs>
          <w:tab w:val="left" w:pos="567"/>
        </w:tabs>
        <w:spacing w:line="360" w:lineRule="auto"/>
        <w:jc w:val="both"/>
        <w:rPr>
          <w:rFonts w:ascii="Palatino Linotype" w:eastAsia="Palatino Linotype" w:hAnsi="Palatino Linotype" w:cs="Palatino Linotype"/>
          <w:sz w:val="22"/>
          <w:szCs w:val="22"/>
        </w:rPr>
      </w:pPr>
    </w:p>
    <w:p w14:paraId="7632EF76"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Cuotas sindicales. No están sujetas al escrutinio público.</w:t>
      </w:r>
      <w:r w:rsidRPr="007955F3">
        <w:rPr>
          <w:rFonts w:ascii="Palatino Linotype" w:eastAsia="Palatino Linotype" w:hAnsi="Palatino Linotype" w:cs="Palatino Linotype"/>
          <w:i/>
          <w:sz w:val="22"/>
          <w:szCs w:val="22"/>
        </w:rPr>
        <w:t xml:space="preserve"> La información relativa a las cuotas sindicales no se encuentra sujeta al escrutinio público mandatado por la Ley General de Transparencia y Acceso a la Información Pública y la Ley Federal de Transparencia y Acceso a la Información Pública, ya que las mismas provienen de recursos privados que aportan los trabajadores afiliados.</w:t>
      </w:r>
    </w:p>
    <w:p w14:paraId="1B19660D" w14:textId="77777777" w:rsidR="00F47683" w:rsidRPr="007955F3" w:rsidRDefault="00F47683">
      <w:pPr>
        <w:ind w:left="567" w:right="616"/>
        <w:jc w:val="both"/>
        <w:rPr>
          <w:rFonts w:ascii="Palatino Linotype" w:eastAsia="Palatino Linotype" w:hAnsi="Palatino Linotype" w:cs="Palatino Linotype"/>
          <w:i/>
          <w:color w:val="000000"/>
          <w:sz w:val="22"/>
          <w:szCs w:val="22"/>
        </w:rPr>
      </w:pPr>
    </w:p>
    <w:p w14:paraId="386CAEA8" w14:textId="77777777" w:rsidR="00F47683" w:rsidRPr="007955F3" w:rsidRDefault="00550645">
      <w:pPr>
        <w:ind w:left="567" w:right="616"/>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t>Precedentes:</w:t>
      </w:r>
    </w:p>
    <w:p w14:paraId="3C7523C5" w14:textId="77777777" w:rsidR="00F47683" w:rsidRPr="007955F3" w:rsidRDefault="00550645">
      <w:pPr>
        <w:numPr>
          <w:ilvl w:val="0"/>
          <w:numId w:val="13"/>
        </w:numPr>
        <w:pBdr>
          <w:top w:val="nil"/>
          <w:left w:val="nil"/>
          <w:bottom w:val="nil"/>
          <w:right w:val="nil"/>
          <w:between w:val="nil"/>
        </w:pBdr>
        <w:ind w:left="851" w:right="616" w:hanging="357"/>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 xml:space="preserve">Acceso a la información pública. RRA 4169/16.  Sesión del 22 de febrero de 2017. Votación por unanimidad. Sin votos disidentes o particulares. Sindicato Nacional de Trabajadores de la Secretaría de Comunicaciones y Transportes. Comisionada Ponente María Patricia </w:t>
      </w:r>
      <w:proofErr w:type="spellStart"/>
      <w:r w:rsidRPr="007955F3">
        <w:rPr>
          <w:rFonts w:ascii="Palatino Linotype" w:eastAsia="Palatino Linotype" w:hAnsi="Palatino Linotype" w:cs="Palatino Linotype"/>
          <w:i/>
          <w:color w:val="000000"/>
          <w:sz w:val="22"/>
          <w:szCs w:val="22"/>
        </w:rPr>
        <w:t>Kurczyn</w:t>
      </w:r>
      <w:proofErr w:type="spellEnd"/>
      <w:r w:rsidRPr="007955F3">
        <w:rPr>
          <w:rFonts w:ascii="Palatino Linotype" w:eastAsia="Palatino Linotype" w:hAnsi="Palatino Linotype" w:cs="Palatino Linotype"/>
          <w:i/>
          <w:color w:val="000000"/>
          <w:sz w:val="22"/>
          <w:szCs w:val="22"/>
        </w:rPr>
        <w:t xml:space="preserve"> Villalobos. </w:t>
      </w:r>
    </w:p>
    <w:p w14:paraId="74EA1401" w14:textId="77777777" w:rsidR="00F47683" w:rsidRPr="007955F3" w:rsidRDefault="00550645">
      <w:pPr>
        <w:numPr>
          <w:ilvl w:val="0"/>
          <w:numId w:val="13"/>
        </w:numPr>
        <w:pBdr>
          <w:top w:val="nil"/>
          <w:left w:val="nil"/>
          <w:bottom w:val="nil"/>
          <w:right w:val="nil"/>
          <w:between w:val="nil"/>
        </w:pBdr>
        <w:ind w:left="851" w:right="616" w:hanging="357"/>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 xml:space="preserve">Acceso a la información pública. RRA 0089/17.  Sesión del 22 de febrero de 2017. Votación por unanimidad. Sin votos disidentes o particulares. Sindicato Nacional de Trabajadores de la Educación. Comisionado Ponente </w:t>
      </w:r>
      <w:proofErr w:type="spellStart"/>
      <w:r w:rsidRPr="007955F3">
        <w:rPr>
          <w:rFonts w:ascii="Palatino Linotype" w:eastAsia="Palatino Linotype" w:hAnsi="Palatino Linotype" w:cs="Palatino Linotype"/>
          <w:i/>
          <w:color w:val="000000"/>
          <w:sz w:val="22"/>
          <w:szCs w:val="22"/>
        </w:rPr>
        <w:t>Rosendoevgueni</w:t>
      </w:r>
      <w:proofErr w:type="spellEnd"/>
      <w:r w:rsidRPr="007955F3">
        <w:rPr>
          <w:rFonts w:ascii="Palatino Linotype" w:eastAsia="Palatino Linotype" w:hAnsi="Palatino Linotype" w:cs="Palatino Linotype"/>
          <w:i/>
          <w:color w:val="000000"/>
          <w:sz w:val="22"/>
          <w:szCs w:val="22"/>
        </w:rPr>
        <w:t xml:space="preserve"> Monterrey </w:t>
      </w:r>
      <w:proofErr w:type="spellStart"/>
      <w:r w:rsidRPr="007955F3">
        <w:rPr>
          <w:rFonts w:ascii="Palatino Linotype" w:eastAsia="Palatino Linotype" w:hAnsi="Palatino Linotype" w:cs="Palatino Linotype"/>
          <w:i/>
          <w:color w:val="000000"/>
          <w:sz w:val="22"/>
          <w:szCs w:val="22"/>
        </w:rPr>
        <w:t>Chepov</w:t>
      </w:r>
      <w:proofErr w:type="spellEnd"/>
      <w:r w:rsidRPr="007955F3">
        <w:rPr>
          <w:rFonts w:ascii="Palatino Linotype" w:eastAsia="Palatino Linotype" w:hAnsi="Palatino Linotype" w:cs="Palatino Linotype"/>
          <w:i/>
          <w:color w:val="000000"/>
          <w:sz w:val="22"/>
          <w:szCs w:val="22"/>
        </w:rPr>
        <w:t xml:space="preserve">. </w:t>
      </w:r>
    </w:p>
    <w:p w14:paraId="530E6997" w14:textId="77777777" w:rsidR="00F47683" w:rsidRPr="007955F3" w:rsidRDefault="00550645">
      <w:pPr>
        <w:numPr>
          <w:ilvl w:val="0"/>
          <w:numId w:val="13"/>
        </w:numPr>
        <w:pBdr>
          <w:top w:val="nil"/>
          <w:left w:val="nil"/>
          <w:bottom w:val="nil"/>
          <w:right w:val="nil"/>
          <w:between w:val="nil"/>
        </w:pBdr>
        <w:ind w:left="851" w:right="616" w:hanging="357"/>
        <w:jc w:val="both"/>
        <w:rPr>
          <w:rFonts w:ascii="Palatino Linotype" w:eastAsia="Palatino Linotype" w:hAnsi="Palatino Linotype" w:cs="Palatino Linotype"/>
          <w:i/>
          <w:color w:val="000000"/>
          <w:sz w:val="22"/>
          <w:szCs w:val="22"/>
        </w:rPr>
      </w:pPr>
      <w:r w:rsidRPr="007955F3">
        <w:rPr>
          <w:rFonts w:ascii="Palatino Linotype" w:eastAsia="Palatino Linotype" w:hAnsi="Palatino Linotype" w:cs="Palatino Linotype"/>
          <w:i/>
          <w:color w:val="000000"/>
          <w:sz w:val="22"/>
          <w:szCs w:val="22"/>
        </w:rPr>
        <w:t>Acceso a la información pública. RRA 0304/17. Sesión del 01 de marzo de 2017. Votación por unanimidad. Sin votos disidentes o particulares. Sindicato Nacional de Trabajadores del Instituto de Seguridad y Servicios Sociales de los Trabajadores del Estado. Comisionado Ponente Oscar Mauricio Guerra Ford.</w:t>
      </w:r>
    </w:p>
    <w:p w14:paraId="6AF5B02D" w14:textId="77777777" w:rsidR="00F47683" w:rsidRPr="007955F3" w:rsidRDefault="00F47683">
      <w:pPr>
        <w:tabs>
          <w:tab w:val="left" w:pos="567"/>
        </w:tabs>
        <w:spacing w:line="360" w:lineRule="auto"/>
        <w:jc w:val="both"/>
        <w:rPr>
          <w:rFonts w:ascii="Palatino Linotype" w:eastAsia="Palatino Linotype" w:hAnsi="Palatino Linotype" w:cs="Palatino Linotype"/>
          <w:sz w:val="22"/>
          <w:szCs w:val="22"/>
        </w:rPr>
      </w:pPr>
    </w:p>
    <w:p w14:paraId="6E74A4E2" w14:textId="77777777" w:rsidR="00F47683" w:rsidRPr="007955F3" w:rsidRDefault="00F47683">
      <w:pPr>
        <w:tabs>
          <w:tab w:val="left" w:pos="567"/>
        </w:tabs>
        <w:spacing w:line="360" w:lineRule="auto"/>
        <w:jc w:val="both"/>
        <w:rPr>
          <w:rFonts w:ascii="Palatino Linotype" w:eastAsia="Palatino Linotype" w:hAnsi="Palatino Linotype" w:cs="Palatino Linotype"/>
          <w:sz w:val="22"/>
          <w:szCs w:val="22"/>
        </w:rPr>
      </w:pPr>
    </w:p>
    <w:p w14:paraId="0BE659BB" w14:textId="77777777" w:rsidR="00F47683" w:rsidRPr="007955F3" w:rsidRDefault="00550645">
      <w:pPr>
        <w:tabs>
          <w:tab w:val="left" w:pos="567"/>
        </w:tabs>
        <w:spacing w:line="360" w:lineRule="auto"/>
        <w:jc w:val="both"/>
        <w:rPr>
          <w:rFonts w:ascii="Palatino Linotype" w:eastAsia="Palatino Linotype" w:hAnsi="Palatino Linotype" w:cs="Palatino Linotype"/>
          <w:color w:val="000000"/>
          <w:sz w:val="22"/>
          <w:szCs w:val="22"/>
        </w:rPr>
      </w:pPr>
      <w:r w:rsidRPr="007955F3">
        <w:rPr>
          <w:rFonts w:ascii="Palatino Linotype" w:eastAsia="Palatino Linotype" w:hAnsi="Palatino Linotype" w:cs="Palatino Linotype"/>
          <w:sz w:val="22"/>
          <w:szCs w:val="22"/>
        </w:rPr>
        <w:t xml:space="preserve"> En consecuencia, al haberse dejado a la vista en los recibos de nómina remitidos en respuesta, es necesario dar vista </w:t>
      </w:r>
      <w:r w:rsidRPr="007955F3">
        <w:rPr>
          <w:rFonts w:ascii="Palatino Linotype" w:eastAsia="Palatino Linotype" w:hAnsi="Palatino Linotype" w:cs="Palatino Linotype"/>
          <w:color w:val="000000"/>
          <w:sz w:val="22"/>
          <w:szCs w:val="22"/>
        </w:rPr>
        <w:t>a la Dirección General de Protección de Datos Personales de este Organismo Garante para que determina lo conducente.</w:t>
      </w:r>
    </w:p>
    <w:p w14:paraId="1F0D1681" w14:textId="77777777" w:rsidR="00F47683" w:rsidRPr="007955F3" w:rsidRDefault="00F47683">
      <w:pPr>
        <w:tabs>
          <w:tab w:val="left" w:pos="567"/>
        </w:tabs>
        <w:spacing w:line="360" w:lineRule="auto"/>
        <w:jc w:val="both"/>
        <w:rPr>
          <w:rFonts w:ascii="Palatino Linotype" w:eastAsia="Palatino Linotype" w:hAnsi="Palatino Linotype" w:cs="Palatino Linotype"/>
          <w:color w:val="000000"/>
          <w:sz w:val="22"/>
          <w:szCs w:val="22"/>
        </w:rPr>
      </w:pPr>
    </w:p>
    <w:p w14:paraId="542515D9" w14:textId="77777777" w:rsidR="00F47683" w:rsidRPr="007955F3" w:rsidRDefault="00550645">
      <w:pPr>
        <w:tabs>
          <w:tab w:val="left" w:pos="567"/>
        </w:tabs>
        <w:spacing w:line="360" w:lineRule="auto"/>
        <w:jc w:val="both"/>
        <w:rPr>
          <w:rFonts w:ascii="Palatino Linotype" w:eastAsia="Palatino Linotype" w:hAnsi="Palatino Linotype" w:cs="Palatino Linotype"/>
          <w:b/>
          <w:sz w:val="22"/>
          <w:szCs w:val="22"/>
        </w:rPr>
      </w:pPr>
      <w:r w:rsidRPr="007955F3">
        <w:rPr>
          <w:rFonts w:ascii="Palatino Linotype" w:eastAsia="Palatino Linotype" w:hAnsi="Palatino Linotype" w:cs="Palatino Linotype"/>
          <w:b/>
          <w:sz w:val="22"/>
          <w:szCs w:val="22"/>
        </w:rPr>
        <w:t>Quinto. De la versión pública.</w:t>
      </w:r>
    </w:p>
    <w:p w14:paraId="2DC40E82" w14:textId="77777777" w:rsidR="00F47683" w:rsidRPr="007955F3" w:rsidRDefault="00F47683">
      <w:pPr>
        <w:tabs>
          <w:tab w:val="left" w:pos="567"/>
        </w:tabs>
        <w:spacing w:line="360" w:lineRule="auto"/>
        <w:jc w:val="both"/>
        <w:rPr>
          <w:rFonts w:ascii="Palatino Linotype" w:eastAsia="Palatino Linotype" w:hAnsi="Palatino Linotype" w:cs="Palatino Linotype"/>
          <w:b/>
          <w:sz w:val="22"/>
          <w:szCs w:val="22"/>
        </w:rPr>
      </w:pPr>
    </w:p>
    <w:p w14:paraId="556D618C"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60442D45"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3289A21C"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De ser el caso, se debe elaborar la versión pública de los documentos que vaya a entregar para dar cumplimiento al mandato constitucional de acceso a la información pública, sin menoscabar el derecho a la protección de los datos personales de terceros.</w:t>
      </w:r>
    </w:p>
    <w:p w14:paraId="651CD12E"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1D91B6B7" w14:textId="77777777" w:rsidR="00F47683" w:rsidRPr="007955F3" w:rsidRDefault="00550645">
      <w:pPr>
        <w:spacing w:line="360" w:lineRule="auto"/>
        <w:ind w:right="50"/>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7A1B5E9F" w14:textId="77777777" w:rsidR="00F47683" w:rsidRPr="007955F3" w:rsidRDefault="00F47683">
      <w:pPr>
        <w:spacing w:line="360" w:lineRule="auto"/>
        <w:ind w:right="50"/>
        <w:jc w:val="both"/>
        <w:rPr>
          <w:rFonts w:ascii="Palatino Linotype" w:eastAsia="Palatino Linotype" w:hAnsi="Palatino Linotype" w:cs="Palatino Linotype"/>
          <w:sz w:val="22"/>
          <w:szCs w:val="22"/>
        </w:rPr>
      </w:pPr>
    </w:p>
    <w:p w14:paraId="0709F94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b/>
          <w:i/>
          <w:sz w:val="22"/>
          <w:szCs w:val="22"/>
        </w:rPr>
        <w:t>Artículo 3.</w:t>
      </w:r>
      <w:r w:rsidRPr="007955F3">
        <w:rPr>
          <w:rFonts w:ascii="Palatino Linotype" w:eastAsia="Palatino Linotype" w:hAnsi="Palatino Linotype" w:cs="Palatino Linotype"/>
          <w:i/>
          <w:sz w:val="22"/>
          <w:szCs w:val="22"/>
        </w:rPr>
        <w:t xml:space="preserve"> Para los efectos de la presente Ley se entenderá por:</w:t>
      </w:r>
    </w:p>
    <w:p w14:paraId="24AD6BB8"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2C0A3189"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1E1B1762"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XX. Información clasificada: Aquella considerada por la presente Ley como reservada o confidencial;</w:t>
      </w:r>
    </w:p>
    <w:p w14:paraId="105CD070"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B51740"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549E5CA"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5F0153A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Artículo 91.</w:t>
      </w:r>
      <w:r w:rsidRPr="007955F3">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0F3A66E"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Artículo 132.</w:t>
      </w:r>
      <w:r w:rsidRPr="007955F3">
        <w:rPr>
          <w:rFonts w:ascii="Palatino Linotype" w:eastAsia="Palatino Linotype" w:hAnsi="Palatino Linotype" w:cs="Palatino Linotype"/>
          <w:i/>
          <w:sz w:val="22"/>
          <w:szCs w:val="22"/>
        </w:rPr>
        <w:t xml:space="preserve"> La clasificación de la información se llevará a cabo en el momento en que:</w:t>
      </w:r>
    </w:p>
    <w:p w14:paraId="2E44A59A" w14:textId="77777777" w:rsidR="00F47683" w:rsidRPr="007955F3" w:rsidRDefault="00550645">
      <w:pPr>
        <w:tabs>
          <w:tab w:val="left" w:pos="1134"/>
        </w:tabs>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 Se reciba una solicitud de acceso a la información;</w:t>
      </w:r>
    </w:p>
    <w:p w14:paraId="1A91BE0B" w14:textId="77777777" w:rsidR="00F47683" w:rsidRPr="007955F3" w:rsidRDefault="00550645">
      <w:pPr>
        <w:tabs>
          <w:tab w:val="left" w:pos="1134"/>
        </w:tabs>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 Se determine mediante resolución de autoridad competente; o</w:t>
      </w:r>
    </w:p>
    <w:p w14:paraId="64346F34" w14:textId="77777777" w:rsidR="00F47683" w:rsidRPr="007955F3" w:rsidRDefault="00550645">
      <w:pPr>
        <w:tabs>
          <w:tab w:val="left" w:pos="1134"/>
        </w:tabs>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III. Se generen versiones públicas para dar cumplimiento a las obligaciones de transparencia previstas en esta Ley.</w:t>
      </w:r>
    </w:p>
    <w:p w14:paraId="4A9B1B78"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3B79B4E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Artículo 143</w:t>
      </w:r>
      <w:r w:rsidRPr="007955F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71E6B8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5109AF8"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9161661"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lastRenderedPageBreak/>
        <w:t>III. La que presenten los particulares a los sujetos obligados, de conformidad con lo dispuesto por las leyes o los tratados internacionales.</w:t>
      </w:r>
    </w:p>
    <w:p w14:paraId="7F654B7F"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C0E332E"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7CE6936" w14:textId="77777777" w:rsidR="00F47683" w:rsidRPr="007955F3" w:rsidRDefault="00F47683">
      <w:pPr>
        <w:ind w:left="567" w:right="616"/>
        <w:jc w:val="both"/>
        <w:rPr>
          <w:rFonts w:ascii="Palatino Linotype" w:eastAsia="Palatino Linotype" w:hAnsi="Palatino Linotype" w:cs="Palatino Linotype"/>
          <w:i/>
          <w:sz w:val="22"/>
          <w:szCs w:val="22"/>
        </w:rPr>
      </w:pPr>
    </w:p>
    <w:p w14:paraId="44A74669"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045057B"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52F029A2"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7955F3">
        <w:rPr>
          <w:rFonts w:ascii="Palatino Linotype" w:eastAsia="Palatino Linotype" w:hAnsi="Palatino Linotype" w:cs="Palatino Linotype"/>
          <w:b/>
          <w:sz w:val="22"/>
          <w:szCs w:val="22"/>
        </w:rPr>
        <w:t>señalan las formalidades que deberá llevar el acuerdo de clasificación que deberá emitir el Sujeto Obligado,</w:t>
      </w:r>
      <w:r w:rsidRPr="007955F3">
        <w:rPr>
          <w:rFonts w:ascii="Palatino Linotype" w:eastAsia="Palatino Linotype" w:hAnsi="Palatino Linotype" w:cs="Palatino Linotype"/>
          <w:sz w:val="22"/>
          <w:szCs w:val="22"/>
        </w:rPr>
        <w:t xml:space="preserve"> siendo estas las siguientes:</w:t>
      </w:r>
    </w:p>
    <w:p w14:paraId="6279FF8B"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7D4D7393"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 “</w:t>
      </w:r>
      <w:r w:rsidRPr="007955F3">
        <w:rPr>
          <w:rFonts w:ascii="Palatino Linotype" w:eastAsia="Palatino Linotype" w:hAnsi="Palatino Linotype" w:cs="Palatino Linotype"/>
          <w:b/>
          <w:i/>
          <w:sz w:val="22"/>
          <w:szCs w:val="22"/>
        </w:rPr>
        <w:t>Quincuagésimo</w:t>
      </w:r>
      <w:r w:rsidRPr="007955F3">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F57C6D0"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Quincuagésimo primero.</w:t>
      </w:r>
      <w:r w:rsidRPr="007955F3">
        <w:rPr>
          <w:rFonts w:ascii="Palatino Linotype" w:eastAsia="Palatino Linotype" w:hAnsi="Palatino Linotype" w:cs="Palatino Linotype"/>
          <w:i/>
          <w:sz w:val="22"/>
          <w:szCs w:val="22"/>
        </w:rPr>
        <w:t xml:space="preserve"> Toda acta del Comité de Transparencia deberá contener: </w:t>
      </w:r>
    </w:p>
    <w:p w14:paraId="0572EF82"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 El número de sesión y fecha; </w:t>
      </w:r>
    </w:p>
    <w:p w14:paraId="255B0ED1"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 El nombre del área que solicitó la clasificación de información; </w:t>
      </w:r>
    </w:p>
    <w:p w14:paraId="3154316F"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III. La fundamentación legal y motivación correspondiente; </w:t>
      </w:r>
    </w:p>
    <w:p w14:paraId="05F92A12"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IV. La resolución o resoluciones aprobadas; y </w:t>
      </w:r>
    </w:p>
    <w:p w14:paraId="42CFB79A"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V. La rúbrica o firma digital de cada integrante del Comité de Transparencia. </w:t>
      </w:r>
    </w:p>
    <w:p w14:paraId="35C3583A"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221C7546"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 Los motivos y razonamientos que sustenten la confirmación o modificación de la prueba de daño;</w:t>
      </w:r>
    </w:p>
    <w:p w14:paraId="38CBCDDB"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 Descripción de las partes o secciones reservadas, en caso de clasificación parcial; </w:t>
      </w:r>
    </w:p>
    <w:p w14:paraId="7DA512B6"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III. El periodo por el que mantendrá su clasificación y fecha de expiración; y </w:t>
      </w:r>
    </w:p>
    <w:p w14:paraId="40CBCD3F"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658DD0E9"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C94717C"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5D258AC"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Quincuagésimo segundo.</w:t>
      </w:r>
      <w:r w:rsidRPr="007955F3">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1A081E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5A5007E"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610BFBD"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B986098"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III. Señalar las personas o instancias autorizadas a acceder a la información clasificada.</w:t>
      </w:r>
    </w:p>
    <w:p w14:paraId="2FBE8422"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ADFC8D2"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3627EA2B"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344F5135"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61EB3312" w14:textId="77777777" w:rsidR="00F47683" w:rsidRPr="007955F3" w:rsidRDefault="0055064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r w:rsidRPr="007955F3">
        <w:rPr>
          <w:rFonts w:ascii="Palatino Linotype" w:eastAsia="Palatino Linotype" w:hAnsi="Palatino Linotype" w:cs="Palatino Linotype"/>
          <w:b/>
          <w:i/>
          <w:sz w:val="22"/>
          <w:szCs w:val="22"/>
        </w:rPr>
        <w:t>Quincuagésimo cuarto.</w:t>
      </w:r>
      <w:r w:rsidRPr="007955F3">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7132B0F"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lastRenderedPageBreak/>
        <w:t>Quincuagésimo quinto.</w:t>
      </w:r>
      <w:r w:rsidRPr="007955F3">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7955F3">
        <w:rPr>
          <w:rFonts w:ascii="Palatino Linotype" w:eastAsia="Palatino Linotype" w:hAnsi="Palatino Linotype" w:cs="Palatino Linotype"/>
          <w:i/>
          <w:sz w:val="22"/>
          <w:szCs w:val="22"/>
        </w:rPr>
        <w:t>testado</w:t>
      </w:r>
      <w:proofErr w:type="spellEnd"/>
      <w:r w:rsidRPr="007955F3">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567990B"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w:t>
      </w:r>
    </w:p>
    <w:p w14:paraId="0267167D"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b/>
          <w:i/>
          <w:sz w:val="22"/>
          <w:szCs w:val="22"/>
        </w:rPr>
        <w:t>Quincuagésimo séptimo.</w:t>
      </w:r>
      <w:r w:rsidRPr="007955F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7D66492"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06DD007F"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6768CF3E"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AE365D3"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0C6237F" w14:textId="77777777" w:rsidR="00F47683" w:rsidRPr="007955F3" w:rsidRDefault="00550645">
      <w:pPr>
        <w:ind w:left="567"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C4CA2CB" w14:textId="77777777" w:rsidR="00F47683" w:rsidRPr="007955F3" w:rsidRDefault="00F47683">
      <w:pPr>
        <w:spacing w:line="360" w:lineRule="auto"/>
        <w:ind w:left="567" w:right="616"/>
        <w:jc w:val="both"/>
        <w:rPr>
          <w:rFonts w:ascii="Palatino Linotype" w:eastAsia="Palatino Linotype" w:hAnsi="Palatino Linotype" w:cs="Palatino Linotype"/>
          <w:i/>
          <w:sz w:val="22"/>
          <w:szCs w:val="22"/>
        </w:rPr>
      </w:pPr>
    </w:p>
    <w:p w14:paraId="730E0F8C"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t xml:space="preserve">Es entonces que, </w:t>
      </w:r>
      <w:r w:rsidRPr="007955F3">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7955F3">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7955F3">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Pr="007955F3">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7D776AD6"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694A930B" w14:textId="77777777" w:rsidR="00F47683" w:rsidRPr="007955F3" w:rsidRDefault="00550645">
      <w:pPr>
        <w:spacing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 xml:space="preserve">Asimismo, para que un acuerdo de Comité de Transparencia sea emitido y tenga validez jurídica, es necesario que las versiones públicas estén debidamente realizadas y el </w:t>
      </w:r>
      <w:proofErr w:type="spellStart"/>
      <w:r w:rsidRPr="007955F3">
        <w:rPr>
          <w:rFonts w:ascii="Palatino Linotype" w:eastAsia="Palatino Linotype" w:hAnsi="Palatino Linotype" w:cs="Palatino Linotype"/>
          <w:sz w:val="22"/>
          <w:szCs w:val="22"/>
        </w:rPr>
        <w:t>testado</w:t>
      </w:r>
      <w:proofErr w:type="spellEnd"/>
      <w:r w:rsidRPr="007955F3">
        <w:rPr>
          <w:rFonts w:ascii="Palatino Linotype" w:eastAsia="Palatino Linotype" w:hAnsi="Palatino Linotype" w:cs="Palatino Linotype"/>
          <w:sz w:val="22"/>
          <w:szCs w:val="22"/>
        </w:rPr>
        <w:t xml:space="preserve"> de la información sea correcto. </w:t>
      </w:r>
    </w:p>
    <w:p w14:paraId="6CF7FE36"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00E04912"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 xml:space="preserve">Por otro lado, derivado de la información que se ordena entregar pudiera existir información de la </w:t>
      </w:r>
      <w:r w:rsidRPr="007955F3">
        <w:rPr>
          <w:rFonts w:ascii="Palatino Linotype" w:eastAsia="Palatino Linotype" w:hAnsi="Palatino Linotype" w:cs="Palatino Linotype"/>
          <w:b/>
          <w:color w:val="000000"/>
          <w:sz w:val="22"/>
          <w:szCs w:val="22"/>
        </w:rPr>
        <w:t>Dirección de Seguridad Pública del Ayuntamiento o su equivalente,</w:t>
      </w:r>
      <w:r w:rsidRPr="007955F3">
        <w:rPr>
          <w:rFonts w:ascii="Palatino Linotype" w:eastAsia="Palatino Linotype" w:hAnsi="Palatino Linotype" w:cs="Palatino Linotype"/>
          <w:color w:val="000000"/>
          <w:sz w:val="22"/>
          <w:szCs w:val="22"/>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por lo que deberá testarse de igual manera sólo el nombre de los servidores públicos de la Policía Municipal </w:t>
      </w:r>
      <w:r w:rsidRPr="007955F3">
        <w:rPr>
          <w:rFonts w:ascii="Palatino Linotype" w:eastAsia="Palatino Linotype" w:hAnsi="Palatino Linotype" w:cs="Palatino Linotype"/>
          <w:b/>
          <w:color w:val="000000"/>
          <w:sz w:val="22"/>
          <w:szCs w:val="22"/>
        </w:rPr>
        <w:t>que desempeñen funciones operativas</w:t>
      </w:r>
      <w:r w:rsidRPr="007955F3">
        <w:rPr>
          <w:rFonts w:ascii="Palatino Linotype" w:eastAsia="Palatino Linotype" w:hAnsi="Palatino Linotype" w:cs="Palatino Linotype"/>
          <w:color w:val="000000"/>
          <w:sz w:val="22"/>
          <w:szCs w:val="22"/>
        </w:rPr>
        <w:t>.</w:t>
      </w:r>
    </w:p>
    <w:p w14:paraId="375FD6EF" w14:textId="77777777" w:rsidR="00F47683" w:rsidRPr="007955F3" w:rsidRDefault="00F47683">
      <w:pPr>
        <w:spacing w:line="360" w:lineRule="auto"/>
      </w:pPr>
    </w:p>
    <w:p w14:paraId="72C56CC8"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 xml:space="preserve">Al respecto, la información </w:t>
      </w:r>
      <w:r w:rsidRPr="007955F3">
        <w:rPr>
          <w:rFonts w:ascii="Palatino Linotype" w:eastAsia="Palatino Linotype" w:hAnsi="Palatino Linotype" w:cs="Palatino Linotype"/>
          <w:b/>
          <w:color w:val="000000"/>
          <w:sz w:val="22"/>
          <w:szCs w:val="22"/>
        </w:rPr>
        <w:t>de los elementos que realizan funciones operativas, entre ellos su nombre debe ser protegido</w:t>
      </w:r>
      <w:r w:rsidRPr="007955F3">
        <w:rPr>
          <w:rFonts w:ascii="Palatino Linotype" w:eastAsia="Palatino Linotype" w:hAnsi="Palatino Linotype" w:cs="Palatino Linotype"/>
          <w:color w:val="000000"/>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1AEB37C9" w14:textId="77777777" w:rsidR="00F47683" w:rsidRPr="007955F3" w:rsidRDefault="00F47683">
      <w:pPr>
        <w:spacing w:line="360" w:lineRule="auto"/>
      </w:pPr>
    </w:p>
    <w:p w14:paraId="4CC7C8B3"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w:t>
      </w:r>
      <w:r w:rsidRPr="007955F3">
        <w:rPr>
          <w:rFonts w:ascii="Palatino Linotype" w:eastAsia="Palatino Linotype" w:hAnsi="Palatino Linotype" w:cs="Palatino Linotype"/>
          <w:color w:val="000000"/>
          <w:sz w:val="22"/>
          <w:szCs w:val="22"/>
        </w:rPr>
        <w:lastRenderedPageBreak/>
        <w:t>Información Pública vigente a la fecha de la solicitud,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76B5B16" w14:textId="77777777" w:rsidR="00F47683" w:rsidRPr="007955F3" w:rsidRDefault="00F47683">
      <w:pPr>
        <w:spacing w:line="360" w:lineRule="auto"/>
      </w:pPr>
    </w:p>
    <w:p w14:paraId="5C922F96"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6F386A1A" w14:textId="77777777" w:rsidR="00F47683" w:rsidRPr="007955F3" w:rsidRDefault="00F47683">
      <w:pPr>
        <w:spacing w:line="360" w:lineRule="auto"/>
      </w:pPr>
    </w:p>
    <w:p w14:paraId="624B54C4"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En ese entendido, la leyenda de clasificación que se genere, deberá establecer ambos supuestos de clasificación: reserva y confidencialidad, en congruencia con los requisitos establecidos en los lineamientos citados.</w:t>
      </w:r>
    </w:p>
    <w:p w14:paraId="7EFFBDA3" w14:textId="77777777" w:rsidR="00F47683" w:rsidRPr="007955F3" w:rsidRDefault="00F47683">
      <w:pPr>
        <w:spacing w:line="360" w:lineRule="auto"/>
      </w:pPr>
    </w:p>
    <w:p w14:paraId="341B1FA2"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que establece lo siguiente:</w:t>
      </w:r>
    </w:p>
    <w:p w14:paraId="0F9968CA" w14:textId="77777777" w:rsidR="00F47683" w:rsidRPr="007955F3" w:rsidRDefault="00550645">
      <w:pPr>
        <w:pBdr>
          <w:top w:val="nil"/>
          <w:left w:val="nil"/>
          <w:bottom w:val="nil"/>
          <w:right w:val="nil"/>
          <w:between w:val="nil"/>
        </w:pBdr>
        <w:ind w:left="567" w:right="616"/>
        <w:jc w:val="both"/>
        <w:rPr>
          <w:color w:val="000000"/>
        </w:rPr>
      </w:pPr>
      <w:r w:rsidRPr="007955F3">
        <w:rPr>
          <w:rFonts w:ascii="Palatino Linotype" w:eastAsia="Palatino Linotype" w:hAnsi="Palatino Linotype" w:cs="Palatino Linotype"/>
          <w:b/>
          <w:i/>
          <w:color w:val="000000"/>
          <w:sz w:val="22"/>
          <w:szCs w:val="22"/>
        </w:rPr>
        <w:t>Nombres de servidores públicos dedicados a actividades en materia de seguridad, por excepción pueden considerarse información reservada.</w:t>
      </w:r>
      <w:r w:rsidRPr="007955F3">
        <w:rPr>
          <w:rFonts w:ascii="Palatino Linotype" w:eastAsia="Palatino Linotype" w:hAnsi="Palatino Linotype" w:cs="Palatino Linotype"/>
          <w:i/>
          <w:color w:val="000000"/>
          <w:sz w:val="22"/>
          <w:szCs w:val="22"/>
        </w:rPr>
        <w:t xml:space="preserve"> De conformidad con el artículo 7, fracciones I y III de la Ley Federal de Transparencia y Acceso a la Información Pública Gubernamental el nombre de los servidores públicos es </w:t>
      </w:r>
      <w:r w:rsidRPr="007955F3">
        <w:rPr>
          <w:rFonts w:ascii="Palatino Linotype" w:eastAsia="Palatino Linotype" w:hAnsi="Palatino Linotype" w:cs="Palatino Linotype"/>
          <w:i/>
          <w:color w:val="000000"/>
          <w:sz w:val="22"/>
          <w:szCs w:val="22"/>
        </w:rPr>
        <w:lastRenderedPageBreak/>
        <w:t xml:space="preserve">información de naturaleza pública. No </w:t>
      </w:r>
      <w:proofErr w:type="gramStart"/>
      <w:r w:rsidRPr="007955F3">
        <w:rPr>
          <w:rFonts w:ascii="Palatino Linotype" w:eastAsia="Palatino Linotype" w:hAnsi="Palatino Linotype" w:cs="Palatino Linotype"/>
          <w:i/>
          <w:color w:val="000000"/>
          <w:sz w:val="22"/>
          <w:szCs w:val="22"/>
        </w:rPr>
        <w:t>obstante</w:t>
      </w:r>
      <w:proofErr w:type="gramEnd"/>
      <w:r w:rsidRPr="007955F3">
        <w:rPr>
          <w:rFonts w:ascii="Palatino Linotype" w:eastAsia="Palatino Linotype" w:hAnsi="Palatino Linotype" w:cs="Palatino Linotype"/>
          <w:i/>
          <w:color w:val="000000"/>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B55C62F" w14:textId="77777777" w:rsidR="00F47683" w:rsidRPr="007955F3" w:rsidRDefault="00F47683">
      <w:pPr>
        <w:spacing w:line="360" w:lineRule="auto"/>
      </w:pPr>
    </w:p>
    <w:p w14:paraId="74A0A069"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7955F3">
        <w:rPr>
          <w:rFonts w:ascii="Palatino Linotype" w:eastAsia="Palatino Linotype" w:hAnsi="Palatino Linotype" w:cs="Palatino Linotype"/>
          <w:b/>
          <w:color w:val="000000"/>
          <w:sz w:val="22"/>
          <w:szCs w:val="22"/>
        </w:rPr>
        <w:t>funciones de carácter operativo.</w:t>
      </w:r>
    </w:p>
    <w:p w14:paraId="5136C3D8" w14:textId="77777777" w:rsidR="00F47683" w:rsidRPr="007955F3" w:rsidRDefault="00F47683">
      <w:pPr>
        <w:spacing w:line="360" w:lineRule="auto"/>
      </w:pPr>
    </w:p>
    <w:p w14:paraId="3D041E4B" w14:textId="77777777" w:rsidR="00F47683" w:rsidRPr="007955F3" w:rsidRDefault="00550645">
      <w:pPr>
        <w:pBdr>
          <w:top w:val="nil"/>
          <w:left w:val="nil"/>
          <w:bottom w:val="nil"/>
          <w:right w:val="nil"/>
          <w:between w:val="nil"/>
        </w:pBdr>
        <w:spacing w:line="360" w:lineRule="auto"/>
        <w:jc w:val="both"/>
        <w:rPr>
          <w:color w:val="000000"/>
        </w:rPr>
      </w:pPr>
      <w:r w:rsidRPr="007955F3">
        <w:rPr>
          <w:rFonts w:ascii="Palatino Linotype" w:eastAsia="Palatino Linotype" w:hAnsi="Palatino Linotype" w:cs="Palatino Linotype"/>
          <w:color w:val="000000"/>
          <w:sz w:val="22"/>
          <w:szCs w:val="22"/>
        </w:rPr>
        <w:t>Sirven de sustento a lo anterior las tesis jurisprudenciales emitidas por la Suprema corte de Justicia de la Nación, que son del literal siguiente:</w:t>
      </w:r>
    </w:p>
    <w:p w14:paraId="620B0181" w14:textId="77777777" w:rsidR="00F47683" w:rsidRPr="007955F3" w:rsidRDefault="00F47683">
      <w:pPr>
        <w:spacing w:line="360" w:lineRule="auto"/>
      </w:pPr>
    </w:p>
    <w:p w14:paraId="5B459F08" w14:textId="77777777" w:rsidR="00F47683" w:rsidRPr="007955F3" w:rsidRDefault="00550645">
      <w:pPr>
        <w:pBdr>
          <w:top w:val="nil"/>
          <w:left w:val="nil"/>
          <w:bottom w:val="nil"/>
          <w:right w:val="nil"/>
          <w:between w:val="nil"/>
        </w:pBdr>
        <w:ind w:left="567" w:right="616"/>
        <w:jc w:val="both"/>
        <w:rPr>
          <w:color w:val="000000"/>
        </w:rPr>
      </w:pPr>
      <w:r w:rsidRPr="007955F3">
        <w:rPr>
          <w:rFonts w:ascii="Palatino Linotype" w:eastAsia="Palatino Linotype" w:hAnsi="Palatino Linotype" w:cs="Palatino Linotype"/>
          <w:b/>
          <w:i/>
          <w:color w:val="000000"/>
          <w:sz w:val="22"/>
          <w:szCs w:val="22"/>
        </w:rPr>
        <w:t xml:space="preserve">DERECHO A LA INFORMACIÓN. SU EJERCICIO SE ENCUENTRA LIMITADO TANTO POR LOS INTERESES NACIONALES Y DE LA SOCIEDAD, COMO POR LOS DERECHOS DE TERCEROS. </w:t>
      </w:r>
      <w:r w:rsidRPr="007955F3">
        <w:rPr>
          <w:rFonts w:ascii="Palatino Linotype" w:eastAsia="Palatino Linotype" w:hAnsi="Palatino Linotype" w:cs="Palatino Linotype"/>
          <w:i/>
          <w:color w:val="000000"/>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w:t>
      </w:r>
      <w:r w:rsidRPr="007955F3">
        <w:rPr>
          <w:rFonts w:ascii="Palatino Linotype" w:eastAsia="Palatino Linotype" w:hAnsi="Palatino Linotype" w:cs="Palatino Linotype"/>
          <w:i/>
          <w:color w:val="000000"/>
          <w:sz w:val="22"/>
          <w:szCs w:val="22"/>
        </w:rPr>
        <w:lastRenderedPageBreak/>
        <w:t xml:space="preserve">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7955F3">
        <w:rPr>
          <w:rFonts w:ascii="Palatino Linotype" w:eastAsia="Palatino Linotype" w:hAnsi="Palatino Linotype" w:cs="Palatino Linotype"/>
          <w:b/>
          <w:i/>
          <w:color w:val="000000"/>
          <w:sz w:val="22"/>
          <w:szCs w:val="22"/>
        </w:rPr>
        <w:t>restringen el acceso a la información en esta materia, en razón de que su conocimiento público puede generar daños a los intereses nacionales y, por el otro, sancionan la inobservancia de esa reserva;</w:t>
      </w:r>
      <w:r w:rsidRPr="007955F3">
        <w:rPr>
          <w:rFonts w:ascii="Palatino Linotype" w:eastAsia="Palatino Linotype" w:hAnsi="Palatino Linotype" w:cs="Palatino Linotype"/>
          <w:i/>
          <w:color w:val="000000"/>
          <w:sz w:val="22"/>
          <w:szCs w:val="22"/>
        </w:rPr>
        <w:t xml:space="preserve"> por lo que hace al interés social, se cuenta con normas que tienden a proteger la averiguación de los delitos, la salud y la moral públicas, </w:t>
      </w:r>
      <w:r w:rsidRPr="007955F3">
        <w:rPr>
          <w:rFonts w:ascii="Palatino Linotype" w:eastAsia="Palatino Linotype" w:hAnsi="Palatino Linotype" w:cs="Palatino Linotype"/>
          <w:b/>
          <w:i/>
          <w:color w:val="000000"/>
          <w:sz w:val="22"/>
          <w:szCs w:val="22"/>
        </w:rPr>
        <w:t>mientras que por lo que respecta a la protección de la persona existen normas que protegen el derecho a la vida o a la privacidad de los gobernados.</w:t>
      </w:r>
    </w:p>
    <w:p w14:paraId="18F2E8B3" w14:textId="77777777" w:rsidR="00F47683" w:rsidRPr="007955F3" w:rsidRDefault="00F47683"/>
    <w:p w14:paraId="39D5D8FE" w14:textId="77777777" w:rsidR="00F47683" w:rsidRPr="007955F3" w:rsidRDefault="00550645">
      <w:pPr>
        <w:pBdr>
          <w:top w:val="nil"/>
          <w:left w:val="nil"/>
          <w:bottom w:val="nil"/>
          <w:right w:val="nil"/>
          <w:between w:val="nil"/>
        </w:pBdr>
        <w:ind w:left="567" w:right="616"/>
        <w:jc w:val="both"/>
        <w:rPr>
          <w:color w:val="000000"/>
        </w:rPr>
      </w:pPr>
      <w:r w:rsidRPr="007955F3">
        <w:rPr>
          <w:rFonts w:ascii="Palatino Linotype" w:eastAsia="Palatino Linotype" w:hAnsi="Palatino Linotype" w:cs="Palatino Linotype"/>
          <w:b/>
          <w:i/>
          <w:color w:val="000000"/>
          <w:sz w:val="22"/>
          <w:szCs w:val="22"/>
        </w:rPr>
        <w:t>TRANSPARENCIA Y ACCESO A LA INFORMACIÓN PÚBLICA GUBERNAMENTAL. EL ARTÍCULO 14, FRACCIÓN I, DE LA LEY FEDERAL RELATIVA, NO VIOLA LA GARANTÍA DE ACCESO A LA INFORMACIÓN.</w:t>
      </w:r>
      <w:r w:rsidRPr="007955F3">
        <w:rPr>
          <w:rFonts w:ascii="Palatino Linotype" w:eastAsia="Palatino Linotype" w:hAnsi="Palatino Linotype" w:cs="Palatino Linotype"/>
          <w:i/>
          <w:color w:val="000000"/>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7955F3">
        <w:rPr>
          <w:rFonts w:ascii="Palatino Linotype" w:eastAsia="Palatino Linotype" w:hAnsi="Palatino Linotype" w:cs="Palatino Linotype"/>
          <w:b/>
          <w:i/>
          <w:color w:val="000000"/>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7955F3">
        <w:rPr>
          <w:rFonts w:ascii="Palatino Linotype" w:eastAsia="Palatino Linotype" w:hAnsi="Palatino Linotype" w:cs="Palatino Linotype"/>
          <w:i/>
          <w:color w:val="000000"/>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5BF26A6E" w14:textId="77777777" w:rsidR="00F47683" w:rsidRPr="007955F3" w:rsidRDefault="00F47683">
      <w:pPr>
        <w:spacing w:line="360" w:lineRule="auto"/>
        <w:jc w:val="both"/>
        <w:rPr>
          <w:rFonts w:ascii="Palatino Linotype" w:eastAsia="Palatino Linotype" w:hAnsi="Palatino Linotype" w:cs="Palatino Linotype"/>
          <w:sz w:val="22"/>
          <w:szCs w:val="22"/>
        </w:rPr>
      </w:pPr>
    </w:p>
    <w:p w14:paraId="7DE9D5D9" w14:textId="77777777" w:rsidR="00F47683" w:rsidRPr="007955F3" w:rsidRDefault="00550645">
      <w:pPr>
        <w:spacing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EBDE883" w14:textId="77777777" w:rsidR="00F47683" w:rsidRPr="007955F3" w:rsidRDefault="00550645">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lnxbz9" w:colFirst="0" w:colLast="0"/>
      <w:bookmarkEnd w:id="9"/>
      <w:r w:rsidRPr="007955F3">
        <w:rPr>
          <w:rFonts w:ascii="Palatino Linotype" w:eastAsia="Palatino Linotype" w:hAnsi="Palatino Linotype" w:cs="Palatino Linotype"/>
          <w:b/>
          <w:sz w:val="22"/>
          <w:szCs w:val="22"/>
        </w:rPr>
        <w:t>III. R E S U E L V E</w:t>
      </w:r>
    </w:p>
    <w:p w14:paraId="268D94AD"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bookmarkStart w:id="10" w:name="_heading=h.1fob9te" w:colFirst="0" w:colLast="0"/>
      <w:bookmarkEnd w:id="10"/>
      <w:r w:rsidRPr="007955F3">
        <w:rPr>
          <w:rFonts w:ascii="Palatino Linotype" w:eastAsia="Palatino Linotype" w:hAnsi="Palatino Linotype" w:cs="Palatino Linotype"/>
          <w:b/>
          <w:sz w:val="22"/>
          <w:szCs w:val="22"/>
        </w:rPr>
        <w:t xml:space="preserve">Primero. </w:t>
      </w:r>
      <w:r w:rsidRPr="007955F3">
        <w:rPr>
          <w:rFonts w:ascii="Palatino Linotype" w:eastAsia="Palatino Linotype" w:hAnsi="Palatino Linotype" w:cs="Palatino Linotype"/>
          <w:sz w:val="22"/>
          <w:szCs w:val="22"/>
        </w:rPr>
        <w:t xml:space="preserve">Resultan </w:t>
      </w:r>
      <w:r w:rsidRPr="007955F3">
        <w:rPr>
          <w:rFonts w:ascii="Palatino Linotype" w:eastAsia="Palatino Linotype" w:hAnsi="Palatino Linotype" w:cs="Palatino Linotype"/>
          <w:b/>
          <w:sz w:val="22"/>
          <w:szCs w:val="22"/>
        </w:rPr>
        <w:t>parcialmente fundadas</w:t>
      </w:r>
      <w:r w:rsidRPr="007955F3">
        <w:rPr>
          <w:rFonts w:ascii="Palatino Linotype" w:eastAsia="Palatino Linotype" w:hAnsi="Palatino Linotype" w:cs="Palatino Linotype"/>
          <w:sz w:val="22"/>
          <w:szCs w:val="22"/>
        </w:rPr>
        <w:t xml:space="preserve"> las razones o motivos de inconformidad hechos valer por </w:t>
      </w:r>
      <w:r w:rsidRPr="007955F3">
        <w:rPr>
          <w:rFonts w:ascii="Palatino Linotype" w:eastAsia="Palatino Linotype" w:hAnsi="Palatino Linotype" w:cs="Palatino Linotype"/>
          <w:b/>
          <w:sz w:val="22"/>
          <w:szCs w:val="22"/>
        </w:rPr>
        <w:t>la parte Recurrente</w:t>
      </w:r>
      <w:r w:rsidRPr="007955F3">
        <w:rPr>
          <w:rFonts w:ascii="Palatino Linotype" w:eastAsia="Palatino Linotype" w:hAnsi="Palatino Linotype" w:cs="Palatino Linotype"/>
          <w:sz w:val="22"/>
          <w:szCs w:val="22"/>
        </w:rPr>
        <w:t xml:space="preserve"> en el recurso de revisión </w:t>
      </w:r>
      <w:r w:rsidRPr="007955F3">
        <w:rPr>
          <w:rFonts w:ascii="Palatino Linotype" w:eastAsia="Palatino Linotype" w:hAnsi="Palatino Linotype" w:cs="Palatino Linotype"/>
          <w:b/>
          <w:sz w:val="22"/>
          <w:szCs w:val="22"/>
        </w:rPr>
        <w:t>01494/INFOEM/IP/RR/2025</w:t>
      </w:r>
      <w:r w:rsidRPr="007955F3">
        <w:rPr>
          <w:rFonts w:ascii="Palatino Linotype" w:eastAsia="Palatino Linotype" w:hAnsi="Palatino Linotype" w:cs="Palatino Linotype"/>
          <w:sz w:val="22"/>
          <w:szCs w:val="22"/>
        </w:rPr>
        <w:t xml:space="preserve">; por lo que, en términos de </w:t>
      </w:r>
      <w:r w:rsidRPr="007955F3">
        <w:rPr>
          <w:rFonts w:ascii="Palatino Linotype" w:eastAsia="Palatino Linotype" w:hAnsi="Palatino Linotype" w:cs="Palatino Linotype"/>
          <w:b/>
          <w:sz w:val="22"/>
          <w:szCs w:val="22"/>
        </w:rPr>
        <w:t>Considerando</w:t>
      </w:r>
      <w:r w:rsidRPr="007955F3">
        <w:rPr>
          <w:rFonts w:ascii="Palatino Linotype" w:eastAsia="Palatino Linotype" w:hAnsi="Palatino Linotype" w:cs="Palatino Linotype"/>
          <w:sz w:val="22"/>
          <w:szCs w:val="22"/>
        </w:rPr>
        <w:t xml:space="preserve"> </w:t>
      </w:r>
      <w:r w:rsidRPr="007955F3">
        <w:rPr>
          <w:rFonts w:ascii="Palatino Linotype" w:eastAsia="Palatino Linotype" w:hAnsi="Palatino Linotype" w:cs="Palatino Linotype"/>
          <w:b/>
          <w:sz w:val="22"/>
          <w:szCs w:val="22"/>
        </w:rPr>
        <w:t xml:space="preserve">Cuarto </w:t>
      </w:r>
      <w:r w:rsidRPr="007955F3">
        <w:rPr>
          <w:rFonts w:ascii="Palatino Linotype" w:eastAsia="Palatino Linotype" w:hAnsi="Palatino Linotype" w:cs="Palatino Linotype"/>
          <w:sz w:val="22"/>
          <w:szCs w:val="22"/>
        </w:rPr>
        <w:t xml:space="preserve">de esta resolución, se </w:t>
      </w:r>
      <w:r w:rsidRPr="007955F3">
        <w:rPr>
          <w:rFonts w:ascii="Palatino Linotype" w:eastAsia="Palatino Linotype" w:hAnsi="Palatino Linotype" w:cs="Palatino Linotype"/>
          <w:b/>
          <w:sz w:val="22"/>
          <w:szCs w:val="22"/>
        </w:rPr>
        <w:t xml:space="preserve">MODIFICA </w:t>
      </w:r>
      <w:r w:rsidRPr="007955F3">
        <w:rPr>
          <w:rFonts w:ascii="Palatino Linotype" w:eastAsia="Palatino Linotype" w:hAnsi="Palatino Linotype" w:cs="Palatino Linotype"/>
          <w:sz w:val="22"/>
          <w:szCs w:val="22"/>
        </w:rPr>
        <w:t xml:space="preserve">la respuesta emitida por el </w:t>
      </w:r>
      <w:r w:rsidRPr="007955F3">
        <w:rPr>
          <w:rFonts w:ascii="Palatino Linotype" w:eastAsia="Palatino Linotype" w:hAnsi="Palatino Linotype" w:cs="Palatino Linotype"/>
          <w:b/>
          <w:sz w:val="22"/>
          <w:szCs w:val="22"/>
        </w:rPr>
        <w:t>Sujeto Obligado.</w:t>
      </w:r>
    </w:p>
    <w:p w14:paraId="208D7556"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Segundo. </w:t>
      </w:r>
      <w:r w:rsidRPr="007955F3">
        <w:rPr>
          <w:rFonts w:ascii="Palatino Linotype" w:eastAsia="Palatino Linotype" w:hAnsi="Palatino Linotype" w:cs="Palatino Linotype"/>
          <w:sz w:val="22"/>
          <w:szCs w:val="22"/>
        </w:rPr>
        <w:t xml:space="preserve">Se </w:t>
      </w:r>
      <w:r w:rsidRPr="007955F3">
        <w:rPr>
          <w:rFonts w:ascii="Palatino Linotype" w:eastAsia="Palatino Linotype" w:hAnsi="Palatino Linotype" w:cs="Palatino Linotype"/>
          <w:b/>
          <w:sz w:val="22"/>
          <w:szCs w:val="22"/>
        </w:rPr>
        <w:t>Ordena</w:t>
      </w:r>
      <w:r w:rsidRPr="007955F3">
        <w:rPr>
          <w:rFonts w:ascii="Palatino Linotype" w:eastAsia="Palatino Linotype" w:hAnsi="Palatino Linotype" w:cs="Palatino Linotype"/>
          <w:sz w:val="22"/>
          <w:szCs w:val="22"/>
        </w:rPr>
        <w:t xml:space="preserve"> al </w:t>
      </w:r>
      <w:r w:rsidRPr="007955F3">
        <w:rPr>
          <w:rFonts w:ascii="Palatino Linotype" w:eastAsia="Palatino Linotype" w:hAnsi="Palatino Linotype" w:cs="Palatino Linotype"/>
          <w:b/>
          <w:sz w:val="22"/>
          <w:szCs w:val="22"/>
        </w:rPr>
        <w:t>Sujeto Obligado</w:t>
      </w:r>
      <w:r w:rsidRPr="007955F3">
        <w:rPr>
          <w:rFonts w:ascii="Palatino Linotype" w:eastAsia="Palatino Linotype" w:hAnsi="Palatino Linotype" w:cs="Palatino Linotype"/>
          <w:sz w:val="22"/>
          <w:szCs w:val="22"/>
        </w:rPr>
        <w:t xml:space="preserve">, en términos de los Considerandos </w:t>
      </w:r>
      <w:r w:rsidRPr="007955F3">
        <w:rPr>
          <w:rFonts w:ascii="Palatino Linotype" w:eastAsia="Palatino Linotype" w:hAnsi="Palatino Linotype" w:cs="Palatino Linotype"/>
          <w:b/>
          <w:sz w:val="22"/>
          <w:szCs w:val="22"/>
        </w:rPr>
        <w:t xml:space="preserve">Cuarto y Quinto </w:t>
      </w:r>
      <w:r w:rsidRPr="007955F3">
        <w:rPr>
          <w:rFonts w:ascii="Palatino Linotype" w:eastAsia="Palatino Linotype" w:hAnsi="Palatino Linotype" w:cs="Palatino Linotype"/>
          <w:sz w:val="22"/>
          <w:szCs w:val="22"/>
        </w:rPr>
        <w:t>de esta resolución, haga entrega vía SAIMEX, en versión pública, la siguiente información:</w:t>
      </w:r>
    </w:p>
    <w:p w14:paraId="6DDB1877" w14:textId="77777777" w:rsidR="00F47683" w:rsidRPr="007955F3" w:rsidRDefault="00550645">
      <w:pPr>
        <w:numPr>
          <w:ilvl w:val="0"/>
          <w:numId w:val="10"/>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sz w:val="22"/>
          <w:szCs w:val="22"/>
        </w:rPr>
      </w:pPr>
      <w:r w:rsidRPr="007955F3">
        <w:rPr>
          <w:rFonts w:ascii="Palatino Linotype" w:eastAsia="Palatino Linotype" w:hAnsi="Palatino Linotype" w:cs="Palatino Linotype"/>
          <w:b/>
          <w:i/>
          <w:sz w:val="22"/>
          <w:szCs w:val="22"/>
        </w:rPr>
        <w:t>En una correcta versión pública, los recibos de nómina entregados por el Sujeto Obligado en respuesta a la solicitud 00017/XONACAT/IP/2025.</w:t>
      </w:r>
      <w:r w:rsidRPr="007955F3">
        <w:rPr>
          <w:rFonts w:ascii="Palatino Linotype" w:eastAsia="Palatino Linotype" w:hAnsi="Palatino Linotype" w:cs="Palatino Linotype"/>
          <w:b/>
          <w:sz w:val="22"/>
          <w:szCs w:val="22"/>
        </w:rPr>
        <w:t xml:space="preserve"> </w:t>
      </w:r>
    </w:p>
    <w:p w14:paraId="09467E3A" w14:textId="77777777" w:rsidR="00F47683" w:rsidRPr="007955F3" w:rsidRDefault="00F47683">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7065273F" w14:textId="77777777" w:rsidR="00F47683" w:rsidRPr="007955F3" w:rsidRDefault="00550645">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7955F3">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7955F3">
        <w:rPr>
          <w:rFonts w:ascii="Palatino Linotype" w:eastAsia="Palatino Linotype" w:hAnsi="Palatino Linotype" w:cs="Palatino Linotype"/>
          <w:b/>
          <w:i/>
          <w:sz w:val="22"/>
          <w:szCs w:val="22"/>
        </w:rPr>
        <w:t>Recurrente</w:t>
      </w:r>
      <w:r w:rsidRPr="007955F3">
        <w:rPr>
          <w:rFonts w:ascii="Palatino Linotype" w:eastAsia="Palatino Linotype" w:hAnsi="Palatino Linotype" w:cs="Palatino Linotype"/>
          <w:i/>
          <w:sz w:val="22"/>
          <w:szCs w:val="22"/>
        </w:rPr>
        <w:t>, mismo que igualmente hará de su conocimiento.</w:t>
      </w:r>
    </w:p>
    <w:p w14:paraId="739F9438"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Tercero.  Notifíquese vía SAIMEX, </w:t>
      </w:r>
      <w:r w:rsidRPr="007955F3">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7955F3">
        <w:rPr>
          <w:rFonts w:ascii="Palatino Linotype" w:eastAsia="Palatino Linotype" w:hAnsi="Palatino Linotype" w:cs="Palatino Linotype"/>
          <w:sz w:val="22"/>
          <w:szCs w:val="22"/>
        </w:rPr>
        <w:lastRenderedPageBreak/>
        <w:t xml:space="preserve">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C061DC2"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Cuarto. </w:t>
      </w:r>
      <w:r w:rsidRPr="007955F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1B0673B"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 xml:space="preserve">Quinto. Notifíquese vía SAIMEX, </w:t>
      </w:r>
      <w:r w:rsidRPr="007955F3">
        <w:rPr>
          <w:rFonts w:ascii="Palatino Linotype" w:eastAsia="Palatino Linotype" w:hAnsi="Palatino Linotype" w:cs="Palatino Linotype"/>
          <w:sz w:val="22"/>
          <w:szCs w:val="22"/>
        </w:rPr>
        <w:t>a</w:t>
      </w:r>
      <w:r w:rsidRPr="007955F3">
        <w:rPr>
          <w:rFonts w:ascii="Palatino Linotype" w:eastAsia="Palatino Linotype" w:hAnsi="Palatino Linotype" w:cs="Palatino Linotype"/>
          <w:b/>
          <w:sz w:val="22"/>
          <w:szCs w:val="22"/>
        </w:rPr>
        <w:t xml:space="preserve"> la parte Recurrente</w:t>
      </w:r>
      <w:r w:rsidRPr="007955F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7750E6A" w14:textId="77777777" w:rsidR="00F47683" w:rsidRPr="007955F3" w:rsidRDefault="00550645">
      <w:pPr>
        <w:spacing w:before="240" w:after="240" w:line="360" w:lineRule="auto"/>
        <w:ind w:right="49"/>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b/>
          <w:sz w:val="22"/>
          <w:szCs w:val="22"/>
        </w:rPr>
        <w:t>Sexto.</w:t>
      </w:r>
      <w:r w:rsidRPr="007955F3">
        <w:rPr>
          <w:rFonts w:ascii="Palatino Linotype" w:eastAsia="Palatino Linotype" w:hAnsi="Palatino Linotype" w:cs="Palatino Linotype"/>
          <w:sz w:val="22"/>
          <w:szCs w:val="22"/>
        </w:rPr>
        <w:t xml:space="preserve"> </w:t>
      </w:r>
      <w:r w:rsidRPr="007955F3">
        <w:rPr>
          <w:rFonts w:ascii="Palatino Linotype" w:eastAsia="Palatino Linotype" w:hAnsi="Palatino Linotype" w:cs="Palatino Linotype"/>
          <w:color w:val="000000"/>
          <w:sz w:val="22"/>
          <w:szCs w:val="22"/>
        </w:rPr>
        <w:t xml:space="preserve">Con fundamento en lo dispuesto en el artículo 24, fracciones XI, XII y XIII del Reglamento Interior del Instituto de Transparencia, Acceso a la Información Pública y Protección de Datos Personales del Estado de México y Municipios, gírese oficio al Titular </w:t>
      </w:r>
      <w:proofErr w:type="gramStart"/>
      <w:r w:rsidRPr="007955F3">
        <w:rPr>
          <w:rFonts w:ascii="Palatino Linotype" w:eastAsia="Palatino Linotype" w:hAnsi="Palatino Linotype" w:cs="Palatino Linotype"/>
          <w:color w:val="000000"/>
          <w:sz w:val="22"/>
          <w:szCs w:val="22"/>
        </w:rPr>
        <w:t>de  la</w:t>
      </w:r>
      <w:proofErr w:type="gramEnd"/>
      <w:r w:rsidRPr="007955F3">
        <w:rPr>
          <w:rFonts w:ascii="Palatino Linotype" w:eastAsia="Palatino Linotype" w:hAnsi="Palatino Linotype" w:cs="Palatino Linotype"/>
          <w:color w:val="000000"/>
          <w:sz w:val="22"/>
          <w:szCs w:val="22"/>
        </w:rPr>
        <w:t xml:space="preserve"> </w:t>
      </w:r>
      <w:r w:rsidRPr="007955F3">
        <w:rPr>
          <w:rFonts w:ascii="Palatino Linotype" w:eastAsia="Palatino Linotype" w:hAnsi="Palatino Linotype" w:cs="Palatino Linotype"/>
          <w:b/>
          <w:color w:val="000000"/>
          <w:sz w:val="22"/>
          <w:szCs w:val="22"/>
        </w:rPr>
        <w:t>Dirección General de Protección de Datos Personales de este Instituto</w:t>
      </w:r>
      <w:r w:rsidRPr="007955F3">
        <w:rPr>
          <w:rFonts w:ascii="Palatino Linotype" w:eastAsia="Palatino Linotype" w:hAnsi="Palatino Linotype" w:cs="Palatino Linotype"/>
          <w:color w:val="000000"/>
          <w:sz w:val="22"/>
          <w:szCs w:val="22"/>
        </w:rPr>
        <w:t xml:space="preserve">, en términos de lo dispuesto en el </w:t>
      </w:r>
      <w:r w:rsidRPr="007955F3">
        <w:rPr>
          <w:rFonts w:ascii="Palatino Linotype" w:eastAsia="Palatino Linotype" w:hAnsi="Palatino Linotype" w:cs="Palatino Linotype"/>
          <w:b/>
          <w:color w:val="000000"/>
          <w:sz w:val="22"/>
          <w:szCs w:val="22"/>
        </w:rPr>
        <w:t>Considerando</w:t>
      </w:r>
      <w:r w:rsidRPr="007955F3">
        <w:rPr>
          <w:rFonts w:ascii="Palatino Linotype" w:eastAsia="Palatino Linotype" w:hAnsi="Palatino Linotype" w:cs="Palatino Linotype"/>
          <w:color w:val="000000"/>
          <w:sz w:val="22"/>
          <w:szCs w:val="22"/>
        </w:rPr>
        <w:t xml:space="preserve"> </w:t>
      </w:r>
      <w:r w:rsidRPr="007955F3">
        <w:rPr>
          <w:rFonts w:ascii="Palatino Linotype" w:eastAsia="Palatino Linotype" w:hAnsi="Palatino Linotype" w:cs="Palatino Linotype"/>
          <w:b/>
          <w:color w:val="000000"/>
          <w:sz w:val="22"/>
          <w:szCs w:val="22"/>
        </w:rPr>
        <w:t>Cuarto</w:t>
      </w:r>
      <w:r w:rsidRPr="007955F3">
        <w:rPr>
          <w:rFonts w:ascii="Palatino Linotype" w:eastAsia="Palatino Linotype" w:hAnsi="Palatino Linotype" w:cs="Palatino Linotype"/>
          <w:color w:val="000000"/>
          <w:sz w:val="22"/>
          <w:szCs w:val="22"/>
        </w:rPr>
        <w:t xml:space="preserve"> de la presente Resolución.</w:t>
      </w:r>
    </w:p>
    <w:p w14:paraId="30B6B307" w14:textId="77777777" w:rsidR="00F47683" w:rsidRPr="007955F3" w:rsidRDefault="00550645">
      <w:pPr>
        <w:spacing w:before="240" w:after="240" w:line="360" w:lineRule="auto"/>
        <w:jc w:val="both"/>
        <w:rPr>
          <w:rFonts w:ascii="Palatino Linotype" w:eastAsia="Palatino Linotype" w:hAnsi="Palatino Linotype" w:cs="Palatino Linotype"/>
          <w:sz w:val="22"/>
          <w:szCs w:val="22"/>
        </w:rPr>
      </w:pPr>
      <w:r w:rsidRPr="007955F3">
        <w:rPr>
          <w:rFonts w:ascii="Palatino Linotype" w:eastAsia="Palatino Linotype" w:hAnsi="Palatino Linotype" w:cs="Palatino Linotype"/>
          <w:color w:val="222222"/>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DÉCIMA SEGUNDA</w:t>
      </w:r>
      <w:r w:rsidRPr="007955F3">
        <w:rPr>
          <w:rFonts w:ascii="Palatino Linotype" w:eastAsia="Palatino Linotype" w:hAnsi="Palatino Linotype" w:cs="Palatino Linotype"/>
          <w:color w:val="FF0000"/>
          <w:sz w:val="22"/>
          <w:szCs w:val="22"/>
        </w:rPr>
        <w:t xml:space="preserve"> </w:t>
      </w:r>
      <w:r w:rsidRPr="007955F3">
        <w:rPr>
          <w:rFonts w:ascii="Palatino Linotype" w:eastAsia="Palatino Linotype" w:hAnsi="Palatino Linotype" w:cs="Palatino Linotype"/>
          <w:sz w:val="22"/>
          <w:szCs w:val="22"/>
        </w:rPr>
        <w:t>ORDINARIA CELEBRADA EL DOS DE ABRIL DEL DOS MIL VEINTICINCO, ANTE EL SECRETARIO TÉCNICO DEL PLENO ALEXIS TAPIA RAMÍREZ.</w:t>
      </w:r>
    </w:p>
    <w:p w14:paraId="6BFEE80F"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D198375"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46D4EAA8"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713B0FFC"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01E13867"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383D72A7"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8644318"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96EB2B5"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16CA8C11"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736C387F"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19C0558D"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029ECDFB"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150BBCD"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314161FF"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345938CC"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5DE4B6AF"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A4149D7" w14:textId="77777777" w:rsidR="00CA229C" w:rsidRPr="007955F3" w:rsidRDefault="00CA229C">
      <w:pPr>
        <w:spacing w:before="240" w:after="240" w:line="360" w:lineRule="auto"/>
        <w:jc w:val="both"/>
        <w:rPr>
          <w:rFonts w:ascii="Palatino Linotype" w:eastAsia="Palatino Linotype" w:hAnsi="Palatino Linotype" w:cs="Palatino Linotype"/>
          <w:sz w:val="22"/>
          <w:szCs w:val="22"/>
        </w:rPr>
      </w:pPr>
    </w:p>
    <w:p w14:paraId="25BA9705" w14:textId="77777777" w:rsidR="00F47683" w:rsidRDefault="00F47683">
      <w:pPr>
        <w:spacing w:before="240" w:after="240" w:line="360" w:lineRule="auto"/>
        <w:jc w:val="both"/>
        <w:rPr>
          <w:rFonts w:ascii="Palatino Linotype" w:eastAsia="Palatino Linotype" w:hAnsi="Palatino Linotype" w:cs="Palatino Linotype"/>
          <w:sz w:val="22"/>
          <w:szCs w:val="22"/>
        </w:rPr>
      </w:pPr>
    </w:p>
    <w:sectPr w:rsidR="00F47683">
      <w:headerReference w:type="default" r:id="rId12"/>
      <w:footerReference w:type="default" r:id="rId13"/>
      <w:headerReference w:type="first" r:id="rId14"/>
      <w:footerReference w:type="first" r:id="rId15"/>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1732" w14:textId="77777777" w:rsidR="00B40359" w:rsidRDefault="00B40359">
      <w:r>
        <w:separator/>
      </w:r>
    </w:p>
  </w:endnote>
  <w:endnote w:type="continuationSeparator" w:id="0">
    <w:p w14:paraId="0E6813CA" w14:textId="77777777" w:rsidR="00B40359" w:rsidRDefault="00B4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1D93" w14:textId="77777777" w:rsidR="00F47683" w:rsidRDefault="005506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61DB1">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61DB1">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76156392" w14:textId="77777777" w:rsidR="00F47683" w:rsidRDefault="00F4768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4CEB" w14:textId="77777777" w:rsidR="00F47683" w:rsidRDefault="005506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61D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61DB1">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2860A7B4" w14:textId="77777777" w:rsidR="00F47683" w:rsidRDefault="00F4768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186F" w14:textId="77777777" w:rsidR="00B40359" w:rsidRDefault="00B40359">
      <w:r>
        <w:separator/>
      </w:r>
    </w:p>
  </w:footnote>
  <w:footnote w:type="continuationSeparator" w:id="0">
    <w:p w14:paraId="6E3DC197" w14:textId="77777777" w:rsidR="00B40359" w:rsidRDefault="00B40359">
      <w:r>
        <w:continuationSeparator/>
      </w:r>
    </w:p>
  </w:footnote>
  <w:footnote w:id="1">
    <w:p w14:paraId="3C2EB20B" w14:textId="77777777" w:rsidR="00F47683" w:rsidRDefault="0055064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Para los efectos de esta Ley se entenderá por:</w:t>
      </w:r>
    </w:p>
    <w:p w14:paraId="66712124" w14:textId="77777777" w:rsidR="00F47683" w:rsidRDefault="0055064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XII. Datos personales sensibles: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C443" w14:textId="77777777" w:rsidR="00F47683" w:rsidRDefault="00550645">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07BC6C0" wp14:editId="67849C29">
          <wp:simplePos x="0" y="0"/>
          <wp:positionH relativeFrom="column">
            <wp:posOffset>-1080128</wp:posOffset>
          </wp:positionH>
          <wp:positionV relativeFrom="paragraph">
            <wp:posOffset>-488308</wp:posOffset>
          </wp:positionV>
          <wp:extent cx="7809865" cy="10165715"/>
          <wp:effectExtent l="0" t="0" r="0" b="0"/>
          <wp:wrapNone/>
          <wp:docPr id="20476549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47683" w14:paraId="335DA0C8" w14:textId="77777777">
      <w:tc>
        <w:tcPr>
          <w:tcW w:w="2489" w:type="dxa"/>
          <w:shd w:val="clear" w:color="auto" w:fill="auto"/>
        </w:tcPr>
        <w:p w14:paraId="47FB0A9E"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4D325CB" w14:textId="77777777" w:rsidR="00F47683" w:rsidRDefault="005506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01494/INFOEM/IP/RR/2025</w:t>
          </w:r>
        </w:p>
      </w:tc>
    </w:tr>
    <w:tr w:rsidR="00F47683" w14:paraId="5389D186" w14:textId="77777777">
      <w:trPr>
        <w:trHeight w:val="228"/>
      </w:trPr>
      <w:tc>
        <w:tcPr>
          <w:tcW w:w="2489" w:type="dxa"/>
          <w:shd w:val="clear" w:color="auto" w:fill="auto"/>
          <w:vAlign w:val="center"/>
        </w:tcPr>
        <w:p w14:paraId="29EDEFCD"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8154877" w14:textId="77777777" w:rsidR="00F47683" w:rsidRDefault="0055064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Xonacatlán</w:t>
          </w:r>
        </w:p>
      </w:tc>
    </w:tr>
    <w:tr w:rsidR="00F47683" w14:paraId="4FAB4FF2" w14:textId="77777777">
      <w:tc>
        <w:tcPr>
          <w:tcW w:w="2489" w:type="dxa"/>
          <w:shd w:val="clear" w:color="auto" w:fill="auto"/>
          <w:vAlign w:val="center"/>
        </w:tcPr>
        <w:p w14:paraId="6937E8C7" w14:textId="77777777" w:rsidR="00F47683" w:rsidRDefault="0055064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0EA181A" w14:textId="77777777" w:rsidR="00F47683" w:rsidRDefault="005506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A26E116" w14:textId="77777777" w:rsidR="00F47683" w:rsidRDefault="0055064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ED5B" w14:textId="77777777" w:rsidR="00F47683" w:rsidRDefault="0055064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4"/>
      <w:tblW w:w="5670" w:type="dxa"/>
      <w:tblInd w:w="3261" w:type="dxa"/>
      <w:tblLayout w:type="fixed"/>
      <w:tblLook w:val="0400" w:firstRow="0" w:lastRow="0" w:firstColumn="0" w:lastColumn="0" w:noHBand="0" w:noVBand="1"/>
    </w:tblPr>
    <w:tblGrid>
      <w:gridCol w:w="2551"/>
      <w:gridCol w:w="3119"/>
    </w:tblGrid>
    <w:tr w:rsidR="00F47683" w14:paraId="3517E5EF" w14:textId="77777777">
      <w:tc>
        <w:tcPr>
          <w:tcW w:w="2551" w:type="dxa"/>
          <w:shd w:val="clear" w:color="auto" w:fill="auto"/>
          <w:vAlign w:val="center"/>
        </w:tcPr>
        <w:p w14:paraId="332DBCA3"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CAA875D" w14:textId="77777777" w:rsidR="00F47683" w:rsidRDefault="0055064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01494/INFOEM/IP/RR/2025</w:t>
          </w:r>
        </w:p>
      </w:tc>
    </w:tr>
    <w:tr w:rsidR="00F47683" w14:paraId="140A9580" w14:textId="77777777">
      <w:trPr>
        <w:trHeight w:val="130"/>
      </w:trPr>
      <w:tc>
        <w:tcPr>
          <w:tcW w:w="2551" w:type="dxa"/>
          <w:shd w:val="clear" w:color="auto" w:fill="auto"/>
          <w:vAlign w:val="center"/>
        </w:tcPr>
        <w:p w14:paraId="70DCD212"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273EAFB" w14:textId="76D9B0B4" w:rsidR="00F47683" w:rsidRDefault="008B5CA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XXXXX XXXXXX XXXXXXXX </w:t>
          </w:r>
          <w:r w:rsidR="00550645">
            <w:rPr>
              <w:noProof/>
              <w:lang w:val="es-MX"/>
            </w:rPr>
            <w:drawing>
              <wp:anchor distT="0" distB="0" distL="0" distR="0" simplePos="0" relativeHeight="251659264" behindDoc="1" locked="0" layoutInCell="1" hidden="0" allowOverlap="1" wp14:anchorId="6567C256" wp14:editId="5897373B">
                <wp:simplePos x="0" y="0"/>
                <wp:positionH relativeFrom="column">
                  <wp:posOffset>-4425309</wp:posOffset>
                </wp:positionH>
                <wp:positionV relativeFrom="paragraph">
                  <wp:posOffset>-361943</wp:posOffset>
                </wp:positionV>
                <wp:extent cx="7809865" cy="10165715"/>
                <wp:effectExtent l="0" t="0" r="0" b="0"/>
                <wp:wrapNone/>
                <wp:docPr id="20476549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F47683" w14:paraId="562755D8" w14:textId="77777777">
      <w:trPr>
        <w:trHeight w:val="228"/>
      </w:trPr>
      <w:tc>
        <w:tcPr>
          <w:tcW w:w="2551" w:type="dxa"/>
          <w:shd w:val="clear" w:color="auto" w:fill="auto"/>
          <w:vAlign w:val="center"/>
        </w:tcPr>
        <w:p w14:paraId="7515FBB4"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7662F09" w14:textId="77777777" w:rsidR="00F47683" w:rsidRDefault="0055064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Xonacatlán</w:t>
          </w:r>
        </w:p>
      </w:tc>
    </w:tr>
    <w:tr w:rsidR="00F47683" w14:paraId="016544BB" w14:textId="77777777">
      <w:tc>
        <w:tcPr>
          <w:tcW w:w="2551" w:type="dxa"/>
          <w:shd w:val="clear" w:color="auto" w:fill="auto"/>
          <w:vAlign w:val="center"/>
        </w:tcPr>
        <w:p w14:paraId="3E1516B0" w14:textId="77777777" w:rsidR="00F47683" w:rsidRDefault="005506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A1421E6" w14:textId="77777777" w:rsidR="00F47683" w:rsidRDefault="0055064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0A7B0C" w14:textId="77777777" w:rsidR="00F47683" w:rsidRDefault="00F4768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545"/>
    <w:multiLevelType w:val="multilevel"/>
    <w:tmpl w:val="C038DB3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7F4164"/>
    <w:multiLevelType w:val="multilevel"/>
    <w:tmpl w:val="980A238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837F3"/>
    <w:multiLevelType w:val="multilevel"/>
    <w:tmpl w:val="5986C880"/>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9B4816"/>
    <w:multiLevelType w:val="multilevel"/>
    <w:tmpl w:val="558A2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495213"/>
    <w:multiLevelType w:val="multilevel"/>
    <w:tmpl w:val="B6DE1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4010B5"/>
    <w:multiLevelType w:val="multilevel"/>
    <w:tmpl w:val="3C90F168"/>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D23FAA"/>
    <w:multiLevelType w:val="multilevel"/>
    <w:tmpl w:val="1F4AA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D7535D"/>
    <w:multiLevelType w:val="multilevel"/>
    <w:tmpl w:val="BAF49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C93750"/>
    <w:multiLevelType w:val="multilevel"/>
    <w:tmpl w:val="58947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AC2C48"/>
    <w:multiLevelType w:val="multilevel"/>
    <w:tmpl w:val="DEE6B3A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0" w15:restartNumberingAfterBreak="0">
    <w:nsid w:val="4CC553E8"/>
    <w:multiLevelType w:val="multilevel"/>
    <w:tmpl w:val="3F04E9DE"/>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4E3AE7"/>
    <w:multiLevelType w:val="multilevel"/>
    <w:tmpl w:val="D4E02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1B6D3F"/>
    <w:multiLevelType w:val="multilevel"/>
    <w:tmpl w:val="C8C85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A0658E"/>
    <w:multiLevelType w:val="multilevel"/>
    <w:tmpl w:val="ADD6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3"/>
  </w:num>
  <w:num w:numId="3">
    <w:abstractNumId w:val="8"/>
  </w:num>
  <w:num w:numId="4">
    <w:abstractNumId w:val="2"/>
  </w:num>
  <w:num w:numId="5">
    <w:abstractNumId w:val="7"/>
  </w:num>
  <w:num w:numId="6">
    <w:abstractNumId w:val="12"/>
  </w:num>
  <w:num w:numId="7">
    <w:abstractNumId w:val="6"/>
  </w:num>
  <w:num w:numId="8">
    <w:abstractNumId w:val="9"/>
  </w:num>
  <w:num w:numId="9">
    <w:abstractNumId w:val="4"/>
  </w:num>
  <w:num w:numId="10">
    <w:abstractNumId w:val="3"/>
  </w:num>
  <w:num w:numId="11">
    <w:abstractNumId w:val="10"/>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83"/>
    <w:rsid w:val="00261DB1"/>
    <w:rsid w:val="00550645"/>
    <w:rsid w:val="007955F3"/>
    <w:rsid w:val="008B5CA2"/>
    <w:rsid w:val="00B40359"/>
    <w:rsid w:val="00CA229C"/>
    <w:rsid w:val="00F47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E542"/>
  <w15:docId w15:val="{41B84A32-50DE-46EE-AD31-FBDA45F6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14"/>
      </w:numPr>
      <w:contextualSpacing/>
    </w:p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f.gob.mx/nota_detalle.php?codigo=5492254&amp;fecha=28/07/20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ew2AzqVjj8L6Ki+30zbftJvYA==">CgMxLjAyCGguZ2pkZ3hzMgloLjMwajB6bGwyCWguMnM4ZXlvMTIIaC50eWpjd3QyDmgubWNoeWxzZXEwOXR3Mg5oLm1kaGZyZTQxNWJyeTIOaC5ybDVnc2xvd3cybzAyDmguY3ViZTBrZWllcGQwMg5oLmZjaDN1bnA1dnJvMTIIaC5sbnhiejkyCWguMWZvYjl0ZTgAciExb3RPZnJhRl94SjFwYWhmM1JrZC1nb1lfbUpLOExqZVE=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15039</Words>
  <Characters>82718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2025-04-04T16:48:00Z</cp:lastPrinted>
  <dcterms:created xsi:type="dcterms:W3CDTF">2025-04-29T19:48:00Z</dcterms:created>
  <dcterms:modified xsi:type="dcterms:W3CDTF">2025-04-29T19:48:00Z</dcterms:modified>
</cp:coreProperties>
</file>