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7AB527F7" w:rsidR="00A036A6" w:rsidRPr="00604E50" w:rsidRDefault="005D6292" w:rsidP="00A036A6">
      <w:pPr>
        <w:shd w:val="clear" w:color="auto" w:fill="FFFFFF"/>
        <w:spacing w:line="360" w:lineRule="auto"/>
        <w:jc w:val="both"/>
        <w:rPr>
          <w:rFonts w:ascii="Palatino Linotype" w:hAnsi="Palatino Linotype" w:cs="Arial"/>
          <w:color w:val="000000"/>
          <w:lang w:eastAsia="es-MX"/>
        </w:rPr>
      </w:pPr>
      <w:r>
        <w:rPr>
          <w:rFonts w:ascii="Palatino Linotype" w:hAnsi="Palatino Linotype" w:cs="Arial"/>
          <w:color w:val="000000"/>
          <w:lang w:eastAsia="es-MX"/>
        </w:rPr>
        <w:t xml:space="preserve"> </w:t>
      </w:r>
      <w:r w:rsidR="00A036A6" w:rsidRPr="00604E50">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0F0FFC">
        <w:rPr>
          <w:rFonts w:ascii="Palatino Linotype" w:hAnsi="Palatino Linotype" w:cs="Arial"/>
          <w:color w:val="000000"/>
          <w:lang w:eastAsia="es-MX"/>
        </w:rPr>
        <w:t>seis de marzo de dos mil veinticinco</w:t>
      </w:r>
      <w:r w:rsidR="00A036A6" w:rsidRPr="00604E50">
        <w:rPr>
          <w:rFonts w:ascii="Palatino Linotype" w:hAnsi="Palatino Linotype" w:cs="Arial"/>
          <w:color w:val="000000"/>
          <w:lang w:eastAsia="es-MX"/>
        </w:rPr>
        <w:t>.</w:t>
      </w:r>
    </w:p>
    <w:p w14:paraId="5AF306FC" w14:textId="77777777" w:rsidR="00A036A6" w:rsidRPr="00604E50" w:rsidRDefault="00A036A6" w:rsidP="00A036A6">
      <w:pPr>
        <w:shd w:val="clear" w:color="auto" w:fill="FFFFFF"/>
        <w:spacing w:line="360" w:lineRule="auto"/>
        <w:jc w:val="both"/>
        <w:rPr>
          <w:rFonts w:ascii="Palatino Linotype" w:hAnsi="Palatino Linotype" w:cs="Arial"/>
          <w:color w:val="000000"/>
          <w:lang w:eastAsia="es-MX"/>
        </w:rPr>
      </w:pPr>
      <w:bookmarkStart w:id="0" w:name="_GoBack"/>
      <w:bookmarkEnd w:id="0"/>
    </w:p>
    <w:p w14:paraId="385FC697" w14:textId="0D207C1F" w:rsidR="00A036A6" w:rsidRPr="00604E50" w:rsidRDefault="00A036A6" w:rsidP="00A036A6">
      <w:pPr>
        <w:shd w:val="clear" w:color="auto" w:fill="FFFFFF"/>
        <w:spacing w:line="360" w:lineRule="auto"/>
        <w:jc w:val="both"/>
        <w:rPr>
          <w:rFonts w:ascii="Palatino Linotype" w:hAnsi="Palatino Linotype" w:cs="Arial"/>
        </w:rPr>
      </w:pPr>
      <w:r w:rsidRPr="00604E50">
        <w:rPr>
          <w:rFonts w:ascii="Palatino Linotype" w:hAnsi="Palatino Linotype" w:cs="Arial"/>
          <w:b/>
        </w:rPr>
        <w:t>VISTO</w:t>
      </w:r>
      <w:r w:rsidRPr="00604E50">
        <w:rPr>
          <w:rFonts w:ascii="Palatino Linotype" w:hAnsi="Palatino Linotype" w:cs="Arial"/>
        </w:rPr>
        <w:t xml:space="preserve"> el expediente electrónico formado con motivo del recurso de revisión número </w:t>
      </w:r>
      <w:r w:rsidR="000F0FFC" w:rsidRPr="000F0FFC">
        <w:rPr>
          <w:rFonts w:ascii="Palatino Linotype" w:hAnsi="Palatino Linotype" w:cs="Arial"/>
          <w:b/>
          <w:bCs/>
          <w:lang w:eastAsia="es-MX"/>
        </w:rPr>
        <w:t>00605/INFOEM/IP/RR/2025</w:t>
      </w:r>
      <w:r w:rsidR="00BC0FAB" w:rsidRPr="00604E50">
        <w:rPr>
          <w:rFonts w:ascii="Palatino Linotype" w:hAnsi="Palatino Linotype" w:cs="Arial"/>
        </w:rPr>
        <w:t xml:space="preserve">, </w:t>
      </w:r>
      <w:r w:rsidR="000F0FFC" w:rsidRPr="0066744A">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0F0FFC" w:rsidRPr="0066744A">
        <w:rPr>
          <w:rFonts w:ascii="Palatino Linotype" w:hAnsi="Palatino Linotype" w:cs="Arial"/>
          <w:b/>
        </w:rPr>
        <w:t xml:space="preserve"> </w:t>
      </w:r>
      <w:r w:rsidR="000F0FFC" w:rsidRPr="0066744A">
        <w:rPr>
          <w:rFonts w:ascii="Palatino Linotype" w:hAnsi="Palatino Linotype" w:cs="Arial"/>
        </w:rPr>
        <w:t xml:space="preserve">en lo sucesivo </w:t>
      </w:r>
      <w:r w:rsidR="000F0FFC" w:rsidRPr="0066744A">
        <w:rPr>
          <w:rFonts w:ascii="Palatino Linotype" w:hAnsi="Palatino Linotype" w:cs="Arial"/>
          <w:b/>
        </w:rPr>
        <w:t>El Recurrente</w:t>
      </w:r>
      <w:r w:rsidRPr="00604E50">
        <w:rPr>
          <w:rFonts w:ascii="Palatino Linotype" w:hAnsi="Palatino Linotype" w:cs="Arial"/>
        </w:rPr>
        <w:t xml:space="preserve">, en contra de la falta de respuesta del </w:t>
      </w:r>
      <w:r w:rsidR="000F0FFC" w:rsidRPr="000F0FFC">
        <w:rPr>
          <w:rFonts w:ascii="Palatino Linotype" w:hAnsi="Palatino Linotype" w:cs="Arial"/>
          <w:b/>
        </w:rPr>
        <w:t>Ayuntamiento de Toluca</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en lo subsecuente</w:t>
      </w:r>
      <w:r w:rsidRPr="00604E50">
        <w:rPr>
          <w:rFonts w:ascii="Palatino Linotype" w:hAnsi="Palatino Linotype" w:cs="Arial"/>
          <w:b/>
        </w:rPr>
        <w:t xml:space="preserve"> El Sujeto Obligado, </w:t>
      </w:r>
      <w:r w:rsidRPr="00604E50">
        <w:rPr>
          <w:rFonts w:ascii="Palatino Linotype" w:hAnsi="Palatino Linotype" w:cs="Arial"/>
        </w:rPr>
        <w:t>se procede a dictar la presente resolución.</w:t>
      </w:r>
    </w:p>
    <w:p w14:paraId="4D526EEA" w14:textId="77777777" w:rsidR="00A036A6" w:rsidRPr="00604E50"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604E50" w:rsidRDefault="00A036A6" w:rsidP="00A036A6">
      <w:pPr>
        <w:spacing w:line="360" w:lineRule="auto"/>
        <w:jc w:val="center"/>
        <w:rPr>
          <w:rFonts w:ascii="Palatino Linotype" w:hAnsi="Palatino Linotype"/>
          <w:b/>
          <w:sz w:val="28"/>
        </w:rPr>
      </w:pPr>
      <w:r w:rsidRPr="00604E50">
        <w:rPr>
          <w:rFonts w:ascii="Palatino Linotype" w:hAnsi="Palatino Linotype"/>
          <w:b/>
          <w:sz w:val="28"/>
        </w:rPr>
        <w:t>A N T E C E D E N T E S   D E L   A S U N T O</w:t>
      </w:r>
    </w:p>
    <w:p w14:paraId="3A767F8F" w14:textId="77777777" w:rsidR="00A036A6" w:rsidRPr="00604E50" w:rsidRDefault="00A036A6" w:rsidP="00A036A6">
      <w:pPr>
        <w:pStyle w:val="Sinespaciado"/>
      </w:pPr>
    </w:p>
    <w:p w14:paraId="6F0857E7"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cs="Arial"/>
          <w:b/>
          <w:sz w:val="28"/>
        </w:rPr>
        <w:t>PRIMERO.</w:t>
      </w:r>
      <w:r w:rsidRPr="00604E50">
        <w:rPr>
          <w:rFonts w:ascii="Palatino Linotype" w:hAnsi="Palatino Linotype" w:cs="Arial"/>
        </w:rPr>
        <w:t xml:space="preserve"> </w:t>
      </w:r>
      <w:r w:rsidRPr="00604E50">
        <w:rPr>
          <w:rFonts w:ascii="Palatino Linotype" w:hAnsi="Palatino Linotype"/>
          <w:b/>
          <w:sz w:val="28"/>
          <w:szCs w:val="28"/>
        </w:rPr>
        <w:t>De la Solicitud de Información.</w:t>
      </w:r>
    </w:p>
    <w:p w14:paraId="4F92425B" w14:textId="7C02B723" w:rsidR="00271073" w:rsidRPr="00604E50" w:rsidRDefault="00A036A6" w:rsidP="00271073">
      <w:pPr>
        <w:spacing w:line="360" w:lineRule="auto"/>
        <w:jc w:val="both"/>
        <w:rPr>
          <w:rFonts w:ascii="Palatino Linotype" w:hAnsi="Palatino Linotype" w:cs="Arial"/>
        </w:rPr>
      </w:pPr>
      <w:r w:rsidRPr="00604E50">
        <w:rPr>
          <w:rFonts w:ascii="Palatino Linotype" w:hAnsi="Palatino Linotype" w:cs="Arial"/>
        </w:rPr>
        <w:t xml:space="preserve">Con fecha </w:t>
      </w:r>
      <w:r w:rsidR="000F0FFC">
        <w:rPr>
          <w:rFonts w:ascii="Palatino Linotype" w:hAnsi="Palatino Linotype" w:cs="Arial"/>
        </w:rPr>
        <w:t>trece de enero de dos mil veinticinco</w:t>
      </w:r>
      <w:r w:rsidRPr="00604E50">
        <w:rPr>
          <w:rFonts w:ascii="Palatino Linotype" w:hAnsi="Palatino Linotype" w:cs="Arial"/>
        </w:rPr>
        <w:t xml:space="preserve">, </w:t>
      </w:r>
      <w:r w:rsidRPr="00604E50">
        <w:rPr>
          <w:rFonts w:ascii="Palatino Linotype" w:hAnsi="Palatino Linotype" w:cs="Arial"/>
          <w:b/>
        </w:rPr>
        <w:t xml:space="preserve">El Recurrente, </w:t>
      </w:r>
      <w:r w:rsidRPr="00604E50">
        <w:rPr>
          <w:rFonts w:ascii="Palatino Linotype" w:hAnsi="Palatino Linotype" w:cs="Arial"/>
        </w:rPr>
        <w:t xml:space="preserve">presentó a través del Sistema de Acceso a la Información Mexiquense </w:t>
      </w:r>
      <w:r w:rsidRPr="00604E50">
        <w:rPr>
          <w:rFonts w:ascii="Palatino Linotype" w:hAnsi="Palatino Linotype" w:cs="Arial"/>
          <w:b/>
        </w:rPr>
        <w:t>(SAIMEX)</w:t>
      </w:r>
      <w:r w:rsidRPr="00604E50">
        <w:rPr>
          <w:rFonts w:ascii="Palatino Linotype" w:hAnsi="Palatino Linotype" w:cs="Arial"/>
        </w:rPr>
        <w:t xml:space="preserve">, ante </w:t>
      </w:r>
      <w:r w:rsidRPr="00604E50">
        <w:rPr>
          <w:rFonts w:ascii="Palatino Linotype" w:hAnsi="Palatino Linotype" w:cs="Arial"/>
          <w:b/>
        </w:rPr>
        <w:t>El Sujeto Obligado</w:t>
      </w:r>
      <w:r w:rsidRPr="00604E50">
        <w:rPr>
          <w:rFonts w:ascii="Palatino Linotype" w:hAnsi="Palatino Linotype" w:cs="Arial"/>
        </w:rPr>
        <w:t xml:space="preserve">, solicitud de acceso a la información pública, registrada bajo el número de expediente </w:t>
      </w:r>
      <w:r w:rsidR="000F0FFC" w:rsidRPr="000F0FFC">
        <w:rPr>
          <w:rFonts w:ascii="Palatino Linotype" w:hAnsi="Palatino Linotype" w:cs="Arial"/>
          <w:b/>
          <w:bCs/>
        </w:rPr>
        <w:t>00197/TOLUCA/IP/2025</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 xml:space="preserve">mediante la cual solicitó información en el tenor siguiente: </w:t>
      </w:r>
    </w:p>
    <w:p w14:paraId="7D89C47F" w14:textId="77777777" w:rsidR="00F318FC" w:rsidRPr="00604E50" w:rsidRDefault="00F318FC" w:rsidP="00271073">
      <w:pPr>
        <w:spacing w:line="360" w:lineRule="auto"/>
        <w:jc w:val="both"/>
        <w:rPr>
          <w:rFonts w:ascii="Palatino Linotype" w:hAnsi="Palatino Linotype" w:cs="Arial"/>
        </w:rPr>
      </w:pPr>
    </w:p>
    <w:p w14:paraId="5229EE30" w14:textId="6423893F" w:rsidR="00A036A6" w:rsidRPr="00604E50" w:rsidRDefault="00A036A6" w:rsidP="00506DF2">
      <w:pPr>
        <w:ind w:left="567" w:right="567"/>
        <w:jc w:val="both"/>
        <w:rPr>
          <w:rFonts w:ascii="Palatino Linotype" w:hAnsi="Palatino Linotype"/>
          <w:i/>
        </w:rPr>
      </w:pPr>
      <w:r w:rsidRPr="00604E50">
        <w:rPr>
          <w:rFonts w:ascii="Palatino Linotype" w:hAnsi="Palatino Linotype"/>
          <w:i/>
        </w:rPr>
        <w:t>“</w:t>
      </w:r>
      <w:r w:rsidR="000F0FFC" w:rsidRPr="000F0FFC">
        <w:rPr>
          <w:rFonts w:ascii="Palatino Linotype" w:hAnsi="Palatino Linotype"/>
          <w:i/>
        </w:rPr>
        <w:t xml:space="preserve">Solicito todas las resoluciones que </w:t>
      </w:r>
      <w:proofErr w:type="spellStart"/>
      <w:r w:rsidR="000F0FFC" w:rsidRPr="000F0FFC">
        <w:rPr>
          <w:rFonts w:ascii="Palatino Linotype" w:hAnsi="Palatino Linotype"/>
          <w:i/>
        </w:rPr>
        <w:t>recibio</w:t>
      </w:r>
      <w:proofErr w:type="spellEnd"/>
      <w:r w:rsidR="000F0FFC" w:rsidRPr="000F0FFC">
        <w:rPr>
          <w:rFonts w:ascii="Palatino Linotype" w:hAnsi="Palatino Linotype"/>
          <w:i/>
        </w:rPr>
        <w:t xml:space="preserve"> la unidad de transparencia en abril 2020</w:t>
      </w:r>
      <w:r w:rsidRPr="00604E50">
        <w:rPr>
          <w:rFonts w:ascii="Palatino Linotype" w:hAnsi="Palatino Linotype"/>
          <w:i/>
        </w:rPr>
        <w:t>” [Sic]</w:t>
      </w:r>
    </w:p>
    <w:p w14:paraId="69C59981" w14:textId="77777777" w:rsidR="00BC0FAB" w:rsidRPr="00604E50" w:rsidRDefault="00BC0FAB" w:rsidP="00A036A6">
      <w:pPr>
        <w:spacing w:line="360" w:lineRule="auto"/>
        <w:ind w:right="850"/>
        <w:jc w:val="both"/>
        <w:rPr>
          <w:rFonts w:ascii="Palatino Linotype" w:hAnsi="Palatino Linotype"/>
          <w:b/>
        </w:rPr>
      </w:pPr>
    </w:p>
    <w:p w14:paraId="0F9F61FD" w14:textId="2BC65E49" w:rsidR="00271073" w:rsidRPr="00604E50" w:rsidRDefault="00A036A6" w:rsidP="007C11CD">
      <w:pPr>
        <w:spacing w:line="360" w:lineRule="auto"/>
        <w:ind w:right="850"/>
        <w:jc w:val="both"/>
        <w:rPr>
          <w:rFonts w:ascii="Palatino Linotype" w:hAnsi="Palatino Linotype"/>
        </w:rPr>
      </w:pPr>
      <w:r w:rsidRPr="00604E50">
        <w:rPr>
          <w:rFonts w:ascii="Palatino Linotype" w:hAnsi="Palatino Linotype"/>
          <w:b/>
        </w:rPr>
        <w:t>MODALIDAD DE ENTREGA:</w:t>
      </w:r>
      <w:r w:rsidRPr="00604E50">
        <w:rPr>
          <w:rFonts w:ascii="Palatino Linotype" w:hAnsi="Palatino Linotype"/>
        </w:rPr>
        <w:t xml:space="preserve"> A través del </w:t>
      </w:r>
      <w:r w:rsidRPr="00604E50">
        <w:rPr>
          <w:rFonts w:ascii="Palatino Linotype" w:hAnsi="Palatino Linotype"/>
          <w:b/>
        </w:rPr>
        <w:t>SAIMEX</w:t>
      </w:r>
      <w:r w:rsidRPr="00604E50">
        <w:rPr>
          <w:rFonts w:ascii="Palatino Linotype" w:hAnsi="Palatino Linotype"/>
        </w:rPr>
        <w:t xml:space="preserve">. </w:t>
      </w:r>
    </w:p>
    <w:p w14:paraId="758D8EDA" w14:textId="77777777" w:rsidR="00ED607E" w:rsidRDefault="00ED607E" w:rsidP="007C11CD">
      <w:pPr>
        <w:spacing w:line="360" w:lineRule="auto"/>
        <w:ind w:right="850"/>
        <w:jc w:val="both"/>
        <w:rPr>
          <w:rFonts w:ascii="Palatino Linotype" w:hAnsi="Palatino Linotype"/>
        </w:rPr>
      </w:pPr>
    </w:p>
    <w:p w14:paraId="6E49814F" w14:textId="77777777" w:rsidR="000F0FFC" w:rsidRPr="00604E50" w:rsidRDefault="000F0FFC" w:rsidP="007C11CD">
      <w:pPr>
        <w:spacing w:line="360" w:lineRule="auto"/>
        <w:ind w:right="850"/>
        <w:jc w:val="both"/>
        <w:rPr>
          <w:rFonts w:ascii="Palatino Linotype" w:hAnsi="Palatino Linotype"/>
        </w:rPr>
      </w:pPr>
    </w:p>
    <w:p w14:paraId="51F8C565" w14:textId="3D0E9947" w:rsidR="00A036A6" w:rsidRPr="00604E50" w:rsidRDefault="00F318FC" w:rsidP="00A036A6">
      <w:pPr>
        <w:spacing w:line="360" w:lineRule="auto"/>
        <w:jc w:val="both"/>
        <w:rPr>
          <w:rFonts w:ascii="Palatino Linotype" w:hAnsi="Palatino Linotype" w:cs="Arial"/>
          <w:b/>
          <w:sz w:val="28"/>
        </w:rPr>
      </w:pPr>
      <w:r w:rsidRPr="00604E50">
        <w:rPr>
          <w:rFonts w:ascii="Palatino Linotype" w:hAnsi="Palatino Linotype" w:cs="Arial"/>
          <w:b/>
          <w:sz w:val="28"/>
        </w:rPr>
        <w:lastRenderedPageBreak/>
        <w:t>SEGUND</w:t>
      </w:r>
      <w:r w:rsidR="00A036A6" w:rsidRPr="00604E50">
        <w:rPr>
          <w:rFonts w:ascii="Palatino Linotype" w:hAnsi="Palatino Linotype" w:cs="Arial"/>
          <w:b/>
          <w:sz w:val="28"/>
        </w:rPr>
        <w:t xml:space="preserve">O. </w:t>
      </w:r>
      <w:r w:rsidR="00A036A6" w:rsidRPr="00604E50">
        <w:rPr>
          <w:rFonts w:ascii="Palatino Linotype" w:hAnsi="Palatino Linotype" w:cs="Arial"/>
          <w:b/>
          <w:sz w:val="28"/>
          <w:szCs w:val="20"/>
        </w:rPr>
        <w:t>De la respuesta del Sujeto Obligado.</w:t>
      </w:r>
    </w:p>
    <w:p w14:paraId="4FB98404" w14:textId="77777777"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En el expediente electrónico </w:t>
      </w:r>
      <w:r w:rsidRPr="00604E50">
        <w:rPr>
          <w:rFonts w:ascii="Palatino Linotype" w:hAnsi="Palatino Linotype" w:cs="Arial"/>
          <w:b/>
        </w:rPr>
        <w:t>SAIMEX</w:t>
      </w:r>
      <w:r w:rsidRPr="00604E50">
        <w:rPr>
          <w:rFonts w:ascii="Palatino Linotype" w:hAnsi="Palatino Linotype" w:cs="Arial"/>
        </w:rPr>
        <w:t xml:space="preserve">, se aprecia que </w:t>
      </w:r>
      <w:r w:rsidRPr="00604E50">
        <w:rPr>
          <w:rFonts w:ascii="Palatino Linotype" w:hAnsi="Palatino Linotype" w:cs="Arial"/>
          <w:b/>
        </w:rPr>
        <w:t xml:space="preserve">El Sujeto Obligado </w:t>
      </w:r>
      <w:r w:rsidRPr="00604E50">
        <w:rPr>
          <w:rFonts w:ascii="Palatino Linotype" w:hAnsi="Palatino Linotype" w:cs="Arial"/>
        </w:rPr>
        <w:t xml:space="preserve">fue omiso en dar respuesta a la solicitud de información presentada por </w:t>
      </w:r>
      <w:r w:rsidRPr="00604E50">
        <w:rPr>
          <w:rFonts w:ascii="Palatino Linotype" w:hAnsi="Palatino Linotype" w:cs="Arial"/>
          <w:b/>
        </w:rPr>
        <w:t>El Recurrente</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 xml:space="preserve">Derivado de lo anterior, se constituye la figura de la </w:t>
      </w:r>
      <w:r w:rsidRPr="00604E50">
        <w:rPr>
          <w:rFonts w:ascii="Palatino Linotype" w:hAnsi="Palatino Linotype" w:cs="Arial"/>
          <w:b/>
          <w:i/>
        </w:rPr>
        <w:t>Negativa Ficta</w:t>
      </w:r>
      <w:r w:rsidRPr="00604E50">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604E50" w:rsidRDefault="00A036A6" w:rsidP="00A036A6">
      <w:pPr>
        <w:spacing w:line="360" w:lineRule="auto"/>
        <w:jc w:val="both"/>
        <w:rPr>
          <w:rFonts w:ascii="Palatino Linotype" w:hAnsi="Palatino Linotype" w:cs="Arial"/>
        </w:rPr>
      </w:pPr>
    </w:p>
    <w:p w14:paraId="778B8C8A" w14:textId="6853AB8E" w:rsidR="00A036A6" w:rsidRPr="00604E50" w:rsidRDefault="00F318FC" w:rsidP="00A036A6">
      <w:pPr>
        <w:spacing w:line="360" w:lineRule="auto"/>
        <w:jc w:val="both"/>
        <w:rPr>
          <w:rFonts w:ascii="Palatino Linotype" w:hAnsi="Palatino Linotype" w:cs="Arial"/>
          <w:b/>
          <w:sz w:val="28"/>
        </w:rPr>
      </w:pPr>
      <w:r w:rsidRPr="00604E50">
        <w:rPr>
          <w:rFonts w:ascii="Palatino Linotype" w:hAnsi="Palatino Linotype" w:cs="Arial"/>
          <w:b/>
          <w:sz w:val="28"/>
        </w:rPr>
        <w:t>TERCER</w:t>
      </w:r>
      <w:r w:rsidR="00A036A6" w:rsidRPr="00604E50">
        <w:rPr>
          <w:rFonts w:ascii="Palatino Linotype" w:hAnsi="Palatino Linotype" w:cs="Arial"/>
          <w:b/>
          <w:sz w:val="28"/>
        </w:rPr>
        <w:t xml:space="preserve">O. </w:t>
      </w:r>
      <w:r w:rsidR="00A036A6" w:rsidRPr="00604E50">
        <w:rPr>
          <w:rFonts w:ascii="Palatino Linotype" w:hAnsi="Palatino Linotype"/>
          <w:b/>
          <w:sz w:val="28"/>
        </w:rPr>
        <w:t>Del recurso de revisión.</w:t>
      </w:r>
    </w:p>
    <w:p w14:paraId="3F9B7581" w14:textId="3A0AB553"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Inconforme con la falta de respuesta por </w:t>
      </w:r>
      <w:r w:rsidRPr="00604E50">
        <w:rPr>
          <w:rFonts w:ascii="Palatino Linotype" w:hAnsi="Palatino Linotype" w:cs="Arial"/>
          <w:b/>
        </w:rPr>
        <w:t>El Sujeto Obligado</w:t>
      </w:r>
      <w:r w:rsidRPr="00604E50">
        <w:rPr>
          <w:rFonts w:ascii="Palatino Linotype" w:hAnsi="Palatino Linotype" w:cs="Arial"/>
        </w:rPr>
        <w:t>,</w:t>
      </w:r>
      <w:r w:rsidRPr="00604E50">
        <w:rPr>
          <w:rFonts w:ascii="Palatino Linotype" w:hAnsi="Palatino Linotype" w:cs="Arial"/>
          <w:b/>
        </w:rPr>
        <w:t xml:space="preserve"> El Recurrente </w:t>
      </w:r>
      <w:r w:rsidRPr="00604E50">
        <w:rPr>
          <w:rFonts w:ascii="Palatino Linotype" w:hAnsi="Palatino Linotype" w:cs="Arial"/>
        </w:rPr>
        <w:t xml:space="preserve">interpuso el recurso de revisión, en fecha </w:t>
      </w:r>
      <w:r w:rsidR="00927F04">
        <w:rPr>
          <w:rFonts w:ascii="Palatino Linotype" w:hAnsi="Palatino Linotype" w:cs="Arial"/>
        </w:rPr>
        <w:t>cinco de febrero de dos mil veinticinco</w:t>
      </w:r>
      <w:r w:rsidRPr="00604E50">
        <w:rPr>
          <w:rFonts w:ascii="Palatino Linotype" w:hAnsi="Palatino Linotype" w:cs="Arial"/>
        </w:rPr>
        <w:t xml:space="preserve">, el cual fue registrado con el expediente número </w:t>
      </w:r>
      <w:r w:rsidR="00927F04" w:rsidRPr="00927F04">
        <w:rPr>
          <w:rFonts w:ascii="Palatino Linotype" w:hAnsi="Palatino Linotype" w:cs="Arial"/>
          <w:b/>
          <w:bCs/>
        </w:rPr>
        <w:t>00605/INFOEM/IP/RR/2025</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 xml:space="preserve">en el cual arguye, las siguientes manifestaciones: </w:t>
      </w:r>
    </w:p>
    <w:p w14:paraId="49F7BAF1" w14:textId="77777777" w:rsidR="00A036A6" w:rsidRPr="00604E50" w:rsidRDefault="00A036A6" w:rsidP="00A036A6">
      <w:pPr>
        <w:pStyle w:val="Sinespaciado"/>
      </w:pPr>
    </w:p>
    <w:p w14:paraId="3DFA5E27" w14:textId="4D78F398" w:rsidR="00A036A6" w:rsidRPr="00604E50" w:rsidRDefault="00A036A6" w:rsidP="00F318FC">
      <w:pPr>
        <w:pStyle w:val="Prrafodelista"/>
        <w:numPr>
          <w:ilvl w:val="0"/>
          <w:numId w:val="15"/>
        </w:numPr>
        <w:jc w:val="both"/>
        <w:rPr>
          <w:rFonts w:ascii="Palatino Linotype" w:hAnsi="Palatino Linotype" w:cs="Arial"/>
          <w:b/>
        </w:rPr>
      </w:pPr>
      <w:r w:rsidRPr="00604E50">
        <w:rPr>
          <w:rFonts w:ascii="Palatino Linotype" w:hAnsi="Palatino Linotype" w:cs="Arial"/>
          <w:b/>
        </w:rPr>
        <w:t xml:space="preserve">Acto Impugnado: </w:t>
      </w:r>
      <w:r w:rsidRPr="00604E50">
        <w:rPr>
          <w:rFonts w:ascii="Palatino Linotype" w:hAnsi="Palatino Linotype" w:cs="Arial"/>
          <w:i/>
        </w:rPr>
        <w:t>“</w:t>
      </w:r>
      <w:r w:rsidR="00927F04" w:rsidRPr="00927F04">
        <w:rPr>
          <w:rFonts w:ascii="Palatino Linotype" w:hAnsi="Palatino Linotype" w:cs="Arial"/>
          <w:i/>
        </w:rPr>
        <w:t>Falta de respuesta</w:t>
      </w:r>
      <w:r w:rsidRPr="00604E50">
        <w:rPr>
          <w:rFonts w:ascii="Palatino Linotype" w:hAnsi="Palatino Linotype" w:cs="Arial"/>
          <w:i/>
        </w:rPr>
        <w:t>” [Sic]</w:t>
      </w:r>
    </w:p>
    <w:p w14:paraId="5617E545" w14:textId="77777777" w:rsidR="007C11CD" w:rsidRPr="00604E50" w:rsidRDefault="007C11CD" w:rsidP="007C11CD">
      <w:pPr>
        <w:ind w:left="360"/>
        <w:jc w:val="both"/>
        <w:rPr>
          <w:rFonts w:ascii="Palatino Linotype" w:hAnsi="Palatino Linotype" w:cs="Arial"/>
          <w:i/>
          <w:sz w:val="18"/>
        </w:rPr>
      </w:pPr>
    </w:p>
    <w:p w14:paraId="6DC36666" w14:textId="77777777" w:rsidR="007C11CD" w:rsidRPr="00604E50" w:rsidRDefault="007C11CD" w:rsidP="007C11CD">
      <w:pPr>
        <w:ind w:left="360"/>
        <w:jc w:val="both"/>
        <w:rPr>
          <w:rFonts w:ascii="Palatino Linotype" w:hAnsi="Palatino Linotype" w:cs="Arial"/>
          <w:i/>
          <w:sz w:val="12"/>
        </w:rPr>
      </w:pPr>
    </w:p>
    <w:p w14:paraId="2E2FB20A" w14:textId="33C75A6D" w:rsidR="007C11CD" w:rsidRPr="00604E50" w:rsidRDefault="00A036A6" w:rsidP="00F318FC">
      <w:pPr>
        <w:pStyle w:val="Prrafodelista"/>
        <w:numPr>
          <w:ilvl w:val="0"/>
          <w:numId w:val="15"/>
        </w:numPr>
        <w:ind w:right="49"/>
        <w:jc w:val="both"/>
        <w:rPr>
          <w:rFonts w:ascii="Palatino Linotype" w:hAnsi="Palatino Linotype" w:cs="Arial"/>
          <w:b/>
        </w:rPr>
      </w:pPr>
      <w:r w:rsidRPr="00604E50">
        <w:rPr>
          <w:rFonts w:ascii="Palatino Linotype" w:hAnsi="Palatino Linotype" w:cs="Arial"/>
          <w:b/>
        </w:rPr>
        <w:t>Razones o Motivos de Inconformidad:</w:t>
      </w:r>
      <w:r w:rsidR="00F318FC" w:rsidRPr="00604E50">
        <w:rPr>
          <w:rFonts w:ascii="Palatino Linotype" w:hAnsi="Palatino Linotype" w:cs="Arial"/>
          <w:b/>
        </w:rPr>
        <w:t xml:space="preserve"> </w:t>
      </w:r>
      <w:r w:rsidRPr="00604E50">
        <w:rPr>
          <w:rFonts w:ascii="Palatino Linotype" w:hAnsi="Palatino Linotype" w:cs="Arial"/>
          <w:i/>
        </w:rPr>
        <w:t>“</w:t>
      </w:r>
      <w:r w:rsidR="00927F04" w:rsidRPr="00927F04">
        <w:rPr>
          <w:rFonts w:ascii="Palatino Linotype" w:hAnsi="Palatino Linotype"/>
          <w:i/>
          <w:color w:val="000000"/>
        </w:rPr>
        <w:t>Falta de respuesta</w:t>
      </w:r>
      <w:r w:rsidRPr="00604E50">
        <w:rPr>
          <w:rFonts w:ascii="Palatino Linotype" w:hAnsi="Palatino Linotype"/>
          <w:i/>
          <w:color w:val="000000"/>
        </w:rPr>
        <w:t xml:space="preserve">” </w:t>
      </w:r>
      <w:r w:rsidR="00956CF5" w:rsidRPr="00604E50">
        <w:rPr>
          <w:rFonts w:ascii="Palatino Linotype" w:hAnsi="Palatino Linotype" w:cs="Arial"/>
          <w:i/>
        </w:rPr>
        <w:t>[Sic]</w:t>
      </w:r>
    </w:p>
    <w:p w14:paraId="0EED1D54" w14:textId="77777777" w:rsidR="00956CF5" w:rsidRPr="00604E50" w:rsidRDefault="00956CF5" w:rsidP="00927F04">
      <w:pPr>
        <w:spacing w:line="360" w:lineRule="auto"/>
        <w:jc w:val="both"/>
        <w:rPr>
          <w:rFonts w:ascii="Palatino Linotype" w:hAnsi="Palatino Linotype" w:cs="Arial"/>
          <w:i/>
        </w:rPr>
      </w:pPr>
    </w:p>
    <w:p w14:paraId="398AD205" w14:textId="77777777" w:rsidR="00956CF5" w:rsidRPr="00604E50" w:rsidRDefault="00956CF5" w:rsidP="00956CF5">
      <w:pPr>
        <w:ind w:left="360"/>
        <w:jc w:val="both"/>
        <w:rPr>
          <w:rFonts w:ascii="Palatino Linotype" w:hAnsi="Palatino Linotype" w:cs="Arial"/>
          <w:i/>
          <w:sz w:val="10"/>
        </w:rPr>
      </w:pPr>
    </w:p>
    <w:p w14:paraId="5E552C0F" w14:textId="3D94B7FA" w:rsidR="00A036A6" w:rsidRPr="00604E50" w:rsidRDefault="00F318FC" w:rsidP="00A036A6">
      <w:pPr>
        <w:spacing w:line="360" w:lineRule="auto"/>
        <w:jc w:val="both"/>
        <w:rPr>
          <w:rFonts w:ascii="Palatino Linotype" w:hAnsi="Palatino Linotype" w:cs="Arial"/>
          <w:b/>
          <w:sz w:val="28"/>
          <w:szCs w:val="28"/>
        </w:rPr>
      </w:pPr>
      <w:r w:rsidRPr="00604E50">
        <w:rPr>
          <w:rFonts w:ascii="Palatino Linotype" w:hAnsi="Palatino Linotype" w:cs="Arial"/>
          <w:b/>
          <w:sz w:val="28"/>
        </w:rPr>
        <w:t>CUART</w:t>
      </w:r>
      <w:r w:rsidR="00A036A6" w:rsidRPr="00604E50">
        <w:rPr>
          <w:rFonts w:ascii="Palatino Linotype" w:hAnsi="Palatino Linotype" w:cs="Arial"/>
          <w:b/>
          <w:sz w:val="28"/>
        </w:rPr>
        <w:t>O</w:t>
      </w:r>
      <w:r w:rsidR="00A036A6" w:rsidRPr="00604E50">
        <w:rPr>
          <w:rFonts w:ascii="Palatino Linotype" w:hAnsi="Palatino Linotype" w:cs="Arial"/>
          <w:b/>
        </w:rPr>
        <w:t xml:space="preserve">. </w:t>
      </w:r>
      <w:r w:rsidR="00A036A6" w:rsidRPr="00604E50">
        <w:rPr>
          <w:rFonts w:ascii="Palatino Linotype" w:hAnsi="Palatino Linotype" w:cs="Arial"/>
          <w:b/>
          <w:sz w:val="28"/>
          <w:szCs w:val="28"/>
        </w:rPr>
        <w:t>Del turno del recurso de revisión.</w:t>
      </w:r>
    </w:p>
    <w:p w14:paraId="048821CE" w14:textId="5773E476"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Medio de impugnación que le fue turnado al Comisionado Presidente José Martínez Vilchis, por medio del sistema electrónico en términos del arábigo 185, fracción I, de la Ley de Transparencia y Acceso a la información Pública del Estado de México y Municipios, del cual recayó acuerdo de admisión en fecha </w:t>
      </w:r>
      <w:r w:rsidR="00927F04">
        <w:rPr>
          <w:rFonts w:ascii="Palatino Linotype" w:hAnsi="Palatino Linotype" w:cs="Arial"/>
        </w:rPr>
        <w:t>diez de febrero de dos mil veinticinco</w:t>
      </w:r>
      <w:r w:rsidRPr="00604E50">
        <w:rPr>
          <w:rFonts w:ascii="Palatino Linotype" w:hAnsi="Palatino Linotype" w:cs="Arial"/>
        </w:rPr>
        <w:t>, determinándose en él, un plazo de siete días para que las partes manifestaran lo que a su derecho corresponda en términos del numeral ya citado.</w:t>
      </w:r>
    </w:p>
    <w:p w14:paraId="758593F4" w14:textId="77777777" w:rsidR="00A036A6" w:rsidRPr="00604E50" w:rsidRDefault="00A036A6" w:rsidP="00A036A6">
      <w:pPr>
        <w:spacing w:line="360" w:lineRule="auto"/>
        <w:jc w:val="both"/>
        <w:rPr>
          <w:rFonts w:ascii="Palatino Linotype" w:hAnsi="Palatino Linotype" w:cs="Arial"/>
          <w:b/>
          <w:sz w:val="22"/>
          <w:szCs w:val="20"/>
        </w:rPr>
      </w:pPr>
    </w:p>
    <w:p w14:paraId="2089F9B8" w14:textId="5A329189" w:rsidR="00A036A6" w:rsidRPr="00604E50" w:rsidRDefault="00F318FC" w:rsidP="00A036A6">
      <w:pPr>
        <w:spacing w:line="360" w:lineRule="auto"/>
        <w:jc w:val="both"/>
        <w:rPr>
          <w:rFonts w:ascii="Palatino Linotype" w:hAnsi="Palatino Linotype" w:cs="Arial"/>
          <w:b/>
          <w:sz w:val="28"/>
          <w:szCs w:val="28"/>
        </w:rPr>
      </w:pPr>
      <w:r w:rsidRPr="00604E50">
        <w:rPr>
          <w:rFonts w:ascii="Palatino Linotype" w:hAnsi="Palatino Linotype" w:cs="Arial"/>
          <w:b/>
          <w:sz w:val="28"/>
        </w:rPr>
        <w:lastRenderedPageBreak/>
        <w:t>QUINT</w:t>
      </w:r>
      <w:r w:rsidR="00A036A6" w:rsidRPr="00604E50">
        <w:rPr>
          <w:rFonts w:ascii="Palatino Linotype" w:hAnsi="Palatino Linotype" w:cs="Arial"/>
          <w:b/>
          <w:sz w:val="28"/>
        </w:rPr>
        <w:t>O</w:t>
      </w:r>
      <w:r w:rsidR="00A036A6" w:rsidRPr="00604E50">
        <w:rPr>
          <w:rFonts w:ascii="Palatino Linotype" w:hAnsi="Palatino Linotype" w:cs="Arial"/>
          <w:b/>
        </w:rPr>
        <w:t xml:space="preserve">. </w:t>
      </w:r>
      <w:r w:rsidR="00A036A6" w:rsidRPr="00604E50">
        <w:rPr>
          <w:rFonts w:ascii="Palatino Linotype" w:hAnsi="Palatino Linotype" w:cs="Arial"/>
          <w:b/>
          <w:sz w:val="28"/>
          <w:szCs w:val="28"/>
        </w:rPr>
        <w:t>De la etapa de instrucción.</w:t>
      </w:r>
    </w:p>
    <w:p w14:paraId="5DD2C3AA" w14:textId="70CB8BB5" w:rsidR="007C11CD" w:rsidRPr="00604E50" w:rsidRDefault="00A036A6" w:rsidP="00CD6A31">
      <w:pPr>
        <w:spacing w:line="360" w:lineRule="auto"/>
        <w:jc w:val="both"/>
        <w:rPr>
          <w:rFonts w:ascii="Palatino Linotype" w:hAnsi="Palatino Linotype" w:cs="Arial"/>
        </w:rPr>
      </w:pPr>
      <w:r w:rsidRPr="00604E50">
        <w:rPr>
          <w:rFonts w:ascii="Palatino Linotype" w:hAnsi="Palatino Linotype" w:cs="Arial"/>
        </w:rPr>
        <w:t>Así, una vez transcurrido el término legal referido,</w:t>
      </w:r>
      <w:r w:rsidR="007C11CD" w:rsidRPr="00604E50">
        <w:rPr>
          <w:rFonts w:ascii="Palatino Linotype" w:hAnsi="Palatino Linotype" w:cs="Arial"/>
        </w:rPr>
        <w:t xml:space="preserve"> se aprecia que en fecha </w:t>
      </w:r>
      <w:r w:rsidR="00927F04">
        <w:rPr>
          <w:rFonts w:ascii="Palatino Linotype" w:hAnsi="Palatino Linotype" w:cs="Arial"/>
        </w:rPr>
        <w:t>diecinueve de febrero de dos mil veinticinco</w:t>
      </w:r>
      <w:r w:rsidR="007C11CD" w:rsidRPr="00604E50">
        <w:rPr>
          <w:rFonts w:ascii="Palatino Linotype" w:hAnsi="Palatino Linotype" w:cs="Arial"/>
        </w:rPr>
        <w:t>,</w:t>
      </w:r>
      <w:r w:rsidRPr="00604E50">
        <w:rPr>
          <w:rFonts w:ascii="Palatino Linotype" w:hAnsi="Palatino Linotype" w:cs="Arial"/>
        </w:rPr>
        <w:t xml:space="preserve"> </w:t>
      </w:r>
      <w:r w:rsidRPr="00604E50">
        <w:rPr>
          <w:rFonts w:ascii="Palatino Linotype" w:hAnsi="Palatino Linotype" w:cs="Arial"/>
          <w:b/>
        </w:rPr>
        <w:t xml:space="preserve">El Sujeto Obligado </w:t>
      </w:r>
      <w:r w:rsidR="007C11CD" w:rsidRPr="00604E50">
        <w:rPr>
          <w:rFonts w:ascii="Palatino Linotype" w:hAnsi="Palatino Linotype" w:cs="Arial"/>
        </w:rPr>
        <w:t xml:space="preserve">remitió </w:t>
      </w:r>
      <w:r w:rsidRPr="00604E50">
        <w:rPr>
          <w:rFonts w:ascii="Palatino Linotype" w:hAnsi="Palatino Linotype" w:cs="Arial"/>
        </w:rPr>
        <w:t>su informe justificado</w:t>
      </w:r>
      <w:r w:rsidR="007C11CD" w:rsidRPr="00604E50">
        <w:rPr>
          <w:rFonts w:ascii="Palatino Linotype" w:hAnsi="Palatino Linotype" w:cs="Arial"/>
        </w:rPr>
        <w:t xml:space="preserve"> mediante </w:t>
      </w:r>
      <w:r w:rsidR="00506DF2" w:rsidRPr="00604E50">
        <w:rPr>
          <w:rFonts w:ascii="Palatino Linotype" w:hAnsi="Palatino Linotype" w:cs="Arial"/>
        </w:rPr>
        <w:t>los</w:t>
      </w:r>
      <w:r w:rsidR="007C11CD" w:rsidRPr="00604E50">
        <w:rPr>
          <w:rFonts w:ascii="Palatino Linotype" w:hAnsi="Palatino Linotype" w:cs="Arial"/>
        </w:rPr>
        <w:t xml:space="preserve"> archivo</w:t>
      </w:r>
      <w:r w:rsidR="00506DF2" w:rsidRPr="00604E50">
        <w:rPr>
          <w:rFonts w:ascii="Palatino Linotype" w:hAnsi="Palatino Linotype" w:cs="Arial"/>
        </w:rPr>
        <w:t>s</w:t>
      </w:r>
      <w:r w:rsidR="007C11CD" w:rsidRPr="00604E50">
        <w:rPr>
          <w:rFonts w:ascii="Palatino Linotype" w:hAnsi="Palatino Linotype" w:cs="Arial"/>
        </w:rPr>
        <w:t xml:space="preserve"> electrónico</w:t>
      </w:r>
      <w:r w:rsidR="00506DF2" w:rsidRPr="00604E50">
        <w:rPr>
          <w:rFonts w:ascii="Palatino Linotype" w:hAnsi="Palatino Linotype" w:cs="Arial"/>
        </w:rPr>
        <w:t>s</w:t>
      </w:r>
      <w:r w:rsidR="007C11CD" w:rsidRPr="00604E50">
        <w:rPr>
          <w:rFonts w:ascii="Palatino Linotype" w:hAnsi="Palatino Linotype" w:cs="Arial"/>
        </w:rPr>
        <w:t xml:space="preserve"> denominado</w:t>
      </w:r>
      <w:r w:rsidR="00506DF2" w:rsidRPr="00604E50">
        <w:rPr>
          <w:rFonts w:ascii="Palatino Linotype" w:hAnsi="Palatino Linotype" w:cs="Arial"/>
        </w:rPr>
        <w:t>s</w:t>
      </w:r>
      <w:r w:rsidR="007C11CD" w:rsidRPr="00604E50">
        <w:rPr>
          <w:rFonts w:ascii="Palatino Linotype" w:hAnsi="Palatino Linotype" w:cs="Arial"/>
        </w:rPr>
        <w:t xml:space="preserve"> </w:t>
      </w:r>
      <w:r w:rsidR="007C11CD" w:rsidRPr="00604E50">
        <w:rPr>
          <w:rFonts w:ascii="Palatino Linotype" w:hAnsi="Palatino Linotype" w:cs="Arial"/>
          <w:i/>
        </w:rPr>
        <w:t>“</w:t>
      </w:r>
      <w:r w:rsidR="00927F04" w:rsidRPr="00927F04">
        <w:rPr>
          <w:rFonts w:ascii="Palatino Linotype" w:hAnsi="Palatino Linotype" w:cs="Arial"/>
          <w:b/>
          <w:bCs/>
          <w:i/>
        </w:rPr>
        <w:t>Acta 50 Bis.pdf</w:t>
      </w:r>
      <w:r w:rsidR="00506DF2" w:rsidRPr="00604E50">
        <w:rPr>
          <w:rFonts w:ascii="Palatino Linotype" w:hAnsi="Palatino Linotype" w:cs="Arial"/>
          <w:i/>
        </w:rPr>
        <w:t>”, “</w:t>
      </w:r>
      <w:r w:rsidR="00927F04" w:rsidRPr="00927F04">
        <w:rPr>
          <w:rFonts w:ascii="Palatino Linotype" w:hAnsi="Palatino Linotype" w:cs="Arial"/>
          <w:b/>
          <w:bCs/>
          <w:i/>
        </w:rPr>
        <w:t>Respuesta 197-2025.pdf</w:t>
      </w:r>
      <w:r w:rsidR="00506DF2" w:rsidRPr="00604E50">
        <w:rPr>
          <w:rFonts w:ascii="Palatino Linotype" w:hAnsi="Palatino Linotype" w:cs="Arial"/>
          <w:i/>
        </w:rPr>
        <w:t>” y “</w:t>
      </w:r>
      <w:r w:rsidR="00927F04" w:rsidRPr="00927F04">
        <w:rPr>
          <w:rFonts w:ascii="Palatino Linotype" w:hAnsi="Palatino Linotype" w:cs="Arial"/>
          <w:b/>
          <w:bCs/>
          <w:i/>
        </w:rPr>
        <w:t>Informe Justificado 605.pdf</w:t>
      </w:r>
      <w:r w:rsidR="00506DF2" w:rsidRPr="00604E50">
        <w:rPr>
          <w:rFonts w:ascii="Palatino Linotype" w:hAnsi="Palatino Linotype" w:cs="Arial"/>
          <w:i/>
        </w:rPr>
        <w:t>”</w:t>
      </w:r>
      <w:r w:rsidR="007C11CD" w:rsidRPr="00604E50">
        <w:rPr>
          <w:rFonts w:ascii="Palatino Linotype" w:hAnsi="Palatino Linotype" w:cs="Arial"/>
        </w:rPr>
        <w:t xml:space="preserve">; el cual, fue puesto a la vista de la parte </w:t>
      </w:r>
      <w:r w:rsidR="007C11CD" w:rsidRPr="00604E50">
        <w:rPr>
          <w:rFonts w:ascii="Palatino Linotype" w:hAnsi="Palatino Linotype" w:cs="Arial"/>
          <w:b/>
        </w:rPr>
        <w:t>Recurrente</w:t>
      </w:r>
      <w:r w:rsidR="007C11CD" w:rsidRPr="00604E50">
        <w:rPr>
          <w:rFonts w:ascii="Palatino Linotype" w:hAnsi="Palatino Linotype" w:cs="Arial"/>
        </w:rPr>
        <w:t xml:space="preserve"> mediante Acuerdo de fecha </w:t>
      </w:r>
      <w:r w:rsidR="00927F04">
        <w:rPr>
          <w:rFonts w:ascii="Palatino Linotype" w:hAnsi="Palatino Linotype" w:cs="Arial"/>
        </w:rPr>
        <w:t>veintiuno de febrero de dos mil veinticinco</w:t>
      </w:r>
      <w:r w:rsidRPr="00604E50">
        <w:rPr>
          <w:rFonts w:ascii="Palatino Linotype" w:hAnsi="Palatino Linotype" w:cs="Arial"/>
        </w:rPr>
        <w:t xml:space="preserve">; por otra parte, el </w:t>
      </w:r>
      <w:r w:rsidRPr="00604E50">
        <w:rPr>
          <w:rFonts w:ascii="Palatino Linotype" w:hAnsi="Palatino Linotype" w:cs="Arial"/>
          <w:b/>
        </w:rPr>
        <w:t>Recurrente</w:t>
      </w:r>
      <w:r w:rsidRPr="00604E50">
        <w:rPr>
          <w:rFonts w:ascii="Palatino Linotype" w:hAnsi="Palatino Linotype" w:cs="Arial"/>
        </w:rPr>
        <w:t xml:space="preserve">, </w:t>
      </w:r>
      <w:r w:rsidR="00956CF5" w:rsidRPr="00604E50">
        <w:rPr>
          <w:rFonts w:ascii="Palatino Linotype" w:hAnsi="Palatino Linotype" w:cs="Arial"/>
        </w:rPr>
        <w:t xml:space="preserve">no </w:t>
      </w:r>
      <w:r w:rsidR="007C11CD" w:rsidRPr="00604E50">
        <w:rPr>
          <w:rFonts w:ascii="Palatino Linotype" w:hAnsi="Palatino Linotype" w:cs="Arial"/>
        </w:rPr>
        <w:t xml:space="preserve">presentó alegatos a la información remitida por parte del </w:t>
      </w:r>
      <w:r w:rsidR="007C11CD" w:rsidRPr="00604E50">
        <w:rPr>
          <w:rFonts w:ascii="Palatino Linotype" w:hAnsi="Palatino Linotype" w:cs="Arial"/>
          <w:b/>
        </w:rPr>
        <w:t>Sujeto Obligado</w:t>
      </w:r>
      <w:r w:rsidR="00506DF2" w:rsidRPr="00604E50">
        <w:rPr>
          <w:rFonts w:ascii="Palatino Linotype" w:hAnsi="Palatino Linotype" w:cs="Arial"/>
        </w:rPr>
        <w:t>.</w:t>
      </w:r>
      <w:r w:rsidRPr="00604E50">
        <w:rPr>
          <w:rFonts w:ascii="Palatino Linotype" w:hAnsi="Palatino Linotype" w:cs="Arial"/>
        </w:rPr>
        <w:t xml:space="preserve"> </w:t>
      </w:r>
    </w:p>
    <w:p w14:paraId="788D05BF" w14:textId="116A711B" w:rsidR="00956CF5" w:rsidRPr="00604E50" w:rsidRDefault="00956CF5" w:rsidP="007C11CD">
      <w:pPr>
        <w:spacing w:line="360" w:lineRule="auto"/>
        <w:jc w:val="center"/>
        <w:rPr>
          <w:rFonts w:ascii="Palatino Linotype" w:hAnsi="Palatino Linotype" w:cs="Arial"/>
        </w:rPr>
      </w:pPr>
    </w:p>
    <w:p w14:paraId="00649645" w14:textId="6052BF3E" w:rsidR="00A036A6" w:rsidRPr="00604E50" w:rsidRDefault="00F318FC" w:rsidP="00A036A6">
      <w:pPr>
        <w:spacing w:line="360" w:lineRule="auto"/>
        <w:jc w:val="both"/>
        <w:rPr>
          <w:rFonts w:ascii="Palatino Linotype" w:hAnsi="Palatino Linotype" w:cs="Arial"/>
          <w:b/>
          <w:sz w:val="28"/>
          <w:szCs w:val="28"/>
        </w:rPr>
      </w:pPr>
      <w:r w:rsidRPr="00604E50">
        <w:rPr>
          <w:rFonts w:ascii="Palatino Linotype" w:hAnsi="Palatino Linotype" w:cs="Arial"/>
          <w:b/>
          <w:sz w:val="28"/>
        </w:rPr>
        <w:t>SEXT</w:t>
      </w:r>
      <w:r w:rsidR="00A036A6" w:rsidRPr="00604E50">
        <w:rPr>
          <w:rFonts w:ascii="Palatino Linotype" w:hAnsi="Palatino Linotype" w:cs="Arial"/>
          <w:b/>
          <w:sz w:val="28"/>
        </w:rPr>
        <w:t>O</w:t>
      </w:r>
      <w:r w:rsidR="00A036A6" w:rsidRPr="00604E50">
        <w:rPr>
          <w:rFonts w:ascii="Palatino Linotype" w:hAnsi="Palatino Linotype" w:cs="Arial"/>
          <w:b/>
        </w:rPr>
        <w:t xml:space="preserve">. </w:t>
      </w:r>
      <w:r w:rsidR="00A036A6" w:rsidRPr="00604E50">
        <w:rPr>
          <w:rFonts w:ascii="Palatino Linotype" w:hAnsi="Palatino Linotype" w:cs="Arial"/>
          <w:b/>
          <w:sz w:val="28"/>
          <w:szCs w:val="28"/>
        </w:rPr>
        <w:t>Del Cierre de la Etapa de Instrucción.</w:t>
      </w:r>
    </w:p>
    <w:p w14:paraId="6F816153" w14:textId="06D99B80" w:rsidR="00CD6A31"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En fecha </w:t>
      </w:r>
      <w:r w:rsidR="00927F04">
        <w:rPr>
          <w:rFonts w:ascii="Palatino Linotype" w:hAnsi="Palatino Linotype" w:cs="Arial"/>
        </w:rPr>
        <w:t>veintisiete de febrero de dos mil veinticinco</w:t>
      </w:r>
      <w:r w:rsidRPr="00604E50">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5A7AD23B" w14:textId="77777777" w:rsidR="00ED607E" w:rsidRPr="00604E50" w:rsidRDefault="00ED607E" w:rsidP="00A036A6">
      <w:pPr>
        <w:spacing w:line="360" w:lineRule="auto"/>
        <w:jc w:val="both"/>
        <w:rPr>
          <w:rFonts w:ascii="Palatino Linotype" w:hAnsi="Palatino Linotype" w:cs="Arial"/>
        </w:rPr>
      </w:pPr>
    </w:p>
    <w:p w14:paraId="71451B96" w14:textId="77777777" w:rsidR="004D2577" w:rsidRPr="00604E50" w:rsidRDefault="00A036A6" w:rsidP="004D2577">
      <w:pPr>
        <w:spacing w:line="360" w:lineRule="auto"/>
        <w:jc w:val="center"/>
        <w:rPr>
          <w:rFonts w:ascii="Palatino Linotype" w:hAnsi="Palatino Linotype" w:cs="Arial"/>
          <w:b/>
          <w:sz w:val="28"/>
        </w:rPr>
      </w:pPr>
      <w:r w:rsidRPr="00604E50">
        <w:rPr>
          <w:rFonts w:ascii="Palatino Linotype" w:hAnsi="Palatino Linotype" w:cs="Arial"/>
          <w:b/>
          <w:sz w:val="28"/>
        </w:rPr>
        <w:t xml:space="preserve">C O N S I D E R A N D O </w:t>
      </w:r>
    </w:p>
    <w:p w14:paraId="03403B63" w14:textId="77777777" w:rsidR="004D2577" w:rsidRPr="00604E50" w:rsidRDefault="004D2577" w:rsidP="00271073">
      <w:pPr>
        <w:pStyle w:val="Sinespaciado"/>
      </w:pPr>
    </w:p>
    <w:p w14:paraId="5232FC09" w14:textId="77777777"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b/>
          <w:sz w:val="28"/>
        </w:rPr>
        <w:t>PRIMERO.</w:t>
      </w:r>
      <w:r w:rsidRPr="00604E50">
        <w:rPr>
          <w:rFonts w:ascii="Palatino Linotype" w:hAnsi="Palatino Linotype" w:cs="Arial"/>
          <w:b/>
        </w:rPr>
        <w:t xml:space="preserve"> </w:t>
      </w:r>
      <w:r w:rsidRPr="00604E50">
        <w:rPr>
          <w:rFonts w:ascii="Palatino Linotype" w:hAnsi="Palatino Linotype" w:cs="Arial"/>
          <w:b/>
          <w:sz w:val="28"/>
          <w:szCs w:val="28"/>
        </w:rPr>
        <w:t>De la competencia</w:t>
      </w:r>
      <w:r w:rsidRPr="00604E50">
        <w:rPr>
          <w:rFonts w:ascii="Palatino Linotype" w:hAnsi="Palatino Linotype" w:cs="Arial"/>
          <w:sz w:val="28"/>
          <w:szCs w:val="28"/>
        </w:rPr>
        <w:t>.</w:t>
      </w:r>
    </w:p>
    <w:p w14:paraId="7E9B216D" w14:textId="77777777" w:rsidR="00071FEF" w:rsidRPr="00604E50" w:rsidRDefault="00071FEF" w:rsidP="00071FEF">
      <w:pPr>
        <w:spacing w:line="360" w:lineRule="auto"/>
        <w:jc w:val="both"/>
        <w:rPr>
          <w:rFonts w:ascii="Palatino Linotype" w:eastAsiaTheme="minorHAnsi" w:hAnsi="Palatino Linotype" w:cs="Arial"/>
          <w:lang w:val="es-MX" w:eastAsia="en-US"/>
        </w:rPr>
      </w:pPr>
      <w:r w:rsidRPr="00604E50">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w:t>
      </w:r>
      <w:r w:rsidRPr="00604E50">
        <w:rPr>
          <w:rFonts w:ascii="Palatino Linotype" w:eastAsiaTheme="minorHAnsi" w:hAnsi="Palatino Linotype" w:cs="Arial"/>
          <w:lang w:val="es-MX" w:eastAsia="en-US"/>
        </w:rPr>
        <w:lastRenderedPageBreak/>
        <w:t>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B1BCFD5" w14:textId="77777777" w:rsidR="00161689" w:rsidRPr="00604E50" w:rsidRDefault="00161689" w:rsidP="00A036A6">
      <w:pPr>
        <w:pStyle w:val="Prrafodelista"/>
        <w:autoSpaceDE w:val="0"/>
        <w:autoSpaceDN w:val="0"/>
        <w:adjustRightInd w:val="0"/>
        <w:spacing w:line="360" w:lineRule="auto"/>
        <w:ind w:left="0"/>
        <w:jc w:val="both"/>
        <w:rPr>
          <w:rFonts w:ascii="Palatino Linotype" w:hAnsi="Palatino Linotype" w:cs="Arial"/>
          <w:b/>
          <w:lang w:val="es-MX"/>
        </w:rPr>
      </w:pPr>
    </w:p>
    <w:p w14:paraId="7628DFD5"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b/>
          <w:sz w:val="28"/>
        </w:rPr>
        <w:t>SEGUNDO</w:t>
      </w:r>
      <w:r w:rsidRPr="00604E50">
        <w:rPr>
          <w:rFonts w:ascii="Palatino Linotype" w:hAnsi="Palatino Linotype" w:cs="Arial"/>
          <w:b/>
        </w:rPr>
        <w:t xml:space="preserve">. </w:t>
      </w:r>
      <w:r w:rsidRPr="00604E50">
        <w:rPr>
          <w:rFonts w:ascii="Palatino Linotype" w:hAnsi="Palatino Linotype" w:cs="Arial"/>
          <w:b/>
          <w:sz w:val="28"/>
          <w:szCs w:val="28"/>
        </w:rPr>
        <w:t>Sobre los alcances del recurso de revisión.</w:t>
      </w:r>
      <w:r w:rsidRPr="00604E50">
        <w:rPr>
          <w:rFonts w:ascii="Palatino Linotype" w:hAnsi="Palatino Linotype" w:cs="Arial"/>
          <w:b/>
        </w:rPr>
        <w:t xml:space="preserve"> </w:t>
      </w:r>
    </w:p>
    <w:p w14:paraId="7A7DAB86" w14:textId="7EF1F160" w:rsidR="00A036A6" w:rsidRPr="00604E50" w:rsidRDefault="00A036A6" w:rsidP="00CD6A31">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C49F10" w14:textId="77777777" w:rsidR="00271073" w:rsidRPr="00604E50"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604E50" w:rsidRDefault="00A036A6" w:rsidP="00A036A6">
      <w:pPr>
        <w:pStyle w:val="Sinespaciado"/>
        <w:rPr>
          <w:rFonts w:ascii="Palatino Linotype" w:hAnsi="Palatino Linotype"/>
        </w:rPr>
      </w:pPr>
    </w:p>
    <w:p w14:paraId="61ED415A"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163.</w:t>
      </w:r>
      <w:r w:rsidRPr="00604E50">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w:t>
      </w:r>
      <w:r w:rsidRPr="00604E50">
        <w:rPr>
          <w:rFonts w:ascii="Palatino Linotype" w:hAnsi="Palatino Linotype" w:cs="Arial"/>
          <w:i/>
          <w:sz w:val="22"/>
          <w:szCs w:val="22"/>
        </w:rPr>
        <w:lastRenderedPageBreak/>
        <w:t>invocarse como causales de ampliación del plazo motivos que supongan negligencia o descuido del sujeto obligado en el desahogo de la solicitud.”</w:t>
      </w:r>
    </w:p>
    <w:p w14:paraId="2BE0B2E9" w14:textId="77777777" w:rsidR="00A036A6" w:rsidRPr="00604E50"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604E50">
        <w:rPr>
          <w:rFonts w:ascii="Palatino Linotype" w:hAnsi="Palatino Linotype" w:cs="Arial"/>
          <w:i/>
          <w:sz w:val="20"/>
          <w:szCs w:val="22"/>
        </w:rPr>
        <w:t>(Énfasis añadido)</w:t>
      </w:r>
    </w:p>
    <w:p w14:paraId="663C681D" w14:textId="77777777" w:rsidR="00A036A6" w:rsidRPr="00604E50"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604E50"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604E50">
        <w:rPr>
          <w:rFonts w:ascii="Palatino Linotype" w:hAnsi="Palatino Linotype" w:cs="Arial"/>
          <w:b/>
          <w:i/>
        </w:rPr>
        <w:t>Negativa Ficta</w:t>
      </w:r>
      <w:r w:rsidRPr="00604E50">
        <w:rPr>
          <w:rFonts w:ascii="Palatino Linotype" w:hAnsi="Palatino Linotype" w:cs="Arial"/>
        </w:rPr>
        <w:t>, cuya esencia consiste en atribuir un efecto negativo al silencio de la autoridad administrativa frente a las instancias y solicitudes que hagan los particulares.</w:t>
      </w:r>
    </w:p>
    <w:p w14:paraId="6236E3A4" w14:textId="77777777" w:rsidR="00A036A6" w:rsidRPr="00604E50" w:rsidRDefault="00A036A6" w:rsidP="00A036A6">
      <w:pPr>
        <w:pStyle w:val="Sinespaciado"/>
        <w:rPr>
          <w:rFonts w:ascii="Palatino Linotype" w:hAnsi="Palatino Linotype"/>
        </w:rPr>
      </w:pPr>
    </w:p>
    <w:p w14:paraId="084D2F1F" w14:textId="22C5DD0C" w:rsidR="00A036A6" w:rsidRPr="00604E50"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604E50">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5F16FB15" w14:textId="77777777" w:rsidR="00271073" w:rsidRPr="00604E50" w:rsidRDefault="00271073" w:rsidP="00271073">
      <w:pPr>
        <w:pStyle w:val="Sinespaciado"/>
        <w:rPr>
          <w:rFonts w:eastAsiaTheme="minorHAnsi"/>
          <w:lang w:eastAsia="en-US"/>
        </w:rPr>
      </w:pPr>
    </w:p>
    <w:p w14:paraId="142C4AD6" w14:textId="0CCD2AF5" w:rsidR="00A036A6" w:rsidRPr="00604E50"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178.</w:t>
      </w:r>
      <w:r w:rsidRPr="00604E50">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296F1F9" w14:textId="77777777" w:rsidR="008955EA" w:rsidRPr="00604E50" w:rsidRDefault="008955EA"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604E50">
        <w:rPr>
          <w:rFonts w:ascii="Palatino Linotype" w:hAnsi="Palatino Linotype" w:cs="Arial"/>
          <w:i/>
          <w:sz w:val="22"/>
          <w:szCs w:val="22"/>
        </w:rPr>
        <w:t>, acompañado con el documento que pruebe la fecha en que presentó la solicitud.</w:t>
      </w:r>
    </w:p>
    <w:p w14:paraId="6040D288"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009A6D69"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8"/>
          <w:szCs w:val="22"/>
        </w:rPr>
      </w:pPr>
    </w:p>
    <w:p w14:paraId="3F640D0B"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604E50">
        <w:rPr>
          <w:rFonts w:ascii="Palatino Linotype" w:hAnsi="Palatino Linotype" w:cs="Arial"/>
          <w:b/>
        </w:rPr>
        <w:t>Sujeto Obligado</w:t>
      </w:r>
      <w:r w:rsidRPr="00604E50">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22794775" w14:textId="77777777" w:rsidR="00071FEF" w:rsidRPr="00604E50"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12DAC4C0" w14:textId="77777777" w:rsidR="003C744F" w:rsidRPr="0066744A" w:rsidRDefault="003C744F" w:rsidP="003C744F">
      <w:pPr>
        <w:spacing w:line="360" w:lineRule="auto"/>
        <w:contextualSpacing/>
        <w:jc w:val="both"/>
        <w:rPr>
          <w:rFonts w:ascii="Palatino Linotype" w:hAnsi="Palatino Linotype" w:cs="Palatino Linotype"/>
          <w:lang w:eastAsia="es-MX"/>
        </w:rPr>
      </w:pPr>
      <w:r w:rsidRPr="0066744A">
        <w:rPr>
          <w:rFonts w:ascii="Palatino Linotype" w:hAnsi="Palatino Linotype" w:cs="Arial"/>
          <w:b/>
          <w:sz w:val="28"/>
        </w:rPr>
        <w:t>TERCERO</w:t>
      </w:r>
      <w:r w:rsidRPr="0066744A">
        <w:rPr>
          <w:rFonts w:ascii="Palatino Linotype" w:hAnsi="Palatino Linotype" w:cs="Arial"/>
          <w:b/>
        </w:rPr>
        <w:t xml:space="preserve">. </w:t>
      </w:r>
      <w:r w:rsidRPr="0066744A">
        <w:rPr>
          <w:rFonts w:ascii="Palatino Linotype" w:hAnsi="Palatino Linotype" w:cs="Arial"/>
          <w:b/>
          <w:sz w:val="28"/>
          <w:szCs w:val="28"/>
        </w:rPr>
        <w:t>Cuestiones de previo y especial pronunciamiento.</w:t>
      </w:r>
    </w:p>
    <w:p w14:paraId="6DBAA954" w14:textId="77777777" w:rsidR="003C744F" w:rsidRPr="0066744A" w:rsidRDefault="003C744F" w:rsidP="003C744F">
      <w:pPr>
        <w:pStyle w:val="Sinespaciado"/>
        <w:spacing w:line="360" w:lineRule="auto"/>
        <w:jc w:val="both"/>
        <w:rPr>
          <w:rFonts w:ascii="Palatino Linotype" w:hAnsi="Palatino Linotype" w:cs="Palatino Linotype"/>
          <w:lang w:val="es-ES_tradnl" w:eastAsia="es-MX"/>
        </w:rPr>
      </w:pPr>
      <w:r w:rsidRPr="0066744A">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2CFEE278" w14:textId="77777777" w:rsidR="003C744F" w:rsidRPr="0066744A" w:rsidRDefault="003C744F" w:rsidP="003C744F">
      <w:pPr>
        <w:spacing w:line="360" w:lineRule="auto"/>
        <w:contextualSpacing/>
        <w:jc w:val="both"/>
        <w:rPr>
          <w:rFonts w:ascii="Palatino Linotype" w:hAnsi="Palatino Linotype" w:cs="Palatino Linotype"/>
          <w:lang w:eastAsia="es-MX"/>
        </w:rPr>
      </w:pPr>
    </w:p>
    <w:p w14:paraId="4942DF19"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 xml:space="preserve">Artículo 180. </w:t>
      </w:r>
      <w:r w:rsidRPr="0066744A">
        <w:rPr>
          <w:rFonts w:ascii="Palatino Linotype" w:hAnsi="Palatino Linotype" w:cs="Palatino Linotype"/>
          <w:i/>
          <w:lang w:eastAsia="es-MX"/>
        </w:rPr>
        <w:t>El recurso de revisión contendrá:</w:t>
      </w:r>
    </w:p>
    <w:p w14:paraId="2575A331" w14:textId="77777777" w:rsidR="003C744F" w:rsidRPr="0066744A" w:rsidRDefault="003C744F" w:rsidP="003C744F">
      <w:pPr>
        <w:ind w:left="567" w:right="567"/>
        <w:contextualSpacing/>
        <w:jc w:val="both"/>
        <w:rPr>
          <w:rFonts w:ascii="Palatino Linotype" w:hAnsi="Palatino Linotype" w:cs="Palatino Linotype"/>
          <w:i/>
          <w:lang w:eastAsia="es-MX"/>
        </w:rPr>
      </w:pPr>
    </w:p>
    <w:p w14:paraId="2D0251DD"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 El sujeto obligado ante la cual se presentó la solicitud;</w:t>
      </w:r>
    </w:p>
    <w:p w14:paraId="4D0B5491"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II. El nombre del solicitante que recurre</w:t>
      </w:r>
      <w:r w:rsidRPr="0066744A">
        <w:rPr>
          <w:rFonts w:ascii="Palatino Linotype" w:hAnsi="Palatino Linotype" w:cs="Palatino Linotype"/>
          <w:i/>
          <w:lang w:eastAsia="es-MX"/>
        </w:rPr>
        <w:t xml:space="preserve"> o de su representante y, en su caso, del tercero interesado, así como la dirección o medio que señale para recibir notificaciones;</w:t>
      </w:r>
    </w:p>
    <w:p w14:paraId="46B80AE1"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III. El número de folio de respuesta de la solicitud de acceso;</w:t>
      </w:r>
    </w:p>
    <w:p w14:paraId="1D86292A"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IV. La fecha en que fue notificada la respuesta al solicitante o tuvo conocimiento del acto reclamado, o de presentación de la solicitud, en caso de falta de respuesta;</w:t>
      </w:r>
    </w:p>
    <w:p w14:paraId="3EE5F86A"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 El acto que se recurre;</w:t>
      </w:r>
    </w:p>
    <w:p w14:paraId="1777D147"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VI. Las razones o motivos de inconformidad;</w:t>
      </w:r>
    </w:p>
    <w:p w14:paraId="6AA4514E"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VII. La copia de la respuesta que se impugna y, en su caso, de la notificación correspondiente, en el caso de respuesta de la solicitud; y</w:t>
      </w:r>
    </w:p>
    <w:p w14:paraId="3CD0063C"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lastRenderedPageBreak/>
        <w:t>VIII. Firma del recurrente, en su caso, cuando se presente por escrito, requisito sin el cual se dará trámite al recurso.</w:t>
      </w:r>
    </w:p>
    <w:p w14:paraId="138C1107" w14:textId="77777777" w:rsidR="003C744F" w:rsidRPr="0066744A" w:rsidRDefault="003C744F" w:rsidP="003C744F">
      <w:pPr>
        <w:ind w:left="567" w:right="567"/>
        <w:contextualSpacing/>
        <w:jc w:val="both"/>
        <w:rPr>
          <w:rFonts w:ascii="Palatino Linotype" w:hAnsi="Palatino Linotype" w:cs="Palatino Linotype"/>
          <w:i/>
          <w:lang w:eastAsia="es-MX"/>
        </w:rPr>
      </w:pPr>
    </w:p>
    <w:p w14:paraId="7F75FC3A"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Adicionalmente, se podrán anexar las pruebas y demás elementos que considere procedentes someter a juicio del Instituto.</w:t>
      </w:r>
    </w:p>
    <w:p w14:paraId="6C5A303C" w14:textId="77777777" w:rsidR="003C744F" w:rsidRPr="0066744A" w:rsidRDefault="003C744F" w:rsidP="003C744F">
      <w:pPr>
        <w:ind w:left="567" w:right="567"/>
        <w:contextualSpacing/>
        <w:jc w:val="both"/>
        <w:rPr>
          <w:rFonts w:ascii="Palatino Linotype" w:hAnsi="Palatino Linotype" w:cs="Palatino Linotype"/>
          <w:i/>
          <w:lang w:eastAsia="es-MX"/>
        </w:rPr>
      </w:pPr>
    </w:p>
    <w:p w14:paraId="5AF94EAE"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En ningún caso será necesario que el particular ratifique el recurso de revisión interpuesto.</w:t>
      </w:r>
    </w:p>
    <w:p w14:paraId="294C3DCF" w14:textId="77777777" w:rsidR="003C744F" w:rsidRPr="0066744A" w:rsidRDefault="003C744F" w:rsidP="003C744F">
      <w:pPr>
        <w:ind w:left="567" w:right="567"/>
        <w:contextualSpacing/>
        <w:jc w:val="both"/>
        <w:rPr>
          <w:rFonts w:ascii="Palatino Linotype" w:hAnsi="Palatino Linotype" w:cs="Palatino Linotype"/>
          <w:i/>
          <w:lang w:eastAsia="es-MX"/>
        </w:rPr>
      </w:pPr>
    </w:p>
    <w:p w14:paraId="6CEBE472"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b/>
          <w:bCs/>
          <w:i/>
          <w:iCs/>
          <w:lang w:eastAsia="es-MX"/>
        </w:rPr>
        <w:t>En caso de que el recurso se interponga de manera electrónica no será indispensable que contengan los requisitos establecidos en las fracciones II</w:t>
      </w:r>
      <w:r w:rsidRPr="0066744A">
        <w:rPr>
          <w:rFonts w:ascii="Palatino Linotype" w:hAnsi="Palatino Linotype" w:cs="Palatino Linotype"/>
          <w:i/>
          <w:iCs/>
          <w:lang w:eastAsia="es-MX"/>
        </w:rPr>
        <w:t>, IV, VII y VIII.</w:t>
      </w:r>
    </w:p>
    <w:p w14:paraId="30A7D6BC" w14:textId="77777777" w:rsidR="003C744F" w:rsidRPr="0066744A" w:rsidRDefault="003C744F" w:rsidP="003C744F">
      <w:pPr>
        <w:spacing w:line="360" w:lineRule="auto"/>
        <w:contextualSpacing/>
        <w:jc w:val="both"/>
        <w:rPr>
          <w:rFonts w:ascii="Palatino Linotype" w:hAnsi="Palatino Linotype" w:cs="Palatino Linotype"/>
          <w:bCs/>
          <w:iCs/>
          <w:lang w:eastAsia="es-MX"/>
        </w:rPr>
      </w:pPr>
    </w:p>
    <w:p w14:paraId="31E5C4BD" w14:textId="77777777" w:rsidR="003C744F" w:rsidRPr="0066744A" w:rsidRDefault="003C744F" w:rsidP="003C744F">
      <w:pPr>
        <w:spacing w:line="360" w:lineRule="auto"/>
        <w:contextualSpacing/>
        <w:jc w:val="both"/>
        <w:rPr>
          <w:rFonts w:ascii="Palatino Linotype" w:hAnsi="Palatino Linotype" w:cs="Palatino Linotype"/>
          <w:lang w:eastAsia="es-MX"/>
        </w:rPr>
      </w:pPr>
      <w:r w:rsidRPr="0066744A">
        <w:rPr>
          <w:rFonts w:ascii="Palatino Linotype" w:hAnsi="Palatino Linotype" w:cs="Palatino Linotype"/>
          <w:lang w:eastAsia="es-MX"/>
        </w:rPr>
        <w:t xml:space="preserve">Cabe señalar que el hoy Recurrente </w:t>
      </w:r>
      <w:r w:rsidRPr="0066744A">
        <w:rPr>
          <w:rFonts w:ascii="Palatino Linotype" w:hAnsi="Palatino Linotype"/>
        </w:rPr>
        <w:t xml:space="preserve">en ejercicio de su derecho de acceso a la información pública, no proporcionó un nombre para que </w:t>
      </w:r>
      <w:r w:rsidRPr="0066744A">
        <w:rPr>
          <w:rFonts w:ascii="Palatino Linotype" w:hAnsi="Palatino Linotype" w:cs="Arial"/>
        </w:rPr>
        <w:t>sea</w:t>
      </w:r>
      <w:r w:rsidRPr="0066744A">
        <w:rPr>
          <w:rFonts w:ascii="Palatino Linotype" w:hAnsi="Palatino Linotype"/>
        </w:rPr>
        <w:t xml:space="preserve"> identificado; por lo que no tiene certeza sobre su identidad</w:t>
      </w:r>
      <w:r w:rsidRPr="0066744A">
        <w:rPr>
          <w:rFonts w:ascii="Palatino Linotype" w:hAnsi="Palatino Linotype" w:cs="Palatino Linotype"/>
          <w:lang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6B9435A" w14:textId="77777777" w:rsidR="003C744F" w:rsidRPr="0066744A" w:rsidRDefault="003C744F" w:rsidP="003C744F">
      <w:pPr>
        <w:spacing w:line="360" w:lineRule="auto"/>
        <w:contextualSpacing/>
        <w:jc w:val="both"/>
        <w:rPr>
          <w:rFonts w:ascii="Palatino Linotype" w:hAnsi="Palatino Linotype" w:cs="Palatino Linotype"/>
          <w:lang w:eastAsia="es-MX"/>
        </w:rPr>
      </w:pPr>
    </w:p>
    <w:p w14:paraId="1C59B27B"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Artículo 155.</w:t>
      </w:r>
      <w:r w:rsidRPr="0066744A">
        <w:rPr>
          <w:rFonts w:ascii="Palatino Linotype" w:hAnsi="Palatino Linotype" w:cs="Palatino Linotype"/>
          <w:i/>
          <w:lang w:eastAsia="es-MX"/>
        </w:rPr>
        <w:t xml:space="preserve"> […]</w:t>
      </w:r>
    </w:p>
    <w:p w14:paraId="3820E9E8" w14:textId="77777777" w:rsidR="003C744F" w:rsidRPr="0066744A" w:rsidRDefault="003C744F" w:rsidP="003C744F">
      <w:pPr>
        <w:ind w:left="567" w:right="567"/>
        <w:contextualSpacing/>
        <w:jc w:val="both"/>
        <w:rPr>
          <w:rFonts w:ascii="Palatino Linotype" w:hAnsi="Palatino Linotype" w:cs="Palatino Linotype"/>
          <w:i/>
          <w:lang w:eastAsia="es-MX"/>
        </w:rPr>
      </w:pPr>
    </w:p>
    <w:p w14:paraId="61BA3F39"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Las solicitudes anónimas</w:t>
      </w:r>
      <w:r w:rsidRPr="0066744A">
        <w:rPr>
          <w:rFonts w:ascii="Palatino Linotype" w:hAnsi="Palatino Linotype" w:cs="Palatino Linotype"/>
          <w:i/>
          <w:lang w:eastAsia="es-MX"/>
        </w:rPr>
        <w:t xml:space="preserve">, con nombre incompleto o seudónimo </w:t>
      </w:r>
      <w:r w:rsidRPr="0066744A">
        <w:rPr>
          <w:rFonts w:ascii="Palatino Linotype" w:hAnsi="Palatino Linotype" w:cs="Palatino Linotype"/>
          <w:b/>
          <w:i/>
          <w:lang w:eastAsia="es-MX"/>
        </w:rPr>
        <w:t>serán procedentes para su trámite</w:t>
      </w:r>
      <w:r w:rsidRPr="0066744A">
        <w:rPr>
          <w:rFonts w:ascii="Palatino Linotype" w:hAnsi="Palatino Linotype" w:cs="Palatino Linotype"/>
          <w:i/>
          <w:lang w:eastAsia="es-MX"/>
        </w:rPr>
        <w:t xml:space="preserve"> por parte del sujeto obligado ante quien se presente. No podrá requerirse información adicional con motivo del nombre proporcionado por el solicitante.</w:t>
      </w:r>
    </w:p>
    <w:p w14:paraId="411854A9" w14:textId="77777777" w:rsidR="003C744F" w:rsidRPr="0066744A" w:rsidRDefault="003C744F" w:rsidP="003C744F">
      <w:pPr>
        <w:spacing w:line="360" w:lineRule="auto"/>
        <w:contextualSpacing/>
        <w:jc w:val="both"/>
        <w:rPr>
          <w:rFonts w:ascii="Palatino Linotype" w:hAnsi="Palatino Linotype" w:cs="Palatino Linotype"/>
          <w:lang w:eastAsia="es-MX"/>
        </w:rPr>
      </w:pPr>
    </w:p>
    <w:p w14:paraId="5D74A0E6" w14:textId="77777777" w:rsidR="003C744F" w:rsidRPr="0066744A" w:rsidRDefault="003C744F" w:rsidP="003C744F">
      <w:pPr>
        <w:spacing w:line="360" w:lineRule="auto"/>
        <w:contextualSpacing/>
        <w:jc w:val="both"/>
        <w:rPr>
          <w:rFonts w:ascii="Palatino Linotype" w:hAnsi="Palatino Linotype" w:cs="Palatino Linotype"/>
          <w:lang w:eastAsia="es-MX"/>
        </w:rPr>
      </w:pPr>
      <w:r w:rsidRPr="0066744A">
        <w:rPr>
          <w:rFonts w:ascii="Palatino Linotype" w:hAnsi="Palatino Linotype" w:cs="Palatino Linotype"/>
          <w:lang w:eastAsia="es-MX"/>
        </w:rPr>
        <w:t xml:space="preserve">Robusteciendo lo anterior se encuentra lo dispuesto en los artículos 6, Apartado A, fracciones III y IV de la Constitución Política de los Estados Unidos Mexicanos y 5 </w:t>
      </w:r>
      <w:r w:rsidRPr="0066744A">
        <w:rPr>
          <w:rFonts w:ascii="Palatino Linotype" w:hAnsi="Palatino Linotype" w:cs="Palatino Linotype"/>
          <w:lang w:eastAsia="es-MX"/>
        </w:rPr>
        <w:lastRenderedPageBreak/>
        <w:t>párrafos vigésimo, vigésimo primero y vigésimo segundo, de la Constitución Política del Estado Libre y Soberano de México, se establece lo siguiente:</w:t>
      </w:r>
    </w:p>
    <w:p w14:paraId="5E4D78A9" w14:textId="77777777" w:rsidR="003C744F" w:rsidRPr="0066744A" w:rsidRDefault="003C744F" w:rsidP="003C744F">
      <w:pPr>
        <w:spacing w:line="360" w:lineRule="auto"/>
        <w:contextualSpacing/>
        <w:jc w:val="both"/>
        <w:rPr>
          <w:rFonts w:ascii="Palatino Linotype" w:hAnsi="Palatino Linotype" w:cs="Palatino Linotype"/>
          <w:lang w:eastAsia="es-MX"/>
        </w:rPr>
      </w:pPr>
    </w:p>
    <w:p w14:paraId="5D1AD4D1" w14:textId="77777777" w:rsidR="003C744F" w:rsidRPr="0066744A" w:rsidRDefault="003C744F" w:rsidP="003C744F">
      <w:pPr>
        <w:ind w:left="567" w:right="567"/>
        <w:contextualSpacing/>
        <w:jc w:val="center"/>
        <w:rPr>
          <w:rFonts w:ascii="Palatino Linotype" w:hAnsi="Palatino Linotype" w:cs="Palatino Linotype"/>
          <w:b/>
          <w:i/>
          <w:u w:val="single"/>
          <w:lang w:eastAsia="es-MX"/>
        </w:rPr>
      </w:pPr>
      <w:r w:rsidRPr="0066744A">
        <w:rPr>
          <w:rFonts w:ascii="Palatino Linotype" w:hAnsi="Palatino Linotype" w:cs="Palatino Linotype"/>
          <w:b/>
          <w:i/>
          <w:u w:val="single"/>
          <w:lang w:eastAsia="es-MX"/>
        </w:rPr>
        <w:t>Constitución Política de los Estados Unidos Mexicanos</w:t>
      </w:r>
    </w:p>
    <w:p w14:paraId="69634591"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b/>
          <w:bCs/>
          <w:i/>
          <w:iCs/>
          <w:lang w:eastAsia="es-MX"/>
        </w:rPr>
        <w:t>Artículo 6</w:t>
      </w:r>
      <w:r w:rsidRPr="0066744A">
        <w:rPr>
          <w:rFonts w:ascii="Palatino Linotype" w:hAnsi="Palatino Linotype" w:cs="Palatino Linotype"/>
          <w:i/>
          <w:iCs/>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070BE3E"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203F1FF3"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 xml:space="preserve">Para efectos de lo dispuesto en el presente artículo se observará lo siguiente: </w:t>
      </w:r>
    </w:p>
    <w:p w14:paraId="30B9756F" w14:textId="77777777" w:rsidR="003C744F" w:rsidRPr="0066744A" w:rsidRDefault="003C744F" w:rsidP="003C744F">
      <w:pPr>
        <w:ind w:left="567" w:right="567"/>
        <w:contextualSpacing/>
        <w:jc w:val="both"/>
        <w:rPr>
          <w:rFonts w:ascii="Palatino Linotype" w:hAnsi="Palatino Linotype" w:cs="Palatino Linotype"/>
          <w:i/>
          <w:lang w:eastAsia="es-MX"/>
        </w:rPr>
      </w:pPr>
    </w:p>
    <w:p w14:paraId="55DAFA17"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A. Para el ejercicio del derecho de acceso a la información, la Federación y las entidades federativas, en el ámbito de sus respectivas competencias, se regirán por los siguientes principios y bases:</w:t>
      </w:r>
    </w:p>
    <w:p w14:paraId="4CB92B3B"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76BC5F55"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 xml:space="preserve">III. Toda persona, sin necesidad de acreditar interés alguno o justificar su utilización, tendrá acceso gratuito a la información pública, a sus datos personales o a la rectificación de éstos. </w:t>
      </w:r>
    </w:p>
    <w:p w14:paraId="33A2251C"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6E7665EE" w14:textId="77777777" w:rsidR="003C744F" w:rsidRPr="0066744A" w:rsidRDefault="003C744F" w:rsidP="003C744F">
      <w:pPr>
        <w:ind w:left="567" w:right="567"/>
        <w:contextualSpacing/>
        <w:jc w:val="both"/>
        <w:rPr>
          <w:rFonts w:ascii="Palatino Linotype" w:hAnsi="Palatino Linotype" w:cs="Palatino Linotype"/>
          <w:i/>
          <w:lang w:eastAsia="es-MX"/>
        </w:rPr>
      </w:pPr>
    </w:p>
    <w:p w14:paraId="4F315598" w14:textId="77777777" w:rsidR="003C744F" w:rsidRPr="0066744A" w:rsidRDefault="003C744F" w:rsidP="003C744F">
      <w:pPr>
        <w:ind w:left="567" w:right="567"/>
        <w:contextualSpacing/>
        <w:jc w:val="center"/>
        <w:rPr>
          <w:rFonts w:ascii="Palatino Linotype" w:hAnsi="Palatino Linotype" w:cs="Palatino Linotype"/>
          <w:b/>
          <w:i/>
          <w:u w:val="single"/>
          <w:lang w:eastAsia="es-MX"/>
        </w:rPr>
      </w:pPr>
      <w:r w:rsidRPr="0066744A">
        <w:rPr>
          <w:rFonts w:ascii="Palatino Linotype" w:hAnsi="Palatino Linotype" w:cs="Palatino Linotype"/>
          <w:b/>
          <w:i/>
          <w:u w:val="single"/>
          <w:lang w:eastAsia="es-MX"/>
        </w:rPr>
        <w:t>Constitución Política del Estado Libre y Soberano de México</w:t>
      </w:r>
    </w:p>
    <w:p w14:paraId="32AD84E8"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Artículo 5</w:t>
      </w:r>
      <w:r w:rsidRPr="0066744A">
        <w:rPr>
          <w:rFonts w:ascii="Palatino Linotype"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D08635"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6BB9757E"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Toda persona en el Estado de México, tiene derecho al libre acceso a la información plural y oportuna, así como a buscar recibir y difundir información e ideas de toda índole por cualquier medio de expresión.</w:t>
      </w:r>
    </w:p>
    <w:p w14:paraId="44DD6599"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lastRenderedPageBreak/>
        <w:t>[…]</w:t>
      </w:r>
    </w:p>
    <w:p w14:paraId="7C8F7DF6"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27E04F57" w14:textId="77777777" w:rsidR="003C744F" w:rsidRPr="0066744A" w:rsidRDefault="003C744F" w:rsidP="003C744F">
      <w:pPr>
        <w:ind w:left="567" w:right="567"/>
        <w:contextualSpacing/>
        <w:jc w:val="both"/>
        <w:rPr>
          <w:rFonts w:ascii="Palatino Linotype" w:hAnsi="Palatino Linotype" w:cs="Palatino Linotype"/>
          <w:i/>
          <w:lang w:eastAsia="es-MX"/>
        </w:rPr>
      </w:pPr>
    </w:p>
    <w:p w14:paraId="63507194"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02224B7" w14:textId="77777777" w:rsidR="003C744F" w:rsidRPr="0066744A" w:rsidRDefault="003C744F" w:rsidP="003C744F">
      <w:pPr>
        <w:ind w:left="567" w:right="567"/>
        <w:contextualSpacing/>
        <w:jc w:val="both"/>
        <w:rPr>
          <w:rFonts w:ascii="Palatino Linotype" w:hAnsi="Palatino Linotype" w:cs="Palatino Linotype"/>
          <w:i/>
          <w:lang w:eastAsia="es-MX"/>
        </w:rPr>
      </w:pPr>
    </w:p>
    <w:p w14:paraId="58E7542D"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Este derecho se regirá por los principios y bases siguientes:</w:t>
      </w:r>
    </w:p>
    <w:p w14:paraId="3D951811"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1BC9163A"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III.</w:t>
      </w:r>
      <w:r w:rsidRPr="0066744A">
        <w:rPr>
          <w:rFonts w:ascii="Palatino Linotype"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0C665E94"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IV.</w:t>
      </w:r>
      <w:r w:rsidRPr="0066744A">
        <w:rPr>
          <w:rFonts w:ascii="Palatino Linotype"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4E470D63"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16D95C98"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VIII.</w:t>
      </w:r>
      <w:r w:rsidRPr="0066744A">
        <w:rPr>
          <w:rFonts w:ascii="Palatino Linotype"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BC1ED97"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49C48070" w14:textId="77777777" w:rsidR="003C744F" w:rsidRPr="0066744A" w:rsidRDefault="003C744F" w:rsidP="003C744F">
      <w:pPr>
        <w:spacing w:line="360" w:lineRule="auto"/>
        <w:ind w:left="567" w:right="567"/>
        <w:contextualSpacing/>
        <w:jc w:val="both"/>
        <w:rPr>
          <w:rFonts w:ascii="Palatino Linotype" w:hAnsi="Palatino Linotype" w:cs="Palatino Linotype"/>
          <w:lang w:eastAsia="es-MX"/>
        </w:rPr>
      </w:pPr>
    </w:p>
    <w:p w14:paraId="12802693" w14:textId="77777777" w:rsidR="003C744F" w:rsidRPr="0066744A" w:rsidRDefault="003C744F" w:rsidP="003C744F">
      <w:pPr>
        <w:spacing w:line="360" w:lineRule="auto"/>
        <w:ind w:right="49"/>
        <w:contextualSpacing/>
        <w:jc w:val="both"/>
        <w:rPr>
          <w:rFonts w:ascii="Palatino Linotype" w:hAnsi="Palatino Linotype" w:cs="Palatino Linotype"/>
          <w:lang w:eastAsia="es-MX"/>
        </w:rPr>
      </w:pPr>
      <w:r w:rsidRPr="0066744A">
        <w:rPr>
          <w:rFonts w:ascii="Palatino Linotype" w:hAnsi="Palatino Linotype" w:cs="Palatino Linotype"/>
          <w:lang w:eastAsia="es-MX"/>
        </w:rPr>
        <w:t>Por otra parte, del contenido del artículo 1 de la Constitución Política de los Estados Unidos Mexicanos, se destaca lo siguiente:</w:t>
      </w:r>
    </w:p>
    <w:p w14:paraId="59549FBB" w14:textId="77777777" w:rsidR="003C744F" w:rsidRPr="0066744A" w:rsidRDefault="003C744F" w:rsidP="003C744F">
      <w:pPr>
        <w:spacing w:line="360" w:lineRule="auto"/>
        <w:ind w:right="49"/>
        <w:contextualSpacing/>
        <w:jc w:val="both"/>
        <w:rPr>
          <w:rFonts w:ascii="Palatino Linotype" w:hAnsi="Palatino Linotype" w:cs="Palatino Linotype"/>
          <w:lang w:eastAsia="es-MX"/>
        </w:rPr>
      </w:pPr>
    </w:p>
    <w:p w14:paraId="1E80A9F8" w14:textId="77777777" w:rsidR="003C744F" w:rsidRPr="0066744A" w:rsidRDefault="003C744F" w:rsidP="003C744F">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Artículo 1o</w:t>
      </w:r>
      <w:r w:rsidRPr="0066744A">
        <w:rPr>
          <w:rFonts w:ascii="Palatino Linotype" w:hAnsi="Palatino Linotype" w:cs="Palatino Linotype"/>
          <w:i/>
          <w:lang w:eastAsia="es-MX"/>
        </w:rPr>
        <w:t xml:space="preserve">. En los Estados Unidos Mexicanos todas las personas gozarán de los derechos humanos reconocidos en esta Constitución y en los tratados internacionales de los que el Estado Mexicano sea parte, así como de las garantías </w:t>
      </w:r>
      <w:r w:rsidRPr="0066744A">
        <w:rPr>
          <w:rFonts w:ascii="Palatino Linotype" w:hAnsi="Palatino Linotype" w:cs="Palatino Linotype"/>
          <w:i/>
          <w:lang w:eastAsia="es-MX"/>
        </w:rPr>
        <w:lastRenderedPageBreak/>
        <w:t>para su protección, cuyo ejercicio no podrá restringirse ni suspenderse, salvo en los casos y bajo las condiciones que esta Constitución establece.</w:t>
      </w:r>
    </w:p>
    <w:p w14:paraId="49054B30" w14:textId="77777777" w:rsidR="003C744F" w:rsidRPr="0066744A" w:rsidRDefault="003C744F" w:rsidP="003C744F">
      <w:pPr>
        <w:ind w:left="567" w:right="567"/>
        <w:contextualSpacing/>
        <w:jc w:val="both"/>
        <w:rPr>
          <w:rFonts w:ascii="Palatino Linotype" w:hAnsi="Palatino Linotype" w:cs="Palatino Linotype"/>
          <w:i/>
          <w:lang w:eastAsia="es-MX"/>
        </w:rPr>
      </w:pPr>
    </w:p>
    <w:p w14:paraId="6B223DD6"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Las normas relativas a los derechos humanos se interpretarán de conformidad con esta Constitución y con los tratados internacionales de la materia favoreciendo en todo tiempo a las personas la protección más amplia.</w:t>
      </w:r>
    </w:p>
    <w:p w14:paraId="1BAB2CEF" w14:textId="77777777" w:rsidR="003C744F" w:rsidRPr="0066744A" w:rsidRDefault="003C744F" w:rsidP="003C744F">
      <w:pPr>
        <w:ind w:left="567" w:right="567"/>
        <w:contextualSpacing/>
        <w:jc w:val="both"/>
        <w:rPr>
          <w:rFonts w:ascii="Palatino Linotype" w:hAnsi="Palatino Linotype" w:cs="Palatino Linotype"/>
          <w:i/>
          <w:lang w:eastAsia="es-MX"/>
        </w:rPr>
      </w:pPr>
    </w:p>
    <w:p w14:paraId="10E79FC6" w14:textId="77777777" w:rsidR="003C744F" w:rsidRPr="0066744A" w:rsidRDefault="003C744F" w:rsidP="003C744F">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0E92554" w14:textId="77777777" w:rsidR="003C744F" w:rsidRPr="0066744A" w:rsidRDefault="003C744F" w:rsidP="003C744F">
      <w:pPr>
        <w:spacing w:line="360" w:lineRule="auto"/>
        <w:jc w:val="both"/>
        <w:rPr>
          <w:rFonts w:ascii="Palatino Linotype" w:hAnsi="Palatino Linotype" w:cs="Calibri"/>
          <w:lang w:eastAsia="es-MX"/>
        </w:rPr>
      </w:pPr>
    </w:p>
    <w:p w14:paraId="2B49DC69" w14:textId="77777777" w:rsidR="003C744F" w:rsidRPr="0066744A" w:rsidRDefault="003C744F" w:rsidP="003C744F">
      <w:pPr>
        <w:spacing w:line="360" w:lineRule="auto"/>
        <w:jc w:val="both"/>
        <w:rPr>
          <w:rFonts w:ascii="Palatino Linotype" w:hAnsi="Palatino Linotype" w:cs="Palatino Linotype"/>
          <w:lang w:eastAsia="es-MX"/>
        </w:rPr>
      </w:pPr>
      <w:r w:rsidRPr="0066744A">
        <w:rPr>
          <w:rFonts w:ascii="Palatino Linotype" w:hAnsi="Palatino Linotype" w:cs="Palatino Linotype"/>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B997A44" w14:textId="77777777" w:rsidR="003C744F" w:rsidRPr="0066744A" w:rsidRDefault="003C744F" w:rsidP="003C744F">
      <w:pPr>
        <w:spacing w:line="360" w:lineRule="auto"/>
        <w:jc w:val="both"/>
        <w:rPr>
          <w:rFonts w:ascii="Palatino Linotype" w:hAnsi="Palatino Linotype" w:cs="Palatino Linotype"/>
          <w:lang w:eastAsia="es-MX"/>
        </w:rPr>
      </w:pPr>
    </w:p>
    <w:p w14:paraId="7F372F8F" w14:textId="59F45F8A" w:rsidR="00C02A06" w:rsidRPr="00604E50" w:rsidRDefault="003C744F" w:rsidP="003C744F">
      <w:pPr>
        <w:spacing w:line="360" w:lineRule="auto"/>
        <w:jc w:val="both"/>
        <w:rPr>
          <w:rFonts w:ascii="Palatino Linotype" w:hAnsi="Palatino Linotype" w:cs="Palatino Linotype"/>
          <w:color w:val="000000"/>
          <w:lang w:eastAsia="es-MX"/>
        </w:rPr>
      </w:pPr>
      <w:r w:rsidRPr="0066744A">
        <w:rPr>
          <w:rFonts w:ascii="Palatino Linotype" w:hAnsi="Palatino Linotype" w:cs="Palatino Linotype"/>
          <w:color w:val="000000"/>
          <w:lang w:eastAsia="es-MX"/>
        </w:rPr>
        <w:t>En conclusión, se cubrieron los requisitos de procedencia y procedibilidad y conforme a las constancias que obran en el expediente.</w:t>
      </w:r>
    </w:p>
    <w:p w14:paraId="07EFD203" w14:textId="77777777" w:rsidR="00C02A06" w:rsidRPr="00604E50" w:rsidRDefault="00C02A06" w:rsidP="00A036A6">
      <w:pPr>
        <w:autoSpaceDE w:val="0"/>
        <w:autoSpaceDN w:val="0"/>
        <w:adjustRightInd w:val="0"/>
        <w:spacing w:line="360" w:lineRule="auto"/>
        <w:jc w:val="both"/>
        <w:rPr>
          <w:rFonts w:ascii="Palatino Linotype" w:hAnsi="Palatino Linotype" w:cs="Arial"/>
          <w:b/>
          <w:sz w:val="28"/>
        </w:rPr>
      </w:pPr>
    </w:p>
    <w:p w14:paraId="4B07EC7F" w14:textId="201E6431" w:rsidR="00A036A6" w:rsidRPr="00604E50" w:rsidRDefault="00C02A06" w:rsidP="00A036A6">
      <w:pPr>
        <w:autoSpaceDE w:val="0"/>
        <w:autoSpaceDN w:val="0"/>
        <w:adjustRightInd w:val="0"/>
        <w:spacing w:line="360" w:lineRule="auto"/>
        <w:jc w:val="both"/>
        <w:rPr>
          <w:rFonts w:ascii="Palatino Linotype" w:hAnsi="Palatino Linotype" w:cs="Arial"/>
          <w:b/>
          <w:sz w:val="28"/>
        </w:rPr>
      </w:pPr>
      <w:r w:rsidRPr="00604E50">
        <w:rPr>
          <w:rFonts w:ascii="Palatino Linotype" w:hAnsi="Palatino Linotype" w:cs="Arial"/>
          <w:b/>
          <w:sz w:val="28"/>
        </w:rPr>
        <w:t>CUARTO</w:t>
      </w:r>
      <w:r w:rsidR="00A036A6" w:rsidRPr="00604E50">
        <w:rPr>
          <w:rFonts w:ascii="Palatino Linotype" w:hAnsi="Palatino Linotype" w:cs="Arial"/>
          <w:b/>
          <w:sz w:val="28"/>
        </w:rPr>
        <w:t xml:space="preserve">. Del estudio de las causas de improcedencia. </w:t>
      </w:r>
    </w:p>
    <w:p w14:paraId="0A0897E9"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 xml:space="preserve">El estudio de las causas de improcedencia que se hagan valer por las partes o que se advierta de oficio por este Resolutor debe ser objeto de análisis previo al estudio de </w:t>
      </w:r>
      <w:r w:rsidRPr="00604E50">
        <w:rPr>
          <w:rFonts w:ascii="Palatino Linotype" w:hAnsi="Palatino Linotype" w:cs="Arial"/>
        </w:rPr>
        <w:lastRenderedPageBreak/>
        <w:t>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604E50" w:rsidRDefault="00A036A6" w:rsidP="00A036A6">
      <w:pPr>
        <w:pStyle w:val="Sinespaciado"/>
      </w:pPr>
    </w:p>
    <w:p w14:paraId="6E78A704" w14:textId="77777777" w:rsidR="00A036A6" w:rsidRPr="00604E50" w:rsidRDefault="00A036A6" w:rsidP="00161689">
      <w:pPr>
        <w:ind w:left="567" w:right="616"/>
        <w:jc w:val="both"/>
        <w:rPr>
          <w:rFonts w:ascii="Palatino Linotype" w:hAnsi="Palatino Linotype"/>
          <w:b/>
          <w:bCs/>
          <w:i/>
          <w:sz w:val="22"/>
          <w:szCs w:val="22"/>
          <w:lang w:eastAsia="es-MX"/>
        </w:rPr>
      </w:pPr>
      <w:r w:rsidRPr="00604E50">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604E50" w:rsidRDefault="00A036A6" w:rsidP="00161689">
      <w:pPr>
        <w:pStyle w:val="Prrafodelista"/>
        <w:autoSpaceDE w:val="0"/>
        <w:autoSpaceDN w:val="0"/>
        <w:adjustRightInd w:val="0"/>
        <w:ind w:left="567" w:right="616"/>
        <w:jc w:val="both"/>
        <w:rPr>
          <w:rFonts w:ascii="Palatino Linotype" w:hAnsi="Palatino Linotype"/>
          <w:i/>
          <w:sz w:val="22"/>
          <w:szCs w:val="22"/>
        </w:rPr>
      </w:pPr>
    </w:p>
    <w:p w14:paraId="5C48B8FC"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sz w:val="22"/>
          <w:szCs w:val="22"/>
        </w:rPr>
      </w:pPr>
      <w:r w:rsidRPr="00604E50">
        <w:rPr>
          <w:rFonts w:ascii="Palatino Linotype" w:hAnsi="Palatino Linotype"/>
          <w:i/>
          <w:sz w:val="22"/>
          <w:szCs w:val="22"/>
        </w:rPr>
        <w:t>Del examen de compatibilidad de los artículos</w:t>
      </w:r>
      <w:r w:rsidRPr="00604E50">
        <w:rPr>
          <w:rStyle w:val="apple-converted-space"/>
          <w:rFonts w:ascii="Palatino Linotype" w:hAnsi="Palatino Linotype"/>
          <w:i/>
          <w:sz w:val="22"/>
          <w:szCs w:val="22"/>
        </w:rPr>
        <w:t> </w:t>
      </w:r>
      <w:hyperlink r:id="rId7" w:history="1">
        <w:r w:rsidRPr="00604E50">
          <w:rPr>
            <w:rStyle w:val="Hipervnculo"/>
            <w:rFonts w:ascii="Palatino Linotype" w:eastAsia="Calibri" w:hAnsi="Palatino Linotype"/>
            <w:i/>
            <w:sz w:val="22"/>
            <w:szCs w:val="22"/>
          </w:rPr>
          <w:t>73 y 74 de la Ley de Amparo</w:t>
        </w:r>
      </w:hyperlink>
      <w:r w:rsidRPr="00604E50">
        <w:rPr>
          <w:rStyle w:val="apple-converted-space"/>
          <w:rFonts w:ascii="Palatino Linotype" w:hAnsi="Palatino Linotype"/>
          <w:i/>
          <w:sz w:val="22"/>
          <w:szCs w:val="22"/>
        </w:rPr>
        <w:t> </w:t>
      </w:r>
      <w:r w:rsidRPr="00604E50">
        <w:rPr>
          <w:rFonts w:ascii="Palatino Linotype" w:hAnsi="Palatino Linotype"/>
          <w:i/>
          <w:sz w:val="22"/>
          <w:szCs w:val="22"/>
        </w:rPr>
        <w:t>con el artículo</w:t>
      </w:r>
      <w:r w:rsidRPr="00604E50">
        <w:rPr>
          <w:rStyle w:val="apple-converted-space"/>
          <w:rFonts w:ascii="Palatino Linotype" w:hAnsi="Palatino Linotype"/>
          <w:i/>
          <w:sz w:val="22"/>
          <w:szCs w:val="22"/>
        </w:rPr>
        <w:t> </w:t>
      </w:r>
      <w:hyperlink r:id="rId8" w:history="1">
        <w:r w:rsidRPr="00604E50">
          <w:rPr>
            <w:rStyle w:val="Hipervnculo"/>
            <w:rFonts w:ascii="Palatino Linotype" w:eastAsia="Calibri" w:hAnsi="Palatino Linotype"/>
            <w:i/>
            <w:sz w:val="22"/>
            <w:szCs w:val="22"/>
          </w:rPr>
          <w:t>25.1 de la Convención Americana sobre Derechos Humanos</w:t>
        </w:r>
      </w:hyperlink>
      <w:r w:rsidRPr="00604E50">
        <w:rPr>
          <w:rStyle w:val="apple-converted-space"/>
          <w:rFonts w:ascii="Palatino Linotype" w:hAnsi="Palatino Linotype"/>
          <w:i/>
          <w:sz w:val="22"/>
          <w:szCs w:val="22"/>
        </w:rPr>
        <w:t> </w:t>
      </w:r>
      <w:r w:rsidRPr="00604E50">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604E50">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604E50">
        <w:rPr>
          <w:rFonts w:ascii="Palatino Linotype" w:hAnsi="Palatino Linotype"/>
          <w:i/>
          <w:sz w:val="22"/>
          <w:szCs w:val="22"/>
        </w:rPr>
        <w:t>concesoria</w:t>
      </w:r>
      <w:proofErr w:type="spellEnd"/>
      <w:r w:rsidRPr="00604E50">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CED81E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lastRenderedPageBreak/>
        <w:t>Por lo que una vez que se analizó el expediente en estudio se cae en la cuenta de que no se actualiza ninguna de las casuales a continuación transcritas:</w:t>
      </w:r>
    </w:p>
    <w:p w14:paraId="1FBBE26C" w14:textId="77777777" w:rsidR="00A036A6" w:rsidRPr="00604E50" w:rsidRDefault="00A036A6" w:rsidP="00A036A6">
      <w:pPr>
        <w:pStyle w:val="Sinespaciado"/>
      </w:pPr>
    </w:p>
    <w:p w14:paraId="05EA1058"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191.</w:t>
      </w:r>
      <w:r w:rsidRPr="00604E50">
        <w:rPr>
          <w:rFonts w:ascii="Palatino Linotype" w:hAnsi="Palatino Linotype" w:cs="Arial"/>
          <w:i/>
          <w:sz w:val="22"/>
          <w:szCs w:val="22"/>
        </w:rPr>
        <w:t xml:space="preserve"> El recurso será desechado por improcedente cuando:  </w:t>
      </w:r>
    </w:p>
    <w:p w14:paraId="7F81C1E7"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III. No actualice alguno de los supuestos previstos en la presente Ley;  </w:t>
      </w:r>
    </w:p>
    <w:p w14:paraId="636823D4"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IV. No se haya desahogado la prevención en los términos establecidos en la presente Ley;</w:t>
      </w:r>
    </w:p>
    <w:p w14:paraId="2D337507"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V. Se impugne la veracidad de la información proporcionada;  </w:t>
      </w:r>
    </w:p>
    <w:p w14:paraId="2A1D4E6F"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VI. Se trate de una consulta, o trámite en específico; y  </w:t>
      </w:r>
    </w:p>
    <w:p w14:paraId="36C4553B" w14:textId="524BFEEF"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VII. El recurrente amplíe su solicitud en el recurso de revisión, únicamente respecto de los nuevos contenidos.”</w:t>
      </w:r>
    </w:p>
    <w:p w14:paraId="4D0AFDBF" w14:textId="77777777" w:rsidR="00071FEF" w:rsidRPr="00604E50" w:rsidRDefault="00071FEF" w:rsidP="00A036A6">
      <w:pPr>
        <w:autoSpaceDE w:val="0"/>
        <w:autoSpaceDN w:val="0"/>
        <w:adjustRightInd w:val="0"/>
        <w:spacing w:line="360" w:lineRule="auto"/>
        <w:jc w:val="both"/>
        <w:rPr>
          <w:rFonts w:ascii="Palatino Linotype" w:hAnsi="Palatino Linotype" w:cs="Arial"/>
        </w:rPr>
      </w:pPr>
    </w:p>
    <w:p w14:paraId="25067CFF" w14:textId="4081C262"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14E466B9" w14:textId="77777777" w:rsidR="00071FEF" w:rsidRPr="00604E50"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20DCF70E" w14:textId="46DE17D3" w:rsidR="00A036A6" w:rsidRPr="00604E50" w:rsidRDefault="00C02A06" w:rsidP="00A036A6">
      <w:pPr>
        <w:tabs>
          <w:tab w:val="left" w:pos="709"/>
        </w:tabs>
        <w:spacing w:line="360" w:lineRule="auto"/>
        <w:ind w:right="51"/>
        <w:jc w:val="both"/>
        <w:rPr>
          <w:rFonts w:ascii="Palatino Linotype" w:hAnsi="Palatino Linotype"/>
          <w:b/>
          <w:sz w:val="28"/>
          <w:szCs w:val="28"/>
        </w:rPr>
      </w:pPr>
      <w:r w:rsidRPr="00604E50">
        <w:rPr>
          <w:rFonts w:ascii="Palatino Linotype" w:hAnsi="Palatino Linotype"/>
          <w:b/>
          <w:sz w:val="28"/>
          <w:szCs w:val="28"/>
        </w:rPr>
        <w:t>QUINTO</w:t>
      </w:r>
      <w:r w:rsidR="00A036A6" w:rsidRPr="00604E50">
        <w:rPr>
          <w:rFonts w:ascii="Palatino Linotype" w:hAnsi="Palatino Linotype"/>
          <w:b/>
          <w:sz w:val="28"/>
          <w:szCs w:val="28"/>
        </w:rPr>
        <w:t xml:space="preserve">. Estudio y resolución del asunto </w:t>
      </w:r>
    </w:p>
    <w:p w14:paraId="57FE8E61"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Antes del entrar al estudio, cabe precisar que </w:t>
      </w:r>
      <w:r w:rsidRPr="00604E50">
        <w:rPr>
          <w:rFonts w:ascii="Palatino Linotype" w:hAnsi="Palatino Linotype"/>
          <w:b/>
        </w:rPr>
        <w:t>El Sujeto Obligado</w:t>
      </w:r>
      <w:r w:rsidRPr="00604E50">
        <w:rPr>
          <w:rFonts w:ascii="Palatino Linotype" w:hAnsi="Palatino Linotype"/>
        </w:rPr>
        <w:t xml:space="preserve"> no realizó pronunciamiento alguno, pues no se debe perder de vista que el objeto del presente fallo nace a la vida jurídica en el momento en el que el particular reviste la figura de </w:t>
      </w:r>
      <w:r w:rsidRPr="00604E50">
        <w:rPr>
          <w:rFonts w:ascii="Palatino Linotype" w:hAnsi="Palatino Linotype"/>
        </w:rPr>
        <w:lastRenderedPageBreak/>
        <w:t>Recurrente interponiendo dicho medio de impugnación, el cual tiene como motivo de inconformidad la omisión de la autoridad en dar respuesta a su solicitud, en consecuencia se actualizándose las hipótesis, señaladas</w:t>
      </w:r>
      <w:r w:rsidRPr="00604E50">
        <w:rPr>
          <w:rFonts w:ascii="Palatino Linotype" w:eastAsia="Calibri" w:hAnsi="Palatino Linotype"/>
        </w:rPr>
        <w:t xml:space="preserve"> en las fracciones I y VII, del artículo 179, de la Ley de Transparencia y Acceso a la Información Pública del Estado de México y Municipios,</w:t>
      </w:r>
      <w:r w:rsidRPr="00604E50">
        <w:rPr>
          <w:rFonts w:ascii="Palatino Linotype" w:eastAsia="Calibri" w:hAnsi="Palatino Linotype"/>
          <w:b/>
        </w:rPr>
        <w:t xml:space="preserve"> </w:t>
      </w:r>
      <w:r w:rsidRPr="00604E50">
        <w:rPr>
          <w:rFonts w:ascii="Palatino Linotype" w:hAnsi="Palatino Linotype"/>
        </w:rPr>
        <w:t>resultando procedente la interposición del recurso de revisión cuando no se dé respuesta a una solicitud de información.</w:t>
      </w:r>
    </w:p>
    <w:p w14:paraId="5BA90537" w14:textId="77777777" w:rsidR="00A036A6" w:rsidRPr="00604E50" w:rsidRDefault="00A036A6" w:rsidP="00A036A6">
      <w:pPr>
        <w:spacing w:line="360" w:lineRule="auto"/>
        <w:jc w:val="both"/>
        <w:rPr>
          <w:rFonts w:ascii="Palatino Linotype" w:hAnsi="Palatino Linotype"/>
        </w:rPr>
      </w:pPr>
    </w:p>
    <w:p w14:paraId="0FDEE3DE" w14:textId="487FF323"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Así las cosas, ante la omisión del Sujeto Obligado para dar respuesta al </w:t>
      </w:r>
      <w:r w:rsidRPr="00604E50">
        <w:rPr>
          <w:rFonts w:ascii="Palatino Linotype" w:hAnsi="Palatino Linotype"/>
          <w:b/>
        </w:rPr>
        <w:t>Recurrente</w:t>
      </w:r>
      <w:r w:rsidRPr="00604E50">
        <w:rPr>
          <w:rFonts w:ascii="Palatino Linotype" w:hAnsi="Palatino Linotype"/>
        </w:rPr>
        <w:t xml:space="preserve">, se advierte lo que en la doctrina se le conoce como </w:t>
      </w:r>
      <w:r w:rsidRPr="00604E50">
        <w:rPr>
          <w:rFonts w:ascii="Palatino Linotype" w:hAnsi="Palatino Linotype"/>
          <w:b/>
          <w:i/>
        </w:rPr>
        <w:t>negativa ficta</w:t>
      </w:r>
      <w:r w:rsidRPr="00604E50">
        <w:rPr>
          <w:rFonts w:ascii="Palatino Linotype" w:hAnsi="Palatino Linotype"/>
        </w:rPr>
        <w:t>, figura jurídica cuya esencia consiste en atribuir un efecto negativo al silencio de la autoridad administrativa frente a las instancias y solicitudes que hagan los particulares.</w:t>
      </w:r>
    </w:p>
    <w:p w14:paraId="1BE78193" w14:textId="77777777" w:rsidR="00071FEF" w:rsidRPr="00604E50" w:rsidRDefault="00071FEF" w:rsidP="00A036A6">
      <w:pPr>
        <w:spacing w:line="360" w:lineRule="auto"/>
        <w:jc w:val="both"/>
        <w:rPr>
          <w:rFonts w:ascii="Palatino Linotype" w:hAnsi="Palatino Linotype"/>
        </w:rPr>
      </w:pPr>
    </w:p>
    <w:p w14:paraId="74D879E9"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En este sentido la </w:t>
      </w:r>
      <w:r w:rsidRPr="00604E50">
        <w:rPr>
          <w:rFonts w:ascii="Palatino Linotype" w:hAnsi="Palatino Linotype"/>
          <w:i/>
        </w:rPr>
        <w:t>negativa ficta</w:t>
      </w:r>
      <w:r w:rsidRPr="00604E50">
        <w:rPr>
          <w:rFonts w:ascii="Palatino Linotype" w:hAnsi="Palatino Linotype"/>
        </w:rPr>
        <w:t xml:space="preserve"> constituye una presunción legal, en el entendido de que donde no hubo respuesta por parte del Sujeto Obligado</w:t>
      </w:r>
      <w:r w:rsidRPr="00604E50">
        <w:rPr>
          <w:rFonts w:ascii="Palatino Linotype" w:hAnsi="Palatino Linotype"/>
          <w:b/>
        </w:rPr>
        <w:t xml:space="preserve"> </w:t>
      </w:r>
      <w:r w:rsidRPr="00604E50">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604E50">
        <w:rPr>
          <w:rFonts w:ascii="Palatino Linotype" w:hAnsi="Palatino Linotype"/>
          <w:i/>
        </w:rPr>
        <w:t>Estado de Derecho</w:t>
      </w:r>
      <w:r w:rsidRPr="00604E50">
        <w:rPr>
          <w:rFonts w:ascii="Palatino Linotype" w:hAnsi="Palatino Linotype"/>
        </w:rPr>
        <w:t xml:space="preserve"> en el que, el particular, tiene siempre una vía de defensa.</w:t>
      </w:r>
    </w:p>
    <w:p w14:paraId="2FC9DDAD" w14:textId="77777777" w:rsidR="00A036A6" w:rsidRPr="00604E50" w:rsidRDefault="00A036A6" w:rsidP="00A036A6">
      <w:pPr>
        <w:spacing w:line="360" w:lineRule="auto"/>
        <w:jc w:val="both"/>
        <w:rPr>
          <w:rFonts w:ascii="Palatino Linotype" w:hAnsi="Palatino Linotype"/>
        </w:rPr>
      </w:pPr>
    </w:p>
    <w:p w14:paraId="278B442B" w14:textId="3F765CCC" w:rsidR="00A036A6" w:rsidRPr="00604E50" w:rsidRDefault="00A036A6" w:rsidP="00CD6A31">
      <w:pPr>
        <w:spacing w:line="360" w:lineRule="auto"/>
        <w:jc w:val="both"/>
        <w:rPr>
          <w:rFonts w:ascii="Palatino Linotype" w:hAnsi="Palatino Linotype"/>
        </w:rPr>
      </w:pPr>
      <w:r w:rsidRPr="00604E50">
        <w:rPr>
          <w:rFonts w:ascii="Palatino Linotype" w:hAnsi="Palatino Linotype"/>
        </w:rPr>
        <w:t xml:space="preserve">En este sentido en el marco del derecho de acceso a la información pública, la figura de la </w:t>
      </w:r>
      <w:r w:rsidRPr="00604E50">
        <w:rPr>
          <w:rFonts w:ascii="Palatino Linotype" w:hAnsi="Palatino Linotype"/>
          <w:i/>
        </w:rPr>
        <w:t>negativa ficta</w:t>
      </w:r>
      <w:r w:rsidRPr="00604E50">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w:t>
      </w:r>
      <w:r w:rsidRPr="00604E50">
        <w:rPr>
          <w:rFonts w:ascii="Palatino Linotype" w:hAnsi="Palatino Linotype"/>
        </w:rPr>
        <w:lastRenderedPageBreak/>
        <w:t>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604E50" w:rsidRDefault="00271073" w:rsidP="00271073">
      <w:pPr>
        <w:pStyle w:val="Sinespaciado"/>
      </w:pPr>
    </w:p>
    <w:p w14:paraId="24C2E0E4"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t>Artículo 4.</w:t>
      </w:r>
      <w:r w:rsidRPr="00604E50">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604E50" w:rsidRDefault="00A036A6" w:rsidP="00A036A6">
      <w:pPr>
        <w:ind w:left="567" w:right="567"/>
        <w:jc w:val="both"/>
        <w:rPr>
          <w:rFonts w:ascii="Palatino Linotype" w:hAnsi="Palatino Linotype"/>
          <w:i/>
          <w:sz w:val="22"/>
        </w:rPr>
      </w:pPr>
    </w:p>
    <w:p w14:paraId="505A7B22"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604E50" w:rsidRDefault="00A036A6" w:rsidP="00A036A6">
      <w:pPr>
        <w:ind w:left="567" w:right="567"/>
        <w:jc w:val="both"/>
        <w:rPr>
          <w:rFonts w:ascii="Palatino Linotype" w:hAnsi="Palatino Linotype"/>
          <w:i/>
          <w:sz w:val="22"/>
        </w:rPr>
      </w:pPr>
    </w:p>
    <w:p w14:paraId="41B8197C"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604E50" w:rsidRDefault="00A036A6" w:rsidP="00A036A6">
      <w:pPr>
        <w:ind w:left="567" w:right="567"/>
        <w:jc w:val="both"/>
        <w:rPr>
          <w:rFonts w:ascii="Palatino Linotype" w:hAnsi="Palatino Linotype"/>
          <w:i/>
          <w:sz w:val="22"/>
        </w:rPr>
      </w:pPr>
    </w:p>
    <w:p w14:paraId="49A99BC0"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t>Artículo 12.</w:t>
      </w:r>
      <w:r w:rsidRPr="00604E50">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604E50" w:rsidRDefault="00A036A6" w:rsidP="00A036A6">
      <w:pPr>
        <w:ind w:left="567" w:right="567"/>
        <w:jc w:val="both"/>
        <w:rPr>
          <w:rFonts w:ascii="Palatino Linotype" w:hAnsi="Palatino Linotype"/>
          <w:i/>
          <w:sz w:val="22"/>
        </w:rPr>
      </w:pPr>
    </w:p>
    <w:p w14:paraId="5A30C01F"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w:t>
      </w:r>
    </w:p>
    <w:p w14:paraId="175539BB" w14:textId="77777777" w:rsidR="00A036A6" w:rsidRPr="00604E50" w:rsidRDefault="00A036A6" w:rsidP="00A036A6">
      <w:pPr>
        <w:ind w:left="567" w:right="567"/>
        <w:jc w:val="both"/>
        <w:rPr>
          <w:rFonts w:ascii="Palatino Linotype" w:hAnsi="Palatino Linotype"/>
          <w:b/>
          <w:i/>
          <w:sz w:val="22"/>
        </w:rPr>
      </w:pPr>
    </w:p>
    <w:p w14:paraId="3B9487F6" w14:textId="77777777" w:rsidR="00A036A6" w:rsidRPr="00604E50" w:rsidRDefault="00A036A6" w:rsidP="00A036A6">
      <w:pPr>
        <w:ind w:left="567" w:right="567"/>
        <w:jc w:val="both"/>
        <w:rPr>
          <w:rFonts w:ascii="Palatino Linotype" w:hAnsi="Palatino Linotype"/>
          <w:b/>
          <w:i/>
          <w:sz w:val="22"/>
        </w:rPr>
      </w:pPr>
      <w:r w:rsidRPr="00604E50">
        <w:rPr>
          <w:rFonts w:ascii="Palatino Linotype" w:hAnsi="Palatino Linotype"/>
          <w:b/>
          <w:i/>
          <w:sz w:val="22"/>
        </w:rPr>
        <w:t xml:space="preserve">Artículo 24. </w:t>
      </w:r>
    </w:p>
    <w:p w14:paraId="4C30B7B7"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w:t>
      </w:r>
    </w:p>
    <w:p w14:paraId="0404CF09"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w:t>
      </w:r>
    </w:p>
    <w:p w14:paraId="2ACD9240"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lastRenderedPageBreak/>
        <w:t>Artículo 160.</w:t>
      </w:r>
      <w:r w:rsidRPr="00604E50">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604E50" w:rsidRDefault="00A036A6" w:rsidP="00A036A6">
      <w:pPr>
        <w:ind w:left="567" w:right="567"/>
        <w:jc w:val="both"/>
        <w:rPr>
          <w:rFonts w:ascii="Palatino Linotype" w:hAnsi="Palatino Linotype"/>
          <w:i/>
          <w:sz w:val="22"/>
        </w:rPr>
      </w:pPr>
    </w:p>
    <w:p w14:paraId="1238152C"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604E50" w:rsidRDefault="00A036A6" w:rsidP="00A036A6">
      <w:pPr>
        <w:spacing w:line="360" w:lineRule="auto"/>
        <w:jc w:val="both"/>
        <w:rPr>
          <w:rFonts w:ascii="Palatino Linotype" w:hAnsi="Palatino Linotype"/>
        </w:rPr>
      </w:pPr>
    </w:p>
    <w:p w14:paraId="30CBE585"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4E50">
        <w:rPr>
          <w:rFonts w:ascii="Palatino Linotype" w:hAnsi="Palatino Linotype"/>
          <w:bCs/>
        </w:rPr>
        <w:t>de la Ley local en la materia, que se reproduce de la siguiente forma</w:t>
      </w:r>
      <w:r w:rsidRPr="00604E50">
        <w:rPr>
          <w:rFonts w:ascii="Palatino Linotype" w:hAnsi="Palatino Linotype"/>
        </w:rPr>
        <w:t>:</w:t>
      </w:r>
    </w:p>
    <w:p w14:paraId="1930F410" w14:textId="77777777" w:rsidR="00A036A6" w:rsidRPr="00604E50" w:rsidRDefault="00A036A6" w:rsidP="00A036A6">
      <w:pPr>
        <w:pStyle w:val="Sinespaciado"/>
      </w:pPr>
    </w:p>
    <w:p w14:paraId="060FCE00" w14:textId="77777777" w:rsidR="00A036A6" w:rsidRPr="00604E50" w:rsidRDefault="00A036A6" w:rsidP="00A036A6">
      <w:pPr>
        <w:ind w:left="567" w:right="567"/>
        <w:jc w:val="both"/>
        <w:rPr>
          <w:rFonts w:ascii="Palatino Linotype" w:hAnsi="Palatino Linotype" w:cs="Arial"/>
          <w:i/>
          <w:sz w:val="22"/>
        </w:rPr>
      </w:pPr>
      <w:r w:rsidRPr="00604E50">
        <w:rPr>
          <w:rFonts w:ascii="Palatino Linotype" w:hAnsi="Palatino Linotype" w:cs="Arial"/>
          <w:b/>
          <w:i/>
          <w:sz w:val="22"/>
        </w:rPr>
        <w:t>Artículo 166.</w:t>
      </w:r>
      <w:r w:rsidRPr="00604E50">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604E50" w:rsidRDefault="00A036A6" w:rsidP="00A036A6">
      <w:pPr>
        <w:spacing w:line="360" w:lineRule="auto"/>
        <w:jc w:val="both"/>
        <w:rPr>
          <w:rFonts w:ascii="Palatino Linotype" w:hAnsi="Palatino Linotype"/>
        </w:rPr>
      </w:pPr>
    </w:p>
    <w:p w14:paraId="727C0B97"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604E50" w:rsidRDefault="00A036A6" w:rsidP="00A036A6">
      <w:pPr>
        <w:pStyle w:val="Sinespaciado"/>
      </w:pPr>
    </w:p>
    <w:p w14:paraId="6CB23978"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t>A</w:t>
      </w:r>
      <w:r w:rsidRPr="00604E50">
        <w:rPr>
          <w:rFonts w:ascii="Palatino Linotype" w:hAnsi="Palatino Linotype"/>
          <w:b/>
          <w:bCs/>
          <w:i/>
          <w:sz w:val="22"/>
        </w:rPr>
        <w:t>rtículo 24.</w:t>
      </w:r>
      <w:r w:rsidRPr="00604E50">
        <w:rPr>
          <w:rFonts w:ascii="Palatino Linotype" w:hAnsi="Palatino Linotype"/>
          <w:bCs/>
          <w:i/>
          <w:sz w:val="22"/>
        </w:rPr>
        <w:t xml:space="preserve"> </w:t>
      </w:r>
      <w:r w:rsidRPr="00604E50">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Cs/>
          <w:i/>
          <w:sz w:val="22"/>
        </w:rPr>
        <w:t>(..</w:t>
      </w:r>
      <w:r w:rsidRPr="00604E50">
        <w:rPr>
          <w:rFonts w:ascii="Palatino Linotype" w:hAnsi="Palatino Linotype"/>
          <w:i/>
          <w:sz w:val="22"/>
        </w:rPr>
        <w:t>.)</w:t>
      </w:r>
    </w:p>
    <w:p w14:paraId="01F470F6" w14:textId="77777777" w:rsidR="00A036A6" w:rsidRPr="00604E50" w:rsidRDefault="00A036A6" w:rsidP="00A036A6">
      <w:pPr>
        <w:ind w:left="567" w:right="567"/>
        <w:jc w:val="both"/>
        <w:rPr>
          <w:rFonts w:ascii="Palatino Linotype" w:hAnsi="Palatino Linotype"/>
          <w:bCs/>
          <w:i/>
          <w:sz w:val="22"/>
        </w:rPr>
      </w:pPr>
      <w:r w:rsidRPr="00604E50">
        <w:rPr>
          <w:rFonts w:ascii="Palatino Linotype" w:hAnsi="Palatino Linotype"/>
          <w:bCs/>
          <w:i/>
          <w:sz w:val="22"/>
        </w:rPr>
        <w:t>XI. Dar acceso a la información pública que le sea requerida, en los términos de la Ley General, esta Ley y demás disposiciones jurídicas aplicables;</w:t>
      </w:r>
    </w:p>
    <w:p w14:paraId="199E3C4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55CA25"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13C7BEE6" w:rsidR="00A036A6" w:rsidRPr="00604E50" w:rsidRDefault="00A036A6" w:rsidP="00A036A6">
      <w:pPr>
        <w:tabs>
          <w:tab w:val="left" w:pos="709"/>
        </w:tabs>
        <w:spacing w:line="360" w:lineRule="auto"/>
        <w:ind w:right="51"/>
        <w:jc w:val="both"/>
        <w:rPr>
          <w:rFonts w:ascii="Palatino Linotype" w:hAnsi="Palatino Linotype"/>
        </w:rPr>
      </w:pPr>
      <w:r w:rsidRPr="00604E50">
        <w:rPr>
          <w:rFonts w:ascii="Palatino Linotype" w:hAnsi="Palatino Linotype"/>
        </w:rPr>
        <w:t xml:space="preserve">En este tenor, de forma objetiva al desentrañar la solicitud de información </w:t>
      </w:r>
      <w:r w:rsidR="003C744F" w:rsidRPr="003C744F">
        <w:rPr>
          <w:rFonts w:ascii="Palatino Linotype" w:hAnsi="Palatino Linotype"/>
          <w:b/>
          <w:bCs/>
        </w:rPr>
        <w:t>00197/TOLUCA/IP/2025</w:t>
      </w:r>
      <w:r w:rsidRPr="00604E50">
        <w:rPr>
          <w:rFonts w:ascii="Palatino Linotype" w:hAnsi="Palatino Linotype"/>
        </w:rPr>
        <w:t xml:space="preserve">, podemos identificar que </w:t>
      </w:r>
      <w:r w:rsidRPr="00604E50">
        <w:rPr>
          <w:rFonts w:ascii="Palatino Linotype" w:hAnsi="Palatino Linotype"/>
          <w:b/>
        </w:rPr>
        <w:t xml:space="preserve">El Recurrente </w:t>
      </w:r>
      <w:r w:rsidRPr="00604E50">
        <w:rPr>
          <w:rFonts w:ascii="Palatino Linotype" w:hAnsi="Palatino Linotype"/>
        </w:rPr>
        <w:t>peticiona</w:t>
      </w:r>
      <w:r w:rsidR="00E302D8" w:rsidRPr="00604E50">
        <w:rPr>
          <w:rFonts w:ascii="Palatino Linotype" w:hAnsi="Palatino Linotype"/>
        </w:rPr>
        <w:t xml:space="preserve">, </w:t>
      </w:r>
      <w:r w:rsidRPr="00604E50">
        <w:rPr>
          <w:rFonts w:ascii="Palatino Linotype" w:hAnsi="Palatino Linotype"/>
        </w:rPr>
        <w:t xml:space="preserve">el o los documentos, donde conste lo subsecuente: </w:t>
      </w:r>
    </w:p>
    <w:p w14:paraId="30696469" w14:textId="77777777" w:rsidR="00071FEF" w:rsidRPr="00604E50" w:rsidRDefault="00071FEF" w:rsidP="00A036A6">
      <w:pPr>
        <w:tabs>
          <w:tab w:val="left" w:pos="709"/>
        </w:tabs>
        <w:spacing w:line="360" w:lineRule="auto"/>
        <w:ind w:right="51"/>
        <w:jc w:val="both"/>
        <w:rPr>
          <w:rFonts w:ascii="Palatino Linotype" w:hAnsi="Palatino Linotype"/>
        </w:rPr>
      </w:pPr>
    </w:p>
    <w:p w14:paraId="7167A42E" w14:textId="1C581F28" w:rsidR="003C744F" w:rsidRPr="003C744F" w:rsidRDefault="003C744F" w:rsidP="003C744F">
      <w:pPr>
        <w:pStyle w:val="Prrafodelista"/>
        <w:numPr>
          <w:ilvl w:val="0"/>
          <w:numId w:val="22"/>
        </w:numPr>
        <w:autoSpaceDE w:val="0"/>
        <w:autoSpaceDN w:val="0"/>
        <w:adjustRightInd w:val="0"/>
        <w:spacing w:line="360" w:lineRule="auto"/>
        <w:jc w:val="both"/>
        <w:rPr>
          <w:rFonts w:ascii="Palatino Linotype" w:hAnsi="Palatino Linotype" w:cs="Arial"/>
        </w:rPr>
      </w:pPr>
      <w:r>
        <w:rPr>
          <w:rFonts w:ascii="Palatino Linotype" w:hAnsi="Palatino Linotype" w:cs="Arial"/>
        </w:rPr>
        <w:t>R</w:t>
      </w:r>
      <w:r w:rsidRPr="003C744F">
        <w:rPr>
          <w:rFonts w:ascii="Palatino Linotype" w:hAnsi="Palatino Linotype" w:cs="Arial"/>
        </w:rPr>
        <w:t xml:space="preserve">esoluciones que recibió la </w:t>
      </w:r>
      <w:r>
        <w:rPr>
          <w:rFonts w:ascii="Palatino Linotype" w:hAnsi="Palatino Linotype" w:cs="Arial"/>
        </w:rPr>
        <w:t>U</w:t>
      </w:r>
      <w:r w:rsidRPr="003C744F">
        <w:rPr>
          <w:rFonts w:ascii="Palatino Linotype" w:hAnsi="Palatino Linotype" w:cs="Arial"/>
        </w:rPr>
        <w:t xml:space="preserve">nidad de </w:t>
      </w:r>
      <w:r>
        <w:rPr>
          <w:rFonts w:ascii="Palatino Linotype" w:hAnsi="Palatino Linotype" w:cs="Arial"/>
        </w:rPr>
        <w:t>T</w:t>
      </w:r>
      <w:r w:rsidRPr="003C744F">
        <w:rPr>
          <w:rFonts w:ascii="Palatino Linotype" w:hAnsi="Palatino Linotype" w:cs="Arial"/>
        </w:rPr>
        <w:t>ransparencia en abril 2020</w:t>
      </w:r>
      <w:r w:rsidR="00E302D8" w:rsidRPr="00604E50">
        <w:rPr>
          <w:rFonts w:ascii="Palatino Linotype" w:hAnsi="Palatino Linotype" w:cs="Arial"/>
        </w:rPr>
        <w:t xml:space="preserve">. </w:t>
      </w:r>
    </w:p>
    <w:p w14:paraId="2A14DDC2" w14:textId="77777777" w:rsidR="00673DA6" w:rsidRPr="003C744F" w:rsidRDefault="00673DA6" w:rsidP="00161689">
      <w:pPr>
        <w:pStyle w:val="Sinespaciado"/>
        <w:rPr>
          <w:rFonts w:ascii="Palatino Linotype" w:hAnsi="Palatino Linotype"/>
        </w:rPr>
      </w:pPr>
    </w:p>
    <w:p w14:paraId="25D19587" w14:textId="6DF245AA"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otra parte, al referirnos al acto impugnado por </w:t>
      </w:r>
      <w:r w:rsidRPr="00604E50">
        <w:rPr>
          <w:rFonts w:ascii="Palatino Linotype" w:hAnsi="Palatino Linotype" w:cs="Arial"/>
          <w:b/>
        </w:rPr>
        <w:t xml:space="preserve">El Recurrente, </w:t>
      </w:r>
      <w:r w:rsidRPr="00604E50">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604E50" w:rsidRDefault="00A036A6" w:rsidP="00A036A6">
      <w:pPr>
        <w:pStyle w:val="Sinespaciado"/>
      </w:pPr>
    </w:p>
    <w:p w14:paraId="734A5858" w14:textId="77777777" w:rsidR="00A036A6" w:rsidRPr="00604E50" w:rsidRDefault="00A036A6" w:rsidP="00A036A6">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
          <w:bCs/>
          <w:i/>
          <w:sz w:val="22"/>
          <w:szCs w:val="22"/>
        </w:rPr>
        <w:t xml:space="preserve">“Artículo 179. </w:t>
      </w:r>
      <w:r w:rsidRPr="00604E50">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604E50" w:rsidRDefault="00A036A6" w:rsidP="00A036A6">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Cs/>
          <w:i/>
          <w:sz w:val="22"/>
          <w:szCs w:val="22"/>
        </w:rPr>
        <w:t>(…</w:t>
      </w:r>
      <w:r w:rsidRPr="00604E50">
        <w:rPr>
          <w:rFonts w:ascii="Palatino Linotype" w:hAnsi="Palatino Linotype"/>
          <w:i/>
          <w:sz w:val="22"/>
          <w:szCs w:val="22"/>
        </w:rPr>
        <w:t>)</w:t>
      </w:r>
    </w:p>
    <w:p w14:paraId="663EFB0A" w14:textId="77777777" w:rsidR="00A036A6" w:rsidRPr="00604E50" w:rsidRDefault="00A036A6" w:rsidP="00A036A6">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
          <w:bCs/>
          <w:i/>
          <w:sz w:val="22"/>
          <w:szCs w:val="22"/>
        </w:rPr>
        <w:t xml:space="preserve">VII. </w:t>
      </w:r>
      <w:r w:rsidRPr="00604E50">
        <w:rPr>
          <w:rFonts w:ascii="Palatino Linotype" w:hAnsi="Palatino Linotype"/>
          <w:i/>
          <w:sz w:val="22"/>
          <w:szCs w:val="22"/>
        </w:rPr>
        <w:t>La falta de respuesta a una solicitud de acceso a la información</w:t>
      </w:r>
    </w:p>
    <w:p w14:paraId="21803FC1" w14:textId="5536CE19" w:rsidR="00A036A6" w:rsidRPr="00604E50" w:rsidRDefault="00A036A6" w:rsidP="003413FD">
      <w:pPr>
        <w:pStyle w:val="Prrafodelista"/>
        <w:autoSpaceDE w:val="0"/>
        <w:autoSpaceDN w:val="0"/>
        <w:adjustRightInd w:val="0"/>
        <w:ind w:left="851" w:right="851"/>
        <w:rPr>
          <w:rFonts w:ascii="Palatino Linotype" w:hAnsi="Palatino Linotype" w:cs="Arial"/>
          <w:b/>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w:t>
      </w:r>
      <w:r w:rsidRPr="00604E50">
        <w:rPr>
          <w:rFonts w:ascii="Palatino Linotype" w:hAnsi="Palatino Linotype" w:cs="Arial"/>
          <w:i/>
          <w:sz w:val="22"/>
          <w:szCs w:val="22"/>
        </w:rPr>
        <w:t xml:space="preserve"> </w:t>
      </w:r>
      <w:r w:rsidRPr="00604E50">
        <w:rPr>
          <w:rFonts w:ascii="Palatino Linotype" w:hAnsi="Palatino Linotype" w:cs="Arial"/>
          <w:b/>
          <w:i/>
          <w:sz w:val="22"/>
          <w:szCs w:val="22"/>
        </w:rPr>
        <w:t>[Sic]</w:t>
      </w:r>
    </w:p>
    <w:p w14:paraId="4C71BFE3" w14:textId="77777777" w:rsidR="00673DA6" w:rsidRPr="00604E50" w:rsidRDefault="00673DA6" w:rsidP="00A036A6">
      <w:pPr>
        <w:pStyle w:val="Prrafodelista"/>
        <w:autoSpaceDE w:val="0"/>
        <w:autoSpaceDN w:val="0"/>
        <w:adjustRightInd w:val="0"/>
        <w:spacing w:line="360" w:lineRule="auto"/>
        <w:ind w:left="0"/>
        <w:jc w:val="both"/>
        <w:rPr>
          <w:rFonts w:ascii="Palatino Linotype" w:hAnsi="Palatino Linotype" w:cs="Arial"/>
        </w:rPr>
      </w:pPr>
    </w:p>
    <w:p w14:paraId="4032EC54" w14:textId="7297B125"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rPr>
        <w:t xml:space="preserve">En este tenor, resulta evidente que las razones o motivos de inconformidad hechos valer por </w:t>
      </w:r>
      <w:r w:rsidRPr="00604E50">
        <w:rPr>
          <w:rFonts w:ascii="Palatino Linotype" w:hAnsi="Palatino Linotype" w:cs="Arial"/>
          <w:b/>
        </w:rPr>
        <w:t xml:space="preserve">El Recurrente, </w:t>
      </w:r>
      <w:r w:rsidRPr="00604E50">
        <w:rPr>
          <w:rFonts w:ascii="Palatino Linotype" w:hAnsi="Palatino Linotype" w:cs="Arial"/>
        </w:rPr>
        <w:t xml:space="preserve">resultan fundados y procedentes, en virtud de que como consta en el expediente electrónico del </w:t>
      </w:r>
      <w:r w:rsidRPr="00604E50">
        <w:rPr>
          <w:rFonts w:ascii="Palatino Linotype" w:hAnsi="Palatino Linotype" w:cs="Arial"/>
          <w:b/>
        </w:rPr>
        <w:t xml:space="preserve">SAIMEX, </w:t>
      </w:r>
      <w:r w:rsidRPr="00604E50">
        <w:rPr>
          <w:rFonts w:ascii="Palatino Linotype" w:hAnsi="Palatino Linotype" w:cs="Arial"/>
        </w:rPr>
        <w:t xml:space="preserve">se acredita que </w:t>
      </w:r>
      <w:r w:rsidRPr="00604E50">
        <w:rPr>
          <w:rFonts w:ascii="Palatino Linotype" w:hAnsi="Palatino Linotype" w:cs="Arial"/>
          <w:b/>
        </w:rPr>
        <w:t xml:space="preserve">El Sujeto Obligado </w:t>
      </w:r>
      <w:r w:rsidRPr="00604E50">
        <w:rPr>
          <w:rFonts w:ascii="Palatino Linotype" w:hAnsi="Palatino Linotype" w:cs="Arial"/>
        </w:rPr>
        <w:t xml:space="preserve">fue omiso en responder la solicitud de información hecha por </w:t>
      </w:r>
      <w:r w:rsidRPr="00604E50">
        <w:rPr>
          <w:rFonts w:ascii="Palatino Linotype" w:hAnsi="Palatino Linotype" w:cs="Arial"/>
          <w:b/>
        </w:rPr>
        <w:t>El Recurrente</w:t>
      </w:r>
      <w:r w:rsidR="00673DA6" w:rsidRPr="00604E50">
        <w:rPr>
          <w:rFonts w:ascii="Palatino Linotype" w:hAnsi="Palatino Linotype" w:cs="Arial"/>
        </w:rPr>
        <w:t>;</w:t>
      </w:r>
      <w:r w:rsidRPr="00604E50">
        <w:rPr>
          <w:rFonts w:ascii="Palatino Linotype" w:hAnsi="Palatino Linotype" w:cs="Arial"/>
        </w:rPr>
        <w:t xml:space="preserve"> </w:t>
      </w:r>
      <w:r w:rsidR="00673DA6" w:rsidRPr="00604E50">
        <w:rPr>
          <w:rFonts w:ascii="Palatino Linotype" w:hAnsi="Palatino Linotype" w:cs="Arial"/>
        </w:rPr>
        <w:t>d</w:t>
      </w:r>
      <w:r w:rsidRPr="00604E50">
        <w:rPr>
          <w:rFonts w:ascii="Palatino Linotype" w:hAnsi="Palatino Linotype" w:cs="Arial"/>
        </w:rPr>
        <w:t xml:space="preserve">icho lo anterior, considerando la información requerida por </w:t>
      </w:r>
      <w:r w:rsidRPr="00604E50">
        <w:rPr>
          <w:rFonts w:ascii="Palatino Linotype" w:hAnsi="Palatino Linotype" w:cs="Arial"/>
          <w:b/>
        </w:rPr>
        <w:t xml:space="preserve">El Recurrente </w:t>
      </w:r>
      <w:r w:rsidRPr="00604E50">
        <w:rPr>
          <w:rFonts w:ascii="Palatino Linotype" w:hAnsi="Palatino Linotype" w:cs="Arial"/>
        </w:rPr>
        <w:t xml:space="preserve">en su solicitud de información, y ante la falta de respuesta, se establece que la materia de estudio se centrará en las atribuciones del </w:t>
      </w:r>
      <w:r w:rsidRPr="00604E50">
        <w:rPr>
          <w:rFonts w:ascii="Palatino Linotype" w:hAnsi="Palatino Linotype" w:cs="Arial"/>
          <w:b/>
        </w:rPr>
        <w:t xml:space="preserve">Sujeto Obligado, </w:t>
      </w:r>
      <w:r w:rsidRPr="00604E50">
        <w:rPr>
          <w:rFonts w:ascii="Palatino Linotype" w:hAnsi="Palatino Linotype" w:cs="Arial"/>
        </w:rPr>
        <w:t>a efecto de determinar si éste genera, posee o administra dicha información.</w:t>
      </w:r>
    </w:p>
    <w:p w14:paraId="7CA12AB4"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rPr>
        <w:t xml:space="preserve">Una vez establecida y delimitada la materia del presente recurso de revisión, y atentos a </w:t>
      </w:r>
      <w:r w:rsidRPr="00604E50">
        <w:rPr>
          <w:rFonts w:ascii="Palatino Linotype" w:hAnsi="Palatino Linotype"/>
          <w:lang w:eastAsia="es-MX"/>
        </w:rPr>
        <w:t xml:space="preserve">la falta de respuesta del </w:t>
      </w:r>
      <w:r w:rsidRPr="00604E50">
        <w:rPr>
          <w:rFonts w:ascii="Palatino Linotype" w:hAnsi="Palatino Linotype"/>
          <w:b/>
          <w:lang w:eastAsia="es-MX"/>
        </w:rPr>
        <w:t>Sujeto Obligado</w:t>
      </w:r>
      <w:r w:rsidRPr="00604E50">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604E50">
        <w:rPr>
          <w:rFonts w:ascii="Palatino Linotype" w:hAnsi="Palatino Linotype"/>
          <w:b/>
          <w:lang w:eastAsia="es-MX"/>
        </w:rPr>
        <w:t>Sujeto Obligado</w:t>
      </w:r>
      <w:r w:rsidRPr="00604E50">
        <w:rPr>
          <w:rFonts w:ascii="Palatino Linotype" w:hAnsi="Palatino Linotype"/>
          <w:lang w:eastAsia="es-MX"/>
        </w:rPr>
        <w:t xml:space="preserve"> de la misma, tal y como lo constituyen </w:t>
      </w:r>
      <w:r w:rsidRPr="00604E50">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604E50" w:rsidRDefault="00A036A6" w:rsidP="00A036A6">
      <w:pPr>
        <w:pStyle w:val="Sinespaciado"/>
        <w:rPr>
          <w:sz w:val="12"/>
        </w:rPr>
      </w:pPr>
    </w:p>
    <w:p w14:paraId="3A6C4CEB" w14:textId="77777777" w:rsidR="00A036A6" w:rsidRPr="00604E50" w:rsidRDefault="00A036A6" w:rsidP="00A036A6">
      <w:pPr>
        <w:pStyle w:val="Sinespaciado"/>
        <w:rPr>
          <w:rFonts w:ascii="Palatino Linotype" w:hAnsi="Palatino Linotype"/>
        </w:rPr>
      </w:pPr>
    </w:p>
    <w:p w14:paraId="67CF9FDF" w14:textId="77777777" w:rsidR="00A036A6" w:rsidRPr="00604E50" w:rsidRDefault="00A036A6" w:rsidP="00A036A6">
      <w:pPr>
        <w:autoSpaceDE w:val="0"/>
        <w:autoSpaceDN w:val="0"/>
        <w:adjustRightInd w:val="0"/>
        <w:ind w:left="567" w:right="567"/>
        <w:jc w:val="both"/>
        <w:rPr>
          <w:rFonts w:ascii="Palatino Linotype" w:hAnsi="Palatino Linotype" w:cs="Arial"/>
          <w:i/>
          <w:sz w:val="22"/>
        </w:rPr>
      </w:pPr>
      <w:r w:rsidRPr="00604E50">
        <w:rPr>
          <w:rFonts w:ascii="Palatino Linotype" w:hAnsi="Palatino Linotype" w:cs="Arial"/>
          <w:i/>
          <w:sz w:val="22"/>
        </w:rPr>
        <w:t>“</w:t>
      </w:r>
      <w:r w:rsidRPr="00604E50">
        <w:rPr>
          <w:rFonts w:ascii="Palatino Linotype" w:hAnsi="Palatino Linotype" w:cs="Arial"/>
          <w:b/>
          <w:i/>
          <w:sz w:val="22"/>
        </w:rPr>
        <w:t>Artículo 7. El Estado de México garantizará el efectivo acceso de toda persona a la información en posesión de cualquier entidad,</w:t>
      </w:r>
      <w:r w:rsidRPr="00604E50">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604E50">
        <w:rPr>
          <w:rFonts w:ascii="Palatino Linotype" w:hAnsi="Palatino Linotype" w:cs="Arial"/>
          <w:b/>
          <w:i/>
          <w:sz w:val="22"/>
        </w:rPr>
        <w:t>que reciba y ejerza recursos públicos</w:t>
      </w:r>
      <w:r w:rsidRPr="00604E50">
        <w:rPr>
          <w:rFonts w:ascii="Palatino Linotype" w:hAnsi="Palatino Linotype" w:cs="Arial"/>
          <w:i/>
          <w:sz w:val="22"/>
        </w:rPr>
        <w:t xml:space="preserve"> o realice actos de autoridad en el ámbito de competencia del Estado de México y sus municipios. </w:t>
      </w:r>
    </w:p>
    <w:p w14:paraId="23351950" w14:textId="77777777" w:rsidR="00A036A6" w:rsidRPr="00604E50" w:rsidRDefault="00A036A6" w:rsidP="00A036A6">
      <w:pPr>
        <w:autoSpaceDE w:val="0"/>
        <w:autoSpaceDN w:val="0"/>
        <w:adjustRightInd w:val="0"/>
        <w:ind w:left="567" w:right="567"/>
        <w:jc w:val="both"/>
        <w:rPr>
          <w:rFonts w:ascii="Palatino Linotype" w:hAnsi="Palatino Linotype" w:cs="Arial"/>
          <w:i/>
          <w:sz w:val="22"/>
        </w:rPr>
      </w:pPr>
    </w:p>
    <w:p w14:paraId="4718C9BC" w14:textId="77777777" w:rsidR="00A036A6" w:rsidRPr="00604E50" w:rsidRDefault="00A036A6" w:rsidP="00A036A6">
      <w:pPr>
        <w:autoSpaceDE w:val="0"/>
        <w:autoSpaceDN w:val="0"/>
        <w:adjustRightInd w:val="0"/>
        <w:ind w:left="567" w:right="567"/>
        <w:jc w:val="both"/>
        <w:rPr>
          <w:rFonts w:ascii="Palatino Linotype" w:hAnsi="Palatino Linotype" w:cs="Arial"/>
          <w:bCs/>
          <w:i/>
          <w:sz w:val="22"/>
        </w:rPr>
      </w:pPr>
      <w:r w:rsidRPr="00604E50">
        <w:rPr>
          <w:rFonts w:ascii="Palatino Linotype" w:hAnsi="Palatino Linotype" w:cs="Arial"/>
          <w:b/>
          <w:bCs/>
          <w:i/>
          <w:sz w:val="22"/>
        </w:rPr>
        <w:t>Artículo 23</w:t>
      </w:r>
      <w:r w:rsidRPr="00604E50">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604E50" w:rsidRDefault="00A036A6" w:rsidP="00A036A6">
      <w:pPr>
        <w:ind w:left="567" w:right="709"/>
        <w:jc w:val="both"/>
        <w:rPr>
          <w:rFonts w:ascii="Palatino Linotype" w:hAnsi="Palatino Linotype" w:cs="Arial"/>
          <w:bCs/>
          <w:i/>
          <w:sz w:val="22"/>
        </w:rPr>
      </w:pPr>
      <w:r w:rsidRPr="00604E50">
        <w:rPr>
          <w:rFonts w:ascii="Palatino Linotype" w:hAnsi="Palatino Linotype" w:cs="Arial"/>
          <w:bCs/>
          <w:i/>
          <w:sz w:val="22"/>
        </w:rPr>
        <w:lastRenderedPageBreak/>
        <w:t>(…)</w:t>
      </w:r>
    </w:p>
    <w:p w14:paraId="257BB21B" w14:textId="77777777" w:rsidR="00A036A6" w:rsidRPr="00604E50" w:rsidRDefault="00A036A6" w:rsidP="00A036A6">
      <w:pPr>
        <w:ind w:left="567" w:right="709"/>
        <w:jc w:val="both"/>
        <w:rPr>
          <w:rFonts w:ascii="Palatino Linotype" w:hAnsi="Palatino Linotype" w:cs="Arial"/>
          <w:bCs/>
          <w:i/>
          <w:sz w:val="22"/>
        </w:rPr>
      </w:pPr>
      <w:r w:rsidRPr="00604E50">
        <w:rPr>
          <w:rFonts w:ascii="Palatino Linotype" w:hAnsi="Palatino Linotype" w:cs="Arial"/>
          <w:b/>
          <w:bCs/>
          <w:i/>
          <w:sz w:val="22"/>
        </w:rPr>
        <w:t xml:space="preserve">IV. </w:t>
      </w:r>
      <w:r w:rsidRPr="00604E50">
        <w:rPr>
          <w:rFonts w:ascii="Palatino Linotype" w:hAnsi="Palatino Linotype" w:cs="Arial"/>
          <w:b/>
          <w:bCs/>
          <w:i/>
          <w:sz w:val="22"/>
          <w:u w:val="single"/>
        </w:rPr>
        <w:t>Los ayuntamientos y las dependencias, organismos, órganos y entidades de la administración municipal</w:t>
      </w:r>
      <w:r w:rsidRPr="00604E50">
        <w:rPr>
          <w:rFonts w:ascii="Palatino Linotype" w:hAnsi="Palatino Linotype" w:cs="Arial"/>
          <w:bCs/>
          <w:i/>
          <w:sz w:val="22"/>
        </w:rPr>
        <w:t>;</w:t>
      </w:r>
    </w:p>
    <w:p w14:paraId="156C72A7" w14:textId="77777777" w:rsidR="00A036A6" w:rsidRPr="00604E50" w:rsidRDefault="00A036A6" w:rsidP="00A036A6">
      <w:pPr>
        <w:pStyle w:val="Sinespaciado"/>
        <w:rPr>
          <w:sz w:val="8"/>
        </w:rPr>
      </w:pPr>
    </w:p>
    <w:p w14:paraId="7C773706" w14:textId="77777777" w:rsidR="00A036A6" w:rsidRPr="00604E50" w:rsidRDefault="00A036A6" w:rsidP="00A036A6">
      <w:pPr>
        <w:spacing w:line="360" w:lineRule="auto"/>
        <w:contextualSpacing/>
        <w:jc w:val="both"/>
        <w:rPr>
          <w:rFonts w:ascii="Palatino Linotype" w:eastAsia="MS Mincho" w:hAnsi="Palatino Linotype"/>
        </w:rPr>
      </w:pPr>
    </w:p>
    <w:p w14:paraId="0486D087" w14:textId="77777777" w:rsidR="00A036A6" w:rsidRPr="00604E50" w:rsidRDefault="00A036A6" w:rsidP="00A036A6">
      <w:pPr>
        <w:spacing w:line="360" w:lineRule="auto"/>
        <w:contextualSpacing/>
        <w:jc w:val="both"/>
        <w:rPr>
          <w:rFonts w:ascii="Palatino Linotype" w:eastAsia="MS Mincho" w:hAnsi="Palatino Linotype" w:cs="Arial"/>
          <w:i/>
        </w:rPr>
      </w:pPr>
      <w:r w:rsidRPr="00604E50">
        <w:rPr>
          <w:rFonts w:ascii="Palatino Linotype" w:eastAsia="MS Mincho" w:hAnsi="Palatino Linotype"/>
        </w:rPr>
        <w:t xml:space="preserve">Resulta necesario señalar que el derecho de acceso a la información pública es un </w:t>
      </w:r>
      <w:r w:rsidRPr="00604E50">
        <w:rPr>
          <w:rFonts w:ascii="Palatino Linotype"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604E50">
        <w:rPr>
          <w:rFonts w:ascii="Palatino Linotype" w:hAnsi="Palatino Linotype" w:cs="Arial"/>
          <w:color w:val="000000"/>
        </w:rPr>
        <w:t xml:space="preserve"> </w:t>
      </w:r>
      <w:r w:rsidRPr="00604E50">
        <w:rPr>
          <w:rFonts w:ascii="Palatino Linotype" w:hAnsi="Palatino Linotype" w:cs="Arial"/>
          <w:b/>
          <w:color w:val="000000"/>
        </w:rPr>
        <w:t>Sujeto Obligado</w:t>
      </w:r>
      <w:r w:rsidRPr="00604E50">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04E50">
        <w:rPr>
          <w:rFonts w:ascii="Palatino Linotype" w:hAnsi="Palatino Linotype" w:cs="Arial"/>
          <w:b/>
          <w:color w:val="000000"/>
        </w:rPr>
        <w:t xml:space="preserve">Constitución Política de los Estados Unidos Mexicanos </w:t>
      </w:r>
      <w:r w:rsidRPr="00604E50">
        <w:rPr>
          <w:rFonts w:ascii="Palatino Linotype" w:hAnsi="Palatino Linotype" w:cs="Arial"/>
          <w:color w:val="000000"/>
        </w:rPr>
        <w:t xml:space="preserve">al señalar la obligación de “promover, </w:t>
      </w:r>
      <w:r w:rsidRPr="00604E50">
        <w:rPr>
          <w:rFonts w:ascii="Palatino Linotype" w:hAnsi="Palatino Linotype" w:cs="Arial"/>
          <w:b/>
          <w:color w:val="000000"/>
        </w:rPr>
        <w:t>respetar</w:t>
      </w:r>
      <w:r w:rsidRPr="00604E50">
        <w:rPr>
          <w:rFonts w:ascii="Palatino Linotype" w:hAnsi="Palatino Linotype" w:cs="Arial"/>
          <w:color w:val="000000"/>
        </w:rPr>
        <w:t xml:space="preserve">, </w:t>
      </w:r>
      <w:r w:rsidRPr="00604E50">
        <w:rPr>
          <w:rFonts w:ascii="Palatino Linotype" w:hAnsi="Palatino Linotype" w:cs="Arial"/>
          <w:b/>
          <w:color w:val="000000"/>
        </w:rPr>
        <w:t>proteger</w:t>
      </w:r>
      <w:r w:rsidRPr="00604E50">
        <w:rPr>
          <w:rFonts w:ascii="Palatino Linotype" w:hAnsi="Palatino Linotype" w:cs="Arial"/>
          <w:color w:val="000000"/>
        </w:rPr>
        <w:t xml:space="preserve"> y </w:t>
      </w:r>
      <w:r w:rsidRPr="00604E50">
        <w:rPr>
          <w:rFonts w:ascii="Palatino Linotype" w:hAnsi="Palatino Linotype" w:cs="Arial"/>
          <w:b/>
          <w:color w:val="000000"/>
        </w:rPr>
        <w:t>garantizar</w:t>
      </w:r>
      <w:r w:rsidRPr="00604E50">
        <w:rPr>
          <w:rFonts w:ascii="Palatino Linotype" w:hAnsi="Palatino Linotype" w:cs="Arial"/>
          <w:color w:val="000000"/>
        </w:rPr>
        <w:t xml:space="preserve"> los derechos humanos”, entre los cuales se encuentra dicho derecho.</w:t>
      </w:r>
    </w:p>
    <w:p w14:paraId="20BA653C" w14:textId="77777777" w:rsidR="00271073" w:rsidRPr="00604E50" w:rsidRDefault="00271073" w:rsidP="00A036A6">
      <w:pPr>
        <w:spacing w:line="360" w:lineRule="auto"/>
        <w:contextualSpacing/>
        <w:jc w:val="both"/>
        <w:rPr>
          <w:rFonts w:ascii="Palatino Linotype" w:hAnsi="Palatino Linotype" w:cs="Arial"/>
          <w:color w:val="000000"/>
        </w:rPr>
      </w:pPr>
    </w:p>
    <w:p w14:paraId="42FA7B86" w14:textId="77777777" w:rsidR="00A036A6" w:rsidRPr="00604E50" w:rsidRDefault="00A036A6" w:rsidP="00A036A6">
      <w:pPr>
        <w:spacing w:line="360" w:lineRule="auto"/>
        <w:contextualSpacing/>
        <w:jc w:val="both"/>
        <w:rPr>
          <w:rFonts w:ascii="Palatino Linotype" w:eastAsia="MS Mincho" w:hAnsi="Palatino Linotype" w:cs="Arial"/>
          <w:i/>
        </w:rPr>
      </w:pPr>
      <w:r w:rsidRPr="00604E50">
        <w:rPr>
          <w:rFonts w:ascii="Palatino Linotype" w:hAnsi="Palatino Linotype" w:cs="Arial"/>
          <w:color w:val="000000"/>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604E50" w:rsidRDefault="00260711" w:rsidP="00A036A6">
      <w:pPr>
        <w:spacing w:line="360" w:lineRule="auto"/>
        <w:contextualSpacing/>
        <w:jc w:val="both"/>
        <w:rPr>
          <w:rFonts w:ascii="Palatino Linotype" w:hAnsi="Palatino Linotype" w:cs="Arial"/>
          <w:color w:val="000000"/>
        </w:rPr>
      </w:pPr>
    </w:p>
    <w:p w14:paraId="1F2488AD" w14:textId="77777777" w:rsidR="00A036A6" w:rsidRPr="00604E50" w:rsidRDefault="00A036A6" w:rsidP="00A036A6">
      <w:pPr>
        <w:spacing w:line="360" w:lineRule="auto"/>
        <w:contextualSpacing/>
        <w:jc w:val="both"/>
        <w:rPr>
          <w:rFonts w:ascii="Palatino Linotype" w:eastAsia="MS Mincho" w:hAnsi="Palatino Linotype" w:cs="Arial"/>
          <w:i/>
        </w:rPr>
      </w:pPr>
      <w:r w:rsidRPr="00604E50">
        <w:rPr>
          <w:rFonts w:ascii="Palatino Linotype" w:hAnsi="Palatino Linotype" w:cs="Arial"/>
          <w:color w:val="000000"/>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79C1416" w14:textId="77777777" w:rsidR="00A036A6" w:rsidRPr="00604E50" w:rsidRDefault="00A036A6" w:rsidP="00A036A6">
      <w:pPr>
        <w:pStyle w:val="Prrafodelista"/>
        <w:spacing w:line="360" w:lineRule="auto"/>
        <w:ind w:left="0"/>
        <w:contextualSpacing/>
        <w:jc w:val="both"/>
        <w:rPr>
          <w:rFonts w:ascii="Palatino Linotype" w:eastAsia="MS Mincho" w:hAnsi="Palatino Linotype"/>
        </w:rPr>
      </w:pPr>
    </w:p>
    <w:p w14:paraId="19BB7586" w14:textId="77777777" w:rsidR="00A036A6" w:rsidRPr="00604E50" w:rsidRDefault="00A036A6" w:rsidP="00A036A6">
      <w:pPr>
        <w:pStyle w:val="Prrafodelista"/>
        <w:spacing w:line="360" w:lineRule="auto"/>
        <w:ind w:left="0"/>
        <w:contextualSpacing/>
        <w:jc w:val="both"/>
        <w:rPr>
          <w:rFonts w:ascii="Palatino Linotype" w:hAnsi="Palatino Linotype"/>
          <w:lang w:eastAsia="es-MX"/>
        </w:rPr>
      </w:pPr>
      <w:r w:rsidRPr="00604E50">
        <w:rPr>
          <w:rFonts w:ascii="Palatino Linotype" w:eastAsia="MS Mincho" w:hAnsi="Palatino Linotype"/>
        </w:rPr>
        <w:lastRenderedPageBreak/>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604E50"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604E50" w:rsidRDefault="00A036A6" w:rsidP="00A036A6">
      <w:pPr>
        <w:pStyle w:val="Prrafodelista"/>
        <w:spacing w:line="360" w:lineRule="auto"/>
        <w:ind w:left="0"/>
        <w:contextualSpacing/>
        <w:jc w:val="both"/>
        <w:rPr>
          <w:rFonts w:ascii="Palatino Linotype" w:hAnsi="Palatino Linotype" w:cs="Arial"/>
        </w:rPr>
      </w:pPr>
      <w:r w:rsidRPr="00604E50">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604E50" w:rsidRDefault="00A036A6" w:rsidP="00A036A6">
      <w:pPr>
        <w:spacing w:line="360" w:lineRule="auto"/>
        <w:jc w:val="both"/>
        <w:rPr>
          <w:rFonts w:ascii="Palatino Linotype" w:hAnsi="Palatino Linotype" w:cs="Arial"/>
          <w:b/>
        </w:rPr>
      </w:pPr>
    </w:p>
    <w:p w14:paraId="310DA628"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lo que en cumplimiento a las obligaciones que establece nuestra Carta Magna, la Constitución Estatal y la Ley de la materia le imponen, el </w:t>
      </w:r>
      <w:r w:rsidRPr="00604E50">
        <w:rPr>
          <w:rFonts w:ascii="Palatino Linotype" w:hAnsi="Palatino Linotype" w:cs="Arial"/>
          <w:b/>
        </w:rPr>
        <w:t>Sujeto Obligado</w:t>
      </w:r>
      <w:r w:rsidRPr="00604E50">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604E50">
        <w:rPr>
          <w:rFonts w:ascii="Palatino Linotype" w:hAnsi="Palatino Linotype" w:cs="Arial"/>
          <w:b/>
        </w:rPr>
        <w:t>Sujeto Obligado</w:t>
      </w:r>
      <w:r w:rsidRPr="00604E50">
        <w:rPr>
          <w:rFonts w:ascii="Palatino Linotype" w:hAnsi="Palatino Linotype" w:cs="Arial"/>
        </w:rPr>
        <w:t xml:space="preserve"> fue omiso en dar respuesta a la solicitud.</w:t>
      </w:r>
    </w:p>
    <w:p w14:paraId="73AC20AC"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eastAsia="Calibri" w:hAnsi="Palatino Linotype"/>
        </w:rPr>
        <w:lastRenderedPageBreak/>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5E46F79F" w14:textId="77777777" w:rsidR="00161689" w:rsidRPr="00604E50" w:rsidRDefault="00161689" w:rsidP="00A036A6">
      <w:pPr>
        <w:pStyle w:val="Prrafodelista"/>
        <w:autoSpaceDE w:val="0"/>
        <w:autoSpaceDN w:val="0"/>
        <w:adjustRightInd w:val="0"/>
        <w:spacing w:line="360" w:lineRule="auto"/>
        <w:ind w:left="0"/>
        <w:jc w:val="both"/>
        <w:rPr>
          <w:rFonts w:ascii="Palatino Linotype" w:eastAsia="Calibri" w:hAnsi="Palatino Linotype"/>
        </w:rPr>
      </w:pPr>
    </w:p>
    <w:p w14:paraId="302F23CA" w14:textId="77777777" w:rsidR="00A036A6" w:rsidRPr="00604E50"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604E50">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604E50">
        <w:rPr>
          <w:rFonts w:ascii="Palatino Linotype" w:eastAsia="Calibri" w:hAnsi="Palatino Linotype"/>
          <w:i/>
        </w:rPr>
        <w:t xml:space="preserve">en el ámbito de sus atribuciones, de promover, respetar, proteger y </w:t>
      </w:r>
      <w:r w:rsidRPr="00604E50">
        <w:rPr>
          <w:rFonts w:ascii="Palatino Linotype" w:eastAsia="Calibri" w:hAnsi="Palatino Linotype"/>
          <w:b/>
          <w:i/>
        </w:rPr>
        <w:t>garantizar</w:t>
      </w:r>
      <w:r w:rsidRPr="00604E50">
        <w:rPr>
          <w:rFonts w:ascii="Palatino Linotype" w:eastAsia="Calibri" w:hAnsi="Palatino Linotype"/>
          <w:i/>
        </w:rPr>
        <w:t xml:space="preserve"> los derechos humanos. </w:t>
      </w:r>
    </w:p>
    <w:p w14:paraId="1B7CBF25" w14:textId="77777777" w:rsidR="00A036A6" w:rsidRPr="00604E50"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604E50">
        <w:rPr>
          <w:rFonts w:ascii="Palatino Linotype" w:eastAsia="Calibri" w:hAnsi="Palatino Linotype"/>
          <w:i/>
        </w:rPr>
        <w:t>procedimiento de acceso a la información es la garantía primaria del derecho en cuestión.</w:t>
      </w:r>
      <w:r w:rsidRPr="00604E50">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604E50">
        <w:rPr>
          <w:rFonts w:ascii="Palatino Linotype" w:eastAsia="Calibri" w:hAnsi="Palatino Linotype"/>
          <w:i/>
        </w:rPr>
        <w:t>investigar, sancionar y reparar las violaciones a los derechos humanos.</w:t>
      </w:r>
    </w:p>
    <w:p w14:paraId="59D06E4D"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C247443"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lo que en cumplimiento a esta resolución, el </w:t>
      </w:r>
      <w:r w:rsidRPr="00604E50">
        <w:rPr>
          <w:rFonts w:ascii="Palatino Linotype" w:hAnsi="Palatino Linotype" w:cs="Arial"/>
          <w:b/>
        </w:rPr>
        <w:t xml:space="preserve">Sujeto Obligado </w:t>
      </w:r>
      <w:r w:rsidRPr="00604E50">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D8D049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En consecuencia, para responder a la solicitud de acceso a la información en cuestión el </w:t>
      </w:r>
      <w:r w:rsidRPr="00604E50">
        <w:rPr>
          <w:rFonts w:ascii="Palatino Linotype" w:hAnsi="Palatino Linotype" w:cs="Arial"/>
          <w:b/>
        </w:rPr>
        <w:t>Sujeto Obligado</w:t>
      </w:r>
      <w:r w:rsidRPr="00604E50">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59D4DD4" w14:textId="0887FC0E" w:rsidR="003413FD" w:rsidRPr="00604E50" w:rsidRDefault="00A036A6" w:rsidP="003413FD">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En cualquiera de los casos, imperativamente, el </w:t>
      </w:r>
      <w:r w:rsidRPr="00604E50">
        <w:rPr>
          <w:rFonts w:ascii="Palatino Linotype" w:hAnsi="Palatino Linotype" w:cs="Arial"/>
          <w:b/>
        </w:rPr>
        <w:t>Sujeto Obligado</w:t>
      </w:r>
      <w:r w:rsidRPr="00604E50">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63DD6CB7" w14:textId="77777777" w:rsidR="003413FD" w:rsidRPr="00604E50" w:rsidRDefault="003413FD" w:rsidP="003413FD">
      <w:pPr>
        <w:pStyle w:val="Prrafodelista"/>
        <w:autoSpaceDE w:val="0"/>
        <w:autoSpaceDN w:val="0"/>
        <w:adjustRightInd w:val="0"/>
        <w:spacing w:line="360" w:lineRule="auto"/>
        <w:ind w:left="0"/>
        <w:jc w:val="both"/>
        <w:rPr>
          <w:rFonts w:ascii="Palatino Linotype" w:hAnsi="Palatino Linotype" w:cs="Arial"/>
        </w:rPr>
      </w:pPr>
    </w:p>
    <w:p w14:paraId="7752607D" w14:textId="6FA0E6C7" w:rsidR="003413FD" w:rsidRPr="00604E50" w:rsidRDefault="003413FD" w:rsidP="00A036A6">
      <w:pPr>
        <w:spacing w:line="360" w:lineRule="auto"/>
        <w:jc w:val="both"/>
        <w:rPr>
          <w:rFonts w:ascii="Palatino Linotype" w:eastAsia="MS Mincho" w:hAnsi="Palatino Linotype"/>
        </w:rPr>
      </w:pPr>
      <w:r w:rsidRPr="00604E50">
        <w:rPr>
          <w:rFonts w:ascii="Palatino Linotype" w:eastAsia="MS Mincho" w:hAnsi="Palatino Linotype"/>
        </w:rPr>
        <w:t xml:space="preserve">No </w:t>
      </w:r>
      <w:r w:rsidR="0033318C" w:rsidRPr="00604E50">
        <w:rPr>
          <w:rFonts w:ascii="Palatino Linotype" w:eastAsia="MS Mincho" w:hAnsi="Palatino Linotype"/>
        </w:rPr>
        <w:t>obstante,</w:t>
      </w:r>
      <w:r w:rsidRPr="00604E50">
        <w:rPr>
          <w:rFonts w:ascii="Palatino Linotype" w:eastAsia="MS Mincho" w:hAnsi="Palatino Linotype"/>
        </w:rPr>
        <w:t xml:space="preserve"> el </w:t>
      </w:r>
      <w:r w:rsidRPr="00604E50">
        <w:rPr>
          <w:rFonts w:ascii="Palatino Linotype" w:eastAsia="MS Mincho" w:hAnsi="Palatino Linotype"/>
          <w:b/>
        </w:rPr>
        <w:t>Sujeto Obligado</w:t>
      </w:r>
      <w:r w:rsidRPr="00604E50">
        <w:rPr>
          <w:rFonts w:ascii="Palatino Linotype" w:eastAsia="MS Mincho" w:hAnsi="Palatino Linotype"/>
        </w:rPr>
        <w:t xml:space="preserve"> en la etapa de manifestaciones, remitió </w:t>
      </w:r>
      <w:r w:rsidR="00DB3A3B" w:rsidRPr="00604E50">
        <w:rPr>
          <w:rFonts w:ascii="Palatino Linotype" w:hAnsi="Palatino Linotype" w:cs="Arial"/>
        </w:rPr>
        <w:t xml:space="preserve">los archivos electrónicos denominados </w:t>
      </w:r>
      <w:r w:rsidR="003C744F" w:rsidRPr="00604E50">
        <w:rPr>
          <w:rFonts w:ascii="Palatino Linotype" w:hAnsi="Palatino Linotype" w:cs="Arial"/>
          <w:i/>
        </w:rPr>
        <w:t>“</w:t>
      </w:r>
      <w:r w:rsidR="003C744F" w:rsidRPr="00927F04">
        <w:rPr>
          <w:rFonts w:ascii="Palatino Linotype" w:hAnsi="Palatino Linotype" w:cs="Arial"/>
          <w:b/>
          <w:bCs/>
          <w:i/>
        </w:rPr>
        <w:t>Acta 50 Bis.pdf</w:t>
      </w:r>
      <w:r w:rsidR="003C744F" w:rsidRPr="00604E50">
        <w:rPr>
          <w:rFonts w:ascii="Palatino Linotype" w:hAnsi="Palatino Linotype" w:cs="Arial"/>
          <w:i/>
        </w:rPr>
        <w:t>”, “</w:t>
      </w:r>
      <w:r w:rsidR="003C744F" w:rsidRPr="00927F04">
        <w:rPr>
          <w:rFonts w:ascii="Palatino Linotype" w:hAnsi="Palatino Linotype" w:cs="Arial"/>
          <w:b/>
          <w:bCs/>
          <w:i/>
        </w:rPr>
        <w:t>Respuesta 197-2025.pdf</w:t>
      </w:r>
      <w:r w:rsidR="003C744F" w:rsidRPr="00604E50">
        <w:rPr>
          <w:rFonts w:ascii="Palatino Linotype" w:hAnsi="Palatino Linotype" w:cs="Arial"/>
          <w:i/>
        </w:rPr>
        <w:t>” y “</w:t>
      </w:r>
      <w:r w:rsidR="003C744F" w:rsidRPr="00927F04">
        <w:rPr>
          <w:rFonts w:ascii="Palatino Linotype" w:hAnsi="Palatino Linotype" w:cs="Arial"/>
          <w:b/>
          <w:bCs/>
          <w:i/>
        </w:rPr>
        <w:t>Informe Justificado 605.pdf</w:t>
      </w:r>
      <w:r w:rsidR="003C744F" w:rsidRPr="00604E50">
        <w:rPr>
          <w:rFonts w:ascii="Palatino Linotype" w:hAnsi="Palatino Linotype" w:cs="Arial"/>
          <w:i/>
        </w:rPr>
        <w:t>”</w:t>
      </w:r>
      <w:r w:rsidRPr="00604E50">
        <w:rPr>
          <w:rFonts w:ascii="Palatino Linotype" w:eastAsia="MS Mincho" w:hAnsi="Palatino Linotype"/>
        </w:rPr>
        <w:t xml:space="preserve">; </w:t>
      </w:r>
      <w:r w:rsidR="00DB3A3B" w:rsidRPr="00604E50">
        <w:rPr>
          <w:rFonts w:ascii="Palatino Linotype" w:eastAsia="MS Mincho" w:hAnsi="Palatino Linotype"/>
        </w:rPr>
        <w:t xml:space="preserve">en los cuales </w:t>
      </w:r>
      <w:r w:rsidR="0023023F" w:rsidRPr="00604E50">
        <w:rPr>
          <w:rFonts w:ascii="Palatino Linotype" w:eastAsia="MS Mincho" w:hAnsi="Palatino Linotype"/>
        </w:rPr>
        <w:t>consta la siguiente información:</w:t>
      </w:r>
      <w:r w:rsidRPr="00604E50">
        <w:rPr>
          <w:rFonts w:ascii="Palatino Linotype" w:eastAsia="MS Mincho" w:hAnsi="Palatino Linotype"/>
        </w:rPr>
        <w:t xml:space="preserve">  </w:t>
      </w:r>
    </w:p>
    <w:p w14:paraId="4C134C99" w14:textId="77777777" w:rsidR="00116B30" w:rsidRPr="00604E50" w:rsidRDefault="00116B30" w:rsidP="00A036A6">
      <w:pPr>
        <w:spacing w:line="360" w:lineRule="auto"/>
        <w:jc w:val="both"/>
        <w:rPr>
          <w:rFonts w:ascii="Palatino Linotype" w:eastAsia="MS Mincho" w:hAnsi="Palatino Linotype"/>
        </w:rPr>
      </w:pPr>
    </w:p>
    <w:p w14:paraId="75C64DF2" w14:textId="37A6DD45" w:rsidR="00116B30" w:rsidRPr="00604E50" w:rsidRDefault="00116B30" w:rsidP="00572C8F">
      <w:pPr>
        <w:pStyle w:val="Prrafodelista"/>
        <w:numPr>
          <w:ilvl w:val="0"/>
          <w:numId w:val="42"/>
        </w:numPr>
        <w:spacing w:line="360" w:lineRule="auto"/>
        <w:jc w:val="both"/>
        <w:rPr>
          <w:rFonts w:ascii="Palatino Linotype" w:eastAsia="MS Mincho" w:hAnsi="Palatino Linotype"/>
          <w:lang w:val="es-MX"/>
        </w:rPr>
      </w:pPr>
      <w:r w:rsidRPr="00604E50">
        <w:rPr>
          <w:rFonts w:ascii="Palatino Linotype" w:eastAsia="MS Mincho" w:hAnsi="Palatino Linotype"/>
        </w:rPr>
        <w:lastRenderedPageBreak/>
        <w:t>“</w:t>
      </w:r>
      <w:r w:rsidR="00E24950" w:rsidRPr="00E24950">
        <w:rPr>
          <w:rFonts w:ascii="Palatino Linotype" w:eastAsia="MS Mincho" w:hAnsi="Palatino Linotype"/>
          <w:b/>
          <w:bCs/>
        </w:rPr>
        <w:t>Acta 50 Bis.pdf</w:t>
      </w:r>
      <w:r w:rsidRPr="00604E50">
        <w:rPr>
          <w:rFonts w:ascii="Palatino Linotype" w:eastAsia="MS Mincho" w:hAnsi="Palatino Linotype"/>
        </w:rPr>
        <w:t xml:space="preserve">”: Acta de la </w:t>
      </w:r>
      <w:r w:rsidR="00E24950">
        <w:rPr>
          <w:rFonts w:ascii="Palatino Linotype" w:eastAsia="MS Mincho" w:hAnsi="Palatino Linotype"/>
        </w:rPr>
        <w:t>Quincuagésima Bis</w:t>
      </w:r>
      <w:r w:rsidRPr="00604E50">
        <w:rPr>
          <w:rFonts w:ascii="Palatino Linotype" w:eastAsia="MS Mincho" w:hAnsi="Palatino Linotype"/>
        </w:rPr>
        <w:t xml:space="preserve"> Sesión Extraordinaria del Comité de Transparencia del Sujeto Obligado, a través de la cual </w:t>
      </w:r>
      <w:r w:rsidR="00E24950">
        <w:rPr>
          <w:rFonts w:ascii="Palatino Linotype" w:eastAsia="MS Mincho" w:hAnsi="Palatino Linotype"/>
        </w:rPr>
        <w:t xml:space="preserve">se aprobó la solicitud de prórroga por siete días hábiles presentada por el Servidor Público Habilitado de la Secretaría Particular de Presidencia en la solicitud de información </w:t>
      </w:r>
      <w:r w:rsidR="00E24950" w:rsidRPr="00E24950">
        <w:rPr>
          <w:rFonts w:ascii="Palatino Linotype" w:eastAsia="MS Mincho" w:hAnsi="Palatino Linotype"/>
          <w:b/>
          <w:bCs/>
        </w:rPr>
        <w:t>00197/TOLUCA/IP/2025</w:t>
      </w:r>
      <w:r w:rsidR="00572C8F" w:rsidRPr="00604E50">
        <w:rPr>
          <w:rFonts w:ascii="Palatino Linotype" w:eastAsia="MS Mincho" w:hAnsi="Palatino Linotype"/>
          <w:lang w:val="es-MX"/>
        </w:rPr>
        <w:t>.</w:t>
      </w:r>
    </w:p>
    <w:p w14:paraId="16095590" w14:textId="1570693F" w:rsidR="00572C8F" w:rsidRPr="00E24950" w:rsidRDefault="00572C8F" w:rsidP="00E24950">
      <w:pPr>
        <w:spacing w:line="360" w:lineRule="auto"/>
        <w:jc w:val="both"/>
        <w:rPr>
          <w:rFonts w:ascii="Palatino Linotype" w:hAnsi="Palatino Linotype"/>
        </w:rPr>
      </w:pPr>
    </w:p>
    <w:p w14:paraId="5E431B08" w14:textId="13390437" w:rsidR="00E24950" w:rsidRPr="00E24950" w:rsidRDefault="00572C8F" w:rsidP="00E24950">
      <w:pPr>
        <w:pStyle w:val="Prrafodelista"/>
        <w:numPr>
          <w:ilvl w:val="0"/>
          <w:numId w:val="42"/>
        </w:numPr>
        <w:spacing w:line="360" w:lineRule="auto"/>
        <w:jc w:val="both"/>
        <w:rPr>
          <w:rFonts w:ascii="Palatino Linotype" w:hAnsi="Palatino Linotype"/>
          <w:lang w:val="es-MX"/>
        </w:rPr>
      </w:pPr>
      <w:r w:rsidRPr="00604E50">
        <w:rPr>
          <w:rFonts w:ascii="Palatino Linotype" w:hAnsi="Palatino Linotype"/>
        </w:rPr>
        <w:t>“</w:t>
      </w:r>
      <w:r w:rsidR="00E24950" w:rsidRPr="00E24950">
        <w:rPr>
          <w:rFonts w:ascii="Palatino Linotype" w:hAnsi="Palatino Linotype"/>
          <w:b/>
          <w:bCs/>
        </w:rPr>
        <w:t>Respuesta 197-2025.pdf</w:t>
      </w:r>
      <w:r w:rsidRPr="00604E50">
        <w:rPr>
          <w:rFonts w:ascii="Palatino Linotype" w:hAnsi="Palatino Linotype"/>
        </w:rPr>
        <w:t>”:</w:t>
      </w:r>
      <w:r w:rsidR="00110526" w:rsidRPr="00604E50">
        <w:rPr>
          <w:rFonts w:ascii="Palatino Linotype" w:hAnsi="Palatino Linotype"/>
        </w:rPr>
        <w:t xml:space="preserve"> </w:t>
      </w:r>
      <w:r w:rsidR="00E24950">
        <w:rPr>
          <w:rFonts w:ascii="Palatino Linotype" w:hAnsi="Palatino Linotype"/>
        </w:rPr>
        <w:t xml:space="preserve">Escrito emitido por el </w:t>
      </w:r>
      <w:r w:rsidR="00E24950" w:rsidRPr="00E24950">
        <w:rPr>
          <w:rFonts w:ascii="Palatino Linotype" w:hAnsi="Palatino Linotype"/>
          <w:lang w:val="es-MX"/>
        </w:rPr>
        <w:t xml:space="preserve">Titular de la Unidad de Transparencia, </w:t>
      </w:r>
      <w:r w:rsidR="00E24950">
        <w:rPr>
          <w:rFonts w:ascii="Palatino Linotype" w:hAnsi="Palatino Linotype"/>
          <w:lang w:val="es-MX"/>
        </w:rPr>
        <w:t>a través del cual informa al entonces solicitante de información</w:t>
      </w:r>
      <w:r w:rsidR="00E24950" w:rsidRPr="00E24950">
        <w:rPr>
          <w:rFonts w:ascii="Palatino Linotype" w:hAnsi="Palatino Linotype"/>
          <w:lang w:val="es-MX"/>
        </w:rPr>
        <w:t>, que</w:t>
      </w:r>
      <w:r w:rsidR="00E24950">
        <w:rPr>
          <w:rFonts w:ascii="Palatino Linotype" w:hAnsi="Palatino Linotype"/>
          <w:lang w:val="es-MX"/>
        </w:rPr>
        <w:t xml:space="preserve"> </w:t>
      </w:r>
      <w:r w:rsidR="00E24950" w:rsidRPr="00E24950">
        <w:rPr>
          <w:rFonts w:ascii="Palatino Linotype" w:hAnsi="Palatino Linotype"/>
          <w:lang w:val="es-MX"/>
        </w:rPr>
        <w:t>después de realizar una búsqueda</w:t>
      </w:r>
      <w:r w:rsidR="00E24950">
        <w:rPr>
          <w:rFonts w:ascii="Palatino Linotype" w:hAnsi="Palatino Linotype"/>
          <w:lang w:val="es-MX"/>
        </w:rPr>
        <w:t xml:space="preserve"> </w:t>
      </w:r>
      <w:r w:rsidR="00E24950" w:rsidRPr="00E24950">
        <w:rPr>
          <w:rFonts w:ascii="Palatino Linotype" w:hAnsi="Palatino Linotype"/>
          <w:lang w:val="es-MX"/>
        </w:rPr>
        <w:t xml:space="preserve">exhaustiva y minuciosa dentro del Sistema SAIMEX </w:t>
      </w:r>
      <w:r w:rsidR="00E24950" w:rsidRPr="00E24950">
        <w:rPr>
          <w:rFonts w:ascii="Palatino Linotype" w:hAnsi="Palatino Linotype"/>
          <w:b/>
          <w:bCs/>
          <w:u w:val="single"/>
          <w:lang w:val="es-MX"/>
        </w:rPr>
        <w:t>no encontraron resoluciones emitidas por el INFOEM en el mes de abril del año dos mil veinte</w:t>
      </w:r>
      <w:r w:rsidR="00E24950" w:rsidRPr="00E24950">
        <w:rPr>
          <w:rFonts w:ascii="Palatino Linotype" w:hAnsi="Palatino Linotype"/>
          <w:lang w:val="es-MX"/>
        </w:rPr>
        <w:t>, a esta Unidad de</w:t>
      </w:r>
      <w:r w:rsidR="00E24950">
        <w:rPr>
          <w:rFonts w:ascii="Palatino Linotype" w:hAnsi="Palatino Linotype"/>
          <w:lang w:val="es-MX"/>
        </w:rPr>
        <w:t xml:space="preserve"> </w:t>
      </w:r>
      <w:r w:rsidR="00E24950" w:rsidRPr="00E24950">
        <w:rPr>
          <w:rFonts w:ascii="Palatino Linotype" w:hAnsi="Palatino Linotype"/>
          <w:lang w:val="es-MX"/>
        </w:rPr>
        <w:t>Transparencia, por no haberse generado, poseído o administrado.</w:t>
      </w:r>
    </w:p>
    <w:p w14:paraId="4F70EBDB" w14:textId="77777777" w:rsidR="00E24950" w:rsidRPr="00E24950" w:rsidRDefault="00E24950" w:rsidP="00E24950">
      <w:pPr>
        <w:pStyle w:val="Prrafodelista"/>
        <w:rPr>
          <w:rFonts w:ascii="Palatino Linotype" w:hAnsi="Palatino Linotype"/>
        </w:rPr>
      </w:pPr>
    </w:p>
    <w:p w14:paraId="731C312E" w14:textId="3037E8BC" w:rsidR="008978CE" w:rsidRPr="00A86B05" w:rsidRDefault="00E24950" w:rsidP="00A86B05">
      <w:pPr>
        <w:pStyle w:val="Prrafodelista"/>
        <w:numPr>
          <w:ilvl w:val="0"/>
          <w:numId w:val="42"/>
        </w:numPr>
        <w:spacing w:line="360" w:lineRule="auto"/>
        <w:jc w:val="both"/>
        <w:rPr>
          <w:rFonts w:ascii="Palatino Linotype" w:hAnsi="Palatino Linotype"/>
          <w:lang w:val="es-MX"/>
        </w:rPr>
      </w:pPr>
      <w:r w:rsidRPr="00A86B05">
        <w:rPr>
          <w:rFonts w:ascii="Palatino Linotype" w:hAnsi="Palatino Linotype"/>
        </w:rPr>
        <w:t>“</w:t>
      </w:r>
      <w:r w:rsidRPr="00A86B05">
        <w:rPr>
          <w:rFonts w:ascii="Palatino Linotype" w:hAnsi="Palatino Linotype"/>
          <w:b/>
          <w:bCs/>
        </w:rPr>
        <w:t>Informe Justificado 605.pdf</w:t>
      </w:r>
      <w:r w:rsidRPr="00A86B05">
        <w:rPr>
          <w:rFonts w:ascii="Palatino Linotype" w:hAnsi="Palatino Linotype"/>
        </w:rPr>
        <w:t xml:space="preserve">”: </w:t>
      </w:r>
      <w:r w:rsidR="00110526" w:rsidRPr="00A86B05">
        <w:rPr>
          <w:rFonts w:ascii="Palatino Linotype" w:hAnsi="Palatino Linotype"/>
        </w:rPr>
        <w:t xml:space="preserve">Escrito emitido por el </w:t>
      </w:r>
      <w:r w:rsidRPr="00A86B05">
        <w:rPr>
          <w:rFonts w:ascii="Palatino Linotype" w:hAnsi="Palatino Linotype"/>
        </w:rPr>
        <w:t>Titular de la Unidad de Transparencia</w:t>
      </w:r>
      <w:r w:rsidR="00110526" w:rsidRPr="00A86B05">
        <w:rPr>
          <w:rFonts w:ascii="Palatino Linotype" w:hAnsi="Palatino Linotype"/>
        </w:rPr>
        <w:t xml:space="preserve"> del Sujeto Obligado, mediante el cual informa a este Instituto medularmente que,</w:t>
      </w:r>
      <w:r w:rsidRPr="00A86B05">
        <w:rPr>
          <w:rFonts w:ascii="Palatino Linotype" w:hAnsi="Palatino Linotype"/>
          <w:lang w:val="es-MX"/>
        </w:rPr>
        <w:t xml:space="preserve"> debido a fallas en el Sistema SAIMEX esa Unidad quedo imposibilitada de aprobar la prorroga remitida en él sistema y a su vez reporto la falla mediante correo electrónico dirigido a la Dirección de Informática del INFOEM; sin embargo, de acuerdo con las funciones que le atribuyen a esa Unidad de Transparencia, se tuvo a bien garantizar que la solicitud se turnara al área competente y que cuente con la información o deban tenerla de acuerdo a sus facultades, competencias y funciones, con el objeto de que realice una búsqueda exhaustiva y razonable de la información solicitada, </w:t>
      </w:r>
      <w:r w:rsidR="00A86B05">
        <w:rPr>
          <w:rFonts w:ascii="Palatino Linotype" w:hAnsi="Palatino Linotype"/>
          <w:lang w:val="es-MX"/>
        </w:rPr>
        <w:t xml:space="preserve">por lo que </w:t>
      </w:r>
      <w:r w:rsidR="00A86B05" w:rsidRPr="00A86B05">
        <w:rPr>
          <w:rFonts w:ascii="Palatino Linotype" w:hAnsi="Palatino Linotype"/>
          <w:lang w:val="es-MX"/>
        </w:rPr>
        <w:t>se hace entrega de la respuesta a la solicitud de información</w:t>
      </w:r>
      <w:r w:rsidR="00A86B05">
        <w:rPr>
          <w:rFonts w:ascii="Palatino Linotype" w:hAnsi="Palatino Linotype"/>
          <w:lang w:val="es-MX"/>
        </w:rPr>
        <w:t xml:space="preserve"> </w:t>
      </w:r>
      <w:r w:rsidR="00A86B05" w:rsidRPr="00A86B05">
        <w:rPr>
          <w:rFonts w:ascii="Palatino Linotype" w:hAnsi="Palatino Linotype"/>
          <w:lang w:val="es-MX"/>
        </w:rPr>
        <w:t>de mérito, toda vez que, se le entrega lo que obra de acuerdo a lo requerido en la</w:t>
      </w:r>
      <w:r w:rsidR="00A86B05">
        <w:rPr>
          <w:rFonts w:ascii="Palatino Linotype" w:hAnsi="Palatino Linotype"/>
          <w:lang w:val="es-MX"/>
        </w:rPr>
        <w:t xml:space="preserve"> </w:t>
      </w:r>
      <w:r w:rsidR="00A86B05" w:rsidRPr="00A86B05">
        <w:rPr>
          <w:rFonts w:ascii="Palatino Linotype" w:hAnsi="Palatino Linotype"/>
          <w:lang w:val="es-MX"/>
        </w:rPr>
        <w:t xml:space="preserve">solicitud de acceso a la </w:t>
      </w:r>
      <w:r w:rsidR="00A86B05" w:rsidRPr="00A86B05">
        <w:rPr>
          <w:rFonts w:ascii="Palatino Linotype" w:hAnsi="Palatino Linotype"/>
          <w:lang w:val="es-MX"/>
        </w:rPr>
        <w:lastRenderedPageBreak/>
        <w:t>información pública, en atención a lo manifestado por el</w:t>
      </w:r>
      <w:r w:rsidR="00A86B05">
        <w:rPr>
          <w:rFonts w:ascii="Palatino Linotype" w:hAnsi="Palatino Linotype"/>
          <w:lang w:val="es-MX"/>
        </w:rPr>
        <w:t xml:space="preserve"> </w:t>
      </w:r>
      <w:r w:rsidR="00A86B05" w:rsidRPr="00A86B05">
        <w:rPr>
          <w:rFonts w:ascii="Palatino Linotype" w:hAnsi="Palatino Linotype"/>
          <w:lang w:val="es-MX"/>
        </w:rPr>
        <w:t>Servidor Público Habilitado Competente, cumpliendo con el principio de legalidad y</w:t>
      </w:r>
      <w:r w:rsidR="00A86B05">
        <w:rPr>
          <w:rFonts w:ascii="Palatino Linotype" w:hAnsi="Palatino Linotype"/>
          <w:lang w:val="es-MX"/>
        </w:rPr>
        <w:t xml:space="preserve"> </w:t>
      </w:r>
      <w:r w:rsidR="00A86B05" w:rsidRPr="00A86B05">
        <w:rPr>
          <w:rFonts w:ascii="Palatino Linotype" w:hAnsi="Palatino Linotype"/>
          <w:lang w:val="es-MX"/>
        </w:rPr>
        <w:t>el derecho de acceso a la información pública.</w:t>
      </w:r>
    </w:p>
    <w:p w14:paraId="5534DEA1" w14:textId="77777777" w:rsidR="00285EC4" w:rsidRPr="00604E50" w:rsidRDefault="00285EC4" w:rsidP="0033318C">
      <w:pPr>
        <w:spacing w:line="360" w:lineRule="auto"/>
        <w:jc w:val="both"/>
        <w:rPr>
          <w:rFonts w:ascii="Palatino Linotype" w:eastAsia="Palatino Linotype" w:hAnsi="Palatino Linotype" w:cs="Palatino Linotype"/>
          <w:bCs/>
          <w:u w:val="single"/>
          <w:lang w:eastAsia="es-MX"/>
        </w:rPr>
      </w:pPr>
    </w:p>
    <w:p w14:paraId="34B9FA8C"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val="es-MX" w:eastAsia="en-US"/>
        </w:rPr>
      </w:pPr>
      <w:r w:rsidRPr="00A86B05">
        <w:rPr>
          <w:rFonts w:ascii="Palatino Linotype" w:eastAsia="Calibri" w:hAnsi="Palatino Linotype" w:cs="Tahoma"/>
          <w:color w:val="000000"/>
          <w:szCs w:val="28"/>
          <w:lang w:val="es-MX" w:eastAsia="en-US"/>
        </w:rPr>
        <w:t>Cabe señalar que el Recurrente no realizó manifestaciones, vertió alegatos o presentó pruebas que a su derecho convinieran durante la etapa de instrucción; del mismo modo, no emitió pronunciamiento alguno respecto de los documentos rendidos vía Informe Justificado.</w:t>
      </w:r>
    </w:p>
    <w:p w14:paraId="06FF8449" w14:textId="77777777" w:rsidR="00A86B05" w:rsidRPr="00A86B05" w:rsidRDefault="00A86B05" w:rsidP="00C60284">
      <w:pPr>
        <w:spacing w:line="360" w:lineRule="auto"/>
        <w:contextualSpacing/>
        <w:jc w:val="both"/>
        <w:rPr>
          <w:rFonts w:ascii="Palatino Linotype" w:eastAsia="Calibri" w:hAnsi="Palatino Linotype" w:cs="Tahoma"/>
          <w:color w:val="000000"/>
          <w:szCs w:val="28"/>
          <w:lang w:val="es-MX" w:eastAsia="en-US"/>
        </w:rPr>
      </w:pPr>
    </w:p>
    <w:p w14:paraId="7C75678B" w14:textId="0C3C7340" w:rsidR="00D7619A" w:rsidRDefault="00A86B05" w:rsidP="00D7619A">
      <w:pPr>
        <w:spacing w:line="360" w:lineRule="auto"/>
        <w:contextualSpacing/>
        <w:jc w:val="both"/>
        <w:rPr>
          <w:rFonts w:ascii="Palatino Linotype" w:eastAsia="Calibri" w:hAnsi="Palatino Linotype" w:cs="Tahoma"/>
          <w:color w:val="000000"/>
          <w:szCs w:val="28"/>
          <w:lang w:val="es-MX" w:eastAsia="en-US"/>
        </w:rPr>
      </w:pPr>
      <w:r w:rsidRPr="00A86B05">
        <w:rPr>
          <w:rFonts w:ascii="Palatino Linotype" w:eastAsia="Calibri" w:hAnsi="Palatino Linotype" w:cs="Tahoma"/>
          <w:color w:val="000000"/>
          <w:szCs w:val="28"/>
          <w:lang w:eastAsia="en-US"/>
        </w:rPr>
        <w:t xml:space="preserve">Ahora bien, tomando en cuenta que la solicitud del </w:t>
      </w:r>
      <w:r w:rsidRPr="00A86B05">
        <w:rPr>
          <w:rFonts w:ascii="Palatino Linotype" w:eastAsia="Calibri" w:hAnsi="Palatino Linotype" w:cs="Tahoma"/>
          <w:b/>
          <w:bCs/>
          <w:color w:val="000000"/>
          <w:szCs w:val="28"/>
          <w:lang w:eastAsia="en-US"/>
        </w:rPr>
        <w:t xml:space="preserve">Recurrente </w:t>
      </w:r>
      <w:r w:rsidRPr="00A86B05">
        <w:rPr>
          <w:rFonts w:ascii="Palatino Linotype" w:eastAsia="Calibri" w:hAnsi="Palatino Linotype" w:cs="Tahoma"/>
          <w:color w:val="000000"/>
          <w:szCs w:val="28"/>
          <w:lang w:eastAsia="en-US"/>
        </w:rPr>
        <w:t xml:space="preserve">consiste en que el Sujeto Obligado le proporcionara </w:t>
      </w:r>
      <w:r w:rsidR="00D7619A">
        <w:rPr>
          <w:rFonts w:ascii="Palatino Linotype" w:eastAsia="Calibri" w:hAnsi="Palatino Linotype" w:cs="Tahoma"/>
          <w:color w:val="000000"/>
          <w:szCs w:val="28"/>
          <w:lang w:eastAsia="en-US"/>
        </w:rPr>
        <w:t xml:space="preserve">las </w:t>
      </w:r>
      <w:r w:rsidR="00D7619A" w:rsidRPr="00D7619A">
        <w:rPr>
          <w:rFonts w:ascii="Palatino Linotype" w:eastAsia="Calibri" w:hAnsi="Palatino Linotype" w:cs="Tahoma"/>
          <w:color w:val="000000"/>
          <w:szCs w:val="28"/>
          <w:lang w:eastAsia="en-US"/>
        </w:rPr>
        <w:t>Resoluciones que recibió la Unidad de Transparencia en abril 2020</w:t>
      </w:r>
      <w:r w:rsidRPr="00A86B05">
        <w:rPr>
          <w:rFonts w:ascii="Palatino Linotype" w:eastAsia="Calibri" w:hAnsi="Palatino Linotype" w:cs="Tahoma"/>
          <w:color w:val="000000"/>
          <w:szCs w:val="28"/>
          <w:lang w:eastAsia="en-US"/>
        </w:rPr>
        <w:t xml:space="preserve">; </w:t>
      </w:r>
      <w:r w:rsidR="00D7619A">
        <w:rPr>
          <w:rFonts w:ascii="Palatino Linotype" w:eastAsia="Calibri" w:hAnsi="Palatino Linotype" w:cs="Tahoma"/>
          <w:color w:val="000000"/>
          <w:szCs w:val="28"/>
          <w:lang w:eastAsia="en-US"/>
        </w:rPr>
        <w:t>es preciso recordar que el Sujeto Obligado a través d</w:t>
      </w:r>
      <w:r w:rsidR="00D7619A" w:rsidRPr="00D7619A">
        <w:rPr>
          <w:rFonts w:ascii="Palatino Linotype" w:eastAsia="Calibri" w:hAnsi="Palatino Linotype" w:cs="Tahoma"/>
          <w:color w:val="000000"/>
          <w:szCs w:val="28"/>
          <w:lang w:eastAsia="en-US"/>
        </w:rPr>
        <w:t>el</w:t>
      </w:r>
      <w:r w:rsidR="00D7619A">
        <w:rPr>
          <w:rFonts w:ascii="Palatino Linotype" w:eastAsia="Calibri" w:hAnsi="Palatino Linotype" w:cs="Tahoma"/>
          <w:color w:val="000000"/>
          <w:szCs w:val="28"/>
          <w:lang w:eastAsia="en-US"/>
        </w:rPr>
        <w:t xml:space="preserve"> </w:t>
      </w:r>
      <w:r w:rsidR="00D7619A" w:rsidRPr="00D7619A">
        <w:rPr>
          <w:rFonts w:ascii="Palatino Linotype" w:eastAsia="Calibri" w:hAnsi="Palatino Linotype" w:cs="Tahoma"/>
          <w:color w:val="000000"/>
          <w:szCs w:val="28"/>
          <w:lang w:val="es-MX" w:eastAsia="en-US"/>
        </w:rPr>
        <w:t>Titular de la Unidad de Transparencia</w:t>
      </w:r>
      <w:r w:rsidR="00D7619A">
        <w:rPr>
          <w:rFonts w:ascii="Palatino Linotype" w:eastAsia="Calibri" w:hAnsi="Palatino Linotype" w:cs="Tahoma"/>
          <w:color w:val="000000"/>
          <w:szCs w:val="28"/>
          <w:lang w:val="es-MX" w:eastAsia="en-US"/>
        </w:rPr>
        <w:t>, informó que</w:t>
      </w:r>
      <w:r w:rsidR="00D7619A" w:rsidRPr="00D7619A">
        <w:rPr>
          <w:rFonts w:ascii="Palatino Linotype" w:eastAsia="Calibri" w:hAnsi="Palatino Linotype" w:cs="Tahoma"/>
          <w:color w:val="000000"/>
          <w:szCs w:val="28"/>
          <w:lang w:val="es-MX" w:eastAsia="en-US"/>
        </w:rPr>
        <w:t xml:space="preserve"> después de realizar una búsqueda exhaustiva y minuciosa dentro del Sistema SAIMEX </w:t>
      </w:r>
      <w:r w:rsidR="00D7619A" w:rsidRPr="00D7619A">
        <w:rPr>
          <w:rFonts w:ascii="Palatino Linotype" w:eastAsia="Calibri" w:hAnsi="Palatino Linotype" w:cs="Tahoma"/>
          <w:b/>
          <w:bCs/>
          <w:color w:val="000000"/>
          <w:szCs w:val="28"/>
          <w:u w:val="single"/>
          <w:lang w:val="es-MX" w:eastAsia="en-US"/>
        </w:rPr>
        <w:t>no encontraron resoluciones emitidas por el INFOEM en el mes de abril del año dos mil veinte</w:t>
      </w:r>
      <w:r w:rsidR="00D7619A" w:rsidRPr="00D7619A">
        <w:rPr>
          <w:rFonts w:ascii="Palatino Linotype" w:eastAsia="Calibri" w:hAnsi="Palatino Linotype" w:cs="Tahoma"/>
          <w:color w:val="000000"/>
          <w:szCs w:val="28"/>
          <w:lang w:val="es-MX" w:eastAsia="en-US"/>
        </w:rPr>
        <w:t>, a esta Unidad, por no haberse generado, poseído o administrado.</w:t>
      </w:r>
    </w:p>
    <w:p w14:paraId="0D13F83E" w14:textId="77777777" w:rsidR="00D7619A" w:rsidRDefault="00D7619A" w:rsidP="00D7619A">
      <w:pPr>
        <w:spacing w:line="360" w:lineRule="auto"/>
        <w:contextualSpacing/>
        <w:jc w:val="both"/>
        <w:rPr>
          <w:rFonts w:ascii="Palatino Linotype" w:eastAsia="Calibri" w:hAnsi="Palatino Linotype" w:cs="Tahoma"/>
          <w:color w:val="000000"/>
          <w:szCs w:val="28"/>
          <w:lang w:val="es-MX" w:eastAsia="en-US"/>
        </w:rPr>
      </w:pPr>
    </w:p>
    <w:p w14:paraId="6A44BB90" w14:textId="78EA962D" w:rsidR="00D7619A" w:rsidRDefault="00D7619A" w:rsidP="00D7619A">
      <w:pPr>
        <w:autoSpaceDE w:val="0"/>
        <w:autoSpaceDN w:val="0"/>
        <w:adjustRightInd w:val="0"/>
        <w:spacing w:line="360" w:lineRule="auto"/>
        <w:jc w:val="both"/>
        <w:rPr>
          <w:rFonts w:ascii="Palatino Linotype" w:hAnsi="Palatino Linotype" w:cs="Arial"/>
        </w:rPr>
      </w:pPr>
      <w:r>
        <w:rPr>
          <w:rFonts w:ascii="Palatino Linotype" w:hAnsi="Palatino Linotype" w:cs="Arial"/>
        </w:rPr>
        <w:t>Por lo que una vez analizada</w:t>
      </w:r>
      <w:r w:rsidRPr="00C4280E">
        <w:rPr>
          <w:rFonts w:ascii="Palatino Linotype" w:hAnsi="Palatino Linotype" w:cs="Arial"/>
        </w:rPr>
        <w:t xml:space="preserve"> la información que proporcionó El Sujeto Obligado en Informe Justificado, se estima que esta colmó los requerimientos originales formulados por el solicitante,</w:t>
      </w:r>
      <w:r>
        <w:rPr>
          <w:rFonts w:ascii="Palatino Linotype" w:hAnsi="Palatino Linotype" w:cs="Arial"/>
        </w:rPr>
        <w:t xml:space="preserve"> informando que en el periodo solicitado no se encontraron Resoluciones notificadas por este Instituto a la Unidad de Transparencia.</w:t>
      </w:r>
    </w:p>
    <w:p w14:paraId="69DC85FC" w14:textId="77777777" w:rsidR="00D7619A" w:rsidRDefault="00D7619A" w:rsidP="00D7619A">
      <w:pPr>
        <w:autoSpaceDE w:val="0"/>
        <w:autoSpaceDN w:val="0"/>
        <w:adjustRightInd w:val="0"/>
        <w:spacing w:line="360" w:lineRule="auto"/>
        <w:jc w:val="both"/>
        <w:rPr>
          <w:rFonts w:ascii="Palatino Linotype" w:hAnsi="Palatino Linotype" w:cs="Arial"/>
        </w:rPr>
      </w:pPr>
    </w:p>
    <w:p w14:paraId="4C0D0C5B" w14:textId="567D9E6A" w:rsidR="00D7619A" w:rsidRPr="002F4DA2" w:rsidRDefault="00D7619A" w:rsidP="00D7619A">
      <w:pPr>
        <w:autoSpaceDE w:val="0"/>
        <w:autoSpaceDN w:val="0"/>
        <w:adjustRightInd w:val="0"/>
        <w:spacing w:line="360" w:lineRule="auto"/>
        <w:jc w:val="both"/>
        <w:rPr>
          <w:rFonts w:ascii="Palatino Linotype" w:hAnsi="Palatino Linotype" w:cs="Arial"/>
        </w:rPr>
      </w:pPr>
      <w:r w:rsidRPr="002F4DA2">
        <w:rPr>
          <w:rFonts w:ascii="Palatino Linotype" w:hAnsi="Palatino Linotype" w:cs="Arial"/>
        </w:rPr>
        <w:t xml:space="preserve">Precisado lo anterior, resulta oportuno señalar el contenido </w:t>
      </w:r>
      <w:r>
        <w:rPr>
          <w:rFonts w:ascii="Palatino Linotype" w:hAnsi="Palatino Linotype" w:cs="Arial"/>
        </w:rPr>
        <w:t>de la fracción IX del artículo 53 de la</w:t>
      </w:r>
      <w:r w:rsidRPr="00D7619A">
        <w:rPr>
          <w:rFonts w:ascii="Palatino Linotype" w:hAnsi="Palatino Linotype" w:cs="Arial"/>
        </w:rPr>
        <w:t xml:space="preserve"> </w:t>
      </w:r>
      <w:r w:rsidRPr="00604E50">
        <w:rPr>
          <w:rFonts w:ascii="Palatino Linotype" w:hAnsi="Palatino Linotype" w:cs="Arial"/>
        </w:rPr>
        <w:t>Ley de Transparencia y Acceso a la Información Pública del Estado de México y Municipios</w:t>
      </w:r>
      <w:r>
        <w:rPr>
          <w:rFonts w:ascii="Palatino Linotype" w:hAnsi="Palatino Linotype" w:cs="Arial"/>
        </w:rPr>
        <w:t>, que</w:t>
      </w:r>
      <w:r w:rsidRPr="002F4DA2">
        <w:rPr>
          <w:rFonts w:ascii="Palatino Linotype" w:hAnsi="Palatino Linotype" w:cs="Arial"/>
        </w:rPr>
        <w:t xml:space="preserve"> señala lo siguiente: </w:t>
      </w:r>
    </w:p>
    <w:p w14:paraId="2B9FE9E8" w14:textId="77777777" w:rsidR="00D7619A" w:rsidRPr="002F4DA2" w:rsidRDefault="00D7619A" w:rsidP="00D7619A">
      <w:pPr>
        <w:autoSpaceDE w:val="0"/>
        <w:autoSpaceDN w:val="0"/>
        <w:adjustRightInd w:val="0"/>
        <w:spacing w:line="360" w:lineRule="auto"/>
        <w:jc w:val="both"/>
        <w:rPr>
          <w:rFonts w:ascii="Palatino Linotype" w:hAnsi="Palatino Linotype" w:cs="Arial"/>
        </w:rPr>
      </w:pPr>
    </w:p>
    <w:p w14:paraId="4AFAE424" w14:textId="77777777" w:rsidR="00D7619A" w:rsidRPr="00D7619A" w:rsidRDefault="00D7619A" w:rsidP="00D7619A">
      <w:pPr>
        <w:pStyle w:val="Prrafodelista"/>
        <w:autoSpaceDE w:val="0"/>
        <w:autoSpaceDN w:val="0"/>
        <w:adjustRightInd w:val="0"/>
        <w:ind w:left="1211" w:right="851"/>
        <w:jc w:val="both"/>
        <w:rPr>
          <w:rFonts w:ascii="Palatino Linotype" w:eastAsiaTheme="minorHAnsi" w:hAnsi="Palatino Linotype" w:cs="Arial"/>
          <w:b/>
          <w:i/>
          <w:sz w:val="22"/>
          <w:szCs w:val="22"/>
          <w:lang w:val="es-MX" w:eastAsia="en-US"/>
        </w:rPr>
      </w:pPr>
      <w:r w:rsidRPr="00D7619A">
        <w:rPr>
          <w:rFonts w:ascii="Palatino Linotype" w:eastAsiaTheme="minorHAnsi" w:hAnsi="Palatino Linotype" w:cs="Arial"/>
          <w:b/>
          <w:bCs/>
          <w:i/>
          <w:sz w:val="22"/>
          <w:szCs w:val="22"/>
          <w:lang w:val="es-MX" w:eastAsia="en-US"/>
        </w:rPr>
        <w:t xml:space="preserve">Artículo 53. </w:t>
      </w:r>
      <w:r w:rsidRPr="00D7619A">
        <w:rPr>
          <w:rFonts w:ascii="Palatino Linotype" w:eastAsiaTheme="minorHAnsi" w:hAnsi="Palatino Linotype" w:cs="Arial"/>
          <w:bCs/>
          <w:i/>
          <w:sz w:val="22"/>
          <w:szCs w:val="22"/>
          <w:lang w:val="es-MX" w:eastAsia="en-US"/>
        </w:rPr>
        <w:t>Las Unidades de Transparencia tendrán las siguientes funciones</w:t>
      </w:r>
      <w:r w:rsidRPr="00D7619A">
        <w:rPr>
          <w:rFonts w:ascii="Palatino Linotype" w:eastAsiaTheme="minorHAnsi" w:hAnsi="Palatino Linotype" w:cs="Arial"/>
          <w:b/>
          <w:i/>
          <w:sz w:val="22"/>
          <w:szCs w:val="22"/>
          <w:lang w:val="es-MX" w:eastAsia="en-US"/>
        </w:rPr>
        <w:t>:</w:t>
      </w:r>
    </w:p>
    <w:p w14:paraId="30DD43DF" w14:textId="30C5280B" w:rsidR="00D7619A" w:rsidRPr="008C6E34" w:rsidRDefault="00D7619A" w:rsidP="00D7619A">
      <w:pPr>
        <w:pStyle w:val="Prrafodelista"/>
        <w:autoSpaceDE w:val="0"/>
        <w:autoSpaceDN w:val="0"/>
        <w:adjustRightInd w:val="0"/>
        <w:ind w:left="1211" w:right="851"/>
        <w:jc w:val="both"/>
        <w:rPr>
          <w:rFonts w:ascii="Palatino Linotype" w:hAnsi="Palatino Linotype" w:cs="Arial"/>
          <w:i/>
        </w:rPr>
      </w:pPr>
      <w:r>
        <w:rPr>
          <w:rFonts w:ascii="Palatino Linotype" w:eastAsiaTheme="minorHAnsi" w:hAnsi="Palatino Linotype" w:cs="Arial"/>
          <w:i/>
          <w:sz w:val="22"/>
          <w:szCs w:val="22"/>
          <w:lang w:val="es-MX" w:eastAsia="en-US"/>
        </w:rPr>
        <w:t>(…)</w:t>
      </w:r>
      <w:r w:rsidRPr="008C6E34">
        <w:rPr>
          <w:rFonts w:ascii="Palatino Linotype" w:eastAsiaTheme="minorHAnsi" w:hAnsi="Palatino Linotype" w:cs="Arial"/>
          <w:i/>
          <w:sz w:val="22"/>
          <w:szCs w:val="22"/>
          <w:lang w:val="es-MX" w:eastAsia="en-US"/>
        </w:rPr>
        <w:t xml:space="preserve"> </w:t>
      </w:r>
    </w:p>
    <w:p w14:paraId="0C4924BA" w14:textId="547201CE" w:rsidR="00D7619A" w:rsidRPr="00D7619A" w:rsidRDefault="00D7619A" w:rsidP="00D7619A">
      <w:pPr>
        <w:pStyle w:val="Prrafodelista"/>
        <w:autoSpaceDE w:val="0"/>
        <w:autoSpaceDN w:val="0"/>
        <w:adjustRightInd w:val="0"/>
        <w:ind w:left="1211" w:right="851"/>
        <w:jc w:val="both"/>
        <w:rPr>
          <w:rFonts w:ascii="Palatino Linotype" w:eastAsiaTheme="minorHAnsi" w:hAnsi="Palatino Linotype" w:cs="Arial"/>
          <w:i/>
          <w:sz w:val="22"/>
          <w:szCs w:val="22"/>
          <w:lang w:val="es-MX" w:eastAsia="en-US"/>
        </w:rPr>
      </w:pPr>
      <w:r w:rsidRPr="00D7619A">
        <w:rPr>
          <w:rFonts w:ascii="Palatino Linotype" w:eastAsiaTheme="minorHAnsi" w:hAnsi="Palatino Linotype" w:cs="Arial"/>
          <w:b/>
          <w:bCs/>
          <w:i/>
          <w:sz w:val="22"/>
          <w:szCs w:val="22"/>
          <w:lang w:val="es-MX" w:eastAsia="en-US"/>
        </w:rPr>
        <w:t>IX. Llevar un registro de las</w:t>
      </w:r>
      <w:r w:rsidRPr="00D7619A">
        <w:rPr>
          <w:rFonts w:ascii="Palatino Linotype" w:eastAsiaTheme="minorHAnsi" w:hAnsi="Palatino Linotype" w:cs="Arial"/>
          <w:i/>
          <w:sz w:val="22"/>
          <w:szCs w:val="22"/>
          <w:lang w:val="es-MX" w:eastAsia="en-US"/>
        </w:rPr>
        <w:t xml:space="preserve"> solicitudes de acceso a la información, sus respuestas, resultados, costos</w:t>
      </w:r>
      <w:r>
        <w:rPr>
          <w:rFonts w:ascii="Palatino Linotype" w:eastAsiaTheme="minorHAnsi" w:hAnsi="Palatino Linotype" w:cs="Arial"/>
          <w:i/>
          <w:sz w:val="22"/>
          <w:szCs w:val="22"/>
          <w:lang w:val="es-MX" w:eastAsia="en-US"/>
        </w:rPr>
        <w:t xml:space="preserve"> </w:t>
      </w:r>
      <w:r w:rsidRPr="00D7619A">
        <w:rPr>
          <w:rFonts w:ascii="Palatino Linotype" w:eastAsiaTheme="minorHAnsi" w:hAnsi="Palatino Linotype" w:cs="Arial"/>
          <w:i/>
          <w:sz w:val="22"/>
          <w:szCs w:val="22"/>
          <w:lang w:val="es-MX" w:eastAsia="en-US"/>
        </w:rPr>
        <w:t xml:space="preserve">de reproducción y envío, </w:t>
      </w:r>
      <w:r w:rsidRPr="00D7619A">
        <w:rPr>
          <w:rFonts w:ascii="Palatino Linotype" w:eastAsiaTheme="minorHAnsi" w:hAnsi="Palatino Linotype" w:cs="Arial"/>
          <w:b/>
          <w:bCs/>
          <w:i/>
          <w:sz w:val="22"/>
          <w:szCs w:val="22"/>
          <w:lang w:val="es-MX" w:eastAsia="en-US"/>
        </w:rPr>
        <w:t>resolución a los recursos de revisión que se hayan emitido en contra de sus respuestas y del cumplimiento de las mismas</w:t>
      </w:r>
      <w:r w:rsidRPr="00D7619A">
        <w:rPr>
          <w:rFonts w:ascii="Palatino Linotype" w:eastAsiaTheme="minorHAnsi" w:hAnsi="Palatino Linotype" w:cs="Arial"/>
          <w:i/>
          <w:sz w:val="22"/>
          <w:szCs w:val="22"/>
          <w:lang w:val="es-MX" w:eastAsia="en-US"/>
        </w:rPr>
        <w:t>;</w:t>
      </w:r>
    </w:p>
    <w:p w14:paraId="0BFD4620" w14:textId="77777777" w:rsidR="00D7619A" w:rsidRDefault="00D7619A" w:rsidP="00D7619A">
      <w:pPr>
        <w:pStyle w:val="Prrafodelista"/>
        <w:autoSpaceDE w:val="0"/>
        <w:autoSpaceDN w:val="0"/>
        <w:adjustRightInd w:val="0"/>
        <w:ind w:left="1211" w:right="851"/>
        <w:jc w:val="both"/>
        <w:rPr>
          <w:rFonts w:ascii="Palatino Linotype" w:eastAsiaTheme="minorHAnsi" w:hAnsi="Palatino Linotype" w:cs="Arial"/>
          <w:i/>
          <w:sz w:val="22"/>
          <w:szCs w:val="22"/>
          <w:lang w:val="es-MX" w:eastAsia="en-US"/>
        </w:rPr>
      </w:pPr>
      <w:r>
        <w:rPr>
          <w:rFonts w:ascii="Palatino Linotype" w:eastAsiaTheme="minorHAnsi" w:hAnsi="Palatino Linotype" w:cs="Arial"/>
          <w:i/>
          <w:sz w:val="22"/>
          <w:szCs w:val="22"/>
          <w:lang w:val="es-MX" w:eastAsia="en-US"/>
        </w:rPr>
        <w:t>(…)</w:t>
      </w:r>
    </w:p>
    <w:p w14:paraId="18EA012F" w14:textId="77777777" w:rsidR="00D7619A" w:rsidRPr="002F4DA2" w:rsidRDefault="00D7619A" w:rsidP="00D7619A">
      <w:pPr>
        <w:autoSpaceDE w:val="0"/>
        <w:autoSpaceDN w:val="0"/>
        <w:adjustRightInd w:val="0"/>
        <w:ind w:left="851" w:right="851"/>
        <w:jc w:val="both"/>
        <w:rPr>
          <w:rFonts w:ascii="Palatino Linotype" w:hAnsi="Palatino Linotype" w:cs="Arial"/>
          <w:i/>
        </w:rPr>
      </w:pPr>
    </w:p>
    <w:p w14:paraId="00F61AF9" w14:textId="5FE45095" w:rsidR="00D7619A" w:rsidRDefault="00D7619A" w:rsidP="00E97E9C">
      <w:pPr>
        <w:autoSpaceDE w:val="0"/>
        <w:autoSpaceDN w:val="0"/>
        <w:adjustRightInd w:val="0"/>
        <w:spacing w:line="360" w:lineRule="auto"/>
        <w:jc w:val="both"/>
        <w:rPr>
          <w:rFonts w:ascii="Palatino Linotype" w:hAnsi="Palatino Linotype" w:cs="Arial"/>
        </w:rPr>
      </w:pPr>
      <w:r w:rsidRPr="002F4DA2">
        <w:rPr>
          <w:rFonts w:ascii="Palatino Linotype" w:hAnsi="Palatino Linotype" w:cs="Arial"/>
        </w:rPr>
        <w:t>De los preceptos referidos con anterioridad podemos a</w:t>
      </w:r>
      <w:r>
        <w:rPr>
          <w:rFonts w:ascii="Palatino Linotype" w:hAnsi="Palatino Linotype" w:cs="Arial"/>
        </w:rPr>
        <w:t>dvertir que, le corresponde a la Unidad de Transparencia el llevar un registro de las resoluciones</w:t>
      </w:r>
      <w:r w:rsidR="00E97E9C">
        <w:rPr>
          <w:rFonts w:ascii="Palatino Linotype" w:hAnsi="Palatino Linotype" w:cs="Arial"/>
        </w:rPr>
        <w:t xml:space="preserve"> de los recursos de revisión interpuestos en contra de las respuestas emitidas por el Sujeto Obligado</w:t>
      </w:r>
      <w:r>
        <w:rPr>
          <w:rFonts w:ascii="Palatino Linotype" w:hAnsi="Palatino Linotype" w:cs="Arial"/>
        </w:rPr>
        <w:t xml:space="preserve"> </w:t>
      </w:r>
      <w:r w:rsidR="00E97E9C">
        <w:rPr>
          <w:rFonts w:ascii="Palatino Linotype" w:hAnsi="Palatino Linotype" w:cs="Arial"/>
        </w:rPr>
        <w:t>notificadas por este Instituto</w:t>
      </w:r>
      <w:r>
        <w:rPr>
          <w:rFonts w:ascii="Palatino Linotype" w:hAnsi="Palatino Linotype" w:cs="Arial"/>
        </w:rPr>
        <w:t xml:space="preserve">, </w:t>
      </w:r>
      <w:r w:rsidRPr="002F4DA2">
        <w:rPr>
          <w:rFonts w:ascii="Palatino Linotype" w:hAnsi="Palatino Linotype" w:cs="Arial"/>
        </w:rPr>
        <w:t>atento a ello, se colige que</w:t>
      </w:r>
      <w:r>
        <w:rPr>
          <w:rFonts w:ascii="Palatino Linotype" w:hAnsi="Palatino Linotype" w:cs="Arial"/>
        </w:rPr>
        <w:t xml:space="preserve"> dicha Unidad Administrativa es competente de conocer la información solicitada.</w:t>
      </w:r>
    </w:p>
    <w:p w14:paraId="4FFD8BA5" w14:textId="77777777" w:rsidR="00E97E9C" w:rsidRDefault="00E97E9C" w:rsidP="00E97E9C">
      <w:pPr>
        <w:autoSpaceDE w:val="0"/>
        <w:autoSpaceDN w:val="0"/>
        <w:adjustRightInd w:val="0"/>
        <w:spacing w:line="360" w:lineRule="auto"/>
        <w:jc w:val="both"/>
        <w:rPr>
          <w:rFonts w:ascii="Palatino Linotype" w:hAnsi="Palatino Linotype" w:cs="Arial"/>
        </w:rPr>
      </w:pPr>
    </w:p>
    <w:p w14:paraId="6963C0C1" w14:textId="77777777" w:rsidR="00647342" w:rsidRDefault="00E97E9C" w:rsidP="00E97E9C">
      <w:p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Aunado a ello, es preciso recordar, que </w:t>
      </w:r>
      <w:r w:rsidRPr="00E97E9C">
        <w:rPr>
          <w:rFonts w:ascii="Palatino Linotype" w:hAnsi="Palatino Linotype" w:cs="Arial"/>
        </w:rPr>
        <w:t xml:space="preserve">el 23 de marzo de 2020, se publicó en el Periódico Oficial "Gaceta del Gobierno" del Estado de México, el Acuerdo mediante el cual el Pleno del Instituto de Transparencia, Acceso a la Información Pública y Protección de Datos Personales del Estado de México y Municipios, </w:t>
      </w:r>
      <w:r w:rsidRPr="00E97E9C">
        <w:rPr>
          <w:rFonts w:ascii="Palatino Linotype" w:hAnsi="Palatino Linotype" w:cs="Arial"/>
          <w:b/>
          <w:bCs/>
          <w:u w:val="single"/>
        </w:rPr>
        <w:t>suspendió los plazos para el trámite y desahogo de los procedimientos establecidos en la Ley de Transparencia y Acceso a la Información Pública del Estado de México y Municipios y la Ley de Protección de Datos Personales en Posesión de Sujetos Obligados del Estado de México y Municipios</w:t>
      </w:r>
      <w:r w:rsidRPr="00E97E9C">
        <w:rPr>
          <w:rFonts w:ascii="Palatino Linotype" w:hAnsi="Palatino Linotype" w:cs="Arial"/>
        </w:rPr>
        <w:t>, a partir del 23 de marzo y hasta el 17 de abril de 2020, ante la situación del COVID-19 virus</w:t>
      </w:r>
      <w:r>
        <w:rPr>
          <w:rFonts w:ascii="Palatino Linotype" w:hAnsi="Palatino Linotype" w:cs="Arial"/>
        </w:rPr>
        <w:t>, mismo que, mediante acuerdo similar, se amplió la suspensión, hasta el 30 de abril de 2020</w:t>
      </w:r>
      <w:r w:rsidR="00647342">
        <w:rPr>
          <w:rFonts w:ascii="Palatino Linotype" w:hAnsi="Palatino Linotype" w:cs="Arial"/>
        </w:rPr>
        <w:t xml:space="preserve">, suspendiendo así, las Sesiones Ordinarias del Pleno de este Instituto conforme a lo siguiente: </w:t>
      </w:r>
    </w:p>
    <w:p w14:paraId="53B2F086" w14:textId="77777777" w:rsidR="00647342" w:rsidRDefault="00647342" w:rsidP="00E97E9C">
      <w:pPr>
        <w:autoSpaceDE w:val="0"/>
        <w:autoSpaceDN w:val="0"/>
        <w:adjustRightInd w:val="0"/>
        <w:spacing w:line="360" w:lineRule="auto"/>
        <w:jc w:val="both"/>
        <w:rPr>
          <w:rFonts w:ascii="Palatino Linotype" w:hAnsi="Palatino Linotype" w:cs="Arial"/>
        </w:rPr>
      </w:pPr>
    </w:p>
    <w:p w14:paraId="3CA0BFE9" w14:textId="77777777" w:rsidR="00647342" w:rsidRDefault="00647342" w:rsidP="00E97E9C">
      <w:pPr>
        <w:autoSpaceDE w:val="0"/>
        <w:autoSpaceDN w:val="0"/>
        <w:adjustRightInd w:val="0"/>
        <w:spacing w:line="360" w:lineRule="auto"/>
        <w:jc w:val="both"/>
        <w:rPr>
          <w:rFonts w:ascii="Palatino Linotype" w:hAnsi="Palatino Linotype" w:cs="Arial"/>
        </w:rPr>
      </w:pPr>
    </w:p>
    <w:p w14:paraId="3DB91B50" w14:textId="46576594" w:rsidR="00E97E9C" w:rsidRDefault="00647342" w:rsidP="00E97E9C">
      <w:p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 xml:space="preserve"> </w:t>
      </w:r>
      <w:r w:rsidRPr="00647342">
        <w:rPr>
          <w:rFonts w:ascii="Palatino Linotype" w:hAnsi="Palatino Linotype" w:cs="Arial"/>
          <w:noProof/>
          <w:lang w:val="es-MX" w:eastAsia="es-MX"/>
        </w:rPr>
        <w:drawing>
          <wp:inline distT="0" distB="0" distL="0" distR="0" wp14:anchorId="21E0BD67" wp14:editId="2FE36A84">
            <wp:extent cx="5791835" cy="1785620"/>
            <wp:effectExtent l="0" t="0" r="0" b="5080"/>
            <wp:docPr id="342394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94812" name=""/>
                    <pic:cNvPicPr/>
                  </pic:nvPicPr>
                  <pic:blipFill>
                    <a:blip r:embed="rId9"/>
                    <a:stretch>
                      <a:fillRect/>
                    </a:stretch>
                  </pic:blipFill>
                  <pic:spPr>
                    <a:xfrm>
                      <a:off x="0" y="0"/>
                      <a:ext cx="5791835" cy="1785620"/>
                    </a:xfrm>
                    <a:prstGeom prst="rect">
                      <a:avLst/>
                    </a:prstGeom>
                  </pic:spPr>
                </pic:pic>
              </a:graphicData>
            </a:graphic>
          </wp:inline>
        </w:drawing>
      </w:r>
    </w:p>
    <w:p w14:paraId="79F7DEC3" w14:textId="77777777" w:rsidR="00E97E9C" w:rsidRDefault="00E97E9C" w:rsidP="00E97E9C">
      <w:pPr>
        <w:autoSpaceDE w:val="0"/>
        <w:autoSpaceDN w:val="0"/>
        <w:adjustRightInd w:val="0"/>
        <w:spacing w:line="360" w:lineRule="auto"/>
        <w:jc w:val="both"/>
        <w:rPr>
          <w:rFonts w:ascii="Palatino Linotype" w:hAnsi="Palatino Linotype" w:cs="Arial"/>
        </w:rPr>
      </w:pPr>
    </w:p>
    <w:p w14:paraId="54E6AC1E" w14:textId="50229F09" w:rsidR="00E97E9C" w:rsidRPr="007104AA" w:rsidRDefault="00E97E9C" w:rsidP="00E97E9C">
      <w:pPr>
        <w:pStyle w:val="Prrafodelista"/>
        <w:autoSpaceDE w:val="0"/>
        <w:autoSpaceDN w:val="0"/>
        <w:adjustRightInd w:val="0"/>
        <w:spacing w:line="360" w:lineRule="auto"/>
        <w:ind w:left="0"/>
        <w:jc w:val="both"/>
        <w:rPr>
          <w:rFonts w:ascii="Palatino Linotype" w:hAnsi="Palatino Linotype" w:cs="Arial"/>
        </w:rPr>
      </w:pPr>
      <w:r w:rsidRPr="007769B2">
        <w:rPr>
          <w:rFonts w:ascii="Palatino Linotype" w:eastAsia="Calibri" w:hAnsi="Palatino Linotype" w:cs="Arial"/>
        </w:rPr>
        <w:t xml:space="preserve">En ese sentido, </w:t>
      </w:r>
      <w:r w:rsidR="00647342">
        <w:rPr>
          <w:rFonts w:ascii="Palatino Linotype" w:eastAsia="Calibri" w:hAnsi="Palatino Linotype" w:cs="Arial"/>
        </w:rPr>
        <w:t xml:space="preserve">se. Tiene la certeza  de que, en el periodo referido por el particular, este Instituto no notificó resolución alguna a la Unidad de Transparencia del Sujeto obligado, por tal motivo, </w:t>
      </w:r>
      <w:r w:rsidRPr="007769B2">
        <w:rPr>
          <w:rFonts w:ascii="Palatino Linotype" w:eastAsia="Calibri" w:hAnsi="Palatino Linotype" w:cs="Arial"/>
        </w:rPr>
        <w:t xml:space="preserve">lo que manifiesta el sujeto obligado, se traduce como una expresión en sentido negativo, toda vez que refirió no contar con la información requerida, al no haber sido </w:t>
      </w:r>
      <w:r w:rsidR="00647342">
        <w:rPr>
          <w:rFonts w:ascii="Palatino Linotype" w:eastAsia="Calibri" w:hAnsi="Palatino Linotype" w:cs="Arial"/>
        </w:rPr>
        <w:t>poseída y administrada</w:t>
      </w:r>
      <w:r w:rsidRPr="007769B2">
        <w:rPr>
          <w:rFonts w:ascii="Palatino Linotype" w:eastAsia="Calibri" w:hAnsi="Palatino Linotype" w:cs="Arial"/>
        </w:rPr>
        <w:t>, por lo tanto, dichos requerimientos no pueden obran en los archivos de dicha autoridad, ya que no puede probarse por ser lógica y materialmente imposible, en razón de que, al no haber generado dicha información, no la posee, no administra, y no cuenta con la misma.</w:t>
      </w:r>
    </w:p>
    <w:p w14:paraId="3065CB26" w14:textId="77777777" w:rsidR="00E97E9C" w:rsidRPr="007769B2" w:rsidRDefault="00E97E9C" w:rsidP="00E97E9C">
      <w:pPr>
        <w:spacing w:line="360" w:lineRule="auto"/>
        <w:ind w:right="51"/>
        <w:jc w:val="both"/>
        <w:rPr>
          <w:rFonts w:ascii="Palatino Linotype" w:hAnsi="Palatino Linotype" w:cs="Arial"/>
          <w:lang w:val="es-ES"/>
        </w:rPr>
      </w:pPr>
    </w:p>
    <w:p w14:paraId="4C2F38E3" w14:textId="77777777" w:rsidR="00E97E9C" w:rsidRPr="007769B2" w:rsidRDefault="00E97E9C" w:rsidP="00E97E9C">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4AA62C43" w14:textId="77777777" w:rsidR="00E97E9C" w:rsidRPr="007769B2" w:rsidRDefault="00E97E9C" w:rsidP="00E97E9C">
      <w:pPr>
        <w:spacing w:line="360" w:lineRule="auto"/>
        <w:ind w:right="51"/>
        <w:jc w:val="both"/>
        <w:rPr>
          <w:rFonts w:ascii="Palatino Linotype" w:hAnsi="Palatino Linotype" w:cs="Arial"/>
          <w:lang w:val="es-ES"/>
        </w:rPr>
      </w:pPr>
    </w:p>
    <w:p w14:paraId="63FCF156" w14:textId="77777777" w:rsidR="00E97E9C" w:rsidRPr="007769B2" w:rsidRDefault="00E97E9C" w:rsidP="00E97E9C">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t>Por lo anterior sirve de sustento la Tesis Aislada 267287, emanada por el Máximo Juzgador de la Nación, la cual refiere lo siguiente:</w:t>
      </w:r>
    </w:p>
    <w:p w14:paraId="79C358C4" w14:textId="77777777" w:rsidR="00E97E9C" w:rsidRPr="007769B2" w:rsidRDefault="00E97E9C" w:rsidP="00E97E9C"/>
    <w:p w14:paraId="56313FF4" w14:textId="77777777" w:rsidR="00E97E9C" w:rsidRPr="007769B2" w:rsidRDefault="00E97E9C" w:rsidP="00E97E9C">
      <w:pPr>
        <w:shd w:val="clear" w:color="auto" w:fill="FFFFFF"/>
        <w:spacing w:before="120"/>
        <w:ind w:left="851" w:rightChars="386" w:right="926"/>
        <w:jc w:val="both"/>
        <w:rPr>
          <w:rFonts w:ascii="Palatino Linotype" w:eastAsia="Calibri" w:hAnsi="Palatino Linotype"/>
          <w:color w:val="222222"/>
        </w:rPr>
      </w:pPr>
      <w:r w:rsidRPr="007769B2">
        <w:rPr>
          <w:rFonts w:ascii="Palatino Linotype" w:eastAsia="Calibri" w:hAnsi="Palatino Linotype"/>
          <w:b/>
          <w:bCs/>
          <w:i/>
          <w:iCs/>
          <w:color w:val="222222"/>
        </w:rPr>
        <w:lastRenderedPageBreak/>
        <w:t>HECHOS NEGATIVOS, NO SON SUSCEPTIBLES DE DEMOSTRACIÓN. ”</w:t>
      </w:r>
      <w:r w:rsidRPr="007769B2">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14:paraId="3A6F4AEF" w14:textId="77777777" w:rsidR="00E97E9C" w:rsidRPr="007769B2" w:rsidRDefault="00E97E9C" w:rsidP="00E97E9C">
      <w:pPr>
        <w:shd w:val="clear" w:color="auto" w:fill="FFFFFF"/>
        <w:ind w:left="851" w:rightChars="386" w:right="926"/>
        <w:jc w:val="both"/>
        <w:rPr>
          <w:rFonts w:ascii="Palatino Linotype" w:eastAsia="Calibri" w:hAnsi="Palatino Linotype"/>
          <w:i/>
          <w:iCs/>
          <w:color w:val="222222"/>
        </w:rPr>
      </w:pPr>
      <w:r w:rsidRPr="007769B2">
        <w:rPr>
          <w:rFonts w:ascii="Palatino Linotype" w:eastAsia="Calibri" w:hAnsi="Palatino Linotype"/>
          <w:i/>
          <w:iCs/>
          <w:color w:val="222222"/>
        </w:rPr>
        <w:t>Amparo en revisión 2022/61. José García Florín (Menor). 9 de octubre de 1961. Cinco votos. Ponente: José Rivera Pérez Campos.”</w:t>
      </w:r>
    </w:p>
    <w:p w14:paraId="5A9A7DC0" w14:textId="77777777" w:rsidR="00E97E9C" w:rsidRPr="007769B2" w:rsidRDefault="00E97E9C" w:rsidP="00E97E9C">
      <w:pPr>
        <w:rPr>
          <w:sz w:val="14"/>
        </w:rPr>
      </w:pPr>
    </w:p>
    <w:p w14:paraId="73D7212A" w14:textId="77777777" w:rsidR="00E97E9C" w:rsidRPr="007769B2" w:rsidRDefault="00E97E9C" w:rsidP="00E97E9C">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De igual forma viene a colación el Criterio 7/2017, emitido por el Instituto Nacional de Transparencia, Acceso a la Información y Protección de Datos Personales, cuyo texto se transcribe a continuación:</w:t>
      </w:r>
    </w:p>
    <w:p w14:paraId="1F20301C" w14:textId="77777777" w:rsidR="00E97E9C" w:rsidRPr="007769B2" w:rsidRDefault="00E97E9C" w:rsidP="00E97E9C">
      <w:pPr>
        <w:tabs>
          <w:tab w:val="left" w:pos="851"/>
        </w:tabs>
        <w:spacing w:before="240" w:after="240" w:line="276" w:lineRule="auto"/>
        <w:ind w:left="851" w:right="850"/>
        <w:jc w:val="both"/>
        <w:rPr>
          <w:i/>
          <w:color w:val="222222"/>
          <w:lang w:val="es-ES"/>
        </w:rPr>
      </w:pPr>
      <w:r w:rsidRPr="007769B2">
        <w:rPr>
          <w:rFonts w:ascii="Palatino Linotype" w:hAnsi="Palatino Linotype"/>
          <w:b/>
          <w:i/>
          <w:color w:val="222222"/>
          <w:lang w:val="es-ES"/>
        </w:rPr>
        <w:t>Casos en los que no es necesario que el Comité de Transparencia confirme formalmente la inexistencia de la información.</w:t>
      </w:r>
      <w:r w:rsidRPr="007769B2">
        <w:rPr>
          <w:rFonts w:ascii="Palatino Linotype" w:hAnsi="Palatino Linotype"/>
          <w:i/>
          <w:color w:val="222222"/>
          <w:lang w:val="es-ES"/>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7769B2">
        <w:rPr>
          <w:i/>
          <w:color w:val="222222"/>
          <w:lang w:val="es-ES"/>
        </w:rPr>
        <w:t>.</w:t>
      </w:r>
    </w:p>
    <w:p w14:paraId="30E27292" w14:textId="77777777" w:rsidR="00E97E9C" w:rsidRPr="007769B2" w:rsidRDefault="00E97E9C" w:rsidP="00E97E9C"/>
    <w:p w14:paraId="7A52210E" w14:textId="77777777" w:rsidR="00E97E9C" w:rsidRPr="007769B2" w:rsidRDefault="00E97E9C" w:rsidP="00E97E9C">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BCB0402" w14:textId="77777777" w:rsidR="00E97E9C" w:rsidRPr="007769B2" w:rsidRDefault="00E97E9C" w:rsidP="00E97E9C"/>
    <w:p w14:paraId="7665862F" w14:textId="77777777" w:rsidR="00E97E9C" w:rsidRPr="007769B2" w:rsidRDefault="00E97E9C" w:rsidP="00E97E9C">
      <w:pPr>
        <w:ind w:left="851" w:right="850"/>
        <w:jc w:val="both"/>
        <w:rPr>
          <w:rFonts w:ascii="Palatino Linotype" w:hAnsi="Palatino Linotype"/>
          <w:i/>
        </w:rPr>
      </w:pPr>
      <w:r w:rsidRPr="007769B2">
        <w:rPr>
          <w:rFonts w:ascii="Palatino Linotype" w:hAnsi="Palatino Linotype"/>
        </w:rPr>
        <w:t>“</w:t>
      </w:r>
      <w:r w:rsidRPr="007769B2">
        <w:rPr>
          <w:rFonts w:ascii="Palatino Linotype" w:hAnsi="Palatino Linotype"/>
          <w:b/>
          <w:i/>
        </w:rPr>
        <w:t>Artículo 12.</w:t>
      </w:r>
      <w:r w:rsidRPr="007769B2">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2FD9A187" w14:textId="77777777" w:rsidR="00E97E9C" w:rsidRPr="007769B2" w:rsidRDefault="00E97E9C" w:rsidP="00E97E9C">
      <w:pPr>
        <w:ind w:left="851" w:right="850"/>
        <w:jc w:val="both"/>
        <w:rPr>
          <w:rFonts w:ascii="Palatino Linotype" w:hAnsi="Palatino Linotype"/>
          <w:i/>
        </w:rPr>
      </w:pPr>
    </w:p>
    <w:p w14:paraId="4B167376" w14:textId="77777777" w:rsidR="00E97E9C" w:rsidRPr="007104AA" w:rsidRDefault="00E97E9C" w:rsidP="00E97E9C">
      <w:pPr>
        <w:ind w:left="851" w:right="850"/>
        <w:jc w:val="both"/>
        <w:rPr>
          <w:rFonts w:ascii="Palatino Linotype" w:hAnsi="Palatino Linotype"/>
        </w:rPr>
      </w:pPr>
      <w:r w:rsidRPr="007769B2">
        <w:rPr>
          <w:rFonts w:ascii="Palatino Linotype" w:hAnsi="Palatino Linotype"/>
          <w:b/>
          <w:i/>
          <w:u w:val="single"/>
        </w:rPr>
        <w:t>Los sujetos obligados sólo proporcionarán la información pública que se les requiera y que obre en sus archivos</w:t>
      </w:r>
      <w:r w:rsidRPr="007769B2">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585148" w14:textId="77777777" w:rsidR="00E97E9C" w:rsidRDefault="00E97E9C" w:rsidP="00E97E9C">
      <w:pPr>
        <w:autoSpaceDE w:val="0"/>
        <w:autoSpaceDN w:val="0"/>
        <w:adjustRightInd w:val="0"/>
        <w:spacing w:line="360" w:lineRule="auto"/>
        <w:jc w:val="both"/>
        <w:rPr>
          <w:rFonts w:ascii="Palatino Linotype" w:hAnsi="Palatino Linotype" w:cs="Arial"/>
        </w:rPr>
      </w:pPr>
    </w:p>
    <w:p w14:paraId="523301B6" w14:textId="77777777" w:rsidR="00E97E9C" w:rsidRPr="00A42B6E" w:rsidRDefault="00E97E9C" w:rsidP="00E97E9C">
      <w:pPr>
        <w:autoSpaceDE w:val="0"/>
        <w:autoSpaceDN w:val="0"/>
        <w:adjustRightInd w:val="0"/>
        <w:spacing w:line="360" w:lineRule="auto"/>
        <w:jc w:val="both"/>
        <w:rPr>
          <w:rFonts w:ascii="Palatino Linotype" w:hAnsi="Palatino Linotype" w:cs="Arial"/>
        </w:rPr>
      </w:pPr>
      <w:r w:rsidRPr="00B81A2B">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09D572B2" w14:textId="77777777" w:rsidR="00E97E9C" w:rsidRPr="00B81A2B" w:rsidRDefault="00E97E9C" w:rsidP="00E97E9C">
      <w:pPr>
        <w:autoSpaceDE w:val="0"/>
        <w:autoSpaceDN w:val="0"/>
        <w:adjustRightInd w:val="0"/>
        <w:spacing w:line="360" w:lineRule="auto"/>
        <w:jc w:val="both"/>
        <w:rPr>
          <w:rFonts w:ascii="Palatino Linotype" w:hAnsi="Palatino Linotype"/>
        </w:rPr>
      </w:pPr>
    </w:p>
    <w:p w14:paraId="5C9DC664" w14:textId="77777777" w:rsidR="00E97E9C" w:rsidRPr="00B81A2B" w:rsidRDefault="00E97E9C" w:rsidP="00E97E9C">
      <w:pPr>
        <w:autoSpaceDE w:val="0"/>
        <w:autoSpaceDN w:val="0"/>
        <w:adjustRightInd w:val="0"/>
        <w:spacing w:line="360" w:lineRule="auto"/>
        <w:jc w:val="both"/>
        <w:rPr>
          <w:rFonts w:ascii="Palatino Linotype" w:hAnsi="Palatino Linotype"/>
        </w:rPr>
      </w:pPr>
      <w:r w:rsidRPr="00B81A2B">
        <w:rPr>
          <w:rFonts w:ascii="Palatino Linotype" w:hAnsi="Palatino Linotype"/>
        </w:rPr>
        <w:t xml:space="preserve">En </w:t>
      </w:r>
      <w:r>
        <w:rPr>
          <w:rFonts w:ascii="Palatino Linotype" w:hAnsi="Palatino Linotype"/>
        </w:rPr>
        <w:t xml:space="preserve">esa </w:t>
      </w:r>
      <w:r w:rsidRPr="00B81A2B">
        <w:rPr>
          <w:rFonts w:ascii="Palatino Linotype" w:hAnsi="Palatino Linotype"/>
        </w:rPr>
        <w:t>virtud</w:t>
      </w:r>
      <w:r>
        <w:rPr>
          <w:rFonts w:ascii="Palatino Linotype" w:hAnsi="Palatino Linotype"/>
        </w:rPr>
        <w:t>,</w:t>
      </w:r>
      <w:r w:rsidRPr="00B81A2B">
        <w:rPr>
          <w:rFonts w:ascii="Palatino Linotype" w:hAnsi="Palatino Linotype"/>
        </w:rPr>
        <w:t xml:space="preserve"> del análisis efectuado a las manifestaciones esgrimidas mediante su informe justificado, se advierte que </w:t>
      </w:r>
      <w:r w:rsidRPr="00B81A2B">
        <w:rPr>
          <w:rFonts w:ascii="Palatino Linotype" w:hAnsi="Palatino Linotype"/>
          <w:b/>
        </w:rPr>
        <w:t>El Sujeto Obligado</w:t>
      </w:r>
      <w:r w:rsidRPr="00B81A2B">
        <w:rPr>
          <w:rFonts w:ascii="Palatino Linotype" w:hAnsi="Palatino Linotype"/>
        </w:rPr>
        <w:t xml:space="preserve"> colma en su totalidad lo solicitado por la particular, como se desarrolló en los párrafos anteriores.</w:t>
      </w:r>
    </w:p>
    <w:p w14:paraId="72EBF91A"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p>
    <w:p w14:paraId="61C049F0"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Así, conviene recordar que la Ley de Transparencia de la entidad, en su artículo 192, contempla la figura jurídica del sobreseimiento, y específicamente en su hipótesis contenida en la fracción V, refiere que se sobreseerá el asunto cuando el recurso de revisión quede sin materia por cualquier motivo; lo que en el presente caso ocurrió, </w:t>
      </w:r>
      <w:r w:rsidRPr="00A86B05">
        <w:rPr>
          <w:rFonts w:ascii="Palatino Linotype" w:eastAsia="Calibri" w:hAnsi="Palatino Linotype" w:cs="Tahoma"/>
          <w:color w:val="000000"/>
          <w:szCs w:val="28"/>
          <w:lang w:eastAsia="en-US"/>
        </w:rPr>
        <w:lastRenderedPageBreak/>
        <w:t>puesto que se atendió el requerimiento original del Recurrente al cual, en un primer momento, el Sujeto Obligado no dio respuesta.</w:t>
      </w:r>
    </w:p>
    <w:p w14:paraId="28E160D1"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p>
    <w:p w14:paraId="694C0997"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Por lo anterior, en virtud de que el Sujeto Obligado, al momento de rendir su Informe Justificado, colmó las pretensiones del Recurrente y, por ende, se estima que una vez satisfecho el derecho de acceso a la información pública del particular, el presente recurso de revisión ha quedado sin materia. </w:t>
      </w:r>
    </w:p>
    <w:p w14:paraId="2518D3A1"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p>
    <w:p w14:paraId="447B7EEF" w14:textId="474F7303"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En conclusión, toda vez que el Sujeto Obligado colmó el requerimiento de Recurrente plasmado en la solicitud de información </w:t>
      </w:r>
      <w:r w:rsidR="00647342" w:rsidRPr="00647342">
        <w:rPr>
          <w:rFonts w:ascii="Palatino Linotype" w:eastAsia="Calibri" w:hAnsi="Palatino Linotype" w:cs="Tahoma"/>
          <w:b/>
          <w:bCs/>
          <w:color w:val="000000"/>
          <w:szCs w:val="28"/>
          <w:lang w:eastAsia="en-US"/>
        </w:rPr>
        <w:t>00197/TOLUCA/IP/2025</w:t>
      </w:r>
      <w:r w:rsidRPr="00A86B05">
        <w:rPr>
          <w:rFonts w:ascii="Palatino Linotype" w:eastAsia="Calibri" w:hAnsi="Palatino Linotype" w:cs="Tahoma"/>
          <w:color w:val="000000"/>
          <w:szCs w:val="28"/>
          <w:lang w:eastAsia="en-US"/>
        </w:rPr>
        <w:t xml:space="preserve"> con la rendición del Informe Justificado, se considera que no existen ya extremos legales para la procedencia del recurso, lo que conlleva a decretar el sobreseimiento. Es así que</w:t>
      </w:r>
      <w:r w:rsidR="00647342">
        <w:rPr>
          <w:rFonts w:ascii="Palatino Linotype" w:eastAsia="Calibri" w:hAnsi="Palatino Linotype" w:cs="Tahoma"/>
          <w:color w:val="000000"/>
          <w:szCs w:val="28"/>
          <w:lang w:eastAsia="en-US"/>
        </w:rPr>
        <w:t>,</w:t>
      </w:r>
      <w:r w:rsidRPr="00A86B05">
        <w:rPr>
          <w:rFonts w:ascii="Palatino Linotype" w:eastAsia="Calibri" w:hAnsi="Palatino Linotype" w:cs="Tahoma"/>
          <w:color w:val="000000"/>
          <w:szCs w:val="28"/>
          <w:lang w:eastAsia="en-US"/>
        </w:rPr>
        <w:t xml:space="preserve"> en el caso en concreto</w:t>
      </w:r>
      <w:r w:rsidR="00647342">
        <w:rPr>
          <w:rFonts w:ascii="Palatino Linotype" w:eastAsia="Calibri" w:hAnsi="Palatino Linotype" w:cs="Tahoma"/>
          <w:color w:val="000000"/>
          <w:szCs w:val="28"/>
          <w:lang w:eastAsia="en-US"/>
        </w:rPr>
        <w:t>,</w:t>
      </w:r>
      <w:r w:rsidRPr="00A86B05">
        <w:rPr>
          <w:rFonts w:ascii="Palatino Linotype" w:eastAsia="Calibri" w:hAnsi="Palatino Linotype" w:cs="Tahoma"/>
          <w:color w:val="000000"/>
          <w:szCs w:val="28"/>
          <w:lang w:eastAsia="en-US"/>
        </w:rPr>
        <w:t xml:space="preserve"> se actualiza la causal de sobreseimiento prevista en la fracción V del artículo 192 de la Ley de Transparencia y Acceso a la Información Pública del Estado de México y Municipio, que a la letra establece:</w:t>
      </w:r>
    </w:p>
    <w:p w14:paraId="50C1808C"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p>
    <w:p w14:paraId="2A6D6004" w14:textId="77777777" w:rsidR="00A86B05" w:rsidRPr="00A86B05" w:rsidRDefault="00A86B05" w:rsidP="00647342">
      <w:pPr>
        <w:ind w:left="567" w:right="567"/>
        <w:contextualSpacing/>
        <w:jc w:val="both"/>
        <w:rPr>
          <w:rFonts w:ascii="Palatino Linotype" w:eastAsia="Calibri" w:hAnsi="Palatino Linotype" w:cs="Tahoma"/>
          <w:i/>
          <w:color w:val="000000"/>
          <w:szCs w:val="28"/>
          <w:lang w:eastAsia="en-US"/>
        </w:rPr>
      </w:pPr>
      <w:r w:rsidRPr="00A86B05">
        <w:rPr>
          <w:rFonts w:ascii="Palatino Linotype" w:eastAsia="Calibri" w:hAnsi="Palatino Linotype" w:cs="Tahoma"/>
          <w:b/>
          <w:i/>
          <w:color w:val="000000"/>
          <w:szCs w:val="28"/>
          <w:lang w:eastAsia="en-US"/>
        </w:rPr>
        <w:t xml:space="preserve">Artículo 192. </w:t>
      </w:r>
      <w:r w:rsidRPr="00A86B05">
        <w:rPr>
          <w:rFonts w:ascii="Palatino Linotype" w:eastAsia="Calibri" w:hAnsi="Palatino Linotype" w:cs="Tahoma"/>
          <w:i/>
          <w:color w:val="000000"/>
          <w:szCs w:val="28"/>
          <w:lang w:eastAsia="en-US"/>
        </w:rPr>
        <w:t>El recurso será sobreseído, en todo o en parte, cuando una vez admitido, se actualicen alguno de los siguientes supuestos:</w:t>
      </w:r>
    </w:p>
    <w:p w14:paraId="4109352C" w14:textId="77777777" w:rsidR="00A86B05" w:rsidRPr="00A86B05" w:rsidRDefault="00A86B05" w:rsidP="00647342">
      <w:pPr>
        <w:ind w:left="567" w:right="567"/>
        <w:contextualSpacing/>
        <w:jc w:val="both"/>
        <w:rPr>
          <w:rFonts w:ascii="Palatino Linotype" w:eastAsia="Calibri" w:hAnsi="Palatino Linotype" w:cs="Tahoma"/>
          <w:i/>
          <w:color w:val="000000"/>
          <w:szCs w:val="28"/>
          <w:lang w:eastAsia="en-US"/>
        </w:rPr>
      </w:pPr>
      <w:r w:rsidRPr="00A86B05">
        <w:rPr>
          <w:rFonts w:ascii="Palatino Linotype" w:eastAsia="Calibri" w:hAnsi="Palatino Linotype" w:cs="Tahoma"/>
          <w:i/>
          <w:color w:val="000000"/>
          <w:szCs w:val="28"/>
          <w:lang w:eastAsia="en-US"/>
        </w:rPr>
        <w:t>(…)</w:t>
      </w:r>
    </w:p>
    <w:p w14:paraId="1949A9E9" w14:textId="77777777" w:rsidR="00A86B05" w:rsidRPr="00A86B05" w:rsidRDefault="00A86B05" w:rsidP="00647342">
      <w:pPr>
        <w:ind w:left="567" w:right="567"/>
        <w:contextualSpacing/>
        <w:jc w:val="both"/>
        <w:rPr>
          <w:rFonts w:ascii="Palatino Linotype" w:eastAsia="Calibri" w:hAnsi="Palatino Linotype" w:cs="Tahoma"/>
          <w:b/>
          <w:i/>
          <w:color w:val="000000"/>
          <w:szCs w:val="28"/>
          <w:lang w:eastAsia="en-US"/>
        </w:rPr>
      </w:pPr>
      <w:r w:rsidRPr="00A86B05">
        <w:rPr>
          <w:rFonts w:ascii="Palatino Linotype" w:eastAsia="Calibri" w:hAnsi="Palatino Linotype" w:cs="Tahoma"/>
          <w:b/>
          <w:i/>
          <w:color w:val="000000"/>
          <w:szCs w:val="28"/>
          <w:lang w:eastAsia="en-US"/>
        </w:rPr>
        <w:t>V. Cuando por cualquier motivo quede sin materia el recurso.</w:t>
      </w:r>
    </w:p>
    <w:p w14:paraId="3A0809B7"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p>
    <w:p w14:paraId="6169828D" w14:textId="77777777" w:rsidR="00A86B05" w:rsidRPr="00A86B05" w:rsidRDefault="00A86B05" w:rsidP="00A86B05">
      <w:pPr>
        <w:spacing w:line="360" w:lineRule="auto"/>
        <w:contextualSpacing/>
        <w:jc w:val="both"/>
        <w:rPr>
          <w:rFonts w:ascii="Palatino Linotype" w:eastAsia="Calibri" w:hAnsi="Palatino Linotype" w:cs="Tahoma"/>
          <w:i/>
          <w:color w:val="000000"/>
          <w:szCs w:val="28"/>
          <w:lang w:eastAsia="en-US"/>
        </w:rPr>
      </w:pPr>
    </w:p>
    <w:p w14:paraId="27C24998"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Lo anterior es así, ya que el Pleno ha determinado que cuando el Sujeto Obligado mediante entrega, complemento o precisión proporciona la respuesta a la solicitud de información planteada, y la misma es coincidente con lo requerido por el solicitante, </w:t>
      </w:r>
      <w:r w:rsidRPr="00A86B05">
        <w:rPr>
          <w:rFonts w:ascii="Palatino Linotype" w:eastAsia="Calibri" w:hAnsi="Palatino Linotype" w:cs="Tahoma"/>
          <w:color w:val="000000"/>
          <w:szCs w:val="28"/>
          <w:lang w:eastAsia="en-US"/>
        </w:rPr>
        <w:lastRenderedPageBreak/>
        <w:t>debe entenderse que este rubro queda sin materia al haber colmado el requerimiento inicial planteado.</w:t>
      </w:r>
    </w:p>
    <w:p w14:paraId="638E150C"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p>
    <w:p w14:paraId="5CCA5C7A" w14:textId="77777777" w:rsidR="00A86B05" w:rsidRPr="00A86B05" w:rsidRDefault="00A86B05" w:rsidP="00A86B05">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Así, con fundamento en lo prescrito en los artículos 36 fracciones II y III, 186 fracción I y 192 fracción V de la Ley de Transparencia y Acceso a la Información Pública del Estado de México y Municipios el Pleno de este Órgano Garante:</w:t>
      </w:r>
    </w:p>
    <w:p w14:paraId="14FF5873" w14:textId="77777777" w:rsidR="00A86B05" w:rsidRPr="00A86B05" w:rsidRDefault="00A86B05" w:rsidP="00C60284">
      <w:pPr>
        <w:spacing w:line="360" w:lineRule="auto"/>
        <w:contextualSpacing/>
        <w:jc w:val="both"/>
        <w:rPr>
          <w:rFonts w:ascii="Palatino Linotype" w:eastAsia="Calibri" w:hAnsi="Palatino Linotype" w:cs="Tahoma"/>
          <w:color w:val="000000"/>
          <w:szCs w:val="28"/>
          <w:lang w:eastAsia="en-US"/>
        </w:rPr>
      </w:pPr>
    </w:p>
    <w:p w14:paraId="6001B1F7" w14:textId="77777777" w:rsidR="00BF457C" w:rsidRPr="00604E50" w:rsidRDefault="00BF457C" w:rsidP="00BF457C">
      <w:pPr>
        <w:pStyle w:val="Sinespaciado"/>
        <w:rPr>
          <w:rStyle w:val="Refdenotaalpie"/>
          <w:rFonts w:ascii="Palatino Linotype" w:hAnsi="Palatino Linotype"/>
          <w:vertAlign w:val="baseline"/>
        </w:rPr>
      </w:pPr>
    </w:p>
    <w:p w14:paraId="194F7666" w14:textId="77777777" w:rsidR="008978CE" w:rsidRPr="00604E50" w:rsidRDefault="008978CE" w:rsidP="008978CE">
      <w:pPr>
        <w:spacing w:line="360" w:lineRule="auto"/>
        <w:ind w:right="-234" w:firstLine="567"/>
        <w:jc w:val="center"/>
        <w:rPr>
          <w:rFonts w:ascii="Palatino Linotype" w:hAnsi="Palatino Linotype"/>
          <w:b/>
          <w:sz w:val="28"/>
          <w:lang w:val="pt-BR"/>
        </w:rPr>
      </w:pPr>
      <w:r w:rsidRPr="00604E50">
        <w:rPr>
          <w:rFonts w:ascii="Palatino Linotype" w:hAnsi="Palatino Linotype"/>
          <w:b/>
          <w:sz w:val="28"/>
          <w:lang w:val="pt-BR"/>
        </w:rPr>
        <w:t>S E     R E S U E L V E</w:t>
      </w:r>
    </w:p>
    <w:p w14:paraId="187DE04D" w14:textId="77777777" w:rsidR="008978CE" w:rsidRPr="00604E50" w:rsidRDefault="008978CE" w:rsidP="008978CE">
      <w:pPr>
        <w:pStyle w:val="Sinespaciado"/>
      </w:pPr>
    </w:p>
    <w:p w14:paraId="49B24EB5" w14:textId="37FF6258" w:rsidR="00647342" w:rsidRPr="00647342" w:rsidRDefault="00647342" w:rsidP="00647342">
      <w:pPr>
        <w:spacing w:line="360" w:lineRule="auto"/>
        <w:jc w:val="both"/>
        <w:rPr>
          <w:rFonts w:ascii="Palatino Linotype" w:hAnsi="Palatino Linotype"/>
          <w:color w:val="222222"/>
          <w:shd w:val="clear" w:color="auto" w:fill="FFFFFF"/>
        </w:rPr>
      </w:pPr>
      <w:r w:rsidRPr="00647342">
        <w:rPr>
          <w:rFonts w:ascii="Palatino Linotype" w:hAnsi="Palatino Linotype"/>
          <w:b/>
          <w:color w:val="222222"/>
          <w:sz w:val="28"/>
          <w:szCs w:val="28"/>
          <w:shd w:val="clear" w:color="auto" w:fill="FFFFFF"/>
        </w:rPr>
        <w:t>PRIMERO.</w:t>
      </w:r>
      <w:r w:rsidRPr="00647342">
        <w:rPr>
          <w:rFonts w:ascii="Palatino Linotype" w:hAnsi="Palatino Linotype"/>
          <w:color w:val="222222"/>
          <w:shd w:val="clear" w:color="auto" w:fill="FFFFFF"/>
        </w:rPr>
        <w:t xml:space="preserve"> Se</w:t>
      </w:r>
      <w:r w:rsidRPr="00647342">
        <w:rPr>
          <w:rFonts w:ascii="Palatino Linotype" w:hAnsi="Palatino Linotype"/>
          <w:b/>
          <w:color w:val="222222"/>
          <w:shd w:val="clear" w:color="auto" w:fill="FFFFFF"/>
        </w:rPr>
        <w:t xml:space="preserve"> SOBRESEE </w:t>
      </w:r>
      <w:r w:rsidRPr="00647342">
        <w:rPr>
          <w:rFonts w:ascii="Palatino Linotype" w:hAnsi="Palatino Linotype"/>
          <w:color w:val="222222"/>
          <w:shd w:val="clear" w:color="auto" w:fill="FFFFFF"/>
        </w:rPr>
        <w:t xml:space="preserve">el recurso de revisión número </w:t>
      </w:r>
      <w:r w:rsidRPr="00647342">
        <w:rPr>
          <w:rFonts w:ascii="Palatino Linotype" w:hAnsi="Palatino Linotype"/>
          <w:b/>
          <w:bCs/>
          <w:color w:val="222222"/>
          <w:shd w:val="clear" w:color="auto" w:fill="FFFFFF"/>
        </w:rPr>
        <w:t>00605/INFOEM/IP/RR/2025</w:t>
      </w:r>
      <w:r w:rsidRPr="00647342">
        <w:rPr>
          <w:rFonts w:ascii="Palatino Linotype" w:hAnsi="Palatino Linotype"/>
          <w:color w:val="222222"/>
          <w:shd w:val="clear" w:color="auto" w:fill="FFFFFF"/>
        </w:rPr>
        <w:t xml:space="preserve">, por quedarse sin materia en términos del artículo 192 fracción V de la Ley de Transparencia y Acceso a la Información Pública del Estado de México y Municipios y del </w:t>
      </w:r>
      <w:r w:rsidRPr="00647342">
        <w:rPr>
          <w:rFonts w:ascii="Palatino Linotype" w:hAnsi="Palatino Linotype"/>
          <w:b/>
          <w:color w:val="222222"/>
          <w:shd w:val="clear" w:color="auto" w:fill="FFFFFF"/>
        </w:rPr>
        <w:t xml:space="preserve">Considerando </w:t>
      </w:r>
      <w:r>
        <w:rPr>
          <w:rFonts w:ascii="Palatino Linotype" w:hAnsi="Palatino Linotype"/>
          <w:b/>
          <w:color w:val="222222"/>
          <w:shd w:val="clear" w:color="auto" w:fill="FFFFFF"/>
        </w:rPr>
        <w:t>QUINTO</w:t>
      </w:r>
      <w:r w:rsidRPr="00647342">
        <w:rPr>
          <w:rFonts w:ascii="Palatino Linotype" w:hAnsi="Palatino Linotype"/>
          <w:color w:val="222222"/>
          <w:shd w:val="clear" w:color="auto" w:fill="FFFFFF"/>
        </w:rPr>
        <w:t xml:space="preserve"> de la presente resolución.</w:t>
      </w:r>
    </w:p>
    <w:p w14:paraId="5B93C4BE" w14:textId="77777777" w:rsidR="001D6E72" w:rsidRPr="00604E50" w:rsidRDefault="001D6E72" w:rsidP="002803F1">
      <w:pPr>
        <w:spacing w:line="360" w:lineRule="auto"/>
        <w:jc w:val="both"/>
        <w:rPr>
          <w:rFonts w:ascii="Palatino Linotype" w:hAnsi="Palatino Linotype"/>
          <w:color w:val="222222"/>
          <w:shd w:val="clear" w:color="auto" w:fill="FFFFFF"/>
        </w:rPr>
      </w:pPr>
    </w:p>
    <w:p w14:paraId="2C4F0114" w14:textId="76CDA69E" w:rsidR="00AB773F" w:rsidRPr="00604E50" w:rsidRDefault="00647342" w:rsidP="00AB773F">
      <w:pPr>
        <w:spacing w:line="360" w:lineRule="auto"/>
        <w:jc w:val="both"/>
        <w:rPr>
          <w:rFonts w:ascii="Palatino Linotype" w:eastAsiaTheme="minorHAnsi" w:hAnsi="Palatino Linotype" w:cstheme="minorBidi"/>
          <w:szCs w:val="22"/>
          <w:lang w:val="es-MX" w:eastAsia="en-US"/>
        </w:rPr>
      </w:pPr>
      <w:r>
        <w:rPr>
          <w:rFonts w:ascii="Palatino Linotype" w:hAnsi="Palatino Linotype" w:cs="Arial"/>
          <w:b/>
          <w:sz w:val="28"/>
        </w:rPr>
        <w:t>SEGUND</w:t>
      </w:r>
      <w:r w:rsidR="008978CE" w:rsidRPr="00604E50">
        <w:rPr>
          <w:rFonts w:ascii="Palatino Linotype" w:hAnsi="Palatino Linotype" w:cs="Arial"/>
          <w:b/>
          <w:sz w:val="28"/>
        </w:rPr>
        <w:t xml:space="preserve">O. </w:t>
      </w:r>
      <w:r w:rsidR="00AB773F" w:rsidRPr="00604E50">
        <w:rPr>
          <w:rFonts w:ascii="Palatino Linotype" w:eastAsiaTheme="minorHAnsi" w:hAnsi="Palatino Linotype" w:cstheme="minorBidi"/>
          <w:b/>
          <w:szCs w:val="22"/>
          <w:lang w:val="es-MX" w:eastAsia="en-US"/>
        </w:rPr>
        <w:t>NOTIFÍQUESE</w:t>
      </w:r>
      <w:r w:rsidR="00AB773F" w:rsidRPr="00604E50">
        <w:rPr>
          <w:rFonts w:ascii="Palatino Linotype" w:eastAsiaTheme="minorHAnsi" w:hAnsi="Palatino Linotype" w:cstheme="minorBidi"/>
          <w:szCs w:val="22"/>
          <w:lang w:val="es-MX" w:eastAsia="en-US"/>
        </w:rPr>
        <w:t xml:space="preserve"> la presente resolución al Titular de la Unidad de Transparencia del Sujeto Obligado</w:t>
      </w:r>
      <w:r w:rsidR="00A130B0" w:rsidRPr="00604E50">
        <w:rPr>
          <w:rFonts w:ascii="Palatino Linotype" w:eastAsiaTheme="minorHAnsi" w:hAnsi="Palatino Linotype" w:cs="Arial"/>
          <w:lang w:val="es-MX" w:eastAsia="en-US"/>
        </w:rPr>
        <w:t xml:space="preserve"> a través del </w:t>
      </w:r>
      <w:r w:rsidR="00A130B0" w:rsidRPr="00604E50">
        <w:rPr>
          <w:rFonts w:ascii="Palatino Linotype" w:eastAsiaTheme="minorHAnsi" w:hAnsi="Palatino Linotype" w:cs="Arial"/>
          <w:szCs w:val="22"/>
          <w:lang w:val="es-MX" w:eastAsia="en-US"/>
        </w:rPr>
        <w:t xml:space="preserve">Sistema de Acceso a la Información Mexiquense </w:t>
      </w:r>
      <w:r w:rsidR="00A130B0" w:rsidRPr="00604E50">
        <w:rPr>
          <w:rFonts w:ascii="Palatino Linotype" w:eastAsiaTheme="minorHAnsi" w:hAnsi="Palatino Linotype" w:cs="Arial"/>
          <w:b/>
          <w:szCs w:val="22"/>
          <w:lang w:val="es-MX" w:eastAsia="en-US"/>
        </w:rPr>
        <w:t>(SAIMEX)</w:t>
      </w:r>
      <w:r>
        <w:rPr>
          <w:rFonts w:ascii="Palatino Linotype" w:eastAsiaTheme="minorHAnsi" w:hAnsi="Palatino Linotype" w:cstheme="minorBidi"/>
          <w:szCs w:val="22"/>
          <w:lang w:val="es-MX" w:eastAsia="en-US"/>
        </w:rPr>
        <w:t>.</w:t>
      </w:r>
    </w:p>
    <w:p w14:paraId="5C658440" w14:textId="77777777" w:rsidR="004A2FA4" w:rsidRPr="00604E50" w:rsidRDefault="004A2FA4" w:rsidP="002D7DCB">
      <w:pPr>
        <w:autoSpaceDE w:val="0"/>
        <w:autoSpaceDN w:val="0"/>
        <w:adjustRightInd w:val="0"/>
        <w:spacing w:line="360" w:lineRule="auto"/>
        <w:ind w:right="49"/>
        <w:jc w:val="both"/>
        <w:rPr>
          <w:rFonts w:ascii="Palatino Linotype" w:hAnsi="Palatino Linotype" w:cs="Arial"/>
          <w:b/>
        </w:rPr>
      </w:pPr>
    </w:p>
    <w:p w14:paraId="23283C1F" w14:textId="0EF2FFCF" w:rsidR="008978CE" w:rsidRPr="00604E50" w:rsidRDefault="00647342" w:rsidP="002D7DCB">
      <w:pPr>
        <w:autoSpaceDE w:val="0"/>
        <w:autoSpaceDN w:val="0"/>
        <w:adjustRightInd w:val="0"/>
        <w:spacing w:line="360" w:lineRule="auto"/>
        <w:ind w:right="49"/>
        <w:jc w:val="both"/>
        <w:rPr>
          <w:rFonts w:ascii="Palatino Linotype" w:eastAsiaTheme="minorHAnsi" w:hAnsi="Palatino Linotype" w:cs="Arial"/>
          <w:lang w:val="es-MX" w:eastAsia="en-US"/>
        </w:rPr>
      </w:pPr>
      <w:r>
        <w:rPr>
          <w:rFonts w:ascii="Palatino Linotype" w:hAnsi="Palatino Linotype" w:cs="Arial"/>
          <w:b/>
          <w:sz w:val="28"/>
        </w:rPr>
        <w:t>TERCERO</w:t>
      </w:r>
      <w:r w:rsidR="008978CE" w:rsidRPr="00604E50">
        <w:rPr>
          <w:rFonts w:ascii="Palatino Linotype" w:hAnsi="Palatino Linotype" w:cs="Arial"/>
          <w:b/>
          <w:sz w:val="28"/>
        </w:rPr>
        <w:t xml:space="preserve">. </w:t>
      </w:r>
      <w:r w:rsidR="002803F1" w:rsidRPr="00604E50">
        <w:rPr>
          <w:rFonts w:ascii="Palatino Linotype" w:eastAsiaTheme="minorHAnsi" w:hAnsi="Palatino Linotype" w:cs="Arial"/>
          <w:b/>
          <w:lang w:val="es-MX" w:eastAsia="en-US"/>
        </w:rPr>
        <w:t>NOTIFÍQUESE</w:t>
      </w:r>
      <w:r w:rsidR="002803F1" w:rsidRPr="00604E50">
        <w:rPr>
          <w:rFonts w:ascii="Palatino Linotype" w:eastAsiaTheme="minorHAnsi" w:hAnsi="Palatino Linotype" w:cs="Arial"/>
          <w:lang w:val="es-MX" w:eastAsia="en-US"/>
        </w:rPr>
        <w:t xml:space="preserve"> al </w:t>
      </w:r>
      <w:r w:rsidR="002803F1" w:rsidRPr="00604E50">
        <w:rPr>
          <w:rFonts w:ascii="Palatino Linotype" w:eastAsiaTheme="minorHAnsi" w:hAnsi="Palatino Linotype" w:cs="Arial"/>
          <w:b/>
          <w:lang w:val="es-MX" w:eastAsia="en-US"/>
        </w:rPr>
        <w:t>Recurrente</w:t>
      </w:r>
      <w:r w:rsidR="002803F1" w:rsidRPr="00604E50">
        <w:rPr>
          <w:rFonts w:ascii="Palatino Linotype" w:eastAsiaTheme="minorHAnsi" w:hAnsi="Palatino Linotype" w:cs="Arial"/>
          <w:lang w:val="es-MX" w:eastAsia="en-US"/>
        </w:rPr>
        <w:t xml:space="preserve"> la presente resolución a través del </w:t>
      </w:r>
      <w:r w:rsidR="002803F1" w:rsidRPr="00604E50">
        <w:rPr>
          <w:rFonts w:ascii="Palatino Linotype" w:eastAsiaTheme="minorHAnsi" w:hAnsi="Palatino Linotype" w:cs="Arial"/>
          <w:szCs w:val="22"/>
          <w:lang w:val="es-MX" w:eastAsia="en-US"/>
        </w:rPr>
        <w:t xml:space="preserve">Sistema de Acceso a la Información Mexiquense </w:t>
      </w:r>
      <w:r w:rsidR="002803F1" w:rsidRPr="00604E50">
        <w:rPr>
          <w:rFonts w:ascii="Palatino Linotype" w:eastAsiaTheme="minorHAnsi" w:hAnsi="Palatino Linotype" w:cs="Arial"/>
          <w:b/>
          <w:szCs w:val="22"/>
          <w:lang w:val="es-MX" w:eastAsia="en-US"/>
        </w:rPr>
        <w:t>(SAIMEX)</w:t>
      </w:r>
      <w:r w:rsidR="002803F1" w:rsidRPr="00604E50">
        <w:rPr>
          <w:rFonts w:ascii="Palatino Linotype" w:eastAsiaTheme="minorHAnsi" w:hAnsi="Palatino Linotype" w:cs="Arial"/>
          <w:bCs/>
          <w:lang w:val="es-MX" w:eastAsia="en-US"/>
        </w:rPr>
        <w:t>,</w:t>
      </w:r>
      <w:r w:rsidR="002803F1" w:rsidRPr="00604E50">
        <w:rPr>
          <w:rFonts w:ascii="Palatino Linotype" w:eastAsiaTheme="minorHAnsi" w:hAnsi="Palatino Linotype" w:cs="Arial"/>
          <w:lang w:val="es-MX" w:eastAsia="en-US"/>
        </w:rPr>
        <w:t xml:space="preserve"> y hágase del conocimiento, que de conformidad con lo establecido en el artículo 196, de la Ley de Transparencia y Acceso a la Información Pública del Estado de México y Municipios, podrá promover el Juicio de Amparo en los t</w:t>
      </w:r>
      <w:r w:rsidR="00A12772" w:rsidRPr="00604E50">
        <w:rPr>
          <w:rFonts w:ascii="Palatino Linotype" w:eastAsiaTheme="minorHAnsi" w:hAnsi="Palatino Linotype" w:cs="Arial"/>
          <w:lang w:val="es-MX" w:eastAsia="en-US"/>
        </w:rPr>
        <w:t>érminos de las leyes aplicables</w:t>
      </w:r>
      <w:r w:rsidR="002803F1" w:rsidRPr="00604E50">
        <w:rPr>
          <w:rFonts w:ascii="Palatino Linotype" w:eastAsiaTheme="minorHAnsi" w:hAnsi="Palatino Linotype" w:cs="Arial"/>
          <w:lang w:val="es-MX" w:eastAsia="en-US"/>
        </w:rPr>
        <w:t>.</w:t>
      </w:r>
    </w:p>
    <w:p w14:paraId="2CFE5412" w14:textId="77777777" w:rsidR="005D5C9F" w:rsidRPr="00604E50" w:rsidRDefault="005D5C9F" w:rsidP="00260711">
      <w:pPr>
        <w:autoSpaceDE w:val="0"/>
        <w:autoSpaceDN w:val="0"/>
        <w:adjustRightInd w:val="0"/>
        <w:spacing w:line="360" w:lineRule="auto"/>
        <w:jc w:val="both"/>
        <w:rPr>
          <w:rFonts w:ascii="Palatino Linotype" w:hAnsi="Palatino Linotype"/>
        </w:rPr>
      </w:pPr>
    </w:p>
    <w:p w14:paraId="710A7016" w14:textId="2620DA4D" w:rsidR="00661A5A" w:rsidRPr="00604E50" w:rsidRDefault="00A036A6" w:rsidP="00A05199">
      <w:pPr>
        <w:spacing w:line="360" w:lineRule="auto"/>
        <w:jc w:val="both"/>
        <w:rPr>
          <w:rFonts w:ascii="Palatino Linotype" w:hAnsi="Palatino Linotype" w:cs="Arial"/>
        </w:rPr>
      </w:pPr>
      <w:r w:rsidRPr="00604E50">
        <w:rPr>
          <w:rFonts w:ascii="Palatino Linotype" w:hAnsi="Palatino Linotype" w:cs="Arial"/>
        </w:rPr>
        <w:lastRenderedPageBreak/>
        <w:t>ASÍ LO RESUELVE, POR UNANIMIDAD DE VOTOS EL PLENO DEL</w:t>
      </w:r>
      <w:r w:rsidRPr="00604E50">
        <w:rPr>
          <w:rFonts w:ascii="Palatino Linotype" w:eastAsia="Arial Unicode MS" w:hAnsi="Palatino Linotype" w:cs="Arial"/>
        </w:rPr>
        <w:t xml:space="preserve"> INSTITUTO DE TRANSPARENCIA, ACCESO A LA INFORMACIÓN PÚBLICA Y PROTECCIÓN DE DATOS PERSONALES DEL ESTADO DE MÉXICO Y MUNICIPIOS</w:t>
      </w:r>
      <w:r w:rsidRPr="00604E50">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647342">
        <w:rPr>
          <w:rFonts w:ascii="Palatino Linotype" w:hAnsi="Palatino Linotype" w:cs="Arial"/>
        </w:rPr>
        <w:t>OCTAVA</w:t>
      </w:r>
      <w:r w:rsidR="00D1211B" w:rsidRPr="00604E50">
        <w:rPr>
          <w:rFonts w:ascii="Palatino Linotype" w:hAnsi="Palatino Linotype" w:cs="Arial"/>
        </w:rPr>
        <w:t xml:space="preserve"> </w:t>
      </w:r>
      <w:r w:rsidRPr="00604E50">
        <w:rPr>
          <w:rFonts w:ascii="Palatino Linotype" w:hAnsi="Palatino Linotype" w:cs="Arial"/>
        </w:rPr>
        <w:t xml:space="preserve">SESIÓN ORDINARIA CELEBRADA </w:t>
      </w:r>
      <w:r w:rsidR="00D20352" w:rsidRPr="00604E50">
        <w:rPr>
          <w:rFonts w:ascii="Palatino Linotype" w:hAnsi="Palatino Linotype" w:cs="Arial"/>
        </w:rPr>
        <w:t xml:space="preserve">EL </w:t>
      </w:r>
      <w:r w:rsidR="00647342">
        <w:rPr>
          <w:rFonts w:ascii="Palatino Linotype" w:hAnsi="Palatino Linotype" w:cs="Arial"/>
        </w:rPr>
        <w:t>SEIS DE MARZO DE DOS MIL VEINTICINCO</w:t>
      </w:r>
      <w:r w:rsidR="00D20352" w:rsidRPr="00604E50">
        <w:rPr>
          <w:rFonts w:ascii="Palatino Linotype" w:hAnsi="Palatino Linotype" w:cs="Arial"/>
        </w:rPr>
        <w:t>, ANTE EL SECR</w:t>
      </w:r>
      <w:r w:rsidRPr="00604E50">
        <w:rPr>
          <w:rFonts w:ascii="Palatino Linotype" w:hAnsi="Palatino Linotype" w:cs="Arial"/>
        </w:rPr>
        <w:t>ETARIO TÉCNICO DEL P</w:t>
      </w:r>
      <w:r w:rsidR="002D7DCB" w:rsidRPr="00604E50">
        <w:rPr>
          <w:rFonts w:ascii="Palatino Linotype" w:hAnsi="Palatino Linotype" w:cs="Arial"/>
        </w:rPr>
        <w:t>LENO, ALEXIS TAPIA RAMÍREZ.</w:t>
      </w:r>
      <w:r w:rsidR="00D22A38" w:rsidRPr="00604E50">
        <w:rPr>
          <w:rFonts w:ascii="Palatino Linotype" w:hAnsi="Palatino Linotype" w:cs="Arial"/>
        </w:rPr>
        <w:t>----------------------------</w:t>
      </w:r>
      <w:r w:rsidR="00093E8C" w:rsidRPr="00604E50">
        <w:rPr>
          <w:rFonts w:ascii="Palatino Linotype" w:hAnsi="Palatino Linotype" w:cs="Arial"/>
        </w:rPr>
        <w:t>---------</w:t>
      </w:r>
      <w:r w:rsidR="005D5C9F" w:rsidRPr="00604E50">
        <w:rPr>
          <w:rFonts w:ascii="Palatino Linotype" w:hAnsi="Palatino Linotype" w:cs="Arial"/>
        </w:rPr>
        <w:t>----</w:t>
      </w:r>
      <w:r w:rsidR="00093E8C" w:rsidRPr="00604E50">
        <w:rPr>
          <w:rFonts w:ascii="Palatino Linotype" w:hAnsi="Palatino Linotype" w:cs="Arial"/>
        </w:rPr>
        <w:t>--------------------------------------------------------------</w:t>
      </w:r>
      <w:r w:rsidR="005D5C9F" w:rsidRPr="00604E50">
        <w:rPr>
          <w:rFonts w:ascii="Palatino Linotype" w:hAnsi="Palatino Linotype" w:cs="Arial"/>
        </w:rPr>
        <w:t>--------------------------------------------------------------------------------------------------------------</w:t>
      </w:r>
      <w:r w:rsidR="00A05199" w:rsidRPr="00604E50">
        <w:rPr>
          <w:rFonts w:ascii="Palatino Linotype" w:hAnsi="Palatino Linotype" w:cs="Arial"/>
        </w:rPr>
        <w:t>-</w:t>
      </w:r>
      <w:r w:rsidR="00D42558" w:rsidRPr="00604E50">
        <w:rPr>
          <w:rFonts w:ascii="Palatino Linotype" w:hAnsi="Palatino Linotype" w:cs="Arial"/>
        </w:rPr>
        <w:t>-------------------------------------------------------------------------------------------------</w:t>
      </w:r>
      <w:r w:rsidR="00A130B0" w:rsidRPr="00604E50">
        <w:rPr>
          <w:rFonts w:ascii="Palatino Linotype" w:hAnsi="Palatino Linotype" w:cs="Arial"/>
        </w:rPr>
        <w:t>-------------------------------------------------------------------------------------------------------------------------------------------------------------------------------------------------------------</w:t>
      </w:r>
      <w:r w:rsidR="004A7159" w:rsidRPr="00604E50">
        <w:rPr>
          <w:rFonts w:ascii="Palatino Linotype" w:hAnsi="Palatino Linotype" w:cs="Arial"/>
        </w:rPr>
        <w:t>------------------</w:t>
      </w:r>
      <w:r w:rsidR="00647342">
        <w:rPr>
          <w:rFonts w:ascii="Palatino Linotype" w:hAnsi="Palatino Linotype" w:cs="Arial"/>
        </w:rPr>
        <w:t>---------------------</w:t>
      </w:r>
      <w:r w:rsidR="00647342" w:rsidRPr="00647342">
        <w:rPr>
          <w:rFonts w:ascii="Palatino Linotype" w:hAnsi="Palatino Linotype" w:cs="Arial"/>
        </w:rPr>
        <w:t xml:space="preserve"> </w:t>
      </w:r>
      <w:r w:rsidR="00647342" w:rsidRPr="00604E50">
        <w:rPr>
          <w:rFonts w:ascii="Palatino Linotype" w:hAnsi="Palatino Linotype" w:cs="Arial"/>
        </w:rPr>
        <w:t>---------------------------------------------------------------------------------------------------------------------------------------------------------------------------------------------------------------------------------------------------------------------------------------------------------------------------------------------------------------------------------------------------------------------------------------------------</w:t>
      </w:r>
      <w:r w:rsidR="00647342">
        <w:rPr>
          <w:rFonts w:ascii="Palatino Linotype" w:hAnsi="Palatino Linotype" w:cs="Arial"/>
        </w:rPr>
        <w:t>---------------------</w:t>
      </w:r>
      <w:r w:rsidR="00647342" w:rsidRPr="00604E50">
        <w:rPr>
          <w:rFonts w:ascii="Palatino Linotype" w:hAnsi="Palatino Linotype" w:cs="Arial"/>
        </w:rPr>
        <w:t>---------------------------------------------------------------------------------------------------------------------------------------------------------------------------------------------------------------------------------------------------------------------------------------------------------------------------------------------------------------------------------------------------------------------------------------------------</w:t>
      </w:r>
      <w:r w:rsidR="00647342">
        <w:rPr>
          <w:rFonts w:ascii="Palatino Linotype" w:hAnsi="Palatino Linotype" w:cs="Arial"/>
        </w:rPr>
        <w:t>---------------------</w:t>
      </w:r>
      <w:r w:rsidR="00647342" w:rsidRPr="00604E50">
        <w:rPr>
          <w:rFonts w:ascii="Palatino Linotype" w:hAnsi="Palatino Linotype" w:cs="Arial"/>
        </w:rPr>
        <w:t>---------------------------------------------------------------------------------------------</w:t>
      </w:r>
      <w:r w:rsidR="00647342">
        <w:rPr>
          <w:rFonts w:ascii="Palatino Linotype" w:hAnsi="Palatino Linotype" w:cs="Arial"/>
        </w:rPr>
        <w:t>---------------------</w:t>
      </w:r>
      <w:r w:rsidR="00647342" w:rsidRPr="00604E50">
        <w:rPr>
          <w:rFonts w:ascii="Palatino Linotype" w:hAnsi="Palatino Linotype" w:cs="Arial"/>
        </w:rPr>
        <w:t>---------------------------------------------------------------------------------------------</w:t>
      </w:r>
      <w:r w:rsidR="00647342">
        <w:rPr>
          <w:rFonts w:ascii="Palatino Linotype" w:hAnsi="Palatino Linotype" w:cs="Arial"/>
        </w:rPr>
        <w:t>---------------------</w:t>
      </w:r>
      <w:r w:rsidR="00647342" w:rsidRPr="00604E50">
        <w:rPr>
          <w:rFonts w:ascii="Palatino Linotype" w:hAnsi="Palatino Linotype" w:cs="Arial"/>
        </w:rPr>
        <w:t>---------------------------------------------------------------------------------------------</w:t>
      </w:r>
      <w:r w:rsidR="00647342">
        <w:rPr>
          <w:rFonts w:ascii="Palatino Linotype" w:hAnsi="Palatino Linotype" w:cs="Arial"/>
        </w:rPr>
        <w:t>---------------------</w:t>
      </w:r>
    </w:p>
    <w:p w14:paraId="5208EE84" w14:textId="3EE6BFFA" w:rsidR="00A67A88" w:rsidRPr="00A67A88" w:rsidRDefault="00A67A88" w:rsidP="002D7DCB">
      <w:pPr>
        <w:spacing w:line="360" w:lineRule="auto"/>
        <w:jc w:val="both"/>
        <w:rPr>
          <w:rFonts w:ascii="Palatino Linotype" w:hAnsi="Palatino Linotype" w:cs="Arial"/>
          <w:sz w:val="18"/>
        </w:rPr>
      </w:pPr>
      <w:r w:rsidRPr="00604E50">
        <w:rPr>
          <w:rFonts w:ascii="Palatino Linotype" w:hAnsi="Palatino Linotype" w:cs="Arial"/>
          <w:sz w:val="18"/>
        </w:rPr>
        <w:t>JMV/CCR/</w:t>
      </w:r>
      <w:r w:rsidR="004A7159" w:rsidRPr="00604E50">
        <w:rPr>
          <w:rFonts w:ascii="Palatino Linotype" w:hAnsi="Palatino Linotype" w:cs="Arial"/>
          <w:sz w:val="18"/>
        </w:rPr>
        <w:t>EJDG</w:t>
      </w:r>
    </w:p>
    <w:p w14:paraId="6DB9EEF1" w14:textId="77777777" w:rsidR="00A036A6" w:rsidRPr="00154A3D" w:rsidRDefault="00A036A6" w:rsidP="00A036A6">
      <w:pPr>
        <w:spacing w:line="360" w:lineRule="auto"/>
        <w:jc w:val="both"/>
        <w:rPr>
          <w:rFonts w:ascii="Palatino Linotype" w:hAnsi="Palatino Linotype" w:cs="Arial"/>
          <w:sz w:val="32"/>
        </w:rPr>
      </w:pPr>
    </w:p>
    <w:p w14:paraId="11107CFA" w14:textId="77777777" w:rsidR="00A036A6" w:rsidRPr="00154A3D" w:rsidRDefault="00A036A6" w:rsidP="00A036A6">
      <w:pPr>
        <w:spacing w:line="360" w:lineRule="auto"/>
        <w:jc w:val="both"/>
        <w:rPr>
          <w:rFonts w:ascii="Palatino Linotype" w:hAnsi="Palatino Linotype" w:cs="Arial"/>
        </w:rPr>
      </w:pPr>
    </w:p>
    <w:p w14:paraId="40974C2D" w14:textId="77777777" w:rsidR="00A036A6" w:rsidRPr="00154A3D" w:rsidRDefault="00A036A6" w:rsidP="00A036A6">
      <w:pPr>
        <w:spacing w:line="360" w:lineRule="auto"/>
        <w:jc w:val="both"/>
        <w:rPr>
          <w:rFonts w:ascii="Palatino Linotype" w:hAnsi="Palatino Linotype" w:cs="Arial"/>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1A778404" w14:textId="77777777" w:rsidR="00A036A6" w:rsidRPr="00154A3D" w:rsidRDefault="00A036A6" w:rsidP="00A036A6">
      <w:pPr>
        <w:spacing w:line="480" w:lineRule="auto"/>
        <w:rPr>
          <w:rFonts w:ascii="Palatino Linotype" w:hAnsi="Palatino Linotype"/>
          <w:b/>
        </w:rPr>
      </w:pPr>
    </w:p>
    <w:p w14:paraId="76104F89" w14:textId="77777777" w:rsidR="00A036A6" w:rsidRPr="00154A3D" w:rsidRDefault="00A036A6" w:rsidP="00A036A6">
      <w:pPr>
        <w:spacing w:line="480" w:lineRule="auto"/>
        <w:rPr>
          <w:rFonts w:ascii="Palatino Linotype" w:hAnsi="Palatino Linotype"/>
          <w:b/>
        </w:rPr>
      </w:pPr>
    </w:p>
    <w:p w14:paraId="6AC842E9" w14:textId="77777777" w:rsidR="00A036A6" w:rsidRPr="00154A3D" w:rsidRDefault="00A036A6" w:rsidP="00A036A6">
      <w:pPr>
        <w:spacing w:line="480" w:lineRule="auto"/>
        <w:rPr>
          <w:rFonts w:ascii="Palatino Linotype" w:hAnsi="Palatino Linotype"/>
          <w:b/>
        </w:rPr>
      </w:pPr>
    </w:p>
    <w:p w14:paraId="1FBBE67F" w14:textId="77777777" w:rsidR="00A036A6" w:rsidRPr="00154A3D" w:rsidRDefault="00A036A6" w:rsidP="00A036A6">
      <w:pPr>
        <w:spacing w:line="480" w:lineRule="auto"/>
        <w:rPr>
          <w:rFonts w:ascii="Palatino Linotype" w:hAnsi="Palatino Linotype"/>
          <w:b/>
        </w:rPr>
      </w:pPr>
    </w:p>
    <w:p w14:paraId="068667BD" w14:textId="77777777" w:rsidR="00A036A6" w:rsidRPr="00154A3D" w:rsidRDefault="00A036A6" w:rsidP="00A036A6">
      <w:pPr>
        <w:spacing w:line="480" w:lineRule="auto"/>
        <w:rPr>
          <w:rFonts w:ascii="Palatino Linotype" w:hAnsi="Palatino Linotype"/>
          <w:b/>
        </w:rPr>
      </w:pPr>
    </w:p>
    <w:p w14:paraId="6D4669B7" w14:textId="77777777" w:rsidR="00A036A6" w:rsidRPr="00154A3D" w:rsidRDefault="00A036A6" w:rsidP="00A036A6">
      <w:pPr>
        <w:tabs>
          <w:tab w:val="left" w:pos="709"/>
        </w:tabs>
        <w:spacing w:line="360" w:lineRule="auto"/>
        <w:ind w:right="51"/>
        <w:jc w:val="both"/>
        <w:rPr>
          <w:rFonts w:ascii="Palatino Linotype" w:hAnsi="Palatino Linotype"/>
        </w:rPr>
      </w:pPr>
    </w:p>
    <w:p w14:paraId="41528A31" w14:textId="0E3CA9E3" w:rsidR="0043515A" w:rsidRPr="003E56C9" w:rsidRDefault="0043515A" w:rsidP="003E56C9"/>
    <w:sectPr w:rsidR="0043515A"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0EE2" w14:textId="77777777" w:rsidR="001A2269" w:rsidRDefault="001A2269" w:rsidP="000B5E25">
      <w:r>
        <w:separator/>
      </w:r>
    </w:p>
  </w:endnote>
  <w:endnote w:type="continuationSeparator" w:id="0">
    <w:p w14:paraId="0BAB02B9" w14:textId="77777777" w:rsidR="001A2269" w:rsidRDefault="001A226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1563F9">
      <w:rPr>
        <w:rFonts w:ascii="Palatino Linotype" w:hAnsi="Palatino Linotype" w:cs="Arial"/>
        <w:bCs/>
        <w:noProof/>
        <w:sz w:val="20"/>
        <w:szCs w:val="20"/>
      </w:rPr>
      <w:t>21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1563F9">
      <w:rPr>
        <w:rFonts w:ascii="Palatino Linotype" w:hAnsi="Palatino Linotype" w:cs="Arial"/>
        <w:bCs/>
        <w:noProof/>
        <w:sz w:val="20"/>
        <w:szCs w:val="20"/>
      </w:rPr>
      <w:t>31</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1563F9">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1563F9">
      <w:rPr>
        <w:rFonts w:ascii="Palatino Linotype" w:hAnsi="Palatino Linotype" w:cs="Arial"/>
        <w:bCs/>
        <w:noProof/>
        <w:sz w:val="20"/>
        <w:szCs w:val="20"/>
      </w:rPr>
      <w:t>31</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3BD2" w14:textId="77777777" w:rsidR="001A2269" w:rsidRDefault="001A2269" w:rsidP="000B5E25">
      <w:r>
        <w:separator/>
      </w:r>
    </w:p>
  </w:footnote>
  <w:footnote w:type="continuationSeparator" w:id="0">
    <w:p w14:paraId="6A503178" w14:textId="77777777" w:rsidR="001A2269" w:rsidRDefault="001A2269"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D607E" w:rsidRDefault="001563F9">
    <w:pPr>
      <w:pStyle w:val="Encabezado"/>
    </w:pPr>
    <w:r>
      <w:rPr>
        <w:noProof/>
        <w:lang w:val="es-MX" w:eastAsia="es-MX"/>
      </w:rPr>
      <w:pict w14:anchorId="1D8DB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45"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ED607E" w:rsidRPr="008F2CCC" w14:paraId="3DCCF5FC" w14:textId="77777777" w:rsidTr="00E8184E">
      <w:tc>
        <w:tcPr>
          <w:tcW w:w="2551" w:type="dxa"/>
          <w:shd w:val="clear" w:color="auto" w:fill="auto"/>
        </w:tcPr>
        <w:p w14:paraId="0B353FC0" w14:textId="77777777" w:rsidR="00ED607E" w:rsidRPr="00807CDA" w:rsidRDefault="00ED607E" w:rsidP="00A036A6">
          <w:pPr>
            <w:spacing w:line="360" w:lineRule="auto"/>
            <w:rPr>
              <w:rFonts w:ascii="Palatino Linotype" w:hAnsi="Palatino Linotype"/>
              <w:sz w:val="22"/>
              <w:szCs w:val="22"/>
            </w:rPr>
          </w:pPr>
          <w:r w:rsidRPr="00807CDA">
            <w:rPr>
              <w:rFonts w:ascii="Palatino Linotype" w:hAnsi="Palatino Linotype"/>
              <w:sz w:val="22"/>
              <w:szCs w:val="22"/>
            </w:rPr>
            <w:t>Recurso de revisión:</w:t>
          </w:r>
        </w:p>
      </w:tc>
      <w:tc>
        <w:tcPr>
          <w:tcW w:w="4399" w:type="dxa"/>
          <w:shd w:val="clear" w:color="auto" w:fill="auto"/>
          <w:vAlign w:val="center"/>
        </w:tcPr>
        <w:p w14:paraId="14DB5808" w14:textId="623CD188" w:rsidR="00ED607E" w:rsidRPr="00A036A6" w:rsidRDefault="000F0FFC" w:rsidP="00A23F9E">
          <w:pPr>
            <w:spacing w:line="360" w:lineRule="auto"/>
            <w:jc w:val="right"/>
            <w:rPr>
              <w:rFonts w:ascii="Palatino Linotype" w:hAnsi="Palatino Linotype"/>
              <w:sz w:val="22"/>
              <w:szCs w:val="22"/>
            </w:rPr>
          </w:pPr>
          <w:r w:rsidRPr="000F0FFC">
            <w:rPr>
              <w:rFonts w:ascii="Palatino Linotype" w:hAnsi="Palatino Linotype"/>
              <w:sz w:val="22"/>
              <w:szCs w:val="22"/>
            </w:rPr>
            <w:t>00605/INFOEM/IP/RR/2025</w:t>
          </w:r>
        </w:p>
      </w:tc>
    </w:tr>
    <w:tr w:rsidR="00ED607E" w:rsidRPr="008F2CCC" w14:paraId="0A96D364" w14:textId="77777777" w:rsidTr="00E8184E">
      <w:tc>
        <w:tcPr>
          <w:tcW w:w="2551" w:type="dxa"/>
          <w:shd w:val="clear" w:color="auto" w:fill="auto"/>
        </w:tcPr>
        <w:p w14:paraId="7B059E88" w14:textId="77777777" w:rsidR="00ED607E" w:rsidRPr="00807CDA" w:rsidRDefault="00ED607E" w:rsidP="00A036A6">
          <w:pPr>
            <w:spacing w:line="360" w:lineRule="auto"/>
            <w:rPr>
              <w:rFonts w:ascii="Palatino Linotype" w:hAnsi="Palatino Linotype"/>
              <w:sz w:val="22"/>
              <w:szCs w:val="22"/>
            </w:rPr>
          </w:pPr>
          <w:r>
            <w:rPr>
              <w:rFonts w:ascii="Palatino Linotype" w:hAnsi="Palatino Linotype"/>
              <w:sz w:val="22"/>
              <w:szCs w:val="22"/>
            </w:rPr>
            <w:t>Sujeto Obligado</w:t>
          </w:r>
          <w:r w:rsidRPr="00807CDA">
            <w:rPr>
              <w:rFonts w:ascii="Palatino Linotype" w:hAnsi="Palatino Linotype"/>
              <w:sz w:val="22"/>
              <w:szCs w:val="22"/>
            </w:rPr>
            <w:t>:</w:t>
          </w:r>
        </w:p>
      </w:tc>
      <w:tc>
        <w:tcPr>
          <w:tcW w:w="4399" w:type="dxa"/>
          <w:shd w:val="clear" w:color="auto" w:fill="auto"/>
          <w:vAlign w:val="center"/>
        </w:tcPr>
        <w:p w14:paraId="219FCD61" w14:textId="13D777F0" w:rsidR="00ED607E" w:rsidRPr="00A036A6" w:rsidRDefault="000F0FFC" w:rsidP="00271073">
          <w:pPr>
            <w:spacing w:line="360" w:lineRule="auto"/>
            <w:jc w:val="right"/>
            <w:rPr>
              <w:rFonts w:ascii="Palatino Linotype" w:hAnsi="Palatino Linotype"/>
              <w:sz w:val="22"/>
              <w:szCs w:val="22"/>
            </w:rPr>
          </w:pPr>
          <w:r w:rsidRPr="000F0FFC">
            <w:rPr>
              <w:rFonts w:ascii="Palatino Linotype" w:hAnsi="Palatino Linotype"/>
              <w:sz w:val="22"/>
              <w:szCs w:val="22"/>
            </w:rPr>
            <w:t>Ayuntamiento de Toluca</w:t>
          </w:r>
        </w:p>
      </w:tc>
    </w:tr>
    <w:tr w:rsidR="00ED607E" w:rsidRPr="008F2CCC" w14:paraId="3CF6D078" w14:textId="77777777" w:rsidTr="00E8184E">
      <w:trPr>
        <w:trHeight w:val="228"/>
      </w:trPr>
      <w:tc>
        <w:tcPr>
          <w:tcW w:w="2551" w:type="dxa"/>
          <w:shd w:val="clear" w:color="auto" w:fill="auto"/>
        </w:tcPr>
        <w:p w14:paraId="57384BF0" w14:textId="77777777" w:rsidR="00ED607E" w:rsidRPr="00807CDA" w:rsidRDefault="00ED607E" w:rsidP="00A036A6">
          <w:pPr>
            <w:spacing w:line="360" w:lineRule="auto"/>
            <w:rPr>
              <w:rFonts w:ascii="Palatino Linotype" w:hAnsi="Palatino Linotype"/>
              <w:sz w:val="22"/>
              <w:szCs w:val="22"/>
            </w:rPr>
          </w:pPr>
          <w:r>
            <w:rPr>
              <w:rFonts w:ascii="Palatino Linotype" w:hAnsi="Palatino Linotype"/>
              <w:sz w:val="22"/>
              <w:szCs w:val="22"/>
            </w:rPr>
            <w:t>Comisionado</w:t>
          </w:r>
          <w:r w:rsidRPr="00807CDA">
            <w:rPr>
              <w:rFonts w:ascii="Palatino Linotype" w:hAnsi="Palatino Linotype"/>
              <w:sz w:val="22"/>
              <w:szCs w:val="22"/>
            </w:rPr>
            <w:t xml:space="preserve"> </w:t>
          </w:r>
          <w:r>
            <w:rPr>
              <w:rFonts w:ascii="Palatino Linotype" w:hAnsi="Palatino Linotype"/>
              <w:sz w:val="22"/>
              <w:szCs w:val="22"/>
            </w:rPr>
            <w:t>P</w:t>
          </w:r>
          <w:r w:rsidRPr="00807CDA">
            <w:rPr>
              <w:rFonts w:ascii="Palatino Linotype" w:hAnsi="Palatino Linotype"/>
              <w:sz w:val="22"/>
              <w:szCs w:val="22"/>
            </w:rPr>
            <w:t>onente:</w:t>
          </w:r>
        </w:p>
      </w:tc>
      <w:tc>
        <w:tcPr>
          <w:tcW w:w="4399" w:type="dxa"/>
          <w:shd w:val="clear" w:color="auto" w:fill="auto"/>
        </w:tcPr>
        <w:p w14:paraId="25C62143" w14:textId="77777777" w:rsidR="00ED607E" w:rsidRPr="00A036A6" w:rsidRDefault="00ED607E" w:rsidP="00A036A6">
          <w:pPr>
            <w:spacing w:line="360" w:lineRule="auto"/>
            <w:jc w:val="right"/>
            <w:rPr>
              <w:rFonts w:ascii="Palatino Linotype" w:hAnsi="Palatino Linotype"/>
              <w:sz w:val="22"/>
              <w:szCs w:val="22"/>
            </w:rPr>
          </w:pPr>
          <w:r w:rsidRPr="00A036A6">
            <w:rPr>
              <w:rFonts w:ascii="Palatino Linotype" w:hAnsi="Palatino Linotype"/>
              <w:sz w:val="22"/>
              <w:szCs w:val="22"/>
            </w:rPr>
            <w:t>José Martínez Vilchis</w:t>
          </w:r>
        </w:p>
      </w:tc>
    </w:tr>
  </w:tbl>
  <w:p w14:paraId="63A87038" w14:textId="77777777" w:rsidR="00ED607E" w:rsidRPr="001779E0" w:rsidRDefault="001563F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AF4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44" type="#_x0000_t75" alt="" style="position:absolute;margin-left:-84.15pt;margin-top:-114.95pt;width:609.4pt;height:793.75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ED607E" w:rsidRPr="000F0FFC" w14:paraId="1C0641CB" w14:textId="77777777" w:rsidTr="00E8184E">
      <w:tc>
        <w:tcPr>
          <w:tcW w:w="2552" w:type="dxa"/>
          <w:shd w:val="clear" w:color="auto" w:fill="auto"/>
        </w:tcPr>
        <w:p w14:paraId="4577EC74" w14:textId="77777777" w:rsidR="00ED607E" w:rsidRPr="00807CDA" w:rsidRDefault="00ED607E" w:rsidP="0043515A">
          <w:pPr>
            <w:spacing w:line="360" w:lineRule="auto"/>
            <w:jc w:val="both"/>
            <w:rPr>
              <w:rFonts w:ascii="Palatino Linotype" w:hAnsi="Palatino Linotype"/>
              <w:sz w:val="22"/>
              <w:szCs w:val="22"/>
            </w:rPr>
          </w:pPr>
          <w:r w:rsidRPr="00807CDA">
            <w:rPr>
              <w:rFonts w:ascii="Palatino Linotype" w:hAnsi="Palatino Linotype"/>
              <w:sz w:val="22"/>
              <w:szCs w:val="22"/>
            </w:rPr>
            <w:t>Recurso de revisión:</w:t>
          </w:r>
        </w:p>
      </w:tc>
      <w:tc>
        <w:tcPr>
          <w:tcW w:w="4682" w:type="dxa"/>
          <w:shd w:val="clear" w:color="auto" w:fill="auto"/>
          <w:vAlign w:val="center"/>
        </w:tcPr>
        <w:p w14:paraId="24B7034C" w14:textId="18A99794" w:rsidR="00ED607E" w:rsidRPr="000F0FFC" w:rsidRDefault="000F0FFC" w:rsidP="00A93F44">
          <w:pPr>
            <w:jc w:val="right"/>
            <w:rPr>
              <w:rFonts w:ascii="Palatino Linotype" w:hAnsi="Palatino Linotype"/>
              <w:sz w:val="22"/>
              <w:szCs w:val="22"/>
            </w:rPr>
          </w:pPr>
          <w:r w:rsidRPr="000F0FFC">
            <w:rPr>
              <w:rFonts w:ascii="Palatino Linotype" w:hAnsi="Palatino Linotype"/>
              <w:sz w:val="22"/>
              <w:szCs w:val="22"/>
            </w:rPr>
            <w:t>00605/INFOEM/IP/RR/2025</w:t>
          </w:r>
        </w:p>
      </w:tc>
    </w:tr>
    <w:tr w:rsidR="00ED607E" w:rsidRPr="008F2CCC" w14:paraId="1DD5B75C" w14:textId="77777777" w:rsidTr="00E8184E">
      <w:tc>
        <w:tcPr>
          <w:tcW w:w="2552" w:type="dxa"/>
          <w:shd w:val="clear" w:color="auto" w:fill="auto"/>
          <w:vAlign w:val="center"/>
        </w:tcPr>
        <w:p w14:paraId="3716D1A7"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Recurrente</w:t>
          </w:r>
          <w:r w:rsidRPr="00807CDA">
            <w:rPr>
              <w:rFonts w:ascii="Palatino Linotype" w:hAnsi="Palatino Linotype"/>
              <w:sz w:val="22"/>
              <w:szCs w:val="22"/>
            </w:rPr>
            <w:t>:</w:t>
          </w:r>
        </w:p>
      </w:tc>
      <w:tc>
        <w:tcPr>
          <w:tcW w:w="4682" w:type="dxa"/>
          <w:shd w:val="clear" w:color="auto" w:fill="auto"/>
          <w:vAlign w:val="center"/>
        </w:tcPr>
        <w:p w14:paraId="0175C365" w14:textId="6959BC94" w:rsidR="00ED607E" w:rsidRPr="00A036A6" w:rsidRDefault="001563F9" w:rsidP="00A93F44">
          <w:pPr>
            <w:jc w:val="right"/>
            <w:rPr>
              <w:rFonts w:ascii="Palatino Linotype" w:hAnsi="Palatino Linotype"/>
              <w:sz w:val="22"/>
              <w:szCs w:val="22"/>
            </w:rPr>
          </w:pPr>
          <w:r>
            <w:rPr>
              <w:rFonts w:ascii="Palatino Linotype" w:hAnsi="Palatino Linotype"/>
              <w:sz w:val="22"/>
              <w:szCs w:val="22"/>
            </w:rPr>
            <w:t>XXXX</w:t>
          </w:r>
        </w:p>
      </w:tc>
    </w:tr>
    <w:tr w:rsidR="00ED607E" w:rsidRPr="008F2CCC" w14:paraId="5B580D2A" w14:textId="77777777" w:rsidTr="00E8184E">
      <w:trPr>
        <w:trHeight w:val="228"/>
      </w:trPr>
      <w:tc>
        <w:tcPr>
          <w:tcW w:w="2552" w:type="dxa"/>
          <w:shd w:val="clear" w:color="auto" w:fill="auto"/>
        </w:tcPr>
        <w:p w14:paraId="2AE80AB5"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Sujeto Obligado</w:t>
          </w:r>
          <w:r w:rsidRPr="00807CDA">
            <w:rPr>
              <w:rFonts w:ascii="Palatino Linotype" w:hAnsi="Palatino Linotype"/>
              <w:sz w:val="22"/>
              <w:szCs w:val="22"/>
            </w:rPr>
            <w:t>:</w:t>
          </w:r>
        </w:p>
      </w:tc>
      <w:tc>
        <w:tcPr>
          <w:tcW w:w="4682" w:type="dxa"/>
          <w:shd w:val="clear" w:color="auto" w:fill="auto"/>
          <w:vAlign w:val="center"/>
        </w:tcPr>
        <w:p w14:paraId="22EF8F45" w14:textId="10B60F66" w:rsidR="00ED607E" w:rsidRPr="000F0FFC" w:rsidRDefault="000F0FFC" w:rsidP="00A93F44">
          <w:pPr>
            <w:jc w:val="right"/>
            <w:rPr>
              <w:rFonts w:ascii="Palatino Linotype" w:hAnsi="Palatino Linotype"/>
              <w:sz w:val="22"/>
              <w:szCs w:val="22"/>
            </w:rPr>
          </w:pPr>
          <w:r w:rsidRPr="000F0FFC">
            <w:rPr>
              <w:rFonts w:ascii="Palatino Linotype" w:hAnsi="Palatino Linotype"/>
              <w:sz w:val="22"/>
              <w:szCs w:val="22"/>
            </w:rPr>
            <w:t>Ayuntamiento de Toluca</w:t>
          </w:r>
        </w:p>
      </w:tc>
    </w:tr>
    <w:tr w:rsidR="00ED607E" w:rsidRPr="008F2CCC" w14:paraId="4A338987" w14:textId="77777777" w:rsidTr="00E8184E">
      <w:tc>
        <w:tcPr>
          <w:tcW w:w="2552" w:type="dxa"/>
          <w:shd w:val="clear" w:color="auto" w:fill="auto"/>
        </w:tcPr>
        <w:p w14:paraId="5BFDE434"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Comisionado</w:t>
          </w:r>
          <w:r w:rsidRPr="00807CDA">
            <w:rPr>
              <w:rFonts w:ascii="Palatino Linotype" w:hAnsi="Palatino Linotype"/>
              <w:sz w:val="22"/>
              <w:szCs w:val="22"/>
            </w:rPr>
            <w:t xml:space="preserve"> </w:t>
          </w:r>
          <w:r>
            <w:rPr>
              <w:rFonts w:ascii="Palatino Linotype" w:hAnsi="Palatino Linotype"/>
              <w:sz w:val="22"/>
              <w:szCs w:val="22"/>
            </w:rPr>
            <w:t>P</w:t>
          </w:r>
          <w:r w:rsidRPr="00807CDA">
            <w:rPr>
              <w:rFonts w:ascii="Palatino Linotype" w:hAnsi="Palatino Linotype"/>
              <w:sz w:val="22"/>
              <w:szCs w:val="22"/>
            </w:rPr>
            <w:t>onente:</w:t>
          </w:r>
        </w:p>
      </w:tc>
      <w:tc>
        <w:tcPr>
          <w:tcW w:w="4682" w:type="dxa"/>
          <w:shd w:val="clear" w:color="auto" w:fill="auto"/>
        </w:tcPr>
        <w:p w14:paraId="36287C41" w14:textId="77777777" w:rsidR="00ED607E" w:rsidRPr="00A036A6" w:rsidRDefault="00ED607E" w:rsidP="00A93F44">
          <w:pPr>
            <w:jc w:val="right"/>
            <w:rPr>
              <w:rFonts w:ascii="Palatino Linotype" w:hAnsi="Palatino Linotype"/>
              <w:sz w:val="22"/>
              <w:szCs w:val="22"/>
            </w:rPr>
          </w:pPr>
          <w:r w:rsidRPr="00A036A6">
            <w:rPr>
              <w:rFonts w:ascii="Palatino Linotype" w:hAnsi="Palatino Linotype"/>
              <w:sz w:val="22"/>
              <w:szCs w:val="22"/>
            </w:rPr>
            <w:t>José Martínez Vilchis</w:t>
          </w:r>
        </w:p>
      </w:tc>
    </w:tr>
  </w:tbl>
  <w:p w14:paraId="362FD78F" w14:textId="77777777" w:rsidR="00ED607E" w:rsidRPr="009F1AB6" w:rsidRDefault="001563F9">
    <w:pPr>
      <w:pStyle w:val="Encabezado"/>
      <w:rPr>
        <w:sz w:val="10"/>
      </w:rPr>
    </w:pPr>
    <w:r>
      <w:rPr>
        <w:noProof/>
        <w:sz w:val="10"/>
        <w:lang w:val="es-MX" w:eastAsia="es-MX"/>
      </w:rPr>
      <w:pict w14:anchorId="57310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43" type="#_x0000_t75" alt="" style="position:absolute;margin-left:-86.95pt;margin-top:-130.8pt;width:609.4pt;height:793.75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5pt;visibility:visible;mso-wrap-style:square" o:bullet="t">
        <v:imagedata r:id="rId1" o:title=""/>
      </v:shape>
    </w:pict>
  </w:numPicBullet>
  <w:abstractNum w:abstractNumId="0" w15:restartNumberingAfterBreak="0">
    <w:nsid w:val="060225ED"/>
    <w:multiLevelType w:val="hybridMultilevel"/>
    <w:tmpl w:val="173254BA"/>
    <w:lvl w:ilvl="0" w:tplc="C8367B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27ECD"/>
    <w:multiLevelType w:val="hybridMultilevel"/>
    <w:tmpl w:val="818A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169D"/>
    <w:multiLevelType w:val="hybridMultilevel"/>
    <w:tmpl w:val="7D7EC952"/>
    <w:lvl w:ilvl="0" w:tplc="F522C6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43F2C"/>
    <w:multiLevelType w:val="hybridMultilevel"/>
    <w:tmpl w:val="82FC8C0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2924"/>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88333E"/>
    <w:multiLevelType w:val="hybridMultilevel"/>
    <w:tmpl w:val="976EC3D2"/>
    <w:lvl w:ilvl="0" w:tplc="11F2C1F6">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BA3FE7"/>
    <w:multiLevelType w:val="hybridMultilevel"/>
    <w:tmpl w:val="AC76AB64"/>
    <w:lvl w:ilvl="0" w:tplc="1CB6CA4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646AF"/>
    <w:multiLevelType w:val="hybridMultilevel"/>
    <w:tmpl w:val="F6E08810"/>
    <w:lvl w:ilvl="0" w:tplc="689A56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61574"/>
    <w:multiLevelType w:val="hybridMultilevel"/>
    <w:tmpl w:val="78E0B800"/>
    <w:lvl w:ilvl="0" w:tplc="4F5CFC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78A57B7"/>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7175D"/>
    <w:multiLevelType w:val="hybridMultilevel"/>
    <w:tmpl w:val="4470E264"/>
    <w:lvl w:ilvl="0" w:tplc="D92C1C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41C95"/>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584AFB"/>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26"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1C5D49"/>
    <w:multiLevelType w:val="multilevel"/>
    <w:tmpl w:val="FFFFFFFF"/>
    <w:lvl w:ilvl="0">
      <w:start w:val="1"/>
      <w:numFmt w:val="decimal"/>
      <w:lvlText w:val="%1."/>
      <w:lvlJc w:val="left"/>
      <w:pPr>
        <w:ind w:left="709" w:hanging="425"/>
      </w:pPr>
      <w:rPr>
        <w:rFonts w:cs="Times New Roman" w:hint="default"/>
      </w:rPr>
    </w:lvl>
    <w:lvl w:ilvl="1">
      <w:start w:val="1"/>
      <w:numFmt w:val="decimal"/>
      <w:isLgl/>
      <w:lvlText w:val="%1.%2."/>
      <w:lvlJc w:val="left"/>
      <w:pPr>
        <w:ind w:left="1276" w:hanging="567"/>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29"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32" w15:restartNumberingAfterBreak="0">
    <w:nsid w:val="608D5741"/>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7A747C"/>
    <w:multiLevelType w:val="hybridMultilevel"/>
    <w:tmpl w:val="E982AE48"/>
    <w:lvl w:ilvl="0" w:tplc="B09265A0">
      <w:start w:val="1"/>
      <w:numFmt w:val="decimal"/>
      <w:lvlText w:val="%1."/>
      <w:lvlJc w:val="left"/>
      <w:pPr>
        <w:ind w:left="720" w:hanging="360"/>
      </w:pPr>
      <w:rPr>
        <w:rFonts w:eastAsiaTheme="minorHAnsi" w:cstheme="minorBidi" w:hint="default"/>
        <w:b/>
        <w:bCs/>
        <w:color w:val="auto"/>
        <w:sz w:val="24"/>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600E8C"/>
    <w:multiLevelType w:val="hybridMultilevel"/>
    <w:tmpl w:val="BF68ABE2"/>
    <w:lvl w:ilvl="0" w:tplc="8BB4E3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74264D"/>
    <w:multiLevelType w:val="hybridMultilevel"/>
    <w:tmpl w:val="04F68C26"/>
    <w:lvl w:ilvl="0" w:tplc="F272CA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B415CA"/>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1"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B687E"/>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5E000E"/>
    <w:multiLevelType w:val="hybridMultilevel"/>
    <w:tmpl w:val="664E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44"/>
  </w:num>
  <w:num w:numId="3">
    <w:abstractNumId w:val="43"/>
  </w:num>
  <w:num w:numId="4">
    <w:abstractNumId w:val="10"/>
  </w:num>
  <w:num w:numId="5">
    <w:abstractNumId w:val="29"/>
  </w:num>
  <w:num w:numId="6">
    <w:abstractNumId w:val="26"/>
  </w:num>
  <w:num w:numId="7">
    <w:abstractNumId w:val="30"/>
  </w:num>
  <w:num w:numId="8">
    <w:abstractNumId w:val="2"/>
  </w:num>
  <w:num w:numId="9">
    <w:abstractNumId w:val="45"/>
  </w:num>
  <w:num w:numId="10">
    <w:abstractNumId w:val="48"/>
  </w:num>
  <w:num w:numId="11">
    <w:abstractNumId w:val="3"/>
  </w:num>
  <w:num w:numId="12">
    <w:abstractNumId w:val="9"/>
  </w:num>
  <w:num w:numId="13">
    <w:abstractNumId w:val="38"/>
  </w:num>
  <w:num w:numId="14">
    <w:abstractNumId w:val="46"/>
  </w:num>
  <w:num w:numId="15">
    <w:abstractNumId w:val="7"/>
  </w:num>
  <w:num w:numId="16">
    <w:abstractNumId w:val="41"/>
  </w:num>
  <w:num w:numId="17">
    <w:abstractNumId w:val="19"/>
  </w:num>
  <w:num w:numId="18">
    <w:abstractNumId w:val="8"/>
  </w:num>
  <w:num w:numId="19">
    <w:abstractNumId w:val="31"/>
  </w:num>
  <w:num w:numId="20">
    <w:abstractNumId w:val="27"/>
  </w:num>
  <w:num w:numId="21">
    <w:abstractNumId w:val="37"/>
  </w:num>
  <w:num w:numId="22">
    <w:abstractNumId w:val="21"/>
  </w:num>
  <w:num w:numId="23">
    <w:abstractNumId w:val="17"/>
  </w:num>
  <w:num w:numId="24">
    <w:abstractNumId w:val="11"/>
  </w:num>
  <w:num w:numId="25">
    <w:abstractNumId w:val="5"/>
  </w:num>
  <w:num w:numId="26">
    <w:abstractNumId w:val="20"/>
  </w:num>
  <w:num w:numId="27">
    <w:abstractNumId w:val="16"/>
  </w:num>
  <w:num w:numId="28">
    <w:abstractNumId w:val="15"/>
  </w:num>
  <w:num w:numId="29">
    <w:abstractNumId w:val="4"/>
  </w:num>
  <w:num w:numId="30">
    <w:abstractNumId w:val="33"/>
  </w:num>
  <w:num w:numId="31">
    <w:abstractNumId w:val="39"/>
  </w:num>
  <w:num w:numId="32">
    <w:abstractNumId w:val="18"/>
  </w:num>
  <w:num w:numId="33">
    <w:abstractNumId w:val="24"/>
  </w:num>
  <w:num w:numId="34">
    <w:abstractNumId w:val="0"/>
  </w:num>
  <w:num w:numId="35">
    <w:abstractNumId w:val="13"/>
  </w:num>
  <w:num w:numId="36">
    <w:abstractNumId w:val="14"/>
  </w:num>
  <w:num w:numId="37">
    <w:abstractNumId w:val="36"/>
  </w:num>
  <w:num w:numId="38">
    <w:abstractNumId w:val="35"/>
  </w:num>
  <w:num w:numId="39">
    <w:abstractNumId w:val="23"/>
  </w:num>
  <w:num w:numId="40">
    <w:abstractNumId w:val="34"/>
  </w:num>
  <w:num w:numId="41">
    <w:abstractNumId w:val="28"/>
  </w:num>
  <w:num w:numId="42">
    <w:abstractNumId w:val="1"/>
  </w:num>
  <w:num w:numId="43">
    <w:abstractNumId w:val="47"/>
  </w:num>
  <w:num w:numId="44">
    <w:abstractNumId w:val="12"/>
  </w:num>
  <w:num w:numId="45">
    <w:abstractNumId w:val="40"/>
  </w:num>
  <w:num w:numId="46">
    <w:abstractNumId w:val="25"/>
  </w:num>
  <w:num w:numId="47">
    <w:abstractNumId w:val="32"/>
  </w:num>
  <w:num w:numId="48">
    <w:abstractNumId w:val="4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BA2"/>
    <w:rsid w:val="00036F8B"/>
    <w:rsid w:val="00040358"/>
    <w:rsid w:val="000572E9"/>
    <w:rsid w:val="000629FB"/>
    <w:rsid w:val="00071FEF"/>
    <w:rsid w:val="00093AE1"/>
    <w:rsid w:val="00093E8C"/>
    <w:rsid w:val="000A3C31"/>
    <w:rsid w:val="000A717C"/>
    <w:rsid w:val="000B5E25"/>
    <w:rsid w:val="000F0FFC"/>
    <w:rsid w:val="000F16BA"/>
    <w:rsid w:val="00101AD8"/>
    <w:rsid w:val="00110526"/>
    <w:rsid w:val="00116B30"/>
    <w:rsid w:val="00123996"/>
    <w:rsid w:val="0012510D"/>
    <w:rsid w:val="00133F62"/>
    <w:rsid w:val="001563F9"/>
    <w:rsid w:val="00161689"/>
    <w:rsid w:val="00161A92"/>
    <w:rsid w:val="00172BB0"/>
    <w:rsid w:val="00186CCB"/>
    <w:rsid w:val="0019170F"/>
    <w:rsid w:val="001A2269"/>
    <w:rsid w:val="001A2770"/>
    <w:rsid w:val="001B2845"/>
    <w:rsid w:val="001B4516"/>
    <w:rsid w:val="001D4046"/>
    <w:rsid w:val="001D6E72"/>
    <w:rsid w:val="0020249A"/>
    <w:rsid w:val="002167BB"/>
    <w:rsid w:val="00222B2E"/>
    <w:rsid w:val="00225163"/>
    <w:rsid w:val="00225C52"/>
    <w:rsid w:val="0023023F"/>
    <w:rsid w:val="00235936"/>
    <w:rsid w:val="00260711"/>
    <w:rsid w:val="00267BB5"/>
    <w:rsid w:val="0027023F"/>
    <w:rsid w:val="00271073"/>
    <w:rsid w:val="002803F1"/>
    <w:rsid w:val="00285EC4"/>
    <w:rsid w:val="00295B3F"/>
    <w:rsid w:val="002A4B43"/>
    <w:rsid w:val="002A676F"/>
    <w:rsid w:val="002C0BE5"/>
    <w:rsid w:val="002D7DCB"/>
    <w:rsid w:val="002E3085"/>
    <w:rsid w:val="002E4DD7"/>
    <w:rsid w:val="002F3B20"/>
    <w:rsid w:val="00307006"/>
    <w:rsid w:val="0030701F"/>
    <w:rsid w:val="00311C4E"/>
    <w:rsid w:val="00330FC3"/>
    <w:rsid w:val="0033318C"/>
    <w:rsid w:val="003413FD"/>
    <w:rsid w:val="00341648"/>
    <w:rsid w:val="00343F0B"/>
    <w:rsid w:val="003520C5"/>
    <w:rsid w:val="00370C8E"/>
    <w:rsid w:val="003746DE"/>
    <w:rsid w:val="003804E8"/>
    <w:rsid w:val="00380D3E"/>
    <w:rsid w:val="003B1C85"/>
    <w:rsid w:val="003C0028"/>
    <w:rsid w:val="003C1F9F"/>
    <w:rsid w:val="003C4B74"/>
    <w:rsid w:val="003C744F"/>
    <w:rsid w:val="003D289A"/>
    <w:rsid w:val="003E56C9"/>
    <w:rsid w:val="004018F9"/>
    <w:rsid w:val="00406E06"/>
    <w:rsid w:val="00425E0F"/>
    <w:rsid w:val="004344EA"/>
    <w:rsid w:val="0043515A"/>
    <w:rsid w:val="00442FD8"/>
    <w:rsid w:val="00443892"/>
    <w:rsid w:val="004445A1"/>
    <w:rsid w:val="00445CAA"/>
    <w:rsid w:val="0045393B"/>
    <w:rsid w:val="0049088D"/>
    <w:rsid w:val="00490F73"/>
    <w:rsid w:val="004A2FA4"/>
    <w:rsid w:val="004A7159"/>
    <w:rsid w:val="004C7F4A"/>
    <w:rsid w:val="004D2577"/>
    <w:rsid w:val="004D6F71"/>
    <w:rsid w:val="004F0F71"/>
    <w:rsid w:val="00506DF2"/>
    <w:rsid w:val="0051263B"/>
    <w:rsid w:val="00526F79"/>
    <w:rsid w:val="005343BF"/>
    <w:rsid w:val="0055326A"/>
    <w:rsid w:val="00555C87"/>
    <w:rsid w:val="00572C8F"/>
    <w:rsid w:val="005853E1"/>
    <w:rsid w:val="0059032F"/>
    <w:rsid w:val="005A15D1"/>
    <w:rsid w:val="005A6216"/>
    <w:rsid w:val="005B234D"/>
    <w:rsid w:val="005B26AD"/>
    <w:rsid w:val="005B36A8"/>
    <w:rsid w:val="005B5693"/>
    <w:rsid w:val="005C6646"/>
    <w:rsid w:val="005D5274"/>
    <w:rsid w:val="005D5C9F"/>
    <w:rsid w:val="005D6292"/>
    <w:rsid w:val="005D77CC"/>
    <w:rsid w:val="005E058C"/>
    <w:rsid w:val="005E5716"/>
    <w:rsid w:val="005E61DD"/>
    <w:rsid w:val="005F7B93"/>
    <w:rsid w:val="006002E0"/>
    <w:rsid w:val="00604E50"/>
    <w:rsid w:val="00620280"/>
    <w:rsid w:val="006258FD"/>
    <w:rsid w:val="00632E48"/>
    <w:rsid w:val="00636824"/>
    <w:rsid w:val="006418CA"/>
    <w:rsid w:val="00647342"/>
    <w:rsid w:val="00661A5A"/>
    <w:rsid w:val="00673DA6"/>
    <w:rsid w:val="006820E1"/>
    <w:rsid w:val="00694976"/>
    <w:rsid w:val="006A71F5"/>
    <w:rsid w:val="006B321A"/>
    <w:rsid w:val="006B418F"/>
    <w:rsid w:val="006D1713"/>
    <w:rsid w:val="006D3A03"/>
    <w:rsid w:val="006E08FA"/>
    <w:rsid w:val="006F00AD"/>
    <w:rsid w:val="006F5F93"/>
    <w:rsid w:val="00710FED"/>
    <w:rsid w:val="00732345"/>
    <w:rsid w:val="00756F04"/>
    <w:rsid w:val="0075733C"/>
    <w:rsid w:val="007608A6"/>
    <w:rsid w:val="0076367D"/>
    <w:rsid w:val="00770F18"/>
    <w:rsid w:val="0077339E"/>
    <w:rsid w:val="007809CB"/>
    <w:rsid w:val="007A118C"/>
    <w:rsid w:val="007C11CD"/>
    <w:rsid w:val="007C1836"/>
    <w:rsid w:val="007D2A81"/>
    <w:rsid w:val="007E534B"/>
    <w:rsid w:val="007E7C02"/>
    <w:rsid w:val="007F7462"/>
    <w:rsid w:val="008000C0"/>
    <w:rsid w:val="00802662"/>
    <w:rsid w:val="00835035"/>
    <w:rsid w:val="00841B23"/>
    <w:rsid w:val="0084481B"/>
    <w:rsid w:val="00845633"/>
    <w:rsid w:val="00852668"/>
    <w:rsid w:val="008578BF"/>
    <w:rsid w:val="008660D6"/>
    <w:rsid w:val="008761D3"/>
    <w:rsid w:val="008839B8"/>
    <w:rsid w:val="008943AA"/>
    <w:rsid w:val="008955EA"/>
    <w:rsid w:val="008978CE"/>
    <w:rsid w:val="008A1A90"/>
    <w:rsid w:val="008B6224"/>
    <w:rsid w:val="008B64E9"/>
    <w:rsid w:val="008C3B24"/>
    <w:rsid w:val="008D3B69"/>
    <w:rsid w:val="008D75ED"/>
    <w:rsid w:val="008E01E4"/>
    <w:rsid w:val="008E685D"/>
    <w:rsid w:val="00900C9B"/>
    <w:rsid w:val="00901487"/>
    <w:rsid w:val="00906C2E"/>
    <w:rsid w:val="00915FCD"/>
    <w:rsid w:val="00926C44"/>
    <w:rsid w:val="00927F04"/>
    <w:rsid w:val="009360E4"/>
    <w:rsid w:val="0093645B"/>
    <w:rsid w:val="00941B5F"/>
    <w:rsid w:val="00956CF5"/>
    <w:rsid w:val="00965201"/>
    <w:rsid w:val="009758CB"/>
    <w:rsid w:val="00993406"/>
    <w:rsid w:val="009A0F77"/>
    <w:rsid w:val="009A5223"/>
    <w:rsid w:val="009B23B7"/>
    <w:rsid w:val="009B2B6B"/>
    <w:rsid w:val="009D2E87"/>
    <w:rsid w:val="009D39B3"/>
    <w:rsid w:val="009D4028"/>
    <w:rsid w:val="009E1F26"/>
    <w:rsid w:val="009F4FF4"/>
    <w:rsid w:val="009F62C3"/>
    <w:rsid w:val="009F71DC"/>
    <w:rsid w:val="00A0100D"/>
    <w:rsid w:val="00A0223E"/>
    <w:rsid w:val="00A036A6"/>
    <w:rsid w:val="00A05133"/>
    <w:rsid w:val="00A05199"/>
    <w:rsid w:val="00A05D3A"/>
    <w:rsid w:val="00A106D3"/>
    <w:rsid w:val="00A12772"/>
    <w:rsid w:val="00A130B0"/>
    <w:rsid w:val="00A23F9E"/>
    <w:rsid w:val="00A27818"/>
    <w:rsid w:val="00A5260D"/>
    <w:rsid w:val="00A6692F"/>
    <w:rsid w:val="00A67A88"/>
    <w:rsid w:val="00A72262"/>
    <w:rsid w:val="00A86B05"/>
    <w:rsid w:val="00A93F44"/>
    <w:rsid w:val="00AA26B4"/>
    <w:rsid w:val="00AB15E3"/>
    <w:rsid w:val="00AB773F"/>
    <w:rsid w:val="00AD33BE"/>
    <w:rsid w:val="00AE0917"/>
    <w:rsid w:val="00AE0D59"/>
    <w:rsid w:val="00AE1A47"/>
    <w:rsid w:val="00AE5995"/>
    <w:rsid w:val="00B01BD5"/>
    <w:rsid w:val="00B05B83"/>
    <w:rsid w:val="00B17992"/>
    <w:rsid w:val="00B31853"/>
    <w:rsid w:val="00B50B07"/>
    <w:rsid w:val="00B5142B"/>
    <w:rsid w:val="00B8098B"/>
    <w:rsid w:val="00B86D24"/>
    <w:rsid w:val="00BC0CFA"/>
    <w:rsid w:val="00BC0FAB"/>
    <w:rsid w:val="00BD14B3"/>
    <w:rsid w:val="00BE233B"/>
    <w:rsid w:val="00BE5284"/>
    <w:rsid w:val="00BE7A6E"/>
    <w:rsid w:val="00BF457C"/>
    <w:rsid w:val="00C019F4"/>
    <w:rsid w:val="00C02A06"/>
    <w:rsid w:val="00C270F0"/>
    <w:rsid w:val="00C56DD5"/>
    <w:rsid w:val="00C60284"/>
    <w:rsid w:val="00C802FB"/>
    <w:rsid w:val="00CA216C"/>
    <w:rsid w:val="00CC0700"/>
    <w:rsid w:val="00CD024D"/>
    <w:rsid w:val="00CD6A31"/>
    <w:rsid w:val="00CE4A10"/>
    <w:rsid w:val="00CE60DB"/>
    <w:rsid w:val="00CF0F1D"/>
    <w:rsid w:val="00CF1C8E"/>
    <w:rsid w:val="00CF76AC"/>
    <w:rsid w:val="00D1211B"/>
    <w:rsid w:val="00D20352"/>
    <w:rsid w:val="00D22A38"/>
    <w:rsid w:val="00D33F33"/>
    <w:rsid w:val="00D42558"/>
    <w:rsid w:val="00D4431A"/>
    <w:rsid w:val="00D57210"/>
    <w:rsid w:val="00D71E7A"/>
    <w:rsid w:val="00D7619A"/>
    <w:rsid w:val="00D901D7"/>
    <w:rsid w:val="00D92BFE"/>
    <w:rsid w:val="00DA4978"/>
    <w:rsid w:val="00DB3A3B"/>
    <w:rsid w:val="00DB5B00"/>
    <w:rsid w:val="00DC5B23"/>
    <w:rsid w:val="00DD1866"/>
    <w:rsid w:val="00DE0A8D"/>
    <w:rsid w:val="00DE484C"/>
    <w:rsid w:val="00DE562A"/>
    <w:rsid w:val="00E04CCB"/>
    <w:rsid w:val="00E24753"/>
    <w:rsid w:val="00E24950"/>
    <w:rsid w:val="00E302D8"/>
    <w:rsid w:val="00E42B2B"/>
    <w:rsid w:val="00E525FB"/>
    <w:rsid w:val="00E5647F"/>
    <w:rsid w:val="00E65F37"/>
    <w:rsid w:val="00E711DE"/>
    <w:rsid w:val="00E719DD"/>
    <w:rsid w:val="00E8039E"/>
    <w:rsid w:val="00E8184E"/>
    <w:rsid w:val="00E823B8"/>
    <w:rsid w:val="00E9091C"/>
    <w:rsid w:val="00E92ACC"/>
    <w:rsid w:val="00E92D17"/>
    <w:rsid w:val="00E97E9C"/>
    <w:rsid w:val="00EA6061"/>
    <w:rsid w:val="00EA61B9"/>
    <w:rsid w:val="00EA7A12"/>
    <w:rsid w:val="00EA7BF4"/>
    <w:rsid w:val="00EB6C62"/>
    <w:rsid w:val="00ED607E"/>
    <w:rsid w:val="00EE4D9C"/>
    <w:rsid w:val="00EE6265"/>
    <w:rsid w:val="00EE7518"/>
    <w:rsid w:val="00EF193B"/>
    <w:rsid w:val="00F022E9"/>
    <w:rsid w:val="00F02E5E"/>
    <w:rsid w:val="00F12FBC"/>
    <w:rsid w:val="00F138EC"/>
    <w:rsid w:val="00F318FC"/>
    <w:rsid w:val="00F34A32"/>
    <w:rsid w:val="00F455F1"/>
    <w:rsid w:val="00F570D3"/>
    <w:rsid w:val="00F8513C"/>
    <w:rsid w:val="00FC07A1"/>
    <w:rsid w:val="00FC7CC7"/>
    <w:rsid w:val="00FE2FFB"/>
    <w:rsid w:val="00FF2E74"/>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9A"/>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4">
    <w:name w:val="heading 4"/>
    <w:basedOn w:val="Normal"/>
    <w:link w:val="Ttulo4Car"/>
    <w:uiPriority w:val="9"/>
    <w:qFormat/>
    <w:rsid w:val="00BF457C"/>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basedOn w:val="Fuentedeprrafopredeter"/>
    <w:link w:val="Ttulo4"/>
    <w:uiPriority w:val="9"/>
    <w:rsid w:val="00BF457C"/>
    <w:rPr>
      <w:rFonts w:ascii="Times New Roman" w:eastAsia="Times New Roman" w:hAnsi="Times New Roman" w:cs="Times New Roman"/>
      <w:b/>
      <w:bCs/>
      <w:sz w:val="24"/>
      <w:szCs w:val="24"/>
      <w:lang w:eastAsia="es-MX"/>
    </w:rPr>
  </w:style>
  <w:style w:type="numbering" w:customStyle="1" w:styleId="Sinlista1">
    <w:name w:val="Sin lista1"/>
    <w:next w:val="Sinlista"/>
    <w:uiPriority w:val="99"/>
    <w:semiHidden/>
    <w:unhideWhenUsed/>
    <w:rsid w:val="00BF457C"/>
  </w:style>
  <w:style w:type="paragraph" w:styleId="Textoindependiente">
    <w:name w:val="Body Text"/>
    <w:basedOn w:val="Normal"/>
    <w:link w:val="TextoindependienteCar"/>
    <w:uiPriority w:val="1"/>
    <w:qFormat/>
    <w:rsid w:val="00BF457C"/>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BF457C"/>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BF457C"/>
    <w:pPr>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rsid w:val="00BF457C"/>
  </w:style>
  <w:style w:type="paragraph" w:customStyle="1" w:styleId="Default">
    <w:name w:val="Default"/>
    <w:rsid w:val="00BF457C"/>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BF457C"/>
  </w:style>
  <w:style w:type="paragraph" w:styleId="Textonotaalfinal">
    <w:name w:val="endnote text"/>
    <w:basedOn w:val="Normal"/>
    <w:link w:val="TextonotaalfinalCar"/>
    <w:uiPriority w:val="99"/>
    <w:semiHidden/>
    <w:unhideWhenUsed/>
    <w:rsid w:val="00BF457C"/>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BF457C"/>
    <w:rPr>
      <w:sz w:val="20"/>
      <w:szCs w:val="20"/>
    </w:rPr>
  </w:style>
  <w:style w:type="character" w:styleId="Refdenotaalfinal">
    <w:name w:val="endnote reference"/>
    <w:basedOn w:val="Fuentedeprrafopredeter"/>
    <w:uiPriority w:val="99"/>
    <w:semiHidden/>
    <w:unhideWhenUsed/>
    <w:rsid w:val="00BF457C"/>
    <w:rPr>
      <w:vertAlign w:val="superscript"/>
    </w:rPr>
  </w:style>
  <w:style w:type="paragraph" w:styleId="NormalWeb">
    <w:name w:val="Normal (Web)"/>
    <w:basedOn w:val="Normal"/>
    <w:uiPriority w:val="99"/>
    <w:unhideWhenUsed/>
    <w:rsid w:val="00BF457C"/>
    <w:pPr>
      <w:spacing w:before="100" w:beforeAutospacing="1" w:after="100" w:afterAutospacing="1"/>
    </w:pPr>
    <w:rPr>
      <w:lang w:val="es-MX" w:eastAsia="es-MX"/>
    </w:rPr>
  </w:style>
  <w:style w:type="table" w:customStyle="1" w:styleId="Tablaconcuadrcula1">
    <w:name w:val="Tabla con cuadrícula1"/>
    <w:basedOn w:val="Tablanormal"/>
    <w:next w:val="Tablaconcuadrcula"/>
    <w:uiPriority w:val="59"/>
    <w:rsid w:val="00BF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F457C"/>
  </w:style>
  <w:style w:type="character" w:styleId="Textoennegrita">
    <w:name w:val="Strong"/>
    <w:uiPriority w:val="22"/>
    <w:qFormat/>
    <w:rsid w:val="00BF457C"/>
    <w:rPr>
      <w:b/>
      <w:bCs/>
    </w:rPr>
  </w:style>
  <w:style w:type="character" w:customStyle="1" w:styleId="TextodegloboCar">
    <w:name w:val="Texto de globo Car"/>
    <w:basedOn w:val="Fuentedeprrafopredeter"/>
    <w:link w:val="Textodeglobo"/>
    <w:uiPriority w:val="99"/>
    <w:semiHidden/>
    <w:rsid w:val="00BF457C"/>
    <w:rPr>
      <w:rFonts w:ascii="Tahoma" w:hAnsi="Tahoma" w:cs="Tahoma"/>
      <w:sz w:val="16"/>
      <w:szCs w:val="16"/>
    </w:rPr>
  </w:style>
  <w:style w:type="paragraph" w:styleId="Textodeglobo">
    <w:name w:val="Balloon Text"/>
    <w:basedOn w:val="Normal"/>
    <w:link w:val="TextodegloboCar"/>
    <w:uiPriority w:val="99"/>
    <w:semiHidden/>
    <w:unhideWhenUsed/>
    <w:rsid w:val="00BF457C"/>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BF457C"/>
    <w:rPr>
      <w:rFonts w:ascii="Segoe UI" w:eastAsia="Times New Roman" w:hAnsi="Segoe UI" w:cs="Segoe UI"/>
      <w:sz w:val="18"/>
      <w:szCs w:val="18"/>
      <w:lang w:val="es-ES" w:eastAsia="es-ES"/>
    </w:rPr>
  </w:style>
  <w:style w:type="paragraph" w:customStyle="1" w:styleId="n2">
    <w:name w:val="n2"/>
    <w:basedOn w:val="Normal"/>
    <w:rsid w:val="00BF457C"/>
    <w:pPr>
      <w:spacing w:before="100" w:beforeAutospacing="1" w:after="100" w:afterAutospacing="1"/>
    </w:pPr>
    <w:rPr>
      <w:lang w:val="es-MX" w:eastAsia="es-MX"/>
    </w:rPr>
  </w:style>
  <w:style w:type="character" w:styleId="nfasis">
    <w:name w:val="Emphasis"/>
    <w:basedOn w:val="Fuentedeprrafopredeter"/>
    <w:uiPriority w:val="20"/>
    <w:qFormat/>
    <w:rsid w:val="00BF457C"/>
    <w:rPr>
      <w:i/>
      <w:iCs/>
    </w:rPr>
  </w:style>
  <w:style w:type="paragraph" w:customStyle="1" w:styleId="j">
    <w:name w:val="j"/>
    <w:basedOn w:val="Normal"/>
    <w:rsid w:val="00BF457C"/>
    <w:pPr>
      <w:spacing w:before="100" w:beforeAutospacing="1" w:after="100" w:afterAutospacing="1"/>
    </w:pPr>
    <w:rPr>
      <w:lang w:val="es-MX" w:eastAsia="es-MX"/>
    </w:rPr>
  </w:style>
  <w:style w:type="character" w:customStyle="1" w:styleId="nacep">
    <w:name w:val="n_acep"/>
    <w:basedOn w:val="Fuentedeprrafopredeter"/>
    <w:rsid w:val="00BF457C"/>
  </w:style>
  <w:style w:type="character" w:customStyle="1" w:styleId="notranslate">
    <w:name w:val="notranslate"/>
    <w:basedOn w:val="Fuentedeprrafopredeter"/>
    <w:rsid w:val="00BF457C"/>
  </w:style>
  <w:style w:type="character" w:customStyle="1" w:styleId="TextocomentarioCar">
    <w:name w:val="Texto comentario Car"/>
    <w:basedOn w:val="Fuentedeprrafopredeter"/>
    <w:link w:val="Textocomentario"/>
    <w:uiPriority w:val="99"/>
    <w:semiHidden/>
    <w:rsid w:val="00BF457C"/>
    <w:rPr>
      <w:sz w:val="20"/>
      <w:szCs w:val="20"/>
    </w:rPr>
  </w:style>
  <w:style w:type="paragraph" w:styleId="Textocomentario">
    <w:name w:val="annotation text"/>
    <w:basedOn w:val="Normal"/>
    <w:link w:val="TextocomentarioCar"/>
    <w:uiPriority w:val="99"/>
    <w:semiHidden/>
    <w:unhideWhenUsed/>
    <w:rsid w:val="00BF457C"/>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BF457C"/>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F457C"/>
    <w:rPr>
      <w:b/>
      <w:bCs/>
      <w:sz w:val="20"/>
      <w:szCs w:val="20"/>
    </w:rPr>
  </w:style>
  <w:style w:type="paragraph" w:styleId="Asuntodelcomentario">
    <w:name w:val="annotation subject"/>
    <w:basedOn w:val="Textocomentario"/>
    <w:next w:val="Textocomentario"/>
    <w:link w:val="AsuntodelcomentarioCar"/>
    <w:uiPriority w:val="99"/>
    <w:semiHidden/>
    <w:unhideWhenUsed/>
    <w:rsid w:val="00BF457C"/>
    <w:rPr>
      <w:b/>
      <w:bCs/>
    </w:rPr>
  </w:style>
  <w:style w:type="character" w:customStyle="1" w:styleId="AsuntodelcomentarioCar1">
    <w:name w:val="Asunto del comentario Car1"/>
    <w:basedOn w:val="TextocomentarioCar1"/>
    <w:uiPriority w:val="99"/>
    <w:semiHidden/>
    <w:rsid w:val="00BF457C"/>
    <w:rPr>
      <w:rFonts w:ascii="Times New Roman" w:eastAsia="Times New Roman" w:hAnsi="Times New Roman" w:cs="Times New Roman"/>
      <w:b/>
      <w:bCs/>
      <w:sz w:val="20"/>
      <w:szCs w:val="20"/>
      <w:lang w:val="es-ES" w:eastAsia="es-ES"/>
    </w:rPr>
  </w:style>
  <w:style w:type="character" w:customStyle="1" w:styleId="apple-style-span">
    <w:name w:val="apple-style-span"/>
    <w:rsid w:val="00BF457C"/>
  </w:style>
  <w:style w:type="paragraph" w:customStyle="1" w:styleId="paragraph">
    <w:name w:val="paragraph"/>
    <w:basedOn w:val="Normal"/>
    <w:rsid w:val="00BF457C"/>
    <w:pPr>
      <w:spacing w:before="100" w:beforeAutospacing="1" w:after="100" w:afterAutospacing="1"/>
    </w:pPr>
    <w:rPr>
      <w:lang w:val="es-MX" w:eastAsia="es-MX"/>
    </w:rPr>
  </w:style>
  <w:style w:type="character" w:customStyle="1" w:styleId="normaltextrun">
    <w:name w:val="normaltextrun"/>
    <w:basedOn w:val="Fuentedeprrafopredeter"/>
    <w:rsid w:val="00BF457C"/>
  </w:style>
  <w:style w:type="paragraph" w:customStyle="1" w:styleId="Body1">
    <w:name w:val="Body 1"/>
    <w:rsid w:val="00BF457C"/>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BF457C"/>
    <w:rPr>
      <w:rFonts w:ascii="Courier New" w:hAnsi="Courier New"/>
      <w:sz w:val="20"/>
      <w:szCs w:val="20"/>
    </w:rPr>
  </w:style>
  <w:style w:type="character" w:customStyle="1" w:styleId="TextosinformatoCar">
    <w:name w:val="Texto sin formato Car"/>
    <w:basedOn w:val="Fuentedeprrafopredeter"/>
    <w:link w:val="Textosinformato"/>
    <w:rsid w:val="00BF457C"/>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BF457C"/>
  </w:style>
  <w:style w:type="character" w:customStyle="1" w:styleId="red">
    <w:name w:val="red"/>
    <w:basedOn w:val="Fuentedeprrafopredeter"/>
    <w:rsid w:val="00BF457C"/>
  </w:style>
  <w:style w:type="paragraph" w:customStyle="1" w:styleId="francesa">
    <w:name w:val="francesa"/>
    <w:basedOn w:val="Normal"/>
    <w:rsid w:val="00BF457C"/>
    <w:pPr>
      <w:spacing w:before="100" w:beforeAutospacing="1" w:after="100" w:afterAutospacing="1"/>
    </w:pPr>
    <w:rPr>
      <w:lang w:val="es-MX" w:eastAsia="es-MX"/>
    </w:rPr>
  </w:style>
  <w:style w:type="paragraph" w:customStyle="1" w:styleId="Pa0">
    <w:name w:val="Pa0"/>
    <w:basedOn w:val="Default"/>
    <w:next w:val="Default"/>
    <w:uiPriority w:val="99"/>
    <w:rsid w:val="00BF457C"/>
    <w:pPr>
      <w:spacing w:line="221" w:lineRule="atLeast"/>
    </w:pPr>
    <w:rPr>
      <w:rFonts w:ascii="Arial" w:hAnsi="Arial" w:cs="Arial"/>
      <w:color w:val="auto"/>
    </w:rPr>
  </w:style>
  <w:style w:type="paragraph" w:customStyle="1" w:styleId="j2">
    <w:name w:val="j2"/>
    <w:basedOn w:val="Normal"/>
    <w:rsid w:val="00BF457C"/>
    <w:pPr>
      <w:spacing w:before="100" w:beforeAutospacing="1" w:after="100" w:afterAutospacing="1"/>
    </w:pPr>
    <w:rPr>
      <w:lang w:val="es-MX" w:eastAsia="es-MX"/>
    </w:rPr>
  </w:style>
  <w:style w:type="paragraph" w:customStyle="1" w:styleId="o">
    <w:name w:val="o"/>
    <w:basedOn w:val="Normal"/>
    <w:rsid w:val="00BF457C"/>
    <w:pPr>
      <w:spacing w:before="100" w:beforeAutospacing="1" w:after="100" w:afterAutospacing="1"/>
    </w:pPr>
    <w:rPr>
      <w:lang w:val="es-MX" w:eastAsia="es-MX"/>
    </w:rPr>
  </w:style>
  <w:style w:type="character" w:customStyle="1" w:styleId="h">
    <w:name w:val="h"/>
    <w:basedOn w:val="Fuentedeprrafopredeter"/>
    <w:rsid w:val="00BF457C"/>
  </w:style>
  <w:style w:type="character" w:customStyle="1" w:styleId="i1">
    <w:name w:val="i1"/>
    <w:basedOn w:val="Fuentedeprrafopredeter"/>
    <w:rsid w:val="00BF457C"/>
  </w:style>
  <w:style w:type="paragraph" w:styleId="Sangradetextonormal">
    <w:name w:val="Body Text Indent"/>
    <w:basedOn w:val="Normal"/>
    <w:link w:val="SangradetextonormalCar"/>
    <w:uiPriority w:val="99"/>
    <w:unhideWhenUsed/>
    <w:rsid w:val="00BF457C"/>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BF457C"/>
    <w:rPr>
      <w:rFonts w:ascii="Calibri" w:eastAsia="Calibri" w:hAnsi="Calibri" w:cs="Times New Roman"/>
    </w:rPr>
  </w:style>
  <w:style w:type="paragraph" w:customStyle="1" w:styleId="Citas">
    <w:name w:val="Citas"/>
    <w:basedOn w:val="Normal"/>
    <w:qFormat/>
    <w:rsid w:val="00D1211B"/>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11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61769800">
      <w:bodyDiv w:val="1"/>
      <w:marLeft w:val="0"/>
      <w:marRight w:val="0"/>
      <w:marTop w:val="0"/>
      <w:marBottom w:val="0"/>
      <w:divBdr>
        <w:top w:val="none" w:sz="0" w:space="0" w:color="auto"/>
        <w:left w:val="none" w:sz="0" w:space="0" w:color="auto"/>
        <w:bottom w:val="none" w:sz="0" w:space="0" w:color="auto"/>
        <w:right w:val="none" w:sz="0" w:space="0" w:color="auto"/>
      </w:divBdr>
    </w:div>
    <w:div w:id="1435205253">
      <w:bodyDiv w:val="1"/>
      <w:marLeft w:val="0"/>
      <w:marRight w:val="0"/>
      <w:marTop w:val="0"/>
      <w:marBottom w:val="0"/>
      <w:divBdr>
        <w:top w:val="none" w:sz="0" w:space="0" w:color="auto"/>
        <w:left w:val="none" w:sz="0" w:space="0" w:color="auto"/>
        <w:bottom w:val="none" w:sz="0" w:space="0" w:color="auto"/>
        <w:right w:val="none" w:sz="0" w:space="0" w:color="auto"/>
      </w:divBdr>
    </w:div>
    <w:div w:id="1540167777">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49267716">
      <w:bodyDiv w:val="1"/>
      <w:marLeft w:val="0"/>
      <w:marRight w:val="0"/>
      <w:marTop w:val="0"/>
      <w:marBottom w:val="0"/>
      <w:divBdr>
        <w:top w:val="none" w:sz="0" w:space="0" w:color="auto"/>
        <w:left w:val="none" w:sz="0" w:space="0" w:color="auto"/>
        <w:bottom w:val="none" w:sz="0" w:space="0" w:color="auto"/>
        <w:right w:val="none" w:sz="0" w:space="0" w:color="auto"/>
      </w:divBdr>
    </w:div>
    <w:div w:id="21175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31</Pages>
  <Words>7950</Words>
  <Characters>43727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2025-02-20T19:27:00Z</dcterms:created>
  <dcterms:modified xsi:type="dcterms:W3CDTF">2025-03-26T19:27:00Z</dcterms:modified>
</cp:coreProperties>
</file>