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2C0C" w14:textId="5D823F4B" w:rsidR="00A970D5" w:rsidRPr="00F46DD9" w:rsidRDefault="00A970D5" w:rsidP="009950AD">
      <w:pPr>
        <w:pStyle w:val="NormalINFOEM"/>
      </w:pPr>
      <w:r w:rsidRPr="00F46DD9">
        <w:t>Resolución del Pleno del Instituto de Transparencia, Acceso a la Información Pública y Protección de Datos Personales del Estado de México</w:t>
      </w:r>
      <w:r w:rsidR="00FD2A3F" w:rsidRPr="00F46DD9">
        <w:t xml:space="preserve"> </w:t>
      </w:r>
      <w:r w:rsidRPr="00F46DD9">
        <w:t xml:space="preserve">y Municipios, con domicilio en Metepec, Estado de </w:t>
      </w:r>
      <w:r w:rsidR="008B2951" w:rsidRPr="00F46DD9">
        <w:t xml:space="preserve">México, </w:t>
      </w:r>
      <w:r w:rsidR="000D2E93" w:rsidRPr="00F46DD9">
        <w:t>a</w:t>
      </w:r>
      <w:r w:rsidR="0011108B" w:rsidRPr="00F46DD9">
        <w:t xml:space="preserve"> </w:t>
      </w:r>
      <w:r w:rsidR="00BE496A" w:rsidRPr="00F46DD9">
        <w:t>d</w:t>
      </w:r>
      <w:r w:rsidR="006D0F14" w:rsidRPr="00F46DD9">
        <w:t>os de abril</w:t>
      </w:r>
      <w:r w:rsidR="00FF3E42" w:rsidRPr="00F46DD9">
        <w:t xml:space="preserve"> de dos mil veinticinco</w:t>
      </w:r>
      <w:r w:rsidR="0011108B" w:rsidRPr="00F46DD9">
        <w:t>.</w:t>
      </w:r>
    </w:p>
    <w:p w14:paraId="60399B74"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2348BA4E" w:rsidR="00A970D5" w:rsidRPr="00F46DD9" w:rsidRDefault="70652167" w:rsidP="70652167">
      <w:pPr>
        <w:pBdr>
          <w:top w:val="nil"/>
          <w:left w:val="nil"/>
          <w:bottom w:val="nil"/>
          <w:right w:val="nil"/>
          <w:between w:val="nil"/>
        </w:pBdr>
        <w:contextualSpacing/>
        <w:rPr>
          <w:rFonts w:eastAsia="Palatino Linotype" w:cs="Palatino Linotype"/>
          <w:b/>
          <w:bCs/>
          <w:color w:val="000000"/>
          <w:lang w:val="es-ES"/>
        </w:rPr>
      </w:pPr>
      <w:r w:rsidRPr="00F46DD9">
        <w:rPr>
          <w:rFonts w:eastAsia="Palatino Linotype" w:cs="Palatino Linotype"/>
          <w:b/>
          <w:bCs/>
          <w:color w:val="000000" w:themeColor="text1"/>
          <w:lang w:val="es-ES"/>
        </w:rPr>
        <w:t>VISTO</w:t>
      </w:r>
      <w:r w:rsidRPr="00F46DD9">
        <w:rPr>
          <w:rFonts w:eastAsia="Palatino Linotype" w:cs="Palatino Linotype"/>
          <w:color w:val="000000" w:themeColor="text1"/>
          <w:lang w:val="es-ES"/>
        </w:rPr>
        <w:t xml:space="preserve"> el expediente electrónico formado con motivo del recurso de revisión número </w:t>
      </w:r>
      <w:r w:rsidR="00C6655A" w:rsidRPr="00F46DD9">
        <w:rPr>
          <w:rFonts w:eastAsia="Palatino Linotype" w:cs="Palatino Linotype"/>
          <w:b/>
          <w:bCs/>
          <w:color w:val="000000" w:themeColor="text1"/>
          <w:lang w:val="es-ES"/>
        </w:rPr>
        <w:t>01505/INFOEM/IP/RR/2025</w:t>
      </w:r>
      <w:r w:rsidRPr="00F46DD9">
        <w:rPr>
          <w:rFonts w:eastAsia="Palatino Linotype" w:cs="Palatino Linotype"/>
          <w:color w:val="000000" w:themeColor="text1"/>
          <w:lang w:val="es-ES"/>
        </w:rPr>
        <w:t xml:space="preserve">, interpuesto por </w:t>
      </w:r>
      <w:r w:rsidR="00761BE6" w:rsidRPr="00F46DD9">
        <w:rPr>
          <w:rFonts w:eastAsia="Palatino Linotype" w:cs="Palatino Linotype"/>
          <w:b/>
          <w:bCs/>
          <w:color w:val="000000" w:themeColor="text1"/>
          <w:lang w:val="es-ES"/>
        </w:rPr>
        <w:t>XXXXXXXXXXXXXXXXXX</w:t>
      </w:r>
      <w:r w:rsidR="00E97C2F" w:rsidRPr="00F46DD9">
        <w:rPr>
          <w:rFonts w:eastAsia="Palatino Linotype" w:cs="Palatino Linotype"/>
          <w:color w:val="000000" w:themeColor="text1"/>
          <w:lang w:val="es-ES"/>
        </w:rPr>
        <w:t>, en lo su</w:t>
      </w:r>
      <w:r w:rsidR="00771E23" w:rsidRPr="00F46DD9">
        <w:rPr>
          <w:rFonts w:eastAsia="Palatino Linotype" w:cs="Palatino Linotype"/>
          <w:color w:val="000000" w:themeColor="text1"/>
          <w:lang w:val="es-ES"/>
        </w:rPr>
        <w:t>cesivo el</w:t>
      </w:r>
      <w:r w:rsidRPr="00F46DD9">
        <w:rPr>
          <w:rFonts w:eastAsia="Palatino Linotype" w:cs="Palatino Linotype"/>
          <w:color w:val="000000" w:themeColor="text1"/>
          <w:lang w:val="es-ES"/>
        </w:rPr>
        <w:t xml:space="preserve"> </w:t>
      </w:r>
      <w:r w:rsidRPr="00F46DD9">
        <w:rPr>
          <w:rFonts w:eastAsia="Palatino Linotype" w:cs="Palatino Linotype"/>
          <w:b/>
          <w:bCs/>
          <w:color w:val="000000" w:themeColor="text1"/>
          <w:lang w:val="es-ES"/>
        </w:rPr>
        <w:t>Recurrente</w:t>
      </w:r>
      <w:r w:rsidRPr="00F46DD9">
        <w:rPr>
          <w:rFonts w:eastAsia="Palatino Linotype" w:cs="Palatino Linotype"/>
          <w:color w:val="000000" w:themeColor="text1"/>
          <w:lang w:val="es-ES"/>
        </w:rPr>
        <w:t>, en contra de la respuesta de</w:t>
      </w:r>
      <w:r w:rsidR="00920835" w:rsidRPr="00F46DD9">
        <w:rPr>
          <w:rFonts w:eastAsia="Palatino Linotype" w:cs="Palatino Linotype"/>
          <w:color w:val="000000" w:themeColor="text1"/>
          <w:lang w:val="es-ES"/>
        </w:rPr>
        <w:t>l</w:t>
      </w:r>
      <w:r w:rsidRPr="00F46DD9">
        <w:rPr>
          <w:rFonts w:eastAsia="Palatino Linotype" w:cs="Palatino Linotype"/>
          <w:color w:val="000000" w:themeColor="text1"/>
          <w:lang w:val="es-ES"/>
        </w:rPr>
        <w:t xml:space="preserve"> </w:t>
      </w:r>
      <w:r w:rsidR="00490F8D" w:rsidRPr="00F46DD9">
        <w:rPr>
          <w:rFonts w:eastAsia="Palatino Linotype" w:cs="Palatino Linotype"/>
          <w:b/>
          <w:bCs/>
          <w:color w:val="000000" w:themeColor="text1"/>
          <w:lang w:val="es-ES"/>
        </w:rPr>
        <w:t>Ayuntamiento de Toluca</w:t>
      </w:r>
      <w:r w:rsidR="00771E23" w:rsidRPr="00F46DD9">
        <w:rPr>
          <w:rFonts w:eastAsia="Palatino Linotype" w:cs="Palatino Linotype"/>
          <w:b/>
          <w:bCs/>
          <w:color w:val="000000" w:themeColor="text1"/>
          <w:lang w:val="es-ES"/>
        </w:rPr>
        <w:t>,</w:t>
      </w:r>
      <w:r w:rsidR="00920835" w:rsidRPr="00F46DD9">
        <w:rPr>
          <w:rFonts w:eastAsia="Palatino Linotype" w:cs="Palatino Linotype"/>
          <w:b/>
          <w:bCs/>
          <w:color w:val="000000" w:themeColor="text1"/>
          <w:lang w:val="es-ES"/>
        </w:rPr>
        <w:t xml:space="preserve"> </w:t>
      </w:r>
      <w:r w:rsidRPr="00F46DD9">
        <w:rPr>
          <w:rFonts w:eastAsia="Palatino Linotype" w:cs="Palatino Linotype"/>
          <w:color w:val="000000" w:themeColor="text1"/>
          <w:lang w:val="es-ES"/>
        </w:rPr>
        <w:t>en lo subsecuente</w:t>
      </w:r>
      <w:r w:rsidRPr="00F46DD9">
        <w:rPr>
          <w:rFonts w:eastAsia="Palatino Linotype" w:cs="Palatino Linotype"/>
          <w:b/>
          <w:bCs/>
          <w:color w:val="000000" w:themeColor="text1"/>
          <w:lang w:val="es-ES"/>
        </w:rPr>
        <w:t xml:space="preserve"> </w:t>
      </w:r>
      <w:r w:rsidRPr="00F46DD9">
        <w:rPr>
          <w:rFonts w:eastAsia="Palatino Linotype" w:cs="Palatino Linotype"/>
          <w:color w:val="000000" w:themeColor="text1"/>
          <w:lang w:val="es-ES"/>
        </w:rPr>
        <w:t>el</w:t>
      </w:r>
      <w:r w:rsidRPr="00F46DD9">
        <w:rPr>
          <w:rFonts w:eastAsia="Palatino Linotype" w:cs="Palatino Linotype"/>
          <w:b/>
          <w:bCs/>
          <w:color w:val="000000" w:themeColor="text1"/>
          <w:lang w:val="es-ES"/>
        </w:rPr>
        <w:t xml:space="preserve"> Sujeto Obligado, </w:t>
      </w:r>
      <w:r w:rsidRPr="00F46DD9">
        <w:rPr>
          <w:rFonts w:eastAsia="Palatino Linotype" w:cs="Palatino Linotype"/>
          <w:color w:val="000000" w:themeColor="text1"/>
          <w:lang w:val="es-ES"/>
        </w:rPr>
        <w:t>se procede a dictar la presente resolución.</w:t>
      </w:r>
    </w:p>
    <w:p w14:paraId="2E2053C2"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F46DD9" w:rsidRDefault="00A970D5" w:rsidP="006922F5">
      <w:pPr>
        <w:pStyle w:val="Ttulo1"/>
        <w:rPr>
          <w:rFonts w:eastAsia="Palatino Linotype"/>
          <w:lang w:val="es-ES_tradnl"/>
        </w:rPr>
      </w:pPr>
      <w:r w:rsidRPr="00F46DD9">
        <w:rPr>
          <w:rFonts w:eastAsia="Palatino Linotype"/>
          <w:lang w:val="es-ES_tradnl"/>
        </w:rPr>
        <w:t>A N T E C E D E N T E S</w:t>
      </w:r>
    </w:p>
    <w:p w14:paraId="32F88820"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F46DD9" w:rsidRDefault="00A970D5" w:rsidP="006922F5">
      <w:pPr>
        <w:pStyle w:val="Ttulo2"/>
        <w:rPr>
          <w:rFonts w:eastAsia="Palatino Linotype"/>
        </w:rPr>
      </w:pPr>
      <w:r w:rsidRPr="00F46DD9">
        <w:rPr>
          <w:rFonts w:eastAsia="Palatino Linotype"/>
        </w:rPr>
        <w:t xml:space="preserve">PRIMERO. De la </w:t>
      </w:r>
      <w:r w:rsidR="00A24D3F" w:rsidRPr="00F46DD9">
        <w:rPr>
          <w:rFonts w:eastAsia="Palatino Linotype"/>
        </w:rPr>
        <w:t>s</w:t>
      </w:r>
      <w:r w:rsidRPr="00F46DD9">
        <w:rPr>
          <w:rFonts w:eastAsia="Palatino Linotype"/>
        </w:rPr>
        <w:t xml:space="preserve">olicitud de </w:t>
      </w:r>
      <w:r w:rsidR="00A24D3F" w:rsidRPr="00F46DD9">
        <w:rPr>
          <w:rFonts w:eastAsia="Palatino Linotype"/>
        </w:rPr>
        <w:t>i</w:t>
      </w:r>
      <w:r w:rsidRPr="00F46DD9">
        <w:rPr>
          <w:rFonts w:eastAsia="Palatino Linotype"/>
        </w:rPr>
        <w:t>nformación.</w:t>
      </w:r>
    </w:p>
    <w:p w14:paraId="0870C154" w14:textId="0620555A" w:rsidR="00A970D5" w:rsidRPr="00F46DD9" w:rsidRDefault="00B36B86" w:rsidP="006922F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Con fecha</w:t>
      </w:r>
      <w:r w:rsidR="00AA6C98" w:rsidRPr="00F46DD9">
        <w:rPr>
          <w:rFonts w:eastAsia="Palatino Linotype" w:cs="Palatino Linotype"/>
          <w:color w:val="000000"/>
          <w:szCs w:val="24"/>
        </w:rPr>
        <w:t xml:space="preserve"> </w:t>
      </w:r>
      <w:r w:rsidR="00C6655A" w:rsidRPr="00F46DD9">
        <w:rPr>
          <w:rFonts w:eastAsia="Palatino Linotype" w:cs="Palatino Linotype"/>
          <w:color w:val="000000"/>
          <w:szCs w:val="24"/>
        </w:rPr>
        <w:t>quince</w:t>
      </w:r>
      <w:r w:rsidR="00AC4CAF" w:rsidRPr="00F46DD9">
        <w:rPr>
          <w:rFonts w:eastAsia="Palatino Linotype" w:cs="Palatino Linotype"/>
          <w:color w:val="000000"/>
          <w:szCs w:val="24"/>
        </w:rPr>
        <w:t xml:space="preserve"> de enero de dos mil veinticinco</w:t>
      </w:r>
      <w:r w:rsidR="00B54BC7" w:rsidRPr="00F46DD9">
        <w:rPr>
          <w:rFonts w:eastAsia="Palatino Linotype" w:cs="Palatino Linotype"/>
          <w:color w:val="000000"/>
          <w:szCs w:val="24"/>
        </w:rPr>
        <w:t xml:space="preserve">, </w:t>
      </w:r>
      <w:r w:rsidR="00771E23" w:rsidRPr="00F46DD9">
        <w:rPr>
          <w:rFonts w:eastAsia="Palatino Linotype" w:cs="Palatino Linotype"/>
          <w:color w:val="000000"/>
          <w:szCs w:val="24"/>
        </w:rPr>
        <w:t>el</w:t>
      </w:r>
      <w:r w:rsidR="00A970D5" w:rsidRPr="00F46DD9">
        <w:rPr>
          <w:rFonts w:eastAsia="Palatino Linotype" w:cs="Palatino Linotype"/>
          <w:color w:val="000000"/>
          <w:szCs w:val="24"/>
        </w:rPr>
        <w:t xml:space="preserve"> Recurrente presentó </w:t>
      </w:r>
      <w:r w:rsidR="00597C06" w:rsidRPr="00F46DD9">
        <w:rPr>
          <w:rFonts w:eastAsia="Palatino Linotype" w:cs="Palatino Linotype"/>
          <w:color w:val="000000"/>
          <w:szCs w:val="24"/>
        </w:rPr>
        <w:t xml:space="preserve">solicitud de información que fue registrada en </w:t>
      </w:r>
      <w:r w:rsidR="00A970D5" w:rsidRPr="00F46DD9">
        <w:rPr>
          <w:rFonts w:eastAsia="Palatino Linotype" w:cs="Palatino Linotype"/>
          <w:color w:val="000000"/>
          <w:szCs w:val="24"/>
        </w:rPr>
        <w:t>el Sistema de Acceso a la Información Mexiquense (SAIMEX) con el número</w:t>
      </w:r>
      <w:r w:rsidR="00642669" w:rsidRPr="00F46DD9">
        <w:rPr>
          <w:rFonts w:eastAsia="Palatino Linotype" w:cs="Palatino Linotype"/>
          <w:b/>
          <w:bCs/>
          <w:color w:val="000000"/>
          <w:szCs w:val="24"/>
        </w:rPr>
        <w:t xml:space="preserve"> </w:t>
      </w:r>
      <w:r w:rsidR="00C6655A" w:rsidRPr="00F46DD9">
        <w:rPr>
          <w:rFonts w:eastAsia="Palatino Linotype" w:cs="Palatino Linotype"/>
          <w:b/>
          <w:bCs/>
          <w:color w:val="000000"/>
          <w:szCs w:val="24"/>
        </w:rPr>
        <w:t>00294/TOLUCA/IP/2025</w:t>
      </w:r>
      <w:r w:rsidR="00A970D5" w:rsidRPr="00F46DD9">
        <w:rPr>
          <w:rFonts w:eastAsia="Palatino Linotype" w:cs="Palatino Linotype"/>
          <w:color w:val="000000"/>
          <w:szCs w:val="24"/>
        </w:rPr>
        <w:t>,</w:t>
      </w:r>
      <w:r w:rsidR="00A970D5" w:rsidRPr="00F46DD9">
        <w:rPr>
          <w:rFonts w:eastAsia="Palatino Linotype" w:cs="Palatino Linotype"/>
          <w:b/>
          <w:color w:val="000000"/>
          <w:szCs w:val="24"/>
        </w:rPr>
        <w:t xml:space="preserve"> </w:t>
      </w:r>
      <w:r w:rsidR="00A970D5" w:rsidRPr="00F46DD9">
        <w:rPr>
          <w:rFonts w:eastAsia="Palatino Linotype" w:cs="Palatino Linotype"/>
          <w:color w:val="000000"/>
          <w:szCs w:val="24"/>
        </w:rPr>
        <w:t xml:space="preserve">mediante la cual solicitó </w:t>
      </w:r>
      <w:r w:rsidR="00531CE5" w:rsidRPr="00F46DD9">
        <w:rPr>
          <w:rFonts w:eastAsia="Palatino Linotype" w:cs="Palatino Linotype"/>
          <w:color w:val="000000"/>
          <w:szCs w:val="24"/>
        </w:rPr>
        <w:t xml:space="preserve">lo </w:t>
      </w:r>
      <w:r w:rsidR="00A970D5" w:rsidRPr="00F46DD9">
        <w:rPr>
          <w:rFonts w:eastAsia="Palatino Linotype" w:cs="Palatino Linotype"/>
          <w:color w:val="000000"/>
          <w:szCs w:val="24"/>
        </w:rPr>
        <w:t>siguiente:</w:t>
      </w:r>
    </w:p>
    <w:p w14:paraId="68B56D82"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2747B9E" w:rsidR="00A970D5" w:rsidRPr="00F46DD9" w:rsidRDefault="70652167" w:rsidP="009950AD">
      <w:pPr>
        <w:pStyle w:val="Fundamentos"/>
      </w:pPr>
      <w:r w:rsidRPr="00F46DD9">
        <w:rPr>
          <w:lang w:val="es-ES"/>
        </w:rPr>
        <w:t>«</w:t>
      </w:r>
      <w:r w:rsidR="00C6655A" w:rsidRPr="00F46DD9">
        <w:rPr>
          <w:lang w:val="es-ES"/>
        </w:rPr>
        <w:t>DOCUMENTO DONDE PUEDA VER CUANTO GASTO EL PRESIDENTE EN EL EVENTO DE DIA DE REYES</w:t>
      </w:r>
      <w:r w:rsidRPr="00F46DD9">
        <w:rPr>
          <w:lang w:val="es-ES"/>
        </w:rPr>
        <w:t>» (Sic)</w:t>
      </w:r>
    </w:p>
    <w:p w14:paraId="40BBECCB"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F46DD9" w:rsidRDefault="00A970D5" w:rsidP="006922F5">
      <w:pPr>
        <w:pBdr>
          <w:top w:val="nil"/>
          <w:left w:val="nil"/>
          <w:bottom w:val="nil"/>
          <w:right w:val="nil"/>
          <w:between w:val="nil"/>
        </w:pBdr>
        <w:contextualSpacing/>
        <w:rPr>
          <w:rFonts w:eastAsia="Palatino Linotype" w:cs="Palatino Linotype"/>
          <w:b/>
          <w:color w:val="000000"/>
          <w:szCs w:val="24"/>
        </w:rPr>
      </w:pPr>
      <w:r w:rsidRPr="00F46DD9">
        <w:rPr>
          <w:rFonts w:eastAsia="Palatino Linotype" w:cs="Palatino Linotype"/>
          <w:color w:val="000000"/>
          <w:szCs w:val="24"/>
        </w:rPr>
        <w:t xml:space="preserve">Modalidad de entrega: </w:t>
      </w:r>
      <w:r w:rsidR="004A6F01" w:rsidRPr="00F46DD9">
        <w:rPr>
          <w:rFonts w:eastAsia="Palatino Linotype" w:cs="Palatino Linotype"/>
          <w:b/>
          <w:color w:val="000000"/>
          <w:szCs w:val="24"/>
        </w:rPr>
        <w:t>A través del SAIMEX</w:t>
      </w:r>
    </w:p>
    <w:p w14:paraId="1063B60E" w14:textId="77777777" w:rsidR="007B7C73" w:rsidRPr="00F46DD9"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F46DD9" w:rsidRDefault="00531CE5" w:rsidP="006922F5">
      <w:pPr>
        <w:pStyle w:val="Ttulo2"/>
        <w:rPr>
          <w:rFonts w:eastAsia="Palatino Linotype"/>
        </w:rPr>
      </w:pPr>
      <w:r w:rsidRPr="00F46DD9">
        <w:rPr>
          <w:rFonts w:eastAsia="Palatino Linotype"/>
        </w:rPr>
        <w:t>SEGUNDO</w:t>
      </w:r>
      <w:r w:rsidR="00A970D5" w:rsidRPr="00F46DD9">
        <w:rPr>
          <w:rFonts w:eastAsia="Palatino Linotype"/>
        </w:rPr>
        <w:t>. De la respuesta del Sujeto Obligado.</w:t>
      </w:r>
    </w:p>
    <w:p w14:paraId="2EE6F294" w14:textId="25A7BD18"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De las constancias que obran en el expediente electrónico, se observa qu</w:t>
      </w:r>
      <w:r w:rsidR="008B2951" w:rsidRPr="00F46DD9">
        <w:rPr>
          <w:rFonts w:eastAsia="Palatino Linotype" w:cs="Palatino Linotype"/>
          <w:color w:val="000000"/>
          <w:szCs w:val="24"/>
        </w:rPr>
        <w:t>e el día</w:t>
      </w:r>
      <w:r w:rsidR="004A3367" w:rsidRPr="00F46DD9">
        <w:rPr>
          <w:rFonts w:eastAsia="Palatino Linotype" w:cs="Palatino Linotype"/>
          <w:color w:val="000000"/>
          <w:szCs w:val="24"/>
        </w:rPr>
        <w:t xml:space="preserve"> </w:t>
      </w:r>
      <w:r w:rsidR="00C7581D" w:rsidRPr="00F46DD9">
        <w:rPr>
          <w:rFonts w:eastAsia="Palatino Linotype" w:cs="Palatino Linotype"/>
          <w:color w:val="000000"/>
          <w:szCs w:val="24"/>
        </w:rPr>
        <w:t>seis</w:t>
      </w:r>
      <w:r w:rsidR="00CC2116" w:rsidRPr="00F46DD9">
        <w:rPr>
          <w:rFonts w:eastAsia="Palatino Linotype" w:cs="Palatino Linotype"/>
          <w:color w:val="000000"/>
          <w:szCs w:val="24"/>
        </w:rPr>
        <w:t xml:space="preserve"> de febrero</w:t>
      </w:r>
      <w:r w:rsidR="004A5EE6" w:rsidRPr="00F46DD9">
        <w:rPr>
          <w:rFonts w:eastAsia="Palatino Linotype" w:cs="Palatino Linotype"/>
          <w:color w:val="000000"/>
          <w:szCs w:val="24"/>
        </w:rPr>
        <w:t xml:space="preserve"> de dos mil veinticinco</w:t>
      </w:r>
      <w:r w:rsidRPr="00F46DD9">
        <w:rPr>
          <w:rFonts w:eastAsia="Palatino Linotype" w:cs="Palatino Linotype"/>
          <w:color w:val="000000"/>
          <w:szCs w:val="24"/>
        </w:rPr>
        <w:t>, el Sujeto Obligado dio respuest</w:t>
      </w:r>
      <w:r w:rsidR="009F4FF4" w:rsidRPr="00F46DD9">
        <w:rPr>
          <w:rFonts w:eastAsia="Palatino Linotype" w:cs="Palatino Linotype"/>
          <w:color w:val="000000"/>
          <w:szCs w:val="24"/>
        </w:rPr>
        <w:t>a a la solicitud de información</w:t>
      </w:r>
      <w:r w:rsidRPr="00F46DD9">
        <w:rPr>
          <w:rFonts w:eastAsia="Palatino Linotype" w:cs="Palatino Linotype"/>
          <w:color w:val="000000"/>
          <w:szCs w:val="24"/>
        </w:rPr>
        <w:t xml:space="preserve"> manifestando lo siguiente:</w:t>
      </w:r>
    </w:p>
    <w:p w14:paraId="6CF4EC0F"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p>
    <w:p w14:paraId="36C93502" w14:textId="77777777" w:rsidR="00C6655A" w:rsidRPr="00F46DD9" w:rsidRDefault="23740614" w:rsidP="00C6655A">
      <w:pPr>
        <w:pStyle w:val="Fundamentos"/>
        <w:rPr>
          <w:lang w:val="es-ES"/>
        </w:rPr>
      </w:pPr>
      <w:r w:rsidRPr="00F46DD9">
        <w:rPr>
          <w:lang w:val="es-ES"/>
        </w:rPr>
        <w:t>«</w:t>
      </w:r>
      <w:r w:rsidR="00C6655A" w:rsidRPr="00F46DD9">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BE0167" w14:textId="77777777" w:rsidR="00C6655A" w:rsidRPr="00F46DD9" w:rsidRDefault="00C6655A" w:rsidP="00C6655A">
      <w:pPr>
        <w:pStyle w:val="Fundamentos"/>
        <w:rPr>
          <w:lang w:val="es-ES"/>
        </w:rPr>
      </w:pPr>
    </w:p>
    <w:p w14:paraId="60036491" w14:textId="77777777" w:rsidR="00C6655A" w:rsidRPr="00F46DD9" w:rsidRDefault="00C6655A" w:rsidP="00C6655A">
      <w:pPr>
        <w:pStyle w:val="Fundamentos"/>
        <w:rPr>
          <w:lang w:val="es-ES"/>
        </w:rPr>
      </w:pPr>
      <w:r w:rsidRPr="00F46DD9">
        <w:rPr>
          <w:lang w:val="es-ES"/>
        </w:rPr>
        <w:t>En atención a la solicitud con folio 00294/TOLUCA/IP/2025, me permito adjuntar al presente la respuesta correspondiente. Sin más por el momento, reciba un saludo</w:t>
      </w:r>
    </w:p>
    <w:p w14:paraId="2B486C30" w14:textId="77777777" w:rsidR="00C6655A" w:rsidRPr="00F46DD9" w:rsidRDefault="00C6655A" w:rsidP="00C6655A">
      <w:pPr>
        <w:pStyle w:val="Fundamentos"/>
        <w:rPr>
          <w:lang w:val="es-ES"/>
        </w:rPr>
      </w:pPr>
    </w:p>
    <w:p w14:paraId="7D35FC84" w14:textId="77777777" w:rsidR="00C6655A" w:rsidRPr="00F46DD9" w:rsidRDefault="00C6655A" w:rsidP="00C6655A">
      <w:pPr>
        <w:pStyle w:val="Fundamentos"/>
        <w:rPr>
          <w:lang w:val="es-ES"/>
        </w:rPr>
      </w:pPr>
      <w:r w:rsidRPr="00F46DD9">
        <w:rPr>
          <w:lang w:val="es-ES"/>
        </w:rPr>
        <w:t>ATENTAMENTE</w:t>
      </w:r>
    </w:p>
    <w:p w14:paraId="3FE4A9EF" w14:textId="1B255F19" w:rsidR="00A970D5" w:rsidRPr="00F46DD9" w:rsidRDefault="00C6655A" w:rsidP="00C6655A">
      <w:pPr>
        <w:pStyle w:val="Fundamentos"/>
        <w:rPr>
          <w:lang w:val="es-MX"/>
        </w:rPr>
      </w:pPr>
      <w:r w:rsidRPr="00F46DD9">
        <w:rPr>
          <w:lang w:val="es-ES"/>
        </w:rPr>
        <w:t>Dr. Nahum Miguel Mendoza Morales</w:t>
      </w:r>
      <w:r w:rsidR="00851748" w:rsidRPr="00F46DD9">
        <w:rPr>
          <w:lang w:val="es-MX"/>
        </w:rPr>
        <w:t>»</w:t>
      </w:r>
      <w:r w:rsidR="00A970D5" w:rsidRPr="00F46DD9">
        <w:rPr>
          <w:lang w:val="es-MX"/>
        </w:rPr>
        <w:t xml:space="preserve"> (Sic)</w:t>
      </w:r>
    </w:p>
    <w:p w14:paraId="2EAB8352" w14:textId="3B77EF6C" w:rsidR="001107C4" w:rsidRPr="00F46DD9"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5A2F15E" w:rsidR="0037112D" w:rsidRPr="00F46DD9" w:rsidRDefault="70652167" w:rsidP="70652167">
      <w:pPr>
        <w:pBdr>
          <w:top w:val="nil"/>
          <w:left w:val="nil"/>
          <w:bottom w:val="nil"/>
          <w:right w:val="nil"/>
          <w:between w:val="nil"/>
        </w:pBdr>
        <w:contextualSpacing/>
        <w:rPr>
          <w:rFonts w:eastAsia="Palatino Linotype" w:cs="Palatino Linotype"/>
          <w:b/>
          <w:bCs/>
          <w:color w:val="000000"/>
          <w:lang w:val="es-ES"/>
        </w:rPr>
      </w:pPr>
      <w:r w:rsidRPr="00F46DD9">
        <w:rPr>
          <w:rFonts w:eastAsia="Palatino Linotype" w:cs="Palatino Linotype"/>
          <w:color w:val="000000" w:themeColor="text1"/>
          <w:lang w:val="es-ES"/>
        </w:rPr>
        <w:t xml:space="preserve">El Sujeto Obligado adjuntó a su respuesta </w:t>
      </w:r>
      <w:r w:rsidR="000D08B6" w:rsidRPr="00F46DD9">
        <w:rPr>
          <w:rFonts w:eastAsia="Palatino Linotype" w:cs="Palatino Linotype"/>
          <w:color w:val="000000" w:themeColor="text1"/>
          <w:lang w:val="es-ES"/>
        </w:rPr>
        <w:t>el documento</w:t>
      </w:r>
      <w:r w:rsidRPr="00F46DD9">
        <w:rPr>
          <w:rFonts w:eastAsia="Palatino Linotype" w:cs="Palatino Linotype"/>
          <w:color w:val="000000" w:themeColor="text1"/>
          <w:lang w:val="es-ES"/>
        </w:rPr>
        <w:t xml:space="preserve"> denominado</w:t>
      </w:r>
      <w:r w:rsidR="00A63CD7" w:rsidRPr="00F46DD9">
        <w:rPr>
          <w:rFonts w:eastAsia="Palatino Linotype" w:cs="Palatino Linotype"/>
          <w:color w:val="000000" w:themeColor="text1"/>
          <w:lang w:val="es-ES"/>
        </w:rPr>
        <w:t xml:space="preserve"> </w:t>
      </w:r>
      <w:r w:rsidR="00A63CD7" w:rsidRPr="00F46DD9">
        <w:rPr>
          <w:rFonts w:eastAsia="Palatino Linotype" w:cs="Palatino Linotype"/>
          <w:b/>
          <w:bCs/>
          <w:color w:val="000000" w:themeColor="text1"/>
          <w:lang w:val="es-ES"/>
        </w:rPr>
        <w:t>«</w:t>
      </w:r>
      <w:r w:rsidR="00C6655A" w:rsidRPr="00F46DD9">
        <w:rPr>
          <w:rFonts w:eastAsia="Palatino Linotype" w:cs="Palatino Linotype"/>
          <w:b/>
          <w:bCs/>
          <w:color w:val="000000" w:themeColor="text1"/>
          <w:lang w:val="es-ES"/>
        </w:rPr>
        <w:t>RESPUESTA 294</w:t>
      </w:r>
      <w:r w:rsidR="005E2316" w:rsidRPr="00F46DD9">
        <w:rPr>
          <w:rFonts w:eastAsia="Palatino Linotype" w:cs="Palatino Linotype"/>
          <w:b/>
          <w:bCs/>
          <w:color w:val="000000" w:themeColor="text1"/>
          <w:lang w:val="es-ES"/>
        </w:rPr>
        <w:t>. 2025.pdf</w:t>
      </w:r>
      <w:r w:rsidR="001E4621" w:rsidRPr="00F46DD9">
        <w:rPr>
          <w:rFonts w:eastAsia="Palatino Linotype" w:cs="Palatino Linotype"/>
          <w:b/>
          <w:bCs/>
          <w:color w:val="000000" w:themeColor="text1"/>
          <w:lang w:val="es-ES"/>
        </w:rPr>
        <w:t>»</w:t>
      </w:r>
      <w:r w:rsidR="001E4621" w:rsidRPr="00F46DD9">
        <w:rPr>
          <w:rFonts w:eastAsia="Palatino Linotype" w:cs="Palatino Linotype"/>
          <w:color w:val="000000" w:themeColor="text1"/>
          <w:lang w:val="es-ES"/>
        </w:rPr>
        <w:t xml:space="preserve">, </w:t>
      </w:r>
      <w:r w:rsidR="00F17165" w:rsidRPr="00F46DD9">
        <w:rPr>
          <w:rFonts w:eastAsia="Palatino Linotype" w:cs="Palatino Linotype"/>
          <w:color w:val="000000" w:themeColor="text1"/>
          <w:lang w:val="es-ES"/>
        </w:rPr>
        <w:t>cuyo</w:t>
      </w:r>
      <w:r w:rsidRPr="00F46DD9">
        <w:rPr>
          <w:rFonts w:eastAsia="Palatino Linotype" w:cs="Palatino Linotype"/>
          <w:color w:val="000000" w:themeColor="text1"/>
          <w:lang w:val="es-ES"/>
        </w:rPr>
        <w:t xml:space="preserve"> contenido</w:t>
      </w:r>
      <w:r w:rsidR="007229FC" w:rsidRPr="00F46DD9">
        <w:rPr>
          <w:rFonts w:eastAsia="Palatino Linotype" w:cs="Palatino Linotype"/>
          <w:color w:val="000000" w:themeColor="text1"/>
          <w:lang w:val="es-ES"/>
        </w:rPr>
        <w:t xml:space="preserve"> no se reproduce por ser del conocimiento de las partes; no obstante,</w:t>
      </w:r>
      <w:r w:rsidRPr="00F46DD9">
        <w:rPr>
          <w:rFonts w:eastAsia="Palatino Linotype" w:cs="Palatino Linotype"/>
          <w:color w:val="000000" w:themeColor="text1"/>
          <w:lang w:val="es-ES"/>
        </w:rPr>
        <w:t xml:space="preserve"> será motivo de análisis en el estudio correspondiente.</w:t>
      </w:r>
    </w:p>
    <w:p w14:paraId="2011BBDD" w14:textId="77777777" w:rsidR="0037112D" w:rsidRPr="00F46DD9"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F46DD9" w:rsidRDefault="00531CE5" w:rsidP="006922F5">
      <w:pPr>
        <w:pStyle w:val="Ttulo2"/>
        <w:rPr>
          <w:rFonts w:eastAsia="Palatino Linotype"/>
        </w:rPr>
      </w:pPr>
      <w:r w:rsidRPr="00F46DD9">
        <w:rPr>
          <w:rFonts w:eastAsia="Palatino Linotype"/>
        </w:rPr>
        <w:t>TERCERO</w:t>
      </w:r>
      <w:r w:rsidR="00A970D5" w:rsidRPr="00F46DD9">
        <w:rPr>
          <w:rFonts w:eastAsia="Palatino Linotype"/>
        </w:rPr>
        <w:t>. Del recurso de revisión.</w:t>
      </w:r>
    </w:p>
    <w:p w14:paraId="0C8C3A2F" w14:textId="70B88C47" w:rsidR="00A970D5" w:rsidRPr="00F46DD9" w:rsidRDefault="0090115A" w:rsidP="006922F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Inconforme con la respuesta emitida</w:t>
      </w:r>
      <w:r w:rsidR="005E2316" w:rsidRPr="00F46DD9">
        <w:rPr>
          <w:rFonts w:eastAsia="Palatino Linotype" w:cs="Palatino Linotype"/>
          <w:color w:val="000000"/>
          <w:szCs w:val="24"/>
        </w:rPr>
        <w:t xml:space="preserve"> por el Sujeto Obligado</w:t>
      </w:r>
      <w:r w:rsidR="006726AD" w:rsidRPr="00F46DD9">
        <w:rPr>
          <w:rFonts w:eastAsia="Palatino Linotype" w:cs="Palatino Linotype"/>
          <w:color w:val="000000"/>
          <w:szCs w:val="24"/>
        </w:rPr>
        <w:t>, el</w:t>
      </w:r>
      <w:r w:rsidRPr="00F46DD9">
        <w:rPr>
          <w:rFonts w:eastAsia="Palatino Linotype" w:cs="Palatino Linotype"/>
          <w:color w:val="000000"/>
          <w:szCs w:val="24"/>
        </w:rPr>
        <w:t xml:space="preserve"> Recurrente interpuso el presente recurso de revisión el </w:t>
      </w:r>
      <w:r w:rsidR="005E2316" w:rsidRPr="00F46DD9">
        <w:rPr>
          <w:rFonts w:eastAsia="Palatino Linotype" w:cs="Palatino Linotype"/>
          <w:color w:val="000000"/>
          <w:szCs w:val="24"/>
        </w:rPr>
        <w:t>once de febrero</w:t>
      </w:r>
      <w:r w:rsidR="00DE2889" w:rsidRPr="00F46DD9">
        <w:rPr>
          <w:rFonts w:eastAsia="Palatino Linotype" w:cs="Palatino Linotype"/>
          <w:color w:val="000000"/>
          <w:szCs w:val="24"/>
        </w:rPr>
        <w:t xml:space="preserve"> de dos mil veinticinco</w:t>
      </w:r>
      <w:r w:rsidRPr="00F46DD9">
        <w:rPr>
          <w:rFonts w:eastAsia="Palatino Linotype" w:cs="Palatino Linotype"/>
          <w:color w:val="000000"/>
          <w:szCs w:val="24"/>
        </w:rPr>
        <w:t>, el cual se registró en el SAIMEX con el expediente número</w:t>
      </w:r>
      <w:r w:rsidR="00A970D5" w:rsidRPr="00F46DD9">
        <w:rPr>
          <w:rFonts w:eastAsia="Palatino Linotype" w:cs="Palatino Linotype"/>
          <w:color w:val="000000"/>
          <w:szCs w:val="24"/>
        </w:rPr>
        <w:t xml:space="preserve"> </w:t>
      </w:r>
      <w:r w:rsidR="00C6655A" w:rsidRPr="00F46DD9">
        <w:rPr>
          <w:rFonts w:eastAsia="Palatino Linotype" w:cs="Palatino Linotype"/>
          <w:b/>
          <w:color w:val="000000"/>
          <w:szCs w:val="24"/>
        </w:rPr>
        <w:t>01505/INFOEM/IP/RR/2025</w:t>
      </w:r>
      <w:r w:rsidR="00A06896" w:rsidRPr="00F46DD9">
        <w:rPr>
          <w:rFonts w:eastAsia="Palatino Linotype" w:cs="Palatino Linotype"/>
          <w:color w:val="000000"/>
          <w:szCs w:val="24"/>
        </w:rPr>
        <w:t xml:space="preserve">, </w:t>
      </w:r>
      <w:r w:rsidRPr="00F46DD9">
        <w:rPr>
          <w:rFonts w:eastAsia="Palatino Linotype" w:cs="Palatino Linotype"/>
          <w:color w:val="000000"/>
          <w:szCs w:val="24"/>
        </w:rPr>
        <w:t>en el que manifestó</w:t>
      </w:r>
      <w:r w:rsidR="00A970D5" w:rsidRPr="00F46DD9">
        <w:rPr>
          <w:rFonts w:eastAsia="Palatino Linotype" w:cs="Palatino Linotype"/>
          <w:color w:val="000000"/>
          <w:szCs w:val="24"/>
        </w:rPr>
        <w:t xml:space="preserve"> lo siguiente:</w:t>
      </w:r>
    </w:p>
    <w:p w14:paraId="7AA0C9F4" w14:textId="046134A0"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F46DD9" w:rsidRDefault="00A970D5" w:rsidP="006922F5">
      <w:pPr>
        <w:contextualSpacing/>
        <w:rPr>
          <w:rFonts w:eastAsia="Palatino Linotype" w:cs="Palatino Linotype"/>
          <w:b/>
        </w:rPr>
      </w:pPr>
      <w:r w:rsidRPr="00F46DD9">
        <w:rPr>
          <w:rFonts w:eastAsia="Palatino Linotype" w:cs="Palatino Linotype"/>
          <w:b/>
        </w:rPr>
        <w:t>Acto Impugnado:</w:t>
      </w:r>
      <w:r w:rsidR="00655007" w:rsidRPr="00F46DD9">
        <w:rPr>
          <w:rFonts w:eastAsia="Palatino Linotype" w:cs="Palatino Linotype"/>
          <w:b/>
        </w:rPr>
        <w:t xml:space="preserve"> </w:t>
      </w:r>
    </w:p>
    <w:p w14:paraId="4A0EFE5A" w14:textId="29F8C71C" w:rsidR="00A970D5" w:rsidRPr="00F46DD9" w:rsidRDefault="5C35490E" w:rsidP="5C35490E">
      <w:pPr>
        <w:pStyle w:val="Fundamentos"/>
        <w:rPr>
          <w:b/>
          <w:bCs/>
          <w:lang w:val="es-ES"/>
        </w:rPr>
      </w:pPr>
      <w:r w:rsidRPr="00F46DD9">
        <w:rPr>
          <w:lang w:val="es-ES"/>
        </w:rPr>
        <w:t>«</w:t>
      </w:r>
      <w:r w:rsidR="00C6655A" w:rsidRPr="00F46DD9">
        <w:rPr>
          <w:lang w:val="es-ES"/>
        </w:rPr>
        <w:t>La engañosa respuesta</w:t>
      </w:r>
      <w:r w:rsidRPr="00F46DD9">
        <w:rPr>
          <w:lang w:val="es-ES"/>
        </w:rPr>
        <w:t>» (Sic)</w:t>
      </w:r>
    </w:p>
    <w:p w14:paraId="3C40A441" w14:textId="0B2599C4" w:rsidR="00A970D5" w:rsidRPr="00F46DD9" w:rsidRDefault="00A970D5" w:rsidP="00FA1919">
      <w:pPr>
        <w:tabs>
          <w:tab w:val="left" w:pos="2515"/>
        </w:tabs>
        <w:contextualSpacing/>
        <w:rPr>
          <w:rFonts w:eastAsia="Palatino Linotype" w:cs="Palatino Linotype"/>
          <w:iCs/>
          <w:szCs w:val="24"/>
          <w:lang w:val="es-ES"/>
        </w:rPr>
      </w:pPr>
    </w:p>
    <w:p w14:paraId="0F6CFE30" w14:textId="719FCACE" w:rsidR="00300EA0" w:rsidRPr="00F46DD9" w:rsidRDefault="002B6B0F" w:rsidP="00300EA0">
      <w:pPr>
        <w:contextualSpacing/>
        <w:rPr>
          <w:rFonts w:eastAsia="Palatino Linotype" w:cs="Palatino Linotype"/>
          <w:b/>
        </w:rPr>
      </w:pPr>
      <w:r w:rsidRPr="00F46DD9">
        <w:rPr>
          <w:rFonts w:eastAsia="Palatino Linotype" w:cs="Palatino Linotype"/>
          <w:b/>
        </w:rPr>
        <w:t>Razones o motivos de inconformidad</w:t>
      </w:r>
      <w:r w:rsidR="00300EA0" w:rsidRPr="00F46DD9">
        <w:rPr>
          <w:rFonts w:eastAsia="Palatino Linotype" w:cs="Palatino Linotype"/>
          <w:b/>
        </w:rPr>
        <w:t xml:space="preserve">: </w:t>
      </w:r>
    </w:p>
    <w:p w14:paraId="636038ED" w14:textId="13D069E4" w:rsidR="00300EA0" w:rsidRPr="00F46DD9" w:rsidRDefault="00300EA0" w:rsidP="00300EA0">
      <w:pPr>
        <w:pStyle w:val="Fundamentos"/>
        <w:rPr>
          <w:b/>
          <w:bCs/>
          <w:lang w:val="es-ES"/>
        </w:rPr>
      </w:pPr>
      <w:r w:rsidRPr="00F46DD9">
        <w:rPr>
          <w:lang w:val="es-ES"/>
        </w:rPr>
        <w:t>«</w:t>
      </w:r>
      <w:r w:rsidR="00C6655A" w:rsidRPr="00F46DD9">
        <w:rPr>
          <w:lang w:val="es-ES"/>
        </w:rPr>
        <w:t>No entregan lo que solicito solo engañan si el evento ya se hiso xq no tenerlo. TolucaOpacos</w:t>
      </w:r>
      <w:r w:rsidRPr="00F46DD9">
        <w:rPr>
          <w:lang w:val="es-ES"/>
        </w:rPr>
        <w:t>» (Sic)</w:t>
      </w:r>
    </w:p>
    <w:p w14:paraId="0A3CE1C1" w14:textId="77777777" w:rsidR="00390EBF" w:rsidRPr="00F46DD9" w:rsidRDefault="00390EBF" w:rsidP="006922F5">
      <w:pPr>
        <w:contextualSpacing/>
        <w:rPr>
          <w:rFonts w:eastAsia="Palatino Linotype" w:cs="Palatino Linotype"/>
          <w:iCs/>
          <w:szCs w:val="24"/>
          <w:lang w:val="es-ES"/>
        </w:rPr>
      </w:pPr>
    </w:p>
    <w:p w14:paraId="11D7F189" w14:textId="400C074D" w:rsidR="00A970D5" w:rsidRPr="00F46DD9" w:rsidRDefault="00531CE5" w:rsidP="006922F5">
      <w:pPr>
        <w:pStyle w:val="Ttulo2"/>
        <w:rPr>
          <w:rFonts w:eastAsia="Palatino Linotype"/>
        </w:rPr>
      </w:pPr>
      <w:r w:rsidRPr="00F46DD9">
        <w:rPr>
          <w:rFonts w:eastAsia="Palatino Linotype"/>
        </w:rPr>
        <w:lastRenderedPageBreak/>
        <w:t>CUAR</w:t>
      </w:r>
      <w:r w:rsidR="007A1154" w:rsidRPr="00F46DD9">
        <w:rPr>
          <w:rFonts w:eastAsia="Palatino Linotype"/>
        </w:rPr>
        <w:t>TO</w:t>
      </w:r>
      <w:r w:rsidR="00A970D5" w:rsidRPr="00F46DD9">
        <w:rPr>
          <w:rFonts w:eastAsia="Palatino Linotype"/>
        </w:rPr>
        <w:t>. Del turno y admisión del recurso de revisión.</w:t>
      </w:r>
    </w:p>
    <w:p w14:paraId="2459DEBA" w14:textId="6631EC03" w:rsidR="00A970D5" w:rsidRPr="00F46DD9" w:rsidRDefault="70652167" w:rsidP="70652167">
      <w:pPr>
        <w:pBdr>
          <w:top w:val="nil"/>
          <w:left w:val="nil"/>
          <w:bottom w:val="nil"/>
          <w:right w:val="nil"/>
          <w:between w:val="nil"/>
        </w:pBdr>
        <w:contextualSpacing/>
        <w:rPr>
          <w:rFonts w:eastAsia="Palatino Linotype" w:cs="Palatino Linotype"/>
          <w:color w:val="000000"/>
          <w:lang w:val="es-ES"/>
        </w:rPr>
      </w:pPr>
      <w:r w:rsidRPr="00F46DD9">
        <w:rPr>
          <w:rFonts w:eastAsia="Palatino Linotype" w:cs="Palatino Linotype"/>
          <w:color w:val="000000" w:themeColor="text1"/>
          <w:lang w:val="es-ES"/>
        </w:rPr>
        <w:t xml:space="preserve">Medio de impugnación que le fue turnado al </w:t>
      </w:r>
      <w:r w:rsidRPr="00F46DD9">
        <w:rPr>
          <w:rFonts w:eastAsia="Palatino Linotype" w:cs="Palatino Linotype"/>
          <w:b/>
          <w:bCs/>
          <w:color w:val="000000" w:themeColor="text1"/>
          <w:lang w:val="es-ES"/>
        </w:rPr>
        <w:t>Comisionado Presidente José Martínez Vilchis</w:t>
      </w:r>
      <w:r w:rsidRPr="00F46DD9">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F46DD9">
        <w:rPr>
          <w:rFonts w:eastAsia="Palatino Linotype" w:cs="Palatino Linotype"/>
          <w:color w:val="000000" w:themeColor="text1"/>
          <w:lang w:val="es-ES"/>
        </w:rPr>
        <w:t xml:space="preserve"> admisión de fecha </w:t>
      </w:r>
      <w:r w:rsidR="00C6655A" w:rsidRPr="00F46DD9">
        <w:rPr>
          <w:rFonts w:eastAsia="Palatino Linotype" w:cs="Palatino Linotype"/>
          <w:color w:val="000000" w:themeColor="text1"/>
          <w:lang w:val="es-ES"/>
        </w:rPr>
        <w:t>diecinueve</w:t>
      </w:r>
      <w:r w:rsidR="005E2316" w:rsidRPr="00F46DD9">
        <w:rPr>
          <w:rFonts w:eastAsia="Palatino Linotype" w:cs="Palatino Linotype"/>
          <w:color w:val="000000" w:themeColor="text1"/>
          <w:lang w:val="es-ES"/>
        </w:rPr>
        <w:t xml:space="preserve"> de febrero</w:t>
      </w:r>
      <w:r w:rsidR="00774AC3" w:rsidRPr="00F46DD9">
        <w:rPr>
          <w:rFonts w:eastAsia="Palatino Linotype" w:cs="Palatino Linotype"/>
          <w:color w:val="000000" w:themeColor="text1"/>
          <w:lang w:val="es-ES"/>
        </w:rPr>
        <w:t xml:space="preserve"> de dos mil veinticinco</w:t>
      </w:r>
      <w:r w:rsidRPr="00F46DD9">
        <w:rPr>
          <w:rFonts w:eastAsia="Palatino Linotype" w:cs="Palatino Linotype"/>
          <w:color w:val="000000" w:themeColor="text1"/>
          <w:lang w:val="es-ES"/>
        </w:rPr>
        <w:t xml:space="preserve">, </w:t>
      </w:r>
      <w:r w:rsidRPr="00F46DD9">
        <w:rPr>
          <w:rFonts w:eastAsia="Palatino Linotype" w:cs="Palatino Linotype"/>
          <w:lang w:val="es-ES"/>
        </w:rPr>
        <w:t>otorgándose</w:t>
      </w:r>
      <w:r w:rsidRPr="00F46DD9">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 w:val="22"/>
          <w:szCs w:val="24"/>
        </w:rPr>
      </w:pPr>
    </w:p>
    <w:p w14:paraId="05AE608B" w14:textId="230F8339" w:rsidR="00A970D5" w:rsidRPr="00F46DD9" w:rsidRDefault="00531CE5" w:rsidP="006922F5">
      <w:pPr>
        <w:pStyle w:val="Ttulo2"/>
        <w:rPr>
          <w:rFonts w:eastAsia="Palatino Linotype"/>
        </w:rPr>
      </w:pPr>
      <w:r w:rsidRPr="00F46DD9">
        <w:rPr>
          <w:rFonts w:eastAsia="Palatino Linotype"/>
        </w:rPr>
        <w:t>QUIN</w:t>
      </w:r>
      <w:r w:rsidR="007A1154" w:rsidRPr="00F46DD9">
        <w:rPr>
          <w:rFonts w:eastAsia="Palatino Linotype"/>
        </w:rPr>
        <w:t>TO</w:t>
      </w:r>
      <w:r w:rsidR="00A970D5" w:rsidRPr="00F46DD9">
        <w:rPr>
          <w:rFonts w:eastAsia="Palatino Linotype"/>
        </w:rPr>
        <w:t>. De la etapa de instrucción.</w:t>
      </w:r>
    </w:p>
    <w:p w14:paraId="4BA2AFA2" w14:textId="77777777" w:rsidR="00C6655A" w:rsidRPr="00F46DD9" w:rsidRDefault="00C6655A" w:rsidP="00C6655A">
      <w:pPr>
        <w:pBdr>
          <w:top w:val="nil"/>
          <w:left w:val="nil"/>
          <w:bottom w:val="nil"/>
          <w:right w:val="nil"/>
          <w:between w:val="nil"/>
        </w:pBdr>
        <w:contextualSpacing/>
        <w:rPr>
          <w:rFonts w:eastAsia="Palatino Linotype" w:cs="Palatino Linotype"/>
          <w:color w:val="000000"/>
        </w:rPr>
      </w:pPr>
      <w:r w:rsidRPr="00F46DD9">
        <w:rPr>
          <w:rFonts w:eastAsia="Palatino Linotype" w:cs="Palatino Linotype"/>
          <w:color w:val="000000" w:themeColor="text1"/>
        </w:rPr>
        <w:t>Se observa que el Sujeto Obligado omitió rendir el Informe Justificado durante la etapa de instrucción. Por su parte, la Recurrente no realizó manifestaciones, vertió alegatos ni presentó pruebas que a su derecho convinieran.</w:t>
      </w:r>
    </w:p>
    <w:p w14:paraId="5B536618" w14:textId="7ED50870" w:rsidR="00C02596" w:rsidRPr="00F46DD9" w:rsidRDefault="00C02596" w:rsidP="006922F5">
      <w:pPr>
        <w:pBdr>
          <w:top w:val="nil"/>
          <w:left w:val="nil"/>
          <w:bottom w:val="nil"/>
          <w:right w:val="nil"/>
          <w:between w:val="nil"/>
        </w:pBdr>
        <w:contextualSpacing/>
        <w:rPr>
          <w:rFonts w:eastAsia="Palatino Linotype" w:cs="Palatino Linotype"/>
          <w:color w:val="000000"/>
          <w:sz w:val="22"/>
          <w:szCs w:val="24"/>
        </w:rPr>
      </w:pPr>
    </w:p>
    <w:p w14:paraId="65310342" w14:textId="0881659B" w:rsidR="00A970D5" w:rsidRPr="00F46DD9" w:rsidRDefault="007A1154" w:rsidP="006922F5">
      <w:pPr>
        <w:pStyle w:val="Ttulo2"/>
        <w:rPr>
          <w:rFonts w:eastAsia="Palatino Linotype"/>
        </w:rPr>
      </w:pPr>
      <w:r w:rsidRPr="00F46DD9">
        <w:rPr>
          <w:rFonts w:eastAsia="Palatino Linotype"/>
        </w:rPr>
        <w:t>S</w:t>
      </w:r>
      <w:r w:rsidR="00531CE5" w:rsidRPr="00F46DD9">
        <w:rPr>
          <w:rFonts w:eastAsia="Palatino Linotype"/>
        </w:rPr>
        <w:t>EXTO</w:t>
      </w:r>
      <w:r w:rsidR="00A970D5" w:rsidRPr="00F46DD9">
        <w:rPr>
          <w:rFonts w:eastAsia="Palatino Linotype"/>
        </w:rPr>
        <w:t>. Del cierre de instrucción.</w:t>
      </w:r>
    </w:p>
    <w:p w14:paraId="2456F4BD" w14:textId="548A2C00"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Así, una vez transcurrido el término legal, se decretó el cierre de instru</w:t>
      </w:r>
      <w:r w:rsidR="00AE6B11" w:rsidRPr="00F46DD9">
        <w:rPr>
          <w:rFonts w:eastAsia="Palatino Linotype" w:cs="Palatino Linotype"/>
          <w:color w:val="000000"/>
          <w:szCs w:val="24"/>
        </w:rPr>
        <w:t>cción</w:t>
      </w:r>
      <w:r w:rsidR="007826F1" w:rsidRPr="00F46DD9">
        <w:rPr>
          <w:rFonts w:eastAsia="Palatino Linotype" w:cs="Palatino Linotype"/>
          <w:color w:val="000000"/>
          <w:szCs w:val="24"/>
        </w:rPr>
        <w:t xml:space="preserve"> el</w:t>
      </w:r>
      <w:r w:rsidR="00B53BEF" w:rsidRPr="00F46DD9">
        <w:rPr>
          <w:rFonts w:eastAsia="Palatino Linotype" w:cs="Palatino Linotype"/>
          <w:color w:val="000000"/>
          <w:szCs w:val="24"/>
        </w:rPr>
        <w:t xml:space="preserve"> </w:t>
      </w:r>
      <w:r w:rsidR="00C6655A" w:rsidRPr="00F46DD9">
        <w:rPr>
          <w:rFonts w:eastAsia="Palatino Linotype" w:cs="Palatino Linotype"/>
          <w:color w:val="000000"/>
          <w:szCs w:val="24"/>
        </w:rPr>
        <w:t>cuatro</w:t>
      </w:r>
      <w:r w:rsidR="005E2316" w:rsidRPr="00F46DD9">
        <w:rPr>
          <w:rFonts w:eastAsia="Palatino Linotype" w:cs="Palatino Linotype"/>
          <w:color w:val="000000"/>
          <w:szCs w:val="24"/>
        </w:rPr>
        <w:t xml:space="preserve"> de marzo</w:t>
      </w:r>
      <w:r w:rsidR="001F3363" w:rsidRPr="00F46DD9">
        <w:rPr>
          <w:rFonts w:eastAsia="Palatino Linotype" w:cs="Palatino Linotype"/>
          <w:color w:val="000000"/>
          <w:szCs w:val="24"/>
        </w:rPr>
        <w:t xml:space="preserve"> de dos mil veinticinco</w:t>
      </w:r>
      <w:r w:rsidRPr="00F46DD9">
        <w:rPr>
          <w:rFonts w:eastAsia="Palatino Linotype" w:cs="Palatino Linotype"/>
          <w:color w:val="000000"/>
          <w:szCs w:val="24"/>
        </w:rPr>
        <w:t xml:space="preserve">, en términos del artículo 185 </w:t>
      </w:r>
      <w:r w:rsidR="004579DC" w:rsidRPr="00F46DD9">
        <w:rPr>
          <w:rFonts w:eastAsia="Palatino Linotype" w:cs="Palatino Linotype"/>
          <w:color w:val="000000"/>
          <w:szCs w:val="24"/>
        </w:rPr>
        <w:t>f</w:t>
      </w:r>
      <w:r w:rsidRPr="00F46DD9">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F46DD9"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F46DD9" w:rsidRDefault="00A970D5" w:rsidP="006922F5">
      <w:pPr>
        <w:pStyle w:val="Ttulo1"/>
        <w:rPr>
          <w:rFonts w:eastAsia="Palatino Linotype"/>
          <w:lang w:val="es-ES_tradnl"/>
        </w:rPr>
      </w:pPr>
      <w:r w:rsidRPr="00F46DD9">
        <w:rPr>
          <w:rFonts w:eastAsia="Palatino Linotype"/>
          <w:lang w:val="es-ES_tradnl"/>
        </w:rPr>
        <w:t>C O N S I D E R A N D O</w:t>
      </w:r>
    </w:p>
    <w:p w14:paraId="32546275"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F46DD9" w:rsidRDefault="00A970D5" w:rsidP="006922F5">
      <w:pPr>
        <w:pStyle w:val="Ttulo2"/>
        <w:rPr>
          <w:rFonts w:eastAsia="Palatino Linotype"/>
        </w:rPr>
      </w:pPr>
      <w:r w:rsidRPr="00F46DD9">
        <w:rPr>
          <w:rFonts w:eastAsia="Palatino Linotype"/>
        </w:rPr>
        <w:t>PRIMERO. De la competencia.</w:t>
      </w:r>
    </w:p>
    <w:p w14:paraId="6EFC36AE" w14:textId="25D29DBA" w:rsidR="002238E1" w:rsidRPr="00F46DD9" w:rsidRDefault="002238E1" w:rsidP="002238E1">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w:t>
      </w:r>
      <w:r w:rsidRPr="00F46DD9">
        <w:rPr>
          <w:rFonts w:eastAsia="Palatino Linotype" w:cs="Palatino Linotype"/>
          <w:color w:val="000000"/>
          <w:szCs w:val="24"/>
        </w:rPr>
        <w:lastRenderedPageBreak/>
        <w:t>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F46DD9"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F46DD9" w:rsidRDefault="00A970D5" w:rsidP="006922F5">
      <w:pPr>
        <w:pStyle w:val="Ttulo2"/>
        <w:rPr>
          <w:rFonts w:eastAsia="Palatino Linotype"/>
        </w:rPr>
      </w:pPr>
      <w:r w:rsidRPr="00F46DD9">
        <w:rPr>
          <w:rFonts w:eastAsia="Palatino Linotype"/>
        </w:rPr>
        <w:t xml:space="preserve">SEGUNDO. Sobre los alcances del recurso de revisión. </w:t>
      </w:r>
    </w:p>
    <w:p w14:paraId="132CB116" w14:textId="77777777" w:rsidR="00A970D5" w:rsidRPr="00F46DD9" w:rsidRDefault="00A970D5" w:rsidP="006922F5">
      <w:r w:rsidRPr="00F46DD9">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F46DD9" w:rsidRDefault="00FE7B8E" w:rsidP="006922F5"/>
    <w:p w14:paraId="1733C5A9" w14:textId="77777777" w:rsidR="00C6060E" w:rsidRPr="00F46DD9" w:rsidRDefault="00C6060E" w:rsidP="007337A8">
      <w:pPr>
        <w:pStyle w:val="Ttulo2"/>
      </w:pPr>
      <w:r w:rsidRPr="00F46DD9">
        <w:t xml:space="preserve">TERCERO. Cuestiones de previo y especial pronunciamiento. </w:t>
      </w:r>
    </w:p>
    <w:p w14:paraId="3832AAD4" w14:textId="77777777" w:rsidR="00C6060E" w:rsidRPr="00F46DD9" w:rsidRDefault="00C6060E" w:rsidP="00C6060E">
      <w:pPr>
        <w:rPr>
          <w:rFonts w:eastAsia="Palatino Linotype" w:cs="Palatino Linotype"/>
        </w:rPr>
      </w:pPr>
      <w:r w:rsidRPr="00F46DD9">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F46DD9" w:rsidRDefault="00C6060E" w:rsidP="00C6060E">
      <w:pPr>
        <w:rPr>
          <w:rFonts w:eastAsia="Palatino Linotype" w:cs="Palatino Linotype"/>
        </w:rPr>
      </w:pPr>
    </w:p>
    <w:p w14:paraId="75A5144C"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 xml:space="preserve">Artículo 180. </w:t>
      </w:r>
      <w:r w:rsidRPr="00F46DD9">
        <w:rPr>
          <w:rFonts w:eastAsia="Palatino Linotype" w:cs="Palatino Linotype"/>
          <w:i/>
          <w:sz w:val="22"/>
        </w:rPr>
        <w:t>El recurso de revisión contendrá:</w:t>
      </w:r>
    </w:p>
    <w:p w14:paraId="5908AE41"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I. El sujeto obligado ante la cual se presentó la solicitud;</w:t>
      </w:r>
    </w:p>
    <w:p w14:paraId="3D11DD30"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lastRenderedPageBreak/>
        <w:t>II. El nombre del solicitante que recurre</w:t>
      </w:r>
      <w:r w:rsidRPr="00F46DD9">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III. El número de folio de respuesta de la solicitud de acceso;</w:t>
      </w:r>
    </w:p>
    <w:p w14:paraId="70CC5DFD"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V. El acto que se recurre;</w:t>
      </w:r>
    </w:p>
    <w:p w14:paraId="5DFA41D6"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VI. Las razones o motivos de inconformidad;</w:t>
      </w:r>
    </w:p>
    <w:p w14:paraId="64BC8595"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VIII. Firma del recurrente, en su caso, cuando se presente por escrito, requisito sin el cual se dará trámite al recurso.</w:t>
      </w:r>
    </w:p>
    <w:p w14:paraId="33DC3F3D" w14:textId="77777777" w:rsidR="00C6060E" w:rsidRPr="00F46DD9" w:rsidRDefault="00C6060E" w:rsidP="00C6060E">
      <w:pPr>
        <w:spacing w:line="240" w:lineRule="auto"/>
        <w:ind w:left="567" w:right="567"/>
        <w:rPr>
          <w:rFonts w:eastAsia="Palatino Linotype" w:cs="Palatino Linotype"/>
          <w:i/>
          <w:sz w:val="22"/>
        </w:rPr>
      </w:pPr>
    </w:p>
    <w:p w14:paraId="2372C667"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Adicionalmente, se podrán anexar las pruebas y demás elementos que considere procedentes someter a juicio del Instituto.</w:t>
      </w:r>
    </w:p>
    <w:p w14:paraId="05321C96" w14:textId="77777777" w:rsidR="00C6060E" w:rsidRPr="00F46DD9" w:rsidRDefault="00C6060E" w:rsidP="00C6060E">
      <w:pPr>
        <w:spacing w:line="240" w:lineRule="auto"/>
        <w:ind w:left="567" w:right="567"/>
        <w:rPr>
          <w:rFonts w:eastAsia="Palatino Linotype" w:cs="Palatino Linotype"/>
          <w:i/>
          <w:sz w:val="22"/>
        </w:rPr>
      </w:pPr>
    </w:p>
    <w:p w14:paraId="6E7F5EB0"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En ningún caso será necesario que el particular ratifique el recurso de revisión interpuesto.</w:t>
      </w:r>
    </w:p>
    <w:p w14:paraId="2760689F" w14:textId="77777777" w:rsidR="00C6060E" w:rsidRPr="00F46DD9" w:rsidRDefault="00C6060E" w:rsidP="00C6060E">
      <w:pPr>
        <w:spacing w:line="240" w:lineRule="auto"/>
        <w:ind w:left="567" w:right="567"/>
        <w:rPr>
          <w:rFonts w:eastAsia="Palatino Linotype" w:cs="Palatino Linotype"/>
          <w:i/>
          <w:sz w:val="22"/>
        </w:rPr>
      </w:pPr>
    </w:p>
    <w:p w14:paraId="389A57C8" w14:textId="77777777" w:rsidR="00C6060E" w:rsidRPr="00F46DD9" w:rsidRDefault="00C6060E" w:rsidP="00C6060E">
      <w:pPr>
        <w:spacing w:line="240" w:lineRule="auto"/>
        <w:ind w:left="567" w:right="567"/>
        <w:rPr>
          <w:rFonts w:eastAsia="Palatino Linotype" w:cs="Palatino Linotype"/>
          <w:i/>
          <w:iCs/>
          <w:sz w:val="22"/>
          <w:lang w:val="es-ES"/>
        </w:rPr>
      </w:pPr>
      <w:r w:rsidRPr="00F46DD9">
        <w:rPr>
          <w:rFonts w:eastAsia="Palatino Linotype" w:cs="Palatino Linotype"/>
          <w:b/>
          <w:bCs/>
          <w:i/>
          <w:iCs/>
          <w:sz w:val="22"/>
          <w:lang w:val="es-ES"/>
        </w:rPr>
        <w:t>En caso de que el recurso se interponga de manera electrónica no será indispensable que contengan los requisitos establecidos en las fracciones II</w:t>
      </w:r>
      <w:r w:rsidRPr="00F46DD9">
        <w:rPr>
          <w:rFonts w:eastAsia="Palatino Linotype" w:cs="Palatino Linotype"/>
          <w:i/>
          <w:iCs/>
          <w:sz w:val="22"/>
          <w:lang w:val="es-ES"/>
        </w:rPr>
        <w:t>, IV, VII y VIII.</w:t>
      </w:r>
    </w:p>
    <w:p w14:paraId="14265A18" w14:textId="77777777" w:rsidR="00C6060E" w:rsidRPr="00F46DD9" w:rsidRDefault="00C6060E" w:rsidP="00C6060E">
      <w:pPr>
        <w:rPr>
          <w:rFonts w:eastAsia="Palatino Linotype" w:cs="Palatino Linotype"/>
          <w:b/>
          <w:i/>
        </w:rPr>
      </w:pPr>
    </w:p>
    <w:p w14:paraId="1E5AF44E" w14:textId="7C0B8847" w:rsidR="00C6060E" w:rsidRPr="00F46DD9" w:rsidRDefault="00C6060E" w:rsidP="00C6060E">
      <w:pPr>
        <w:rPr>
          <w:rFonts w:eastAsia="Palatino Linotype" w:cs="Palatino Linotype"/>
          <w:lang w:val="es-ES"/>
        </w:rPr>
      </w:pPr>
      <w:r w:rsidRPr="00F46DD9">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F46DD9" w:rsidRDefault="00C6060E" w:rsidP="00C6060E">
      <w:pPr>
        <w:rPr>
          <w:rFonts w:eastAsia="Palatino Linotype" w:cs="Palatino Linotype"/>
        </w:rPr>
      </w:pPr>
    </w:p>
    <w:p w14:paraId="1DF07291"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Artículo 155.</w:t>
      </w:r>
      <w:r w:rsidRPr="00F46DD9">
        <w:rPr>
          <w:rFonts w:eastAsia="Palatino Linotype" w:cs="Palatino Linotype"/>
          <w:i/>
          <w:sz w:val="22"/>
        </w:rPr>
        <w:t xml:space="preserve"> […]</w:t>
      </w:r>
    </w:p>
    <w:p w14:paraId="2C67E7D0" w14:textId="77777777" w:rsidR="00C6060E" w:rsidRPr="00F46DD9" w:rsidRDefault="00C6060E" w:rsidP="00C6060E">
      <w:pPr>
        <w:spacing w:line="240" w:lineRule="auto"/>
        <w:ind w:left="567" w:right="567"/>
        <w:rPr>
          <w:rFonts w:eastAsia="Palatino Linotype" w:cs="Palatino Linotype"/>
          <w:i/>
          <w:sz w:val="22"/>
        </w:rPr>
      </w:pPr>
    </w:p>
    <w:p w14:paraId="2934E6D0"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w:t>
      </w:r>
    </w:p>
    <w:p w14:paraId="028566BE" w14:textId="77777777" w:rsidR="00C6060E" w:rsidRPr="00F46DD9" w:rsidRDefault="00C6060E" w:rsidP="00C6060E">
      <w:pPr>
        <w:rPr>
          <w:rFonts w:eastAsia="Palatino Linotype" w:cs="Palatino Linotype"/>
        </w:rPr>
      </w:pPr>
    </w:p>
    <w:p w14:paraId="52C34BBB" w14:textId="1A280131" w:rsidR="00C6060E" w:rsidRPr="00F46DD9" w:rsidRDefault="00C6060E" w:rsidP="00C6060E">
      <w:pPr>
        <w:rPr>
          <w:rFonts w:eastAsia="Palatino Linotype" w:cs="Palatino Linotype"/>
        </w:rPr>
      </w:pPr>
      <w:r w:rsidRPr="00F46DD9">
        <w:rPr>
          <w:rFonts w:eastAsia="Palatino Linotype" w:cs="Palatino Linotype"/>
        </w:rPr>
        <w:lastRenderedPageBreak/>
        <w:t xml:space="preserve">Robusteciendo lo anterior se encuentra lo dispuesto en </w:t>
      </w:r>
      <w:r w:rsidR="00C6655A" w:rsidRPr="00F46DD9">
        <w:rPr>
          <w:rFonts w:eastAsia="Palatino Linotype" w:cs="Palatino Linotype"/>
        </w:rPr>
        <w:t xml:space="preserve">el artículo </w:t>
      </w:r>
      <w:r w:rsidRPr="00F46DD9">
        <w:rPr>
          <w:rFonts w:eastAsia="Palatino Linotype" w:cs="Palatino Linotype"/>
        </w:rPr>
        <w:t>5 párrafos vigésimo, vigésimo primero y vigésimo segundo, de la Constitución Política del Estado Libre y Soberano de México, se establece lo siguiente:</w:t>
      </w:r>
    </w:p>
    <w:p w14:paraId="293D346E" w14:textId="77777777" w:rsidR="00C6060E" w:rsidRPr="00F46DD9" w:rsidRDefault="00C6060E" w:rsidP="00C6060E">
      <w:pPr>
        <w:rPr>
          <w:rFonts w:eastAsia="Palatino Linotype" w:cs="Palatino Linotype"/>
        </w:rPr>
      </w:pPr>
    </w:p>
    <w:p w14:paraId="3BAEEB5E"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Artículo 5</w:t>
      </w:r>
      <w:r w:rsidRPr="00F46DD9">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w:t>
      </w:r>
    </w:p>
    <w:p w14:paraId="481D13A7" w14:textId="77777777" w:rsidR="00C6060E" w:rsidRPr="00F46DD9" w:rsidRDefault="00C6060E" w:rsidP="7BECC908">
      <w:pPr>
        <w:spacing w:line="240" w:lineRule="auto"/>
        <w:ind w:left="567" w:right="567"/>
        <w:rPr>
          <w:rFonts w:eastAsia="Palatino Linotype" w:cs="Palatino Linotype"/>
          <w:i/>
          <w:iCs/>
          <w:sz w:val="22"/>
          <w:lang w:val="es-ES"/>
        </w:rPr>
      </w:pPr>
      <w:r w:rsidRPr="00F46DD9">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w:t>
      </w:r>
    </w:p>
    <w:p w14:paraId="584E6B4C"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F46DD9" w:rsidRDefault="00C6060E" w:rsidP="00C6060E">
      <w:pPr>
        <w:spacing w:line="240" w:lineRule="auto"/>
        <w:ind w:left="567" w:right="567"/>
        <w:rPr>
          <w:rFonts w:eastAsia="Palatino Linotype" w:cs="Palatino Linotype"/>
          <w:i/>
          <w:sz w:val="22"/>
        </w:rPr>
      </w:pPr>
    </w:p>
    <w:p w14:paraId="1C20B2BA" w14:textId="77777777" w:rsidR="00C6060E" w:rsidRPr="00F46DD9" w:rsidRDefault="00C6060E" w:rsidP="00C6060E">
      <w:pPr>
        <w:spacing w:line="240" w:lineRule="auto"/>
        <w:ind w:left="567" w:right="567"/>
        <w:rPr>
          <w:rFonts w:eastAsia="Palatino Linotype" w:cs="Palatino Linotype"/>
          <w:i/>
          <w:iCs/>
          <w:sz w:val="22"/>
          <w:lang w:val="es-ES"/>
        </w:rPr>
      </w:pPr>
      <w:r w:rsidRPr="00F46DD9">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F46DD9" w:rsidRDefault="00C6060E" w:rsidP="00C6060E">
      <w:pPr>
        <w:spacing w:line="240" w:lineRule="auto"/>
        <w:ind w:left="567" w:right="567"/>
        <w:rPr>
          <w:rFonts w:eastAsia="Palatino Linotype" w:cs="Palatino Linotype"/>
          <w:i/>
          <w:sz w:val="22"/>
        </w:rPr>
      </w:pPr>
    </w:p>
    <w:p w14:paraId="0803EC65"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Este derecho se regirá por los principios y bases siguientes:</w:t>
      </w:r>
    </w:p>
    <w:p w14:paraId="19908CC6"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w:t>
      </w:r>
    </w:p>
    <w:p w14:paraId="5975569A"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III.</w:t>
      </w:r>
      <w:r w:rsidRPr="00F46DD9">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IV.</w:t>
      </w:r>
      <w:r w:rsidRPr="00F46DD9">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w:t>
      </w:r>
    </w:p>
    <w:p w14:paraId="2FCE5E3D"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VIII.</w:t>
      </w:r>
      <w:r w:rsidRPr="00F46DD9">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F46DD9">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1B02098D"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w:t>
      </w:r>
    </w:p>
    <w:p w14:paraId="38353353" w14:textId="77777777" w:rsidR="00C6060E" w:rsidRPr="00F46DD9" w:rsidRDefault="00C6060E" w:rsidP="00C6060E">
      <w:pPr>
        <w:ind w:left="567" w:right="567"/>
        <w:rPr>
          <w:rFonts w:eastAsia="Palatino Linotype" w:cs="Palatino Linotype"/>
        </w:rPr>
      </w:pPr>
    </w:p>
    <w:p w14:paraId="6BFECD78" w14:textId="77777777" w:rsidR="00C6060E" w:rsidRPr="00F46DD9" w:rsidRDefault="00C6060E" w:rsidP="00C6060E">
      <w:pPr>
        <w:rPr>
          <w:rFonts w:eastAsia="Palatino Linotype" w:cs="Palatino Linotype"/>
        </w:rPr>
      </w:pPr>
      <w:r w:rsidRPr="00F46DD9">
        <w:rPr>
          <w:rFonts w:eastAsia="Palatino Linotype" w:cs="Palatino Linotype"/>
        </w:rPr>
        <w:t>Por otra parte, del contenido del artículo 1 de la Constitución Política de los Estados Unidos Mexicanos, se destaca lo siguiente:</w:t>
      </w:r>
    </w:p>
    <w:p w14:paraId="291D5806" w14:textId="77777777" w:rsidR="00C6060E" w:rsidRPr="00F46DD9" w:rsidRDefault="00C6060E" w:rsidP="00C6060E">
      <w:pPr>
        <w:spacing w:line="240" w:lineRule="auto"/>
        <w:ind w:left="567" w:right="567"/>
        <w:rPr>
          <w:rFonts w:eastAsia="Palatino Linotype" w:cs="Palatino Linotype"/>
        </w:rPr>
      </w:pPr>
    </w:p>
    <w:p w14:paraId="65C6B984"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b/>
          <w:i/>
          <w:sz w:val="22"/>
        </w:rPr>
        <w:t>Artículo 1o</w:t>
      </w:r>
      <w:r w:rsidRPr="00F46DD9">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F46DD9" w:rsidRDefault="00C6060E" w:rsidP="00C6060E">
      <w:pPr>
        <w:spacing w:line="240" w:lineRule="auto"/>
        <w:ind w:left="567" w:right="567"/>
        <w:rPr>
          <w:rFonts w:eastAsia="Palatino Linotype" w:cs="Palatino Linotype"/>
          <w:i/>
          <w:sz w:val="22"/>
        </w:rPr>
      </w:pPr>
    </w:p>
    <w:p w14:paraId="76F1FF9C"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F46DD9" w:rsidRDefault="00C6060E" w:rsidP="00C6060E">
      <w:pPr>
        <w:spacing w:line="240" w:lineRule="auto"/>
        <w:ind w:left="567" w:right="567"/>
        <w:rPr>
          <w:rFonts w:eastAsia="Palatino Linotype" w:cs="Palatino Linotype"/>
          <w:i/>
          <w:sz w:val="22"/>
        </w:rPr>
      </w:pPr>
    </w:p>
    <w:p w14:paraId="2B4B6129" w14:textId="77777777" w:rsidR="00C6060E" w:rsidRPr="00F46DD9" w:rsidRDefault="00C6060E" w:rsidP="00C6060E">
      <w:pPr>
        <w:spacing w:line="240" w:lineRule="auto"/>
        <w:ind w:left="567" w:right="567"/>
        <w:rPr>
          <w:rFonts w:eastAsia="Palatino Linotype" w:cs="Palatino Linotype"/>
          <w:i/>
          <w:sz w:val="22"/>
        </w:rPr>
      </w:pPr>
      <w:r w:rsidRPr="00F46DD9">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F46DD9" w:rsidRDefault="00C6060E" w:rsidP="00C6060E">
      <w:pPr>
        <w:ind w:left="567" w:right="567"/>
        <w:rPr>
          <w:rFonts w:eastAsia="Palatino Linotype" w:cs="Palatino Linotype"/>
        </w:rPr>
      </w:pPr>
    </w:p>
    <w:p w14:paraId="45F713D3" w14:textId="77777777" w:rsidR="00C6060E" w:rsidRPr="00F46DD9" w:rsidRDefault="00C6060E" w:rsidP="00C6060E">
      <w:pPr>
        <w:rPr>
          <w:rFonts w:eastAsia="Palatino Linotype" w:cs="Palatino Linotype"/>
        </w:rPr>
      </w:pPr>
      <w:r w:rsidRPr="00F46DD9">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F46DD9" w:rsidRDefault="00C6060E" w:rsidP="00C6060E">
      <w:pPr>
        <w:rPr>
          <w:rFonts w:eastAsia="Palatino Linotype" w:cs="Palatino Linotype"/>
        </w:rPr>
      </w:pPr>
    </w:p>
    <w:p w14:paraId="1747AB87" w14:textId="77777777" w:rsidR="00C6060E" w:rsidRPr="00F46DD9" w:rsidRDefault="00C6060E" w:rsidP="00C6060E">
      <w:r w:rsidRPr="00F46DD9">
        <w:lastRenderedPageBreak/>
        <w:t>En conclusión, se cubrieron los requisitos de procedencia y procedibilidad, conforme a las constancias que obran en el expediente.</w:t>
      </w:r>
    </w:p>
    <w:p w14:paraId="32DE8137" w14:textId="77777777" w:rsidR="00584F97" w:rsidRPr="00F46DD9" w:rsidRDefault="00584F97" w:rsidP="006922F5"/>
    <w:p w14:paraId="7E828C31" w14:textId="1DEDFE7D" w:rsidR="00454915" w:rsidRPr="00F46DD9" w:rsidRDefault="00B670F0" w:rsidP="00454915">
      <w:pPr>
        <w:pStyle w:val="Ttulo2"/>
        <w:rPr>
          <w:rFonts w:eastAsia="Palatino Linotype"/>
        </w:rPr>
      </w:pPr>
      <w:r w:rsidRPr="00F46DD9">
        <w:rPr>
          <w:rFonts w:eastAsia="Palatino Linotype"/>
        </w:rPr>
        <w:t>CUARTO</w:t>
      </w:r>
      <w:r w:rsidR="00454915" w:rsidRPr="00F46DD9">
        <w:rPr>
          <w:rFonts w:eastAsia="Palatino Linotype"/>
        </w:rPr>
        <w:t>. De las causas de improcedencia.</w:t>
      </w:r>
    </w:p>
    <w:p w14:paraId="714929BC" w14:textId="77777777" w:rsidR="00454915" w:rsidRPr="00F46DD9" w:rsidRDefault="00454915" w:rsidP="0045491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F46DD9"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F46DD9" w:rsidRDefault="00454915" w:rsidP="44E9108F">
      <w:pPr>
        <w:pBdr>
          <w:top w:val="nil"/>
          <w:left w:val="nil"/>
          <w:bottom w:val="nil"/>
          <w:right w:val="nil"/>
          <w:between w:val="nil"/>
        </w:pBdr>
        <w:contextualSpacing/>
        <w:rPr>
          <w:rFonts w:eastAsia="Palatino Linotype" w:cs="Palatino Linotype"/>
          <w:color w:val="000000"/>
          <w:lang w:val="es-ES"/>
        </w:rPr>
      </w:pPr>
      <w:r w:rsidRPr="00F46DD9">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6DD9">
        <w:rPr>
          <w:rFonts w:eastAsia="Palatino Linotype" w:cs="Palatino Linotype"/>
          <w:color w:val="000000"/>
          <w:vertAlign w:val="superscript"/>
          <w:lang w:val="es-ES"/>
        </w:rPr>
        <w:footnoteReference w:id="2"/>
      </w:r>
      <w:r w:rsidRPr="00F46DD9">
        <w:rPr>
          <w:rFonts w:eastAsia="Palatino Linotype" w:cs="Palatino Linotype"/>
          <w:color w:val="000000"/>
          <w:lang w:val="es-ES"/>
        </w:rPr>
        <w:t xml:space="preserve">, la cual permite dilucidar alguna </w:t>
      </w:r>
      <w:r w:rsidRPr="00F46DD9">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F46DD9"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F46DD9" w:rsidRDefault="00454915" w:rsidP="0045491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F46DD9"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F46DD9" w:rsidRDefault="00B670F0" w:rsidP="00454915">
      <w:pPr>
        <w:pStyle w:val="Ttulo2"/>
        <w:rPr>
          <w:rFonts w:eastAsia="Palatino Linotype"/>
        </w:rPr>
      </w:pPr>
      <w:r w:rsidRPr="00F46DD9">
        <w:rPr>
          <w:rFonts w:eastAsia="Palatino Linotype"/>
        </w:rPr>
        <w:t>QUIN</w:t>
      </w:r>
      <w:r w:rsidR="00F45971" w:rsidRPr="00F46DD9">
        <w:rPr>
          <w:rFonts w:eastAsia="Palatino Linotype"/>
        </w:rPr>
        <w:t>TO</w:t>
      </w:r>
      <w:r w:rsidR="00454915" w:rsidRPr="00F46DD9">
        <w:rPr>
          <w:rFonts w:eastAsia="Palatino Linotype"/>
        </w:rPr>
        <w:t>. Estudio y resolución del asunto.</w:t>
      </w:r>
    </w:p>
    <w:p w14:paraId="78A9F94F" w14:textId="74E3760D" w:rsidR="00454915" w:rsidRPr="00F46DD9" w:rsidRDefault="00454915" w:rsidP="00454915">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w:t>
      </w:r>
      <w:r w:rsidR="00D3562C" w:rsidRPr="00F46DD9">
        <w:rPr>
          <w:rFonts w:eastAsia="Palatino Linotype" w:cs="Palatino Linotype"/>
          <w:color w:val="000000"/>
          <w:szCs w:val="24"/>
        </w:rPr>
        <w:t>publicidad consagrado en la Constitución l</w:t>
      </w:r>
      <w:r w:rsidRPr="00F46DD9">
        <w:rPr>
          <w:rFonts w:eastAsia="Palatino Linotype" w:cs="Palatino Linotype"/>
          <w:color w:val="000000"/>
          <w:szCs w:val="24"/>
        </w:rPr>
        <w:t xml:space="preserve">ocal y demás leyes aplicables en la materia, así como en los tratados internacionales en los que el Estado </w:t>
      </w:r>
      <w:r w:rsidRPr="00F46DD9">
        <w:rPr>
          <w:rFonts w:eastAsia="Palatino Linotype" w:cs="Palatino Linotype"/>
          <w:color w:val="000000"/>
          <w:szCs w:val="24"/>
        </w:rPr>
        <w:lastRenderedPageBreak/>
        <w:t>Mexicano sea parte, en concordancia con el párrafo tercero del artículo 1 de la Constitución Federal y el diverso 8 de la Ley de Transparencia local.</w:t>
      </w:r>
    </w:p>
    <w:p w14:paraId="231554C6" w14:textId="77777777" w:rsidR="004A3367" w:rsidRPr="00F46DD9" w:rsidRDefault="004A3367" w:rsidP="004A3367">
      <w:pPr>
        <w:rPr>
          <w:rFonts w:eastAsiaTheme="minorHAnsi" w:cstheme="minorBidi"/>
          <w:sz w:val="22"/>
          <w:lang w:eastAsia="en-US"/>
        </w:rPr>
      </w:pPr>
    </w:p>
    <w:p w14:paraId="7193478D" w14:textId="2BEFD74F" w:rsidR="00012F8B" w:rsidRPr="00F46DD9" w:rsidRDefault="0EE28084" w:rsidP="00D31CA9">
      <w:pPr>
        <w:rPr>
          <w:rFonts w:eastAsiaTheme="minorEastAsia" w:cstheme="minorBidi"/>
          <w:lang w:eastAsia="en-US"/>
        </w:rPr>
      </w:pPr>
      <w:r w:rsidRPr="00F46DD9">
        <w:rPr>
          <w:rFonts w:eastAsiaTheme="minorEastAsia" w:cstheme="minorBidi"/>
          <w:lang w:val="es-ES" w:eastAsia="en-US"/>
        </w:rPr>
        <w:t>En virtud de lo anterior, es conveniente recordar que el Recurrente requirió que</w:t>
      </w:r>
      <w:r w:rsidR="00D31CA9" w:rsidRPr="00F46DD9">
        <w:rPr>
          <w:rFonts w:eastAsiaTheme="minorEastAsia" w:cstheme="minorBidi"/>
          <w:lang w:val="es-ES" w:eastAsia="en-US"/>
        </w:rPr>
        <w:t xml:space="preserve"> </w:t>
      </w:r>
      <w:r w:rsidR="00181C41" w:rsidRPr="00F46DD9">
        <w:rPr>
          <w:rFonts w:eastAsiaTheme="minorEastAsia" w:cstheme="minorBidi"/>
          <w:lang w:val="es-ES" w:eastAsia="en-US"/>
        </w:rPr>
        <w:t xml:space="preserve">se le proporcionara </w:t>
      </w:r>
      <w:r w:rsidR="00774187" w:rsidRPr="00F46DD9">
        <w:rPr>
          <w:rFonts w:eastAsiaTheme="minorEastAsia" w:cstheme="minorBidi"/>
          <w:lang w:val="es-ES" w:eastAsia="en-US"/>
        </w:rPr>
        <w:t>el documento en el que conste el gasto realizado durante el evento de Día de Reyes por el Presidente Municipal.</w:t>
      </w:r>
    </w:p>
    <w:p w14:paraId="093B1C89" w14:textId="77777777" w:rsidR="00012F8B" w:rsidRPr="00F46DD9"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F5B5439" w:rsidR="00973B9F" w:rsidRPr="00F46DD9" w:rsidRDefault="00A970D5" w:rsidP="004903B6">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 xml:space="preserve">A dicha solicitud, el Sujeto Obligado </w:t>
      </w:r>
      <w:r w:rsidR="001C4CBF" w:rsidRPr="00F46DD9">
        <w:rPr>
          <w:rFonts w:eastAsia="Palatino Linotype" w:cs="Palatino Linotype"/>
          <w:color w:val="000000"/>
          <w:szCs w:val="24"/>
        </w:rPr>
        <w:t>respondió</w:t>
      </w:r>
      <w:r w:rsidR="006D6CD1" w:rsidRPr="00F46DD9">
        <w:rPr>
          <w:rFonts w:eastAsia="Palatino Linotype" w:cs="Palatino Linotype"/>
          <w:color w:val="000000"/>
          <w:szCs w:val="24"/>
        </w:rPr>
        <w:t xml:space="preserve"> </w:t>
      </w:r>
      <w:r w:rsidR="001F2F39" w:rsidRPr="00F46DD9">
        <w:rPr>
          <w:rFonts w:eastAsia="Palatino Linotype" w:cs="Palatino Linotype"/>
          <w:color w:val="000000"/>
          <w:szCs w:val="24"/>
        </w:rPr>
        <w:t>mediante la entrega de</w:t>
      </w:r>
      <w:r w:rsidR="00B3370C" w:rsidRPr="00F46DD9">
        <w:rPr>
          <w:rFonts w:eastAsia="Palatino Linotype" w:cs="Palatino Linotype"/>
          <w:color w:val="000000"/>
          <w:szCs w:val="24"/>
        </w:rPr>
        <w:t>l</w:t>
      </w:r>
      <w:r w:rsidR="001F2F39" w:rsidRPr="00F46DD9">
        <w:rPr>
          <w:rFonts w:eastAsia="Palatino Linotype" w:cs="Palatino Linotype"/>
          <w:color w:val="000000"/>
          <w:szCs w:val="24"/>
        </w:rPr>
        <w:t xml:space="preserve"> </w:t>
      </w:r>
      <w:r w:rsidR="00973B9F" w:rsidRPr="00F46DD9">
        <w:rPr>
          <w:rFonts w:eastAsia="Palatino Linotype" w:cs="Palatino Linotype"/>
          <w:color w:val="000000"/>
          <w:szCs w:val="24"/>
        </w:rPr>
        <w:t>siguiente documento:</w:t>
      </w:r>
    </w:p>
    <w:p w14:paraId="670F41C7" w14:textId="77777777" w:rsidR="00973B9F" w:rsidRPr="00F46DD9" w:rsidRDefault="00973B9F" w:rsidP="004903B6">
      <w:pPr>
        <w:pBdr>
          <w:top w:val="nil"/>
          <w:left w:val="nil"/>
          <w:bottom w:val="nil"/>
          <w:right w:val="nil"/>
          <w:between w:val="nil"/>
        </w:pBdr>
        <w:contextualSpacing/>
        <w:rPr>
          <w:rFonts w:eastAsia="Palatino Linotype" w:cs="Palatino Linotype"/>
          <w:color w:val="000000"/>
          <w:szCs w:val="24"/>
        </w:rPr>
      </w:pPr>
    </w:p>
    <w:p w14:paraId="5EC0C56B" w14:textId="29309958" w:rsidR="003A4518" w:rsidRPr="00F46DD9" w:rsidRDefault="00774187" w:rsidP="002238E1">
      <w:pPr>
        <w:pStyle w:val="Prrafodelista"/>
        <w:numPr>
          <w:ilvl w:val="0"/>
          <w:numId w:val="49"/>
        </w:numPr>
        <w:pBdr>
          <w:top w:val="nil"/>
          <w:left w:val="nil"/>
          <w:bottom w:val="nil"/>
          <w:right w:val="nil"/>
          <w:between w:val="nil"/>
        </w:pBdr>
        <w:contextualSpacing/>
        <w:rPr>
          <w:rFonts w:eastAsia="Palatino Linotype" w:cs="Palatino Linotype"/>
          <w:color w:val="000000" w:themeColor="text1"/>
        </w:rPr>
      </w:pPr>
      <w:r w:rsidRPr="00F46DD9">
        <w:rPr>
          <w:rFonts w:eastAsia="Palatino Linotype" w:cs="Palatino Linotype"/>
          <w:b/>
          <w:bCs/>
          <w:color w:val="000000" w:themeColor="text1"/>
        </w:rPr>
        <w:t>RESPUESTA 294</w:t>
      </w:r>
      <w:r w:rsidR="009D6069" w:rsidRPr="00F46DD9">
        <w:rPr>
          <w:rFonts w:eastAsia="Palatino Linotype" w:cs="Palatino Linotype"/>
          <w:b/>
          <w:bCs/>
          <w:color w:val="000000" w:themeColor="text1"/>
        </w:rPr>
        <w:t>. 2025.pdf</w:t>
      </w:r>
      <w:r w:rsidR="005216ED" w:rsidRPr="00F46DD9">
        <w:rPr>
          <w:rFonts w:eastAsia="Palatino Linotype" w:cs="Palatino Linotype"/>
          <w:color w:val="000000" w:themeColor="text1"/>
        </w:rPr>
        <w:t>.</w:t>
      </w:r>
      <w:r w:rsidR="009D6069" w:rsidRPr="00F46DD9">
        <w:rPr>
          <w:rFonts w:eastAsia="Palatino Linotype" w:cs="Palatino Linotype"/>
          <w:color w:val="000000" w:themeColor="text1"/>
        </w:rPr>
        <w:t xml:space="preserve"> Escrito de respuesta suscrito por el Titular de la Unidad de Transparencia mediante el cual manifestó que </w:t>
      </w:r>
      <w:r w:rsidRPr="00F46DD9">
        <w:rPr>
          <w:rFonts w:eastAsia="Palatino Linotype" w:cs="Palatino Linotype"/>
          <w:color w:val="000000" w:themeColor="text1"/>
        </w:rPr>
        <w:t>la Tesorería Municipal señaló que la información solicitada aún se encontraba en proceso de integración, por lo que no es posible hacer entrega de lo solicitado.</w:t>
      </w:r>
    </w:p>
    <w:p w14:paraId="369A81FD" w14:textId="77777777" w:rsidR="009D6069" w:rsidRPr="00F46DD9"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71A98E1F" w:rsidR="00A970D5" w:rsidRPr="00F46DD9" w:rsidRDefault="44E9108F" w:rsidP="44E9108F">
      <w:pPr>
        <w:pBdr>
          <w:top w:val="nil"/>
          <w:left w:val="nil"/>
          <w:bottom w:val="nil"/>
          <w:right w:val="nil"/>
          <w:between w:val="nil"/>
        </w:pBdr>
        <w:contextualSpacing/>
        <w:rPr>
          <w:rFonts w:eastAsia="Palatino Linotype" w:cs="Palatino Linotype"/>
          <w:color w:val="000000"/>
          <w:lang w:val="es-ES"/>
        </w:rPr>
      </w:pPr>
      <w:r w:rsidRPr="00F46DD9">
        <w:rPr>
          <w:rFonts w:eastAsia="Palatino Linotype" w:cs="Palatino Linotype"/>
          <w:color w:val="000000" w:themeColor="text1"/>
          <w:lang w:val="es-ES"/>
        </w:rPr>
        <w:t>Ante la respuesta em</w:t>
      </w:r>
      <w:r w:rsidR="002623AA" w:rsidRPr="00F46DD9">
        <w:rPr>
          <w:rFonts w:eastAsia="Palatino Linotype" w:cs="Palatino Linotype"/>
          <w:color w:val="000000" w:themeColor="text1"/>
          <w:lang w:val="es-ES"/>
        </w:rPr>
        <w:t>itida por el Sujeto Obligado, el</w:t>
      </w:r>
      <w:r w:rsidRPr="00F46DD9">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F46DD9">
        <w:rPr>
          <w:rFonts w:eastAsia="Palatino Linotype" w:cs="Palatino Linotype"/>
          <w:color w:val="000000" w:themeColor="text1"/>
          <w:lang w:val="es-ES"/>
        </w:rPr>
        <w:t xml:space="preserve"> </w:t>
      </w:r>
      <w:r w:rsidR="009D6069" w:rsidRPr="00F46DD9">
        <w:rPr>
          <w:rFonts w:eastAsia="Palatino Linotype" w:cs="Palatino Linotype"/>
          <w:color w:val="000000" w:themeColor="text1"/>
          <w:lang w:val="es-ES"/>
        </w:rPr>
        <w:t xml:space="preserve">la respuesta </w:t>
      </w:r>
      <w:r w:rsidR="003526EA" w:rsidRPr="00F46DD9">
        <w:rPr>
          <w:rFonts w:eastAsia="Palatino Linotype" w:cs="Palatino Linotype"/>
          <w:color w:val="000000" w:themeColor="text1"/>
          <w:lang w:val="es-ES"/>
        </w:rPr>
        <w:t>y dando como</w:t>
      </w:r>
      <w:r w:rsidR="001C407C" w:rsidRPr="00F46DD9">
        <w:rPr>
          <w:rFonts w:eastAsia="Palatino Linotype" w:cs="Palatino Linotype"/>
          <w:color w:val="000000" w:themeColor="text1"/>
          <w:lang w:val="es-ES"/>
        </w:rPr>
        <w:t xml:space="preserve"> razones o motivos de inconformidad que </w:t>
      </w:r>
      <w:r w:rsidR="003526EA" w:rsidRPr="00F46DD9">
        <w:rPr>
          <w:rFonts w:eastAsia="Palatino Linotype" w:cs="Palatino Linotype"/>
          <w:color w:val="000000" w:themeColor="text1"/>
          <w:lang w:val="es-ES"/>
        </w:rPr>
        <w:t>no</w:t>
      </w:r>
      <w:r w:rsidR="00774187" w:rsidRPr="00F46DD9">
        <w:rPr>
          <w:rFonts w:eastAsia="Palatino Linotype" w:cs="Palatino Linotype"/>
          <w:color w:val="000000" w:themeColor="text1"/>
          <w:lang w:val="es-ES"/>
        </w:rPr>
        <w:t xml:space="preserve"> se entregó lo solicitado.</w:t>
      </w:r>
    </w:p>
    <w:p w14:paraId="4A6500B8" w14:textId="77777777" w:rsidR="008F50E6" w:rsidRPr="00F46DD9" w:rsidRDefault="008F50E6" w:rsidP="00A04222"/>
    <w:p w14:paraId="14792881" w14:textId="321F6971" w:rsidR="00BE576A" w:rsidRPr="00F46DD9" w:rsidRDefault="00C6655A" w:rsidP="00BE576A">
      <w:pPr>
        <w:pBdr>
          <w:top w:val="nil"/>
          <w:left w:val="nil"/>
          <w:bottom w:val="nil"/>
          <w:right w:val="nil"/>
          <w:between w:val="nil"/>
        </w:pBdr>
        <w:contextualSpacing/>
        <w:rPr>
          <w:rFonts w:eastAsia="Palatino Linotype" w:cs="Palatino Linotype"/>
          <w:color w:val="000000"/>
          <w:szCs w:val="24"/>
        </w:rPr>
      </w:pPr>
      <w:r w:rsidRPr="00F46DD9">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w:t>
      </w:r>
      <w:r w:rsidRPr="00F46DD9">
        <w:lastRenderedPageBreak/>
        <w:t>siete días hábiles otorgados, dejó de justificar las razones o motivos que lo llevaron a emitir la respuesta que ahora se impugna; no obstante, la falta de informe justificado no es óbice para que este Instituto conozca y resuelva el recurso de revisión.</w:t>
      </w:r>
    </w:p>
    <w:p w14:paraId="07139A15" w14:textId="77777777" w:rsidR="00BE576A" w:rsidRPr="00F46DD9"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F46DD9" w:rsidRDefault="006100FC" w:rsidP="006100FC">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F46DD9"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F46DD9" w:rsidRDefault="006100FC" w:rsidP="006100FC">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 xml:space="preserve">En este sentido, es pertinente enfatizar lo que, respecto al derecho de acceso a la información pública, refiere el artículo </w:t>
      </w:r>
      <w:r w:rsidR="00E00EC1" w:rsidRPr="00F46DD9">
        <w:rPr>
          <w:rFonts w:eastAsia="Palatino Linotype" w:cs="Palatino Linotype"/>
          <w:color w:val="000000"/>
          <w:szCs w:val="24"/>
        </w:rPr>
        <w:t>5</w:t>
      </w:r>
      <w:r w:rsidRPr="00F46DD9">
        <w:rPr>
          <w:rFonts w:eastAsia="Palatino Linotype" w:cs="Palatino Linotype"/>
          <w:color w:val="000000"/>
          <w:szCs w:val="24"/>
        </w:rPr>
        <w:t>° de la Constitución Política del Estado Libre y Soberano de México</w:t>
      </w:r>
      <w:r w:rsidR="00E00EC1" w:rsidRPr="00F46DD9">
        <w:rPr>
          <w:rFonts w:eastAsia="Palatino Linotype" w:cs="Palatino Linotype"/>
          <w:color w:val="000000"/>
          <w:szCs w:val="24"/>
        </w:rPr>
        <w:t>, que</w:t>
      </w:r>
      <w:r w:rsidRPr="00F46DD9">
        <w:rPr>
          <w:rFonts w:eastAsia="Palatino Linotype" w:cs="Palatino Linotype"/>
          <w:color w:val="000000"/>
          <w:szCs w:val="24"/>
        </w:rPr>
        <w:t xml:space="preserve"> en su parte conducente</w:t>
      </w:r>
      <w:r w:rsidR="00E00EC1" w:rsidRPr="00F46DD9">
        <w:rPr>
          <w:rFonts w:eastAsia="Palatino Linotype" w:cs="Palatino Linotype"/>
          <w:color w:val="000000"/>
          <w:szCs w:val="24"/>
        </w:rPr>
        <w:t xml:space="preserve"> dispone</w:t>
      </w:r>
      <w:r w:rsidRPr="00F46DD9">
        <w:rPr>
          <w:rFonts w:eastAsia="Palatino Linotype" w:cs="Palatino Linotype"/>
          <w:color w:val="000000"/>
          <w:szCs w:val="24"/>
        </w:rPr>
        <w:t xml:space="preserve"> lo siguiente:</w:t>
      </w:r>
    </w:p>
    <w:p w14:paraId="5DA101FA" w14:textId="77777777" w:rsidR="006100FC" w:rsidRPr="00F46DD9"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F46DD9" w:rsidRDefault="006100FC" w:rsidP="006100FC">
      <w:pPr>
        <w:pStyle w:val="Fundamentos"/>
      </w:pPr>
      <w:r w:rsidRPr="00F46DD9">
        <w:rPr>
          <w:b/>
          <w:bCs/>
        </w:rPr>
        <w:t>Artículo 5.</w:t>
      </w:r>
      <w:r w:rsidRPr="00F46DD9">
        <w:t xml:space="preserve"> […]</w:t>
      </w:r>
    </w:p>
    <w:p w14:paraId="1839D29E" w14:textId="77777777" w:rsidR="006100FC" w:rsidRPr="00F46DD9" w:rsidRDefault="006100FC" w:rsidP="006100FC">
      <w:pPr>
        <w:pStyle w:val="Fundamentos"/>
      </w:pPr>
    </w:p>
    <w:p w14:paraId="7D51A6D3" w14:textId="77777777" w:rsidR="006100FC" w:rsidRPr="00F46DD9" w:rsidRDefault="006100FC" w:rsidP="006100FC">
      <w:pPr>
        <w:pStyle w:val="Fundamentos"/>
      </w:pPr>
      <w:r w:rsidRPr="00F46DD9">
        <w:t xml:space="preserve">El derecho a la información será garantizado por el Estado. La ley establecerá las previsiones que permitan asegurar la protección, el respeto y la difusión de este derecho. </w:t>
      </w:r>
    </w:p>
    <w:p w14:paraId="4079EC08" w14:textId="77777777" w:rsidR="006100FC" w:rsidRPr="00F46DD9" w:rsidRDefault="006100FC" w:rsidP="006100FC">
      <w:pPr>
        <w:pStyle w:val="Fundamentos"/>
      </w:pPr>
    </w:p>
    <w:p w14:paraId="2060C0A8" w14:textId="77777777" w:rsidR="006100FC" w:rsidRPr="00F46DD9" w:rsidRDefault="006100FC" w:rsidP="006100FC">
      <w:pPr>
        <w:pStyle w:val="Fundamentos"/>
      </w:pPr>
      <w:r w:rsidRPr="00F46DD9">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F46DD9" w:rsidRDefault="006100FC" w:rsidP="006100FC">
      <w:pPr>
        <w:pStyle w:val="Fundamentos"/>
      </w:pPr>
    </w:p>
    <w:p w14:paraId="31D381A6" w14:textId="77777777" w:rsidR="006100FC" w:rsidRPr="00F46DD9" w:rsidRDefault="006100FC" w:rsidP="006100FC">
      <w:pPr>
        <w:pStyle w:val="Fundamentos"/>
      </w:pPr>
      <w:r w:rsidRPr="00F46DD9">
        <w:t>Este derecho se regirá por los principios y bases siguientes:</w:t>
      </w:r>
    </w:p>
    <w:p w14:paraId="1A21896F" w14:textId="77777777" w:rsidR="006100FC" w:rsidRPr="00F46DD9" w:rsidRDefault="006100FC" w:rsidP="006100FC">
      <w:pPr>
        <w:pStyle w:val="Fundamentos"/>
      </w:pPr>
    </w:p>
    <w:p w14:paraId="13A22FC8" w14:textId="77777777" w:rsidR="006100FC" w:rsidRPr="00F46DD9" w:rsidRDefault="006100FC" w:rsidP="006100FC">
      <w:pPr>
        <w:pStyle w:val="Fundamentos"/>
      </w:pPr>
      <w:r w:rsidRPr="00F46DD9">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w:t>
      </w:r>
      <w:r w:rsidRPr="00F46DD9">
        <w:lastRenderedPageBreak/>
        <w:t>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F46DD9" w:rsidRDefault="006100FC" w:rsidP="006100FC">
      <w:pPr>
        <w:pStyle w:val="Fundamentos"/>
      </w:pPr>
      <w:r w:rsidRPr="00F46DD9">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F46DD9" w:rsidRDefault="006100FC" w:rsidP="006100FC">
      <w:pPr>
        <w:pStyle w:val="Fundamentos"/>
        <w:rPr>
          <w:lang w:val="es-ES"/>
        </w:rPr>
      </w:pPr>
      <w:r w:rsidRPr="00F46DD9">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F46DD9" w:rsidRDefault="006100FC" w:rsidP="006100FC">
      <w:pPr>
        <w:pStyle w:val="Fundamentos"/>
      </w:pPr>
      <w:r w:rsidRPr="00F46DD9">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F46DD9" w:rsidRDefault="006100FC" w:rsidP="006100FC">
      <w:pPr>
        <w:pStyle w:val="Fundamentos"/>
      </w:pPr>
      <w:r w:rsidRPr="00F46DD9">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F46DD9" w:rsidRDefault="006100FC" w:rsidP="006100FC">
      <w:pPr>
        <w:pStyle w:val="Fundamentos"/>
      </w:pPr>
      <w:r w:rsidRPr="00F46DD9">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F46DD9" w:rsidRDefault="006100FC" w:rsidP="006100FC">
      <w:pPr>
        <w:pStyle w:val="Fundamentos"/>
        <w:rPr>
          <w:lang w:val="es-ES"/>
        </w:rPr>
      </w:pPr>
      <w:r w:rsidRPr="00F46DD9">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F46DD9"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F46DD9" w:rsidRDefault="006100FC" w:rsidP="006100FC">
      <w:pPr>
        <w:rPr>
          <w:rFonts w:eastAsia="Palatino Linotype" w:cs="Palatino Linotype"/>
          <w:szCs w:val="24"/>
        </w:rPr>
      </w:pPr>
      <w:r w:rsidRPr="00F46DD9">
        <w:rPr>
          <w:rFonts w:eastAsia="Palatino Linotype" w:cs="Palatino Linotype"/>
          <w:szCs w:val="24"/>
        </w:rPr>
        <w:t>En ese orden de ideas, la Ley de Transparencia y Acceso a la Información Pública del Estado de México y Municipios, prevé en su artículo 23, fracción I</w:t>
      </w:r>
      <w:r w:rsidR="005E625F" w:rsidRPr="00F46DD9">
        <w:rPr>
          <w:rFonts w:eastAsia="Palatino Linotype" w:cs="Palatino Linotype"/>
          <w:szCs w:val="24"/>
        </w:rPr>
        <w:t>V</w:t>
      </w:r>
      <w:r w:rsidRPr="00F46DD9">
        <w:rPr>
          <w:rFonts w:eastAsia="Palatino Linotype" w:cs="Palatino Linotype"/>
          <w:szCs w:val="24"/>
        </w:rPr>
        <w:t>, lo siguiente:</w:t>
      </w:r>
    </w:p>
    <w:p w14:paraId="2225C7E4" w14:textId="77777777" w:rsidR="006100FC" w:rsidRPr="00F46DD9" w:rsidRDefault="006100FC" w:rsidP="006100FC">
      <w:pPr>
        <w:rPr>
          <w:rFonts w:eastAsia="Palatino Linotype" w:cs="Palatino Linotype"/>
          <w:szCs w:val="24"/>
        </w:rPr>
      </w:pPr>
    </w:p>
    <w:p w14:paraId="1E7239A4" w14:textId="77777777" w:rsidR="006100FC" w:rsidRPr="00F46DD9" w:rsidRDefault="006100FC" w:rsidP="006100FC">
      <w:pPr>
        <w:pStyle w:val="Fundamentos"/>
      </w:pPr>
      <w:r w:rsidRPr="00F46DD9">
        <w:rPr>
          <w:b/>
        </w:rPr>
        <w:t>Artículo 23.</w:t>
      </w:r>
      <w:r w:rsidRPr="00F46DD9">
        <w:t xml:space="preserve"> Son sujetos obligados a transparentar y permitir el acceso a su información y proteger los datos personales que obren en su poder:</w:t>
      </w:r>
    </w:p>
    <w:p w14:paraId="1F1A0AD1" w14:textId="527CCDE8" w:rsidR="006100FC" w:rsidRPr="00F46DD9" w:rsidRDefault="005E625F" w:rsidP="006100FC">
      <w:pPr>
        <w:pStyle w:val="Fundamentos"/>
      </w:pPr>
      <w:r w:rsidRPr="00F46DD9">
        <w:t>[…]</w:t>
      </w:r>
    </w:p>
    <w:p w14:paraId="451DBD48" w14:textId="79A7D78C" w:rsidR="006100FC" w:rsidRPr="00F46DD9" w:rsidRDefault="006100FC" w:rsidP="006100FC">
      <w:pPr>
        <w:pStyle w:val="Fundamentos"/>
      </w:pPr>
      <w:r w:rsidRPr="00F46DD9">
        <w:rPr>
          <w:b/>
          <w:bCs/>
        </w:rPr>
        <w:t>I</w:t>
      </w:r>
      <w:r w:rsidR="005E625F" w:rsidRPr="00F46DD9">
        <w:rPr>
          <w:b/>
          <w:bCs/>
        </w:rPr>
        <w:t>V</w:t>
      </w:r>
      <w:r w:rsidRPr="00F46DD9">
        <w:rPr>
          <w:b/>
          <w:bCs/>
        </w:rPr>
        <w:t xml:space="preserve">. </w:t>
      </w:r>
      <w:r w:rsidR="005E625F" w:rsidRPr="00F46DD9">
        <w:t>Los</w:t>
      </w:r>
      <w:r w:rsidRPr="00F46DD9">
        <w:t xml:space="preserve"> </w:t>
      </w:r>
      <w:r w:rsidR="00726486" w:rsidRPr="00F46DD9">
        <w:t>ayuntamientos y las dependencias, organismos, órganos y entidades de la administración municipal</w:t>
      </w:r>
      <w:r w:rsidRPr="00F46DD9">
        <w:t>;</w:t>
      </w:r>
    </w:p>
    <w:p w14:paraId="20F34654" w14:textId="77777777" w:rsidR="006100FC" w:rsidRPr="00F46DD9" w:rsidRDefault="006100FC" w:rsidP="006100FC">
      <w:pPr>
        <w:pStyle w:val="Fundamentos"/>
      </w:pPr>
      <w:r w:rsidRPr="00F46DD9">
        <w:t>[…]</w:t>
      </w:r>
    </w:p>
    <w:p w14:paraId="2FDDCFD2" w14:textId="77777777" w:rsidR="006100FC" w:rsidRPr="00F46DD9"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F46DD9" w:rsidRDefault="006100FC" w:rsidP="006100FC">
      <w:r w:rsidRPr="00F46DD9">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F46DD9" w:rsidRDefault="00737EBC" w:rsidP="006100FC"/>
    <w:p w14:paraId="2171541A" w14:textId="51C7840D" w:rsidR="00737EBC" w:rsidRPr="00F46DD9" w:rsidRDefault="00737EBC" w:rsidP="006100FC">
      <w:r w:rsidRPr="00F46DD9">
        <w:t xml:space="preserve">Asimismo, </w:t>
      </w:r>
      <w:r w:rsidR="00726486" w:rsidRPr="00F46DD9">
        <w:t>de</w:t>
      </w:r>
      <w:r w:rsidR="00942EC6" w:rsidRPr="00F46DD9">
        <w:t xml:space="preserve"> </w:t>
      </w:r>
      <w:r w:rsidRPr="00F46DD9">
        <w:t xml:space="preserve">los motivos de inconformidad expresados por </w:t>
      </w:r>
      <w:r w:rsidR="00942EC6" w:rsidRPr="00F46DD9">
        <w:t>el</w:t>
      </w:r>
      <w:r w:rsidRPr="00F46DD9">
        <w:t xml:space="preserve"> Recurrente, se estima que en el presente caso se actualizó la causal de procedencia del recurso de revisión</w:t>
      </w:r>
      <w:r w:rsidR="00392DAC" w:rsidRPr="00F46DD9">
        <w:t xml:space="preserve"> prevista en la fracci</w:t>
      </w:r>
      <w:r w:rsidR="00942EC6" w:rsidRPr="00F46DD9">
        <w:t>ón</w:t>
      </w:r>
      <w:r w:rsidR="00392DAC" w:rsidRPr="00F46DD9">
        <w:t xml:space="preserve"> I</w:t>
      </w:r>
      <w:r w:rsidR="006E1158" w:rsidRPr="00F46DD9">
        <w:t xml:space="preserve"> del artículo 179 de la Ley de Transparencia local, que a la letra es</w:t>
      </w:r>
      <w:r w:rsidR="0090120A" w:rsidRPr="00F46DD9">
        <w:t>tipula lo siguiente:</w:t>
      </w:r>
    </w:p>
    <w:p w14:paraId="5EC36975" w14:textId="77777777" w:rsidR="0090120A" w:rsidRPr="00F46DD9" w:rsidRDefault="0090120A" w:rsidP="006100FC"/>
    <w:p w14:paraId="24B98DEE" w14:textId="77777777" w:rsidR="009A41B1" w:rsidRPr="00F46DD9" w:rsidRDefault="009A41B1" w:rsidP="007A5010">
      <w:pPr>
        <w:pStyle w:val="Fundamentos"/>
        <w:rPr>
          <w:lang w:val="es-MX"/>
        </w:rPr>
      </w:pPr>
      <w:r w:rsidRPr="00F46DD9">
        <w:rPr>
          <w:b/>
          <w:lang w:val="es-MX"/>
        </w:rPr>
        <w:t xml:space="preserve">Artículo 179. </w:t>
      </w:r>
      <w:r w:rsidRPr="00F46DD9">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F46DD9" w:rsidRDefault="0090120A" w:rsidP="007A5010">
      <w:pPr>
        <w:pStyle w:val="Fundamentos"/>
        <w:rPr>
          <w:lang w:val="es-MX"/>
        </w:rPr>
      </w:pPr>
    </w:p>
    <w:p w14:paraId="5C4DD805" w14:textId="57BDE7B4" w:rsidR="009A41B1" w:rsidRPr="00F46DD9" w:rsidRDefault="00392DAC" w:rsidP="00392DAC">
      <w:pPr>
        <w:pStyle w:val="Fundamentos"/>
      </w:pPr>
      <w:r w:rsidRPr="00F46DD9">
        <w:rPr>
          <w:b/>
          <w:lang w:val="es-ES"/>
        </w:rPr>
        <w:t>I.</w:t>
      </w:r>
      <w:r w:rsidRPr="00F46DD9">
        <w:rPr>
          <w:lang w:val="es-ES"/>
        </w:rPr>
        <w:t xml:space="preserve"> </w:t>
      </w:r>
      <w:r w:rsidR="44E9108F" w:rsidRPr="00F46DD9">
        <w:rPr>
          <w:lang w:val="es-ES"/>
        </w:rPr>
        <w:t xml:space="preserve">La </w:t>
      </w:r>
      <w:r w:rsidR="001B7214" w:rsidRPr="00F46DD9">
        <w:rPr>
          <w:lang w:val="es-ES"/>
        </w:rPr>
        <w:t>negativa a la información solicitada</w:t>
      </w:r>
      <w:r w:rsidR="44E9108F" w:rsidRPr="00F46DD9">
        <w:rPr>
          <w:lang w:val="es-ES"/>
        </w:rPr>
        <w:t>;</w:t>
      </w:r>
    </w:p>
    <w:p w14:paraId="7DA613D5" w14:textId="0F80D5F5" w:rsidR="00392DAC" w:rsidRPr="00F46DD9" w:rsidRDefault="007A5010" w:rsidP="00291F65">
      <w:pPr>
        <w:pStyle w:val="Fundamentos"/>
      </w:pPr>
      <w:r w:rsidRPr="00F46DD9">
        <w:t>[…]</w:t>
      </w:r>
    </w:p>
    <w:p w14:paraId="34F693E7" w14:textId="77777777" w:rsidR="009A41B1" w:rsidRPr="00F46DD9" w:rsidRDefault="009A41B1" w:rsidP="006100FC"/>
    <w:p w14:paraId="687AE267" w14:textId="34668F64" w:rsidR="000C5552" w:rsidRPr="00F46DD9" w:rsidRDefault="006100FC" w:rsidP="7BECC908">
      <w:pPr>
        <w:rPr>
          <w:rFonts w:eastAsia="Palatino Linotype" w:cs="Palatino Linotype"/>
          <w:color w:val="000000" w:themeColor="text1"/>
          <w:lang w:val="es-ES"/>
        </w:rPr>
      </w:pPr>
      <w:r w:rsidRPr="00F46DD9">
        <w:rPr>
          <w:lang w:val="es-ES"/>
        </w:rPr>
        <w:t xml:space="preserve">En segundo término, </w:t>
      </w:r>
      <w:r w:rsidR="00CA59E3" w:rsidRPr="00F46DD9">
        <w:rPr>
          <w:lang w:val="es-ES"/>
        </w:rPr>
        <w:t xml:space="preserve">se </w:t>
      </w:r>
      <w:r w:rsidR="009357CD" w:rsidRPr="00F46DD9">
        <w:rPr>
          <w:lang w:val="es-ES"/>
        </w:rPr>
        <w:t>tiene</w:t>
      </w:r>
      <w:r w:rsidR="00CA59E3" w:rsidRPr="00F46DD9">
        <w:rPr>
          <w:lang w:val="es-ES"/>
        </w:rPr>
        <w:t xml:space="preserve"> que </w:t>
      </w:r>
      <w:r w:rsidR="00A70AA0" w:rsidRPr="00F46DD9">
        <w:rPr>
          <w:lang w:val="es-ES"/>
        </w:rPr>
        <w:t>la información requerida es relativa al evento del Día de Reyes del año en curso, por lo que al realizar una búsqueda en la red relacionada con dicho evento, se encontró que en la página oficial del Ayuntamiento se publicó el nueve de enero de dos mil veinticinco, lo siguiente</w:t>
      </w:r>
      <w:r w:rsidR="00A70AA0" w:rsidRPr="00F46DD9">
        <w:rPr>
          <w:rStyle w:val="Refdenotaalpie"/>
          <w:lang w:val="es-ES"/>
        </w:rPr>
        <w:footnoteReference w:id="3"/>
      </w:r>
      <w:r w:rsidR="00A70AA0" w:rsidRPr="00F46DD9">
        <w:rPr>
          <w:lang w:val="es-ES"/>
        </w:rPr>
        <w:t xml:space="preserve">: </w:t>
      </w:r>
    </w:p>
    <w:p w14:paraId="74D56EF7" w14:textId="77777777" w:rsidR="00B4566B" w:rsidRPr="00F46DD9" w:rsidRDefault="00B4566B" w:rsidP="00637679">
      <w:pPr>
        <w:rPr>
          <w:rFonts w:eastAsia="Palatino Linotype" w:cs="Palatino Linotype"/>
          <w:color w:val="000000" w:themeColor="text1"/>
        </w:rPr>
      </w:pPr>
    </w:p>
    <w:p w14:paraId="7A980811" w14:textId="37028C05" w:rsidR="00A70AA0" w:rsidRPr="00F46DD9" w:rsidRDefault="00A70AA0" w:rsidP="00A70AA0">
      <w:pPr>
        <w:jc w:val="center"/>
        <w:rPr>
          <w:rFonts w:eastAsia="Palatino Linotype" w:cs="Palatino Linotype"/>
          <w:color w:val="000000" w:themeColor="text1"/>
        </w:rPr>
      </w:pPr>
      <w:r w:rsidRPr="00F46DD9">
        <w:rPr>
          <w:rFonts w:eastAsia="Palatino Linotype" w:cs="Palatino Linotype"/>
          <w:noProof/>
          <w:color w:val="000000" w:themeColor="text1"/>
          <w:lang w:val="es-ES" w:eastAsia="es-ES"/>
        </w:rPr>
        <w:lastRenderedPageBreak/>
        <w:drawing>
          <wp:inline distT="0" distB="0" distL="0" distR="0" wp14:anchorId="77C268B1" wp14:editId="0C2448DB">
            <wp:extent cx="5618757" cy="703897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49905" cy="7077996"/>
                    </a:xfrm>
                    <a:prstGeom prst="rect">
                      <a:avLst/>
                    </a:prstGeom>
                  </pic:spPr>
                </pic:pic>
              </a:graphicData>
            </a:graphic>
          </wp:inline>
        </w:drawing>
      </w:r>
    </w:p>
    <w:p w14:paraId="357A623F" w14:textId="77777777" w:rsidR="00A70AA0" w:rsidRPr="00F46DD9" w:rsidRDefault="00A70AA0" w:rsidP="00637679">
      <w:pPr>
        <w:rPr>
          <w:rFonts w:eastAsia="Palatino Linotype" w:cs="Palatino Linotype"/>
          <w:color w:val="000000" w:themeColor="text1"/>
        </w:rPr>
      </w:pPr>
    </w:p>
    <w:p w14:paraId="3317DE48" w14:textId="5864EF35" w:rsidR="00A70AA0" w:rsidRPr="00F46DD9" w:rsidRDefault="00A70AA0" w:rsidP="00637679">
      <w:pPr>
        <w:rPr>
          <w:rFonts w:eastAsia="Palatino Linotype" w:cs="Palatino Linotype"/>
          <w:color w:val="000000" w:themeColor="text1"/>
        </w:rPr>
      </w:pPr>
      <w:r w:rsidRPr="00F46DD9">
        <w:rPr>
          <w:rFonts w:eastAsia="Palatino Linotype" w:cs="Palatino Linotype"/>
          <w:color w:val="000000" w:themeColor="text1"/>
        </w:rPr>
        <w:lastRenderedPageBreak/>
        <w:t>De tal forma que es viable colegir que el evento referido por el Recurrente se celebró los días once y doce de enero del año en curso. Así, se debe recordar que el Sujeto Obligado manifestó que, al quince de enero, la información</w:t>
      </w:r>
      <w:r w:rsidR="00105924" w:rsidRPr="00F46DD9">
        <w:rPr>
          <w:rFonts w:eastAsia="Palatino Linotype" w:cs="Palatino Linotype"/>
          <w:color w:val="000000" w:themeColor="text1"/>
        </w:rPr>
        <w:t xml:space="preserve"> aún se encontraba en proceso de integración</w:t>
      </w:r>
      <w:r w:rsidR="005A0F01" w:rsidRPr="00F46DD9">
        <w:rPr>
          <w:rFonts w:eastAsia="Palatino Linotype" w:cs="Palatino Linotype"/>
          <w:color w:val="000000" w:themeColor="text1"/>
        </w:rPr>
        <w:t>.</w:t>
      </w:r>
    </w:p>
    <w:p w14:paraId="3339B552" w14:textId="77777777" w:rsidR="005A0F01" w:rsidRPr="00F46DD9" w:rsidRDefault="005A0F01" w:rsidP="00637679">
      <w:pPr>
        <w:rPr>
          <w:rFonts w:eastAsia="Palatino Linotype" w:cs="Palatino Linotype"/>
          <w:color w:val="000000" w:themeColor="text1"/>
        </w:rPr>
      </w:pPr>
    </w:p>
    <w:p w14:paraId="5742DCCE" w14:textId="02C0E5A8" w:rsidR="00BA089A" w:rsidRPr="00F46DD9" w:rsidRDefault="00E125C7" w:rsidP="00637679">
      <w:pPr>
        <w:rPr>
          <w:rFonts w:eastAsia="Palatino Linotype" w:cs="Palatino Linotype"/>
          <w:color w:val="000000" w:themeColor="text1"/>
        </w:rPr>
      </w:pPr>
      <w:r w:rsidRPr="00F46DD9">
        <w:rPr>
          <w:rFonts w:eastAsia="Palatino Linotype" w:cs="Palatino Linotype"/>
          <w:color w:val="000000" w:themeColor="text1"/>
        </w:rPr>
        <w:t>Ahora bien, se tiene que la respuesta fue emitida por la Tesorería Municipal</w:t>
      </w:r>
      <w:r w:rsidR="0066580F" w:rsidRPr="00F46DD9">
        <w:rPr>
          <w:rFonts w:eastAsia="Palatino Linotype" w:cs="Palatino Linotype"/>
          <w:color w:val="000000" w:themeColor="text1"/>
        </w:rPr>
        <w:t xml:space="preserve">, </w:t>
      </w:r>
      <w:r w:rsidR="00CF36E8" w:rsidRPr="00F46DD9">
        <w:rPr>
          <w:rFonts w:eastAsia="Palatino Linotype" w:cs="Palatino Linotype"/>
          <w:color w:val="000000" w:themeColor="text1"/>
        </w:rPr>
        <w:t xml:space="preserve">por lo que es conveniente hacer referencia a lo dispuesto en </w:t>
      </w:r>
      <w:r w:rsidR="000C5BFE" w:rsidRPr="00F46DD9">
        <w:rPr>
          <w:rFonts w:eastAsia="Palatino Linotype" w:cs="Palatino Linotype"/>
          <w:color w:val="000000" w:themeColor="text1"/>
        </w:rPr>
        <w:t xml:space="preserve">los artículos 93 y </w:t>
      </w:r>
      <w:r w:rsidR="00D717C5" w:rsidRPr="00F46DD9">
        <w:rPr>
          <w:rFonts w:eastAsia="Palatino Linotype" w:cs="Palatino Linotype"/>
          <w:color w:val="000000" w:themeColor="text1"/>
        </w:rPr>
        <w:t>95 fracciones I y IV</w:t>
      </w:r>
      <w:r w:rsidR="00CF36E8" w:rsidRPr="00F46DD9">
        <w:rPr>
          <w:rFonts w:eastAsia="Palatino Linotype" w:cs="Palatino Linotype"/>
          <w:color w:val="000000" w:themeColor="text1"/>
        </w:rPr>
        <w:t xml:space="preserve"> de la Ley Orgánica Municipal del Estado de México, en los que se establece lo siguiente:</w:t>
      </w:r>
    </w:p>
    <w:p w14:paraId="04F7F649" w14:textId="77777777" w:rsidR="00CF36E8" w:rsidRPr="00F46DD9" w:rsidRDefault="00CF36E8" w:rsidP="00637679">
      <w:pPr>
        <w:rPr>
          <w:rFonts w:eastAsia="Palatino Linotype" w:cs="Palatino Linotype"/>
          <w:color w:val="000000" w:themeColor="text1"/>
        </w:rPr>
      </w:pPr>
    </w:p>
    <w:p w14:paraId="4B9EF395" w14:textId="77777777" w:rsidR="00D923C8" w:rsidRPr="00F46DD9" w:rsidRDefault="00D923C8" w:rsidP="00AA2A0C">
      <w:pPr>
        <w:pStyle w:val="Fundamentos"/>
        <w:rPr>
          <w:lang w:val="es-ES"/>
        </w:rPr>
      </w:pPr>
      <w:r w:rsidRPr="00F46DD9">
        <w:rPr>
          <w:b/>
          <w:lang w:val="es-ES"/>
        </w:rPr>
        <w:t>Artículo 93.-</w:t>
      </w:r>
      <w:r w:rsidRPr="00F46DD9">
        <w:rPr>
          <w:lang w:val="es-ES"/>
        </w:rPr>
        <w:t xml:space="preserve"> La tesorería municipal es el órgano encargado de la recaudación de los ingresos municipales y responsable de realizar las erogaciones que haga el ayuntamiento.</w:t>
      </w:r>
    </w:p>
    <w:p w14:paraId="73DF611C" w14:textId="77777777" w:rsidR="00CF36E8" w:rsidRPr="00F46DD9" w:rsidRDefault="00CF36E8" w:rsidP="00AA2A0C">
      <w:pPr>
        <w:pStyle w:val="Fundamentos"/>
        <w:rPr>
          <w:lang w:val="es-ES"/>
        </w:rPr>
      </w:pPr>
    </w:p>
    <w:p w14:paraId="67A08E68" w14:textId="77777777" w:rsidR="00716426" w:rsidRPr="00F46DD9" w:rsidRDefault="00716426" w:rsidP="00AA2A0C">
      <w:pPr>
        <w:pStyle w:val="Fundamentos"/>
        <w:rPr>
          <w:lang w:val="es-ES"/>
        </w:rPr>
      </w:pPr>
      <w:r w:rsidRPr="00F46DD9">
        <w:rPr>
          <w:b/>
          <w:bCs/>
          <w:lang w:val="es-ES"/>
        </w:rPr>
        <w:t>Artículo 95.-</w:t>
      </w:r>
      <w:r w:rsidRPr="00F46DD9">
        <w:rPr>
          <w:lang w:val="es-ES"/>
        </w:rPr>
        <w:t xml:space="preserve"> Son atribuciones del tesorero municipal:</w:t>
      </w:r>
    </w:p>
    <w:p w14:paraId="15840938" w14:textId="77777777" w:rsidR="00716426" w:rsidRPr="00F46DD9" w:rsidRDefault="00716426" w:rsidP="00AA2A0C">
      <w:pPr>
        <w:pStyle w:val="Fundamentos"/>
        <w:rPr>
          <w:lang w:val="es-ES"/>
        </w:rPr>
      </w:pPr>
    </w:p>
    <w:p w14:paraId="2300AE07" w14:textId="0562703B" w:rsidR="00D923C8" w:rsidRPr="00F46DD9" w:rsidRDefault="00716426" w:rsidP="00AA2A0C">
      <w:pPr>
        <w:pStyle w:val="Fundamentos"/>
        <w:rPr>
          <w:lang w:val="es-ES"/>
        </w:rPr>
      </w:pPr>
      <w:r w:rsidRPr="00F46DD9">
        <w:rPr>
          <w:lang w:val="es-ES"/>
        </w:rPr>
        <w:t>I. Administrar la hacienda pública municipal, de conformidad con las disposiciones legales aplicables;</w:t>
      </w:r>
    </w:p>
    <w:p w14:paraId="00F478B8" w14:textId="6CE1D45B" w:rsidR="00716426" w:rsidRPr="00F46DD9" w:rsidRDefault="00C83163" w:rsidP="00AA2A0C">
      <w:pPr>
        <w:pStyle w:val="Fundamentos"/>
        <w:rPr>
          <w:lang w:val="es-ES"/>
        </w:rPr>
      </w:pPr>
      <w:r w:rsidRPr="00F46DD9">
        <w:rPr>
          <w:lang w:val="es-ES"/>
        </w:rPr>
        <w:t>[…]</w:t>
      </w:r>
    </w:p>
    <w:p w14:paraId="480C26A4" w14:textId="345713C2" w:rsidR="00C83163" w:rsidRPr="00F46DD9" w:rsidRDefault="00AA2A0C" w:rsidP="00AA2A0C">
      <w:pPr>
        <w:pStyle w:val="Fundamentos"/>
        <w:rPr>
          <w:lang w:val="es-ES"/>
        </w:rPr>
      </w:pPr>
      <w:r w:rsidRPr="00F46DD9">
        <w:rPr>
          <w:lang w:val="es-ES"/>
        </w:rPr>
        <w:t>IV. Llevar los registros contables, financieros y administrativos de los ingresos, egresos, e inventarios;</w:t>
      </w:r>
    </w:p>
    <w:p w14:paraId="3DAA1FAA" w14:textId="00F727F8" w:rsidR="00AA2A0C" w:rsidRPr="00F46DD9" w:rsidRDefault="00AA2A0C" w:rsidP="00AA2A0C">
      <w:pPr>
        <w:pStyle w:val="Fundamentos"/>
        <w:rPr>
          <w:lang w:val="es-ES"/>
        </w:rPr>
      </w:pPr>
      <w:r w:rsidRPr="00F46DD9">
        <w:rPr>
          <w:lang w:val="es-ES"/>
        </w:rPr>
        <w:t>[…]</w:t>
      </w:r>
    </w:p>
    <w:p w14:paraId="4C61E340" w14:textId="77777777" w:rsidR="00D923C8" w:rsidRPr="00F46DD9" w:rsidRDefault="00D923C8" w:rsidP="00637679">
      <w:pPr>
        <w:rPr>
          <w:rFonts w:eastAsia="Palatino Linotype" w:cs="Palatino Linotype"/>
          <w:color w:val="000000" w:themeColor="text1"/>
          <w:lang w:val="es-ES"/>
        </w:rPr>
      </w:pPr>
    </w:p>
    <w:p w14:paraId="48D23EEC" w14:textId="7813B48A" w:rsidR="00024A0E" w:rsidRPr="00F46DD9" w:rsidRDefault="008D1034" w:rsidP="7BECC908">
      <w:pPr>
        <w:rPr>
          <w:rFonts w:eastAsia="Palatino Linotype" w:cs="Palatino Linotype"/>
          <w:color w:val="000000" w:themeColor="text1"/>
          <w:lang w:val="es-ES"/>
        </w:rPr>
      </w:pPr>
      <w:r w:rsidRPr="00F46DD9">
        <w:rPr>
          <w:rFonts w:eastAsia="Palatino Linotype" w:cs="Palatino Linotype"/>
          <w:color w:val="000000" w:themeColor="text1"/>
          <w:lang w:val="es-ES"/>
        </w:rPr>
        <w:t xml:space="preserve">Como se desprende de los preceptos en cita, la Tesorería Municipal es la dependencia responsable de realizar las erogaciones </w:t>
      </w:r>
      <w:r w:rsidR="0083309A" w:rsidRPr="00F46DD9">
        <w:rPr>
          <w:rFonts w:eastAsia="Palatino Linotype" w:cs="Palatino Linotype"/>
          <w:color w:val="000000" w:themeColor="text1"/>
          <w:lang w:val="es-ES"/>
        </w:rPr>
        <w:t xml:space="preserve">que haga el ayuntamiento, y que está </w:t>
      </w:r>
      <w:r w:rsidR="00A24FDB" w:rsidRPr="00F46DD9">
        <w:rPr>
          <w:rFonts w:eastAsia="Palatino Linotype" w:cs="Palatino Linotype"/>
          <w:color w:val="000000" w:themeColor="text1"/>
          <w:lang w:val="es-ES"/>
        </w:rPr>
        <w:t>facultada</w:t>
      </w:r>
      <w:r w:rsidR="0083309A" w:rsidRPr="00F46DD9">
        <w:rPr>
          <w:rFonts w:eastAsia="Palatino Linotype" w:cs="Palatino Linotype"/>
          <w:color w:val="000000" w:themeColor="text1"/>
          <w:lang w:val="es-ES"/>
        </w:rPr>
        <w:t xml:space="preserve"> para administrar la hacienda pública y llevar los registros contables, financieros y administ</w:t>
      </w:r>
      <w:r w:rsidR="00B47EC4" w:rsidRPr="00F46DD9">
        <w:rPr>
          <w:rFonts w:eastAsia="Palatino Linotype" w:cs="Palatino Linotype"/>
          <w:color w:val="000000" w:themeColor="text1"/>
          <w:lang w:val="es-ES"/>
        </w:rPr>
        <w:t>rativos de los egresos.</w:t>
      </w:r>
    </w:p>
    <w:p w14:paraId="0D9A990C" w14:textId="77777777" w:rsidR="00B47EC4" w:rsidRPr="00F46DD9" w:rsidRDefault="00B47EC4" w:rsidP="00637679">
      <w:pPr>
        <w:rPr>
          <w:rFonts w:eastAsia="Palatino Linotype" w:cs="Palatino Linotype"/>
          <w:color w:val="000000" w:themeColor="text1"/>
        </w:rPr>
      </w:pPr>
    </w:p>
    <w:p w14:paraId="45F0C391" w14:textId="77777777" w:rsidR="001C2BC4" w:rsidRPr="00F46DD9" w:rsidRDefault="00FB5C5B" w:rsidP="001C2BC4">
      <w:pPr>
        <w:rPr>
          <w:rFonts w:eastAsia="Times New Roman" w:cs="Times New Roman"/>
          <w:color w:val="000000"/>
          <w:szCs w:val="24"/>
          <w:lang w:val="es-ES"/>
        </w:rPr>
      </w:pPr>
      <w:r w:rsidRPr="00F46DD9">
        <w:rPr>
          <w:rFonts w:eastAsia="Palatino Linotype" w:cs="Palatino Linotype"/>
          <w:szCs w:val="24"/>
        </w:rPr>
        <w:t>Así, es necesario referir que</w:t>
      </w:r>
      <w:r w:rsidR="00855E9D" w:rsidRPr="00F46DD9">
        <w:rPr>
          <w:rFonts w:eastAsia="Palatino Linotype" w:cs="Palatino Linotype"/>
          <w:szCs w:val="24"/>
        </w:rPr>
        <w:t xml:space="preserve">, al señalar que la información se encuentra en proceso, se colige que </w:t>
      </w:r>
      <w:r w:rsidR="00F91178" w:rsidRPr="00F46DD9">
        <w:rPr>
          <w:rFonts w:eastAsia="Palatino Linotype" w:cs="Palatino Linotype"/>
          <w:szCs w:val="24"/>
        </w:rPr>
        <w:t xml:space="preserve">sí fue realizado el gasto y que éste </w:t>
      </w:r>
      <w:r w:rsidR="00D07637" w:rsidRPr="00F46DD9">
        <w:rPr>
          <w:rFonts w:eastAsia="Palatino Linotype" w:cs="Palatino Linotype"/>
          <w:szCs w:val="24"/>
        </w:rPr>
        <w:t xml:space="preserve">es del conocimiento del área competente. </w:t>
      </w:r>
      <w:r w:rsidR="00D07637" w:rsidRPr="00F46DD9">
        <w:rPr>
          <w:rFonts w:eastAsia="Palatino Linotype" w:cs="Palatino Linotype"/>
          <w:szCs w:val="24"/>
        </w:rPr>
        <w:lastRenderedPageBreak/>
        <w:t xml:space="preserve">En ese sentido, </w:t>
      </w:r>
      <w:r w:rsidR="00434992" w:rsidRPr="00F46DD9">
        <w:rPr>
          <w:rFonts w:eastAsia="Palatino Linotype" w:cs="Palatino Linotype"/>
          <w:szCs w:val="24"/>
        </w:rPr>
        <w:t xml:space="preserve">es conveniente referir que, </w:t>
      </w:r>
      <w:r w:rsidR="001C2BC4" w:rsidRPr="00F46DD9">
        <w:t xml:space="preserve">respecto de los procedimientos adquisitivos de bienes y servicios, </w:t>
      </w:r>
      <w:r w:rsidR="001C2BC4" w:rsidRPr="00F46DD9">
        <w:rPr>
          <w:rFonts w:eastAsia="Times New Roman" w:cs="Times New Roman"/>
          <w:color w:val="000000"/>
          <w:szCs w:val="24"/>
        </w:rPr>
        <w:t xml:space="preserve">las facturas y las pólizas contables se deben considerar como </w:t>
      </w:r>
      <w:r w:rsidR="001C2BC4" w:rsidRPr="00F46DD9">
        <w:rPr>
          <w:rFonts w:eastAsia="Times New Roman" w:cs="Times New Roman"/>
          <w:color w:val="000000"/>
          <w:szCs w:val="24"/>
          <w:lang w:val="es-ES"/>
        </w:rPr>
        <w:t xml:space="preserve">la documentación comprobatoria de las erogaciones realizadas en ejercicio del presupuesto municipal, entendido éste como </w:t>
      </w:r>
      <w:r w:rsidR="001C2BC4" w:rsidRPr="00F46DD9">
        <w:rPr>
          <w:rFonts w:eastAsia="Times New Roman" w:cs="Times New Roman"/>
          <w:b/>
          <w:color w:val="000000"/>
          <w:szCs w:val="24"/>
          <w:lang w:val="es-ES"/>
        </w:rPr>
        <w:t>Presupuesto ejercido</w:t>
      </w:r>
      <w:r w:rsidR="001C2BC4" w:rsidRPr="00F46DD9">
        <w:rPr>
          <w:rFonts w:eastAsia="Times New Roman" w:cs="Times New Roman"/>
          <w:color w:val="000000"/>
          <w:szCs w:val="24"/>
          <w:lang w:val="es-ES"/>
        </w:rPr>
        <w:t xml:space="preserve">, que según el Glosario de Términos más Usuales en la Administración Pública Federal de la Secretaría de Hacienda y Crédito Público se define como: </w:t>
      </w:r>
    </w:p>
    <w:p w14:paraId="408B6B84" w14:textId="77777777" w:rsidR="001C2BC4" w:rsidRPr="00F46DD9" w:rsidRDefault="001C2BC4" w:rsidP="001C2BC4">
      <w:pPr>
        <w:rPr>
          <w:rFonts w:eastAsia="Times New Roman" w:cs="Times New Roman"/>
          <w:i/>
          <w:color w:val="000000"/>
          <w:szCs w:val="24"/>
          <w:lang w:val="es-ES"/>
        </w:rPr>
      </w:pPr>
    </w:p>
    <w:p w14:paraId="3FA88703" w14:textId="77777777" w:rsidR="001C2BC4" w:rsidRPr="00F46DD9" w:rsidRDefault="001C2BC4" w:rsidP="001C2BC4">
      <w:pPr>
        <w:pStyle w:val="Fundamentos"/>
        <w:rPr>
          <w:b/>
          <w:lang w:val="es-ES"/>
        </w:rPr>
      </w:pPr>
      <w:r w:rsidRPr="00F46DD9">
        <w:rPr>
          <w:b/>
          <w:lang w:val="es-ES"/>
        </w:rPr>
        <w:t>PRESUPUESTO EJERCIDO.</w:t>
      </w:r>
    </w:p>
    <w:p w14:paraId="3F5052AF" w14:textId="77777777" w:rsidR="001C2BC4" w:rsidRPr="00F46DD9" w:rsidRDefault="001C2BC4" w:rsidP="001C2BC4">
      <w:pPr>
        <w:pStyle w:val="Fundamentos"/>
        <w:rPr>
          <w:lang w:val="es-ES"/>
        </w:rPr>
      </w:pPr>
      <w:r w:rsidRPr="00F46DD9">
        <w:rPr>
          <w:lang w:val="es-ES"/>
        </w:rPr>
        <w:t>Importe de las erogaciones realizadas respaldado por los documentos comprobatorios (</w:t>
      </w:r>
      <w:r w:rsidRPr="00F46DD9">
        <w:rPr>
          <w:u w:val="single"/>
          <w:lang w:val="es-ES"/>
        </w:rPr>
        <w:t>facturas</w:t>
      </w:r>
      <w:r w:rsidRPr="00F46DD9">
        <w:rPr>
          <w:lang w:val="es-ES"/>
        </w:rPr>
        <w:t>, notas, nominas, etc.) presentados a la dependencia o entidad una vez autorizadas para su pago, con cargo al presupuesto autorizado.</w:t>
      </w:r>
    </w:p>
    <w:p w14:paraId="0780E030" w14:textId="77777777" w:rsidR="001C2BC4" w:rsidRPr="00F46DD9" w:rsidRDefault="001C2BC4" w:rsidP="001C2BC4">
      <w:pPr>
        <w:rPr>
          <w:rFonts w:eastAsia="Times New Roman" w:cs="Times New Roman"/>
          <w:color w:val="000000"/>
          <w:szCs w:val="24"/>
          <w:lang w:val="es-ES"/>
        </w:rPr>
      </w:pPr>
    </w:p>
    <w:p w14:paraId="76255864"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 xml:space="preserve">Cabe señalar que, en términos del artículo 129, de la Constitución Política del Estado Libre y Soberano de México, los recursos económicos del Estado, de los Municipios, así como de los Organismos Autónomos, se administrarán con eficiencia, eficacia y honradez, para cumplir con los objetivos y programas a los que estén destinados, ello en el cumplimiento a los principios que rigen la función pública. </w:t>
      </w:r>
    </w:p>
    <w:p w14:paraId="11BCF50F" w14:textId="77777777" w:rsidR="001C2BC4" w:rsidRPr="00F46DD9" w:rsidRDefault="001C2BC4" w:rsidP="001C2BC4">
      <w:pPr>
        <w:rPr>
          <w:rFonts w:eastAsia="Times New Roman" w:cs="Times New Roman"/>
          <w:color w:val="000000"/>
          <w:szCs w:val="24"/>
          <w:lang w:val="es-ES"/>
        </w:rPr>
      </w:pPr>
    </w:p>
    <w:p w14:paraId="1911F62D"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Asimismo, dispone que todos los pagos se harán mediante orden escrita en la que se expresará la partida del presupuesto a cargo de la cual se realizan.</w:t>
      </w:r>
    </w:p>
    <w:p w14:paraId="611DD8E3" w14:textId="77777777" w:rsidR="001C2BC4" w:rsidRPr="00F46DD9" w:rsidRDefault="001C2BC4" w:rsidP="001C2BC4">
      <w:pPr>
        <w:rPr>
          <w:rFonts w:eastAsia="Times New Roman" w:cs="Times New Roman"/>
          <w:color w:val="000000"/>
          <w:szCs w:val="24"/>
          <w:lang w:val="es-ES"/>
        </w:rPr>
      </w:pPr>
    </w:p>
    <w:p w14:paraId="511673AD"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Al respecto, los artículos 31 fracciones XVIII y 95 fracciones I y IV, de la</w:t>
      </w:r>
      <w:r w:rsidRPr="00F46DD9">
        <w:rPr>
          <w:rFonts w:eastAsia="Times New Roman" w:cs="Times New Roman"/>
          <w:b/>
          <w:i/>
          <w:color w:val="000000"/>
          <w:szCs w:val="24"/>
          <w:lang w:val="es-ES"/>
        </w:rPr>
        <w:t xml:space="preserve"> </w:t>
      </w:r>
      <w:r w:rsidRPr="00F46DD9">
        <w:rPr>
          <w:rFonts w:eastAsia="Times New Roman" w:cs="Times New Roman"/>
          <w:color w:val="000000"/>
          <w:szCs w:val="24"/>
          <w:lang w:val="es-ES"/>
        </w:rPr>
        <w:t xml:space="preserve">Ley Orgánica Municipal del Estado de México prevén que los ayuntamientos tienen la atribución de administrar libremente su hacienda y controlar la aplicación del presupuesto de egresos aprobado por dicho cuerpo colegiado, siendo atribución del Tesorero Municipal la de </w:t>
      </w:r>
      <w:r w:rsidRPr="00F46DD9">
        <w:rPr>
          <w:rFonts w:eastAsia="Times New Roman" w:cs="Times New Roman"/>
          <w:color w:val="000000"/>
          <w:szCs w:val="24"/>
          <w:lang w:val="es-ES"/>
        </w:rPr>
        <w:lastRenderedPageBreak/>
        <w:t xml:space="preserve">llevar los registros contables, financieros y administrativos de los ingresos, egresos e inventarios. </w:t>
      </w:r>
    </w:p>
    <w:p w14:paraId="65608D4F" w14:textId="77777777" w:rsidR="001C2BC4" w:rsidRPr="00F46DD9" w:rsidRDefault="001C2BC4" w:rsidP="001C2BC4">
      <w:pPr>
        <w:rPr>
          <w:rFonts w:eastAsia="Times New Roman" w:cs="Times New Roman"/>
          <w:color w:val="000000"/>
          <w:szCs w:val="24"/>
          <w:lang w:val="es-ES"/>
        </w:rPr>
      </w:pPr>
    </w:p>
    <w:p w14:paraId="441A0B42"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Adicional a lo expuesto, es pertinente considerar lo dispuesto en los artículos 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 (entendiéndose que también se hace referencia a sus organismos descentralizados); que el registro contable del efecto patrimonial y presupuestal de las operaciones financieras que realice el Municipio se realizará conforme al sistema y a las disposiciones que se aprueben en materia de planeación, programación, presupuestación, evaluación y contabilidad gubernamental.</w:t>
      </w:r>
    </w:p>
    <w:p w14:paraId="362EAA9C" w14:textId="77777777" w:rsidR="001C2BC4" w:rsidRPr="00F46DD9" w:rsidRDefault="001C2BC4" w:rsidP="001C2BC4">
      <w:pPr>
        <w:rPr>
          <w:rFonts w:eastAsia="Times New Roman" w:cs="Times New Roman"/>
          <w:color w:val="000000"/>
          <w:szCs w:val="24"/>
          <w:lang w:val="es-ES"/>
        </w:rPr>
      </w:pPr>
    </w:p>
    <w:p w14:paraId="3753EF06"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Asimismo, los preceptos legales citados señalan que en el caso de los Municipios y organismos municipales, es la Tesorería Municipal o área equivalente, la unidad administrativa que registra contablemente el efecto patrimonial y presupuestal de las operaciones financieras que realizan, en el momento en que ocurran, con base en el sistema y políticas de registro establecidas.</w:t>
      </w:r>
    </w:p>
    <w:p w14:paraId="2A05968B" w14:textId="77777777" w:rsidR="001C2BC4" w:rsidRPr="00F46DD9" w:rsidRDefault="001C2BC4" w:rsidP="001C2BC4">
      <w:pPr>
        <w:rPr>
          <w:rFonts w:eastAsia="Times New Roman" w:cs="Times New Roman"/>
          <w:color w:val="000000"/>
          <w:szCs w:val="24"/>
          <w:lang w:val="es-ES"/>
        </w:rPr>
      </w:pPr>
    </w:p>
    <w:p w14:paraId="336D1269"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 xml:space="preserve">Cabe destacar, que el ordenamiento legal en cita establece que todo registro contable y presupuestal deberá estar soportado con los documentos comprobatorios originales, como son las facturas y pólizas solicitadas, documentos que deberán permanecer en custodia y conservación de la Tesorería Municipal o área equivalente y a disposición del Órgano Superior de Fiscalización del Estado de México y de los órganos de control </w:t>
      </w:r>
      <w:r w:rsidRPr="00F46DD9">
        <w:rPr>
          <w:rFonts w:eastAsia="Times New Roman" w:cs="Times New Roman"/>
          <w:color w:val="000000"/>
          <w:szCs w:val="24"/>
          <w:lang w:val="es-ES"/>
        </w:rPr>
        <w:lastRenderedPageBreak/>
        <w:t>interno, en el caso de los municipios; por un término de cinco años contados a partir del ejercicio presupuestal siguiente al que corresponda.</w:t>
      </w:r>
    </w:p>
    <w:p w14:paraId="7A681DA8" w14:textId="77777777" w:rsidR="001C2BC4" w:rsidRPr="00F46DD9" w:rsidRDefault="001C2BC4" w:rsidP="001C2BC4">
      <w:pPr>
        <w:rPr>
          <w:rFonts w:eastAsia="Times New Roman" w:cs="Times New Roman"/>
          <w:color w:val="000000"/>
          <w:szCs w:val="24"/>
          <w:lang w:val="es-ES"/>
        </w:rPr>
      </w:pPr>
    </w:p>
    <w:p w14:paraId="0746BC3B" w14:textId="77777777" w:rsidR="001C2BC4" w:rsidRPr="00F46DD9" w:rsidRDefault="001C2BC4" w:rsidP="001C2BC4">
      <w:pPr>
        <w:rPr>
          <w:rFonts w:eastAsia="Times New Roman" w:cs="Times New Roman"/>
          <w:color w:val="000000"/>
          <w:szCs w:val="24"/>
          <w:lang w:val="es-ES"/>
        </w:rPr>
      </w:pPr>
      <w:r w:rsidRPr="00F46DD9">
        <w:rPr>
          <w:rFonts w:eastAsia="Times New Roman" w:cs="Times New Roman"/>
          <w:color w:val="000000"/>
          <w:szCs w:val="24"/>
          <w:lang w:val="es-ES"/>
        </w:rPr>
        <w:t>Ahora bien, por cuanto a los contratos derivados del procedimiento adquisitivo, es pertinente considerar lo dispuesto en los artículos 1, 5, párrafo segundo; 22, 23, 24, 26, 27, 65, de la Ley de Contratación Pública del Estado de México y Municipios</w:t>
      </w:r>
      <w:r w:rsidRPr="00F46DD9">
        <w:rPr>
          <w:rFonts w:eastAsia="Times New Roman" w:cs="Times New Roman"/>
          <w:color w:val="000000"/>
          <w:szCs w:val="24"/>
          <w:vertAlign w:val="superscript"/>
          <w:lang w:val="es-ES"/>
        </w:rPr>
        <w:footnoteReference w:id="4"/>
      </w:r>
      <w:r w:rsidRPr="00F46DD9">
        <w:rPr>
          <w:rFonts w:eastAsia="Times New Roman" w:cs="Times New Roman"/>
          <w:color w:val="000000"/>
          <w:szCs w:val="24"/>
          <w:lang w:val="es-ES"/>
        </w:rPr>
        <w:t xml:space="preserve"> que en términos concretos disponen que ésta tiene por objeto regular los actos relativos a la planeación, programación, presupuestación, ejecución y control de la adquisición, enajenación y arrendamiento de bienes, y la contratación de servicios de cualquier naturaleza, que realicen los Ayuntamientos, entre otros entes, sin embargo, no se aplicará en los actos derivados de convenios celebrados entre dependencias, entidades y ayuntamientos, entre sí o con los de otros estados o de la Federación, excepto cuando sea parte un particular en los procedimientos o contratos respectivos.</w:t>
      </w:r>
    </w:p>
    <w:p w14:paraId="3FAFE333" w14:textId="77777777" w:rsidR="001C2BC4" w:rsidRPr="00F46DD9" w:rsidRDefault="001C2BC4" w:rsidP="001C2BC4">
      <w:pPr>
        <w:rPr>
          <w:rFonts w:eastAsia="Times New Roman" w:cs="Times New Roman"/>
          <w:color w:val="000000"/>
          <w:szCs w:val="24"/>
        </w:rPr>
      </w:pPr>
    </w:p>
    <w:p w14:paraId="59ABE51B" w14:textId="77777777" w:rsidR="001C2BC4" w:rsidRPr="00F46DD9" w:rsidRDefault="001C2BC4" w:rsidP="001C2BC4">
      <w:pPr>
        <w:rPr>
          <w:rFonts w:eastAsia="Palatino Linotype" w:cs="Palatino Linotype"/>
          <w:szCs w:val="24"/>
          <w:lang w:val="es-ES"/>
        </w:rPr>
      </w:pPr>
      <w:r w:rsidRPr="00F46DD9">
        <w:rPr>
          <w:rFonts w:eastAsia="Palatino Linotype" w:cs="Palatino Linotype"/>
          <w:szCs w:val="24"/>
          <w:lang w:val="es-ES"/>
        </w:rPr>
        <w:t xml:space="preserve">Que las </w:t>
      </w:r>
      <w:r w:rsidRPr="00F46DD9">
        <w:rPr>
          <w:rFonts w:eastAsia="Palatino Linotype" w:cs="Palatino Linotype"/>
          <w:b/>
          <w:szCs w:val="24"/>
          <w:lang w:val="es-ES"/>
        </w:rPr>
        <w:t>adquisiciones</w:t>
      </w:r>
      <w:r w:rsidRPr="00F46DD9">
        <w:rPr>
          <w:rFonts w:eastAsia="Palatino Linotype" w:cs="Palatino Linotype"/>
          <w:szCs w:val="24"/>
          <w:lang w:val="es-ES"/>
        </w:rPr>
        <w:t>, arrendamientos y servicios se adjudicarán a través de licitaciones públicas, mediante convocatoria pública; que los ayuntamientos podrán adjudicar adquisiciones, arrendamientos y servicios, mediante las excepciones al procedimiento de licitación a través de: a) Invitación restringida y b) Adjudicación directa.</w:t>
      </w:r>
    </w:p>
    <w:p w14:paraId="328124E3" w14:textId="77777777" w:rsidR="001C2BC4" w:rsidRPr="00F46DD9" w:rsidRDefault="001C2BC4" w:rsidP="001C2BC4">
      <w:pPr>
        <w:rPr>
          <w:rFonts w:eastAsia="Palatino Linotype" w:cs="Palatino Linotype"/>
          <w:szCs w:val="24"/>
          <w:lang w:val="es-ES"/>
        </w:rPr>
      </w:pPr>
    </w:p>
    <w:p w14:paraId="1F70D768" w14:textId="77777777" w:rsidR="001C2BC4" w:rsidRPr="00F46DD9" w:rsidRDefault="001C2BC4" w:rsidP="001C2BC4">
      <w:pPr>
        <w:rPr>
          <w:rFonts w:eastAsia="Palatino Linotype" w:cs="Palatino Linotype"/>
          <w:szCs w:val="24"/>
          <w:lang w:val="es-ES"/>
        </w:rPr>
      </w:pPr>
      <w:r w:rsidRPr="00F46DD9">
        <w:rPr>
          <w:rFonts w:eastAsia="Palatino Linotype" w:cs="Palatino Linotype"/>
          <w:szCs w:val="24"/>
          <w:lang w:val="es-ES"/>
        </w:rPr>
        <w:t xml:space="preserve">Asimismo, prevé la integración de los Comités de </w:t>
      </w:r>
      <w:r w:rsidRPr="00F46DD9">
        <w:rPr>
          <w:rFonts w:eastAsia="Palatino Linotype" w:cs="Palatino Linotype"/>
          <w:i/>
          <w:szCs w:val="24"/>
          <w:lang w:val="es-ES"/>
        </w:rPr>
        <w:t>«Adquisiciones y Servicios»</w:t>
      </w:r>
      <w:r w:rsidRPr="00F46DD9">
        <w:rPr>
          <w:rFonts w:eastAsia="Palatino Linotype" w:cs="Palatino Linotype"/>
          <w:szCs w:val="24"/>
          <w:lang w:val="es-ES"/>
        </w:rPr>
        <w:t xml:space="preserve"> y «</w:t>
      </w:r>
      <w:r w:rsidRPr="00F46DD9">
        <w:rPr>
          <w:rFonts w:eastAsia="Palatino Linotype" w:cs="Palatino Linotype"/>
          <w:i/>
          <w:szCs w:val="24"/>
          <w:lang w:val="es-ES"/>
        </w:rPr>
        <w:t>Arrendamientos, Adquisiciones de inmuebles y Enajenaciones»</w:t>
      </w:r>
      <w:r w:rsidRPr="00F46DD9">
        <w:rPr>
          <w:rFonts w:eastAsia="Palatino Linotype" w:cs="Palatino Linotype"/>
          <w:szCs w:val="24"/>
          <w:lang w:val="es-ES"/>
        </w:rPr>
        <w:t xml:space="preserve">, cuyas atribuciones respectivas, consisten principalmente en  dictaminar sobre la procedencia de los casos de </w:t>
      </w:r>
      <w:r w:rsidRPr="00F46DD9">
        <w:rPr>
          <w:rFonts w:eastAsia="Palatino Linotype" w:cs="Palatino Linotype"/>
          <w:szCs w:val="24"/>
          <w:lang w:val="es-ES"/>
        </w:rPr>
        <w:lastRenderedPageBreak/>
        <w:t>excepción al procedimiento de licitación pública; participar en los procedimientos de licitación, invitación restringida y adjudicación directa, hasta dejarlos en estado de dictar el fallo correspondiente; emitir los dictámenes de adjudicación correspondientes.</w:t>
      </w:r>
    </w:p>
    <w:p w14:paraId="47047A70" w14:textId="77777777" w:rsidR="001C2BC4" w:rsidRPr="00F46DD9" w:rsidRDefault="001C2BC4" w:rsidP="001C2BC4"/>
    <w:p w14:paraId="11D9E35F" w14:textId="77777777" w:rsidR="001C2BC4" w:rsidRPr="00F46DD9" w:rsidRDefault="001C2BC4" w:rsidP="001C2BC4">
      <w:pPr>
        <w:rPr>
          <w:rFonts w:eastAsia="Palatino Linotype" w:cs="Palatino Linotype"/>
          <w:szCs w:val="24"/>
          <w:lang w:val="es-MX"/>
        </w:rPr>
      </w:pPr>
      <w:r w:rsidRPr="00F46DD9">
        <w:rPr>
          <w:rFonts w:eastAsia="Palatino Linotype" w:cs="Palatino Linotype"/>
          <w:szCs w:val="24"/>
          <w:lang w:val="es-MX"/>
        </w:rPr>
        <w:t>En el mismo sentido, se debe recordar que el artículo 92 de la Ley de Transparencia estatal enuncia las denominadas obligaciones de transparencia comunes a todos los sujetos obligados y, en específico en su fracción XXIX inciso b), se establece lo siguiente:</w:t>
      </w:r>
    </w:p>
    <w:p w14:paraId="6EF46E54" w14:textId="77777777" w:rsidR="001C2BC4" w:rsidRPr="00F46DD9" w:rsidRDefault="001C2BC4" w:rsidP="001C2BC4">
      <w:pPr>
        <w:rPr>
          <w:rFonts w:eastAsia="Palatino Linotype" w:cs="Palatino Linotype"/>
          <w:szCs w:val="24"/>
          <w:lang w:val="es-MX"/>
        </w:rPr>
      </w:pPr>
    </w:p>
    <w:p w14:paraId="32397CE9" w14:textId="77777777" w:rsidR="001C2BC4" w:rsidRPr="00F46DD9" w:rsidRDefault="001C2BC4" w:rsidP="001C2BC4">
      <w:pPr>
        <w:pStyle w:val="Fundamentos"/>
        <w:rPr>
          <w:lang w:val="es-MX"/>
        </w:rPr>
      </w:pPr>
      <w:r w:rsidRPr="00F46DD9">
        <w:rPr>
          <w:b/>
          <w:lang w:val="es-MX"/>
        </w:rPr>
        <w:t xml:space="preserve">Artículo 92. </w:t>
      </w:r>
      <w:r w:rsidRPr="00F46DD9">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79BBCD" w14:textId="77777777" w:rsidR="001C2BC4" w:rsidRPr="00F46DD9" w:rsidRDefault="001C2BC4" w:rsidP="001C2BC4">
      <w:pPr>
        <w:pStyle w:val="Fundamentos"/>
        <w:rPr>
          <w:lang w:val="es-MX"/>
        </w:rPr>
      </w:pPr>
      <w:r w:rsidRPr="00F46DD9">
        <w:rPr>
          <w:lang w:val="es-MX"/>
        </w:rPr>
        <w:t>[…]</w:t>
      </w:r>
    </w:p>
    <w:p w14:paraId="73269A69" w14:textId="77777777" w:rsidR="001C2BC4" w:rsidRPr="00F46DD9" w:rsidRDefault="001C2BC4" w:rsidP="001C2BC4">
      <w:pPr>
        <w:pStyle w:val="Fundamentos"/>
        <w:rPr>
          <w:lang w:val="es-MX"/>
        </w:rPr>
      </w:pPr>
      <w:r w:rsidRPr="00F46DD9">
        <w:rPr>
          <w:b/>
          <w:lang w:val="es-MX"/>
        </w:rPr>
        <w:t>XXIX.</w:t>
      </w:r>
      <w:r w:rsidRPr="00F46DD9">
        <w:rPr>
          <w:b/>
          <w:lang w:val="es-MX"/>
        </w:rPr>
        <w:tab/>
      </w:r>
      <w:r w:rsidRPr="00F46DD9">
        <w:rPr>
          <w:b/>
          <w:u w:val="single"/>
          <w:lang w:val="es-MX"/>
        </w:rPr>
        <w:t>La información sobre los procesos y resultados sobre procedimientos de adjudicación directa</w:t>
      </w:r>
      <w:r w:rsidRPr="00F46DD9">
        <w:rPr>
          <w:lang w:val="es-MX"/>
        </w:rPr>
        <w:t xml:space="preserve">, invitación restringida y licitación de cualquier naturaleza, </w:t>
      </w:r>
      <w:r w:rsidRPr="00F46DD9">
        <w:rPr>
          <w:b/>
          <w:u w:val="single"/>
          <w:lang w:val="es-MX"/>
        </w:rPr>
        <w:t>incluyendo la versión pública del expediente respectivo y de los contratos celebrados</w:t>
      </w:r>
      <w:r w:rsidRPr="00F46DD9">
        <w:rPr>
          <w:lang w:val="es-MX"/>
        </w:rPr>
        <w:t>, que deberán contener, por los menos, lo siguiente:</w:t>
      </w:r>
    </w:p>
    <w:p w14:paraId="2AFEA069" w14:textId="77777777" w:rsidR="001C2BC4" w:rsidRPr="00F46DD9" w:rsidRDefault="001C2BC4" w:rsidP="001C2BC4">
      <w:pPr>
        <w:pStyle w:val="Fundamentos"/>
        <w:rPr>
          <w:lang w:val="es-MX"/>
        </w:rPr>
      </w:pPr>
    </w:p>
    <w:p w14:paraId="055CB623" w14:textId="77777777" w:rsidR="001C2BC4" w:rsidRPr="00F46DD9" w:rsidRDefault="001C2BC4" w:rsidP="001C2BC4">
      <w:pPr>
        <w:pStyle w:val="Fundamentos"/>
        <w:ind w:left="851"/>
        <w:rPr>
          <w:lang w:val="es-MX"/>
        </w:rPr>
      </w:pPr>
      <w:r w:rsidRPr="00F46DD9">
        <w:rPr>
          <w:b/>
          <w:lang w:val="es-MX"/>
        </w:rPr>
        <w:t>a)</w:t>
      </w:r>
      <w:r w:rsidRPr="00F46DD9">
        <w:rPr>
          <w:lang w:val="es-MX"/>
        </w:rPr>
        <w:tab/>
        <w:t>De licitaciones públicas o procedimientos de invitación restringida:</w:t>
      </w:r>
    </w:p>
    <w:p w14:paraId="50C415F6" w14:textId="77777777" w:rsidR="001C2BC4" w:rsidRPr="00F46DD9" w:rsidRDefault="001C2BC4" w:rsidP="001C2BC4">
      <w:pPr>
        <w:pStyle w:val="Fundamentos"/>
        <w:ind w:left="851"/>
        <w:rPr>
          <w:lang w:val="es-MX"/>
        </w:rPr>
      </w:pPr>
    </w:p>
    <w:p w14:paraId="0D8B4F85" w14:textId="77777777" w:rsidR="001C2BC4" w:rsidRPr="00F46DD9" w:rsidRDefault="001C2BC4" w:rsidP="001C2BC4">
      <w:pPr>
        <w:pStyle w:val="Fundamentos"/>
        <w:ind w:left="1276"/>
        <w:rPr>
          <w:lang w:val="es-MX"/>
        </w:rPr>
      </w:pPr>
      <w:r w:rsidRPr="00F46DD9">
        <w:rPr>
          <w:lang w:val="es-MX"/>
        </w:rPr>
        <w:t>1)</w:t>
      </w:r>
      <w:r w:rsidRPr="00F46DD9">
        <w:rPr>
          <w:lang w:val="es-MX"/>
        </w:rPr>
        <w:tab/>
        <w:t>La convocatoria o invitación emitida, así como los fundamentos legales aplicados para llevarla a cabo;</w:t>
      </w:r>
    </w:p>
    <w:p w14:paraId="347649EE" w14:textId="77777777" w:rsidR="001C2BC4" w:rsidRPr="00F46DD9" w:rsidRDefault="001C2BC4" w:rsidP="001C2BC4">
      <w:pPr>
        <w:pStyle w:val="Fundamentos"/>
        <w:ind w:left="1276"/>
        <w:rPr>
          <w:lang w:val="es-MX"/>
        </w:rPr>
      </w:pPr>
      <w:r w:rsidRPr="00F46DD9">
        <w:rPr>
          <w:lang w:val="es-MX"/>
        </w:rPr>
        <w:t>2)</w:t>
      </w:r>
      <w:r w:rsidRPr="00F46DD9">
        <w:rPr>
          <w:lang w:val="es-MX"/>
        </w:rPr>
        <w:tab/>
        <w:t>Los nombres de los participantes o invitados;</w:t>
      </w:r>
    </w:p>
    <w:p w14:paraId="38FEF42C" w14:textId="77777777" w:rsidR="001C2BC4" w:rsidRPr="00F46DD9" w:rsidRDefault="001C2BC4" w:rsidP="001C2BC4">
      <w:pPr>
        <w:pStyle w:val="Fundamentos"/>
        <w:ind w:left="1276"/>
        <w:rPr>
          <w:lang w:val="es-MX"/>
        </w:rPr>
      </w:pPr>
      <w:r w:rsidRPr="00F46DD9">
        <w:rPr>
          <w:lang w:val="es-MX"/>
        </w:rPr>
        <w:t>3)</w:t>
      </w:r>
      <w:r w:rsidRPr="00F46DD9">
        <w:rPr>
          <w:lang w:val="es-MX"/>
        </w:rPr>
        <w:tab/>
        <w:t>El nombre del ganador y las razones que lo justifican;</w:t>
      </w:r>
    </w:p>
    <w:p w14:paraId="27EA051E" w14:textId="77777777" w:rsidR="001C2BC4" w:rsidRPr="00F46DD9" w:rsidRDefault="001C2BC4" w:rsidP="001C2BC4">
      <w:pPr>
        <w:pStyle w:val="Fundamentos"/>
        <w:ind w:left="1276"/>
        <w:rPr>
          <w:lang w:val="es-MX"/>
        </w:rPr>
      </w:pPr>
      <w:r w:rsidRPr="00F46DD9">
        <w:rPr>
          <w:lang w:val="es-MX"/>
        </w:rPr>
        <w:t>4)</w:t>
      </w:r>
      <w:r w:rsidRPr="00F46DD9">
        <w:rPr>
          <w:lang w:val="es-MX"/>
        </w:rPr>
        <w:tab/>
        <w:t>El área solicitante y la responsable de su ejecución;</w:t>
      </w:r>
    </w:p>
    <w:p w14:paraId="57D30E2A" w14:textId="77777777" w:rsidR="001C2BC4" w:rsidRPr="00F46DD9" w:rsidRDefault="001C2BC4" w:rsidP="001C2BC4">
      <w:pPr>
        <w:pStyle w:val="Fundamentos"/>
        <w:ind w:left="1276"/>
        <w:rPr>
          <w:lang w:val="es-MX"/>
        </w:rPr>
      </w:pPr>
      <w:r w:rsidRPr="00F46DD9">
        <w:rPr>
          <w:lang w:val="es-MX"/>
        </w:rPr>
        <w:t>5)</w:t>
      </w:r>
      <w:r w:rsidRPr="00F46DD9">
        <w:rPr>
          <w:lang w:val="es-MX"/>
        </w:rPr>
        <w:tab/>
        <w:t>Las convocatorias e invitaciones emitidas;</w:t>
      </w:r>
    </w:p>
    <w:p w14:paraId="56D338EC" w14:textId="77777777" w:rsidR="001C2BC4" w:rsidRPr="00F46DD9" w:rsidRDefault="001C2BC4" w:rsidP="001C2BC4">
      <w:pPr>
        <w:pStyle w:val="Fundamentos"/>
        <w:ind w:left="1276"/>
        <w:rPr>
          <w:lang w:val="es-MX"/>
        </w:rPr>
      </w:pPr>
      <w:r w:rsidRPr="00F46DD9">
        <w:rPr>
          <w:lang w:val="es-MX"/>
        </w:rPr>
        <w:t>6)</w:t>
      </w:r>
      <w:r w:rsidRPr="00F46DD9">
        <w:rPr>
          <w:lang w:val="es-MX"/>
        </w:rPr>
        <w:tab/>
        <w:t>Los dictámenes y fallo de adjudicación;</w:t>
      </w:r>
    </w:p>
    <w:p w14:paraId="003BA382" w14:textId="77777777" w:rsidR="001C2BC4" w:rsidRPr="00F46DD9" w:rsidRDefault="001C2BC4" w:rsidP="001C2BC4">
      <w:pPr>
        <w:pStyle w:val="Fundamentos"/>
        <w:ind w:left="1276"/>
        <w:rPr>
          <w:lang w:val="es-MX"/>
        </w:rPr>
      </w:pPr>
      <w:r w:rsidRPr="00F46DD9">
        <w:rPr>
          <w:lang w:val="es-MX"/>
        </w:rPr>
        <w:t>7)</w:t>
      </w:r>
      <w:r w:rsidRPr="00F46DD9">
        <w:rPr>
          <w:lang w:val="es-MX"/>
        </w:rPr>
        <w:tab/>
        <w:t>El contrato y, en su caso, sus anexos;</w:t>
      </w:r>
    </w:p>
    <w:p w14:paraId="0AFC69AD" w14:textId="77777777" w:rsidR="001C2BC4" w:rsidRPr="00F46DD9" w:rsidRDefault="001C2BC4" w:rsidP="001C2BC4">
      <w:pPr>
        <w:pStyle w:val="Fundamentos"/>
        <w:ind w:left="1276"/>
        <w:rPr>
          <w:lang w:val="es-MX"/>
        </w:rPr>
      </w:pPr>
      <w:r w:rsidRPr="00F46DD9">
        <w:rPr>
          <w:lang w:val="es-MX"/>
        </w:rPr>
        <w:t>8)</w:t>
      </w:r>
      <w:r w:rsidRPr="00F46DD9">
        <w:rPr>
          <w:lang w:val="es-MX"/>
        </w:rPr>
        <w:tab/>
        <w:t>Los mecanismos de vigilancia y supervisión, incluyendo en su caso, los estudios de impacto urbano y ambiental, según corresponda;</w:t>
      </w:r>
    </w:p>
    <w:p w14:paraId="106ED536" w14:textId="77777777" w:rsidR="001C2BC4" w:rsidRPr="00F46DD9" w:rsidRDefault="001C2BC4" w:rsidP="001C2BC4">
      <w:pPr>
        <w:pStyle w:val="Fundamentos"/>
        <w:ind w:left="1276"/>
        <w:rPr>
          <w:lang w:val="es-MX"/>
        </w:rPr>
      </w:pPr>
      <w:r w:rsidRPr="00F46DD9">
        <w:rPr>
          <w:lang w:val="es-MX"/>
        </w:rPr>
        <w:t>9)</w:t>
      </w:r>
      <w:r w:rsidRPr="00F46DD9">
        <w:rPr>
          <w:lang w:val="es-MX"/>
        </w:rPr>
        <w:tab/>
        <w:t>La partida presupuestal, de conformidad con el clasificador por objeto del gasto, en el caso de ser aplicable;</w:t>
      </w:r>
    </w:p>
    <w:p w14:paraId="06F645CA" w14:textId="77777777" w:rsidR="001C2BC4" w:rsidRPr="00F46DD9" w:rsidRDefault="001C2BC4" w:rsidP="001C2BC4">
      <w:pPr>
        <w:pStyle w:val="Fundamentos"/>
        <w:ind w:left="1276"/>
        <w:rPr>
          <w:lang w:val="es-MX"/>
        </w:rPr>
      </w:pPr>
      <w:r w:rsidRPr="00F46DD9">
        <w:rPr>
          <w:lang w:val="es-MX"/>
        </w:rPr>
        <w:lastRenderedPageBreak/>
        <w:t>10)</w:t>
      </w:r>
      <w:r w:rsidRPr="00F46DD9">
        <w:rPr>
          <w:lang w:val="es-MX"/>
        </w:rPr>
        <w:tab/>
        <w:t>Origen de los recursos especificando si son federales, estatales o municipales, así como el tipo de fondo de participación o aportación respectiva;</w:t>
      </w:r>
    </w:p>
    <w:p w14:paraId="30DFFE0F" w14:textId="77777777" w:rsidR="001C2BC4" w:rsidRPr="00F46DD9" w:rsidRDefault="001C2BC4" w:rsidP="001C2BC4">
      <w:pPr>
        <w:pStyle w:val="Fundamentos"/>
        <w:ind w:left="1276"/>
        <w:rPr>
          <w:lang w:val="es-MX"/>
        </w:rPr>
      </w:pPr>
      <w:r w:rsidRPr="00F46DD9">
        <w:rPr>
          <w:lang w:val="es-MX"/>
        </w:rPr>
        <w:t>11)</w:t>
      </w:r>
      <w:r w:rsidRPr="00F46DD9">
        <w:rPr>
          <w:lang w:val="es-MX"/>
        </w:rPr>
        <w:tab/>
        <w:t>Los convenios modificatorios que, en su caso, sean firmados, precisando el objeto y la fecha de celebración;</w:t>
      </w:r>
    </w:p>
    <w:p w14:paraId="1C2252F7" w14:textId="77777777" w:rsidR="001C2BC4" w:rsidRPr="00F46DD9" w:rsidRDefault="001C2BC4" w:rsidP="001C2BC4">
      <w:pPr>
        <w:pStyle w:val="Fundamentos"/>
        <w:ind w:left="1276"/>
        <w:rPr>
          <w:lang w:val="es-MX"/>
        </w:rPr>
      </w:pPr>
      <w:r w:rsidRPr="00F46DD9">
        <w:rPr>
          <w:lang w:val="es-MX"/>
        </w:rPr>
        <w:t>12)</w:t>
      </w:r>
      <w:r w:rsidRPr="00F46DD9">
        <w:rPr>
          <w:lang w:val="es-MX"/>
        </w:rPr>
        <w:tab/>
        <w:t>Los informes de avance físico y financiero sobre las obras o servicios contratados;</w:t>
      </w:r>
    </w:p>
    <w:p w14:paraId="6BD590D4" w14:textId="77777777" w:rsidR="001C2BC4" w:rsidRPr="00F46DD9" w:rsidRDefault="001C2BC4" w:rsidP="001C2BC4">
      <w:pPr>
        <w:pStyle w:val="Fundamentos"/>
        <w:ind w:left="1276"/>
        <w:rPr>
          <w:lang w:val="es-MX"/>
        </w:rPr>
      </w:pPr>
      <w:r w:rsidRPr="00F46DD9">
        <w:rPr>
          <w:lang w:val="es-MX"/>
        </w:rPr>
        <w:t>13)</w:t>
      </w:r>
      <w:r w:rsidRPr="00F46DD9">
        <w:rPr>
          <w:lang w:val="es-MX"/>
        </w:rPr>
        <w:tab/>
        <w:t>El convenio de terminación; y</w:t>
      </w:r>
    </w:p>
    <w:p w14:paraId="7B21F4F5" w14:textId="77777777" w:rsidR="001C2BC4" w:rsidRPr="00F46DD9" w:rsidRDefault="001C2BC4" w:rsidP="001C2BC4">
      <w:pPr>
        <w:pStyle w:val="Fundamentos"/>
        <w:ind w:left="1276"/>
        <w:rPr>
          <w:lang w:val="es-MX"/>
        </w:rPr>
      </w:pPr>
      <w:r w:rsidRPr="00F46DD9">
        <w:rPr>
          <w:lang w:val="es-MX"/>
        </w:rPr>
        <w:t>14)</w:t>
      </w:r>
      <w:r w:rsidRPr="00F46DD9">
        <w:rPr>
          <w:lang w:val="es-MX"/>
        </w:rPr>
        <w:tab/>
        <w:t>El finiquito.</w:t>
      </w:r>
    </w:p>
    <w:p w14:paraId="60BF5EA7" w14:textId="77777777" w:rsidR="001C2BC4" w:rsidRPr="00F46DD9" w:rsidRDefault="001C2BC4" w:rsidP="001C2BC4">
      <w:pPr>
        <w:pStyle w:val="Fundamentos"/>
        <w:ind w:left="851"/>
        <w:rPr>
          <w:lang w:val="es-MX"/>
        </w:rPr>
      </w:pPr>
    </w:p>
    <w:p w14:paraId="289F0C0E" w14:textId="77777777" w:rsidR="001C2BC4" w:rsidRPr="00F46DD9" w:rsidRDefault="001C2BC4" w:rsidP="001C2BC4">
      <w:pPr>
        <w:pStyle w:val="Fundamentos"/>
        <w:ind w:left="851"/>
        <w:rPr>
          <w:lang w:val="es-MX"/>
        </w:rPr>
      </w:pPr>
      <w:r w:rsidRPr="00F46DD9">
        <w:rPr>
          <w:b/>
          <w:lang w:val="es-MX"/>
        </w:rPr>
        <w:t>b)</w:t>
      </w:r>
      <w:r w:rsidRPr="00F46DD9">
        <w:rPr>
          <w:lang w:val="es-MX"/>
        </w:rPr>
        <w:tab/>
        <w:t>De las adjudicaciones directas:</w:t>
      </w:r>
    </w:p>
    <w:p w14:paraId="789E3153" w14:textId="77777777" w:rsidR="001C2BC4" w:rsidRPr="00F46DD9" w:rsidRDefault="001C2BC4" w:rsidP="001C2BC4">
      <w:pPr>
        <w:pStyle w:val="Fundamentos"/>
        <w:ind w:left="851"/>
        <w:rPr>
          <w:lang w:val="es-MX"/>
        </w:rPr>
      </w:pPr>
    </w:p>
    <w:p w14:paraId="67D73EDA" w14:textId="77777777" w:rsidR="001C2BC4" w:rsidRPr="00F46DD9" w:rsidRDefault="001C2BC4" w:rsidP="001C2BC4">
      <w:pPr>
        <w:pStyle w:val="Fundamentos"/>
        <w:ind w:left="1276"/>
        <w:rPr>
          <w:lang w:val="es-MX"/>
        </w:rPr>
      </w:pPr>
      <w:r w:rsidRPr="00F46DD9">
        <w:rPr>
          <w:lang w:val="es-MX"/>
        </w:rPr>
        <w:t>1)</w:t>
      </w:r>
      <w:r w:rsidRPr="00F46DD9">
        <w:rPr>
          <w:lang w:val="es-MX"/>
        </w:rPr>
        <w:tab/>
        <w:t>La propuesta enviada por el participante;</w:t>
      </w:r>
    </w:p>
    <w:p w14:paraId="47931B38" w14:textId="77777777" w:rsidR="001C2BC4" w:rsidRPr="00F46DD9" w:rsidRDefault="001C2BC4" w:rsidP="001C2BC4">
      <w:pPr>
        <w:pStyle w:val="Fundamentos"/>
        <w:ind w:left="1276"/>
        <w:rPr>
          <w:lang w:val="es-MX"/>
        </w:rPr>
      </w:pPr>
      <w:r w:rsidRPr="00F46DD9">
        <w:rPr>
          <w:lang w:val="es-MX"/>
        </w:rPr>
        <w:t>2)</w:t>
      </w:r>
      <w:r w:rsidRPr="00F46DD9">
        <w:rPr>
          <w:lang w:val="es-MX"/>
        </w:rPr>
        <w:tab/>
        <w:t>Los motivos y fundamentos legales aplicados para llevarla a cabo;</w:t>
      </w:r>
    </w:p>
    <w:p w14:paraId="71880E01" w14:textId="77777777" w:rsidR="001C2BC4" w:rsidRPr="00F46DD9" w:rsidRDefault="001C2BC4" w:rsidP="001C2BC4">
      <w:pPr>
        <w:pStyle w:val="Fundamentos"/>
        <w:ind w:left="1276"/>
        <w:rPr>
          <w:lang w:val="es-MX"/>
        </w:rPr>
      </w:pPr>
      <w:r w:rsidRPr="00F46DD9">
        <w:rPr>
          <w:lang w:val="es-MX"/>
        </w:rPr>
        <w:t>3)</w:t>
      </w:r>
      <w:r w:rsidRPr="00F46DD9">
        <w:rPr>
          <w:lang w:val="es-MX"/>
        </w:rPr>
        <w:tab/>
        <w:t>La autorización del ejercicio de la opción;</w:t>
      </w:r>
    </w:p>
    <w:p w14:paraId="0B8E3454" w14:textId="77777777" w:rsidR="001C2BC4" w:rsidRPr="00F46DD9" w:rsidRDefault="001C2BC4" w:rsidP="001C2BC4">
      <w:pPr>
        <w:pStyle w:val="Fundamentos"/>
        <w:ind w:left="1276"/>
        <w:rPr>
          <w:lang w:val="es-MX"/>
        </w:rPr>
      </w:pPr>
      <w:r w:rsidRPr="00F46DD9">
        <w:rPr>
          <w:lang w:val="es-MX"/>
        </w:rPr>
        <w:t>4)</w:t>
      </w:r>
      <w:r w:rsidRPr="00F46DD9">
        <w:rPr>
          <w:lang w:val="es-MX"/>
        </w:rPr>
        <w:tab/>
        <w:t>En su caso, las cotizaciones consideradas, especificando los nombres de los proveedores y sus montos;</w:t>
      </w:r>
    </w:p>
    <w:p w14:paraId="697A26A5" w14:textId="77777777" w:rsidR="001C2BC4" w:rsidRPr="00F46DD9" w:rsidRDefault="001C2BC4" w:rsidP="001C2BC4">
      <w:pPr>
        <w:pStyle w:val="Fundamentos"/>
        <w:ind w:left="1276"/>
        <w:rPr>
          <w:lang w:val="es-MX"/>
        </w:rPr>
      </w:pPr>
      <w:r w:rsidRPr="00F46DD9">
        <w:rPr>
          <w:lang w:val="es-MX"/>
        </w:rPr>
        <w:t>5)</w:t>
      </w:r>
      <w:r w:rsidRPr="00F46DD9">
        <w:rPr>
          <w:lang w:val="es-MX"/>
        </w:rPr>
        <w:tab/>
        <w:t>El nombre de la persona física o jurídica colectiva adjudicada;</w:t>
      </w:r>
    </w:p>
    <w:p w14:paraId="0E29879F" w14:textId="77777777" w:rsidR="001C2BC4" w:rsidRPr="00F46DD9" w:rsidRDefault="001C2BC4" w:rsidP="001C2BC4">
      <w:pPr>
        <w:pStyle w:val="Fundamentos"/>
        <w:ind w:left="1276"/>
        <w:rPr>
          <w:lang w:val="es-MX"/>
        </w:rPr>
      </w:pPr>
      <w:r w:rsidRPr="00F46DD9">
        <w:rPr>
          <w:lang w:val="es-MX"/>
        </w:rPr>
        <w:t>6)</w:t>
      </w:r>
      <w:r w:rsidRPr="00F46DD9">
        <w:rPr>
          <w:lang w:val="es-MX"/>
        </w:rPr>
        <w:tab/>
        <w:t>La unidad administrativa solicitante y la responsable de su ejecución;</w:t>
      </w:r>
    </w:p>
    <w:p w14:paraId="6A44A604" w14:textId="77777777" w:rsidR="001C2BC4" w:rsidRPr="00F46DD9" w:rsidRDefault="001C2BC4" w:rsidP="001C2BC4">
      <w:pPr>
        <w:pStyle w:val="Fundamentos"/>
        <w:ind w:left="1276"/>
        <w:rPr>
          <w:lang w:val="es-MX"/>
        </w:rPr>
      </w:pPr>
      <w:r w:rsidRPr="00F46DD9">
        <w:rPr>
          <w:lang w:val="es-MX"/>
        </w:rPr>
        <w:t>7)</w:t>
      </w:r>
      <w:r w:rsidRPr="00F46DD9">
        <w:rPr>
          <w:lang w:val="es-MX"/>
        </w:rPr>
        <w:tab/>
        <w:t>El número, fecha, el monto del contrato y el plazo de entrega o de ejecución de los servicios u obra;</w:t>
      </w:r>
    </w:p>
    <w:p w14:paraId="66A1DDB0" w14:textId="77777777" w:rsidR="001C2BC4" w:rsidRPr="00F46DD9" w:rsidRDefault="001C2BC4" w:rsidP="001C2BC4">
      <w:pPr>
        <w:pStyle w:val="Fundamentos"/>
        <w:ind w:left="1276"/>
        <w:rPr>
          <w:lang w:val="es-MX"/>
        </w:rPr>
      </w:pPr>
      <w:r w:rsidRPr="00F46DD9">
        <w:rPr>
          <w:lang w:val="es-MX"/>
        </w:rPr>
        <w:t>8)</w:t>
      </w:r>
      <w:r w:rsidRPr="00F46DD9">
        <w:rPr>
          <w:lang w:val="es-MX"/>
        </w:rPr>
        <w:tab/>
        <w:t>Los mecanismos de vigilancia y supervisión, incluyendo, en su caso, los estudios de impacto urbano y ambiental, según corresponda;</w:t>
      </w:r>
    </w:p>
    <w:p w14:paraId="6AC29AE7" w14:textId="77777777" w:rsidR="001C2BC4" w:rsidRPr="00F46DD9" w:rsidRDefault="001C2BC4" w:rsidP="001C2BC4">
      <w:pPr>
        <w:pStyle w:val="Fundamentos"/>
        <w:ind w:left="1276"/>
        <w:rPr>
          <w:lang w:val="es-MX"/>
        </w:rPr>
      </w:pPr>
      <w:r w:rsidRPr="00F46DD9">
        <w:rPr>
          <w:lang w:val="es-MX"/>
        </w:rPr>
        <w:t>9)</w:t>
      </w:r>
      <w:r w:rsidRPr="00F46DD9">
        <w:rPr>
          <w:lang w:val="es-MX"/>
        </w:rPr>
        <w:tab/>
        <w:t>Los informes de avance sobre las obras o servicios contratados;</w:t>
      </w:r>
    </w:p>
    <w:p w14:paraId="46BD7452" w14:textId="77777777" w:rsidR="001C2BC4" w:rsidRPr="00F46DD9" w:rsidRDefault="001C2BC4" w:rsidP="001C2BC4">
      <w:pPr>
        <w:pStyle w:val="Fundamentos"/>
        <w:ind w:left="1276"/>
        <w:rPr>
          <w:lang w:val="es-MX"/>
        </w:rPr>
      </w:pPr>
      <w:r w:rsidRPr="00F46DD9">
        <w:rPr>
          <w:lang w:val="es-MX"/>
        </w:rPr>
        <w:t>10)</w:t>
      </w:r>
      <w:r w:rsidRPr="00F46DD9">
        <w:rPr>
          <w:lang w:val="es-MX"/>
        </w:rPr>
        <w:tab/>
        <w:t>El convenio de terminación; y</w:t>
      </w:r>
    </w:p>
    <w:p w14:paraId="6D2456E9" w14:textId="77777777" w:rsidR="001C2BC4" w:rsidRPr="00F46DD9" w:rsidRDefault="001C2BC4" w:rsidP="001C2BC4">
      <w:pPr>
        <w:pStyle w:val="Fundamentos"/>
        <w:ind w:left="1276"/>
        <w:rPr>
          <w:lang w:val="es-MX"/>
        </w:rPr>
      </w:pPr>
      <w:r w:rsidRPr="00F46DD9">
        <w:rPr>
          <w:lang w:val="es-MX"/>
        </w:rPr>
        <w:t>11)</w:t>
      </w:r>
      <w:r w:rsidRPr="00F46DD9">
        <w:rPr>
          <w:lang w:val="es-MX"/>
        </w:rPr>
        <w:tab/>
        <w:t>El finiquito.</w:t>
      </w:r>
    </w:p>
    <w:p w14:paraId="262722C8" w14:textId="77777777" w:rsidR="001C2BC4" w:rsidRPr="00F46DD9" w:rsidRDefault="001C2BC4" w:rsidP="001C2BC4">
      <w:pPr>
        <w:pStyle w:val="Fundamentos"/>
        <w:rPr>
          <w:lang w:val="es-MX"/>
        </w:rPr>
      </w:pPr>
      <w:r w:rsidRPr="00F46DD9">
        <w:rPr>
          <w:lang w:val="es-MX"/>
        </w:rPr>
        <w:t>[…]</w:t>
      </w:r>
    </w:p>
    <w:p w14:paraId="466E08FB" w14:textId="77777777" w:rsidR="001C2BC4" w:rsidRPr="00F46DD9" w:rsidRDefault="001C2BC4" w:rsidP="001C2BC4">
      <w:pPr>
        <w:rPr>
          <w:rFonts w:eastAsia="Palatino Linotype" w:cs="Palatino Linotype"/>
          <w:szCs w:val="24"/>
          <w:lang w:val="es-MX"/>
        </w:rPr>
      </w:pPr>
    </w:p>
    <w:p w14:paraId="065B531D" w14:textId="1C8F7AEE" w:rsidR="001C2BC4" w:rsidRPr="00F46DD9" w:rsidRDefault="001C2BC4" w:rsidP="001C2BC4">
      <w:pPr>
        <w:rPr>
          <w:rFonts w:eastAsia="Palatino Linotype" w:cs="Palatino Linotype"/>
          <w:lang w:val="es-MX"/>
        </w:rPr>
      </w:pPr>
      <w:r w:rsidRPr="00F46DD9">
        <w:rPr>
          <w:rFonts w:eastAsia="Palatino Linotype" w:cs="Palatino Linotype"/>
          <w:lang w:val="es-MX"/>
        </w:rPr>
        <w:t xml:space="preserve">Por ende, se estima que el Sujeto Obligado se encuentra constreñido a generar, poseer o administrar la información derivada del </w:t>
      </w:r>
      <w:r w:rsidR="00B454B9" w:rsidRPr="00F46DD9">
        <w:rPr>
          <w:rFonts w:eastAsia="Palatino Linotype" w:cs="Palatino Linotype"/>
          <w:lang w:val="es-MX"/>
        </w:rPr>
        <w:t>gasto realizaod durante los eventos del Día de Reyes 2025, que puede</w:t>
      </w:r>
      <w:r w:rsidR="002A5F70" w:rsidRPr="00F46DD9">
        <w:rPr>
          <w:rFonts w:eastAsia="Palatino Linotype" w:cs="Palatino Linotype"/>
          <w:lang w:val="es-MX"/>
        </w:rPr>
        <w:t xml:space="preserve"> constar, de manera enunciativa más no limitativa, en </w:t>
      </w:r>
      <w:r w:rsidRPr="00F46DD9">
        <w:rPr>
          <w:rFonts w:eastAsia="Palatino Linotype" w:cs="Palatino Linotype"/>
          <w:lang w:val="es-MX"/>
        </w:rPr>
        <w:t xml:space="preserve">las facturas, pólizas contables o documentos que den cuenta de las erogaciones </w:t>
      </w:r>
      <w:r w:rsidR="00100820" w:rsidRPr="00F46DD9">
        <w:rPr>
          <w:rFonts w:eastAsia="Palatino Linotype" w:cs="Palatino Linotype"/>
          <w:lang w:val="es-MX"/>
        </w:rPr>
        <w:t xml:space="preserve">correspondientes con las </w:t>
      </w:r>
      <w:r w:rsidR="00DA0AEE" w:rsidRPr="00F46DD9">
        <w:rPr>
          <w:rFonts w:eastAsia="Palatino Linotype" w:cs="Palatino Linotype"/>
          <w:lang w:val="es-MX"/>
        </w:rPr>
        <w:t xml:space="preserve">adquisiciones de bienes o servicios </w:t>
      </w:r>
      <w:r w:rsidR="00100820" w:rsidRPr="00F46DD9">
        <w:rPr>
          <w:rFonts w:eastAsia="Palatino Linotype" w:cs="Palatino Linotype"/>
          <w:lang w:val="es-MX"/>
        </w:rPr>
        <w:t>relacionadas con el evento referido en la solicitud de información.</w:t>
      </w:r>
    </w:p>
    <w:p w14:paraId="61D10EA0" w14:textId="78902F69" w:rsidR="00146CFA" w:rsidRPr="00F46DD9" w:rsidRDefault="00146CFA" w:rsidP="00146CFA">
      <w:pPr>
        <w:contextualSpacing/>
        <w:rPr>
          <w:rFonts w:eastAsia="Palatino Linotype" w:cs="Palatino Linotype"/>
          <w:szCs w:val="24"/>
          <w:lang w:val="es-MX"/>
        </w:rPr>
      </w:pPr>
    </w:p>
    <w:p w14:paraId="5D528726" w14:textId="6E150E90" w:rsidR="00DA6C05" w:rsidRPr="00F46DD9" w:rsidRDefault="00DA6C05" w:rsidP="00DA6C05">
      <w:pPr>
        <w:rPr>
          <w:rFonts w:eastAsia="Palatino Linotype" w:cs="Palatino Linotype"/>
          <w:lang w:val="es-ES"/>
        </w:rPr>
      </w:pPr>
      <w:r w:rsidRPr="00F46DD9">
        <w:rPr>
          <w:rFonts w:eastAsia="Palatino Linotype" w:cs="Palatino Linotype"/>
          <w:lang w:val="es-ES"/>
        </w:rPr>
        <w:lastRenderedPageBreak/>
        <w:t>Por lo argumentado en párrafos anteriores, este Instituto estima que los motivos de inconformidad planteados por el Recurrente devienen fundados, por lo que es procedente revocar la respuesta y ordenar al Sujeto Obligado a que</w:t>
      </w:r>
      <w:r w:rsidR="0091020B" w:rsidRPr="00F46DD9">
        <w:rPr>
          <w:rFonts w:eastAsia="Palatino Linotype" w:cs="Palatino Linotype"/>
          <w:lang w:val="es-ES"/>
        </w:rPr>
        <w:t xml:space="preserve"> haga entrega del o de los documentos en donde conste </w:t>
      </w:r>
      <w:r w:rsidR="00891A00" w:rsidRPr="00F46DD9">
        <w:rPr>
          <w:rFonts w:eastAsia="Palatino Linotype" w:cs="Palatino Linotype"/>
          <w:lang w:val="es-ES"/>
        </w:rPr>
        <w:t xml:space="preserve">el gasto realizado durante los eventos de Día de </w:t>
      </w:r>
      <w:r w:rsidR="007A27CB" w:rsidRPr="00F46DD9">
        <w:rPr>
          <w:rFonts w:eastAsia="Palatino Linotype" w:cs="Palatino Linotype"/>
          <w:lang w:val="es-ES"/>
        </w:rPr>
        <w:t>Reyes</w:t>
      </w:r>
      <w:r w:rsidRPr="00F46DD9">
        <w:rPr>
          <w:rFonts w:eastAsia="Palatino Linotype" w:cs="Palatino Linotype"/>
          <w:lang w:val="es-ES"/>
        </w:rPr>
        <w:t xml:space="preserve">, lo anterior en versión pública de ser procedente. </w:t>
      </w:r>
    </w:p>
    <w:p w14:paraId="4217930C" w14:textId="77777777" w:rsidR="00DA6C05" w:rsidRPr="00F46DD9" w:rsidRDefault="00DA6C05" w:rsidP="00DA6C05"/>
    <w:p w14:paraId="1D710FD3" w14:textId="77777777" w:rsidR="00DA6C05" w:rsidRPr="00F46DD9" w:rsidRDefault="00DA6C05" w:rsidP="00DA6C05">
      <w:pPr>
        <w:pStyle w:val="Ttulo3"/>
        <w:rPr>
          <w:rFonts w:eastAsia="Palatino Linotype"/>
        </w:rPr>
      </w:pPr>
      <w:r w:rsidRPr="00F46DD9">
        <w:rPr>
          <w:rFonts w:eastAsia="Palatino Linotype"/>
        </w:rPr>
        <w:t>DE LA VERSIÓN PÚBLICA</w:t>
      </w:r>
    </w:p>
    <w:p w14:paraId="1578CAAD" w14:textId="77777777" w:rsidR="00DA6C05" w:rsidRPr="00F46DD9" w:rsidRDefault="00DA6C05" w:rsidP="00DA6C05">
      <w:pPr>
        <w:rPr>
          <w:rFonts w:eastAsia="Palatino Linotype" w:cs="Palatino Linotype"/>
          <w:szCs w:val="24"/>
        </w:rPr>
      </w:pPr>
      <w:r w:rsidRPr="00F46DD9">
        <w:rPr>
          <w:rFonts w:eastAsia="Palatino Linotype" w:cs="Palatino Linotype"/>
          <w:szCs w:val="24"/>
        </w:rPr>
        <w:t>En la elaboración de la versión pública se deberá considera lo dispuesto en los artículos 3 fracciones IX, XX, XXI y XLV, 91, 132 fracciones II y III y 143 de la Ley de Transparencia y Acceso a la Información Pública del Estado de México y Municipios que establecen lo siguiente:</w:t>
      </w:r>
    </w:p>
    <w:p w14:paraId="56040B17" w14:textId="77777777" w:rsidR="00DA6C05" w:rsidRPr="00F46DD9" w:rsidRDefault="00DA6C05" w:rsidP="00DA6C05">
      <w:pPr>
        <w:rPr>
          <w:rFonts w:eastAsia="Palatino Linotype" w:cs="Palatino Linotype"/>
          <w:szCs w:val="24"/>
        </w:rPr>
      </w:pPr>
    </w:p>
    <w:p w14:paraId="742A4CB1"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Artículo 3.</w:t>
      </w:r>
      <w:r w:rsidRPr="00F46DD9">
        <w:rPr>
          <w:rFonts w:eastAsia="Palatino Linotype" w:cs="Palatino Linotype"/>
          <w:i/>
          <w:color w:val="000000"/>
          <w:sz w:val="22"/>
          <w:szCs w:val="24"/>
        </w:rPr>
        <w:t xml:space="preserve"> Para los efectos de la presente Ley se entenderá por:</w:t>
      </w:r>
    </w:p>
    <w:p w14:paraId="15CD0C41"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i/>
          <w:color w:val="000000"/>
          <w:sz w:val="22"/>
          <w:szCs w:val="24"/>
        </w:rPr>
        <w:t>[…]</w:t>
      </w:r>
    </w:p>
    <w:p w14:paraId="765BC6F1"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IX. Datos personales:</w:t>
      </w:r>
      <w:r w:rsidRPr="00F46DD9">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9EC07A2"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XX.</w:t>
      </w:r>
      <w:r w:rsidRPr="00F46DD9">
        <w:rPr>
          <w:rFonts w:eastAsia="Palatino Linotype" w:cs="Palatino Linotype"/>
          <w:i/>
          <w:color w:val="000000"/>
          <w:sz w:val="22"/>
          <w:szCs w:val="24"/>
        </w:rPr>
        <w:t xml:space="preserve"> </w:t>
      </w:r>
      <w:r w:rsidRPr="00F46DD9">
        <w:rPr>
          <w:rFonts w:eastAsia="Palatino Linotype" w:cs="Palatino Linotype"/>
          <w:b/>
          <w:i/>
          <w:color w:val="000000"/>
          <w:sz w:val="22"/>
          <w:szCs w:val="24"/>
        </w:rPr>
        <w:t>Información clasificada:</w:t>
      </w:r>
      <w:r w:rsidRPr="00F46DD9">
        <w:rPr>
          <w:rFonts w:eastAsia="Palatino Linotype" w:cs="Palatino Linotype"/>
          <w:i/>
          <w:color w:val="000000"/>
          <w:sz w:val="22"/>
          <w:szCs w:val="24"/>
        </w:rPr>
        <w:t xml:space="preserve"> Aquella considerada por la presente Ley como reservada o confidencial;</w:t>
      </w:r>
    </w:p>
    <w:p w14:paraId="2EEDA3E6"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XXI.</w:t>
      </w:r>
      <w:r w:rsidRPr="00F46DD9">
        <w:rPr>
          <w:rFonts w:eastAsia="Palatino Linotype" w:cs="Palatino Linotype"/>
          <w:i/>
          <w:color w:val="000000"/>
          <w:sz w:val="22"/>
          <w:szCs w:val="24"/>
        </w:rPr>
        <w:t xml:space="preserve"> </w:t>
      </w:r>
      <w:r w:rsidRPr="00F46DD9">
        <w:rPr>
          <w:rFonts w:eastAsia="Palatino Linotype" w:cs="Palatino Linotype"/>
          <w:b/>
          <w:i/>
          <w:color w:val="000000"/>
          <w:sz w:val="22"/>
          <w:szCs w:val="24"/>
        </w:rPr>
        <w:t>Información confidencial:</w:t>
      </w:r>
      <w:r w:rsidRPr="00F46DD9">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B5846C"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w:t>
      </w:r>
    </w:p>
    <w:p w14:paraId="67A60337"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XLV.</w:t>
      </w:r>
      <w:r w:rsidRPr="00F46DD9">
        <w:rPr>
          <w:rFonts w:eastAsia="Palatino Linotype" w:cs="Palatino Linotype"/>
          <w:i/>
          <w:color w:val="000000"/>
          <w:sz w:val="22"/>
          <w:szCs w:val="24"/>
        </w:rPr>
        <w:t xml:space="preserve"> </w:t>
      </w:r>
      <w:r w:rsidRPr="00F46DD9">
        <w:rPr>
          <w:rFonts w:eastAsia="Palatino Linotype" w:cs="Palatino Linotype"/>
          <w:b/>
          <w:i/>
          <w:color w:val="000000"/>
          <w:sz w:val="22"/>
          <w:szCs w:val="24"/>
        </w:rPr>
        <w:t>Versión pública:</w:t>
      </w:r>
      <w:r w:rsidRPr="00F46DD9">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6D6490B"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i/>
          <w:color w:val="000000"/>
          <w:sz w:val="22"/>
          <w:szCs w:val="24"/>
        </w:rPr>
        <w:t>[…]</w:t>
      </w:r>
    </w:p>
    <w:p w14:paraId="45BD12B2"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1831F7E"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 xml:space="preserve">Artículo 91. </w:t>
      </w:r>
      <w:r w:rsidRPr="00F46DD9">
        <w:rPr>
          <w:rFonts w:eastAsia="Palatino Linotype" w:cs="Palatino Linotype"/>
          <w:i/>
          <w:color w:val="000000"/>
          <w:sz w:val="22"/>
          <w:szCs w:val="24"/>
        </w:rPr>
        <w:t>El acceso a la información pública será restringido excepcionalmente, cuando ésta sea clasificada como reservada o confidencial.</w:t>
      </w:r>
    </w:p>
    <w:p w14:paraId="1E5BDCAC"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52D794B"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lastRenderedPageBreak/>
        <w:t>Artículo 132.</w:t>
      </w:r>
      <w:r w:rsidRPr="00F46DD9">
        <w:rPr>
          <w:rFonts w:eastAsia="Palatino Linotype" w:cs="Palatino Linotype"/>
          <w:i/>
          <w:color w:val="000000"/>
          <w:sz w:val="22"/>
          <w:szCs w:val="24"/>
        </w:rPr>
        <w:t xml:space="preserve"> </w:t>
      </w:r>
      <w:r w:rsidRPr="00F46DD9">
        <w:rPr>
          <w:rFonts w:eastAsia="Palatino Linotype" w:cs="Palatino Linotype"/>
          <w:i/>
          <w:color w:val="000000"/>
          <w:sz w:val="22"/>
          <w:szCs w:val="24"/>
          <w:u w:val="single"/>
        </w:rPr>
        <w:t>La clasificación de la información se llevará a cabo en el momento en que</w:t>
      </w:r>
      <w:r w:rsidRPr="00F46DD9">
        <w:rPr>
          <w:rFonts w:eastAsia="Palatino Linotype" w:cs="Palatino Linotype"/>
          <w:i/>
          <w:color w:val="000000"/>
          <w:sz w:val="22"/>
          <w:szCs w:val="24"/>
        </w:rPr>
        <w:t>:</w:t>
      </w:r>
    </w:p>
    <w:p w14:paraId="7C930A2C"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I.</w:t>
      </w:r>
      <w:r w:rsidRPr="00F46DD9">
        <w:rPr>
          <w:rFonts w:eastAsia="Palatino Linotype" w:cs="Palatino Linotype"/>
          <w:i/>
          <w:color w:val="000000"/>
          <w:sz w:val="22"/>
          <w:szCs w:val="24"/>
        </w:rPr>
        <w:t xml:space="preserve"> Se reciba una solicitud de acceso a la información;</w:t>
      </w:r>
    </w:p>
    <w:p w14:paraId="2FFA2D00"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II.</w:t>
      </w:r>
      <w:r w:rsidRPr="00F46DD9">
        <w:rPr>
          <w:rFonts w:eastAsia="Palatino Linotype" w:cs="Palatino Linotype"/>
          <w:i/>
          <w:color w:val="000000"/>
          <w:sz w:val="22"/>
          <w:szCs w:val="24"/>
        </w:rPr>
        <w:t xml:space="preserve"> </w:t>
      </w:r>
      <w:r w:rsidRPr="00F46DD9">
        <w:rPr>
          <w:rFonts w:eastAsia="Palatino Linotype" w:cs="Palatino Linotype"/>
          <w:i/>
          <w:color w:val="000000"/>
          <w:sz w:val="22"/>
          <w:szCs w:val="24"/>
          <w:u w:val="single"/>
        </w:rPr>
        <w:t>Se determine mediante resolución de autoridad competente; o</w:t>
      </w:r>
    </w:p>
    <w:p w14:paraId="2B9D2BF2"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6DD9">
        <w:rPr>
          <w:rFonts w:eastAsia="Palatino Linotype" w:cs="Palatino Linotype"/>
          <w:b/>
          <w:i/>
          <w:color w:val="000000"/>
          <w:sz w:val="22"/>
          <w:szCs w:val="24"/>
        </w:rPr>
        <w:t>III.</w:t>
      </w:r>
      <w:r w:rsidRPr="00F46DD9">
        <w:rPr>
          <w:rFonts w:eastAsia="Palatino Linotype" w:cs="Palatino Linotype"/>
          <w:i/>
          <w:color w:val="000000"/>
          <w:sz w:val="22"/>
          <w:szCs w:val="24"/>
        </w:rPr>
        <w:t xml:space="preserve"> </w:t>
      </w:r>
      <w:r w:rsidRPr="00F46DD9">
        <w:rPr>
          <w:rFonts w:eastAsia="Palatino Linotype" w:cs="Palatino Linotype"/>
          <w:i/>
          <w:color w:val="000000"/>
          <w:sz w:val="22"/>
          <w:szCs w:val="24"/>
          <w:u w:val="single"/>
        </w:rPr>
        <w:t>Se generen versiones públicas para dar cumplimiento a las obligaciones de transparencia previstas en esta Ley.</w:t>
      </w:r>
    </w:p>
    <w:p w14:paraId="47ABBFAD"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i/>
          <w:color w:val="000000"/>
          <w:sz w:val="22"/>
          <w:szCs w:val="24"/>
        </w:rPr>
        <w:t>[…]</w:t>
      </w:r>
    </w:p>
    <w:p w14:paraId="22E524BE"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BBF5F25"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Artículo 143.</w:t>
      </w:r>
      <w:r w:rsidRPr="00F46DD9">
        <w:rPr>
          <w:rFonts w:eastAsia="Palatino Linotype" w:cs="Palatino Linotype"/>
          <w:i/>
          <w:color w:val="000000"/>
          <w:sz w:val="22"/>
          <w:szCs w:val="24"/>
        </w:rPr>
        <w:t xml:space="preserve"> </w:t>
      </w:r>
      <w:r w:rsidRPr="00F46DD9">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F46DD9">
        <w:rPr>
          <w:rFonts w:eastAsia="Palatino Linotype" w:cs="Palatino Linotype"/>
          <w:i/>
          <w:color w:val="000000"/>
          <w:sz w:val="22"/>
          <w:szCs w:val="24"/>
        </w:rPr>
        <w:t>:</w:t>
      </w:r>
    </w:p>
    <w:p w14:paraId="07B1EB48"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I.</w:t>
      </w:r>
      <w:r w:rsidRPr="00F46DD9">
        <w:rPr>
          <w:rFonts w:eastAsia="Palatino Linotype" w:cs="Palatino Linotype"/>
          <w:i/>
          <w:color w:val="000000"/>
          <w:sz w:val="22"/>
          <w:szCs w:val="24"/>
        </w:rPr>
        <w:t xml:space="preserve"> </w:t>
      </w:r>
      <w:r w:rsidRPr="00F46DD9">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F46DD9">
        <w:rPr>
          <w:rFonts w:eastAsia="Palatino Linotype" w:cs="Palatino Linotype"/>
          <w:i/>
          <w:color w:val="000000"/>
          <w:sz w:val="22"/>
          <w:szCs w:val="24"/>
        </w:rPr>
        <w:t>;</w:t>
      </w:r>
    </w:p>
    <w:p w14:paraId="4F9BDEA8"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II.</w:t>
      </w:r>
      <w:r w:rsidRPr="00F46DD9">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F46DD9">
        <w:rPr>
          <w:rFonts w:eastAsia="Palatino Linotype" w:cs="Palatino Linotype"/>
          <w:i/>
          <w:color w:val="000000"/>
          <w:sz w:val="22"/>
          <w:szCs w:val="24"/>
        </w:rPr>
        <w:t>; y</w:t>
      </w:r>
    </w:p>
    <w:p w14:paraId="29B9A109"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III.</w:t>
      </w:r>
      <w:r w:rsidRPr="00F46DD9">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51638D1E"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F46DD9">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7329903C"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F46DD9">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1C8F53EC" w14:textId="77777777" w:rsidR="00DA6C05" w:rsidRPr="00F46DD9" w:rsidRDefault="00DA6C05" w:rsidP="00DA6C05">
      <w:pPr>
        <w:rPr>
          <w:rFonts w:eastAsia="Palatino Linotype" w:cs="Palatino Linotype"/>
          <w:i/>
          <w:szCs w:val="24"/>
        </w:rPr>
      </w:pPr>
    </w:p>
    <w:p w14:paraId="41933D75" w14:textId="77777777" w:rsidR="00DA6C05" w:rsidRPr="00F46DD9" w:rsidRDefault="00DA6C05" w:rsidP="00DA6C05">
      <w:pPr>
        <w:rPr>
          <w:rFonts w:eastAsia="Palatino Linotype" w:cs="Palatino Linotype"/>
          <w:lang w:val="es-ES"/>
        </w:rPr>
      </w:pPr>
      <w:r w:rsidRPr="00F46DD9">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8A9783C" w14:textId="77777777" w:rsidR="00DA6C05" w:rsidRPr="00F46DD9" w:rsidRDefault="00DA6C05" w:rsidP="00DA6C05">
      <w:pPr>
        <w:rPr>
          <w:rFonts w:eastAsia="Palatino Linotype" w:cs="Palatino Linotype"/>
          <w:szCs w:val="24"/>
        </w:rPr>
      </w:pPr>
    </w:p>
    <w:p w14:paraId="2876819F" w14:textId="77777777" w:rsidR="00DA6C05" w:rsidRPr="00F46DD9" w:rsidRDefault="00DA6C05" w:rsidP="00DA6C05">
      <w:pPr>
        <w:rPr>
          <w:rFonts w:eastAsia="Palatino Linotype" w:cs="Palatino Linotype"/>
          <w:szCs w:val="24"/>
        </w:rPr>
      </w:pPr>
      <w:r w:rsidRPr="00F46DD9">
        <w:rPr>
          <w:rFonts w:eastAsia="Palatino Linotype" w:cs="Palatino Linotype"/>
          <w:szCs w:val="24"/>
        </w:rPr>
        <w:t xml:space="preserve">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w:t>
      </w:r>
      <w:r w:rsidRPr="00F46DD9">
        <w:rPr>
          <w:rFonts w:eastAsia="Palatino Linotype" w:cs="Palatino Linotype"/>
          <w:szCs w:val="24"/>
        </w:rPr>
        <w:lastRenderedPageBreak/>
        <w:t>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55772D9" w14:textId="77777777" w:rsidR="00DA6C05" w:rsidRPr="00F46DD9" w:rsidRDefault="00DA6C05" w:rsidP="00DA6C05">
      <w:pPr>
        <w:rPr>
          <w:rFonts w:eastAsia="Palatino Linotype" w:cs="Palatino Linotype"/>
          <w:szCs w:val="24"/>
        </w:rPr>
      </w:pPr>
    </w:p>
    <w:p w14:paraId="66DDD09D" w14:textId="77777777" w:rsidR="00DA6C05" w:rsidRPr="00F46DD9" w:rsidRDefault="00DA6C05" w:rsidP="00DA6C05">
      <w:pPr>
        <w:rPr>
          <w:rFonts w:eastAsia="Palatino Linotype" w:cs="Palatino Linotype"/>
          <w:szCs w:val="24"/>
        </w:rPr>
      </w:pPr>
      <w:r w:rsidRPr="00F46DD9">
        <w:rPr>
          <w:rFonts w:eastAsia="Palatino Linotype" w:cs="Palatino Linotype"/>
          <w:szCs w:val="24"/>
        </w:rPr>
        <w:t>Asimismo, los Lineamientos Quincuagésimo sexto, Quincuagésimo séptimo y Quincuagésimo octavo, establecen lo siguiente:</w:t>
      </w:r>
    </w:p>
    <w:p w14:paraId="6698F272" w14:textId="77777777" w:rsidR="00DA6C05" w:rsidRPr="00F46DD9" w:rsidRDefault="00DA6C05" w:rsidP="00DA6C05">
      <w:pPr>
        <w:rPr>
          <w:rFonts w:eastAsia="Palatino Linotype" w:cs="Palatino Linotype"/>
        </w:rPr>
      </w:pPr>
    </w:p>
    <w:p w14:paraId="1499F055"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6DD9">
        <w:rPr>
          <w:rFonts w:eastAsia="Palatino Linotype" w:cs="Palatino Linotype"/>
          <w:b/>
          <w:i/>
          <w:color w:val="000000"/>
          <w:sz w:val="22"/>
          <w:szCs w:val="24"/>
        </w:rPr>
        <w:t>Quincuagésimo sexto.</w:t>
      </w:r>
      <w:r w:rsidRPr="00F46DD9">
        <w:rPr>
          <w:rFonts w:eastAsia="Palatino Linotype" w:cs="Palatino Linotype"/>
          <w:i/>
          <w:color w:val="000000"/>
          <w:sz w:val="22"/>
          <w:szCs w:val="24"/>
        </w:rPr>
        <w:t xml:space="preserve"> </w:t>
      </w:r>
      <w:r w:rsidRPr="00F46DD9">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0A5BC73"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13B843C"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Quincuagésimo séptimo.</w:t>
      </w:r>
      <w:r w:rsidRPr="00F46DD9">
        <w:rPr>
          <w:rFonts w:eastAsia="Palatino Linotype" w:cs="Palatino Linotype"/>
          <w:i/>
          <w:color w:val="000000"/>
          <w:sz w:val="22"/>
          <w:szCs w:val="24"/>
        </w:rPr>
        <w:t xml:space="preserve"> Se considera, en principio, como información pública y no podrá omitirse de las versiones públicas la siguiente:</w:t>
      </w:r>
    </w:p>
    <w:p w14:paraId="034CC067"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27DD149"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1FD2BB42"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7266A65E"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F46DD9">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7096AB8"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F4FF75F"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9D1F23E"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6472298" w14:textId="77777777" w:rsidR="00DA6C05" w:rsidRPr="00F46DD9" w:rsidRDefault="00DA6C05" w:rsidP="00DA6C05">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6DD9">
        <w:rPr>
          <w:rFonts w:eastAsia="Palatino Linotype" w:cs="Palatino Linotype"/>
          <w:b/>
          <w:i/>
          <w:color w:val="000000"/>
          <w:sz w:val="22"/>
          <w:szCs w:val="24"/>
        </w:rPr>
        <w:t>Quincuagésimo octavo.</w:t>
      </w:r>
      <w:r w:rsidRPr="00F46DD9">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6206F48A" w14:textId="77777777" w:rsidR="00DA6C05" w:rsidRPr="00F46DD9" w:rsidRDefault="00DA6C05" w:rsidP="00DA6C05">
      <w:pPr>
        <w:rPr>
          <w:rFonts w:eastAsia="Palatino Linotype" w:cs="Palatino Linotype"/>
          <w:i/>
          <w:szCs w:val="24"/>
        </w:rPr>
      </w:pPr>
    </w:p>
    <w:p w14:paraId="3FE02B5F" w14:textId="77777777" w:rsidR="00DA6C05" w:rsidRPr="00F46DD9" w:rsidRDefault="00DA6C05" w:rsidP="00DA6C05">
      <w:pPr>
        <w:rPr>
          <w:rFonts w:eastAsia="Palatino Linotype" w:cs="Palatino Linotype"/>
          <w:szCs w:val="24"/>
        </w:rPr>
      </w:pPr>
      <w:r w:rsidRPr="00F46DD9">
        <w:rPr>
          <w:rFonts w:eastAsia="Palatino Linotype" w:cs="Palatino Linotype"/>
          <w:szCs w:val="24"/>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5ECC22B" w14:textId="77777777" w:rsidR="00DA6C05" w:rsidRPr="00F46DD9" w:rsidRDefault="00DA6C05" w:rsidP="00DA6C05">
      <w:pPr>
        <w:rPr>
          <w:rFonts w:eastAsia="Palatino Linotype" w:cs="Palatino Linotype"/>
          <w:szCs w:val="24"/>
        </w:rPr>
      </w:pPr>
    </w:p>
    <w:p w14:paraId="36E19941" w14:textId="77777777" w:rsidR="00DA6C05" w:rsidRPr="00F46DD9" w:rsidRDefault="00DA6C05" w:rsidP="00DA6C05">
      <w:pPr>
        <w:rPr>
          <w:rFonts w:eastAsia="Palatino Linotype" w:cs="Palatino Linotype"/>
          <w:szCs w:val="24"/>
        </w:rPr>
      </w:pPr>
      <w:r w:rsidRPr="00F46DD9">
        <w:rPr>
          <w:rFonts w:eastAsia="Palatino Linotype" w:cs="Palatino Linotype"/>
          <w:szCs w:val="24"/>
        </w:rPr>
        <w:t xml:space="preserve">Debe agregarse, que el Sujeto Obligado al entregar la referida documentación, debe dejar visible los datos del proveedor o contratistas, el registro federal de contribuyentes y el domicilio fiscal; es decir, no debe testarse dato alguno relacionado con el contribuyente aunque el proveedor o contratista sea una persona física. </w:t>
      </w:r>
    </w:p>
    <w:p w14:paraId="07C11DD8" w14:textId="77777777" w:rsidR="00DA6C05" w:rsidRPr="00F46DD9" w:rsidRDefault="00DA6C05" w:rsidP="00DA6C05">
      <w:pPr>
        <w:rPr>
          <w:rFonts w:eastAsia="Palatino Linotype" w:cs="Palatino Linotype"/>
          <w:szCs w:val="24"/>
        </w:rPr>
      </w:pPr>
    </w:p>
    <w:p w14:paraId="16A2A909" w14:textId="3BE01E2E" w:rsidR="00DA6C05" w:rsidRPr="00F46DD9" w:rsidRDefault="00DA6C05" w:rsidP="00DA6C05">
      <w:pPr>
        <w:rPr>
          <w:rFonts w:eastAsia="Palatino Linotype" w:cs="Palatino Linotype"/>
          <w:szCs w:val="24"/>
        </w:rPr>
      </w:pPr>
      <w:r w:rsidRPr="00F46DD9">
        <w:rPr>
          <w:rFonts w:eastAsia="Palatino Linotype" w:cs="Palatino Linotype"/>
          <w:szCs w:val="24"/>
        </w:rPr>
        <w:t>Lo anterior se debe a que</w:t>
      </w:r>
      <w:r w:rsidR="007304CF" w:rsidRPr="00F46DD9">
        <w:rPr>
          <w:rFonts w:eastAsia="Palatino Linotype" w:cs="Palatino Linotype"/>
          <w:szCs w:val="24"/>
        </w:rPr>
        <w:t>,</w:t>
      </w:r>
      <w:r w:rsidRPr="00F46DD9">
        <w:rPr>
          <w:rFonts w:eastAsia="Palatino Linotype" w:cs="Palatino Linotype"/>
          <w:szCs w:val="24"/>
        </w:rPr>
        <w:t xml:space="preserve"> del ejercicio de ponderación entre el derecho a la protección de datos personales y el derecho de acceso a la información pública, es de mayor trascendencia el que cualquier persona pueda conocer en qué se gastan los recursos públicos, puesto que se trata de erogaciones de recursos públicos, por lo que se debe transparentar su ejercicio. </w:t>
      </w:r>
    </w:p>
    <w:p w14:paraId="793B6F45" w14:textId="77777777" w:rsidR="00DA6C05" w:rsidRPr="00F46DD9" w:rsidRDefault="00DA6C05" w:rsidP="00DA6C05">
      <w:pPr>
        <w:rPr>
          <w:rFonts w:eastAsia="Palatino Linotype" w:cs="Palatino Linotype"/>
          <w:szCs w:val="24"/>
        </w:rPr>
      </w:pPr>
    </w:p>
    <w:p w14:paraId="7828A253" w14:textId="77777777" w:rsidR="00DA6C05" w:rsidRPr="00F46DD9" w:rsidRDefault="00DA6C05" w:rsidP="00DA6C05">
      <w:pPr>
        <w:rPr>
          <w:rFonts w:eastAsia="Palatino Linotype" w:cs="Palatino Linotype"/>
          <w:szCs w:val="24"/>
        </w:rPr>
      </w:pPr>
      <w:r w:rsidRPr="00F46DD9">
        <w:rPr>
          <w:rFonts w:eastAsia="Palatino Linotype" w:cs="Palatino Linotype"/>
          <w:szCs w:val="24"/>
        </w:rPr>
        <w:t xml:space="preserve">Además, las personas físicas que realicen las actividades contratadas por las instituciones renuncian implícitamente a una parte de su derecho a la intimidad al obtener beneficios </w:t>
      </w:r>
      <w:r w:rsidRPr="00F46DD9">
        <w:rPr>
          <w:rFonts w:eastAsia="Palatino Linotype" w:cs="Palatino Linotype"/>
          <w:szCs w:val="24"/>
        </w:rPr>
        <w:lastRenderedPageBreak/>
        <w:t>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 esto es, se están realizando pagos a una persona que realiza una obra o presta un servicio, por la que se hizo un pago con dinero del erario público.</w:t>
      </w:r>
    </w:p>
    <w:p w14:paraId="49E83885" w14:textId="77777777" w:rsidR="00DA6C05" w:rsidRPr="00F46DD9" w:rsidRDefault="00DA6C05" w:rsidP="00DA6C05">
      <w:pPr>
        <w:rPr>
          <w:rFonts w:eastAsia="Palatino Linotype" w:cs="Palatino Linotype"/>
          <w:szCs w:val="24"/>
        </w:rPr>
      </w:pPr>
    </w:p>
    <w:p w14:paraId="6CCD3595" w14:textId="77777777" w:rsidR="00DA6C05" w:rsidRPr="00F46DD9" w:rsidRDefault="00DA6C05" w:rsidP="00DA6C05">
      <w:pPr>
        <w:rPr>
          <w:rFonts w:eastAsia="Palatino Linotype" w:cs="Palatino Linotype"/>
          <w:szCs w:val="24"/>
        </w:rPr>
      </w:pPr>
      <w:r w:rsidRPr="00F46DD9">
        <w:rPr>
          <w:rFonts w:eastAsia="Palatino Linotype" w:cs="Palatino Linotype"/>
          <w:szCs w:val="24"/>
        </w:rPr>
        <w:t xml:space="preserve">Ahora bien, respecto de los números de cuentas bancarias, claves estandarizadas interbancarias (CLABES) y de tarjetas de los proveedores, este Pleno considera que es información que debe clasificarse como confidencial y por lo tanto debe elaborarse una versión en que ésta se teste. </w:t>
      </w:r>
    </w:p>
    <w:p w14:paraId="178D8B38" w14:textId="77777777" w:rsidR="00DA6C05" w:rsidRPr="00F46DD9" w:rsidRDefault="00DA6C05" w:rsidP="00DA6C05">
      <w:pPr>
        <w:rPr>
          <w:rFonts w:eastAsia="Palatino Linotype" w:cs="Palatino Linotype"/>
          <w:szCs w:val="24"/>
        </w:rPr>
      </w:pPr>
    </w:p>
    <w:p w14:paraId="2C22A103" w14:textId="77777777" w:rsidR="00DA6C05" w:rsidRPr="00F46DD9" w:rsidRDefault="00DA6C05" w:rsidP="00DA6C05">
      <w:pPr>
        <w:rPr>
          <w:rFonts w:eastAsia="Palatino Linotype" w:cs="Palatino Linotype"/>
          <w:lang w:val="es-ES"/>
        </w:rPr>
      </w:pPr>
      <w:r w:rsidRPr="00F46DD9">
        <w:rPr>
          <w:rFonts w:eastAsia="Palatino Linotype" w:cs="Palatino Linotype"/>
          <w:lang w:val="es-ES"/>
        </w:rPr>
        <w:t>Esto es así, ya que el número de cuenta bancaria se trata de información que sólo su titular o personas autorizadas poseen, entre otros elementos, para el acceso o consulta de información patrimonial, así como para la realización de operaciones bancarias de diversa índole, por lo que la difusión pública de dicha información facilitaría a cualquier persona interesada en afectar el patrimonio del titular de la cuenta; realice conductas tendientes a tal fin y tipificadas como delitos, con lo que se ocasionaría un serio perjuicio a su titular.</w:t>
      </w:r>
    </w:p>
    <w:p w14:paraId="4787B65F" w14:textId="77777777" w:rsidR="00DA6C05" w:rsidRPr="00F46DD9" w:rsidRDefault="00DA6C05" w:rsidP="00DA6C05">
      <w:pPr>
        <w:rPr>
          <w:rFonts w:eastAsia="Palatino Linotype" w:cs="Palatino Linotype"/>
          <w:szCs w:val="24"/>
        </w:rPr>
      </w:pPr>
    </w:p>
    <w:p w14:paraId="3C6C42E3" w14:textId="1FF2A9B9" w:rsidR="00DA6C05" w:rsidRPr="00F46DD9" w:rsidRDefault="00DA6C05" w:rsidP="00DA6C05">
      <w:pPr>
        <w:rPr>
          <w:rFonts w:eastAsia="Palatino Linotype" w:cs="Palatino Linotype"/>
          <w:lang w:val="es-ES"/>
        </w:rPr>
      </w:pPr>
      <w:r w:rsidRPr="00F46DD9">
        <w:rPr>
          <w:rFonts w:eastAsia="Palatino Linotype" w:cs="Palatino Linotype"/>
          <w:lang w:val="es-ES"/>
        </w:rPr>
        <w:t>Por lo anterior, el número de cuenta bancaria debe ser información confidencial en términos del artículo 143 de la Ley de Transparencia y Acceso a la Información Pública del Estado de México y Municipios, debido a que con su difusión se estaría revelando información de una persona física o jurídica colectiva.</w:t>
      </w:r>
    </w:p>
    <w:p w14:paraId="204ED948" w14:textId="77777777" w:rsidR="00DA6C05" w:rsidRPr="00F46DD9" w:rsidRDefault="00DA6C05" w:rsidP="00DA6C05">
      <w:pPr>
        <w:rPr>
          <w:rFonts w:eastAsia="Palatino Linotype" w:cs="Palatino Linotype"/>
          <w:szCs w:val="24"/>
        </w:rPr>
      </w:pPr>
    </w:p>
    <w:p w14:paraId="0BF25854" w14:textId="77777777" w:rsidR="00DA6C05" w:rsidRPr="00F46DD9" w:rsidRDefault="00DA6C05" w:rsidP="00DA6C05">
      <w:pPr>
        <w:rPr>
          <w:rFonts w:eastAsia="Palatino Linotype" w:cs="Palatino Linotype"/>
          <w:szCs w:val="24"/>
        </w:rPr>
      </w:pPr>
      <w:r w:rsidRPr="00F46DD9">
        <w:rPr>
          <w:rFonts w:eastAsia="Palatino Linotype" w:cs="Palatino Linotype"/>
          <w:szCs w:val="24"/>
        </w:rPr>
        <w:t xml:space="preserve">Adicional a lo anterior, la publicidad de los números de cuenta bancarios en nada contribuye a la rendición de cuentas o a la transparencia de la gestión gubernamental, sino por el contrario, dar a conocerlos hace vulnerable a su titular, en caso específico de la persona prestadora de bienes o servicios, al abrir la posibilidad de que terceros que cuenten con las posibilidades tecnológicas y/o económicas puedan realizar actos ilícitos mediante operaciones cibernéticas. </w:t>
      </w:r>
    </w:p>
    <w:p w14:paraId="6B3358B1" w14:textId="77777777" w:rsidR="00DA6C05" w:rsidRPr="00F46DD9" w:rsidRDefault="00DA6C05" w:rsidP="00DA6C05">
      <w:pPr>
        <w:rPr>
          <w:rFonts w:eastAsia="Palatino Linotype" w:cs="Palatino Linotype"/>
          <w:szCs w:val="24"/>
        </w:rPr>
      </w:pPr>
    </w:p>
    <w:p w14:paraId="2BDE77C3" w14:textId="77777777" w:rsidR="00DA6C05" w:rsidRPr="00F46DD9" w:rsidRDefault="00DA6C05" w:rsidP="00DA6C05">
      <w:pPr>
        <w:rPr>
          <w:rFonts w:eastAsia="Palatino Linotype" w:cs="Palatino Linotype"/>
          <w:szCs w:val="24"/>
        </w:rPr>
      </w:pPr>
      <w:r w:rsidRPr="00F46DD9">
        <w:rPr>
          <w:rFonts w:eastAsia="Palatino Linotype" w:cs="Palatino Linotype"/>
          <w:szCs w:val="24"/>
        </w:rPr>
        <w:t>En esa virtud, este Pleno determina que dicha información no puede ser del dominio público, toda vez que se podría dar un uso inadecuado a la misma o cometer algún ilícito o fraude en contra de su patrimonio.</w:t>
      </w:r>
    </w:p>
    <w:p w14:paraId="10A53841" w14:textId="77777777" w:rsidR="00DA6C05" w:rsidRPr="00F46DD9" w:rsidRDefault="00DA6C05" w:rsidP="00DA6C05">
      <w:pPr>
        <w:rPr>
          <w:rFonts w:eastAsia="Palatino Linotype" w:cs="Palatino Linotype"/>
          <w:szCs w:val="24"/>
        </w:rPr>
      </w:pPr>
    </w:p>
    <w:p w14:paraId="2D6BC2DF" w14:textId="77777777" w:rsidR="00DA6C05" w:rsidRPr="00F46DD9" w:rsidRDefault="00DA6C05" w:rsidP="00DA6C05">
      <w:pPr>
        <w:rPr>
          <w:rFonts w:eastAsia="Palatino Linotype" w:cs="Palatino Linotype"/>
          <w:szCs w:val="24"/>
        </w:rPr>
      </w:pPr>
      <w:r w:rsidRPr="00F46DD9">
        <w:rPr>
          <w:rFonts w:eastAsia="Palatino Linotype" w:cs="Palatino Linotype"/>
          <w:szCs w:val="24"/>
        </w:rPr>
        <w:t>De este modo, en las versiones públicas se deben testar únicamente los números de las cuentas bancarias, CLABES; si es que esta información se advierte en los documentos a otorgar; en caso contrario, se deben entregar en forma íntegra.</w:t>
      </w:r>
    </w:p>
    <w:p w14:paraId="1A1FB3C4" w14:textId="77777777" w:rsidR="00DA6C05" w:rsidRPr="00F46DD9" w:rsidRDefault="00DA6C05" w:rsidP="00DA6C05">
      <w:pPr>
        <w:rPr>
          <w:rFonts w:eastAsia="Palatino Linotype" w:cs="Palatino Linotype"/>
          <w:szCs w:val="24"/>
        </w:rPr>
      </w:pPr>
    </w:p>
    <w:p w14:paraId="4D401602" w14:textId="77777777" w:rsidR="00DA6C05" w:rsidRPr="00F46DD9" w:rsidRDefault="00DA6C05" w:rsidP="00DA6C05">
      <w:pPr>
        <w:rPr>
          <w:rFonts w:eastAsia="Palatino Linotype" w:cs="Palatino Linotype"/>
          <w:szCs w:val="24"/>
        </w:rPr>
      </w:pPr>
      <w:r w:rsidRPr="00F46DD9">
        <w:rPr>
          <w:rFonts w:eastAsia="Palatino Linotype" w:cs="Palatino Linotype"/>
          <w:szCs w:val="24"/>
        </w:rPr>
        <w:t>Además de ello, se considera que se deberá testar el sello digital del contribuyente que lo expide y la cadena original de éste, en virtud de que estos se pueden vincular con la identidad de un sujeto o entidad, su clave pública y la clave pública del titular del certificado; datos que, se insiste, no son de acceso público, de ahí que deben protegerse mediante la versión pública correspondiente.</w:t>
      </w:r>
    </w:p>
    <w:p w14:paraId="2E992039" w14:textId="77777777" w:rsidR="00DA6C05" w:rsidRPr="00F46DD9" w:rsidRDefault="00DA6C05" w:rsidP="00DA6C05">
      <w:pPr>
        <w:rPr>
          <w:rFonts w:eastAsia="Palatino Linotype" w:cs="Palatino Linotype"/>
          <w:szCs w:val="24"/>
        </w:rPr>
      </w:pPr>
    </w:p>
    <w:p w14:paraId="4375E7D9" w14:textId="77777777" w:rsidR="00DA6C05" w:rsidRPr="00F46DD9" w:rsidRDefault="00DA6C05" w:rsidP="00DA6C05">
      <w:pPr>
        <w:rPr>
          <w:rFonts w:eastAsia="Palatino Linotype" w:cs="Palatino Linotype"/>
          <w:szCs w:val="24"/>
        </w:rPr>
      </w:pPr>
      <w:r w:rsidRPr="00F46DD9">
        <w:rPr>
          <w:rFonts w:eastAsia="Palatino Linotype" w:cs="Palatino Linotype"/>
          <w:szCs w:val="24"/>
        </w:rPr>
        <w:t>Por lo que respecta al Acuerdo del Comité de Transparencia que sustente la versión pública de la documentación a entregar, deberá ser notificado mediante el SAIMEX.</w:t>
      </w:r>
    </w:p>
    <w:p w14:paraId="1D4C5211" w14:textId="77777777" w:rsidR="00DA6C05" w:rsidRPr="00F46DD9" w:rsidRDefault="00DA6C05" w:rsidP="00DA6C05">
      <w:pPr>
        <w:rPr>
          <w:rFonts w:eastAsia="Palatino Linotype" w:cs="Palatino Linotype"/>
          <w:szCs w:val="24"/>
        </w:rPr>
      </w:pPr>
    </w:p>
    <w:p w14:paraId="13F50EAD"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3B40B4AD" w14:textId="77777777" w:rsidR="00DA6C05" w:rsidRPr="00F46DD9" w:rsidRDefault="00DA6C05" w:rsidP="00DA6C05"/>
    <w:p w14:paraId="3C6022AB" w14:textId="2C703851" w:rsidR="00DA6C05" w:rsidRPr="00F46DD9" w:rsidRDefault="00DA6C05" w:rsidP="00DA6C05">
      <w:pPr>
        <w:pBdr>
          <w:top w:val="nil"/>
          <w:left w:val="nil"/>
          <w:bottom w:val="nil"/>
          <w:right w:val="nil"/>
          <w:between w:val="nil"/>
        </w:pBdr>
        <w:rPr>
          <w:rFonts w:eastAsia="Palatino Linotype" w:cs="Palatino Linotype"/>
          <w:color w:val="000000"/>
        </w:rPr>
      </w:pPr>
      <w:r w:rsidRPr="00F46DD9">
        <w:rPr>
          <w:rFonts w:eastAsia="Palatino Linotype" w:cs="Palatino Linotype"/>
          <w:color w:val="000000" w:themeColor="text1"/>
        </w:rPr>
        <w:t>En mérito de lo expuesto en líneas anteriores, este Instituto considera que los motivos de inconformidad planteados por</w:t>
      </w:r>
      <w:r w:rsidR="00904C16" w:rsidRPr="00F46DD9">
        <w:rPr>
          <w:rFonts w:eastAsia="Palatino Linotype" w:cs="Palatino Linotype"/>
          <w:color w:val="000000" w:themeColor="text1"/>
        </w:rPr>
        <w:t xml:space="preserve"> el</w:t>
      </w:r>
      <w:r w:rsidRPr="00F46DD9">
        <w:rPr>
          <w:rFonts w:eastAsia="Palatino Linotype" w:cs="Palatino Linotype"/>
          <w:color w:val="000000" w:themeColor="text1"/>
        </w:rPr>
        <w:t xml:space="preserve"> Recurrente resultan fundados en el recurso de revisión que es materia de esta resolución; por ello </w:t>
      </w:r>
      <w:r w:rsidRPr="00F46DD9">
        <w:rPr>
          <w:rFonts w:eastAsia="Palatino Linotype" w:cs="Palatino Linotype"/>
          <w:b/>
          <w:bCs/>
          <w:color w:val="000000" w:themeColor="text1"/>
        </w:rPr>
        <w:t xml:space="preserve">con fundamento en la primera hipótesis de la fracción III del artículo 186 </w:t>
      </w:r>
      <w:r w:rsidRPr="00F46DD9">
        <w:rPr>
          <w:rFonts w:eastAsia="Palatino Linotype" w:cs="Palatino Linotype"/>
          <w:color w:val="000000" w:themeColor="text1"/>
        </w:rPr>
        <w:t xml:space="preserve">de la Ley de Transparencia y Acceso a la Información Pública del Estado de México y Municipios, se </w:t>
      </w:r>
      <w:r w:rsidRPr="00F46DD9">
        <w:rPr>
          <w:rFonts w:eastAsia="Palatino Linotype" w:cs="Palatino Linotype"/>
          <w:b/>
          <w:bCs/>
          <w:color w:val="000000" w:themeColor="text1"/>
        </w:rPr>
        <w:t xml:space="preserve">REVOCA </w:t>
      </w:r>
      <w:r w:rsidRPr="00F46DD9">
        <w:rPr>
          <w:rFonts w:eastAsia="Palatino Linotype" w:cs="Palatino Linotype"/>
          <w:color w:val="000000" w:themeColor="text1"/>
        </w:rPr>
        <w:t>la respuesta a la solicitud de información número</w:t>
      </w:r>
      <w:r w:rsidRPr="00F46DD9">
        <w:rPr>
          <w:rFonts w:eastAsia="Palatino Linotype" w:cs="Palatino Linotype"/>
          <w:color w:val="000000"/>
          <w:szCs w:val="24"/>
        </w:rPr>
        <w:t xml:space="preserve"> </w:t>
      </w:r>
      <w:r w:rsidR="007304CF" w:rsidRPr="00F46DD9">
        <w:rPr>
          <w:rFonts w:eastAsia="Palatino Linotype" w:cs="Palatino Linotype"/>
          <w:b/>
          <w:bCs/>
          <w:color w:val="000000"/>
          <w:szCs w:val="24"/>
        </w:rPr>
        <w:t>00294/TOLUCA/IP/2</w:t>
      </w:r>
      <w:r w:rsidR="00904C16" w:rsidRPr="00F46DD9">
        <w:rPr>
          <w:rFonts w:eastAsia="Palatino Linotype" w:cs="Palatino Linotype"/>
          <w:b/>
          <w:bCs/>
          <w:color w:val="000000"/>
          <w:szCs w:val="24"/>
        </w:rPr>
        <w:t>025</w:t>
      </w:r>
      <w:r w:rsidRPr="00F46DD9">
        <w:rPr>
          <w:rFonts w:eastAsia="Palatino Linotype" w:cs="Palatino Linotype"/>
          <w:color w:val="000000" w:themeColor="text1"/>
        </w:rPr>
        <w:t>, que ha sido materia del presente estudio.</w:t>
      </w:r>
    </w:p>
    <w:p w14:paraId="4F1EE172" w14:textId="77777777" w:rsidR="00DA6C05" w:rsidRPr="00F46DD9" w:rsidRDefault="00DA6C05" w:rsidP="00DA6C05">
      <w:pPr>
        <w:rPr>
          <w:sz w:val="22"/>
        </w:rPr>
      </w:pPr>
    </w:p>
    <w:p w14:paraId="6EBBBEC2"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color w:val="000000"/>
          <w:szCs w:val="24"/>
        </w:rPr>
        <w:t>Por lo antes expuesto y fundado es de resolverse y,</w:t>
      </w:r>
    </w:p>
    <w:p w14:paraId="33920B58" w14:textId="77777777" w:rsidR="00DA6C05" w:rsidRPr="00F46DD9" w:rsidRDefault="00DA6C05" w:rsidP="00DA6C05">
      <w:pPr>
        <w:rPr>
          <w:sz w:val="22"/>
        </w:rPr>
      </w:pPr>
    </w:p>
    <w:p w14:paraId="04C9F3FB" w14:textId="77777777" w:rsidR="00DA6C05" w:rsidRPr="00F46DD9" w:rsidRDefault="00DA6C05" w:rsidP="00DA6C05">
      <w:pPr>
        <w:pStyle w:val="Ttulo1"/>
        <w:rPr>
          <w:rFonts w:eastAsia="Palatino Linotype"/>
        </w:rPr>
      </w:pPr>
      <w:r w:rsidRPr="00F46DD9">
        <w:rPr>
          <w:rFonts w:eastAsia="Palatino Linotype"/>
        </w:rPr>
        <w:t>S E    R E S U E L V E</w:t>
      </w:r>
    </w:p>
    <w:p w14:paraId="52A1A2D3" w14:textId="77777777" w:rsidR="00DA6C05" w:rsidRPr="00F46DD9" w:rsidRDefault="00DA6C05" w:rsidP="00DA6C05">
      <w:pPr>
        <w:pBdr>
          <w:top w:val="nil"/>
          <w:left w:val="nil"/>
          <w:bottom w:val="nil"/>
          <w:right w:val="nil"/>
          <w:between w:val="nil"/>
        </w:pBdr>
        <w:rPr>
          <w:rFonts w:eastAsia="Palatino Linotype" w:cs="Palatino Linotype"/>
          <w:b/>
          <w:color w:val="000000"/>
          <w:szCs w:val="24"/>
        </w:rPr>
      </w:pPr>
    </w:p>
    <w:p w14:paraId="1DF04CCD" w14:textId="0E58699E" w:rsidR="00DA6C05" w:rsidRPr="00F46DD9" w:rsidRDefault="00DA6C05" w:rsidP="00DA6C05">
      <w:pPr>
        <w:pBdr>
          <w:top w:val="nil"/>
          <w:left w:val="nil"/>
          <w:bottom w:val="nil"/>
          <w:right w:val="nil"/>
          <w:between w:val="nil"/>
        </w:pBdr>
        <w:rPr>
          <w:rFonts w:eastAsia="Palatino Linotype" w:cs="Palatino Linotype"/>
          <w:color w:val="000000"/>
        </w:rPr>
      </w:pPr>
      <w:r w:rsidRPr="00F46DD9">
        <w:rPr>
          <w:rFonts w:eastAsia="Palatino Linotype" w:cs="Palatino Linotype"/>
          <w:b/>
          <w:bCs/>
          <w:color w:val="000000" w:themeColor="text1"/>
        </w:rPr>
        <w:t>PRIMERO.</w:t>
      </w:r>
      <w:r w:rsidRPr="00F46DD9">
        <w:rPr>
          <w:rFonts w:eastAsia="Palatino Linotype" w:cs="Palatino Linotype"/>
          <w:color w:val="000000" w:themeColor="text1"/>
        </w:rPr>
        <w:t xml:space="preserve"> Se </w:t>
      </w:r>
      <w:r w:rsidRPr="00F46DD9">
        <w:rPr>
          <w:rFonts w:eastAsia="Palatino Linotype" w:cs="Palatino Linotype"/>
          <w:b/>
          <w:bCs/>
          <w:color w:val="000000" w:themeColor="text1"/>
        </w:rPr>
        <w:t>REVOCA</w:t>
      </w:r>
      <w:r w:rsidRPr="00F46DD9">
        <w:rPr>
          <w:rFonts w:eastAsia="Palatino Linotype" w:cs="Palatino Linotype"/>
          <w:color w:val="000000" w:themeColor="text1"/>
        </w:rPr>
        <w:t xml:space="preserve"> la respuesta entregada por el Sujeto Obligado</w:t>
      </w:r>
      <w:r w:rsidRPr="00F46DD9">
        <w:rPr>
          <w:rFonts w:eastAsia="Palatino Linotype" w:cs="Palatino Linotype"/>
          <w:b/>
          <w:bCs/>
          <w:color w:val="000000" w:themeColor="text1"/>
        </w:rPr>
        <w:t xml:space="preserve"> </w:t>
      </w:r>
      <w:r w:rsidRPr="00F46DD9">
        <w:rPr>
          <w:rFonts w:eastAsia="Palatino Linotype" w:cs="Palatino Linotype"/>
          <w:color w:val="000000" w:themeColor="text1"/>
        </w:rPr>
        <w:t>a la solicitud de información número</w:t>
      </w:r>
      <w:r w:rsidRPr="00F46DD9">
        <w:rPr>
          <w:rFonts w:eastAsia="Palatino Linotype" w:cs="Palatino Linotype"/>
          <w:b/>
          <w:bCs/>
          <w:color w:val="000000" w:themeColor="text1"/>
        </w:rPr>
        <w:t xml:space="preserve"> </w:t>
      </w:r>
      <w:r w:rsidR="007304CF" w:rsidRPr="00F46DD9">
        <w:rPr>
          <w:rFonts w:eastAsia="Palatino Linotype" w:cs="Palatino Linotype"/>
          <w:b/>
          <w:bCs/>
          <w:color w:val="000000"/>
          <w:szCs w:val="24"/>
        </w:rPr>
        <w:t>00294/TOLUCA/IP/2</w:t>
      </w:r>
      <w:r w:rsidR="00904C16" w:rsidRPr="00F46DD9">
        <w:rPr>
          <w:rFonts w:eastAsia="Palatino Linotype" w:cs="Palatino Linotype"/>
          <w:b/>
          <w:bCs/>
          <w:color w:val="000000"/>
          <w:szCs w:val="24"/>
        </w:rPr>
        <w:t>025</w:t>
      </w:r>
      <w:r w:rsidRPr="00F46DD9">
        <w:rPr>
          <w:rFonts w:eastAsia="Palatino Linotype" w:cs="Palatino Linotype"/>
          <w:color w:val="000000" w:themeColor="text1"/>
        </w:rPr>
        <w:t xml:space="preserve">, por resultar fundados los motivos de inconformidad argüidos por </w:t>
      </w:r>
      <w:r w:rsidR="007304CF" w:rsidRPr="00F46DD9">
        <w:rPr>
          <w:rFonts w:eastAsia="Palatino Linotype" w:cs="Palatino Linotype"/>
          <w:color w:val="000000" w:themeColor="text1"/>
        </w:rPr>
        <w:t>el</w:t>
      </w:r>
      <w:r w:rsidRPr="00F46DD9">
        <w:rPr>
          <w:rFonts w:eastAsia="Palatino Linotype" w:cs="Palatino Linotype"/>
          <w:color w:val="000000" w:themeColor="text1"/>
        </w:rPr>
        <w:t xml:space="preserve"> Recurrente, en términos del</w:t>
      </w:r>
      <w:r w:rsidRPr="00F46DD9">
        <w:rPr>
          <w:rFonts w:eastAsia="Palatino Linotype" w:cs="Palatino Linotype"/>
          <w:b/>
          <w:bCs/>
          <w:color w:val="000000" w:themeColor="text1"/>
        </w:rPr>
        <w:t xml:space="preserve"> Considerando QUINTO </w:t>
      </w:r>
      <w:r w:rsidRPr="00F46DD9">
        <w:rPr>
          <w:rFonts w:eastAsia="Palatino Linotype" w:cs="Palatino Linotype"/>
          <w:color w:val="000000" w:themeColor="text1"/>
        </w:rPr>
        <w:t xml:space="preserve">de la presente resolución. </w:t>
      </w:r>
    </w:p>
    <w:p w14:paraId="26BF0747"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p>
    <w:p w14:paraId="0986E81E" w14:textId="7C2C5F77"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b/>
          <w:color w:val="000000"/>
          <w:szCs w:val="24"/>
        </w:rPr>
        <w:lastRenderedPageBreak/>
        <w:t>SEGUNDO.</w:t>
      </w:r>
      <w:r w:rsidRPr="00F46DD9">
        <w:rPr>
          <w:rFonts w:eastAsia="Palatino Linotype" w:cs="Palatino Linotype"/>
          <w:color w:val="000000"/>
          <w:szCs w:val="24"/>
        </w:rPr>
        <w:t xml:space="preserve"> Se </w:t>
      </w:r>
      <w:r w:rsidRPr="00F46DD9">
        <w:rPr>
          <w:rFonts w:eastAsia="Palatino Linotype" w:cs="Palatino Linotype"/>
          <w:b/>
          <w:color w:val="000000"/>
          <w:szCs w:val="24"/>
        </w:rPr>
        <w:t>ORDENA</w:t>
      </w:r>
      <w:r w:rsidRPr="00F46DD9">
        <w:rPr>
          <w:rFonts w:eastAsia="Palatino Linotype" w:cs="Palatino Linotype"/>
          <w:color w:val="000000"/>
          <w:szCs w:val="24"/>
        </w:rPr>
        <w:t xml:space="preserve"> al Sujeto Obligado que haga entrega a</w:t>
      </w:r>
      <w:r w:rsidR="00904C16" w:rsidRPr="00F46DD9">
        <w:rPr>
          <w:rFonts w:eastAsia="Palatino Linotype" w:cs="Palatino Linotype"/>
          <w:color w:val="000000"/>
          <w:szCs w:val="24"/>
        </w:rPr>
        <w:t>l</w:t>
      </w:r>
      <w:r w:rsidRPr="00F46DD9">
        <w:rPr>
          <w:rFonts w:eastAsia="Palatino Linotype" w:cs="Palatino Linotype"/>
          <w:color w:val="000000"/>
          <w:szCs w:val="24"/>
        </w:rPr>
        <w:t xml:space="preserve"> Recurrente mediante el Sistema de Acceso a la Información Mexiquense (SAIMEX), en versión pública de ser procedente y en términos del </w:t>
      </w:r>
      <w:r w:rsidRPr="00F46DD9">
        <w:rPr>
          <w:rFonts w:eastAsia="Palatino Linotype" w:cs="Palatino Linotype"/>
          <w:b/>
          <w:color w:val="000000"/>
          <w:szCs w:val="24"/>
        </w:rPr>
        <w:t>Considerando QUINTO</w:t>
      </w:r>
      <w:r w:rsidRPr="00F46DD9">
        <w:rPr>
          <w:rFonts w:eastAsia="Palatino Linotype" w:cs="Palatino Linotype"/>
          <w:szCs w:val="24"/>
        </w:rPr>
        <w:t xml:space="preserve"> </w:t>
      </w:r>
      <w:r w:rsidRPr="00F46DD9">
        <w:rPr>
          <w:rFonts w:eastAsia="Palatino Linotype" w:cs="Palatino Linotype"/>
          <w:color w:val="000000"/>
          <w:szCs w:val="24"/>
        </w:rPr>
        <w:t xml:space="preserve">de lo siguiente: </w:t>
      </w:r>
    </w:p>
    <w:p w14:paraId="178378A7"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p>
    <w:p w14:paraId="29B86986" w14:textId="4FB8C736" w:rsidR="00DA6C05" w:rsidRPr="00F46DD9" w:rsidRDefault="00DA6C05" w:rsidP="002238E1">
      <w:pPr>
        <w:numPr>
          <w:ilvl w:val="0"/>
          <w:numId w:val="51"/>
        </w:numPr>
        <w:pBdr>
          <w:top w:val="nil"/>
          <w:left w:val="nil"/>
          <w:bottom w:val="nil"/>
          <w:right w:val="nil"/>
          <w:between w:val="nil"/>
        </w:pBdr>
        <w:spacing w:line="240" w:lineRule="auto"/>
        <w:rPr>
          <w:rFonts w:eastAsia="Palatino Linotype" w:cs="Palatino Linotype"/>
          <w:i/>
          <w:color w:val="000000"/>
          <w:lang w:val="es-ES"/>
        </w:rPr>
      </w:pPr>
      <w:r w:rsidRPr="00F46DD9">
        <w:rPr>
          <w:rFonts w:eastAsia="Palatino Linotype" w:cs="Palatino Linotype"/>
          <w:i/>
          <w:iCs/>
          <w:color w:val="000000" w:themeColor="text1"/>
          <w:lang w:val="es-ES"/>
        </w:rPr>
        <w:t xml:space="preserve">Los documentos en donde conste el </w:t>
      </w:r>
      <w:r w:rsidR="00314230" w:rsidRPr="00F46DD9">
        <w:rPr>
          <w:rFonts w:eastAsia="Palatino Linotype" w:cs="Palatino Linotype"/>
          <w:i/>
          <w:iCs/>
          <w:color w:val="000000" w:themeColor="text1"/>
          <w:lang w:val="es-ES"/>
        </w:rPr>
        <w:t>gasto realizado durante los eventos de Día de Reyes</w:t>
      </w:r>
      <w:r w:rsidR="005807BF" w:rsidRPr="00F46DD9">
        <w:rPr>
          <w:rFonts w:eastAsia="Palatino Linotype" w:cs="Palatino Linotype"/>
          <w:i/>
          <w:iCs/>
          <w:color w:val="000000" w:themeColor="text1"/>
          <w:lang w:val="es-ES"/>
        </w:rPr>
        <w:t xml:space="preserve"> de fecha once y doce de enero de dos mil veinticinco.</w:t>
      </w:r>
    </w:p>
    <w:p w14:paraId="22B4FEC4"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p>
    <w:p w14:paraId="149E6AD1"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color w:val="000000"/>
          <w:szCs w:val="24"/>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C747D97"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p>
    <w:p w14:paraId="3C02BD08"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b/>
          <w:color w:val="000000"/>
          <w:szCs w:val="24"/>
        </w:rPr>
        <w:t>TERCERO. Notifíquese</w:t>
      </w:r>
      <w:r w:rsidRPr="00F46DD9">
        <w:rPr>
          <w:rFonts w:eastAsia="Palatino Linotype" w:cs="Palatino Linotype"/>
          <w:b/>
          <w:i/>
          <w:color w:val="000000"/>
          <w:szCs w:val="24"/>
        </w:rPr>
        <w:t xml:space="preserve"> </w:t>
      </w:r>
      <w:r w:rsidRPr="00F46DD9">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1AB811"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p>
    <w:p w14:paraId="2C144E0D"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b/>
          <w:color w:val="000000"/>
          <w:szCs w:val="24"/>
        </w:rPr>
        <w:lastRenderedPageBreak/>
        <w:t xml:space="preserve">CUARTO. </w:t>
      </w:r>
      <w:r w:rsidRPr="00F46DD9">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031574" w14:textId="77777777" w:rsidR="00DA6C05" w:rsidRPr="00F46DD9" w:rsidRDefault="00DA6C05" w:rsidP="00DA6C05">
      <w:pPr>
        <w:pBdr>
          <w:top w:val="nil"/>
          <w:left w:val="nil"/>
          <w:bottom w:val="nil"/>
          <w:right w:val="nil"/>
          <w:between w:val="nil"/>
        </w:pBdr>
        <w:rPr>
          <w:rFonts w:eastAsia="Palatino Linotype" w:cs="Palatino Linotype"/>
          <w:color w:val="000000"/>
          <w:szCs w:val="24"/>
        </w:rPr>
      </w:pPr>
    </w:p>
    <w:p w14:paraId="6B5AB69D" w14:textId="18B549F1" w:rsidR="00DA6C05" w:rsidRPr="00F46DD9" w:rsidRDefault="00DA6C05" w:rsidP="00DA6C05">
      <w:pPr>
        <w:pBdr>
          <w:top w:val="nil"/>
          <w:left w:val="nil"/>
          <w:bottom w:val="nil"/>
          <w:right w:val="nil"/>
          <w:between w:val="nil"/>
        </w:pBdr>
        <w:rPr>
          <w:rFonts w:eastAsia="Palatino Linotype" w:cs="Palatino Linotype"/>
          <w:color w:val="000000"/>
          <w:szCs w:val="24"/>
        </w:rPr>
      </w:pPr>
      <w:r w:rsidRPr="00F46DD9">
        <w:rPr>
          <w:rFonts w:eastAsia="Palatino Linotype" w:cs="Palatino Linotype"/>
          <w:b/>
          <w:color w:val="000000"/>
          <w:szCs w:val="24"/>
        </w:rPr>
        <w:t xml:space="preserve">QUINTO. Notifíquese </w:t>
      </w:r>
      <w:r w:rsidRPr="00F46DD9">
        <w:rPr>
          <w:rFonts w:eastAsia="Palatino Linotype" w:cs="Palatino Linotype"/>
          <w:color w:val="000000"/>
          <w:szCs w:val="24"/>
        </w:rPr>
        <w:t>la presente resolución a</w:t>
      </w:r>
      <w:r w:rsidR="005A6979" w:rsidRPr="00F46DD9">
        <w:rPr>
          <w:rFonts w:eastAsia="Palatino Linotype" w:cs="Palatino Linotype"/>
          <w:color w:val="000000"/>
          <w:szCs w:val="24"/>
        </w:rPr>
        <w:t>l</w:t>
      </w:r>
      <w:r w:rsidRPr="00F46DD9">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58A6B6A" w14:textId="63B9788C" w:rsidR="00D07637" w:rsidRPr="00F46DD9" w:rsidRDefault="00D07637" w:rsidP="00DA6C05">
      <w:pPr>
        <w:tabs>
          <w:tab w:val="left" w:pos="1062"/>
        </w:tabs>
        <w:contextualSpacing/>
        <w:rPr>
          <w:rFonts w:eastAsia="Palatino Linotype" w:cs="Palatino Linotype"/>
          <w:szCs w:val="24"/>
        </w:rPr>
      </w:pPr>
    </w:p>
    <w:p w14:paraId="20573BFF" w14:textId="2998A082" w:rsidR="00A970D5" w:rsidRPr="00F46DD9" w:rsidRDefault="005A45B1" w:rsidP="00B837B8">
      <w:pPr>
        <w:pBdr>
          <w:top w:val="nil"/>
          <w:left w:val="nil"/>
          <w:bottom w:val="nil"/>
          <w:right w:val="nil"/>
          <w:between w:val="nil"/>
        </w:pBdr>
        <w:contextualSpacing/>
        <w:rPr>
          <w:rFonts w:eastAsia="Palatino Linotype" w:cs="Palatino Linotype"/>
          <w:color w:val="000000"/>
          <w:szCs w:val="24"/>
        </w:rPr>
      </w:pPr>
      <w:r w:rsidRPr="00F46DD9">
        <w:rPr>
          <w:rFonts w:eastAsia="Palatino Linotype" w:cs="Palatino Linotype"/>
          <w:color w:val="000000"/>
          <w:szCs w:val="24"/>
        </w:rPr>
        <w:t>ASÍ LO RESUELVE</w:t>
      </w:r>
      <w:r w:rsidR="00247FE8" w:rsidRPr="00F46DD9">
        <w:rPr>
          <w:rFonts w:eastAsia="Palatino Linotype" w:cs="Palatino Linotype"/>
          <w:color w:val="000000"/>
          <w:szCs w:val="24"/>
        </w:rPr>
        <w:t xml:space="preserve"> POR UNANIMIDAD</w:t>
      </w:r>
      <w:r w:rsidRPr="00F46DD9">
        <w:rPr>
          <w:rFonts w:eastAsia="Palatino Linotype" w:cs="Palatino Linotype"/>
          <w:color w:val="000000"/>
          <w:szCs w:val="24"/>
        </w:rPr>
        <w:t xml:space="preserve"> </w:t>
      </w:r>
      <w:r w:rsidR="006922F5" w:rsidRPr="00F46DD9">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F46DD9">
        <w:rPr>
          <w:rFonts w:eastAsia="Palatino Linotype" w:cs="Palatino Linotype"/>
          <w:color w:val="000000"/>
          <w:szCs w:val="24"/>
        </w:rPr>
        <w:t xml:space="preserve"> </w:t>
      </w:r>
      <w:r w:rsidR="006922F5" w:rsidRPr="00F46DD9">
        <w:rPr>
          <w:rFonts w:eastAsia="Palatino Linotype" w:cs="Palatino Linotype"/>
          <w:color w:val="000000"/>
          <w:szCs w:val="24"/>
        </w:rPr>
        <w:t>Y GUADALUPE RAMÍREZ PEÑA</w:t>
      </w:r>
      <w:r w:rsidR="00AF6B94" w:rsidRPr="00F46DD9">
        <w:rPr>
          <w:rFonts w:eastAsia="Palatino Linotype" w:cs="Palatino Linotype"/>
          <w:color w:val="000000"/>
          <w:szCs w:val="24"/>
        </w:rPr>
        <w:t>,</w:t>
      </w:r>
      <w:r w:rsidR="00F37687" w:rsidRPr="00F46DD9">
        <w:rPr>
          <w:rFonts w:eastAsia="Palatino Linotype" w:cs="Palatino Linotype"/>
          <w:color w:val="000000"/>
          <w:szCs w:val="24"/>
        </w:rPr>
        <w:t xml:space="preserve"> </w:t>
      </w:r>
      <w:r w:rsidR="006922F5" w:rsidRPr="00F46DD9">
        <w:rPr>
          <w:rFonts w:eastAsia="Palatino Linotype" w:cs="Palatino Linotype"/>
          <w:color w:val="000000"/>
          <w:szCs w:val="24"/>
        </w:rPr>
        <w:t>EN LA</w:t>
      </w:r>
      <w:r w:rsidR="00C93568" w:rsidRPr="00F46DD9">
        <w:rPr>
          <w:rFonts w:eastAsia="Palatino Linotype" w:cs="Palatino Linotype"/>
          <w:color w:val="000000"/>
          <w:szCs w:val="24"/>
        </w:rPr>
        <w:t xml:space="preserve"> </w:t>
      </w:r>
      <w:r w:rsidR="004F7C98" w:rsidRPr="00F46DD9">
        <w:rPr>
          <w:rFonts w:eastAsia="Palatino Linotype" w:cs="Palatino Linotype"/>
          <w:color w:val="000000"/>
          <w:szCs w:val="24"/>
        </w:rPr>
        <w:t>DÉCIMA SEGUNDA</w:t>
      </w:r>
      <w:r w:rsidR="00501811" w:rsidRPr="00F46DD9">
        <w:rPr>
          <w:rFonts w:eastAsia="Palatino Linotype" w:cs="Palatino Linotype"/>
          <w:color w:val="000000"/>
          <w:szCs w:val="24"/>
        </w:rPr>
        <w:t xml:space="preserve"> </w:t>
      </w:r>
      <w:r w:rsidR="006922F5" w:rsidRPr="00F46DD9">
        <w:rPr>
          <w:rFonts w:eastAsia="Palatino Linotype" w:cs="Palatino Linotype"/>
          <w:color w:val="000000"/>
          <w:szCs w:val="24"/>
        </w:rPr>
        <w:t>SESIÓN ORDINARIA CELEBRADA E</w:t>
      </w:r>
      <w:r w:rsidR="00C93568" w:rsidRPr="00F46DD9">
        <w:rPr>
          <w:rFonts w:eastAsia="Palatino Linotype" w:cs="Palatino Linotype"/>
          <w:color w:val="000000"/>
          <w:szCs w:val="24"/>
        </w:rPr>
        <w:t>L</w:t>
      </w:r>
      <w:r w:rsidR="0011108B" w:rsidRPr="00F46DD9">
        <w:rPr>
          <w:rFonts w:eastAsia="Palatino Linotype" w:cs="Palatino Linotype"/>
          <w:color w:val="000000"/>
          <w:szCs w:val="24"/>
        </w:rPr>
        <w:t xml:space="preserve"> </w:t>
      </w:r>
      <w:r w:rsidR="008A304E" w:rsidRPr="00F46DD9">
        <w:rPr>
          <w:rFonts w:eastAsia="Palatino Linotype" w:cs="Palatino Linotype"/>
          <w:color w:val="000000"/>
          <w:szCs w:val="24"/>
        </w:rPr>
        <w:t>D</w:t>
      </w:r>
      <w:r w:rsidR="004F7C98" w:rsidRPr="00F46DD9">
        <w:rPr>
          <w:rFonts w:eastAsia="Palatino Linotype" w:cs="Palatino Linotype"/>
          <w:color w:val="000000"/>
          <w:szCs w:val="24"/>
        </w:rPr>
        <w:t>OS DE ABRIL</w:t>
      </w:r>
      <w:r w:rsidR="00C93568" w:rsidRPr="00F46DD9">
        <w:rPr>
          <w:rFonts w:eastAsia="Palatino Linotype" w:cs="Palatino Linotype"/>
          <w:color w:val="000000"/>
          <w:szCs w:val="24"/>
        </w:rPr>
        <w:t xml:space="preserve"> </w:t>
      </w:r>
      <w:r w:rsidR="002475C3" w:rsidRPr="00F46DD9">
        <w:rPr>
          <w:rFonts w:eastAsia="Palatino Linotype" w:cs="Palatino Linotype"/>
          <w:color w:val="000000"/>
          <w:szCs w:val="24"/>
        </w:rPr>
        <w:t>DE DOS MIL VEINTI</w:t>
      </w:r>
      <w:r w:rsidR="0011108B" w:rsidRPr="00F46DD9">
        <w:rPr>
          <w:rFonts w:eastAsia="Palatino Linotype" w:cs="Palatino Linotype"/>
          <w:color w:val="000000"/>
          <w:szCs w:val="24"/>
        </w:rPr>
        <w:t>C</w:t>
      </w:r>
      <w:r w:rsidR="00B43890" w:rsidRPr="00F46DD9">
        <w:rPr>
          <w:rFonts w:eastAsia="Palatino Linotype" w:cs="Palatino Linotype"/>
          <w:color w:val="000000"/>
          <w:szCs w:val="24"/>
        </w:rPr>
        <w:t>INCO</w:t>
      </w:r>
      <w:r w:rsidR="006922F5" w:rsidRPr="00F46DD9">
        <w:rPr>
          <w:rFonts w:eastAsia="Palatino Linotype" w:cs="Palatino Linotype"/>
          <w:color w:val="000000"/>
          <w:szCs w:val="24"/>
        </w:rPr>
        <w:t xml:space="preserve">, ANTE EL SECRETARIO TÉCNICO </w:t>
      </w:r>
      <w:r w:rsidRPr="00F46DD9">
        <w:rPr>
          <w:rFonts w:eastAsia="Palatino Linotype" w:cs="Palatino Linotype"/>
          <w:color w:val="000000"/>
          <w:szCs w:val="24"/>
        </w:rPr>
        <w:t>DEL PLENO, ALEXIS TAPIA RAMÍREZ</w:t>
      </w:r>
      <w:r w:rsidR="00A970D5" w:rsidRPr="00F46DD9">
        <w:rPr>
          <w:rFonts w:eastAsia="Palatino Linotype" w:cs="Palatino Linotype"/>
          <w:color w:val="000000"/>
          <w:szCs w:val="24"/>
        </w:rPr>
        <w:t>.</w:t>
      </w:r>
      <w:r w:rsidR="001957CF" w:rsidRPr="00F46DD9">
        <w:rPr>
          <w:rFonts w:eastAsia="Palatino Linotype" w:cs="Palatino Linotype"/>
          <w:color w:val="000000"/>
          <w:szCs w:val="24"/>
        </w:rPr>
        <w:t>--------------</w:t>
      </w:r>
      <w:r w:rsidR="00C6512A" w:rsidRPr="00F46DD9">
        <w:rPr>
          <w:rFonts w:eastAsia="Palatino Linotype" w:cs="Palatino Linotype"/>
          <w:color w:val="000000"/>
          <w:szCs w:val="24"/>
        </w:rPr>
        <w:t>---------</w:t>
      </w:r>
      <w:r w:rsidR="00337FA1" w:rsidRPr="00F46DD9">
        <w:rPr>
          <w:rFonts w:eastAsia="Palatino Linotype" w:cs="Palatino Linotype"/>
          <w:color w:val="000000"/>
          <w:szCs w:val="24"/>
        </w:rPr>
        <w:t>-----</w:t>
      </w:r>
      <w:r w:rsidR="00BA5315" w:rsidRPr="00F46DD9">
        <w:rPr>
          <w:rFonts w:eastAsia="Palatino Linotype" w:cs="Palatino Linotype"/>
          <w:color w:val="000000"/>
          <w:szCs w:val="24"/>
        </w:rPr>
        <w:t>---------------------------------------------------------------</w:t>
      </w:r>
      <w:r w:rsidR="00B837B8" w:rsidRPr="00F46DD9">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F46DD9">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0EA43" w14:textId="77777777" w:rsidR="004D048E" w:rsidRDefault="004D048E" w:rsidP="00F2498E">
      <w:pPr>
        <w:spacing w:line="240" w:lineRule="auto"/>
      </w:pPr>
      <w:r>
        <w:separator/>
      </w:r>
    </w:p>
  </w:endnote>
  <w:endnote w:type="continuationSeparator" w:id="0">
    <w:p w14:paraId="73610104" w14:textId="77777777" w:rsidR="004D048E" w:rsidRDefault="004D048E" w:rsidP="00F2498E">
      <w:pPr>
        <w:spacing w:line="240" w:lineRule="auto"/>
      </w:pPr>
      <w:r>
        <w:continuationSeparator/>
      </w:r>
    </w:p>
  </w:endnote>
  <w:endnote w:type="continuationNotice" w:id="1">
    <w:p w14:paraId="68D2CFD8" w14:textId="77777777" w:rsidR="004D048E" w:rsidRDefault="004D04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76AF1BB6" w:rsidR="00024A0E" w:rsidRPr="00871A91" w:rsidRDefault="00024A0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46DD9">
      <w:rPr>
        <w:rFonts w:ascii="Palatino Linotype" w:hAnsi="Palatino Linotype"/>
        <w:b/>
        <w:bCs/>
        <w:noProof/>
        <w:sz w:val="20"/>
      </w:rPr>
      <w:t>14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46DD9">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332AAAEC" w:rsidR="00024A0E" w:rsidRPr="00871A91" w:rsidRDefault="00024A0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46DD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46DD9">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EE455" w14:textId="77777777" w:rsidR="004D048E" w:rsidRDefault="004D048E" w:rsidP="00F2498E">
      <w:pPr>
        <w:spacing w:line="240" w:lineRule="auto"/>
      </w:pPr>
      <w:r>
        <w:separator/>
      </w:r>
    </w:p>
  </w:footnote>
  <w:footnote w:type="continuationSeparator" w:id="0">
    <w:p w14:paraId="3C3D3486" w14:textId="77777777" w:rsidR="004D048E" w:rsidRDefault="004D048E" w:rsidP="00F2498E">
      <w:pPr>
        <w:spacing w:line="240" w:lineRule="auto"/>
      </w:pPr>
      <w:r>
        <w:continuationSeparator/>
      </w:r>
    </w:p>
  </w:footnote>
  <w:footnote w:type="continuationNotice" w:id="1">
    <w:p w14:paraId="1DE06C64" w14:textId="77777777" w:rsidR="004D048E" w:rsidRDefault="004D048E">
      <w:pPr>
        <w:spacing w:line="240" w:lineRule="auto"/>
      </w:pPr>
    </w:p>
  </w:footnote>
  <w:footnote w:id="2">
    <w:p w14:paraId="2BCE50A0" w14:textId="77777777" w:rsidR="00024A0E" w:rsidRPr="0031280C" w:rsidRDefault="00024A0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24A0E" w:rsidRPr="0031280C" w:rsidRDefault="00024A0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24A0E" w:rsidRPr="0031280C" w:rsidRDefault="00024A0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24A0E" w:rsidRPr="0031280C" w:rsidRDefault="00024A0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D97B1A3" w14:textId="6DF2118C" w:rsidR="00024A0E" w:rsidRPr="00A70AA0" w:rsidRDefault="00024A0E">
      <w:pPr>
        <w:pStyle w:val="Textonotapie"/>
        <w:rPr>
          <w:lang w:val="es-MX"/>
        </w:rPr>
      </w:pPr>
      <w:r>
        <w:rPr>
          <w:rStyle w:val="Refdenotaalpie"/>
        </w:rPr>
        <w:footnoteRef/>
      </w:r>
      <w:r>
        <w:t xml:space="preserve"> </w:t>
      </w:r>
      <w:hyperlink r:id="rId3" w:history="1">
        <w:r w:rsidRPr="00FB45BD">
          <w:rPr>
            <w:rStyle w:val="Hipervnculo"/>
          </w:rPr>
          <w:t>https://www2.toluca.gob.mx/ricardo-moreno-prepara-festival-de-dia-de-reyes-en-toluca/</w:t>
        </w:r>
      </w:hyperlink>
      <w:r>
        <w:t xml:space="preserve"> consultado el veintiuno de marzo de dos mil veinticinco.</w:t>
      </w:r>
    </w:p>
  </w:footnote>
  <w:footnote w:id="4">
    <w:p w14:paraId="4E77D1F8" w14:textId="77777777" w:rsidR="001C2BC4" w:rsidRDefault="001C2BC4" w:rsidP="001C2BC4">
      <w:pPr>
        <w:pStyle w:val="Textonotapie"/>
      </w:pPr>
      <w:r>
        <w:rPr>
          <w:rStyle w:val="Refdenotaalpie"/>
        </w:rPr>
        <w:footnoteRef/>
      </w:r>
      <w:r>
        <w:t xml:space="preserve"> </w:t>
      </w:r>
      <w:r w:rsidRPr="00517BF2">
        <w:rPr>
          <w:i/>
          <w:lang w:val="es-MX"/>
        </w:rPr>
        <w:t>Publicada en la Gaceta del Gobierno del Estado de México</w:t>
      </w:r>
      <w:r>
        <w:rPr>
          <w:i/>
          <w:lang w:val="es-MX"/>
        </w:rPr>
        <w:t>,</w:t>
      </w:r>
      <w:r w:rsidRPr="00517BF2">
        <w:rPr>
          <w:i/>
          <w:lang w:val="es-MX"/>
        </w:rPr>
        <w:t xml:space="preserve"> el día 03 de mayo de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024A0E" w:rsidRDefault="00F46DD9">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4A0E" w:rsidRPr="00B17577" w14:paraId="37B9EBDE" w14:textId="77777777" w:rsidTr="003938ED">
      <w:trPr>
        <w:trHeight w:val="227"/>
      </w:trPr>
      <w:tc>
        <w:tcPr>
          <w:tcW w:w="5103" w:type="dxa"/>
          <w:hideMark/>
        </w:tcPr>
        <w:p w14:paraId="4964FBC5" w14:textId="54CDA645" w:rsidR="00024A0E" w:rsidRPr="00096248" w:rsidRDefault="00024A0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7268371" w:rsidR="00024A0E" w:rsidRPr="00096248" w:rsidRDefault="00024A0E" w:rsidP="00011C4D">
          <w:pPr>
            <w:spacing w:after="120" w:line="240" w:lineRule="auto"/>
            <w:ind w:right="71"/>
            <w:jc w:val="right"/>
            <w:rPr>
              <w:rFonts w:cs="Arial"/>
              <w:b/>
              <w:szCs w:val="24"/>
            </w:rPr>
          </w:pPr>
          <w:r>
            <w:rPr>
              <w:rFonts w:cs="Arial"/>
              <w:b/>
              <w:bCs/>
              <w:szCs w:val="24"/>
            </w:rPr>
            <w:t>01505/INFOEM/IP/RR/2025</w:t>
          </w:r>
        </w:p>
      </w:tc>
    </w:tr>
    <w:tr w:rsidR="00024A0E" w14:paraId="7591D3C9" w14:textId="77777777" w:rsidTr="003938ED">
      <w:trPr>
        <w:trHeight w:val="242"/>
      </w:trPr>
      <w:tc>
        <w:tcPr>
          <w:tcW w:w="5103" w:type="dxa"/>
          <w:hideMark/>
        </w:tcPr>
        <w:p w14:paraId="729A65A8" w14:textId="77777777" w:rsidR="00024A0E" w:rsidRPr="00096248" w:rsidRDefault="00024A0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9478CC8" w:rsidR="00024A0E" w:rsidRPr="00096248" w:rsidRDefault="00024A0E" w:rsidP="00011C4D">
          <w:pPr>
            <w:spacing w:after="120" w:line="240" w:lineRule="auto"/>
            <w:ind w:left="-81" w:right="71"/>
            <w:jc w:val="right"/>
            <w:rPr>
              <w:rFonts w:cs="Arial"/>
              <w:szCs w:val="24"/>
            </w:rPr>
          </w:pPr>
          <w:r>
            <w:rPr>
              <w:rFonts w:cs="Arial"/>
              <w:szCs w:val="24"/>
            </w:rPr>
            <w:t>Ayuntamiento de Toluca</w:t>
          </w:r>
        </w:p>
      </w:tc>
    </w:tr>
    <w:tr w:rsidR="00024A0E" w:rsidRPr="00F63239" w14:paraId="037E914D" w14:textId="77777777" w:rsidTr="003938ED">
      <w:trPr>
        <w:trHeight w:val="342"/>
      </w:trPr>
      <w:tc>
        <w:tcPr>
          <w:tcW w:w="5103" w:type="dxa"/>
          <w:hideMark/>
        </w:tcPr>
        <w:p w14:paraId="7676B68F" w14:textId="64D69EAF" w:rsidR="00024A0E" w:rsidRPr="00096248" w:rsidRDefault="00024A0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24A0E" w:rsidRDefault="00024A0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24A0E" w:rsidRPr="00711916" w:rsidRDefault="00024A0E" w:rsidP="00011C4D">
          <w:pPr>
            <w:spacing w:after="120" w:line="240" w:lineRule="auto"/>
            <w:ind w:left="-486" w:right="71" w:firstLine="567"/>
            <w:jc w:val="right"/>
            <w:rPr>
              <w:rFonts w:cs="Arial"/>
              <w:sz w:val="2"/>
              <w:szCs w:val="2"/>
            </w:rPr>
          </w:pPr>
        </w:p>
      </w:tc>
    </w:tr>
  </w:tbl>
  <w:p w14:paraId="2998DBFD" w14:textId="25A9F426" w:rsidR="00024A0E" w:rsidRPr="00871A91" w:rsidRDefault="00F46DD9">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24A0E">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4A0E" w14:paraId="0F9FE9B6" w14:textId="77777777" w:rsidTr="70652167">
      <w:trPr>
        <w:trHeight w:val="227"/>
      </w:trPr>
      <w:tc>
        <w:tcPr>
          <w:tcW w:w="5103" w:type="dxa"/>
          <w:hideMark/>
        </w:tcPr>
        <w:p w14:paraId="6D1D9D71" w14:textId="11150E5A" w:rsidR="00024A0E" w:rsidRPr="00663A37" w:rsidRDefault="00024A0E"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4C4F7A1" w:rsidR="00024A0E" w:rsidRPr="00C81ECD" w:rsidRDefault="00024A0E" w:rsidP="00011C4D">
          <w:pPr>
            <w:spacing w:after="120" w:line="240" w:lineRule="auto"/>
            <w:ind w:left="-486" w:right="68" w:firstLine="558"/>
            <w:jc w:val="right"/>
            <w:rPr>
              <w:rFonts w:cs="Arial"/>
              <w:b/>
              <w:szCs w:val="24"/>
            </w:rPr>
          </w:pPr>
          <w:r>
            <w:rPr>
              <w:rFonts w:cs="Arial"/>
              <w:b/>
              <w:bCs/>
              <w:szCs w:val="24"/>
            </w:rPr>
            <w:t>01505/INFOEM/IP/RR/2025</w:t>
          </w:r>
        </w:p>
      </w:tc>
    </w:tr>
    <w:tr w:rsidR="00024A0E" w:rsidRPr="001F57CD" w14:paraId="1377D264" w14:textId="77777777" w:rsidTr="70652167">
      <w:trPr>
        <w:trHeight w:val="196"/>
      </w:trPr>
      <w:tc>
        <w:tcPr>
          <w:tcW w:w="5103" w:type="dxa"/>
          <w:hideMark/>
        </w:tcPr>
        <w:p w14:paraId="04D597A1" w14:textId="77777777" w:rsidR="00024A0E" w:rsidRPr="00663A37" w:rsidRDefault="00024A0E"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1C72059" w:rsidR="00024A0E" w:rsidRPr="00663A37" w:rsidRDefault="00761BE6" w:rsidP="70652167">
          <w:pPr>
            <w:spacing w:after="120" w:line="240" w:lineRule="auto"/>
            <w:ind w:right="68"/>
            <w:jc w:val="right"/>
            <w:rPr>
              <w:rFonts w:cs="Arial"/>
              <w:lang w:val="es-ES"/>
            </w:rPr>
          </w:pPr>
          <w:r>
            <w:rPr>
              <w:rFonts w:cs="Arial"/>
              <w:lang w:val="es-ES"/>
            </w:rPr>
            <w:t>XXXXXXXXXXXXXXXXXX</w:t>
          </w:r>
        </w:p>
      </w:tc>
    </w:tr>
    <w:tr w:rsidR="00024A0E" w14:paraId="4DC11993" w14:textId="77777777" w:rsidTr="70652167">
      <w:trPr>
        <w:trHeight w:val="242"/>
      </w:trPr>
      <w:tc>
        <w:tcPr>
          <w:tcW w:w="5103" w:type="dxa"/>
          <w:hideMark/>
        </w:tcPr>
        <w:p w14:paraId="76CEF1B5" w14:textId="77777777" w:rsidR="00024A0E" w:rsidRPr="00663A37" w:rsidRDefault="00024A0E"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5E546" w:rsidR="00024A0E" w:rsidRPr="00663A37" w:rsidRDefault="00024A0E" w:rsidP="00771E23">
          <w:pPr>
            <w:spacing w:after="120" w:line="240" w:lineRule="auto"/>
            <w:ind w:left="-70" w:right="68"/>
            <w:jc w:val="right"/>
            <w:rPr>
              <w:rFonts w:cs="Arial"/>
              <w:szCs w:val="24"/>
            </w:rPr>
          </w:pPr>
          <w:r>
            <w:rPr>
              <w:rFonts w:cs="Arial"/>
              <w:szCs w:val="24"/>
            </w:rPr>
            <w:t>Ayuntamiento de Toluca</w:t>
          </w:r>
        </w:p>
      </w:tc>
    </w:tr>
    <w:tr w:rsidR="00024A0E" w14:paraId="5C2B511D" w14:textId="77777777" w:rsidTr="70652167">
      <w:trPr>
        <w:trHeight w:val="342"/>
      </w:trPr>
      <w:tc>
        <w:tcPr>
          <w:tcW w:w="5103" w:type="dxa"/>
          <w:hideMark/>
        </w:tcPr>
        <w:p w14:paraId="03FEF68C" w14:textId="45E91CF4" w:rsidR="00024A0E" w:rsidRPr="00663A37" w:rsidRDefault="00024A0E"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24A0E" w:rsidRPr="00663A37" w:rsidRDefault="00024A0E"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24A0E" w:rsidRPr="00871A91" w:rsidRDefault="00F46DD9">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24A0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3"/>
  </w:num>
  <w:num w:numId="3">
    <w:abstractNumId w:val="13"/>
  </w:num>
  <w:num w:numId="4">
    <w:abstractNumId w:val="44"/>
  </w:num>
  <w:num w:numId="5">
    <w:abstractNumId w:val="4"/>
  </w:num>
  <w:num w:numId="6">
    <w:abstractNumId w:val="37"/>
  </w:num>
  <w:num w:numId="7">
    <w:abstractNumId w:val="11"/>
  </w:num>
  <w:num w:numId="8">
    <w:abstractNumId w:val="3"/>
  </w:num>
  <w:num w:numId="9">
    <w:abstractNumId w:val="20"/>
  </w:num>
  <w:num w:numId="10">
    <w:abstractNumId w:val="21"/>
  </w:num>
  <w:num w:numId="11">
    <w:abstractNumId w:val="48"/>
  </w:num>
  <w:num w:numId="12">
    <w:abstractNumId w:val="42"/>
  </w:num>
  <w:num w:numId="13">
    <w:abstractNumId w:val="28"/>
  </w:num>
  <w:num w:numId="14">
    <w:abstractNumId w:val="32"/>
  </w:num>
  <w:num w:numId="15">
    <w:abstractNumId w:val="17"/>
  </w:num>
  <w:num w:numId="16">
    <w:abstractNumId w:val="27"/>
  </w:num>
  <w:num w:numId="17">
    <w:abstractNumId w:val="15"/>
  </w:num>
  <w:num w:numId="18">
    <w:abstractNumId w:val="6"/>
  </w:num>
  <w:num w:numId="19">
    <w:abstractNumId w:val="7"/>
  </w:num>
  <w:num w:numId="20">
    <w:abstractNumId w:val="14"/>
  </w:num>
  <w:num w:numId="21">
    <w:abstractNumId w:val="23"/>
  </w:num>
  <w:num w:numId="22">
    <w:abstractNumId w:val="2"/>
  </w:num>
  <w:num w:numId="23">
    <w:abstractNumId w:val="30"/>
  </w:num>
  <w:num w:numId="24">
    <w:abstractNumId w:val="36"/>
  </w:num>
  <w:num w:numId="25">
    <w:abstractNumId w:val="43"/>
  </w:num>
  <w:num w:numId="26">
    <w:abstractNumId w:val="19"/>
  </w:num>
  <w:num w:numId="27">
    <w:abstractNumId w:val="39"/>
  </w:num>
  <w:num w:numId="28">
    <w:abstractNumId w:val="25"/>
  </w:num>
  <w:num w:numId="29">
    <w:abstractNumId w:val="22"/>
  </w:num>
  <w:num w:numId="30">
    <w:abstractNumId w:val="16"/>
  </w:num>
  <w:num w:numId="31">
    <w:abstractNumId w:val="31"/>
  </w:num>
  <w:num w:numId="32">
    <w:abstractNumId w:val="35"/>
  </w:num>
  <w:num w:numId="33">
    <w:abstractNumId w:val="5"/>
  </w:num>
  <w:num w:numId="34">
    <w:abstractNumId w:val="46"/>
  </w:num>
  <w:num w:numId="35">
    <w:abstractNumId w:val="49"/>
  </w:num>
  <w:num w:numId="36">
    <w:abstractNumId w:val="41"/>
  </w:num>
  <w:num w:numId="37">
    <w:abstractNumId w:val="8"/>
  </w:num>
  <w:num w:numId="38">
    <w:abstractNumId w:val="40"/>
  </w:num>
  <w:num w:numId="39">
    <w:abstractNumId w:val="9"/>
  </w:num>
  <w:num w:numId="40">
    <w:abstractNumId w:val="38"/>
  </w:num>
  <w:num w:numId="41">
    <w:abstractNumId w:val="45"/>
  </w:num>
  <w:num w:numId="42">
    <w:abstractNumId w:val="0"/>
  </w:num>
  <w:num w:numId="43">
    <w:abstractNumId w:val="1"/>
  </w:num>
  <w:num w:numId="44">
    <w:abstractNumId w:val="26"/>
  </w:num>
  <w:num w:numId="45">
    <w:abstractNumId w:val="18"/>
  </w:num>
  <w:num w:numId="46">
    <w:abstractNumId w:val="47"/>
  </w:num>
  <w:num w:numId="47">
    <w:abstractNumId w:val="24"/>
  </w:num>
  <w:num w:numId="48">
    <w:abstractNumId w:val="50"/>
  </w:num>
  <w:num w:numId="49">
    <w:abstractNumId w:val="34"/>
  </w:num>
  <w:num w:numId="50">
    <w:abstractNumId w:val="10"/>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0E"/>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639"/>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5BFE"/>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0820"/>
    <w:rsid w:val="0010147E"/>
    <w:rsid w:val="0010149D"/>
    <w:rsid w:val="0010153C"/>
    <w:rsid w:val="00102165"/>
    <w:rsid w:val="0010239B"/>
    <w:rsid w:val="0010303E"/>
    <w:rsid w:val="00103271"/>
    <w:rsid w:val="00103A9A"/>
    <w:rsid w:val="00103C89"/>
    <w:rsid w:val="00103D8C"/>
    <w:rsid w:val="00104BE3"/>
    <w:rsid w:val="001050A9"/>
    <w:rsid w:val="00105924"/>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13"/>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CFA"/>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BC4"/>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D7BDD"/>
    <w:rsid w:val="001E04CC"/>
    <w:rsid w:val="001E0D6B"/>
    <w:rsid w:val="001E1533"/>
    <w:rsid w:val="001E1754"/>
    <w:rsid w:val="001E1791"/>
    <w:rsid w:val="001E19E7"/>
    <w:rsid w:val="001E1A95"/>
    <w:rsid w:val="001E210A"/>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38E1"/>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5FEA"/>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502"/>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70"/>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32E7"/>
    <w:rsid w:val="002E355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230"/>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23"/>
    <w:rsid w:val="003E468A"/>
    <w:rsid w:val="003E4972"/>
    <w:rsid w:val="003E4BAA"/>
    <w:rsid w:val="003E606D"/>
    <w:rsid w:val="003E674F"/>
    <w:rsid w:val="003E6C77"/>
    <w:rsid w:val="003E6E17"/>
    <w:rsid w:val="003E73C6"/>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992"/>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90D"/>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48E"/>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98"/>
    <w:rsid w:val="004F7CBE"/>
    <w:rsid w:val="00500448"/>
    <w:rsid w:val="00500E29"/>
    <w:rsid w:val="00501811"/>
    <w:rsid w:val="00501E92"/>
    <w:rsid w:val="005025C7"/>
    <w:rsid w:val="005039C0"/>
    <w:rsid w:val="00504B42"/>
    <w:rsid w:val="0050566F"/>
    <w:rsid w:val="005062C3"/>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7BF"/>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0F01"/>
    <w:rsid w:val="005A1C6D"/>
    <w:rsid w:val="005A1EA5"/>
    <w:rsid w:val="005A2CE7"/>
    <w:rsid w:val="005A2F92"/>
    <w:rsid w:val="005A40C1"/>
    <w:rsid w:val="005A43E7"/>
    <w:rsid w:val="005A4480"/>
    <w:rsid w:val="005A45B1"/>
    <w:rsid w:val="005A6057"/>
    <w:rsid w:val="005A60E9"/>
    <w:rsid w:val="005A697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282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80F"/>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2C1"/>
    <w:rsid w:val="006C48DE"/>
    <w:rsid w:val="006C5074"/>
    <w:rsid w:val="006C52D3"/>
    <w:rsid w:val="006C55C2"/>
    <w:rsid w:val="006C55D7"/>
    <w:rsid w:val="006C698A"/>
    <w:rsid w:val="006C6C41"/>
    <w:rsid w:val="006C746A"/>
    <w:rsid w:val="006C7E69"/>
    <w:rsid w:val="006D0A02"/>
    <w:rsid w:val="006D0F14"/>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426"/>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CF"/>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BE6"/>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187"/>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7CB"/>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47C"/>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309A"/>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5E9D"/>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A00"/>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034"/>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4C16"/>
    <w:rsid w:val="00905C6E"/>
    <w:rsid w:val="0090753F"/>
    <w:rsid w:val="00907591"/>
    <w:rsid w:val="00907913"/>
    <w:rsid w:val="00907D17"/>
    <w:rsid w:val="0091020B"/>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A15"/>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58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4FDB"/>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6BFD"/>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0AA0"/>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2A0C"/>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6875"/>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4B9"/>
    <w:rsid w:val="00B4566B"/>
    <w:rsid w:val="00B4620E"/>
    <w:rsid w:val="00B46CB0"/>
    <w:rsid w:val="00B4725D"/>
    <w:rsid w:val="00B47408"/>
    <w:rsid w:val="00B47EC4"/>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89A"/>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55A"/>
    <w:rsid w:val="00C668EA"/>
    <w:rsid w:val="00C66AC2"/>
    <w:rsid w:val="00C67387"/>
    <w:rsid w:val="00C679CA"/>
    <w:rsid w:val="00C67D0D"/>
    <w:rsid w:val="00C7008E"/>
    <w:rsid w:val="00C7062B"/>
    <w:rsid w:val="00C71A87"/>
    <w:rsid w:val="00C72BDC"/>
    <w:rsid w:val="00C72F35"/>
    <w:rsid w:val="00C73110"/>
    <w:rsid w:val="00C73ED0"/>
    <w:rsid w:val="00C74ACA"/>
    <w:rsid w:val="00C74F2A"/>
    <w:rsid w:val="00C755F6"/>
    <w:rsid w:val="00C7581D"/>
    <w:rsid w:val="00C75C4F"/>
    <w:rsid w:val="00C76946"/>
    <w:rsid w:val="00C76CD4"/>
    <w:rsid w:val="00C77686"/>
    <w:rsid w:val="00C809F1"/>
    <w:rsid w:val="00C80B05"/>
    <w:rsid w:val="00C80D5B"/>
    <w:rsid w:val="00C8138B"/>
    <w:rsid w:val="00C81550"/>
    <w:rsid w:val="00C81AD2"/>
    <w:rsid w:val="00C81CD7"/>
    <w:rsid w:val="00C81ECD"/>
    <w:rsid w:val="00C82268"/>
    <w:rsid w:val="00C83163"/>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36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37"/>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62C"/>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A2E"/>
    <w:rsid w:val="00D64BB4"/>
    <w:rsid w:val="00D65159"/>
    <w:rsid w:val="00D65AEB"/>
    <w:rsid w:val="00D65C56"/>
    <w:rsid w:val="00D66CBB"/>
    <w:rsid w:val="00D6791C"/>
    <w:rsid w:val="00D7035F"/>
    <w:rsid w:val="00D70514"/>
    <w:rsid w:val="00D70BAB"/>
    <w:rsid w:val="00D71305"/>
    <w:rsid w:val="00D717C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3C8"/>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AEE"/>
    <w:rsid w:val="00DA0B8F"/>
    <w:rsid w:val="00DA17F7"/>
    <w:rsid w:val="00DA1A7B"/>
    <w:rsid w:val="00DA1DC6"/>
    <w:rsid w:val="00DA1F2A"/>
    <w:rsid w:val="00DA1FA8"/>
    <w:rsid w:val="00DA4093"/>
    <w:rsid w:val="00DA430B"/>
    <w:rsid w:val="00DA432C"/>
    <w:rsid w:val="00DA4677"/>
    <w:rsid w:val="00DA5392"/>
    <w:rsid w:val="00DA6C05"/>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9EB"/>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5C7"/>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15B"/>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25E"/>
    <w:rsid w:val="00E76832"/>
    <w:rsid w:val="00E76D1F"/>
    <w:rsid w:val="00E77015"/>
    <w:rsid w:val="00E77017"/>
    <w:rsid w:val="00E77AF3"/>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7C9"/>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6A6"/>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6DD9"/>
    <w:rsid w:val="00F47508"/>
    <w:rsid w:val="00F4786D"/>
    <w:rsid w:val="00F508F3"/>
    <w:rsid w:val="00F51133"/>
    <w:rsid w:val="00F51165"/>
    <w:rsid w:val="00F51C42"/>
    <w:rsid w:val="00F51CC4"/>
    <w:rsid w:val="00F51EAB"/>
    <w:rsid w:val="00F53747"/>
    <w:rsid w:val="00F53B5B"/>
    <w:rsid w:val="00F53EC1"/>
    <w:rsid w:val="00F541F1"/>
    <w:rsid w:val="00F54AF1"/>
    <w:rsid w:val="00F55000"/>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78"/>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5C5B"/>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 w:val="7BECC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2.toluca.gob.mx/ricardo-moreno-prepara-festival-de-dia-de-reyes-en-toluc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2001-71BE-412B-A320-8A1F3926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7018</Words>
  <Characters>38603</Characters>
  <Application>Microsoft Office Word</Application>
  <DocSecurity>0</DocSecurity>
  <Lines>321</Lines>
  <Paragraphs>91</Paragraphs>
  <ScaleCrop>false</ScaleCrop>
  <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422</cp:revision>
  <cp:lastPrinted>2019-06-13T16:30:00Z</cp:lastPrinted>
  <dcterms:created xsi:type="dcterms:W3CDTF">2024-10-14T18:17:00Z</dcterms:created>
  <dcterms:modified xsi:type="dcterms:W3CDTF">2025-05-14T15:28:00Z</dcterms:modified>
</cp:coreProperties>
</file>