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361B8C" w14:textId="7152E7C7" w:rsidR="009A4B8B" w:rsidRPr="00E65510" w:rsidRDefault="00D153FE">
      <w:pP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Resolución del Pleno del Instituto de Transparencia, Acceso a la Información Pública y Protección de Datos Personales del Estado de México y Municipios, con domicilio en Metepec, Estado de México, a </w:t>
      </w:r>
      <w:r w:rsidR="003172E5" w:rsidRPr="00E65510">
        <w:rPr>
          <w:rFonts w:ascii="Palatino Linotype" w:eastAsia="Palatino Linotype" w:hAnsi="Palatino Linotype" w:cs="Palatino Linotype"/>
        </w:rPr>
        <w:t>veintidós de enero</w:t>
      </w:r>
      <w:r w:rsidR="00DD3F66" w:rsidRPr="00E65510">
        <w:rPr>
          <w:rFonts w:ascii="Palatino Linotype" w:eastAsia="Palatino Linotype" w:hAnsi="Palatino Linotype" w:cs="Palatino Linotype"/>
        </w:rPr>
        <w:t xml:space="preserve"> </w:t>
      </w:r>
      <w:r w:rsidRPr="00E65510">
        <w:rPr>
          <w:rFonts w:ascii="Palatino Linotype" w:eastAsia="Palatino Linotype" w:hAnsi="Palatino Linotype" w:cs="Palatino Linotype"/>
        </w:rPr>
        <w:t>de dos mil veinti</w:t>
      </w:r>
      <w:r w:rsidR="003172E5" w:rsidRPr="00E65510">
        <w:rPr>
          <w:rFonts w:ascii="Palatino Linotype" w:eastAsia="Palatino Linotype" w:hAnsi="Palatino Linotype" w:cs="Palatino Linotype"/>
        </w:rPr>
        <w:t>cinco</w:t>
      </w:r>
      <w:r w:rsidRPr="00E65510">
        <w:rPr>
          <w:rFonts w:ascii="Palatino Linotype" w:eastAsia="Palatino Linotype" w:hAnsi="Palatino Linotype" w:cs="Palatino Linotype"/>
        </w:rPr>
        <w:t xml:space="preserve">. </w:t>
      </w:r>
    </w:p>
    <w:p w14:paraId="3ACBAB44" w14:textId="05EC9157" w:rsidR="009A4B8B" w:rsidRPr="00E65510" w:rsidRDefault="00D153FE">
      <w:pP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b/>
        </w:rPr>
        <w:t>VISTO</w:t>
      </w:r>
      <w:r w:rsidRPr="00E65510">
        <w:rPr>
          <w:rFonts w:ascii="Palatino Linotype" w:eastAsia="Palatino Linotype" w:hAnsi="Palatino Linotype" w:cs="Palatino Linotype"/>
        </w:rPr>
        <w:t xml:space="preserve"> el expediente formado con motivo del recurso de revisión </w:t>
      </w:r>
      <w:r w:rsidRPr="00E65510">
        <w:rPr>
          <w:rFonts w:ascii="Palatino Linotype" w:eastAsia="Palatino Linotype" w:hAnsi="Palatino Linotype" w:cs="Palatino Linotype"/>
          <w:b/>
        </w:rPr>
        <w:t>0</w:t>
      </w:r>
      <w:r w:rsidR="003172E5" w:rsidRPr="00E65510">
        <w:rPr>
          <w:rFonts w:ascii="Palatino Linotype" w:eastAsia="Palatino Linotype" w:hAnsi="Palatino Linotype" w:cs="Palatino Linotype"/>
          <w:b/>
        </w:rPr>
        <w:t>7579</w:t>
      </w:r>
      <w:r w:rsidRPr="00E65510">
        <w:rPr>
          <w:rFonts w:ascii="Palatino Linotype" w:eastAsia="Palatino Linotype" w:hAnsi="Palatino Linotype" w:cs="Palatino Linotype"/>
          <w:b/>
        </w:rPr>
        <w:t>/INFOEM/IP/RR/2024</w:t>
      </w:r>
      <w:r w:rsidRPr="00E65510">
        <w:rPr>
          <w:rFonts w:ascii="Palatino Linotype" w:eastAsia="Palatino Linotype" w:hAnsi="Palatino Linotype" w:cs="Palatino Linotype"/>
        </w:rPr>
        <w:t>, interpuesto por</w:t>
      </w:r>
      <w:r w:rsidRPr="00E65510">
        <w:rPr>
          <w:rFonts w:ascii="Palatino Linotype" w:eastAsia="Palatino Linotype" w:hAnsi="Palatino Linotype" w:cs="Palatino Linotype"/>
          <w:b/>
        </w:rPr>
        <w:t xml:space="preserve"> </w:t>
      </w:r>
      <w:r w:rsidR="00A35817" w:rsidRPr="00E65510">
        <w:rPr>
          <w:rFonts w:ascii="Palatino Linotype" w:eastAsia="Palatino Linotype" w:hAnsi="Palatino Linotype" w:cs="Palatino Linotype"/>
          <w:b/>
        </w:rPr>
        <w:t>una persona que no proporcionó nombre o seudónimo,</w:t>
      </w:r>
      <w:r w:rsidRPr="00E65510">
        <w:rPr>
          <w:rFonts w:ascii="Palatino Linotype" w:eastAsia="Palatino Linotype" w:hAnsi="Palatino Linotype" w:cs="Palatino Linotype"/>
        </w:rPr>
        <w:t xml:space="preserve"> en lo sucesivo</w:t>
      </w:r>
      <w:r w:rsidRPr="00E65510">
        <w:rPr>
          <w:rFonts w:ascii="Palatino Linotype" w:eastAsia="Palatino Linotype" w:hAnsi="Palatino Linotype" w:cs="Palatino Linotype"/>
          <w:b/>
        </w:rPr>
        <w:t xml:space="preserve"> </w:t>
      </w:r>
      <w:r w:rsidRPr="00E65510">
        <w:rPr>
          <w:rFonts w:ascii="Palatino Linotype" w:eastAsia="Palatino Linotype" w:hAnsi="Palatino Linotype" w:cs="Palatino Linotype"/>
        </w:rPr>
        <w:t xml:space="preserve">la parte </w:t>
      </w:r>
      <w:r w:rsidRPr="00E65510">
        <w:rPr>
          <w:rFonts w:ascii="Palatino Linotype" w:eastAsia="Palatino Linotype" w:hAnsi="Palatino Linotype" w:cs="Palatino Linotype"/>
          <w:b/>
        </w:rPr>
        <w:t>Recurrente,</w:t>
      </w:r>
      <w:r w:rsidRPr="00E65510">
        <w:rPr>
          <w:rFonts w:ascii="Palatino Linotype" w:eastAsia="Palatino Linotype" w:hAnsi="Palatino Linotype" w:cs="Palatino Linotype"/>
        </w:rPr>
        <w:t xml:space="preserve"> en contra de la respuesta a la solicitud de información con número de folio </w:t>
      </w:r>
      <w:r w:rsidR="003172E5" w:rsidRPr="00E65510">
        <w:rPr>
          <w:rFonts w:ascii="Palatino Linotype" w:eastAsia="Palatino Linotype" w:hAnsi="Palatino Linotype" w:cs="Palatino Linotype"/>
          <w:b/>
          <w:bCs/>
        </w:rPr>
        <w:t>00851/SF/IP/2024</w:t>
      </w:r>
      <w:r w:rsidRPr="00E65510">
        <w:rPr>
          <w:rFonts w:ascii="Palatino Linotype" w:eastAsia="Palatino Linotype" w:hAnsi="Palatino Linotype" w:cs="Palatino Linotype"/>
          <w:b/>
        </w:rPr>
        <w:t xml:space="preserve">, </w:t>
      </w:r>
      <w:r w:rsidRPr="00E65510">
        <w:rPr>
          <w:rFonts w:ascii="Palatino Linotype" w:eastAsia="Palatino Linotype" w:hAnsi="Palatino Linotype" w:cs="Palatino Linotype"/>
        </w:rPr>
        <w:t>por parte de</w:t>
      </w:r>
      <w:r w:rsidR="003172E5" w:rsidRPr="00E65510">
        <w:rPr>
          <w:rFonts w:ascii="Palatino Linotype" w:eastAsia="Palatino Linotype" w:hAnsi="Palatino Linotype" w:cs="Palatino Linotype"/>
        </w:rPr>
        <w:t xml:space="preserve"> </w:t>
      </w:r>
      <w:r w:rsidRPr="00E65510">
        <w:rPr>
          <w:rFonts w:ascii="Palatino Linotype" w:eastAsia="Palatino Linotype" w:hAnsi="Palatino Linotype" w:cs="Palatino Linotype"/>
        </w:rPr>
        <w:t>l</w:t>
      </w:r>
      <w:r w:rsidR="003172E5" w:rsidRPr="00E65510">
        <w:rPr>
          <w:rFonts w:ascii="Palatino Linotype" w:eastAsia="Palatino Linotype" w:hAnsi="Palatino Linotype" w:cs="Palatino Linotype"/>
        </w:rPr>
        <w:t>a</w:t>
      </w:r>
      <w:r w:rsidRPr="00E65510">
        <w:rPr>
          <w:rFonts w:ascii="Palatino Linotype" w:eastAsia="Palatino Linotype" w:hAnsi="Palatino Linotype" w:cs="Palatino Linotype"/>
        </w:rPr>
        <w:t xml:space="preserve"> </w:t>
      </w:r>
      <w:r w:rsidR="003172E5" w:rsidRPr="00E65510">
        <w:rPr>
          <w:rFonts w:ascii="Palatino Linotype" w:eastAsia="Palatino Linotype" w:hAnsi="Palatino Linotype" w:cs="Palatino Linotype"/>
          <w:b/>
        </w:rPr>
        <w:t>Secretaría de Finanzas</w:t>
      </w:r>
      <w:r w:rsidRPr="00E65510">
        <w:rPr>
          <w:rFonts w:ascii="Palatino Linotype" w:eastAsia="Palatino Linotype" w:hAnsi="Palatino Linotype" w:cs="Palatino Linotype"/>
          <w:b/>
        </w:rPr>
        <w:t xml:space="preserve">, </w:t>
      </w:r>
      <w:r w:rsidRPr="00E65510">
        <w:rPr>
          <w:rFonts w:ascii="Palatino Linotype" w:eastAsia="Palatino Linotype" w:hAnsi="Palatino Linotype" w:cs="Palatino Linotype"/>
        </w:rPr>
        <w:t xml:space="preserve">en lo sucesivo el </w:t>
      </w:r>
      <w:r w:rsidRPr="00E65510">
        <w:rPr>
          <w:rFonts w:ascii="Palatino Linotype" w:eastAsia="Palatino Linotype" w:hAnsi="Palatino Linotype" w:cs="Palatino Linotype"/>
          <w:b/>
        </w:rPr>
        <w:t xml:space="preserve">Sujeto Obligado, </w:t>
      </w:r>
      <w:r w:rsidRPr="00E65510">
        <w:rPr>
          <w:rFonts w:ascii="Palatino Linotype" w:eastAsia="Palatino Linotype" w:hAnsi="Palatino Linotype" w:cs="Palatino Linotype"/>
        </w:rPr>
        <w:t xml:space="preserve">se procede a dictar la presente resolución con base en los siguientes: </w:t>
      </w:r>
    </w:p>
    <w:p w14:paraId="32762EA3" w14:textId="77777777" w:rsidR="009A4B8B" w:rsidRPr="00E65510" w:rsidRDefault="00D153FE">
      <w:pPr>
        <w:spacing w:before="240" w:after="240" w:line="360" w:lineRule="auto"/>
        <w:jc w:val="center"/>
        <w:rPr>
          <w:rFonts w:ascii="Palatino Linotype" w:eastAsia="Palatino Linotype" w:hAnsi="Palatino Linotype" w:cs="Palatino Linotype"/>
          <w:b/>
        </w:rPr>
      </w:pPr>
      <w:r w:rsidRPr="00E65510">
        <w:rPr>
          <w:rFonts w:ascii="Palatino Linotype" w:eastAsia="Palatino Linotype" w:hAnsi="Palatino Linotype" w:cs="Palatino Linotype"/>
          <w:b/>
        </w:rPr>
        <w:t>I. A N T E C E D E N T E S</w:t>
      </w:r>
    </w:p>
    <w:p w14:paraId="7AE8025F" w14:textId="0634F7F1" w:rsidR="009A4B8B" w:rsidRPr="00E65510" w:rsidRDefault="00D153FE">
      <w:pPr>
        <w:spacing w:before="240" w:after="240" w:line="360" w:lineRule="auto"/>
        <w:jc w:val="both"/>
        <w:rPr>
          <w:rFonts w:ascii="Palatino Linotype" w:eastAsia="Palatino Linotype" w:hAnsi="Palatino Linotype" w:cs="Palatino Linotype"/>
        </w:rPr>
      </w:pPr>
      <w:bookmarkStart w:id="0" w:name="_heading=h.4d34og8" w:colFirst="0" w:colLast="0"/>
      <w:bookmarkEnd w:id="0"/>
      <w:r w:rsidRPr="00E65510">
        <w:rPr>
          <w:rFonts w:ascii="Palatino Linotype" w:eastAsia="Palatino Linotype" w:hAnsi="Palatino Linotype" w:cs="Palatino Linotype"/>
          <w:b/>
        </w:rPr>
        <w:t>1. Solicitud de acceso a la información.</w:t>
      </w:r>
      <w:r w:rsidRPr="00E65510">
        <w:rPr>
          <w:rFonts w:ascii="Palatino Linotype" w:eastAsia="Palatino Linotype" w:hAnsi="Palatino Linotype" w:cs="Palatino Linotype"/>
        </w:rPr>
        <w:t xml:space="preserve"> El </w:t>
      </w:r>
      <w:r w:rsidR="003172E5" w:rsidRPr="00E65510">
        <w:rPr>
          <w:rFonts w:ascii="Palatino Linotype" w:eastAsia="Palatino Linotype" w:hAnsi="Palatino Linotype" w:cs="Palatino Linotype"/>
          <w:b/>
        </w:rPr>
        <w:t xml:space="preserve">siete de noviembre </w:t>
      </w:r>
      <w:r w:rsidRPr="00E65510">
        <w:rPr>
          <w:rFonts w:ascii="Palatino Linotype" w:eastAsia="Palatino Linotype" w:hAnsi="Palatino Linotype" w:cs="Palatino Linotype"/>
          <w:b/>
        </w:rPr>
        <w:t>de dos mil veinticuatro,</w:t>
      </w:r>
      <w:r w:rsidRPr="00E65510">
        <w:rPr>
          <w:rFonts w:ascii="Palatino Linotype" w:eastAsia="Palatino Linotype" w:hAnsi="Palatino Linotype" w:cs="Palatino Linotype"/>
        </w:rPr>
        <w:t xml:space="preserve"> la parte </w:t>
      </w:r>
      <w:r w:rsidRPr="00E65510">
        <w:rPr>
          <w:rFonts w:ascii="Palatino Linotype" w:eastAsia="Palatino Linotype" w:hAnsi="Palatino Linotype" w:cs="Palatino Linotype"/>
          <w:b/>
        </w:rPr>
        <w:t xml:space="preserve">Recurrente </w:t>
      </w:r>
      <w:r w:rsidRPr="00E65510">
        <w:rPr>
          <w:rFonts w:ascii="Palatino Linotype" w:eastAsia="Palatino Linotype" w:hAnsi="Palatino Linotype" w:cs="Palatino Linotype"/>
        </w:rPr>
        <w:t xml:space="preserve">presentó, a través del Sistema de Acceso a la Información Mexiquense, en lo subsecuente el </w:t>
      </w:r>
      <w:r w:rsidRPr="00E65510">
        <w:rPr>
          <w:rFonts w:ascii="Palatino Linotype" w:eastAsia="Palatino Linotype" w:hAnsi="Palatino Linotype" w:cs="Palatino Linotype"/>
          <w:b/>
        </w:rPr>
        <w:t>SAIMEX,</w:t>
      </w:r>
      <w:r w:rsidRPr="00E65510">
        <w:rPr>
          <w:rFonts w:ascii="Palatino Linotype" w:eastAsia="Palatino Linotype" w:hAnsi="Palatino Linotype" w:cs="Palatino Linotype"/>
        </w:rPr>
        <w:t xml:space="preserve"> ante el </w:t>
      </w:r>
      <w:r w:rsidRPr="00E65510">
        <w:rPr>
          <w:rFonts w:ascii="Palatino Linotype" w:eastAsia="Palatino Linotype" w:hAnsi="Palatino Linotype" w:cs="Palatino Linotype"/>
          <w:b/>
        </w:rPr>
        <w:t>Sujeto Obligado</w:t>
      </w:r>
      <w:r w:rsidRPr="00E65510">
        <w:rPr>
          <w:rFonts w:ascii="Palatino Linotype" w:eastAsia="Palatino Linotype" w:hAnsi="Palatino Linotype" w:cs="Palatino Linotype"/>
        </w:rPr>
        <w:t xml:space="preserve">, la solicitud de acceso a la información pública, mediante la cual requirió la información siguiente: </w:t>
      </w:r>
    </w:p>
    <w:p w14:paraId="31AFEA94" w14:textId="357665E2" w:rsidR="009A4B8B" w:rsidRPr="00E65510" w:rsidRDefault="00D153FE">
      <w:pPr>
        <w:spacing w:before="120" w:after="120"/>
        <w:ind w:left="851" w:right="902"/>
        <w:jc w:val="both"/>
        <w:rPr>
          <w:rFonts w:ascii="Palatino Linotype" w:eastAsia="Palatino Linotype" w:hAnsi="Palatino Linotype" w:cs="Palatino Linotype"/>
          <w:b/>
          <w:i/>
          <w:sz w:val="22"/>
          <w:szCs w:val="22"/>
        </w:rPr>
      </w:pPr>
      <w:bookmarkStart w:id="1" w:name="_heading=h.gjdgxs" w:colFirst="0" w:colLast="0"/>
      <w:bookmarkEnd w:id="1"/>
      <w:r w:rsidRPr="00E65510">
        <w:rPr>
          <w:rFonts w:ascii="Palatino Linotype" w:eastAsia="Palatino Linotype" w:hAnsi="Palatino Linotype" w:cs="Palatino Linotype"/>
          <w:i/>
          <w:sz w:val="22"/>
          <w:szCs w:val="22"/>
        </w:rPr>
        <w:t xml:space="preserve"> “</w:t>
      </w:r>
      <w:r w:rsidR="003172E5" w:rsidRPr="00E65510">
        <w:rPr>
          <w:rFonts w:ascii="Palatino Linotype" w:eastAsia="Palatino Linotype" w:hAnsi="Palatino Linotype" w:cs="Palatino Linotype"/>
          <w:i/>
          <w:sz w:val="22"/>
          <w:szCs w:val="22"/>
        </w:rPr>
        <w:t>SOLICITO CUALQUIER SOPORTE DOCUMENTAL CON LA QUE EL JEFE DE LA UIPPE DE LA SECRETARÍA DE FINANZAS ELABORÓ EL CAPÍTULO DE ENTORNO ECONÓMICO DE LA CUENTA PÚBLICA DEL GOBIERNO, ORGANISMOS AUXILIARES Y AUTÓNOMOS DEL ESTADO DE MÉXICO DE EL MES DE ENERO A MAYO DE 2024.</w:t>
      </w:r>
      <w:r w:rsidRPr="00E65510">
        <w:rPr>
          <w:rFonts w:ascii="Palatino Linotype" w:eastAsia="Palatino Linotype" w:hAnsi="Palatino Linotype" w:cs="Palatino Linotype"/>
          <w:b/>
          <w:i/>
          <w:sz w:val="22"/>
          <w:szCs w:val="22"/>
        </w:rPr>
        <w:t>”</w:t>
      </w:r>
      <w:r w:rsidRPr="00E65510">
        <w:rPr>
          <w:rFonts w:ascii="Palatino Linotype" w:eastAsia="Palatino Linotype" w:hAnsi="Palatino Linotype" w:cs="Palatino Linotype"/>
          <w:i/>
          <w:sz w:val="22"/>
          <w:szCs w:val="22"/>
        </w:rPr>
        <w:t xml:space="preserve"> (sic) </w:t>
      </w:r>
    </w:p>
    <w:p w14:paraId="44C6F12E" w14:textId="77777777" w:rsidR="009A4B8B" w:rsidRPr="00E65510" w:rsidRDefault="00D153FE">
      <w:pPr>
        <w:spacing w:before="240" w:after="240" w:line="360" w:lineRule="auto"/>
        <w:jc w:val="both"/>
        <w:rPr>
          <w:rFonts w:ascii="Palatino Linotype" w:eastAsia="Palatino Linotype" w:hAnsi="Palatino Linotype" w:cs="Palatino Linotype"/>
        </w:rPr>
      </w:pPr>
      <w:bookmarkStart w:id="2" w:name="_heading=h.3dy6vkm" w:colFirst="0" w:colLast="0"/>
      <w:bookmarkEnd w:id="2"/>
      <w:r w:rsidRPr="00E65510">
        <w:rPr>
          <w:rFonts w:ascii="Palatino Linotype" w:eastAsia="Palatino Linotype" w:hAnsi="Palatino Linotype" w:cs="Palatino Linotype"/>
          <w:b/>
        </w:rPr>
        <w:t>Modalidad de Entrega:</w:t>
      </w:r>
      <w:r w:rsidRPr="00E65510">
        <w:rPr>
          <w:rFonts w:ascii="Palatino Linotype" w:eastAsia="Palatino Linotype" w:hAnsi="Palatino Linotype" w:cs="Palatino Linotype"/>
        </w:rPr>
        <w:t xml:space="preserve"> a través </w:t>
      </w:r>
      <w:r w:rsidRPr="00E65510">
        <w:rPr>
          <w:rFonts w:ascii="Palatino Linotype" w:eastAsia="Palatino Linotype" w:hAnsi="Palatino Linotype" w:cs="Palatino Linotype"/>
          <w:b/>
        </w:rPr>
        <w:t>de SAIMEX</w:t>
      </w:r>
    </w:p>
    <w:p w14:paraId="1F1F3B25" w14:textId="5FAE8D6E" w:rsidR="009A4B8B" w:rsidRPr="00E65510" w:rsidRDefault="00D153FE">
      <w:pP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b/>
        </w:rPr>
        <w:lastRenderedPageBreak/>
        <w:t xml:space="preserve">2. Respuesta. </w:t>
      </w:r>
      <w:r w:rsidRPr="00E65510">
        <w:rPr>
          <w:rFonts w:ascii="Palatino Linotype" w:eastAsia="Palatino Linotype" w:hAnsi="Palatino Linotype" w:cs="Palatino Linotype"/>
        </w:rPr>
        <w:t>El</w:t>
      </w:r>
      <w:r w:rsidRPr="00E65510">
        <w:rPr>
          <w:rFonts w:ascii="Palatino Linotype" w:eastAsia="Palatino Linotype" w:hAnsi="Palatino Linotype" w:cs="Palatino Linotype"/>
          <w:b/>
        </w:rPr>
        <w:t xml:space="preserve"> </w:t>
      </w:r>
      <w:r w:rsidR="007F0A50" w:rsidRPr="00E65510">
        <w:rPr>
          <w:rFonts w:ascii="Palatino Linotype" w:eastAsia="Palatino Linotype" w:hAnsi="Palatino Linotype" w:cs="Palatino Linotype"/>
          <w:b/>
        </w:rPr>
        <w:t>vei</w:t>
      </w:r>
      <w:r w:rsidR="00D70849" w:rsidRPr="00E65510">
        <w:rPr>
          <w:rFonts w:ascii="Palatino Linotype" w:eastAsia="Palatino Linotype" w:hAnsi="Palatino Linotype" w:cs="Palatino Linotype"/>
          <w:b/>
        </w:rPr>
        <w:t>n</w:t>
      </w:r>
      <w:r w:rsidR="007F0A50" w:rsidRPr="00E65510">
        <w:rPr>
          <w:rFonts w:ascii="Palatino Linotype" w:eastAsia="Palatino Linotype" w:hAnsi="Palatino Linotype" w:cs="Palatino Linotype"/>
          <w:b/>
        </w:rPr>
        <w:t>ti</w:t>
      </w:r>
      <w:r w:rsidR="004E172B" w:rsidRPr="00E65510">
        <w:rPr>
          <w:rFonts w:ascii="Palatino Linotype" w:eastAsia="Palatino Linotype" w:hAnsi="Palatino Linotype" w:cs="Palatino Linotype"/>
          <w:b/>
        </w:rPr>
        <w:t xml:space="preserve">nueve de noviembre </w:t>
      </w:r>
      <w:r w:rsidRPr="00E65510">
        <w:rPr>
          <w:rFonts w:ascii="Palatino Linotype" w:eastAsia="Palatino Linotype" w:hAnsi="Palatino Linotype" w:cs="Palatino Linotype"/>
          <w:b/>
        </w:rPr>
        <w:t>de dos mil veinticuatro</w:t>
      </w:r>
      <w:r w:rsidRPr="00E65510">
        <w:rPr>
          <w:rFonts w:ascii="Palatino Linotype" w:eastAsia="Palatino Linotype" w:hAnsi="Palatino Linotype" w:cs="Palatino Linotype"/>
        </w:rPr>
        <w:t xml:space="preserve">, el </w:t>
      </w:r>
      <w:r w:rsidRPr="00E65510">
        <w:rPr>
          <w:rFonts w:ascii="Palatino Linotype" w:eastAsia="Palatino Linotype" w:hAnsi="Palatino Linotype" w:cs="Palatino Linotype"/>
          <w:b/>
        </w:rPr>
        <w:t xml:space="preserve">Sujeto Obligado </w:t>
      </w:r>
      <w:r w:rsidRPr="00E65510">
        <w:rPr>
          <w:rFonts w:ascii="Palatino Linotype" w:eastAsia="Palatino Linotype" w:hAnsi="Palatino Linotype" w:cs="Palatino Linotype"/>
        </w:rPr>
        <w:t xml:space="preserve">envió su respuesta a la solicitud de acceso a la información a través de SAIMEX, sustancialmente en los términos siguientes:   </w:t>
      </w:r>
    </w:p>
    <w:p w14:paraId="0C2CAE38" w14:textId="60B8E027" w:rsidR="009A4B8B" w:rsidRPr="00E65510" w:rsidRDefault="00D153FE" w:rsidP="004E172B">
      <w:pPr>
        <w:spacing w:before="240" w:after="240"/>
        <w:ind w:left="851" w:right="902"/>
        <w:jc w:val="both"/>
        <w:rPr>
          <w:rFonts w:ascii="Palatino Linotype" w:eastAsia="Palatino Linotype" w:hAnsi="Palatino Linotype" w:cs="Palatino Linotype"/>
          <w:b/>
          <w:i/>
          <w:sz w:val="22"/>
          <w:szCs w:val="22"/>
        </w:rPr>
      </w:pPr>
      <w:r w:rsidRPr="00E65510">
        <w:rPr>
          <w:rFonts w:ascii="Palatino Linotype" w:eastAsia="Palatino Linotype" w:hAnsi="Palatino Linotype" w:cs="Palatino Linotype"/>
          <w:i/>
          <w:sz w:val="22"/>
          <w:szCs w:val="22"/>
        </w:rPr>
        <w:t>“…</w:t>
      </w:r>
      <w:r w:rsidR="004E172B" w:rsidRPr="00E65510">
        <w:rPr>
          <w:rFonts w:ascii="Palatino Linotype" w:eastAsia="Palatino Linotype" w:hAnsi="Palatino Linotype" w:cs="Palatino Linotype"/>
          <w:i/>
          <w:sz w:val="22"/>
          <w:szCs w:val="22"/>
        </w:rPr>
        <w:t>Sobre el particular, sírvase encontrar en archivo adjunto copia del oficio de notificación número 20700004S/UT-2470/2024, mediante el cual se detalla lo referente a su solicitud.</w:t>
      </w:r>
      <w:r w:rsidR="00DD3F66" w:rsidRPr="00E65510">
        <w:rPr>
          <w:rFonts w:ascii="Palatino Linotype" w:eastAsia="Palatino Linotype" w:hAnsi="Palatino Linotype" w:cs="Palatino Linotype"/>
          <w:i/>
          <w:sz w:val="22"/>
          <w:szCs w:val="22"/>
        </w:rPr>
        <w:t>.</w:t>
      </w:r>
      <w:r w:rsidRPr="00E65510">
        <w:rPr>
          <w:rFonts w:ascii="Palatino Linotype" w:eastAsia="Palatino Linotype" w:hAnsi="Palatino Linotype" w:cs="Palatino Linotype"/>
          <w:i/>
          <w:sz w:val="22"/>
          <w:szCs w:val="22"/>
        </w:rPr>
        <w:t>.” (sic)</w:t>
      </w:r>
    </w:p>
    <w:p w14:paraId="29246187" w14:textId="77777777" w:rsidR="009A4B8B" w:rsidRPr="00E65510" w:rsidRDefault="00D153FE">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El </w:t>
      </w:r>
      <w:r w:rsidRPr="00E65510">
        <w:rPr>
          <w:rFonts w:ascii="Palatino Linotype" w:eastAsia="Palatino Linotype" w:hAnsi="Palatino Linotype" w:cs="Palatino Linotype"/>
          <w:b/>
        </w:rPr>
        <w:t xml:space="preserve">Sujeto Obligado </w:t>
      </w:r>
      <w:r w:rsidRPr="00E65510">
        <w:rPr>
          <w:rFonts w:ascii="Palatino Linotype" w:eastAsia="Palatino Linotype" w:hAnsi="Palatino Linotype" w:cs="Palatino Linotype"/>
        </w:rPr>
        <w:t>adjuntó lo siguiente:</w:t>
      </w:r>
    </w:p>
    <w:p w14:paraId="024A9866" w14:textId="2FFBA04E" w:rsidR="00E5228F" w:rsidRPr="00E65510" w:rsidRDefault="00D153FE">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rPr>
        <w:t>- Oficio número</w:t>
      </w:r>
      <w:r w:rsidR="00DD3F66" w:rsidRPr="00E65510">
        <w:rPr>
          <w:rFonts w:ascii="Palatino Linotype" w:eastAsia="Palatino Linotype" w:hAnsi="Palatino Linotype" w:cs="Palatino Linotype"/>
        </w:rPr>
        <w:t xml:space="preserve"> </w:t>
      </w:r>
      <w:r w:rsidR="004E172B" w:rsidRPr="00E65510">
        <w:rPr>
          <w:rFonts w:ascii="Palatino Linotype" w:eastAsia="Palatino Linotype" w:hAnsi="Palatino Linotype" w:cs="Palatino Linotype"/>
        </w:rPr>
        <w:t>20700004S/UT-2470/2024</w:t>
      </w:r>
      <w:r w:rsidR="00C715FE" w:rsidRPr="00E65510">
        <w:rPr>
          <w:rFonts w:ascii="Palatino Linotype" w:eastAsia="Palatino Linotype" w:hAnsi="Palatino Linotype" w:cs="Palatino Linotype"/>
        </w:rPr>
        <w:t xml:space="preserve">, </w:t>
      </w:r>
      <w:r w:rsidRPr="00E65510">
        <w:rPr>
          <w:rFonts w:ascii="Palatino Linotype" w:eastAsia="Palatino Linotype" w:hAnsi="Palatino Linotype" w:cs="Palatino Linotype"/>
        </w:rPr>
        <w:t>del</w:t>
      </w:r>
      <w:r w:rsidR="00DD3F66" w:rsidRPr="00E65510">
        <w:rPr>
          <w:rFonts w:ascii="Palatino Linotype" w:eastAsia="Palatino Linotype" w:hAnsi="Palatino Linotype" w:cs="Palatino Linotype"/>
        </w:rPr>
        <w:t xml:space="preserve"> </w:t>
      </w:r>
      <w:r w:rsidR="004E172B" w:rsidRPr="00E65510">
        <w:rPr>
          <w:rFonts w:ascii="Palatino Linotype" w:eastAsia="Palatino Linotype" w:hAnsi="Palatino Linotype" w:cs="Palatino Linotype"/>
        </w:rPr>
        <w:t>veintiocho d</w:t>
      </w:r>
      <w:r w:rsidR="007F0A50" w:rsidRPr="00E65510">
        <w:rPr>
          <w:rFonts w:ascii="Palatino Linotype" w:eastAsia="Palatino Linotype" w:hAnsi="Palatino Linotype" w:cs="Palatino Linotype"/>
        </w:rPr>
        <w:t xml:space="preserve">e </w:t>
      </w:r>
      <w:r w:rsidR="004E172B" w:rsidRPr="00E65510">
        <w:rPr>
          <w:rFonts w:ascii="Palatino Linotype" w:eastAsia="Palatino Linotype" w:hAnsi="Palatino Linotype" w:cs="Palatino Linotype"/>
        </w:rPr>
        <w:t xml:space="preserve">noviembre </w:t>
      </w:r>
      <w:r w:rsidRPr="00E65510">
        <w:rPr>
          <w:rFonts w:ascii="Palatino Linotype" w:eastAsia="Palatino Linotype" w:hAnsi="Palatino Linotype" w:cs="Palatino Linotype"/>
        </w:rPr>
        <w:t>de dos mil veinticuatro, mediante el cual el</w:t>
      </w:r>
      <w:r w:rsidR="004E172B" w:rsidRPr="00E65510">
        <w:rPr>
          <w:rFonts w:ascii="Palatino Linotype" w:eastAsia="Palatino Linotype" w:hAnsi="Palatino Linotype" w:cs="Palatino Linotype"/>
        </w:rPr>
        <w:t xml:space="preserve"> Jefe de la </w:t>
      </w:r>
      <w:r w:rsidR="008875AC" w:rsidRPr="00E65510">
        <w:rPr>
          <w:rFonts w:ascii="Palatino Linotype" w:eastAsia="Palatino Linotype" w:hAnsi="Palatino Linotype" w:cs="Palatino Linotype"/>
        </w:rPr>
        <w:t xml:space="preserve">Unidad de Información, Planeación, Programación y Evaluación, </w:t>
      </w:r>
      <w:r w:rsidR="004E172B" w:rsidRPr="00E65510">
        <w:rPr>
          <w:rFonts w:ascii="Palatino Linotype" w:eastAsia="Palatino Linotype" w:hAnsi="Palatino Linotype" w:cs="Palatino Linotype"/>
        </w:rPr>
        <w:t>UIPPE y</w:t>
      </w:r>
      <w:r w:rsidR="00DD3F66" w:rsidRPr="00E65510">
        <w:rPr>
          <w:rFonts w:ascii="Palatino Linotype" w:eastAsia="Palatino Linotype" w:hAnsi="Palatino Linotype" w:cs="Palatino Linotype"/>
        </w:rPr>
        <w:t xml:space="preserve"> </w:t>
      </w:r>
      <w:r w:rsidR="00C37A5B" w:rsidRPr="00E65510">
        <w:rPr>
          <w:rFonts w:ascii="Palatino Linotype" w:eastAsia="Palatino Linotype" w:hAnsi="Palatino Linotype" w:cs="Palatino Linotype"/>
        </w:rPr>
        <w:t>Titular de la Unidad de Transparencia</w:t>
      </w:r>
      <w:r w:rsidR="00EB3F96" w:rsidRPr="00E65510">
        <w:rPr>
          <w:rFonts w:ascii="Palatino Linotype" w:eastAsia="Palatino Linotype" w:hAnsi="Palatino Linotype" w:cs="Palatino Linotype"/>
        </w:rPr>
        <w:t xml:space="preserve"> </w:t>
      </w:r>
      <w:r w:rsidR="00E5228F" w:rsidRPr="00E65510">
        <w:rPr>
          <w:rFonts w:ascii="Palatino Linotype" w:eastAsia="Palatino Linotype" w:hAnsi="Palatino Linotype" w:cs="Palatino Linotype"/>
        </w:rPr>
        <w:t>noti</w:t>
      </w:r>
      <w:r w:rsidR="004E172B" w:rsidRPr="00E65510">
        <w:rPr>
          <w:rFonts w:ascii="Palatino Linotype" w:eastAsia="Palatino Linotype" w:hAnsi="Palatino Linotype" w:cs="Palatino Linotype"/>
        </w:rPr>
        <w:t>ficó la respuesta emitida por la persona</w:t>
      </w:r>
      <w:r w:rsidR="00E5228F" w:rsidRPr="00E65510">
        <w:rPr>
          <w:rFonts w:ascii="Palatino Linotype" w:eastAsia="Palatino Linotype" w:hAnsi="Palatino Linotype" w:cs="Palatino Linotype"/>
        </w:rPr>
        <w:t xml:space="preserve"> servidor</w:t>
      </w:r>
      <w:r w:rsidR="004E172B" w:rsidRPr="00E65510">
        <w:rPr>
          <w:rFonts w:ascii="Palatino Linotype" w:eastAsia="Palatino Linotype" w:hAnsi="Palatino Linotype" w:cs="Palatino Linotype"/>
        </w:rPr>
        <w:t xml:space="preserve">a pública habilitada </w:t>
      </w:r>
      <w:r w:rsidR="00E5228F" w:rsidRPr="00E65510">
        <w:rPr>
          <w:rFonts w:ascii="Palatino Linotype" w:eastAsia="Palatino Linotype" w:hAnsi="Palatino Linotype" w:cs="Palatino Linotype"/>
        </w:rPr>
        <w:t>de</w:t>
      </w:r>
      <w:r w:rsidR="004E172B" w:rsidRPr="00E65510">
        <w:rPr>
          <w:rFonts w:ascii="Palatino Linotype" w:eastAsia="Palatino Linotype" w:hAnsi="Palatino Linotype" w:cs="Palatino Linotype"/>
        </w:rPr>
        <w:t xml:space="preserve"> </w:t>
      </w:r>
      <w:r w:rsidR="00E5228F" w:rsidRPr="00E65510">
        <w:rPr>
          <w:rFonts w:ascii="Palatino Linotype" w:eastAsia="Palatino Linotype" w:hAnsi="Palatino Linotype" w:cs="Palatino Linotype"/>
        </w:rPr>
        <w:t>l</w:t>
      </w:r>
      <w:r w:rsidR="004E172B" w:rsidRPr="00E65510">
        <w:rPr>
          <w:rFonts w:ascii="Palatino Linotype" w:eastAsia="Palatino Linotype" w:hAnsi="Palatino Linotype" w:cs="Palatino Linotype"/>
        </w:rPr>
        <w:t>a</w:t>
      </w:r>
      <w:r w:rsidR="00E5228F" w:rsidRPr="00E65510">
        <w:rPr>
          <w:rFonts w:ascii="Palatino Linotype" w:eastAsia="Palatino Linotype" w:hAnsi="Palatino Linotype" w:cs="Palatino Linotype"/>
        </w:rPr>
        <w:t xml:space="preserve"> </w:t>
      </w:r>
      <w:r w:rsidR="008875AC" w:rsidRPr="00E65510">
        <w:rPr>
          <w:rFonts w:ascii="Palatino Linotype" w:eastAsia="Palatino Linotype" w:hAnsi="Palatino Linotype" w:cs="Palatino Linotype"/>
        </w:rPr>
        <w:t>UIPPE</w:t>
      </w:r>
      <w:r w:rsidR="004E172B" w:rsidRPr="00E65510">
        <w:rPr>
          <w:rFonts w:ascii="Palatino Linotype" w:eastAsia="Palatino Linotype" w:hAnsi="Palatino Linotype" w:cs="Palatino Linotype"/>
        </w:rPr>
        <w:t>.</w:t>
      </w:r>
    </w:p>
    <w:p w14:paraId="390AA7DC" w14:textId="5382CAC2" w:rsidR="004E172B" w:rsidRPr="00E65510" w:rsidRDefault="004E172B" w:rsidP="004E172B">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 Escrito </w:t>
      </w:r>
      <w:r w:rsidR="00151D28" w:rsidRPr="00E65510">
        <w:rPr>
          <w:rFonts w:ascii="Palatino Linotype" w:eastAsia="Palatino Linotype" w:hAnsi="Palatino Linotype" w:cs="Palatino Linotype"/>
        </w:rPr>
        <w:t>del</w:t>
      </w:r>
      <w:r w:rsidRPr="00E65510">
        <w:rPr>
          <w:rFonts w:ascii="Palatino Linotype" w:eastAsia="Palatino Linotype" w:hAnsi="Palatino Linotype" w:cs="Palatino Linotype"/>
        </w:rPr>
        <w:t xml:space="preserve"> catorce de noviembre de dos mil veinticuatro, mediante el cual la persona servidora pública habilitada de la </w:t>
      </w:r>
      <w:r w:rsidR="000A6020" w:rsidRPr="00E65510">
        <w:rPr>
          <w:rFonts w:ascii="Palatino Linotype" w:eastAsia="Palatino Linotype" w:hAnsi="Palatino Linotype" w:cs="Palatino Linotype"/>
        </w:rPr>
        <w:t>UIPPE</w:t>
      </w:r>
      <w:r w:rsidRPr="00E65510">
        <w:rPr>
          <w:rFonts w:ascii="Palatino Linotype" w:eastAsia="Palatino Linotype" w:hAnsi="Palatino Linotype" w:cs="Palatino Linotype"/>
        </w:rPr>
        <w:t xml:space="preserve">, </w:t>
      </w:r>
      <w:r w:rsidR="00D632CA" w:rsidRPr="00E65510">
        <w:rPr>
          <w:rFonts w:ascii="Palatino Linotype" w:eastAsia="Palatino Linotype" w:hAnsi="Palatino Linotype" w:cs="Palatino Linotype"/>
        </w:rPr>
        <w:t xml:space="preserve">remitió los oficios con números de folio 20704002A00000L/1733/2024 y 2098/2024, </w:t>
      </w:r>
      <w:r w:rsidR="007A1D4C" w:rsidRPr="00E65510">
        <w:rPr>
          <w:rFonts w:ascii="Palatino Linotype" w:eastAsia="Palatino Linotype" w:hAnsi="Palatino Linotype" w:cs="Palatino Linotype"/>
        </w:rPr>
        <w:t xml:space="preserve">manifestando que son los documentos que guardan relación con lo requerido por el solicitante y que obran agregados en los archivos de la </w:t>
      </w:r>
      <w:r w:rsidR="000A6020" w:rsidRPr="00E65510">
        <w:rPr>
          <w:rFonts w:ascii="Palatino Linotype" w:eastAsia="Palatino Linotype" w:hAnsi="Palatino Linotype" w:cs="Palatino Linotype"/>
        </w:rPr>
        <w:t>Unidad de Información, Planeación, Programación y Evaluación</w:t>
      </w:r>
      <w:r w:rsidR="007A1D4C" w:rsidRPr="00E65510">
        <w:rPr>
          <w:rFonts w:ascii="Palatino Linotype" w:eastAsia="Palatino Linotype" w:hAnsi="Palatino Linotype" w:cs="Palatino Linotype"/>
        </w:rPr>
        <w:t>.</w:t>
      </w:r>
    </w:p>
    <w:p w14:paraId="18738AAE" w14:textId="78D98633" w:rsidR="00686B4F" w:rsidRPr="00E65510" w:rsidRDefault="007A1D4C" w:rsidP="008875AC">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 Oficio número 20704002A00000L/1733/2024, de fecha seis de marzo de dos mil veinticuatro, </w:t>
      </w:r>
      <w:r w:rsidR="00166145" w:rsidRPr="00E65510">
        <w:rPr>
          <w:rFonts w:ascii="Palatino Linotype" w:eastAsia="Palatino Linotype" w:hAnsi="Palatino Linotype" w:cs="Palatino Linotype"/>
        </w:rPr>
        <w:t>mediante el cual la Contadora General Gubernamental</w:t>
      </w:r>
      <w:r w:rsidR="00ED7D89" w:rsidRPr="00E65510">
        <w:rPr>
          <w:rFonts w:ascii="Palatino Linotype" w:eastAsia="Palatino Linotype" w:hAnsi="Palatino Linotype" w:cs="Palatino Linotype"/>
        </w:rPr>
        <w:t xml:space="preserve">, en relación con los trabajos de integración y elaboración de la Cuenta Pública del Gobierno, Organismos Auxiliares y Autónomos del Estado de México correspondiente al Ejercicio 2023, </w:t>
      </w:r>
      <w:r w:rsidR="008875AC" w:rsidRPr="00E65510">
        <w:rPr>
          <w:rFonts w:ascii="Palatino Linotype" w:eastAsia="Palatino Linotype" w:hAnsi="Palatino Linotype" w:cs="Palatino Linotype"/>
        </w:rPr>
        <w:t xml:space="preserve">solicitó al Jefe de la Unidad de Información, Planeación, Programación y Evaluación, UIPPE, </w:t>
      </w:r>
      <w:r w:rsidR="000A6020" w:rsidRPr="00E65510">
        <w:rPr>
          <w:rFonts w:ascii="Palatino Linotype" w:eastAsia="Palatino Linotype" w:hAnsi="Palatino Linotype" w:cs="Palatino Linotype"/>
        </w:rPr>
        <w:t xml:space="preserve">girara instrucciones a quien correspondiera, </w:t>
      </w:r>
      <w:r w:rsidR="000A6020" w:rsidRPr="00E65510">
        <w:rPr>
          <w:rFonts w:ascii="Palatino Linotype" w:eastAsia="Palatino Linotype" w:hAnsi="Palatino Linotype" w:cs="Palatino Linotype"/>
        </w:rPr>
        <w:lastRenderedPageBreak/>
        <w:t xml:space="preserve">con el objeto de que se elaborara el Capítulo relativo al Entorno Económico y su evolución en el ámbito nacional y estatal, para su integración en </w:t>
      </w:r>
      <w:r w:rsidR="00ED7D89" w:rsidRPr="00E65510">
        <w:rPr>
          <w:rFonts w:ascii="Palatino Linotype" w:eastAsia="Palatino Linotype" w:hAnsi="Palatino Linotype" w:cs="Palatino Linotype"/>
        </w:rPr>
        <w:t>la Cuenta Pública</w:t>
      </w:r>
      <w:r w:rsidR="00785B76" w:rsidRPr="00E65510">
        <w:rPr>
          <w:rFonts w:ascii="Palatino Linotype" w:eastAsia="Palatino Linotype" w:hAnsi="Palatino Linotype" w:cs="Palatino Linotype"/>
        </w:rPr>
        <w:t xml:space="preserve">, </w:t>
      </w:r>
      <w:r w:rsidR="00686B4F" w:rsidRPr="00E65510">
        <w:rPr>
          <w:rFonts w:ascii="Palatino Linotype" w:eastAsia="Palatino Linotype" w:hAnsi="Palatino Linotype" w:cs="Palatino Linotype"/>
        </w:rPr>
        <w:t xml:space="preserve">para lo cual se debía considerar </w:t>
      </w:r>
      <w:r w:rsidR="00F13F3C" w:rsidRPr="00E65510">
        <w:rPr>
          <w:rFonts w:ascii="Palatino Linotype" w:eastAsia="Palatino Linotype" w:hAnsi="Palatino Linotype" w:cs="Palatino Linotype"/>
        </w:rPr>
        <w:t xml:space="preserve">el análisis de los principales indicadores de tipo económico, como son el Producto Interno Bruto, las actividades sectoriales, índices de precios, ingreso </w:t>
      </w:r>
      <w:proofErr w:type="spellStart"/>
      <w:r w:rsidR="00F13F3C" w:rsidRPr="00E65510">
        <w:rPr>
          <w:rFonts w:ascii="Palatino Linotype" w:eastAsia="Palatino Linotype" w:hAnsi="Palatino Linotype" w:cs="Palatino Linotype"/>
        </w:rPr>
        <w:t>percápita</w:t>
      </w:r>
      <w:proofErr w:type="spellEnd"/>
      <w:r w:rsidR="00F13F3C" w:rsidRPr="00E65510">
        <w:rPr>
          <w:rFonts w:ascii="Palatino Linotype" w:eastAsia="Palatino Linotype" w:hAnsi="Palatino Linotype" w:cs="Palatino Linotype"/>
        </w:rPr>
        <w:t>, balanza comercial, tasa de empleo, número de asegurados, entre otros.</w:t>
      </w:r>
    </w:p>
    <w:p w14:paraId="708E47B5" w14:textId="2D3A3F28" w:rsidR="003A3EE7" w:rsidRPr="00E65510" w:rsidRDefault="003A3EE7">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 Oficio número </w:t>
      </w:r>
      <w:r w:rsidR="007A1D4C" w:rsidRPr="00E65510">
        <w:rPr>
          <w:rFonts w:ascii="Palatino Linotype" w:eastAsia="Palatino Linotype" w:hAnsi="Palatino Linotype" w:cs="Palatino Linotype"/>
        </w:rPr>
        <w:t>098/2024</w:t>
      </w:r>
      <w:r w:rsidRPr="00E65510">
        <w:rPr>
          <w:rFonts w:ascii="Palatino Linotype" w:eastAsia="Palatino Linotype" w:hAnsi="Palatino Linotype" w:cs="Palatino Linotype"/>
        </w:rPr>
        <w:t>, del nueve de abril de dos mil veinticuatro, mediante el cual el Jefe de la UIPPE,</w:t>
      </w:r>
      <w:r w:rsidR="000605D3" w:rsidRPr="00E65510">
        <w:rPr>
          <w:rFonts w:ascii="Palatino Linotype" w:eastAsia="Palatino Linotype" w:hAnsi="Palatino Linotype" w:cs="Palatino Linotype"/>
        </w:rPr>
        <w:t xml:space="preserve"> envió a la Contadora General Gubernamental  </w:t>
      </w:r>
      <w:r w:rsidR="000605D3" w:rsidRPr="00E65510">
        <w:rPr>
          <w:rFonts w:ascii="Palatino Linotype" w:eastAsia="Palatino Linotype" w:hAnsi="Palatino Linotype" w:cs="Palatino Linotype"/>
          <w:b/>
          <w:bCs/>
          <w:u w:val="single"/>
        </w:rPr>
        <w:t xml:space="preserve">el documento relativo al apartado del Entorno Económico y su evolución en el ámbito nacional y estatal, para su integración en la Cuenta Pública del Estado de México para el ejercicio 2023, </w:t>
      </w:r>
      <w:r w:rsidRPr="00E65510">
        <w:rPr>
          <w:rFonts w:ascii="Palatino Linotype" w:eastAsia="Palatino Linotype" w:hAnsi="Palatino Linotype" w:cs="Palatino Linotype"/>
        </w:rPr>
        <w:t>en atención al oficio 20704002A00000L/1733/2024</w:t>
      </w:r>
      <w:r w:rsidR="000605D3" w:rsidRPr="00E65510">
        <w:rPr>
          <w:rFonts w:ascii="Palatino Linotype" w:eastAsia="Palatino Linotype" w:hAnsi="Palatino Linotype" w:cs="Palatino Linotype"/>
        </w:rPr>
        <w:t>.</w:t>
      </w:r>
    </w:p>
    <w:p w14:paraId="74C49730" w14:textId="71472E91" w:rsidR="009A4B8B" w:rsidRPr="00E65510" w:rsidRDefault="00D153FE">
      <w:pPr>
        <w:spacing w:before="240" w:after="240" w:line="360" w:lineRule="auto"/>
        <w:ind w:right="49"/>
        <w:jc w:val="both"/>
        <w:rPr>
          <w:rFonts w:ascii="Palatino Linotype" w:eastAsia="Palatino Linotype" w:hAnsi="Palatino Linotype" w:cs="Palatino Linotype"/>
          <w:b/>
        </w:rPr>
      </w:pPr>
      <w:r w:rsidRPr="00E65510">
        <w:rPr>
          <w:rFonts w:ascii="Palatino Linotype" w:eastAsia="Palatino Linotype" w:hAnsi="Palatino Linotype" w:cs="Palatino Linotype"/>
          <w:b/>
        </w:rPr>
        <w:t xml:space="preserve">3. Interposición del recurso de revisión. </w:t>
      </w:r>
      <w:r w:rsidRPr="00E65510">
        <w:rPr>
          <w:rFonts w:ascii="Palatino Linotype" w:eastAsia="Palatino Linotype" w:hAnsi="Palatino Linotype" w:cs="Palatino Linotype"/>
        </w:rPr>
        <w:t xml:space="preserve">Inconforme con los términos de la respuesta emitida por parte del </w:t>
      </w:r>
      <w:r w:rsidRPr="00E65510">
        <w:rPr>
          <w:rFonts w:ascii="Palatino Linotype" w:eastAsia="Palatino Linotype" w:hAnsi="Palatino Linotype" w:cs="Palatino Linotype"/>
          <w:b/>
        </w:rPr>
        <w:t>Sujeto Obligado</w:t>
      </w:r>
      <w:r w:rsidRPr="00E65510">
        <w:rPr>
          <w:rFonts w:ascii="Palatino Linotype" w:eastAsia="Palatino Linotype" w:hAnsi="Palatino Linotype" w:cs="Palatino Linotype"/>
        </w:rPr>
        <w:t xml:space="preserve">, el </w:t>
      </w:r>
      <w:r w:rsidR="005C0731" w:rsidRPr="00E65510">
        <w:rPr>
          <w:rFonts w:ascii="Palatino Linotype" w:eastAsia="Palatino Linotype" w:hAnsi="Palatino Linotype" w:cs="Palatino Linotype"/>
          <w:b/>
        </w:rPr>
        <w:t xml:space="preserve">diez de diciembre </w:t>
      </w:r>
      <w:r w:rsidRPr="00E65510">
        <w:rPr>
          <w:rFonts w:ascii="Palatino Linotype" w:eastAsia="Palatino Linotype" w:hAnsi="Palatino Linotype" w:cs="Palatino Linotype"/>
          <w:b/>
        </w:rPr>
        <w:t>de dos mil veinticuatro,</w:t>
      </w:r>
      <w:r w:rsidRPr="00E65510">
        <w:rPr>
          <w:rFonts w:ascii="Palatino Linotype" w:eastAsia="Palatino Linotype" w:hAnsi="Palatino Linotype" w:cs="Palatino Linotype"/>
        </w:rPr>
        <w:t xml:space="preserve"> la parte </w:t>
      </w:r>
      <w:r w:rsidRPr="00E65510">
        <w:rPr>
          <w:rFonts w:ascii="Palatino Linotype" w:eastAsia="Palatino Linotype" w:hAnsi="Palatino Linotype" w:cs="Palatino Linotype"/>
          <w:b/>
        </w:rPr>
        <w:t>Recurrente</w:t>
      </w:r>
      <w:r w:rsidRPr="00E65510">
        <w:rPr>
          <w:rFonts w:ascii="Palatino Linotype" w:eastAsia="Palatino Linotype" w:hAnsi="Palatino Linotype" w:cs="Palatino Linotype"/>
        </w:rPr>
        <w:t xml:space="preserve"> interpuso el recurso de revisión a través de </w:t>
      </w:r>
      <w:r w:rsidRPr="00E65510">
        <w:rPr>
          <w:rFonts w:ascii="Palatino Linotype" w:eastAsia="Palatino Linotype" w:hAnsi="Palatino Linotype" w:cs="Palatino Linotype"/>
          <w:b/>
        </w:rPr>
        <w:t xml:space="preserve">SAIMEX, </w:t>
      </w:r>
      <w:r w:rsidRPr="00E65510">
        <w:rPr>
          <w:rFonts w:ascii="Palatino Linotype" w:eastAsia="Palatino Linotype" w:hAnsi="Palatino Linotype" w:cs="Palatino Linotype"/>
        </w:rPr>
        <w:t>en donde se manifestó de la siguiente manera:</w:t>
      </w:r>
    </w:p>
    <w:p w14:paraId="34E8F4D0" w14:textId="77777777" w:rsidR="009A4B8B" w:rsidRPr="00E65510" w:rsidRDefault="00D153FE">
      <w:pPr>
        <w:tabs>
          <w:tab w:val="left" w:pos="2745"/>
        </w:tabs>
        <w:spacing w:before="240" w:after="240" w:line="360" w:lineRule="auto"/>
        <w:jc w:val="both"/>
        <w:rPr>
          <w:rFonts w:ascii="Palatino Linotype" w:eastAsia="Palatino Linotype" w:hAnsi="Palatino Linotype" w:cs="Palatino Linotype"/>
          <w:b/>
        </w:rPr>
      </w:pPr>
      <w:r w:rsidRPr="00E65510">
        <w:rPr>
          <w:rFonts w:ascii="Palatino Linotype" w:eastAsia="Palatino Linotype" w:hAnsi="Palatino Linotype" w:cs="Palatino Linotype"/>
          <w:b/>
        </w:rPr>
        <w:t xml:space="preserve">Acto impugnado: </w:t>
      </w:r>
    </w:p>
    <w:p w14:paraId="6804AA73" w14:textId="6E0EA7B7" w:rsidR="009A4B8B" w:rsidRPr="00E65510" w:rsidRDefault="00D153FE">
      <w:pPr>
        <w:tabs>
          <w:tab w:val="left" w:pos="2745"/>
        </w:tabs>
        <w:spacing w:before="240" w:after="240"/>
        <w:ind w:left="851" w:right="900"/>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t>“</w:t>
      </w:r>
      <w:r w:rsidR="005C0731" w:rsidRPr="00E65510">
        <w:rPr>
          <w:rFonts w:ascii="Palatino Linotype" w:eastAsia="Palatino Linotype" w:hAnsi="Palatino Linotype" w:cs="Palatino Linotype"/>
          <w:i/>
          <w:sz w:val="22"/>
          <w:szCs w:val="22"/>
        </w:rPr>
        <w:t>LA SERVIDORA PUBLICA HABILITADA SI SABE QUE ES EL CAPÍTULO DE ENTORNO ECONÓMICO DE LA CUENTA PÚBLICA DEL GOBIERNO, ORGANISMOS AUXILIARES Y AUTÓNOMOS DEL ESTADO DE MÉXICO, O RESPONDE SOLO POR ENCUBRIR LA INEFICIENCIA DEL TITULAR DE LA UIPPE</w:t>
      </w:r>
      <w:r w:rsidRPr="00E65510">
        <w:rPr>
          <w:rFonts w:ascii="Palatino Linotype" w:eastAsia="Palatino Linotype" w:hAnsi="Palatino Linotype" w:cs="Palatino Linotype"/>
          <w:i/>
          <w:sz w:val="22"/>
          <w:szCs w:val="22"/>
        </w:rPr>
        <w:t>” (sic)</w:t>
      </w:r>
    </w:p>
    <w:p w14:paraId="160BE448" w14:textId="77777777" w:rsidR="009A4B8B" w:rsidRPr="00E65510" w:rsidRDefault="00D153FE">
      <w:pPr>
        <w:spacing w:line="360" w:lineRule="auto"/>
        <w:jc w:val="both"/>
        <w:rPr>
          <w:rFonts w:ascii="Palatino Linotype" w:eastAsia="Palatino Linotype" w:hAnsi="Palatino Linotype" w:cs="Palatino Linotype"/>
        </w:rPr>
      </w:pPr>
      <w:bookmarkStart w:id="3" w:name="_heading=h.30j0zll" w:colFirst="0" w:colLast="0"/>
      <w:bookmarkEnd w:id="3"/>
      <w:r w:rsidRPr="00E65510">
        <w:rPr>
          <w:rFonts w:ascii="Palatino Linotype" w:eastAsia="Palatino Linotype" w:hAnsi="Palatino Linotype" w:cs="Palatino Linotype"/>
          <w:b/>
        </w:rPr>
        <w:t>Y Razones o motivos de inconformidad</w:t>
      </w:r>
      <w:r w:rsidRPr="00E65510">
        <w:rPr>
          <w:rFonts w:ascii="Palatino Linotype" w:eastAsia="Palatino Linotype" w:hAnsi="Palatino Linotype" w:cs="Palatino Linotype"/>
        </w:rPr>
        <w:t xml:space="preserve">: </w:t>
      </w:r>
    </w:p>
    <w:p w14:paraId="61416436" w14:textId="093368BC" w:rsidR="009A4B8B" w:rsidRPr="00E65510" w:rsidRDefault="00D153FE">
      <w:pPr>
        <w:tabs>
          <w:tab w:val="left" w:pos="2745"/>
        </w:tabs>
        <w:spacing w:before="240" w:after="240"/>
        <w:ind w:left="851" w:right="900"/>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t>“</w:t>
      </w:r>
      <w:r w:rsidR="005C0731" w:rsidRPr="00E65510">
        <w:rPr>
          <w:rFonts w:ascii="Palatino Linotype" w:eastAsia="Palatino Linotype" w:hAnsi="Palatino Linotype" w:cs="Palatino Linotype"/>
          <w:i/>
          <w:sz w:val="22"/>
          <w:szCs w:val="22"/>
        </w:rPr>
        <w:t xml:space="preserve">RESPONDAN CON VERACIDAD, </w:t>
      </w:r>
      <w:r w:rsidR="005C0731" w:rsidRPr="00E65510">
        <w:rPr>
          <w:rFonts w:ascii="Palatino Linotype" w:eastAsia="Palatino Linotype" w:hAnsi="Palatino Linotype" w:cs="Palatino Linotype"/>
          <w:b/>
          <w:bCs/>
          <w:i/>
          <w:sz w:val="22"/>
          <w:szCs w:val="22"/>
          <w:u w:val="single"/>
        </w:rPr>
        <w:t>NO EVADAN LAS PREGUNTA</w:t>
      </w:r>
      <w:r w:rsidRPr="00E65510">
        <w:rPr>
          <w:rFonts w:ascii="Palatino Linotype" w:eastAsia="Palatino Linotype" w:hAnsi="Palatino Linotype" w:cs="Palatino Linotype"/>
          <w:i/>
          <w:sz w:val="22"/>
          <w:szCs w:val="22"/>
        </w:rPr>
        <w:t>” (sic)</w:t>
      </w:r>
    </w:p>
    <w:p w14:paraId="24AE6574" w14:textId="77777777" w:rsidR="009A4B8B" w:rsidRPr="00E65510" w:rsidRDefault="00D153FE">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b/>
        </w:rPr>
        <w:lastRenderedPageBreak/>
        <w:t xml:space="preserve">4. Turno. </w:t>
      </w:r>
      <w:r w:rsidRPr="00E65510">
        <w:rPr>
          <w:rFonts w:ascii="Palatino Linotype" w:eastAsia="Palatino Linotype" w:hAnsi="Palatino Linotype" w:cs="Palatino Linotype"/>
        </w:rPr>
        <w:t xml:space="preserve">De conformidad con el artículo 185 fracción I de la Ley de Transparencia y Acceso a la Información Pública del Estado de México y Municipios vigente, el presente recurso de revisión se turnó por el sistema electrónico del Instituto de Transparencia, Acceso a la Información Pública y Protección de Datos Personales del Estado de México y Municipios, a la Comisionada </w:t>
      </w:r>
      <w:r w:rsidRPr="00E65510">
        <w:rPr>
          <w:rFonts w:ascii="Palatino Linotype" w:eastAsia="Palatino Linotype" w:hAnsi="Palatino Linotype" w:cs="Palatino Linotype"/>
          <w:b/>
        </w:rPr>
        <w:t xml:space="preserve">Guadalupe Ramírez Peña, </w:t>
      </w:r>
      <w:r w:rsidRPr="00E65510">
        <w:rPr>
          <w:rFonts w:ascii="Palatino Linotype" w:eastAsia="Palatino Linotype" w:hAnsi="Palatino Linotype" w:cs="Palatino Linotype"/>
        </w:rPr>
        <w:t xml:space="preserve">a efecto de que analizara sobre su admisión o su </w:t>
      </w:r>
      <w:proofErr w:type="spellStart"/>
      <w:r w:rsidRPr="00E65510">
        <w:rPr>
          <w:rFonts w:ascii="Palatino Linotype" w:eastAsia="Palatino Linotype" w:hAnsi="Palatino Linotype" w:cs="Palatino Linotype"/>
        </w:rPr>
        <w:t>desechamiento</w:t>
      </w:r>
      <w:proofErr w:type="spellEnd"/>
      <w:r w:rsidRPr="00E65510">
        <w:rPr>
          <w:rFonts w:ascii="Palatino Linotype" w:eastAsia="Palatino Linotype" w:hAnsi="Palatino Linotype" w:cs="Palatino Linotype"/>
        </w:rPr>
        <w:t>.</w:t>
      </w:r>
    </w:p>
    <w:p w14:paraId="5176D3F4" w14:textId="62CE9E94" w:rsidR="009A4B8B" w:rsidRPr="00E65510" w:rsidRDefault="00D153FE">
      <w:pPr>
        <w:spacing w:before="240" w:after="240" w:line="360" w:lineRule="auto"/>
        <w:jc w:val="both"/>
        <w:rPr>
          <w:rFonts w:ascii="Palatino Linotype" w:eastAsia="Palatino Linotype" w:hAnsi="Palatino Linotype" w:cs="Palatino Linotype"/>
        </w:rPr>
      </w:pPr>
      <w:bookmarkStart w:id="4" w:name="_heading=h.2s8eyo1" w:colFirst="0" w:colLast="0"/>
      <w:bookmarkEnd w:id="4"/>
      <w:r w:rsidRPr="00E65510">
        <w:rPr>
          <w:rFonts w:ascii="Palatino Linotype" w:eastAsia="Palatino Linotype" w:hAnsi="Palatino Linotype" w:cs="Palatino Linotype"/>
          <w:b/>
        </w:rPr>
        <w:t>5. Admisión del Recurso de revisión.</w:t>
      </w:r>
      <w:r w:rsidRPr="00E65510">
        <w:rPr>
          <w:rFonts w:ascii="Palatino Linotype" w:eastAsia="Palatino Linotype" w:hAnsi="Palatino Linotype" w:cs="Palatino Linotype"/>
        </w:rPr>
        <w:t xml:space="preserve"> El</w:t>
      </w:r>
      <w:r w:rsidRPr="00E65510">
        <w:rPr>
          <w:rFonts w:ascii="Palatino Linotype" w:eastAsia="Palatino Linotype" w:hAnsi="Palatino Linotype" w:cs="Palatino Linotype"/>
          <w:b/>
        </w:rPr>
        <w:t xml:space="preserve"> </w:t>
      </w:r>
      <w:r w:rsidR="00E40E97" w:rsidRPr="00E65510">
        <w:rPr>
          <w:rFonts w:ascii="Palatino Linotype" w:eastAsia="Palatino Linotype" w:hAnsi="Palatino Linotype" w:cs="Palatino Linotype"/>
          <w:b/>
        </w:rPr>
        <w:t xml:space="preserve">dieciséis de diciembre </w:t>
      </w:r>
      <w:r w:rsidRPr="00E65510">
        <w:rPr>
          <w:rFonts w:ascii="Palatino Linotype" w:eastAsia="Palatino Linotype" w:hAnsi="Palatino Linotype" w:cs="Palatino Linotype"/>
          <w:b/>
        </w:rPr>
        <w:t xml:space="preserve">de dos mil veinticuatro, </w:t>
      </w:r>
      <w:r w:rsidRPr="00E65510">
        <w:rPr>
          <w:rFonts w:ascii="Palatino Linotype" w:eastAsia="Palatino Linotype" w:hAnsi="Palatino Linotype" w:cs="Palatino Linotype"/>
        </w:rPr>
        <w:t xml:space="preserve">este Instituto de Transparencia, Acceso a la Información Pública y Protección de Datos Personales del Estado de México y Municipios, admitió a trámite el recurso de revisión que ahora se resuelve, dando un plazo máximo de siete días hábiles para que las partes manifestaran lo que a su derecho resultara conveniente, ofrecieran pruebas, formularan alegatos y el </w:t>
      </w:r>
      <w:r w:rsidRPr="00E65510">
        <w:rPr>
          <w:rFonts w:ascii="Palatino Linotype" w:eastAsia="Palatino Linotype" w:hAnsi="Palatino Linotype" w:cs="Palatino Linotype"/>
          <w:b/>
        </w:rPr>
        <w:t xml:space="preserve">Sujeto Obligado </w:t>
      </w:r>
      <w:r w:rsidRPr="00E65510">
        <w:rPr>
          <w:rFonts w:ascii="Palatino Linotype" w:eastAsia="Palatino Linotype" w:hAnsi="Palatino Linotype" w:cs="Palatino Linotype"/>
        </w:rPr>
        <w:t>presentara su informe justificado.</w:t>
      </w:r>
    </w:p>
    <w:p w14:paraId="4FA1A389" w14:textId="0ACCC436" w:rsidR="00C60BA2" w:rsidRPr="00E65510" w:rsidRDefault="00D153FE" w:rsidP="003401D6">
      <w:pPr>
        <w:widowControl w:val="0"/>
        <w:spacing w:line="360" w:lineRule="auto"/>
        <w:ind w:right="49"/>
        <w:jc w:val="both"/>
        <w:rPr>
          <w:rFonts w:ascii="Palatino Linotype" w:eastAsia="Palatino Linotype" w:hAnsi="Palatino Linotype" w:cs="Palatino Linotype"/>
          <w:u w:val="single"/>
        </w:rPr>
      </w:pPr>
      <w:r w:rsidRPr="00E65510">
        <w:rPr>
          <w:rFonts w:ascii="Palatino Linotype" w:eastAsia="Palatino Linotype" w:hAnsi="Palatino Linotype" w:cs="Palatino Linotype"/>
          <w:b/>
        </w:rPr>
        <w:t>6. Manifestaciones</w:t>
      </w:r>
      <w:r w:rsidRPr="00E65510">
        <w:rPr>
          <w:rFonts w:ascii="Palatino Linotype" w:eastAsia="Palatino Linotype" w:hAnsi="Palatino Linotype" w:cs="Palatino Linotype"/>
        </w:rPr>
        <w:t xml:space="preserve">. </w:t>
      </w:r>
      <w:r w:rsidR="00DE4BB3" w:rsidRPr="00E65510">
        <w:rPr>
          <w:rFonts w:ascii="Palatino Linotype" w:eastAsia="Palatino Linotype" w:hAnsi="Palatino Linotype" w:cs="Palatino Linotype"/>
        </w:rPr>
        <w:t xml:space="preserve">El </w:t>
      </w:r>
      <w:r w:rsidR="00DE4BB3" w:rsidRPr="00E65510">
        <w:rPr>
          <w:rFonts w:ascii="Palatino Linotype" w:eastAsia="Palatino Linotype" w:hAnsi="Palatino Linotype" w:cs="Palatino Linotype"/>
          <w:b/>
        </w:rPr>
        <w:t xml:space="preserve">diecinueve de </w:t>
      </w:r>
      <w:r w:rsidR="00E40E97" w:rsidRPr="00E65510">
        <w:rPr>
          <w:rFonts w:ascii="Palatino Linotype" w:eastAsia="Palatino Linotype" w:hAnsi="Palatino Linotype" w:cs="Palatino Linotype"/>
          <w:b/>
        </w:rPr>
        <w:t>diciembre</w:t>
      </w:r>
      <w:r w:rsidR="00DE4BB3" w:rsidRPr="00E65510">
        <w:rPr>
          <w:rFonts w:ascii="Palatino Linotype" w:eastAsia="Palatino Linotype" w:hAnsi="Palatino Linotype" w:cs="Palatino Linotype"/>
          <w:b/>
        </w:rPr>
        <w:t xml:space="preserve"> de dos mil veinticuatro, </w:t>
      </w:r>
      <w:r w:rsidR="00DE4BB3" w:rsidRPr="00E65510">
        <w:rPr>
          <w:rFonts w:ascii="Palatino Linotype" w:eastAsia="Palatino Linotype" w:hAnsi="Palatino Linotype" w:cs="Palatino Linotype"/>
        </w:rPr>
        <w:t xml:space="preserve">el </w:t>
      </w:r>
      <w:r w:rsidR="00DE4BB3" w:rsidRPr="00E65510">
        <w:rPr>
          <w:rFonts w:ascii="Palatino Linotype" w:eastAsia="Palatino Linotype" w:hAnsi="Palatino Linotype" w:cs="Palatino Linotype"/>
          <w:b/>
        </w:rPr>
        <w:t xml:space="preserve">Sujeto Obligado </w:t>
      </w:r>
      <w:r w:rsidR="00DE4BB3" w:rsidRPr="00E65510">
        <w:rPr>
          <w:rFonts w:ascii="Palatino Linotype" w:eastAsia="Palatino Linotype" w:hAnsi="Palatino Linotype" w:cs="Palatino Linotype"/>
        </w:rPr>
        <w:t>remitió, a través de SAIMEX su informe justificado, mediante el cual</w:t>
      </w:r>
      <w:r w:rsidR="00E409A7" w:rsidRPr="00E65510">
        <w:rPr>
          <w:rFonts w:ascii="Palatino Linotype" w:eastAsia="Palatino Linotype" w:hAnsi="Palatino Linotype" w:cs="Palatino Linotype"/>
        </w:rPr>
        <w:t xml:space="preserve">, </w:t>
      </w:r>
      <w:r w:rsidR="008748F6" w:rsidRPr="00E65510">
        <w:rPr>
          <w:rFonts w:ascii="Palatino Linotype" w:eastAsia="Palatino Linotype" w:hAnsi="Palatino Linotype" w:cs="Palatino Linotype"/>
        </w:rPr>
        <w:t>ratificó en todas y cada una de sus partes la respuesta proporcionada por la servidora pública habilitada de la UIPPE</w:t>
      </w:r>
      <w:r w:rsidR="00EF1F86" w:rsidRPr="00E65510">
        <w:rPr>
          <w:rFonts w:ascii="Palatino Linotype" w:eastAsia="Palatino Linotype" w:hAnsi="Palatino Linotype" w:cs="Palatino Linotype"/>
        </w:rPr>
        <w:t>.</w:t>
      </w:r>
    </w:p>
    <w:p w14:paraId="716EE272" w14:textId="1B2527ED" w:rsidR="005157C9" w:rsidRPr="00E65510" w:rsidRDefault="00870338" w:rsidP="003401D6">
      <w:pPr>
        <w:widowControl w:val="0"/>
        <w:spacing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rPr>
        <w:t>Anexos:</w:t>
      </w:r>
    </w:p>
    <w:p w14:paraId="7B795CCD" w14:textId="50597C6B" w:rsidR="00870338" w:rsidRPr="00E65510" w:rsidRDefault="00151D28" w:rsidP="003401D6">
      <w:pPr>
        <w:widowControl w:val="0"/>
        <w:spacing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rPr>
        <w:t>- Escrito del</w:t>
      </w:r>
      <w:r w:rsidR="00870338" w:rsidRPr="00E65510">
        <w:rPr>
          <w:rFonts w:ascii="Palatino Linotype" w:eastAsia="Palatino Linotype" w:hAnsi="Palatino Linotype" w:cs="Palatino Linotype"/>
        </w:rPr>
        <w:t xml:space="preserve"> dieciocho de noviembre de dos mil veinticuatro, </w:t>
      </w:r>
      <w:r w:rsidR="007F02C1" w:rsidRPr="00E65510">
        <w:rPr>
          <w:rFonts w:ascii="Palatino Linotype" w:eastAsia="Palatino Linotype" w:hAnsi="Palatino Linotype" w:cs="Palatino Linotype"/>
        </w:rPr>
        <w:t>mediante el cual la servidora pública habilitada de la UIPPE, en atención al recurso de revisión ratificó en todas y cada y una de sus partes el contenido del escrito de fecha catorce de noviembre de dos mil veinticuatro.</w:t>
      </w:r>
    </w:p>
    <w:p w14:paraId="4E7F609A" w14:textId="77777777" w:rsidR="001232CC" w:rsidRPr="00E65510" w:rsidRDefault="001232CC" w:rsidP="001232CC">
      <w:pP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lastRenderedPageBreak/>
        <w:t xml:space="preserve">Una vez analizados los documentos referidos, se determinó hacerlos del conocimiento de la parte </w:t>
      </w:r>
      <w:r w:rsidRPr="00E65510">
        <w:rPr>
          <w:rFonts w:ascii="Palatino Linotype" w:eastAsia="Palatino Linotype" w:hAnsi="Palatino Linotype" w:cs="Palatino Linotype"/>
          <w:b/>
          <w:bCs/>
        </w:rPr>
        <w:t xml:space="preserve">Recurrente </w:t>
      </w:r>
      <w:r w:rsidRPr="00E65510">
        <w:rPr>
          <w:rFonts w:ascii="Palatino Linotype" w:eastAsia="Palatino Linotype" w:hAnsi="Palatino Linotype" w:cs="Palatino Linotype"/>
        </w:rPr>
        <w:t>con la finalidad de que manifestara lo que a su derecho estimara conveniente, sin embargo, fue omisa en ejercer dicha prerrogativa.</w:t>
      </w:r>
    </w:p>
    <w:p w14:paraId="1FF450C8" w14:textId="30D48744" w:rsidR="009A4B8B" w:rsidRPr="00E65510" w:rsidRDefault="00D153FE">
      <w:pP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b/>
        </w:rPr>
        <w:t xml:space="preserve">7. Cierre de instrucción. </w:t>
      </w:r>
      <w:r w:rsidRPr="00E65510">
        <w:rPr>
          <w:rFonts w:ascii="Palatino Linotype" w:eastAsia="Palatino Linotype" w:hAnsi="Palatino Linotype" w:cs="Palatino Linotype"/>
        </w:rPr>
        <w:t xml:space="preserve">Una vez transcurrido el periodo otorgado a las partes para realizar sus manifestaciones y no habiendo documentos que integrar al expediente, </w:t>
      </w:r>
      <w:r w:rsidR="00D87558" w:rsidRPr="00E65510">
        <w:rPr>
          <w:rFonts w:ascii="Palatino Linotype" w:eastAsia="Palatino Linotype" w:hAnsi="Palatino Linotype" w:cs="Palatino Linotype"/>
        </w:rPr>
        <w:t xml:space="preserve">el </w:t>
      </w:r>
      <w:r w:rsidR="007F02C1" w:rsidRPr="00E65510">
        <w:rPr>
          <w:rFonts w:ascii="Palatino Linotype" w:eastAsia="Palatino Linotype" w:hAnsi="Palatino Linotype" w:cs="Palatino Linotype"/>
          <w:b/>
        </w:rPr>
        <w:t xml:space="preserve">diecisiete de enero </w:t>
      </w:r>
      <w:r w:rsidRPr="00E65510">
        <w:rPr>
          <w:rFonts w:ascii="Palatino Linotype" w:eastAsia="Palatino Linotype" w:hAnsi="Palatino Linotype" w:cs="Palatino Linotype"/>
          <w:b/>
        </w:rPr>
        <w:t>de dos mil veinti</w:t>
      </w:r>
      <w:r w:rsidR="007F02C1" w:rsidRPr="00E65510">
        <w:rPr>
          <w:rFonts w:ascii="Palatino Linotype" w:eastAsia="Palatino Linotype" w:hAnsi="Palatino Linotype" w:cs="Palatino Linotype"/>
          <w:b/>
        </w:rPr>
        <w:t>cinco</w:t>
      </w:r>
      <w:r w:rsidRPr="00E65510">
        <w:rPr>
          <w:rFonts w:ascii="Palatino Linotype" w:eastAsia="Palatino Linotype" w:hAnsi="Palatino Linotype" w:cs="Palatino Linotype"/>
        </w:rPr>
        <w:t>, la Comisionada Ponente determinó el cierre de instrucción en términos de la fracción VI del artículo 185 de la Ley de Transparencia y Acceso a la Información Pública del Estado de México y Municipios</w:t>
      </w:r>
    </w:p>
    <w:p w14:paraId="7ACBC785" w14:textId="77777777" w:rsidR="009A4B8B" w:rsidRPr="00E65510" w:rsidRDefault="00D153FE">
      <w:pP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En razón de que fue debidamente sustanciado el expediente electrónico y no existe diligencia pendiente de desahogo, se emite la Resolución que conforme a Derecho proceda, de acuerdo con los siguientes: </w:t>
      </w:r>
    </w:p>
    <w:p w14:paraId="76B2225D" w14:textId="77777777" w:rsidR="009A4B8B" w:rsidRPr="00E65510" w:rsidRDefault="00D153FE">
      <w:pPr>
        <w:widowControl w:val="0"/>
        <w:spacing w:before="240" w:after="240" w:line="360" w:lineRule="auto"/>
        <w:jc w:val="center"/>
        <w:rPr>
          <w:rFonts w:ascii="Palatino Linotype" w:eastAsia="Palatino Linotype" w:hAnsi="Palatino Linotype" w:cs="Palatino Linotype"/>
          <w:b/>
        </w:rPr>
      </w:pPr>
      <w:r w:rsidRPr="00E65510">
        <w:rPr>
          <w:rFonts w:ascii="Palatino Linotype" w:eastAsia="Palatino Linotype" w:hAnsi="Palatino Linotype" w:cs="Palatino Linotype"/>
          <w:b/>
        </w:rPr>
        <w:t>II. C O N S I D E R A N D O S</w:t>
      </w:r>
    </w:p>
    <w:p w14:paraId="2ADD3D1A" w14:textId="77777777" w:rsidR="009A4B8B" w:rsidRPr="00E65510" w:rsidRDefault="00D153FE">
      <w:pP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b/>
        </w:rPr>
        <w:t>Primero. Competencia.</w:t>
      </w:r>
      <w:r w:rsidRPr="00E65510">
        <w:rPr>
          <w:rFonts w:ascii="Palatino Linotype" w:eastAsia="Palatino Linotype" w:hAnsi="Palatino Linotype" w:cs="Palatino Linotype"/>
        </w:rPr>
        <w:t xml:space="preserve"> 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6, apartado A de la Constitución Política de los Estados Unidos Mexicanos; 5 párrafos trigésimo tercero, trigésimo cuarto y trigésimo quinto, fracciones IV y V de la Constitución Política del Estado Libre y Soberano de México; 2, fracción II; 29, 36 fracciones I y II; 176, 178, 181, 185, fracción I, 186 y 188 de la Ley Transparencia y Acceso a la Información Pública del Estado de México y Municipios; 9, fracciones I y XXIII y 11 del Reglamento Interior del Instituto de Transparencia, Acceso a la Información Pública y Protección de Datos Personales del Estado de México y Municipios.</w:t>
      </w:r>
    </w:p>
    <w:p w14:paraId="047DD6E8" w14:textId="77777777" w:rsidR="009A4B8B" w:rsidRPr="00E65510" w:rsidRDefault="00D153FE">
      <w:pPr>
        <w:spacing w:before="240" w:after="240" w:line="360" w:lineRule="auto"/>
        <w:jc w:val="both"/>
        <w:rPr>
          <w:rFonts w:ascii="Palatino Linotype" w:eastAsia="Palatino Linotype" w:hAnsi="Palatino Linotype" w:cs="Palatino Linotype"/>
        </w:rPr>
      </w:pPr>
      <w:bookmarkStart w:id="5" w:name="_heading=h.tyjcwt" w:colFirst="0" w:colLast="0"/>
      <w:bookmarkEnd w:id="5"/>
      <w:r w:rsidRPr="00E65510">
        <w:rPr>
          <w:rFonts w:ascii="Palatino Linotype" w:eastAsia="Palatino Linotype" w:hAnsi="Palatino Linotype" w:cs="Palatino Linotype"/>
          <w:b/>
        </w:rPr>
        <w:lastRenderedPageBreak/>
        <w:t>Segundo. Oportunidad y Procedibilidad del Recurso de Revisión</w:t>
      </w:r>
      <w:r w:rsidRPr="00E65510">
        <w:rPr>
          <w:rFonts w:ascii="Palatino Linotype" w:eastAsia="Palatino Linotype" w:hAnsi="Palatino Linotype" w:cs="Palatino Linotype"/>
        </w:rPr>
        <w:t>. Previo al estudio del fondo del asunto, se procede a analizar los requisitos de oportunidad y procedibilidad que debe reunir el recurso de revisión interpuesto, previstos en los artículos 178 y 180 de la Ley de Transparencia y Acceso a la Información Pública del Estado de México y Municipios.</w:t>
      </w:r>
    </w:p>
    <w:p w14:paraId="6AAA2831" w14:textId="1FD040F2" w:rsidR="009A4B8B" w:rsidRPr="00E65510" w:rsidRDefault="00D153FE">
      <w:pP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El recurso de revisión fue interpuesto dentro del plazo de quince días hábiles, previsto en el artículo 178 de la Ley de Transparencia y Acceso a la Información Pública del Estado de México y Municipios, toda vez que el </w:t>
      </w:r>
      <w:r w:rsidRPr="00E65510">
        <w:rPr>
          <w:rFonts w:ascii="Palatino Linotype" w:eastAsia="Palatino Linotype" w:hAnsi="Palatino Linotype" w:cs="Palatino Linotype"/>
          <w:b/>
        </w:rPr>
        <w:t xml:space="preserve">Sujeto Obligado </w:t>
      </w:r>
      <w:r w:rsidRPr="00E65510">
        <w:rPr>
          <w:rFonts w:ascii="Palatino Linotype" w:eastAsia="Palatino Linotype" w:hAnsi="Palatino Linotype" w:cs="Palatino Linotype"/>
        </w:rPr>
        <w:t xml:space="preserve">remitió la respuesta a la solicitud de información el </w:t>
      </w:r>
      <w:r w:rsidR="00225EE9" w:rsidRPr="00E65510">
        <w:rPr>
          <w:rFonts w:ascii="Palatino Linotype" w:eastAsia="Palatino Linotype" w:hAnsi="Palatino Linotype" w:cs="Palatino Linotype"/>
          <w:b/>
        </w:rPr>
        <w:t>veinti</w:t>
      </w:r>
      <w:r w:rsidR="007943CF" w:rsidRPr="00E65510">
        <w:rPr>
          <w:rFonts w:ascii="Palatino Linotype" w:eastAsia="Palatino Linotype" w:hAnsi="Palatino Linotype" w:cs="Palatino Linotype"/>
          <w:b/>
        </w:rPr>
        <w:t>nueve de noviembre de dos mil veinticuatro</w:t>
      </w:r>
      <w:r w:rsidRPr="00E65510">
        <w:rPr>
          <w:rFonts w:ascii="Palatino Linotype" w:eastAsia="Palatino Linotype" w:hAnsi="Palatino Linotype" w:cs="Palatino Linotype"/>
          <w:b/>
        </w:rPr>
        <w:t xml:space="preserve">, </w:t>
      </w:r>
      <w:r w:rsidRPr="00E65510">
        <w:rPr>
          <w:rFonts w:ascii="Palatino Linotype" w:eastAsia="Palatino Linotype" w:hAnsi="Palatino Linotype" w:cs="Palatino Linotype"/>
        </w:rPr>
        <w:t xml:space="preserve">mientras que el recurso de revisión interpuesto por </w:t>
      </w:r>
      <w:r w:rsidRPr="00E65510">
        <w:rPr>
          <w:rFonts w:ascii="Palatino Linotype" w:eastAsia="Palatino Linotype" w:hAnsi="Palatino Linotype" w:cs="Palatino Linotype"/>
          <w:b/>
        </w:rPr>
        <w:t>la parte</w:t>
      </w:r>
      <w:r w:rsidRPr="00E65510">
        <w:rPr>
          <w:rFonts w:ascii="Palatino Linotype" w:eastAsia="Palatino Linotype" w:hAnsi="Palatino Linotype" w:cs="Palatino Linotype"/>
        </w:rPr>
        <w:t xml:space="preserve"> </w:t>
      </w:r>
      <w:r w:rsidRPr="00E65510">
        <w:rPr>
          <w:rFonts w:ascii="Palatino Linotype" w:eastAsia="Palatino Linotype" w:hAnsi="Palatino Linotype" w:cs="Palatino Linotype"/>
          <w:b/>
        </w:rPr>
        <w:t>Recurrente</w:t>
      </w:r>
      <w:r w:rsidRPr="00E65510">
        <w:rPr>
          <w:rFonts w:ascii="Palatino Linotype" w:eastAsia="Palatino Linotype" w:hAnsi="Palatino Linotype" w:cs="Palatino Linotype"/>
        </w:rPr>
        <w:t xml:space="preserve">, se tuvo por presentado el </w:t>
      </w:r>
      <w:r w:rsidR="007943CF" w:rsidRPr="00E65510">
        <w:rPr>
          <w:rFonts w:ascii="Palatino Linotype" w:eastAsia="Palatino Linotype" w:hAnsi="Palatino Linotype" w:cs="Palatino Linotype"/>
          <w:b/>
        </w:rPr>
        <w:t xml:space="preserve">diez de diciembre </w:t>
      </w:r>
      <w:r w:rsidRPr="00E65510">
        <w:rPr>
          <w:rFonts w:ascii="Palatino Linotype" w:eastAsia="Palatino Linotype" w:hAnsi="Palatino Linotype" w:cs="Palatino Linotype"/>
          <w:b/>
        </w:rPr>
        <w:t>de dos mil veinticuatro</w:t>
      </w:r>
      <w:r w:rsidRPr="00E65510">
        <w:rPr>
          <w:rFonts w:ascii="Palatino Linotype" w:eastAsia="Palatino Linotype" w:hAnsi="Palatino Linotype" w:cs="Palatino Linotype"/>
        </w:rPr>
        <w:t xml:space="preserve"> esto es, </w:t>
      </w:r>
      <w:r w:rsidRPr="00E65510">
        <w:rPr>
          <w:rFonts w:ascii="Palatino Linotype" w:eastAsia="Palatino Linotype" w:hAnsi="Palatino Linotype" w:cs="Palatino Linotype"/>
          <w:b/>
        </w:rPr>
        <w:t>al</w:t>
      </w:r>
      <w:r w:rsidR="00225EE9" w:rsidRPr="00E65510">
        <w:rPr>
          <w:rFonts w:ascii="Palatino Linotype" w:eastAsia="Palatino Linotype" w:hAnsi="Palatino Linotype" w:cs="Palatino Linotype"/>
          <w:b/>
        </w:rPr>
        <w:t xml:space="preserve"> </w:t>
      </w:r>
      <w:r w:rsidR="007943CF" w:rsidRPr="00E65510">
        <w:rPr>
          <w:rFonts w:ascii="Palatino Linotype" w:eastAsia="Palatino Linotype" w:hAnsi="Palatino Linotype" w:cs="Palatino Linotype"/>
          <w:b/>
        </w:rPr>
        <w:t>séptimo</w:t>
      </w:r>
      <w:r w:rsidR="00225EE9" w:rsidRPr="00E65510">
        <w:rPr>
          <w:rFonts w:ascii="Palatino Linotype" w:eastAsia="Palatino Linotype" w:hAnsi="Palatino Linotype" w:cs="Palatino Linotype"/>
          <w:b/>
        </w:rPr>
        <w:t xml:space="preserve"> </w:t>
      </w:r>
      <w:r w:rsidRPr="00E65510">
        <w:rPr>
          <w:rFonts w:ascii="Palatino Linotype" w:eastAsia="Palatino Linotype" w:hAnsi="Palatino Linotype" w:cs="Palatino Linotype"/>
          <w:b/>
        </w:rPr>
        <w:t xml:space="preserve">día hábil </w:t>
      </w:r>
      <w:r w:rsidR="00D87558" w:rsidRPr="00E65510">
        <w:rPr>
          <w:rFonts w:ascii="Palatino Linotype" w:eastAsia="Palatino Linotype" w:hAnsi="Palatino Linotype" w:cs="Palatino Linotype"/>
          <w:b/>
        </w:rPr>
        <w:t xml:space="preserve">posterior </w:t>
      </w:r>
      <w:r w:rsidRPr="00E65510">
        <w:rPr>
          <w:rFonts w:ascii="Palatino Linotype" w:eastAsia="Palatino Linotype" w:hAnsi="Palatino Linotype" w:cs="Palatino Linotype"/>
          <w:b/>
        </w:rPr>
        <w:t>a aquel</w:t>
      </w:r>
      <w:r w:rsidRPr="00E65510">
        <w:rPr>
          <w:rFonts w:ascii="Palatino Linotype" w:eastAsia="Palatino Linotype" w:hAnsi="Palatino Linotype" w:cs="Palatino Linotype"/>
        </w:rPr>
        <w:t xml:space="preserve"> </w:t>
      </w:r>
      <w:r w:rsidRPr="00E65510">
        <w:rPr>
          <w:rFonts w:ascii="Palatino Linotype" w:eastAsia="Palatino Linotype" w:hAnsi="Palatino Linotype" w:cs="Palatino Linotype"/>
          <w:b/>
        </w:rPr>
        <w:t>en que se tuvo conocimiento de la respuesta impugnada</w:t>
      </w:r>
      <w:r w:rsidRPr="00E65510">
        <w:rPr>
          <w:rFonts w:ascii="Palatino Linotype" w:eastAsia="Palatino Linotype" w:hAnsi="Palatino Linotype" w:cs="Palatino Linotype"/>
        </w:rPr>
        <w:t>. En este sentido, se concluye que el presente recurso de revisión se encuentra dentro de los márgenes temporales previstos</w:t>
      </w:r>
      <w:r w:rsidR="00DE6744" w:rsidRPr="00E65510">
        <w:rPr>
          <w:rFonts w:ascii="Palatino Linotype" w:eastAsia="Palatino Linotype" w:hAnsi="Palatino Linotype" w:cs="Palatino Linotype"/>
        </w:rPr>
        <w:t xml:space="preserve"> </w:t>
      </w:r>
      <w:r w:rsidRPr="00E65510">
        <w:rPr>
          <w:rFonts w:ascii="Palatino Linotype" w:eastAsia="Palatino Linotype" w:hAnsi="Palatino Linotype" w:cs="Palatino Linotype"/>
        </w:rPr>
        <w:t>en las disposiciones legales referidas.</w:t>
      </w:r>
    </w:p>
    <w:p w14:paraId="777123AF" w14:textId="77777777" w:rsidR="009A4B8B" w:rsidRPr="00E65510" w:rsidRDefault="00D153FE">
      <w:pPr>
        <w:spacing w:before="240" w:after="240" w:line="360" w:lineRule="auto"/>
        <w:jc w:val="both"/>
        <w:rPr>
          <w:rFonts w:ascii="Palatino Linotype" w:eastAsia="Palatino Linotype" w:hAnsi="Palatino Linotype" w:cs="Palatino Linotype"/>
          <w:b/>
        </w:rPr>
      </w:pPr>
      <w:bookmarkStart w:id="6" w:name="_heading=h.3znysh7" w:colFirst="0" w:colLast="0"/>
      <w:bookmarkEnd w:id="6"/>
      <w:r w:rsidRPr="00E65510">
        <w:rPr>
          <w:rFonts w:ascii="Palatino Linotype" w:eastAsia="Palatino Linotype" w:hAnsi="Palatino Linotype" w:cs="Palatino Linotype"/>
        </w:rPr>
        <w:t>De acuerdo al análisis efectuado se advierte que resulta procedente la interposición del recurso y se concluye la acreditación plena de todos y cada uno de los elementos formales exigidos por el artículo 180 de la Ley de Transparencia y Acceso a la Información Pública del Estado de México y Municipios en vigor, en atención a que fue presentado mediante el formato visible en el</w:t>
      </w:r>
      <w:r w:rsidRPr="00E65510">
        <w:rPr>
          <w:rFonts w:ascii="Palatino Linotype" w:eastAsia="Palatino Linotype" w:hAnsi="Palatino Linotype" w:cs="Palatino Linotype"/>
          <w:b/>
        </w:rPr>
        <w:t xml:space="preserve"> SAIMEX.</w:t>
      </w:r>
    </w:p>
    <w:p w14:paraId="4A72FA4B" w14:textId="470CB301" w:rsidR="009A4B8B" w:rsidRPr="00E65510" w:rsidRDefault="00D153FE">
      <w:pP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Finalmente, se advierte que resulta procedente la interposición del recurso, según lo manifestado por la parte </w:t>
      </w:r>
      <w:r w:rsidRPr="00E65510">
        <w:rPr>
          <w:rFonts w:ascii="Palatino Linotype" w:eastAsia="Palatino Linotype" w:hAnsi="Palatino Linotype" w:cs="Palatino Linotype"/>
          <w:b/>
        </w:rPr>
        <w:t>Recurrente</w:t>
      </w:r>
      <w:r w:rsidRPr="00E65510">
        <w:rPr>
          <w:rFonts w:ascii="Palatino Linotype" w:eastAsia="Palatino Linotype" w:hAnsi="Palatino Linotype" w:cs="Palatino Linotype"/>
        </w:rPr>
        <w:t xml:space="preserve"> en sus motivos de inconformidad, de acu</w:t>
      </w:r>
      <w:r w:rsidR="009560CA" w:rsidRPr="00E65510">
        <w:rPr>
          <w:rFonts w:ascii="Palatino Linotype" w:eastAsia="Palatino Linotype" w:hAnsi="Palatino Linotype" w:cs="Palatino Linotype"/>
        </w:rPr>
        <w:t>erdo al artículo 179, fracciones I y VI</w:t>
      </w:r>
      <w:r w:rsidRPr="00E65510">
        <w:rPr>
          <w:rFonts w:ascii="Palatino Linotype" w:eastAsia="Palatino Linotype" w:hAnsi="Palatino Linotype" w:cs="Palatino Linotype"/>
        </w:rPr>
        <w:t xml:space="preserve"> del ordenamiento legal citado, que a la letra dice: </w:t>
      </w:r>
    </w:p>
    <w:p w14:paraId="6243CBF9" w14:textId="7568FA47" w:rsidR="009A4B8B" w:rsidRPr="00E65510" w:rsidRDefault="00D153FE" w:rsidP="009560CA">
      <w:pP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lastRenderedPageBreak/>
        <w:t>“</w:t>
      </w:r>
      <w:r w:rsidRPr="00E65510">
        <w:rPr>
          <w:rFonts w:ascii="Palatino Linotype" w:eastAsia="Palatino Linotype" w:hAnsi="Palatino Linotype" w:cs="Palatino Linotype"/>
          <w:b/>
          <w:i/>
          <w:sz w:val="22"/>
          <w:szCs w:val="22"/>
        </w:rPr>
        <w:t>Artículo 179.</w:t>
      </w:r>
      <w:r w:rsidRPr="00E65510">
        <w:rPr>
          <w:rFonts w:ascii="Palatino Linotype" w:eastAsia="Palatino Linotype" w:hAnsi="Palatino Linotype" w:cs="Palatino Linotype"/>
          <w:i/>
          <w:sz w:val="22"/>
          <w:szCs w:val="22"/>
        </w:rPr>
        <w:t xml:space="preserve"> El recurso de revisión es un medio de protección que la Ley otorga a los particulares, para hacer valer su derecho de acceso a la información pública, y procederá en contra de las siguientes causas:</w:t>
      </w:r>
    </w:p>
    <w:p w14:paraId="24FFC951" w14:textId="77777777" w:rsidR="009560CA" w:rsidRPr="00E65510" w:rsidRDefault="009560CA">
      <w:pPr>
        <w:spacing w:before="120" w:after="120"/>
        <w:ind w:left="1134"/>
      </w:pPr>
      <w:r w:rsidRPr="00E65510">
        <w:rPr>
          <w:rFonts w:ascii="Palatino Linotype" w:hAnsi="Palatino Linotype"/>
          <w:b/>
          <w:i/>
          <w:sz w:val="22"/>
          <w:szCs w:val="22"/>
        </w:rPr>
        <w:t>I</w:t>
      </w:r>
      <w:r w:rsidRPr="00E65510">
        <w:rPr>
          <w:rFonts w:ascii="Palatino Linotype" w:hAnsi="Palatino Linotype"/>
          <w:i/>
          <w:sz w:val="22"/>
          <w:szCs w:val="22"/>
        </w:rPr>
        <w:t>. La negativa a la información solicitada</w:t>
      </w:r>
      <w:r w:rsidRPr="00E65510">
        <w:t>;</w:t>
      </w:r>
    </w:p>
    <w:p w14:paraId="3582D6EE" w14:textId="77777777" w:rsidR="009560CA" w:rsidRPr="00E65510" w:rsidRDefault="009560CA">
      <w:pPr>
        <w:spacing w:before="120" w:after="120"/>
        <w:ind w:left="1134"/>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t>...</w:t>
      </w:r>
    </w:p>
    <w:p w14:paraId="5DF50505" w14:textId="5636BCC8" w:rsidR="009A4B8B" w:rsidRPr="00E65510" w:rsidRDefault="009560CA">
      <w:pPr>
        <w:spacing w:before="120" w:after="120"/>
        <w:ind w:left="1134"/>
        <w:rPr>
          <w:rFonts w:ascii="Palatino Linotype" w:eastAsia="Palatino Linotype" w:hAnsi="Palatino Linotype" w:cs="Palatino Linotype"/>
          <w:i/>
          <w:sz w:val="22"/>
          <w:szCs w:val="22"/>
        </w:rPr>
      </w:pPr>
      <w:r w:rsidRPr="00E65510">
        <w:rPr>
          <w:rFonts w:ascii="Palatino Linotype" w:hAnsi="Palatino Linotype"/>
          <w:b/>
          <w:i/>
          <w:sz w:val="22"/>
          <w:szCs w:val="22"/>
        </w:rPr>
        <w:t>VI</w:t>
      </w:r>
      <w:r w:rsidRPr="00E65510">
        <w:rPr>
          <w:rFonts w:ascii="Palatino Linotype" w:hAnsi="Palatino Linotype"/>
          <w:i/>
          <w:sz w:val="22"/>
          <w:szCs w:val="22"/>
        </w:rPr>
        <w:t>. La entrega de información que no corresponda con lo solicitado</w:t>
      </w:r>
      <w:r w:rsidRPr="00E65510">
        <w:t>;</w:t>
      </w:r>
      <w:r w:rsidR="00D153FE" w:rsidRPr="00E65510">
        <w:rPr>
          <w:rFonts w:ascii="Palatino Linotype" w:eastAsia="Palatino Linotype" w:hAnsi="Palatino Linotype" w:cs="Palatino Linotype"/>
          <w:i/>
          <w:sz w:val="22"/>
          <w:szCs w:val="22"/>
        </w:rPr>
        <w:t>”</w:t>
      </w:r>
    </w:p>
    <w:p w14:paraId="1BCE6A6F" w14:textId="77777777" w:rsidR="009A4B8B" w:rsidRPr="00E65510" w:rsidRDefault="00D153FE">
      <w:pPr>
        <w:spacing w:before="240" w:after="240" w:line="360" w:lineRule="auto"/>
        <w:jc w:val="both"/>
        <w:rPr>
          <w:rFonts w:ascii="Palatino Linotype" w:eastAsia="Palatino Linotype" w:hAnsi="Palatino Linotype" w:cs="Palatino Linotype"/>
          <w:b/>
        </w:rPr>
      </w:pPr>
      <w:r w:rsidRPr="00E65510">
        <w:rPr>
          <w:rFonts w:ascii="Palatino Linotype" w:eastAsia="Palatino Linotype" w:hAnsi="Palatino Linotype" w:cs="Palatino Linotype"/>
          <w:b/>
        </w:rPr>
        <w:t xml:space="preserve">Tercero. Materia de la revisión. </w:t>
      </w:r>
      <w:r w:rsidRPr="00E65510">
        <w:rPr>
          <w:rFonts w:ascii="Palatino Linotype" w:eastAsia="Palatino Linotype" w:hAnsi="Palatino Linotype" w:cs="Palatino Linotype"/>
        </w:rPr>
        <w:t xml:space="preserve">De la revisión a las constancias y documentos que obran en el expediente electrónico se advierte, que el tema sobre el que este Organismo Garante de Transparencia y Acceso a la Información se pronunciará será: </w:t>
      </w:r>
      <w:r w:rsidRPr="00E65510">
        <w:rPr>
          <w:rFonts w:ascii="Palatino Linotype" w:eastAsia="Palatino Linotype" w:hAnsi="Palatino Linotype" w:cs="Palatino Linotype"/>
          <w:b/>
        </w:rPr>
        <w:t xml:space="preserve">verificar si la información proporcionada por el Sujeto Obligado es adecuada y suficiente para satisfacer el derecho de acceso a la información pública </w:t>
      </w:r>
      <w:r w:rsidRPr="00E65510">
        <w:rPr>
          <w:rFonts w:ascii="Palatino Linotype" w:eastAsia="Palatino Linotype" w:hAnsi="Palatino Linotype" w:cs="Palatino Linotype"/>
        </w:rPr>
        <w:t xml:space="preserve">de la parte </w:t>
      </w:r>
      <w:r w:rsidRPr="00E65510">
        <w:rPr>
          <w:rFonts w:ascii="Palatino Linotype" w:eastAsia="Palatino Linotype" w:hAnsi="Palatino Linotype" w:cs="Palatino Linotype"/>
          <w:b/>
        </w:rPr>
        <w:t>Recurrente</w:t>
      </w:r>
      <w:r w:rsidRPr="00E65510">
        <w:rPr>
          <w:rFonts w:ascii="Palatino Linotype" w:eastAsia="Palatino Linotype" w:hAnsi="Palatino Linotype" w:cs="Palatino Linotype"/>
        </w:rPr>
        <w:t>, o en su defecto, en caso de ser procedente, ordenar la entrega de información.</w:t>
      </w:r>
    </w:p>
    <w:p w14:paraId="58D5E117" w14:textId="77777777" w:rsidR="009A4B8B" w:rsidRPr="00E65510" w:rsidRDefault="00D153FE">
      <w:pPr>
        <w:spacing w:before="240" w:after="240" w:line="360" w:lineRule="auto"/>
        <w:jc w:val="both"/>
        <w:rPr>
          <w:rFonts w:ascii="Palatino Linotype" w:eastAsia="Palatino Linotype" w:hAnsi="Palatino Linotype" w:cs="Palatino Linotype"/>
        </w:rPr>
      </w:pPr>
      <w:bookmarkStart w:id="7" w:name="_heading=h.2et92p0" w:colFirst="0" w:colLast="0"/>
      <w:bookmarkEnd w:id="7"/>
      <w:r w:rsidRPr="00E65510">
        <w:rPr>
          <w:rFonts w:ascii="Palatino Linotype" w:eastAsia="Palatino Linotype" w:hAnsi="Palatino Linotype" w:cs="Palatino Linotype"/>
          <w:b/>
        </w:rPr>
        <w:t xml:space="preserve">Cuarto. Estudio del asunto. </w:t>
      </w:r>
      <w:r w:rsidRPr="00E65510">
        <w:rPr>
          <w:rFonts w:ascii="Palatino Linotype" w:eastAsia="Palatino Linotype" w:hAnsi="Palatino Linotype" w:cs="Palatino Linotype"/>
        </w:rPr>
        <w:t>En primer lugar, es conveniente mencionar que de conformidad con el artículo 4 de la Ley de Transparencia y Acceso a la Información Pública del Estado de México y Municipios toda la información generada, obtenida, adquirida, transformada, administrada o en posesión de los sujetos obligados es pública y accesible de manera permanente a cualquier persona, privilegiando el principio de máxima publicidad, como así lo establece dicha determinación, que a continuación se trascribe para un mejor entendimiento:</w:t>
      </w:r>
    </w:p>
    <w:p w14:paraId="2029151C" w14:textId="77777777" w:rsidR="009A4B8B" w:rsidRPr="00E65510" w:rsidRDefault="00D153FE">
      <w:pP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t>“</w:t>
      </w:r>
      <w:r w:rsidRPr="00E65510">
        <w:rPr>
          <w:rFonts w:ascii="Palatino Linotype" w:eastAsia="Palatino Linotype" w:hAnsi="Palatino Linotype" w:cs="Palatino Linotype"/>
          <w:b/>
          <w:i/>
          <w:sz w:val="22"/>
          <w:szCs w:val="22"/>
        </w:rPr>
        <w:t>Artículo 4</w:t>
      </w:r>
      <w:r w:rsidRPr="00E65510">
        <w:rPr>
          <w:rFonts w:ascii="Palatino Linotype" w:eastAsia="Palatino Linotype" w:hAnsi="Palatino Linotype" w:cs="Palatino Linotype"/>
          <w:i/>
          <w:sz w:val="22"/>
          <w:szCs w:val="22"/>
        </w:rPr>
        <w:t xml:space="preserve">. El derecho humano de acceso a la información pública es la prerrogativa de las personas para buscar, difundir, investigar, recabar, recibir y solicitar información pública, sin necesidad de acreditar personalidad ni interés jurídico. </w:t>
      </w:r>
    </w:p>
    <w:p w14:paraId="631BA045" w14:textId="77777777" w:rsidR="009A4B8B" w:rsidRPr="00E65510" w:rsidRDefault="00D153FE">
      <w:pP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Toda la información generada, obtenida, adquirida, transformada, administrada o en posesión de los sujetos obligados es pública y accesible de manera permanente a cualquier persona</w:t>
      </w:r>
      <w:r w:rsidRPr="00E65510">
        <w:rPr>
          <w:rFonts w:ascii="Palatino Linotype" w:eastAsia="Palatino Linotype" w:hAnsi="Palatino Linotype" w:cs="Palatino Linotype"/>
          <w:i/>
          <w:sz w:val="22"/>
          <w:szCs w:val="22"/>
        </w:rPr>
        <w:t xml:space="preserve">, en los términos y condiciones </w:t>
      </w:r>
      <w:r w:rsidRPr="00E65510">
        <w:rPr>
          <w:rFonts w:ascii="Palatino Linotype" w:eastAsia="Palatino Linotype" w:hAnsi="Palatino Linotype" w:cs="Palatino Linotype"/>
          <w:i/>
          <w:sz w:val="22"/>
          <w:szCs w:val="22"/>
        </w:rPr>
        <w:lastRenderedPageBreak/>
        <w:t>que se establezcan en los tratados internacionales de los que el Estado mexicano sea parte, en la Ley General, la presente Ley y demás disposiciones de la materia, privilegiando el principio de máxima publicidad de la información. Solo podrá ser clasificada excepcionalmente Ley de Transparencia y Acceso a la Información Pública del Estado de México y Municipios 29 como reservada temporalmente por razones de interés público, en los términos de las causas legítimas y estrictamente necesarias previstas por esta Ley.</w:t>
      </w:r>
    </w:p>
    <w:p w14:paraId="35E073BF" w14:textId="77777777" w:rsidR="009A4B8B" w:rsidRPr="00E65510" w:rsidRDefault="00D153FE">
      <w:pP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Los sujetos obligados deben poner en práctica, políticas y programas de acceso a la información que se apeguen a criterios de publicidad, veracidad, oportunidad, precisión y suficiencia en beneficio de los solicitantes</w:t>
      </w:r>
      <w:r w:rsidRPr="00E65510">
        <w:rPr>
          <w:rFonts w:ascii="Palatino Linotype" w:eastAsia="Palatino Linotype" w:hAnsi="Palatino Linotype" w:cs="Palatino Linotype"/>
          <w:i/>
          <w:sz w:val="22"/>
          <w:szCs w:val="22"/>
        </w:rPr>
        <w:t>.”</w:t>
      </w:r>
    </w:p>
    <w:p w14:paraId="7EC549D0" w14:textId="77777777" w:rsidR="009A4B8B" w:rsidRPr="00E65510" w:rsidRDefault="00D153FE">
      <w:pP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t>Esto es, que los Sujetos Obligados tiene la obligación o deber de atender las solicitudes de acceso a la información pública que se les hagan de su conocimiento y proporcionar la información pública que obren en su poder conforme el estado que se encuentra y no hacer un procesamiento de la misma, ni presentarla conforme al interés del solicitante; como así lo establece el artículo 12 de la Ley de Transparencia y Acceso a la Información Pública del Estado de México y Municipios, que a la letra dice:</w:t>
      </w:r>
    </w:p>
    <w:p w14:paraId="71ADB230" w14:textId="77777777" w:rsidR="009A4B8B" w:rsidRPr="00E65510" w:rsidRDefault="00D153FE">
      <w:pP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“Artículo 12.-</w:t>
      </w:r>
      <w:r w:rsidRPr="00E65510">
        <w:rPr>
          <w:rFonts w:ascii="Palatino Linotype" w:eastAsia="Palatino Linotype" w:hAnsi="Palatino Linotype" w:cs="Palatino Linotype"/>
          <w:i/>
          <w:sz w:val="22"/>
          <w:szCs w:val="22"/>
        </w:rPr>
        <w:t xml:space="preserve"> Quienes generen, recopilen, administren, manejen, procesen, archiven o conserven información pública serán responsables de la misma en los términos de las disposiciones jurídicas aplicables. </w:t>
      </w:r>
    </w:p>
    <w:p w14:paraId="2F99BE92" w14:textId="77777777" w:rsidR="009A4B8B" w:rsidRPr="00E65510" w:rsidRDefault="00D153FE">
      <w:pP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Los sujetos obligados sólo proporcionarán la información pública que se les requiera y que obre en sus archivos y en el estado en que ésta se encuentre</w:t>
      </w:r>
      <w:r w:rsidRPr="00E65510">
        <w:rPr>
          <w:rFonts w:ascii="Palatino Linotype" w:eastAsia="Palatino Linotype" w:hAnsi="Palatino Linotype" w:cs="Palatino Linotype"/>
          <w:i/>
          <w:sz w:val="22"/>
          <w:szCs w:val="22"/>
        </w:rPr>
        <w:t xml:space="preserve">. </w:t>
      </w:r>
      <w:r w:rsidRPr="00E65510">
        <w:rPr>
          <w:rFonts w:ascii="Palatino Linotype" w:eastAsia="Palatino Linotype" w:hAnsi="Palatino Linotype" w:cs="Palatino Linotype"/>
          <w:b/>
          <w:i/>
          <w:sz w:val="22"/>
          <w:szCs w:val="22"/>
        </w:rPr>
        <w:t>La obligación de proporcionar información no comprende el procesamiento de la misma, ni el presentarla conforme al interés del solicitante; no estarán obligados a generarla, resumirla, efectuar cálculos o practicar investigaciones.”</w:t>
      </w:r>
    </w:p>
    <w:p w14:paraId="3830A681" w14:textId="77777777" w:rsidR="009A4B8B" w:rsidRPr="00E65510" w:rsidRDefault="00D153FE">
      <w:pPr>
        <w:spacing w:before="240" w:after="240" w:line="360" w:lineRule="auto"/>
        <w:ind w:right="-93"/>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Es decir, que todo sujeto obligado que genere, recopile, administre, procese, archive, posea o conserven, son responsables de la misma teniendo a su vez la obligación de proporcionar la información que se les requiera sin necesidad de resumirla, efectuar </w:t>
      </w:r>
      <w:r w:rsidRPr="00E65510">
        <w:rPr>
          <w:rFonts w:ascii="Palatino Linotype" w:eastAsia="Palatino Linotype" w:hAnsi="Palatino Linotype" w:cs="Palatino Linotype"/>
        </w:rPr>
        <w:lastRenderedPageBreak/>
        <w:t>procedimientos para obtenerla, calcular y practicar investigaciones; en otras palabras, que los Sujetos Obligados solo se concretaran a proporcionar la información solicitada que tengan en su poder en el estado que se encuentran, sin necesidad de concretarse al interés o términos específicos del solicitante.</w:t>
      </w:r>
    </w:p>
    <w:p w14:paraId="3D7076EF" w14:textId="77777777" w:rsidR="009A4B8B" w:rsidRPr="00E65510" w:rsidRDefault="00D153FE">
      <w:pPr>
        <w:spacing w:before="240" w:after="240" w:line="360" w:lineRule="auto"/>
        <w:jc w:val="both"/>
        <w:rPr>
          <w:rFonts w:ascii="Palatino Linotype" w:eastAsia="Palatino Linotype" w:hAnsi="Palatino Linotype" w:cs="Palatino Linotype"/>
          <w:b/>
        </w:rPr>
      </w:pPr>
      <w:r w:rsidRPr="00E65510">
        <w:rPr>
          <w:rFonts w:ascii="Palatino Linotype" w:eastAsia="Palatino Linotype" w:hAnsi="Palatino Linotype" w:cs="Palatino Linotype"/>
        </w:rPr>
        <w:t>Sirve de apoyo a lo anterior, el Criterio de Interpretación, con clave de control número SO/003/2017, emitido por el Instituto Nacional de Transparencia, Acceso a la Información y Protección de Datos Personales, que por rubro y texto, dispone lo siguiente:</w:t>
      </w:r>
      <w:r w:rsidRPr="00E65510">
        <w:rPr>
          <w:rFonts w:ascii="Palatino Linotype" w:eastAsia="Palatino Linotype" w:hAnsi="Palatino Linotype" w:cs="Palatino Linotype"/>
          <w:b/>
        </w:rPr>
        <w:t xml:space="preserve"> </w:t>
      </w:r>
    </w:p>
    <w:p w14:paraId="1E8F8106" w14:textId="77777777" w:rsidR="009A4B8B" w:rsidRPr="00E65510" w:rsidRDefault="00D153FE">
      <w:pP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t>“</w:t>
      </w:r>
      <w:r w:rsidRPr="00E65510">
        <w:rPr>
          <w:rFonts w:ascii="Palatino Linotype" w:eastAsia="Palatino Linotype" w:hAnsi="Palatino Linotype" w:cs="Palatino Linotype"/>
          <w:b/>
          <w:i/>
          <w:sz w:val="22"/>
          <w:szCs w:val="22"/>
        </w:rPr>
        <w:t>No existe obligación de elaborar documentos ad hoc para atender las solicitudes de acceso a la información.</w:t>
      </w:r>
      <w:r w:rsidRPr="00E65510">
        <w:rPr>
          <w:rFonts w:ascii="Palatino Linotype" w:eastAsia="Palatino Linotype" w:hAnsi="Palatino Linotype" w:cs="Palatino Linotype"/>
          <w:i/>
          <w:sz w:val="22"/>
          <w:szCs w:val="22"/>
        </w:rPr>
        <w:t xml:space="preserve"> Los artículos 129 de la Ley General de Transparencia y Acceso a la Información Pública y 130, párrafo cuarto, de la Ley Federal de Transparencia y Acceso a la Información Pública, señalan que los sujetos obligados deberán otorgar acceso a los documentos que se encuentren en sus archivos o que estén obligados a documentar, de acuerdo con sus facultades, competencias o funciones, conforme a las características físicas de la información o del lugar donde se encuentre. Por lo anterior, los sujetos obligados deben garantizar el derecho de acceso a la información del particular, proporcionando la información con la que cuentan en el formato en que la misma obre en sus archivos; sin necesidad de elaborar documentos ad hoc para atender las solicitudes de información.” (Sic)</w:t>
      </w:r>
    </w:p>
    <w:p w14:paraId="025580A0" w14:textId="1550101A" w:rsidR="009A4B8B" w:rsidRPr="00E65510" w:rsidRDefault="00D153FE">
      <w:pPr>
        <w:spacing w:before="120" w:after="12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t>En esa tesitura, el artículo 24 en su último párrafo de la Ley de la Materia, dispone que los Sujetos Obligados sólo proporcionarán la información pública que generen, administren o posean en el ejercicio de sus atribuciones; por consiguiente, la información pública se encuentra a disposición de cualquier persona, lo que implica que es deber de los Sujetos Obligados, garantizar el Derecho de Acceso a la Información Pública.</w:t>
      </w:r>
    </w:p>
    <w:p w14:paraId="25342B81" w14:textId="77777777" w:rsidR="009A4B8B" w:rsidRPr="00E65510" w:rsidRDefault="00D153FE">
      <w:pPr>
        <w:spacing w:before="120" w:after="12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En conclusión, el derecho de acceso a la información pública, consiste en que la información solicitada conste en un documento en cualquiera de sus formas, a saber: </w:t>
      </w:r>
      <w:r w:rsidRPr="00E65510">
        <w:rPr>
          <w:rFonts w:ascii="Palatino Linotype" w:eastAsia="Palatino Linotype" w:hAnsi="Palatino Linotype" w:cs="Palatino Linotype"/>
        </w:rPr>
        <w:lastRenderedPageBreak/>
        <w:t xml:space="preserve">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los que, podrán estar en cualquier medio, sea escrito, impreso, sonoro, visual, electrónico, informático u holográfico de conformidad con el artículo 3, fracción XI de la Ley de la materia, el cual señala lo siguiente: </w:t>
      </w:r>
    </w:p>
    <w:p w14:paraId="5D75C23D" w14:textId="77777777" w:rsidR="009A4B8B" w:rsidRPr="00E65510" w:rsidRDefault="00D153FE">
      <w:pP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t>“</w:t>
      </w:r>
      <w:r w:rsidRPr="00E65510">
        <w:rPr>
          <w:rFonts w:ascii="Palatino Linotype" w:eastAsia="Palatino Linotype" w:hAnsi="Palatino Linotype" w:cs="Palatino Linotype"/>
          <w:b/>
          <w:i/>
          <w:sz w:val="22"/>
          <w:szCs w:val="22"/>
        </w:rPr>
        <w:t xml:space="preserve">Artículo 3. </w:t>
      </w:r>
      <w:r w:rsidRPr="00E65510">
        <w:rPr>
          <w:rFonts w:ascii="Palatino Linotype" w:eastAsia="Palatino Linotype" w:hAnsi="Palatino Linotype" w:cs="Palatino Linotype"/>
          <w:i/>
          <w:sz w:val="22"/>
          <w:szCs w:val="22"/>
        </w:rPr>
        <w:t>Para los efectos de la presente Ley se entenderá por:</w:t>
      </w:r>
    </w:p>
    <w:p w14:paraId="09A98EDB" w14:textId="77777777" w:rsidR="009A4B8B" w:rsidRPr="00E65510" w:rsidRDefault="00D153FE">
      <w:pP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t>…</w:t>
      </w:r>
    </w:p>
    <w:p w14:paraId="48DA223A" w14:textId="77777777" w:rsidR="009A4B8B" w:rsidRPr="00E65510" w:rsidRDefault="00D153FE">
      <w:pP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XI. Documento:</w:t>
      </w:r>
      <w:r w:rsidRPr="00E65510">
        <w:rPr>
          <w:rFonts w:ascii="Palatino Linotype" w:eastAsia="Palatino Linotype" w:hAnsi="Palatino Linotype" w:cs="Palatino Linotype"/>
          <w:i/>
          <w:sz w:val="22"/>
          <w:szCs w:val="22"/>
        </w:rPr>
        <w:t xml:space="preserve"> Los expedientes, reportes, estudios, actas</w:t>
      </w:r>
      <w:r w:rsidRPr="00E65510">
        <w:rPr>
          <w:rFonts w:ascii="Palatino Linotype" w:eastAsia="Palatino Linotype" w:hAnsi="Palatino Linotype" w:cs="Palatino Linotype"/>
          <w:b/>
          <w:i/>
          <w:sz w:val="22"/>
          <w:szCs w:val="22"/>
        </w:rPr>
        <w:t>,</w:t>
      </w:r>
      <w:r w:rsidRPr="00E65510">
        <w:rPr>
          <w:rFonts w:ascii="Palatino Linotype" w:eastAsia="Palatino Linotype" w:hAnsi="Palatino Linotype" w:cs="Palatino Linotype"/>
          <w:i/>
          <w:sz w:val="22"/>
          <w:szCs w:val="22"/>
        </w:rPr>
        <w:t xml:space="preserve"> resoluciones, oficios, correspondencia, acuerdos, directivas, directrices, circulares, contratos, convenios, instructivos, notas, memorandos, estadísticas o bien, cualquier otro registro que documente el ejercicio de las facultades, funciones y competencias de los sujetos obligados, sus servidores públicos e integrantes, sin importar su fuente o fecha de elaboración. Los documentos podrán estar en cualquier medio, sea escrito, impreso, sonoro, visual, electrónico, informático u holográfico…” (Sic)</w:t>
      </w:r>
    </w:p>
    <w:p w14:paraId="735FED86" w14:textId="77777777" w:rsidR="009A4B8B" w:rsidRPr="00E65510" w:rsidRDefault="00D153FE">
      <w:pP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t>Es aplicable, el Criterio de interpretación en el orden administrativo número 0002-11, emitido por Acuerdo del Pleno del Instituto de Transparencia y Acceso a la Información Pública del Estado de México y Municipios; publicado en el Periódico Oficial del Gobierno del Estado Libre y Soberano de México “Gaceta del Gobierno”, el diecinueve de octubre de dos mil once, cuyo rubro y texto refieren lo siguiente:</w:t>
      </w:r>
    </w:p>
    <w:p w14:paraId="42282172" w14:textId="77777777" w:rsidR="009A4B8B" w:rsidRPr="00E65510" w:rsidRDefault="00D153FE">
      <w:pP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sz w:val="22"/>
          <w:szCs w:val="22"/>
        </w:rPr>
        <w:t>“</w:t>
      </w:r>
      <w:r w:rsidRPr="00E65510">
        <w:rPr>
          <w:rFonts w:ascii="Palatino Linotype" w:eastAsia="Palatino Linotype" w:hAnsi="Palatino Linotype" w:cs="Palatino Linotype"/>
          <w:b/>
          <w:i/>
          <w:sz w:val="22"/>
          <w:szCs w:val="22"/>
        </w:rPr>
        <w:t>INFORMACIÓN PÚBLICA, CONCEPTO DE, EN MATERIA DE TRANSPARENCIA. INTERPRETACIÓN SISTEMÁTICA DE LOS ARTÍCULOS 2°, FRACCIÓN V, XV, Y XVI, 3°, 4°, 11 Y 41.</w:t>
      </w:r>
      <w:r w:rsidRPr="00E65510">
        <w:rPr>
          <w:rFonts w:ascii="Palatino Linotype" w:eastAsia="Palatino Linotype" w:hAnsi="Palatino Linotype" w:cs="Palatino Linotype"/>
          <w:i/>
          <w:sz w:val="22"/>
          <w:szCs w:val="22"/>
        </w:rPr>
        <w:t xml:space="preserve"> De conformidad con los artículos antes referidos, el derecho de acceso a la información pública, se define en cuanto a su alcance y resultado material, el acceso a los archivos, registros y documentos públicos, administrados, generados o en posesión de los </w:t>
      </w:r>
      <w:r w:rsidRPr="00E65510">
        <w:rPr>
          <w:rFonts w:ascii="Palatino Linotype" w:eastAsia="Palatino Linotype" w:hAnsi="Palatino Linotype" w:cs="Palatino Linotype"/>
          <w:i/>
          <w:sz w:val="22"/>
          <w:szCs w:val="22"/>
        </w:rPr>
        <w:lastRenderedPageBreak/>
        <w:t>órganos u organismos públicos, en virtud del ejercicio de sus funciones de derecho público, sin importar su fuente, soporte o fecha de elaboración.</w:t>
      </w:r>
    </w:p>
    <w:p w14:paraId="1897DE52" w14:textId="77777777" w:rsidR="009A4B8B" w:rsidRPr="00E65510" w:rsidRDefault="00D153FE">
      <w:pP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t>En consecuencia el acceso a la información se refiere a que se cumplan cualquiera de los siguientes tres supuestos:</w:t>
      </w:r>
    </w:p>
    <w:p w14:paraId="1538A358" w14:textId="77777777" w:rsidR="009A4B8B" w:rsidRPr="00E65510" w:rsidRDefault="00D153FE">
      <w:pP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1)</w:t>
      </w:r>
      <w:r w:rsidRPr="00E65510">
        <w:rPr>
          <w:rFonts w:ascii="Palatino Linotype" w:eastAsia="Palatino Linotype" w:hAnsi="Palatino Linotype" w:cs="Palatino Linotype"/>
          <w:i/>
          <w:sz w:val="22"/>
          <w:szCs w:val="22"/>
        </w:rPr>
        <w:t xml:space="preserve"> Que se trate de información registrada en cualquier soporte documental, que en ejercicio de las atribuciones conferidas, sea generada por los Sujetos Obligados;</w:t>
      </w:r>
    </w:p>
    <w:p w14:paraId="38DF193F" w14:textId="77777777" w:rsidR="009A4B8B" w:rsidRPr="00E65510" w:rsidRDefault="00D153FE">
      <w:pP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2)</w:t>
      </w:r>
      <w:r w:rsidRPr="00E65510">
        <w:rPr>
          <w:rFonts w:ascii="Palatino Linotype" w:eastAsia="Palatino Linotype" w:hAnsi="Palatino Linotype" w:cs="Palatino Linotype"/>
          <w:i/>
          <w:sz w:val="22"/>
          <w:szCs w:val="22"/>
        </w:rPr>
        <w:t xml:space="preserve"> Que se trate de información registrada en cualquier soporte documental, que en ejercicio de las atribuciones conferidas, sea administrada por los Sujetos Obligados, y</w:t>
      </w:r>
    </w:p>
    <w:p w14:paraId="61D85B27" w14:textId="77777777" w:rsidR="009A4B8B" w:rsidRPr="00E65510" w:rsidRDefault="00D153FE">
      <w:pP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3)</w:t>
      </w:r>
      <w:r w:rsidRPr="00E65510">
        <w:rPr>
          <w:rFonts w:ascii="Palatino Linotype" w:eastAsia="Palatino Linotype" w:hAnsi="Palatino Linotype" w:cs="Palatino Linotype"/>
          <w:i/>
          <w:sz w:val="22"/>
          <w:szCs w:val="22"/>
        </w:rPr>
        <w:t xml:space="preserve"> Que se trate de información registrada en cualquier soporte documental, que en ejercicio de las atribuciones conferidas, se encuentre en posesión de los Sujetos Obligados.” </w:t>
      </w:r>
    </w:p>
    <w:p w14:paraId="442DDC22" w14:textId="77777777" w:rsidR="009A4B8B" w:rsidRPr="00E65510" w:rsidRDefault="00D153FE">
      <w:pPr>
        <w:spacing w:before="240" w:after="240" w:line="360" w:lineRule="auto"/>
        <w:ind w:right="51"/>
        <w:jc w:val="both"/>
        <w:rPr>
          <w:rFonts w:ascii="Palatino Linotype" w:eastAsia="Palatino Linotype" w:hAnsi="Palatino Linotype" w:cs="Palatino Linotype"/>
        </w:rPr>
      </w:pPr>
      <w:r w:rsidRPr="00E65510">
        <w:rPr>
          <w:rFonts w:ascii="Palatino Linotype" w:eastAsia="Palatino Linotype" w:hAnsi="Palatino Linotype" w:cs="Palatino Linotype"/>
        </w:rPr>
        <w:t>Lo anterior, siempre y cuando no se trate de información clasificada como reservada o confidencial, cuya difusión pueda lesionar el interés jurídicamente protegido por la Ley, producir un daño mayor que el interés de conocerse, o bien, generar un daño en los derechos de las personas, debiendo tener audacia los Sujetos Obligados para cuidar esta información a través del acuerdo clasificatorio del comité de transparencia y la versión pública que emita el servidor público habilitado de cada Sujeto Obligado; como así se establece en la Ley de Transparencia y Acceso a la Información Pública del Estado de México y Municipios.</w:t>
      </w:r>
    </w:p>
    <w:p w14:paraId="2E62CC95" w14:textId="77777777" w:rsidR="009A4B8B" w:rsidRPr="00E65510" w:rsidRDefault="00D153FE">
      <w:pP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En el mismo tenor, los artículos 6, apartado A, fracción I, de la Constitución Política de los Estados Unidos Mexicanos y 5, fracción I, de la Constitución Política del Estado Libre y Soberano de México, establecen que toda la información en posesión de cualquier autoridad, entidad, órgano y organismos de los Poderes Ejecutivo, Legislativo y Judicial, órganos autónomos, partidos políticos, fideicomisos y fondos públicos estatales y municipales, así como del gobierno y de la administración pública municipal y sus organismos descentralizados, asimismo de cualquier </w:t>
      </w:r>
      <w:r w:rsidRPr="00E65510">
        <w:rPr>
          <w:rFonts w:ascii="Palatino Linotype" w:eastAsia="Palatino Linotype" w:hAnsi="Palatino Linotype" w:cs="Palatino Linotype"/>
        </w:rPr>
        <w:lastRenderedPageBreak/>
        <w:t>persona física, jurídica colectiva o sindicato que reciba y ejerza recursos públicos o realice actos de autoridad en el ámbito estatal y municipal, es pública y sólo podrá ser reservada temporalmente por las razones previstas en la Constitución Federal por interés público y seguridad, en los términos que fijen las leyes de la materia.</w:t>
      </w:r>
    </w:p>
    <w:p w14:paraId="1F4F4DDE" w14:textId="77777777" w:rsidR="009A4B8B" w:rsidRPr="00E65510" w:rsidRDefault="00D153FE">
      <w:pPr>
        <w:spacing w:before="240" w:after="240" w:line="360" w:lineRule="auto"/>
        <w:ind w:right="51"/>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Ahora bien, del análisis de la solicitud de información, motivo del recurso de revisión que ahora se resuelve, se advierte que la parte </w:t>
      </w:r>
      <w:r w:rsidRPr="00E65510">
        <w:rPr>
          <w:rFonts w:ascii="Palatino Linotype" w:eastAsia="Palatino Linotype" w:hAnsi="Palatino Linotype" w:cs="Palatino Linotype"/>
          <w:b/>
        </w:rPr>
        <w:t>Recurrente</w:t>
      </w:r>
      <w:r w:rsidRPr="00E65510">
        <w:rPr>
          <w:rFonts w:ascii="Palatino Linotype" w:eastAsia="Palatino Linotype" w:hAnsi="Palatino Linotype" w:cs="Palatino Linotype"/>
        </w:rPr>
        <w:t xml:space="preserve"> requirió al </w:t>
      </w:r>
      <w:r w:rsidRPr="00E65510">
        <w:rPr>
          <w:rFonts w:ascii="Palatino Linotype" w:eastAsia="Palatino Linotype" w:hAnsi="Palatino Linotype" w:cs="Palatino Linotype"/>
          <w:b/>
        </w:rPr>
        <w:t xml:space="preserve">Sujeto Obligado </w:t>
      </w:r>
      <w:r w:rsidRPr="00E65510">
        <w:rPr>
          <w:rFonts w:ascii="Palatino Linotype" w:eastAsia="Palatino Linotype" w:hAnsi="Palatino Linotype" w:cs="Palatino Linotype"/>
        </w:rPr>
        <w:t>le proporcione, información consistente en lo siguiente:</w:t>
      </w:r>
    </w:p>
    <w:p w14:paraId="205AEBB0" w14:textId="0C98B85E" w:rsidR="00CF0649" w:rsidRPr="00E65510" w:rsidRDefault="00CF0649" w:rsidP="00913BAB">
      <w:pPr>
        <w:spacing w:before="240" w:after="240" w:line="360" w:lineRule="auto"/>
        <w:ind w:left="284" w:right="51"/>
        <w:jc w:val="both"/>
        <w:rPr>
          <w:rFonts w:ascii="Palatino Linotype" w:eastAsia="Palatino Linotype" w:hAnsi="Palatino Linotype" w:cs="Palatino Linotype"/>
        </w:rPr>
      </w:pPr>
      <w:r w:rsidRPr="00E65510">
        <w:rPr>
          <w:rFonts w:ascii="Palatino Linotype" w:eastAsia="Palatino Linotype" w:hAnsi="Palatino Linotype" w:cs="Palatino Linotype"/>
        </w:rPr>
        <w:t>1. Cualquier soporte documental con el que el Jefe de la Unidad de Información, Planeación, Programación y Evaluación, UIPPE</w:t>
      </w:r>
      <w:r w:rsidR="00854EC3" w:rsidRPr="00E65510">
        <w:rPr>
          <w:rFonts w:ascii="Palatino Linotype" w:eastAsia="Palatino Linotype" w:hAnsi="Palatino Linotype" w:cs="Palatino Linotype"/>
        </w:rPr>
        <w:t xml:space="preserve">, elaboró el capítulo de </w:t>
      </w:r>
      <w:r w:rsidR="00E97FF0" w:rsidRPr="00E65510">
        <w:rPr>
          <w:rFonts w:ascii="Palatino Linotype" w:eastAsia="Palatino Linotype" w:hAnsi="Palatino Linotype" w:cs="Palatino Linotype"/>
        </w:rPr>
        <w:t>E</w:t>
      </w:r>
      <w:r w:rsidR="00854EC3" w:rsidRPr="00E65510">
        <w:rPr>
          <w:rFonts w:ascii="Palatino Linotype" w:eastAsia="Palatino Linotype" w:hAnsi="Palatino Linotype" w:cs="Palatino Linotype"/>
        </w:rPr>
        <w:t xml:space="preserve">ntorno </w:t>
      </w:r>
      <w:r w:rsidR="00E97FF0" w:rsidRPr="00E65510">
        <w:rPr>
          <w:rFonts w:ascii="Palatino Linotype" w:eastAsia="Palatino Linotype" w:hAnsi="Palatino Linotype" w:cs="Palatino Linotype"/>
        </w:rPr>
        <w:t>E</w:t>
      </w:r>
      <w:r w:rsidR="00854EC3" w:rsidRPr="00E65510">
        <w:rPr>
          <w:rFonts w:ascii="Palatino Linotype" w:eastAsia="Palatino Linotype" w:hAnsi="Palatino Linotype" w:cs="Palatino Linotype"/>
        </w:rPr>
        <w:t>conómico de la Cuenta Pública del Gobierno, Organismos Auxiliares y Autónomos del Estado de México</w:t>
      </w:r>
      <w:r w:rsidR="001454BF" w:rsidRPr="00E65510">
        <w:rPr>
          <w:rFonts w:ascii="Palatino Linotype" w:eastAsia="Palatino Linotype" w:hAnsi="Palatino Linotype" w:cs="Palatino Linotype"/>
        </w:rPr>
        <w:t>,</w:t>
      </w:r>
      <w:r w:rsidR="00854EC3" w:rsidRPr="00E65510">
        <w:rPr>
          <w:rFonts w:ascii="Palatino Linotype" w:eastAsia="Palatino Linotype" w:hAnsi="Palatino Linotype" w:cs="Palatino Linotype"/>
        </w:rPr>
        <w:t xml:space="preserve"> </w:t>
      </w:r>
      <w:r w:rsidR="001454BF" w:rsidRPr="00E65510">
        <w:rPr>
          <w:rFonts w:ascii="Palatino Linotype" w:eastAsia="Palatino Linotype" w:hAnsi="Palatino Linotype" w:cs="Palatino Linotype"/>
        </w:rPr>
        <w:t>del</w:t>
      </w:r>
      <w:r w:rsidR="00854EC3" w:rsidRPr="00E65510">
        <w:rPr>
          <w:rFonts w:ascii="Palatino Linotype" w:eastAsia="Palatino Linotype" w:hAnsi="Palatino Linotype" w:cs="Palatino Linotype"/>
        </w:rPr>
        <w:t xml:space="preserve"> mes de enero a mayo de 2024</w:t>
      </w:r>
      <w:r w:rsidR="00913BAB" w:rsidRPr="00E65510">
        <w:rPr>
          <w:rFonts w:ascii="Palatino Linotype" w:eastAsia="Palatino Linotype" w:hAnsi="Palatino Linotype" w:cs="Palatino Linotype"/>
        </w:rPr>
        <w:t>.</w:t>
      </w:r>
    </w:p>
    <w:p w14:paraId="27ADE3F5" w14:textId="5F22F5B4" w:rsidR="00C5703C" w:rsidRPr="00E65510" w:rsidRDefault="00C5703C" w:rsidP="00C5703C">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En respuesta, el </w:t>
      </w:r>
      <w:r w:rsidRPr="00E65510">
        <w:rPr>
          <w:rFonts w:ascii="Palatino Linotype" w:eastAsia="Palatino Linotype" w:hAnsi="Palatino Linotype" w:cs="Palatino Linotype"/>
          <w:b/>
        </w:rPr>
        <w:t xml:space="preserve">Sujeto Obligado, </w:t>
      </w:r>
      <w:r w:rsidRPr="00E65510">
        <w:rPr>
          <w:rFonts w:ascii="Palatino Linotype" w:eastAsia="Palatino Linotype" w:hAnsi="Palatino Linotype" w:cs="Palatino Linotype"/>
        </w:rPr>
        <w:t xml:space="preserve">por conducto de la Unidad de Transparencia hizo del conocimiento de la persona solicitante el pronunciamiento emitido por </w:t>
      </w:r>
      <w:r w:rsidR="0034042A" w:rsidRPr="00E65510">
        <w:rPr>
          <w:rFonts w:ascii="Palatino Linotype" w:eastAsia="Palatino Linotype" w:hAnsi="Palatino Linotype" w:cs="Palatino Linotype"/>
        </w:rPr>
        <w:t xml:space="preserve">la servidora pública habilitada de la UIPPE, </w:t>
      </w:r>
      <w:r w:rsidR="006A338A" w:rsidRPr="00E65510">
        <w:rPr>
          <w:rFonts w:ascii="Palatino Linotype" w:eastAsia="Palatino Linotype" w:hAnsi="Palatino Linotype" w:cs="Palatino Linotype"/>
        </w:rPr>
        <w:t xml:space="preserve">quien en atención a la solicitud de información </w:t>
      </w:r>
      <w:r w:rsidR="00D34C74" w:rsidRPr="00E65510">
        <w:rPr>
          <w:rFonts w:ascii="Palatino Linotype" w:eastAsia="Palatino Linotype" w:hAnsi="Palatino Linotype" w:cs="Palatino Linotype"/>
        </w:rPr>
        <w:t xml:space="preserve">hizo entrega de dos oficios, manifestando que estos guardan relación con lo requerido y que </w:t>
      </w:r>
      <w:r w:rsidR="004A18B0" w:rsidRPr="00E65510">
        <w:rPr>
          <w:rFonts w:ascii="Palatino Linotype" w:eastAsia="Palatino Linotype" w:hAnsi="Palatino Linotype" w:cs="Palatino Linotype"/>
        </w:rPr>
        <w:t xml:space="preserve">son los que </w:t>
      </w:r>
      <w:r w:rsidR="00D34C74" w:rsidRPr="00E65510">
        <w:rPr>
          <w:rFonts w:ascii="Palatino Linotype" w:eastAsia="Palatino Linotype" w:hAnsi="Palatino Linotype" w:cs="Palatino Linotype"/>
        </w:rPr>
        <w:t>obran agregados en los archivos de la UIPPE.</w:t>
      </w:r>
    </w:p>
    <w:p w14:paraId="10DFF238" w14:textId="0E3DC1E4" w:rsidR="004A18B0" w:rsidRPr="00E65510" w:rsidRDefault="004A18B0" w:rsidP="004A18B0">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Sin embargo, al no estar conforme con la respuesta emitida, la parte </w:t>
      </w:r>
      <w:r w:rsidRPr="00E65510">
        <w:rPr>
          <w:rFonts w:ascii="Palatino Linotype" w:eastAsia="Palatino Linotype" w:hAnsi="Palatino Linotype" w:cs="Palatino Linotype"/>
          <w:b/>
        </w:rPr>
        <w:t xml:space="preserve">Recurrente </w:t>
      </w:r>
      <w:r w:rsidRPr="00E65510">
        <w:rPr>
          <w:rFonts w:ascii="Palatino Linotype" w:eastAsia="Palatino Linotype" w:hAnsi="Palatino Linotype" w:cs="Palatino Linotype"/>
        </w:rPr>
        <w:t xml:space="preserve">interpuso el recurso de revisión que nos ocupa, donde señaló como motivo de inconformidad, en lo medular que el </w:t>
      </w:r>
      <w:r w:rsidRPr="00E65510">
        <w:rPr>
          <w:rFonts w:ascii="Palatino Linotype" w:eastAsia="Palatino Linotype" w:hAnsi="Palatino Linotype" w:cs="Palatino Linotype"/>
          <w:b/>
        </w:rPr>
        <w:t xml:space="preserve">Sujeto Obligado </w:t>
      </w:r>
      <w:r w:rsidRPr="00E65510">
        <w:rPr>
          <w:rFonts w:ascii="Palatino Linotype" w:eastAsia="Palatino Linotype" w:hAnsi="Palatino Linotype" w:cs="Palatino Linotype"/>
        </w:rPr>
        <w:t>evadió la pregunta, es decir, que no le hizo entrega de la información solicitada.</w:t>
      </w:r>
    </w:p>
    <w:p w14:paraId="3679AA11" w14:textId="200D76DD" w:rsidR="004A18B0" w:rsidRPr="00E65510" w:rsidRDefault="005D46ED" w:rsidP="004A18B0">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rPr>
        <w:t>Cabe señalar</w:t>
      </w:r>
      <w:r w:rsidR="004A18B0" w:rsidRPr="00E65510">
        <w:rPr>
          <w:rFonts w:ascii="Palatino Linotype" w:eastAsia="Palatino Linotype" w:hAnsi="Palatino Linotype" w:cs="Palatino Linotype"/>
        </w:rPr>
        <w:t xml:space="preserve"> que </w:t>
      </w:r>
      <w:r w:rsidR="001E5932" w:rsidRPr="00E65510">
        <w:rPr>
          <w:rFonts w:ascii="Palatino Linotype" w:eastAsia="Palatino Linotype" w:hAnsi="Palatino Linotype" w:cs="Palatino Linotype"/>
        </w:rPr>
        <w:t xml:space="preserve">a través del recurso de revisión la parte </w:t>
      </w:r>
      <w:r w:rsidR="001E5932" w:rsidRPr="00E65510">
        <w:rPr>
          <w:rFonts w:ascii="Palatino Linotype" w:eastAsia="Palatino Linotype" w:hAnsi="Palatino Linotype" w:cs="Palatino Linotype"/>
          <w:b/>
        </w:rPr>
        <w:t xml:space="preserve">Recurrente, </w:t>
      </w:r>
      <w:r w:rsidR="001E5932" w:rsidRPr="00E65510">
        <w:rPr>
          <w:rFonts w:ascii="Palatino Linotype" w:eastAsia="Palatino Linotype" w:hAnsi="Palatino Linotype" w:cs="Palatino Linotype"/>
        </w:rPr>
        <w:t>realizó diversos planteamientos subjetivos, tales como “</w:t>
      </w:r>
      <w:r w:rsidR="001E5932" w:rsidRPr="00E65510">
        <w:rPr>
          <w:rFonts w:ascii="Palatino Linotype" w:eastAsia="Palatino Linotype" w:hAnsi="Palatino Linotype" w:cs="Palatino Linotype"/>
          <w:i/>
        </w:rPr>
        <w:t xml:space="preserve">LA SERVIDORA PUBLICA </w:t>
      </w:r>
      <w:r w:rsidR="001E5932" w:rsidRPr="00E65510">
        <w:rPr>
          <w:rFonts w:ascii="Palatino Linotype" w:eastAsia="Palatino Linotype" w:hAnsi="Palatino Linotype" w:cs="Palatino Linotype"/>
          <w:i/>
        </w:rPr>
        <w:lastRenderedPageBreak/>
        <w:t xml:space="preserve">HABILITADA SI SABE QUE ES EL CAPÍTULO ... O RESPONDE SOLO POR ENCUBRIR LA INEFICIENCIA DEL TITULAR DE LA UIPPE”, “RESPONDAN CON VERACIDAD” (sic) </w:t>
      </w:r>
      <w:r w:rsidR="001E5932" w:rsidRPr="00E65510">
        <w:rPr>
          <w:rFonts w:ascii="Palatino Linotype" w:eastAsia="Palatino Linotype" w:hAnsi="Palatino Linotype" w:cs="Palatino Linotype"/>
        </w:rPr>
        <w:t>ante lo cual se puntualiza que el Derecho al acceso a la información pública constituye una prerrogativa para acceder a documentos o registros de información pública generada o en posesión de los Sujetos Obligados,  motivo por el cual, este Organismo Garante precisa que dichas manifestaciones no son susceptibles de ser tomadas en consideración en la resolución del presente asunto, toda vez que no constituyen el ejercicio de un Derecho de acceso a la información pública, sino más bien el ejercicio de un Derecho de expresión, cuya finalidad consiste en contextualizar sus motivos de inconformidad. En este sentido, se trata de manifestaciones sobre las cuales este Instituto no está facultado para pronunciarse.</w:t>
      </w:r>
    </w:p>
    <w:p w14:paraId="4FF182E7" w14:textId="4647E352" w:rsidR="001E5932" w:rsidRPr="00E65510" w:rsidRDefault="001E5932" w:rsidP="001E5932">
      <w:pPr>
        <w:pBdr>
          <w:top w:val="nil"/>
          <w:left w:val="nil"/>
          <w:bottom w:val="nil"/>
          <w:right w:val="nil"/>
          <w:between w:val="nil"/>
        </w:pBd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Durante la etapa de manifestaciones el </w:t>
      </w:r>
      <w:r w:rsidRPr="00E65510">
        <w:rPr>
          <w:rFonts w:ascii="Palatino Linotype" w:eastAsia="Palatino Linotype" w:hAnsi="Palatino Linotype" w:cs="Palatino Linotype"/>
          <w:b/>
        </w:rPr>
        <w:t xml:space="preserve">Sujeto Obligado, </w:t>
      </w:r>
      <w:r w:rsidRPr="00E65510">
        <w:rPr>
          <w:rFonts w:ascii="Palatino Linotype" w:eastAsia="Palatino Linotype" w:hAnsi="Palatino Linotype" w:cs="Palatino Linotype"/>
        </w:rPr>
        <w:t xml:space="preserve">por conducto de la Unidad de Transparencia ratificó en lo sustancial la respuesta emitida por la servidora </w:t>
      </w:r>
      <w:r w:rsidR="0003029F" w:rsidRPr="00E65510">
        <w:rPr>
          <w:rFonts w:ascii="Palatino Linotype" w:eastAsia="Palatino Linotype" w:hAnsi="Palatino Linotype" w:cs="Palatino Linotype"/>
        </w:rPr>
        <w:t xml:space="preserve">pública habilitada de la UIPPE, donde refiere que tras una búsqueda exhaustiva y razonable en los archivos de la unidad administrativa advirtió que no cuenta con la información requerida por </w:t>
      </w:r>
      <w:r w:rsidR="000F299B" w:rsidRPr="00E65510">
        <w:rPr>
          <w:rFonts w:ascii="Palatino Linotype" w:eastAsia="Palatino Linotype" w:hAnsi="Palatino Linotype" w:cs="Palatino Linotype"/>
        </w:rPr>
        <w:t>la persona</w:t>
      </w:r>
      <w:r w:rsidR="0003029F" w:rsidRPr="00E65510">
        <w:rPr>
          <w:rFonts w:ascii="Palatino Linotype" w:eastAsia="Palatino Linotype" w:hAnsi="Palatino Linotype" w:cs="Palatino Linotype"/>
        </w:rPr>
        <w:t xml:space="preserve"> solicitante, sin embargo, es de señalar que dicho pronunciamiento no corresponde con lo manifestado por la servidora pública habilitada mediante el escrito de fecha catorce de noviembre de dos mil veinticuatro, como puede advertirse en el antecedente 2 de la presente resolución,</w:t>
      </w:r>
      <w:r w:rsidR="000F299B" w:rsidRPr="00E65510">
        <w:rPr>
          <w:rFonts w:ascii="Palatino Linotype" w:eastAsia="Palatino Linotype" w:hAnsi="Palatino Linotype" w:cs="Palatino Linotype"/>
        </w:rPr>
        <w:t xml:space="preserve"> </w:t>
      </w:r>
      <w:r w:rsidR="00151D28" w:rsidRPr="00E65510">
        <w:rPr>
          <w:rFonts w:ascii="Palatino Linotype" w:eastAsia="Palatino Linotype" w:hAnsi="Palatino Linotype" w:cs="Palatino Linotype"/>
        </w:rPr>
        <w:t xml:space="preserve">ya que esta hizo entrega de dos oficios relacionados con lo solicitado, lo cual ratificó en la etapa de manifestaciones mediante el escrito del </w:t>
      </w:r>
      <w:r w:rsidR="00883384" w:rsidRPr="00E65510">
        <w:rPr>
          <w:rFonts w:ascii="Palatino Linotype" w:eastAsia="Palatino Linotype" w:hAnsi="Palatino Linotype" w:cs="Palatino Linotype"/>
        </w:rPr>
        <w:t xml:space="preserve">dieciocho de noviembre de dos mil veinticuatro, mismo que se hizo del conocimiento de la parte </w:t>
      </w:r>
      <w:r w:rsidR="00883384" w:rsidRPr="00E65510">
        <w:rPr>
          <w:rFonts w:ascii="Palatino Linotype" w:eastAsia="Palatino Linotype" w:hAnsi="Palatino Linotype" w:cs="Palatino Linotype"/>
          <w:b/>
        </w:rPr>
        <w:t>Recurrente</w:t>
      </w:r>
      <w:r w:rsidR="003118BB" w:rsidRPr="00E65510">
        <w:rPr>
          <w:rFonts w:ascii="Palatino Linotype" w:eastAsia="Palatino Linotype" w:hAnsi="Palatino Linotype" w:cs="Palatino Linotype"/>
          <w:b/>
        </w:rPr>
        <w:t xml:space="preserve">, </w:t>
      </w:r>
      <w:r w:rsidR="003118BB" w:rsidRPr="00E65510">
        <w:rPr>
          <w:rFonts w:ascii="Palatino Linotype" w:eastAsia="Palatino Linotype" w:hAnsi="Palatino Linotype" w:cs="Palatino Linotype"/>
        </w:rPr>
        <w:t xml:space="preserve">sin que esta manifestara alegato alguno </w:t>
      </w:r>
      <w:r w:rsidRPr="00E65510">
        <w:rPr>
          <w:rFonts w:ascii="Palatino Linotype" w:eastAsia="Palatino Linotype" w:hAnsi="Palatino Linotype" w:cs="Palatino Linotype"/>
        </w:rPr>
        <w:t>como se señaló anteriormente.</w:t>
      </w:r>
    </w:p>
    <w:p w14:paraId="087BC9F3" w14:textId="25FF527A" w:rsidR="00E432A8" w:rsidRPr="00E65510" w:rsidRDefault="00E432A8" w:rsidP="00E432A8">
      <w:pPr>
        <w:spacing w:before="280" w:after="28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lastRenderedPageBreak/>
        <w:t xml:space="preserve">Una vez establecidas las posturas de las partes, se procede al análisis del requerimiento de información, así como la información proporcionada por el </w:t>
      </w:r>
      <w:r w:rsidRPr="00E65510">
        <w:rPr>
          <w:rFonts w:ascii="Palatino Linotype" w:eastAsia="Palatino Linotype" w:hAnsi="Palatino Linotype" w:cs="Palatino Linotype"/>
          <w:b/>
        </w:rPr>
        <w:t xml:space="preserve">Sujeto Obligado, </w:t>
      </w:r>
      <w:r w:rsidRPr="00E65510">
        <w:rPr>
          <w:rFonts w:ascii="Palatino Linotype" w:eastAsia="Palatino Linotype" w:hAnsi="Palatino Linotype" w:cs="Palatino Linotype"/>
        </w:rPr>
        <w:t xml:space="preserve">en contraposición con el motivo de inconformidad alegado por la parte </w:t>
      </w:r>
      <w:r w:rsidRPr="00E65510">
        <w:rPr>
          <w:rFonts w:ascii="Palatino Linotype" w:eastAsia="Palatino Linotype" w:hAnsi="Palatino Linotype" w:cs="Palatino Linotype"/>
          <w:b/>
        </w:rPr>
        <w:t xml:space="preserve">Recurrente, </w:t>
      </w:r>
      <w:r w:rsidRPr="00E65510">
        <w:rPr>
          <w:rFonts w:ascii="Palatino Linotype" w:eastAsia="Palatino Linotype" w:hAnsi="Palatino Linotype" w:cs="Palatino Linotype"/>
        </w:rPr>
        <w:t>con la finalidad de determinar si el Derecho de acceso de esta se satisfizo, o en su defecto, señalar los documentos que en el ejercicio de sus atribuciones pudo haber generado, y que, de manera enunciativa más no limitativa, pudieran colmar dicho derecho, en caso de ser procedente.</w:t>
      </w:r>
    </w:p>
    <w:p w14:paraId="13152C5E" w14:textId="6723F324" w:rsidR="003B76E8" w:rsidRPr="00E65510" w:rsidRDefault="00E432A8" w:rsidP="003B76E8">
      <w:pPr>
        <w:pBdr>
          <w:top w:val="nil"/>
          <w:left w:val="nil"/>
          <w:bottom w:val="nil"/>
          <w:right w:val="nil"/>
          <w:between w:val="nil"/>
        </w:pBdr>
        <w:spacing w:before="240" w:after="240" w:line="360" w:lineRule="auto"/>
        <w:ind w:right="99"/>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En este tenor, </w:t>
      </w:r>
      <w:r w:rsidR="003B76E8" w:rsidRPr="00E65510">
        <w:rPr>
          <w:rFonts w:ascii="Palatino Linotype" w:eastAsia="Palatino Linotype" w:hAnsi="Palatino Linotype" w:cs="Palatino Linotype"/>
        </w:rPr>
        <w:t>es imprescindible mencionar que las Unidades de Transparencia, son el área responsable en cada Sujeto Obligado para dar atención a las solicitudes de información que se realicen al amparo de la Ley, el responsable de dicha área funge como enlace entre el Sujeto Obligado y los solicitantes, y tiene bajo su responsabilidad el tramitar internamente la solicitud de información.</w:t>
      </w:r>
    </w:p>
    <w:p w14:paraId="2E53CB78" w14:textId="77777777" w:rsidR="003B76E8" w:rsidRPr="00E65510" w:rsidRDefault="003B76E8" w:rsidP="003B76E8">
      <w:pP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t>De tal manera que, si bien el Titular de la Unidad de Transparencia no tiene bajo su resguardo el archivo que contiene la documentación en donde consta la información solicitada, esta puede obrar en las distintas áreas que conforman la estructura orgánica del Sujeto Obligado, es por ello que debe turnar la solicitud al servidor público habilitado que tiene bajo su resguardo la misma, de conformidad con los artículos 53, fracciones II y IV y 162 de la Ley de Transparencia y Acceso a la Información Pública del Estado de México y Municipios.</w:t>
      </w:r>
    </w:p>
    <w:p w14:paraId="5FB192B5" w14:textId="77777777" w:rsidR="003B76E8" w:rsidRPr="00E65510" w:rsidRDefault="003B76E8" w:rsidP="003B76E8">
      <w:pPr>
        <w:spacing w:before="240" w:after="240" w:line="360" w:lineRule="auto"/>
        <w:ind w:right="51"/>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Por su parte, los servidores públicos habilitados, quienes son designados por el titular de cada Sujeto Obligado derivado de la propuesta del responsable de la Unidad de Transparencia, son las personas encargadas dentro de las diversas unidades administrativas o áreas de los Sujeto Obligado, de apoyar, gestionar y </w:t>
      </w:r>
      <w:r w:rsidRPr="00E65510">
        <w:rPr>
          <w:rFonts w:ascii="Palatino Linotype" w:eastAsia="Palatino Linotype" w:hAnsi="Palatino Linotype" w:cs="Palatino Linotype"/>
        </w:rPr>
        <w:lastRenderedPageBreak/>
        <w:t>entregar la información o datos personales que se ubiquen en la misma, a sus respectivas unidades de transparencia; respecto de las solicitudes presentadas, y aportar en primera instancia el fundamento y motivación de la clasificación de la información, teniendo como función buscar, localizar y en su caso entregar la información solicitada, así como integrar y presentar al responsable de la Unidad de Transparencia la propuesta de clasificación de información, la cual tendrá los fundamentos y argumentos en que se basa dicha propuesta y verificar, una vez analizado el contenido de la información, que no se encuentre en los supuestos de información clasificada, de conformidad con los artículos 3, fracción XXXIX, 58 y 59, de la Ley de la Ley de Transparencia y Acceso a la Información Pública del Estado de México y Municipios.</w:t>
      </w:r>
    </w:p>
    <w:p w14:paraId="3A561AF9" w14:textId="77777777" w:rsidR="003B76E8" w:rsidRPr="00E65510" w:rsidRDefault="003B76E8" w:rsidP="003B76E8">
      <w:pP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t>De lo manifestado con antelación se advierte que la persona Titular de la Unidad de Transparencia debe garantizar que las solicitudes se turnen a todas las áreas competentes que puedan contar con la información, con el objeto de que los servidores públicos habilitados realicen la búsqueda exhaustiva y razonable de la información solicitada, y que una vez localizada, la misma sea proporcionada a las personas solicitantes atendiendo a la naturaleza jurídica de la misma.</w:t>
      </w:r>
    </w:p>
    <w:p w14:paraId="16F17426" w14:textId="737CA51A" w:rsidR="001E0235" w:rsidRPr="00E65510" w:rsidRDefault="003B76E8" w:rsidP="00442943">
      <w:pPr>
        <w:pBdr>
          <w:top w:val="nil"/>
          <w:left w:val="nil"/>
          <w:bottom w:val="nil"/>
          <w:right w:val="nil"/>
          <w:between w:val="nil"/>
        </w:pBd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En esta línea de pensamiento, derivado del análisis de las constancias que obran en el expediente electrónico en el que se actúa, se advirtió que la Unidad de Transparencia del </w:t>
      </w:r>
      <w:r w:rsidRPr="00E65510">
        <w:rPr>
          <w:rFonts w:ascii="Palatino Linotype" w:eastAsia="Palatino Linotype" w:hAnsi="Palatino Linotype" w:cs="Palatino Linotype"/>
          <w:b/>
          <w:bCs/>
        </w:rPr>
        <w:t>Sujeto Obligado</w:t>
      </w:r>
      <w:r w:rsidRPr="00E65510">
        <w:rPr>
          <w:rFonts w:ascii="Palatino Linotype" w:eastAsia="Palatino Linotype" w:hAnsi="Palatino Linotype" w:cs="Palatino Linotype"/>
        </w:rPr>
        <w:t>, turnó la solicitud a</w:t>
      </w:r>
      <w:r w:rsidR="00C87A21" w:rsidRPr="00E65510">
        <w:rPr>
          <w:rFonts w:ascii="Palatino Linotype" w:eastAsia="Palatino Linotype" w:hAnsi="Palatino Linotype" w:cs="Palatino Linotype"/>
        </w:rPr>
        <w:t xml:space="preserve"> </w:t>
      </w:r>
      <w:r w:rsidRPr="00E65510">
        <w:rPr>
          <w:rFonts w:ascii="Palatino Linotype" w:eastAsia="Palatino Linotype" w:hAnsi="Palatino Linotype" w:cs="Palatino Linotype"/>
        </w:rPr>
        <w:t>l</w:t>
      </w:r>
      <w:r w:rsidR="00C87A21" w:rsidRPr="00E65510">
        <w:rPr>
          <w:rFonts w:ascii="Palatino Linotype" w:eastAsia="Palatino Linotype" w:hAnsi="Palatino Linotype" w:cs="Palatino Linotype"/>
        </w:rPr>
        <w:t>a</w:t>
      </w:r>
      <w:r w:rsidRPr="00E65510">
        <w:rPr>
          <w:rFonts w:ascii="Palatino Linotype" w:eastAsia="Palatino Linotype" w:hAnsi="Palatino Linotype" w:cs="Palatino Linotype"/>
        </w:rPr>
        <w:t xml:space="preserve"> servidor</w:t>
      </w:r>
      <w:r w:rsidR="00C87A21" w:rsidRPr="00E65510">
        <w:rPr>
          <w:rFonts w:ascii="Palatino Linotype" w:eastAsia="Palatino Linotype" w:hAnsi="Palatino Linotype" w:cs="Palatino Linotype"/>
        </w:rPr>
        <w:t>a pública</w:t>
      </w:r>
      <w:r w:rsidRPr="00E65510">
        <w:rPr>
          <w:rFonts w:ascii="Palatino Linotype" w:eastAsia="Palatino Linotype" w:hAnsi="Palatino Linotype" w:cs="Palatino Linotype"/>
        </w:rPr>
        <w:t xml:space="preserve"> </w:t>
      </w:r>
      <w:r w:rsidR="00C87A21" w:rsidRPr="00E65510">
        <w:rPr>
          <w:rFonts w:ascii="Palatino Linotype" w:eastAsia="Palatino Linotype" w:hAnsi="Palatino Linotype" w:cs="Palatino Linotype"/>
        </w:rPr>
        <w:t>habilitada</w:t>
      </w:r>
      <w:r w:rsidRPr="00E65510">
        <w:rPr>
          <w:rFonts w:ascii="Palatino Linotype" w:eastAsia="Palatino Linotype" w:hAnsi="Palatino Linotype" w:cs="Palatino Linotype"/>
        </w:rPr>
        <w:t xml:space="preserve"> de</w:t>
      </w:r>
      <w:r w:rsidR="0023035E" w:rsidRPr="00E65510">
        <w:rPr>
          <w:rFonts w:ascii="Palatino Linotype" w:eastAsia="Palatino Linotype" w:hAnsi="Palatino Linotype" w:cs="Palatino Linotype"/>
        </w:rPr>
        <w:t xml:space="preserve"> la Unidad de Información, Planeación, P</w:t>
      </w:r>
      <w:r w:rsidR="001E0235" w:rsidRPr="00E65510">
        <w:rPr>
          <w:rFonts w:ascii="Palatino Linotype" w:eastAsia="Palatino Linotype" w:hAnsi="Palatino Linotype" w:cs="Palatino Linotype"/>
        </w:rPr>
        <w:t>rogramación y Evaluación, UIPPE</w:t>
      </w:r>
      <w:r w:rsidR="005A60ED" w:rsidRPr="00E65510">
        <w:rPr>
          <w:rFonts w:ascii="Palatino Linotype" w:eastAsia="Palatino Linotype" w:hAnsi="Palatino Linotype" w:cs="Palatino Linotype"/>
        </w:rPr>
        <w:t>.</w:t>
      </w:r>
    </w:p>
    <w:p w14:paraId="0C88FE61" w14:textId="68C9EA48" w:rsidR="0023035E" w:rsidRPr="00E65510" w:rsidRDefault="001E0235" w:rsidP="005A60ED">
      <w:pPr>
        <w:pBdr>
          <w:top w:val="nil"/>
          <w:left w:val="nil"/>
          <w:bottom w:val="nil"/>
          <w:right w:val="nil"/>
          <w:between w:val="nil"/>
        </w:pBdr>
        <w:spacing w:before="240" w:after="240" w:line="360" w:lineRule="auto"/>
        <w:jc w:val="both"/>
        <w:rPr>
          <w:rFonts w:ascii="Palatino Linotype" w:eastAsia="Palatino Linotype" w:hAnsi="Palatino Linotype" w:cs="Palatino Linotype"/>
          <w:b/>
          <w:u w:val="single"/>
        </w:rPr>
      </w:pPr>
      <w:r w:rsidRPr="00E65510">
        <w:rPr>
          <w:rFonts w:ascii="Palatino Linotype" w:eastAsia="Palatino Linotype" w:hAnsi="Palatino Linotype" w:cs="Palatino Linotype"/>
        </w:rPr>
        <w:lastRenderedPageBreak/>
        <w:t>Cabe señalar que de conformidad con</w:t>
      </w:r>
      <w:r w:rsidR="005A60ED" w:rsidRPr="00E65510">
        <w:rPr>
          <w:rFonts w:ascii="Palatino Linotype" w:eastAsia="Palatino Linotype" w:hAnsi="Palatino Linotype" w:cs="Palatino Linotype"/>
        </w:rPr>
        <w:t xml:space="preserve"> la Codificación estructural 20700004000000S del </w:t>
      </w:r>
      <w:r w:rsidRPr="00E65510">
        <w:rPr>
          <w:rFonts w:ascii="Palatino Linotype" w:eastAsia="Palatino Linotype" w:hAnsi="Palatino Linotype" w:cs="Palatino Linotype"/>
        </w:rPr>
        <w:t>Manual General de Organización de la Secretaría de Finanzas,</w:t>
      </w:r>
      <w:r w:rsidR="005A60ED" w:rsidRPr="00E65510">
        <w:rPr>
          <w:rFonts w:ascii="Palatino Linotype" w:eastAsia="Palatino Linotype" w:hAnsi="Palatino Linotype" w:cs="Palatino Linotype"/>
        </w:rPr>
        <w:t xml:space="preserve"> el objetivo de</w:t>
      </w:r>
      <w:r w:rsidRPr="00E65510">
        <w:rPr>
          <w:rFonts w:ascii="Palatino Linotype" w:eastAsia="Palatino Linotype" w:hAnsi="Palatino Linotype" w:cs="Palatino Linotype"/>
        </w:rPr>
        <w:t xml:space="preserve"> </w:t>
      </w:r>
      <w:r w:rsidR="005A60ED" w:rsidRPr="00E65510">
        <w:rPr>
          <w:rFonts w:ascii="Palatino Linotype" w:eastAsia="Palatino Linotype" w:hAnsi="Palatino Linotype" w:cs="Palatino Linotype"/>
        </w:rPr>
        <w:t xml:space="preserve">la Unidad de Información, Planeación, Programación y Evaluación, UIPPE, consiste en coordinar, supervisar y ejecutar los procesos de planeación, programación y evaluación para garantizar la provisión oportuna y eficiente de información, así como analizar e interpretar la correspondiente en materia económica y financiera que sea requerida por la Secretaría de Finanzas para la toma de decisiones y facilitar el derecho de acceso a la información pública y la protección de los datos personales en cumplimiento de sus atribuciones, asimismo, entre sus funciones se encuentra la de </w:t>
      </w:r>
      <w:r w:rsidR="005A60ED" w:rsidRPr="00E65510">
        <w:rPr>
          <w:rFonts w:ascii="Palatino Linotype" w:eastAsia="Palatino Linotype" w:hAnsi="Palatino Linotype" w:cs="Palatino Linotype"/>
          <w:b/>
          <w:u w:val="single"/>
        </w:rPr>
        <w:t>elaborar el capítulo de Entorno Económico de la Cuenta Pública del Gobierno, Organismos Auxiliares y Autónomos del Estado de México.</w:t>
      </w:r>
    </w:p>
    <w:p w14:paraId="0A852CC7" w14:textId="1411182B" w:rsidR="00235684" w:rsidRPr="00E65510" w:rsidRDefault="009F00C8" w:rsidP="009F00C8">
      <w:pPr>
        <w:spacing w:before="240" w:after="240" w:line="360" w:lineRule="auto"/>
        <w:ind w:right="49"/>
        <w:jc w:val="both"/>
        <w:rPr>
          <w:rFonts w:ascii="Palatino Linotype" w:eastAsia="Palatino Linotype" w:hAnsi="Palatino Linotype" w:cs="Palatino Linotype"/>
        </w:rPr>
      </w:pPr>
      <w:r w:rsidRPr="00E65510">
        <w:rPr>
          <w:rFonts w:ascii="Palatino Linotype" w:hAnsi="Palatino Linotype" w:cs="Arial"/>
        </w:rPr>
        <w:t>En esta tesitura</w:t>
      </w:r>
      <w:r w:rsidR="002A45A6" w:rsidRPr="00E65510">
        <w:rPr>
          <w:rFonts w:ascii="Palatino Linotype" w:hAnsi="Palatino Linotype" w:cs="Arial"/>
        </w:rPr>
        <w:t xml:space="preserve">, </w:t>
      </w:r>
      <w:r w:rsidR="00235684" w:rsidRPr="00E65510">
        <w:rPr>
          <w:rFonts w:ascii="Palatino Linotype" w:hAnsi="Palatino Linotype" w:cs="Arial"/>
        </w:rPr>
        <w:t xml:space="preserve">se colige que </w:t>
      </w:r>
      <w:r w:rsidR="002A45A6" w:rsidRPr="00E65510">
        <w:rPr>
          <w:rFonts w:ascii="Palatino Linotype" w:hAnsi="Palatino Linotype" w:cs="Arial"/>
        </w:rPr>
        <w:t xml:space="preserve">la Unidad de Transparencia </w:t>
      </w:r>
      <w:r w:rsidR="002A45A6" w:rsidRPr="00E65510">
        <w:rPr>
          <w:rFonts w:ascii="Palatino Linotype" w:eastAsia="Palatino Linotype" w:hAnsi="Palatino Linotype" w:cs="Palatino Linotype"/>
        </w:rPr>
        <w:t xml:space="preserve">atendió el procedimiento de búsqueda, el cual se constituye como la garantía primaria del derecho humano de acceso a la información pública, </w:t>
      </w:r>
      <w:r w:rsidR="00235684" w:rsidRPr="00E65510">
        <w:rPr>
          <w:rFonts w:ascii="Palatino Linotype" w:eastAsia="Palatino Linotype" w:hAnsi="Palatino Linotype" w:cs="Palatino Linotype"/>
        </w:rPr>
        <w:t>y</w:t>
      </w:r>
      <w:r w:rsidR="002A45A6" w:rsidRPr="00E65510">
        <w:rPr>
          <w:rFonts w:ascii="Palatino Linotype" w:eastAsia="Palatino Linotype" w:hAnsi="Palatino Linotype" w:cs="Palatino Linotype"/>
        </w:rPr>
        <w:t xml:space="preserve"> se rige por los principios de simplicidad, rapidez, gratuidad del procedimiento, auxilio y orientación a las personas solicitantes con el fin de otorgar la protección más amplia de este derecho</w:t>
      </w:r>
      <w:r w:rsidR="00235684" w:rsidRPr="00E65510">
        <w:rPr>
          <w:rFonts w:ascii="Palatino Linotype" w:eastAsia="Palatino Linotype" w:hAnsi="Palatino Linotype" w:cs="Palatino Linotype"/>
        </w:rPr>
        <w:t>.</w:t>
      </w:r>
    </w:p>
    <w:p w14:paraId="411CE814" w14:textId="15541E45" w:rsidR="006E5A21" w:rsidRPr="00E65510" w:rsidRDefault="006E5A21" w:rsidP="009F00C8">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rPr>
        <w:t>Ahora bien, en atención a la solicitud, la servidora pública habilitada del área competente remitió dos oficios,</w:t>
      </w:r>
      <w:r w:rsidR="004D02C4" w:rsidRPr="00E65510">
        <w:rPr>
          <w:rFonts w:ascii="Palatino Linotype" w:eastAsia="Palatino Linotype" w:hAnsi="Palatino Linotype" w:cs="Palatino Linotype"/>
        </w:rPr>
        <w:t xml:space="preserve"> cuyo contenido es el siguiente:</w:t>
      </w:r>
    </w:p>
    <w:p w14:paraId="571A0452" w14:textId="205487A9" w:rsidR="004D02C4" w:rsidRPr="00E65510" w:rsidRDefault="004D02C4" w:rsidP="009F00C8">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noProof/>
        </w:rPr>
        <w:lastRenderedPageBreak/>
        <w:drawing>
          <wp:inline distT="0" distB="0" distL="0" distR="0" wp14:anchorId="65E51145" wp14:editId="1FD46AB8">
            <wp:extent cx="5287113" cy="6811326"/>
            <wp:effectExtent l="0" t="0" r="8890" b="889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287113" cy="6811326"/>
                    </a:xfrm>
                    <a:prstGeom prst="rect">
                      <a:avLst/>
                    </a:prstGeom>
                  </pic:spPr>
                </pic:pic>
              </a:graphicData>
            </a:graphic>
          </wp:inline>
        </w:drawing>
      </w:r>
    </w:p>
    <w:p w14:paraId="330EE8D7" w14:textId="6CAFD90C" w:rsidR="004D02C4" w:rsidRPr="00E65510" w:rsidRDefault="004D02C4" w:rsidP="009F00C8">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noProof/>
        </w:rPr>
        <w:lastRenderedPageBreak/>
        <w:drawing>
          <wp:inline distT="0" distB="0" distL="0" distR="0" wp14:anchorId="3126A562" wp14:editId="32A37C8A">
            <wp:extent cx="5182323" cy="6525536"/>
            <wp:effectExtent l="0" t="0" r="0" b="889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182323" cy="6525536"/>
                    </a:xfrm>
                    <a:prstGeom prst="rect">
                      <a:avLst/>
                    </a:prstGeom>
                  </pic:spPr>
                </pic:pic>
              </a:graphicData>
            </a:graphic>
          </wp:inline>
        </w:drawing>
      </w:r>
    </w:p>
    <w:p w14:paraId="57900B2A" w14:textId="77777777" w:rsidR="006E5A21" w:rsidRPr="00E65510" w:rsidRDefault="006E5A21" w:rsidP="009F00C8">
      <w:pPr>
        <w:spacing w:before="240" w:after="240" w:line="360" w:lineRule="auto"/>
        <w:ind w:right="49"/>
        <w:jc w:val="both"/>
        <w:rPr>
          <w:rFonts w:ascii="Palatino Linotype" w:eastAsia="Palatino Linotype" w:hAnsi="Palatino Linotype" w:cs="Palatino Linotype"/>
        </w:rPr>
      </w:pPr>
    </w:p>
    <w:p w14:paraId="44ED8F1A" w14:textId="77777777" w:rsidR="004D02C4" w:rsidRPr="00E65510" w:rsidRDefault="004D02C4" w:rsidP="009F00C8">
      <w:pPr>
        <w:spacing w:before="240" w:after="240" w:line="360" w:lineRule="auto"/>
        <w:ind w:right="49"/>
        <w:jc w:val="both"/>
        <w:rPr>
          <w:rFonts w:ascii="Palatino Linotype" w:eastAsia="Palatino Linotype" w:hAnsi="Palatino Linotype" w:cs="Palatino Linotype"/>
        </w:rPr>
      </w:pPr>
    </w:p>
    <w:p w14:paraId="30A887E8" w14:textId="060B5664" w:rsidR="005D5736" w:rsidRPr="00E65510" w:rsidRDefault="005D5736" w:rsidP="005D5736">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rPr>
        <w:lastRenderedPageBreak/>
        <w:t xml:space="preserve">De los oficios anteriores se advierte que </w:t>
      </w:r>
      <w:r w:rsidRPr="00E65510">
        <w:rPr>
          <w:rFonts w:ascii="Palatino Linotype" w:eastAsia="Palatino Linotype" w:hAnsi="Palatino Linotype" w:cs="Palatino Linotype"/>
          <w:b/>
          <w:u w:val="single"/>
        </w:rPr>
        <w:t xml:space="preserve">el seis de marzo de dos mil veinticuatro </w:t>
      </w:r>
      <w:r w:rsidRPr="00E65510">
        <w:rPr>
          <w:rFonts w:ascii="Palatino Linotype" w:eastAsia="Palatino Linotype" w:hAnsi="Palatino Linotype" w:cs="Palatino Linotype"/>
        </w:rPr>
        <w:t xml:space="preserve">la Contadora General Gubernamental, en relación con los trabajos de integración y elaboración de la Cuenta Pública del Gobierno, Organismos Auxiliares y Autónomos del Estado de México correspondiente al Ejercicio 2023, solicitó al Jefe de la Unidad de Información, Planeación, Programación y Evaluación, UIPPE, girara instrucciones a quien correspondiera, con el objeto de que se elaborara el Capítulo relativo al Entorno Económico y su evolución en el ámbito nacional y estatal, para su integración en la Cuenta Pública, para lo cual se debía considerar el análisis de los principales indicadores de tipo económico, como son el Producto Interno Bruto, las actividades sectoriales, índices de precios, ingreso </w:t>
      </w:r>
      <w:proofErr w:type="spellStart"/>
      <w:r w:rsidRPr="00E65510">
        <w:rPr>
          <w:rFonts w:ascii="Palatino Linotype" w:eastAsia="Palatino Linotype" w:hAnsi="Palatino Linotype" w:cs="Palatino Linotype"/>
        </w:rPr>
        <w:t>percápita</w:t>
      </w:r>
      <w:proofErr w:type="spellEnd"/>
      <w:r w:rsidRPr="00E65510">
        <w:rPr>
          <w:rFonts w:ascii="Palatino Linotype" w:eastAsia="Palatino Linotype" w:hAnsi="Palatino Linotype" w:cs="Palatino Linotype"/>
        </w:rPr>
        <w:t>, balanza comercial, tasa de empleo, número de asegurados, entre otros.</w:t>
      </w:r>
    </w:p>
    <w:p w14:paraId="723AD735" w14:textId="5E081042" w:rsidR="005D5736" w:rsidRPr="00E65510" w:rsidRDefault="005D5736" w:rsidP="005D5736">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rPr>
        <w:t>Y, en respuesta a dicho oficio,</w:t>
      </w:r>
      <w:r w:rsidR="00EF1F86" w:rsidRPr="00E65510">
        <w:rPr>
          <w:rFonts w:ascii="Palatino Linotype" w:eastAsia="Palatino Linotype" w:hAnsi="Palatino Linotype" w:cs="Palatino Linotype"/>
        </w:rPr>
        <w:t xml:space="preserve"> </w:t>
      </w:r>
      <w:r w:rsidR="00EF1F86" w:rsidRPr="00E65510">
        <w:rPr>
          <w:rFonts w:ascii="Palatino Linotype" w:eastAsia="Palatino Linotype" w:hAnsi="Palatino Linotype" w:cs="Palatino Linotype"/>
          <w:b/>
          <w:u w:val="single"/>
        </w:rPr>
        <w:t>el nueve de abril de dos mil veinticuatro</w:t>
      </w:r>
      <w:r w:rsidR="00EF1F86" w:rsidRPr="00E65510">
        <w:rPr>
          <w:rFonts w:ascii="Palatino Linotype" w:eastAsia="Palatino Linotype" w:hAnsi="Palatino Linotype" w:cs="Palatino Linotype"/>
        </w:rPr>
        <w:t>,</w:t>
      </w:r>
      <w:r w:rsidRPr="00E65510">
        <w:rPr>
          <w:rFonts w:ascii="Palatino Linotype" w:eastAsia="Palatino Linotype" w:hAnsi="Palatino Linotype" w:cs="Palatino Linotype"/>
        </w:rPr>
        <w:t xml:space="preserve"> el Jefe de la UIPPE remitió el apartado del Entorno Económico y su evolución en el ámbito nacional y estatal, para la integración y elaboración de la Cuenta Pública del Estado de México para el ejercicio fiscal 2023.</w:t>
      </w:r>
    </w:p>
    <w:p w14:paraId="32A08FE6" w14:textId="41C224AA" w:rsidR="001A0B1A" w:rsidRPr="00E65510" w:rsidRDefault="001A0B1A" w:rsidP="005D2008">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Es oportuno mencionar que de conformidad con el código estructural 20704002000000L del Manual General de Organización de la Secretaria de Finanzas, la Contaduría General Gubernamental </w:t>
      </w:r>
      <w:r w:rsidR="005D2008" w:rsidRPr="00E65510">
        <w:rPr>
          <w:rFonts w:ascii="Palatino Linotype" w:eastAsia="Palatino Linotype" w:hAnsi="Palatino Linotype" w:cs="Palatino Linotype"/>
        </w:rPr>
        <w:t xml:space="preserve">tiene por objetivo </w:t>
      </w:r>
      <w:r w:rsidR="005D2008" w:rsidRPr="00E65510">
        <w:rPr>
          <w:rFonts w:ascii="Palatino Linotype" w:eastAsia="Palatino Linotype" w:hAnsi="Palatino Linotype" w:cs="Palatino Linotype"/>
          <w:b/>
        </w:rPr>
        <w:t>planear, programar, controlar y evaluar el registro del ejercicio de las finanzas públicas estatales</w:t>
      </w:r>
      <w:r w:rsidR="005D2008" w:rsidRPr="00E65510">
        <w:rPr>
          <w:rFonts w:ascii="Palatino Linotype" w:eastAsia="Palatino Linotype" w:hAnsi="Palatino Linotype" w:cs="Palatino Linotype"/>
        </w:rPr>
        <w:t xml:space="preserve">, de conformidad con las disposiciones legales, lineamientos, normas, políticas y procedimientos aplicables en la materia, y para el cumplimiento de dicho </w:t>
      </w:r>
      <w:r w:rsidR="00B91FE9" w:rsidRPr="00E65510">
        <w:rPr>
          <w:rFonts w:ascii="Palatino Linotype" w:eastAsia="Palatino Linotype" w:hAnsi="Palatino Linotype" w:cs="Palatino Linotype"/>
        </w:rPr>
        <w:t xml:space="preserve">objetivo, </w:t>
      </w:r>
      <w:r w:rsidR="00D47F40" w:rsidRPr="00E65510">
        <w:rPr>
          <w:rFonts w:ascii="Palatino Linotype" w:eastAsia="Palatino Linotype" w:hAnsi="Palatino Linotype" w:cs="Palatino Linotype"/>
        </w:rPr>
        <w:t>se le confieren entre otras atribuciones, las siguientes:</w:t>
      </w:r>
    </w:p>
    <w:p w14:paraId="2C31D563" w14:textId="29CE38E8" w:rsidR="00D47F40" w:rsidRPr="00E65510" w:rsidRDefault="00D47F40" w:rsidP="00D47F40">
      <w:pPr>
        <w:spacing w:before="240" w:after="240" w:line="360" w:lineRule="auto"/>
        <w:ind w:left="284" w:right="49"/>
        <w:jc w:val="both"/>
        <w:rPr>
          <w:rFonts w:ascii="Palatino Linotype" w:hAnsi="Palatino Linotype"/>
        </w:rPr>
      </w:pPr>
      <w:r w:rsidRPr="00E65510">
        <w:rPr>
          <w:rFonts w:ascii="Palatino Linotype" w:eastAsia="Palatino Linotype" w:hAnsi="Palatino Linotype" w:cs="Palatino Linotype"/>
        </w:rPr>
        <w:lastRenderedPageBreak/>
        <w:t xml:space="preserve">- </w:t>
      </w:r>
      <w:r w:rsidRPr="00E65510">
        <w:rPr>
          <w:rFonts w:ascii="Palatino Linotype" w:hAnsi="Palatino Linotype"/>
        </w:rPr>
        <w:t>Verificar que los informes financieros de la hacienda pública estatal se formulen con la periodicidad requerida.</w:t>
      </w:r>
    </w:p>
    <w:p w14:paraId="75064980" w14:textId="66841B66" w:rsidR="00D47F40" w:rsidRPr="00E65510" w:rsidRDefault="00D47F40" w:rsidP="00D47F40">
      <w:pPr>
        <w:spacing w:before="240" w:after="240" w:line="360" w:lineRule="auto"/>
        <w:ind w:left="284" w:right="49"/>
        <w:jc w:val="both"/>
        <w:rPr>
          <w:rFonts w:ascii="Palatino Linotype" w:hAnsi="Palatino Linotype"/>
        </w:rPr>
      </w:pPr>
      <w:r w:rsidRPr="00E65510">
        <w:rPr>
          <w:rFonts w:ascii="Palatino Linotype" w:hAnsi="Palatino Linotype"/>
        </w:rPr>
        <w:t xml:space="preserve">- </w:t>
      </w:r>
      <w:r w:rsidRPr="00E65510">
        <w:rPr>
          <w:rFonts w:ascii="Palatino Linotype" w:hAnsi="Palatino Linotype"/>
          <w:b/>
        </w:rPr>
        <w:t>Coordinar la integración de la información financiera, presupuestal y contable de las dependencias y organismos auxiliares, que coadyuve a la formulación de la cuenta de la hacienda pública estatal</w:t>
      </w:r>
      <w:r w:rsidRPr="00E65510">
        <w:rPr>
          <w:rFonts w:ascii="Palatino Linotype" w:hAnsi="Palatino Linotype"/>
        </w:rPr>
        <w:t>.</w:t>
      </w:r>
    </w:p>
    <w:p w14:paraId="0D3EB547" w14:textId="109FA195" w:rsidR="00D47F40" w:rsidRPr="00E65510" w:rsidRDefault="00D47F40" w:rsidP="00D47F40">
      <w:pPr>
        <w:spacing w:before="240" w:after="240" w:line="360" w:lineRule="auto"/>
        <w:ind w:left="284" w:right="49"/>
        <w:jc w:val="both"/>
        <w:rPr>
          <w:rFonts w:ascii="Palatino Linotype" w:eastAsia="Palatino Linotype" w:hAnsi="Palatino Linotype" w:cs="Palatino Linotype"/>
        </w:rPr>
      </w:pPr>
      <w:r w:rsidRPr="00E65510">
        <w:rPr>
          <w:rFonts w:ascii="Palatino Linotype" w:hAnsi="Palatino Linotype"/>
        </w:rPr>
        <w:t xml:space="preserve">- Supervisar la formulación de la glosa preventiva de los ingresos y egresos, así como </w:t>
      </w:r>
      <w:r w:rsidRPr="00E65510">
        <w:rPr>
          <w:rFonts w:ascii="Palatino Linotype" w:hAnsi="Palatino Linotype"/>
          <w:b/>
        </w:rPr>
        <w:t>elaborar la cuenta anual de la hacienda pública estatal</w:t>
      </w:r>
      <w:r w:rsidRPr="00E65510">
        <w:rPr>
          <w:rFonts w:ascii="Palatino Linotype" w:hAnsi="Palatino Linotype"/>
        </w:rPr>
        <w:t>.</w:t>
      </w:r>
    </w:p>
    <w:p w14:paraId="3CDFD8CE" w14:textId="6DA08F15" w:rsidR="00B16BE5" w:rsidRPr="00E65510" w:rsidRDefault="008A772A" w:rsidP="001A0B1A">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rPr>
        <w:t>En este sentido, s</w:t>
      </w:r>
      <w:r w:rsidR="00BA6C66" w:rsidRPr="00E65510">
        <w:rPr>
          <w:rFonts w:ascii="Palatino Linotype" w:eastAsia="Palatino Linotype" w:hAnsi="Palatino Linotype" w:cs="Palatino Linotype"/>
        </w:rPr>
        <w:t xml:space="preserve">e colige que la Contaduría General Gubernamental es </w:t>
      </w:r>
      <w:r w:rsidR="005F1D48" w:rsidRPr="00E65510">
        <w:rPr>
          <w:rFonts w:ascii="Palatino Linotype" w:eastAsia="Palatino Linotype" w:hAnsi="Palatino Linotype" w:cs="Palatino Linotype"/>
        </w:rPr>
        <w:t xml:space="preserve">el área </w:t>
      </w:r>
      <w:r w:rsidR="00BA6C66" w:rsidRPr="00E65510">
        <w:rPr>
          <w:rFonts w:ascii="Palatino Linotype" w:eastAsia="Palatino Linotype" w:hAnsi="Palatino Linotype" w:cs="Palatino Linotype"/>
        </w:rPr>
        <w:t>encargada de integrar la información relativa a la cuenta pública de la entidad,</w:t>
      </w:r>
      <w:r w:rsidR="00B60B60" w:rsidRPr="00E65510">
        <w:rPr>
          <w:rFonts w:ascii="Palatino Linotype" w:eastAsia="Palatino Linotype" w:hAnsi="Palatino Linotype" w:cs="Palatino Linotype"/>
        </w:rPr>
        <w:t xml:space="preserve"> y </w:t>
      </w:r>
      <w:r w:rsidR="005F1D48" w:rsidRPr="00E65510">
        <w:rPr>
          <w:rFonts w:ascii="Palatino Linotype" w:eastAsia="Palatino Linotype" w:hAnsi="Palatino Linotype" w:cs="Palatino Linotype"/>
        </w:rPr>
        <w:t>para lograr dicha finalidad cuenta con el deber de requerir a las demás dependencias los informes financieros de la hacienda pública</w:t>
      </w:r>
      <w:r w:rsidR="00B16BE5" w:rsidRPr="00E65510">
        <w:rPr>
          <w:rFonts w:ascii="Palatino Linotype" w:eastAsia="Palatino Linotype" w:hAnsi="Palatino Linotype" w:cs="Palatino Linotype"/>
        </w:rPr>
        <w:t xml:space="preserve">. </w:t>
      </w:r>
      <w:r w:rsidR="00B16BE5" w:rsidRPr="00E65510">
        <w:rPr>
          <w:rFonts w:ascii="Palatino Linotype" w:eastAsia="Palatino Linotype" w:hAnsi="Palatino Linotype" w:cs="Palatino Linotype"/>
          <w:b/>
          <w:u w:val="single"/>
        </w:rPr>
        <w:t xml:space="preserve">En el caso del </w:t>
      </w:r>
      <w:r w:rsidR="00EF6762" w:rsidRPr="00E65510">
        <w:rPr>
          <w:rFonts w:ascii="Palatino Linotype" w:eastAsia="Palatino Linotype" w:hAnsi="Palatino Linotype" w:cs="Palatino Linotype"/>
          <w:b/>
          <w:u w:val="single"/>
        </w:rPr>
        <w:t>C</w:t>
      </w:r>
      <w:r w:rsidR="00B16BE5" w:rsidRPr="00E65510">
        <w:rPr>
          <w:rFonts w:ascii="Palatino Linotype" w:eastAsia="Palatino Linotype" w:hAnsi="Palatino Linotype" w:cs="Palatino Linotype"/>
          <w:b/>
          <w:u w:val="single"/>
        </w:rPr>
        <w:t>apítulo de Entorno Económico de la Cuenta Pública del Gobierno, Organismos Auxiliares y Autónomos del Estado de México, la elaboración es competencia de la Unidad de Información, Planeación, Programación y Evaluación, UIPPE,</w:t>
      </w:r>
      <w:r w:rsidR="00B16BE5" w:rsidRPr="00E65510">
        <w:rPr>
          <w:rFonts w:ascii="Palatino Linotype" w:eastAsia="Palatino Linotype" w:hAnsi="Palatino Linotype" w:cs="Palatino Linotype"/>
        </w:rPr>
        <w:t xml:space="preserve"> como se refirió anteriormente.</w:t>
      </w:r>
    </w:p>
    <w:p w14:paraId="1E96F1D6" w14:textId="530C9B36" w:rsidR="001A0B1A" w:rsidRPr="00E65510" w:rsidRDefault="003C2798" w:rsidP="005D5736">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rPr>
        <w:t>A partir</w:t>
      </w:r>
      <w:r w:rsidR="00B16BE5" w:rsidRPr="00E65510">
        <w:rPr>
          <w:rFonts w:ascii="Palatino Linotype" w:eastAsia="Palatino Linotype" w:hAnsi="Palatino Linotype" w:cs="Palatino Linotype"/>
        </w:rPr>
        <w:t xml:space="preserve"> de lo anterior, </w:t>
      </w:r>
      <w:r w:rsidR="002D17C2" w:rsidRPr="00E65510">
        <w:rPr>
          <w:rFonts w:ascii="Palatino Linotype" w:eastAsia="Palatino Linotype" w:hAnsi="Palatino Linotype" w:cs="Palatino Linotype"/>
        </w:rPr>
        <w:t>se estima</w:t>
      </w:r>
      <w:r w:rsidR="001A0B1A" w:rsidRPr="00E65510">
        <w:rPr>
          <w:rFonts w:ascii="Palatino Linotype" w:eastAsia="Palatino Linotype" w:hAnsi="Palatino Linotype" w:cs="Palatino Linotype"/>
        </w:rPr>
        <w:t xml:space="preserve"> que </w:t>
      </w:r>
      <w:r w:rsidR="00B16BE5" w:rsidRPr="00E65510">
        <w:rPr>
          <w:rFonts w:ascii="Palatino Linotype" w:eastAsia="Palatino Linotype" w:hAnsi="Palatino Linotype" w:cs="Palatino Linotype"/>
        </w:rPr>
        <w:t>los oficios entregados por la servidora p</w:t>
      </w:r>
      <w:r w:rsidR="002D17C2" w:rsidRPr="00E65510">
        <w:rPr>
          <w:rFonts w:ascii="Palatino Linotype" w:eastAsia="Palatino Linotype" w:hAnsi="Palatino Linotype" w:cs="Palatino Linotype"/>
        </w:rPr>
        <w:t xml:space="preserve">ública habilitada de la UIPPE </w:t>
      </w:r>
      <w:r w:rsidR="001A0B1A" w:rsidRPr="00E65510">
        <w:rPr>
          <w:rFonts w:ascii="Palatino Linotype" w:eastAsia="Palatino Linotype" w:hAnsi="Palatino Linotype" w:cs="Palatino Linotype"/>
        </w:rPr>
        <w:t>gua</w:t>
      </w:r>
      <w:r w:rsidR="002D17C2" w:rsidRPr="00E65510">
        <w:rPr>
          <w:rFonts w:ascii="Palatino Linotype" w:eastAsia="Palatino Linotype" w:hAnsi="Palatino Linotype" w:cs="Palatino Linotype"/>
        </w:rPr>
        <w:t>rdan relación con lo solicitado</w:t>
      </w:r>
      <w:r w:rsidR="00B16BE5" w:rsidRPr="00E65510">
        <w:rPr>
          <w:rFonts w:ascii="Palatino Linotype" w:eastAsia="Palatino Linotype" w:hAnsi="Palatino Linotype" w:cs="Palatino Linotype"/>
        </w:rPr>
        <w:t>; sin embargo,</w:t>
      </w:r>
      <w:r w:rsidR="00EF6762" w:rsidRPr="00E65510">
        <w:rPr>
          <w:rFonts w:ascii="Palatino Linotype" w:eastAsia="Palatino Linotype" w:hAnsi="Palatino Linotype" w:cs="Palatino Linotype"/>
        </w:rPr>
        <w:t xml:space="preserve"> no</w:t>
      </w:r>
      <w:r w:rsidR="002D17C2" w:rsidRPr="00E65510">
        <w:rPr>
          <w:rFonts w:ascii="Palatino Linotype" w:eastAsia="Palatino Linotype" w:hAnsi="Palatino Linotype" w:cs="Palatino Linotype"/>
        </w:rPr>
        <w:t xml:space="preserve"> colman el derecho de acceso de la persona solicitante, </w:t>
      </w:r>
      <w:r w:rsidR="00EF6762" w:rsidRPr="00E65510">
        <w:rPr>
          <w:rFonts w:ascii="Palatino Linotype" w:eastAsia="Palatino Linotype" w:hAnsi="Palatino Linotype" w:cs="Palatino Linotype"/>
        </w:rPr>
        <w:t xml:space="preserve">dado </w:t>
      </w:r>
      <w:r w:rsidR="002D17C2" w:rsidRPr="00E65510">
        <w:rPr>
          <w:rFonts w:ascii="Palatino Linotype" w:eastAsia="Palatino Linotype" w:hAnsi="Palatino Linotype" w:cs="Palatino Linotype"/>
        </w:rPr>
        <w:t xml:space="preserve">que lo peticionado consiste en </w:t>
      </w:r>
      <w:r w:rsidR="00B17499" w:rsidRPr="00E65510">
        <w:rPr>
          <w:rFonts w:ascii="Palatino Linotype" w:eastAsia="Palatino Linotype" w:hAnsi="Palatino Linotype" w:cs="Palatino Linotype"/>
        </w:rPr>
        <w:t>los soportes documentales</w:t>
      </w:r>
      <w:r w:rsidR="002D17C2" w:rsidRPr="00E65510">
        <w:rPr>
          <w:rFonts w:ascii="Palatino Linotype" w:eastAsia="Palatino Linotype" w:hAnsi="Palatino Linotype" w:cs="Palatino Linotype"/>
        </w:rPr>
        <w:t xml:space="preserve"> empleado</w:t>
      </w:r>
      <w:r w:rsidR="00B17499" w:rsidRPr="00E65510">
        <w:rPr>
          <w:rFonts w:ascii="Palatino Linotype" w:eastAsia="Palatino Linotype" w:hAnsi="Palatino Linotype" w:cs="Palatino Linotype"/>
        </w:rPr>
        <w:t>s</w:t>
      </w:r>
      <w:r w:rsidR="002D17C2" w:rsidRPr="00E65510">
        <w:rPr>
          <w:rFonts w:ascii="Palatino Linotype" w:eastAsia="Palatino Linotype" w:hAnsi="Palatino Linotype" w:cs="Palatino Linotype"/>
        </w:rPr>
        <w:t xml:space="preserve"> o utilizado</w:t>
      </w:r>
      <w:r w:rsidR="00B17499" w:rsidRPr="00E65510">
        <w:rPr>
          <w:rFonts w:ascii="Palatino Linotype" w:eastAsia="Palatino Linotype" w:hAnsi="Palatino Linotype" w:cs="Palatino Linotype"/>
        </w:rPr>
        <w:t>s, esto es que sirvieron de base</w:t>
      </w:r>
      <w:r w:rsidR="002D17C2" w:rsidRPr="00E65510">
        <w:rPr>
          <w:rFonts w:ascii="Palatino Linotype" w:eastAsia="Palatino Linotype" w:hAnsi="Palatino Linotype" w:cs="Palatino Linotype"/>
        </w:rPr>
        <w:t xml:space="preserve"> para la elaboración del capítulo de Entorno Económico de la Cuenta Pública del Gobierno, Organismos Auxiliares </w:t>
      </w:r>
      <w:r w:rsidR="00EF1F86" w:rsidRPr="00E65510">
        <w:rPr>
          <w:rFonts w:ascii="Palatino Linotype" w:eastAsia="Palatino Linotype" w:hAnsi="Palatino Linotype" w:cs="Palatino Linotype"/>
        </w:rPr>
        <w:t>y Autónomos del Estado de México</w:t>
      </w:r>
      <w:r w:rsidR="008E2B4B" w:rsidRPr="00E65510">
        <w:rPr>
          <w:rFonts w:ascii="Palatino Linotype" w:eastAsia="Palatino Linotype" w:hAnsi="Palatino Linotype" w:cs="Palatino Linotype"/>
        </w:rPr>
        <w:t xml:space="preserve">, siendo importante mencionar que </w:t>
      </w:r>
      <w:r w:rsidR="00EF1F86" w:rsidRPr="00E65510">
        <w:rPr>
          <w:rFonts w:ascii="Palatino Linotype" w:eastAsia="Palatino Linotype" w:hAnsi="Palatino Linotype" w:cs="Palatino Linotype"/>
        </w:rPr>
        <w:t xml:space="preserve">de </w:t>
      </w:r>
      <w:r w:rsidR="00EF6762" w:rsidRPr="00E65510">
        <w:rPr>
          <w:rFonts w:ascii="Palatino Linotype" w:eastAsia="Palatino Linotype" w:hAnsi="Palatino Linotype" w:cs="Palatino Linotype"/>
        </w:rPr>
        <w:t>los mismos oficios</w:t>
      </w:r>
      <w:r w:rsidR="002D17C2" w:rsidRPr="00E65510">
        <w:rPr>
          <w:rFonts w:ascii="Palatino Linotype" w:eastAsia="Palatino Linotype" w:hAnsi="Palatino Linotype" w:cs="Palatino Linotype"/>
        </w:rPr>
        <w:t xml:space="preserve"> entregados</w:t>
      </w:r>
      <w:r w:rsidR="00EF6762" w:rsidRPr="00E65510">
        <w:rPr>
          <w:rFonts w:ascii="Palatino Linotype" w:eastAsia="Palatino Linotype" w:hAnsi="Palatino Linotype" w:cs="Palatino Linotype"/>
        </w:rPr>
        <w:t xml:space="preserve"> se desprende que </w:t>
      </w:r>
      <w:r w:rsidR="008E2B4B" w:rsidRPr="00E65510">
        <w:rPr>
          <w:rFonts w:ascii="Palatino Linotype" w:eastAsia="Palatino Linotype" w:hAnsi="Palatino Linotype" w:cs="Palatino Linotype"/>
        </w:rPr>
        <w:t xml:space="preserve">la Contaduría General Gubernamental </w:t>
      </w:r>
      <w:r w:rsidR="00EF6762" w:rsidRPr="00E65510">
        <w:rPr>
          <w:rFonts w:ascii="Palatino Linotype" w:eastAsia="Palatino Linotype" w:hAnsi="Palatino Linotype" w:cs="Palatino Linotype"/>
        </w:rPr>
        <w:t xml:space="preserve">sugirió al Jefe de la UIPPE girar instrucciones </w:t>
      </w:r>
      <w:r w:rsidR="00EF6762" w:rsidRPr="00E65510">
        <w:rPr>
          <w:rFonts w:ascii="Palatino Linotype" w:eastAsia="Palatino Linotype" w:hAnsi="Palatino Linotype" w:cs="Palatino Linotype"/>
        </w:rPr>
        <w:lastRenderedPageBreak/>
        <w:t>a quien correspondiera para elaborar el documento relativo al Capítulo de Entorno Económico de la Cuenta Pública del Gobierno, Organismos Auxiliares y Autónomos del Estado de México, asimismo, que el Jefe de la UIPPE generó dicho documento el cual fue entregado a la Contaduría Gener</w:t>
      </w:r>
      <w:r w:rsidR="002D17C2" w:rsidRPr="00E65510">
        <w:rPr>
          <w:rFonts w:ascii="Palatino Linotype" w:eastAsia="Palatino Linotype" w:hAnsi="Palatino Linotype" w:cs="Palatino Linotype"/>
        </w:rPr>
        <w:t>al Gubernamental</w:t>
      </w:r>
      <w:r w:rsidR="00277955" w:rsidRPr="00E65510">
        <w:rPr>
          <w:rFonts w:ascii="Palatino Linotype" w:eastAsia="Palatino Linotype" w:hAnsi="Palatino Linotype" w:cs="Palatino Linotype"/>
        </w:rPr>
        <w:t>.</w:t>
      </w:r>
    </w:p>
    <w:p w14:paraId="54CB435B" w14:textId="77777777" w:rsidR="002D17C2" w:rsidRPr="00E65510" w:rsidRDefault="002D17C2" w:rsidP="002D17C2">
      <w:pPr>
        <w:pBdr>
          <w:top w:val="nil"/>
          <w:left w:val="nil"/>
          <w:bottom w:val="nil"/>
          <w:right w:val="nil"/>
          <w:between w:val="nil"/>
        </w:pBd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t>Sobre lo anterior, el artículo 1.8, fracción IX, del Código Administrativo del Estado de México, establece que para que un acto administrativo tenga validez, deberá guardar congruencia con lo solicitado; asimismo, resulta necesario traer a colación, el Criterio de Interpretación, con clave de control SO/002/2017, de la Segunda Época, emitido por el Instituto Nacional de Transparencia, Acceso a la Información y Protección de Datos Personales, que señala lo siguiente:</w:t>
      </w:r>
    </w:p>
    <w:p w14:paraId="14E3DD44" w14:textId="77777777" w:rsidR="002D17C2" w:rsidRPr="00E65510" w:rsidRDefault="002D17C2" w:rsidP="002D17C2">
      <w:pPr>
        <w:pBdr>
          <w:top w:val="nil"/>
          <w:left w:val="nil"/>
          <w:bottom w:val="nil"/>
          <w:right w:val="nil"/>
          <w:between w:val="nil"/>
        </w:pBd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t>“</w:t>
      </w:r>
      <w:r w:rsidRPr="00E65510">
        <w:rPr>
          <w:rFonts w:ascii="Palatino Linotype" w:eastAsia="Palatino Linotype" w:hAnsi="Palatino Linotype" w:cs="Palatino Linotype"/>
          <w:b/>
          <w:i/>
          <w:sz w:val="22"/>
          <w:szCs w:val="22"/>
        </w:rPr>
        <w:t xml:space="preserve">Congruencia y exhaustividad. Sus alcances para garantizar el derecho de acceso a la información. </w:t>
      </w:r>
      <w:r w:rsidRPr="00E65510">
        <w:rPr>
          <w:rFonts w:ascii="Palatino Linotype" w:eastAsia="Palatino Linotype" w:hAnsi="Palatino Linotype" w:cs="Palatino Linotype"/>
          <w:i/>
          <w:sz w:val="22"/>
          <w:szCs w:val="22"/>
        </w:rPr>
        <w:t>De conformidad con el artículo 3 de la Ley Federal de Procedimiento Administrativo, de aplicación supletoria a la Ley Federal de Transparencia y Acceso a la Información Pública, en términos de su artículo 7; todo acto administrativo debe cumplir con los principios de congruencia y exhaustividad. Para el efectivo ejercicio del derecho de acceso a la información, la congruencia implica que exista concordancia entre el requerimiento formulado por el particular y la respuesta proporcionada por el sujeto obligado; mientras que la exhaustividad significa que dicha respuesta se refiera expresamente a cada uno de los puntos solicitados. Por lo anterior, los sujetos obligados cumplirán con los principios de congruencia y exhaustividad, cuando las respuestas que emitan guarden una relación lógica con lo solicitado y atiendan de manera puntual y expresa, cada uno de los contenidos de información.”</w:t>
      </w:r>
    </w:p>
    <w:p w14:paraId="0B89E7B9" w14:textId="2396EFE4" w:rsidR="002D17C2" w:rsidRPr="00E65510" w:rsidRDefault="002D17C2" w:rsidP="002D17C2">
      <w:pPr>
        <w:pBdr>
          <w:top w:val="nil"/>
          <w:left w:val="nil"/>
          <w:bottom w:val="nil"/>
          <w:right w:val="nil"/>
          <w:between w:val="nil"/>
        </w:pBd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Del citado criterio, se desprende que todo acto administrativo debe apegarse al Principio de Congruencia, el cual implica que exista concordancia entre el requerimiento formulado y la respuesta entregada; por lo que, se considera que el </w:t>
      </w:r>
      <w:r w:rsidRPr="00E65510">
        <w:rPr>
          <w:rFonts w:ascii="Palatino Linotype" w:eastAsia="Palatino Linotype" w:hAnsi="Palatino Linotype" w:cs="Palatino Linotype"/>
          <w:b/>
        </w:rPr>
        <w:t>Sujeto Obligado</w:t>
      </w:r>
      <w:r w:rsidRPr="00E65510">
        <w:rPr>
          <w:rFonts w:ascii="Palatino Linotype" w:eastAsia="Palatino Linotype" w:hAnsi="Palatino Linotype" w:cs="Palatino Linotype"/>
        </w:rPr>
        <w:t xml:space="preserve"> incumplió con dicho principio, pues como se señaló la pretensión de la parte </w:t>
      </w:r>
      <w:r w:rsidRPr="00E65510">
        <w:rPr>
          <w:rFonts w:ascii="Palatino Linotype" w:eastAsia="Palatino Linotype" w:hAnsi="Palatino Linotype" w:cs="Palatino Linotype"/>
          <w:b/>
        </w:rPr>
        <w:t xml:space="preserve">Recurrente </w:t>
      </w:r>
      <w:r w:rsidRPr="00E65510">
        <w:rPr>
          <w:rFonts w:ascii="Palatino Linotype" w:eastAsia="Palatino Linotype" w:hAnsi="Palatino Linotype" w:cs="Palatino Linotype"/>
        </w:rPr>
        <w:t xml:space="preserve">es obtener </w:t>
      </w:r>
      <w:r w:rsidR="00B17499" w:rsidRPr="00E65510">
        <w:rPr>
          <w:rFonts w:ascii="Palatino Linotype" w:eastAsia="Palatino Linotype" w:hAnsi="Palatino Linotype" w:cs="Palatino Linotype"/>
        </w:rPr>
        <w:t>los</w:t>
      </w:r>
      <w:r w:rsidRPr="00E65510">
        <w:rPr>
          <w:rFonts w:ascii="Palatino Linotype" w:eastAsia="Palatino Linotype" w:hAnsi="Palatino Linotype" w:cs="Palatino Linotype"/>
        </w:rPr>
        <w:t xml:space="preserve"> soporte</w:t>
      </w:r>
      <w:r w:rsidR="00B17499" w:rsidRPr="00E65510">
        <w:rPr>
          <w:rFonts w:ascii="Palatino Linotype" w:eastAsia="Palatino Linotype" w:hAnsi="Palatino Linotype" w:cs="Palatino Linotype"/>
        </w:rPr>
        <w:t>s</w:t>
      </w:r>
      <w:r w:rsidRPr="00E65510">
        <w:rPr>
          <w:rFonts w:ascii="Palatino Linotype" w:eastAsia="Palatino Linotype" w:hAnsi="Palatino Linotype" w:cs="Palatino Linotype"/>
        </w:rPr>
        <w:t xml:space="preserve"> documental</w:t>
      </w:r>
      <w:r w:rsidR="00B17499" w:rsidRPr="00E65510">
        <w:rPr>
          <w:rFonts w:ascii="Palatino Linotype" w:eastAsia="Palatino Linotype" w:hAnsi="Palatino Linotype" w:cs="Palatino Linotype"/>
        </w:rPr>
        <w:t>es</w:t>
      </w:r>
      <w:r w:rsidRPr="00E65510">
        <w:rPr>
          <w:rFonts w:ascii="Palatino Linotype" w:eastAsia="Palatino Linotype" w:hAnsi="Palatino Linotype" w:cs="Palatino Linotype"/>
        </w:rPr>
        <w:t xml:space="preserve"> </w:t>
      </w:r>
      <w:r w:rsidR="008E2B4B" w:rsidRPr="00E65510">
        <w:rPr>
          <w:rFonts w:ascii="Palatino Linotype" w:eastAsia="Palatino Linotype" w:hAnsi="Palatino Linotype" w:cs="Palatino Linotype"/>
        </w:rPr>
        <w:t xml:space="preserve">con los cuales </w:t>
      </w:r>
      <w:r w:rsidRPr="00E65510">
        <w:rPr>
          <w:rFonts w:ascii="Palatino Linotype" w:eastAsia="Palatino Linotype" w:hAnsi="Palatino Linotype" w:cs="Palatino Linotype"/>
        </w:rPr>
        <w:t xml:space="preserve">el Jefe de </w:t>
      </w:r>
      <w:r w:rsidRPr="00E65510">
        <w:rPr>
          <w:rFonts w:ascii="Palatino Linotype" w:eastAsia="Palatino Linotype" w:hAnsi="Palatino Linotype" w:cs="Palatino Linotype"/>
        </w:rPr>
        <w:lastRenderedPageBreak/>
        <w:t xml:space="preserve">la UIPPE </w:t>
      </w:r>
      <w:r w:rsidR="008E2B4B" w:rsidRPr="00E65510">
        <w:rPr>
          <w:rFonts w:ascii="Palatino Linotype" w:eastAsia="Palatino Linotype" w:hAnsi="Palatino Linotype" w:cs="Palatino Linotype"/>
        </w:rPr>
        <w:t>elaboró</w:t>
      </w:r>
      <w:r w:rsidRPr="00E65510">
        <w:rPr>
          <w:rFonts w:ascii="Palatino Linotype" w:eastAsia="Palatino Linotype" w:hAnsi="Palatino Linotype" w:cs="Palatino Linotype"/>
        </w:rPr>
        <w:t xml:space="preserve"> el capítulo</w:t>
      </w:r>
      <w:r w:rsidRPr="00E65510">
        <w:t xml:space="preserve"> </w:t>
      </w:r>
      <w:r w:rsidRPr="00E65510">
        <w:rPr>
          <w:rFonts w:ascii="Palatino Linotype" w:eastAsia="Palatino Linotype" w:hAnsi="Palatino Linotype" w:cs="Palatino Linotype"/>
        </w:rPr>
        <w:t>de Entorno Económico de la Cuenta Pública del Gobierno, Organismos Auxiliares y Autónomos del Estado de México, pudiendo ser informes, reportes, o cualq</w:t>
      </w:r>
      <w:r w:rsidR="00244A41" w:rsidRPr="00E65510">
        <w:rPr>
          <w:rFonts w:ascii="Palatino Linotype" w:eastAsia="Palatino Linotype" w:hAnsi="Palatino Linotype" w:cs="Palatino Linotype"/>
        </w:rPr>
        <w:t xml:space="preserve">uier documento generado que sirvió de base </w:t>
      </w:r>
      <w:r w:rsidR="008E2B4B" w:rsidRPr="00E65510">
        <w:rPr>
          <w:rFonts w:ascii="Palatino Linotype" w:eastAsia="Palatino Linotype" w:hAnsi="Palatino Linotype" w:cs="Palatino Linotype"/>
        </w:rPr>
        <w:t xml:space="preserve">o fuente </w:t>
      </w:r>
      <w:r w:rsidR="00244A41" w:rsidRPr="00E65510">
        <w:rPr>
          <w:rFonts w:ascii="Palatino Linotype" w:eastAsia="Palatino Linotype" w:hAnsi="Palatino Linotype" w:cs="Palatino Linotype"/>
        </w:rPr>
        <w:t xml:space="preserve">para la elaboración del documento referido, </w:t>
      </w:r>
      <w:r w:rsidRPr="00E65510">
        <w:rPr>
          <w:rFonts w:ascii="Palatino Linotype" w:eastAsia="Palatino Linotype" w:hAnsi="Palatino Linotype" w:cs="Palatino Linotype"/>
        </w:rPr>
        <w:t xml:space="preserve">sin embargo, </w:t>
      </w:r>
      <w:r w:rsidR="00244A41" w:rsidRPr="00E65510">
        <w:rPr>
          <w:rFonts w:ascii="Palatino Linotype" w:eastAsia="Palatino Linotype" w:hAnsi="Palatino Linotype" w:cs="Palatino Linotype"/>
        </w:rPr>
        <w:t xml:space="preserve">el Sujeto Obligado se limitó a entregar los oficios </w:t>
      </w:r>
      <w:r w:rsidRPr="00E65510">
        <w:rPr>
          <w:rFonts w:ascii="Palatino Linotype" w:eastAsia="Palatino Linotype" w:hAnsi="Palatino Linotype" w:cs="Palatino Linotype"/>
        </w:rPr>
        <w:t xml:space="preserve"> </w:t>
      </w:r>
      <w:r w:rsidR="009560CA" w:rsidRPr="00E65510">
        <w:rPr>
          <w:rFonts w:ascii="Palatino Linotype" w:eastAsia="Palatino Linotype" w:hAnsi="Palatino Linotype" w:cs="Palatino Linotype"/>
        </w:rPr>
        <w:t xml:space="preserve">mediante los cuales se requirió a la UIPPE la elaboración del </w:t>
      </w:r>
      <w:r w:rsidR="008E2B4B" w:rsidRPr="00E65510">
        <w:rPr>
          <w:rFonts w:ascii="Palatino Linotype" w:eastAsia="Palatino Linotype" w:hAnsi="Palatino Linotype" w:cs="Palatino Linotype"/>
        </w:rPr>
        <w:t xml:space="preserve">capítulo </w:t>
      </w:r>
      <w:r w:rsidR="009560CA" w:rsidRPr="00E65510">
        <w:rPr>
          <w:rFonts w:ascii="Palatino Linotype" w:eastAsia="Palatino Linotype" w:hAnsi="Palatino Linotype" w:cs="Palatino Linotype"/>
        </w:rPr>
        <w:t>y donde informa la remisión del mismo a la Contaduría General Gubernamental</w:t>
      </w:r>
      <w:r w:rsidR="00050A19" w:rsidRPr="00E65510">
        <w:rPr>
          <w:rFonts w:ascii="Palatino Linotype" w:eastAsia="Palatino Linotype" w:hAnsi="Palatino Linotype" w:cs="Palatino Linotype"/>
        </w:rPr>
        <w:t>, sin adjuntar</w:t>
      </w:r>
      <w:r w:rsidR="00B17499" w:rsidRPr="00E65510">
        <w:rPr>
          <w:rFonts w:ascii="Palatino Linotype" w:eastAsia="Palatino Linotype" w:hAnsi="Palatino Linotype" w:cs="Palatino Linotype"/>
        </w:rPr>
        <w:t xml:space="preserve"> los documentos que sirvieron de base y que se hayan generado para su elaboración</w:t>
      </w:r>
      <w:r w:rsidR="008E2B4B" w:rsidRPr="00E65510">
        <w:rPr>
          <w:rFonts w:ascii="Palatino Linotype" w:eastAsia="Palatino Linotype" w:hAnsi="Palatino Linotype" w:cs="Palatino Linotype"/>
        </w:rPr>
        <w:t>, es decir, que sustentan la información contenida en capítulo.</w:t>
      </w:r>
    </w:p>
    <w:p w14:paraId="2BB8B88E" w14:textId="77777777" w:rsidR="008E2B4B" w:rsidRPr="00E65510" w:rsidRDefault="003A3E01" w:rsidP="008E2B4B">
      <w:pPr>
        <w:spacing w:before="240" w:after="240" w:line="360" w:lineRule="auto"/>
        <w:jc w:val="both"/>
        <w:rPr>
          <w:rFonts w:ascii="Palatino Linotype" w:hAnsi="Palatino Linotype"/>
        </w:rPr>
      </w:pPr>
      <w:r w:rsidRPr="00E65510">
        <w:rPr>
          <w:rFonts w:ascii="Palatino Linotype" w:eastAsia="Palatino Linotype" w:hAnsi="Palatino Linotype" w:cs="Palatino Linotype"/>
        </w:rPr>
        <w:t xml:space="preserve">En este orden de ideas, se estima que lo conducente es ordenar al </w:t>
      </w:r>
      <w:r w:rsidRPr="00E65510">
        <w:rPr>
          <w:rFonts w:ascii="Palatino Linotype" w:eastAsia="Palatino Linotype" w:hAnsi="Palatino Linotype" w:cs="Palatino Linotype"/>
          <w:b/>
        </w:rPr>
        <w:t xml:space="preserve">Sujeto Obligado, </w:t>
      </w:r>
      <w:r w:rsidR="008E2B4B" w:rsidRPr="00E65510">
        <w:rPr>
          <w:rFonts w:ascii="Palatino Linotype" w:eastAsia="Palatino Linotype" w:hAnsi="Palatino Linotype" w:cs="Palatino Linotype"/>
        </w:rPr>
        <w:t xml:space="preserve">que </w:t>
      </w:r>
      <w:r w:rsidRPr="00E65510">
        <w:rPr>
          <w:rFonts w:ascii="Palatino Linotype" w:eastAsia="Palatino Linotype" w:hAnsi="Palatino Linotype" w:cs="Palatino Linotype"/>
        </w:rPr>
        <w:t>previa búsqueda exhaustiva y razonable en los archivos del área competente,</w:t>
      </w:r>
      <w:r w:rsidRPr="00E65510">
        <w:rPr>
          <w:rFonts w:ascii="Palatino Linotype" w:eastAsia="Palatino Linotype" w:hAnsi="Palatino Linotype" w:cs="Palatino Linotype"/>
          <w:b/>
        </w:rPr>
        <w:t xml:space="preserve"> </w:t>
      </w:r>
      <w:r w:rsidRPr="00E65510">
        <w:rPr>
          <w:rFonts w:ascii="Palatino Linotype" w:eastAsia="Palatino Linotype" w:hAnsi="Palatino Linotype" w:cs="Palatino Linotype"/>
        </w:rPr>
        <w:t xml:space="preserve">haga entrega </w:t>
      </w:r>
      <w:r w:rsidR="00B17499" w:rsidRPr="00E65510">
        <w:rPr>
          <w:rFonts w:ascii="Palatino Linotype" w:eastAsia="Palatino Linotype" w:hAnsi="Palatino Linotype" w:cs="Palatino Linotype"/>
        </w:rPr>
        <w:t>de</w:t>
      </w:r>
      <w:r w:rsidR="008E2B4B" w:rsidRPr="00E65510">
        <w:rPr>
          <w:rFonts w:ascii="Palatino Linotype" w:eastAsia="Palatino Linotype" w:hAnsi="Palatino Linotype" w:cs="Palatino Linotype"/>
        </w:rPr>
        <w:t xml:space="preserve">l o los </w:t>
      </w:r>
      <w:r w:rsidR="00B17499" w:rsidRPr="00E65510">
        <w:rPr>
          <w:rFonts w:ascii="Palatino Linotype" w:eastAsia="Palatino Linotype" w:hAnsi="Palatino Linotype" w:cs="Palatino Linotype"/>
        </w:rPr>
        <w:t xml:space="preserve">soportes documentales </w:t>
      </w:r>
      <w:r w:rsidR="008E2B4B" w:rsidRPr="00E65510">
        <w:rPr>
          <w:rFonts w:ascii="Palatino Linotype" w:eastAsia="Palatino Linotype" w:hAnsi="Palatino Linotype" w:cs="Palatino Linotype"/>
        </w:rPr>
        <w:t>que hayan sido utilizados por el Jefe de la UIPPE para la elaboración del capítulo de Entorno Económico de la Cuenta Pública del Gobierno, Organismos Auxiliares y Autónomos del Estado de México, en versión pública de ser procedente.</w:t>
      </w:r>
    </w:p>
    <w:p w14:paraId="7BFDE9C2" w14:textId="489FDC1E" w:rsidR="005D5736" w:rsidRPr="00E65510" w:rsidRDefault="008E2B4B" w:rsidP="005D5736">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Por otro lado, dado que de la lectura de la solicitud se advierte que la persona solicitante pretende obtener documentos generados del uno de enero al treinta y uno de mayo de dos mil veinticuatro, es </w:t>
      </w:r>
      <w:r w:rsidR="00B8496B" w:rsidRPr="00E65510">
        <w:rPr>
          <w:rFonts w:ascii="Palatino Linotype" w:eastAsia="Palatino Linotype" w:hAnsi="Palatino Linotype" w:cs="Palatino Linotype"/>
        </w:rPr>
        <w:t>imprescindible mencionar que</w:t>
      </w:r>
      <w:r w:rsidRPr="00E65510">
        <w:rPr>
          <w:rFonts w:ascii="Palatino Linotype" w:eastAsia="Palatino Linotype" w:hAnsi="Palatino Linotype" w:cs="Palatino Linotype"/>
        </w:rPr>
        <w:t xml:space="preserve"> </w:t>
      </w:r>
      <w:r w:rsidR="00B8496B" w:rsidRPr="00E65510">
        <w:rPr>
          <w:rFonts w:ascii="Palatino Linotype" w:eastAsia="Palatino Linotype" w:hAnsi="Palatino Linotype" w:cs="Palatino Linotype"/>
        </w:rPr>
        <w:t xml:space="preserve">la Constitución Política del Estado Libre y Soberano de México, establece en su artículo 77, fracción XIX, la obligación de la persona titular del poder ejecutivo de </w:t>
      </w:r>
      <w:r w:rsidR="00B8496B" w:rsidRPr="00E65510">
        <w:rPr>
          <w:rFonts w:ascii="Palatino Linotype" w:eastAsia="Palatino Linotype" w:hAnsi="Palatino Linotype" w:cs="Palatino Linotype"/>
          <w:b/>
        </w:rPr>
        <w:t>presentar ante la Legislatura,</w:t>
      </w:r>
      <w:r w:rsidR="00B8496B" w:rsidRPr="00E65510">
        <w:rPr>
          <w:rFonts w:ascii="Palatino Linotype" w:eastAsia="Palatino Linotype" w:hAnsi="Palatino Linotype" w:cs="Palatino Linotype"/>
        </w:rPr>
        <w:t xml:space="preserve"> </w:t>
      </w:r>
      <w:r w:rsidR="00B8496B" w:rsidRPr="00E65510">
        <w:rPr>
          <w:rFonts w:ascii="Palatino Linotype" w:eastAsia="Palatino Linotype" w:hAnsi="Palatino Linotype" w:cs="Palatino Linotype"/>
          <w:b/>
        </w:rPr>
        <w:t>la</w:t>
      </w:r>
      <w:r w:rsidR="00B8496B" w:rsidRPr="00E65510">
        <w:rPr>
          <w:rFonts w:ascii="Palatino Linotype" w:hAnsi="Palatino Linotype"/>
          <w:b/>
        </w:rPr>
        <w:t xml:space="preserve"> cuenta pública del año inmediato anterior</w:t>
      </w:r>
      <w:r w:rsidR="00B8496B" w:rsidRPr="00E65510">
        <w:rPr>
          <w:rFonts w:ascii="Palatino Linotype" w:hAnsi="Palatino Linotype"/>
        </w:rPr>
        <w:t xml:space="preserve">, </w:t>
      </w:r>
      <w:r w:rsidR="00B8496B" w:rsidRPr="00E65510">
        <w:rPr>
          <w:rFonts w:ascii="Palatino Linotype" w:hAnsi="Palatino Linotype"/>
          <w:b/>
          <w:u w:val="single"/>
        </w:rPr>
        <w:t>a más tardar el 30 de abril del año siguiente</w:t>
      </w:r>
      <w:r w:rsidR="00B8496B" w:rsidRPr="00E65510">
        <w:rPr>
          <w:rFonts w:ascii="Palatino Linotype" w:hAnsi="Palatino Linotype"/>
        </w:rPr>
        <w:t>; en la que se informa acerca de los gastos que sustentaron las acciones de la</w:t>
      </w:r>
      <w:r w:rsidR="00C5517C" w:rsidRPr="00E65510">
        <w:rPr>
          <w:rFonts w:ascii="Palatino Linotype" w:hAnsi="Palatino Linotype"/>
        </w:rPr>
        <w:t xml:space="preserve"> Administración Pública Estatal, como se lee </w:t>
      </w:r>
      <w:r w:rsidR="009560CA" w:rsidRPr="00E65510">
        <w:rPr>
          <w:rFonts w:ascii="Palatino Linotype" w:hAnsi="Palatino Linotype"/>
        </w:rPr>
        <w:t>enseguida</w:t>
      </w:r>
      <w:r w:rsidR="00C5517C" w:rsidRPr="00E65510">
        <w:rPr>
          <w:rFonts w:ascii="Palatino Linotype" w:hAnsi="Palatino Linotype"/>
        </w:rPr>
        <w:t>:</w:t>
      </w:r>
    </w:p>
    <w:p w14:paraId="08E5F490" w14:textId="135F2A6D" w:rsidR="00B8496B" w:rsidRPr="00E65510" w:rsidRDefault="00B8496B" w:rsidP="00B8496B">
      <w:pPr>
        <w:spacing w:before="120" w:after="120"/>
        <w:ind w:left="851" w:right="902"/>
        <w:jc w:val="both"/>
        <w:rPr>
          <w:rFonts w:ascii="Palatino Linotype" w:hAnsi="Palatino Linotype"/>
          <w:b/>
          <w:i/>
          <w:sz w:val="22"/>
          <w:szCs w:val="22"/>
        </w:rPr>
      </w:pPr>
      <w:r w:rsidRPr="00E65510">
        <w:rPr>
          <w:rFonts w:ascii="Palatino Linotype" w:hAnsi="Palatino Linotype"/>
          <w:b/>
          <w:i/>
          <w:sz w:val="22"/>
          <w:szCs w:val="22"/>
        </w:rPr>
        <w:lastRenderedPageBreak/>
        <w:t>“Artículo 77</w:t>
      </w:r>
      <w:r w:rsidRPr="00E65510">
        <w:rPr>
          <w:rFonts w:ascii="Palatino Linotype" w:hAnsi="Palatino Linotype"/>
          <w:i/>
          <w:sz w:val="22"/>
          <w:szCs w:val="22"/>
        </w:rPr>
        <w:t xml:space="preserve">.- Son facultades y obligaciones de la </w:t>
      </w:r>
      <w:r w:rsidRPr="00E65510">
        <w:rPr>
          <w:rFonts w:ascii="Palatino Linotype" w:hAnsi="Palatino Linotype"/>
          <w:b/>
          <w:i/>
          <w:sz w:val="22"/>
          <w:szCs w:val="22"/>
        </w:rPr>
        <w:t>Gobernadora o del Gobernador del Estado:</w:t>
      </w:r>
    </w:p>
    <w:p w14:paraId="394A84EB" w14:textId="03681ADB" w:rsidR="00B8496B" w:rsidRPr="00E65510" w:rsidRDefault="00B8496B" w:rsidP="00B8496B">
      <w:pPr>
        <w:spacing w:before="120" w:after="120"/>
        <w:ind w:left="1134" w:right="902"/>
        <w:jc w:val="both"/>
        <w:rPr>
          <w:rFonts w:ascii="Palatino Linotype" w:hAnsi="Palatino Linotype"/>
          <w:i/>
          <w:sz w:val="22"/>
          <w:szCs w:val="22"/>
        </w:rPr>
      </w:pPr>
      <w:r w:rsidRPr="00E65510">
        <w:rPr>
          <w:rFonts w:ascii="Palatino Linotype" w:hAnsi="Palatino Linotype"/>
          <w:i/>
          <w:sz w:val="22"/>
          <w:szCs w:val="22"/>
        </w:rPr>
        <w:t>...</w:t>
      </w:r>
    </w:p>
    <w:p w14:paraId="4BDAFCF4" w14:textId="210848CC" w:rsidR="00B8496B" w:rsidRPr="00E65510" w:rsidRDefault="00B8496B" w:rsidP="00B8496B">
      <w:pPr>
        <w:spacing w:before="120" w:after="120"/>
        <w:ind w:left="1134" w:right="902"/>
        <w:jc w:val="both"/>
        <w:rPr>
          <w:rFonts w:ascii="Palatino Linotype" w:eastAsia="Palatino Linotype" w:hAnsi="Palatino Linotype" w:cs="Palatino Linotype"/>
          <w:b/>
          <w:i/>
          <w:sz w:val="22"/>
          <w:szCs w:val="22"/>
        </w:rPr>
      </w:pPr>
      <w:r w:rsidRPr="00E65510">
        <w:rPr>
          <w:rFonts w:ascii="Palatino Linotype" w:hAnsi="Palatino Linotype"/>
          <w:b/>
          <w:i/>
          <w:sz w:val="22"/>
          <w:szCs w:val="22"/>
        </w:rPr>
        <w:t>XIX.</w:t>
      </w:r>
      <w:r w:rsidRPr="00E65510">
        <w:rPr>
          <w:rFonts w:ascii="Palatino Linotype" w:hAnsi="Palatino Linotype"/>
          <w:i/>
          <w:sz w:val="22"/>
          <w:szCs w:val="22"/>
        </w:rPr>
        <w:t xml:space="preserve"> Enviar cada año a la Legislatura, a más tardar el 21 de noviembre, los proyectos de ley de ingresos y presupuesto de egresos del Gobierno del Estado, que deberán regir en el año fiscal inmediato siguiente, o hasta el 20 de diciembre, cuando inicie su periodo Constitucional el Ejecutivo Federal, y </w:t>
      </w:r>
      <w:r w:rsidRPr="00E65510">
        <w:rPr>
          <w:rFonts w:ascii="Palatino Linotype" w:hAnsi="Palatino Linotype"/>
          <w:b/>
          <w:i/>
          <w:sz w:val="22"/>
          <w:szCs w:val="22"/>
          <w:u w:val="single"/>
        </w:rPr>
        <w:t>presentar la cuenta pública del año inmediato anterior, a más tardar el 30 de abril del año siguiente</w:t>
      </w:r>
      <w:r w:rsidRPr="00E65510">
        <w:rPr>
          <w:rFonts w:ascii="Palatino Linotype" w:hAnsi="Palatino Linotype"/>
          <w:b/>
          <w:i/>
          <w:sz w:val="22"/>
          <w:szCs w:val="22"/>
        </w:rPr>
        <w:t>.</w:t>
      </w:r>
    </w:p>
    <w:p w14:paraId="103732E7" w14:textId="28A364F3" w:rsidR="005D5736" w:rsidRPr="00E65510" w:rsidRDefault="00C5517C" w:rsidP="009F00C8">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En los mismos términos el artículo 32, párrafo segundo de la Ley de Fiscalización Superior del Estado de México establece que </w:t>
      </w:r>
      <w:r w:rsidRPr="00E65510">
        <w:rPr>
          <w:rFonts w:ascii="Palatino Linotype" w:eastAsia="Palatino Linotype" w:hAnsi="Palatino Linotype" w:cs="Palatino Linotype"/>
          <w:b/>
        </w:rPr>
        <w:t xml:space="preserve">la persona titular del poder ejecutivo debe presentar a la legislatura la cuenta pública estatal el ejercicio fiscal inmediato anterior, </w:t>
      </w:r>
      <w:r w:rsidRPr="00E65510">
        <w:rPr>
          <w:rFonts w:ascii="Palatino Linotype" w:eastAsia="Palatino Linotype" w:hAnsi="Palatino Linotype" w:cs="Palatino Linotype"/>
          <w:b/>
          <w:u w:val="single"/>
        </w:rPr>
        <w:t>a más tardar el treinta de abril de cada año</w:t>
      </w:r>
      <w:r w:rsidRPr="00E65510">
        <w:rPr>
          <w:rFonts w:ascii="Palatino Linotype" w:eastAsia="Palatino Linotype" w:hAnsi="Palatino Linotype" w:cs="Palatino Linotype"/>
          <w:b/>
        </w:rPr>
        <w:t xml:space="preserve">, por conducto de la persona titular </w:t>
      </w:r>
      <w:r w:rsidRPr="00E65510">
        <w:rPr>
          <w:rFonts w:ascii="Palatino Linotype" w:hAnsi="Palatino Linotype"/>
          <w:b/>
        </w:rPr>
        <w:t xml:space="preserve"> de la dependencia competente</w:t>
      </w:r>
      <w:r w:rsidRPr="00E65510">
        <w:rPr>
          <w:rFonts w:ascii="Palatino Linotype" w:hAnsi="Palatino Linotype"/>
        </w:rPr>
        <w:t>, a saber:</w:t>
      </w:r>
    </w:p>
    <w:p w14:paraId="640286D6" w14:textId="3E5CDF4B" w:rsidR="00C5517C" w:rsidRPr="00E65510" w:rsidRDefault="00C5517C" w:rsidP="003619F0">
      <w:pPr>
        <w:spacing w:before="120" w:after="120"/>
        <w:ind w:left="851" w:right="902"/>
        <w:jc w:val="both"/>
        <w:rPr>
          <w:rFonts w:ascii="Palatino Linotype" w:hAnsi="Palatino Linotype"/>
          <w:i/>
          <w:sz w:val="22"/>
          <w:szCs w:val="22"/>
        </w:rPr>
      </w:pPr>
      <w:r w:rsidRPr="00E65510">
        <w:rPr>
          <w:rFonts w:ascii="Palatino Linotype" w:hAnsi="Palatino Linotype"/>
          <w:i/>
          <w:sz w:val="22"/>
          <w:szCs w:val="22"/>
        </w:rPr>
        <w:t>“</w:t>
      </w:r>
      <w:r w:rsidRPr="00E65510">
        <w:rPr>
          <w:rFonts w:ascii="Palatino Linotype" w:hAnsi="Palatino Linotype"/>
          <w:b/>
          <w:i/>
          <w:sz w:val="22"/>
          <w:szCs w:val="22"/>
        </w:rPr>
        <w:t>Artículo 32</w:t>
      </w:r>
      <w:r w:rsidRPr="00E65510">
        <w:rPr>
          <w:rFonts w:ascii="Palatino Linotype" w:hAnsi="Palatino Linotype"/>
          <w:i/>
          <w:sz w:val="22"/>
          <w:szCs w:val="22"/>
        </w:rPr>
        <w:t>...</w:t>
      </w:r>
    </w:p>
    <w:p w14:paraId="2A3B5341" w14:textId="303D351B" w:rsidR="00C5517C" w:rsidRPr="00E65510" w:rsidRDefault="00C5517C" w:rsidP="003619F0">
      <w:pPr>
        <w:spacing w:before="120" w:after="120"/>
        <w:ind w:left="851" w:right="902"/>
        <w:jc w:val="both"/>
        <w:rPr>
          <w:rFonts w:ascii="Palatino Linotype" w:eastAsia="Palatino Linotype" w:hAnsi="Palatino Linotype" w:cs="Palatino Linotype"/>
          <w:i/>
          <w:sz w:val="22"/>
          <w:szCs w:val="22"/>
        </w:rPr>
      </w:pPr>
      <w:r w:rsidRPr="00E65510">
        <w:rPr>
          <w:rFonts w:ascii="Palatino Linotype" w:hAnsi="Palatino Linotype"/>
          <w:b/>
          <w:i/>
          <w:sz w:val="22"/>
          <w:szCs w:val="22"/>
        </w:rPr>
        <w:t>El Gobernador</w:t>
      </w:r>
      <w:r w:rsidRPr="00E65510">
        <w:rPr>
          <w:rFonts w:ascii="Palatino Linotype" w:hAnsi="Palatino Linotype"/>
          <w:i/>
          <w:sz w:val="22"/>
          <w:szCs w:val="22"/>
        </w:rPr>
        <w:t xml:space="preserve"> del Estado, por conducto del titular de la dependencia </w:t>
      </w:r>
      <w:r w:rsidRPr="00E65510">
        <w:rPr>
          <w:rFonts w:ascii="Palatino Linotype" w:hAnsi="Palatino Linotype"/>
          <w:b/>
          <w:i/>
          <w:sz w:val="22"/>
          <w:szCs w:val="22"/>
        </w:rPr>
        <w:t xml:space="preserve">competente, presentará a la Legislatura la cuenta pública del Gobierno del Estado </w:t>
      </w:r>
      <w:r w:rsidRPr="00E65510">
        <w:rPr>
          <w:rFonts w:ascii="Palatino Linotype" w:hAnsi="Palatino Linotype"/>
          <w:b/>
          <w:i/>
          <w:sz w:val="22"/>
          <w:szCs w:val="22"/>
          <w:u w:val="single"/>
        </w:rPr>
        <w:t>del ejercicio fiscal inmediato anterior</w:t>
      </w:r>
      <w:r w:rsidRPr="00E65510">
        <w:rPr>
          <w:rFonts w:ascii="Palatino Linotype" w:hAnsi="Palatino Linotype"/>
          <w:b/>
          <w:i/>
          <w:sz w:val="22"/>
          <w:szCs w:val="22"/>
        </w:rPr>
        <w:t xml:space="preserve">, </w:t>
      </w:r>
      <w:r w:rsidRPr="00E65510">
        <w:rPr>
          <w:rFonts w:ascii="Palatino Linotype" w:hAnsi="Palatino Linotype"/>
          <w:b/>
          <w:i/>
          <w:sz w:val="22"/>
          <w:szCs w:val="22"/>
          <w:u w:val="single"/>
        </w:rPr>
        <w:t>a más tardar el treinta de abril de cada año</w:t>
      </w:r>
      <w:r w:rsidRPr="00E65510">
        <w:rPr>
          <w:rFonts w:ascii="Palatino Linotype" w:hAnsi="Palatino Linotype"/>
          <w:i/>
          <w:sz w:val="22"/>
          <w:szCs w:val="22"/>
        </w:rPr>
        <w:t>.”</w:t>
      </w:r>
    </w:p>
    <w:p w14:paraId="3E383163" w14:textId="6CDEF3BF" w:rsidR="00BA76A3" w:rsidRPr="00E65510" w:rsidRDefault="00CC4F20" w:rsidP="00BA76A3">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Por cuenta pública, se entiende el </w:t>
      </w:r>
      <w:r w:rsidRPr="00E65510">
        <w:rPr>
          <w:rFonts w:ascii="Palatino Linotype" w:eastAsia="Palatino Linotype" w:hAnsi="Palatino Linotype" w:cs="Palatino Linotype"/>
          <w:b/>
        </w:rPr>
        <w:t xml:space="preserve">informe que rinda anualmente el Gobernador a la Legislatura, respecto de los resultados y la situación financiera </w:t>
      </w:r>
      <w:r w:rsidRPr="00E65510">
        <w:rPr>
          <w:rFonts w:ascii="Palatino Linotype" w:eastAsia="Palatino Linotype" w:hAnsi="Palatino Linotype" w:cs="Palatino Linotype"/>
          <w:b/>
          <w:u w:val="single"/>
        </w:rPr>
        <w:t>del ejercicio fiscal inmediato anterior</w:t>
      </w:r>
      <w:r w:rsidRPr="00E65510">
        <w:rPr>
          <w:rFonts w:ascii="Palatino Linotype" w:eastAsia="Palatino Linotype" w:hAnsi="Palatino Linotype" w:cs="Palatino Linotype"/>
          <w:b/>
        </w:rPr>
        <w:t xml:space="preserve">, </w:t>
      </w:r>
      <w:r w:rsidRPr="00E65510">
        <w:rPr>
          <w:rFonts w:ascii="Palatino Linotype" w:eastAsia="Palatino Linotype" w:hAnsi="Palatino Linotype" w:cs="Palatino Linotype"/>
        </w:rPr>
        <w:t xml:space="preserve">en términos del </w:t>
      </w:r>
      <w:r w:rsidR="00BA76A3" w:rsidRPr="00E65510">
        <w:rPr>
          <w:rFonts w:ascii="Palatino Linotype" w:eastAsia="Palatino Linotype" w:hAnsi="Palatino Linotype" w:cs="Palatino Linotype"/>
        </w:rPr>
        <w:t>artículo 341 del Código Financiero del Estado de México</w:t>
      </w:r>
      <w:r w:rsidR="00BA76A3" w:rsidRPr="00E65510">
        <w:rPr>
          <w:rFonts w:ascii="Palatino Linotype" w:eastAsia="Palatino Linotype" w:hAnsi="Palatino Linotype" w:cs="Palatino Linotype"/>
          <w:b/>
        </w:rPr>
        <w:t>,</w:t>
      </w:r>
      <w:r w:rsidR="00BA76A3" w:rsidRPr="00E65510">
        <w:rPr>
          <w:rFonts w:ascii="Palatino Linotype" w:eastAsia="Palatino Linotype" w:hAnsi="Palatino Linotype" w:cs="Palatino Linotype"/>
        </w:rPr>
        <w:t xml:space="preserve"> </w:t>
      </w:r>
      <w:r w:rsidRPr="00E65510">
        <w:rPr>
          <w:rFonts w:ascii="Palatino Linotype" w:eastAsia="Palatino Linotype" w:hAnsi="Palatino Linotype" w:cs="Palatino Linotype"/>
        </w:rPr>
        <w:t xml:space="preserve">asimismo, dicho informe </w:t>
      </w:r>
      <w:r w:rsidR="00BA76A3" w:rsidRPr="00E65510">
        <w:rPr>
          <w:rFonts w:ascii="Palatino Linotype" w:eastAsia="Palatino Linotype" w:hAnsi="Palatino Linotype" w:cs="Palatino Linotype"/>
        </w:rPr>
        <w:t>se considera como información pública de oficio que debe difundirse en la página electrónica oficial del Gobierno del Estado una vez que se haya entregado a la Legislatura, como se lee enseguida:</w:t>
      </w:r>
    </w:p>
    <w:p w14:paraId="646FDD51" w14:textId="6E68C60E" w:rsidR="00BA76A3" w:rsidRPr="00E65510" w:rsidRDefault="00BA76A3" w:rsidP="00BA76A3">
      <w:pP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t>“</w:t>
      </w:r>
      <w:r w:rsidRPr="00E65510">
        <w:rPr>
          <w:rFonts w:ascii="Palatino Linotype" w:hAnsi="Palatino Linotype"/>
          <w:b/>
          <w:i/>
          <w:sz w:val="22"/>
          <w:szCs w:val="22"/>
        </w:rPr>
        <w:t>Artículo 341.-</w:t>
      </w:r>
      <w:r w:rsidRPr="00E65510">
        <w:rPr>
          <w:rFonts w:ascii="Palatino Linotype" w:hAnsi="Palatino Linotype"/>
          <w:i/>
          <w:sz w:val="22"/>
          <w:szCs w:val="22"/>
        </w:rPr>
        <w:t xml:space="preserve"> Se entenderá por </w:t>
      </w:r>
      <w:r w:rsidRPr="00E65510">
        <w:rPr>
          <w:rFonts w:ascii="Palatino Linotype" w:hAnsi="Palatino Linotype"/>
          <w:b/>
          <w:i/>
          <w:sz w:val="22"/>
          <w:szCs w:val="22"/>
        </w:rPr>
        <w:t xml:space="preserve">cuenta pública el informe que rinda anualmente el Gobernador a la Legislatura, respecto de los resultados y la situación financiera </w:t>
      </w:r>
      <w:r w:rsidRPr="00E65510">
        <w:rPr>
          <w:rFonts w:ascii="Palatino Linotype" w:hAnsi="Palatino Linotype"/>
          <w:b/>
          <w:i/>
          <w:sz w:val="22"/>
          <w:szCs w:val="22"/>
          <w:u w:val="single"/>
        </w:rPr>
        <w:t>del ejercicio fiscal inmediato anterior</w:t>
      </w:r>
      <w:r w:rsidRPr="00E65510">
        <w:rPr>
          <w:rFonts w:ascii="Palatino Linotype" w:hAnsi="Palatino Linotype"/>
          <w:i/>
          <w:sz w:val="22"/>
          <w:szCs w:val="22"/>
        </w:rPr>
        <w:t xml:space="preserve">, y tratándose </w:t>
      </w:r>
      <w:r w:rsidRPr="00E65510">
        <w:rPr>
          <w:rFonts w:ascii="Palatino Linotype" w:hAnsi="Palatino Linotype"/>
          <w:i/>
          <w:sz w:val="22"/>
          <w:szCs w:val="22"/>
        </w:rPr>
        <w:lastRenderedPageBreak/>
        <w:t xml:space="preserve">de los Municipios el informe que rinda el presidente municipal. Dichos documentos </w:t>
      </w:r>
      <w:r w:rsidRPr="00E65510">
        <w:rPr>
          <w:rFonts w:ascii="Palatino Linotype" w:hAnsi="Palatino Linotype"/>
          <w:b/>
          <w:i/>
          <w:sz w:val="22"/>
          <w:szCs w:val="22"/>
        </w:rPr>
        <w:t>contarán de la máxima publicidad y será información pública de oficio que deberá difundirse en la página electrónica oficial del Gobierno</w:t>
      </w:r>
      <w:r w:rsidRPr="00E65510">
        <w:rPr>
          <w:rFonts w:ascii="Palatino Linotype" w:hAnsi="Palatino Linotype"/>
          <w:i/>
          <w:sz w:val="22"/>
          <w:szCs w:val="22"/>
        </w:rPr>
        <w:t xml:space="preserve"> del Estado y de los Municipios, respectivamente, </w:t>
      </w:r>
      <w:r w:rsidRPr="00E65510">
        <w:rPr>
          <w:rFonts w:ascii="Palatino Linotype" w:hAnsi="Palatino Linotype"/>
          <w:b/>
          <w:i/>
          <w:sz w:val="22"/>
          <w:szCs w:val="22"/>
        </w:rPr>
        <w:t>una vez que se haya entregado a la Legislatura.</w:t>
      </w:r>
      <w:r w:rsidRPr="00E65510">
        <w:rPr>
          <w:rFonts w:ascii="Palatino Linotype" w:hAnsi="Palatino Linotype"/>
          <w:i/>
          <w:sz w:val="22"/>
          <w:szCs w:val="22"/>
        </w:rPr>
        <w:t>”</w:t>
      </w:r>
    </w:p>
    <w:p w14:paraId="4039C64C" w14:textId="2FB833D0" w:rsidR="00CC4F20" w:rsidRPr="00E65510" w:rsidRDefault="00CC4F20" w:rsidP="00BA76A3">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rPr>
        <w:t>No obsta mencionar que este Organismo Garante procedió a la consulta de la información publicada por el Sujeto Obligado en cumplimiento a dicha obligación, como se ilustra a continuación:</w:t>
      </w:r>
    </w:p>
    <w:p w14:paraId="48A87F24" w14:textId="766550FC" w:rsidR="00CC4F20" w:rsidRPr="00E65510" w:rsidRDefault="00CC4F20" w:rsidP="00CC4F20">
      <w:pPr>
        <w:spacing w:before="240" w:after="240" w:line="360" w:lineRule="auto"/>
        <w:ind w:right="49"/>
        <w:jc w:val="center"/>
        <w:rPr>
          <w:rFonts w:ascii="Palatino Linotype" w:eastAsia="Palatino Linotype" w:hAnsi="Palatino Linotype" w:cs="Palatino Linotype"/>
        </w:rPr>
      </w:pPr>
      <w:r w:rsidRPr="00E65510">
        <w:rPr>
          <w:rFonts w:ascii="Palatino Linotype" w:eastAsia="Palatino Linotype" w:hAnsi="Palatino Linotype" w:cs="Palatino Linotype"/>
          <w:noProof/>
        </w:rPr>
        <w:drawing>
          <wp:inline distT="0" distB="0" distL="0" distR="0" wp14:anchorId="27E0DB9E" wp14:editId="341183EF">
            <wp:extent cx="5612130" cy="3362960"/>
            <wp:effectExtent l="0" t="0" r="7620" b="889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612130" cy="3362960"/>
                    </a:xfrm>
                    <a:prstGeom prst="rect">
                      <a:avLst/>
                    </a:prstGeom>
                  </pic:spPr>
                </pic:pic>
              </a:graphicData>
            </a:graphic>
          </wp:inline>
        </w:drawing>
      </w:r>
    </w:p>
    <w:p w14:paraId="56AEF06E" w14:textId="4E85031A" w:rsidR="00CC4F20" w:rsidRPr="00E65510" w:rsidRDefault="00CC4F20" w:rsidP="00CC4F20">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Como se advierte, en la página de internet oficial del </w:t>
      </w:r>
      <w:r w:rsidRPr="00E65510">
        <w:rPr>
          <w:rFonts w:ascii="Palatino Linotype" w:eastAsia="Palatino Linotype" w:hAnsi="Palatino Linotype" w:cs="Palatino Linotype"/>
          <w:b/>
        </w:rPr>
        <w:t>Sujeto Obligado</w:t>
      </w:r>
      <w:r w:rsidRPr="00E65510">
        <w:rPr>
          <w:rFonts w:ascii="Palatino Linotype" w:eastAsia="Palatino Linotype" w:hAnsi="Palatino Linotype" w:cs="Palatino Linotype"/>
        </w:rPr>
        <w:t xml:space="preserve"> se encuentra actualizada, al localizarse publicada la información correspondiente a la cuenta pública del ejercicio fiscal 2023, siendo dicho informe el que se debió presentar a la legislatura más tardar el treinta de abril del ejercicio 2024, como lo establece la normativa en la materia.</w:t>
      </w:r>
    </w:p>
    <w:p w14:paraId="0BF34266" w14:textId="669FFBDF" w:rsidR="003A1B20" w:rsidRPr="00E65510" w:rsidRDefault="008A772A" w:rsidP="00BA76A3">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rPr>
        <w:lastRenderedPageBreak/>
        <w:t xml:space="preserve">En este orden de ideas, </w:t>
      </w:r>
      <w:r w:rsidR="00CC4F20" w:rsidRPr="00E65510">
        <w:rPr>
          <w:rFonts w:ascii="Palatino Linotype" w:eastAsia="Palatino Linotype" w:hAnsi="Palatino Linotype" w:cs="Palatino Linotype"/>
        </w:rPr>
        <w:t xml:space="preserve">si bien la persona solicitante requiere la entrega de información </w:t>
      </w:r>
      <w:r w:rsidR="003A1B20" w:rsidRPr="00E65510">
        <w:rPr>
          <w:rFonts w:ascii="Palatino Linotype" w:eastAsia="Palatino Linotype" w:hAnsi="Palatino Linotype" w:cs="Palatino Linotype"/>
        </w:rPr>
        <w:t xml:space="preserve">correspondiente al uno de enero al treinta y uno de mayo de dos mil veinticuatro, es de suma importancia puntualizar que si bien, pudieron generarse informes, reportes u otro documento con la finalidad de elaborar el capítulo de Entorno Económico de la Cuenta Pública del Gobierno, Organismos Auxiliares y Autónomos del Estado de México, </w:t>
      </w:r>
      <w:r w:rsidR="004D7730" w:rsidRPr="00E65510">
        <w:rPr>
          <w:rFonts w:ascii="Palatino Linotype" w:eastAsia="Palatino Linotype" w:hAnsi="Palatino Linotype" w:cs="Palatino Linotype"/>
        </w:rPr>
        <w:t xml:space="preserve">del uno enero al treinta de abril de dos mil veinticuatro, al ser esta la fecha límite para su presentación ante la legislatura, </w:t>
      </w:r>
      <w:r w:rsidR="008D3E98" w:rsidRPr="00E65510">
        <w:rPr>
          <w:rFonts w:ascii="Palatino Linotype" w:eastAsia="Palatino Linotype" w:hAnsi="Palatino Linotype" w:cs="Palatino Linotype"/>
        </w:rPr>
        <w:t xml:space="preserve">también lo es que para la elaboración del </w:t>
      </w:r>
      <w:r w:rsidR="00207F01" w:rsidRPr="00E65510">
        <w:rPr>
          <w:rFonts w:ascii="Palatino Linotype" w:eastAsia="Palatino Linotype" w:hAnsi="Palatino Linotype" w:cs="Palatino Linotype"/>
        </w:rPr>
        <w:t xml:space="preserve">capítulo de Entorno Económico de la Cuenta Pública del Gobierno, Organismos Auxiliares y Autónomos del Estado de México, </w:t>
      </w:r>
      <w:r w:rsidR="008D3E98" w:rsidRPr="00E65510">
        <w:rPr>
          <w:rFonts w:ascii="Palatino Linotype" w:eastAsia="Palatino Linotype" w:hAnsi="Palatino Linotype" w:cs="Palatino Linotype"/>
        </w:rPr>
        <w:t xml:space="preserve">pudieron emplearse documentos generados del uno de enero al treinta y uno de abril de dos mil veintitrés, </w:t>
      </w:r>
      <w:r w:rsidR="00207F01" w:rsidRPr="00E65510">
        <w:rPr>
          <w:rFonts w:ascii="Palatino Linotype" w:eastAsia="Palatino Linotype" w:hAnsi="Palatino Linotype" w:cs="Palatino Linotype"/>
        </w:rPr>
        <w:t xml:space="preserve">pues </w:t>
      </w:r>
      <w:r w:rsidR="00514EC6" w:rsidRPr="00E65510">
        <w:rPr>
          <w:rFonts w:ascii="Palatino Linotype" w:eastAsia="Palatino Linotype" w:hAnsi="Palatino Linotype" w:cs="Palatino Linotype"/>
        </w:rPr>
        <w:t>no debe perderse de vista que dicha información sustenta los resultados y la situación financiera del ejercicio fiscal 2023</w:t>
      </w:r>
      <w:r w:rsidR="00337D99" w:rsidRPr="00E65510">
        <w:rPr>
          <w:rFonts w:ascii="Palatino Linotype" w:eastAsia="Palatino Linotype" w:hAnsi="Palatino Linotype" w:cs="Palatino Linotype"/>
        </w:rPr>
        <w:t xml:space="preserve">, por lo tanto, </w:t>
      </w:r>
      <w:r w:rsidR="000E1292" w:rsidRPr="00E65510">
        <w:rPr>
          <w:rFonts w:ascii="Palatino Linotype" w:eastAsia="Palatino Linotype" w:hAnsi="Palatino Linotype" w:cs="Palatino Linotype"/>
        </w:rPr>
        <w:t xml:space="preserve">dado que el ejercicio del derecho de acceso no implica que las personas solicitantes </w:t>
      </w:r>
      <w:r w:rsidR="006F6409" w:rsidRPr="00E65510">
        <w:rPr>
          <w:rFonts w:ascii="Palatino Linotype" w:eastAsia="Palatino Linotype" w:hAnsi="Palatino Linotype" w:cs="Palatino Linotype"/>
        </w:rPr>
        <w:t xml:space="preserve">sean expertas en la materia, se estima que </w:t>
      </w:r>
      <w:r w:rsidR="00337D99" w:rsidRPr="00E65510">
        <w:rPr>
          <w:rFonts w:ascii="Palatino Linotype" w:eastAsia="Palatino Linotype" w:hAnsi="Palatino Linotype" w:cs="Palatino Linotype"/>
        </w:rPr>
        <w:t xml:space="preserve">lo conducente es ordenar la totalidad del soporte documental que sirvió de base o fuente para la elaboración del </w:t>
      </w:r>
      <w:r w:rsidR="006F6409" w:rsidRPr="00E65510">
        <w:rPr>
          <w:rFonts w:ascii="Palatino Linotype" w:eastAsia="Palatino Linotype" w:hAnsi="Palatino Linotype" w:cs="Palatino Linotype"/>
        </w:rPr>
        <w:t xml:space="preserve">capítulo </w:t>
      </w:r>
      <w:r w:rsidR="00337D99" w:rsidRPr="00E65510">
        <w:rPr>
          <w:rFonts w:ascii="Palatino Linotype" w:eastAsia="Palatino Linotype" w:hAnsi="Palatino Linotype" w:cs="Palatino Linotype"/>
        </w:rPr>
        <w:t>referido.</w:t>
      </w:r>
    </w:p>
    <w:p w14:paraId="4FE026FB" w14:textId="3D8A2330" w:rsidR="009A4B8B" w:rsidRPr="00E65510" w:rsidRDefault="00D153FE">
      <w:pPr>
        <w:pBdr>
          <w:top w:val="nil"/>
          <w:left w:val="nil"/>
          <w:bottom w:val="nil"/>
          <w:right w:val="nil"/>
          <w:between w:val="nil"/>
        </w:pBd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De lo hasta aquí expuesto, se concluye que los motivos de inconformidad de la parte </w:t>
      </w:r>
      <w:r w:rsidRPr="00E65510">
        <w:rPr>
          <w:rFonts w:ascii="Palatino Linotype" w:eastAsia="Palatino Linotype" w:hAnsi="Palatino Linotype" w:cs="Palatino Linotype"/>
          <w:b/>
        </w:rPr>
        <w:t xml:space="preserve">Recurrente </w:t>
      </w:r>
      <w:r w:rsidRPr="00E65510">
        <w:rPr>
          <w:rFonts w:ascii="Palatino Linotype" w:eastAsia="Palatino Linotype" w:hAnsi="Palatino Linotype" w:cs="Palatino Linotype"/>
        </w:rPr>
        <w:t xml:space="preserve">devienen fundados, siendo procedente </w:t>
      </w:r>
      <w:r w:rsidR="009560CA" w:rsidRPr="00E65510">
        <w:rPr>
          <w:rFonts w:ascii="Palatino Linotype" w:eastAsia="Palatino Linotype" w:hAnsi="Palatino Linotype" w:cs="Palatino Linotype"/>
          <w:i/>
        </w:rPr>
        <w:t>Revocar</w:t>
      </w:r>
      <w:r w:rsidRPr="00E65510">
        <w:rPr>
          <w:rFonts w:ascii="Palatino Linotype" w:eastAsia="Palatino Linotype" w:hAnsi="Palatino Linotype" w:cs="Palatino Linotype"/>
          <w:i/>
        </w:rPr>
        <w:t xml:space="preserve"> </w:t>
      </w:r>
      <w:r w:rsidRPr="00E65510">
        <w:rPr>
          <w:rFonts w:ascii="Palatino Linotype" w:eastAsia="Palatino Linotype" w:hAnsi="Palatino Linotype" w:cs="Palatino Linotype"/>
        </w:rPr>
        <w:t xml:space="preserve">la respuesta proporcionada por el </w:t>
      </w:r>
      <w:r w:rsidRPr="00E65510">
        <w:rPr>
          <w:rFonts w:ascii="Palatino Linotype" w:eastAsia="Palatino Linotype" w:hAnsi="Palatino Linotype" w:cs="Palatino Linotype"/>
          <w:b/>
        </w:rPr>
        <w:t xml:space="preserve">Sujeto Obligado </w:t>
      </w:r>
      <w:r w:rsidRPr="00E65510">
        <w:rPr>
          <w:rFonts w:ascii="Palatino Linotype" w:eastAsia="Palatino Linotype" w:hAnsi="Palatino Linotype" w:cs="Palatino Linotype"/>
        </w:rPr>
        <w:t>en términos del artículo 186 fracción III de la Ley de Transparencia y Acceso a la Información Pública del Estado de México y Municipios.</w:t>
      </w:r>
    </w:p>
    <w:p w14:paraId="6EEAD5A4" w14:textId="77777777" w:rsidR="009F0D04" w:rsidRPr="00E65510" w:rsidRDefault="009F0D04" w:rsidP="009F0D04">
      <w:pP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b/>
        </w:rPr>
        <w:t>Quinto. Versión Pública.</w:t>
      </w:r>
      <w:r w:rsidRPr="00E65510">
        <w:rPr>
          <w:rFonts w:ascii="Palatino Linotype" w:eastAsia="Palatino Linotype" w:hAnsi="Palatino Linotype" w:cs="Palatino Linotype"/>
          <w:sz w:val="28"/>
          <w:szCs w:val="28"/>
        </w:rPr>
        <w:t xml:space="preserve"> </w:t>
      </w:r>
      <w:r w:rsidRPr="00E65510">
        <w:rPr>
          <w:rFonts w:ascii="Palatino Linotype" w:eastAsia="Palatino Linotype" w:hAnsi="Palatino Linotype" w:cs="Palatino Linotype"/>
        </w:rPr>
        <w:t xml:space="preserve">Finalmente, debe señalarse que de ser el caso en que los documentos que vayan a ser entregados para dar cumplimiento a la presente resolución, contengan datos que deban ser clasificados, el </w:t>
      </w:r>
      <w:r w:rsidRPr="00E65510">
        <w:rPr>
          <w:rFonts w:ascii="Palatino Linotype" w:eastAsia="Palatino Linotype" w:hAnsi="Palatino Linotype" w:cs="Palatino Linotype"/>
          <w:b/>
        </w:rPr>
        <w:t>Sujeto Obligado</w:t>
      </w:r>
      <w:r w:rsidRPr="00E65510">
        <w:rPr>
          <w:rFonts w:ascii="Palatino Linotype" w:eastAsia="Palatino Linotype" w:hAnsi="Palatino Linotype" w:cs="Palatino Linotype"/>
        </w:rPr>
        <w:t xml:space="preserve"> deberá </w:t>
      </w:r>
      <w:r w:rsidRPr="00E65510">
        <w:rPr>
          <w:rFonts w:ascii="Palatino Linotype" w:eastAsia="Palatino Linotype" w:hAnsi="Palatino Linotype" w:cs="Palatino Linotype"/>
        </w:rPr>
        <w:lastRenderedPageBreak/>
        <w:t xml:space="preserve">hacer la elaboración de la versión pública de tales documentos a fin de satisfacer el derecho de acceso a la información pública de la parte </w:t>
      </w:r>
      <w:r w:rsidRPr="00E65510">
        <w:rPr>
          <w:rFonts w:ascii="Palatino Linotype" w:eastAsia="Palatino Linotype" w:hAnsi="Palatino Linotype" w:cs="Palatino Linotype"/>
          <w:b/>
        </w:rPr>
        <w:t>Recurrente,</w:t>
      </w:r>
      <w:r w:rsidRPr="00E65510">
        <w:rPr>
          <w:rFonts w:ascii="Palatino Linotype" w:eastAsia="Palatino Linotype" w:hAnsi="Palatino Linotype" w:cs="Palatino Linotype"/>
        </w:rPr>
        <w:t xml:space="preserve"> sin menoscabo al derecho a la protección de los datos personales de terceros, que les identifiquen o les hagan identificables.</w:t>
      </w:r>
    </w:p>
    <w:p w14:paraId="4212F382" w14:textId="77777777" w:rsidR="009F0D04" w:rsidRPr="00E65510" w:rsidRDefault="009F0D04" w:rsidP="009F0D04">
      <w:pP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t>Lo anterior de conformidad con lo que señalan los artículos 3 fracciones IX, XX, XXI y XLV, 91, 132, 137 y 143, fracción I de la Ley de Transparencia y Acceso a la Información Pública del Estado de México y Municipios que establecen:</w:t>
      </w:r>
    </w:p>
    <w:p w14:paraId="6C1490AD" w14:textId="77777777" w:rsidR="009F0D04" w:rsidRPr="00E65510" w:rsidRDefault="009F0D04" w:rsidP="009F0D04">
      <w:pP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t>“</w:t>
      </w:r>
      <w:r w:rsidRPr="00E65510">
        <w:rPr>
          <w:rFonts w:ascii="Palatino Linotype" w:eastAsia="Palatino Linotype" w:hAnsi="Palatino Linotype" w:cs="Palatino Linotype"/>
          <w:b/>
          <w:i/>
          <w:sz w:val="22"/>
          <w:szCs w:val="22"/>
        </w:rPr>
        <w:t>Artículo 3</w:t>
      </w:r>
      <w:r w:rsidRPr="00E65510">
        <w:rPr>
          <w:rFonts w:ascii="Palatino Linotype" w:eastAsia="Palatino Linotype" w:hAnsi="Palatino Linotype" w:cs="Palatino Linotype"/>
          <w:i/>
          <w:sz w:val="22"/>
          <w:szCs w:val="22"/>
        </w:rPr>
        <w:t>. Para los efectos de la presente Ley se entenderá por:</w:t>
      </w:r>
    </w:p>
    <w:p w14:paraId="6BFF1D81" w14:textId="77777777" w:rsidR="009F0D04" w:rsidRPr="00E65510" w:rsidRDefault="009F0D04" w:rsidP="009F0D04">
      <w:pP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t>…</w:t>
      </w:r>
    </w:p>
    <w:p w14:paraId="351BC3FE" w14:textId="77777777" w:rsidR="009F0D04" w:rsidRPr="00E65510" w:rsidRDefault="009F0D04" w:rsidP="009F0D04">
      <w:pP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IX. Datos personales</w:t>
      </w:r>
      <w:r w:rsidRPr="00E65510">
        <w:rPr>
          <w:rFonts w:ascii="Palatino Linotype" w:eastAsia="Palatino Linotype" w:hAnsi="Palatino Linotype" w:cs="Palatino Linotype"/>
          <w:i/>
          <w:sz w:val="22"/>
          <w:szCs w:val="22"/>
        </w:rPr>
        <w:t xml:space="preserve">: La información concerniente a una persona, identificada o identificable según lo dispuesto por la Ley de Protección de Datos Personales del Estado de México; </w:t>
      </w:r>
    </w:p>
    <w:p w14:paraId="053AB0EF" w14:textId="77777777" w:rsidR="009F0D04" w:rsidRPr="00E65510" w:rsidRDefault="009F0D04" w:rsidP="009F0D04">
      <w:pP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XX. Información clasificada</w:t>
      </w:r>
      <w:r w:rsidRPr="00E65510">
        <w:rPr>
          <w:rFonts w:ascii="Palatino Linotype" w:eastAsia="Palatino Linotype" w:hAnsi="Palatino Linotype" w:cs="Palatino Linotype"/>
          <w:i/>
          <w:sz w:val="22"/>
          <w:szCs w:val="22"/>
        </w:rPr>
        <w:t>: Aquella considerada por la presente Ley como reservada o confidencial;</w:t>
      </w:r>
    </w:p>
    <w:p w14:paraId="37A26324" w14:textId="77777777" w:rsidR="009F0D04" w:rsidRPr="00E65510" w:rsidRDefault="009F0D04" w:rsidP="009F0D04">
      <w:pP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 xml:space="preserve">XXI. Información confidencial: </w:t>
      </w:r>
      <w:r w:rsidRPr="00E65510">
        <w:rPr>
          <w:rFonts w:ascii="Palatino Linotype" w:eastAsia="Palatino Linotype" w:hAnsi="Palatino Linotype" w:cs="Palatino Linotype"/>
          <w:i/>
          <w:sz w:val="22"/>
          <w:szCs w:val="22"/>
        </w:rPr>
        <w:t>Se considera como información confidencial los secretos bancario, fiduciario, industrial, comercial, fiscal, bursátil y postal, cuya titularidad corresponda a particulares, sujetos de derecho internacional o a sujetos obligados cuando no involucren el ejercicio de recursos públicos;</w:t>
      </w:r>
    </w:p>
    <w:p w14:paraId="6BC23D42" w14:textId="77777777" w:rsidR="009F0D04" w:rsidRPr="00E65510" w:rsidRDefault="009F0D04" w:rsidP="009F0D04">
      <w:pP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XLV. Versión pública:</w:t>
      </w:r>
      <w:r w:rsidRPr="00E65510">
        <w:rPr>
          <w:rFonts w:ascii="Palatino Linotype" w:eastAsia="Palatino Linotype" w:hAnsi="Palatino Linotype" w:cs="Palatino Linotype"/>
          <w:i/>
          <w:sz w:val="22"/>
          <w:szCs w:val="22"/>
        </w:rPr>
        <w:t xml:space="preserve"> Documento en el que se elimine, suprime o borra la información clasificada como reservada o confidencial para permitir su acceso.</w:t>
      </w:r>
    </w:p>
    <w:p w14:paraId="15B4FD5F" w14:textId="77777777" w:rsidR="009F0D04" w:rsidRPr="00E65510" w:rsidRDefault="009F0D04" w:rsidP="009F0D04">
      <w:pP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t>…</w:t>
      </w:r>
    </w:p>
    <w:p w14:paraId="5B68EAAB" w14:textId="77777777" w:rsidR="009F0D04" w:rsidRPr="00E65510" w:rsidRDefault="009F0D04" w:rsidP="009F0D04">
      <w:pP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Artículo 91.</w:t>
      </w:r>
      <w:r w:rsidRPr="00E65510">
        <w:rPr>
          <w:rFonts w:ascii="Palatino Linotype" w:eastAsia="Palatino Linotype" w:hAnsi="Palatino Linotype" w:cs="Palatino Linotype"/>
          <w:i/>
          <w:sz w:val="22"/>
          <w:szCs w:val="22"/>
        </w:rPr>
        <w:t xml:space="preserve"> El acceso a la información pública será restringido excepcionalmente, cuando ésta sea clasificada como reservada o confidencial.</w:t>
      </w:r>
    </w:p>
    <w:p w14:paraId="62FF950F" w14:textId="77777777" w:rsidR="009F0D04" w:rsidRPr="00E65510" w:rsidRDefault="009F0D04" w:rsidP="009F0D04">
      <w:pP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Artículo 132.</w:t>
      </w:r>
      <w:r w:rsidRPr="00E65510">
        <w:rPr>
          <w:rFonts w:ascii="Palatino Linotype" w:eastAsia="Palatino Linotype" w:hAnsi="Palatino Linotype" w:cs="Palatino Linotype"/>
          <w:i/>
          <w:sz w:val="22"/>
          <w:szCs w:val="22"/>
        </w:rPr>
        <w:t xml:space="preserve"> La clasificación de la información se llevará a cabo en el momento en que:</w:t>
      </w:r>
    </w:p>
    <w:p w14:paraId="020652B8" w14:textId="77777777" w:rsidR="009F0D04" w:rsidRPr="00E65510" w:rsidRDefault="009F0D04" w:rsidP="009F0D04">
      <w:pP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I</w:t>
      </w:r>
      <w:r w:rsidRPr="00E65510">
        <w:rPr>
          <w:rFonts w:ascii="Palatino Linotype" w:eastAsia="Palatino Linotype" w:hAnsi="Palatino Linotype" w:cs="Palatino Linotype"/>
          <w:i/>
          <w:sz w:val="22"/>
          <w:szCs w:val="22"/>
        </w:rPr>
        <w:t>. Se reciba una solicitud de acceso a la información;</w:t>
      </w:r>
    </w:p>
    <w:p w14:paraId="47A01065" w14:textId="77777777" w:rsidR="009F0D04" w:rsidRPr="00E65510" w:rsidRDefault="009F0D04" w:rsidP="009F0D04">
      <w:pP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II.</w:t>
      </w:r>
      <w:r w:rsidRPr="00E65510">
        <w:rPr>
          <w:rFonts w:ascii="Palatino Linotype" w:eastAsia="Palatino Linotype" w:hAnsi="Palatino Linotype" w:cs="Palatino Linotype"/>
          <w:i/>
          <w:sz w:val="22"/>
          <w:szCs w:val="22"/>
        </w:rPr>
        <w:t xml:space="preserve"> Se determine mediante resolución de autoridad competente; o</w:t>
      </w:r>
    </w:p>
    <w:p w14:paraId="62A1CB55" w14:textId="77777777" w:rsidR="009F0D04" w:rsidRPr="00E65510" w:rsidRDefault="009F0D04" w:rsidP="009F0D04">
      <w:pP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lastRenderedPageBreak/>
        <w:t>III.</w:t>
      </w:r>
      <w:r w:rsidRPr="00E65510">
        <w:rPr>
          <w:rFonts w:ascii="Palatino Linotype" w:eastAsia="Palatino Linotype" w:hAnsi="Palatino Linotype" w:cs="Palatino Linotype"/>
          <w:i/>
          <w:sz w:val="22"/>
          <w:szCs w:val="22"/>
        </w:rPr>
        <w:t xml:space="preserve"> Se generen versiones públicas para dar cumplimiento a las obligaciones de transparencia previstas en esta Ley.</w:t>
      </w:r>
    </w:p>
    <w:p w14:paraId="74026826" w14:textId="77777777" w:rsidR="009F0D04" w:rsidRPr="00E65510" w:rsidRDefault="009F0D04" w:rsidP="009F0D04">
      <w:pP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t>…</w:t>
      </w:r>
    </w:p>
    <w:p w14:paraId="1B6265B4" w14:textId="77777777" w:rsidR="009F0D04" w:rsidRPr="00E65510" w:rsidRDefault="009F0D04" w:rsidP="009F0D04">
      <w:pP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Artículo 137.</w:t>
      </w:r>
      <w:r w:rsidRPr="00E65510">
        <w:rPr>
          <w:rFonts w:ascii="Palatino Linotype" w:eastAsia="Palatino Linotype" w:hAnsi="Palatino Linotype" w:cs="Palatino Linotype"/>
          <w:i/>
          <w:sz w:val="22"/>
          <w:szCs w:val="22"/>
        </w:rPr>
        <w:t xml:space="preserve"> Cuando un mismo medio, impreso o electrónico, contenga información pública y reservada o confidencial, la Unidad de Transparencia para efectos de atender una solicitud de información, deberán elaborar una versión pública en la que se testen las partes o secciones clasificadas, indicando su contenido de manera genérica y fundando y motivando su clasificación.</w:t>
      </w:r>
    </w:p>
    <w:p w14:paraId="28E47373" w14:textId="77777777" w:rsidR="009F0D04" w:rsidRPr="00E65510" w:rsidRDefault="009F0D04" w:rsidP="009F0D04">
      <w:pPr>
        <w:spacing w:before="120" w:after="120"/>
        <w:ind w:left="851" w:right="902"/>
        <w:jc w:val="both"/>
        <w:rPr>
          <w:rFonts w:ascii="Palatino Linotype" w:eastAsia="Palatino Linotype" w:hAnsi="Palatino Linotype" w:cs="Palatino Linotype"/>
          <w:b/>
          <w:i/>
          <w:sz w:val="22"/>
          <w:szCs w:val="22"/>
        </w:rPr>
      </w:pPr>
      <w:r w:rsidRPr="00E65510">
        <w:rPr>
          <w:rFonts w:ascii="Palatino Linotype" w:eastAsia="Palatino Linotype" w:hAnsi="Palatino Linotype" w:cs="Palatino Linotype"/>
          <w:b/>
          <w:i/>
          <w:sz w:val="22"/>
          <w:szCs w:val="22"/>
        </w:rPr>
        <w:t>…</w:t>
      </w:r>
    </w:p>
    <w:p w14:paraId="5F2DBA13" w14:textId="77777777" w:rsidR="009F0D04" w:rsidRPr="00E65510" w:rsidRDefault="009F0D04" w:rsidP="009F0D04">
      <w:pP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Artículo 143</w:t>
      </w:r>
      <w:r w:rsidRPr="00E65510">
        <w:rPr>
          <w:rFonts w:ascii="Palatino Linotype" w:eastAsia="Palatino Linotype" w:hAnsi="Palatino Linotype" w:cs="Palatino Linotype"/>
          <w:i/>
          <w:sz w:val="22"/>
          <w:szCs w:val="22"/>
        </w:rPr>
        <w:t>. Para los efectos de esta Ley se considera información confidencial, la clasificada como tal, de manera permanente, por su naturaleza, cuando:</w:t>
      </w:r>
    </w:p>
    <w:p w14:paraId="784846B0" w14:textId="77777777" w:rsidR="009F0D04" w:rsidRPr="00E65510" w:rsidRDefault="009F0D04" w:rsidP="009F0D04">
      <w:pP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I.</w:t>
      </w:r>
      <w:r w:rsidRPr="00E65510">
        <w:rPr>
          <w:rFonts w:ascii="Palatino Linotype" w:eastAsia="Palatino Linotype" w:hAnsi="Palatino Linotype" w:cs="Palatino Linotype"/>
          <w:i/>
          <w:sz w:val="22"/>
          <w:szCs w:val="22"/>
        </w:rPr>
        <w:t xml:space="preserve"> Se refiera a la información privada y los datos personales concernientes a una persona física o jurídico colectiva identificada o identificable;”</w:t>
      </w:r>
    </w:p>
    <w:p w14:paraId="07CCBB56" w14:textId="77777777" w:rsidR="009F0D04" w:rsidRPr="00E65510" w:rsidRDefault="009F0D04" w:rsidP="009F0D04">
      <w:pP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t>Igualmente, lo establecido en los Lineamientos Generales en Materia de Clasificación y Desclasificación de la Información, así como para la elaboración de Versiones Públicas, emitidos por el Consejo Nacional del Sistema Nacional de Transparencia, Acceso a la Información Pública y Protección de Datos Personales, que tienen por objeto establecer los criterios con base en los cuales los sujetos obligados clasificarán como reservada o confidencial la información que posean, desclasificarán y generarán, en su caso, versiones públicas de expedientes o documentos que contengan partes o secciones clasificadas.</w:t>
      </w:r>
    </w:p>
    <w:p w14:paraId="1D9D2E37" w14:textId="77777777" w:rsidR="009F0D04" w:rsidRPr="00E65510" w:rsidRDefault="009F0D04" w:rsidP="009F0D04">
      <w:pP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Cabe señalar que la entrega de documentos en su versión pública debe acompañarse necesariamente del Acuerdo del Comité de Transparencia que la sustente el cual debe estar debidamente fundado y motivado, en el que se expongan los fundamentos y razonamientos que llevaron al </w:t>
      </w:r>
      <w:r w:rsidRPr="00E65510">
        <w:rPr>
          <w:rFonts w:ascii="Palatino Linotype" w:eastAsia="Palatino Linotype" w:hAnsi="Palatino Linotype" w:cs="Palatino Linotype"/>
          <w:b/>
        </w:rPr>
        <w:t>Sujeto Obligado</w:t>
      </w:r>
      <w:r w:rsidRPr="00E65510">
        <w:rPr>
          <w:rFonts w:ascii="Palatino Linotype" w:eastAsia="Palatino Linotype" w:hAnsi="Palatino Linotype" w:cs="Palatino Linotype"/>
        </w:rPr>
        <w:t xml:space="preserve"> a testar, suprimir o eliminar datos de dicho soporte documental, ya que no hacerlo, lo entregado no tendría un sustento jurídico ni resultaría ser una versión pública, sino más bien una </w:t>
      </w:r>
      <w:r w:rsidRPr="00E65510">
        <w:rPr>
          <w:rFonts w:ascii="Palatino Linotype" w:eastAsia="Palatino Linotype" w:hAnsi="Palatino Linotype" w:cs="Palatino Linotype"/>
        </w:rPr>
        <w:lastRenderedPageBreak/>
        <w:t>documentación ilegible, incompleta o tachada; ya que el no justificar las causas o motivos por las que no se aprecian determinados datos -ya sea porque se testan o suprimen- deja al solicitante en estado de incertidumbre, al no conocer o comprender porque no aparecen en la documentación respectiva.</w:t>
      </w:r>
    </w:p>
    <w:p w14:paraId="3202A7AF" w14:textId="77777777" w:rsidR="009F0D04" w:rsidRPr="00E65510" w:rsidRDefault="009F0D04" w:rsidP="009F0D04">
      <w:pPr>
        <w:pBdr>
          <w:top w:val="nil"/>
          <w:left w:val="nil"/>
          <w:bottom w:val="nil"/>
          <w:right w:val="nil"/>
          <w:between w:val="nil"/>
        </w:pBdr>
        <w:spacing w:before="240" w:after="240" w:line="360" w:lineRule="auto"/>
        <w:ind w:right="51"/>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Respecto a las formalidades que deberá llevar el acuerdo de clasificación que deberá emitir el </w:t>
      </w:r>
      <w:r w:rsidRPr="00E65510">
        <w:rPr>
          <w:rFonts w:ascii="Palatino Linotype" w:eastAsia="Palatino Linotype" w:hAnsi="Palatino Linotype" w:cs="Palatino Linotype"/>
          <w:b/>
        </w:rPr>
        <w:t>Sujeto Obligado</w:t>
      </w:r>
      <w:r w:rsidRPr="00E65510">
        <w:rPr>
          <w:rFonts w:ascii="Palatino Linotype" w:eastAsia="Palatino Linotype" w:hAnsi="Palatino Linotype" w:cs="Palatino Linotype"/>
        </w:rPr>
        <w:t xml:space="preserve"> a través de su Comité de Transparencia, los Lineamientos Quincuagésimo y Quincuagésimo primero de los Lineamientos Generales en Materia de Clasificación y Desclasificación de la Información, así como para la Elaboración de Versiones Públicas señalan lo siguiente:</w:t>
      </w:r>
    </w:p>
    <w:p w14:paraId="2AE7A4CA" w14:textId="77777777" w:rsidR="009F0D04" w:rsidRPr="00E65510" w:rsidRDefault="009F0D04" w:rsidP="009F0D04">
      <w:pP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 xml:space="preserve"> “Quincuagésimo. </w:t>
      </w:r>
      <w:r w:rsidRPr="00E65510">
        <w:rPr>
          <w:rFonts w:ascii="Palatino Linotype" w:eastAsia="Palatino Linotype" w:hAnsi="Palatino Linotype" w:cs="Palatino Linotype"/>
          <w:i/>
          <w:sz w:val="22"/>
          <w:szCs w:val="22"/>
        </w:rPr>
        <w:t xml:space="preserve">Los titulares de las áreas de los sujetos obligados podrán establecer sus propios modelos o formatos para la elaboración de versiones públicas de documentos o expedientes, siempre y cuando cumplan lo establecido en los presentes Lineamientos, así como en las correspondientes Leyes Generales. </w:t>
      </w:r>
    </w:p>
    <w:p w14:paraId="13A9A66A" w14:textId="77777777" w:rsidR="009F0D04" w:rsidRPr="00E65510" w:rsidRDefault="009F0D04" w:rsidP="009F0D04">
      <w:pPr>
        <w:pBdr>
          <w:top w:val="nil"/>
          <w:left w:val="nil"/>
          <w:bottom w:val="nil"/>
          <w:right w:val="nil"/>
          <w:between w:val="nil"/>
        </w:pBd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 xml:space="preserve">Quincuagésimo primero. </w:t>
      </w:r>
      <w:r w:rsidRPr="00E65510">
        <w:rPr>
          <w:rFonts w:ascii="Palatino Linotype" w:eastAsia="Palatino Linotype" w:hAnsi="Palatino Linotype" w:cs="Palatino Linotype"/>
          <w:i/>
          <w:sz w:val="22"/>
          <w:szCs w:val="22"/>
        </w:rPr>
        <w:t xml:space="preserve">Toda acta del Comité de Transparencia deberá contener: </w:t>
      </w:r>
    </w:p>
    <w:p w14:paraId="6E61D97E" w14:textId="77777777" w:rsidR="009F0D04" w:rsidRPr="00E65510" w:rsidRDefault="009F0D04" w:rsidP="009F0D04">
      <w:pPr>
        <w:pBdr>
          <w:top w:val="nil"/>
          <w:left w:val="nil"/>
          <w:bottom w:val="nil"/>
          <w:right w:val="nil"/>
          <w:between w:val="nil"/>
        </w:pBd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I.</w:t>
      </w:r>
      <w:r w:rsidRPr="00E65510">
        <w:rPr>
          <w:rFonts w:ascii="Palatino Linotype" w:eastAsia="Palatino Linotype" w:hAnsi="Palatino Linotype" w:cs="Palatino Linotype"/>
          <w:i/>
          <w:sz w:val="22"/>
          <w:szCs w:val="22"/>
        </w:rPr>
        <w:t xml:space="preserve"> El número de sesión y fecha; </w:t>
      </w:r>
    </w:p>
    <w:p w14:paraId="3AE19E53" w14:textId="77777777" w:rsidR="009F0D04" w:rsidRPr="00E65510" w:rsidRDefault="009F0D04" w:rsidP="009F0D04">
      <w:pPr>
        <w:pBdr>
          <w:top w:val="nil"/>
          <w:left w:val="nil"/>
          <w:bottom w:val="nil"/>
          <w:right w:val="nil"/>
          <w:between w:val="nil"/>
        </w:pBd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II</w:t>
      </w:r>
      <w:r w:rsidRPr="00E65510">
        <w:rPr>
          <w:rFonts w:ascii="Palatino Linotype" w:eastAsia="Palatino Linotype" w:hAnsi="Palatino Linotype" w:cs="Palatino Linotype"/>
          <w:i/>
          <w:sz w:val="22"/>
          <w:szCs w:val="22"/>
        </w:rPr>
        <w:t xml:space="preserve">. El nombre del área que solicitó la clasificación de información; </w:t>
      </w:r>
    </w:p>
    <w:p w14:paraId="7C83B130" w14:textId="77777777" w:rsidR="009F0D04" w:rsidRPr="00E65510" w:rsidRDefault="009F0D04" w:rsidP="009F0D04">
      <w:pPr>
        <w:pBdr>
          <w:top w:val="nil"/>
          <w:left w:val="nil"/>
          <w:bottom w:val="nil"/>
          <w:right w:val="nil"/>
          <w:between w:val="nil"/>
        </w:pBd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III</w:t>
      </w:r>
      <w:r w:rsidRPr="00E65510">
        <w:rPr>
          <w:rFonts w:ascii="Palatino Linotype" w:eastAsia="Palatino Linotype" w:hAnsi="Palatino Linotype" w:cs="Palatino Linotype"/>
          <w:i/>
          <w:sz w:val="22"/>
          <w:szCs w:val="22"/>
        </w:rPr>
        <w:t xml:space="preserve">. La fundamentación legal y motivación correspondiente; </w:t>
      </w:r>
    </w:p>
    <w:p w14:paraId="633172E0" w14:textId="77777777" w:rsidR="009F0D04" w:rsidRPr="00E65510" w:rsidRDefault="009F0D04" w:rsidP="009F0D04">
      <w:pPr>
        <w:pBdr>
          <w:top w:val="nil"/>
          <w:left w:val="nil"/>
          <w:bottom w:val="nil"/>
          <w:right w:val="nil"/>
          <w:between w:val="nil"/>
        </w:pBd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IV</w:t>
      </w:r>
      <w:r w:rsidRPr="00E65510">
        <w:rPr>
          <w:rFonts w:ascii="Palatino Linotype" w:eastAsia="Palatino Linotype" w:hAnsi="Palatino Linotype" w:cs="Palatino Linotype"/>
          <w:i/>
          <w:sz w:val="22"/>
          <w:szCs w:val="22"/>
        </w:rPr>
        <w:t xml:space="preserve">. La resolución o resoluciones aprobadas; y </w:t>
      </w:r>
    </w:p>
    <w:p w14:paraId="7B10DFB3" w14:textId="77777777" w:rsidR="009F0D04" w:rsidRPr="00E65510" w:rsidRDefault="009F0D04" w:rsidP="009F0D04">
      <w:pPr>
        <w:pBdr>
          <w:top w:val="nil"/>
          <w:left w:val="nil"/>
          <w:bottom w:val="nil"/>
          <w:right w:val="nil"/>
          <w:between w:val="nil"/>
        </w:pBd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V</w:t>
      </w:r>
      <w:r w:rsidRPr="00E65510">
        <w:rPr>
          <w:rFonts w:ascii="Palatino Linotype" w:eastAsia="Palatino Linotype" w:hAnsi="Palatino Linotype" w:cs="Palatino Linotype"/>
          <w:i/>
          <w:sz w:val="22"/>
          <w:szCs w:val="22"/>
        </w:rPr>
        <w:t xml:space="preserve">. La rúbrica o firma digital de cada integrante del Comité de Transparencia. </w:t>
      </w:r>
    </w:p>
    <w:p w14:paraId="5162DE8C" w14:textId="77777777" w:rsidR="009F0D04" w:rsidRPr="00E65510" w:rsidRDefault="009F0D04" w:rsidP="009F0D04">
      <w:pPr>
        <w:pBdr>
          <w:top w:val="nil"/>
          <w:left w:val="nil"/>
          <w:bottom w:val="nil"/>
          <w:right w:val="nil"/>
          <w:between w:val="nil"/>
        </w:pBd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t xml:space="preserve">Las resoluciones del Comité en las que se haya determinado confirmar o modificar la clasificación de información pública como reservada, deberán incluir, cuando menos: </w:t>
      </w:r>
    </w:p>
    <w:p w14:paraId="590078E6" w14:textId="77777777" w:rsidR="009F0D04" w:rsidRPr="00E65510" w:rsidRDefault="009F0D04" w:rsidP="009F0D04">
      <w:pPr>
        <w:pBdr>
          <w:top w:val="nil"/>
          <w:left w:val="nil"/>
          <w:bottom w:val="nil"/>
          <w:right w:val="nil"/>
          <w:between w:val="nil"/>
        </w:pBd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I.</w:t>
      </w:r>
      <w:r w:rsidRPr="00E65510">
        <w:rPr>
          <w:rFonts w:ascii="Palatino Linotype" w:eastAsia="Palatino Linotype" w:hAnsi="Palatino Linotype" w:cs="Palatino Linotype"/>
          <w:i/>
          <w:sz w:val="22"/>
          <w:szCs w:val="22"/>
        </w:rPr>
        <w:t xml:space="preserve"> Los motivos y razonamientos que sustenten la confirmación o modificación de la prueba de daño;</w:t>
      </w:r>
    </w:p>
    <w:p w14:paraId="022AF9CF" w14:textId="77777777" w:rsidR="009F0D04" w:rsidRPr="00E65510" w:rsidRDefault="009F0D04" w:rsidP="009F0D04">
      <w:pPr>
        <w:pBdr>
          <w:top w:val="nil"/>
          <w:left w:val="nil"/>
          <w:bottom w:val="nil"/>
          <w:right w:val="nil"/>
          <w:between w:val="nil"/>
        </w:pBdr>
        <w:spacing w:before="120" w:after="120"/>
        <w:ind w:left="1134" w:right="902"/>
        <w:jc w:val="both"/>
        <w:rPr>
          <w:rFonts w:ascii="Palatino Linotype" w:eastAsia="Palatino Linotype" w:hAnsi="Palatino Linotype" w:cs="Palatino Linotype"/>
          <w:b/>
          <w:i/>
          <w:sz w:val="22"/>
          <w:szCs w:val="22"/>
        </w:rPr>
      </w:pPr>
      <w:r w:rsidRPr="00E65510">
        <w:rPr>
          <w:rFonts w:ascii="Palatino Linotype" w:eastAsia="Palatino Linotype" w:hAnsi="Palatino Linotype" w:cs="Palatino Linotype"/>
          <w:b/>
          <w:i/>
          <w:sz w:val="22"/>
          <w:szCs w:val="22"/>
        </w:rPr>
        <w:t>II</w:t>
      </w:r>
      <w:r w:rsidRPr="00E65510">
        <w:rPr>
          <w:rFonts w:ascii="Palatino Linotype" w:eastAsia="Palatino Linotype" w:hAnsi="Palatino Linotype" w:cs="Palatino Linotype"/>
          <w:i/>
          <w:sz w:val="22"/>
          <w:szCs w:val="22"/>
        </w:rPr>
        <w:t>. Descripción de las partes o secciones reservadas, en caso de clasificación parcial</w:t>
      </w:r>
      <w:r w:rsidRPr="00E65510">
        <w:rPr>
          <w:rFonts w:ascii="Palatino Linotype" w:eastAsia="Palatino Linotype" w:hAnsi="Palatino Linotype" w:cs="Palatino Linotype"/>
          <w:b/>
          <w:i/>
          <w:sz w:val="22"/>
          <w:szCs w:val="22"/>
        </w:rPr>
        <w:t xml:space="preserve">; </w:t>
      </w:r>
    </w:p>
    <w:p w14:paraId="45BE1D0A" w14:textId="77777777" w:rsidR="009F0D04" w:rsidRPr="00E65510" w:rsidRDefault="009F0D04" w:rsidP="009F0D04">
      <w:pPr>
        <w:pBdr>
          <w:top w:val="nil"/>
          <w:left w:val="nil"/>
          <w:bottom w:val="nil"/>
          <w:right w:val="nil"/>
          <w:between w:val="nil"/>
        </w:pBd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III.</w:t>
      </w:r>
      <w:r w:rsidRPr="00E65510">
        <w:rPr>
          <w:rFonts w:ascii="Palatino Linotype" w:eastAsia="Palatino Linotype" w:hAnsi="Palatino Linotype" w:cs="Palatino Linotype"/>
          <w:i/>
          <w:sz w:val="22"/>
          <w:szCs w:val="22"/>
        </w:rPr>
        <w:t xml:space="preserve"> El periodo por el que mantendrá su clasificación y fecha de expiración; y </w:t>
      </w:r>
    </w:p>
    <w:p w14:paraId="296CF43C" w14:textId="77777777" w:rsidR="009F0D04" w:rsidRPr="00E65510" w:rsidRDefault="009F0D04" w:rsidP="009F0D04">
      <w:pPr>
        <w:pBdr>
          <w:top w:val="nil"/>
          <w:left w:val="nil"/>
          <w:bottom w:val="nil"/>
          <w:right w:val="nil"/>
          <w:between w:val="nil"/>
        </w:pBd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lastRenderedPageBreak/>
        <w:t>IV.</w:t>
      </w:r>
      <w:r w:rsidRPr="00E65510">
        <w:rPr>
          <w:rFonts w:ascii="Palatino Linotype" w:eastAsia="Palatino Linotype" w:hAnsi="Palatino Linotype" w:cs="Palatino Linotype"/>
          <w:i/>
          <w:sz w:val="22"/>
          <w:szCs w:val="22"/>
        </w:rPr>
        <w:t xml:space="preserve"> El nombre del titular y área encargada de realizar la versión pública del documento, en su caso. </w:t>
      </w:r>
    </w:p>
    <w:p w14:paraId="53E265FB" w14:textId="77777777" w:rsidR="009F0D04" w:rsidRPr="00E65510" w:rsidRDefault="009F0D04" w:rsidP="009F0D04">
      <w:pPr>
        <w:pBdr>
          <w:top w:val="nil"/>
          <w:left w:val="nil"/>
          <w:bottom w:val="nil"/>
          <w:right w:val="nil"/>
          <w:between w:val="nil"/>
        </w:pBd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t xml:space="preserve">En los casos en que se clasifique la información como reservada siempre se entregará o anexará la prueba de daño con la respuesta al solicitante. </w:t>
      </w:r>
    </w:p>
    <w:p w14:paraId="2F6F3343" w14:textId="77777777" w:rsidR="009F0D04" w:rsidRPr="00E65510" w:rsidRDefault="009F0D04" w:rsidP="009F0D04">
      <w:pPr>
        <w:pBdr>
          <w:top w:val="nil"/>
          <w:left w:val="nil"/>
          <w:bottom w:val="nil"/>
          <w:right w:val="nil"/>
          <w:between w:val="nil"/>
        </w:pBd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t>En los casos de resoluciones del Comité de Transparencia en las que se confirme la clasificación de información confidencial solo se deberán de identificar los tipos de datos protegidos, de conformidad con el lineamiento trigésimo octavo.</w:t>
      </w:r>
    </w:p>
    <w:p w14:paraId="580E6C74" w14:textId="77777777" w:rsidR="009F0D04" w:rsidRPr="00E65510" w:rsidRDefault="009F0D04" w:rsidP="009F0D04">
      <w:pP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t>Asimismo, para la elaboración de las versiones públicas se deberán observar las formalidades establecidas en los Lineamientos Quincuagésimo segundo, Quincuagésimo cuarto, Quincuagésimo quinto, Quincuagésimo séptimo y Quincuagésimo octavo, que establecen lo siguiente:</w:t>
      </w:r>
    </w:p>
    <w:p w14:paraId="3C63732F" w14:textId="77777777" w:rsidR="009F0D04" w:rsidRPr="00E65510" w:rsidRDefault="009F0D04" w:rsidP="009F0D04">
      <w:pPr>
        <w:spacing w:before="120" w:after="120"/>
        <w:ind w:left="851" w:right="900"/>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t>“</w:t>
      </w:r>
      <w:r w:rsidRPr="00E65510">
        <w:rPr>
          <w:rFonts w:ascii="Palatino Linotype" w:eastAsia="Palatino Linotype" w:hAnsi="Palatino Linotype" w:cs="Palatino Linotype"/>
          <w:b/>
          <w:i/>
          <w:sz w:val="22"/>
          <w:szCs w:val="22"/>
        </w:rPr>
        <w:t>Quincuagésimo segundo</w:t>
      </w:r>
      <w:r w:rsidRPr="00E65510">
        <w:rPr>
          <w:rFonts w:ascii="Palatino Linotype" w:eastAsia="Palatino Linotype" w:hAnsi="Palatino Linotype" w:cs="Palatino Linotype"/>
          <w:i/>
          <w:sz w:val="22"/>
          <w:szCs w:val="22"/>
        </w:rPr>
        <w:t>. Para la clasificación y elaboración de versiones públicas de documentos que contengan información clasificada como reservada o confidencial, las áreas de los sujetos obligados deberán tomar las medidas pertinentes tendientes a asegurar que el espacio utilizado para testar la información no podrá ser empleado para la sobreposición de contenido distinto al autorizado por el Comité.</w:t>
      </w:r>
    </w:p>
    <w:p w14:paraId="4E46B222" w14:textId="77777777" w:rsidR="009F0D04" w:rsidRPr="00E65510" w:rsidRDefault="009F0D04" w:rsidP="009F0D04">
      <w:pPr>
        <w:spacing w:before="120" w:after="120"/>
        <w:ind w:left="851" w:right="900"/>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t xml:space="preserve">En el caso específico de la clasificación y elaboración de versiones públicas de documentos que contengan información confidencial, las áreas de los sujetos obligados deberán: </w:t>
      </w:r>
    </w:p>
    <w:p w14:paraId="092C96F3" w14:textId="77777777" w:rsidR="009F0D04" w:rsidRPr="00E65510" w:rsidRDefault="009F0D04" w:rsidP="009F0D04">
      <w:pPr>
        <w:spacing w:before="120" w:after="120"/>
        <w:ind w:left="1134" w:right="900"/>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I.</w:t>
      </w:r>
      <w:r w:rsidRPr="00E65510">
        <w:rPr>
          <w:rFonts w:ascii="Palatino Linotype" w:eastAsia="Palatino Linotype" w:hAnsi="Palatino Linotype" w:cs="Palatino Linotype"/>
          <w:i/>
          <w:sz w:val="22"/>
          <w:szCs w:val="22"/>
        </w:rPr>
        <w:t xml:space="preserve"> Fijar la fecha en que se elaboró la versión pública y la fecha en la cual el Comité de Transparencia confirmó dicha versión;</w:t>
      </w:r>
    </w:p>
    <w:p w14:paraId="0EA79E87" w14:textId="77777777" w:rsidR="009F0D04" w:rsidRPr="00E65510" w:rsidRDefault="009F0D04" w:rsidP="009F0D04">
      <w:pPr>
        <w:spacing w:before="120" w:after="120"/>
        <w:ind w:left="1134" w:right="900"/>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II.</w:t>
      </w:r>
      <w:r w:rsidRPr="00E65510">
        <w:rPr>
          <w:rFonts w:ascii="Palatino Linotype" w:eastAsia="Palatino Linotype" w:hAnsi="Palatino Linotype" w:cs="Palatino Linotype"/>
          <w:i/>
          <w:sz w:val="22"/>
          <w:szCs w:val="22"/>
        </w:rPr>
        <w:t xml:space="preserve"> Señalar dentro del documento el tipo de información confidencial que fue testada en cada caso específico, de conformidad con el lineamiento trigésimo octavo; y</w:t>
      </w:r>
    </w:p>
    <w:p w14:paraId="4F796800" w14:textId="77777777" w:rsidR="009F0D04" w:rsidRPr="00E65510" w:rsidRDefault="009F0D04" w:rsidP="009F0D04">
      <w:pPr>
        <w:spacing w:before="120" w:after="120"/>
        <w:ind w:left="1134" w:right="900"/>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III.</w:t>
      </w:r>
      <w:r w:rsidRPr="00E65510">
        <w:rPr>
          <w:rFonts w:ascii="Palatino Linotype" w:eastAsia="Palatino Linotype" w:hAnsi="Palatino Linotype" w:cs="Palatino Linotype"/>
          <w:i/>
          <w:sz w:val="22"/>
          <w:szCs w:val="22"/>
        </w:rPr>
        <w:t xml:space="preserve"> Señalar las personas o instancias autorizadas a acceder a la información clasificada.</w:t>
      </w:r>
    </w:p>
    <w:p w14:paraId="7F97A25C" w14:textId="77777777" w:rsidR="009F0D04" w:rsidRPr="00E65510" w:rsidRDefault="009F0D04" w:rsidP="009F0D04">
      <w:pPr>
        <w:spacing w:before="120" w:after="120"/>
        <w:ind w:left="851" w:right="900"/>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t>En los documentos de difusión electrónica, señalar en la primera hoja y en el nombre del archivo, que la versión pública corresponde a un documento que contiene información confidencial.”</w:t>
      </w:r>
    </w:p>
    <w:p w14:paraId="773CA5DE" w14:textId="77777777" w:rsidR="009F0D04" w:rsidRPr="00E65510" w:rsidRDefault="009F0D04" w:rsidP="009F0D04">
      <w:pPr>
        <w:pBdr>
          <w:top w:val="nil"/>
          <w:left w:val="nil"/>
          <w:bottom w:val="nil"/>
          <w:right w:val="nil"/>
          <w:between w:val="nil"/>
        </w:pBdr>
        <w:spacing w:before="120" w:after="120"/>
        <w:ind w:left="851" w:right="900"/>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t>…</w:t>
      </w:r>
    </w:p>
    <w:p w14:paraId="6CB43EFD" w14:textId="77777777" w:rsidR="009F0D04" w:rsidRPr="00E65510" w:rsidRDefault="009F0D04" w:rsidP="009F0D04">
      <w:pPr>
        <w:pBdr>
          <w:top w:val="nil"/>
          <w:left w:val="nil"/>
          <w:bottom w:val="nil"/>
          <w:right w:val="nil"/>
          <w:between w:val="nil"/>
        </w:pBdr>
        <w:spacing w:before="120" w:after="120"/>
        <w:ind w:left="851" w:right="900"/>
        <w:jc w:val="both"/>
        <w:rPr>
          <w:rFonts w:ascii="Palatino Linotype" w:eastAsia="Palatino Linotype" w:hAnsi="Palatino Linotype" w:cs="Palatino Linotype"/>
          <w:b/>
          <w:i/>
          <w:sz w:val="22"/>
          <w:szCs w:val="22"/>
        </w:rPr>
      </w:pPr>
      <w:r w:rsidRPr="00E65510">
        <w:rPr>
          <w:rFonts w:ascii="Palatino Linotype" w:eastAsia="Palatino Linotype" w:hAnsi="Palatino Linotype" w:cs="Palatino Linotype"/>
          <w:b/>
          <w:i/>
          <w:sz w:val="22"/>
          <w:szCs w:val="22"/>
        </w:rPr>
        <w:lastRenderedPageBreak/>
        <w:t xml:space="preserve">Quincuagésimo cuarto. </w:t>
      </w:r>
      <w:r w:rsidRPr="00E65510">
        <w:rPr>
          <w:rFonts w:ascii="Palatino Linotype" w:eastAsia="Palatino Linotype" w:hAnsi="Palatino Linotype" w:cs="Palatino Linotype"/>
          <w:i/>
          <w:sz w:val="22"/>
          <w:szCs w:val="22"/>
        </w:rPr>
        <w:t>Cuando el Comité de Transparencia confirme la clasificación de documentos reservados y/o confidenciales, sea total o parcialmente; se deberá anexar al expediente la resolución que determinó la clasificación o, en su defecto, identificar en la carátula del expediente del cual formen parte, la fecha y sesión del Comité de Transparencia en la que se confirmó dicha clasificación.</w:t>
      </w:r>
      <w:r w:rsidRPr="00E65510">
        <w:rPr>
          <w:rFonts w:ascii="Palatino Linotype" w:eastAsia="Palatino Linotype" w:hAnsi="Palatino Linotype" w:cs="Palatino Linotype"/>
          <w:b/>
          <w:i/>
          <w:sz w:val="22"/>
          <w:szCs w:val="22"/>
        </w:rPr>
        <w:t xml:space="preserve"> </w:t>
      </w:r>
    </w:p>
    <w:p w14:paraId="59E16E2A" w14:textId="77777777" w:rsidR="009F0D04" w:rsidRPr="00E65510" w:rsidRDefault="009F0D04" w:rsidP="009F0D04">
      <w:pP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 xml:space="preserve">Quincuagésimo quinto. </w:t>
      </w:r>
      <w:r w:rsidRPr="00E65510">
        <w:rPr>
          <w:rFonts w:ascii="Palatino Linotype" w:eastAsia="Palatino Linotype" w:hAnsi="Palatino Linotype" w:cs="Palatino Linotype"/>
          <w:i/>
          <w:sz w:val="22"/>
          <w:szCs w:val="22"/>
        </w:rPr>
        <w:t xml:space="preserve">Cada área del sujeto obligado podrá designar formalmente a una o más personas como responsables del </w:t>
      </w:r>
      <w:proofErr w:type="spellStart"/>
      <w:r w:rsidRPr="00E65510">
        <w:rPr>
          <w:rFonts w:ascii="Palatino Linotype" w:eastAsia="Palatino Linotype" w:hAnsi="Palatino Linotype" w:cs="Palatino Linotype"/>
          <w:i/>
          <w:sz w:val="22"/>
          <w:szCs w:val="22"/>
        </w:rPr>
        <w:t>testado</w:t>
      </w:r>
      <w:proofErr w:type="spellEnd"/>
      <w:r w:rsidRPr="00E65510">
        <w:rPr>
          <w:rFonts w:ascii="Palatino Linotype" w:eastAsia="Palatino Linotype" w:hAnsi="Palatino Linotype" w:cs="Palatino Linotype"/>
          <w:i/>
          <w:sz w:val="22"/>
          <w:szCs w:val="22"/>
        </w:rPr>
        <w:t>, que sean encargadas de la adecuada elaboración o supervisión de las versiones públicas de los documentos o expedientes, verificando que cumplan con los requisitos señalados en las Leyes Generales, los presentes Lineamientos y demás normativa aplicable antes de su confirmación por el Comité de Transparencia.</w:t>
      </w:r>
    </w:p>
    <w:p w14:paraId="384C1DA5" w14:textId="77777777" w:rsidR="009F0D04" w:rsidRPr="00E65510" w:rsidRDefault="009F0D04" w:rsidP="009F0D04">
      <w:pPr>
        <w:spacing w:before="120" w:after="120"/>
        <w:ind w:left="851" w:right="902"/>
        <w:jc w:val="both"/>
        <w:rPr>
          <w:rFonts w:ascii="Palatino Linotype" w:eastAsia="Palatino Linotype" w:hAnsi="Palatino Linotype" w:cs="Palatino Linotype"/>
          <w:b/>
          <w:i/>
          <w:sz w:val="22"/>
          <w:szCs w:val="22"/>
        </w:rPr>
      </w:pPr>
      <w:r w:rsidRPr="00E65510">
        <w:rPr>
          <w:rFonts w:ascii="Palatino Linotype" w:eastAsia="Palatino Linotype" w:hAnsi="Palatino Linotype" w:cs="Palatino Linotype"/>
          <w:b/>
          <w:i/>
          <w:sz w:val="22"/>
          <w:szCs w:val="22"/>
        </w:rPr>
        <w:t>...</w:t>
      </w:r>
    </w:p>
    <w:p w14:paraId="5B1A1B5B" w14:textId="77777777" w:rsidR="009F0D04" w:rsidRPr="00E65510" w:rsidRDefault="009F0D04" w:rsidP="009F0D04">
      <w:pP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Quincuagésimo séptimo</w:t>
      </w:r>
      <w:r w:rsidRPr="00E65510">
        <w:rPr>
          <w:rFonts w:ascii="Palatino Linotype" w:eastAsia="Palatino Linotype" w:hAnsi="Palatino Linotype" w:cs="Palatino Linotype"/>
          <w:i/>
          <w:sz w:val="22"/>
          <w:szCs w:val="22"/>
        </w:rPr>
        <w:t xml:space="preserve">. Se considera, en principio, como información pública y no podrá omitirse de las versiones públicas la siguiente: </w:t>
      </w:r>
    </w:p>
    <w:p w14:paraId="139858CA" w14:textId="77777777" w:rsidR="009F0D04" w:rsidRPr="00E65510" w:rsidRDefault="009F0D04" w:rsidP="009F0D04">
      <w:pP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I</w:t>
      </w:r>
      <w:r w:rsidRPr="00E65510">
        <w:rPr>
          <w:rFonts w:ascii="Palatino Linotype" w:eastAsia="Palatino Linotype" w:hAnsi="Palatino Linotype" w:cs="Palatino Linotype"/>
          <w:i/>
          <w:sz w:val="22"/>
          <w:szCs w:val="22"/>
        </w:rPr>
        <w:t xml:space="preserve">. La relativa a las Obligaciones de Transparencia que contempla el Título V de la Ley General y las demás disposiciones legales aplicables; </w:t>
      </w:r>
    </w:p>
    <w:p w14:paraId="5692F1FB" w14:textId="77777777" w:rsidR="009F0D04" w:rsidRPr="00E65510" w:rsidRDefault="009F0D04" w:rsidP="009F0D04">
      <w:pP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II.</w:t>
      </w:r>
      <w:r w:rsidRPr="00E65510">
        <w:rPr>
          <w:rFonts w:ascii="Palatino Linotype" w:eastAsia="Palatino Linotype" w:hAnsi="Palatino Linotype" w:cs="Palatino Linotype"/>
          <w:i/>
          <w:sz w:val="22"/>
          <w:szCs w:val="22"/>
        </w:rPr>
        <w:t xml:space="preserve"> El nombre de los integrantes de los sujetos obligados en los documentos, y sus firmas autógrafas o digitales, cuando sean utilizados en el ejercicio de las facultades conferidas para el desempeño del servicio público, y</w:t>
      </w:r>
    </w:p>
    <w:p w14:paraId="5E5A17A7" w14:textId="77777777" w:rsidR="009F0D04" w:rsidRPr="00E65510" w:rsidRDefault="009F0D04" w:rsidP="009F0D04">
      <w:pPr>
        <w:spacing w:before="120" w:after="120"/>
        <w:ind w:left="1134"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III</w:t>
      </w:r>
      <w:r w:rsidRPr="00E65510">
        <w:rPr>
          <w:rFonts w:ascii="Palatino Linotype" w:eastAsia="Palatino Linotype" w:hAnsi="Palatino Linotype" w:cs="Palatino Linotype"/>
          <w:i/>
          <w:sz w:val="22"/>
          <w:szCs w:val="22"/>
        </w:rPr>
        <w:t xml:space="preserve">. La información que documente decisiones y los actos de autoridad concluidos de los sujetos obligados, así como el ejercicio de las facultades o actividades de los servidores públicos, de manera que se pueda valorar el desempeño de los mismos. </w:t>
      </w:r>
    </w:p>
    <w:p w14:paraId="414A49F8" w14:textId="77777777" w:rsidR="009F0D04" w:rsidRPr="00E65510" w:rsidRDefault="009F0D04" w:rsidP="009F0D04">
      <w:pP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i/>
          <w:sz w:val="22"/>
          <w:szCs w:val="22"/>
        </w:rPr>
        <w:t xml:space="preserve">Lo anterior, siempre y cuando no se acredite alguna causal de clasificación, prevista en las leyes o en los tratados internacionales suscritas por el Estado mexicano.  </w:t>
      </w:r>
    </w:p>
    <w:p w14:paraId="5A0482F0" w14:textId="77777777" w:rsidR="009F0D04" w:rsidRPr="00E65510" w:rsidRDefault="009F0D04" w:rsidP="009F0D04">
      <w:pPr>
        <w:spacing w:before="120" w:after="120"/>
        <w:ind w:left="851" w:right="902"/>
        <w:jc w:val="both"/>
        <w:rPr>
          <w:rFonts w:ascii="Palatino Linotype" w:eastAsia="Palatino Linotype" w:hAnsi="Palatino Linotype" w:cs="Palatino Linotype"/>
          <w:i/>
          <w:sz w:val="22"/>
          <w:szCs w:val="22"/>
        </w:rPr>
      </w:pPr>
      <w:r w:rsidRPr="00E65510">
        <w:rPr>
          <w:rFonts w:ascii="Palatino Linotype" w:eastAsia="Palatino Linotype" w:hAnsi="Palatino Linotype" w:cs="Palatino Linotype"/>
          <w:b/>
          <w:i/>
          <w:sz w:val="22"/>
          <w:szCs w:val="22"/>
        </w:rPr>
        <w:t>Quincuagésimo octavo</w:t>
      </w:r>
      <w:r w:rsidRPr="00E65510">
        <w:rPr>
          <w:rFonts w:ascii="Palatino Linotype" w:eastAsia="Palatino Linotype" w:hAnsi="Palatino Linotype" w:cs="Palatino Linotype"/>
          <w:i/>
          <w:sz w:val="22"/>
          <w:szCs w:val="22"/>
        </w:rPr>
        <w:t>. Los sujetos obligados garantizarán que los sistemas o medios empleados para eliminar la información en las versiones públicas sean irreversibles, de tal forma que no permitan su recuperación o la visualización de la misma.”</w:t>
      </w:r>
    </w:p>
    <w:p w14:paraId="38D77ADA" w14:textId="77777777" w:rsidR="009A4B8B" w:rsidRPr="00E65510" w:rsidRDefault="00D153FE">
      <w:pP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Así, con fundamento en lo prescrito en los artículos 5 párrafos trigésimo tercero, trigésimo cuarto y trigésimo quinto de la Constitución Política del Estado Libre y Soberano de México; 2, fracción II; 29, 36 fracciones I y II; 176, 178, 181, 185 y 186 </w:t>
      </w:r>
      <w:r w:rsidRPr="00E65510">
        <w:rPr>
          <w:rFonts w:ascii="Palatino Linotype" w:eastAsia="Palatino Linotype" w:hAnsi="Palatino Linotype" w:cs="Palatino Linotype"/>
        </w:rPr>
        <w:lastRenderedPageBreak/>
        <w:t>fracción II de la Ley de Transparencia y Acceso a la Información Pública del Estado de México y Municipios, este Pleno:</w:t>
      </w:r>
    </w:p>
    <w:p w14:paraId="3D90C8F3" w14:textId="77777777" w:rsidR="009A4B8B" w:rsidRPr="00E65510" w:rsidRDefault="00D153FE">
      <w:pPr>
        <w:pBdr>
          <w:top w:val="nil"/>
          <w:left w:val="nil"/>
          <w:bottom w:val="nil"/>
          <w:right w:val="nil"/>
          <w:between w:val="nil"/>
        </w:pBdr>
        <w:spacing w:before="240" w:after="240" w:line="360" w:lineRule="auto"/>
        <w:jc w:val="center"/>
        <w:rPr>
          <w:rFonts w:ascii="Palatino Linotype" w:eastAsia="Palatino Linotype" w:hAnsi="Palatino Linotype" w:cs="Palatino Linotype"/>
          <w:b/>
        </w:rPr>
      </w:pPr>
      <w:r w:rsidRPr="00E65510">
        <w:rPr>
          <w:rFonts w:ascii="Palatino Linotype" w:eastAsia="Palatino Linotype" w:hAnsi="Palatino Linotype" w:cs="Palatino Linotype"/>
          <w:b/>
        </w:rPr>
        <w:t>III. R E S U E L V E</w:t>
      </w:r>
    </w:p>
    <w:p w14:paraId="7679DE40" w14:textId="12CA0812" w:rsidR="009A4B8B" w:rsidRPr="00E65510" w:rsidRDefault="00D153FE">
      <w:pPr>
        <w:spacing w:before="240" w:after="240" w:line="360" w:lineRule="auto"/>
        <w:jc w:val="both"/>
        <w:rPr>
          <w:rFonts w:ascii="Palatino Linotype" w:eastAsia="Palatino Linotype" w:hAnsi="Palatino Linotype" w:cs="Palatino Linotype"/>
        </w:rPr>
      </w:pPr>
      <w:bookmarkStart w:id="8" w:name="_heading=h.26in1rg" w:colFirst="0" w:colLast="0"/>
      <w:bookmarkEnd w:id="8"/>
      <w:r w:rsidRPr="00E65510">
        <w:rPr>
          <w:rFonts w:ascii="Palatino Linotype" w:eastAsia="Palatino Linotype" w:hAnsi="Palatino Linotype" w:cs="Palatino Linotype"/>
          <w:b/>
        </w:rPr>
        <w:t xml:space="preserve">Primero. </w:t>
      </w:r>
      <w:r w:rsidRPr="00E65510">
        <w:rPr>
          <w:rFonts w:ascii="Palatino Linotype" w:eastAsia="Palatino Linotype" w:hAnsi="Palatino Linotype" w:cs="Palatino Linotype"/>
        </w:rPr>
        <w:t>Resultan</w:t>
      </w:r>
      <w:r w:rsidRPr="00E65510">
        <w:rPr>
          <w:rFonts w:ascii="Palatino Linotype" w:eastAsia="Palatino Linotype" w:hAnsi="Palatino Linotype" w:cs="Palatino Linotype"/>
          <w:b/>
        </w:rPr>
        <w:t xml:space="preserve"> fundadas</w:t>
      </w:r>
      <w:r w:rsidRPr="00E65510">
        <w:rPr>
          <w:rFonts w:ascii="Palatino Linotype" w:eastAsia="Palatino Linotype" w:hAnsi="Palatino Linotype" w:cs="Palatino Linotype"/>
        </w:rPr>
        <w:t xml:space="preserve"> las razones o motivos de inconformidad hechos valer por la parte</w:t>
      </w:r>
      <w:r w:rsidRPr="00E65510">
        <w:rPr>
          <w:rFonts w:ascii="Palatino Linotype" w:eastAsia="Palatino Linotype" w:hAnsi="Palatino Linotype" w:cs="Palatino Linotype"/>
          <w:b/>
        </w:rPr>
        <w:t xml:space="preserve"> Recurrente</w:t>
      </w:r>
      <w:r w:rsidRPr="00E65510">
        <w:rPr>
          <w:rFonts w:ascii="Palatino Linotype" w:eastAsia="Palatino Linotype" w:hAnsi="Palatino Linotype" w:cs="Palatino Linotype"/>
        </w:rPr>
        <w:t xml:space="preserve"> en el recurso de revisión </w:t>
      </w:r>
      <w:r w:rsidRPr="00E65510">
        <w:rPr>
          <w:rFonts w:ascii="Palatino Linotype" w:eastAsia="Palatino Linotype" w:hAnsi="Palatino Linotype" w:cs="Palatino Linotype"/>
          <w:b/>
        </w:rPr>
        <w:t>0</w:t>
      </w:r>
      <w:r w:rsidR="009560CA" w:rsidRPr="00E65510">
        <w:rPr>
          <w:rFonts w:ascii="Palatino Linotype" w:eastAsia="Palatino Linotype" w:hAnsi="Palatino Linotype" w:cs="Palatino Linotype"/>
          <w:b/>
        </w:rPr>
        <w:t>7579</w:t>
      </w:r>
      <w:r w:rsidRPr="00E65510">
        <w:rPr>
          <w:rFonts w:ascii="Palatino Linotype" w:eastAsia="Palatino Linotype" w:hAnsi="Palatino Linotype" w:cs="Palatino Linotype"/>
          <w:b/>
        </w:rPr>
        <w:t>/INFOEM/IP/RR/2024</w:t>
      </w:r>
      <w:r w:rsidRPr="00E65510">
        <w:rPr>
          <w:rFonts w:ascii="Palatino Linotype" w:eastAsia="Palatino Linotype" w:hAnsi="Palatino Linotype" w:cs="Palatino Linotype"/>
        </w:rPr>
        <w:t xml:space="preserve">; por lo que, en términos del Considerando </w:t>
      </w:r>
      <w:r w:rsidRPr="00E65510">
        <w:rPr>
          <w:rFonts w:ascii="Palatino Linotype" w:eastAsia="Palatino Linotype" w:hAnsi="Palatino Linotype" w:cs="Palatino Linotype"/>
          <w:b/>
        </w:rPr>
        <w:t xml:space="preserve">Cuarto </w:t>
      </w:r>
      <w:r w:rsidRPr="00E65510">
        <w:rPr>
          <w:rFonts w:ascii="Palatino Linotype" w:eastAsia="Palatino Linotype" w:hAnsi="Palatino Linotype" w:cs="Palatino Linotype"/>
        </w:rPr>
        <w:t xml:space="preserve">de esta resolución, se </w:t>
      </w:r>
      <w:r w:rsidR="009560CA" w:rsidRPr="00E65510">
        <w:rPr>
          <w:rFonts w:ascii="Palatino Linotype" w:eastAsia="Palatino Linotype" w:hAnsi="Palatino Linotype" w:cs="Palatino Linotype"/>
          <w:b/>
        </w:rPr>
        <w:t>Revoca</w:t>
      </w:r>
      <w:r w:rsidRPr="00E65510">
        <w:rPr>
          <w:rFonts w:ascii="Palatino Linotype" w:eastAsia="Palatino Linotype" w:hAnsi="Palatino Linotype" w:cs="Palatino Linotype"/>
        </w:rPr>
        <w:t xml:space="preserve"> la respuesta emitida por el </w:t>
      </w:r>
      <w:r w:rsidRPr="00E65510">
        <w:rPr>
          <w:rFonts w:ascii="Palatino Linotype" w:eastAsia="Palatino Linotype" w:hAnsi="Palatino Linotype" w:cs="Palatino Linotype"/>
          <w:b/>
        </w:rPr>
        <w:t xml:space="preserve">Sujeto Obligado. </w:t>
      </w:r>
    </w:p>
    <w:p w14:paraId="4CE16E98" w14:textId="77777777" w:rsidR="009560CA" w:rsidRPr="00E65510" w:rsidRDefault="00D153FE" w:rsidP="009560CA">
      <w:pPr>
        <w:spacing w:before="240" w:after="240" w:line="360" w:lineRule="auto"/>
        <w:ind w:right="49"/>
        <w:jc w:val="both"/>
        <w:rPr>
          <w:rFonts w:ascii="Palatino Linotype" w:eastAsia="Palatino Linotype" w:hAnsi="Palatino Linotype" w:cs="Palatino Linotype"/>
        </w:rPr>
      </w:pPr>
      <w:r w:rsidRPr="00E65510">
        <w:rPr>
          <w:rFonts w:ascii="Palatino Linotype" w:eastAsia="Palatino Linotype" w:hAnsi="Palatino Linotype" w:cs="Palatino Linotype"/>
          <w:b/>
        </w:rPr>
        <w:t xml:space="preserve">Segundo. </w:t>
      </w:r>
      <w:r w:rsidRPr="00E65510">
        <w:rPr>
          <w:rFonts w:ascii="Palatino Linotype" w:eastAsia="Palatino Linotype" w:hAnsi="Palatino Linotype" w:cs="Palatino Linotype"/>
        </w:rPr>
        <w:t xml:space="preserve">Se </w:t>
      </w:r>
      <w:r w:rsidRPr="00E65510">
        <w:rPr>
          <w:rFonts w:ascii="Palatino Linotype" w:eastAsia="Palatino Linotype" w:hAnsi="Palatino Linotype" w:cs="Palatino Linotype"/>
          <w:b/>
        </w:rPr>
        <w:t xml:space="preserve">Ordena </w:t>
      </w:r>
      <w:r w:rsidRPr="00E65510">
        <w:rPr>
          <w:rFonts w:ascii="Palatino Linotype" w:eastAsia="Palatino Linotype" w:hAnsi="Palatino Linotype" w:cs="Palatino Linotype"/>
        </w:rPr>
        <w:t xml:space="preserve">al </w:t>
      </w:r>
      <w:r w:rsidRPr="00E65510">
        <w:rPr>
          <w:rFonts w:ascii="Palatino Linotype" w:eastAsia="Palatino Linotype" w:hAnsi="Palatino Linotype" w:cs="Palatino Linotype"/>
          <w:b/>
        </w:rPr>
        <w:t xml:space="preserve">Sujeto Obligado, </w:t>
      </w:r>
      <w:r w:rsidRPr="00E65510">
        <w:rPr>
          <w:rFonts w:ascii="Palatino Linotype" w:eastAsia="Palatino Linotype" w:hAnsi="Palatino Linotype" w:cs="Palatino Linotype"/>
        </w:rPr>
        <w:t xml:space="preserve">en términos de los Considerandos </w:t>
      </w:r>
      <w:r w:rsidRPr="00E65510">
        <w:rPr>
          <w:rFonts w:ascii="Palatino Linotype" w:eastAsia="Palatino Linotype" w:hAnsi="Palatino Linotype" w:cs="Palatino Linotype"/>
          <w:b/>
        </w:rPr>
        <w:t xml:space="preserve">Cuarto </w:t>
      </w:r>
      <w:r w:rsidRPr="00E65510">
        <w:rPr>
          <w:rFonts w:ascii="Palatino Linotype" w:eastAsia="Palatino Linotype" w:hAnsi="Palatino Linotype" w:cs="Palatino Linotype"/>
        </w:rPr>
        <w:t xml:space="preserve">y </w:t>
      </w:r>
      <w:r w:rsidRPr="00E65510">
        <w:rPr>
          <w:rFonts w:ascii="Palatino Linotype" w:eastAsia="Palatino Linotype" w:hAnsi="Palatino Linotype" w:cs="Palatino Linotype"/>
          <w:b/>
        </w:rPr>
        <w:t xml:space="preserve">Quinto </w:t>
      </w:r>
      <w:r w:rsidRPr="00E65510">
        <w:rPr>
          <w:rFonts w:ascii="Palatino Linotype" w:eastAsia="Palatino Linotype" w:hAnsi="Palatino Linotype" w:cs="Palatino Linotype"/>
        </w:rPr>
        <w:t>de esta resolución, haga entrega, vía SAIMEX, previa búsqueda exhaustiva y razonable, en versión pública</w:t>
      </w:r>
      <w:r w:rsidR="009F0D04" w:rsidRPr="00E65510">
        <w:rPr>
          <w:rFonts w:ascii="Palatino Linotype" w:eastAsia="Palatino Linotype" w:hAnsi="Palatino Linotype" w:cs="Palatino Linotype"/>
        </w:rPr>
        <w:t xml:space="preserve"> de ser procedente</w:t>
      </w:r>
      <w:r w:rsidR="00752996" w:rsidRPr="00E65510">
        <w:rPr>
          <w:rFonts w:ascii="Palatino Linotype" w:eastAsia="Palatino Linotype" w:hAnsi="Palatino Linotype" w:cs="Palatino Linotype"/>
        </w:rPr>
        <w:t>,</w:t>
      </w:r>
      <w:r w:rsidR="009560CA" w:rsidRPr="00E65510">
        <w:rPr>
          <w:rFonts w:ascii="Palatino Linotype" w:eastAsia="Palatino Linotype" w:hAnsi="Palatino Linotype" w:cs="Palatino Linotype"/>
        </w:rPr>
        <w:t xml:space="preserve"> de lo siguiente:</w:t>
      </w:r>
    </w:p>
    <w:p w14:paraId="08602CB0" w14:textId="16AA8329" w:rsidR="009560CA" w:rsidRPr="00E65510" w:rsidRDefault="009560CA" w:rsidP="006C6439">
      <w:pPr>
        <w:spacing w:before="120" w:after="120" w:line="360" w:lineRule="auto"/>
        <w:ind w:left="284" w:right="51"/>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1. El </w:t>
      </w:r>
      <w:r w:rsidR="00E24B16" w:rsidRPr="00E65510">
        <w:rPr>
          <w:rFonts w:ascii="Palatino Linotype" w:eastAsia="Palatino Linotype" w:hAnsi="Palatino Linotype" w:cs="Palatino Linotype"/>
        </w:rPr>
        <w:t xml:space="preserve">o los </w:t>
      </w:r>
      <w:r w:rsidRPr="00E65510">
        <w:rPr>
          <w:rFonts w:ascii="Palatino Linotype" w:eastAsia="Palatino Linotype" w:hAnsi="Palatino Linotype" w:cs="Palatino Linotype"/>
        </w:rPr>
        <w:t>soporte</w:t>
      </w:r>
      <w:r w:rsidR="00E24B16" w:rsidRPr="00E65510">
        <w:rPr>
          <w:rFonts w:ascii="Palatino Linotype" w:eastAsia="Palatino Linotype" w:hAnsi="Palatino Linotype" w:cs="Palatino Linotype"/>
        </w:rPr>
        <w:t>s</w:t>
      </w:r>
      <w:r w:rsidRPr="00E65510">
        <w:rPr>
          <w:rFonts w:ascii="Palatino Linotype" w:eastAsia="Palatino Linotype" w:hAnsi="Palatino Linotype" w:cs="Palatino Linotype"/>
        </w:rPr>
        <w:t xml:space="preserve"> documental</w:t>
      </w:r>
      <w:r w:rsidR="00E24B16" w:rsidRPr="00E65510">
        <w:rPr>
          <w:rFonts w:ascii="Palatino Linotype" w:eastAsia="Palatino Linotype" w:hAnsi="Palatino Linotype" w:cs="Palatino Linotype"/>
        </w:rPr>
        <w:t>es</w:t>
      </w:r>
      <w:r w:rsidRPr="00E65510">
        <w:rPr>
          <w:rFonts w:ascii="Palatino Linotype" w:eastAsia="Palatino Linotype" w:hAnsi="Palatino Linotype" w:cs="Palatino Linotype"/>
        </w:rPr>
        <w:t xml:space="preserve"> </w:t>
      </w:r>
      <w:r w:rsidR="00277955" w:rsidRPr="00E65510">
        <w:rPr>
          <w:rFonts w:ascii="Palatino Linotype" w:eastAsia="Palatino Linotype" w:hAnsi="Palatino Linotype" w:cs="Palatino Linotype"/>
        </w:rPr>
        <w:t>con los que sustenta la elaboración d</w:t>
      </w:r>
      <w:r w:rsidRPr="00E65510">
        <w:rPr>
          <w:rFonts w:ascii="Palatino Linotype" w:eastAsia="Palatino Linotype" w:hAnsi="Palatino Linotype" w:cs="Palatino Linotype"/>
        </w:rPr>
        <w:t>el capítulo de Entorno Económico de la Cuenta Pública del Gobierno, Organismos Auxiliares y Autónomos del Estado de México, correspondiente al ejercicio fiscal 2023</w:t>
      </w:r>
      <w:r w:rsidR="00277955" w:rsidRPr="00E65510">
        <w:rPr>
          <w:rFonts w:ascii="Palatino Linotype" w:eastAsia="Palatino Linotype" w:hAnsi="Palatino Linotype" w:cs="Palatino Linotype"/>
        </w:rPr>
        <w:t xml:space="preserve">, por parte del Jefe de la Unidad de Información, Planeación, Programación y Evaluación, UIPPE. </w:t>
      </w:r>
    </w:p>
    <w:p w14:paraId="06E177B0" w14:textId="77777777" w:rsidR="005B6740" w:rsidRPr="00E65510" w:rsidRDefault="005B6740" w:rsidP="005B6740">
      <w:pPr>
        <w:tabs>
          <w:tab w:val="left" w:pos="5040"/>
        </w:tabs>
        <w:spacing w:before="120" w:after="120"/>
        <w:ind w:left="284" w:right="51"/>
        <w:jc w:val="both"/>
        <w:rPr>
          <w:rFonts w:ascii="Palatino Linotype" w:eastAsia="Palatino Linotype" w:hAnsi="Palatino Linotype" w:cs="Palatino Linotype"/>
          <w:b/>
          <w:i/>
          <w:sz w:val="20"/>
          <w:szCs w:val="20"/>
        </w:rPr>
      </w:pPr>
      <w:bookmarkStart w:id="9" w:name="_heading=h.1ksv4uv" w:colFirst="0" w:colLast="0"/>
      <w:bookmarkStart w:id="10" w:name="_heading=h.35nkun2" w:colFirst="0" w:colLast="0"/>
      <w:bookmarkEnd w:id="9"/>
      <w:bookmarkEnd w:id="10"/>
      <w:r w:rsidRPr="00E65510">
        <w:rPr>
          <w:rFonts w:ascii="Palatino Linotype" w:eastAsia="Palatino Linotype" w:hAnsi="Palatino Linotype" w:cs="Palatino Linotype"/>
          <w:i/>
          <w:sz w:val="20"/>
          <w:szCs w:val="20"/>
        </w:rPr>
        <w:t xml:space="preserve">De ser procedente la versión pública, deberá emitir el Acuerdo del Comité de Transparencia en términos de la Ley de Transparencia y Acceso a la Información Pública del Estado de México y Municipios, en el que funde y motive las razones sobre los datos que se supriman o eliminen, y se ponga a disposición de la parte </w:t>
      </w:r>
      <w:r w:rsidRPr="00E65510">
        <w:rPr>
          <w:rFonts w:ascii="Palatino Linotype" w:eastAsia="Palatino Linotype" w:hAnsi="Palatino Linotype" w:cs="Palatino Linotype"/>
          <w:b/>
          <w:i/>
          <w:sz w:val="20"/>
          <w:szCs w:val="20"/>
        </w:rPr>
        <w:t>Recurrente.</w:t>
      </w:r>
    </w:p>
    <w:p w14:paraId="18E5D9BE" w14:textId="0419BC15" w:rsidR="009A4B8B" w:rsidRPr="00E65510" w:rsidRDefault="00D153FE">
      <w:pP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b/>
        </w:rPr>
        <w:t xml:space="preserve">Tercero. Notifíquese, </w:t>
      </w:r>
      <w:r w:rsidRPr="00E65510">
        <w:rPr>
          <w:rFonts w:ascii="Palatino Linotype" w:eastAsia="Palatino Linotype" w:hAnsi="Palatino Linotype" w:cs="Palatino Linotype"/>
        </w:rPr>
        <w:t xml:space="preserve">vía </w:t>
      </w:r>
      <w:r w:rsidRPr="00E65510">
        <w:rPr>
          <w:rFonts w:ascii="Palatino Linotype" w:eastAsia="Palatino Linotype" w:hAnsi="Palatino Linotype" w:cs="Palatino Linotype"/>
          <w:b/>
        </w:rPr>
        <w:t>SAIMEX</w:t>
      </w:r>
      <w:r w:rsidRPr="00E65510">
        <w:rPr>
          <w:rFonts w:ascii="Palatino Linotype" w:eastAsia="Palatino Linotype" w:hAnsi="Palatino Linotype" w:cs="Palatino Linotype"/>
        </w:rPr>
        <w:t xml:space="preserve">, al Titular de la Unidad de Transparencia del </w:t>
      </w:r>
      <w:r w:rsidRPr="00E65510">
        <w:rPr>
          <w:rFonts w:ascii="Palatino Linotype" w:eastAsia="Palatino Linotype" w:hAnsi="Palatino Linotype" w:cs="Palatino Linotype"/>
          <w:b/>
        </w:rPr>
        <w:t>Sujeto Obligado,</w:t>
      </w:r>
      <w:r w:rsidRPr="00E65510">
        <w:rPr>
          <w:rFonts w:ascii="Palatino Linotype" w:eastAsia="Palatino Linotype" w:hAnsi="Palatino Linotype" w:cs="Palatino Linotype"/>
        </w:rPr>
        <w:t xml:space="preserve"> la presente resolución para que conforme a los artículos 186, último párrafo y 189, párrafo </w:t>
      </w:r>
      <w:r w:rsidR="006A14F3" w:rsidRPr="00E65510">
        <w:rPr>
          <w:rFonts w:ascii="Palatino Linotype" w:eastAsia="Palatino Linotype" w:hAnsi="Palatino Linotype" w:cs="Palatino Linotype"/>
        </w:rPr>
        <w:t xml:space="preserve"> </w:t>
      </w:r>
      <w:r w:rsidRPr="00E65510">
        <w:rPr>
          <w:rFonts w:ascii="Palatino Linotype" w:eastAsia="Palatino Linotype" w:hAnsi="Palatino Linotype" w:cs="Palatino Linotype"/>
        </w:rPr>
        <w:t xml:space="preserve">segundo y 194 de la Ley de Transparencia y Acceso a la Información Pública del Estado de México y Municipios;  dé cumplimiento a lo ordenado dentro del plazo de diez días hábiles, e informe a este Instituto en un plazo </w:t>
      </w:r>
      <w:r w:rsidRPr="00E65510">
        <w:rPr>
          <w:rFonts w:ascii="Palatino Linotype" w:eastAsia="Palatino Linotype" w:hAnsi="Palatino Linotype" w:cs="Palatino Linotype"/>
        </w:rPr>
        <w:lastRenderedPageBreak/>
        <w:t>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44DF16C7" w14:textId="77777777" w:rsidR="009A4B8B" w:rsidRPr="00E65510" w:rsidRDefault="00D153FE">
      <w:pPr>
        <w:spacing w:before="240" w:after="240" w:line="360" w:lineRule="auto"/>
        <w:jc w:val="both"/>
        <w:rPr>
          <w:rFonts w:ascii="Palatino Linotype" w:eastAsia="Palatino Linotype" w:hAnsi="Palatino Linotype" w:cs="Palatino Linotype"/>
        </w:rPr>
      </w:pPr>
      <w:r w:rsidRPr="00E65510">
        <w:rPr>
          <w:rFonts w:ascii="Palatino Linotype" w:eastAsia="Palatino Linotype" w:hAnsi="Palatino Linotype" w:cs="Palatino Linotype"/>
        </w:rPr>
        <w:t xml:space="preserve">De conformidad con el artículo 198 de la Ley de Transparencia y Acceso a la Información Pública del Estado de México y Municipios, de considerarlo procedente, el </w:t>
      </w:r>
      <w:r w:rsidRPr="00E65510">
        <w:rPr>
          <w:rFonts w:ascii="Palatino Linotype" w:eastAsia="Palatino Linotype" w:hAnsi="Palatino Linotype" w:cs="Palatino Linotype"/>
          <w:b/>
        </w:rPr>
        <w:t>Sujeto Obligado</w:t>
      </w:r>
      <w:r w:rsidRPr="00E65510">
        <w:rPr>
          <w:rFonts w:ascii="Palatino Linotype" w:eastAsia="Palatino Linotype" w:hAnsi="Palatino Linotype" w:cs="Palatino Linotype"/>
        </w:rPr>
        <w:t xml:space="preserve"> de manera fundada y motivada, podrá solicitar una ampliación de plazo para el cumplimiento de la presente resolución.</w:t>
      </w:r>
    </w:p>
    <w:p w14:paraId="3D79B872" w14:textId="77777777" w:rsidR="009A4B8B" w:rsidRPr="00E65510" w:rsidRDefault="00D153FE">
      <w:pPr>
        <w:spacing w:before="240" w:after="240" w:line="360" w:lineRule="auto"/>
        <w:jc w:val="both"/>
        <w:rPr>
          <w:rFonts w:ascii="Palatino Linotype" w:eastAsia="Palatino Linotype" w:hAnsi="Palatino Linotype" w:cs="Palatino Linotype"/>
        </w:rPr>
      </w:pPr>
      <w:bookmarkStart w:id="11" w:name="_heading=h.17dp8vu" w:colFirst="0" w:colLast="0"/>
      <w:bookmarkEnd w:id="11"/>
      <w:r w:rsidRPr="00E65510">
        <w:rPr>
          <w:rFonts w:ascii="Palatino Linotype" w:eastAsia="Palatino Linotype" w:hAnsi="Palatino Linotype" w:cs="Palatino Linotype"/>
          <w:b/>
        </w:rPr>
        <w:t xml:space="preserve">Cuarto.  Notifíquese, </w:t>
      </w:r>
      <w:r w:rsidRPr="00E65510">
        <w:rPr>
          <w:rFonts w:ascii="Palatino Linotype" w:eastAsia="Palatino Linotype" w:hAnsi="Palatino Linotype" w:cs="Palatino Linotype"/>
        </w:rPr>
        <w:t xml:space="preserve">vía </w:t>
      </w:r>
      <w:r w:rsidRPr="00E65510">
        <w:rPr>
          <w:rFonts w:ascii="Palatino Linotype" w:eastAsia="Palatino Linotype" w:hAnsi="Palatino Linotype" w:cs="Palatino Linotype"/>
          <w:b/>
        </w:rPr>
        <w:t>SAIMEX</w:t>
      </w:r>
      <w:r w:rsidRPr="00E65510">
        <w:rPr>
          <w:rFonts w:ascii="Palatino Linotype" w:eastAsia="Palatino Linotype" w:hAnsi="Palatino Linotype" w:cs="Palatino Linotype"/>
        </w:rPr>
        <w:t xml:space="preserve">, a la parte </w:t>
      </w:r>
      <w:r w:rsidRPr="00E65510">
        <w:rPr>
          <w:rFonts w:ascii="Palatino Linotype" w:eastAsia="Palatino Linotype" w:hAnsi="Palatino Linotype" w:cs="Palatino Linotype"/>
          <w:b/>
        </w:rPr>
        <w:t>Recurrente</w:t>
      </w:r>
      <w:r w:rsidRPr="00E65510">
        <w:rPr>
          <w:rFonts w:ascii="Palatino Linotype" w:eastAsia="Palatino Linotype" w:hAnsi="Palatino Linotype" w:cs="Palatino Linotype"/>
        </w:rPr>
        <w:t xml:space="preserve"> la presente resolución, así como, que de conformidad con lo establecido en el artículo 196 de la Ley de Transparencia y Acceso a la Información Pública del Estado de México y Municipios, en caso de que considere que le causa algún perjuicio podrá impugnarla vía Juicio de Amparo en los términos de las leyes aplicables.</w:t>
      </w:r>
    </w:p>
    <w:p w14:paraId="6F2DFA5B" w14:textId="0149A882" w:rsidR="006C6439" w:rsidRPr="006A14F3" w:rsidRDefault="00D153FE">
      <w:pPr>
        <w:spacing w:line="360" w:lineRule="auto"/>
        <w:jc w:val="both"/>
        <w:rPr>
          <w:rFonts w:ascii="Palatino Linotype" w:eastAsia="Palatino Linotype" w:hAnsi="Palatino Linotype" w:cs="Palatino Linotype"/>
        </w:rPr>
      </w:pPr>
      <w:bookmarkStart w:id="12" w:name="_heading=h.lnxbz9" w:colFirst="0" w:colLast="0"/>
      <w:bookmarkEnd w:id="12"/>
      <w:r w:rsidRPr="00E65510">
        <w:rPr>
          <w:rFonts w:ascii="Palatino Linotype" w:eastAsia="Palatino Linotype" w:hAnsi="Palatino Linotype" w:cs="Palatino Linotype"/>
        </w:rPr>
        <w:t xml:space="preserve">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w:t>
      </w:r>
      <w:r w:rsidR="003172E5" w:rsidRPr="00E65510">
        <w:rPr>
          <w:rFonts w:ascii="Palatino Linotype" w:eastAsia="Palatino Linotype" w:hAnsi="Palatino Linotype" w:cs="Palatino Linotype"/>
        </w:rPr>
        <w:t>SEGUNDA</w:t>
      </w:r>
      <w:r w:rsidRPr="00E65510">
        <w:rPr>
          <w:rFonts w:ascii="Palatino Linotype" w:eastAsia="Palatino Linotype" w:hAnsi="Palatino Linotype" w:cs="Palatino Linotype"/>
        </w:rPr>
        <w:t xml:space="preserve"> SESIÓN ORDINARIA CELEBRADA EL </w:t>
      </w:r>
      <w:r w:rsidR="003172E5" w:rsidRPr="00E65510">
        <w:rPr>
          <w:rFonts w:ascii="Palatino Linotype" w:eastAsia="Palatino Linotype" w:hAnsi="Palatino Linotype" w:cs="Palatino Linotype"/>
        </w:rPr>
        <w:t>VEINTIDÓS DE ENERO</w:t>
      </w:r>
      <w:r w:rsidRPr="00E65510">
        <w:rPr>
          <w:rFonts w:ascii="Palatino Linotype" w:eastAsia="Palatino Linotype" w:hAnsi="Palatino Linotype" w:cs="Palatino Linotype"/>
        </w:rPr>
        <w:t xml:space="preserve"> DE DOS MIL VEINTI</w:t>
      </w:r>
      <w:r w:rsidR="003172E5" w:rsidRPr="00E65510">
        <w:rPr>
          <w:rFonts w:ascii="Palatino Linotype" w:eastAsia="Palatino Linotype" w:hAnsi="Palatino Linotype" w:cs="Palatino Linotype"/>
        </w:rPr>
        <w:t>CINCO</w:t>
      </w:r>
      <w:r w:rsidRPr="00E65510">
        <w:rPr>
          <w:rFonts w:ascii="Palatino Linotype" w:eastAsia="Palatino Linotype" w:hAnsi="Palatino Linotype" w:cs="Palatino Linotype"/>
        </w:rPr>
        <w:t>, ANTE EL SECRETARIO TÉCNICO DEL PLENO ALEXIS TAPIA RAMÍREZ.</w:t>
      </w:r>
      <w:bookmarkStart w:id="13" w:name="_heading=h.1fob9te" w:colFirst="0" w:colLast="0"/>
      <w:bookmarkEnd w:id="13"/>
    </w:p>
    <w:p w14:paraId="51EA5EDB" w14:textId="77777777" w:rsidR="006C6439" w:rsidRPr="006A14F3" w:rsidRDefault="006C6439">
      <w:pPr>
        <w:spacing w:line="360" w:lineRule="auto"/>
        <w:jc w:val="both"/>
        <w:rPr>
          <w:rFonts w:ascii="Palatino Linotype" w:eastAsia="Palatino Linotype" w:hAnsi="Palatino Linotype" w:cs="Palatino Linotype"/>
        </w:rPr>
      </w:pPr>
    </w:p>
    <w:p w14:paraId="2745E3AF" w14:textId="77777777" w:rsidR="006C6439" w:rsidRPr="006A14F3" w:rsidRDefault="006C6439">
      <w:pPr>
        <w:spacing w:line="360" w:lineRule="auto"/>
        <w:jc w:val="both"/>
        <w:rPr>
          <w:rFonts w:ascii="Palatino Linotype" w:eastAsia="Palatino Linotype" w:hAnsi="Palatino Linotype" w:cs="Palatino Linotype"/>
        </w:rPr>
      </w:pPr>
    </w:p>
    <w:p w14:paraId="3F3C682C" w14:textId="77777777" w:rsidR="006C6439" w:rsidRPr="006A14F3" w:rsidRDefault="006C6439">
      <w:pPr>
        <w:spacing w:line="360" w:lineRule="auto"/>
        <w:jc w:val="both"/>
        <w:rPr>
          <w:rFonts w:ascii="Palatino Linotype" w:eastAsia="Palatino Linotype" w:hAnsi="Palatino Linotype" w:cs="Palatino Linotype"/>
        </w:rPr>
      </w:pPr>
    </w:p>
    <w:p w14:paraId="0B753149" w14:textId="77777777" w:rsidR="006C6439" w:rsidRPr="006A14F3" w:rsidRDefault="006C6439">
      <w:pPr>
        <w:spacing w:line="360" w:lineRule="auto"/>
        <w:jc w:val="both"/>
        <w:rPr>
          <w:rFonts w:ascii="Palatino Linotype" w:eastAsia="Palatino Linotype" w:hAnsi="Palatino Linotype" w:cs="Palatino Linotype"/>
        </w:rPr>
      </w:pPr>
    </w:p>
    <w:p w14:paraId="29F07412" w14:textId="77777777" w:rsidR="006C6439" w:rsidRPr="006A14F3" w:rsidRDefault="006C6439">
      <w:pPr>
        <w:spacing w:line="360" w:lineRule="auto"/>
        <w:jc w:val="both"/>
        <w:rPr>
          <w:rFonts w:ascii="Palatino Linotype" w:eastAsia="Palatino Linotype" w:hAnsi="Palatino Linotype" w:cs="Palatino Linotype"/>
        </w:rPr>
      </w:pPr>
    </w:p>
    <w:p w14:paraId="08A19303" w14:textId="77777777" w:rsidR="006C6439" w:rsidRPr="006A14F3" w:rsidRDefault="006C6439">
      <w:pPr>
        <w:spacing w:line="360" w:lineRule="auto"/>
        <w:jc w:val="both"/>
        <w:rPr>
          <w:rFonts w:ascii="Palatino Linotype" w:eastAsia="Palatino Linotype" w:hAnsi="Palatino Linotype" w:cs="Palatino Linotype"/>
        </w:rPr>
      </w:pPr>
    </w:p>
    <w:p w14:paraId="39917D9B" w14:textId="77777777" w:rsidR="006C6439" w:rsidRPr="006A14F3" w:rsidRDefault="006C6439">
      <w:pPr>
        <w:spacing w:line="360" w:lineRule="auto"/>
        <w:jc w:val="both"/>
        <w:rPr>
          <w:rFonts w:ascii="Palatino Linotype" w:eastAsia="Palatino Linotype" w:hAnsi="Palatino Linotype" w:cs="Palatino Linotype"/>
        </w:rPr>
      </w:pPr>
    </w:p>
    <w:p w14:paraId="1D8C80E5" w14:textId="77777777" w:rsidR="006C6439" w:rsidRPr="006A14F3" w:rsidRDefault="006C6439">
      <w:pPr>
        <w:spacing w:line="360" w:lineRule="auto"/>
        <w:jc w:val="both"/>
        <w:rPr>
          <w:rFonts w:ascii="Palatino Linotype" w:eastAsia="Palatino Linotype" w:hAnsi="Palatino Linotype" w:cs="Palatino Linotype"/>
        </w:rPr>
      </w:pPr>
    </w:p>
    <w:p w14:paraId="3239A603" w14:textId="77777777" w:rsidR="006C6439" w:rsidRPr="006A14F3" w:rsidRDefault="006C6439">
      <w:pPr>
        <w:spacing w:line="360" w:lineRule="auto"/>
        <w:jc w:val="both"/>
        <w:rPr>
          <w:rFonts w:ascii="Palatino Linotype" w:eastAsia="Palatino Linotype" w:hAnsi="Palatino Linotype" w:cs="Palatino Linotype"/>
        </w:rPr>
      </w:pPr>
    </w:p>
    <w:p w14:paraId="68A28C3E" w14:textId="77777777" w:rsidR="006C6439" w:rsidRPr="006A14F3" w:rsidRDefault="006C6439">
      <w:pPr>
        <w:spacing w:line="360" w:lineRule="auto"/>
        <w:jc w:val="both"/>
        <w:rPr>
          <w:rFonts w:ascii="Palatino Linotype" w:eastAsia="Palatino Linotype" w:hAnsi="Palatino Linotype" w:cs="Palatino Linotype"/>
        </w:rPr>
      </w:pPr>
    </w:p>
    <w:p w14:paraId="3EEB077B" w14:textId="77777777" w:rsidR="006C6439" w:rsidRPr="006A14F3" w:rsidRDefault="006C6439">
      <w:pPr>
        <w:spacing w:line="360" w:lineRule="auto"/>
        <w:jc w:val="both"/>
        <w:rPr>
          <w:rFonts w:ascii="Palatino Linotype" w:eastAsia="Palatino Linotype" w:hAnsi="Palatino Linotype" w:cs="Palatino Linotype"/>
        </w:rPr>
      </w:pPr>
    </w:p>
    <w:p w14:paraId="598AD52B" w14:textId="77777777" w:rsidR="006C6439" w:rsidRPr="006A14F3" w:rsidRDefault="006C6439">
      <w:pPr>
        <w:spacing w:line="360" w:lineRule="auto"/>
        <w:jc w:val="both"/>
        <w:rPr>
          <w:rFonts w:ascii="Palatino Linotype" w:eastAsia="Palatino Linotype" w:hAnsi="Palatino Linotype" w:cs="Palatino Linotype"/>
        </w:rPr>
      </w:pPr>
    </w:p>
    <w:p w14:paraId="3E20CA82" w14:textId="77777777" w:rsidR="006C6439" w:rsidRPr="006A14F3" w:rsidRDefault="006C6439">
      <w:pPr>
        <w:spacing w:line="360" w:lineRule="auto"/>
        <w:jc w:val="both"/>
        <w:rPr>
          <w:rFonts w:ascii="Palatino Linotype" w:eastAsia="Palatino Linotype" w:hAnsi="Palatino Linotype" w:cs="Palatino Linotype"/>
        </w:rPr>
      </w:pPr>
    </w:p>
    <w:p w14:paraId="0B05A8AF" w14:textId="77777777" w:rsidR="006C6439" w:rsidRPr="006A14F3" w:rsidRDefault="006C6439">
      <w:pPr>
        <w:spacing w:line="360" w:lineRule="auto"/>
        <w:jc w:val="both"/>
        <w:rPr>
          <w:rFonts w:ascii="Palatino Linotype" w:eastAsia="Palatino Linotype" w:hAnsi="Palatino Linotype" w:cs="Palatino Linotype"/>
        </w:rPr>
      </w:pPr>
    </w:p>
    <w:p w14:paraId="7324F1AD" w14:textId="77777777" w:rsidR="006C6439" w:rsidRPr="006A14F3" w:rsidRDefault="006C6439">
      <w:pPr>
        <w:spacing w:line="360" w:lineRule="auto"/>
        <w:jc w:val="both"/>
        <w:rPr>
          <w:rFonts w:ascii="Palatino Linotype" w:eastAsia="Palatino Linotype" w:hAnsi="Palatino Linotype" w:cs="Palatino Linotype"/>
        </w:rPr>
      </w:pPr>
    </w:p>
    <w:p w14:paraId="6B586B36" w14:textId="77777777" w:rsidR="006C6439" w:rsidRPr="006A14F3" w:rsidRDefault="006C6439">
      <w:pPr>
        <w:spacing w:line="360" w:lineRule="auto"/>
        <w:jc w:val="both"/>
        <w:rPr>
          <w:rFonts w:ascii="Palatino Linotype" w:eastAsia="Palatino Linotype" w:hAnsi="Palatino Linotype" w:cs="Palatino Linotype"/>
        </w:rPr>
      </w:pPr>
    </w:p>
    <w:p w14:paraId="3A15F014" w14:textId="77777777" w:rsidR="006C6439" w:rsidRPr="006A14F3" w:rsidRDefault="006C6439">
      <w:pPr>
        <w:spacing w:line="360" w:lineRule="auto"/>
        <w:jc w:val="both"/>
        <w:rPr>
          <w:rFonts w:ascii="Palatino Linotype" w:eastAsia="Palatino Linotype" w:hAnsi="Palatino Linotype" w:cs="Palatino Linotype"/>
        </w:rPr>
      </w:pPr>
    </w:p>
    <w:p w14:paraId="76A7F3AC" w14:textId="77777777" w:rsidR="006C6439" w:rsidRPr="006A14F3" w:rsidRDefault="006C6439">
      <w:pPr>
        <w:spacing w:line="360" w:lineRule="auto"/>
        <w:jc w:val="both"/>
        <w:rPr>
          <w:rFonts w:ascii="Palatino Linotype" w:eastAsia="Palatino Linotype" w:hAnsi="Palatino Linotype" w:cs="Palatino Linotype"/>
        </w:rPr>
      </w:pPr>
    </w:p>
    <w:p w14:paraId="243C0778" w14:textId="77777777" w:rsidR="006C6439" w:rsidRPr="006A14F3" w:rsidRDefault="006C6439">
      <w:pPr>
        <w:spacing w:line="360" w:lineRule="auto"/>
        <w:jc w:val="both"/>
        <w:rPr>
          <w:rFonts w:ascii="Palatino Linotype" w:eastAsia="Palatino Linotype" w:hAnsi="Palatino Linotype" w:cs="Palatino Linotype"/>
        </w:rPr>
      </w:pPr>
    </w:p>
    <w:p w14:paraId="2DF75558" w14:textId="77777777" w:rsidR="006C6439" w:rsidRPr="006A14F3" w:rsidRDefault="006C6439">
      <w:pPr>
        <w:spacing w:line="360" w:lineRule="auto"/>
        <w:jc w:val="both"/>
        <w:rPr>
          <w:rFonts w:ascii="Palatino Linotype" w:eastAsia="Palatino Linotype" w:hAnsi="Palatino Linotype" w:cs="Palatino Linotype"/>
        </w:rPr>
      </w:pPr>
    </w:p>
    <w:p w14:paraId="0491E724" w14:textId="77777777" w:rsidR="006C6439" w:rsidRPr="006A14F3" w:rsidRDefault="006C6439">
      <w:pPr>
        <w:spacing w:line="360" w:lineRule="auto"/>
        <w:jc w:val="both"/>
        <w:rPr>
          <w:rFonts w:ascii="Palatino Linotype" w:eastAsia="Palatino Linotype" w:hAnsi="Palatino Linotype" w:cs="Palatino Linotype"/>
        </w:rPr>
      </w:pPr>
    </w:p>
    <w:p w14:paraId="6C5CFF35" w14:textId="77777777" w:rsidR="006C6439" w:rsidRPr="006A14F3" w:rsidRDefault="006C6439">
      <w:pPr>
        <w:spacing w:line="360" w:lineRule="auto"/>
        <w:jc w:val="both"/>
        <w:rPr>
          <w:rFonts w:ascii="Palatino Linotype" w:eastAsia="Palatino Linotype" w:hAnsi="Palatino Linotype" w:cs="Palatino Linotype"/>
        </w:rPr>
      </w:pPr>
    </w:p>
    <w:p w14:paraId="46B777C2" w14:textId="77777777" w:rsidR="006C6439" w:rsidRPr="006A14F3" w:rsidRDefault="006C6439">
      <w:pPr>
        <w:spacing w:line="360" w:lineRule="auto"/>
        <w:jc w:val="both"/>
        <w:rPr>
          <w:rFonts w:ascii="Palatino Linotype" w:eastAsia="Palatino Linotype" w:hAnsi="Palatino Linotype" w:cs="Palatino Linotype"/>
        </w:rPr>
      </w:pPr>
    </w:p>
    <w:sectPr w:rsidR="006C6439" w:rsidRPr="006A14F3">
      <w:headerReference w:type="default" r:id="rId12"/>
      <w:footerReference w:type="default" r:id="rId13"/>
      <w:headerReference w:type="first" r:id="rId14"/>
      <w:footerReference w:type="first" r:id="rId15"/>
      <w:pgSz w:w="12240" w:h="15840"/>
      <w:pgMar w:top="1985" w:right="1701" w:bottom="1701" w:left="1701" w:header="709"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122CBB" w14:textId="77777777" w:rsidR="00FD7448" w:rsidRDefault="00FD7448">
      <w:r>
        <w:separator/>
      </w:r>
    </w:p>
  </w:endnote>
  <w:endnote w:type="continuationSeparator" w:id="0">
    <w:p w14:paraId="2C65A90E" w14:textId="77777777" w:rsidR="00FD7448" w:rsidRDefault="00FD74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9BC52" w14:textId="77777777" w:rsidR="00337D99" w:rsidRDefault="00337D99">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3D23D4">
      <w:rPr>
        <w:rFonts w:ascii="Palatino Linotype" w:eastAsia="Palatino Linotype" w:hAnsi="Palatino Linotype" w:cs="Palatino Linotype"/>
        <w:b/>
        <w:noProof/>
        <w:color w:val="000000"/>
        <w:sz w:val="20"/>
        <w:szCs w:val="20"/>
      </w:rPr>
      <w:t>31</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3D23D4">
      <w:rPr>
        <w:rFonts w:ascii="Palatino Linotype" w:eastAsia="Palatino Linotype" w:hAnsi="Palatino Linotype" w:cs="Palatino Linotype"/>
        <w:b/>
        <w:noProof/>
        <w:color w:val="000000"/>
        <w:sz w:val="20"/>
        <w:szCs w:val="20"/>
      </w:rPr>
      <w:t>33</w:t>
    </w:r>
    <w:r>
      <w:rPr>
        <w:rFonts w:ascii="Palatino Linotype" w:eastAsia="Palatino Linotype" w:hAnsi="Palatino Linotype" w:cs="Palatino Linotype"/>
        <w:b/>
        <w:color w:val="000000"/>
        <w:sz w:val="20"/>
        <w:szCs w:val="20"/>
      </w:rPr>
      <w:fldChar w:fldCharType="end"/>
    </w:r>
  </w:p>
  <w:p w14:paraId="345A88CE" w14:textId="77777777" w:rsidR="00337D99" w:rsidRDefault="00337D99">
    <w:pPr>
      <w:pBdr>
        <w:top w:val="nil"/>
        <w:left w:val="nil"/>
        <w:bottom w:val="nil"/>
        <w:right w:val="nil"/>
        <w:between w:val="nil"/>
      </w:pBdr>
      <w:tabs>
        <w:tab w:val="center" w:pos="4252"/>
        <w:tab w:val="right" w:pos="8504"/>
      </w:tabs>
      <w:ind w:firstLine="708"/>
      <w:rPr>
        <w:rFonts w:ascii="Cambria" w:eastAsia="Cambria" w:hAnsi="Cambria" w:cs="Cambria"/>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DACA3" w14:textId="77777777" w:rsidR="00337D99" w:rsidRDefault="00337D99">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3D23D4">
      <w:rPr>
        <w:rFonts w:ascii="Palatino Linotype" w:eastAsia="Palatino Linotype" w:hAnsi="Palatino Linotype" w:cs="Palatino Linotype"/>
        <w:b/>
        <w:noProof/>
        <w:color w:val="000000"/>
        <w:sz w:val="20"/>
        <w:szCs w:val="20"/>
      </w:rPr>
      <w:t>1</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3D23D4">
      <w:rPr>
        <w:rFonts w:ascii="Palatino Linotype" w:eastAsia="Palatino Linotype" w:hAnsi="Palatino Linotype" w:cs="Palatino Linotype"/>
        <w:b/>
        <w:noProof/>
        <w:color w:val="000000"/>
        <w:sz w:val="20"/>
        <w:szCs w:val="20"/>
      </w:rPr>
      <w:t>33</w:t>
    </w:r>
    <w:r>
      <w:rPr>
        <w:rFonts w:ascii="Palatino Linotype" w:eastAsia="Palatino Linotype" w:hAnsi="Palatino Linotype" w:cs="Palatino Linotype"/>
        <w:b/>
        <w:color w:val="000000"/>
        <w:sz w:val="20"/>
        <w:szCs w:val="20"/>
      </w:rPr>
      <w:fldChar w:fldCharType="end"/>
    </w:r>
  </w:p>
  <w:p w14:paraId="7384EF42" w14:textId="77777777" w:rsidR="00337D99" w:rsidRDefault="00337D99">
    <w:pPr>
      <w:pBdr>
        <w:top w:val="nil"/>
        <w:left w:val="nil"/>
        <w:bottom w:val="nil"/>
        <w:right w:val="nil"/>
        <w:between w:val="nil"/>
      </w:pBdr>
      <w:tabs>
        <w:tab w:val="center" w:pos="4252"/>
        <w:tab w:val="right" w:pos="8504"/>
      </w:tabs>
      <w:rPr>
        <w:rFonts w:ascii="Cambria" w:eastAsia="Cambria" w:hAnsi="Cambria" w:cs="Cambria"/>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1E4D7B" w14:textId="77777777" w:rsidR="00FD7448" w:rsidRDefault="00FD7448">
      <w:r>
        <w:separator/>
      </w:r>
    </w:p>
  </w:footnote>
  <w:footnote w:type="continuationSeparator" w:id="0">
    <w:p w14:paraId="6675877D" w14:textId="77777777" w:rsidR="00FD7448" w:rsidRDefault="00FD74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E874A" w14:textId="77777777" w:rsidR="00337D99" w:rsidRDefault="00337D99">
    <w:pPr>
      <w:rPr>
        <w:rFonts w:ascii="Cambria" w:eastAsia="Cambria" w:hAnsi="Cambria" w:cs="Cambria"/>
        <w:color w:val="000000"/>
      </w:rPr>
    </w:pPr>
    <w:r>
      <w:rPr>
        <w:noProof/>
      </w:rPr>
      <w:drawing>
        <wp:anchor distT="0" distB="0" distL="0" distR="0" simplePos="0" relativeHeight="251658240" behindDoc="1" locked="0" layoutInCell="1" hidden="0" allowOverlap="1" wp14:anchorId="44DC1C44" wp14:editId="4B3544EE">
          <wp:simplePos x="0" y="0"/>
          <wp:positionH relativeFrom="column">
            <wp:posOffset>-1080102</wp:posOffset>
          </wp:positionH>
          <wp:positionV relativeFrom="paragraph">
            <wp:posOffset>-488276</wp:posOffset>
          </wp:positionV>
          <wp:extent cx="7809865" cy="10165715"/>
          <wp:effectExtent l="0" t="0" r="0" b="0"/>
          <wp:wrapNone/>
          <wp:docPr id="152431895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809865" cy="10165715"/>
                  </a:xfrm>
                  <a:prstGeom prst="rect">
                    <a:avLst/>
                  </a:prstGeom>
                  <a:ln/>
                </pic:spPr>
              </pic:pic>
            </a:graphicData>
          </a:graphic>
        </wp:anchor>
      </w:drawing>
    </w:r>
  </w:p>
  <w:tbl>
    <w:tblPr>
      <w:tblStyle w:val="af"/>
      <w:tblW w:w="5953" w:type="dxa"/>
      <w:tblInd w:w="3261" w:type="dxa"/>
      <w:tblLayout w:type="fixed"/>
      <w:tblLook w:val="0400" w:firstRow="0" w:lastRow="0" w:firstColumn="0" w:lastColumn="0" w:noHBand="0" w:noVBand="1"/>
    </w:tblPr>
    <w:tblGrid>
      <w:gridCol w:w="2489"/>
      <w:gridCol w:w="3464"/>
    </w:tblGrid>
    <w:tr w:rsidR="00337D99" w14:paraId="1551BA7A" w14:textId="77777777">
      <w:tc>
        <w:tcPr>
          <w:tcW w:w="2489" w:type="dxa"/>
          <w:shd w:val="clear" w:color="auto" w:fill="auto"/>
        </w:tcPr>
        <w:p w14:paraId="50D900F7" w14:textId="77777777" w:rsidR="00337D99" w:rsidRDefault="00337D99">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464" w:type="dxa"/>
          <w:shd w:val="clear" w:color="auto" w:fill="auto"/>
          <w:vAlign w:val="center"/>
        </w:tcPr>
        <w:p w14:paraId="3006F0D4" w14:textId="45593523" w:rsidR="00337D99" w:rsidRDefault="00337D99" w:rsidP="003172E5">
          <w:pPr>
            <w:ind w:right="17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07579/INFOEM/IP/RR/2024</w:t>
          </w:r>
        </w:p>
      </w:tc>
    </w:tr>
    <w:tr w:rsidR="00337D99" w14:paraId="6BCD26CC" w14:textId="77777777">
      <w:trPr>
        <w:trHeight w:val="228"/>
      </w:trPr>
      <w:tc>
        <w:tcPr>
          <w:tcW w:w="2489" w:type="dxa"/>
          <w:shd w:val="clear" w:color="auto" w:fill="auto"/>
          <w:vAlign w:val="center"/>
        </w:tcPr>
        <w:p w14:paraId="7B6B9C67" w14:textId="77777777" w:rsidR="00337D99" w:rsidRDefault="00337D99">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464" w:type="dxa"/>
          <w:shd w:val="clear" w:color="auto" w:fill="auto"/>
          <w:vAlign w:val="center"/>
        </w:tcPr>
        <w:p w14:paraId="6A5C238F" w14:textId="3374C5D7" w:rsidR="00337D99" w:rsidRDefault="00337D99">
          <w:pPr>
            <w:ind w:left="-45" w:right="176"/>
            <w:jc w:val="both"/>
            <w:rPr>
              <w:rFonts w:ascii="Palatino Linotype" w:eastAsia="Palatino Linotype" w:hAnsi="Palatino Linotype" w:cs="Palatino Linotype"/>
              <w:b/>
              <w:sz w:val="22"/>
              <w:szCs w:val="22"/>
            </w:rPr>
          </w:pPr>
          <w:r w:rsidRPr="003172E5">
            <w:rPr>
              <w:rFonts w:ascii="Palatino Linotype" w:eastAsia="Palatino Linotype" w:hAnsi="Palatino Linotype" w:cs="Palatino Linotype"/>
              <w:b/>
              <w:sz w:val="22"/>
              <w:szCs w:val="22"/>
            </w:rPr>
            <w:t>Secretaría de Finanzas</w:t>
          </w:r>
        </w:p>
      </w:tc>
    </w:tr>
    <w:tr w:rsidR="00337D99" w14:paraId="71E951D2" w14:textId="77777777">
      <w:tc>
        <w:tcPr>
          <w:tcW w:w="2489" w:type="dxa"/>
          <w:shd w:val="clear" w:color="auto" w:fill="auto"/>
          <w:vAlign w:val="center"/>
        </w:tcPr>
        <w:p w14:paraId="385657FF" w14:textId="77777777" w:rsidR="00337D99" w:rsidRDefault="00337D99">
          <w:pPr>
            <w:ind w:right="-108"/>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464" w:type="dxa"/>
          <w:shd w:val="clear" w:color="auto" w:fill="auto"/>
          <w:vAlign w:val="center"/>
        </w:tcPr>
        <w:p w14:paraId="637A9D16" w14:textId="77777777" w:rsidR="00337D99" w:rsidRDefault="00337D99">
          <w:pPr>
            <w:ind w:right="17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Guadalupe Ramírez Peña</w:t>
          </w:r>
        </w:p>
      </w:tc>
    </w:tr>
  </w:tbl>
  <w:p w14:paraId="1EF4D6A8" w14:textId="77777777" w:rsidR="00337D99" w:rsidRDefault="00337D99">
    <w:pPr>
      <w:rPr>
        <w:rFonts w:ascii="Cambria" w:eastAsia="Cambria" w:hAnsi="Cambria" w:cs="Cambria"/>
        <w:color w:val="000000"/>
      </w:rPr>
    </w:pPr>
    <w:r>
      <w:rPr>
        <w:rFonts w:ascii="Cambria" w:eastAsia="Cambria" w:hAnsi="Cambria" w:cs="Cambria"/>
        <w:color w:val="000000"/>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A0A8C" w14:textId="77777777" w:rsidR="00337D99" w:rsidRDefault="00337D99">
    <w:pPr>
      <w:widowControl w:val="0"/>
      <w:pBdr>
        <w:top w:val="nil"/>
        <w:left w:val="nil"/>
        <w:bottom w:val="nil"/>
        <w:right w:val="nil"/>
        <w:between w:val="nil"/>
      </w:pBdr>
      <w:spacing w:line="276" w:lineRule="auto"/>
      <w:rPr>
        <w:rFonts w:ascii="Palatino Linotype" w:eastAsia="Palatino Linotype" w:hAnsi="Palatino Linotype" w:cs="Palatino Linotype"/>
        <w:color w:val="000000"/>
        <w:sz w:val="16"/>
        <w:szCs w:val="16"/>
      </w:rPr>
    </w:pPr>
    <w:r>
      <w:rPr>
        <w:rFonts w:ascii="Palatino Linotype" w:eastAsia="Palatino Linotype" w:hAnsi="Palatino Linotype" w:cs="Palatino Linotype"/>
        <w:color w:val="000000"/>
        <w:sz w:val="16"/>
        <w:szCs w:val="16"/>
      </w:rPr>
      <w:t xml:space="preserve"> </w:t>
    </w:r>
    <w:r>
      <w:rPr>
        <w:noProof/>
      </w:rPr>
      <w:drawing>
        <wp:anchor distT="0" distB="0" distL="0" distR="0" simplePos="0" relativeHeight="251659264" behindDoc="1" locked="0" layoutInCell="1" hidden="0" allowOverlap="1" wp14:anchorId="55A236CD" wp14:editId="4B1D363B">
          <wp:simplePos x="0" y="0"/>
          <wp:positionH relativeFrom="column">
            <wp:posOffset>-1080128</wp:posOffset>
          </wp:positionH>
          <wp:positionV relativeFrom="paragraph">
            <wp:posOffset>-369904</wp:posOffset>
          </wp:positionV>
          <wp:extent cx="7809865" cy="10165715"/>
          <wp:effectExtent l="0" t="0" r="0" b="0"/>
          <wp:wrapNone/>
          <wp:docPr id="73736464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809865" cy="10165715"/>
                  </a:xfrm>
                  <a:prstGeom prst="rect">
                    <a:avLst/>
                  </a:prstGeom>
                  <a:ln/>
                </pic:spPr>
              </pic:pic>
            </a:graphicData>
          </a:graphic>
        </wp:anchor>
      </w:drawing>
    </w:r>
  </w:p>
  <w:tbl>
    <w:tblPr>
      <w:tblStyle w:val="af0"/>
      <w:tblW w:w="5953" w:type="dxa"/>
      <w:tblInd w:w="3261" w:type="dxa"/>
      <w:tblLayout w:type="fixed"/>
      <w:tblLook w:val="0400" w:firstRow="0" w:lastRow="0" w:firstColumn="0" w:lastColumn="0" w:noHBand="0" w:noVBand="1"/>
    </w:tblPr>
    <w:tblGrid>
      <w:gridCol w:w="2489"/>
      <w:gridCol w:w="3464"/>
    </w:tblGrid>
    <w:tr w:rsidR="00337D99" w14:paraId="05B559A0" w14:textId="77777777">
      <w:tc>
        <w:tcPr>
          <w:tcW w:w="2489" w:type="dxa"/>
          <w:shd w:val="clear" w:color="auto" w:fill="auto"/>
        </w:tcPr>
        <w:p w14:paraId="650375DF" w14:textId="77777777" w:rsidR="00337D99" w:rsidRDefault="00337D99">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464" w:type="dxa"/>
          <w:shd w:val="clear" w:color="auto" w:fill="auto"/>
          <w:vAlign w:val="center"/>
        </w:tcPr>
        <w:p w14:paraId="50CDE41F" w14:textId="0916722A" w:rsidR="00337D99" w:rsidRDefault="00337D99" w:rsidP="003172E5">
          <w:pPr>
            <w:ind w:right="17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07579/INFOEM/IP/RR/2024</w:t>
          </w:r>
        </w:p>
      </w:tc>
    </w:tr>
    <w:tr w:rsidR="00337D99" w14:paraId="71016CBF" w14:textId="77777777">
      <w:tc>
        <w:tcPr>
          <w:tcW w:w="2489" w:type="dxa"/>
          <w:shd w:val="clear" w:color="auto" w:fill="auto"/>
        </w:tcPr>
        <w:p w14:paraId="193BF2DE" w14:textId="77777777" w:rsidR="00337D99" w:rsidRDefault="00337D99">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Recurrente</w:t>
          </w:r>
        </w:p>
      </w:tc>
      <w:tc>
        <w:tcPr>
          <w:tcW w:w="3464" w:type="dxa"/>
          <w:shd w:val="clear" w:color="auto" w:fill="auto"/>
          <w:vAlign w:val="center"/>
        </w:tcPr>
        <w:p w14:paraId="2BE0FAC7" w14:textId="00A6A963" w:rsidR="00337D99" w:rsidRDefault="00337D99">
          <w:pPr>
            <w:ind w:right="175"/>
            <w:jc w:val="both"/>
            <w:rPr>
              <w:rFonts w:ascii="Palatino Linotype" w:eastAsia="Palatino Linotype" w:hAnsi="Palatino Linotype" w:cs="Palatino Linotype"/>
              <w:b/>
              <w:sz w:val="22"/>
              <w:szCs w:val="22"/>
            </w:rPr>
          </w:pPr>
        </w:p>
      </w:tc>
    </w:tr>
    <w:tr w:rsidR="00337D99" w14:paraId="46A252F7" w14:textId="77777777">
      <w:trPr>
        <w:trHeight w:val="228"/>
      </w:trPr>
      <w:tc>
        <w:tcPr>
          <w:tcW w:w="2489" w:type="dxa"/>
          <w:shd w:val="clear" w:color="auto" w:fill="auto"/>
          <w:vAlign w:val="center"/>
        </w:tcPr>
        <w:p w14:paraId="5EB5CE07" w14:textId="77777777" w:rsidR="00337D99" w:rsidRDefault="00337D99">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464" w:type="dxa"/>
          <w:shd w:val="clear" w:color="auto" w:fill="auto"/>
          <w:vAlign w:val="center"/>
        </w:tcPr>
        <w:p w14:paraId="7FADB915" w14:textId="01F63775" w:rsidR="00337D99" w:rsidRDefault="00337D99">
          <w:pPr>
            <w:ind w:left="-45" w:right="176"/>
            <w:jc w:val="both"/>
            <w:rPr>
              <w:rFonts w:ascii="Palatino Linotype" w:eastAsia="Palatino Linotype" w:hAnsi="Palatino Linotype" w:cs="Palatino Linotype"/>
              <w:b/>
              <w:sz w:val="22"/>
              <w:szCs w:val="22"/>
            </w:rPr>
          </w:pPr>
          <w:r w:rsidRPr="003172E5">
            <w:rPr>
              <w:rFonts w:ascii="Palatino Linotype" w:eastAsia="Palatino Linotype" w:hAnsi="Palatino Linotype" w:cs="Palatino Linotype"/>
              <w:b/>
              <w:sz w:val="22"/>
              <w:szCs w:val="22"/>
            </w:rPr>
            <w:t>Secretaría de Finanzas</w:t>
          </w:r>
        </w:p>
      </w:tc>
    </w:tr>
    <w:tr w:rsidR="00337D99" w14:paraId="6A1E5840" w14:textId="77777777">
      <w:tc>
        <w:tcPr>
          <w:tcW w:w="2489" w:type="dxa"/>
          <w:shd w:val="clear" w:color="auto" w:fill="auto"/>
          <w:vAlign w:val="center"/>
        </w:tcPr>
        <w:p w14:paraId="5C559CC7" w14:textId="77777777" w:rsidR="00337D99" w:rsidRDefault="00337D99">
          <w:pPr>
            <w:ind w:right="-108"/>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464" w:type="dxa"/>
          <w:shd w:val="clear" w:color="auto" w:fill="auto"/>
          <w:vAlign w:val="center"/>
        </w:tcPr>
        <w:p w14:paraId="5B6C7055" w14:textId="77777777" w:rsidR="00337D99" w:rsidRDefault="00337D99">
          <w:pPr>
            <w:ind w:right="17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Guadalupe Ramírez Peña</w:t>
          </w:r>
        </w:p>
      </w:tc>
    </w:tr>
  </w:tbl>
  <w:p w14:paraId="292C7441" w14:textId="77777777" w:rsidR="00337D99" w:rsidRDefault="00337D99"/>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2841E5"/>
    <w:multiLevelType w:val="multilevel"/>
    <w:tmpl w:val="73BEBABE"/>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 w15:restartNumberingAfterBreak="0">
    <w:nsid w:val="3EDF2A4F"/>
    <w:multiLevelType w:val="multilevel"/>
    <w:tmpl w:val="A1C0BF7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3EFE4B73"/>
    <w:multiLevelType w:val="multilevel"/>
    <w:tmpl w:val="883AAB2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3FEC7A78"/>
    <w:multiLevelType w:val="multilevel"/>
    <w:tmpl w:val="39EEDDB8"/>
    <w:lvl w:ilvl="0">
      <w:numFmt w:val="bullet"/>
      <w:lvlText w:val="-"/>
      <w:lvlJc w:val="left"/>
      <w:pPr>
        <w:ind w:left="720" w:hanging="360"/>
      </w:pPr>
      <w:rPr>
        <w:rFonts w:ascii="Palatino Linotype" w:eastAsia="Palatino Linotype" w:hAnsi="Palatino Linotype" w:cs="Palatino Linotype"/>
        <w:b w:val="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48F81297"/>
    <w:multiLevelType w:val="multilevel"/>
    <w:tmpl w:val="B478DD32"/>
    <w:lvl w:ilvl="0">
      <w:start w:val="1"/>
      <w:numFmt w:val="bullet"/>
      <w:pStyle w:val="Listaconvietas3"/>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60AB3BC5"/>
    <w:multiLevelType w:val="hybridMultilevel"/>
    <w:tmpl w:val="230AC37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
  </w:num>
  <w:num w:numId="2">
    <w:abstractNumId w:val="4"/>
  </w:num>
  <w:num w:numId="3">
    <w:abstractNumId w:val="1"/>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4B8B"/>
    <w:rsid w:val="000044FC"/>
    <w:rsid w:val="000067B4"/>
    <w:rsid w:val="00010505"/>
    <w:rsid w:val="0002356C"/>
    <w:rsid w:val="00025B16"/>
    <w:rsid w:val="0003029F"/>
    <w:rsid w:val="0003233E"/>
    <w:rsid w:val="000334DB"/>
    <w:rsid w:val="00036B13"/>
    <w:rsid w:val="000504A3"/>
    <w:rsid w:val="00050A19"/>
    <w:rsid w:val="000605D3"/>
    <w:rsid w:val="00081998"/>
    <w:rsid w:val="00083472"/>
    <w:rsid w:val="000937A3"/>
    <w:rsid w:val="000A6020"/>
    <w:rsid w:val="000B5C12"/>
    <w:rsid w:val="000D2C4B"/>
    <w:rsid w:val="000D4CB0"/>
    <w:rsid w:val="000E1292"/>
    <w:rsid w:val="000F1532"/>
    <w:rsid w:val="000F299B"/>
    <w:rsid w:val="000F3A02"/>
    <w:rsid w:val="000F7D1E"/>
    <w:rsid w:val="001118C1"/>
    <w:rsid w:val="001130A0"/>
    <w:rsid w:val="001232CC"/>
    <w:rsid w:val="001454BF"/>
    <w:rsid w:val="00147C54"/>
    <w:rsid w:val="00151D28"/>
    <w:rsid w:val="001643EB"/>
    <w:rsid w:val="00166145"/>
    <w:rsid w:val="00171042"/>
    <w:rsid w:val="00172245"/>
    <w:rsid w:val="001762D3"/>
    <w:rsid w:val="0019548E"/>
    <w:rsid w:val="00195595"/>
    <w:rsid w:val="001A0B1A"/>
    <w:rsid w:val="001A2024"/>
    <w:rsid w:val="001A397C"/>
    <w:rsid w:val="001D73DC"/>
    <w:rsid w:val="001E0235"/>
    <w:rsid w:val="001E4E53"/>
    <w:rsid w:val="001E5932"/>
    <w:rsid w:val="001F5F57"/>
    <w:rsid w:val="00205909"/>
    <w:rsid w:val="00207F01"/>
    <w:rsid w:val="00215670"/>
    <w:rsid w:val="00225EE9"/>
    <w:rsid w:val="0022742B"/>
    <w:rsid w:val="0023035E"/>
    <w:rsid w:val="00231F5C"/>
    <w:rsid w:val="00235684"/>
    <w:rsid w:val="00244A41"/>
    <w:rsid w:val="00245AE8"/>
    <w:rsid w:val="00263504"/>
    <w:rsid w:val="00270C25"/>
    <w:rsid w:val="00275199"/>
    <w:rsid w:val="00277955"/>
    <w:rsid w:val="002A45A6"/>
    <w:rsid w:val="002B5CEA"/>
    <w:rsid w:val="002C3A65"/>
    <w:rsid w:val="002C62B8"/>
    <w:rsid w:val="002D17C2"/>
    <w:rsid w:val="002D28DA"/>
    <w:rsid w:val="002D6C81"/>
    <w:rsid w:val="002E2F4B"/>
    <w:rsid w:val="002E3FF6"/>
    <w:rsid w:val="002E551A"/>
    <w:rsid w:val="003013AF"/>
    <w:rsid w:val="00307C25"/>
    <w:rsid w:val="003118BB"/>
    <w:rsid w:val="00312C59"/>
    <w:rsid w:val="003172E5"/>
    <w:rsid w:val="00321A79"/>
    <w:rsid w:val="00337D99"/>
    <w:rsid w:val="003401D6"/>
    <w:rsid w:val="0034042A"/>
    <w:rsid w:val="003426BD"/>
    <w:rsid w:val="00345EB2"/>
    <w:rsid w:val="003619F0"/>
    <w:rsid w:val="0037301C"/>
    <w:rsid w:val="0039775E"/>
    <w:rsid w:val="003A1B20"/>
    <w:rsid w:val="003A3E01"/>
    <w:rsid w:val="003A3EE7"/>
    <w:rsid w:val="003B76E8"/>
    <w:rsid w:val="003C2798"/>
    <w:rsid w:val="003D23D4"/>
    <w:rsid w:val="003D7F8C"/>
    <w:rsid w:val="00400FA6"/>
    <w:rsid w:val="00407124"/>
    <w:rsid w:val="004102BD"/>
    <w:rsid w:val="00413C3E"/>
    <w:rsid w:val="0041654B"/>
    <w:rsid w:val="00442943"/>
    <w:rsid w:val="00443939"/>
    <w:rsid w:val="004568C6"/>
    <w:rsid w:val="00497BDD"/>
    <w:rsid w:val="004A02AE"/>
    <w:rsid w:val="004A18B0"/>
    <w:rsid w:val="004B40E4"/>
    <w:rsid w:val="004D02C4"/>
    <w:rsid w:val="004D7730"/>
    <w:rsid w:val="004E172B"/>
    <w:rsid w:val="004F18C1"/>
    <w:rsid w:val="004F644D"/>
    <w:rsid w:val="0051465F"/>
    <w:rsid w:val="00514EC6"/>
    <w:rsid w:val="005157C9"/>
    <w:rsid w:val="00515B31"/>
    <w:rsid w:val="005509B6"/>
    <w:rsid w:val="005511C9"/>
    <w:rsid w:val="005720CB"/>
    <w:rsid w:val="005729C4"/>
    <w:rsid w:val="00572FFA"/>
    <w:rsid w:val="0058642B"/>
    <w:rsid w:val="005908F0"/>
    <w:rsid w:val="00590DCD"/>
    <w:rsid w:val="005A39D8"/>
    <w:rsid w:val="005A60ED"/>
    <w:rsid w:val="005B6740"/>
    <w:rsid w:val="005C0731"/>
    <w:rsid w:val="005C299B"/>
    <w:rsid w:val="005D0DC0"/>
    <w:rsid w:val="005D2008"/>
    <w:rsid w:val="005D46ED"/>
    <w:rsid w:val="005D5736"/>
    <w:rsid w:val="005E5C62"/>
    <w:rsid w:val="005E71B1"/>
    <w:rsid w:val="005F1D48"/>
    <w:rsid w:val="005F7460"/>
    <w:rsid w:val="005F79C4"/>
    <w:rsid w:val="005F7EA7"/>
    <w:rsid w:val="00612318"/>
    <w:rsid w:val="00615D07"/>
    <w:rsid w:val="006173E2"/>
    <w:rsid w:val="0062420F"/>
    <w:rsid w:val="00625248"/>
    <w:rsid w:val="006269DE"/>
    <w:rsid w:val="0063583E"/>
    <w:rsid w:val="006430AC"/>
    <w:rsid w:val="00644EA0"/>
    <w:rsid w:val="006777B4"/>
    <w:rsid w:val="00680A3A"/>
    <w:rsid w:val="00686B4F"/>
    <w:rsid w:val="006A14F3"/>
    <w:rsid w:val="006A338A"/>
    <w:rsid w:val="006A3562"/>
    <w:rsid w:val="006A4FFB"/>
    <w:rsid w:val="006B35CB"/>
    <w:rsid w:val="006B539C"/>
    <w:rsid w:val="006B6EB9"/>
    <w:rsid w:val="006C6439"/>
    <w:rsid w:val="006D0BD9"/>
    <w:rsid w:val="006E379E"/>
    <w:rsid w:val="006E5A21"/>
    <w:rsid w:val="006F4731"/>
    <w:rsid w:val="006F6409"/>
    <w:rsid w:val="00705111"/>
    <w:rsid w:val="0073518F"/>
    <w:rsid w:val="0073656A"/>
    <w:rsid w:val="00752996"/>
    <w:rsid w:val="00785B76"/>
    <w:rsid w:val="007943CF"/>
    <w:rsid w:val="00796596"/>
    <w:rsid w:val="007A1D4C"/>
    <w:rsid w:val="007B4999"/>
    <w:rsid w:val="007C51E0"/>
    <w:rsid w:val="007D5154"/>
    <w:rsid w:val="007D5ABA"/>
    <w:rsid w:val="007E74CD"/>
    <w:rsid w:val="007F02C1"/>
    <w:rsid w:val="007F0A50"/>
    <w:rsid w:val="007F39A5"/>
    <w:rsid w:val="007F6269"/>
    <w:rsid w:val="00803CAC"/>
    <w:rsid w:val="008315D8"/>
    <w:rsid w:val="00835752"/>
    <w:rsid w:val="00842123"/>
    <w:rsid w:val="00850186"/>
    <w:rsid w:val="00854EC3"/>
    <w:rsid w:val="00870338"/>
    <w:rsid w:val="008748F6"/>
    <w:rsid w:val="00883384"/>
    <w:rsid w:val="008875AC"/>
    <w:rsid w:val="00893B03"/>
    <w:rsid w:val="008A63A7"/>
    <w:rsid w:val="008A772A"/>
    <w:rsid w:val="008D2C89"/>
    <w:rsid w:val="008D3E98"/>
    <w:rsid w:val="008E2B4B"/>
    <w:rsid w:val="008E52A7"/>
    <w:rsid w:val="008E5A02"/>
    <w:rsid w:val="00905B8F"/>
    <w:rsid w:val="00913BAB"/>
    <w:rsid w:val="009372BD"/>
    <w:rsid w:val="009560CA"/>
    <w:rsid w:val="00957D0C"/>
    <w:rsid w:val="00987DF4"/>
    <w:rsid w:val="0099519A"/>
    <w:rsid w:val="009A33D5"/>
    <w:rsid w:val="009A3A98"/>
    <w:rsid w:val="009A4B8B"/>
    <w:rsid w:val="009A4ED3"/>
    <w:rsid w:val="009B342A"/>
    <w:rsid w:val="009B6A5A"/>
    <w:rsid w:val="009C6C1B"/>
    <w:rsid w:val="009E4898"/>
    <w:rsid w:val="009E7A14"/>
    <w:rsid w:val="009F00C8"/>
    <w:rsid w:val="009F0D04"/>
    <w:rsid w:val="00A047FF"/>
    <w:rsid w:val="00A12D91"/>
    <w:rsid w:val="00A35817"/>
    <w:rsid w:val="00A50FD5"/>
    <w:rsid w:val="00A62762"/>
    <w:rsid w:val="00A977ED"/>
    <w:rsid w:val="00AA232F"/>
    <w:rsid w:val="00AB0931"/>
    <w:rsid w:val="00AB2842"/>
    <w:rsid w:val="00AB494C"/>
    <w:rsid w:val="00AB6C23"/>
    <w:rsid w:val="00AC5F53"/>
    <w:rsid w:val="00AC6962"/>
    <w:rsid w:val="00AC6B57"/>
    <w:rsid w:val="00AD099F"/>
    <w:rsid w:val="00AD1DCC"/>
    <w:rsid w:val="00AD26AF"/>
    <w:rsid w:val="00AD4C2B"/>
    <w:rsid w:val="00AE0562"/>
    <w:rsid w:val="00B16AE8"/>
    <w:rsid w:val="00B16BE5"/>
    <w:rsid w:val="00B17499"/>
    <w:rsid w:val="00B225C6"/>
    <w:rsid w:val="00B239D3"/>
    <w:rsid w:val="00B545D4"/>
    <w:rsid w:val="00B60B60"/>
    <w:rsid w:val="00B8496B"/>
    <w:rsid w:val="00B91FE9"/>
    <w:rsid w:val="00B968D4"/>
    <w:rsid w:val="00BA1017"/>
    <w:rsid w:val="00BA62A8"/>
    <w:rsid w:val="00BA6C66"/>
    <w:rsid w:val="00BA75AB"/>
    <w:rsid w:val="00BA76A3"/>
    <w:rsid w:val="00BA7803"/>
    <w:rsid w:val="00BB64AD"/>
    <w:rsid w:val="00BD00F9"/>
    <w:rsid w:val="00BD449B"/>
    <w:rsid w:val="00BF05CA"/>
    <w:rsid w:val="00C04748"/>
    <w:rsid w:val="00C16AB8"/>
    <w:rsid w:val="00C20CA6"/>
    <w:rsid w:val="00C34CF6"/>
    <w:rsid w:val="00C37A5B"/>
    <w:rsid w:val="00C4042C"/>
    <w:rsid w:val="00C47ACA"/>
    <w:rsid w:val="00C5024A"/>
    <w:rsid w:val="00C5517C"/>
    <w:rsid w:val="00C5703C"/>
    <w:rsid w:val="00C60BA2"/>
    <w:rsid w:val="00C6383A"/>
    <w:rsid w:val="00C715FE"/>
    <w:rsid w:val="00C87A21"/>
    <w:rsid w:val="00C92E2B"/>
    <w:rsid w:val="00CA434C"/>
    <w:rsid w:val="00CA4604"/>
    <w:rsid w:val="00CC4F20"/>
    <w:rsid w:val="00CF0649"/>
    <w:rsid w:val="00CF23C6"/>
    <w:rsid w:val="00CF3529"/>
    <w:rsid w:val="00CF7C41"/>
    <w:rsid w:val="00D05094"/>
    <w:rsid w:val="00D0560D"/>
    <w:rsid w:val="00D06F2F"/>
    <w:rsid w:val="00D13911"/>
    <w:rsid w:val="00D153FE"/>
    <w:rsid w:val="00D161A5"/>
    <w:rsid w:val="00D27D86"/>
    <w:rsid w:val="00D34C74"/>
    <w:rsid w:val="00D47F40"/>
    <w:rsid w:val="00D632CA"/>
    <w:rsid w:val="00D70849"/>
    <w:rsid w:val="00D721A2"/>
    <w:rsid w:val="00D87558"/>
    <w:rsid w:val="00D876E9"/>
    <w:rsid w:val="00D927D3"/>
    <w:rsid w:val="00D95B7F"/>
    <w:rsid w:val="00DB27C5"/>
    <w:rsid w:val="00DB3721"/>
    <w:rsid w:val="00DB4D77"/>
    <w:rsid w:val="00DB764B"/>
    <w:rsid w:val="00DC1EB6"/>
    <w:rsid w:val="00DC4DD5"/>
    <w:rsid w:val="00DD131C"/>
    <w:rsid w:val="00DD17C8"/>
    <w:rsid w:val="00DD2B3E"/>
    <w:rsid w:val="00DD2E81"/>
    <w:rsid w:val="00DD3F66"/>
    <w:rsid w:val="00DD698B"/>
    <w:rsid w:val="00DD6A23"/>
    <w:rsid w:val="00DE4BB3"/>
    <w:rsid w:val="00DE5911"/>
    <w:rsid w:val="00DE6744"/>
    <w:rsid w:val="00DF083D"/>
    <w:rsid w:val="00E109EE"/>
    <w:rsid w:val="00E24B16"/>
    <w:rsid w:val="00E336BC"/>
    <w:rsid w:val="00E409A7"/>
    <w:rsid w:val="00E40E97"/>
    <w:rsid w:val="00E432A8"/>
    <w:rsid w:val="00E5228F"/>
    <w:rsid w:val="00E5748E"/>
    <w:rsid w:val="00E65510"/>
    <w:rsid w:val="00E70C39"/>
    <w:rsid w:val="00E72734"/>
    <w:rsid w:val="00E7728E"/>
    <w:rsid w:val="00E77D61"/>
    <w:rsid w:val="00E8429B"/>
    <w:rsid w:val="00E97FF0"/>
    <w:rsid w:val="00EB3F96"/>
    <w:rsid w:val="00EC4690"/>
    <w:rsid w:val="00EC6189"/>
    <w:rsid w:val="00ED1899"/>
    <w:rsid w:val="00ED73D7"/>
    <w:rsid w:val="00ED7D89"/>
    <w:rsid w:val="00EF1F86"/>
    <w:rsid w:val="00EF6762"/>
    <w:rsid w:val="00F10253"/>
    <w:rsid w:val="00F10AB2"/>
    <w:rsid w:val="00F13F3C"/>
    <w:rsid w:val="00F1662D"/>
    <w:rsid w:val="00F324BF"/>
    <w:rsid w:val="00F425DC"/>
    <w:rsid w:val="00F54B8D"/>
    <w:rsid w:val="00F568E6"/>
    <w:rsid w:val="00F57183"/>
    <w:rsid w:val="00F720A4"/>
    <w:rsid w:val="00F8249A"/>
    <w:rsid w:val="00F93A14"/>
    <w:rsid w:val="00FC1AD5"/>
    <w:rsid w:val="00FD7448"/>
    <w:rsid w:val="00FD744E"/>
    <w:rsid w:val="00FF230D"/>
    <w:rsid w:val="00FF5B2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3B663C"/>
  <w15:docId w15:val="{2F42E196-49C5-41FE-92C4-2A15F33C11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240"/>
      <w:outlineLvl w:val="0"/>
    </w:pPr>
    <w:rPr>
      <w:rFonts w:ascii="Calibri" w:eastAsia="Calibri" w:hAnsi="Calibri" w:cs="Calibri"/>
      <w:color w:val="366091"/>
      <w:sz w:val="32"/>
      <w:szCs w:val="32"/>
    </w:rPr>
  </w:style>
  <w:style w:type="paragraph" w:styleId="Ttulo2">
    <w:name w:val="heading 2"/>
    <w:basedOn w:val="Normal"/>
    <w:next w:val="Normal"/>
    <w:uiPriority w:val="9"/>
    <w:semiHidden/>
    <w:unhideWhenUsed/>
    <w:qFormat/>
    <w:pPr>
      <w:keepNext/>
      <w:keepLines/>
      <w:spacing w:before="40"/>
      <w:outlineLvl w:val="1"/>
    </w:pPr>
    <w:rPr>
      <w:rFonts w:ascii="Calibri" w:eastAsia="Calibri" w:hAnsi="Calibri" w:cs="Calibri"/>
      <w:color w:val="366091"/>
      <w:sz w:val="26"/>
      <w:szCs w:val="26"/>
    </w:rPr>
  </w:style>
  <w:style w:type="paragraph" w:styleId="Ttulo3">
    <w:name w:val="heading 3"/>
    <w:basedOn w:val="Normal"/>
    <w:next w:val="Normal"/>
    <w:uiPriority w:val="9"/>
    <w:semiHidden/>
    <w:unhideWhenUsed/>
    <w:qFormat/>
    <w:pPr>
      <w:keepNext/>
      <w:spacing w:before="240" w:after="60"/>
      <w:ind w:left="2160" w:hanging="720"/>
      <w:outlineLvl w:val="2"/>
    </w:pPr>
    <w:rPr>
      <w:rFonts w:ascii="Calibri" w:eastAsia="Calibri" w:hAnsi="Calibri" w:cs="Calibri"/>
      <w:b/>
      <w:sz w:val="26"/>
      <w:szCs w:val="26"/>
    </w:rPr>
  </w:style>
  <w:style w:type="paragraph" w:styleId="Ttulo4">
    <w:name w:val="heading 4"/>
    <w:basedOn w:val="Normal"/>
    <w:next w:val="Normal"/>
    <w:uiPriority w:val="9"/>
    <w:semiHidden/>
    <w:unhideWhenUsed/>
    <w:qFormat/>
    <w:pPr>
      <w:keepNext/>
      <w:spacing w:before="240" w:after="60"/>
      <w:ind w:left="2880" w:hanging="720"/>
      <w:outlineLvl w:val="3"/>
    </w:pPr>
    <w:rPr>
      <w:rFonts w:ascii="Cambria" w:eastAsia="Cambria" w:hAnsi="Cambria" w:cs="Cambria"/>
      <w:b/>
      <w:sz w:val="28"/>
      <w:szCs w:val="28"/>
    </w:rPr>
  </w:style>
  <w:style w:type="paragraph" w:styleId="Ttulo5">
    <w:name w:val="heading 5"/>
    <w:basedOn w:val="Normal"/>
    <w:next w:val="Normal"/>
    <w:uiPriority w:val="9"/>
    <w:semiHidden/>
    <w:unhideWhenUsed/>
    <w:qFormat/>
    <w:pPr>
      <w:spacing w:before="240" w:after="60"/>
      <w:ind w:left="3600" w:hanging="720"/>
      <w:outlineLvl w:val="4"/>
    </w:pPr>
    <w:rPr>
      <w:rFonts w:ascii="Cambria" w:eastAsia="Cambria" w:hAnsi="Cambria" w:cs="Cambria"/>
      <w:b/>
      <w:i/>
      <w:sz w:val="26"/>
      <w:szCs w:val="26"/>
    </w:rPr>
  </w:style>
  <w:style w:type="paragraph" w:styleId="Ttulo6">
    <w:name w:val="heading 6"/>
    <w:basedOn w:val="Normal"/>
    <w:next w:val="Normal"/>
    <w:uiPriority w:val="9"/>
    <w:semiHidden/>
    <w:unhideWhenUsed/>
    <w:qFormat/>
    <w:pPr>
      <w:spacing w:before="240" w:after="60"/>
      <w:ind w:left="4320" w:hanging="720"/>
      <w:outlineLvl w:val="5"/>
    </w:pPr>
    <w:rPr>
      <w:b/>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table" w:customStyle="1" w:styleId="TableNormal5">
    <w:name w:val="Table Normal"/>
    <w:tblPr>
      <w:tblCellMar>
        <w:top w:w="0" w:type="dxa"/>
        <w:left w:w="0" w:type="dxa"/>
        <w:bottom w:w="0" w:type="dxa"/>
        <w:right w:w="0" w:type="dxa"/>
      </w:tblCellMar>
    </w:tblPr>
  </w:style>
  <w:style w:type="table" w:customStyle="1" w:styleId="TableNormal6">
    <w:name w:val="Table Normal"/>
    <w:tblPr>
      <w:tblCellMar>
        <w:top w:w="0" w:type="dxa"/>
        <w:left w:w="0" w:type="dxa"/>
        <w:bottom w:w="0" w:type="dxa"/>
        <w:right w:w="0" w:type="dxa"/>
      </w:tblCellMar>
    </w:tblPr>
  </w:style>
  <w:style w:type="table" w:customStyle="1" w:styleId="TableNormal7">
    <w:name w:val="Table Normal"/>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7"/>
    <w:tblPr>
      <w:tblStyleRowBandSize w:val="1"/>
      <w:tblStyleColBandSize w:val="1"/>
      <w:tblCellMar>
        <w:left w:w="115" w:type="dxa"/>
        <w:right w:w="115" w:type="dxa"/>
      </w:tblCellMar>
    </w:tblPr>
  </w:style>
  <w:style w:type="table" w:customStyle="1" w:styleId="a0">
    <w:basedOn w:val="TableNormal7"/>
    <w:tblPr>
      <w:tblStyleRowBandSize w:val="1"/>
      <w:tblStyleColBandSize w:val="1"/>
      <w:tblCellMar>
        <w:left w:w="115" w:type="dxa"/>
        <w:right w:w="115" w:type="dxa"/>
      </w:tblCellMar>
    </w:tblPr>
  </w:style>
  <w:style w:type="paragraph" w:styleId="Encabezado">
    <w:name w:val="header"/>
    <w:basedOn w:val="Normal"/>
    <w:link w:val="EncabezadoCar"/>
    <w:uiPriority w:val="99"/>
    <w:unhideWhenUsed/>
    <w:rsid w:val="000D197B"/>
    <w:pPr>
      <w:tabs>
        <w:tab w:val="center" w:pos="4419"/>
        <w:tab w:val="right" w:pos="8838"/>
      </w:tabs>
    </w:pPr>
  </w:style>
  <w:style w:type="character" w:customStyle="1" w:styleId="EncabezadoCar">
    <w:name w:val="Encabezado Car"/>
    <w:basedOn w:val="Fuentedeprrafopredeter"/>
    <w:link w:val="Encabezado"/>
    <w:uiPriority w:val="99"/>
    <w:rsid w:val="000D197B"/>
  </w:style>
  <w:style w:type="paragraph" w:styleId="Piedepgina">
    <w:name w:val="footer"/>
    <w:basedOn w:val="Normal"/>
    <w:link w:val="PiedepginaCar"/>
    <w:uiPriority w:val="99"/>
    <w:unhideWhenUsed/>
    <w:rsid w:val="000D197B"/>
    <w:pPr>
      <w:tabs>
        <w:tab w:val="center" w:pos="4419"/>
        <w:tab w:val="right" w:pos="8838"/>
      </w:tabs>
    </w:pPr>
  </w:style>
  <w:style w:type="character" w:customStyle="1" w:styleId="PiedepginaCar">
    <w:name w:val="Pie de página Car"/>
    <w:basedOn w:val="Fuentedeprrafopredeter"/>
    <w:link w:val="Piedepgina"/>
    <w:uiPriority w:val="99"/>
    <w:rsid w:val="000D197B"/>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72"/>
    <w:qFormat/>
    <w:rsid w:val="00C43334"/>
    <w:pPr>
      <w:ind w:left="720"/>
      <w:contextualSpacing/>
    </w:pPr>
  </w:style>
  <w:style w:type="paragraph" w:styleId="NormalWeb">
    <w:name w:val="Normal (Web)"/>
    <w:basedOn w:val="Normal"/>
    <w:uiPriority w:val="99"/>
    <w:unhideWhenUsed/>
    <w:rsid w:val="00476335"/>
    <w:pPr>
      <w:spacing w:before="100" w:beforeAutospacing="1" w:after="100" w:afterAutospacing="1"/>
    </w:p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806B5C"/>
    <w:rPr>
      <w:rFonts w:asciiTheme="minorHAnsi" w:eastAsiaTheme="minorHAnsi" w:hAnsiTheme="minorHAnsi" w:cstheme="minorBidi"/>
      <w:sz w:val="20"/>
      <w:szCs w:val="20"/>
      <w:lang w:eastAsia="en-U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rsid w:val="00806B5C"/>
    <w:rPr>
      <w:rFonts w:asciiTheme="minorHAnsi" w:eastAsiaTheme="minorHAnsi" w:hAnsiTheme="minorHAnsi" w:cstheme="minorBidi"/>
      <w:sz w:val="20"/>
      <w:szCs w:val="20"/>
      <w:lang w:eastAsia="en-US"/>
    </w:rPr>
  </w:style>
  <w:style w:type="character" w:styleId="Refdenotaalpie">
    <w:name w:val="footnote reference"/>
    <w:aliases w:val="Footnotes refss,Texto de nota al pie,Ref. de nota al pie 2,Appel note de bas de page,referencia nota al pie,BVI fnr,Footnote number,4_G,16 Point,Superscript 6 Point,Texto nota al pie,Footnote Reference Char3,Ref,de nota al pie,註腳內容"/>
    <w:basedOn w:val="Fuentedeprrafopredeter"/>
    <w:uiPriority w:val="99"/>
    <w:unhideWhenUsed/>
    <w:qFormat/>
    <w:rsid w:val="00806B5C"/>
    <w:rPr>
      <w:vertAlign w:val="superscript"/>
    </w:rPr>
  </w:style>
  <w:style w:type="table" w:customStyle="1" w:styleId="a1">
    <w:basedOn w:val="TableNormal7"/>
    <w:tblPr>
      <w:tblStyleRowBandSize w:val="1"/>
      <w:tblStyleColBandSize w:val="1"/>
      <w:tblCellMar>
        <w:left w:w="115" w:type="dxa"/>
        <w:right w:w="115" w:type="dxa"/>
      </w:tblCellMar>
    </w:tblPr>
  </w:style>
  <w:style w:type="table" w:customStyle="1" w:styleId="a2">
    <w:basedOn w:val="TableNormal7"/>
    <w:tblPr>
      <w:tblStyleRowBandSize w:val="1"/>
      <w:tblStyleColBandSize w:val="1"/>
      <w:tblCellMar>
        <w:left w:w="115" w:type="dxa"/>
        <w:right w:w="115" w:type="dxa"/>
      </w:tblCellMar>
    </w:tblPr>
  </w:style>
  <w:style w:type="character" w:styleId="Hipervnculo">
    <w:name w:val="Hyperlink"/>
    <w:basedOn w:val="Fuentedeprrafopredeter"/>
    <w:uiPriority w:val="99"/>
    <w:unhideWhenUsed/>
    <w:rsid w:val="00504D6C"/>
    <w:rPr>
      <w:color w:val="0000FF" w:themeColor="hyperlink"/>
      <w:u w:val="single"/>
    </w:rPr>
  </w:style>
  <w:style w:type="character" w:styleId="Hipervnculovisitado">
    <w:name w:val="FollowedHyperlink"/>
    <w:basedOn w:val="Fuentedeprrafopredeter"/>
    <w:uiPriority w:val="99"/>
    <w:semiHidden/>
    <w:unhideWhenUsed/>
    <w:rsid w:val="00504D6C"/>
    <w:rPr>
      <w:color w:val="800080" w:themeColor="followedHyperlink"/>
      <w:u w:val="single"/>
    </w:rPr>
  </w:style>
  <w:style w:type="table" w:styleId="Tablaconcuadrcula">
    <w:name w:val="Table Grid"/>
    <w:basedOn w:val="Tablanormal"/>
    <w:uiPriority w:val="39"/>
    <w:rsid w:val="00134A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3">
    <w:basedOn w:val="TableNormal6"/>
    <w:tblPr>
      <w:tblStyleRowBandSize w:val="1"/>
      <w:tblStyleColBandSize w:val="1"/>
      <w:tblCellMar>
        <w:left w:w="115" w:type="dxa"/>
        <w:right w:w="115" w:type="dxa"/>
      </w:tblCellMar>
    </w:tblPr>
  </w:style>
  <w:style w:type="table" w:customStyle="1" w:styleId="a4">
    <w:basedOn w:val="TableNormal6"/>
    <w:tblPr>
      <w:tblStyleRowBandSize w:val="1"/>
      <w:tblStyleColBandSize w:val="1"/>
      <w:tblCellMar>
        <w:left w:w="115" w:type="dxa"/>
        <w:right w:w="115" w:type="dxa"/>
      </w:tblCellMar>
    </w:tblPr>
  </w:style>
  <w:style w:type="paragraph" w:styleId="Listaconvietas3">
    <w:name w:val="List Bullet 3"/>
    <w:basedOn w:val="Normal"/>
    <w:uiPriority w:val="99"/>
    <w:unhideWhenUsed/>
    <w:rsid w:val="005E017B"/>
    <w:pPr>
      <w:numPr>
        <w:numId w:val="2"/>
      </w:numPr>
      <w:contextualSpacing/>
    </w:pPr>
  </w:style>
  <w:style w:type="character" w:customStyle="1" w:styleId="yt-core-attributed-string--link-inherit-color">
    <w:name w:val="yt-core-attributed-string--link-inherit-color"/>
    <w:basedOn w:val="Fuentedeprrafopredeter"/>
    <w:rsid w:val="00EA0BEF"/>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basedOn w:val="Fuentedeprrafopredeter"/>
    <w:link w:val="Prrafodelista"/>
    <w:uiPriority w:val="72"/>
    <w:qFormat/>
    <w:locked/>
    <w:rsid w:val="00452086"/>
  </w:style>
  <w:style w:type="character" w:customStyle="1" w:styleId="Mencinsinresolver1">
    <w:name w:val="Mención sin resolver1"/>
    <w:basedOn w:val="Fuentedeprrafopredeter"/>
    <w:uiPriority w:val="99"/>
    <w:semiHidden/>
    <w:unhideWhenUsed/>
    <w:rsid w:val="00C64B15"/>
    <w:rPr>
      <w:color w:val="605E5C"/>
      <w:shd w:val="clear" w:color="auto" w:fill="E1DFDD"/>
    </w:rPr>
  </w:style>
  <w:style w:type="paragraph" w:customStyle="1" w:styleId="Default">
    <w:name w:val="Default"/>
    <w:rsid w:val="00B92077"/>
    <w:pPr>
      <w:autoSpaceDE w:val="0"/>
      <w:autoSpaceDN w:val="0"/>
      <w:adjustRightInd w:val="0"/>
    </w:pPr>
    <w:rPr>
      <w:rFonts w:ascii="Arial" w:hAnsi="Arial" w:cs="Arial"/>
      <w:color w:val="000000"/>
    </w:rPr>
  </w:style>
  <w:style w:type="character" w:customStyle="1" w:styleId="Mencinsinresolver2">
    <w:name w:val="Mención sin resolver2"/>
    <w:basedOn w:val="Fuentedeprrafopredeter"/>
    <w:uiPriority w:val="99"/>
    <w:semiHidden/>
    <w:unhideWhenUsed/>
    <w:rsid w:val="00251B93"/>
    <w:rPr>
      <w:color w:val="605E5C"/>
      <w:shd w:val="clear" w:color="auto" w:fill="E1DFDD"/>
    </w:rPr>
  </w:style>
  <w:style w:type="paragraph" w:styleId="Textodeglobo">
    <w:name w:val="Balloon Text"/>
    <w:basedOn w:val="Normal"/>
    <w:link w:val="TextodegloboCar"/>
    <w:uiPriority w:val="99"/>
    <w:semiHidden/>
    <w:unhideWhenUsed/>
    <w:rsid w:val="00DD0D64"/>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D0D64"/>
    <w:rPr>
      <w:rFonts w:ascii="Segoe UI" w:hAnsi="Segoe UI" w:cs="Segoe UI"/>
      <w:sz w:val="18"/>
      <w:szCs w:val="18"/>
    </w:rPr>
  </w:style>
  <w:style w:type="paragraph" w:styleId="Sinespaciado">
    <w:name w:val="No Spacing"/>
    <w:aliases w:val="Francesa"/>
    <w:link w:val="SinespaciadoCar"/>
    <w:uiPriority w:val="1"/>
    <w:qFormat/>
    <w:rsid w:val="000D0148"/>
    <w:rPr>
      <w:rFonts w:asciiTheme="minorHAnsi" w:eastAsiaTheme="minorHAnsi" w:hAnsiTheme="minorHAnsi" w:cstheme="minorBidi"/>
      <w:sz w:val="22"/>
      <w:szCs w:val="22"/>
      <w:lang w:eastAsia="en-US"/>
    </w:rPr>
  </w:style>
  <w:style w:type="character" w:customStyle="1" w:styleId="SinespaciadoCar">
    <w:name w:val="Sin espaciado Car"/>
    <w:aliases w:val="Francesa Car"/>
    <w:link w:val="Sinespaciado"/>
    <w:uiPriority w:val="1"/>
    <w:locked/>
    <w:rsid w:val="000D0148"/>
    <w:rPr>
      <w:rFonts w:asciiTheme="minorHAnsi" w:eastAsiaTheme="minorHAnsi" w:hAnsiTheme="minorHAnsi" w:cstheme="minorBidi"/>
      <w:sz w:val="22"/>
      <w:szCs w:val="22"/>
      <w:lang w:eastAsia="en-US"/>
    </w:rPr>
  </w:style>
  <w:style w:type="table" w:customStyle="1" w:styleId="a5">
    <w:basedOn w:val="TableNormal5"/>
    <w:tblPr>
      <w:tblStyleRowBandSize w:val="1"/>
      <w:tblStyleColBandSize w:val="1"/>
      <w:tblCellMar>
        <w:left w:w="115" w:type="dxa"/>
        <w:right w:w="115" w:type="dxa"/>
      </w:tblCellMar>
    </w:tblPr>
  </w:style>
  <w:style w:type="table" w:customStyle="1" w:styleId="a6">
    <w:basedOn w:val="TableNormal5"/>
    <w:tblPr>
      <w:tblStyleRowBandSize w:val="1"/>
      <w:tblStyleColBandSize w:val="1"/>
      <w:tblCellMar>
        <w:left w:w="115" w:type="dxa"/>
        <w:right w:w="115" w:type="dxa"/>
      </w:tblCellMar>
    </w:tblPr>
  </w:style>
  <w:style w:type="character" w:customStyle="1" w:styleId="Mencinsinresolver3">
    <w:name w:val="Mención sin resolver3"/>
    <w:basedOn w:val="Fuentedeprrafopredeter"/>
    <w:uiPriority w:val="99"/>
    <w:semiHidden/>
    <w:unhideWhenUsed/>
    <w:rsid w:val="004D7E58"/>
    <w:rPr>
      <w:color w:val="605E5C"/>
      <w:shd w:val="clear" w:color="auto" w:fill="E1DFDD"/>
    </w:rPr>
  </w:style>
  <w:style w:type="table" w:customStyle="1" w:styleId="a7">
    <w:basedOn w:val="TableNormal4"/>
    <w:tblPr>
      <w:tblStyleRowBandSize w:val="1"/>
      <w:tblStyleColBandSize w:val="1"/>
      <w:tblCellMar>
        <w:left w:w="115" w:type="dxa"/>
        <w:right w:w="115" w:type="dxa"/>
      </w:tblCellMar>
    </w:tblPr>
  </w:style>
  <w:style w:type="table" w:customStyle="1" w:styleId="a8">
    <w:basedOn w:val="TableNormal4"/>
    <w:tblPr>
      <w:tblStyleRowBandSize w:val="1"/>
      <w:tblStyleColBandSize w:val="1"/>
      <w:tblCellMar>
        <w:left w:w="115" w:type="dxa"/>
        <w:right w:w="115" w:type="dxa"/>
      </w:tblCellMar>
    </w:tblPr>
  </w:style>
  <w:style w:type="character" w:customStyle="1" w:styleId="Mencinsinresolver4">
    <w:name w:val="Mención sin resolver4"/>
    <w:basedOn w:val="Fuentedeprrafopredeter"/>
    <w:uiPriority w:val="99"/>
    <w:semiHidden/>
    <w:unhideWhenUsed/>
    <w:rsid w:val="00725B9E"/>
    <w:rPr>
      <w:color w:val="605E5C"/>
      <w:shd w:val="clear" w:color="auto" w:fill="E1DFDD"/>
    </w:rPr>
  </w:style>
  <w:style w:type="table" w:customStyle="1" w:styleId="a9">
    <w:basedOn w:val="TableNormal3"/>
    <w:tblPr>
      <w:tblStyleRowBandSize w:val="1"/>
      <w:tblStyleColBandSize w:val="1"/>
      <w:tblCellMar>
        <w:left w:w="115" w:type="dxa"/>
        <w:right w:w="115" w:type="dxa"/>
      </w:tblCellMar>
    </w:tblPr>
  </w:style>
  <w:style w:type="table" w:customStyle="1" w:styleId="aa">
    <w:basedOn w:val="TableNormal3"/>
    <w:tblPr>
      <w:tblStyleRowBandSize w:val="1"/>
      <w:tblStyleColBandSize w:val="1"/>
      <w:tblCellMar>
        <w:left w:w="115" w:type="dxa"/>
        <w:right w:w="115" w:type="dxa"/>
      </w:tblCellMar>
    </w:tblPr>
  </w:style>
  <w:style w:type="table" w:customStyle="1" w:styleId="ab">
    <w:basedOn w:val="TableNormal2"/>
    <w:tblPr>
      <w:tblStyleRowBandSize w:val="1"/>
      <w:tblStyleColBandSize w:val="1"/>
      <w:tblCellMar>
        <w:left w:w="115" w:type="dxa"/>
        <w:right w:w="115" w:type="dxa"/>
      </w:tblCellMar>
    </w:tblPr>
  </w:style>
  <w:style w:type="table" w:customStyle="1" w:styleId="ac">
    <w:basedOn w:val="TableNormal2"/>
    <w:tblPr>
      <w:tblStyleRowBandSize w:val="1"/>
      <w:tblStyleColBandSize w:val="1"/>
      <w:tblCellMar>
        <w:left w:w="115" w:type="dxa"/>
        <w:right w:w="115" w:type="dxa"/>
      </w:tblCellMar>
    </w:tblPr>
  </w:style>
  <w:style w:type="character" w:styleId="Refdecomentario">
    <w:name w:val="annotation reference"/>
    <w:basedOn w:val="Fuentedeprrafopredeter"/>
    <w:uiPriority w:val="99"/>
    <w:semiHidden/>
    <w:unhideWhenUsed/>
    <w:rsid w:val="0061419D"/>
    <w:rPr>
      <w:sz w:val="16"/>
      <w:szCs w:val="16"/>
    </w:rPr>
  </w:style>
  <w:style w:type="paragraph" w:styleId="Textocomentario">
    <w:name w:val="annotation text"/>
    <w:basedOn w:val="Normal"/>
    <w:link w:val="TextocomentarioCar"/>
    <w:uiPriority w:val="99"/>
    <w:semiHidden/>
    <w:unhideWhenUsed/>
    <w:rsid w:val="0061419D"/>
    <w:rPr>
      <w:sz w:val="20"/>
      <w:szCs w:val="20"/>
    </w:rPr>
  </w:style>
  <w:style w:type="character" w:customStyle="1" w:styleId="TextocomentarioCar">
    <w:name w:val="Texto comentario Car"/>
    <w:basedOn w:val="Fuentedeprrafopredeter"/>
    <w:link w:val="Textocomentario"/>
    <w:uiPriority w:val="99"/>
    <w:semiHidden/>
    <w:rsid w:val="0061419D"/>
    <w:rPr>
      <w:sz w:val="20"/>
      <w:szCs w:val="20"/>
    </w:rPr>
  </w:style>
  <w:style w:type="paragraph" w:styleId="Asuntodelcomentario">
    <w:name w:val="annotation subject"/>
    <w:basedOn w:val="Textocomentario"/>
    <w:next w:val="Textocomentario"/>
    <w:link w:val="AsuntodelcomentarioCar"/>
    <w:uiPriority w:val="99"/>
    <w:semiHidden/>
    <w:unhideWhenUsed/>
    <w:rsid w:val="0061419D"/>
    <w:rPr>
      <w:b/>
      <w:bCs/>
    </w:rPr>
  </w:style>
  <w:style w:type="character" w:customStyle="1" w:styleId="AsuntodelcomentarioCar">
    <w:name w:val="Asunto del comentario Car"/>
    <w:basedOn w:val="TextocomentarioCar"/>
    <w:link w:val="Asuntodelcomentario"/>
    <w:uiPriority w:val="99"/>
    <w:semiHidden/>
    <w:rsid w:val="0061419D"/>
    <w:rPr>
      <w:b/>
      <w:bCs/>
      <w:sz w:val="20"/>
      <w:szCs w:val="20"/>
    </w:rPr>
  </w:style>
  <w:style w:type="table" w:customStyle="1" w:styleId="ad">
    <w:basedOn w:val="TableNormal1"/>
    <w:tblPr>
      <w:tblStyleRowBandSize w:val="1"/>
      <w:tblStyleColBandSize w:val="1"/>
      <w:tblCellMar>
        <w:left w:w="115" w:type="dxa"/>
        <w:right w:w="115" w:type="dxa"/>
      </w:tblCellMar>
    </w:tblPr>
  </w:style>
  <w:style w:type="table" w:customStyle="1" w:styleId="ae">
    <w:basedOn w:val="TableNormal1"/>
    <w:tblPr>
      <w:tblStyleRowBandSize w:val="1"/>
      <w:tblStyleColBandSize w:val="1"/>
      <w:tblCellMar>
        <w:left w:w="115" w:type="dxa"/>
        <w:right w:w="115" w:type="dxa"/>
      </w:tblCellMar>
    </w:tblPr>
  </w:style>
  <w:style w:type="table" w:customStyle="1" w:styleId="af">
    <w:basedOn w:val="TableNormal0"/>
    <w:tblPr>
      <w:tblStyleRowBandSize w:val="1"/>
      <w:tblStyleColBandSize w:val="1"/>
      <w:tblCellMar>
        <w:left w:w="115" w:type="dxa"/>
        <w:right w:w="115" w:type="dxa"/>
      </w:tblCellMar>
    </w:tblPr>
  </w:style>
  <w:style w:type="table" w:customStyle="1" w:styleId="af0">
    <w:basedOn w:val="TableNormal0"/>
    <w:tblPr>
      <w:tblStyleRowBandSize w:val="1"/>
      <w:tblStyleColBandSize w:val="1"/>
      <w:tblCellMar>
        <w:left w:w="115" w:type="dxa"/>
        <w:right w:w="115" w:type="dxa"/>
      </w:tblCellMar>
    </w:tblPr>
  </w:style>
  <w:style w:type="character" w:styleId="Textoennegrita">
    <w:name w:val="Strong"/>
    <w:basedOn w:val="Fuentedeprrafopredeter"/>
    <w:uiPriority w:val="22"/>
    <w:qFormat/>
    <w:rsid w:val="00B225C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oo5kAM6/abrPjnsEO8CxxY4q1kQ==">CgMxLjAyCWguNGQzNG9nODIIaC5namRneHMyCWguM2R5NnZrbTIJaC4zMGowemxsMgloLjJzOGV5bzEyCGgudHlqY3d0MgloLjN6bnlzaDcyCWguMmV0OTJwMDIJaC4yNmluMXJnMgloLjFrc3Y0dXYyCWguMzVua3VuMjIJaC4xN2RwOHZ1MghoLmxueGJ6OTIJaC4xZm9iOXRlMgloLjNyZGNyam4yCWguMXQzaDVzZjgAciExbFRnRzdDcHFmS1AzbnM5RXlCZVdqWU01dFJrSS1RTWY=</go:docsCustomData>
</go:gDocsCustomXmlDataStorage>
</file>

<file path=customXml/itemProps1.xml><?xml version="1.0" encoding="utf-8"?>
<ds:datastoreItem xmlns:ds="http://schemas.openxmlformats.org/officeDocument/2006/customXml" ds:itemID="{01520691-BF60-4B84-A5EB-86A48A3EE530}">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33</Pages>
  <Words>8069</Words>
  <Characters>44382</Characters>
  <Application>Microsoft Office Word</Application>
  <DocSecurity>0</DocSecurity>
  <Lines>369</Lines>
  <Paragraphs>104</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52347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USUARIO</dc:creator>
  <cp:lastModifiedBy>Maricela Villagómez Martínez</cp:lastModifiedBy>
  <cp:revision>2</cp:revision>
  <cp:lastPrinted>2025-01-24T20:48:00Z</cp:lastPrinted>
  <dcterms:created xsi:type="dcterms:W3CDTF">2025-02-05T20:33:00Z</dcterms:created>
  <dcterms:modified xsi:type="dcterms:W3CDTF">2025-02-05T20:33:00Z</dcterms:modified>
</cp:coreProperties>
</file>