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bookmarkStart w:id="1" w:name="_Hlk194409154"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F15B3" w:rsidRDefault="00AE3DA7" w:rsidP="003F15B3">
          <w:pPr>
            <w:pStyle w:val="TtulodeTDC"/>
            <w:spacing w:before="0" w:line="240" w:lineRule="auto"/>
            <w:rPr>
              <w:rFonts w:ascii="Palatino Linotype" w:hAnsi="Palatino Linotype"/>
              <w:color w:val="auto"/>
              <w:sz w:val="24"/>
              <w:szCs w:val="24"/>
              <w:lang w:val="es-ES"/>
            </w:rPr>
          </w:pPr>
          <w:r w:rsidRPr="003F15B3">
            <w:rPr>
              <w:rFonts w:ascii="Palatino Linotype" w:hAnsi="Palatino Linotype"/>
              <w:color w:val="auto"/>
              <w:sz w:val="24"/>
              <w:szCs w:val="24"/>
              <w:lang w:val="es-ES"/>
            </w:rPr>
            <w:t>Contenido</w:t>
          </w:r>
        </w:p>
        <w:p w14:paraId="3EB312A7" w14:textId="77777777" w:rsidR="00AA6EA9" w:rsidRPr="003F15B3" w:rsidRDefault="00AA6EA9" w:rsidP="003F15B3">
          <w:pPr>
            <w:spacing w:line="240" w:lineRule="auto"/>
            <w:rPr>
              <w:sz w:val="16"/>
              <w:szCs w:val="16"/>
              <w:lang w:val="es-ES" w:eastAsia="es-MX"/>
            </w:rPr>
          </w:pPr>
        </w:p>
        <w:p w14:paraId="1EDE8C16" w14:textId="39AA9D47" w:rsidR="003F15B3" w:rsidRDefault="00AE3DA7">
          <w:pPr>
            <w:pStyle w:val="TDC1"/>
            <w:tabs>
              <w:tab w:val="right" w:leader="dot" w:pos="9034"/>
            </w:tabs>
            <w:rPr>
              <w:rFonts w:asciiTheme="minorHAnsi" w:eastAsiaTheme="minorEastAsia" w:hAnsiTheme="minorHAnsi" w:cstheme="minorBidi"/>
              <w:noProof/>
              <w:szCs w:val="22"/>
              <w:lang w:eastAsia="es-MX"/>
            </w:rPr>
          </w:pPr>
          <w:r w:rsidRPr="003F15B3">
            <w:rPr>
              <w:sz w:val="16"/>
              <w:szCs w:val="16"/>
            </w:rPr>
            <w:fldChar w:fldCharType="begin"/>
          </w:r>
          <w:r w:rsidRPr="003F15B3">
            <w:rPr>
              <w:sz w:val="16"/>
              <w:szCs w:val="16"/>
            </w:rPr>
            <w:instrText xml:space="preserve"> TOC \o "1-3" \h \z \u </w:instrText>
          </w:r>
          <w:r w:rsidRPr="003F15B3">
            <w:rPr>
              <w:sz w:val="16"/>
              <w:szCs w:val="16"/>
            </w:rPr>
            <w:fldChar w:fldCharType="separate"/>
          </w:r>
          <w:hyperlink w:anchor="_Toc206614384" w:history="1">
            <w:r w:rsidR="003F15B3" w:rsidRPr="00721AFB">
              <w:rPr>
                <w:rStyle w:val="Hipervnculo"/>
                <w:noProof/>
              </w:rPr>
              <w:t>ANTECEDENTES</w:t>
            </w:r>
            <w:r w:rsidR="003F15B3">
              <w:rPr>
                <w:noProof/>
                <w:webHidden/>
              </w:rPr>
              <w:tab/>
            </w:r>
            <w:r w:rsidR="003F15B3">
              <w:rPr>
                <w:noProof/>
                <w:webHidden/>
              </w:rPr>
              <w:fldChar w:fldCharType="begin"/>
            </w:r>
            <w:r w:rsidR="003F15B3">
              <w:rPr>
                <w:noProof/>
                <w:webHidden/>
              </w:rPr>
              <w:instrText xml:space="preserve"> PAGEREF _Toc206614384 \h </w:instrText>
            </w:r>
            <w:r w:rsidR="003F15B3">
              <w:rPr>
                <w:noProof/>
                <w:webHidden/>
              </w:rPr>
            </w:r>
            <w:r w:rsidR="003F15B3">
              <w:rPr>
                <w:noProof/>
                <w:webHidden/>
              </w:rPr>
              <w:fldChar w:fldCharType="separate"/>
            </w:r>
            <w:r w:rsidR="00AD4025">
              <w:rPr>
                <w:noProof/>
                <w:webHidden/>
              </w:rPr>
              <w:t>1</w:t>
            </w:r>
            <w:r w:rsidR="003F15B3">
              <w:rPr>
                <w:noProof/>
                <w:webHidden/>
              </w:rPr>
              <w:fldChar w:fldCharType="end"/>
            </w:r>
          </w:hyperlink>
        </w:p>
        <w:p w14:paraId="5AB0E80E" w14:textId="195451C7" w:rsidR="003F15B3" w:rsidRDefault="00AD4025">
          <w:pPr>
            <w:pStyle w:val="TDC2"/>
            <w:rPr>
              <w:rFonts w:asciiTheme="minorHAnsi" w:eastAsiaTheme="minorEastAsia" w:hAnsiTheme="minorHAnsi" w:cstheme="minorBidi"/>
              <w:noProof/>
              <w:szCs w:val="22"/>
              <w:lang w:eastAsia="es-MX"/>
            </w:rPr>
          </w:pPr>
          <w:hyperlink w:anchor="_Toc206614385" w:history="1">
            <w:r w:rsidR="003F15B3" w:rsidRPr="00721AFB">
              <w:rPr>
                <w:rStyle w:val="Hipervnculo"/>
                <w:noProof/>
              </w:rPr>
              <w:t>DE LA SOLICITUD DE INFORMACIÓN</w:t>
            </w:r>
            <w:r w:rsidR="003F15B3">
              <w:rPr>
                <w:noProof/>
                <w:webHidden/>
              </w:rPr>
              <w:tab/>
            </w:r>
            <w:r w:rsidR="003F15B3">
              <w:rPr>
                <w:noProof/>
                <w:webHidden/>
              </w:rPr>
              <w:fldChar w:fldCharType="begin"/>
            </w:r>
            <w:r w:rsidR="003F15B3">
              <w:rPr>
                <w:noProof/>
                <w:webHidden/>
              </w:rPr>
              <w:instrText xml:space="preserve"> PAGEREF _Toc206614385 \h </w:instrText>
            </w:r>
            <w:r w:rsidR="003F15B3">
              <w:rPr>
                <w:noProof/>
                <w:webHidden/>
              </w:rPr>
            </w:r>
            <w:r w:rsidR="003F15B3">
              <w:rPr>
                <w:noProof/>
                <w:webHidden/>
              </w:rPr>
              <w:fldChar w:fldCharType="separate"/>
            </w:r>
            <w:r>
              <w:rPr>
                <w:noProof/>
                <w:webHidden/>
              </w:rPr>
              <w:t>1</w:t>
            </w:r>
            <w:r w:rsidR="003F15B3">
              <w:rPr>
                <w:noProof/>
                <w:webHidden/>
              </w:rPr>
              <w:fldChar w:fldCharType="end"/>
            </w:r>
          </w:hyperlink>
        </w:p>
        <w:p w14:paraId="4FC3468A" w14:textId="0DC28931" w:rsidR="003F15B3" w:rsidRDefault="00AD4025">
          <w:pPr>
            <w:pStyle w:val="TDC3"/>
            <w:rPr>
              <w:rFonts w:asciiTheme="minorHAnsi" w:eastAsiaTheme="minorEastAsia" w:hAnsiTheme="minorHAnsi" w:cstheme="minorBidi"/>
              <w:noProof/>
              <w:szCs w:val="22"/>
              <w:lang w:eastAsia="es-MX"/>
            </w:rPr>
          </w:pPr>
          <w:hyperlink w:anchor="_Toc206614386" w:history="1">
            <w:r w:rsidR="003F15B3" w:rsidRPr="00721AFB">
              <w:rPr>
                <w:rStyle w:val="Hipervnculo"/>
                <w:noProof/>
              </w:rPr>
              <w:t>a) Solicitud de información</w:t>
            </w:r>
            <w:r w:rsidR="003F15B3">
              <w:rPr>
                <w:noProof/>
                <w:webHidden/>
              </w:rPr>
              <w:tab/>
            </w:r>
            <w:r w:rsidR="003F15B3">
              <w:rPr>
                <w:noProof/>
                <w:webHidden/>
              </w:rPr>
              <w:fldChar w:fldCharType="begin"/>
            </w:r>
            <w:r w:rsidR="003F15B3">
              <w:rPr>
                <w:noProof/>
                <w:webHidden/>
              </w:rPr>
              <w:instrText xml:space="preserve"> PAGEREF _Toc206614386 \h </w:instrText>
            </w:r>
            <w:r w:rsidR="003F15B3">
              <w:rPr>
                <w:noProof/>
                <w:webHidden/>
              </w:rPr>
            </w:r>
            <w:r w:rsidR="003F15B3">
              <w:rPr>
                <w:noProof/>
                <w:webHidden/>
              </w:rPr>
              <w:fldChar w:fldCharType="separate"/>
            </w:r>
            <w:r>
              <w:rPr>
                <w:noProof/>
                <w:webHidden/>
              </w:rPr>
              <w:t>1</w:t>
            </w:r>
            <w:r w:rsidR="003F15B3">
              <w:rPr>
                <w:noProof/>
                <w:webHidden/>
              </w:rPr>
              <w:fldChar w:fldCharType="end"/>
            </w:r>
          </w:hyperlink>
        </w:p>
        <w:p w14:paraId="1175F3BA" w14:textId="37DF1E43" w:rsidR="003F15B3" w:rsidRDefault="00AD4025">
          <w:pPr>
            <w:pStyle w:val="TDC3"/>
            <w:rPr>
              <w:rFonts w:asciiTheme="minorHAnsi" w:eastAsiaTheme="minorEastAsia" w:hAnsiTheme="minorHAnsi" w:cstheme="minorBidi"/>
              <w:noProof/>
              <w:szCs w:val="22"/>
              <w:lang w:eastAsia="es-MX"/>
            </w:rPr>
          </w:pPr>
          <w:hyperlink w:anchor="_Toc206614387" w:history="1">
            <w:r w:rsidR="003F15B3" w:rsidRPr="00721AFB">
              <w:rPr>
                <w:rStyle w:val="Hipervnculo"/>
                <w:noProof/>
              </w:rPr>
              <w:t>b) Turno de la solicitud de información</w:t>
            </w:r>
            <w:r w:rsidR="003F15B3">
              <w:rPr>
                <w:noProof/>
                <w:webHidden/>
              </w:rPr>
              <w:tab/>
            </w:r>
            <w:r w:rsidR="003F15B3">
              <w:rPr>
                <w:noProof/>
                <w:webHidden/>
              </w:rPr>
              <w:fldChar w:fldCharType="begin"/>
            </w:r>
            <w:r w:rsidR="003F15B3">
              <w:rPr>
                <w:noProof/>
                <w:webHidden/>
              </w:rPr>
              <w:instrText xml:space="preserve"> PAGEREF _Toc206614387 \h </w:instrText>
            </w:r>
            <w:r w:rsidR="003F15B3">
              <w:rPr>
                <w:noProof/>
                <w:webHidden/>
              </w:rPr>
            </w:r>
            <w:r w:rsidR="003F15B3">
              <w:rPr>
                <w:noProof/>
                <w:webHidden/>
              </w:rPr>
              <w:fldChar w:fldCharType="separate"/>
            </w:r>
            <w:r>
              <w:rPr>
                <w:noProof/>
                <w:webHidden/>
              </w:rPr>
              <w:t>2</w:t>
            </w:r>
            <w:r w:rsidR="003F15B3">
              <w:rPr>
                <w:noProof/>
                <w:webHidden/>
              </w:rPr>
              <w:fldChar w:fldCharType="end"/>
            </w:r>
          </w:hyperlink>
        </w:p>
        <w:p w14:paraId="7513E701" w14:textId="12EFDBC6" w:rsidR="003F15B3" w:rsidRDefault="00AD4025">
          <w:pPr>
            <w:pStyle w:val="TDC3"/>
            <w:rPr>
              <w:rFonts w:asciiTheme="minorHAnsi" w:eastAsiaTheme="minorEastAsia" w:hAnsiTheme="minorHAnsi" w:cstheme="minorBidi"/>
              <w:noProof/>
              <w:szCs w:val="22"/>
              <w:lang w:eastAsia="es-MX"/>
            </w:rPr>
          </w:pPr>
          <w:hyperlink w:anchor="_Toc206614388" w:history="1">
            <w:r w:rsidR="003F15B3" w:rsidRPr="00721AFB">
              <w:rPr>
                <w:rStyle w:val="Hipervnculo"/>
                <w:noProof/>
              </w:rPr>
              <w:t>c) Respuesta del Sujeto Obligado</w:t>
            </w:r>
            <w:r w:rsidR="003F15B3">
              <w:rPr>
                <w:noProof/>
                <w:webHidden/>
              </w:rPr>
              <w:tab/>
            </w:r>
            <w:r w:rsidR="003F15B3">
              <w:rPr>
                <w:noProof/>
                <w:webHidden/>
              </w:rPr>
              <w:fldChar w:fldCharType="begin"/>
            </w:r>
            <w:r w:rsidR="003F15B3">
              <w:rPr>
                <w:noProof/>
                <w:webHidden/>
              </w:rPr>
              <w:instrText xml:space="preserve"> PAGEREF _Toc206614388 \h </w:instrText>
            </w:r>
            <w:r w:rsidR="003F15B3">
              <w:rPr>
                <w:noProof/>
                <w:webHidden/>
              </w:rPr>
            </w:r>
            <w:r w:rsidR="003F15B3">
              <w:rPr>
                <w:noProof/>
                <w:webHidden/>
              </w:rPr>
              <w:fldChar w:fldCharType="separate"/>
            </w:r>
            <w:r>
              <w:rPr>
                <w:noProof/>
                <w:webHidden/>
              </w:rPr>
              <w:t>2</w:t>
            </w:r>
            <w:r w:rsidR="003F15B3">
              <w:rPr>
                <w:noProof/>
                <w:webHidden/>
              </w:rPr>
              <w:fldChar w:fldCharType="end"/>
            </w:r>
          </w:hyperlink>
        </w:p>
        <w:p w14:paraId="179219A9" w14:textId="355FE645" w:rsidR="003F15B3" w:rsidRDefault="00AD4025">
          <w:pPr>
            <w:pStyle w:val="TDC2"/>
            <w:rPr>
              <w:rFonts w:asciiTheme="minorHAnsi" w:eastAsiaTheme="minorEastAsia" w:hAnsiTheme="minorHAnsi" w:cstheme="minorBidi"/>
              <w:noProof/>
              <w:szCs w:val="22"/>
              <w:lang w:eastAsia="es-MX"/>
            </w:rPr>
          </w:pPr>
          <w:hyperlink w:anchor="_Toc206614389" w:history="1">
            <w:r w:rsidR="003F15B3" w:rsidRPr="00721AFB">
              <w:rPr>
                <w:rStyle w:val="Hipervnculo"/>
                <w:noProof/>
              </w:rPr>
              <w:t>DEL RECURSO DE REVISIÓN</w:t>
            </w:r>
            <w:r w:rsidR="003F15B3">
              <w:rPr>
                <w:noProof/>
                <w:webHidden/>
              </w:rPr>
              <w:tab/>
            </w:r>
            <w:r w:rsidR="003F15B3">
              <w:rPr>
                <w:noProof/>
                <w:webHidden/>
              </w:rPr>
              <w:fldChar w:fldCharType="begin"/>
            </w:r>
            <w:r w:rsidR="003F15B3">
              <w:rPr>
                <w:noProof/>
                <w:webHidden/>
              </w:rPr>
              <w:instrText xml:space="preserve"> PAGEREF _Toc206614389 \h </w:instrText>
            </w:r>
            <w:r w:rsidR="003F15B3">
              <w:rPr>
                <w:noProof/>
                <w:webHidden/>
              </w:rPr>
            </w:r>
            <w:r w:rsidR="003F15B3">
              <w:rPr>
                <w:noProof/>
                <w:webHidden/>
              </w:rPr>
              <w:fldChar w:fldCharType="separate"/>
            </w:r>
            <w:r>
              <w:rPr>
                <w:noProof/>
                <w:webHidden/>
              </w:rPr>
              <w:t>3</w:t>
            </w:r>
            <w:r w:rsidR="003F15B3">
              <w:rPr>
                <w:noProof/>
                <w:webHidden/>
              </w:rPr>
              <w:fldChar w:fldCharType="end"/>
            </w:r>
          </w:hyperlink>
        </w:p>
        <w:p w14:paraId="5AEF2B74" w14:textId="3B433815" w:rsidR="003F15B3" w:rsidRDefault="00AD4025">
          <w:pPr>
            <w:pStyle w:val="TDC3"/>
            <w:rPr>
              <w:rFonts w:asciiTheme="minorHAnsi" w:eastAsiaTheme="minorEastAsia" w:hAnsiTheme="minorHAnsi" w:cstheme="minorBidi"/>
              <w:noProof/>
              <w:szCs w:val="22"/>
              <w:lang w:eastAsia="es-MX"/>
            </w:rPr>
          </w:pPr>
          <w:hyperlink w:anchor="_Toc206614390" w:history="1">
            <w:r w:rsidR="003F15B3" w:rsidRPr="00721AFB">
              <w:rPr>
                <w:rStyle w:val="Hipervnculo"/>
                <w:noProof/>
              </w:rPr>
              <w:t>a) Interposición del Recurso de Revisión</w:t>
            </w:r>
            <w:r w:rsidR="003F15B3">
              <w:rPr>
                <w:noProof/>
                <w:webHidden/>
              </w:rPr>
              <w:tab/>
            </w:r>
            <w:r w:rsidR="003F15B3">
              <w:rPr>
                <w:noProof/>
                <w:webHidden/>
              </w:rPr>
              <w:fldChar w:fldCharType="begin"/>
            </w:r>
            <w:r w:rsidR="003F15B3">
              <w:rPr>
                <w:noProof/>
                <w:webHidden/>
              </w:rPr>
              <w:instrText xml:space="preserve"> PAGEREF _Toc206614390 \h </w:instrText>
            </w:r>
            <w:r w:rsidR="003F15B3">
              <w:rPr>
                <w:noProof/>
                <w:webHidden/>
              </w:rPr>
            </w:r>
            <w:r w:rsidR="003F15B3">
              <w:rPr>
                <w:noProof/>
                <w:webHidden/>
              </w:rPr>
              <w:fldChar w:fldCharType="separate"/>
            </w:r>
            <w:r>
              <w:rPr>
                <w:noProof/>
                <w:webHidden/>
              </w:rPr>
              <w:t>3</w:t>
            </w:r>
            <w:r w:rsidR="003F15B3">
              <w:rPr>
                <w:noProof/>
                <w:webHidden/>
              </w:rPr>
              <w:fldChar w:fldCharType="end"/>
            </w:r>
          </w:hyperlink>
        </w:p>
        <w:p w14:paraId="2462F0C9" w14:textId="14EB94FE" w:rsidR="003F15B3" w:rsidRDefault="00AD4025">
          <w:pPr>
            <w:pStyle w:val="TDC3"/>
            <w:rPr>
              <w:rFonts w:asciiTheme="minorHAnsi" w:eastAsiaTheme="minorEastAsia" w:hAnsiTheme="minorHAnsi" w:cstheme="minorBidi"/>
              <w:noProof/>
              <w:szCs w:val="22"/>
              <w:lang w:eastAsia="es-MX"/>
            </w:rPr>
          </w:pPr>
          <w:hyperlink w:anchor="_Toc206614391" w:history="1">
            <w:r w:rsidR="003F15B3" w:rsidRPr="00721AFB">
              <w:rPr>
                <w:rStyle w:val="Hipervnculo"/>
                <w:noProof/>
              </w:rPr>
              <w:t>b) Turno del Recurso de Revisión</w:t>
            </w:r>
            <w:r w:rsidR="003F15B3">
              <w:rPr>
                <w:noProof/>
                <w:webHidden/>
              </w:rPr>
              <w:tab/>
            </w:r>
            <w:r w:rsidR="003F15B3">
              <w:rPr>
                <w:noProof/>
                <w:webHidden/>
              </w:rPr>
              <w:fldChar w:fldCharType="begin"/>
            </w:r>
            <w:r w:rsidR="003F15B3">
              <w:rPr>
                <w:noProof/>
                <w:webHidden/>
              </w:rPr>
              <w:instrText xml:space="preserve"> PAGEREF _Toc206614391 \h </w:instrText>
            </w:r>
            <w:r w:rsidR="003F15B3">
              <w:rPr>
                <w:noProof/>
                <w:webHidden/>
              </w:rPr>
            </w:r>
            <w:r w:rsidR="003F15B3">
              <w:rPr>
                <w:noProof/>
                <w:webHidden/>
              </w:rPr>
              <w:fldChar w:fldCharType="separate"/>
            </w:r>
            <w:r>
              <w:rPr>
                <w:noProof/>
                <w:webHidden/>
              </w:rPr>
              <w:t>3</w:t>
            </w:r>
            <w:r w:rsidR="003F15B3">
              <w:rPr>
                <w:noProof/>
                <w:webHidden/>
              </w:rPr>
              <w:fldChar w:fldCharType="end"/>
            </w:r>
          </w:hyperlink>
        </w:p>
        <w:p w14:paraId="02BC1B3A" w14:textId="5A8C05B6" w:rsidR="003F15B3" w:rsidRDefault="00AD4025">
          <w:pPr>
            <w:pStyle w:val="TDC3"/>
            <w:rPr>
              <w:rFonts w:asciiTheme="minorHAnsi" w:eastAsiaTheme="minorEastAsia" w:hAnsiTheme="minorHAnsi" w:cstheme="minorBidi"/>
              <w:noProof/>
              <w:szCs w:val="22"/>
              <w:lang w:eastAsia="es-MX"/>
            </w:rPr>
          </w:pPr>
          <w:hyperlink w:anchor="_Toc206614392" w:history="1">
            <w:r w:rsidR="003F15B3" w:rsidRPr="00721AFB">
              <w:rPr>
                <w:rStyle w:val="Hipervnculo"/>
                <w:noProof/>
              </w:rPr>
              <w:t>c) Admisión del Recurso de Revisión</w:t>
            </w:r>
            <w:r w:rsidR="003F15B3">
              <w:rPr>
                <w:noProof/>
                <w:webHidden/>
              </w:rPr>
              <w:tab/>
            </w:r>
            <w:r w:rsidR="003F15B3">
              <w:rPr>
                <w:noProof/>
                <w:webHidden/>
              </w:rPr>
              <w:fldChar w:fldCharType="begin"/>
            </w:r>
            <w:r w:rsidR="003F15B3">
              <w:rPr>
                <w:noProof/>
                <w:webHidden/>
              </w:rPr>
              <w:instrText xml:space="preserve"> PAGEREF _Toc206614392 \h </w:instrText>
            </w:r>
            <w:r w:rsidR="003F15B3">
              <w:rPr>
                <w:noProof/>
                <w:webHidden/>
              </w:rPr>
            </w:r>
            <w:r w:rsidR="003F15B3">
              <w:rPr>
                <w:noProof/>
                <w:webHidden/>
              </w:rPr>
              <w:fldChar w:fldCharType="separate"/>
            </w:r>
            <w:r>
              <w:rPr>
                <w:noProof/>
                <w:webHidden/>
              </w:rPr>
              <w:t>4</w:t>
            </w:r>
            <w:r w:rsidR="003F15B3">
              <w:rPr>
                <w:noProof/>
                <w:webHidden/>
              </w:rPr>
              <w:fldChar w:fldCharType="end"/>
            </w:r>
          </w:hyperlink>
        </w:p>
        <w:p w14:paraId="056D2923" w14:textId="0F546161" w:rsidR="003F15B3" w:rsidRDefault="00AD4025">
          <w:pPr>
            <w:pStyle w:val="TDC3"/>
            <w:rPr>
              <w:rFonts w:asciiTheme="minorHAnsi" w:eastAsiaTheme="minorEastAsia" w:hAnsiTheme="minorHAnsi" w:cstheme="minorBidi"/>
              <w:noProof/>
              <w:szCs w:val="22"/>
              <w:lang w:eastAsia="es-MX"/>
            </w:rPr>
          </w:pPr>
          <w:hyperlink w:anchor="_Toc206614393" w:history="1">
            <w:r w:rsidR="003F15B3" w:rsidRPr="00721AFB">
              <w:rPr>
                <w:rStyle w:val="Hipervnculo"/>
                <w:noProof/>
              </w:rPr>
              <w:t>d) Informe Justificado del Sujeto Obligado</w:t>
            </w:r>
            <w:r w:rsidR="003F15B3">
              <w:rPr>
                <w:noProof/>
                <w:webHidden/>
              </w:rPr>
              <w:tab/>
            </w:r>
            <w:r w:rsidR="003F15B3">
              <w:rPr>
                <w:noProof/>
                <w:webHidden/>
              </w:rPr>
              <w:fldChar w:fldCharType="begin"/>
            </w:r>
            <w:r w:rsidR="003F15B3">
              <w:rPr>
                <w:noProof/>
                <w:webHidden/>
              </w:rPr>
              <w:instrText xml:space="preserve"> PAGEREF _Toc206614393 \h </w:instrText>
            </w:r>
            <w:r w:rsidR="003F15B3">
              <w:rPr>
                <w:noProof/>
                <w:webHidden/>
              </w:rPr>
            </w:r>
            <w:r w:rsidR="003F15B3">
              <w:rPr>
                <w:noProof/>
                <w:webHidden/>
              </w:rPr>
              <w:fldChar w:fldCharType="separate"/>
            </w:r>
            <w:r>
              <w:rPr>
                <w:noProof/>
                <w:webHidden/>
              </w:rPr>
              <w:t>4</w:t>
            </w:r>
            <w:r w:rsidR="003F15B3">
              <w:rPr>
                <w:noProof/>
                <w:webHidden/>
              </w:rPr>
              <w:fldChar w:fldCharType="end"/>
            </w:r>
          </w:hyperlink>
        </w:p>
        <w:p w14:paraId="47CFC582" w14:textId="485746DD" w:rsidR="003F15B3" w:rsidRDefault="00AD4025">
          <w:pPr>
            <w:pStyle w:val="TDC3"/>
            <w:rPr>
              <w:rFonts w:asciiTheme="minorHAnsi" w:eastAsiaTheme="minorEastAsia" w:hAnsiTheme="minorHAnsi" w:cstheme="minorBidi"/>
              <w:noProof/>
              <w:szCs w:val="22"/>
              <w:lang w:eastAsia="es-MX"/>
            </w:rPr>
          </w:pPr>
          <w:hyperlink w:anchor="_Toc206614394" w:history="1">
            <w:r w:rsidR="003F15B3" w:rsidRPr="00721AFB">
              <w:rPr>
                <w:rStyle w:val="Hipervnculo"/>
                <w:rFonts w:eastAsia="Calibri"/>
                <w:bCs/>
                <w:noProof/>
                <w:lang w:eastAsia="en-US"/>
              </w:rPr>
              <w:t>e)</w:t>
            </w:r>
            <w:r w:rsidR="003F15B3" w:rsidRPr="00721AFB">
              <w:rPr>
                <w:rStyle w:val="Hipervnculo"/>
                <w:noProof/>
              </w:rPr>
              <w:t xml:space="preserve"> </w:t>
            </w:r>
            <w:r w:rsidR="003F15B3" w:rsidRPr="00721AFB">
              <w:rPr>
                <w:rStyle w:val="Hipervnculo"/>
                <w:noProof/>
                <w:lang w:val="es-ES"/>
              </w:rPr>
              <w:t>Manifestaciones de la Parte Recurrente</w:t>
            </w:r>
            <w:r w:rsidR="003F15B3">
              <w:rPr>
                <w:noProof/>
                <w:webHidden/>
              </w:rPr>
              <w:tab/>
            </w:r>
            <w:r w:rsidR="003F15B3">
              <w:rPr>
                <w:noProof/>
                <w:webHidden/>
              </w:rPr>
              <w:fldChar w:fldCharType="begin"/>
            </w:r>
            <w:r w:rsidR="003F15B3">
              <w:rPr>
                <w:noProof/>
                <w:webHidden/>
              </w:rPr>
              <w:instrText xml:space="preserve"> PAGEREF _Toc206614394 \h </w:instrText>
            </w:r>
            <w:r w:rsidR="003F15B3">
              <w:rPr>
                <w:noProof/>
                <w:webHidden/>
              </w:rPr>
            </w:r>
            <w:r w:rsidR="003F15B3">
              <w:rPr>
                <w:noProof/>
                <w:webHidden/>
              </w:rPr>
              <w:fldChar w:fldCharType="separate"/>
            </w:r>
            <w:r>
              <w:rPr>
                <w:noProof/>
                <w:webHidden/>
              </w:rPr>
              <w:t>5</w:t>
            </w:r>
            <w:r w:rsidR="003F15B3">
              <w:rPr>
                <w:noProof/>
                <w:webHidden/>
              </w:rPr>
              <w:fldChar w:fldCharType="end"/>
            </w:r>
          </w:hyperlink>
        </w:p>
        <w:p w14:paraId="08D8F9FE" w14:textId="4029BAF3" w:rsidR="003F15B3" w:rsidRDefault="00AD4025">
          <w:pPr>
            <w:pStyle w:val="TDC3"/>
            <w:rPr>
              <w:rFonts w:asciiTheme="minorHAnsi" w:eastAsiaTheme="minorEastAsia" w:hAnsiTheme="minorHAnsi" w:cstheme="minorBidi"/>
              <w:noProof/>
              <w:szCs w:val="22"/>
              <w:lang w:eastAsia="es-MX"/>
            </w:rPr>
          </w:pPr>
          <w:hyperlink w:anchor="_Toc206614395" w:history="1">
            <w:r w:rsidR="003F15B3" w:rsidRPr="00721AFB">
              <w:rPr>
                <w:rStyle w:val="Hipervnculo"/>
                <w:noProof/>
                <w:lang w:val="es-ES"/>
              </w:rPr>
              <w:t>f) Ampliación de Plazo para Resolver</w:t>
            </w:r>
            <w:r w:rsidR="003F15B3">
              <w:rPr>
                <w:noProof/>
                <w:webHidden/>
              </w:rPr>
              <w:tab/>
            </w:r>
            <w:r w:rsidR="003F15B3">
              <w:rPr>
                <w:noProof/>
                <w:webHidden/>
              </w:rPr>
              <w:fldChar w:fldCharType="begin"/>
            </w:r>
            <w:r w:rsidR="003F15B3">
              <w:rPr>
                <w:noProof/>
                <w:webHidden/>
              </w:rPr>
              <w:instrText xml:space="preserve"> PAGEREF _Toc206614395 \h </w:instrText>
            </w:r>
            <w:r w:rsidR="003F15B3">
              <w:rPr>
                <w:noProof/>
                <w:webHidden/>
              </w:rPr>
            </w:r>
            <w:r w:rsidR="003F15B3">
              <w:rPr>
                <w:noProof/>
                <w:webHidden/>
              </w:rPr>
              <w:fldChar w:fldCharType="separate"/>
            </w:r>
            <w:r>
              <w:rPr>
                <w:noProof/>
                <w:webHidden/>
              </w:rPr>
              <w:t>5</w:t>
            </w:r>
            <w:r w:rsidR="003F15B3">
              <w:rPr>
                <w:noProof/>
                <w:webHidden/>
              </w:rPr>
              <w:fldChar w:fldCharType="end"/>
            </w:r>
          </w:hyperlink>
        </w:p>
        <w:p w14:paraId="06FB2D70" w14:textId="402694E4" w:rsidR="003F15B3" w:rsidRDefault="00AD4025">
          <w:pPr>
            <w:pStyle w:val="TDC3"/>
            <w:rPr>
              <w:rFonts w:asciiTheme="minorHAnsi" w:eastAsiaTheme="minorEastAsia" w:hAnsiTheme="minorHAnsi" w:cstheme="minorBidi"/>
              <w:noProof/>
              <w:szCs w:val="22"/>
              <w:lang w:eastAsia="es-MX"/>
            </w:rPr>
          </w:pPr>
          <w:hyperlink w:anchor="_Toc206614396" w:history="1">
            <w:r w:rsidR="003F15B3" w:rsidRPr="00721AFB">
              <w:rPr>
                <w:rStyle w:val="Hipervnculo"/>
                <w:rFonts w:eastAsia="Calibri"/>
                <w:noProof/>
              </w:rPr>
              <w:t xml:space="preserve">g) </w:t>
            </w:r>
            <w:r w:rsidR="003F15B3" w:rsidRPr="00721AFB">
              <w:rPr>
                <w:rStyle w:val="Hipervnculo"/>
                <w:noProof/>
              </w:rPr>
              <w:t>Cierre de instrucción</w:t>
            </w:r>
            <w:r w:rsidR="003F15B3">
              <w:rPr>
                <w:noProof/>
                <w:webHidden/>
              </w:rPr>
              <w:tab/>
            </w:r>
            <w:r w:rsidR="003F15B3">
              <w:rPr>
                <w:noProof/>
                <w:webHidden/>
              </w:rPr>
              <w:fldChar w:fldCharType="begin"/>
            </w:r>
            <w:r w:rsidR="003F15B3">
              <w:rPr>
                <w:noProof/>
                <w:webHidden/>
              </w:rPr>
              <w:instrText xml:space="preserve"> PAGEREF _Toc206614396 \h </w:instrText>
            </w:r>
            <w:r w:rsidR="003F15B3">
              <w:rPr>
                <w:noProof/>
                <w:webHidden/>
              </w:rPr>
            </w:r>
            <w:r w:rsidR="003F15B3">
              <w:rPr>
                <w:noProof/>
                <w:webHidden/>
              </w:rPr>
              <w:fldChar w:fldCharType="separate"/>
            </w:r>
            <w:r>
              <w:rPr>
                <w:noProof/>
                <w:webHidden/>
              </w:rPr>
              <w:t>8</w:t>
            </w:r>
            <w:r w:rsidR="003F15B3">
              <w:rPr>
                <w:noProof/>
                <w:webHidden/>
              </w:rPr>
              <w:fldChar w:fldCharType="end"/>
            </w:r>
          </w:hyperlink>
        </w:p>
        <w:p w14:paraId="6D0AE2F3" w14:textId="53F9DB1C" w:rsidR="003F15B3" w:rsidRDefault="00AD4025">
          <w:pPr>
            <w:pStyle w:val="TDC1"/>
            <w:tabs>
              <w:tab w:val="right" w:leader="dot" w:pos="9034"/>
            </w:tabs>
            <w:rPr>
              <w:rFonts w:asciiTheme="minorHAnsi" w:eastAsiaTheme="minorEastAsia" w:hAnsiTheme="minorHAnsi" w:cstheme="minorBidi"/>
              <w:noProof/>
              <w:szCs w:val="22"/>
              <w:lang w:eastAsia="es-MX"/>
            </w:rPr>
          </w:pPr>
          <w:hyperlink w:anchor="_Toc206614397" w:history="1">
            <w:r w:rsidR="003F15B3" w:rsidRPr="00721AFB">
              <w:rPr>
                <w:rStyle w:val="Hipervnculo"/>
                <w:rFonts w:eastAsiaTheme="minorHAnsi"/>
                <w:noProof/>
                <w:lang w:eastAsia="en-US"/>
              </w:rPr>
              <w:t>CONSIDERANDOS</w:t>
            </w:r>
            <w:r w:rsidR="003F15B3">
              <w:rPr>
                <w:noProof/>
                <w:webHidden/>
              </w:rPr>
              <w:tab/>
            </w:r>
            <w:r w:rsidR="003F15B3">
              <w:rPr>
                <w:noProof/>
                <w:webHidden/>
              </w:rPr>
              <w:fldChar w:fldCharType="begin"/>
            </w:r>
            <w:r w:rsidR="003F15B3">
              <w:rPr>
                <w:noProof/>
                <w:webHidden/>
              </w:rPr>
              <w:instrText xml:space="preserve"> PAGEREF _Toc206614397 \h </w:instrText>
            </w:r>
            <w:r w:rsidR="003F15B3">
              <w:rPr>
                <w:noProof/>
                <w:webHidden/>
              </w:rPr>
            </w:r>
            <w:r w:rsidR="003F15B3">
              <w:rPr>
                <w:noProof/>
                <w:webHidden/>
              </w:rPr>
              <w:fldChar w:fldCharType="separate"/>
            </w:r>
            <w:r>
              <w:rPr>
                <w:noProof/>
                <w:webHidden/>
              </w:rPr>
              <w:t>8</w:t>
            </w:r>
            <w:r w:rsidR="003F15B3">
              <w:rPr>
                <w:noProof/>
                <w:webHidden/>
              </w:rPr>
              <w:fldChar w:fldCharType="end"/>
            </w:r>
          </w:hyperlink>
        </w:p>
        <w:p w14:paraId="55B16622" w14:textId="6F3A6762" w:rsidR="003F15B3" w:rsidRDefault="00AD4025">
          <w:pPr>
            <w:pStyle w:val="TDC2"/>
            <w:rPr>
              <w:rFonts w:asciiTheme="minorHAnsi" w:eastAsiaTheme="minorEastAsia" w:hAnsiTheme="minorHAnsi" w:cstheme="minorBidi"/>
              <w:noProof/>
              <w:szCs w:val="22"/>
              <w:lang w:eastAsia="es-MX"/>
            </w:rPr>
          </w:pPr>
          <w:hyperlink w:anchor="_Toc206614398" w:history="1">
            <w:r w:rsidR="003F15B3" w:rsidRPr="00721AFB">
              <w:rPr>
                <w:rStyle w:val="Hipervnculo"/>
                <w:rFonts w:eastAsia="Batang"/>
                <w:noProof/>
              </w:rPr>
              <w:t>PRIMERO. Procedibilidad</w:t>
            </w:r>
            <w:r w:rsidR="003F15B3">
              <w:rPr>
                <w:noProof/>
                <w:webHidden/>
              </w:rPr>
              <w:tab/>
            </w:r>
            <w:r w:rsidR="003F15B3">
              <w:rPr>
                <w:noProof/>
                <w:webHidden/>
              </w:rPr>
              <w:fldChar w:fldCharType="begin"/>
            </w:r>
            <w:r w:rsidR="003F15B3">
              <w:rPr>
                <w:noProof/>
                <w:webHidden/>
              </w:rPr>
              <w:instrText xml:space="preserve"> PAGEREF _Toc206614398 \h </w:instrText>
            </w:r>
            <w:r w:rsidR="003F15B3">
              <w:rPr>
                <w:noProof/>
                <w:webHidden/>
              </w:rPr>
            </w:r>
            <w:r w:rsidR="003F15B3">
              <w:rPr>
                <w:noProof/>
                <w:webHidden/>
              </w:rPr>
              <w:fldChar w:fldCharType="separate"/>
            </w:r>
            <w:r>
              <w:rPr>
                <w:noProof/>
                <w:webHidden/>
              </w:rPr>
              <w:t>8</w:t>
            </w:r>
            <w:r w:rsidR="003F15B3">
              <w:rPr>
                <w:noProof/>
                <w:webHidden/>
              </w:rPr>
              <w:fldChar w:fldCharType="end"/>
            </w:r>
          </w:hyperlink>
        </w:p>
        <w:p w14:paraId="11A808E3" w14:textId="38F19F2A" w:rsidR="003F15B3" w:rsidRDefault="00AD4025">
          <w:pPr>
            <w:pStyle w:val="TDC3"/>
            <w:rPr>
              <w:rFonts w:asciiTheme="minorHAnsi" w:eastAsiaTheme="minorEastAsia" w:hAnsiTheme="minorHAnsi" w:cstheme="minorBidi"/>
              <w:noProof/>
              <w:szCs w:val="22"/>
              <w:lang w:eastAsia="es-MX"/>
            </w:rPr>
          </w:pPr>
          <w:hyperlink w:anchor="_Toc206614399" w:history="1">
            <w:r w:rsidR="003F15B3" w:rsidRPr="00721AFB">
              <w:rPr>
                <w:rStyle w:val="Hipervnculo"/>
                <w:noProof/>
              </w:rPr>
              <w:t>a) Competencia del Instituto</w:t>
            </w:r>
            <w:r w:rsidR="003F15B3">
              <w:rPr>
                <w:noProof/>
                <w:webHidden/>
              </w:rPr>
              <w:tab/>
            </w:r>
            <w:r w:rsidR="003F15B3">
              <w:rPr>
                <w:noProof/>
                <w:webHidden/>
              </w:rPr>
              <w:fldChar w:fldCharType="begin"/>
            </w:r>
            <w:r w:rsidR="003F15B3">
              <w:rPr>
                <w:noProof/>
                <w:webHidden/>
              </w:rPr>
              <w:instrText xml:space="preserve"> PAGEREF _Toc206614399 \h </w:instrText>
            </w:r>
            <w:r w:rsidR="003F15B3">
              <w:rPr>
                <w:noProof/>
                <w:webHidden/>
              </w:rPr>
            </w:r>
            <w:r w:rsidR="003F15B3">
              <w:rPr>
                <w:noProof/>
                <w:webHidden/>
              </w:rPr>
              <w:fldChar w:fldCharType="separate"/>
            </w:r>
            <w:r>
              <w:rPr>
                <w:noProof/>
                <w:webHidden/>
              </w:rPr>
              <w:t>8</w:t>
            </w:r>
            <w:r w:rsidR="003F15B3">
              <w:rPr>
                <w:noProof/>
                <w:webHidden/>
              </w:rPr>
              <w:fldChar w:fldCharType="end"/>
            </w:r>
          </w:hyperlink>
        </w:p>
        <w:p w14:paraId="76699A78" w14:textId="57DA5DE7" w:rsidR="003F15B3" w:rsidRDefault="00AD4025">
          <w:pPr>
            <w:pStyle w:val="TDC3"/>
            <w:rPr>
              <w:rFonts w:asciiTheme="minorHAnsi" w:eastAsiaTheme="minorEastAsia" w:hAnsiTheme="minorHAnsi" w:cstheme="minorBidi"/>
              <w:noProof/>
              <w:szCs w:val="22"/>
              <w:lang w:eastAsia="es-MX"/>
            </w:rPr>
          </w:pPr>
          <w:hyperlink w:anchor="_Toc206614400" w:history="1">
            <w:r w:rsidR="003F15B3" w:rsidRPr="00721AFB">
              <w:rPr>
                <w:rStyle w:val="Hipervnculo"/>
                <w:noProof/>
              </w:rPr>
              <w:t>b) Legitimidad de la parte recurrente</w:t>
            </w:r>
            <w:r w:rsidR="003F15B3">
              <w:rPr>
                <w:noProof/>
                <w:webHidden/>
              </w:rPr>
              <w:tab/>
            </w:r>
            <w:r w:rsidR="003F15B3">
              <w:rPr>
                <w:noProof/>
                <w:webHidden/>
              </w:rPr>
              <w:fldChar w:fldCharType="begin"/>
            </w:r>
            <w:r w:rsidR="003F15B3">
              <w:rPr>
                <w:noProof/>
                <w:webHidden/>
              </w:rPr>
              <w:instrText xml:space="preserve"> PAGEREF _Toc206614400 \h </w:instrText>
            </w:r>
            <w:r w:rsidR="003F15B3">
              <w:rPr>
                <w:noProof/>
                <w:webHidden/>
              </w:rPr>
            </w:r>
            <w:r w:rsidR="003F15B3">
              <w:rPr>
                <w:noProof/>
                <w:webHidden/>
              </w:rPr>
              <w:fldChar w:fldCharType="separate"/>
            </w:r>
            <w:r>
              <w:rPr>
                <w:noProof/>
                <w:webHidden/>
              </w:rPr>
              <w:t>9</w:t>
            </w:r>
            <w:r w:rsidR="003F15B3">
              <w:rPr>
                <w:noProof/>
                <w:webHidden/>
              </w:rPr>
              <w:fldChar w:fldCharType="end"/>
            </w:r>
          </w:hyperlink>
        </w:p>
        <w:p w14:paraId="4C57DBAA" w14:textId="2FDF3C84" w:rsidR="003F15B3" w:rsidRDefault="00AD4025">
          <w:pPr>
            <w:pStyle w:val="TDC3"/>
            <w:rPr>
              <w:rFonts w:asciiTheme="minorHAnsi" w:eastAsiaTheme="minorEastAsia" w:hAnsiTheme="minorHAnsi" w:cstheme="minorBidi"/>
              <w:noProof/>
              <w:szCs w:val="22"/>
              <w:lang w:eastAsia="es-MX"/>
            </w:rPr>
          </w:pPr>
          <w:hyperlink w:anchor="_Toc206614401" w:history="1">
            <w:r w:rsidR="003F15B3" w:rsidRPr="00721AFB">
              <w:rPr>
                <w:rStyle w:val="Hipervnculo"/>
                <w:rFonts w:eastAsia="Calibri"/>
                <w:noProof/>
                <w:lang w:eastAsia="es-ES_tradnl"/>
              </w:rPr>
              <w:t>c) Plazo para interponer el recurso</w:t>
            </w:r>
            <w:r w:rsidR="003F15B3">
              <w:rPr>
                <w:noProof/>
                <w:webHidden/>
              </w:rPr>
              <w:tab/>
            </w:r>
            <w:r w:rsidR="003F15B3">
              <w:rPr>
                <w:noProof/>
                <w:webHidden/>
              </w:rPr>
              <w:fldChar w:fldCharType="begin"/>
            </w:r>
            <w:r w:rsidR="003F15B3">
              <w:rPr>
                <w:noProof/>
                <w:webHidden/>
              </w:rPr>
              <w:instrText xml:space="preserve"> PAGEREF _Toc206614401 \h </w:instrText>
            </w:r>
            <w:r w:rsidR="003F15B3">
              <w:rPr>
                <w:noProof/>
                <w:webHidden/>
              </w:rPr>
            </w:r>
            <w:r w:rsidR="003F15B3">
              <w:rPr>
                <w:noProof/>
                <w:webHidden/>
              </w:rPr>
              <w:fldChar w:fldCharType="separate"/>
            </w:r>
            <w:r>
              <w:rPr>
                <w:noProof/>
                <w:webHidden/>
              </w:rPr>
              <w:t>9</w:t>
            </w:r>
            <w:r w:rsidR="003F15B3">
              <w:rPr>
                <w:noProof/>
                <w:webHidden/>
              </w:rPr>
              <w:fldChar w:fldCharType="end"/>
            </w:r>
          </w:hyperlink>
        </w:p>
        <w:p w14:paraId="6192DC27" w14:textId="57082D11" w:rsidR="003F15B3" w:rsidRDefault="00AD4025">
          <w:pPr>
            <w:pStyle w:val="TDC3"/>
            <w:rPr>
              <w:rFonts w:asciiTheme="minorHAnsi" w:eastAsiaTheme="minorEastAsia" w:hAnsiTheme="minorHAnsi" w:cstheme="minorBidi"/>
              <w:noProof/>
              <w:szCs w:val="22"/>
              <w:lang w:eastAsia="es-MX"/>
            </w:rPr>
          </w:pPr>
          <w:hyperlink w:anchor="_Toc206614402" w:history="1">
            <w:r w:rsidR="003F15B3" w:rsidRPr="00721AFB">
              <w:rPr>
                <w:rStyle w:val="Hipervnculo"/>
                <w:rFonts w:eastAsia="Calibri"/>
                <w:noProof/>
                <w:lang w:eastAsia="es-ES_tradnl"/>
              </w:rPr>
              <w:t>d) Causal de procedencia</w:t>
            </w:r>
            <w:r w:rsidR="003F15B3">
              <w:rPr>
                <w:noProof/>
                <w:webHidden/>
              </w:rPr>
              <w:tab/>
            </w:r>
            <w:r w:rsidR="003F15B3">
              <w:rPr>
                <w:noProof/>
                <w:webHidden/>
              </w:rPr>
              <w:fldChar w:fldCharType="begin"/>
            </w:r>
            <w:r w:rsidR="003F15B3">
              <w:rPr>
                <w:noProof/>
                <w:webHidden/>
              </w:rPr>
              <w:instrText xml:space="preserve"> PAGEREF _Toc206614402 \h </w:instrText>
            </w:r>
            <w:r w:rsidR="003F15B3">
              <w:rPr>
                <w:noProof/>
                <w:webHidden/>
              </w:rPr>
            </w:r>
            <w:r w:rsidR="003F15B3">
              <w:rPr>
                <w:noProof/>
                <w:webHidden/>
              </w:rPr>
              <w:fldChar w:fldCharType="separate"/>
            </w:r>
            <w:r>
              <w:rPr>
                <w:noProof/>
                <w:webHidden/>
              </w:rPr>
              <w:t>9</w:t>
            </w:r>
            <w:r w:rsidR="003F15B3">
              <w:rPr>
                <w:noProof/>
                <w:webHidden/>
              </w:rPr>
              <w:fldChar w:fldCharType="end"/>
            </w:r>
          </w:hyperlink>
        </w:p>
        <w:p w14:paraId="5A14A460" w14:textId="1DDC140A" w:rsidR="003F15B3" w:rsidRDefault="00AD4025">
          <w:pPr>
            <w:pStyle w:val="TDC3"/>
            <w:rPr>
              <w:rFonts w:asciiTheme="minorHAnsi" w:eastAsiaTheme="minorEastAsia" w:hAnsiTheme="minorHAnsi" w:cstheme="minorBidi"/>
              <w:noProof/>
              <w:szCs w:val="22"/>
              <w:lang w:eastAsia="es-MX"/>
            </w:rPr>
          </w:pPr>
          <w:hyperlink w:anchor="_Toc206614403" w:history="1">
            <w:r w:rsidR="003F15B3" w:rsidRPr="00721AFB">
              <w:rPr>
                <w:rStyle w:val="Hipervnculo"/>
                <w:noProof/>
              </w:rPr>
              <w:t>e) Requisitos formales para la interposición del recurso</w:t>
            </w:r>
            <w:r w:rsidR="003F15B3">
              <w:rPr>
                <w:noProof/>
                <w:webHidden/>
              </w:rPr>
              <w:tab/>
            </w:r>
            <w:r w:rsidR="003F15B3">
              <w:rPr>
                <w:noProof/>
                <w:webHidden/>
              </w:rPr>
              <w:fldChar w:fldCharType="begin"/>
            </w:r>
            <w:r w:rsidR="003F15B3">
              <w:rPr>
                <w:noProof/>
                <w:webHidden/>
              </w:rPr>
              <w:instrText xml:space="preserve"> PAGEREF _Toc206614403 \h </w:instrText>
            </w:r>
            <w:r w:rsidR="003F15B3">
              <w:rPr>
                <w:noProof/>
                <w:webHidden/>
              </w:rPr>
            </w:r>
            <w:r w:rsidR="003F15B3">
              <w:rPr>
                <w:noProof/>
                <w:webHidden/>
              </w:rPr>
              <w:fldChar w:fldCharType="separate"/>
            </w:r>
            <w:r>
              <w:rPr>
                <w:noProof/>
                <w:webHidden/>
              </w:rPr>
              <w:t>10</w:t>
            </w:r>
            <w:r w:rsidR="003F15B3">
              <w:rPr>
                <w:noProof/>
                <w:webHidden/>
              </w:rPr>
              <w:fldChar w:fldCharType="end"/>
            </w:r>
          </w:hyperlink>
        </w:p>
        <w:p w14:paraId="64F2D967" w14:textId="7FAF0D60" w:rsidR="003F15B3" w:rsidRDefault="00AD4025">
          <w:pPr>
            <w:pStyle w:val="TDC2"/>
            <w:rPr>
              <w:rFonts w:asciiTheme="minorHAnsi" w:eastAsiaTheme="minorEastAsia" w:hAnsiTheme="minorHAnsi" w:cstheme="minorBidi"/>
              <w:noProof/>
              <w:szCs w:val="22"/>
              <w:lang w:eastAsia="es-MX"/>
            </w:rPr>
          </w:pPr>
          <w:hyperlink w:anchor="_Toc206614404" w:history="1">
            <w:r w:rsidR="003F15B3" w:rsidRPr="00721AFB">
              <w:rPr>
                <w:rStyle w:val="Hipervnculo"/>
                <w:noProof/>
              </w:rPr>
              <w:t>SEGUNDO. Estudio de Fondo</w:t>
            </w:r>
            <w:r w:rsidR="003F15B3">
              <w:rPr>
                <w:noProof/>
                <w:webHidden/>
              </w:rPr>
              <w:tab/>
            </w:r>
            <w:r w:rsidR="003F15B3">
              <w:rPr>
                <w:noProof/>
                <w:webHidden/>
              </w:rPr>
              <w:fldChar w:fldCharType="begin"/>
            </w:r>
            <w:r w:rsidR="003F15B3">
              <w:rPr>
                <w:noProof/>
                <w:webHidden/>
              </w:rPr>
              <w:instrText xml:space="preserve"> PAGEREF _Toc206614404 \h </w:instrText>
            </w:r>
            <w:r w:rsidR="003F15B3">
              <w:rPr>
                <w:noProof/>
                <w:webHidden/>
              </w:rPr>
            </w:r>
            <w:r w:rsidR="003F15B3">
              <w:rPr>
                <w:noProof/>
                <w:webHidden/>
              </w:rPr>
              <w:fldChar w:fldCharType="separate"/>
            </w:r>
            <w:r>
              <w:rPr>
                <w:noProof/>
                <w:webHidden/>
              </w:rPr>
              <w:t>11</w:t>
            </w:r>
            <w:r w:rsidR="003F15B3">
              <w:rPr>
                <w:noProof/>
                <w:webHidden/>
              </w:rPr>
              <w:fldChar w:fldCharType="end"/>
            </w:r>
          </w:hyperlink>
        </w:p>
        <w:p w14:paraId="538B3F26" w14:textId="6E177BC0" w:rsidR="003F15B3" w:rsidRDefault="00AD4025">
          <w:pPr>
            <w:pStyle w:val="TDC3"/>
            <w:rPr>
              <w:rFonts w:asciiTheme="minorHAnsi" w:eastAsiaTheme="minorEastAsia" w:hAnsiTheme="minorHAnsi" w:cstheme="minorBidi"/>
              <w:noProof/>
              <w:szCs w:val="22"/>
              <w:lang w:eastAsia="es-MX"/>
            </w:rPr>
          </w:pPr>
          <w:hyperlink w:anchor="_Toc206614405" w:history="1">
            <w:r w:rsidR="003F15B3" w:rsidRPr="00721AFB">
              <w:rPr>
                <w:rStyle w:val="Hipervnculo"/>
                <w:noProof/>
              </w:rPr>
              <w:t>a) Mandato de transparencia y responsabilidad del Sujeto Obligado</w:t>
            </w:r>
            <w:r w:rsidR="003F15B3">
              <w:rPr>
                <w:noProof/>
                <w:webHidden/>
              </w:rPr>
              <w:tab/>
            </w:r>
            <w:r w:rsidR="003F15B3">
              <w:rPr>
                <w:noProof/>
                <w:webHidden/>
              </w:rPr>
              <w:fldChar w:fldCharType="begin"/>
            </w:r>
            <w:r w:rsidR="003F15B3">
              <w:rPr>
                <w:noProof/>
                <w:webHidden/>
              </w:rPr>
              <w:instrText xml:space="preserve"> PAGEREF _Toc206614405 \h </w:instrText>
            </w:r>
            <w:r w:rsidR="003F15B3">
              <w:rPr>
                <w:noProof/>
                <w:webHidden/>
              </w:rPr>
            </w:r>
            <w:r w:rsidR="003F15B3">
              <w:rPr>
                <w:noProof/>
                <w:webHidden/>
              </w:rPr>
              <w:fldChar w:fldCharType="separate"/>
            </w:r>
            <w:r>
              <w:rPr>
                <w:noProof/>
                <w:webHidden/>
              </w:rPr>
              <w:t>11</w:t>
            </w:r>
            <w:r w:rsidR="003F15B3">
              <w:rPr>
                <w:noProof/>
                <w:webHidden/>
              </w:rPr>
              <w:fldChar w:fldCharType="end"/>
            </w:r>
          </w:hyperlink>
        </w:p>
        <w:p w14:paraId="200282E0" w14:textId="6D5D3528" w:rsidR="003F15B3" w:rsidRDefault="00AD4025">
          <w:pPr>
            <w:pStyle w:val="TDC3"/>
            <w:rPr>
              <w:rFonts w:asciiTheme="minorHAnsi" w:eastAsiaTheme="minorEastAsia" w:hAnsiTheme="minorHAnsi" w:cstheme="minorBidi"/>
              <w:noProof/>
              <w:szCs w:val="22"/>
              <w:lang w:eastAsia="es-MX"/>
            </w:rPr>
          </w:pPr>
          <w:hyperlink w:anchor="_Toc206614406" w:history="1">
            <w:r w:rsidR="003F15B3" w:rsidRPr="00721AFB">
              <w:rPr>
                <w:rStyle w:val="Hipervnculo"/>
                <w:rFonts w:eastAsia="Calibri"/>
                <w:noProof/>
                <w:lang w:eastAsia="es-ES_tradnl"/>
              </w:rPr>
              <w:t>b) Controversia a resolver</w:t>
            </w:r>
            <w:r w:rsidR="003F15B3">
              <w:rPr>
                <w:noProof/>
                <w:webHidden/>
              </w:rPr>
              <w:tab/>
            </w:r>
            <w:r w:rsidR="003F15B3">
              <w:rPr>
                <w:noProof/>
                <w:webHidden/>
              </w:rPr>
              <w:fldChar w:fldCharType="begin"/>
            </w:r>
            <w:r w:rsidR="003F15B3">
              <w:rPr>
                <w:noProof/>
                <w:webHidden/>
              </w:rPr>
              <w:instrText xml:space="preserve"> PAGEREF _Toc206614406 \h </w:instrText>
            </w:r>
            <w:r w:rsidR="003F15B3">
              <w:rPr>
                <w:noProof/>
                <w:webHidden/>
              </w:rPr>
            </w:r>
            <w:r w:rsidR="003F15B3">
              <w:rPr>
                <w:noProof/>
                <w:webHidden/>
              </w:rPr>
              <w:fldChar w:fldCharType="separate"/>
            </w:r>
            <w:r>
              <w:rPr>
                <w:noProof/>
                <w:webHidden/>
              </w:rPr>
              <w:t>13</w:t>
            </w:r>
            <w:r w:rsidR="003F15B3">
              <w:rPr>
                <w:noProof/>
                <w:webHidden/>
              </w:rPr>
              <w:fldChar w:fldCharType="end"/>
            </w:r>
          </w:hyperlink>
        </w:p>
        <w:p w14:paraId="1B639EB3" w14:textId="797DB1E2" w:rsidR="003F15B3" w:rsidRDefault="00AD4025">
          <w:pPr>
            <w:pStyle w:val="TDC3"/>
            <w:rPr>
              <w:rFonts w:asciiTheme="minorHAnsi" w:eastAsiaTheme="minorEastAsia" w:hAnsiTheme="minorHAnsi" w:cstheme="minorBidi"/>
              <w:noProof/>
              <w:szCs w:val="22"/>
              <w:lang w:eastAsia="es-MX"/>
            </w:rPr>
          </w:pPr>
          <w:hyperlink w:anchor="_Toc206614407" w:history="1">
            <w:r w:rsidR="003F15B3" w:rsidRPr="00721AFB">
              <w:rPr>
                <w:rStyle w:val="Hipervnculo"/>
                <w:noProof/>
              </w:rPr>
              <w:t>c) Estudio de la controversia</w:t>
            </w:r>
            <w:r w:rsidR="003F15B3">
              <w:rPr>
                <w:noProof/>
                <w:webHidden/>
              </w:rPr>
              <w:tab/>
            </w:r>
            <w:r w:rsidR="003F15B3">
              <w:rPr>
                <w:noProof/>
                <w:webHidden/>
              </w:rPr>
              <w:fldChar w:fldCharType="begin"/>
            </w:r>
            <w:r w:rsidR="003F15B3">
              <w:rPr>
                <w:noProof/>
                <w:webHidden/>
              </w:rPr>
              <w:instrText xml:space="preserve"> PAGEREF _Toc206614407 \h </w:instrText>
            </w:r>
            <w:r w:rsidR="003F15B3">
              <w:rPr>
                <w:noProof/>
                <w:webHidden/>
              </w:rPr>
            </w:r>
            <w:r w:rsidR="003F15B3">
              <w:rPr>
                <w:noProof/>
                <w:webHidden/>
              </w:rPr>
              <w:fldChar w:fldCharType="separate"/>
            </w:r>
            <w:r>
              <w:rPr>
                <w:noProof/>
                <w:webHidden/>
              </w:rPr>
              <w:t>14</w:t>
            </w:r>
            <w:r w:rsidR="003F15B3">
              <w:rPr>
                <w:noProof/>
                <w:webHidden/>
              </w:rPr>
              <w:fldChar w:fldCharType="end"/>
            </w:r>
          </w:hyperlink>
        </w:p>
        <w:p w14:paraId="57CBEBE7" w14:textId="016CBCCE" w:rsidR="003F15B3" w:rsidRDefault="00AD4025">
          <w:pPr>
            <w:pStyle w:val="TDC3"/>
            <w:rPr>
              <w:rFonts w:asciiTheme="minorHAnsi" w:eastAsiaTheme="minorEastAsia" w:hAnsiTheme="minorHAnsi" w:cstheme="minorBidi"/>
              <w:noProof/>
              <w:szCs w:val="22"/>
              <w:lang w:eastAsia="es-MX"/>
            </w:rPr>
          </w:pPr>
          <w:hyperlink w:anchor="_Toc206614408" w:history="1">
            <w:r w:rsidR="003F15B3" w:rsidRPr="003F15B3">
              <w:rPr>
                <w:rStyle w:val="Hipervnculo"/>
                <w:noProof/>
              </w:rPr>
              <w:t>d) Versión pública</w:t>
            </w:r>
            <w:r w:rsidR="003F15B3">
              <w:rPr>
                <w:noProof/>
                <w:webHidden/>
              </w:rPr>
              <w:tab/>
            </w:r>
            <w:r w:rsidR="003F15B3">
              <w:rPr>
                <w:noProof/>
                <w:webHidden/>
              </w:rPr>
              <w:fldChar w:fldCharType="begin"/>
            </w:r>
            <w:r w:rsidR="003F15B3">
              <w:rPr>
                <w:noProof/>
                <w:webHidden/>
              </w:rPr>
              <w:instrText xml:space="preserve"> PAGEREF _Toc206614408 \h </w:instrText>
            </w:r>
            <w:r w:rsidR="003F15B3">
              <w:rPr>
                <w:noProof/>
                <w:webHidden/>
              </w:rPr>
            </w:r>
            <w:r w:rsidR="003F15B3">
              <w:rPr>
                <w:noProof/>
                <w:webHidden/>
              </w:rPr>
              <w:fldChar w:fldCharType="separate"/>
            </w:r>
            <w:r>
              <w:rPr>
                <w:noProof/>
                <w:webHidden/>
              </w:rPr>
              <w:t>23</w:t>
            </w:r>
            <w:r w:rsidR="003F15B3">
              <w:rPr>
                <w:noProof/>
                <w:webHidden/>
              </w:rPr>
              <w:fldChar w:fldCharType="end"/>
            </w:r>
          </w:hyperlink>
        </w:p>
        <w:p w14:paraId="4525E392" w14:textId="3CE3ABC0" w:rsidR="003F15B3" w:rsidRDefault="00AD4025">
          <w:pPr>
            <w:pStyle w:val="TDC3"/>
            <w:rPr>
              <w:rFonts w:asciiTheme="minorHAnsi" w:eastAsiaTheme="minorEastAsia" w:hAnsiTheme="minorHAnsi" w:cstheme="minorBidi"/>
              <w:noProof/>
              <w:szCs w:val="22"/>
              <w:lang w:eastAsia="es-MX"/>
            </w:rPr>
          </w:pPr>
          <w:hyperlink w:anchor="_Toc206614409" w:history="1">
            <w:r w:rsidR="003F15B3" w:rsidRPr="00721AFB">
              <w:rPr>
                <w:rStyle w:val="Hipervnculo"/>
                <w:noProof/>
              </w:rPr>
              <w:t>e) Vista a autoridades</w:t>
            </w:r>
            <w:r w:rsidR="003F15B3">
              <w:rPr>
                <w:noProof/>
                <w:webHidden/>
              </w:rPr>
              <w:tab/>
            </w:r>
            <w:r w:rsidR="003F15B3">
              <w:rPr>
                <w:noProof/>
                <w:webHidden/>
              </w:rPr>
              <w:fldChar w:fldCharType="begin"/>
            </w:r>
            <w:r w:rsidR="003F15B3">
              <w:rPr>
                <w:noProof/>
                <w:webHidden/>
              </w:rPr>
              <w:instrText xml:space="preserve"> PAGEREF _Toc206614409 \h </w:instrText>
            </w:r>
            <w:r w:rsidR="003F15B3">
              <w:rPr>
                <w:noProof/>
                <w:webHidden/>
              </w:rPr>
            </w:r>
            <w:r w:rsidR="003F15B3">
              <w:rPr>
                <w:noProof/>
                <w:webHidden/>
              </w:rPr>
              <w:fldChar w:fldCharType="separate"/>
            </w:r>
            <w:r>
              <w:rPr>
                <w:noProof/>
                <w:webHidden/>
              </w:rPr>
              <w:t>32</w:t>
            </w:r>
            <w:r w:rsidR="003F15B3">
              <w:rPr>
                <w:noProof/>
                <w:webHidden/>
              </w:rPr>
              <w:fldChar w:fldCharType="end"/>
            </w:r>
          </w:hyperlink>
        </w:p>
        <w:p w14:paraId="59982C08" w14:textId="6CD2F9BE" w:rsidR="003F15B3" w:rsidRDefault="00AD4025">
          <w:pPr>
            <w:pStyle w:val="TDC3"/>
            <w:rPr>
              <w:rFonts w:asciiTheme="minorHAnsi" w:eastAsiaTheme="minorEastAsia" w:hAnsiTheme="minorHAnsi" w:cstheme="minorBidi"/>
              <w:noProof/>
              <w:szCs w:val="22"/>
              <w:lang w:eastAsia="es-MX"/>
            </w:rPr>
          </w:pPr>
          <w:hyperlink w:anchor="_Toc206614410" w:history="1">
            <w:r w:rsidR="003F15B3" w:rsidRPr="00721AFB">
              <w:rPr>
                <w:rStyle w:val="Hipervnculo"/>
                <w:noProof/>
              </w:rPr>
              <w:t>f) Conclusión</w:t>
            </w:r>
            <w:r w:rsidR="003F15B3">
              <w:rPr>
                <w:noProof/>
                <w:webHidden/>
              </w:rPr>
              <w:tab/>
            </w:r>
            <w:r w:rsidR="003F15B3">
              <w:rPr>
                <w:noProof/>
                <w:webHidden/>
              </w:rPr>
              <w:fldChar w:fldCharType="begin"/>
            </w:r>
            <w:r w:rsidR="003F15B3">
              <w:rPr>
                <w:noProof/>
                <w:webHidden/>
              </w:rPr>
              <w:instrText xml:space="preserve"> PAGEREF _Toc206614410 \h </w:instrText>
            </w:r>
            <w:r w:rsidR="003F15B3">
              <w:rPr>
                <w:noProof/>
                <w:webHidden/>
              </w:rPr>
            </w:r>
            <w:r w:rsidR="003F15B3">
              <w:rPr>
                <w:noProof/>
                <w:webHidden/>
              </w:rPr>
              <w:fldChar w:fldCharType="separate"/>
            </w:r>
            <w:r>
              <w:rPr>
                <w:noProof/>
                <w:webHidden/>
              </w:rPr>
              <w:t>33</w:t>
            </w:r>
            <w:r w:rsidR="003F15B3">
              <w:rPr>
                <w:noProof/>
                <w:webHidden/>
              </w:rPr>
              <w:fldChar w:fldCharType="end"/>
            </w:r>
          </w:hyperlink>
        </w:p>
        <w:p w14:paraId="3DDE207F" w14:textId="779AD9D9" w:rsidR="003F15B3" w:rsidRDefault="00AD4025">
          <w:pPr>
            <w:pStyle w:val="TDC1"/>
            <w:tabs>
              <w:tab w:val="right" w:leader="dot" w:pos="9034"/>
            </w:tabs>
            <w:rPr>
              <w:rFonts w:asciiTheme="minorHAnsi" w:eastAsiaTheme="minorEastAsia" w:hAnsiTheme="minorHAnsi" w:cstheme="minorBidi"/>
              <w:noProof/>
              <w:szCs w:val="22"/>
              <w:lang w:eastAsia="es-MX"/>
            </w:rPr>
          </w:pPr>
          <w:hyperlink w:anchor="_Toc206614411" w:history="1">
            <w:r w:rsidR="003F15B3" w:rsidRPr="00721AFB">
              <w:rPr>
                <w:rStyle w:val="Hipervnculo"/>
                <w:noProof/>
              </w:rPr>
              <w:t>RESUELVE</w:t>
            </w:r>
            <w:r w:rsidR="003F15B3">
              <w:rPr>
                <w:noProof/>
                <w:webHidden/>
              </w:rPr>
              <w:tab/>
            </w:r>
            <w:r w:rsidR="003F15B3">
              <w:rPr>
                <w:noProof/>
                <w:webHidden/>
              </w:rPr>
              <w:fldChar w:fldCharType="begin"/>
            </w:r>
            <w:r w:rsidR="003F15B3">
              <w:rPr>
                <w:noProof/>
                <w:webHidden/>
              </w:rPr>
              <w:instrText xml:space="preserve"> PAGEREF _Toc206614411 \h </w:instrText>
            </w:r>
            <w:r w:rsidR="003F15B3">
              <w:rPr>
                <w:noProof/>
                <w:webHidden/>
              </w:rPr>
            </w:r>
            <w:r w:rsidR="003F15B3">
              <w:rPr>
                <w:noProof/>
                <w:webHidden/>
              </w:rPr>
              <w:fldChar w:fldCharType="separate"/>
            </w:r>
            <w:r>
              <w:rPr>
                <w:noProof/>
                <w:webHidden/>
              </w:rPr>
              <w:t>33</w:t>
            </w:r>
            <w:r w:rsidR="003F15B3">
              <w:rPr>
                <w:noProof/>
                <w:webHidden/>
              </w:rPr>
              <w:fldChar w:fldCharType="end"/>
            </w:r>
          </w:hyperlink>
        </w:p>
        <w:p w14:paraId="0C82FD7A" w14:textId="7D6ECDEA" w:rsidR="009B2945" w:rsidRPr="003F15B3" w:rsidRDefault="00AE3DA7" w:rsidP="003F15B3">
          <w:pPr>
            <w:spacing w:line="240" w:lineRule="auto"/>
            <w:rPr>
              <w:b/>
              <w:bCs/>
              <w:lang w:val="es-ES"/>
            </w:rPr>
          </w:pPr>
          <w:r w:rsidRPr="003F15B3">
            <w:rPr>
              <w:b/>
              <w:bCs/>
              <w:sz w:val="16"/>
              <w:szCs w:val="16"/>
              <w:lang w:val="es-ES"/>
            </w:rPr>
            <w:fldChar w:fldCharType="end"/>
          </w:r>
        </w:p>
      </w:sdtContent>
    </w:sdt>
    <w:p w14:paraId="603A07E2" w14:textId="77777777" w:rsidR="00646436" w:rsidRPr="003F15B3" w:rsidRDefault="00646436" w:rsidP="003F15B3">
      <w:pPr>
        <w:rPr>
          <w:rFonts w:cs="Tahoma"/>
          <w:szCs w:val="22"/>
        </w:rPr>
        <w:sectPr w:rsidR="00646436" w:rsidRPr="003F15B3"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11D60176" w:rsidR="00775BFC" w:rsidRPr="003F15B3" w:rsidRDefault="00775BFC" w:rsidP="003F15B3">
      <w:r w:rsidRPr="003F15B3">
        <w:lastRenderedPageBreak/>
        <w:t>Resolución del Pleno del Instituto de Transparencia, Acceso a la Información Pública y Protección de Datos Personales del Estado de México y Municipios, con domicilio e</w:t>
      </w:r>
      <w:r w:rsidR="004D0573" w:rsidRPr="003F15B3">
        <w:t>n Metepec, Estado de México, de</w:t>
      </w:r>
      <w:r w:rsidR="003F15B3">
        <w:t>l</w:t>
      </w:r>
      <w:r w:rsidR="004D0573" w:rsidRPr="003F15B3">
        <w:t xml:space="preserve"> </w:t>
      </w:r>
      <w:r w:rsidR="00883954" w:rsidRPr="003F15B3">
        <w:rPr>
          <w:b/>
        </w:rPr>
        <w:t xml:space="preserve">veinte </w:t>
      </w:r>
      <w:r w:rsidR="00473260" w:rsidRPr="003F15B3">
        <w:rPr>
          <w:b/>
        </w:rPr>
        <w:t xml:space="preserve">de agosto </w:t>
      </w:r>
      <w:r w:rsidR="006E7E69" w:rsidRPr="003F15B3">
        <w:rPr>
          <w:b/>
        </w:rPr>
        <w:t>de dos mil veinticinco</w:t>
      </w:r>
      <w:r w:rsidRPr="003F15B3">
        <w:t>.</w:t>
      </w:r>
    </w:p>
    <w:p w14:paraId="0AF3AAC4" w14:textId="77777777" w:rsidR="00775BFC" w:rsidRPr="003F15B3" w:rsidRDefault="00775BFC" w:rsidP="003F15B3"/>
    <w:p w14:paraId="40EAE038" w14:textId="6F611D75" w:rsidR="00775BFC" w:rsidRPr="003F15B3" w:rsidRDefault="00775BFC" w:rsidP="003F15B3">
      <w:r w:rsidRPr="003F15B3">
        <w:rPr>
          <w:b/>
        </w:rPr>
        <w:t xml:space="preserve">VISTO </w:t>
      </w:r>
      <w:r w:rsidRPr="003F15B3">
        <w:t xml:space="preserve">el expediente formado con motivo del Recurso de Revisión </w:t>
      </w:r>
      <w:r w:rsidR="006E7E69" w:rsidRPr="003F15B3">
        <w:rPr>
          <w:rFonts w:eastAsia="Calibri"/>
          <w:b/>
          <w:lang w:eastAsia="en-US"/>
        </w:rPr>
        <w:t>0</w:t>
      </w:r>
      <w:r w:rsidR="00883954" w:rsidRPr="003F15B3">
        <w:rPr>
          <w:rFonts w:eastAsia="Calibri"/>
          <w:b/>
          <w:lang w:eastAsia="en-US"/>
        </w:rPr>
        <w:t>5757</w:t>
      </w:r>
      <w:r w:rsidR="006E7E69" w:rsidRPr="003F15B3">
        <w:rPr>
          <w:rFonts w:eastAsia="Calibri"/>
          <w:b/>
          <w:lang w:eastAsia="en-US"/>
        </w:rPr>
        <w:t>/INFOEM/IP/RR/2025</w:t>
      </w:r>
      <w:r w:rsidRPr="003F15B3">
        <w:rPr>
          <w:rFonts w:eastAsia="Calibri"/>
          <w:lang w:eastAsia="en-US"/>
        </w:rPr>
        <w:t xml:space="preserve"> </w:t>
      </w:r>
      <w:r w:rsidRPr="003F15B3">
        <w:t xml:space="preserve">interpuesto </w:t>
      </w:r>
      <w:r w:rsidR="00883954" w:rsidRPr="003F15B3">
        <w:t xml:space="preserve">una </w:t>
      </w:r>
      <w:r w:rsidR="00883954" w:rsidRPr="003F15B3">
        <w:rPr>
          <w:b/>
        </w:rPr>
        <w:t>persona de manera anónima</w:t>
      </w:r>
      <w:r w:rsidRPr="003F15B3">
        <w:rPr>
          <w:rFonts w:eastAsia="Calibri"/>
          <w:b/>
          <w:lang w:eastAsia="en-US"/>
        </w:rPr>
        <w:t>,</w:t>
      </w:r>
      <w:r w:rsidRPr="003F15B3">
        <w:t xml:space="preserve"> a quien en lo subsecuente se le denominará </w:t>
      </w:r>
      <w:r w:rsidRPr="003F15B3">
        <w:rPr>
          <w:b/>
          <w:bCs/>
        </w:rPr>
        <w:t>LA PARTE RECURRENTE</w:t>
      </w:r>
      <w:r w:rsidRPr="003F15B3">
        <w:t xml:space="preserve">, en contra de la </w:t>
      </w:r>
      <w:r w:rsidR="00773DD6" w:rsidRPr="003F15B3">
        <w:t xml:space="preserve">respuesta </w:t>
      </w:r>
      <w:r w:rsidR="00BA1AB6" w:rsidRPr="003F15B3">
        <w:t>de</w:t>
      </w:r>
      <w:r w:rsidR="005A5BF2" w:rsidRPr="003F15B3">
        <w:t>l</w:t>
      </w:r>
      <w:r w:rsidR="00773DD6" w:rsidRPr="003F15B3">
        <w:t xml:space="preserve"> </w:t>
      </w:r>
      <w:r w:rsidR="00396C48" w:rsidRPr="003F15B3">
        <w:rPr>
          <w:rFonts w:eastAsia="Calibri" w:cs="Tahoma"/>
          <w:b/>
          <w:szCs w:val="22"/>
          <w:lang w:eastAsia="en-US"/>
        </w:rPr>
        <w:t xml:space="preserve">Ayuntamiento de </w:t>
      </w:r>
      <w:r w:rsidR="00883954" w:rsidRPr="003F15B3">
        <w:rPr>
          <w:rFonts w:eastAsia="Calibri" w:cs="Tahoma"/>
          <w:b/>
          <w:szCs w:val="22"/>
          <w:lang w:eastAsia="en-US"/>
        </w:rPr>
        <w:t>Toluca</w:t>
      </w:r>
      <w:r w:rsidRPr="003F15B3">
        <w:rPr>
          <w:b/>
          <w:bCs/>
        </w:rPr>
        <w:t>,</w:t>
      </w:r>
      <w:r w:rsidRPr="003F15B3">
        <w:t xml:space="preserve"> en adelante </w:t>
      </w:r>
      <w:r w:rsidRPr="003F15B3">
        <w:rPr>
          <w:b/>
          <w:bCs/>
        </w:rPr>
        <w:t>EL SUJETO OBLIGADO</w:t>
      </w:r>
      <w:r w:rsidRPr="003F15B3">
        <w:rPr>
          <w:rFonts w:eastAsia="Calibri"/>
          <w:lang w:eastAsia="en-US"/>
        </w:rPr>
        <w:t xml:space="preserve">, </w:t>
      </w:r>
      <w:r w:rsidRPr="003F15B3">
        <w:t>se emite la presente Resolución con base en los Antecedentes y Considerandos que se exponen a continuación:</w:t>
      </w:r>
    </w:p>
    <w:p w14:paraId="2116968C" w14:textId="77777777" w:rsidR="00775BFC" w:rsidRPr="003F15B3" w:rsidRDefault="00775BFC" w:rsidP="003F15B3"/>
    <w:p w14:paraId="5A444FB6" w14:textId="639D3567" w:rsidR="00664420" w:rsidRPr="003F15B3" w:rsidRDefault="00664420" w:rsidP="003F15B3">
      <w:pPr>
        <w:pStyle w:val="Ttulo1"/>
      </w:pPr>
      <w:bookmarkStart w:id="4" w:name="_Toc206614384"/>
      <w:r w:rsidRPr="003F15B3">
        <w:t>ANTECEDENTES</w:t>
      </w:r>
      <w:bookmarkEnd w:id="4"/>
    </w:p>
    <w:p w14:paraId="5CB5034E" w14:textId="77777777" w:rsidR="00AC2DB8" w:rsidRPr="003F15B3" w:rsidRDefault="00AC2DB8" w:rsidP="003F15B3"/>
    <w:p w14:paraId="09B2D38F" w14:textId="6E49D146" w:rsidR="00664420" w:rsidRPr="003F15B3" w:rsidRDefault="00E37A3F" w:rsidP="003F15B3">
      <w:pPr>
        <w:pStyle w:val="Ttulo2"/>
      </w:pPr>
      <w:bookmarkStart w:id="5" w:name="_Toc206614385"/>
      <w:r w:rsidRPr="003F15B3">
        <w:t>DE LA SOLICITUD DE INFORMACIÓN</w:t>
      </w:r>
      <w:bookmarkEnd w:id="5"/>
    </w:p>
    <w:p w14:paraId="2C6AD1A5" w14:textId="0405B3CD" w:rsidR="00664420" w:rsidRPr="003F15B3" w:rsidRDefault="00E37A3F" w:rsidP="003F15B3">
      <w:pPr>
        <w:pStyle w:val="Ttulo3"/>
      </w:pPr>
      <w:bookmarkStart w:id="6" w:name="_Toc206614386"/>
      <w:r w:rsidRPr="003F15B3">
        <w:t xml:space="preserve">a) </w:t>
      </w:r>
      <w:r w:rsidR="006B10B0" w:rsidRPr="003F15B3">
        <w:t>S</w:t>
      </w:r>
      <w:r w:rsidR="00664420" w:rsidRPr="003F15B3">
        <w:t xml:space="preserve">olicitud de </w:t>
      </w:r>
      <w:r w:rsidR="006B10B0" w:rsidRPr="003F15B3">
        <w:t>i</w:t>
      </w:r>
      <w:r w:rsidR="00664420" w:rsidRPr="003F15B3">
        <w:t>nformación</w:t>
      </w:r>
      <w:bookmarkEnd w:id="6"/>
    </w:p>
    <w:p w14:paraId="6F73510B" w14:textId="35FF1E18" w:rsidR="000F32E8" w:rsidRPr="003F15B3" w:rsidRDefault="00B169A2" w:rsidP="003F15B3">
      <w:pPr>
        <w:pStyle w:val="Prrafodelista"/>
        <w:tabs>
          <w:tab w:val="left" w:pos="0"/>
        </w:tabs>
        <w:ind w:left="0"/>
        <w:contextualSpacing w:val="0"/>
        <w:rPr>
          <w:rFonts w:cs="Tahoma"/>
        </w:rPr>
      </w:pPr>
      <w:r w:rsidRPr="003F15B3">
        <w:rPr>
          <w:rFonts w:cs="Tahoma"/>
        </w:rPr>
        <w:t xml:space="preserve">El </w:t>
      </w:r>
      <w:r w:rsidR="00883954" w:rsidRPr="003F15B3">
        <w:rPr>
          <w:rFonts w:cs="Tahoma"/>
          <w:b/>
          <w:bCs/>
        </w:rPr>
        <w:t xml:space="preserve">treinta y uno de marzo </w:t>
      </w:r>
      <w:r w:rsidR="006E7E69" w:rsidRPr="003F15B3">
        <w:rPr>
          <w:rFonts w:cs="Tahoma"/>
          <w:b/>
          <w:bCs/>
        </w:rPr>
        <w:t>de dos mil veinticinco</w:t>
      </w:r>
      <w:r w:rsidRPr="003F15B3">
        <w:rPr>
          <w:rFonts w:cs="Tahoma"/>
        </w:rPr>
        <w:t xml:space="preserve">, </w:t>
      </w:r>
      <w:r w:rsidRPr="003F15B3">
        <w:rPr>
          <w:b/>
          <w:bCs/>
        </w:rPr>
        <w:t>LA PARTE RECURRENTE</w:t>
      </w:r>
      <w:r w:rsidRPr="003F15B3">
        <w:rPr>
          <w:rFonts w:cs="Tahoma"/>
        </w:rPr>
        <w:t xml:space="preserve"> presentó una solicitud de acceso a la información pública ante el </w:t>
      </w:r>
      <w:r w:rsidRPr="003F15B3">
        <w:rPr>
          <w:rFonts w:cs="Tahoma"/>
          <w:b/>
          <w:bCs/>
        </w:rPr>
        <w:t>SUJETO OBLIGADO</w:t>
      </w:r>
      <w:r w:rsidRPr="003F15B3">
        <w:rPr>
          <w:rFonts w:cs="Tahoma"/>
        </w:rPr>
        <w:t xml:space="preserve">, a través </w:t>
      </w:r>
      <w:r w:rsidR="00CC5ED7" w:rsidRPr="003F15B3">
        <w:rPr>
          <w:rFonts w:cs="Tahoma"/>
        </w:rPr>
        <w:t xml:space="preserve">del </w:t>
      </w:r>
      <w:r w:rsidR="000F32E8" w:rsidRPr="003F15B3">
        <w:rPr>
          <w:rFonts w:cs="Tahoma"/>
        </w:rPr>
        <w:t>Sistema de Acceso a la Información Mexiquense (</w:t>
      </w:r>
      <w:r w:rsidR="000F32E8" w:rsidRPr="003F15B3">
        <w:rPr>
          <w:rFonts w:cs="Tahoma"/>
          <w:b/>
        </w:rPr>
        <w:t>SAIMEX</w:t>
      </w:r>
      <w:r w:rsidR="000F32E8" w:rsidRPr="003F15B3">
        <w:rPr>
          <w:rFonts w:cs="Tahoma"/>
        </w:rPr>
        <w:t xml:space="preserve">). </w:t>
      </w:r>
      <w:r w:rsidRPr="003F15B3">
        <w:rPr>
          <w:rFonts w:cs="Tahoma"/>
        </w:rPr>
        <w:t>Dicha solicitud quedó registrada con el número de folio</w:t>
      </w:r>
      <w:r w:rsidRPr="003F15B3">
        <w:rPr>
          <w:rFonts w:cs="Tahoma"/>
          <w:b/>
          <w:bCs/>
        </w:rPr>
        <w:t xml:space="preserve"> </w:t>
      </w:r>
      <w:r w:rsidR="00883954" w:rsidRPr="003F15B3">
        <w:rPr>
          <w:rFonts w:cs="Tahoma"/>
          <w:b/>
          <w:bCs/>
        </w:rPr>
        <w:t>01911/TOLUCA/IP/2025</w:t>
      </w:r>
      <w:r w:rsidR="00883954" w:rsidRPr="003F15B3">
        <w:rPr>
          <w:rFonts w:cs="Tahoma"/>
          <w:b/>
        </w:rPr>
        <w:t xml:space="preserve"> </w:t>
      </w:r>
      <w:r w:rsidRPr="003F15B3">
        <w:rPr>
          <w:rFonts w:cs="Tahoma"/>
        </w:rPr>
        <w:t>y en ella se requirió la siguiente información:</w:t>
      </w:r>
    </w:p>
    <w:p w14:paraId="0459D6AC" w14:textId="77777777" w:rsidR="00664420" w:rsidRPr="003F15B3" w:rsidRDefault="00664420" w:rsidP="003F15B3">
      <w:pPr>
        <w:tabs>
          <w:tab w:val="left" w:pos="4667"/>
        </w:tabs>
        <w:ind w:left="567" w:right="567"/>
        <w:rPr>
          <w:rFonts w:cs="Tahoma"/>
          <w:b/>
          <w:bCs/>
        </w:rPr>
      </w:pPr>
    </w:p>
    <w:p w14:paraId="64B27DE3" w14:textId="49F695DB" w:rsidR="00664420" w:rsidRPr="003F15B3" w:rsidRDefault="002B1D44" w:rsidP="003F15B3">
      <w:pPr>
        <w:pStyle w:val="Puesto"/>
      </w:pPr>
      <w:r w:rsidRPr="003F15B3">
        <w:t>“</w:t>
      </w:r>
      <w:r w:rsidR="00883954" w:rsidRPr="003F15B3">
        <w:t>Los expedientes completos y contratos de todos las adjudicación directas del año 2023</w:t>
      </w:r>
      <w:r w:rsidRPr="003F15B3">
        <w:t>”</w:t>
      </w:r>
      <w:r w:rsidR="00BA1AB6" w:rsidRPr="003F15B3">
        <w:t xml:space="preserve"> (sic)</w:t>
      </w:r>
    </w:p>
    <w:p w14:paraId="07B1E1B5" w14:textId="77777777" w:rsidR="004D0573" w:rsidRPr="003F15B3" w:rsidRDefault="004D0573" w:rsidP="003F15B3">
      <w:pPr>
        <w:pStyle w:val="Puesto"/>
      </w:pPr>
    </w:p>
    <w:p w14:paraId="0BD6321D" w14:textId="5D8567EA" w:rsidR="00664420" w:rsidRPr="003F15B3" w:rsidRDefault="009A2D78" w:rsidP="003F15B3">
      <w:pPr>
        <w:tabs>
          <w:tab w:val="left" w:pos="4667"/>
        </w:tabs>
        <w:ind w:left="567" w:right="567"/>
        <w:rPr>
          <w:rFonts w:cs="Tahoma"/>
          <w:bCs/>
          <w:szCs w:val="22"/>
        </w:rPr>
      </w:pPr>
      <w:r w:rsidRPr="003F15B3">
        <w:rPr>
          <w:rFonts w:cs="Tahoma"/>
          <w:b/>
          <w:bCs/>
          <w:szCs w:val="22"/>
        </w:rPr>
        <w:t>Modalidad de entrega</w:t>
      </w:r>
      <w:r w:rsidRPr="003F15B3">
        <w:rPr>
          <w:rFonts w:cs="Tahoma"/>
          <w:bCs/>
          <w:szCs w:val="22"/>
        </w:rPr>
        <w:t>: a</w:t>
      </w:r>
      <w:r w:rsidR="00664420" w:rsidRPr="003F15B3">
        <w:rPr>
          <w:rFonts w:cs="Tahoma"/>
          <w:bCs/>
          <w:i/>
          <w:szCs w:val="22"/>
        </w:rPr>
        <w:t xml:space="preserve"> través del </w:t>
      </w:r>
      <w:r w:rsidR="00664420" w:rsidRPr="003F15B3">
        <w:rPr>
          <w:rFonts w:cs="Tahoma"/>
          <w:b/>
          <w:bCs/>
          <w:i/>
          <w:szCs w:val="22"/>
        </w:rPr>
        <w:t>SAIMEX</w:t>
      </w:r>
      <w:r w:rsidRPr="003F15B3">
        <w:rPr>
          <w:rFonts w:cs="Tahoma"/>
          <w:bCs/>
          <w:i/>
          <w:szCs w:val="22"/>
        </w:rPr>
        <w:t>.</w:t>
      </w:r>
    </w:p>
    <w:p w14:paraId="334D2860" w14:textId="77777777" w:rsidR="00664420" w:rsidRPr="003F15B3" w:rsidRDefault="00664420" w:rsidP="003F15B3">
      <w:pPr>
        <w:autoSpaceDE w:val="0"/>
        <w:autoSpaceDN w:val="0"/>
        <w:adjustRightInd w:val="0"/>
        <w:ind w:right="-28"/>
        <w:rPr>
          <w:rFonts w:cs="Tahoma"/>
          <w:bCs/>
          <w:i/>
          <w:szCs w:val="22"/>
        </w:rPr>
      </w:pPr>
    </w:p>
    <w:p w14:paraId="44B35F51" w14:textId="77777777" w:rsidR="00883954" w:rsidRPr="003F15B3" w:rsidRDefault="00883954" w:rsidP="003F15B3">
      <w:pPr>
        <w:pStyle w:val="Ttulo3"/>
      </w:pPr>
      <w:bookmarkStart w:id="7" w:name="_Toc202367056"/>
      <w:bookmarkStart w:id="8" w:name="_Toc206614387"/>
      <w:r w:rsidRPr="003F15B3">
        <w:lastRenderedPageBreak/>
        <w:t>b) Turno de la solicitud de información</w:t>
      </w:r>
      <w:bookmarkEnd w:id="7"/>
      <w:bookmarkEnd w:id="8"/>
    </w:p>
    <w:p w14:paraId="305C7002" w14:textId="663C8B9B" w:rsidR="00883954" w:rsidRPr="003F15B3" w:rsidRDefault="00883954" w:rsidP="003F15B3">
      <w:r w:rsidRPr="003F15B3">
        <w:t xml:space="preserve">En cumplimiento al artículo 162 de la Ley de Transparencia y Acceso a la Información Pública del Estado de México y Municipios, el </w:t>
      </w:r>
      <w:r w:rsidRPr="003F15B3">
        <w:rPr>
          <w:b/>
        </w:rPr>
        <w:t>treinta y uno de marzo de dos mil veinticinco</w:t>
      </w:r>
      <w:r w:rsidRPr="003F15B3">
        <w:t xml:space="preserve">, el Titular de la Unidad de Transparencia del </w:t>
      </w:r>
      <w:r w:rsidRPr="003F15B3">
        <w:rPr>
          <w:b/>
        </w:rPr>
        <w:t>SUJETO OBLIGADO</w:t>
      </w:r>
      <w:r w:rsidRPr="003F15B3">
        <w:t xml:space="preserve"> turnó la solicitud de información al servidor público habilitado que estimó pertinente.</w:t>
      </w:r>
    </w:p>
    <w:p w14:paraId="0DAEE623" w14:textId="77777777" w:rsidR="00883954" w:rsidRPr="003F15B3" w:rsidRDefault="00883954" w:rsidP="003F15B3">
      <w:pPr>
        <w:autoSpaceDE w:val="0"/>
        <w:autoSpaceDN w:val="0"/>
        <w:adjustRightInd w:val="0"/>
        <w:ind w:right="-28"/>
        <w:rPr>
          <w:rFonts w:cs="Tahoma"/>
          <w:bCs/>
          <w:i/>
          <w:szCs w:val="22"/>
        </w:rPr>
      </w:pPr>
    </w:p>
    <w:p w14:paraId="3212BA4D" w14:textId="12559CDD" w:rsidR="00664420" w:rsidRPr="003F15B3" w:rsidRDefault="0041389E" w:rsidP="003F15B3">
      <w:pPr>
        <w:pStyle w:val="Ttulo3"/>
      </w:pPr>
      <w:bookmarkStart w:id="9" w:name="_Toc201145912"/>
      <w:bookmarkStart w:id="10" w:name="_Toc206614388"/>
      <w:r w:rsidRPr="003F15B3">
        <w:t>c</w:t>
      </w:r>
      <w:r w:rsidR="00473260" w:rsidRPr="003F15B3">
        <w:t xml:space="preserve">) </w:t>
      </w:r>
      <w:bookmarkEnd w:id="9"/>
      <w:r w:rsidR="00664420" w:rsidRPr="003F15B3">
        <w:t>Respuesta del Sujeto Obligado</w:t>
      </w:r>
      <w:bookmarkEnd w:id="10"/>
    </w:p>
    <w:p w14:paraId="2143017E" w14:textId="05AEF683" w:rsidR="00BA1AB6" w:rsidRPr="003F15B3" w:rsidRDefault="003B0255" w:rsidP="003F15B3">
      <w:pPr>
        <w:rPr>
          <w:lang w:val="es-ES"/>
        </w:rPr>
      </w:pPr>
      <w:r w:rsidRPr="003F15B3">
        <w:rPr>
          <w:lang w:val="es-ES"/>
        </w:rPr>
        <w:t xml:space="preserve">El </w:t>
      </w:r>
      <w:r w:rsidR="00883954" w:rsidRPr="003F15B3">
        <w:rPr>
          <w:b/>
          <w:bCs/>
          <w:lang w:val="es-ES"/>
        </w:rPr>
        <w:t xml:space="preserve">veintiocho de abril </w:t>
      </w:r>
      <w:r w:rsidRPr="003F15B3">
        <w:rPr>
          <w:b/>
          <w:bCs/>
          <w:lang w:val="es-ES"/>
        </w:rPr>
        <w:t>de dos mil veintic</w:t>
      </w:r>
      <w:r w:rsidR="006E7E69" w:rsidRPr="003F15B3">
        <w:rPr>
          <w:b/>
          <w:bCs/>
          <w:lang w:val="es-ES"/>
        </w:rPr>
        <w:t>inco</w:t>
      </w:r>
      <w:r w:rsidRPr="003F15B3">
        <w:rPr>
          <w:lang w:val="es-ES"/>
        </w:rPr>
        <w:t xml:space="preserve">, el Titular de la Unidad de Transparencia del </w:t>
      </w:r>
      <w:r w:rsidRPr="003F15B3">
        <w:rPr>
          <w:b/>
          <w:lang w:val="es-ES"/>
        </w:rPr>
        <w:t>SUJETO OBLIGADO</w:t>
      </w:r>
      <w:r w:rsidRPr="003F15B3">
        <w:rPr>
          <w:lang w:val="es-ES"/>
        </w:rPr>
        <w:t xml:space="preserve"> notificó la siguiente respuesta a través del </w:t>
      </w:r>
      <w:r w:rsidRPr="003F15B3">
        <w:rPr>
          <w:b/>
          <w:lang w:val="es-ES"/>
        </w:rPr>
        <w:t>SAIMEX</w:t>
      </w:r>
      <w:r w:rsidRPr="003F15B3">
        <w:rPr>
          <w:lang w:val="es-ES"/>
        </w:rPr>
        <w:t>:</w:t>
      </w:r>
    </w:p>
    <w:p w14:paraId="64166B4B" w14:textId="77777777" w:rsidR="003B0255" w:rsidRPr="003F15B3" w:rsidRDefault="003B0255" w:rsidP="003F15B3"/>
    <w:p w14:paraId="7AC9EF63" w14:textId="77777777" w:rsidR="00883954" w:rsidRPr="003F15B3" w:rsidRDefault="003B0255" w:rsidP="003F15B3">
      <w:pPr>
        <w:pStyle w:val="Puesto"/>
      </w:pPr>
      <w:r w:rsidRPr="003F15B3">
        <w:t>“</w:t>
      </w:r>
      <w:r w:rsidR="00883954" w:rsidRPr="003F15B3">
        <w:t>En respuesta a la solicitud recibida, nos permitimos hacer de su conocimiento que con fundamento en el artículo 53, Fracciones: II, V y VI de la Ley de Transparencia y Acceso a la Información Pública del Estado de México y Municipios, le contestamos que:</w:t>
      </w:r>
    </w:p>
    <w:p w14:paraId="56CCF365" w14:textId="77777777" w:rsidR="00883954" w:rsidRPr="003F15B3" w:rsidRDefault="00883954" w:rsidP="003F15B3"/>
    <w:p w14:paraId="2FF1A220" w14:textId="77777777" w:rsidR="00883954" w:rsidRPr="003F15B3" w:rsidRDefault="00883954" w:rsidP="003F15B3">
      <w:pPr>
        <w:pStyle w:val="Puesto"/>
      </w:pPr>
      <w:r w:rsidRPr="003F15B3">
        <w:t>En atención a la solicitud con folio 01911 /TOLUCA/IP/2025, me permito adjuntar al presente la respuesta correspondiente. Sin más por el momento, reciba un saludo.</w:t>
      </w:r>
    </w:p>
    <w:p w14:paraId="60449BB9" w14:textId="77777777" w:rsidR="00883954" w:rsidRPr="003F15B3" w:rsidRDefault="00883954" w:rsidP="003F15B3"/>
    <w:p w14:paraId="63E57486" w14:textId="77777777" w:rsidR="00883954" w:rsidRPr="003F15B3" w:rsidRDefault="00883954" w:rsidP="003F15B3">
      <w:pPr>
        <w:pStyle w:val="Puesto"/>
      </w:pPr>
      <w:r w:rsidRPr="003F15B3">
        <w:t>ATENTAMENTE</w:t>
      </w:r>
    </w:p>
    <w:p w14:paraId="604993C3" w14:textId="77777777" w:rsidR="00883954" w:rsidRPr="003F15B3" w:rsidRDefault="00883954" w:rsidP="003F15B3"/>
    <w:p w14:paraId="4A08B1BE" w14:textId="74B41CC8" w:rsidR="003B0255" w:rsidRPr="003F15B3" w:rsidRDefault="00883954" w:rsidP="003F15B3">
      <w:pPr>
        <w:pStyle w:val="Puesto"/>
        <w:rPr>
          <w:lang w:val="pt-PT"/>
        </w:rPr>
      </w:pPr>
      <w:r w:rsidRPr="003F15B3">
        <w:rPr>
          <w:lang w:val="pt-PT"/>
        </w:rPr>
        <w:t>Dr. Nahum Miguel Mendoza Morales</w:t>
      </w:r>
      <w:r w:rsidR="003B0255" w:rsidRPr="003F15B3">
        <w:rPr>
          <w:lang w:val="pt-PT"/>
        </w:rPr>
        <w:t>” (sic)</w:t>
      </w:r>
    </w:p>
    <w:p w14:paraId="4B1F18A0" w14:textId="77777777" w:rsidR="003B0255" w:rsidRPr="003F15B3" w:rsidRDefault="003B0255" w:rsidP="003F15B3">
      <w:pPr>
        <w:rPr>
          <w:lang w:val="pt-PT"/>
        </w:rPr>
      </w:pPr>
    </w:p>
    <w:p w14:paraId="36EC751A" w14:textId="328D6EFB" w:rsidR="00883954" w:rsidRPr="003F15B3" w:rsidRDefault="003B0255" w:rsidP="003F15B3">
      <w:pPr>
        <w:autoSpaceDE w:val="0"/>
        <w:autoSpaceDN w:val="0"/>
        <w:adjustRightInd w:val="0"/>
        <w:ind w:right="-28"/>
        <w:rPr>
          <w:rFonts w:cs="Tahoma"/>
          <w:bCs/>
          <w:szCs w:val="22"/>
          <w:lang w:val="es-ES"/>
        </w:rPr>
      </w:pPr>
      <w:r w:rsidRPr="003F15B3">
        <w:rPr>
          <w:rFonts w:cs="Tahoma"/>
          <w:bCs/>
          <w:szCs w:val="22"/>
          <w:lang w:val="es-ES"/>
        </w:rPr>
        <w:t xml:space="preserve">Asimismo, </w:t>
      </w:r>
      <w:r w:rsidRPr="003F15B3">
        <w:rPr>
          <w:rFonts w:cs="Tahoma"/>
          <w:b/>
          <w:szCs w:val="22"/>
          <w:lang w:val="es-ES"/>
        </w:rPr>
        <w:t xml:space="preserve">EL SUJETO OBLIGADO </w:t>
      </w:r>
      <w:r w:rsidRPr="003F15B3">
        <w:rPr>
          <w:rFonts w:cs="Tahoma"/>
          <w:bCs/>
          <w:szCs w:val="22"/>
          <w:lang w:val="es-ES"/>
        </w:rPr>
        <w:t xml:space="preserve">adjuntó a su respuesta </w:t>
      </w:r>
      <w:r w:rsidR="00883954" w:rsidRPr="003F15B3">
        <w:rPr>
          <w:rFonts w:cs="Tahoma"/>
          <w:bCs/>
          <w:szCs w:val="22"/>
          <w:lang w:val="es-ES"/>
        </w:rPr>
        <w:t>los</w:t>
      </w:r>
      <w:r w:rsidR="00D45761" w:rsidRPr="003F15B3">
        <w:rPr>
          <w:rFonts w:cs="Tahoma"/>
          <w:bCs/>
          <w:szCs w:val="22"/>
          <w:lang w:val="es-ES"/>
        </w:rPr>
        <w:t xml:space="preserve"> </w:t>
      </w:r>
      <w:r w:rsidR="009D1BF6" w:rsidRPr="003F15B3">
        <w:rPr>
          <w:rFonts w:cs="Tahoma"/>
          <w:bCs/>
          <w:szCs w:val="22"/>
          <w:lang w:val="es-ES"/>
        </w:rPr>
        <w:t>archivo</w:t>
      </w:r>
      <w:r w:rsidR="00883954" w:rsidRPr="003F15B3">
        <w:rPr>
          <w:rFonts w:cs="Tahoma"/>
          <w:bCs/>
          <w:szCs w:val="22"/>
          <w:lang w:val="es-ES"/>
        </w:rPr>
        <w:t>s</w:t>
      </w:r>
      <w:r w:rsidR="009D1BF6" w:rsidRPr="003F15B3">
        <w:rPr>
          <w:rFonts w:cs="Tahoma"/>
          <w:bCs/>
          <w:szCs w:val="22"/>
          <w:lang w:val="es-ES"/>
        </w:rPr>
        <w:t xml:space="preserve"> electrónico</w:t>
      </w:r>
      <w:r w:rsidR="00883954" w:rsidRPr="003F15B3">
        <w:rPr>
          <w:rFonts w:cs="Tahoma"/>
          <w:bCs/>
          <w:szCs w:val="22"/>
          <w:lang w:val="es-ES"/>
        </w:rPr>
        <w:t>s</w:t>
      </w:r>
      <w:r w:rsidR="00396C48" w:rsidRPr="003F15B3">
        <w:rPr>
          <w:rFonts w:cs="Tahoma"/>
          <w:bCs/>
          <w:szCs w:val="22"/>
          <w:lang w:val="es-ES"/>
        </w:rPr>
        <w:t xml:space="preserve"> </w:t>
      </w:r>
      <w:r w:rsidR="00883954" w:rsidRPr="003F15B3">
        <w:rPr>
          <w:rFonts w:cs="Tahoma"/>
          <w:bCs/>
          <w:szCs w:val="22"/>
          <w:lang w:val="es-ES"/>
        </w:rPr>
        <w:t xml:space="preserve">que a continuación se describen: </w:t>
      </w:r>
    </w:p>
    <w:p w14:paraId="236E9D79" w14:textId="77777777" w:rsidR="00883954" w:rsidRPr="003F15B3" w:rsidRDefault="00883954" w:rsidP="003F15B3">
      <w:pPr>
        <w:autoSpaceDE w:val="0"/>
        <w:autoSpaceDN w:val="0"/>
        <w:adjustRightInd w:val="0"/>
        <w:ind w:right="-28"/>
        <w:rPr>
          <w:rFonts w:cs="Tahoma"/>
          <w:bCs/>
          <w:szCs w:val="22"/>
          <w:lang w:val="es-ES"/>
        </w:rPr>
      </w:pPr>
    </w:p>
    <w:p w14:paraId="6B4A25EF" w14:textId="3C184293" w:rsidR="00883954" w:rsidRPr="003F15B3" w:rsidRDefault="00883954" w:rsidP="003F15B3">
      <w:pPr>
        <w:pStyle w:val="Prrafodelista"/>
        <w:numPr>
          <w:ilvl w:val="0"/>
          <w:numId w:val="4"/>
        </w:numPr>
        <w:autoSpaceDE w:val="0"/>
        <w:autoSpaceDN w:val="0"/>
        <w:adjustRightInd w:val="0"/>
        <w:ind w:right="-28"/>
        <w:rPr>
          <w:rFonts w:cs="Tahoma"/>
          <w:b/>
          <w:bCs/>
          <w:i/>
          <w:szCs w:val="22"/>
          <w:lang w:val="es-ES"/>
        </w:rPr>
      </w:pPr>
      <w:proofErr w:type="spellStart"/>
      <w:r w:rsidRPr="003F15B3">
        <w:rPr>
          <w:rFonts w:eastAsiaTheme="majorEastAsia"/>
          <w:b/>
          <w:bCs/>
          <w:i/>
          <w:lang w:val="es-ES"/>
        </w:rPr>
        <w:t>Respsol</w:t>
      </w:r>
      <w:proofErr w:type="spellEnd"/>
      <w:r w:rsidRPr="003F15B3">
        <w:rPr>
          <w:rFonts w:eastAsiaTheme="majorEastAsia"/>
          <w:b/>
          <w:bCs/>
          <w:i/>
          <w:lang w:val="es-ES"/>
        </w:rPr>
        <w:t xml:space="preserve"> 01911_2025.pdf</w:t>
      </w:r>
      <w:r w:rsidRPr="003F15B3">
        <w:rPr>
          <w:rFonts w:cs="Tahoma"/>
          <w:b/>
          <w:bCs/>
          <w:i/>
          <w:szCs w:val="22"/>
          <w:lang w:val="es-ES"/>
        </w:rPr>
        <w:t xml:space="preserve">, </w:t>
      </w:r>
      <w:r w:rsidRPr="003F15B3">
        <w:rPr>
          <w:rFonts w:cs="Tahoma"/>
          <w:iCs/>
          <w:szCs w:val="22"/>
          <w:lang w:val="es-ES"/>
        </w:rPr>
        <w:t xml:space="preserve">el cual </w:t>
      </w:r>
      <w:r w:rsidR="003E4B14" w:rsidRPr="003F15B3">
        <w:rPr>
          <w:rFonts w:cs="Tahoma"/>
          <w:iCs/>
          <w:szCs w:val="22"/>
          <w:lang w:val="es-ES"/>
        </w:rPr>
        <w:t xml:space="preserve">contiene el oficio 200F10300/175/2025 de diez de abril de dos mil veinticinco, por medio del cual la Coordinadora de Administración y Finanzas del Instituto Municipal de la Mujer, adjunta los expedientes integrados derivados de las adjudicaciones directas llevadas a cabo por el referido Instituto.   </w:t>
      </w:r>
    </w:p>
    <w:p w14:paraId="234B13C5" w14:textId="4BCDF1B7" w:rsidR="005D6D54" w:rsidRPr="003F15B3" w:rsidRDefault="00883954" w:rsidP="003F15B3">
      <w:pPr>
        <w:pStyle w:val="Prrafodelista"/>
        <w:numPr>
          <w:ilvl w:val="0"/>
          <w:numId w:val="4"/>
        </w:numPr>
        <w:autoSpaceDE w:val="0"/>
        <w:autoSpaceDN w:val="0"/>
        <w:adjustRightInd w:val="0"/>
        <w:ind w:right="-28"/>
        <w:rPr>
          <w:rFonts w:cs="Tahoma"/>
          <w:b/>
          <w:bCs/>
          <w:i/>
          <w:szCs w:val="22"/>
          <w:lang w:val="es-ES"/>
        </w:rPr>
      </w:pPr>
      <w:r w:rsidRPr="003F15B3">
        <w:rPr>
          <w:rFonts w:eastAsiaTheme="majorEastAsia"/>
          <w:b/>
          <w:bCs/>
          <w:i/>
          <w:lang w:val="es-ES"/>
        </w:rPr>
        <w:lastRenderedPageBreak/>
        <w:t>R. 01911. 2025.pdf</w:t>
      </w:r>
      <w:r w:rsidR="003E4B14" w:rsidRPr="003F15B3">
        <w:rPr>
          <w:rFonts w:eastAsiaTheme="majorEastAsia"/>
          <w:b/>
          <w:bCs/>
          <w:i/>
          <w:lang w:val="es-ES"/>
        </w:rPr>
        <w:t xml:space="preserve">, </w:t>
      </w:r>
      <w:r w:rsidR="003E4B14" w:rsidRPr="003F15B3">
        <w:rPr>
          <w:rFonts w:eastAsiaTheme="majorEastAsia"/>
          <w:iCs/>
          <w:lang w:val="es-ES"/>
        </w:rPr>
        <w:t xml:space="preserve">el cual contiene el oficio del veintiocho de abril de dos mil veinticinco, por medio del cual el Titular de la Unidad de Transparencia, </w:t>
      </w:r>
      <w:r w:rsidR="005D6D54" w:rsidRPr="003F15B3">
        <w:rPr>
          <w:rFonts w:eastAsiaTheme="majorEastAsia"/>
          <w:iCs/>
          <w:lang w:val="es-ES"/>
        </w:rPr>
        <w:t xml:space="preserve">hace del conocimiento que la Dirección General de Administración informa que la información del año 2023 se encuentra disponible en IPOMEX, proporcionando para ello link electrónico para su consulta en formato cerrado. </w:t>
      </w:r>
    </w:p>
    <w:p w14:paraId="1DAEC503" w14:textId="77777777" w:rsidR="00883954" w:rsidRPr="003F15B3" w:rsidRDefault="00883954" w:rsidP="003F15B3">
      <w:pPr>
        <w:autoSpaceDE w:val="0"/>
        <w:autoSpaceDN w:val="0"/>
        <w:adjustRightInd w:val="0"/>
        <w:ind w:right="-28"/>
        <w:rPr>
          <w:rFonts w:cs="Tahoma"/>
          <w:bCs/>
          <w:szCs w:val="22"/>
          <w:lang w:val="es-ES"/>
        </w:rPr>
      </w:pPr>
    </w:p>
    <w:p w14:paraId="0F24A322" w14:textId="7F9E5F9A" w:rsidR="00B137E8" w:rsidRPr="003F15B3" w:rsidRDefault="00B137E8" w:rsidP="003F15B3">
      <w:pPr>
        <w:pStyle w:val="Ttulo2"/>
        <w:jc w:val="left"/>
      </w:pPr>
      <w:bookmarkStart w:id="11" w:name="_Toc171527280"/>
      <w:bookmarkStart w:id="12" w:name="_Toc206614389"/>
      <w:r w:rsidRPr="003F15B3">
        <w:t>DEL RECURSO DE REVISIÓN</w:t>
      </w:r>
      <w:bookmarkEnd w:id="11"/>
      <w:bookmarkEnd w:id="12"/>
    </w:p>
    <w:p w14:paraId="2B216813" w14:textId="61ADBB2B" w:rsidR="00664420" w:rsidRPr="003F15B3" w:rsidRDefault="006E25BC" w:rsidP="003F15B3">
      <w:pPr>
        <w:pStyle w:val="Ttulo3"/>
      </w:pPr>
      <w:bookmarkStart w:id="13" w:name="_Toc206614390"/>
      <w:r w:rsidRPr="003F15B3">
        <w:rPr>
          <w:szCs w:val="32"/>
        </w:rPr>
        <w:t>a)</w:t>
      </w:r>
      <w:r w:rsidRPr="003F15B3">
        <w:t xml:space="preserve"> </w:t>
      </w:r>
      <w:r w:rsidR="00664420" w:rsidRPr="003F15B3">
        <w:t>Interposición del Recurso de Revisión</w:t>
      </w:r>
      <w:bookmarkEnd w:id="13"/>
    </w:p>
    <w:p w14:paraId="6279C622" w14:textId="24320E76" w:rsidR="00664420" w:rsidRPr="003F15B3" w:rsidRDefault="00664420" w:rsidP="003F15B3">
      <w:pPr>
        <w:autoSpaceDE w:val="0"/>
        <w:autoSpaceDN w:val="0"/>
        <w:adjustRightInd w:val="0"/>
        <w:ind w:right="-28"/>
        <w:rPr>
          <w:rFonts w:cs="Tahoma"/>
          <w:szCs w:val="22"/>
        </w:rPr>
      </w:pPr>
      <w:r w:rsidRPr="003F15B3">
        <w:rPr>
          <w:rFonts w:cs="Tahoma"/>
          <w:szCs w:val="22"/>
        </w:rPr>
        <w:t xml:space="preserve">El </w:t>
      </w:r>
      <w:r w:rsidR="005D6D54" w:rsidRPr="003F15B3">
        <w:rPr>
          <w:rFonts w:cs="Tahoma"/>
          <w:b/>
          <w:bCs/>
          <w:szCs w:val="22"/>
        </w:rPr>
        <w:t xml:space="preserve">veintiuno de mayo </w:t>
      </w:r>
      <w:r w:rsidR="00475FF6" w:rsidRPr="003F15B3">
        <w:rPr>
          <w:rFonts w:cs="Tahoma"/>
          <w:b/>
          <w:bCs/>
          <w:szCs w:val="22"/>
        </w:rPr>
        <w:t xml:space="preserve">de </w:t>
      </w:r>
      <w:r w:rsidRPr="003F15B3">
        <w:rPr>
          <w:rFonts w:cs="Tahoma"/>
          <w:b/>
          <w:bCs/>
          <w:szCs w:val="22"/>
        </w:rPr>
        <w:t>dos mil</w:t>
      </w:r>
      <w:r w:rsidR="00F45902" w:rsidRPr="003F15B3">
        <w:rPr>
          <w:rFonts w:cs="Tahoma"/>
          <w:b/>
          <w:bCs/>
          <w:szCs w:val="22"/>
        </w:rPr>
        <w:t xml:space="preserve"> veintic</w:t>
      </w:r>
      <w:r w:rsidR="006E7E69" w:rsidRPr="003F15B3">
        <w:rPr>
          <w:rFonts w:cs="Tahoma"/>
          <w:b/>
          <w:bCs/>
          <w:szCs w:val="22"/>
        </w:rPr>
        <w:t>inco</w:t>
      </w:r>
      <w:r w:rsidR="00E0690A" w:rsidRPr="003F15B3">
        <w:rPr>
          <w:rFonts w:cs="Tahoma"/>
          <w:b/>
          <w:bCs/>
          <w:szCs w:val="22"/>
        </w:rPr>
        <w:t xml:space="preserve"> </w:t>
      </w:r>
      <w:r w:rsidR="00F75D23" w:rsidRPr="003F15B3">
        <w:rPr>
          <w:rFonts w:cs="Tahoma"/>
          <w:b/>
          <w:bCs/>
          <w:szCs w:val="22"/>
        </w:rPr>
        <w:t>LA PARTE RECURRENTE</w:t>
      </w:r>
      <w:r w:rsidR="00F75D23" w:rsidRPr="003F15B3">
        <w:rPr>
          <w:rFonts w:cs="Tahoma"/>
          <w:szCs w:val="22"/>
        </w:rPr>
        <w:t xml:space="preserve"> interpuso el recurso de revisión en contra de la respuesta emitida por el </w:t>
      </w:r>
      <w:r w:rsidR="00F75D23" w:rsidRPr="003F15B3">
        <w:rPr>
          <w:rFonts w:cs="Tahoma"/>
          <w:b/>
          <w:bCs/>
          <w:szCs w:val="22"/>
        </w:rPr>
        <w:t>SUJETO OBLIGADO</w:t>
      </w:r>
      <w:r w:rsidR="00953430" w:rsidRPr="003F15B3">
        <w:rPr>
          <w:rFonts w:cs="Tahoma"/>
          <w:szCs w:val="22"/>
        </w:rPr>
        <w:t xml:space="preserve">, mismo que fue registrado en el </w:t>
      </w:r>
      <w:r w:rsidR="00953430" w:rsidRPr="003F15B3">
        <w:rPr>
          <w:rFonts w:cs="Tahoma"/>
          <w:b/>
          <w:szCs w:val="22"/>
        </w:rPr>
        <w:t>SAIMEX</w:t>
      </w:r>
      <w:r w:rsidR="00953430" w:rsidRPr="003F15B3">
        <w:rPr>
          <w:rFonts w:cs="Tahoma"/>
          <w:szCs w:val="22"/>
        </w:rPr>
        <w:t xml:space="preserve"> con el número de expediente </w:t>
      </w:r>
      <w:r w:rsidR="006E7E69" w:rsidRPr="003F15B3">
        <w:rPr>
          <w:rFonts w:cs="Tahoma"/>
          <w:b/>
          <w:bCs/>
          <w:szCs w:val="22"/>
        </w:rPr>
        <w:t>0</w:t>
      </w:r>
      <w:r w:rsidR="005D6D54" w:rsidRPr="003F15B3">
        <w:rPr>
          <w:rFonts w:cs="Tahoma"/>
          <w:b/>
          <w:bCs/>
          <w:szCs w:val="22"/>
        </w:rPr>
        <w:t>5757</w:t>
      </w:r>
      <w:r w:rsidR="006E7E69" w:rsidRPr="003F15B3">
        <w:rPr>
          <w:rFonts w:cs="Tahoma"/>
          <w:b/>
          <w:bCs/>
          <w:szCs w:val="22"/>
        </w:rPr>
        <w:t>/INFOEM/IP/RR/2025</w:t>
      </w:r>
      <w:r w:rsidR="00953430" w:rsidRPr="003F15B3">
        <w:rPr>
          <w:rFonts w:cs="Tahoma"/>
          <w:szCs w:val="22"/>
        </w:rPr>
        <w:t>, y en el cual manifiesta lo siguiente</w:t>
      </w:r>
      <w:r w:rsidRPr="003F15B3">
        <w:rPr>
          <w:rFonts w:cs="Tahoma"/>
          <w:szCs w:val="22"/>
        </w:rPr>
        <w:t>:</w:t>
      </w:r>
    </w:p>
    <w:p w14:paraId="74B30008" w14:textId="77777777" w:rsidR="00664420" w:rsidRPr="003F15B3" w:rsidRDefault="00664420" w:rsidP="003F15B3">
      <w:pPr>
        <w:tabs>
          <w:tab w:val="left" w:pos="4667"/>
        </w:tabs>
        <w:ind w:right="539"/>
        <w:rPr>
          <w:rFonts w:cs="Tahoma"/>
          <w:szCs w:val="22"/>
        </w:rPr>
      </w:pPr>
    </w:p>
    <w:p w14:paraId="2780191D" w14:textId="77777777" w:rsidR="006415E5" w:rsidRPr="003F15B3" w:rsidRDefault="00664420" w:rsidP="003F15B3">
      <w:pPr>
        <w:tabs>
          <w:tab w:val="left" w:pos="4667"/>
        </w:tabs>
        <w:ind w:right="539"/>
        <w:rPr>
          <w:rFonts w:cs="Tahoma"/>
          <w:b/>
          <w:iCs/>
        </w:rPr>
      </w:pPr>
      <w:r w:rsidRPr="003F15B3">
        <w:rPr>
          <w:rFonts w:cs="Tahoma"/>
          <w:b/>
          <w:iCs/>
        </w:rPr>
        <w:t>ACTO IMPUGNADO</w:t>
      </w:r>
      <w:r w:rsidR="006415E5" w:rsidRPr="003F15B3">
        <w:rPr>
          <w:rFonts w:cs="Tahoma"/>
          <w:b/>
          <w:iCs/>
        </w:rPr>
        <w:t xml:space="preserve">: </w:t>
      </w:r>
    </w:p>
    <w:p w14:paraId="369BEFEA" w14:textId="77777777" w:rsidR="006415E5" w:rsidRPr="003F15B3" w:rsidRDefault="006415E5" w:rsidP="003F15B3">
      <w:pPr>
        <w:pStyle w:val="Puesto"/>
      </w:pPr>
    </w:p>
    <w:p w14:paraId="174FC425" w14:textId="67DD3255" w:rsidR="006415E5" w:rsidRPr="003F15B3" w:rsidRDefault="006415E5" w:rsidP="003F15B3">
      <w:pPr>
        <w:pStyle w:val="Puesto"/>
      </w:pPr>
      <w:r w:rsidRPr="003F15B3">
        <w:t>“</w:t>
      </w:r>
      <w:r w:rsidR="005D6D54" w:rsidRPr="003F15B3">
        <w:t xml:space="preserve">La entrega de la información incompleta no </w:t>
      </w:r>
      <w:proofErr w:type="spellStart"/>
      <w:r w:rsidR="005D6D54" w:rsidRPr="003F15B3">
        <w:t>e</w:t>
      </w:r>
      <w:proofErr w:type="spellEnd"/>
      <w:r w:rsidR="005D6D54" w:rsidRPr="003F15B3">
        <w:t xml:space="preserve"> </w:t>
      </w:r>
      <w:proofErr w:type="spellStart"/>
      <w:r w:rsidR="005D6D54" w:rsidRPr="003F15B3">
        <w:t>slo</w:t>
      </w:r>
      <w:proofErr w:type="spellEnd"/>
      <w:r w:rsidR="005D6D54" w:rsidRPr="003F15B3">
        <w:t xml:space="preserve"> que se solicita</w:t>
      </w:r>
      <w:r w:rsidRPr="003F15B3">
        <w:t xml:space="preserve">” (sic) </w:t>
      </w:r>
    </w:p>
    <w:p w14:paraId="737EA022" w14:textId="77777777" w:rsidR="006415E5" w:rsidRPr="003F15B3" w:rsidRDefault="006415E5" w:rsidP="003F15B3">
      <w:pPr>
        <w:pStyle w:val="Puesto"/>
      </w:pPr>
    </w:p>
    <w:p w14:paraId="7753408F" w14:textId="5E7CE11A" w:rsidR="0043654A" w:rsidRPr="003F15B3" w:rsidRDefault="0086345C" w:rsidP="003F15B3">
      <w:pPr>
        <w:tabs>
          <w:tab w:val="left" w:pos="4667"/>
        </w:tabs>
        <w:ind w:right="539"/>
        <w:rPr>
          <w:rFonts w:cs="Tahoma"/>
          <w:b/>
          <w:iCs/>
        </w:rPr>
      </w:pPr>
      <w:r w:rsidRPr="003F15B3">
        <w:rPr>
          <w:rFonts w:cs="Tahoma"/>
          <w:b/>
          <w:iCs/>
        </w:rPr>
        <w:t xml:space="preserve">RAZONES O MOTIVOS DE INCONFORMIDAD: </w:t>
      </w:r>
    </w:p>
    <w:p w14:paraId="776C5805" w14:textId="77777777" w:rsidR="0043654A" w:rsidRPr="003F15B3" w:rsidRDefault="0043654A" w:rsidP="003F15B3">
      <w:pPr>
        <w:tabs>
          <w:tab w:val="left" w:pos="4667"/>
        </w:tabs>
        <w:ind w:right="539"/>
        <w:rPr>
          <w:rFonts w:cs="Tahoma"/>
          <w:b/>
          <w:iCs/>
        </w:rPr>
      </w:pPr>
    </w:p>
    <w:p w14:paraId="1279BAF2" w14:textId="6A90034F" w:rsidR="0043654A" w:rsidRPr="003F15B3" w:rsidRDefault="0043654A" w:rsidP="003F15B3">
      <w:pPr>
        <w:pStyle w:val="Puesto"/>
      </w:pPr>
      <w:r w:rsidRPr="003F15B3">
        <w:t>“</w:t>
      </w:r>
      <w:r w:rsidR="005D6D54" w:rsidRPr="003F15B3">
        <w:t xml:space="preserve">No entrega </w:t>
      </w:r>
      <w:proofErr w:type="spellStart"/>
      <w:r w:rsidR="005D6D54" w:rsidRPr="003F15B3">
        <w:t>loq</w:t>
      </w:r>
      <w:proofErr w:type="spellEnd"/>
      <w:r w:rsidR="005D6D54" w:rsidRPr="003F15B3">
        <w:t xml:space="preserve"> </w:t>
      </w:r>
      <w:proofErr w:type="spellStart"/>
      <w:r w:rsidR="005D6D54" w:rsidRPr="003F15B3">
        <w:t>ue</w:t>
      </w:r>
      <w:proofErr w:type="spellEnd"/>
      <w:r w:rsidR="005D6D54" w:rsidRPr="003F15B3">
        <w:t xml:space="preserve"> se solicita y se pide vía </w:t>
      </w:r>
      <w:proofErr w:type="spellStart"/>
      <w:r w:rsidR="005D6D54" w:rsidRPr="003F15B3">
        <w:t>saimex</w:t>
      </w:r>
      <w:proofErr w:type="spellEnd"/>
      <w:r w:rsidRPr="003F15B3">
        <w:t xml:space="preserve">” (sic) </w:t>
      </w:r>
    </w:p>
    <w:p w14:paraId="366F3F95" w14:textId="77777777" w:rsidR="0043654A" w:rsidRPr="003F15B3" w:rsidRDefault="0043654A" w:rsidP="003F15B3">
      <w:pPr>
        <w:pStyle w:val="Puesto"/>
      </w:pPr>
    </w:p>
    <w:p w14:paraId="6804DEF1" w14:textId="1FD3227A" w:rsidR="00664420" w:rsidRPr="003F15B3" w:rsidRDefault="006E25BC" w:rsidP="003F15B3">
      <w:pPr>
        <w:pStyle w:val="Ttulo3"/>
      </w:pPr>
      <w:bookmarkStart w:id="14" w:name="_Toc206614391"/>
      <w:r w:rsidRPr="003F15B3">
        <w:t>b</w:t>
      </w:r>
      <w:r w:rsidR="00664420" w:rsidRPr="003F15B3">
        <w:t>) Turno del Recurso de Revisión</w:t>
      </w:r>
      <w:bookmarkEnd w:id="14"/>
    </w:p>
    <w:p w14:paraId="1173671B" w14:textId="1565DC28" w:rsidR="00C72DAA" w:rsidRPr="003F15B3" w:rsidRDefault="00C72DAA" w:rsidP="003F15B3">
      <w:r w:rsidRPr="003F15B3">
        <w:t>Con fundamento en el artículo 185, fracción I de la Ley de Transparencia y Acceso a la Información Pública del Estado de México y Municipios, el</w:t>
      </w:r>
      <w:r w:rsidRPr="003F15B3">
        <w:rPr>
          <w:b/>
          <w:bCs/>
        </w:rPr>
        <w:t xml:space="preserve"> </w:t>
      </w:r>
      <w:r w:rsidR="005D6D54" w:rsidRPr="003F15B3">
        <w:rPr>
          <w:rFonts w:eastAsia="Palatino Linotype" w:cs="Palatino Linotype"/>
          <w:b/>
        </w:rPr>
        <w:t xml:space="preserve">veintiuno de mayo </w:t>
      </w:r>
      <w:r w:rsidR="009A1340" w:rsidRPr="003F15B3">
        <w:rPr>
          <w:rFonts w:eastAsia="Palatino Linotype" w:cs="Palatino Linotype"/>
          <w:b/>
        </w:rPr>
        <w:t xml:space="preserve">de dos mil veinticinco, </w:t>
      </w:r>
      <w:r w:rsidRPr="003F15B3">
        <w:t>se turnó el recurso de revisión a través del</w:t>
      </w:r>
      <w:r w:rsidRPr="003F15B3">
        <w:rPr>
          <w:rFonts w:eastAsia="Arial Unicode MS"/>
        </w:rPr>
        <w:t xml:space="preserve"> </w:t>
      </w:r>
      <w:r w:rsidRPr="003F15B3">
        <w:rPr>
          <w:rFonts w:eastAsia="Arial Unicode MS"/>
          <w:b/>
          <w:bCs/>
        </w:rPr>
        <w:t>SAIMEX</w:t>
      </w:r>
      <w:r w:rsidRPr="003F15B3">
        <w:t xml:space="preserve"> a la </w:t>
      </w:r>
      <w:r w:rsidRPr="003F15B3">
        <w:rPr>
          <w:b/>
        </w:rPr>
        <w:t>Comisionada Sharon Cristina Morales Martínez</w:t>
      </w:r>
      <w:r w:rsidRPr="003F15B3">
        <w:rPr>
          <w:bCs/>
        </w:rPr>
        <w:t xml:space="preserve">, </w:t>
      </w:r>
      <w:r w:rsidRPr="003F15B3">
        <w:t xml:space="preserve">a efecto de decretar su admisión o </w:t>
      </w:r>
      <w:proofErr w:type="spellStart"/>
      <w:r w:rsidRPr="003F15B3">
        <w:t>desechamiento</w:t>
      </w:r>
      <w:proofErr w:type="spellEnd"/>
      <w:r w:rsidRPr="003F15B3">
        <w:t xml:space="preserve">. </w:t>
      </w:r>
    </w:p>
    <w:p w14:paraId="18F305CB" w14:textId="77777777" w:rsidR="00664420" w:rsidRPr="003F15B3" w:rsidRDefault="00664420" w:rsidP="003F15B3">
      <w:pPr>
        <w:rPr>
          <w:rFonts w:eastAsia="Batang" w:cs="Tahoma"/>
          <w:bCs/>
          <w:szCs w:val="22"/>
        </w:rPr>
      </w:pPr>
    </w:p>
    <w:p w14:paraId="3E31EC2D" w14:textId="295256A1" w:rsidR="00664420" w:rsidRPr="003F15B3" w:rsidRDefault="006E25BC" w:rsidP="003F15B3">
      <w:pPr>
        <w:pStyle w:val="Ttulo3"/>
      </w:pPr>
      <w:bookmarkStart w:id="15" w:name="_Toc206614392"/>
      <w:r w:rsidRPr="003F15B3">
        <w:lastRenderedPageBreak/>
        <w:t>c</w:t>
      </w:r>
      <w:r w:rsidR="00664420" w:rsidRPr="003F15B3">
        <w:t>) Admisión del Recurso de Revisión</w:t>
      </w:r>
      <w:bookmarkEnd w:id="15"/>
    </w:p>
    <w:p w14:paraId="240447D5" w14:textId="2C0B7B63" w:rsidR="000E09C4" w:rsidRPr="003F15B3" w:rsidRDefault="000E09C4" w:rsidP="003F15B3">
      <w:pPr>
        <w:rPr>
          <w:rFonts w:cs="Arial"/>
        </w:rPr>
      </w:pPr>
      <w:r w:rsidRPr="003F15B3">
        <w:rPr>
          <w:rFonts w:cs="Arial"/>
        </w:rPr>
        <w:t xml:space="preserve">El </w:t>
      </w:r>
      <w:r w:rsidR="005D6D54" w:rsidRPr="003F15B3">
        <w:rPr>
          <w:rFonts w:eastAsia="Palatino Linotype" w:cs="Palatino Linotype"/>
          <w:b/>
        </w:rPr>
        <w:t xml:space="preserve">veintitrés de mayo </w:t>
      </w:r>
      <w:r w:rsidR="00B74D32" w:rsidRPr="003F15B3">
        <w:rPr>
          <w:rFonts w:eastAsia="Palatino Linotype" w:cs="Palatino Linotype"/>
          <w:b/>
        </w:rPr>
        <w:t>d</w:t>
      </w:r>
      <w:r w:rsidR="00657603" w:rsidRPr="003F15B3">
        <w:rPr>
          <w:rFonts w:eastAsia="Palatino Linotype" w:cs="Palatino Linotype"/>
          <w:b/>
        </w:rPr>
        <w:t>e dos mil veintic</w:t>
      </w:r>
      <w:r w:rsidR="009A1340" w:rsidRPr="003F15B3">
        <w:rPr>
          <w:rFonts w:eastAsia="Palatino Linotype" w:cs="Palatino Linotype"/>
          <w:b/>
        </w:rPr>
        <w:t>inco</w:t>
      </w:r>
      <w:r w:rsidRPr="003F15B3">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3F15B3">
        <w:rPr>
          <w:rFonts w:cs="Arial"/>
        </w:rPr>
        <w:t>, fracción II</w:t>
      </w:r>
      <w:r w:rsidRPr="003F15B3">
        <w:rPr>
          <w:rFonts w:cs="Arial"/>
        </w:rPr>
        <w:t xml:space="preserve"> de la Ley de Transparencia y Acceso a la Información Pública del Estado de México y Municipios.</w:t>
      </w:r>
    </w:p>
    <w:p w14:paraId="34EC3F86" w14:textId="77777777" w:rsidR="00D2790D" w:rsidRPr="003F15B3" w:rsidRDefault="00D2790D" w:rsidP="003F15B3">
      <w:pPr>
        <w:rPr>
          <w:rFonts w:cs="Arial"/>
        </w:rPr>
      </w:pPr>
    </w:p>
    <w:p w14:paraId="3B820F58" w14:textId="503F9071" w:rsidR="00865CF4" w:rsidRPr="003F15B3" w:rsidRDefault="0075751F" w:rsidP="003F15B3">
      <w:pPr>
        <w:pStyle w:val="Ttulo3"/>
      </w:pPr>
      <w:bookmarkStart w:id="16" w:name="_Toc206614393"/>
      <w:r w:rsidRPr="003F15B3">
        <w:t>d</w:t>
      </w:r>
      <w:r w:rsidR="00664420" w:rsidRPr="003F15B3">
        <w:t xml:space="preserve">) </w:t>
      </w:r>
      <w:r w:rsidR="00865CF4" w:rsidRPr="003F15B3">
        <w:t>Informe Justificado del Sujeto Obligado</w:t>
      </w:r>
      <w:bookmarkEnd w:id="16"/>
    </w:p>
    <w:p w14:paraId="15FD3B15" w14:textId="1513703F" w:rsidR="005D6D54" w:rsidRPr="003F15B3" w:rsidRDefault="005D6D54" w:rsidP="003F15B3">
      <w:pPr>
        <w:rPr>
          <w:rFonts w:cs="Tahoma"/>
          <w:szCs w:val="24"/>
        </w:rPr>
      </w:pPr>
      <w:r w:rsidRPr="003F15B3">
        <w:rPr>
          <w:rFonts w:cs="Tahoma"/>
          <w:szCs w:val="24"/>
        </w:rPr>
        <w:t xml:space="preserve">El </w:t>
      </w:r>
      <w:r w:rsidRPr="003F15B3">
        <w:rPr>
          <w:rFonts w:cs="Tahoma"/>
          <w:b/>
          <w:bCs/>
          <w:szCs w:val="24"/>
        </w:rPr>
        <w:t>tres de junio de dos mil veinticinco</w:t>
      </w:r>
      <w:r w:rsidRPr="003F15B3">
        <w:rPr>
          <w:rFonts w:cs="Tahoma"/>
          <w:szCs w:val="24"/>
        </w:rPr>
        <w:t xml:space="preserve"> </w:t>
      </w:r>
      <w:r w:rsidRPr="003F15B3">
        <w:rPr>
          <w:rFonts w:cs="Tahoma"/>
          <w:b/>
          <w:bCs/>
          <w:szCs w:val="24"/>
        </w:rPr>
        <w:t>EL SUJETO OBLIGADO</w:t>
      </w:r>
      <w:r w:rsidRPr="003F15B3">
        <w:rPr>
          <w:rFonts w:cs="Tahoma"/>
          <w:szCs w:val="24"/>
        </w:rPr>
        <w:t xml:space="preserve"> rindió su informe justificado a través del </w:t>
      </w:r>
      <w:r w:rsidRPr="003F15B3">
        <w:rPr>
          <w:rFonts w:cs="Tahoma"/>
          <w:b/>
          <w:bCs/>
          <w:szCs w:val="24"/>
        </w:rPr>
        <w:t>SAIMEX</w:t>
      </w:r>
      <w:r w:rsidRPr="003F15B3">
        <w:rPr>
          <w:rFonts w:cs="Tahoma"/>
          <w:szCs w:val="24"/>
        </w:rPr>
        <w:t xml:space="preserve">, </w:t>
      </w:r>
      <w:bookmarkStart w:id="17" w:name="_Hlk165379932"/>
      <w:r w:rsidRPr="003F15B3">
        <w:rPr>
          <w:rFonts w:cs="Tahoma"/>
          <w:szCs w:val="24"/>
        </w:rPr>
        <w:t xml:space="preserve">adjuntando para ello los archivos electrónicos que a continuación se describen: </w:t>
      </w:r>
    </w:p>
    <w:p w14:paraId="2ED046D5" w14:textId="77777777" w:rsidR="005D6D54" w:rsidRPr="003F15B3" w:rsidRDefault="005D6D54" w:rsidP="003F15B3">
      <w:pPr>
        <w:rPr>
          <w:rFonts w:cs="Tahoma"/>
          <w:szCs w:val="24"/>
        </w:rPr>
      </w:pPr>
    </w:p>
    <w:p w14:paraId="313E77B9" w14:textId="74C9888E" w:rsidR="005D6D54" w:rsidRPr="003F15B3" w:rsidRDefault="005D6D54" w:rsidP="003F15B3">
      <w:pPr>
        <w:numPr>
          <w:ilvl w:val="0"/>
          <w:numId w:val="5"/>
        </w:numPr>
        <w:contextualSpacing/>
        <w:rPr>
          <w:rFonts w:cs="Tahoma"/>
          <w:b/>
          <w:bCs/>
          <w:i/>
          <w:iCs/>
          <w:szCs w:val="24"/>
        </w:rPr>
      </w:pPr>
      <w:r w:rsidRPr="003F15B3">
        <w:rPr>
          <w:rFonts w:cs="Tahoma"/>
          <w:b/>
          <w:bCs/>
          <w:i/>
          <w:iCs/>
          <w:szCs w:val="24"/>
        </w:rPr>
        <w:t xml:space="preserve">Ratificación 05757.pdf, </w:t>
      </w:r>
      <w:r w:rsidRPr="003F15B3">
        <w:rPr>
          <w:rFonts w:cs="Tahoma"/>
          <w:szCs w:val="24"/>
        </w:rPr>
        <w:t xml:space="preserve">el cual contiene el oficio del tres de junio de dos mil veinticinco, por medio del cual el Titular de la Unidad de Transparencia, medularmente ratifica la respuesta emitida por la Dirección de Administración e Instituto Municipal de la Mujer de Toluca. </w:t>
      </w:r>
    </w:p>
    <w:p w14:paraId="0BE28DDF" w14:textId="0B2DF333" w:rsidR="005D6D54" w:rsidRPr="003F15B3" w:rsidRDefault="005D6D54" w:rsidP="003F15B3">
      <w:pPr>
        <w:numPr>
          <w:ilvl w:val="0"/>
          <w:numId w:val="5"/>
        </w:numPr>
        <w:contextualSpacing/>
        <w:rPr>
          <w:rFonts w:cs="Tahoma"/>
          <w:b/>
          <w:bCs/>
          <w:i/>
          <w:iCs/>
          <w:szCs w:val="24"/>
        </w:rPr>
      </w:pPr>
      <w:r w:rsidRPr="003F15B3">
        <w:rPr>
          <w:rFonts w:cs="Tahoma"/>
          <w:b/>
          <w:bCs/>
          <w:i/>
          <w:iCs/>
          <w:szCs w:val="24"/>
        </w:rPr>
        <w:t xml:space="preserve">ANEXOS 05757-2025.pdf, </w:t>
      </w:r>
      <w:r w:rsidRPr="003F15B3">
        <w:rPr>
          <w:rFonts w:cs="Tahoma"/>
          <w:szCs w:val="24"/>
        </w:rPr>
        <w:t xml:space="preserve">el cual de su contenido se advierten los siguientes documentos: </w:t>
      </w:r>
    </w:p>
    <w:p w14:paraId="788B490E" w14:textId="1F5EB521" w:rsidR="005D6D54" w:rsidRPr="003F15B3" w:rsidRDefault="005D6D54" w:rsidP="003F15B3">
      <w:pPr>
        <w:pStyle w:val="Prrafodelista"/>
        <w:numPr>
          <w:ilvl w:val="0"/>
          <w:numId w:val="6"/>
        </w:numPr>
        <w:rPr>
          <w:rFonts w:cs="Tahoma"/>
          <w:b/>
          <w:bCs/>
          <w:i/>
          <w:iCs/>
          <w:szCs w:val="24"/>
        </w:rPr>
      </w:pPr>
      <w:r w:rsidRPr="003F15B3">
        <w:rPr>
          <w:rFonts w:cs="Tahoma"/>
          <w:szCs w:val="24"/>
        </w:rPr>
        <w:t xml:space="preserve">Oficio 206010000/2802/2025 del veintinueve de mayo de dos mil veinticinco, por medio del cual la Directora General de Administración medularmente ratifica la respuesta inicial. </w:t>
      </w:r>
    </w:p>
    <w:p w14:paraId="299AB708" w14:textId="352F7497" w:rsidR="005D6D54" w:rsidRPr="003F15B3" w:rsidRDefault="005D6D54" w:rsidP="003F15B3">
      <w:pPr>
        <w:pStyle w:val="Prrafodelista"/>
        <w:numPr>
          <w:ilvl w:val="0"/>
          <w:numId w:val="6"/>
        </w:numPr>
        <w:rPr>
          <w:rFonts w:cs="Tahoma"/>
          <w:b/>
          <w:bCs/>
          <w:i/>
          <w:iCs/>
          <w:szCs w:val="24"/>
        </w:rPr>
      </w:pPr>
      <w:r w:rsidRPr="003F15B3">
        <w:rPr>
          <w:rFonts w:cs="Tahoma"/>
          <w:szCs w:val="24"/>
        </w:rPr>
        <w:t xml:space="preserve">Oficio 200F10000/1758/2025 del veintiocho de mayo de dos mil veinticinco, por medio del cual la Directora General del Instituto Municipal de la Mujer, medularmente ratifica la respuesta. </w:t>
      </w:r>
    </w:p>
    <w:p w14:paraId="11606C19" w14:textId="04AF36E5" w:rsidR="005D6D54" w:rsidRPr="003F15B3" w:rsidRDefault="005D6D54" w:rsidP="003F15B3">
      <w:pPr>
        <w:pStyle w:val="Prrafodelista"/>
        <w:numPr>
          <w:ilvl w:val="0"/>
          <w:numId w:val="6"/>
        </w:numPr>
        <w:rPr>
          <w:rFonts w:cs="Tahoma"/>
          <w:b/>
          <w:bCs/>
          <w:i/>
          <w:iCs/>
          <w:szCs w:val="24"/>
        </w:rPr>
      </w:pPr>
      <w:r w:rsidRPr="003F15B3">
        <w:rPr>
          <w:rFonts w:cs="Tahoma"/>
          <w:szCs w:val="24"/>
        </w:rPr>
        <w:lastRenderedPageBreak/>
        <w:t xml:space="preserve">Oficio 200F10300/175/2025 del diez de abril de dos mil veinticinco, el cual corresponde al notificado en respuesta. </w:t>
      </w:r>
    </w:p>
    <w:p w14:paraId="5D1110EE" w14:textId="77777777" w:rsidR="005D6D54" w:rsidRPr="003F15B3" w:rsidRDefault="005D6D54" w:rsidP="003F15B3">
      <w:pPr>
        <w:rPr>
          <w:rFonts w:cs="Tahoma"/>
          <w:szCs w:val="24"/>
        </w:rPr>
      </w:pPr>
    </w:p>
    <w:bookmarkEnd w:id="17"/>
    <w:p w14:paraId="72C368AD" w14:textId="6E9367E1" w:rsidR="005D6D54" w:rsidRPr="003F15B3" w:rsidRDefault="005D6D54" w:rsidP="003F15B3">
      <w:pPr>
        <w:rPr>
          <w:rFonts w:cs="Tahoma"/>
          <w:szCs w:val="24"/>
        </w:rPr>
      </w:pPr>
      <w:r w:rsidRPr="003F15B3">
        <w:rPr>
          <w:rFonts w:cs="Tahoma"/>
          <w:szCs w:val="24"/>
        </w:rPr>
        <w:t xml:space="preserve">Esta información fue puesta a la vista de </w:t>
      </w:r>
      <w:r w:rsidRPr="003F15B3">
        <w:rPr>
          <w:rFonts w:cs="Tahoma"/>
          <w:b/>
          <w:bCs/>
          <w:szCs w:val="24"/>
        </w:rPr>
        <w:t>LA PARTE RECURRENTE</w:t>
      </w:r>
      <w:r w:rsidRPr="003F15B3">
        <w:rPr>
          <w:rFonts w:cs="Tahoma"/>
          <w:szCs w:val="24"/>
        </w:rPr>
        <w:t xml:space="preserve"> el </w:t>
      </w:r>
      <w:r w:rsidR="0041389E" w:rsidRPr="003F15B3">
        <w:rPr>
          <w:rFonts w:cs="Tahoma"/>
          <w:b/>
          <w:bCs/>
          <w:szCs w:val="24"/>
        </w:rPr>
        <w:t xml:space="preserve">once de agosto </w:t>
      </w:r>
      <w:r w:rsidRPr="003F15B3">
        <w:rPr>
          <w:rFonts w:cs="Tahoma"/>
          <w:b/>
          <w:bCs/>
          <w:szCs w:val="24"/>
        </w:rPr>
        <w:t xml:space="preserve">de dos mil veinticinco </w:t>
      </w:r>
      <w:r w:rsidRPr="003F15B3">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220F310E" w14:textId="77777777" w:rsidR="00C45534" w:rsidRPr="003F15B3" w:rsidRDefault="00C45534" w:rsidP="003F15B3">
      <w:pPr>
        <w:rPr>
          <w:rFonts w:eastAsia="Arial Unicode MS" w:cs="Arial"/>
        </w:rPr>
      </w:pPr>
    </w:p>
    <w:p w14:paraId="755B7730" w14:textId="3EA3E31D" w:rsidR="00664420" w:rsidRPr="003F15B3" w:rsidRDefault="0075751F" w:rsidP="003F15B3">
      <w:pPr>
        <w:pStyle w:val="Ttulo3"/>
        <w:rPr>
          <w:lang w:val="es-ES"/>
        </w:rPr>
      </w:pPr>
      <w:bookmarkStart w:id="18" w:name="_Toc206614394"/>
      <w:r w:rsidRPr="003F15B3">
        <w:rPr>
          <w:rFonts w:eastAsia="Calibri"/>
          <w:bCs/>
          <w:lang w:eastAsia="en-US"/>
        </w:rPr>
        <w:t>e</w:t>
      </w:r>
      <w:r w:rsidR="00664420" w:rsidRPr="003F15B3">
        <w:rPr>
          <w:rFonts w:eastAsia="Calibri"/>
          <w:bCs/>
          <w:lang w:eastAsia="en-US"/>
        </w:rPr>
        <w:t>)</w:t>
      </w:r>
      <w:r w:rsidR="00664420" w:rsidRPr="003F15B3">
        <w:t xml:space="preserve"> </w:t>
      </w:r>
      <w:r w:rsidR="00865CF4" w:rsidRPr="003F15B3">
        <w:rPr>
          <w:lang w:val="es-ES"/>
        </w:rPr>
        <w:t>Manifestaciones de la Parte Recurrente</w:t>
      </w:r>
      <w:bookmarkEnd w:id="18"/>
    </w:p>
    <w:p w14:paraId="217A35D8" w14:textId="77777777" w:rsidR="0086345C" w:rsidRPr="003F15B3" w:rsidRDefault="0086345C" w:rsidP="003F15B3">
      <w:pPr>
        <w:rPr>
          <w:rFonts w:eastAsia="Arial Unicode MS" w:cs="Arial"/>
        </w:rPr>
      </w:pPr>
      <w:r w:rsidRPr="003F15B3">
        <w:rPr>
          <w:rFonts w:cs="Tahoma"/>
          <w:b/>
          <w:szCs w:val="24"/>
        </w:rPr>
        <w:t xml:space="preserve">LA PARTE RECURRENTE </w:t>
      </w:r>
      <w:r w:rsidRPr="003F15B3">
        <w:rPr>
          <w:rFonts w:eastAsia="Arial Unicode MS" w:cs="Arial"/>
        </w:rPr>
        <w:t>no realizó manifestación alguna dentro del término legalmente concedido para tal efecto, ni presentó pruebas o alegatos.</w:t>
      </w:r>
    </w:p>
    <w:p w14:paraId="43289D82" w14:textId="77777777" w:rsidR="00865CF4" w:rsidRPr="003F15B3" w:rsidRDefault="00865CF4" w:rsidP="003F15B3">
      <w:pPr>
        <w:rPr>
          <w:rFonts w:eastAsia="Arial Unicode MS" w:cs="Arial"/>
        </w:rPr>
      </w:pPr>
    </w:p>
    <w:p w14:paraId="38652CB9" w14:textId="77777777" w:rsidR="0041389E" w:rsidRPr="003F15B3" w:rsidRDefault="0041389E" w:rsidP="003F15B3">
      <w:pPr>
        <w:pStyle w:val="Ttulo3"/>
        <w:rPr>
          <w:lang w:val="es-ES"/>
        </w:rPr>
      </w:pPr>
      <w:bookmarkStart w:id="19" w:name="_Toc172051809"/>
      <w:bookmarkStart w:id="20" w:name="_Toc178101309"/>
      <w:bookmarkStart w:id="21" w:name="_Toc206614395"/>
      <w:r w:rsidRPr="003F15B3">
        <w:rPr>
          <w:lang w:val="es-ES"/>
        </w:rPr>
        <w:t>f) Ampliación de Plazo para Resolver</w:t>
      </w:r>
      <w:bookmarkEnd w:id="19"/>
      <w:bookmarkEnd w:id="20"/>
      <w:bookmarkEnd w:id="21"/>
      <w:r w:rsidRPr="003F15B3">
        <w:rPr>
          <w:lang w:val="es-ES"/>
        </w:rPr>
        <w:t xml:space="preserve"> </w:t>
      </w:r>
    </w:p>
    <w:p w14:paraId="1C71963E" w14:textId="3AF1585C" w:rsidR="0041389E" w:rsidRPr="003F15B3" w:rsidRDefault="0041389E" w:rsidP="003F15B3">
      <w:pPr>
        <w:rPr>
          <w:rFonts w:eastAsia="Palatino Linotype" w:cs="Palatino Linotype"/>
        </w:rPr>
      </w:pPr>
      <w:r w:rsidRPr="003F15B3">
        <w:rPr>
          <w:rFonts w:eastAsia="Palatino Linotype" w:cs="Palatino Linotype"/>
        </w:rPr>
        <w:t xml:space="preserve">El </w:t>
      </w:r>
      <w:r w:rsidR="007C7993" w:rsidRPr="003F15B3">
        <w:rPr>
          <w:rFonts w:eastAsia="Palatino Linotype" w:cs="Palatino Linotype"/>
          <w:b/>
        </w:rPr>
        <w:t>siete de julio</w:t>
      </w:r>
      <w:r w:rsidRPr="003F15B3">
        <w:rPr>
          <w:rFonts w:eastAsia="Palatino Linotype" w:cs="Palatino Linotype"/>
          <w:b/>
        </w:rPr>
        <w:t xml:space="preserve"> de dos mil veinticinco</w:t>
      </w:r>
      <w:r w:rsidRPr="003F15B3">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C9D849E" w14:textId="77777777" w:rsidR="0041389E" w:rsidRPr="003F15B3" w:rsidRDefault="0041389E" w:rsidP="003F15B3">
      <w:pPr>
        <w:rPr>
          <w:rFonts w:eastAsia="Palatino Linotype" w:cs="Palatino Linotype"/>
        </w:rPr>
      </w:pPr>
    </w:p>
    <w:p w14:paraId="51F56ECC" w14:textId="77777777" w:rsidR="0041389E" w:rsidRPr="003F15B3" w:rsidRDefault="0041389E" w:rsidP="003F15B3">
      <w:pPr>
        <w:rPr>
          <w:rFonts w:cs="Arial"/>
          <w:lang w:eastAsia="es-MX"/>
        </w:rPr>
      </w:pPr>
      <w:r w:rsidRPr="003F15B3">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FA87A4D" w14:textId="77777777" w:rsidR="0041389E" w:rsidRPr="003F15B3" w:rsidRDefault="0041389E" w:rsidP="003F15B3">
      <w:pPr>
        <w:rPr>
          <w:rFonts w:cs="Arial"/>
          <w:lang w:eastAsia="es-MX"/>
        </w:rPr>
      </w:pPr>
    </w:p>
    <w:p w14:paraId="0D68AEEC" w14:textId="77777777" w:rsidR="0041389E" w:rsidRPr="003F15B3" w:rsidRDefault="0041389E" w:rsidP="003F15B3">
      <w:pPr>
        <w:rPr>
          <w:rFonts w:cs="Arial"/>
          <w:lang w:eastAsia="es-MX"/>
        </w:rPr>
      </w:pPr>
      <w:r w:rsidRPr="003F15B3">
        <w:rPr>
          <w:rFonts w:cs="Arial"/>
          <w:lang w:eastAsia="es-MX"/>
        </w:rPr>
        <w:t xml:space="preserve">Es importante precisar que, si bien se ha excedido el plazo para resolver el presente medio de impugnación, el plazo para emitir resolución se encuentra justificado en parámetros </w:t>
      </w:r>
      <w:r w:rsidRPr="003F15B3">
        <w:rPr>
          <w:rFonts w:cs="Arial"/>
          <w:lang w:eastAsia="es-MX"/>
        </w:rPr>
        <w:lastRenderedPageBreak/>
        <w:t>establecidos por diversos órganos jurisdiccionales federales, aplicables también en procedimientos análogos, como el que nos ocupa.</w:t>
      </w:r>
    </w:p>
    <w:p w14:paraId="040B4A23" w14:textId="77777777" w:rsidR="0041389E" w:rsidRPr="003F15B3" w:rsidRDefault="0041389E" w:rsidP="003F15B3">
      <w:pPr>
        <w:rPr>
          <w:rFonts w:cs="Arial"/>
          <w:lang w:eastAsia="es-MX"/>
        </w:rPr>
      </w:pPr>
    </w:p>
    <w:p w14:paraId="4027CF3F" w14:textId="77777777" w:rsidR="0041389E" w:rsidRPr="003F15B3" w:rsidRDefault="0041389E" w:rsidP="003F15B3">
      <w:pPr>
        <w:rPr>
          <w:rFonts w:cs="Arial"/>
          <w:lang w:eastAsia="es-MX"/>
        </w:rPr>
      </w:pPr>
      <w:r w:rsidRPr="003F15B3">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52467602" w14:textId="77777777" w:rsidR="0041389E" w:rsidRPr="003F15B3" w:rsidRDefault="0041389E" w:rsidP="003F15B3">
      <w:pPr>
        <w:rPr>
          <w:rFonts w:cs="Arial"/>
          <w:lang w:eastAsia="es-MX"/>
        </w:rPr>
      </w:pPr>
    </w:p>
    <w:p w14:paraId="742A078F" w14:textId="77777777" w:rsidR="0041389E" w:rsidRPr="003F15B3" w:rsidRDefault="0041389E" w:rsidP="003F15B3">
      <w:pPr>
        <w:rPr>
          <w:rFonts w:cs="Arial"/>
          <w:lang w:eastAsia="es-MX"/>
        </w:rPr>
      </w:pPr>
      <w:r w:rsidRPr="003F15B3">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0B70FB2E" w14:textId="77777777" w:rsidR="0041389E" w:rsidRPr="003F15B3" w:rsidRDefault="0041389E" w:rsidP="003F15B3">
      <w:pPr>
        <w:rPr>
          <w:rFonts w:cs="Arial"/>
          <w:lang w:eastAsia="es-MX"/>
        </w:rPr>
      </w:pPr>
    </w:p>
    <w:p w14:paraId="0860BB80" w14:textId="77777777" w:rsidR="0041389E" w:rsidRPr="003F15B3" w:rsidRDefault="0041389E" w:rsidP="003F15B3">
      <w:pPr>
        <w:numPr>
          <w:ilvl w:val="0"/>
          <w:numId w:val="7"/>
        </w:numPr>
        <w:spacing w:after="160" w:line="276" w:lineRule="auto"/>
        <w:jc w:val="left"/>
        <w:rPr>
          <w:rFonts w:cs="Arial"/>
          <w:lang w:eastAsia="es-MX"/>
        </w:rPr>
      </w:pPr>
      <w:r w:rsidRPr="003F15B3">
        <w:rPr>
          <w:rFonts w:cs="Arial"/>
          <w:b/>
          <w:lang w:eastAsia="es-MX"/>
        </w:rPr>
        <w:t>Complejidad del asunto:</w:t>
      </w:r>
      <w:r w:rsidRPr="003F15B3">
        <w:rPr>
          <w:rFonts w:cs="Arial"/>
          <w:lang w:eastAsia="es-MX"/>
        </w:rPr>
        <w:t xml:space="preserve"> La complejidad de la prueba, la pluralidad de sujetos procesales, el tiempo transcurrido, las características y contexto del recurso.</w:t>
      </w:r>
    </w:p>
    <w:p w14:paraId="0205E24A" w14:textId="77777777" w:rsidR="0041389E" w:rsidRPr="003F15B3" w:rsidRDefault="0041389E" w:rsidP="003F15B3">
      <w:pPr>
        <w:numPr>
          <w:ilvl w:val="0"/>
          <w:numId w:val="7"/>
        </w:numPr>
        <w:spacing w:after="160" w:line="276" w:lineRule="auto"/>
        <w:jc w:val="left"/>
        <w:rPr>
          <w:rFonts w:cs="Arial"/>
          <w:lang w:eastAsia="es-MX"/>
        </w:rPr>
      </w:pPr>
      <w:r w:rsidRPr="003F15B3">
        <w:rPr>
          <w:rFonts w:cs="Arial"/>
          <w:b/>
          <w:lang w:eastAsia="es-MX"/>
        </w:rPr>
        <w:t>Actividad Procesal del interesado:</w:t>
      </w:r>
      <w:r w:rsidRPr="003F15B3">
        <w:rPr>
          <w:rFonts w:cs="Arial"/>
          <w:lang w:eastAsia="es-MX"/>
        </w:rPr>
        <w:t xml:space="preserve"> Acciones u omisiones del interesado.</w:t>
      </w:r>
    </w:p>
    <w:p w14:paraId="36C6DA9E" w14:textId="77777777" w:rsidR="0041389E" w:rsidRPr="003F15B3" w:rsidRDefault="0041389E" w:rsidP="003F15B3">
      <w:pPr>
        <w:numPr>
          <w:ilvl w:val="0"/>
          <w:numId w:val="7"/>
        </w:numPr>
        <w:spacing w:after="160" w:line="276" w:lineRule="auto"/>
        <w:jc w:val="left"/>
        <w:rPr>
          <w:rFonts w:cs="Arial"/>
          <w:lang w:eastAsia="es-MX"/>
        </w:rPr>
      </w:pPr>
      <w:r w:rsidRPr="003F15B3">
        <w:rPr>
          <w:rFonts w:cs="Arial"/>
          <w:b/>
          <w:lang w:eastAsia="es-MX"/>
        </w:rPr>
        <w:t>Conducta de la Autoridad:</w:t>
      </w:r>
      <w:r w:rsidRPr="003F15B3">
        <w:rPr>
          <w:rFonts w:cs="Arial"/>
          <w:lang w:eastAsia="es-MX"/>
        </w:rPr>
        <w:t xml:space="preserve"> Las Acciones u omisiones realizadas en el procedimiento. Así como si la autoridad actuó con la debida diligencia.</w:t>
      </w:r>
    </w:p>
    <w:p w14:paraId="05BDBFEA" w14:textId="77777777" w:rsidR="0041389E" w:rsidRPr="003F15B3" w:rsidRDefault="0041389E" w:rsidP="003F15B3">
      <w:pPr>
        <w:numPr>
          <w:ilvl w:val="0"/>
          <w:numId w:val="7"/>
        </w:numPr>
        <w:spacing w:after="160" w:line="276" w:lineRule="auto"/>
        <w:jc w:val="left"/>
        <w:rPr>
          <w:rFonts w:cs="Arial"/>
          <w:lang w:eastAsia="es-MX"/>
        </w:rPr>
      </w:pPr>
      <w:r w:rsidRPr="003F15B3">
        <w:rPr>
          <w:rFonts w:cs="Arial"/>
          <w:b/>
          <w:lang w:eastAsia="es-MX"/>
        </w:rPr>
        <w:t xml:space="preserve">La afectación generada en la situación jurídica de la persona involucrada en el proceso: </w:t>
      </w:r>
      <w:r w:rsidRPr="003F15B3">
        <w:rPr>
          <w:rFonts w:cs="Arial"/>
          <w:lang w:eastAsia="es-MX"/>
        </w:rPr>
        <w:t>Violación a sus derechos humanos.</w:t>
      </w:r>
    </w:p>
    <w:p w14:paraId="5B781653" w14:textId="77777777" w:rsidR="0041389E" w:rsidRPr="003F15B3" w:rsidRDefault="0041389E" w:rsidP="003F15B3">
      <w:pPr>
        <w:rPr>
          <w:rFonts w:cs="Arial"/>
          <w:lang w:eastAsia="es-MX"/>
        </w:rPr>
      </w:pPr>
    </w:p>
    <w:p w14:paraId="28FD4F56" w14:textId="77777777" w:rsidR="0041389E" w:rsidRPr="003F15B3" w:rsidRDefault="0041389E" w:rsidP="003F15B3">
      <w:pPr>
        <w:rPr>
          <w:rFonts w:cs="Arial"/>
          <w:lang w:eastAsia="es-MX"/>
        </w:rPr>
      </w:pPr>
      <w:r w:rsidRPr="003F15B3">
        <w:rPr>
          <w:rFonts w:cs="Arial"/>
          <w:lang w:eastAsia="es-MX"/>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w:t>
      </w:r>
      <w:r w:rsidRPr="003F15B3">
        <w:rPr>
          <w:rFonts w:cs="Arial"/>
          <w:lang w:eastAsia="es-MX"/>
        </w:rPr>
        <w:lastRenderedPageBreak/>
        <w:t>concluirse que es una excluyente de responsabilidad en relación con la actuación del funcionario, como ha acontecido en el caso que nos ocupa.</w:t>
      </w:r>
    </w:p>
    <w:p w14:paraId="18D96046" w14:textId="77777777" w:rsidR="0041389E" w:rsidRPr="003F15B3" w:rsidRDefault="0041389E" w:rsidP="003F15B3">
      <w:pPr>
        <w:rPr>
          <w:rFonts w:cs="Arial"/>
          <w:lang w:eastAsia="es-MX"/>
        </w:rPr>
      </w:pPr>
    </w:p>
    <w:p w14:paraId="664F2296" w14:textId="77777777" w:rsidR="0041389E" w:rsidRPr="003F15B3" w:rsidRDefault="0041389E" w:rsidP="003F15B3">
      <w:pPr>
        <w:rPr>
          <w:rFonts w:cs="Arial"/>
          <w:lang w:eastAsia="es-MX"/>
        </w:rPr>
      </w:pPr>
      <w:r w:rsidRPr="003F15B3">
        <w:rPr>
          <w:rFonts w:cs="Arial"/>
          <w:lang w:eastAsia="es-MX"/>
        </w:rPr>
        <w:t>Argumento que encuentra sustento en la jurisprudencia P</w:t>
      </w:r>
      <w:proofErr w:type="gramStart"/>
      <w:r w:rsidRPr="003F15B3">
        <w:rPr>
          <w:rFonts w:cs="Arial"/>
          <w:lang w:eastAsia="es-MX"/>
        </w:rPr>
        <w:t>./</w:t>
      </w:r>
      <w:proofErr w:type="gramEnd"/>
      <w:r w:rsidRPr="003F15B3">
        <w:rPr>
          <w:rFonts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04EEC770" w14:textId="77777777" w:rsidR="0041389E" w:rsidRPr="003F15B3" w:rsidRDefault="0041389E" w:rsidP="003F15B3">
      <w:pPr>
        <w:rPr>
          <w:rFonts w:cs="Arial"/>
          <w:lang w:eastAsia="es-MX"/>
        </w:rPr>
      </w:pPr>
    </w:p>
    <w:p w14:paraId="5765B93A" w14:textId="77777777" w:rsidR="0041389E" w:rsidRPr="003F15B3" w:rsidRDefault="0041389E" w:rsidP="003F15B3">
      <w:pPr>
        <w:rPr>
          <w:rFonts w:cs="Arial"/>
          <w:lang w:eastAsia="es-MX"/>
        </w:rPr>
      </w:pPr>
      <w:r w:rsidRPr="003F15B3">
        <w:rPr>
          <w:rFonts w:cs="Arial"/>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47FBFFB" w14:textId="77777777" w:rsidR="0041389E" w:rsidRPr="003F15B3" w:rsidRDefault="0041389E" w:rsidP="003F15B3">
      <w:pPr>
        <w:rPr>
          <w:rFonts w:cs="Arial"/>
          <w:lang w:eastAsia="es-MX"/>
        </w:rPr>
      </w:pPr>
    </w:p>
    <w:p w14:paraId="63F4FF2F" w14:textId="77777777" w:rsidR="0041389E" w:rsidRPr="003F15B3" w:rsidRDefault="0041389E" w:rsidP="003F15B3">
      <w:pPr>
        <w:rPr>
          <w:rFonts w:cs="Arial"/>
          <w:lang w:eastAsia="es-MX"/>
        </w:rPr>
      </w:pPr>
      <w:r w:rsidRPr="003F15B3">
        <w:rPr>
          <w:rFonts w:cs="Arial"/>
          <w:lang w:eastAsia="es-MX"/>
        </w:rPr>
        <w:t>Al respecto, también son de considerar los criterios sostenidos por el Cuarto Tribunal Colegiado en Materia Administrativa del Primer Circuito, cuyos rubros y datos de identificación son los siguientes:</w:t>
      </w:r>
    </w:p>
    <w:p w14:paraId="48EEA9C8" w14:textId="77777777" w:rsidR="0041389E" w:rsidRPr="003F15B3" w:rsidRDefault="0041389E" w:rsidP="003F15B3">
      <w:pPr>
        <w:rPr>
          <w:rFonts w:cs="Arial"/>
          <w:lang w:eastAsia="es-MX"/>
        </w:rPr>
      </w:pPr>
    </w:p>
    <w:p w14:paraId="06F4333A" w14:textId="77777777" w:rsidR="0041389E" w:rsidRPr="003F15B3" w:rsidRDefault="0041389E" w:rsidP="003F15B3">
      <w:pPr>
        <w:spacing w:line="240" w:lineRule="auto"/>
        <w:ind w:left="567" w:right="567"/>
        <w:contextualSpacing/>
        <w:rPr>
          <w:i/>
          <w:kern w:val="28"/>
          <w:szCs w:val="56"/>
          <w:lang w:eastAsia="es-MX"/>
        </w:rPr>
      </w:pPr>
      <w:r w:rsidRPr="003F15B3">
        <w:rPr>
          <w:i/>
          <w:kern w:val="28"/>
          <w:szCs w:val="56"/>
          <w:lang w:eastAsia="es-MX"/>
        </w:rPr>
        <w:t>“</w:t>
      </w:r>
      <w:r w:rsidRPr="003F15B3">
        <w:rPr>
          <w:b/>
          <w:i/>
          <w:kern w:val="28"/>
          <w:szCs w:val="56"/>
          <w:lang w:eastAsia="es-MX"/>
        </w:rPr>
        <w:t>PLAZO RAZONABLE PARA RESOLVER. DIMENSIÓN Y EFECTOS DE ESTE CONCEPTO CUANDO SE ADUCE EXCESIVA CARGA DE TRABAJO</w:t>
      </w:r>
      <w:r w:rsidRPr="003F15B3">
        <w:rPr>
          <w:i/>
          <w:kern w:val="28"/>
          <w:szCs w:val="56"/>
          <w:lang w:eastAsia="es-MX"/>
        </w:rPr>
        <w:t xml:space="preserve">.” </w:t>
      </w:r>
      <w:r w:rsidRPr="003F15B3">
        <w:rPr>
          <w:i/>
          <w:kern w:val="28"/>
          <w:szCs w:val="56"/>
          <w:lang w:eastAsia="es-MX"/>
        </w:rPr>
        <w:lastRenderedPageBreak/>
        <w:t>consultable en el Semanario Judicial de la Federación y su gaceta, con el registro digital 2002351.</w:t>
      </w:r>
    </w:p>
    <w:p w14:paraId="615DFC2E" w14:textId="77777777" w:rsidR="0041389E" w:rsidRPr="003F15B3" w:rsidRDefault="0041389E" w:rsidP="003F15B3">
      <w:pPr>
        <w:ind w:left="851" w:right="616"/>
        <w:rPr>
          <w:rFonts w:cs="Arial"/>
          <w:i/>
          <w:lang w:eastAsia="es-MX"/>
        </w:rPr>
      </w:pPr>
    </w:p>
    <w:p w14:paraId="6DA04ED2" w14:textId="77777777" w:rsidR="0041389E" w:rsidRPr="003F15B3" w:rsidRDefault="0041389E" w:rsidP="003F15B3">
      <w:pPr>
        <w:spacing w:line="240" w:lineRule="auto"/>
        <w:ind w:left="567" w:right="567"/>
        <w:contextualSpacing/>
        <w:rPr>
          <w:rFonts w:cs="Arial"/>
          <w:kern w:val="28"/>
          <w:szCs w:val="56"/>
          <w:lang w:eastAsia="es-MX"/>
        </w:rPr>
      </w:pPr>
      <w:r w:rsidRPr="003F15B3">
        <w:rPr>
          <w:rFonts w:cs="Arial"/>
          <w:i/>
          <w:kern w:val="28"/>
          <w:szCs w:val="56"/>
          <w:lang w:eastAsia="es-MX"/>
        </w:rPr>
        <w:t>“</w:t>
      </w:r>
      <w:r w:rsidRPr="003F15B3">
        <w:rPr>
          <w:rFonts w:cs="Arial"/>
          <w:b/>
          <w:i/>
          <w:kern w:val="28"/>
          <w:szCs w:val="56"/>
          <w:lang w:eastAsia="es-MX"/>
        </w:rPr>
        <w:t xml:space="preserve">PLAZO RAZONABLE </w:t>
      </w:r>
      <w:r w:rsidRPr="003F15B3">
        <w:rPr>
          <w:b/>
          <w:i/>
          <w:kern w:val="28"/>
          <w:szCs w:val="56"/>
          <w:lang w:eastAsia="es-MX"/>
        </w:rPr>
        <w:t>PARA</w:t>
      </w:r>
      <w:r w:rsidRPr="003F15B3">
        <w:rPr>
          <w:rFonts w:cs="Arial"/>
          <w:b/>
          <w:i/>
          <w:kern w:val="28"/>
          <w:szCs w:val="56"/>
          <w:lang w:eastAsia="es-MX"/>
        </w:rPr>
        <w:t xml:space="preserve"> RESOLVER. CONCEPTO Y ELEMENTOS QUE LO INTEGRAN A LA LUZ DEL DERECHO INTERNACIONAL DE LOS DERECHOS HUMANOS</w:t>
      </w:r>
      <w:r w:rsidRPr="003F15B3">
        <w:rPr>
          <w:rFonts w:cs="Arial"/>
          <w:i/>
          <w:kern w:val="28"/>
          <w:szCs w:val="56"/>
          <w:lang w:eastAsia="es-MX"/>
        </w:rPr>
        <w:t>.”, visible en el Semanario Judicial de la Federación y su gaceta, con el registro digital 2002350.</w:t>
      </w:r>
    </w:p>
    <w:p w14:paraId="39FCAD86" w14:textId="77777777" w:rsidR="0041389E" w:rsidRPr="003F15B3" w:rsidRDefault="0041389E" w:rsidP="003F15B3">
      <w:pPr>
        <w:rPr>
          <w:rFonts w:cs="Arial"/>
          <w:lang w:eastAsia="es-MX"/>
        </w:rPr>
      </w:pPr>
    </w:p>
    <w:p w14:paraId="2D99C26D" w14:textId="77777777" w:rsidR="0041389E" w:rsidRPr="003F15B3" w:rsidRDefault="0041389E" w:rsidP="003F15B3">
      <w:pPr>
        <w:rPr>
          <w:rFonts w:cs="Arial"/>
          <w:lang w:eastAsia="es-MX"/>
        </w:rPr>
      </w:pPr>
      <w:r w:rsidRPr="003F15B3">
        <w:rPr>
          <w:rFonts w:cs="Arial"/>
          <w:lang w:eastAsia="es-MX"/>
        </w:rPr>
        <w:t xml:space="preserve">Por ello, este organismo garante </w:t>
      </w:r>
      <w:r w:rsidRPr="003F15B3">
        <w:rPr>
          <w:rFonts w:cs="Tahoma"/>
          <w:szCs w:val="22"/>
        </w:rPr>
        <w:t>comprometido</w:t>
      </w:r>
      <w:r w:rsidRPr="003F15B3">
        <w:rPr>
          <w:rFonts w:cs="Arial"/>
          <w:lang w:eastAsia="es-MX"/>
        </w:rPr>
        <w:t xml:space="preserve"> con la tutela de los derechos humanos confiados señala que este exceso del plazo legal para resolver el asunto resulta de carácter excepcional.</w:t>
      </w:r>
    </w:p>
    <w:p w14:paraId="28AA46B5" w14:textId="77777777" w:rsidR="0041389E" w:rsidRPr="003F15B3" w:rsidRDefault="0041389E" w:rsidP="003F15B3">
      <w:pPr>
        <w:rPr>
          <w:rFonts w:eastAsia="Arial Unicode MS" w:cs="Arial"/>
        </w:rPr>
      </w:pPr>
    </w:p>
    <w:p w14:paraId="0E651988" w14:textId="6675C588" w:rsidR="00664420" w:rsidRPr="003F15B3" w:rsidRDefault="0041389E" w:rsidP="003F15B3">
      <w:pPr>
        <w:pStyle w:val="Ttulo3"/>
      </w:pPr>
      <w:bookmarkStart w:id="22" w:name="_Toc171349463"/>
      <w:bookmarkStart w:id="23" w:name="_Toc194501117"/>
      <w:bookmarkStart w:id="24" w:name="_Toc196843280"/>
      <w:bookmarkStart w:id="25" w:name="_Toc197955306"/>
      <w:bookmarkStart w:id="26" w:name="_Toc198655058"/>
      <w:bookmarkStart w:id="27" w:name="_Toc206614396"/>
      <w:r w:rsidRPr="003F15B3">
        <w:rPr>
          <w:rFonts w:eastAsia="Calibri"/>
        </w:rPr>
        <w:t>g</w:t>
      </w:r>
      <w:r w:rsidR="00E0690A" w:rsidRPr="003F15B3">
        <w:rPr>
          <w:rFonts w:eastAsia="Calibri"/>
        </w:rPr>
        <w:t xml:space="preserve">) </w:t>
      </w:r>
      <w:bookmarkEnd w:id="22"/>
      <w:bookmarkEnd w:id="23"/>
      <w:bookmarkEnd w:id="24"/>
      <w:bookmarkEnd w:id="25"/>
      <w:bookmarkEnd w:id="26"/>
      <w:r w:rsidR="00664420" w:rsidRPr="003F15B3">
        <w:t>Cierre de instrucción</w:t>
      </w:r>
      <w:bookmarkEnd w:id="27"/>
    </w:p>
    <w:p w14:paraId="79AF95DC" w14:textId="532360F9" w:rsidR="00664420" w:rsidRPr="003F15B3" w:rsidRDefault="00BF091A" w:rsidP="003F15B3">
      <w:r w:rsidRPr="003F15B3">
        <w:rPr>
          <w:rFonts w:cs="Tahoma"/>
          <w:szCs w:val="22"/>
        </w:rPr>
        <w:t>Al no existir diligencias pendientes por desahogar</w:t>
      </w:r>
      <w:r w:rsidRPr="003F15B3">
        <w:rPr>
          <w:rFonts w:cs="Arial"/>
        </w:rPr>
        <w:t xml:space="preserve">, el </w:t>
      </w:r>
      <w:bookmarkStart w:id="28" w:name="_Hlk104892386"/>
      <w:r w:rsidR="0041389E" w:rsidRPr="003F15B3">
        <w:rPr>
          <w:rFonts w:cs="Arial"/>
          <w:b/>
        </w:rPr>
        <w:t xml:space="preserve">diecinueve </w:t>
      </w:r>
      <w:r w:rsidR="00396C48" w:rsidRPr="003F15B3">
        <w:rPr>
          <w:rFonts w:cs="Arial"/>
          <w:b/>
        </w:rPr>
        <w:t xml:space="preserve">de agosto </w:t>
      </w:r>
      <w:r w:rsidR="009A1340" w:rsidRPr="003F15B3">
        <w:rPr>
          <w:rFonts w:cs="Arial"/>
          <w:b/>
        </w:rPr>
        <w:t xml:space="preserve">de dos mil veinticinco </w:t>
      </w:r>
      <w:bookmarkEnd w:id="28"/>
      <w:r w:rsidRPr="003F15B3">
        <w:rPr>
          <w:rFonts w:cs="Arial"/>
        </w:rPr>
        <w:t xml:space="preserve">la </w:t>
      </w:r>
      <w:r w:rsidRPr="003F15B3">
        <w:rPr>
          <w:rFonts w:cs="Arial"/>
          <w:b/>
          <w:bCs/>
        </w:rPr>
        <w:t xml:space="preserve">Comisionada </w:t>
      </w:r>
      <w:r w:rsidRPr="003F15B3">
        <w:rPr>
          <w:b/>
        </w:rPr>
        <w:t xml:space="preserve">Sharon Cristina Morales Martínez </w:t>
      </w:r>
      <w:r w:rsidRPr="003F15B3">
        <w:rPr>
          <w:rFonts w:cs="Arial"/>
        </w:rPr>
        <w:t>acordó el cierre de instrucción</w:t>
      </w:r>
      <w:r w:rsidR="0011350D" w:rsidRPr="003F15B3">
        <w:rPr>
          <w:rFonts w:cs="Arial"/>
        </w:rPr>
        <w:t xml:space="preserve"> y</w:t>
      </w:r>
      <w:r w:rsidRPr="003F15B3">
        <w:rPr>
          <w:rFonts w:cs="Arial"/>
        </w:rPr>
        <w:t xml:space="preserve"> </w:t>
      </w:r>
      <w:r w:rsidR="0011350D" w:rsidRPr="003F15B3">
        <w:rPr>
          <w:rFonts w:cs="Arial"/>
        </w:rPr>
        <w:t xml:space="preserve">la </w:t>
      </w:r>
      <w:r w:rsidRPr="003F15B3">
        <w:rPr>
          <w:rFonts w:cs="Arial"/>
        </w:rPr>
        <w:t>remisión del expediente a efecto de ser resuelto, de conformidad con lo establecido en el artículo 185 fracciones VI y VIII de la Ley de Transparencia y Acceso a la Información Pública del Estado de México y Municipios</w:t>
      </w:r>
      <w:r w:rsidRPr="003F15B3">
        <w:t>.</w:t>
      </w:r>
      <w:r w:rsidR="0011350D" w:rsidRPr="003F15B3">
        <w:t xml:space="preserve"> Dicho acuerdo </w:t>
      </w:r>
      <w:r w:rsidR="00664420" w:rsidRPr="003F15B3">
        <w:rPr>
          <w:rFonts w:cs="Tahoma"/>
          <w:szCs w:val="22"/>
        </w:rPr>
        <w:t xml:space="preserve">fue notificado a las partes el mismo día a través del </w:t>
      </w:r>
      <w:r w:rsidR="00664420" w:rsidRPr="003F15B3">
        <w:rPr>
          <w:rFonts w:cs="Tahoma"/>
          <w:szCs w:val="22"/>
          <w:lang w:val="es-ES"/>
        </w:rPr>
        <w:t>SAIMEX</w:t>
      </w:r>
      <w:r w:rsidR="00664420" w:rsidRPr="003F15B3">
        <w:rPr>
          <w:rFonts w:cs="Tahoma"/>
          <w:szCs w:val="22"/>
        </w:rPr>
        <w:t>.</w:t>
      </w:r>
    </w:p>
    <w:p w14:paraId="741683E3" w14:textId="77777777" w:rsidR="0011350D" w:rsidRPr="003F15B3" w:rsidRDefault="0011350D" w:rsidP="003F15B3">
      <w:pPr>
        <w:rPr>
          <w:rFonts w:cs="Tahoma"/>
          <w:szCs w:val="22"/>
        </w:rPr>
      </w:pPr>
    </w:p>
    <w:p w14:paraId="7A9629DE" w14:textId="77777777" w:rsidR="00664420" w:rsidRPr="003F15B3" w:rsidRDefault="00664420" w:rsidP="003F15B3">
      <w:pPr>
        <w:pStyle w:val="Ttulo1"/>
        <w:rPr>
          <w:rFonts w:eastAsiaTheme="minorHAnsi"/>
          <w:lang w:eastAsia="en-US"/>
        </w:rPr>
      </w:pPr>
      <w:bookmarkStart w:id="29" w:name="_Toc206614397"/>
      <w:r w:rsidRPr="003F15B3">
        <w:rPr>
          <w:rFonts w:eastAsiaTheme="minorHAnsi"/>
          <w:lang w:eastAsia="en-US"/>
        </w:rPr>
        <w:t>CONSIDERANDOS</w:t>
      </w:r>
      <w:bookmarkEnd w:id="29"/>
    </w:p>
    <w:p w14:paraId="6DD1243B" w14:textId="77777777" w:rsidR="00664420" w:rsidRPr="003F15B3" w:rsidRDefault="00664420" w:rsidP="003F15B3">
      <w:pPr>
        <w:contextualSpacing/>
        <w:jc w:val="center"/>
        <w:rPr>
          <w:rFonts w:eastAsiaTheme="minorHAnsi" w:cs="Tahoma"/>
          <w:b/>
          <w:szCs w:val="22"/>
          <w:lang w:eastAsia="en-US"/>
        </w:rPr>
      </w:pPr>
    </w:p>
    <w:p w14:paraId="0B67CB92" w14:textId="2E307D3B" w:rsidR="00664420" w:rsidRPr="003F15B3" w:rsidRDefault="00664420" w:rsidP="003F15B3">
      <w:pPr>
        <w:pStyle w:val="Ttulo2"/>
        <w:rPr>
          <w:rFonts w:eastAsia="Batang"/>
        </w:rPr>
      </w:pPr>
      <w:bookmarkStart w:id="30" w:name="_Toc206614398"/>
      <w:r w:rsidRPr="003F15B3">
        <w:rPr>
          <w:rFonts w:eastAsia="Batang"/>
        </w:rPr>
        <w:t xml:space="preserve">PRIMERO. </w:t>
      </w:r>
      <w:proofErr w:type="spellStart"/>
      <w:r w:rsidR="00BA55A8" w:rsidRPr="003F15B3">
        <w:rPr>
          <w:rFonts w:eastAsia="Batang"/>
        </w:rPr>
        <w:t>Procedibilidad</w:t>
      </w:r>
      <w:bookmarkEnd w:id="30"/>
      <w:proofErr w:type="spellEnd"/>
    </w:p>
    <w:p w14:paraId="39C52BC1" w14:textId="56FCC20D" w:rsidR="00BA55A8" w:rsidRPr="003F15B3" w:rsidRDefault="00BA55A8" w:rsidP="003F15B3">
      <w:pPr>
        <w:pStyle w:val="Ttulo3"/>
      </w:pPr>
      <w:bookmarkStart w:id="31" w:name="_Toc206614399"/>
      <w:r w:rsidRPr="003F15B3">
        <w:t>a) Competencia</w:t>
      </w:r>
      <w:r w:rsidR="00150C49" w:rsidRPr="003F15B3">
        <w:t xml:space="preserve"> del Instituto</w:t>
      </w:r>
      <w:bookmarkEnd w:id="31"/>
    </w:p>
    <w:p w14:paraId="56E64942" w14:textId="37099EC3" w:rsidR="0011350D" w:rsidRPr="003F15B3" w:rsidRDefault="0011350D" w:rsidP="003F15B3">
      <w:pPr>
        <w:rPr>
          <w:rFonts w:cs="Arial"/>
        </w:rPr>
      </w:pPr>
      <w:r w:rsidRPr="003F15B3">
        <w:t xml:space="preserve">Este Instituto de Transparencia, Acceso a la Información Pública y Protección de Datos Personales del Estado de México y Municipios es competente para conocer y resolver </w:t>
      </w:r>
      <w:r w:rsidR="005F65B7" w:rsidRPr="003F15B3">
        <w:t xml:space="preserve">el </w:t>
      </w:r>
      <w:r w:rsidRPr="003F15B3">
        <w:t xml:space="preserve">presente Recurso de Revisión, conforme a lo dispuesto en los artículos 6, Apartado A de la </w:t>
      </w:r>
      <w:r w:rsidRPr="003F15B3">
        <w:lastRenderedPageBreak/>
        <w:t xml:space="preserve">Constitución Política de los Estados Unidos Mexicanos; 5, </w:t>
      </w:r>
      <w:r w:rsidR="00C876F7" w:rsidRPr="003F15B3">
        <w:rPr>
          <w:rFonts w:cs="Tahoma"/>
          <w:bCs/>
          <w:szCs w:val="22"/>
        </w:rPr>
        <w:t xml:space="preserve">párrafos </w:t>
      </w:r>
      <w:r w:rsidR="00C876F7" w:rsidRPr="003F15B3">
        <w:t>trigésimo séptimo, trigésimo octavo, trigésimo noveno,</w:t>
      </w:r>
      <w:r w:rsidRPr="003F15B3">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3F15B3">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3F15B3" w:rsidRDefault="00DB1C09" w:rsidP="003F15B3">
      <w:pPr>
        <w:rPr>
          <w:rFonts w:cs="Arial"/>
        </w:rPr>
      </w:pPr>
    </w:p>
    <w:p w14:paraId="517A2DD6" w14:textId="4169BE4D" w:rsidR="00664420" w:rsidRPr="003F15B3" w:rsidRDefault="00BA55A8" w:rsidP="003F15B3">
      <w:pPr>
        <w:pStyle w:val="Ttulo3"/>
      </w:pPr>
      <w:bookmarkStart w:id="32" w:name="_Toc206614400"/>
      <w:r w:rsidRPr="003F15B3">
        <w:t>b)</w:t>
      </w:r>
      <w:r w:rsidR="00664420" w:rsidRPr="003F15B3">
        <w:t xml:space="preserve"> </w:t>
      </w:r>
      <w:r w:rsidR="00D91CB4" w:rsidRPr="003F15B3">
        <w:t>Legitimidad</w:t>
      </w:r>
      <w:r w:rsidRPr="003F15B3">
        <w:t xml:space="preserve"> de la parte recurrente</w:t>
      </w:r>
      <w:bookmarkEnd w:id="32"/>
    </w:p>
    <w:p w14:paraId="26FEA382" w14:textId="0B06695C" w:rsidR="00D91CB4" w:rsidRPr="003F15B3" w:rsidRDefault="00D91CB4" w:rsidP="003F15B3">
      <w:pPr>
        <w:rPr>
          <w:rFonts w:cs="Arial"/>
          <w:bCs/>
        </w:rPr>
      </w:pPr>
      <w:r w:rsidRPr="003F15B3">
        <w:rPr>
          <w:rFonts w:cs="Arial"/>
          <w:bCs/>
        </w:rPr>
        <w:t>El recurso de revisión fue interpuesto por parte legítima, ya que se presentó por la misma persona que formuló la solicitud de acceso a la Información Pública,</w:t>
      </w:r>
      <w:r w:rsidRPr="003F15B3">
        <w:rPr>
          <w:rFonts w:cs="Arial"/>
          <w:b/>
          <w:bCs/>
        </w:rPr>
        <w:t xml:space="preserve"> </w:t>
      </w:r>
      <w:r w:rsidRPr="003F15B3">
        <w:rPr>
          <w:rFonts w:cs="Arial"/>
        </w:rPr>
        <w:t>debido a que los datos de acceso</w:t>
      </w:r>
      <w:r w:rsidRPr="003F15B3">
        <w:rPr>
          <w:rFonts w:cs="Arial"/>
          <w:b/>
          <w:bCs/>
        </w:rPr>
        <w:t xml:space="preserve"> </w:t>
      </w:r>
      <w:r w:rsidRPr="003F15B3">
        <w:rPr>
          <w:rFonts w:cs="Arial"/>
          <w:b/>
        </w:rPr>
        <w:t>SAIMEX</w:t>
      </w:r>
      <w:r w:rsidRPr="003F15B3">
        <w:rPr>
          <w:rFonts w:eastAsia="Calibri" w:cs="Arial"/>
          <w:lang w:eastAsia="en-US"/>
        </w:rPr>
        <w:t xml:space="preserve"> son personales e irrepetibles.</w:t>
      </w:r>
    </w:p>
    <w:p w14:paraId="2C367810" w14:textId="77777777" w:rsidR="00D91CB4" w:rsidRPr="003F15B3" w:rsidRDefault="00D91CB4" w:rsidP="003F15B3"/>
    <w:p w14:paraId="5C5FA5A8" w14:textId="77777777" w:rsidR="004565C2" w:rsidRPr="003F15B3" w:rsidRDefault="004565C2" w:rsidP="003F15B3">
      <w:pPr>
        <w:pStyle w:val="Ttulo3"/>
        <w:rPr>
          <w:rFonts w:eastAsia="Calibri"/>
          <w:lang w:eastAsia="es-ES_tradnl"/>
        </w:rPr>
      </w:pPr>
      <w:bookmarkStart w:id="33" w:name="_Toc170932820"/>
      <w:bookmarkStart w:id="34" w:name="_Toc206614401"/>
      <w:r w:rsidRPr="003F15B3">
        <w:rPr>
          <w:rFonts w:eastAsia="Calibri"/>
          <w:lang w:eastAsia="es-ES_tradnl"/>
        </w:rPr>
        <w:t>c) Plazo para interponer el recurso</w:t>
      </w:r>
      <w:bookmarkEnd w:id="33"/>
      <w:bookmarkEnd w:id="34"/>
    </w:p>
    <w:p w14:paraId="5C63152A" w14:textId="200332B4" w:rsidR="004565C2" w:rsidRPr="003F15B3" w:rsidRDefault="004565C2" w:rsidP="003F15B3">
      <w:pPr>
        <w:rPr>
          <w:rFonts w:eastAsiaTheme="minorEastAsia" w:cs="Arial"/>
          <w:lang w:val="es-ES_tradnl"/>
        </w:rPr>
      </w:pPr>
      <w:r w:rsidRPr="003F15B3">
        <w:rPr>
          <w:rFonts w:cs="Arial"/>
          <w:b/>
        </w:rPr>
        <w:t>EL SUJETO OBLIGADO</w:t>
      </w:r>
      <w:r w:rsidRPr="003F15B3">
        <w:rPr>
          <w:rFonts w:cs="Arial"/>
        </w:rPr>
        <w:t xml:space="preserve"> notificó la respuesta a la solicitud de acceso a la Información Pública el </w:t>
      </w:r>
      <w:r w:rsidR="0041389E" w:rsidRPr="003F15B3">
        <w:rPr>
          <w:rFonts w:eastAsia="Palatino Linotype" w:cs="Palatino Linotype"/>
          <w:b/>
        </w:rPr>
        <w:t xml:space="preserve">veintiocho de abril </w:t>
      </w:r>
      <w:r w:rsidR="00B373AF" w:rsidRPr="003F15B3">
        <w:rPr>
          <w:rFonts w:eastAsia="Palatino Linotype" w:cs="Palatino Linotype"/>
          <w:b/>
        </w:rPr>
        <w:t>d</w:t>
      </w:r>
      <w:r w:rsidR="009A1340" w:rsidRPr="003F15B3">
        <w:rPr>
          <w:rFonts w:eastAsia="Palatino Linotype" w:cs="Palatino Linotype"/>
          <w:b/>
        </w:rPr>
        <w:t xml:space="preserve">e dos mil veinticinco </w:t>
      </w:r>
      <w:r w:rsidRPr="003F15B3">
        <w:rPr>
          <w:rFonts w:cs="Arial"/>
        </w:rPr>
        <w:t xml:space="preserve">y el recurso </w:t>
      </w:r>
      <w:r w:rsidRPr="003F15B3">
        <w:rPr>
          <w:rFonts w:eastAsia="Palatino Linotype" w:cs="Palatino Linotype"/>
        </w:rPr>
        <w:t>que nos ocupa se interpu</w:t>
      </w:r>
      <w:r w:rsidR="00E27023" w:rsidRPr="003F15B3">
        <w:rPr>
          <w:rFonts w:eastAsia="Palatino Linotype" w:cs="Palatino Linotype"/>
        </w:rPr>
        <w:t>so</w:t>
      </w:r>
      <w:r w:rsidRPr="003F15B3">
        <w:rPr>
          <w:rFonts w:eastAsia="Palatino Linotype" w:cs="Palatino Linotype"/>
        </w:rPr>
        <w:t xml:space="preserve"> el </w:t>
      </w:r>
      <w:r w:rsidR="0041389E" w:rsidRPr="003F15B3">
        <w:rPr>
          <w:rFonts w:eastAsia="Palatino Linotype" w:cs="Palatino Linotype"/>
          <w:b/>
        </w:rPr>
        <w:t xml:space="preserve">veintiuno de mayo </w:t>
      </w:r>
      <w:r w:rsidR="009A1340" w:rsidRPr="003F15B3">
        <w:rPr>
          <w:rFonts w:eastAsia="Palatino Linotype" w:cs="Palatino Linotype"/>
          <w:b/>
        </w:rPr>
        <w:t>de dos mil veinticinco</w:t>
      </w:r>
      <w:r w:rsidRPr="003F15B3">
        <w:rPr>
          <w:rFonts w:eastAsia="Palatino Linotype" w:cs="Palatino Linotype"/>
          <w:bCs/>
        </w:rPr>
        <w:t>;</w:t>
      </w:r>
      <w:r w:rsidRPr="003F15B3">
        <w:rPr>
          <w:rFonts w:eastAsia="Palatino Linotype" w:cs="Palatino Linotype"/>
        </w:rPr>
        <w:t xml:space="preserve"> por lo tanto, éste se encuentra dentro del margen temporal previsto en el artículo 178 de la </w:t>
      </w:r>
      <w:r w:rsidRPr="003F15B3">
        <w:rPr>
          <w:rFonts w:cs="Arial"/>
        </w:rPr>
        <w:t>Ley de Transparencia y Acceso a la Información Pública del Estado de México y Municipios</w:t>
      </w:r>
      <w:r w:rsidRPr="003F15B3">
        <w:rPr>
          <w:rFonts w:eastAsiaTheme="minorEastAsia" w:cs="Arial"/>
          <w:lang w:val="es-ES_tradnl"/>
        </w:rPr>
        <w:t>.</w:t>
      </w:r>
    </w:p>
    <w:p w14:paraId="41262D82" w14:textId="31B14B00" w:rsidR="00813497" w:rsidRPr="003F15B3" w:rsidRDefault="00813497" w:rsidP="003F15B3">
      <w:pPr>
        <w:rPr>
          <w:lang w:val="es-ES_tradnl"/>
        </w:rPr>
      </w:pPr>
    </w:p>
    <w:p w14:paraId="46C0EB3A" w14:textId="5A92AF42" w:rsidR="00A53315" w:rsidRPr="003F15B3" w:rsidRDefault="00BA55A8" w:rsidP="003F15B3">
      <w:pPr>
        <w:pStyle w:val="Ttulo3"/>
        <w:rPr>
          <w:rFonts w:eastAsia="Calibri"/>
          <w:lang w:eastAsia="es-ES_tradnl"/>
        </w:rPr>
      </w:pPr>
      <w:bookmarkStart w:id="35" w:name="_Toc206614402"/>
      <w:r w:rsidRPr="003F15B3">
        <w:rPr>
          <w:rFonts w:eastAsia="Calibri"/>
          <w:lang w:eastAsia="es-ES_tradnl"/>
        </w:rPr>
        <w:t>d)</w:t>
      </w:r>
      <w:r w:rsidR="00D91CB4" w:rsidRPr="003F15B3">
        <w:rPr>
          <w:rFonts w:eastAsia="Calibri"/>
          <w:lang w:eastAsia="es-ES_tradnl"/>
        </w:rPr>
        <w:t xml:space="preserve"> </w:t>
      </w:r>
      <w:r w:rsidR="004565C2" w:rsidRPr="003F15B3">
        <w:rPr>
          <w:rFonts w:eastAsia="Calibri"/>
          <w:lang w:eastAsia="es-ES_tradnl"/>
        </w:rPr>
        <w:t>Causal de procedencia</w:t>
      </w:r>
      <w:bookmarkEnd w:id="35"/>
    </w:p>
    <w:p w14:paraId="190404A6" w14:textId="01878FE8" w:rsidR="00BA55A8" w:rsidRPr="003F15B3" w:rsidRDefault="00BA55A8" w:rsidP="003F15B3">
      <w:r w:rsidRPr="003F15B3">
        <w:rPr>
          <w:rFonts w:cs="Arial"/>
        </w:rPr>
        <w:t xml:space="preserve">Resulta procedente la interposición del recurso de revisión, ya que </w:t>
      </w:r>
      <w:r w:rsidRPr="003F15B3">
        <w:rPr>
          <w:rFonts w:eastAsia="Calibri" w:cs="Tahoma"/>
          <w:szCs w:val="22"/>
          <w:lang w:eastAsia="es-MX"/>
        </w:rPr>
        <w:t>se actualiza la causal de procedencia señalada en el artículo 179, fracci</w:t>
      </w:r>
      <w:r w:rsidR="0041389E" w:rsidRPr="003F15B3">
        <w:rPr>
          <w:rFonts w:eastAsia="Calibri" w:cs="Tahoma"/>
          <w:szCs w:val="22"/>
          <w:lang w:eastAsia="es-MX"/>
        </w:rPr>
        <w:t xml:space="preserve">ones V y VI </w:t>
      </w:r>
      <w:r w:rsidRPr="003F15B3">
        <w:rPr>
          <w:rFonts w:cs="Arial"/>
        </w:rPr>
        <w:t xml:space="preserve">de la </w:t>
      </w:r>
      <w:r w:rsidRPr="003F15B3">
        <w:t>Ley de Transparencia y Acceso a la Información Pública del Estado de México y Municipios.</w:t>
      </w:r>
    </w:p>
    <w:p w14:paraId="0EFF7141" w14:textId="77777777" w:rsidR="00362A11" w:rsidRPr="003F15B3" w:rsidRDefault="00362A11" w:rsidP="003F15B3"/>
    <w:p w14:paraId="2284D7EB" w14:textId="3EE1D036" w:rsidR="00BA55A8" w:rsidRPr="003F15B3" w:rsidRDefault="00362A11" w:rsidP="003F15B3">
      <w:pPr>
        <w:pStyle w:val="Ttulo3"/>
      </w:pPr>
      <w:bookmarkStart w:id="36" w:name="_Toc206614403"/>
      <w:r w:rsidRPr="003F15B3">
        <w:lastRenderedPageBreak/>
        <w:t>e) Requisitos formales para la interposición del recurso</w:t>
      </w:r>
      <w:bookmarkEnd w:id="36"/>
    </w:p>
    <w:p w14:paraId="677C7009" w14:textId="77777777" w:rsidR="00185C7C" w:rsidRPr="003F15B3" w:rsidRDefault="00185C7C" w:rsidP="003F15B3">
      <w:pPr>
        <w:rPr>
          <w:rFonts w:cs="Arial"/>
        </w:rPr>
      </w:pPr>
      <w:r w:rsidRPr="003F15B3">
        <w:rPr>
          <w:rFonts w:cs="Arial"/>
          <w:b/>
          <w:bCs/>
        </w:rPr>
        <w:t xml:space="preserve">LA PARTE RECURRENTE </w:t>
      </w:r>
      <w:r w:rsidRPr="003F15B3">
        <w:rPr>
          <w:rFonts w:cs="Arial"/>
        </w:rPr>
        <w:t>acreditó todos y cada uno de los elementos formales exigidos por el artículo 180 de la misma normatividad.</w:t>
      </w:r>
    </w:p>
    <w:p w14:paraId="2BE2EBCD" w14:textId="77777777" w:rsidR="00185C7C" w:rsidRPr="003F15B3" w:rsidRDefault="00185C7C" w:rsidP="003F15B3">
      <w:pPr>
        <w:rPr>
          <w:rFonts w:cs="Arial"/>
        </w:rPr>
      </w:pPr>
    </w:p>
    <w:p w14:paraId="70704F84" w14:textId="77777777" w:rsidR="0041389E" w:rsidRPr="003F15B3" w:rsidRDefault="0041389E" w:rsidP="003F15B3">
      <w:pPr>
        <w:rPr>
          <w:rFonts w:cs="Arial"/>
          <w:lang w:val="es-ES"/>
        </w:rPr>
      </w:pPr>
      <w:r w:rsidRPr="003F15B3">
        <w:rPr>
          <w:lang w:val="es-ES"/>
        </w:rPr>
        <w:t xml:space="preserve">Sin embargo, es importante mencionar que, de la revisión de los expedientes electrónicos del </w:t>
      </w:r>
      <w:r w:rsidRPr="003F15B3">
        <w:rPr>
          <w:b/>
          <w:bCs/>
          <w:lang w:val="es-ES"/>
        </w:rPr>
        <w:t>SAIMEX</w:t>
      </w:r>
      <w:r w:rsidRPr="003F15B3">
        <w:rPr>
          <w:bCs/>
          <w:lang w:val="es-ES"/>
        </w:rPr>
        <w:t>,</w:t>
      </w:r>
      <w:r w:rsidRPr="003F15B3">
        <w:rPr>
          <w:lang w:val="es-ES"/>
        </w:rPr>
        <w:t xml:space="preserve"> se observa que </w:t>
      </w:r>
      <w:r w:rsidRPr="003F15B3">
        <w:rPr>
          <w:b/>
          <w:bCs/>
          <w:lang w:val="es-ES"/>
        </w:rPr>
        <w:t>LA PARTE RECURRENTE</w:t>
      </w:r>
      <w:r w:rsidRPr="003F15B3">
        <w:rPr>
          <w:lang w:val="es-ES"/>
        </w:rPr>
        <w:t xml:space="preserve"> no proporcionó su nombre para ser identificado, lo que en estricto sentido provoca que </w:t>
      </w:r>
      <w:r w:rsidRPr="003F15B3">
        <w:rPr>
          <w:rFonts w:cs="Arial"/>
          <w:lang w:val="es-ES"/>
        </w:rPr>
        <w:t>no</w:t>
      </w:r>
      <w:r w:rsidRPr="003F15B3">
        <w:rPr>
          <w:lang w:val="es-ES"/>
        </w:rPr>
        <w:t xml:space="preserve"> se colmen los requisitos establecidos en el artículo 180 de la Ley de Transparencia; sin embargo, el artículo 15 de </w:t>
      </w:r>
      <w:r w:rsidRPr="003F15B3">
        <w:rPr>
          <w:rFonts w:cs="Arial"/>
          <w:lang w:val="es-ES" w:eastAsia="es-MX"/>
        </w:rPr>
        <w:t xml:space="preserve">Ley de Transparencia y Acceso a la </w:t>
      </w:r>
      <w:r w:rsidRPr="003F15B3">
        <w:rPr>
          <w:rFonts w:cs="Arial"/>
          <w:lang w:val="es-ES"/>
        </w:rPr>
        <w:t>Información</w:t>
      </w:r>
      <w:r w:rsidRPr="003F15B3">
        <w:rPr>
          <w:rFonts w:cs="Arial"/>
          <w:lang w:val="es-ES" w:eastAsia="es-MX"/>
        </w:rPr>
        <w:t xml:space="preserve"> Pública del Estado de México y Municipios </w:t>
      </w:r>
      <w:r w:rsidRPr="003F15B3">
        <w:rPr>
          <w:rFonts w:cs="Arial"/>
          <w:iCs/>
          <w:lang w:val="es-ES"/>
        </w:rPr>
        <w:t xml:space="preserve">prevé que </w:t>
      </w:r>
      <w:r w:rsidRPr="003F15B3">
        <w:rPr>
          <w:lang w:val="es-ES"/>
        </w:rPr>
        <w:t xml:space="preserve">toda persona tendrá acceso a la información </w:t>
      </w:r>
      <w:r w:rsidRPr="003F15B3">
        <w:rPr>
          <w:rFonts w:cs="Arial"/>
          <w:lang w:val="es-ES"/>
        </w:rPr>
        <w:t xml:space="preserve">sin necesidad de acreditar interés alguno o justificar su utilización, de lo que se infiere que </w:t>
      </w:r>
      <w:r w:rsidRPr="003F15B3">
        <w:rPr>
          <w:rFonts w:cs="Arial"/>
          <w:b/>
          <w:u w:val="single"/>
          <w:lang w:val="es-ES"/>
        </w:rPr>
        <w:t xml:space="preserve">el nombre no es un requisito </w:t>
      </w:r>
      <w:r w:rsidRPr="003F15B3">
        <w:rPr>
          <w:rFonts w:cs="Arial"/>
          <w:b/>
          <w:iCs/>
          <w:u w:val="single"/>
          <w:lang w:val="es-ES"/>
        </w:rPr>
        <w:t>indispensable</w:t>
      </w:r>
      <w:r w:rsidRPr="003F15B3">
        <w:rPr>
          <w:rFonts w:cs="Arial"/>
          <w:lang w:val="es-ES"/>
        </w:rPr>
        <w:t xml:space="preserve"> para que las y los ciudadanos ejerzan el derecho de acceso a la información pública. </w:t>
      </w:r>
    </w:p>
    <w:p w14:paraId="1FA761FB" w14:textId="77777777" w:rsidR="0041389E" w:rsidRPr="003F15B3" w:rsidRDefault="0041389E" w:rsidP="003F15B3">
      <w:pPr>
        <w:rPr>
          <w:rFonts w:cs="Arial"/>
          <w:sz w:val="24"/>
          <w:szCs w:val="24"/>
          <w:lang w:val="es-ES"/>
        </w:rPr>
      </w:pPr>
    </w:p>
    <w:p w14:paraId="7366AABB" w14:textId="77777777" w:rsidR="0041389E" w:rsidRPr="003F15B3" w:rsidRDefault="0041389E" w:rsidP="003F15B3">
      <w:pPr>
        <w:rPr>
          <w:lang w:val="es-ES"/>
        </w:rPr>
      </w:pPr>
      <w:r w:rsidRPr="003F15B3">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3F15B3">
        <w:rPr>
          <w:b/>
          <w:bCs/>
          <w:lang w:val="es-ES"/>
        </w:rPr>
        <w:t>LA PARTE RECURRENTE</w:t>
      </w:r>
      <w:r w:rsidRPr="003F15B3">
        <w:rPr>
          <w:b/>
          <w:lang w:val="es-ES"/>
        </w:rPr>
        <w:t>;</w:t>
      </w:r>
      <w:r w:rsidRPr="003F15B3">
        <w:rPr>
          <w:lang w:val="es-ES"/>
        </w:rPr>
        <w:t xml:space="preserve"> por lo que, en el presente caso, al haber sido presentado el recurso de revisión vía </w:t>
      </w:r>
      <w:r w:rsidRPr="003F15B3">
        <w:rPr>
          <w:b/>
          <w:bCs/>
          <w:lang w:val="es-ES"/>
        </w:rPr>
        <w:t>SAIMEX</w:t>
      </w:r>
      <w:r w:rsidRPr="003F15B3">
        <w:rPr>
          <w:lang w:val="es-ES"/>
        </w:rPr>
        <w:t>, dicho requisito resulta innecesario.</w:t>
      </w:r>
    </w:p>
    <w:p w14:paraId="019594D3" w14:textId="77777777" w:rsidR="0041389E" w:rsidRPr="003F15B3" w:rsidRDefault="0041389E" w:rsidP="003F15B3">
      <w:pPr>
        <w:rPr>
          <w:rFonts w:cs="Arial"/>
          <w:lang w:val="es-ES"/>
        </w:rPr>
      </w:pPr>
    </w:p>
    <w:p w14:paraId="457548E9" w14:textId="3F7AF03B" w:rsidR="00C71CEF" w:rsidRPr="003F15B3" w:rsidRDefault="00C71CEF" w:rsidP="003F15B3">
      <w:pPr>
        <w:pStyle w:val="Ttulo2"/>
      </w:pPr>
      <w:bookmarkStart w:id="37" w:name="_Toc206614404"/>
      <w:r w:rsidRPr="003F15B3">
        <w:lastRenderedPageBreak/>
        <w:t>SEGUNDO. Estudio de Fondo</w:t>
      </w:r>
      <w:bookmarkEnd w:id="37"/>
    </w:p>
    <w:p w14:paraId="2A308F59" w14:textId="0FF373F0" w:rsidR="00C049E2" w:rsidRPr="003F15B3" w:rsidRDefault="00C71CEF" w:rsidP="003F15B3">
      <w:pPr>
        <w:pStyle w:val="Ttulo3"/>
      </w:pPr>
      <w:bookmarkStart w:id="38" w:name="_Toc206614405"/>
      <w:r w:rsidRPr="003F15B3">
        <w:t>a</w:t>
      </w:r>
      <w:r w:rsidR="00C049E2" w:rsidRPr="003F15B3">
        <w:t>) Mandato de transparencia y responsabilidad del Sujeto Obligado</w:t>
      </w:r>
      <w:bookmarkEnd w:id="38"/>
    </w:p>
    <w:p w14:paraId="6901A889" w14:textId="59EEDAE1" w:rsidR="00C049E2" w:rsidRPr="003F15B3" w:rsidRDefault="00C049E2" w:rsidP="003F15B3">
      <w:pPr>
        <w:rPr>
          <w:rFonts w:eastAsia="Palatino Linotype"/>
        </w:rPr>
      </w:pPr>
      <w:r w:rsidRPr="003F15B3">
        <w:rPr>
          <w:rFonts w:eastAsia="Palatino Linotype"/>
        </w:rPr>
        <w:t xml:space="preserve">El </w:t>
      </w:r>
      <w:r w:rsidR="00717E59" w:rsidRPr="003F15B3">
        <w:rPr>
          <w:rFonts w:eastAsia="Palatino Linotype"/>
        </w:rPr>
        <w:t>d</w:t>
      </w:r>
      <w:r w:rsidRPr="003F15B3">
        <w:rPr>
          <w:rFonts w:eastAsia="Palatino Linotype"/>
        </w:rPr>
        <w:t xml:space="preserve">erecho de </w:t>
      </w:r>
      <w:r w:rsidR="00717E59" w:rsidRPr="003F15B3">
        <w:rPr>
          <w:rFonts w:eastAsia="Palatino Linotype"/>
        </w:rPr>
        <w:t>a</w:t>
      </w:r>
      <w:r w:rsidRPr="003F15B3">
        <w:rPr>
          <w:rFonts w:eastAsia="Palatino Linotype"/>
        </w:rPr>
        <w:t xml:space="preserve">cceso a la </w:t>
      </w:r>
      <w:r w:rsidR="00717E59" w:rsidRPr="003F15B3">
        <w:rPr>
          <w:rFonts w:eastAsia="Palatino Linotype"/>
        </w:rPr>
        <w:t>i</w:t>
      </w:r>
      <w:r w:rsidRPr="003F15B3">
        <w:rPr>
          <w:rFonts w:eastAsia="Palatino Linotype"/>
        </w:rPr>
        <w:t xml:space="preserve">nformación </w:t>
      </w:r>
      <w:r w:rsidR="00717E59" w:rsidRPr="003F15B3">
        <w:rPr>
          <w:rFonts w:eastAsia="Palatino Linotype"/>
        </w:rPr>
        <w:t>p</w:t>
      </w:r>
      <w:r w:rsidRPr="003F15B3">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F15B3">
        <w:rPr>
          <w:rFonts w:eastAsia="Palatino Linotype"/>
        </w:rPr>
        <w:t>:</w:t>
      </w:r>
    </w:p>
    <w:p w14:paraId="7FAB8D32" w14:textId="77777777" w:rsidR="00C049E2" w:rsidRPr="003F15B3" w:rsidRDefault="00C049E2" w:rsidP="003F15B3">
      <w:pPr>
        <w:rPr>
          <w:rFonts w:eastAsia="Palatino Linotype"/>
        </w:rPr>
      </w:pPr>
    </w:p>
    <w:p w14:paraId="05320813" w14:textId="77777777" w:rsidR="00C049E2" w:rsidRPr="003F15B3" w:rsidRDefault="00C049E2" w:rsidP="003F15B3">
      <w:pPr>
        <w:pStyle w:val="Puesto"/>
        <w:rPr>
          <w:rFonts w:eastAsia="Palatino Linotype"/>
          <w:b/>
        </w:rPr>
      </w:pPr>
      <w:r w:rsidRPr="003F15B3">
        <w:rPr>
          <w:rFonts w:eastAsia="Palatino Linotype"/>
          <w:b/>
        </w:rPr>
        <w:t>Constitución Política de los Estados Unidos Mexicanos</w:t>
      </w:r>
    </w:p>
    <w:p w14:paraId="6B6C67B6" w14:textId="77777777" w:rsidR="00C049E2" w:rsidRPr="003F15B3" w:rsidRDefault="00C049E2" w:rsidP="003F15B3">
      <w:pPr>
        <w:pStyle w:val="Puesto"/>
        <w:rPr>
          <w:rFonts w:eastAsia="Palatino Linotype"/>
          <w:b/>
        </w:rPr>
      </w:pPr>
      <w:r w:rsidRPr="003F15B3">
        <w:rPr>
          <w:rFonts w:eastAsia="Palatino Linotype"/>
        </w:rPr>
        <w:t>“</w:t>
      </w:r>
      <w:r w:rsidRPr="003F15B3">
        <w:rPr>
          <w:rFonts w:eastAsia="Palatino Linotype"/>
          <w:b/>
        </w:rPr>
        <w:t>Artículo 6.</w:t>
      </w:r>
    </w:p>
    <w:p w14:paraId="38D3B4C4" w14:textId="77777777" w:rsidR="00C049E2" w:rsidRPr="003F15B3" w:rsidRDefault="00C049E2" w:rsidP="003F15B3">
      <w:pPr>
        <w:pStyle w:val="Puesto"/>
        <w:rPr>
          <w:rFonts w:eastAsia="Palatino Linotype"/>
        </w:rPr>
      </w:pPr>
      <w:r w:rsidRPr="003F15B3">
        <w:rPr>
          <w:rFonts w:eastAsia="Palatino Linotype"/>
        </w:rPr>
        <w:t>(…)</w:t>
      </w:r>
    </w:p>
    <w:p w14:paraId="2CCAA297" w14:textId="6602827B" w:rsidR="00C049E2" w:rsidRPr="003F15B3" w:rsidRDefault="00C049E2" w:rsidP="003F15B3">
      <w:pPr>
        <w:pStyle w:val="Puesto"/>
        <w:rPr>
          <w:rFonts w:eastAsia="Palatino Linotype"/>
        </w:rPr>
      </w:pPr>
      <w:r w:rsidRPr="003F15B3">
        <w:rPr>
          <w:rFonts w:eastAsia="Palatino Linotype"/>
        </w:rPr>
        <w:t>Para efectos de lo dispuesto en el presente artículo se observará lo siguiente:</w:t>
      </w:r>
    </w:p>
    <w:p w14:paraId="74CC3718" w14:textId="77777777" w:rsidR="00C049E2" w:rsidRPr="003F15B3" w:rsidRDefault="00C049E2" w:rsidP="003F15B3">
      <w:pPr>
        <w:pStyle w:val="Puesto"/>
        <w:rPr>
          <w:rFonts w:eastAsia="Palatino Linotype"/>
        </w:rPr>
      </w:pPr>
      <w:r w:rsidRPr="003F15B3">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3F15B3" w:rsidRDefault="00C049E2" w:rsidP="003F15B3">
      <w:pPr>
        <w:pStyle w:val="Puesto"/>
        <w:rPr>
          <w:rFonts w:eastAsia="Palatino Linotype"/>
        </w:rPr>
      </w:pPr>
      <w:r w:rsidRPr="003F15B3">
        <w:rPr>
          <w:rFonts w:eastAsia="Palatino Linotype"/>
        </w:rPr>
        <w:t xml:space="preserve">I. </w:t>
      </w:r>
      <w:r w:rsidRPr="003F15B3">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3F15B3" w:rsidRDefault="00C049E2" w:rsidP="003F15B3">
      <w:pPr>
        <w:pStyle w:val="Puesto"/>
        <w:rPr>
          <w:rFonts w:eastAsia="Palatino Linotype"/>
        </w:rPr>
      </w:pPr>
    </w:p>
    <w:p w14:paraId="504F12DB" w14:textId="77777777" w:rsidR="00C049E2" w:rsidRPr="003F15B3" w:rsidRDefault="00C049E2" w:rsidP="003F15B3">
      <w:pPr>
        <w:pStyle w:val="Puesto"/>
        <w:rPr>
          <w:rFonts w:eastAsia="Palatino Linotype"/>
          <w:b/>
        </w:rPr>
      </w:pPr>
      <w:r w:rsidRPr="003F15B3">
        <w:rPr>
          <w:rFonts w:eastAsia="Palatino Linotype"/>
          <w:b/>
        </w:rPr>
        <w:t>Constitución Política del Estado Libre y Soberano de México</w:t>
      </w:r>
    </w:p>
    <w:p w14:paraId="04932D29" w14:textId="77777777" w:rsidR="00C049E2" w:rsidRPr="003F15B3" w:rsidRDefault="00C049E2" w:rsidP="003F15B3">
      <w:pPr>
        <w:pStyle w:val="Puesto"/>
        <w:rPr>
          <w:rFonts w:eastAsia="Palatino Linotype"/>
          <w:b/>
        </w:rPr>
      </w:pPr>
      <w:r w:rsidRPr="003F15B3">
        <w:rPr>
          <w:rFonts w:eastAsia="Palatino Linotype"/>
        </w:rPr>
        <w:t>“</w:t>
      </w:r>
      <w:r w:rsidRPr="003F15B3">
        <w:rPr>
          <w:rFonts w:eastAsia="Palatino Linotype"/>
          <w:b/>
        </w:rPr>
        <w:t xml:space="preserve">Artículo 5.- </w:t>
      </w:r>
    </w:p>
    <w:p w14:paraId="1D3829F4" w14:textId="77777777" w:rsidR="00C049E2" w:rsidRPr="003F15B3" w:rsidRDefault="00C049E2" w:rsidP="003F15B3">
      <w:pPr>
        <w:pStyle w:val="Puesto"/>
        <w:rPr>
          <w:rFonts w:eastAsia="Palatino Linotype"/>
        </w:rPr>
      </w:pPr>
      <w:r w:rsidRPr="003F15B3">
        <w:rPr>
          <w:rFonts w:eastAsia="Palatino Linotype"/>
        </w:rPr>
        <w:t>(…)</w:t>
      </w:r>
    </w:p>
    <w:p w14:paraId="0EAE47FD" w14:textId="77777777" w:rsidR="00C049E2" w:rsidRPr="003F15B3" w:rsidRDefault="00C049E2" w:rsidP="003F15B3">
      <w:pPr>
        <w:pStyle w:val="Puesto"/>
        <w:rPr>
          <w:rFonts w:eastAsia="Palatino Linotype"/>
        </w:rPr>
      </w:pPr>
      <w:r w:rsidRPr="003F15B3">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3F15B3" w:rsidRDefault="00C049E2" w:rsidP="003F15B3">
      <w:pPr>
        <w:pStyle w:val="Puesto"/>
        <w:rPr>
          <w:rFonts w:eastAsia="Palatino Linotype"/>
        </w:rPr>
      </w:pPr>
      <w:r w:rsidRPr="003F15B3">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F15B3" w:rsidRDefault="00C049E2" w:rsidP="003F15B3">
      <w:pPr>
        <w:pStyle w:val="Puesto"/>
        <w:rPr>
          <w:rFonts w:eastAsia="Palatino Linotype"/>
        </w:rPr>
      </w:pPr>
      <w:r w:rsidRPr="003F15B3">
        <w:rPr>
          <w:rFonts w:eastAsia="Palatino Linotype"/>
        </w:rPr>
        <w:t>Este derecho se regirá por los principios y bases siguientes:</w:t>
      </w:r>
    </w:p>
    <w:p w14:paraId="4A3E8CBA" w14:textId="77777777" w:rsidR="00C049E2" w:rsidRPr="003F15B3" w:rsidRDefault="00C049E2" w:rsidP="003F15B3">
      <w:pPr>
        <w:pStyle w:val="Puesto"/>
        <w:rPr>
          <w:rFonts w:eastAsia="Palatino Linotype"/>
        </w:rPr>
      </w:pPr>
      <w:r w:rsidRPr="003F15B3">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3F15B3" w:rsidRDefault="00C049E2" w:rsidP="003F15B3">
      <w:pPr>
        <w:rPr>
          <w:rFonts w:eastAsia="Palatino Linotype"/>
          <w:b/>
          <w:i/>
        </w:rPr>
      </w:pPr>
    </w:p>
    <w:p w14:paraId="6FC1BB3B" w14:textId="3BF4A33D" w:rsidR="00C049E2" w:rsidRPr="003F15B3" w:rsidRDefault="00717E59" w:rsidP="003F15B3">
      <w:pPr>
        <w:rPr>
          <w:rFonts w:eastAsia="Palatino Linotype"/>
          <w:i/>
        </w:rPr>
      </w:pPr>
      <w:r w:rsidRPr="003F15B3">
        <w:rPr>
          <w:rFonts w:eastAsia="Palatino Linotype"/>
        </w:rPr>
        <w:t xml:space="preserve">Asimismo, </w:t>
      </w:r>
      <w:r w:rsidR="00C049E2" w:rsidRPr="003F15B3">
        <w:rPr>
          <w:rFonts w:eastAsia="Palatino Linotype"/>
        </w:rPr>
        <w:t>el artículo 150 de la Ley de Transparencia y Acceso a la Información Pública del Estado de México y Municipios</w:t>
      </w:r>
      <w:r w:rsidR="00057B2D" w:rsidRPr="003F15B3">
        <w:rPr>
          <w:rFonts w:eastAsia="Palatino Linotype"/>
        </w:rPr>
        <w:t xml:space="preserve"> </w:t>
      </w:r>
      <w:r w:rsidR="00E9335C" w:rsidRPr="003F15B3">
        <w:rPr>
          <w:rFonts w:eastAsia="Palatino Linotype"/>
        </w:rPr>
        <w:t xml:space="preserve">indica </w:t>
      </w:r>
      <w:r w:rsidR="00057B2D" w:rsidRPr="003F15B3">
        <w:rPr>
          <w:rFonts w:eastAsia="Palatino Linotype"/>
        </w:rPr>
        <w:t>que</w:t>
      </w:r>
      <w:r w:rsidR="00C049E2" w:rsidRPr="003F15B3">
        <w:rPr>
          <w:rFonts w:eastAsia="Palatino Linotype"/>
        </w:rPr>
        <w:t xml:space="preserve"> la solicitud es la garantía primaria del Derecho de Acceso a la Información, además, establece que se regirá </w:t>
      </w:r>
      <w:r w:rsidR="00C049E2" w:rsidRPr="003F15B3">
        <w:rPr>
          <w:rFonts w:eastAsia="Palatino Linotype"/>
          <w:i/>
        </w:rPr>
        <w:t>por los principios de simplicidad, rapidez</w:t>
      </w:r>
      <w:r w:rsidR="005F65B7" w:rsidRPr="003F15B3">
        <w:rPr>
          <w:rFonts w:eastAsia="Palatino Linotype"/>
          <w:i/>
        </w:rPr>
        <w:t>,</w:t>
      </w:r>
      <w:r w:rsidR="00C049E2" w:rsidRPr="003F15B3">
        <w:rPr>
          <w:rFonts w:eastAsia="Palatino Linotype"/>
          <w:i/>
        </w:rPr>
        <w:t xml:space="preserve"> gratuidad del procedimiento, auxilio y orientación a los particulare</w:t>
      </w:r>
      <w:r w:rsidR="001A58B3" w:rsidRPr="003F15B3">
        <w:rPr>
          <w:rFonts w:eastAsia="Palatino Linotype"/>
          <w:i/>
        </w:rPr>
        <w:t>s.</w:t>
      </w:r>
    </w:p>
    <w:p w14:paraId="033466A6" w14:textId="77777777" w:rsidR="001A58B3" w:rsidRPr="003F15B3" w:rsidRDefault="001A58B3" w:rsidP="003F15B3">
      <w:pPr>
        <w:rPr>
          <w:rFonts w:eastAsia="Palatino Linotype"/>
          <w:i/>
        </w:rPr>
      </w:pPr>
    </w:p>
    <w:p w14:paraId="04ADA10B" w14:textId="574A944A" w:rsidR="001A58B3" w:rsidRPr="003F15B3" w:rsidRDefault="00233F17" w:rsidP="003F15B3">
      <w:pPr>
        <w:rPr>
          <w:rFonts w:eastAsia="Palatino Linotype" w:cs="Palatino Linotype"/>
          <w:i/>
          <w:szCs w:val="22"/>
        </w:rPr>
      </w:pPr>
      <w:r w:rsidRPr="003F15B3">
        <w:rPr>
          <w:rFonts w:eastAsia="Palatino Linotype" w:cs="Palatino Linotype"/>
        </w:rPr>
        <w:t xml:space="preserve">Por su parte, el artículo 4 de </w:t>
      </w:r>
      <w:r w:rsidR="001A58B3" w:rsidRPr="003F15B3">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F15B3">
        <w:rPr>
          <w:rFonts w:eastAsia="Palatino Linotype" w:cs="Palatino Linotype"/>
        </w:rPr>
        <w:t>.</w:t>
      </w:r>
    </w:p>
    <w:p w14:paraId="1407DBB8" w14:textId="77777777" w:rsidR="001A58B3" w:rsidRPr="003F15B3" w:rsidRDefault="001A58B3" w:rsidP="003F15B3">
      <w:pPr>
        <w:rPr>
          <w:rFonts w:eastAsia="Palatino Linotype" w:cs="Palatino Linotype"/>
        </w:rPr>
      </w:pPr>
    </w:p>
    <w:p w14:paraId="7552AA79" w14:textId="5C52E4A4" w:rsidR="001A58B3" w:rsidRPr="003F15B3" w:rsidRDefault="001A58B3" w:rsidP="003F15B3">
      <w:pPr>
        <w:rPr>
          <w:rFonts w:eastAsia="Palatino Linotype" w:cs="Palatino Linotype"/>
        </w:rPr>
      </w:pPr>
      <w:r w:rsidRPr="003F15B3">
        <w:rPr>
          <w:rFonts w:eastAsia="Palatino Linotype" w:cs="Palatino Linotype"/>
        </w:rPr>
        <w:t xml:space="preserve">Esto es, que los Sujetos Obligados </w:t>
      </w:r>
      <w:r w:rsidR="00FA5957" w:rsidRPr="003F15B3">
        <w:rPr>
          <w:rFonts w:eastAsia="Palatino Linotype" w:cs="Palatino Linotype"/>
        </w:rPr>
        <w:t>deben</w:t>
      </w:r>
      <w:r w:rsidRPr="003F15B3">
        <w:rPr>
          <w:rFonts w:eastAsia="Palatino Linotype" w:cs="Palatino Linotype"/>
        </w:rPr>
        <w:t xml:space="preserve"> atender las solicitudes de acceso a la información pública que se les </w:t>
      </w:r>
      <w:r w:rsidR="00FA5957" w:rsidRPr="003F15B3">
        <w:rPr>
          <w:rFonts w:eastAsia="Palatino Linotype" w:cs="Palatino Linotype"/>
        </w:rPr>
        <w:t>sean realizadas,</w:t>
      </w:r>
      <w:r w:rsidRPr="003F15B3">
        <w:rPr>
          <w:rFonts w:eastAsia="Palatino Linotype" w:cs="Palatino Linotype"/>
        </w:rPr>
        <w:t xml:space="preserve"> y proporcionar la información pública que obre en su poder</w:t>
      </w:r>
      <w:r w:rsidR="00FA5957" w:rsidRPr="003F15B3">
        <w:rPr>
          <w:rFonts w:eastAsia="Palatino Linotype" w:cs="Palatino Linotype"/>
        </w:rPr>
        <w:t>,</w:t>
      </w:r>
      <w:r w:rsidRPr="003F15B3">
        <w:rPr>
          <w:rFonts w:eastAsia="Palatino Linotype" w:cs="Palatino Linotype"/>
        </w:rPr>
        <w:t xml:space="preserve"> conforme </w:t>
      </w:r>
      <w:r w:rsidR="00FA5957" w:rsidRPr="003F15B3">
        <w:rPr>
          <w:rFonts w:eastAsia="Palatino Linotype" w:cs="Palatino Linotype"/>
        </w:rPr>
        <w:t>a</w:t>
      </w:r>
      <w:r w:rsidRPr="003F15B3">
        <w:rPr>
          <w:rFonts w:eastAsia="Palatino Linotype" w:cs="Palatino Linotype"/>
        </w:rPr>
        <w:t xml:space="preserve">l estado </w:t>
      </w:r>
      <w:r w:rsidR="00FA5957" w:rsidRPr="003F15B3">
        <w:rPr>
          <w:rFonts w:eastAsia="Palatino Linotype" w:cs="Palatino Linotype"/>
        </w:rPr>
        <w:t xml:space="preserve">en </w:t>
      </w:r>
      <w:r w:rsidRPr="003F15B3">
        <w:rPr>
          <w:rFonts w:eastAsia="Palatino Linotype" w:cs="Palatino Linotype"/>
        </w:rPr>
        <w:t>que se encuentr</w:t>
      </w:r>
      <w:r w:rsidR="00FA5957" w:rsidRPr="003F15B3">
        <w:rPr>
          <w:rFonts w:eastAsia="Palatino Linotype" w:cs="Palatino Linotype"/>
        </w:rPr>
        <w:t>e, sin que sea necesario</w:t>
      </w:r>
      <w:r w:rsidRPr="003F15B3">
        <w:rPr>
          <w:rFonts w:eastAsia="Palatino Linotype" w:cs="Palatino Linotype"/>
        </w:rPr>
        <w:t xml:space="preserve"> </w:t>
      </w:r>
      <w:r w:rsidR="00FA5957" w:rsidRPr="003F15B3">
        <w:rPr>
          <w:rFonts w:eastAsia="Palatino Linotype" w:cs="Palatino Linotype"/>
        </w:rPr>
        <w:t>procesar</w:t>
      </w:r>
      <w:r w:rsidRPr="003F15B3">
        <w:rPr>
          <w:rFonts w:eastAsia="Palatino Linotype" w:cs="Palatino Linotype"/>
        </w:rPr>
        <w:t xml:space="preserve"> la misma, ni presentarla conforme al interés del solicitante; </w:t>
      </w:r>
      <w:r w:rsidR="00FA5957" w:rsidRPr="003F15B3">
        <w:rPr>
          <w:rFonts w:eastAsia="Palatino Linotype" w:cs="Palatino Linotype"/>
        </w:rPr>
        <w:t>tal y como</w:t>
      </w:r>
      <w:r w:rsidRPr="003F15B3">
        <w:rPr>
          <w:rFonts w:eastAsia="Palatino Linotype" w:cs="Palatino Linotype"/>
        </w:rPr>
        <w:t xml:space="preserve"> lo establece el artículo 12 de la Ley de Transparencia y Acceso a la Información Pública del Estado de México y Municipios</w:t>
      </w:r>
      <w:r w:rsidR="00970EB3" w:rsidRPr="003F15B3">
        <w:rPr>
          <w:rFonts w:eastAsia="Palatino Linotype" w:cs="Palatino Linotype"/>
        </w:rPr>
        <w:t>.</w:t>
      </w:r>
    </w:p>
    <w:p w14:paraId="73245195" w14:textId="77777777" w:rsidR="00970EB3" w:rsidRPr="003F15B3" w:rsidRDefault="00970EB3" w:rsidP="003F15B3">
      <w:pPr>
        <w:rPr>
          <w:rFonts w:eastAsia="Palatino Linotype" w:cs="Palatino Linotype"/>
        </w:rPr>
      </w:pPr>
    </w:p>
    <w:p w14:paraId="7F62D4DF" w14:textId="775730E1" w:rsidR="001A58B3" w:rsidRPr="003F15B3" w:rsidRDefault="001A58B3" w:rsidP="003F15B3">
      <w:pPr>
        <w:rPr>
          <w:rFonts w:eastAsia="Palatino Linotype" w:cs="Palatino Linotype"/>
        </w:rPr>
      </w:pPr>
      <w:r w:rsidRPr="003F15B3">
        <w:rPr>
          <w:rFonts w:eastAsia="Palatino Linotype" w:cs="Palatino Linotype"/>
        </w:rPr>
        <w:lastRenderedPageBreak/>
        <w:t>Es decir, que todo sujeto obligado que genere, recopile, administre, procese, archive, posea o conserven, son responsables de la misma</w:t>
      </w:r>
      <w:r w:rsidR="00970EB3" w:rsidRPr="003F15B3">
        <w:rPr>
          <w:rFonts w:eastAsia="Palatino Linotype" w:cs="Palatino Linotype"/>
        </w:rPr>
        <w:t>,</w:t>
      </w:r>
      <w:r w:rsidRPr="003F15B3">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F15B3">
        <w:rPr>
          <w:rFonts w:eastAsia="Palatino Linotype" w:cs="Palatino Linotype"/>
        </w:rPr>
        <w:t>o</w:t>
      </w:r>
      <w:r w:rsidRPr="003F15B3">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F15B3" w:rsidRDefault="001A58B3" w:rsidP="003F15B3">
      <w:pPr>
        <w:rPr>
          <w:rFonts w:eastAsia="Palatino Linotype" w:cs="Palatino Linotype"/>
        </w:rPr>
      </w:pPr>
    </w:p>
    <w:p w14:paraId="04E42DFE" w14:textId="573F1198" w:rsidR="001A58B3" w:rsidRPr="003F15B3" w:rsidRDefault="001A58B3" w:rsidP="003F15B3">
      <w:pPr>
        <w:rPr>
          <w:rFonts w:eastAsia="Palatino Linotype" w:cs="Palatino Linotype"/>
        </w:rPr>
      </w:pPr>
      <w:r w:rsidRPr="003F15B3">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3F15B3">
        <w:rPr>
          <w:rFonts w:eastAsia="Palatino Linotype" w:cs="Palatino Linotype"/>
        </w:rPr>
        <w:t>, s</w:t>
      </w:r>
      <w:r w:rsidRPr="003F15B3">
        <w:rPr>
          <w:rFonts w:eastAsia="Palatino Linotype" w:cs="Palatino Linotype"/>
        </w:rPr>
        <w:t xml:space="preserve">iempre y cuando no se trate de información reservada o </w:t>
      </w:r>
      <w:r w:rsidR="00331F35" w:rsidRPr="003F15B3">
        <w:rPr>
          <w:rFonts w:eastAsia="Palatino Linotype" w:cs="Palatino Linotype"/>
        </w:rPr>
        <w:t>confidencial.</w:t>
      </w:r>
    </w:p>
    <w:p w14:paraId="40C5219F" w14:textId="77777777" w:rsidR="001A58B3" w:rsidRPr="003F15B3" w:rsidRDefault="001A58B3" w:rsidP="003F15B3">
      <w:pPr>
        <w:rPr>
          <w:rFonts w:eastAsia="Palatino Linotype" w:cs="Palatino Linotype"/>
        </w:rPr>
      </w:pPr>
    </w:p>
    <w:p w14:paraId="2E629608" w14:textId="01727E15" w:rsidR="00C049E2" w:rsidRPr="003F15B3" w:rsidRDefault="006067C7" w:rsidP="003F15B3">
      <w:pPr>
        <w:rPr>
          <w:rFonts w:eastAsia="Palatino Linotype"/>
        </w:rPr>
      </w:pPr>
      <w:bookmarkStart w:id="39" w:name="_heading=h.2s8eyo1" w:colFirst="0" w:colLast="0"/>
      <w:bookmarkEnd w:id="39"/>
      <w:r w:rsidRPr="003F15B3">
        <w:rPr>
          <w:rFonts w:eastAsia="Palatino Linotype"/>
        </w:rPr>
        <w:t>Con base en lo anterior</w:t>
      </w:r>
      <w:r w:rsidR="00B22A80" w:rsidRPr="003F15B3">
        <w:rPr>
          <w:rFonts w:eastAsia="Palatino Linotype"/>
        </w:rPr>
        <w:t>, se considera que</w:t>
      </w:r>
      <w:r w:rsidR="00C049E2" w:rsidRPr="003F15B3">
        <w:rPr>
          <w:rFonts w:eastAsia="Palatino Linotype"/>
        </w:rPr>
        <w:t xml:space="preserve"> </w:t>
      </w:r>
      <w:r w:rsidR="00B22A80" w:rsidRPr="003F15B3">
        <w:rPr>
          <w:rFonts w:eastAsia="Palatino Linotype"/>
          <w:b/>
          <w:bCs/>
        </w:rPr>
        <w:t>EL</w:t>
      </w:r>
      <w:r w:rsidR="00C049E2" w:rsidRPr="003F15B3">
        <w:rPr>
          <w:rFonts w:eastAsia="Palatino Linotype"/>
        </w:rPr>
        <w:t xml:space="preserve"> </w:t>
      </w:r>
      <w:r w:rsidR="00C049E2" w:rsidRPr="003F15B3">
        <w:rPr>
          <w:rFonts w:eastAsia="Palatino Linotype"/>
          <w:b/>
        </w:rPr>
        <w:t>SUJETO OBLIGADO</w:t>
      </w:r>
      <w:r w:rsidR="00C049E2" w:rsidRPr="003F15B3">
        <w:rPr>
          <w:rFonts w:eastAsia="Palatino Linotype"/>
        </w:rPr>
        <w:t xml:space="preserve"> </w:t>
      </w:r>
      <w:r w:rsidR="00B22A80" w:rsidRPr="003F15B3">
        <w:rPr>
          <w:rFonts w:eastAsia="Palatino Linotype"/>
        </w:rPr>
        <w:t xml:space="preserve">se </w:t>
      </w:r>
      <w:r w:rsidR="00717E59" w:rsidRPr="003F15B3">
        <w:rPr>
          <w:rFonts w:eastAsia="Palatino Linotype"/>
        </w:rPr>
        <w:t>encontraba</w:t>
      </w:r>
      <w:r w:rsidR="00B22A80" w:rsidRPr="003F15B3">
        <w:rPr>
          <w:rFonts w:eastAsia="Palatino Linotype"/>
        </w:rPr>
        <w:t xml:space="preserve"> compelido a</w:t>
      </w:r>
      <w:r w:rsidR="00C049E2" w:rsidRPr="003F15B3">
        <w:rPr>
          <w:rFonts w:eastAsia="Palatino Linotype"/>
        </w:rPr>
        <w:t xml:space="preserve"> atender la solicitud de acceso a la información </w:t>
      </w:r>
      <w:r w:rsidR="00B22A80" w:rsidRPr="003F15B3">
        <w:rPr>
          <w:rFonts w:eastAsia="Palatino Linotype"/>
        </w:rPr>
        <w:t xml:space="preserve">realizada por </w:t>
      </w:r>
      <w:r w:rsidR="00B22A80" w:rsidRPr="003F15B3">
        <w:rPr>
          <w:rFonts w:eastAsia="Palatino Linotype"/>
          <w:b/>
          <w:bCs/>
        </w:rPr>
        <w:t>LA PARTE RECURRENTE</w:t>
      </w:r>
      <w:r w:rsidR="00331F35" w:rsidRPr="003F15B3">
        <w:rPr>
          <w:rFonts w:eastAsia="Palatino Linotype"/>
        </w:rPr>
        <w:t>.</w:t>
      </w:r>
    </w:p>
    <w:p w14:paraId="1611F147" w14:textId="77777777" w:rsidR="00BD5A7C" w:rsidRPr="003F15B3" w:rsidRDefault="00BD5A7C" w:rsidP="003F15B3">
      <w:pPr>
        <w:rPr>
          <w:rFonts w:eastAsia="Palatino Linotype"/>
        </w:rPr>
      </w:pPr>
    </w:p>
    <w:p w14:paraId="1461D2C3" w14:textId="77777777" w:rsidR="00EA5EE8" w:rsidRPr="003F15B3" w:rsidRDefault="00EA5EE8" w:rsidP="003F15B3">
      <w:pPr>
        <w:pStyle w:val="Ttulo3"/>
        <w:rPr>
          <w:rFonts w:eastAsia="Calibri"/>
          <w:lang w:eastAsia="es-ES_tradnl"/>
        </w:rPr>
      </w:pPr>
      <w:bookmarkStart w:id="40" w:name="_Toc193371695"/>
      <w:bookmarkStart w:id="41" w:name="_Toc206614406"/>
      <w:r w:rsidRPr="003F15B3">
        <w:rPr>
          <w:rFonts w:eastAsia="Calibri"/>
          <w:lang w:eastAsia="es-ES_tradnl"/>
        </w:rPr>
        <w:t>b) Controversia a resolver</w:t>
      </w:r>
      <w:bookmarkEnd w:id="40"/>
      <w:bookmarkEnd w:id="41"/>
    </w:p>
    <w:p w14:paraId="1DB9BAC8" w14:textId="7D24D6D4" w:rsidR="0041389E" w:rsidRPr="003F15B3" w:rsidRDefault="00EA5EE8" w:rsidP="003F15B3">
      <w:pPr>
        <w:rPr>
          <w:rFonts w:eastAsia="Calibri"/>
          <w:lang w:eastAsia="es-ES_tradnl"/>
        </w:rPr>
      </w:pPr>
      <w:r w:rsidRPr="003F15B3">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3F15B3">
        <w:rPr>
          <w:rFonts w:eastAsia="Calibri"/>
          <w:b/>
          <w:bCs/>
          <w:lang w:eastAsia="es-ES_tradnl"/>
        </w:rPr>
        <w:t>LA PARTE RECURRENTE</w:t>
      </w:r>
      <w:r w:rsidRPr="003F15B3">
        <w:rPr>
          <w:rFonts w:eastAsia="Calibri"/>
          <w:lang w:eastAsia="es-ES_tradnl"/>
        </w:rPr>
        <w:t xml:space="preserve"> solicitó </w:t>
      </w:r>
      <w:r w:rsidR="0041389E" w:rsidRPr="003F15B3">
        <w:rPr>
          <w:rFonts w:eastAsia="Calibri"/>
          <w:lang w:eastAsia="es-ES_tradnl"/>
        </w:rPr>
        <w:t xml:space="preserve">los expedientes de todas las </w:t>
      </w:r>
      <w:r w:rsidR="00311E83" w:rsidRPr="003F15B3">
        <w:rPr>
          <w:rFonts w:eastAsia="Calibri"/>
          <w:lang w:eastAsia="es-ES_tradnl"/>
        </w:rPr>
        <w:t>adjudicaciones directas</w:t>
      </w:r>
      <w:r w:rsidR="0041389E" w:rsidRPr="003F15B3">
        <w:rPr>
          <w:rFonts w:eastAsia="Calibri"/>
          <w:lang w:eastAsia="es-ES_tradnl"/>
        </w:rPr>
        <w:t xml:space="preserve"> del año 2023, incluyendo los contratos. </w:t>
      </w:r>
    </w:p>
    <w:p w14:paraId="0EB49CAF" w14:textId="77777777" w:rsidR="0041389E" w:rsidRPr="003F15B3" w:rsidRDefault="0041389E" w:rsidP="003F15B3">
      <w:pPr>
        <w:rPr>
          <w:rFonts w:eastAsia="Calibri"/>
          <w:lang w:eastAsia="es-ES_tradnl"/>
        </w:rPr>
      </w:pPr>
    </w:p>
    <w:p w14:paraId="329A9E9E" w14:textId="509EA80D" w:rsidR="0041389E" w:rsidRPr="003F15B3" w:rsidRDefault="00EA5EE8" w:rsidP="003F15B3">
      <w:pPr>
        <w:autoSpaceDE w:val="0"/>
        <w:autoSpaceDN w:val="0"/>
        <w:adjustRightInd w:val="0"/>
        <w:ind w:right="-28"/>
        <w:rPr>
          <w:rFonts w:cs="Tahoma"/>
          <w:szCs w:val="22"/>
        </w:rPr>
      </w:pPr>
      <w:r w:rsidRPr="003F15B3">
        <w:rPr>
          <w:rFonts w:eastAsiaTheme="minorHAnsi" w:cs="Tahoma"/>
          <w:bCs/>
          <w:iCs/>
          <w:szCs w:val="22"/>
          <w:lang w:eastAsia="en-US"/>
        </w:rPr>
        <w:lastRenderedPageBreak/>
        <w:t xml:space="preserve">En respuesta, </w:t>
      </w:r>
      <w:r w:rsidRPr="003F15B3">
        <w:rPr>
          <w:rFonts w:eastAsiaTheme="minorHAnsi" w:cs="Tahoma"/>
          <w:b/>
          <w:iCs/>
          <w:szCs w:val="22"/>
          <w:lang w:eastAsia="en-US"/>
        </w:rPr>
        <w:t xml:space="preserve">EL SUJETO OBLIGADO </w:t>
      </w:r>
      <w:r w:rsidR="00D15341" w:rsidRPr="003F15B3">
        <w:rPr>
          <w:rFonts w:eastAsiaTheme="minorHAnsi" w:cs="Tahoma"/>
          <w:bCs/>
          <w:iCs/>
          <w:szCs w:val="22"/>
          <w:lang w:eastAsia="en-US"/>
        </w:rPr>
        <w:t xml:space="preserve">adjuntó </w:t>
      </w:r>
      <w:r w:rsidR="0041389E" w:rsidRPr="003F15B3">
        <w:rPr>
          <w:rFonts w:cs="Tahoma"/>
          <w:szCs w:val="22"/>
        </w:rPr>
        <w:t xml:space="preserve">expedientes </w:t>
      </w:r>
      <w:r w:rsidR="0041389E" w:rsidRPr="003F15B3">
        <w:rPr>
          <w:rFonts w:cs="Tahoma"/>
          <w:iCs/>
          <w:szCs w:val="22"/>
          <w:lang w:val="es-ES"/>
        </w:rPr>
        <w:t>integrados derivados de las adjudicaciones directas llevadas a cabo por el Instituto</w:t>
      </w:r>
      <w:r w:rsidR="00311E83" w:rsidRPr="003F15B3">
        <w:rPr>
          <w:rFonts w:cs="Tahoma"/>
          <w:iCs/>
          <w:szCs w:val="22"/>
          <w:lang w:val="es-ES"/>
        </w:rPr>
        <w:t xml:space="preserve"> Municipal de la Mujer</w:t>
      </w:r>
      <w:r w:rsidR="0041389E" w:rsidRPr="003F15B3">
        <w:rPr>
          <w:rFonts w:cs="Tahoma"/>
          <w:iCs/>
          <w:szCs w:val="22"/>
          <w:lang w:val="es-ES"/>
        </w:rPr>
        <w:t xml:space="preserve">; así como, link electrónico en formato cerrado. </w:t>
      </w:r>
    </w:p>
    <w:p w14:paraId="2762AF7B" w14:textId="77777777" w:rsidR="0041389E" w:rsidRPr="003F15B3" w:rsidRDefault="0041389E" w:rsidP="003F15B3">
      <w:pPr>
        <w:autoSpaceDE w:val="0"/>
        <w:autoSpaceDN w:val="0"/>
        <w:adjustRightInd w:val="0"/>
        <w:ind w:right="-28"/>
        <w:rPr>
          <w:rFonts w:cs="Tahoma"/>
          <w:szCs w:val="22"/>
        </w:rPr>
      </w:pPr>
    </w:p>
    <w:p w14:paraId="13AD2590" w14:textId="654188DE" w:rsidR="0041389E" w:rsidRPr="003F15B3" w:rsidRDefault="00EA5EE8" w:rsidP="003F15B3">
      <w:pPr>
        <w:autoSpaceDE w:val="0"/>
        <w:autoSpaceDN w:val="0"/>
        <w:adjustRightInd w:val="0"/>
        <w:ind w:right="-28"/>
        <w:rPr>
          <w:rFonts w:eastAsiaTheme="minorHAnsi" w:cs="Tahoma"/>
          <w:bCs/>
          <w:iCs/>
          <w:szCs w:val="22"/>
          <w:lang w:eastAsia="en-US"/>
        </w:rPr>
      </w:pPr>
      <w:r w:rsidRPr="003F15B3">
        <w:rPr>
          <w:rFonts w:eastAsiaTheme="minorHAnsi" w:cs="Tahoma"/>
          <w:bCs/>
          <w:iCs/>
          <w:szCs w:val="22"/>
          <w:lang w:eastAsia="en-US"/>
        </w:rPr>
        <w:t xml:space="preserve">Ahora bien, en la interposición del presente recurso </w:t>
      </w:r>
      <w:r w:rsidRPr="003F15B3">
        <w:rPr>
          <w:rFonts w:eastAsiaTheme="minorHAnsi" w:cs="Tahoma"/>
          <w:b/>
          <w:iCs/>
          <w:szCs w:val="22"/>
          <w:lang w:eastAsia="en-US"/>
        </w:rPr>
        <w:t>LA PARTE RECURRENTE</w:t>
      </w:r>
      <w:r w:rsidRPr="003F15B3">
        <w:rPr>
          <w:rFonts w:eastAsiaTheme="minorHAnsi" w:cs="Tahoma"/>
          <w:bCs/>
          <w:iCs/>
          <w:szCs w:val="22"/>
          <w:lang w:eastAsia="en-US"/>
        </w:rPr>
        <w:t xml:space="preserve"> se inconformó medularmente por</w:t>
      </w:r>
      <w:r w:rsidR="0041389E" w:rsidRPr="003F15B3">
        <w:rPr>
          <w:rFonts w:eastAsiaTheme="minorHAnsi" w:cs="Tahoma"/>
          <w:bCs/>
          <w:iCs/>
          <w:szCs w:val="22"/>
          <w:lang w:eastAsia="en-US"/>
        </w:rPr>
        <w:t xml:space="preserve"> considerar que la respuesta era incompleta y que no entregan lo solicitado vía </w:t>
      </w:r>
      <w:r w:rsidR="0041389E" w:rsidRPr="003F15B3">
        <w:rPr>
          <w:rFonts w:eastAsiaTheme="minorHAnsi" w:cs="Tahoma"/>
          <w:b/>
          <w:bCs/>
          <w:iCs/>
          <w:szCs w:val="22"/>
          <w:lang w:eastAsia="en-US"/>
        </w:rPr>
        <w:t>SAIMEX</w:t>
      </w:r>
      <w:r w:rsidR="0041389E" w:rsidRPr="003F15B3">
        <w:rPr>
          <w:rFonts w:eastAsiaTheme="minorHAnsi" w:cs="Tahoma"/>
          <w:bCs/>
          <w:iCs/>
          <w:szCs w:val="22"/>
          <w:lang w:eastAsia="en-US"/>
        </w:rPr>
        <w:t xml:space="preserve">. </w:t>
      </w:r>
    </w:p>
    <w:p w14:paraId="4BDD3902" w14:textId="77777777" w:rsidR="00F305A9" w:rsidRPr="003F15B3" w:rsidRDefault="00F305A9" w:rsidP="003F15B3">
      <w:pPr>
        <w:autoSpaceDE w:val="0"/>
        <w:autoSpaceDN w:val="0"/>
        <w:adjustRightInd w:val="0"/>
        <w:ind w:right="-28"/>
        <w:rPr>
          <w:rFonts w:eastAsiaTheme="minorHAnsi" w:cs="Tahoma"/>
          <w:bCs/>
          <w:iCs/>
          <w:szCs w:val="22"/>
          <w:lang w:eastAsia="en-US"/>
        </w:rPr>
      </w:pPr>
    </w:p>
    <w:p w14:paraId="6FD08A12" w14:textId="24A83D73" w:rsidR="00C45534" w:rsidRPr="003F15B3" w:rsidRDefault="00C45534" w:rsidP="003F15B3">
      <w:pPr>
        <w:pStyle w:val="Prrafodelista"/>
        <w:widowControl w:val="0"/>
        <w:autoSpaceDE w:val="0"/>
        <w:autoSpaceDN w:val="0"/>
        <w:adjustRightInd w:val="0"/>
        <w:ind w:left="0"/>
      </w:pPr>
      <w:bookmarkStart w:id="42" w:name="_Toc193371696"/>
      <w:r w:rsidRPr="003F15B3">
        <w:rPr>
          <w:rFonts w:eastAsiaTheme="minorHAnsi" w:cs="Tahoma"/>
          <w:bCs/>
          <w:iCs/>
          <w:szCs w:val="22"/>
          <w:lang w:eastAsia="en-US"/>
        </w:rPr>
        <w:t>Asimismo</w:t>
      </w:r>
      <w:r w:rsidRPr="003F15B3">
        <w:t xml:space="preserve">, es importante señalar que </w:t>
      </w:r>
      <w:r w:rsidRPr="003F15B3">
        <w:rPr>
          <w:b/>
          <w:iCs/>
        </w:rPr>
        <w:t>LA PARTE RECURRENTE</w:t>
      </w:r>
      <w:r w:rsidRPr="003F15B3">
        <w:rPr>
          <w:bCs/>
          <w:iCs/>
        </w:rPr>
        <w:t xml:space="preserve"> </w:t>
      </w:r>
      <w:r w:rsidRPr="003F15B3">
        <w:t xml:space="preserve">no realizó manifestaciones, alegatos o pruebas y por su parte </w:t>
      </w:r>
      <w:r w:rsidRPr="003F15B3">
        <w:rPr>
          <w:b/>
        </w:rPr>
        <w:t>EL SUJETO OBLIGADO</w:t>
      </w:r>
      <w:r w:rsidRPr="003F15B3">
        <w:rPr>
          <w:rFonts w:cs="Arial"/>
        </w:rPr>
        <w:t xml:space="preserve"> </w:t>
      </w:r>
      <w:r w:rsidR="0041389E" w:rsidRPr="003F15B3">
        <w:rPr>
          <w:rFonts w:cs="Arial"/>
        </w:rPr>
        <w:t xml:space="preserve">mediante </w:t>
      </w:r>
      <w:r w:rsidRPr="003F15B3">
        <w:t>Informe Justificado</w:t>
      </w:r>
      <w:r w:rsidR="0041389E" w:rsidRPr="003F15B3">
        <w:t xml:space="preserve"> medularmente confirma la respuesta otorgada.</w:t>
      </w:r>
      <w:r w:rsidRPr="003F15B3">
        <w:t xml:space="preserve"> </w:t>
      </w:r>
    </w:p>
    <w:p w14:paraId="7285DD5B" w14:textId="77777777" w:rsidR="00EA5EE8" w:rsidRPr="003F15B3" w:rsidRDefault="00EA5EE8" w:rsidP="003F15B3">
      <w:pPr>
        <w:pStyle w:val="Prrafodelista"/>
        <w:widowControl w:val="0"/>
        <w:autoSpaceDE w:val="0"/>
        <w:autoSpaceDN w:val="0"/>
        <w:adjustRightInd w:val="0"/>
        <w:ind w:left="0"/>
      </w:pPr>
    </w:p>
    <w:p w14:paraId="780A2655" w14:textId="0C2D529B" w:rsidR="0041389E" w:rsidRPr="003F15B3" w:rsidRDefault="0041389E" w:rsidP="003F15B3">
      <w:pPr>
        <w:pStyle w:val="Prrafodelista"/>
        <w:widowControl w:val="0"/>
        <w:autoSpaceDE w:val="0"/>
        <w:autoSpaceDN w:val="0"/>
        <w:adjustRightInd w:val="0"/>
        <w:ind w:left="0"/>
      </w:pPr>
      <w:r w:rsidRPr="003F15B3">
        <w:rPr>
          <w:bCs/>
          <w:iCs/>
        </w:rPr>
        <w:t xml:space="preserve">Derivado de lo anterior, el estudio se centrará en determinar si la respuesta otorgada colma el derecho de acceso a la información ejercido por </w:t>
      </w:r>
      <w:r w:rsidRPr="003F15B3">
        <w:rPr>
          <w:b/>
          <w:bCs/>
          <w:iCs/>
        </w:rPr>
        <w:t>LA PARTE RECURRENTE</w:t>
      </w:r>
      <w:r w:rsidRPr="003F15B3">
        <w:rPr>
          <w:bCs/>
          <w:iCs/>
        </w:rPr>
        <w:t>.</w:t>
      </w:r>
    </w:p>
    <w:p w14:paraId="75FD781B" w14:textId="77777777" w:rsidR="00EA5EE8" w:rsidRPr="003F15B3" w:rsidRDefault="00EA5EE8" w:rsidP="003F15B3">
      <w:pPr>
        <w:tabs>
          <w:tab w:val="left" w:pos="4962"/>
        </w:tabs>
        <w:contextualSpacing/>
        <w:rPr>
          <w:rFonts w:eastAsiaTheme="minorHAnsi" w:cs="Tahoma"/>
          <w:bCs/>
          <w:iCs/>
          <w:szCs w:val="22"/>
          <w:lang w:eastAsia="en-US"/>
        </w:rPr>
      </w:pPr>
    </w:p>
    <w:p w14:paraId="39CFD374" w14:textId="77777777" w:rsidR="00EA5EE8" w:rsidRPr="003F15B3" w:rsidRDefault="00EA5EE8" w:rsidP="003F15B3">
      <w:pPr>
        <w:pStyle w:val="Ttulo3"/>
      </w:pPr>
      <w:bookmarkStart w:id="43" w:name="_Toc206614407"/>
      <w:r w:rsidRPr="003F15B3">
        <w:t>c) Estudio de la controversia</w:t>
      </w:r>
      <w:bookmarkEnd w:id="42"/>
      <w:bookmarkEnd w:id="43"/>
    </w:p>
    <w:p w14:paraId="0714C2CA" w14:textId="08544B79" w:rsidR="00510A32" w:rsidRPr="003F15B3" w:rsidRDefault="00043F51" w:rsidP="003F15B3">
      <w:pPr>
        <w:pStyle w:val="Prrafodelista"/>
        <w:widowControl w:val="0"/>
        <w:autoSpaceDE w:val="0"/>
        <w:autoSpaceDN w:val="0"/>
        <w:adjustRightInd w:val="0"/>
        <w:ind w:left="0"/>
        <w:rPr>
          <w:rFonts w:cs="Arial"/>
        </w:rPr>
      </w:pPr>
      <w:r w:rsidRPr="003F15B3">
        <w:rPr>
          <w:rFonts w:eastAsia="Palatino Linotype" w:cs="Palatino Linotype"/>
          <w:szCs w:val="22"/>
        </w:rPr>
        <w:t xml:space="preserve">Primero, </w:t>
      </w:r>
      <w:r w:rsidR="00510A32" w:rsidRPr="003F15B3">
        <w:rPr>
          <w:rFonts w:eastAsia="Palatino Linotype" w:cs="Palatino Linotype"/>
          <w:szCs w:val="22"/>
        </w:rPr>
        <w:t xml:space="preserve">se considera necesario </w:t>
      </w:r>
      <w:r w:rsidR="00510A32" w:rsidRPr="003F15B3">
        <w:rPr>
          <w:rFonts w:cs="Arial"/>
        </w:rPr>
        <w:t>traer a contexto el Libro Décimo Segundo del Código Administrativo del Estado de México:</w:t>
      </w:r>
    </w:p>
    <w:p w14:paraId="42816E10" w14:textId="77777777" w:rsidR="00510A32" w:rsidRPr="003F15B3" w:rsidRDefault="00510A32" w:rsidP="003F15B3">
      <w:pPr>
        <w:widowControl w:val="0"/>
        <w:autoSpaceDE w:val="0"/>
        <w:autoSpaceDN w:val="0"/>
        <w:adjustRightInd w:val="0"/>
        <w:spacing w:line="240" w:lineRule="auto"/>
        <w:rPr>
          <w:sz w:val="24"/>
          <w:szCs w:val="24"/>
          <w:lang w:val="es-ES"/>
        </w:rPr>
      </w:pPr>
    </w:p>
    <w:p w14:paraId="7A683BDE" w14:textId="77777777" w:rsidR="00510A32" w:rsidRPr="003F15B3" w:rsidRDefault="00510A32" w:rsidP="003F15B3">
      <w:pPr>
        <w:pStyle w:val="Puesto"/>
      </w:pPr>
      <w:r w:rsidRPr="003F15B3">
        <w:t>“</w:t>
      </w:r>
      <w:r w:rsidRPr="003F15B3">
        <w:rPr>
          <w:b/>
          <w:bCs/>
        </w:rPr>
        <w:t xml:space="preserve">Artículo 12.1.- Este Libro tiene por objeto regular los actos relativos a la planeación, programación, </w:t>
      </w:r>
      <w:proofErr w:type="spellStart"/>
      <w:r w:rsidRPr="003F15B3">
        <w:rPr>
          <w:b/>
          <w:bCs/>
        </w:rPr>
        <w:t>presupuestación</w:t>
      </w:r>
      <w:proofErr w:type="spellEnd"/>
      <w:r w:rsidRPr="003F15B3">
        <w:rPr>
          <w:b/>
          <w:bCs/>
        </w:rPr>
        <w:t>, adjudicación, contratación, ejecución y control de la obra pública, así como los servicios relacionados con la misma que, por sí o por conducto de terceros, realicen:</w:t>
      </w:r>
    </w:p>
    <w:p w14:paraId="0BCDAE9C" w14:textId="77777777" w:rsidR="00510A32" w:rsidRPr="003F15B3" w:rsidRDefault="00510A32" w:rsidP="003F15B3">
      <w:pPr>
        <w:pStyle w:val="Puesto"/>
      </w:pPr>
      <w:r w:rsidRPr="003F15B3">
        <w:t>[…]</w:t>
      </w:r>
    </w:p>
    <w:p w14:paraId="6CB04CFE" w14:textId="77777777" w:rsidR="00510A32" w:rsidRPr="003F15B3" w:rsidRDefault="00510A32" w:rsidP="003F15B3">
      <w:pPr>
        <w:pStyle w:val="Puesto"/>
        <w:rPr>
          <w:b/>
        </w:rPr>
      </w:pPr>
      <w:r w:rsidRPr="003F15B3">
        <w:rPr>
          <w:b/>
        </w:rPr>
        <w:t>III. Los ayuntamientos de los municipios del Estado</w:t>
      </w:r>
      <w:r w:rsidRPr="003F15B3">
        <w:t>;</w:t>
      </w:r>
    </w:p>
    <w:p w14:paraId="4286A090" w14:textId="77777777" w:rsidR="00510A32" w:rsidRPr="003F15B3" w:rsidRDefault="00510A32" w:rsidP="003F15B3">
      <w:pPr>
        <w:pStyle w:val="Puesto"/>
        <w:rPr>
          <w:b/>
        </w:rPr>
      </w:pPr>
      <w:r w:rsidRPr="003F15B3">
        <w:rPr>
          <w:b/>
        </w:rPr>
        <w:t>Artículo 12.8.-</w:t>
      </w:r>
      <w:r w:rsidRPr="003F15B3">
        <w:t xml:space="preserve"> </w:t>
      </w:r>
      <w:r w:rsidRPr="003F15B3">
        <w:rPr>
          <w:b/>
        </w:rPr>
        <w:t>Corresponde</w:t>
      </w:r>
      <w:r w:rsidRPr="003F15B3">
        <w:t xml:space="preserve"> a la Secretaría del Ramo y </w:t>
      </w:r>
      <w:r w:rsidRPr="003F15B3">
        <w:rPr>
          <w:b/>
        </w:rPr>
        <w:t>a los ayuntamientos</w:t>
      </w:r>
      <w:r w:rsidRPr="003F15B3">
        <w:t xml:space="preserve">, en el ámbito de sus respectivas competencias, ejecutar la obra pública, </w:t>
      </w:r>
      <w:r w:rsidRPr="003F15B3">
        <w:rPr>
          <w:b/>
        </w:rPr>
        <w:t>mediante contrato con terceros o por administración directa</w:t>
      </w:r>
      <w:r w:rsidRPr="003F15B3">
        <w:t>.</w:t>
      </w:r>
    </w:p>
    <w:p w14:paraId="41CA8A8E" w14:textId="77777777" w:rsidR="00510A32" w:rsidRPr="003F15B3" w:rsidRDefault="00510A32" w:rsidP="003F15B3">
      <w:pPr>
        <w:pStyle w:val="Puesto"/>
      </w:pPr>
      <w:r w:rsidRPr="003F15B3">
        <w:lastRenderedPageBreak/>
        <w:t>La Secretaría del Ramo podrá autorizar a las dependencias y entidades estatales, a ejecutar obras, por contrato o por administración directa, cuando a su juicio éstas cuenten con elementos propios y organización necesarios. El acuerdo de autorización deberá publicarse en la Gaceta del Gobierno.</w:t>
      </w:r>
    </w:p>
    <w:p w14:paraId="1232460D" w14:textId="77777777" w:rsidR="00510A32" w:rsidRPr="003F15B3" w:rsidRDefault="00510A32" w:rsidP="003F15B3">
      <w:pPr>
        <w:pStyle w:val="Puesto"/>
        <w:rPr>
          <w:b/>
        </w:rPr>
      </w:pPr>
      <w:r w:rsidRPr="003F15B3">
        <w:rPr>
          <w:b/>
        </w:rPr>
        <w:t>Lo dispuesto en el párrafo anterior será aplicable a los ayuntamientos, tratándose de la realización de obras con cargo a fondos estatales total o parcialmente.</w:t>
      </w:r>
    </w:p>
    <w:p w14:paraId="2DB619BF" w14:textId="77777777" w:rsidR="00510A32" w:rsidRPr="003F15B3" w:rsidRDefault="00510A32" w:rsidP="003F15B3">
      <w:pPr>
        <w:pStyle w:val="Puesto"/>
      </w:pPr>
      <w:r w:rsidRPr="003F15B3">
        <w:t>Para la mejor planeación de la obra pública en el Estado, las dependencias, entidades y ayuntamientos que ejecuten obra, deberán dar aviso a la Secretaría del Ramo, de sus proyectos y programación de ejecución, independientemente del origen de los recursos.</w:t>
      </w:r>
    </w:p>
    <w:p w14:paraId="181BABD4" w14:textId="77777777" w:rsidR="00510A32" w:rsidRPr="003F15B3" w:rsidRDefault="00510A32" w:rsidP="003F15B3">
      <w:pPr>
        <w:pStyle w:val="Puesto"/>
        <w:rPr>
          <w:b/>
          <w:bCs/>
        </w:rPr>
      </w:pPr>
      <w:r w:rsidRPr="003F15B3">
        <w:rPr>
          <w:b/>
        </w:rPr>
        <w:t>Artículo 12.21.-</w:t>
      </w:r>
      <w:r w:rsidRPr="003F15B3">
        <w:t xml:space="preserve"> Las dependencias, entidades y </w:t>
      </w:r>
      <w:r w:rsidRPr="003F15B3">
        <w:rPr>
          <w:b/>
        </w:rPr>
        <w:t xml:space="preserve">ayuntamientos podrán adjudicar contratos para la ejecución de obra pública o servicios relacionados con la misma </w:t>
      </w:r>
      <w:r w:rsidRPr="003F15B3">
        <w:rPr>
          <w:b/>
          <w:bCs/>
        </w:rPr>
        <w:t>mediante las excepciones al procedimiento de licitación siguientes:</w:t>
      </w:r>
    </w:p>
    <w:p w14:paraId="789BA799" w14:textId="77777777" w:rsidR="00510A32" w:rsidRPr="003F15B3" w:rsidRDefault="00510A32" w:rsidP="003F15B3">
      <w:pPr>
        <w:pStyle w:val="Puesto"/>
      </w:pPr>
      <w:r w:rsidRPr="003F15B3">
        <w:t>I. Invitación restringida;</w:t>
      </w:r>
    </w:p>
    <w:p w14:paraId="067992A5" w14:textId="77777777" w:rsidR="00510A32" w:rsidRPr="003F15B3" w:rsidRDefault="00510A32" w:rsidP="003F15B3">
      <w:pPr>
        <w:pStyle w:val="Puesto"/>
        <w:rPr>
          <w:b/>
          <w:bCs/>
        </w:rPr>
      </w:pPr>
      <w:r w:rsidRPr="003F15B3">
        <w:rPr>
          <w:b/>
          <w:bCs/>
        </w:rPr>
        <w:t>II. Adjudicación directa.</w:t>
      </w:r>
    </w:p>
    <w:p w14:paraId="00FB7360" w14:textId="77777777" w:rsidR="00510A32" w:rsidRPr="003F15B3" w:rsidRDefault="00510A32" w:rsidP="003F15B3">
      <w:pPr>
        <w:spacing w:line="240" w:lineRule="auto"/>
        <w:ind w:left="851" w:right="901"/>
        <w:rPr>
          <w:b/>
          <w:i/>
          <w:szCs w:val="22"/>
        </w:rPr>
      </w:pPr>
    </w:p>
    <w:p w14:paraId="4985DC87" w14:textId="77777777" w:rsidR="00510A32" w:rsidRPr="003F15B3" w:rsidRDefault="00510A32" w:rsidP="003F15B3">
      <w:pPr>
        <w:pStyle w:val="Puesto"/>
        <w:rPr>
          <w:b/>
          <w:bCs/>
        </w:rPr>
      </w:pPr>
      <w:r w:rsidRPr="003F15B3">
        <w:rPr>
          <w:b/>
          <w:bCs/>
        </w:rPr>
        <w:t xml:space="preserve">Artículo 12.37.- </w:t>
      </w:r>
      <w:r w:rsidRPr="003F15B3">
        <w:t>Las dependencias, entidades y</w:t>
      </w:r>
      <w:r w:rsidRPr="003F15B3">
        <w:rPr>
          <w:b/>
          <w:bCs/>
        </w:rPr>
        <w:t xml:space="preserve"> ayuntamientos podrán adjudicar obra pública o servicios relacionados con la misma, mediante el procedimiento de adjudicación directa, cuando: </w:t>
      </w:r>
    </w:p>
    <w:p w14:paraId="2F69F8CB" w14:textId="77777777" w:rsidR="00510A32" w:rsidRPr="003F15B3" w:rsidRDefault="00510A32" w:rsidP="003F15B3">
      <w:pPr>
        <w:pStyle w:val="Puesto"/>
      </w:pPr>
      <w:r w:rsidRPr="003F15B3">
        <w:t xml:space="preserve">I. Se trate de restauración de monumentos arqueológicos, artísticos e históricos; </w:t>
      </w:r>
    </w:p>
    <w:p w14:paraId="0F7A4935" w14:textId="77777777" w:rsidR="00510A32" w:rsidRPr="003F15B3" w:rsidRDefault="00510A32" w:rsidP="003F15B3">
      <w:pPr>
        <w:pStyle w:val="Puesto"/>
      </w:pPr>
      <w:r w:rsidRPr="003F15B3">
        <w:t xml:space="preserve">II. Para la ejecución de la obra o servicios se requiera contratar al titular de una patente, derechos de autor u otros derechos exclusivos; </w:t>
      </w:r>
    </w:p>
    <w:p w14:paraId="61573857" w14:textId="77777777" w:rsidR="00510A32" w:rsidRPr="003F15B3" w:rsidRDefault="00510A32" w:rsidP="003F15B3">
      <w:pPr>
        <w:pStyle w:val="Puesto"/>
      </w:pPr>
      <w:r w:rsidRPr="003F15B3">
        <w:t xml:space="preserve">III. Se requiera de experiencia, materiales, equipos o técnicas especiales; </w:t>
      </w:r>
    </w:p>
    <w:p w14:paraId="6A194362" w14:textId="77777777" w:rsidR="00510A32" w:rsidRPr="003F15B3" w:rsidRDefault="00510A32" w:rsidP="003F15B3">
      <w:pPr>
        <w:pStyle w:val="Puesto"/>
      </w:pPr>
      <w:r w:rsidRPr="003F15B3">
        <w:t xml:space="preserve">IV. Sea urgente la ejecución de la obra por estar en riesgo el orden social, la salubridad, la seguridad pública o el ambiente, de alguna zona o región del Estado; se paralicen los servicios públicos; se trate de programas de apoyo a la comunidad para atender necesidades apremiantes; o concurra alguna otra causa similar de interés público; </w:t>
      </w:r>
    </w:p>
    <w:p w14:paraId="663B0860" w14:textId="77777777" w:rsidR="00510A32" w:rsidRPr="003F15B3" w:rsidRDefault="00510A32" w:rsidP="003F15B3">
      <w:pPr>
        <w:pStyle w:val="Puesto"/>
      </w:pPr>
      <w:r w:rsidRPr="003F15B3">
        <w:t xml:space="preserve">V. Existan circunstancias que puedan provocar pérdidas o costos adicionales importantes al erario; </w:t>
      </w:r>
    </w:p>
    <w:p w14:paraId="01BD3BCC" w14:textId="77777777" w:rsidR="00510A32" w:rsidRPr="003F15B3" w:rsidRDefault="00510A32" w:rsidP="003F15B3">
      <w:pPr>
        <w:pStyle w:val="Puesto"/>
      </w:pPr>
      <w:r w:rsidRPr="003F15B3">
        <w:t xml:space="preserve">VI. Pueda comprometerse información de naturaleza confidencial para el Estado o municipios, por razones de seguridad pública; </w:t>
      </w:r>
    </w:p>
    <w:p w14:paraId="53ABAA52" w14:textId="77777777" w:rsidR="00510A32" w:rsidRPr="003F15B3" w:rsidRDefault="00510A32" w:rsidP="003F15B3">
      <w:pPr>
        <w:pStyle w:val="Puesto"/>
      </w:pPr>
      <w:r w:rsidRPr="003F15B3">
        <w:t xml:space="preserve">VII. Existan circunstancias extraordinarias o imprevisibles que generen riesgo o desastre. En este supuesto, la contratación deberá limitarse a lo estrictamente necesario para enfrentar tal eventualidad; </w:t>
      </w:r>
    </w:p>
    <w:p w14:paraId="7BB1E1E1" w14:textId="77777777" w:rsidR="00510A32" w:rsidRPr="003F15B3" w:rsidRDefault="00510A32" w:rsidP="003F15B3">
      <w:pPr>
        <w:pStyle w:val="Puesto"/>
      </w:pPr>
      <w:r w:rsidRPr="003F15B3">
        <w:t xml:space="preserve">VIII. Se hubiere rescindido un contrato por causas imputables al contratista ganador en una licitación; o la persona que habiendo resultado ganadora no concurra a la celebración del contrato en el plazo que dispone este Libro. </w:t>
      </w:r>
    </w:p>
    <w:p w14:paraId="723380A0" w14:textId="77777777" w:rsidR="00510A32" w:rsidRPr="003F15B3" w:rsidRDefault="00510A32" w:rsidP="003F15B3">
      <w:pPr>
        <w:pStyle w:val="Puesto"/>
      </w:pPr>
      <w:r w:rsidRPr="003F15B3">
        <w:t xml:space="preserve">En estos casos la dependencia, entidad o ayuntamiento podrá adjudicar el contrato al licitante que haya presentado la propuesta solvente más cercana a la ganadora y así </w:t>
      </w:r>
      <w:r w:rsidRPr="003F15B3">
        <w:lastRenderedPageBreak/>
        <w:t xml:space="preserve">sucesivamente; en todo caso, la diferencia de precio no deberá ser superior al diez por ciento respecto de la propuesta ganadora; </w:t>
      </w:r>
    </w:p>
    <w:p w14:paraId="3CDA7F20" w14:textId="77777777" w:rsidR="00510A32" w:rsidRPr="003F15B3" w:rsidRDefault="00510A32" w:rsidP="003F15B3">
      <w:pPr>
        <w:pStyle w:val="Puesto"/>
      </w:pPr>
      <w:r w:rsidRPr="003F15B3">
        <w:t xml:space="preserve">IX. Se hubiere declarado desierto un procedimiento de invitación restringida; </w:t>
      </w:r>
    </w:p>
    <w:p w14:paraId="254BB1FD" w14:textId="77777777" w:rsidR="00510A32" w:rsidRPr="003F15B3" w:rsidRDefault="00510A32" w:rsidP="003F15B3">
      <w:pPr>
        <w:pStyle w:val="Puesto"/>
      </w:pPr>
      <w:r w:rsidRPr="003F15B3">
        <w:t xml:space="preserve">X. Cuando se aseguren condiciones financieras que permitan al Estado o municipios cumplir con la obligación de pago de manera diferida, sin que ello implique un costo financiero adicional; o bien que habiendo un costo financiero adicional éste sea inferior al del mercado; o </w:t>
      </w:r>
    </w:p>
    <w:p w14:paraId="63F7F5B3" w14:textId="77777777" w:rsidR="00510A32" w:rsidRPr="003F15B3" w:rsidRDefault="00510A32" w:rsidP="003F15B3">
      <w:pPr>
        <w:pStyle w:val="Puesto"/>
      </w:pPr>
      <w:r w:rsidRPr="003F15B3">
        <w:t>XI. Las obras o servicios a contratar, no rebasen los montos establecidos por el Presupuesto de Egresos del Gobierno del Estado del ejercicio correspondiente.</w:t>
      </w:r>
    </w:p>
    <w:p w14:paraId="3A99B61C" w14:textId="77777777" w:rsidR="00510A32" w:rsidRPr="003F15B3" w:rsidRDefault="00510A32" w:rsidP="003F15B3">
      <w:pPr>
        <w:pStyle w:val="Puesto"/>
        <w:rPr>
          <w:b/>
        </w:rPr>
      </w:pPr>
    </w:p>
    <w:p w14:paraId="35EC2118" w14:textId="77777777" w:rsidR="00510A32" w:rsidRPr="003F15B3" w:rsidRDefault="00510A32" w:rsidP="003F15B3">
      <w:pPr>
        <w:pStyle w:val="Puesto"/>
        <w:rPr>
          <w:b/>
        </w:rPr>
      </w:pPr>
      <w:r w:rsidRPr="003F15B3">
        <w:rPr>
          <w:b/>
        </w:rPr>
        <w:t>Artículo 12.64.-</w:t>
      </w:r>
      <w:r w:rsidRPr="003F15B3">
        <w:t xml:space="preserve"> Las dependencias, entidades y </w:t>
      </w:r>
      <w:r w:rsidRPr="003F15B3">
        <w:rPr>
          <w:b/>
        </w:rPr>
        <w:t>ayuntamientos conservarán, archivando en forma ordenada la documentación comprobatoria de los actos y contratos materia de este Libro, cuando menos por el lapso de cinco años, contados a partir de la fecha de la recepción de los trabajos</w:t>
      </w:r>
      <w:r w:rsidRPr="003F15B3">
        <w:t>.</w:t>
      </w:r>
    </w:p>
    <w:p w14:paraId="3EBE7627" w14:textId="77777777" w:rsidR="00510A32" w:rsidRPr="003F15B3" w:rsidRDefault="00510A32" w:rsidP="003F15B3">
      <w:pPr>
        <w:pStyle w:val="Puesto"/>
        <w:rPr>
          <w:rFonts w:cs="Arial"/>
        </w:rPr>
      </w:pPr>
      <w:r w:rsidRPr="003F15B3">
        <w:rPr>
          <w:rFonts w:cs="Arial"/>
        </w:rPr>
        <w:t>(Énfasis añadido)</w:t>
      </w:r>
    </w:p>
    <w:p w14:paraId="2BC7873E" w14:textId="77777777" w:rsidR="00510A32" w:rsidRPr="003F15B3" w:rsidRDefault="00510A32" w:rsidP="003F15B3">
      <w:pPr>
        <w:widowControl w:val="0"/>
        <w:autoSpaceDE w:val="0"/>
        <w:autoSpaceDN w:val="0"/>
        <w:adjustRightInd w:val="0"/>
        <w:rPr>
          <w:rFonts w:eastAsia="Palatino Linotype" w:cs="Palatino Linotype"/>
          <w:szCs w:val="22"/>
        </w:rPr>
      </w:pPr>
    </w:p>
    <w:p w14:paraId="209C1D88" w14:textId="2B03D7CC" w:rsidR="00510A32" w:rsidRPr="003F15B3" w:rsidRDefault="00510A32" w:rsidP="003F15B3">
      <w:pPr>
        <w:pStyle w:val="Prrafodelista"/>
        <w:widowControl w:val="0"/>
        <w:autoSpaceDE w:val="0"/>
        <w:autoSpaceDN w:val="0"/>
        <w:adjustRightInd w:val="0"/>
        <w:ind w:left="0"/>
        <w:rPr>
          <w:rFonts w:eastAsia="Palatino Linotype" w:cs="Palatino Linotype"/>
          <w:szCs w:val="22"/>
        </w:rPr>
      </w:pPr>
      <w:r w:rsidRPr="003F15B3">
        <w:rPr>
          <w:rFonts w:eastAsia="Palatino Linotype" w:cs="Palatino Linotype"/>
          <w:szCs w:val="22"/>
        </w:rPr>
        <w:t xml:space="preserve">De lo anterior, se puede advertir </w:t>
      </w:r>
      <w:r w:rsidR="00490760" w:rsidRPr="003F15B3">
        <w:rPr>
          <w:rFonts w:eastAsia="Palatino Linotype" w:cs="Palatino Linotype"/>
          <w:szCs w:val="22"/>
        </w:rPr>
        <w:t xml:space="preserve">que </w:t>
      </w:r>
      <w:r w:rsidR="00490760" w:rsidRPr="003F15B3">
        <w:rPr>
          <w:rFonts w:eastAsia="Palatino Linotype" w:cs="Palatino Linotype"/>
          <w:b/>
          <w:bCs/>
          <w:szCs w:val="22"/>
        </w:rPr>
        <w:t>EL SUJETO OBLIGADO</w:t>
      </w:r>
      <w:r w:rsidRPr="003F15B3">
        <w:rPr>
          <w:rFonts w:eastAsia="Palatino Linotype" w:cs="Palatino Linotype"/>
          <w:szCs w:val="22"/>
        </w:rPr>
        <w:t xml:space="preserve"> </w:t>
      </w:r>
      <w:r w:rsidR="00490760" w:rsidRPr="003F15B3">
        <w:rPr>
          <w:rFonts w:eastAsia="Palatino Linotype" w:cs="Palatino Linotype"/>
          <w:szCs w:val="22"/>
        </w:rPr>
        <w:t>puede</w:t>
      </w:r>
      <w:r w:rsidRPr="003F15B3">
        <w:rPr>
          <w:rFonts w:eastAsia="Palatino Linotype" w:cs="Palatino Linotype"/>
          <w:szCs w:val="22"/>
        </w:rPr>
        <w:t xml:space="preserve"> adjudicar contratos para la ejecución de obra pública mediante el procedimiento de adjudicación directa. </w:t>
      </w:r>
    </w:p>
    <w:p w14:paraId="03FBE106" w14:textId="77777777" w:rsidR="00510A32" w:rsidRPr="003F15B3" w:rsidRDefault="00510A32" w:rsidP="003F15B3">
      <w:pPr>
        <w:pStyle w:val="Prrafodelista"/>
        <w:widowControl w:val="0"/>
        <w:autoSpaceDE w:val="0"/>
        <w:autoSpaceDN w:val="0"/>
        <w:adjustRightInd w:val="0"/>
        <w:ind w:left="0"/>
        <w:rPr>
          <w:rFonts w:eastAsia="Palatino Linotype" w:cs="Palatino Linotype"/>
          <w:szCs w:val="22"/>
        </w:rPr>
      </w:pPr>
    </w:p>
    <w:p w14:paraId="348AB8CF" w14:textId="063D63FC" w:rsidR="00FC12AD" w:rsidRPr="003F15B3" w:rsidRDefault="00FC12AD" w:rsidP="003F15B3">
      <w:pPr>
        <w:pStyle w:val="Prrafodelista"/>
        <w:widowControl w:val="0"/>
        <w:autoSpaceDE w:val="0"/>
        <w:autoSpaceDN w:val="0"/>
        <w:adjustRightInd w:val="0"/>
        <w:ind w:left="0"/>
        <w:rPr>
          <w:rFonts w:eastAsia="Palatino Linotype" w:cs="Palatino Linotype"/>
          <w:szCs w:val="22"/>
        </w:rPr>
      </w:pPr>
      <w:r w:rsidRPr="003F15B3">
        <w:rPr>
          <w:rFonts w:eastAsia="Palatino Linotype" w:cs="Palatino Linotype"/>
          <w:szCs w:val="22"/>
        </w:rPr>
        <w:t>Por otra parte, la Ley de Contratación Pública del Estado de México y Municipios, di</w:t>
      </w:r>
      <w:r w:rsidR="0059564B" w:rsidRPr="003F15B3">
        <w:rPr>
          <w:rFonts w:eastAsia="Palatino Linotype" w:cs="Palatino Linotype"/>
          <w:szCs w:val="22"/>
        </w:rPr>
        <w:t>s</w:t>
      </w:r>
      <w:r w:rsidRPr="003F15B3">
        <w:rPr>
          <w:rFonts w:eastAsia="Palatino Linotype" w:cs="Palatino Linotype"/>
          <w:szCs w:val="22"/>
        </w:rPr>
        <w:t>pone</w:t>
      </w:r>
      <w:r w:rsidR="0059564B" w:rsidRPr="003F15B3">
        <w:rPr>
          <w:rFonts w:eastAsia="Palatino Linotype" w:cs="Palatino Linotype"/>
          <w:szCs w:val="22"/>
        </w:rPr>
        <w:t xml:space="preserve"> lo siguiente</w:t>
      </w:r>
      <w:r w:rsidRPr="003F15B3">
        <w:rPr>
          <w:rFonts w:eastAsia="Palatino Linotype" w:cs="Palatino Linotype"/>
          <w:szCs w:val="22"/>
        </w:rPr>
        <w:t>:</w:t>
      </w:r>
    </w:p>
    <w:p w14:paraId="48E0B191" w14:textId="77777777" w:rsidR="00FC12AD" w:rsidRPr="003F15B3" w:rsidRDefault="00FC12AD" w:rsidP="003F15B3">
      <w:pPr>
        <w:spacing w:line="240" w:lineRule="auto"/>
        <w:rPr>
          <w:rFonts w:cs="Arial"/>
          <w:sz w:val="24"/>
          <w:szCs w:val="24"/>
          <w:lang w:eastAsia="es-MX"/>
        </w:rPr>
      </w:pPr>
    </w:p>
    <w:p w14:paraId="6F08F5BE" w14:textId="77777777" w:rsidR="00FC12AD" w:rsidRPr="003F15B3" w:rsidRDefault="00FC12AD" w:rsidP="003F15B3">
      <w:pPr>
        <w:pStyle w:val="Puesto"/>
        <w:rPr>
          <w:b/>
          <w:bCs/>
          <w:sz w:val="19"/>
          <w:szCs w:val="19"/>
          <w:lang w:eastAsia="es-MX"/>
        </w:rPr>
      </w:pPr>
      <w:r w:rsidRPr="003F15B3">
        <w:rPr>
          <w:lang w:eastAsia="es-MX"/>
        </w:rPr>
        <w:t>“</w:t>
      </w:r>
      <w:r w:rsidRPr="003F15B3">
        <w:rPr>
          <w:b/>
          <w:bCs/>
          <w:lang w:eastAsia="es-MX"/>
        </w:rPr>
        <w:t xml:space="preserve">Artículo 1.- Esta Ley tiene por objeto regular los actos relativos a la planeación, programación, </w:t>
      </w:r>
      <w:proofErr w:type="spellStart"/>
      <w:r w:rsidRPr="003F15B3">
        <w:rPr>
          <w:b/>
          <w:bCs/>
          <w:lang w:eastAsia="es-MX"/>
        </w:rPr>
        <w:t>presupuestación</w:t>
      </w:r>
      <w:proofErr w:type="spellEnd"/>
      <w:r w:rsidRPr="003F15B3">
        <w:rPr>
          <w:b/>
          <w:bCs/>
          <w:lang w:eastAsia="es-MX"/>
        </w:rPr>
        <w:t>, ejecución y control de la adquisición, enajenación y arrendamiento de bienes, y la contratación de servicios de cualquier naturaleza, que realicen:</w:t>
      </w:r>
    </w:p>
    <w:p w14:paraId="45C873B5" w14:textId="77777777" w:rsidR="00FC12AD" w:rsidRPr="003F15B3" w:rsidRDefault="00FC12AD" w:rsidP="003F15B3">
      <w:pPr>
        <w:pStyle w:val="Puesto"/>
        <w:rPr>
          <w:sz w:val="19"/>
          <w:szCs w:val="19"/>
          <w:lang w:eastAsia="es-MX"/>
        </w:rPr>
      </w:pPr>
      <w:r w:rsidRPr="003F15B3">
        <w:rPr>
          <w:lang w:eastAsia="es-MX"/>
        </w:rPr>
        <w:t>…</w:t>
      </w:r>
    </w:p>
    <w:p w14:paraId="360BBFFF" w14:textId="77777777" w:rsidR="00FC12AD" w:rsidRPr="003F15B3" w:rsidRDefault="00FC12AD" w:rsidP="003F15B3">
      <w:pPr>
        <w:pStyle w:val="Puesto"/>
        <w:rPr>
          <w:rFonts w:cs="Arial"/>
          <w:sz w:val="19"/>
          <w:szCs w:val="19"/>
          <w:lang w:eastAsia="es-MX"/>
        </w:rPr>
      </w:pPr>
      <w:r w:rsidRPr="003F15B3">
        <w:rPr>
          <w:rFonts w:cs="Arial"/>
          <w:b/>
          <w:bCs/>
          <w:iCs/>
          <w:szCs w:val="22"/>
          <w:lang w:eastAsia="es-MX"/>
        </w:rPr>
        <w:t>III. Los ayuntamientos de los municipios del Estado</w:t>
      </w:r>
      <w:r w:rsidRPr="003F15B3">
        <w:rPr>
          <w:rFonts w:cs="Arial"/>
          <w:iCs/>
          <w:szCs w:val="22"/>
          <w:lang w:eastAsia="es-MX"/>
        </w:rPr>
        <w:t>.</w:t>
      </w:r>
    </w:p>
    <w:p w14:paraId="7BD159EC" w14:textId="77777777" w:rsidR="00FC12AD" w:rsidRPr="003F15B3" w:rsidRDefault="00FC12AD" w:rsidP="003F15B3">
      <w:pPr>
        <w:pStyle w:val="Puesto"/>
        <w:rPr>
          <w:rFonts w:cs="Arial"/>
          <w:iCs/>
          <w:szCs w:val="22"/>
          <w:lang w:eastAsia="es-MX"/>
        </w:rPr>
      </w:pPr>
      <w:r w:rsidRPr="003F15B3">
        <w:rPr>
          <w:rFonts w:cs="Arial"/>
          <w:b/>
          <w:bCs/>
          <w:iCs/>
          <w:szCs w:val="22"/>
          <w:lang w:eastAsia="es-MX"/>
        </w:rPr>
        <w:t>Artículo 4.-</w:t>
      </w:r>
      <w:r w:rsidRPr="003F15B3">
        <w:rPr>
          <w:rFonts w:cs="Arial"/>
          <w:iCs/>
          <w:szCs w:val="22"/>
          <w:lang w:eastAsia="es-MX"/>
        </w:rPr>
        <w:t xml:space="preserve"> Para los efectos de esta Ley, en las adquisiciones, enajenaciones, arrendamientos y servicios, quedan comprendidos: </w:t>
      </w:r>
    </w:p>
    <w:p w14:paraId="2973AD18" w14:textId="77777777" w:rsidR="00FC12AD" w:rsidRPr="003F15B3" w:rsidRDefault="00FC12AD" w:rsidP="003F15B3">
      <w:pPr>
        <w:pStyle w:val="Puesto"/>
        <w:rPr>
          <w:rFonts w:cs="Arial"/>
          <w:bCs/>
          <w:iCs/>
          <w:szCs w:val="22"/>
          <w:lang w:eastAsia="es-MX"/>
        </w:rPr>
      </w:pPr>
      <w:r w:rsidRPr="003F15B3">
        <w:rPr>
          <w:rFonts w:cs="Arial"/>
          <w:b/>
          <w:iCs/>
          <w:szCs w:val="22"/>
          <w:lang w:eastAsia="es-MX"/>
        </w:rPr>
        <w:t>I</w:t>
      </w:r>
      <w:r w:rsidRPr="003F15B3">
        <w:rPr>
          <w:rFonts w:cs="Arial"/>
          <w:bCs/>
          <w:iCs/>
          <w:szCs w:val="22"/>
          <w:lang w:eastAsia="es-MX"/>
        </w:rPr>
        <w:t>. La adquisición de bienes muebles.</w:t>
      </w:r>
    </w:p>
    <w:p w14:paraId="55C43D05" w14:textId="77777777" w:rsidR="00FC12AD" w:rsidRPr="003F15B3" w:rsidRDefault="00FC12AD" w:rsidP="003F15B3">
      <w:pPr>
        <w:pStyle w:val="Puesto"/>
        <w:rPr>
          <w:bCs/>
          <w:lang w:eastAsia="es-MX"/>
        </w:rPr>
      </w:pPr>
      <w:r w:rsidRPr="003F15B3">
        <w:rPr>
          <w:b/>
          <w:lang w:eastAsia="es-MX"/>
        </w:rPr>
        <w:t>II.</w:t>
      </w:r>
      <w:r w:rsidRPr="003F15B3">
        <w:rPr>
          <w:bCs/>
          <w:lang w:eastAsia="es-MX"/>
        </w:rPr>
        <w:t xml:space="preserve"> La adquisición de bienes inmuebles, a través de compraventa. </w:t>
      </w:r>
    </w:p>
    <w:p w14:paraId="6465D7B5" w14:textId="77777777" w:rsidR="00FC12AD" w:rsidRPr="003F15B3" w:rsidRDefault="00FC12AD" w:rsidP="003F15B3">
      <w:pPr>
        <w:pStyle w:val="Puesto"/>
        <w:rPr>
          <w:bCs/>
          <w:lang w:eastAsia="es-MX"/>
        </w:rPr>
      </w:pPr>
      <w:r w:rsidRPr="003F15B3">
        <w:rPr>
          <w:b/>
          <w:lang w:eastAsia="es-MX"/>
        </w:rPr>
        <w:t>III.</w:t>
      </w:r>
      <w:r w:rsidRPr="003F15B3">
        <w:rPr>
          <w:bCs/>
          <w:lang w:eastAsia="es-MX"/>
        </w:rPr>
        <w:t xml:space="preserve"> La enajenación de bienes muebles e inmuebles. </w:t>
      </w:r>
    </w:p>
    <w:p w14:paraId="3211345D" w14:textId="77777777" w:rsidR="00FC12AD" w:rsidRPr="003F15B3" w:rsidRDefault="00FC12AD" w:rsidP="003F15B3">
      <w:pPr>
        <w:pStyle w:val="Puesto"/>
        <w:rPr>
          <w:bCs/>
          <w:lang w:eastAsia="es-MX"/>
        </w:rPr>
      </w:pPr>
      <w:r w:rsidRPr="003F15B3">
        <w:rPr>
          <w:b/>
          <w:lang w:eastAsia="es-MX"/>
        </w:rPr>
        <w:t>IV.</w:t>
      </w:r>
      <w:r w:rsidRPr="003F15B3">
        <w:rPr>
          <w:bCs/>
          <w:lang w:eastAsia="es-MX"/>
        </w:rPr>
        <w:t xml:space="preserve"> El arrendamiento de bienes muebles e inmuebles. </w:t>
      </w:r>
    </w:p>
    <w:p w14:paraId="5912A60E" w14:textId="77777777" w:rsidR="00FC12AD" w:rsidRPr="003F15B3" w:rsidRDefault="00FC12AD" w:rsidP="003F15B3">
      <w:pPr>
        <w:pStyle w:val="Puesto"/>
        <w:rPr>
          <w:lang w:eastAsia="es-MX"/>
        </w:rPr>
      </w:pPr>
      <w:r w:rsidRPr="003F15B3">
        <w:rPr>
          <w:b/>
          <w:bCs/>
          <w:lang w:eastAsia="es-MX"/>
        </w:rPr>
        <w:lastRenderedPageBreak/>
        <w:t>V.</w:t>
      </w:r>
      <w:r w:rsidRPr="003F15B3">
        <w:rPr>
          <w:lang w:eastAsia="es-MX"/>
        </w:rPr>
        <w:t xml:space="preserve"> La contratación de los servicios, relacionados con bienes muebles que se encuentran incorporados o adheridos a bienes inmuebles, cuya instalación o mantenimiento no implique modificación al bien inmueble. </w:t>
      </w:r>
    </w:p>
    <w:p w14:paraId="3B7951DC" w14:textId="77777777" w:rsidR="00FC12AD" w:rsidRPr="003F15B3" w:rsidRDefault="00FC12AD" w:rsidP="003F15B3">
      <w:pPr>
        <w:pStyle w:val="Puesto"/>
        <w:rPr>
          <w:lang w:eastAsia="es-MX"/>
        </w:rPr>
      </w:pPr>
      <w:r w:rsidRPr="003F15B3">
        <w:rPr>
          <w:b/>
          <w:lang w:eastAsia="es-MX"/>
        </w:rPr>
        <w:t>VI.</w:t>
      </w:r>
      <w:r w:rsidRPr="003F15B3">
        <w:rPr>
          <w:lang w:eastAsia="es-MX"/>
        </w:rPr>
        <w:t xml:space="preserve"> La contratación de los servicios de reconstrucción y mantenimiento de bienes muebles. </w:t>
      </w:r>
    </w:p>
    <w:p w14:paraId="3846388B" w14:textId="77777777" w:rsidR="00FC12AD" w:rsidRPr="003F15B3" w:rsidRDefault="00FC12AD" w:rsidP="003F15B3">
      <w:pPr>
        <w:pStyle w:val="Puesto"/>
        <w:rPr>
          <w:lang w:eastAsia="es-MX"/>
        </w:rPr>
      </w:pPr>
      <w:r w:rsidRPr="003F15B3">
        <w:rPr>
          <w:b/>
          <w:bCs/>
          <w:lang w:eastAsia="es-MX"/>
        </w:rPr>
        <w:t>VII.</w:t>
      </w:r>
      <w:r w:rsidRPr="003F15B3">
        <w:rPr>
          <w:lang w:eastAsia="es-MX"/>
        </w:rPr>
        <w:t xml:space="preserve"> La contratación de los servicios de maquila, seguros y transportación, así como de los de limpieza y vigilancia de bienes inmuebles. </w:t>
      </w:r>
    </w:p>
    <w:p w14:paraId="78F3FB3E" w14:textId="77777777" w:rsidR="00FC12AD" w:rsidRPr="003F15B3" w:rsidRDefault="00FC12AD" w:rsidP="003F15B3">
      <w:pPr>
        <w:pStyle w:val="Puesto"/>
        <w:rPr>
          <w:lang w:eastAsia="es-MX"/>
        </w:rPr>
      </w:pPr>
      <w:r w:rsidRPr="003F15B3">
        <w:rPr>
          <w:b/>
          <w:lang w:eastAsia="es-MX"/>
        </w:rPr>
        <w:t xml:space="preserve">VIII. </w:t>
      </w:r>
      <w:r w:rsidRPr="003F15B3">
        <w:rPr>
          <w:lang w:eastAsia="es-MX"/>
        </w:rPr>
        <w:t xml:space="preserve">La prestación de servicios profesionales, la contratación de consultorías, asesorías y estudios e investigaciones, excepto la contratación de servicios personales de personas físicas bajo el régimen de honorarios. </w:t>
      </w:r>
    </w:p>
    <w:p w14:paraId="42FA760E" w14:textId="77777777" w:rsidR="00FC12AD" w:rsidRPr="003F15B3" w:rsidRDefault="00FC12AD" w:rsidP="003F15B3">
      <w:pPr>
        <w:pStyle w:val="Puesto"/>
        <w:rPr>
          <w:lang w:eastAsia="es-MX"/>
        </w:rPr>
      </w:pPr>
      <w:r w:rsidRPr="003F15B3">
        <w:rPr>
          <w:b/>
          <w:lang w:eastAsia="es-MX"/>
        </w:rPr>
        <w:t>En general, otros actos que impliquen la contratación de servicios de cualquier naturaleza.</w:t>
      </w:r>
      <w:r w:rsidRPr="003F15B3">
        <w:rPr>
          <w:lang w:eastAsia="es-MX"/>
        </w:rPr>
        <w:t xml:space="preserve"> </w:t>
      </w:r>
    </w:p>
    <w:p w14:paraId="1D8FCCBB" w14:textId="77777777" w:rsidR="00FC12AD" w:rsidRPr="003F15B3" w:rsidRDefault="00FC12AD" w:rsidP="003F15B3">
      <w:pPr>
        <w:pStyle w:val="Puesto"/>
        <w:rPr>
          <w:lang w:eastAsia="es-MX"/>
        </w:rPr>
      </w:pPr>
      <w:r w:rsidRPr="003F15B3">
        <w:rPr>
          <w:lang w:eastAsia="es-MX"/>
        </w:rPr>
        <w:t>…</w:t>
      </w:r>
    </w:p>
    <w:p w14:paraId="30ADED03" w14:textId="77777777" w:rsidR="00FC12AD" w:rsidRPr="003F15B3" w:rsidRDefault="00FC12AD" w:rsidP="003F15B3">
      <w:pPr>
        <w:pStyle w:val="Puesto"/>
        <w:rPr>
          <w:rFonts w:eastAsia="Palatino Linotype" w:cs="Palatino Linotype"/>
          <w:b/>
          <w:lang w:eastAsia="es-MX"/>
        </w:rPr>
      </w:pPr>
      <w:r w:rsidRPr="003F15B3">
        <w:rPr>
          <w:rFonts w:cs="Palatino Linotype"/>
          <w:b/>
          <w:lang w:eastAsia="es-MX"/>
        </w:rPr>
        <w:t>Artículo 26.- Las adquisiciones, arrendamientos y servicios se adjudicarán a través de licitaciones públicas, mediante convocatoria pública.</w:t>
      </w:r>
    </w:p>
    <w:p w14:paraId="1B6A6615" w14:textId="77777777" w:rsidR="00FC12AD" w:rsidRPr="003F15B3" w:rsidRDefault="00FC12AD" w:rsidP="003F15B3">
      <w:pPr>
        <w:spacing w:line="240" w:lineRule="auto"/>
        <w:ind w:left="567" w:right="822"/>
        <w:rPr>
          <w:rFonts w:eastAsia="Palatino Linotype" w:cs="Palatino Linotype"/>
          <w:b/>
          <w:i/>
          <w:szCs w:val="22"/>
          <w:lang w:eastAsia="es-MX"/>
        </w:rPr>
      </w:pPr>
    </w:p>
    <w:p w14:paraId="5BDAECDF" w14:textId="77777777" w:rsidR="00FC12AD" w:rsidRPr="003F15B3" w:rsidRDefault="00FC12AD" w:rsidP="003F15B3">
      <w:pPr>
        <w:pStyle w:val="Puesto"/>
        <w:rPr>
          <w:b/>
          <w:bCs/>
          <w:lang w:eastAsia="es-MX"/>
        </w:rPr>
      </w:pPr>
      <w:r w:rsidRPr="003F15B3">
        <w:rPr>
          <w:b/>
          <w:lang w:eastAsia="es-MX"/>
        </w:rPr>
        <w:t xml:space="preserve">Artículo 27.- </w:t>
      </w:r>
      <w:r w:rsidRPr="003F15B3">
        <w:rPr>
          <w:lang w:eastAsia="es-MX"/>
        </w:rPr>
        <w:t xml:space="preserve">La Secretaría, las entidades, los tribunales administrativos y </w:t>
      </w:r>
      <w:r w:rsidRPr="003F15B3">
        <w:rPr>
          <w:b/>
          <w:bCs/>
          <w:lang w:eastAsia="es-MX"/>
        </w:rPr>
        <w:t xml:space="preserve">los ayuntamientos podrán adjudicar adquisiciones, arrendamientos y servicios, mediante las excepciones al procedimiento de licitación que a continuación se señalan: </w:t>
      </w:r>
    </w:p>
    <w:p w14:paraId="78BE1E85" w14:textId="77777777" w:rsidR="00FC12AD" w:rsidRPr="003F15B3" w:rsidRDefault="00FC12AD" w:rsidP="003F15B3">
      <w:pPr>
        <w:pStyle w:val="Puesto"/>
        <w:rPr>
          <w:bCs/>
          <w:lang w:eastAsia="es-MX"/>
        </w:rPr>
      </w:pPr>
      <w:r w:rsidRPr="003F15B3">
        <w:rPr>
          <w:bCs/>
          <w:lang w:eastAsia="es-MX"/>
        </w:rPr>
        <w:t xml:space="preserve">I. Invitación restringida. </w:t>
      </w:r>
    </w:p>
    <w:p w14:paraId="30A5C9A8" w14:textId="77777777" w:rsidR="00FC12AD" w:rsidRPr="003F15B3" w:rsidRDefault="00FC12AD" w:rsidP="003F15B3">
      <w:pPr>
        <w:pStyle w:val="Puesto"/>
        <w:rPr>
          <w:b/>
          <w:lang w:eastAsia="es-MX"/>
        </w:rPr>
      </w:pPr>
      <w:r w:rsidRPr="003F15B3">
        <w:rPr>
          <w:b/>
          <w:lang w:eastAsia="es-MX"/>
        </w:rPr>
        <w:t>II. Adjudicación directa.”</w:t>
      </w:r>
    </w:p>
    <w:p w14:paraId="6335F6E3" w14:textId="77777777" w:rsidR="00FC12AD" w:rsidRPr="003F15B3" w:rsidRDefault="00FC12AD" w:rsidP="003F15B3">
      <w:pPr>
        <w:pStyle w:val="Puesto"/>
        <w:rPr>
          <w:sz w:val="24"/>
          <w:szCs w:val="24"/>
          <w:lang w:eastAsia="es-MX"/>
        </w:rPr>
      </w:pPr>
      <w:r w:rsidRPr="003F15B3">
        <w:rPr>
          <w:sz w:val="24"/>
          <w:szCs w:val="24"/>
          <w:lang w:eastAsia="es-MX"/>
        </w:rPr>
        <w:t xml:space="preserve">(Énfasis añadido) </w:t>
      </w:r>
    </w:p>
    <w:p w14:paraId="284D5FE6" w14:textId="77777777" w:rsidR="00FC12AD" w:rsidRPr="003F15B3" w:rsidRDefault="00FC12AD" w:rsidP="003F15B3">
      <w:pPr>
        <w:spacing w:line="240" w:lineRule="auto"/>
        <w:rPr>
          <w:rFonts w:eastAsia="Palatino Linotype" w:cs="Palatino Linotype"/>
          <w:sz w:val="24"/>
          <w:szCs w:val="24"/>
          <w:lang w:eastAsia="es-MX"/>
        </w:rPr>
      </w:pPr>
    </w:p>
    <w:p w14:paraId="44D7ECD9" w14:textId="1A7173BB" w:rsidR="00FC12AD" w:rsidRPr="003F15B3" w:rsidRDefault="00FC12AD" w:rsidP="003F15B3">
      <w:pPr>
        <w:pStyle w:val="Prrafodelista"/>
        <w:widowControl w:val="0"/>
        <w:autoSpaceDE w:val="0"/>
        <w:autoSpaceDN w:val="0"/>
        <w:adjustRightInd w:val="0"/>
        <w:ind w:left="0"/>
        <w:rPr>
          <w:rFonts w:eastAsia="Palatino Linotype" w:cs="Palatino Linotype"/>
          <w:szCs w:val="22"/>
        </w:rPr>
      </w:pPr>
      <w:r w:rsidRPr="003F15B3">
        <w:rPr>
          <w:rFonts w:eastAsia="Palatino Linotype" w:cs="Palatino Linotype"/>
          <w:szCs w:val="22"/>
        </w:rPr>
        <w:t xml:space="preserve">Así, en lo que respecta </w:t>
      </w:r>
      <w:r w:rsidR="0059564B" w:rsidRPr="003F15B3">
        <w:rPr>
          <w:rFonts w:eastAsia="Palatino Linotype" w:cs="Palatino Linotype"/>
          <w:szCs w:val="22"/>
        </w:rPr>
        <w:t xml:space="preserve">a la </w:t>
      </w:r>
      <w:r w:rsidRPr="003F15B3">
        <w:rPr>
          <w:rFonts w:eastAsia="Palatino Linotype" w:cs="Palatino Linotype"/>
          <w:szCs w:val="22"/>
        </w:rPr>
        <w:t>adjudicación directa, el artículo 48 de la Ley de la Contratación Pública del Estado de México y Municipios y 91 del Reglamento de dicha Ley, indican en qué supuestos puede llevarse a cabo este procedimiento.</w:t>
      </w:r>
    </w:p>
    <w:p w14:paraId="2AA60FBC" w14:textId="77777777" w:rsidR="00FC12AD" w:rsidRPr="003F15B3" w:rsidRDefault="00FC12AD" w:rsidP="003F15B3">
      <w:pPr>
        <w:pStyle w:val="Prrafodelista"/>
        <w:widowControl w:val="0"/>
        <w:autoSpaceDE w:val="0"/>
        <w:autoSpaceDN w:val="0"/>
        <w:adjustRightInd w:val="0"/>
        <w:ind w:left="0"/>
        <w:rPr>
          <w:rFonts w:eastAsia="Palatino Linotype" w:cs="Palatino Linotype"/>
          <w:szCs w:val="22"/>
        </w:rPr>
      </w:pPr>
    </w:p>
    <w:p w14:paraId="3FB65D0A" w14:textId="77777777" w:rsidR="00FC12AD" w:rsidRPr="003F15B3" w:rsidRDefault="00FC12AD" w:rsidP="003F15B3">
      <w:pPr>
        <w:pStyle w:val="Prrafodelista"/>
        <w:widowControl w:val="0"/>
        <w:autoSpaceDE w:val="0"/>
        <w:autoSpaceDN w:val="0"/>
        <w:adjustRightInd w:val="0"/>
        <w:ind w:left="0"/>
        <w:rPr>
          <w:rFonts w:eastAsia="Palatino Linotype" w:cs="Palatino Linotype"/>
          <w:szCs w:val="22"/>
        </w:rPr>
      </w:pPr>
      <w:r w:rsidRPr="003F15B3">
        <w:rPr>
          <w:rFonts w:eastAsia="Palatino Linotype" w:cs="Palatino Linotype"/>
          <w:szCs w:val="22"/>
        </w:rPr>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521C15E2" w14:textId="77777777" w:rsidR="00FC12AD" w:rsidRPr="003F15B3" w:rsidRDefault="00FC12AD" w:rsidP="003F15B3">
      <w:pPr>
        <w:pStyle w:val="Prrafodelista"/>
        <w:widowControl w:val="0"/>
        <w:autoSpaceDE w:val="0"/>
        <w:autoSpaceDN w:val="0"/>
        <w:adjustRightInd w:val="0"/>
        <w:ind w:left="0"/>
        <w:rPr>
          <w:rFonts w:eastAsia="Palatino Linotype" w:cs="Palatino Linotype"/>
          <w:szCs w:val="22"/>
        </w:rPr>
      </w:pPr>
    </w:p>
    <w:p w14:paraId="1A80635C" w14:textId="6D9E4D39" w:rsidR="00FC12AD" w:rsidRPr="003F15B3" w:rsidRDefault="0059564B" w:rsidP="003F15B3">
      <w:pPr>
        <w:pStyle w:val="Prrafodelista"/>
        <w:widowControl w:val="0"/>
        <w:autoSpaceDE w:val="0"/>
        <w:autoSpaceDN w:val="0"/>
        <w:adjustRightInd w:val="0"/>
        <w:ind w:left="0"/>
        <w:rPr>
          <w:rFonts w:eastAsia="Palatino Linotype" w:cs="Palatino Linotype"/>
          <w:szCs w:val="22"/>
        </w:rPr>
      </w:pPr>
      <w:r w:rsidRPr="003F15B3">
        <w:rPr>
          <w:rFonts w:eastAsia="Palatino Linotype" w:cs="Palatino Linotype"/>
          <w:szCs w:val="22"/>
        </w:rPr>
        <w:t xml:space="preserve">Aunado a lo anterior, </w:t>
      </w:r>
      <w:r w:rsidR="00FC12AD" w:rsidRPr="003F15B3">
        <w:rPr>
          <w:rFonts w:eastAsia="Palatino Linotype" w:cs="Palatino Linotype"/>
          <w:szCs w:val="22"/>
        </w:rPr>
        <w:t xml:space="preserve">debe decirse que los contratos </w:t>
      </w:r>
      <w:r w:rsidRPr="003F15B3">
        <w:rPr>
          <w:rFonts w:eastAsia="Palatino Linotype" w:cs="Palatino Linotype"/>
          <w:szCs w:val="22"/>
        </w:rPr>
        <w:t>derivados de las adjudicaciones directas</w:t>
      </w:r>
      <w:r w:rsidR="00FC12AD" w:rsidRPr="003F15B3">
        <w:rPr>
          <w:rFonts w:eastAsia="Palatino Linotype" w:cs="Palatino Linotype"/>
          <w:szCs w:val="22"/>
        </w:rPr>
        <w:t xml:space="preserve"> </w:t>
      </w:r>
      <w:r w:rsidR="00FC12AD" w:rsidRPr="003F15B3">
        <w:rPr>
          <w:rFonts w:eastAsia="Palatino Linotype" w:cs="Palatino Linotype"/>
          <w:szCs w:val="22"/>
        </w:rPr>
        <w:lastRenderedPageBreak/>
        <w:t xml:space="preserve">corresponde a información que se encuentra considerada como una de las obligaciones de comunes que </w:t>
      </w:r>
      <w:r w:rsidR="00FC12AD" w:rsidRPr="003F15B3">
        <w:rPr>
          <w:rFonts w:eastAsia="Palatino Linotype" w:cs="Palatino Linotype"/>
          <w:b/>
          <w:bCs/>
          <w:szCs w:val="22"/>
        </w:rPr>
        <w:t>EL SUJETO OBLIGADO</w:t>
      </w:r>
      <w:r w:rsidR="00FC12AD" w:rsidRPr="003F15B3">
        <w:rPr>
          <w:rFonts w:eastAsia="Palatino Linotype" w:cs="Palatino Linotype"/>
          <w:szCs w:val="22"/>
        </w:rPr>
        <w:t xml:space="preserve">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92 de la de la Ley de Transparencia y Acceso a la Información Pública del Estado de México y Municipios, en su fracción XXIX, dispone lo siguiente:</w:t>
      </w:r>
    </w:p>
    <w:p w14:paraId="4A70753F" w14:textId="77777777" w:rsidR="00FC12AD" w:rsidRPr="003F15B3" w:rsidRDefault="00FC12AD" w:rsidP="003F15B3">
      <w:pPr>
        <w:spacing w:line="240" w:lineRule="auto"/>
        <w:rPr>
          <w:rFonts w:eastAsia="Palatino Linotype" w:cs="Palatino Linotype"/>
          <w:sz w:val="24"/>
          <w:szCs w:val="24"/>
          <w:lang w:eastAsia="es-MX"/>
        </w:rPr>
      </w:pPr>
    </w:p>
    <w:p w14:paraId="574ECDE6" w14:textId="77777777" w:rsidR="00FC12AD" w:rsidRPr="003F15B3" w:rsidRDefault="00FC12AD" w:rsidP="003F15B3">
      <w:pPr>
        <w:spacing w:line="240" w:lineRule="auto"/>
        <w:ind w:left="567" w:right="899"/>
        <w:rPr>
          <w:rFonts w:eastAsia="Palatino Linotype" w:cs="Palatino Linotype"/>
          <w:szCs w:val="22"/>
          <w:lang w:eastAsia="es-MX"/>
        </w:rPr>
      </w:pPr>
      <w:r w:rsidRPr="003F15B3">
        <w:rPr>
          <w:rFonts w:eastAsia="Palatino Linotype" w:cs="Palatino Linotype"/>
          <w:b/>
          <w:i/>
          <w:szCs w:val="22"/>
          <w:lang w:eastAsia="es-MX"/>
        </w:rPr>
        <w:t>“Artículo 92. </w:t>
      </w:r>
      <w:r w:rsidRPr="003F15B3">
        <w:rPr>
          <w:rFonts w:eastAsia="Palatino Linotype" w:cs="Palatino Linotype"/>
          <w:i/>
          <w:szCs w:val="22"/>
          <w:lang w:eastAsia="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53DCC7F" w14:textId="77777777" w:rsidR="00FC12AD" w:rsidRPr="003F15B3" w:rsidRDefault="00FC12AD" w:rsidP="003F15B3">
      <w:pPr>
        <w:spacing w:line="240" w:lineRule="auto"/>
        <w:ind w:left="567" w:right="899"/>
        <w:rPr>
          <w:rFonts w:eastAsia="Palatino Linotype" w:cs="Palatino Linotype"/>
          <w:szCs w:val="22"/>
          <w:lang w:eastAsia="es-MX"/>
        </w:rPr>
      </w:pPr>
      <w:r w:rsidRPr="003F15B3">
        <w:rPr>
          <w:rFonts w:eastAsia="Palatino Linotype" w:cs="Palatino Linotype"/>
          <w:i/>
          <w:szCs w:val="22"/>
          <w:lang w:eastAsia="es-MX"/>
        </w:rPr>
        <w:t>(…)</w:t>
      </w:r>
    </w:p>
    <w:p w14:paraId="2EDAD2BE" w14:textId="77777777" w:rsidR="00FC12AD" w:rsidRPr="003F15B3" w:rsidRDefault="00FC12AD" w:rsidP="003F15B3">
      <w:pPr>
        <w:spacing w:line="240" w:lineRule="auto"/>
        <w:ind w:left="567" w:right="899"/>
        <w:rPr>
          <w:rFonts w:eastAsia="Palatino Linotype" w:cs="Palatino Linotype"/>
          <w:b/>
          <w:i/>
          <w:szCs w:val="22"/>
          <w:lang w:eastAsia="es-MX"/>
        </w:rPr>
      </w:pPr>
    </w:p>
    <w:p w14:paraId="1BD39C1E" w14:textId="77777777" w:rsidR="00FC12AD" w:rsidRPr="003F15B3" w:rsidRDefault="00FC12AD" w:rsidP="003F15B3">
      <w:pPr>
        <w:spacing w:line="240" w:lineRule="auto"/>
        <w:ind w:left="567" w:right="899"/>
        <w:rPr>
          <w:rFonts w:eastAsia="Palatino Linotype" w:cs="Palatino Linotype"/>
          <w:i/>
          <w:szCs w:val="22"/>
          <w:lang w:eastAsia="es-MX"/>
        </w:rPr>
      </w:pPr>
      <w:r w:rsidRPr="003F15B3">
        <w:rPr>
          <w:rFonts w:eastAsia="Palatino Linotype" w:cs="Palatino Linotype"/>
          <w:b/>
          <w:i/>
          <w:szCs w:val="22"/>
          <w:lang w:eastAsia="es-MX"/>
        </w:rPr>
        <w:t>XXIX. </w:t>
      </w:r>
      <w:r w:rsidRPr="003F15B3">
        <w:rPr>
          <w:rFonts w:eastAsia="Palatino Linotype" w:cs="Palatino Linotype"/>
          <w:i/>
          <w:szCs w:val="22"/>
          <w:lang w:eastAsia="es-MX"/>
        </w:rPr>
        <w:t xml:space="preserve">La </w:t>
      </w:r>
      <w:r w:rsidRPr="003F15B3">
        <w:rPr>
          <w:rFonts w:eastAsia="Palatino Linotype" w:cs="Palatino Linotype"/>
          <w:b/>
          <w:bCs/>
          <w:i/>
          <w:szCs w:val="22"/>
          <w:lang w:eastAsia="es-MX"/>
        </w:rPr>
        <w:t>información sobre los</w:t>
      </w:r>
      <w:r w:rsidRPr="003F15B3">
        <w:rPr>
          <w:rFonts w:eastAsia="Palatino Linotype" w:cs="Palatino Linotype"/>
          <w:i/>
          <w:szCs w:val="22"/>
          <w:lang w:eastAsia="es-MX"/>
        </w:rPr>
        <w:t xml:space="preserve"> procesos y resultados sobre </w:t>
      </w:r>
      <w:r w:rsidRPr="003F15B3">
        <w:rPr>
          <w:rFonts w:eastAsia="Palatino Linotype" w:cs="Palatino Linotype"/>
          <w:b/>
          <w:bCs/>
          <w:i/>
          <w:szCs w:val="22"/>
          <w:lang w:eastAsia="es-MX"/>
        </w:rPr>
        <w:t>procedimientos de adjudicación directa</w:t>
      </w:r>
      <w:r w:rsidRPr="003F15B3">
        <w:rPr>
          <w:rFonts w:eastAsia="Palatino Linotype" w:cs="Palatino Linotype"/>
          <w:i/>
          <w:szCs w:val="22"/>
          <w:lang w:eastAsia="es-MX"/>
        </w:rPr>
        <w:t>, invitación restringida y licitación de cualquier naturaleza, </w:t>
      </w:r>
      <w:r w:rsidRPr="003F15B3">
        <w:rPr>
          <w:rFonts w:eastAsia="Palatino Linotype" w:cs="Palatino Linotype"/>
          <w:b/>
          <w:i/>
          <w:szCs w:val="22"/>
          <w:lang w:eastAsia="es-MX"/>
        </w:rPr>
        <w:t xml:space="preserve">incluyendo la versión pública </w:t>
      </w:r>
      <w:r w:rsidRPr="003F15B3">
        <w:rPr>
          <w:rFonts w:eastAsia="Palatino Linotype" w:cs="Palatino Linotype"/>
          <w:b/>
          <w:bCs/>
          <w:i/>
          <w:szCs w:val="22"/>
          <w:lang w:eastAsia="es-MX"/>
        </w:rPr>
        <w:t>del expediente respectivo</w:t>
      </w:r>
      <w:r w:rsidRPr="003F15B3">
        <w:rPr>
          <w:rFonts w:eastAsia="Palatino Linotype" w:cs="Palatino Linotype"/>
          <w:b/>
          <w:i/>
          <w:szCs w:val="22"/>
          <w:lang w:eastAsia="es-MX"/>
        </w:rPr>
        <w:t xml:space="preserve"> y de los contratos</w:t>
      </w:r>
      <w:r w:rsidRPr="003F15B3">
        <w:rPr>
          <w:rFonts w:eastAsia="Palatino Linotype" w:cs="Palatino Linotype"/>
          <w:i/>
          <w:szCs w:val="22"/>
          <w:lang w:eastAsia="es-MX"/>
        </w:rPr>
        <w:t> celebrados, que deberán contener, por los menos, lo siguiente:</w:t>
      </w:r>
    </w:p>
    <w:p w14:paraId="68D3BBF5" w14:textId="614437EB" w:rsidR="0059564B" w:rsidRPr="003F15B3" w:rsidRDefault="0059564B" w:rsidP="003F15B3">
      <w:pPr>
        <w:spacing w:line="240" w:lineRule="auto"/>
        <w:ind w:left="567" w:right="899"/>
        <w:rPr>
          <w:rFonts w:eastAsia="Palatino Linotype" w:cs="Palatino Linotype"/>
          <w:szCs w:val="22"/>
          <w:lang w:eastAsia="es-MX"/>
        </w:rPr>
      </w:pPr>
      <w:r w:rsidRPr="003F15B3">
        <w:rPr>
          <w:rFonts w:eastAsia="Palatino Linotype" w:cs="Palatino Linotype"/>
          <w:b/>
          <w:i/>
          <w:szCs w:val="22"/>
          <w:lang w:eastAsia="es-MX"/>
        </w:rPr>
        <w:t xml:space="preserve">…    </w:t>
      </w:r>
    </w:p>
    <w:p w14:paraId="77DB6FAD" w14:textId="77777777" w:rsidR="0059564B" w:rsidRPr="003F15B3" w:rsidRDefault="0059564B" w:rsidP="003F15B3">
      <w:pPr>
        <w:spacing w:line="240" w:lineRule="auto"/>
        <w:ind w:left="567" w:right="822"/>
        <w:rPr>
          <w:rFonts w:eastAsia="Palatino Linotype" w:cs="Palatino Linotype"/>
          <w:b/>
          <w:i/>
          <w:szCs w:val="22"/>
          <w:lang w:eastAsia="es-MX"/>
        </w:rPr>
      </w:pPr>
      <w:r w:rsidRPr="003F15B3">
        <w:rPr>
          <w:rFonts w:eastAsia="Palatino Linotype" w:cs="Palatino Linotype"/>
          <w:b/>
          <w:i/>
          <w:szCs w:val="22"/>
          <w:lang w:eastAsia="es-MX"/>
        </w:rPr>
        <w:t xml:space="preserve">b) De las adjudicaciones directas: </w:t>
      </w:r>
    </w:p>
    <w:p w14:paraId="6B3DD3D5" w14:textId="77777777" w:rsidR="0059564B" w:rsidRPr="003F15B3" w:rsidRDefault="0059564B" w:rsidP="003F15B3">
      <w:pPr>
        <w:spacing w:line="240" w:lineRule="auto"/>
        <w:ind w:left="567" w:right="822"/>
        <w:rPr>
          <w:rFonts w:eastAsia="Palatino Linotype" w:cs="Palatino Linotype"/>
          <w:bCs/>
          <w:i/>
          <w:szCs w:val="22"/>
          <w:lang w:eastAsia="es-MX"/>
        </w:rPr>
      </w:pPr>
      <w:r w:rsidRPr="003F15B3">
        <w:rPr>
          <w:rFonts w:eastAsia="Palatino Linotype" w:cs="Palatino Linotype"/>
          <w:b/>
          <w:i/>
          <w:szCs w:val="22"/>
          <w:lang w:eastAsia="es-MX"/>
        </w:rPr>
        <w:t xml:space="preserve">1) </w:t>
      </w:r>
      <w:r w:rsidRPr="003F15B3">
        <w:rPr>
          <w:rFonts w:eastAsia="Palatino Linotype" w:cs="Palatino Linotype"/>
          <w:bCs/>
          <w:i/>
          <w:szCs w:val="22"/>
          <w:lang w:eastAsia="es-MX"/>
        </w:rPr>
        <w:t xml:space="preserve">La propuesta enviada por el participante; </w:t>
      </w:r>
    </w:p>
    <w:p w14:paraId="2DF006BF" w14:textId="77777777" w:rsidR="0059564B" w:rsidRPr="003F15B3" w:rsidRDefault="0059564B" w:rsidP="003F15B3">
      <w:pPr>
        <w:spacing w:line="240" w:lineRule="auto"/>
        <w:ind w:left="567" w:right="822"/>
        <w:rPr>
          <w:rFonts w:eastAsia="Palatino Linotype" w:cs="Palatino Linotype"/>
          <w:b/>
          <w:i/>
          <w:szCs w:val="22"/>
          <w:lang w:eastAsia="es-MX"/>
        </w:rPr>
      </w:pPr>
      <w:r w:rsidRPr="003F15B3">
        <w:rPr>
          <w:rFonts w:eastAsia="Palatino Linotype" w:cs="Palatino Linotype"/>
          <w:b/>
          <w:i/>
          <w:szCs w:val="22"/>
          <w:lang w:eastAsia="es-MX"/>
        </w:rPr>
        <w:t xml:space="preserve">2) Los motivos y fundamentos legales aplicados para llevarla a cabo; </w:t>
      </w:r>
    </w:p>
    <w:p w14:paraId="7B51D14A" w14:textId="52AC16AE" w:rsidR="0059564B" w:rsidRPr="003F15B3" w:rsidRDefault="0059564B" w:rsidP="003F15B3">
      <w:pPr>
        <w:spacing w:line="240" w:lineRule="auto"/>
        <w:ind w:left="567" w:right="822"/>
        <w:rPr>
          <w:rFonts w:eastAsia="Palatino Linotype" w:cs="Palatino Linotype"/>
          <w:b/>
          <w:i/>
          <w:szCs w:val="22"/>
          <w:lang w:eastAsia="es-MX"/>
        </w:rPr>
      </w:pPr>
      <w:r w:rsidRPr="003F15B3">
        <w:rPr>
          <w:rFonts w:eastAsia="Palatino Linotype" w:cs="Palatino Linotype"/>
          <w:b/>
          <w:i/>
          <w:szCs w:val="22"/>
          <w:lang w:eastAsia="es-MX"/>
        </w:rPr>
        <w:t xml:space="preserve">3) La autorización del ejercicio de la opción; </w:t>
      </w:r>
    </w:p>
    <w:p w14:paraId="40D54CAD" w14:textId="5817A4AE" w:rsidR="0059564B" w:rsidRPr="003F15B3" w:rsidRDefault="0059564B" w:rsidP="003F15B3">
      <w:pPr>
        <w:spacing w:line="240" w:lineRule="auto"/>
        <w:ind w:left="567" w:right="822"/>
        <w:rPr>
          <w:rFonts w:eastAsia="Palatino Linotype" w:cs="Palatino Linotype"/>
          <w:b/>
          <w:i/>
          <w:szCs w:val="22"/>
          <w:lang w:eastAsia="es-MX"/>
        </w:rPr>
      </w:pPr>
      <w:r w:rsidRPr="003F15B3">
        <w:rPr>
          <w:rFonts w:eastAsia="Palatino Linotype" w:cs="Palatino Linotype"/>
          <w:b/>
          <w:i/>
          <w:szCs w:val="22"/>
          <w:lang w:eastAsia="es-MX"/>
        </w:rPr>
        <w:t xml:space="preserve">4) En su caso, las cotizaciones consideradas, especificando los nombres de los proveedores y sus montos; </w:t>
      </w:r>
    </w:p>
    <w:p w14:paraId="561BFFF8" w14:textId="77777777" w:rsidR="0059564B" w:rsidRPr="003F15B3" w:rsidRDefault="0059564B" w:rsidP="003F15B3">
      <w:pPr>
        <w:spacing w:line="240" w:lineRule="auto"/>
        <w:ind w:left="567" w:right="822"/>
        <w:rPr>
          <w:rFonts w:eastAsia="Palatino Linotype" w:cs="Palatino Linotype"/>
          <w:b/>
          <w:i/>
          <w:szCs w:val="22"/>
          <w:lang w:eastAsia="es-MX"/>
        </w:rPr>
      </w:pPr>
      <w:r w:rsidRPr="003F15B3">
        <w:rPr>
          <w:rFonts w:eastAsia="Palatino Linotype" w:cs="Palatino Linotype"/>
          <w:b/>
          <w:i/>
          <w:szCs w:val="22"/>
          <w:lang w:eastAsia="es-MX"/>
        </w:rPr>
        <w:t xml:space="preserve">5) El nombre de la persona física o jurídica colectiva adjudicada; </w:t>
      </w:r>
    </w:p>
    <w:p w14:paraId="732B380D" w14:textId="2E6ABB1E" w:rsidR="0059564B" w:rsidRPr="003F15B3" w:rsidRDefault="0059564B" w:rsidP="003F15B3">
      <w:pPr>
        <w:spacing w:line="240" w:lineRule="auto"/>
        <w:ind w:left="567" w:right="822"/>
        <w:rPr>
          <w:rFonts w:eastAsia="Palatino Linotype" w:cs="Palatino Linotype"/>
          <w:b/>
          <w:i/>
          <w:szCs w:val="22"/>
          <w:lang w:eastAsia="es-MX"/>
        </w:rPr>
      </w:pPr>
      <w:r w:rsidRPr="003F15B3">
        <w:rPr>
          <w:rFonts w:eastAsia="Palatino Linotype" w:cs="Palatino Linotype"/>
          <w:b/>
          <w:i/>
          <w:szCs w:val="22"/>
          <w:lang w:eastAsia="es-MX"/>
        </w:rPr>
        <w:t xml:space="preserve">6) La unidad administrativa solicitante y la responsable de su ejecución; </w:t>
      </w:r>
    </w:p>
    <w:p w14:paraId="08967D39" w14:textId="77777777" w:rsidR="0059564B" w:rsidRPr="003F15B3" w:rsidRDefault="0059564B" w:rsidP="003F15B3">
      <w:pPr>
        <w:spacing w:line="240" w:lineRule="auto"/>
        <w:ind w:left="567" w:right="822"/>
        <w:rPr>
          <w:rFonts w:eastAsia="Palatino Linotype" w:cs="Palatino Linotype"/>
          <w:b/>
          <w:i/>
          <w:szCs w:val="22"/>
          <w:lang w:eastAsia="es-MX"/>
        </w:rPr>
      </w:pPr>
      <w:r w:rsidRPr="003F15B3">
        <w:rPr>
          <w:rFonts w:eastAsia="Palatino Linotype" w:cs="Palatino Linotype"/>
          <w:b/>
          <w:i/>
          <w:szCs w:val="22"/>
          <w:lang w:eastAsia="es-MX"/>
        </w:rPr>
        <w:t xml:space="preserve">7) El número, fecha, el monto del contrato y el plazo de entrega o de ejecución de los servicios u obra; </w:t>
      </w:r>
    </w:p>
    <w:p w14:paraId="026EF281" w14:textId="77777777" w:rsidR="0059564B" w:rsidRPr="003F15B3" w:rsidRDefault="0059564B" w:rsidP="003F15B3">
      <w:pPr>
        <w:spacing w:line="240" w:lineRule="auto"/>
        <w:ind w:left="567" w:right="822"/>
        <w:rPr>
          <w:rFonts w:eastAsia="Palatino Linotype" w:cs="Palatino Linotype"/>
          <w:b/>
          <w:i/>
          <w:szCs w:val="22"/>
          <w:lang w:eastAsia="es-MX"/>
        </w:rPr>
      </w:pPr>
      <w:r w:rsidRPr="003F15B3">
        <w:rPr>
          <w:rFonts w:eastAsia="Palatino Linotype" w:cs="Palatino Linotype"/>
          <w:b/>
          <w:i/>
          <w:szCs w:val="22"/>
          <w:lang w:eastAsia="es-MX"/>
        </w:rPr>
        <w:t xml:space="preserve">8) Los mecanismos de vigilancia y supervisión, incluyendo, en su caso, los estudios de impacto urbano y ambiental, según corresponda; </w:t>
      </w:r>
    </w:p>
    <w:p w14:paraId="28787A47" w14:textId="77777777" w:rsidR="0059564B" w:rsidRPr="003F15B3" w:rsidRDefault="0059564B" w:rsidP="003F15B3">
      <w:pPr>
        <w:spacing w:line="240" w:lineRule="auto"/>
        <w:ind w:left="567" w:right="822"/>
        <w:rPr>
          <w:rFonts w:eastAsia="Palatino Linotype" w:cs="Palatino Linotype"/>
          <w:b/>
          <w:i/>
          <w:szCs w:val="22"/>
          <w:lang w:eastAsia="es-MX"/>
        </w:rPr>
      </w:pPr>
      <w:proofErr w:type="gramStart"/>
      <w:r w:rsidRPr="003F15B3">
        <w:rPr>
          <w:rFonts w:eastAsia="Palatino Linotype" w:cs="Palatino Linotype"/>
          <w:b/>
          <w:i/>
          <w:szCs w:val="22"/>
          <w:lang w:eastAsia="es-MX"/>
        </w:rPr>
        <w:t>9)Los</w:t>
      </w:r>
      <w:proofErr w:type="gramEnd"/>
      <w:r w:rsidRPr="003F15B3">
        <w:rPr>
          <w:rFonts w:eastAsia="Palatino Linotype" w:cs="Palatino Linotype"/>
          <w:b/>
          <w:i/>
          <w:szCs w:val="22"/>
          <w:lang w:eastAsia="es-MX"/>
        </w:rPr>
        <w:t xml:space="preserve"> informes de avance sobre las obras o servicios contratados; </w:t>
      </w:r>
    </w:p>
    <w:p w14:paraId="29FFD867" w14:textId="77777777" w:rsidR="0059564B" w:rsidRPr="003F15B3" w:rsidRDefault="0059564B" w:rsidP="003F15B3">
      <w:pPr>
        <w:spacing w:line="240" w:lineRule="auto"/>
        <w:ind w:left="567" w:right="822"/>
        <w:rPr>
          <w:rFonts w:eastAsia="Palatino Linotype" w:cs="Palatino Linotype"/>
          <w:b/>
          <w:i/>
          <w:szCs w:val="22"/>
          <w:lang w:eastAsia="es-MX"/>
        </w:rPr>
      </w:pPr>
      <w:r w:rsidRPr="003F15B3">
        <w:rPr>
          <w:rFonts w:eastAsia="Palatino Linotype" w:cs="Palatino Linotype"/>
          <w:b/>
          <w:i/>
          <w:szCs w:val="22"/>
          <w:lang w:eastAsia="es-MX"/>
        </w:rPr>
        <w:t xml:space="preserve">10) El convenio de terminación; y </w:t>
      </w:r>
    </w:p>
    <w:p w14:paraId="27502368" w14:textId="77777777" w:rsidR="0059564B" w:rsidRPr="003F15B3" w:rsidRDefault="0059564B" w:rsidP="003F15B3">
      <w:pPr>
        <w:spacing w:line="240" w:lineRule="auto"/>
        <w:ind w:left="567" w:right="822"/>
        <w:rPr>
          <w:rFonts w:eastAsia="Palatino Linotype" w:cs="Palatino Linotype"/>
          <w:b/>
          <w:i/>
          <w:szCs w:val="22"/>
          <w:lang w:eastAsia="es-MX"/>
        </w:rPr>
      </w:pPr>
      <w:r w:rsidRPr="003F15B3">
        <w:rPr>
          <w:rFonts w:eastAsia="Palatino Linotype" w:cs="Palatino Linotype"/>
          <w:b/>
          <w:i/>
          <w:szCs w:val="22"/>
          <w:lang w:eastAsia="es-MX"/>
        </w:rPr>
        <w:t xml:space="preserve">11) El finiquito. </w:t>
      </w:r>
    </w:p>
    <w:p w14:paraId="5B35DD86" w14:textId="571DA502" w:rsidR="00FC12AD" w:rsidRPr="003F15B3" w:rsidRDefault="00FC12AD" w:rsidP="003F15B3">
      <w:pPr>
        <w:spacing w:line="240" w:lineRule="auto"/>
        <w:ind w:left="567" w:right="822"/>
        <w:rPr>
          <w:rFonts w:eastAsia="Palatino Linotype" w:cs="Palatino Linotype"/>
          <w:i/>
          <w:szCs w:val="22"/>
          <w:lang w:eastAsia="es-MX"/>
        </w:rPr>
      </w:pPr>
      <w:r w:rsidRPr="003F15B3">
        <w:rPr>
          <w:rFonts w:eastAsia="Palatino Linotype" w:cs="Palatino Linotype"/>
          <w:i/>
          <w:szCs w:val="22"/>
          <w:lang w:eastAsia="es-MX"/>
        </w:rPr>
        <w:lastRenderedPageBreak/>
        <w:t>(Énfasis añadido)</w:t>
      </w:r>
    </w:p>
    <w:p w14:paraId="3C804BE6" w14:textId="77777777" w:rsidR="00FC12AD" w:rsidRPr="003F15B3" w:rsidRDefault="00FC12AD" w:rsidP="003F15B3">
      <w:pPr>
        <w:spacing w:line="240" w:lineRule="auto"/>
        <w:ind w:left="567" w:right="822"/>
        <w:rPr>
          <w:rFonts w:eastAsia="Palatino Linotype" w:cs="Palatino Linotype"/>
          <w:i/>
          <w:szCs w:val="22"/>
          <w:lang w:eastAsia="es-MX"/>
        </w:rPr>
      </w:pPr>
    </w:p>
    <w:p w14:paraId="373E3748" w14:textId="77777777" w:rsidR="00490760" w:rsidRPr="003F15B3" w:rsidRDefault="00490760" w:rsidP="003F15B3">
      <w:pPr>
        <w:pStyle w:val="Prrafodelista"/>
        <w:widowControl w:val="0"/>
        <w:autoSpaceDE w:val="0"/>
        <w:autoSpaceDN w:val="0"/>
        <w:adjustRightInd w:val="0"/>
        <w:ind w:left="0"/>
        <w:rPr>
          <w:rFonts w:eastAsia="Palatino Linotype" w:cs="Palatino Linotype"/>
          <w:szCs w:val="22"/>
        </w:rPr>
      </w:pPr>
      <w:r w:rsidRPr="003F15B3">
        <w:rPr>
          <w:rFonts w:eastAsia="Palatino Linotype" w:cs="Palatino Linotype"/>
          <w:szCs w:val="22"/>
        </w:rPr>
        <w:t xml:space="preserve">De lo anterior, se puede advertir que la información relacionada sobre los procesos y resultados sobre procedimientos de adjudicación directa corresponde a información pública. </w:t>
      </w:r>
    </w:p>
    <w:p w14:paraId="4DAE7FF4" w14:textId="77777777" w:rsidR="00490760" w:rsidRPr="003F15B3" w:rsidRDefault="00490760" w:rsidP="003F15B3">
      <w:pPr>
        <w:pStyle w:val="Prrafodelista"/>
        <w:widowControl w:val="0"/>
        <w:autoSpaceDE w:val="0"/>
        <w:autoSpaceDN w:val="0"/>
        <w:adjustRightInd w:val="0"/>
        <w:ind w:left="0"/>
        <w:rPr>
          <w:rFonts w:eastAsia="Palatino Linotype" w:cs="Palatino Linotype"/>
          <w:szCs w:val="22"/>
        </w:rPr>
      </w:pPr>
    </w:p>
    <w:p w14:paraId="5A7E69DE" w14:textId="1DCF585B" w:rsidR="007B2A93" w:rsidRPr="003F15B3" w:rsidRDefault="00311E83" w:rsidP="003F15B3">
      <w:pPr>
        <w:pStyle w:val="Prrafodelista"/>
        <w:widowControl w:val="0"/>
        <w:autoSpaceDE w:val="0"/>
        <w:autoSpaceDN w:val="0"/>
        <w:adjustRightInd w:val="0"/>
        <w:ind w:left="0"/>
        <w:rPr>
          <w:rFonts w:eastAsia="Palatino Linotype" w:cs="Palatino Linotype"/>
          <w:szCs w:val="22"/>
        </w:rPr>
      </w:pPr>
      <w:r w:rsidRPr="003F15B3">
        <w:rPr>
          <w:rFonts w:eastAsia="Palatino Linotype" w:cs="Palatino Linotype"/>
          <w:szCs w:val="22"/>
        </w:rPr>
        <w:t xml:space="preserve">Una vez precisado lo anterior, se considera necesario precisar </w:t>
      </w:r>
      <w:r w:rsidR="007B2A93" w:rsidRPr="003F15B3">
        <w:rPr>
          <w:rFonts w:eastAsia="Palatino Linotype" w:cs="Palatino Linotype"/>
          <w:szCs w:val="22"/>
        </w:rPr>
        <w:t xml:space="preserve">la administración pública municipal será centralizada, descentralizada y autónoma, como se advierte a continuación: </w:t>
      </w:r>
    </w:p>
    <w:p w14:paraId="0A39AE2C" w14:textId="77777777" w:rsidR="007B2A93" w:rsidRPr="003F15B3" w:rsidRDefault="007B2A93" w:rsidP="003F15B3">
      <w:pPr>
        <w:pStyle w:val="Prrafodelista"/>
        <w:widowControl w:val="0"/>
        <w:autoSpaceDE w:val="0"/>
        <w:autoSpaceDN w:val="0"/>
        <w:adjustRightInd w:val="0"/>
        <w:ind w:left="0"/>
        <w:rPr>
          <w:rFonts w:eastAsia="Palatino Linotype" w:cs="Palatino Linotype"/>
          <w:szCs w:val="22"/>
        </w:rPr>
      </w:pPr>
    </w:p>
    <w:p w14:paraId="116A3AE6" w14:textId="77777777" w:rsidR="007B2A93" w:rsidRPr="003F15B3" w:rsidRDefault="007B2A93" w:rsidP="003F15B3">
      <w:pPr>
        <w:pStyle w:val="Puesto"/>
        <w:rPr>
          <w:rFonts w:eastAsia="Palatino Linotype"/>
        </w:rPr>
      </w:pPr>
      <w:r w:rsidRPr="003F15B3">
        <w:rPr>
          <w:rFonts w:eastAsia="Palatino Linotype"/>
          <w:b/>
        </w:rPr>
        <w:t>Artículo 90.</w:t>
      </w:r>
      <w:r w:rsidRPr="003F15B3">
        <w:rPr>
          <w:rFonts w:eastAsia="Palatino Linotype"/>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 </w:t>
      </w:r>
    </w:p>
    <w:p w14:paraId="59D218D4" w14:textId="77777777" w:rsidR="007B2A93" w:rsidRPr="003F15B3" w:rsidRDefault="007B2A93" w:rsidP="003F15B3">
      <w:pPr>
        <w:pStyle w:val="Puesto"/>
        <w:rPr>
          <w:rFonts w:eastAsia="Palatino Linotype"/>
        </w:rPr>
      </w:pPr>
    </w:p>
    <w:p w14:paraId="0FAF4A43" w14:textId="77777777" w:rsidR="007B2A93" w:rsidRPr="003F15B3" w:rsidRDefault="007B2A93" w:rsidP="003F15B3">
      <w:pPr>
        <w:pStyle w:val="Puesto"/>
        <w:rPr>
          <w:rFonts w:eastAsia="Palatino Linotype"/>
        </w:rPr>
      </w:pPr>
      <w:r w:rsidRPr="003F15B3">
        <w:rPr>
          <w:rFonts w:eastAsia="Palatino Linotype"/>
          <w:b/>
        </w:rPr>
        <w:t>I. DEPENDENCIAS:</w:t>
      </w:r>
      <w:r w:rsidRPr="003F15B3">
        <w:rPr>
          <w:rFonts w:eastAsia="Palatino Linotype"/>
        </w:rPr>
        <w:t xml:space="preserve"> </w:t>
      </w:r>
    </w:p>
    <w:p w14:paraId="41D43134" w14:textId="77777777" w:rsidR="007B2A93" w:rsidRPr="003F15B3" w:rsidRDefault="007B2A93" w:rsidP="003F15B3">
      <w:pPr>
        <w:pStyle w:val="Puesto"/>
        <w:rPr>
          <w:rFonts w:eastAsia="Palatino Linotype"/>
        </w:rPr>
      </w:pPr>
      <w:proofErr w:type="gramStart"/>
      <w:r w:rsidRPr="003F15B3">
        <w:rPr>
          <w:rFonts w:eastAsia="Palatino Linotype"/>
        </w:rPr>
        <w:t>1.Secretaría</w:t>
      </w:r>
      <w:proofErr w:type="gramEnd"/>
      <w:r w:rsidRPr="003F15B3">
        <w:rPr>
          <w:rFonts w:eastAsia="Palatino Linotype"/>
        </w:rPr>
        <w:t xml:space="preserve"> del Ayuntamiento; </w:t>
      </w:r>
    </w:p>
    <w:p w14:paraId="679CF20E" w14:textId="77777777" w:rsidR="007B2A93" w:rsidRPr="003F15B3" w:rsidRDefault="007B2A93" w:rsidP="003F15B3">
      <w:pPr>
        <w:pStyle w:val="Puesto"/>
        <w:rPr>
          <w:rFonts w:eastAsia="Palatino Linotype"/>
        </w:rPr>
      </w:pPr>
      <w:proofErr w:type="gramStart"/>
      <w:r w:rsidRPr="003F15B3">
        <w:rPr>
          <w:rFonts w:eastAsia="Palatino Linotype"/>
        </w:rPr>
        <w:t>2.Tesorería</w:t>
      </w:r>
      <w:proofErr w:type="gramEnd"/>
      <w:r w:rsidRPr="003F15B3">
        <w:rPr>
          <w:rFonts w:eastAsia="Palatino Linotype"/>
        </w:rPr>
        <w:t xml:space="preserve"> Municipal; </w:t>
      </w:r>
    </w:p>
    <w:p w14:paraId="6F59F72A" w14:textId="77777777" w:rsidR="007B2A93" w:rsidRPr="003F15B3" w:rsidRDefault="007B2A93" w:rsidP="003F15B3">
      <w:pPr>
        <w:pStyle w:val="Puesto"/>
        <w:rPr>
          <w:rFonts w:eastAsia="Palatino Linotype"/>
        </w:rPr>
      </w:pPr>
      <w:r w:rsidRPr="003F15B3">
        <w:rPr>
          <w:rFonts w:eastAsia="Palatino Linotype"/>
        </w:rPr>
        <w:t xml:space="preserve">3.Órgano Interno de Control; </w:t>
      </w:r>
    </w:p>
    <w:p w14:paraId="6B8964EE" w14:textId="77777777" w:rsidR="007B2A93" w:rsidRPr="003F15B3" w:rsidRDefault="007B2A93" w:rsidP="003F15B3">
      <w:pPr>
        <w:pStyle w:val="Puesto"/>
        <w:rPr>
          <w:rFonts w:eastAsia="Palatino Linotype"/>
        </w:rPr>
      </w:pPr>
      <w:proofErr w:type="gramStart"/>
      <w:r w:rsidRPr="003F15B3">
        <w:rPr>
          <w:rFonts w:eastAsia="Palatino Linotype"/>
        </w:rPr>
        <w:t>4.Dirección</w:t>
      </w:r>
      <w:proofErr w:type="gramEnd"/>
      <w:r w:rsidRPr="003F15B3">
        <w:rPr>
          <w:rFonts w:eastAsia="Palatino Linotype"/>
        </w:rPr>
        <w:t xml:space="preserve"> General de Gobierno; </w:t>
      </w:r>
    </w:p>
    <w:p w14:paraId="2AAA60C9" w14:textId="77777777" w:rsidR="007B2A93" w:rsidRPr="003F15B3" w:rsidRDefault="007B2A93" w:rsidP="003F15B3">
      <w:pPr>
        <w:pStyle w:val="Puesto"/>
        <w:rPr>
          <w:rFonts w:eastAsia="Palatino Linotype"/>
        </w:rPr>
      </w:pPr>
      <w:proofErr w:type="gramStart"/>
      <w:r w:rsidRPr="003F15B3">
        <w:rPr>
          <w:rFonts w:eastAsia="Palatino Linotype"/>
        </w:rPr>
        <w:t>5.Dirección</w:t>
      </w:r>
      <w:proofErr w:type="gramEnd"/>
      <w:r w:rsidRPr="003F15B3">
        <w:rPr>
          <w:rFonts w:eastAsia="Palatino Linotype"/>
        </w:rPr>
        <w:t xml:space="preserve"> General de Seguridad y Protección; </w:t>
      </w:r>
    </w:p>
    <w:p w14:paraId="40B87EB1" w14:textId="77777777" w:rsidR="007B2A93" w:rsidRPr="003F15B3" w:rsidRDefault="007B2A93" w:rsidP="003F15B3">
      <w:pPr>
        <w:pStyle w:val="Puesto"/>
        <w:rPr>
          <w:rFonts w:eastAsia="Palatino Linotype"/>
        </w:rPr>
      </w:pPr>
      <w:proofErr w:type="gramStart"/>
      <w:r w:rsidRPr="003F15B3">
        <w:rPr>
          <w:rFonts w:eastAsia="Palatino Linotype"/>
        </w:rPr>
        <w:t>6.Dirección</w:t>
      </w:r>
      <w:proofErr w:type="gramEnd"/>
      <w:r w:rsidRPr="003F15B3">
        <w:rPr>
          <w:rFonts w:eastAsia="Palatino Linotype"/>
        </w:rPr>
        <w:t xml:space="preserve"> General de Administración; </w:t>
      </w:r>
    </w:p>
    <w:p w14:paraId="5969DA46" w14:textId="77777777" w:rsidR="007B2A93" w:rsidRPr="003F15B3" w:rsidRDefault="007B2A93" w:rsidP="003F15B3">
      <w:pPr>
        <w:pStyle w:val="Puesto"/>
        <w:rPr>
          <w:rFonts w:eastAsia="Palatino Linotype"/>
        </w:rPr>
      </w:pPr>
      <w:proofErr w:type="gramStart"/>
      <w:r w:rsidRPr="003F15B3">
        <w:rPr>
          <w:rFonts w:eastAsia="Palatino Linotype"/>
        </w:rPr>
        <w:t>7.Dirección</w:t>
      </w:r>
      <w:proofErr w:type="gramEnd"/>
      <w:r w:rsidRPr="003F15B3">
        <w:rPr>
          <w:rFonts w:eastAsia="Palatino Linotype"/>
        </w:rPr>
        <w:t xml:space="preserve"> General de Medio Ambiente; </w:t>
      </w:r>
    </w:p>
    <w:p w14:paraId="6B308630" w14:textId="77777777" w:rsidR="007B2A93" w:rsidRPr="003F15B3" w:rsidRDefault="007B2A93" w:rsidP="003F15B3">
      <w:pPr>
        <w:pStyle w:val="Puesto"/>
        <w:rPr>
          <w:rFonts w:eastAsia="Palatino Linotype"/>
        </w:rPr>
      </w:pPr>
      <w:proofErr w:type="gramStart"/>
      <w:r w:rsidRPr="003F15B3">
        <w:rPr>
          <w:rFonts w:eastAsia="Palatino Linotype"/>
        </w:rPr>
        <w:t>8.Dirección</w:t>
      </w:r>
      <w:proofErr w:type="gramEnd"/>
      <w:r w:rsidRPr="003F15B3">
        <w:rPr>
          <w:rFonts w:eastAsia="Palatino Linotype"/>
        </w:rPr>
        <w:t xml:space="preserve"> General de Servicios Públicos; </w:t>
      </w:r>
    </w:p>
    <w:p w14:paraId="66B72919" w14:textId="77777777" w:rsidR="007B2A93" w:rsidRPr="003F15B3" w:rsidRDefault="007B2A93" w:rsidP="003F15B3">
      <w:pPr>
        <w:pStyle w:val="Puesto"/>
        <w:rPr>
          <w:rFonts w:eastAsia="Palatino Linotype"/>
        </w:rPr>
      </w:pPr>
      <w:proofErr w:type="gramStart"/>
      <w:r w:rsidRPr="003F15B3">
        <w:rPr>
          <w:rFonts w:eastAsia="Palatino Linotype"/>
        </w:rPr>
        <w:t>9.Dirección</w:t>
      </w:r>
      <w:proofErr w:type="gramEnd"/>
      <w:r w:rsidRPr="003F15B3">
        <w:rPr>
          <w:rFonts w:eastAsia="Palatino Linotype"/>
        </w:rPr>
        <w:t xml:space="preserve"> General de Innovación, Planeación y Gestión Urbana; </w:t>
      </w:r>
    </w:p>
    <w:p w14:paraId="618A427A" w14:textId="77777777" w:rsidR="007B2A93" w:rsidRPr="003F15B3" w:rsidRDefault="007B2A93" w:rsidP="003F15B3">
      <w:pPr>
        <w:pStyle w:val="Puesto"/>
        <w:rPr>
          <w:rFonts w:eastAsia="Palatino Linotype"/>
        </w:rPr>
      </w:pPr>
      <w:r w:rsidRPr="003F15B3">
        <w:rPr>
          <w:rFonts w:eastAsia="Palatino Linotype"/>
        </w:rPr>
        <w:t>10</w:t>
      </w:r>
      <w:proofErr w:type="gramStart"/>
      <w:r w:rsidRPr="003F15B3">
        <w:rPr>
          <w:rFonts w:eastAsia="Palatino Linotype"/>
        </w:rPr>
        <w:t>.Dirección</w:t>
      </w:r>
      <w:proofErr w:type="gramEnd"/>
      <w:r w:rsidRPr="003F15B3">
        <w:rPr>
          <w:rFonts w:eastAsia="Palatino Linotype"/>
        </w:rPr>
        <w:t xml:space="preserve"> General de Obras Públicas; </w:t>
      </w:r>
    </w:p>
    <w:p w14:paraId="7BD2B5C3" w14:textId="77777777" w:rsidR="007B2A93" w:rsidRPr="003F15B3" w:rsidRDefault="007B2A93" w:rsidP="003F15B3">
      <w:pPr>
        <w:pStyle w:val="Puesto"/>
        <w:rPr>
          <w:rFonts w:eastAsia="Palatino Linotype"/>
        </w:rPr>
      </w:pPr>
      <w:r w:rsidRPr="003F15B3">
        <w:rPr>
          <w:rFonts w:eastAsia="Palatino Linotype"/>
        </w:rPr>
        <w:t>11</w:t>
      </w:r>
      <w:proofErr w:type="gramStart"/>
      <w:r w:rsidRPr="003F15B3">
        <w:rPr>
          <w:rFonts w:eastAsia="Palatino Linotype"/>
        </w:rPr>
        <w:t>.Dirección</w:t>
      </w:r>
      <w:proofErr w:type="gramEnd"/>
      <w:r w:rsidRPr="003F15B3">
        <w:rPr>
          <w:rFonts w:eastAsia="Palatino Linotype"/>
        </w:rPr>
        <w:t xml:space="preserve"> General de Desarrollo Económico; </w:t>
      </w:r>
    </w:p>
    <w:p w14:paraId="0D34D47A" w14:textId="77777777" w:rsidR="007B2A93" w:rsidRPr="003F15B3" w:rsidRDefault="007B2A93" w:rsidP="003F15B3">
      <w:pPr>
        <w:pStyle w:val="Puesto"/>
        <w:rPr>
          <w:rFonts w:eastAsia="Palatino Linotype"/>
        </w:rPr>
      </w:pPr>
      <w:r w:rsidRPr="003F15B3">
        <w:rPr>
          <w:rFonts w:eastAsia="Palatino Linotype"/>
        </w:rPr>
        <w:t>12</w:t>
      </w:r>
      <w:proofErr w:type="gramStart"/>
      <w:r w:rsidRPr="003F15B3">
        <w:rPr>
          <w:rFonts w:eastAsia="Palatino Linotype"/>
        </w:rPr>
        <w:t>.Dirección</w:t>
      </w:r>
      <w:proofErr w:type="gramEnd"/>
      <w:r w:rsidRPr="003F15B3">
        <w:rPr>
          <w:rFonts w:eastAsia="Palatino Linotype"/>
        </w:rPr>
        <w:t xml:space="preserve"> General de Bienestar; y </w:t>
      </w:r>
    </w:p>
    <w:p w14:paraId="6C0F63AA" w14:textId="3EC814B4" w:rsidR="007B2A93" w:rsidRPr="003F15B3" w:rsidRDefault="007B2A93" w:rsidP="003F15B3">
      <w:pPr>
        <w:pStyle w:val="Puesto"/>
        <w:rPr>
          <w:rFonts w:eastAsia="Palatino Linotype"/>
        </w:rPr>
      </w:pPr>
      <w:r w:rsidRPr="003F15B3">
        <w:rPr>
          <w:rFonts w:eastAsia="Palatino Linotype"/>
        </w:rPr>
        <w:t>13</w:t>
      </w:r>
      <w:proofErr w:type="gramStart"/>
      <w:r w:rsidRPr="003F15B3">
        <w:rPr>
          <w:rFonts w:eastAsia="Palatino Linotype"/>
        </w:rPr>
        <w:t>.Dirección</w:t>
      </w:r>
      <w:proofErr w:type="gramEnd"/>
      <w:r w:rsidRPr="003F15B3">
        <w:rPr>
          <w:rFonts w:eastAsia="Palatino Linotype"/>
        </w:rPr>
        <w:t xml:space="preserve"> General de Educación, Cultura y Turismo. </w:t>
      </w:r>
    </w:p>
    <w:p w14:paraId="0EF95E9C" w14:textId="77777777" w:rsidR="007B2A93" w:rsidRPr="003F15B3" w:rsidRDefault="007B2A93" w:rsidP="003F15B3">
      <w:pPr>
        <w:pStyle w:val="Puesto"/>
        <w:rPr>
          <w:rFonts w:eastAsia="Palatino Linotype"/>
        </w:rPr>
      </w:pPr>
    </w:p>
    <w:p w14:paraId="1CCF02B4" w14:textId="77777777" w:rsidR="007B2A93" w:rsidRPr="003F15B3" w:rsidRDefault="007B2A93" w:rsidP="003F15B3">
      <w:pPr>
        <w:pStyle w:val="Puesto"/>
        <w:rPr>
          <w:rFonts w:eastAsia="Palatino Linotype"/>
        </w:rPr>
      </w:pPr>
      <w:r w:rsidRPr="003F15B3">
        <w:rPr>
          <w:rFonts w:eastAsia="Palatino Linotype"/>
          <w:b/>
        </w:rPr>
        <w:t>II. ORGANISMOS DESCENTRALIZADOS:</w:t>
      </w:r>
      <w:r w:rsidRPr="003F15B3">
        <w:rPr>
          <w:rFonts w:eastAsia="Palatino Linotype"/>
        </w:rPr>
        <w:t xml:space="preserve"> </w:t>
      </w:r>
    </w:p>
    <w:p w14:paraId="4D3C0328" w14:textId="77777777" w:rsidR="007B2A93" w:rsidRPr="003F15B3" w:rsidRDefault="007B2A93" w:rsidP="003F15B3">
      <w:pPr>
        <w:pStyle w:val="Puesto"/>
        <w:rPr>
          <w:rFonts w:eastAsia="Palatino Linotype"/>
        </w:rPr>
      </w:pPr>
      <w:proofErr w:type="gramStart"/>
      <w:r w:rsidRPr="003F15B3">
        <w:rPr>
          <w:rFonts w:eastAsia="Palatino Linotype"/>
        </w:rPr>
        <w:t>1.Sistema</w:t>
      </w:r>
      <w:proofErr w:type="gramEnd"/>
      <w:r w:rsidRPr="003F15B3">
        <w:rPr>
          <w:rFonts w:eastAsia="Palatino Linotype"/>
        </w:rPr>
        <w:t xml:space="preserve"> Municipal para el Desarrollo Integral de la Familia de Toluca; </w:t>
      </w:r>
    </w:p>
    <w:p w14:paraId="6C787FC2" w14:textId="77777777" w:rsidR="007B2A93" w:rsidRPr="003F15B3" w:rsidRDefault="007B2A93" w:rsidP="003F15B3">
      <w:pPr>
        <w:pStyle w:val="Puesto"/>
        <w:rPr>
          <w:rFonts w:eastAsia="Palatino Linotype"/>
        </w:rPr>
      </w:pPr>
      <w:proofErr w:type="gramStart"/>
      <w:r w:rsidRPr="003F15B3">
        <w:rPr>
          <w:rFonts w:eastAsia="Palatino Linotype"/>
        </w:rPr>
        <w:t>2.Instituto</w:t>
      </w:r>
      <w:proofErr w:type="gramEnd"/>
      <w:r w:rsidRPr="003F15B3">
        <w:rPr>
          <w:rFonts w:eastAsia="Palatino Linotype"/>
        </w:rPr>
        <w:t xml:space="preserve"> Municipal de Cultura Física y Deporte de Toluca; </w:t>
      </w:r>
    </w:p>
    <w:p w14:paraId="185D92B0" w14:textId="77777777" w:rsidR="007B2A93" w:rsidRPr="003F15B3" w:rsidRDefault="007B2A93" w:rsidP="003F15B3">
      <w:pPr>
        <w:pStyle w:val="Puesto"/>
        <w:rPr>
          <w:rFonts w:eastAsia="Palatino Linotype"/>
          <w:b/>
        </w:rPr>
      </w:pPr>
      <w:proofErr w:type="gramStart"/>
      <w:r w:rsidRPr="003F15B3">
        <w:rPr>
          <w:rFonts w:eastAsia="Palatino Linotype"/>
          <w:b/>
        </w:rPr>
        <w:t>3.Instituto</w:t>
      </w:r>
      <w:proofErr w:type="gramEnd"/>
      <w:r w:rsidRPr="003F15B3">
        <w:rPr>
          <w:rFonts w:eastAsia="Palatino Linotype"/>
          <w:b/>
        </w:rPr>
        <w:t xml:space="preserve"> Municipal de la Mujer de Toluca; y </w:t>
      </w:r>
    </w:p>
    <w:p w14:paraId="43639034" w14:textId="58D13550" w:rsidR="007B2A93" w:rsidRPr="003F15B3" w:rsidRDefault="007B2A93" w:rsidP="003F15B3">
      <w:pPr>
        <w:pStyle w:val="Puesto"/>
        <w:rPr>
          <w:rFonts w:eastAsia="Palatino Linotype"/>
        </w:rPr>
      </w:pPr>
      <w:proofErr w:type="gramStart"/>
      <w:r w:rsidRPr="003F15B3">
        <w:rPr>
          <w:rFonts w:eastAsia="Palatino Linotype"/>
        </w:rPr>
        <w:t>4.Organismo</w:t>
      </w:r>
      <w:proofErr w:type="gramEnd"/>
      <w:r w:rsidRPr="003F15B3">
        <w:rPr>
          <w:rFonts w:eastAsia="Palatino Linotype"/>
        </w:rPr>
        <w:t xml:space="preserve"> Agua y Saneamiento de Toluca. </w:t>
      </w:r>
    </w:p>
    <w:p w14:paraId="5D513209" w14:textId="77777777" w:rsidR="007B2A93" w:rsidRPr="003F15B3" w:rsidRDefault="007B2A93" w:rsidP="003F15B3">
      <w:pPr>
        <w:pStyle w:val="Puesto"/>
        <w:rPr>
          <w:rFonts w:eastAsia="Palatino Linotype"/>
        </w:rPr>
      </w:pPr>
    </w:p>
    <w:p w14:paraId="6CF733EC" w14:textId="77777777" w:rsidR="007B2A93" w:rsidRPr="003F15B3" w:rsidRDefault="007B2A93" w:rsidP="003F15B3">
      <w:pPr>
        <w:pStyle w:val="Puesto"/>
        <w:rPr>
          <w:rFonts w:eastAsia="Palatino Linotype"/>
          <w:b/>
        </w:rPr>
      </w:pPr>
      <w:r w:rsidRPr="003F15B3">
        <w:rPr>
          <w:rFonts w:eastAsia="Palatino Linotype"/>
          <w:b/>
        </w:rPr>
        <w:t xml:space="preserve">III. ÓRGANO AUTÓNOMO: </w:t>
      </w:r>
    </w:p>
    <w:p w14:paraId="367D59ED" w14:textId="628FDA38" w:rsidR="007B2A93" w:rsidRPr="003F15B3" w:rsidRDefault="007B2A93" w:rsidP="003F15B3">
      <w:pPr>
        <w:pStyle w:val="Puesto"/>
        <w:rPr>
          <w:rFonts w:eastAsia="Palatino Linotype"/>
        </w:rPr>
      </w:pPr>
      <w:proofErr w:type="gramStart"/>
      <w:r w:rsidRPr="003F15B3">
        <w:rPr>
          <w:rFonts w:eastAsia="Palatino Linotype"/>
        </w:rPr>
        <w:lastRenderedPageBreak/>
        <w:t>1.Defensoría</w:t>
      </w:r>
      <w:proofErr w:type="gramEnd"/>
      <w:r w:rsidRPr="003F15B3">
        <w:rPr>
          <w:rFonts w:eastAsia="Palatino Linotype"/>
        </w:rPr>
        <w:t xml:space="preserve"> Municipal de los Derechos Humanos de Toluca.</w:t>
      </w:r>
    </w:p>
    <w:p w14:paraId="3BC87823" w14:textId="77777777" w:rsidR="007B2A93" w:rsidRPr="003F15B3" w:rsidRDefault="007B2A93" w:rsidP="003F15B3">
      <w:pPr>
        <w:pStyle w:val="Prrafodelista"/>
        <w:widowControl w:val="0"/>
        <w:autoSpaceDE w:val="0"/>
        <w:autoSpaceDN w:val="0"/>
        <w:adjustRightInd w:val="0"/>
        <w:ind w:left="0"/>
        <w:rPr>
          <w:rFonts w:eastAsia="Palatino Linotype" w:cs="Palatino Linotype"/>
          <w:szCs w:val="22"/>
        </w:rPr>
      </w:pPr>
    </w:p>
    <w:p w14:paraId="23717FDB" w14:textId="1EF914B3" w:rsidR="00D22952" w:rsidRPr="003F15B3" w:rsidRDefault="00311E83" w:rsidP="003F15B3">
      <w:pPr>
        <w:pStyle w:val="Prrafodelista"/>
        <w:widowControl w:val="0"/>
        <w:autoSpaceDE w:val="0"/>
        <w:autoSpaceDN w:val="0"/>
        <w:adjustRightInd w:val="0"/>
        <w:ind w:left="0"/>
        <w:rPr>
          <w:rFonts w:cs="Tahoma"/>
          <w:iCs/>
          <w:szCs w:val="22"/>
          <w:lang w:val="es-ES"/>
        </w:rPr>
      </w:pPr>
      <w:r w:rsidRPr="003F15B3">
        <w:rPr>
          <w:rFonts w:eastAsia="Palatino Linotype" w:cs="Palatino Linotype"/>
          <w:szCs w:val="22"/>
        </w:rPr>
        <w:t>Ahora bien, del análisis realizado a la respuesta otorgada</w:t>
      </w:r>
      <w:r w:rsidR="00D22952" w:rsidRPr="003F15B3">
        <w:rPr>
          <w:rFonts w:eastAsia="Palatino Linotype" w:cs="Palatino Linotype"/>
          <w:szCs w:val="22"/>
        </w:rPr>
        <w:t xml:space="preserve"> este Órgano Garante advierte que se atiende parcialmente la solicitud realizada por </w:t>
      </w:r>
      <w:r w:rsidR="00D22952" w:rsidRPr="003F15B3">
        <w:rPr>
          <w:rFonts w:eastAsia="Palatino Linotype" w:cs="Palatino Linotype"/>
          <w:b/>
          <w:bCs/>
          <w:szCs w:val="22"/>
        </w:rPr>
        <w:t xml:space="preserve">LA PARTE RECURRENTE, </w:t>
      </w:r>
      <w:r w:rsidR="00D22952" w:rsidRPr="003F15B3">
        <w:rPr>
          <w:rFonts w:eastAsia="Palatino Linotype" w:cs="Palatino Linotype"/>
          <w:szCs w:val="22"/>
        </w:rPr>
        <w:t xml:space="preserve">pues </w:t>
      </w:r>
      <w:r w:rsidR="00AA1B38" w:rsidRPr="003F15B3">
        <w:rPr>
          <w:rFonts w:eastAsia="Palatino Linotype" w:cs="Palatino Linotype"/>
          <w:szCs w:val="22"/>
        </w:rPr>
        <w:t xml:space="preserve">si bien </w:t>
      </w:r>
      <w:r w:rsidR="00D22952" w:rsidRPr="003F15B3">
        <w:rPr>
          <w:rFonts w:eastAsia="Palatino Linotype" w:cs="Palatino Linotype"/>
          <w:szCs w:val="22"/>
        </w:rPr>
        <w:t>el</w:t>
      </w:r>
      <w:r w:rsidRPr="003F15B3">
        <w:rPr>
          <w:rFonts w:eastAsia="Palatino Linotype" w:cs="Palatino Linotype"/>
          <w:szCs w:val="22"/>
        </w:rPr>
        <w:t xml:space="preserve"> Instituto Municipal de la Mujer</w:t>
      </w:r>
      <w:r w:rsidR="00AA1B38" w:rsidRPr="003F15B3">
        <w:rPr>
          <w:rStyle w:val="Refdenotaalpie"/>
          <w:rFonts w:eastAsia="Palatino Linotype" w:cs="Palatino Linotype"/>
          <w:szCs w:val="22"/>
        </w:rPr>
        <w:footnoteReference w:id="1"/>
      </w:r>
      <w:r w:rsidRPr="003F15B3">
        <w:rPr>
          <w:rFonts w:eastAsia="Palatino Linotype" w:cs="Palatino Linotype"/>
          <w:szCs w:val="22"/>
        </w:rPr>
        <w:t xml:space="preserve">, </w:t>
      </w:r>
      <w:r w:rsidR="00D22952" w:rsidRPr="003F15B3">
        <w:rPr>
          <w:rFonts w:eastAsia="Palatino Linotype" w:cs="Palatino Linotype"/>
          <w:szCs w:val="22"/>
        </w:rPr>
        <w:t>hizo entrega</w:t>
      </w:r>
      <w:r w:rsidRPr="003F15B3">
        <w:rPr>
          <w:rFonts w:eastAsia="Palatino Linotype" w:cs="Palatino Linotype"/>
          <w:szCs w:val="22"/>
        </w:rPr>
        <w:t xml:space="preserve"> de </w:t>
      </w:r>
      <w:r w:rsidR="00D22952" w:rsidRPr="003F15B3">
        <w:rPr>
          <w:rFonts w:eastAsia="Palatino Linotype" w:cs="Palatino Linotype"/>
          <w:szCs w:val="22"/>
        </w:rPr>
        <w:t xml:space="preserve">seis </w:t>
      </w:r>
      <w:r w:rsidRPr="003F15B3">
        <w:rPr>
          <w:rFonts w:cs="Tahoma"/>
          <w:szCs w:val="22"/>
        </w:rPr>
        <w:t xml:space="preserve">expedientes </w:t>
      </w:r>
      <w:r w:rsidRPr="003F15B3">
        <w:rPr>
          <w:rFonts w:cs="Tahoma"/>
          <w:iCs/>
          <w:szCs w:val="22"/>
          <w:lang w:val="es-ES"/>
        </w:rPr>
        <w:t xml:space="preserve">integrados </w:t>
      </w:r>
      <w:r w:rsidR="00D22952" w:rsidRPr="003F15B3">
        <w:rPr>
          <w:rFonts w:cs="Tahoma"/>
          <w:iCs/>
          <w:szCs w:val="22"/>
          <w:lang w:val="es-ES"/>
        </w:rPr>
        <w:t xml:space="preserve">derivados de </w:t>
      </w:r>
      <w:r w:rsidRPr="003F15B3">
        <w:rPr>
          <w:rFonts w:cs="Tahoma"/>
          <w:iCs/>
          <w:szCs w:val="22"/>
          <w:lang w:val="es-ES"/>
        </w:rPr>
        <w:t xml:space="preserve">adjudicaciones directas </w:t>
      </w:r>
      <w:r w:rsidR="008E495D" w:rsidRPr="003F15B3">
        <w:rPr>
          <w:rFonts w:cs="Tahoma"/>
          <w:iCs/>
          <w:szCs w:val="22"/>
          <w:lang w:val="es-ES"/>
        </w:rPr>
        <w:t>correspondientes al ejercicio fiscal 2023</w:t>
      </w:r>
      <w:r w:rsidR="00D22952" w:rsidRPr="003F15B3">
        <w:rPr>
          <w:rFonts w:cs="Tahoma"/>
          <w:iCs/>
          <w:szCs w:val="22"/>
          <w:lang w:val="es-ES"/>
        </w:rPr>
        <w:t xml:space="preserve">; </w:t>
      </w:r>
      <w:r w:rsidR="00AA1B38" w:rsidRPr="003F15B3">
        <w:rPr>
          <w:rFonts w:cs="Tahoma"/>
          <w:iCs/>
          <w:szCs w:val="22"/>
          <w:lang w:val="es-ES"/>
        </w:rPr>
        <w:t xml:space="preserve">lo cierto es que, </w:t>
      </w:r>
      <w:r w:rsidR="007B2A93" w:rsidRPr="003F15B3">
        <w:rPr>
          <w:rFonts w:cs="Tahoma"/>
          <w:iCs/>
          <w:szCs w:val="22"/>
          <w:lang w:val="es-ES"/>
        </w:rPr>
        <w:t xml:space="preserve">respecto de respuesta proporcionada por </w:t>
      </w:r>
      <w:r w:rsidR="00D22952" w:rsidRPr="003F15B3">
        <w:rPr>
          <w:rFonts w:cs="Tahoma"/>
          <w:iCs/>
          <w:szCs w:val="22"/>
          <w:lang w:val="es-ES"/>
        </w:rPr>
        <w:t>la Dirección General de Administración a través de la Dirección de Recursos Materiales,</w:t>
      </w:r>
      <w:r w:rsidR="00AA1B38" w:rsidRPr="003F15B3">
        <w:rPr>
          <w:rFonts w:cs="Tahoma"/>
          <w:iCs/>
          <w:szCs w:val="22"/>
          <w:lang w:val="es-ES"/>
        </w:rPr>
        <w:t xml:space="preserve"> no se puede tener por colmada, pues </w:t>
      </w:r>
      <w:r w:rsidR="007B2A93" w:rsidRPr="003F15B3">
        <w:rPr>
          <w:rFonts w:cs="Tahoma"/>
          <w:iCs/>
          <w:szCs w:val="22"/>
          <w:lang w:val="es-ES"/>
        </w:rPr>
        <w:t xml:space="preserve">hizo entrega de link electrónico </w:t>
      </w:r>
      <w:r w:rsidR="00D22952" w:rsidRPr="003F15B3">
        <w:rPr>
          <w:rFonts w:cs="Tahoma"/>
          <w:iCs/>
          <w:szCs w:val="22"/>
          <w:lang w:val="es-ES"/>
        </w:rPr>
        <w:t xml:space="preserve">en formato cerrado. </w:t>
      </w:r>
    </w:p>
    <w:p w14:paraId="1DECFF28" w14:textId="77777777" w:rsidR="00D22952" w:rsidRPr="003F15B3" w:rsidRDefault="00D22952" w:rsidP="003F15B3">
      <w:pPr>
        <w:pStyle w:val="Prrafodelista"/>
        <w:widowControl w:val="0"/>
        <w:autoSpaceDE w:val="0"/>
        <w:autoSpaceDN w:val="0"/>
        <w:adjustRightInd w:val="0"/>
        <w:ind w:left="0"/>
        <w:rPr>
          <w:rFonts w:cs="Tahoma"/>
          <w:iCs/>
          <w:szCs w:val="22"/>
          <w:lang w:val="es-ES"/>
        </w:rPr>
      </w:pPr>
    </w:p>
    <w:p w14:paraId="3D8CB0D6" w14:textId="2B616145" w:rsidR="00D22952" w:rsidRPr="003F15B3" w:rsidRDefault="00D22952" w:rsidP="003F15B3">
      <w:pPr>
        <w:rPr>
          <w:lang w:val="es-ES"/>
        </w:rPr>
      </w:pPr>
      <w:r w:rsidRPr="003F15B3">
        <w:t>Por lo anterior</w:t>
      </w:r>
      <w:r w:rsidRPr="003F15B3">
        <w:rPr>
          <w:rFonts w:eastAsia="Palatino Linotype" w:cs="Palatino Linotype"/>
        </w:rPr>
        <w:t xml:space="preserve">, </w:t>
      </w:r>
      <w:r w:rsidRPr="003F15B3">
        <w:rPr>
          <w:lang w:val="es-ES"/>
        </w:rPr>
        <w:t xml:space="preserve">se considera conveniente señalar que </w:t>
      </w:r>
      <w:r w:rsidRPr="003F15B3">
        <w:rPr>
          <w:lang w:val="es-ES" w:eastAsia="es-MX"/>
        </w:rPr>
        <w:t xml:space="preserve">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5968E5FF" w14:textId="77777777" w:rsidR="00D22952" w:rsidRPr="003F15B3" w:rsidRDefault="00D22952" w:rsidP="003F15B3">
      <w:pPr>
        <w:ind w:left="720"/>
        <w:contextualSpacing/>
        <w:rPr>
          <w:i/>
          <w:lang w:val="es-ES" w:eastAsia="es-MX"/>
        </w:rPr>
      </w:pPr>
    </w:p>
    <w:p w14:paraId="284C42D4" w14:textId="77777777" w:rsidR="00D22952" w:rsidRPr="003F15B3" w:rsidRDefault="00D22952" w:rsidP="003F15B3">
      <w:pPr>
        <w:spacing w:line="240" w:lineRule="auto"/>
        <w:ind w:left="567" w:right="567"/>
        <w:contextualSpacing/>
        <w:rPr>
          <w:i/>
          <w:kern w:val="28"/>
          <w:szCs w:val="56"/>
          <w:lang w:val="es-ES_tradnl"/>
        </w:rPr>
      </w:pPr>
      <w:r w:rsidRPr="003F15B3">
        <w:rPr>
          <w:i/>
          <w:kern w:val="28"/>
          <w:szCs w:val="56"/>
          <w:lang w:val="es-ES"/>
        </w:rPr>
        <w:t>“</w:t>
      </w:r>
      <w:r w:rsidRPr="003F15B3">
        <w:rPr>
          <w:b/>
          <w:i/>
          <w:kern w:val="28"/>
          <w:szCs w:val="56"/>
          <w:lang w:val="es-ES"/>
        </w:rPr>
        <w:t>Artículo 161.</w:t>
      </w:r>
      <w:r w:rsidRPr="003F15B3">
        <w:rPr>
          <w:i/>
          <w:kern w:val="28"/>
          <w:szCs w:val="56"/>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3F15B3">
        <w:rPr>
          <w:b/>
          <w:i/>
          <w:kern w:val="28"/>
          <w:szCs w:val="56"/>
          <w:lang w:val="es-ES"/>
        </w:rPr>
        <w:t>la forma</w:t>
      </w:r>
      <w:r w:rsidRPr="003F15B3">
        <w:rPr>
          <w:i/>
          <w:kern w:val="28"/>
          <w:szCs w:val="56"/>
          <w:lang w:val="es-ES"/>
        </w:rPr>
        <w:t xml:space="preserve"> en que puede consultar, reproducir o adquirir dicha información en un plazo no mayor a cinco días hábiles.</w:t>
      </w:r>
      <w:r w:rsidRPr="003F15B3">
        <w:rPr>
          <w:b/>
          <w:i/>
          <w:kern w:val="28"/>
          <w:szCs w:val="56"/>
          <w:lang w:val="es-ES"/>
        </w:rPr>
        <w:t xml:space="preserve"> La fuente deberá ser precisa y </w:t>
      </w:r>
      <w:r w:rsidRPr="003F15B3">
        <w:rPr>
          <w:b/>
          <w:i/>
          <w:iCs/>
          <w:kern w:val="28"/>
          <w:szCs w:val="22"/>
          <w:lang w:val="es-ES" w:eastAsia="es-MX"/>
        </w:rPr>
        <w:t>concreta</w:t>
      </w:r>
      <w:r w:rsidRPr="003F15B3">
        <w:rPr>
          <w:b/>
          <w:i/>
          <w:kern w:val="28"/>
          <w:szCs w:val="56"/>
          <w:lang w:val="es-ES"/>
        </w:rPr>
        <w:t xml:space="preserve"> y no debe implicar que el solicitante realice una búsqueda en toda la información que se encuentre disponible.</w:t>
      </w:r>
      <w:r w:rsidRPr="003F15B3">
        <w:rPr>
          <w:i/>
          <w:kern w:val="28"/>
          <w:szCs w:val="56"/>
          <w:lang w:val="es-ES"/>
        </w:rPr>
        <w:t>”</w:t>
      </w:r>
    </w:p>
    <w:p w14:paraId="10AC74AB" w14:textId="77777777" w:rsidR="00D22952" w:rsidRPr="003F15B3" w:rsidRDefault="00D22952" w:rsidP="003F15B3">
      <w:pPr>
        <w:ind w:left="720"/>
        <w:contextualSpacing/>
        <w:rPr>
          <w:lang w:val="es-ES" w:eastAsia="es-MX"/>
        </w:rPr>
      </w:pPr>
    </w:p>
    <w:p w14:paraId="087CFDF2" w14:textId="36C24AC1" w:rsidR="00D22952" w:rsidRPr="003F15B3" w:rsidRDefault="00D22952" w:rsidP="003F15B3">
      <w:pPr>
        <w:ind w:right="49"/>
        <w:contextualSpacing/>
        <w:rPr>
          <w:rFonts w:cs="Arial"/>
          <w:lang w:val="es-ES"/>
        </w:rPr>
      </w:pPr>
      <w:r w:rsidRPr="003F15B3">
        <w:rPr>
          <w:rFonts w:cs="Arial"/>
          <w:lang w:val="es-ES"/>
        </w:rPr>
        <w:lastRenderedPageBreak/>
        <w:t xml:space="preserve">Así las </w:t>
      </w:r>
      <w:r w:rsidR="00944643" w:rsidRPr="003F15B3">
        <w:rPr>
          <w:rFonts w:cs="Arial"/>
          <w:lang w:val="es-ES"/>
        </w:rPr>
        <w:t>cosas,</w:t>
      </w:r>
      <w:r w:rsidRPr="003F15B3">
        <w:rPr>
          <w:rFonts w:cs="Arial"/>
          <w:lang w:val="es-ES"/>
        </w:rPr>
        <w:t xml:space="preserve"> este Órgano Garante advierte que la información que pretendía entregar </w:t>
      </w:r>
      <w:r w:rsidRPr="003F15B3">
        <w:rPr>
          <w:rFonts w:cs="Arial"/>
          <w:bCs/>
          <w:lang w:val="es-ES"/>
        </w:rPr>
        <w:t>la</w:t>
      </w:r>
      <w:r w:rsidRPr="003F15B3">
        <w:rPr>
          <w:rFonts w:cs="Arial"/>
          <w:b/>
          <w:lang w:val="es-ES"/>
        </w:rPr>
        <w:t xml:space="preserve"> Dirección de Administración </w:t>
      </w:r>
      <w:r w:rsidRPr="003F15B3">
        <w:rPr>
          <w:rFonts w:cs="Arial"/>
          <w:lang w:val="es-ES"/>
        </w:rPr>
        <w:t xml:space="preserve">no se encuentra acorde a lo que establece la Ley de la materia, pues en primer término no se realizó dentro de los primero cinco días, además </w:t>
      </w:r>
      <w:r w:rsidR="00944643" w:rsidRPr="003F15B3">
        <w:rPr>
          <w:rFonts w:cs="Arial"/>
          <w:lang w:val="es-ES"/>
        </w:rPr>
        <w:t>el link electrónico proporcionado se encuentra</w:t>
      </w:r>
      <w:r w:rsidRPr="003F15B3">
        <w:rPr>
          <w:rFonts w:cs="Arial"/>
          <w:lang w:val="es-ES"/>
        </w:rPr>
        <w:t xml:space="preserve"> en formato cerrado; es decir, implica que la particular transcriba el mismo, lo que pudiera generar la existencia de un error humano y hacer imposible su consulta.  </w:t>
      </w:r>
    </w:p>
    <w:p w14:paraId="3E26DF44" w14:textId="77777777" w:rsidR="00D22952" w:rsidRPr="003F15B3" w:rsidRDefault="00D22952" w:rsidP="003F15B3">
      <w:pPr>
        <w:ind w:right="49"/>
        <w:contextualSpacing/>
        <w:rPr>
          <w:rFonts w:cs="Arial"/>
          <w:lang w:val="es-ES"/>
        </w:rPr>
      </w:pPr>
    </w:p>
    <w:p w14:paraId="74500FF0" w14:textId="77777777" w:rsidR="00D22952" w:rsidRPr="003F15B3" w:rsidRDefault="00D22952" w:rsidP="003F15B3">
      <w:pPr>
        <w:ind w:right="49"/>
        <w:contextualSpacing/>
        <w:rPr>
          <w:lang w:eastAsia="es-MX"/>
        </w:rPr>
      </w:pPr>
      <w:r w:rsidRPr="003F15B3">
        <w:rPr>
          <w:rFonts w:cs="Arial"/>
          <w:lang w:val="es-ES"/>
        </w:rPr>
        <w:t xml:space="preserve">Derivado de lo anterior, cabe destacar que </w:t>
      </w:r>
      <w:r w:rsidRPr="003F15B3">
        <w:rPr>
          <w:lang w:eastAsia="es-MX"/>
        </w:rPr>
        <w:t>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3E805B08" w14:textId="56E638A1" w:rsidR="00D22952" w:rsidRPr="003F15B3" w:rsidRDefault="00D22952" w:rsidP="003F15B3">
      <w:pPr>
        <w:rPr>
          <w:lang w:eastAsia="es-MX"/>
        </w:rPr>
      </w:pPr>
    </w:p>
    <w:p w14:paraId="5D310AA9" w14:textId="77777777" w:rsidR="00D22952" w:rsidRPr="003F15B3" w:rsidRDefault="00D22952" w:rsidP="003F15B3">
      <w:pPr>
        <w:rPr>
          <w:lang w:eastAsia="es-MX"/>
        </w:rPr>
      </w:pPr>
      <w:r w:rsidRPr="003F15B3">
        <w:rPr>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3D72DD8C" w14:textId="77777777" w:rsidR="00D22952" w:rsidRPr="003F15B3" w:rsidRDefault="00D22952" w:rsidP="003F15B3">
      <w:pPr>
        <w:rPr>
          <w:lang w:eastAsia="es-MX"/>
        </w:rPr>
      </w:pPr>
      <w:r w:rsidRPr="003F15B3">
        <w:rPr>
          <w:lang w:eastAsia="es-MX"/>
        </w:rPr>
        <w:t> </w:t>
      </w:r>
    </w:p>
    <w:p w14:paraId="7AAA09C4" w14:textId="77777777" w:rsidR="00D22952" w:rsidRPr="003F15B3" w:rsidRDefault="00D22952" w:rsidP="003F15B3">
      <w:pPr>
        <w:rPr>
          <w:rFonts w:cs="Tahoma"/>
          <w:b/>
          <w:bCs/>
          <w:i/>
        </w:rPr>
      </w:pPr>
      <w:r w:rsidRPr="003F15B3">
        <w:rPr>
          <w:rFonts w:eastAsia="Calibri" w:cs="Tahoma"/>
          <w:bCs/>
        </w:rPr>
        <w:t xml:space="preserve">Derivado de lo anterior, se considera necesario precisar que datos abiertos, conforme a la </w:t>
      </w:r>
      <w:r w:rsidRPr="003F15B3">
        <w:rPr>
          <w:rFonts w:cs="Tahoma"/>
          <w:bCs/>
        </w:rPr>
        <w:t>Carta Internacional de Datos Abiertos</w:t>
      </w:r>
      <w:r w:rsidRPr="003F15B3">
        <w:rPr>
          <w:rFonts w:cs="Tahoma"/>
          <w:bCs/>
          <w:vertAlign w:val="superscript"/>
        </w:rPr>
        <w:footnoteReference w:id="2"/>
      </w:r>
      <w:r w:rsidRPr="003F15B3">
        <w:rPr>
          <w:rFonts w:eastAsia="Calibri" w:cs="Tahoma"/>
          <w:bCs/>
        </w:rPr>
        <w:t xml:space="preserve"> </w:t>
      </w:r>
      <w:r w:rsidRPr="003F15B3">
        <w:rPr>
          <w:rFonts w:cs="Tahoma"/>
          <w:bCs/>
          <w:i/>
        </w:rPr>
        <w:t xml:space="preserve">son datos digitales que son puestos a disposición con las características técnicas y jurídicas necesarias para que </w:t>
      </w:r>
      <w:r w:rsidRPr="003F15B3">
        <w:rPr>
          <w:rFonts w:cs="Tahoma"/>
          <w:b/>
          <w:bCs/>
          <w:i/>
        </w:rPr>
        <w:t xml:space="preserve">puedan ser </w:t>
      </w:r>
      <w:r w:rsidRPr="003F15B3">
        <w:rPr>
          <w:rFonts w:cs="Tahoma"/>
          <w:b/>
          <w:bCs/>
          <w:i/>
          <w:u w:val="single"/>
        </w:rPr>
        <w:t>usados, reutilizados y redistribuidos</w:t>
      </w:r>
      <w:r w:rsidRPr="003F15B3">
        <w:rPr>
          <w:rFonts w:cs="Tahoma"/>
          <w:b/>
          <w:bCs/>
          <w:i/>
        </w:rPr>
        <w:t xml:space="preserve"> libremente por cualquier persona, en cualquier momento y en cualquier lugar.</w:t>
      </w:r>
    </w:p>
    <w:p w14:paraId="68459019" w14:textId="77777777" w:rsidR="00D22952" w:rsidRPr="003F15B3" w:rsidRDefault="00D22952" w:rsidP="003F15B3">
      <w:pPr>
        <w:rPr>
          <w:lang w:eastAsia="es-MX"/>
        </w:rPr>
      </w:pPr>
    </w:p>
    <w:p w14:paraId="4FB5FE80" w14:textId="77777777" w:rsidR="00D22952" w:rsidRPr="003F15B3" w:rsidRDefault="00D22952" w:rsidP="003F15B3">
      <w:pPr>
        <w:rPr>
          <w:lang w:eastAsia="es-MX"/>
        </w:rPr>
      </w:pPr>
      <w:r w:rsidRPr="003F15B3">
        <w:rPr>
          <w:lang w:eastAsia="es-MX"/>
        </w:rPr>
        <w:lastRenderedPageBreak/>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13F1522A" w14:textId="77777777" w:rsidR="00D22952" w:rsidRPr="003F15B3" w:rsidRDefault="00D22952" w:rsidP="003F15B3">
      <w:pPr>
        <w:rPr>
          <w:lang w:eastAsia="es-MX"/>
        </w:rPr>
      </w:pPr>
      <w:r w:rsidRPr="003F15B3">
        <w:rPr>
          <w:lang w:eastAsia="es-MX"/>
        </w:rPr>
        <w:t> </w:t>
      </w:r>
    </w:p>
    <w:p w14:paraId="2BE9CAAF" w14:textId="77777777" w:rsidR="00D22952" w:rsidRPr="003F15B3" w:rsidRDefault="00D22952" w:rsidP="003F15B3">
      <w:pPr>
        <w:ind w:left="720"/>
        <w:rPr>
          <w:lang w:eastAsia="es-MX"/>
        </w:rPr>
      </w:pPr>
      <w:r w:rsidRPr="003F15B3">
        <w:rPr>
          <w:lang w:eastAsia="es-MX"/>
        </w:rPr>
        <w:t xml:space="preserve">·         </w:t>
      </w:r>
      <w:r w:rsidRPr="003F15B3">
        <w:rPr>
          <w:b/>
          <w:bCs/>
          <w:lang w:eastAsia="es-MX"/>
        </w:rPr>
        <w:t xml:space="preserve">Dato abierto: </w:t>
      </w:r>
      <w:r w:rsidRPr="003F15B3">
        <w:rPr>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4311629B" w14:textId="77777777" w:rsidR="00D22952" w:rsidRPr="003F15B3" w:rsidRDefault="00D22952" w:rsidP="003F15B3">
      <w:pPr>
        <w:ind w:left="720"/>
        <w:rPr>
          <w:lang w:eastAsia="es-MX"/>
        </w:rPr>
      </w:pPr>
      <w:r w:rsidRPr="003F15B3">
        <w:rPr>
          <w:b/>
          <w:bCs/>
          <w:lang w:eastAsia="es-MX"/>
        </w:rPr>
        <w:t> </w:t>
      </w:r>
    </w:p>
    <w:p w14:paraId="0D00B5A5" w14:textId="77777777" w:rsidR="00D22952" w:rsidRPr="003F15B3" w:rsidRDefault="00D22952" w:rsidP="003F15B3">
      <w:pPr>
        <w:ind w:left="720"/>
        <w:rPr>
          <w:lang w:eastAsia="es-MX"/>
        </w:rPr>
      </w:pPr>
      <w:r w:rsidRPr="003F15B3">
        <w:rPr>
          <w:lang w:eastAsia="es-MX"/>
        </w:rPr>
        <w:t xml:space="preserve">·         </w:t>
      </w:r>
      <w:r w:rsidRPr="003F15B3">
        <w:rPr>
          <w:b/>
          <w:bCs/>
          <w:lang w:eastAsia="es-MX"/>
        </w:rPr>
        <w:t xml:space="preserve">Formato accesible: </w:t>
      </w:r>
      <w:r w:rsidRPr="003F15B3">
        <w:rPr>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F452C8B" w14:textId="59176E6D" w:rsidR="00D22952" w:rsidRPr="003F15B3" w:rsidRDefault="00D22952" w:rsidP="003F15B3">
      <w:pPr>
        <w:rPr>
          <w:lang w:eastAsia="es-MX"/>
        </w:rPr>
      </w:pPr>
    </w:p>
    <w:p w14:paraId="4BCAB3C7" w14:textId="77777777" w:rsidR="00D22952" w:rsidRPr="003F15B3" w:rsidRDefault="00D22952" w:rsidP="003F15B3">
      <w:pPr>
        <w:rPr>
          <w:rFonts w:cs="Tahoma"/>
          <w:bCs/>
        </w:rPr>
      </w:pPr>
      <w:r w:rsidRPr="003F15B3">
        <w:rPr>
          <w:rFonts w:cs="Tahoma"/>
          <w:bCs/>
        </w:rPr>
        <w:t xml:space="preserve">Es así que, los datos abiertos cumplen con la finalidad de poder ser utilizados, </w:t>
      </w:r>
      <w:r w:rsidRPr="003F15B3">
        <w:rPr>
          <w:rFonts w:cs="Tahoma"/>
          <w:b/>
          <w:bCs/>
          <w:u w:val="single"/>
        </w:rPr>
        <w:t xml:space="preserve">reutilizados </w:t>
      </w:r>
      <w:r w:rsidRPr="003F15B3">
        <w:rPr>
          <w:rFonts w:cs="Tahoma"/>
          <w:bCs/>
        </w:rPr>
        <w:t xml:space="preserve">y redistribuidos; y que el formato de datos abiertos, </w:t>
      </w:r>
      <w:r w:rsidRPr="003F15B3">
        <w:rPr>
          <w:rFonts w:cs="Tahoma"/>
          <w:b/>
          <w:bCs/>
        </w:rPr>
        <w:t>debe permitir la aplicación y reproducción</w:t>
      </w:r>
      <w:r w:rsidRPr="003F15B3">
        <w:rPr>
          <w:rFonts w:cs="Tahoma"/>
          <w:bC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3F15B3">
        <w:rPr>
          <w:rFonts w:cs="Tahoma"/>
          <w:bCs/>
        </w:rPr>
        <w:t>pdf</w:t>
      </w:r>
      <w:proofErr w:type="spellEnd"/>
      <w:r w:rsidRPr="003F15B3">
        <w:rPr>
          <w:rFonts w:cs="Tahoma"/>
          <w:bCs/>
        </w:rPr>
        <w:t>, no permite seleccionar texto, copiarlo y pegarlo; por tanto, tampoco permite que la información pueda ser utilizada, reutilizada o redistribuida.</w:t>
      </w:r>
    </w:p>
    <w:p w14:paraId="3A5FA6B2" w14:textId="77777777" w:rsidR="00D22952" w:rsidRPr="003F15B3" w:rsidRDefault="00D22952" w:rsidP="003F15B3">
      <w:pPr>
        <w:rPr>
          <w:lang w:eastAsia="es-MX"/>
        </w:rPr>
      </w:pPr>
    </w:p>
    <w:p w14:paraId="028AC67F" w14:textId="77777777" w:rsidR="00D22952" w:rsidRPr="003F15B3" w:rsidRDefault="00D22952" w:rsidP="003F15B3">
      <w:pPr>
        <w:rPr>
          <w:lang w:eastAsia="es-MX"/>
        </w:rPr>
      </w:pPr>
      <w:r w:rsidRPr="003F15B3">
        <w:rPr>
          <w:lang w:eastAsia="es-MX"/>
        </w:rPr>
        <w:lastRenderedPageBreak/>
        <w:t xml:space="preserve">Conforme a lo anterior, se solicita al </w:t>
      </w:r>
      <w:r w:rsidRPr="003F15B3">
        <w:rPr>
          <w:b/>
          <w:lang w:eastAsia="es-MX"/>
        </w:rPr>
        <w:t xml:space="preserve">SUJETO OBLIGADO </w:t>
      </w:r>
      <w:r w:rsidRPr="003F15B3">
        <w:rPr>
          <w:lang w:eastAsia="es-MX"/>
        </w:rPr>
        <w:t>que en subsecuentes ocasiones haga entrega en datos abiertos, es decir, en un formato que permita la accesibilidad y facilidad a los Particulares, para obtener la información contenida estas.</w:t>
      </w:r>
    </w:p>
    <w:p w14:paraId="72C87ACC" w14:textId="77777777" w:rsidR="00D22952" w:rsidRPr="003F15B3" w:rsidRDefault="00D22952" w:rsidP="003F15B3">
      <w:pPr>
        <w:pStyle w:val="Prrafodelista"/>
        <w:widowControl w:val="0"/>
        <w:autoSpaceDE w:val="0"/>
        <w:autoSpaceDN w:val="0"/>
        <w:adjustRightInd w:val="0"/>
        <w:ind w:left="0"/>
        <w:rPr>
          <w:rFonts w:cs="Tahoma"/>
          <w:iCs/>
          <w:szCs w:val="22"/>
        </w:rPr>
      </w:pPr>
    </w:p>
    <w:p w14:paraId="398F0DBD" w14:textId="59A9E39F" w:rsidR="00D80DF7" w:rsidRPr="003F15B3" w:rsidRDefault="00D80DF7" w:rsidP="003F15B3">
      <w:pPr>
        <w:rPr>
          <w:rFonts w:eastAsia="Calibri"/>
          <w:lang w:eastAsia="es-ES_tradnl"/>
        </w:rPr>
      </w:pPr>
      <w:r w:rsidRPr="003F15B3">
        <w:rPr>
          <w:rFonts w:cs="Tahoma"/>
          <w:iCs/>
          <w:szCs w:val="22"/>
        </w:rPr>
        <w:t xml:space="preserve">En consecuencia, este Órgano Garante determina ordenar de ser procedente en </w:t>
      </w:r>
      <w:r w:rsidRPr="003F15B3">
        <w:rPr>
          <w:rFonts w:cs="Tahoma"/>
          <w:b/>
          <w:bCs/>
          <w:iCs/>
          <w:szCs w:val="22"/>
        </w:rPr>
        <w:t xml:space="preserve">versión pública </w:t>
      </w:r>
      <w:r w:rsidRPr="003F15B3">
        <w:rPr>
          <w:rFonts w:cs="Tahoma"/>
          <w:iCs/>
          <w:szCs w:val="22"/>
        </w:rPr>
        <w:t xml:space="preserve">los </w:t>
      </w:r>
      <w:r w:rsidRPr="003F15B3">
        <w:rPr>
          <w:rFonts w:eastAsia="Calibri"/>
          <w:lang w:eastAsia="es-ES_tradnl"/>
        </w:rPr>
        <w:t xml:space="preserve">expedientes de las adjudicaciones directas faltantes correspondientes al año 2023, incluyendo los contratos. </w:t>
      </w:r>
    </w:p>
    <w:p w14:paraId="0CEE92FB" w14:textId="77777777" w:rsidR="00D80DF7" w:rsidRPr="003F15B3" w:rsidRDefault="00D80DF7" w:rsidP="003F15B3">
      <w:pPr>
        <w:rPr>
          <w:rFonts w:cs="Tahoma"/>
          <w:iCs/>
          <w:szCs w:val="22"/>
        </w:rPr>
      </w:pPr>
    </w:p>
    <w:p w14:paraId="2FF50FBC" w14:textId="1D01667D" w:rsidR="00A77B3B" w:rsidRPr="003F15B3" w:rsidRDefault="003F15B3" w:rsidP="003F15B3">
      <w:pPr>
        <w:keepNext/>
        <w:keepLines/>
        <w:spacing w:line="480" w:lineRule="auto"/>
        <w:outlineLvl w:val="2"/>
        <w:rPr>
          <w:b/>
          <w:szCs w:val="28"/>
        </w:rPr>
      </w:pPr>
      <w:bookmarkStart w:id="44" w:name="_Toc206614408"/>
      <w:r>
        <w:rPr>
          <w:b/>
          <w:szCs w:val="28"/>
        </w:rPr>
        <w:t>d</w:t>
      </w:r>
      <w:r w:rsidR="00A77B3B" w:rsidRPr="003F15B3">
        <w:rPr>
          <w:b/>
          <w:szCs w:val="28"/>
        </w:rPr>
        <w:t>) Versión pública</w:t>
      </w:r>
      <w:bookmarkEnd w:id="44"/>
    </w:p>
    <w:p w14:paraId="67695E89" w14:textId="7FBEEC27" w:rsidR="00A77B3B" w:rsidRPr="003F15B3" w:rsidRDefault="00052402" w:rsidP="003F15B3">
      <w:r w:rsidRPr="003F15B3">
        <w:t>L</w:t>
      </w:r>
      <w:r w:rsidR="00A77B3B" w:rsidRPr="003F15B3">
        <w:t xml:space="preserve">os documentos de los cuales se ordena su entrega deberán ser entregados en </w:t>
      </w:r>
      <w:r w:rsidR="00A77B3B" w:rsidRPr="003F15B3">
        <w:rPr>
          <w:b/>
        </w:rPr>
        <w:t>versión pública</w:t>
      </w:r>
      <w:r w:rsidR="00A77B3B" w:rsidRPr="003F15B3">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05C934C" w14:textId="77777777" w:rsidR="00A77B3B" w:rsidRPr="003F15B3" w:rsidRDefault="00A77B3B" w:rsidP="003F15B3"/>
    <w:p w14:paraId="0A8BA92C" w14:textId="77777777" w:rsidR="00A77B3B" w:rsidRPr="003F15B3" w:rsidRDefault="00A77B3B" w:rsidP="003F15B3">
      <w:r w:rsidRPr="003F15B3">
        <w:t>A este respecto, los artículos 3, fracciones IX, XX, XXI y XLV; 51 y 52 de la Ley de Transparencia y Acceso a la Información Pública del Estado de México y Municipios establecen:</w:t>
      </w:r>
    </w:p>
    <w:p w14:paraId="2AE5B94E" w14:textId="77777777" w:rsidR="00A77B3B" w:rsidRPr="003F15B3" w:rsidRDefault="00A77B3B" w:rsidP="003F15B3"/>
    <w:p w14:paraId="4A02A147" w14:textId="77777777" w:rsidR="00A77B3B" w:rsidRPr="003F15B3" w:rsidRDefault="00A77B3B" w:rsidP="003F15B3">
      <w:pPr>
        <w:spacing w:line="240" w:lineRule="auto"/>
        <w:ind w:left="567" w:right="567"/>
        <w:contextualSpacing/>
        <w:rPr>
          <w:i/>
          <w:kern w:val="28"/>
          <w:szCs w:val="56"/>
        </w:rPr>
      </w:pPr>
      <w:r w:rsidRPr="003F15B3">
        <w:rPr>
          <w:b/>
          <w:i/>
          <w:kern w:val="28"/>
          <w:szCs w:val="56"/>
        </w:rPr>
        <w:t xml:space="preserve">“Artículo 3. </w:t>
      </w:r>
      <w:r w:rsidRPr="003F15B3">
        <w:rPr>
          <w:i/>
          <w:kern w:val="28"/>
          <w:szCs w:val="56"/>
        </w:rPr>
        <w:t xml:space="preserve">Para los efectos de la presente Ley se entenderá por: </w:t>
      </w:r>
    </w:p>
    <w:p w14:paraId="61F2069E" w14:textId="77777777" w:rsidR="00A77B3B" w:rsidRPr="003F15B3" w:rsidRDefault="00A77B3B" w:rsidP="003F15B3">
      <w:pPr>
        <w:spacing w:line="240" w:lineRule="auto"/>
        <w:ind w:left="567" w:right="567"/>
        <w:contextualSpacing/>
        <w:rPr>
          <w:i/>
          <w:kern w:val="28"/>
          <w:szCs w:val="56"/>
        </w:rPr>
      </w:pPr>
      <w:r w:rsidRPr="003F15B3">
        <w:rPr>
          <w:b/>
          <w:i/>
          <w:kern w:val="28"/>
          <w:szCs w:val="56"/>
        </w:rPr>
        <w:t>IX.</w:t>
      </w:r>
      <w:r w:rsidRPr="003F15B3">
        <w:rPr>
          <w:i/>
          <w:kern w:val="28"/>
          <w:szCs w:val="56"/>
        </w:rPr>
        <w:t xml:space="preserve"> </w:t>
      </w:r>
      <w:r w:rsidRPr="003F15B3">
        <w:rPr>
          <w:b/>
          <w:i/>
          <w:kern w:val="28"/>
          <w:szCs w:val="56"/>
        </w:rPr>
        <w:t xml:space="preserve">Datos personales: </w:t>
      </w:r>
      <w:r w:rsidRPr="003F15B3">
        <w:rPr>
          <w:i/>
          <w:kern w:val="28"/>
          <w:szCs w:val="56"/>
        </w:rPr>
        <w:t xml:space="preserve">La información concerniente a una persona, identificada o identificable según lo dispuesto por la Ley de Protección de Datos Personales del Estado de México; </w:t>
      </w:r>
    </w:p>
    <w:p w14:paraId="1CF4D5D5" w14:textId="77777777" w:rsidR="00A77B3B" w:rsidRPr="003F15B3" w:rsidRDefault="00A77B3B" w:rsidP="003F15B3"/>
    <w:p w14:paraId="77BC1E92" w14:textId="77777777" w:rsidR="00A77B3B" w:rsidRPr="003F15B3" w:rsidRDefault="00A77B3B" w:rsidP="003F15B3">
      <w:pPr>
        <w:spacing w:line="240" w:lineRule="auto"/>
        <w:ind w:left="567" w:right="567"/>
        <w:contextualSpacing/>
        <w:rPr>
          <w:i/>
          <w:kern w:val="28"/>
          <w:szCs w:val="56"/>
        </w:rPr>
      </w:pPr>
      <w:r w:rsidRPr="003F15B3">
        <w:rPr>
          <w:b/>
          <w:i/>
          <w:kern w:val="28"/>
          <w:szCs w:val="56"/>
        </w:rPr>
        <w:lastRenderedPageBreak/>
        <w:t>XX.</w:t>
      </w:r>
      <w:r w:rsidRPr="003F15B3">
        <w:rPr>
          <w:i/>
          <w:kern w:val="28"/>
          <w:szCs w:val="56"/>
        </w:rPr>
        <w:t xml:space="preserve"> </w:t>
      </w:r>
      <w:r w:rsidRPr="003F15B3">
        <w:rPr>
          <w:b/>
          <w:i/>
          <w:kern w:val="28"/>
          <w:szCs w:val="56"/>
        </w:rPr>
        <w:t>Información clasificada:</w:t>
      </w:r>
      <w:r w:rsidRPr="003F15B3">
        <w:rPr>
          <w:i/>
          <w:kern w:val="28"/>
          <w:szCs w:val="56"/>
        </w:rPr>
        <w:t xml:space="preserve"> Aquella considerada por la presente Ley como reservada o confidencial; </w:t>
      </w:r>
    </w:p>
    <w:p w14:paraId="06EDD136" w14:textId="77777777" w:rsidR="00A77B3B" w:rsidRPr="003F15B3" w:rsidRDefault="00A77B3B" w:rsidP="003F15B3"/>
    <w:p w14:paraId="6C7FB5FE" w14:textId="77777777" w:rsidR="00A77B3B" w:rsidRPr="003F15B3" w:rsidRDefault="00A77B3B" w:rsidP="003F15B3">
      <w:pPr>
        <w:spacing w:line="240" w:lineRule="auto"/>
        <w:ind w:left="567" w:right="567"/>
        <w:contextualSpacing/>
        <w:rPr>
          <w:i/>
          <w:kern w:val="28"/>
          <w:szCs w:val="56"/>
        </w:rPr>
      </w:pPr>
      <w:r w:rsidRPr="003F15B3">
        <w:rPr>
          <w:b/>
          <w:i/>
          <w:kern w:val="28"/>
          <w:szCs w:val="56"/>
        </w:rPr>
        <w:t>XXI.</w:t>
      </w:r>
      <w:r w:rsidRPr="003F15B3">
        <w:rPr>
          <w:i/>
          <w:kern w:val="28"/>
          <w:szCs w:val="56"/>
        </w:rPr>
        <w:t xml:space="preserve"> </w:t>
      </w:r>
      <w:r w:rsidRPr="003F15B3">
        <w:rPr>
          <w:b/>
          <w:i/>
          <w:kern w:val="28"/>
          <w:szCs w:val="56"/>
        </w:rPr>
        <w:t>Información confidencial</w:t>
      </w:r>
      <w:r w:rsidRPr="003F15B3">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75C602" w14:textId="77777777" w:rsidR="00A77B3B" w:rsidRPr="003F15B3" w:rsidRDefault="00A77B3B" w:rsidP="003F15B3"/>
    <w:p w14:paraId="133A3AEF" w14:textId="77777777" w:rsidR="00A77B3B" w:rsidRPr="003F15B3" w:rsidRDefault="00A77B3B" w:rsidP="003F15B3">
      <w:pPr>
        <w:spacing w:line="240" w:lineRule="auto"/>
        <w:ind w:left="567" w:right="567"/>
        <w:contextualSpacing/>
        <w:rPr>
          <w:i/>
          <w:kern w:val="28"/>
          <w:szCs w:val="56"/>
        </w:rPr>
      </w:pPr>
      <w:r w:rsidRPr="003F15B3">
        <w:rPr>
          <w:b/>
          <w:i/>
          <w:kern w:val="28"/>
          <w:szCs w:val="56"/>
        </w:rPr>
        <w:t>XLV. Versión pública:</w:t>
      </w:r>
      <w:r w:rsidRPr="003F15B3">
        <w:rPr>
          <w:i/>
          <w:kern w:val="28"/>
          <w:szCs w:val="56"/>
        </w:rPr>
        <w:t xml:space="preserve"> Documento en el que se elimine, suprime o borra la información clasificada como reservada o confidencial para permitir su acceso. </w:t>
      </w:r>
    </w:p>
    <w:p w14:paraId="3BF38E35" w14:textId="77777777" w:rsidR="00A77B3B" w:rsidRPr="003F15B3" w:rsidRDefault="00A77B3B" w:rsidP="003F15B3"/>
    <w:p w14:paraId="09A3679E" w14:textId="77777777" w:rsidR="00A77B3B" w:rsidRPr="003F15B3" w:rsidRDefault="00A77B3B" w:rsidP="003F15B3">
      <w:pPr>
        <w:spacing w:line="240" w:lineRule="auto"/>
        <w:ind w:left="567" w:right="567"/>
        <w:contextualSpacing/>
        <w:rPr>
          <w:i/>
          <w:kern w:val="28"/>
          <w:szCs w:val="56"/>
        </w:rPr>
      </w:pPr>
      <w:r w:rsidRPr="003F15B3">
        <w:rPr>
          <w:b/>
          <w:i/>
          <w:kern w:val="28"/>
          <w:szCs w:val="56"/>
        </w:rPr>
        <w:t>Artículo 51.</w:t>
      </w:r>
      <w:r w:rsidRPr="003F15B3">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F15B3">
        <w:rPr>
          <w:b/>
          <w:i/>
          <w:kern w:val="28"/>
          <w:szCs w:val="56"/>
        </w:rPr>
        <w:t xml:space="preserve">y tendrá la responsabilidad de verificar en cada caso que la misma no sea confidencial o reservada. </w:t>
      </w:r>
      <w:r w:rsidRPr="003F15B3">
        <w:rPr>
          <w:i/>
          <w:kern w:val="28"/>
          <w:szCs w:val="56"/>
        </w:rPr>
        <w:t>Dicha Unidad contará con las facultades internas necesarias para gestionar la atención a las solicitudes de información en los términos de la Ley General y la presente Ley.</w:t>
      </w:r>
    </w:p>
    <w:p w14:paraId="5CCABC23" w14:textId="77777777" w:rsidR="00A77B3B" w:rsidRPr="003F15B3" w:rsidRDefault="00A77B3B" w:rsidP="003F15B3"/>
    <w:p w14:paraId="68A07D34" w14:textId="77777777" w:rsidR="00A77B3B" w:rsidRPr="003F15B3" w:rsidRDefault="00A77B3B" w:rsidP="003F15B3">
      <w:pPr>
        <w:spacing w:line="240" w:lineRule="auto"/>
        <w:ind w:left="567" w:right="567"/>
        <w:contextualSpacing/>
        <w:rPr>
          <w:i/>
          <w:kern w:val="28"/>
          <w:szCs w:val="56"/>
        </w:rPr>
      </w:pPr>
      <w:r w:rsidRPr="003F15B3">
        <w:rPr>
          <w:b/>
          <w:i/>
          <w:kern w:val="28"/>
          <w:szCs w:val="56"/>
        </w:rPr>
        <w:t>Artículo 52.</w:t>
      </w:r>
      <w:r w:rsidRPr="003F15B3">
        <w:rPr>
          <w:i/>
          <w:kern w:val="28"/>
          <w:szCs w:val="56"/>
        </w:rPr>
        <w:t xml:space="preserve"> Las solicitudes de acceso a la información y las respuestas que se les dé, incluyendo, en su caso, </w:t>
      </w:r>
      <w:r w:rsidRPr="003F15B3">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3F15B3">
        <w:rPr>
          <w:i/>
          <w:kern w:val="28"/>
          <w:szCs w:val="56"/>
        </w:rPr>
        <w:t xml:space="preserve">, siempre y cuando la resolución de referencia se someta a un proceso de disociación, es decir, no haga identificable al titular de tales datos personales.” </w:t>
      </w:r>
      <w:r w:rsidRPr="003F15B3">
        <w:rPr>
          <w:kern w:val="28"/>
          <w:szCs w:val="56"/>
        </w:rPr>
        <w:t>(Énfasis añadido)</w:t>
      </w:r>
    </w:p>
    <w:p w14:paraId="6FF022B5" w14:textId="77777777" w:rsidR="00A77B3B" w:rsidRPr="003F15B3" w:rsidRDefault="00A77B3B" w:rsidP="003F15B3"/>
    <w:p w14:paraId="6A706C64" w14:textId="77777777" w:rsidR="00A77B3B" w:rsidRPr="003F15B3" w:rsidRDefault="00A77B3B" w:rsidP="003F15B3">
      <w:r w:rsidRPr="003F15B3">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w:t>
      </w:r>
      <w:r w:rsidRPr="003F15B3">
        <w:lastRenderedPageBreak/>
        <w:t xml:space="preserve">Datos Personales en Posesión de Sujetos Obligados del Estado de México y Municipios, los cuales se transcriben para mayor referencia: </w:t>
      </w:r>
    </w:p>
    <w:p w14:paraId="75FB353B" w14:textId="77777777" w:rsidR="00A77B3B" w:rsidRPr="003F15B3" w:rsidRDefault="00A77B3B" w:rsidP="003F15B3"/>
    <w:p w14:paraId="413610C5" w14:textId="77777777" w:rsidR="00A77B3B" w:rsidRPr="003F15B3" w:rsidRDefault="00A77B3B" w:rsidP="003F15B3">
      <w:pPr>
        <w:spacing w:line="240" w:lineRule="auto"/>
        <w:ind w:left="567" w:right="567"/>
        <w:contextualSpacing/>
        <w:rPr>
          <w:i/>
          <w:kern w:val="28"/>
          <w:szCs w:val="56"/>
        </w:rPr>
      </w:pPr>
      <w:r w:rsidRPr="003F15B3">
        <w:rPr>
          <w:b/>
          <w:i/>
          <w:kern w:val="28"/>
          <w:szCs w:val="56"/>
        </w:rPr>
        <w:t>“Artículo 22.</w:t>
      </w:r>
      <w:r w:rsidRPr="003F15B3">
        <w:rPr>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522E249D" w14:textId="77777777" w:rsidR="00A77B3B" w:rsidRPr="003F15B3" w:rsidRDefault="00A77B3B" w:rsidP="003F15B3"/>
    <w:p w14:paraId="4F3F8D13" w14:textId="77777777" w:rsidR="00A77B3B" w:rsidRPr="003F15B3" w:rsidRDefault="00A77B3B" w:rsidP="003F15B3">
      <w:pPr>
        <w:spacing w:line="240" w:lineRule="auto"/>
        <w:ind w:left="567" w:right="567"/>
        <w:contextualSpacing/>
        <w:rPr>
          <w:i/>
          <w:kern w:val="28"/>
          <w:szCs w:val="56"/>
        </w:rPr>
      </w:pPr>
      <w:r w:rsidRPr="003F15B3">
        <w:rPr>
          <w:b/>
          <w:i/>
          <w:kern w:val="28"/>
          <w:szCs w:val="56"/>
        </w:rPr>
        <w:t>Artículo 38.</w:t>
      </w:r>
      <w:r w:rsidRPr="003F15B3">
        <w:rPr>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3F15B3">
        <w:rPr>
          <w:b/>
          <w:i/>
          <w:kern w:val="28"/>
          <w:szCs w:val="56"/>
        </w:rPr>
        <w:t>”</w:t>
      </w:r>
      <w:r w:rsidRPr="003F15B3">
        <w:rPr>
          <w:i/>
          <w:kern w:val="28"/>
          <w:szCs w:val="56"/>
        </w:rPr>
        <w:t xml:space="preserve"> </w:t>
      </w:r>
    </w:p>
    <w:p w14:paraId="5413FD46" w14:textId="77777777" w:rsidR="00A77B3B" w:rsidRPr="003F15B3" w:rsidRDefault="00A77B3B" w:rsidP="003F15B3">
      <w:pPr>
        <w:rPr>
          <w:i/>
        </w:rPr>
      </w:pPr>
    </w:p>
    <w:p w14:paraId="1DE84B6F" w14:textId="77777777" w:rsidR="00A77B3B" w:rsidRPr="003F15B3" w:rsidRDefault="00A77B3B" w:rsidP="003F15B3">
      <w:r w:rsidRPr="003F15B3">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3A2B577" w14:textId="77777777" w:rsidR="00A77B3B" w:rsidRPr="003F15B3" w:rsidRDefault="00A77B3B" w:rsidP="003F15B3"/>
    <w:p w14:paraId="441895C2" w14:textId="77777777" w:rsidR="00A77B3B" w:rsidRPr="003F15B3" w:rsidRDefault="00A77B3B" w:rsidP="003F15B3">
      <w:r w:rsidRPr="003F15B3">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F15B3">
        <w:rPr>
          <w:b/>
        </w:rPr>
        <w:t>EL SUJETO OBLIGADO,</w:t>
      </w:r>
      <w:r w:rsidRPr="003F15B3">
        <w:t xml:space="preserve"> por lo que, todo dato personal susceptible de clasificación debe ser protegido.</w:t>
      </w:r>
    </w:p>
    <w:p w14:paraId="7E36134E" w14:textId="77777777" w:rsidR="00A77B3B" w:rsidRPr="003F15B3" w:rsidRDefault="00A77B3B" w:rsidP="003F15B3"/>
    <w:p w14:paraId="7B8FA3C0" w14:textId="77777777" w:rsidR="00A77B3B" w:rsidRPr="003F15B3" w:rsidRDefault="00A77B3B" w:rsidP="003F15B3">
      <w:r w:rsidRPr="003F15B3">
        <w:lastRenderedPageBreak/>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089E5E0" w14:textId="77777777" w:rsidR="00A77B3B" w:rsidRPr="003F15B3" w:rsidRDefault="00A77B3B" w:rsidP="003F15B3"/>
    <w:p w14:paraId="55449638" w14:textId="77777777" w:rsidR="00A77B3B" w:rsidRPr="003F15B3" w:rsidRDefault="00A77B3B" w:rsidP="003F15B3">
      <w:r w:rsidRPr="003F15B3">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343C600" w14:textId="77777777" w:rsidR="00A77B3B" w:rsidRPr="003F15B3" w:rsidRDefault="00A77B3B" w:rsidP="003F15B3"/>
    <w:p w14:paraId="1A0FB7CF" w14:textId="77777777" w:rsidR="00A77B3B" w:rsidRPr="003F15B3" w:rsidRDefault="00A77B3B" w:rsidP="003F15B3">
      <w:pPr>
        <w:spacing w:line="240" w:lineRule="auto"/>
        <w:ind w:left="567" w:right="567"/>
        <w:contextualSpacing/>
        <w:jc w:val="center"/>
        <w:rPr>
          <w:b/>
          <w:i/>
          <w:kern w:val="28"/>
          <w:szCs w:val="56"/>
        </w:rPr>
      </w:pPr>
      <w:r w:rsidRPr="003F15B3">
        <w:rPr>
          <w:b/>
          <w:i/>
          <w:kern w:val="28"/>
          <w:szCs w:val="56"/>
        </w:rPr>
        <w:t>Ley de Transparencia y Acceso a la Información Pública del Estado de México y Municipios</w:t>
      </w:r>
    </w:p>
    <w:p w14:paraId="680B3073" w14:textId="77777777" w:rsidR="00A77B3B" w:rsidRPr="003F15B3" w:rsidRDefault="00A77B3B" w:rsidP="003F15B3"/>
    <w:p w14:paraId="104EAB15" w14:textId="77777777" w:rsidR="00A77B3B" w:rsidRPr="003F15B3" w:rsidRDefault="00A77B3B" w:rsidP="003F15B3">
      <w:pPr>
        <w:spacing w:line="240" w:lineRule="auto"/>
        <w:ind w:left="567" w:right="567"/>
        <w:contextualSpacing/>
        <w:rPr>
          <w:i/>
          <w:kern w:val="28"/>
          <w:szCs w:val="56"/>
        </w:rPr>
      </w:pPr>
      <w:r w:rsidRPr="003F15B3">
        <w:rPr>
          <w:b/>
          <w:i/>
          <w:kern w:val="28"/>
          <w:szCs w:val="56"/>
        </w:rPr>
        <w:t xml:space="preserve">“Artículo 49. </w:t>
      </w:r>
      <w:r w:rsidRPr="003F15B3">
        <w:rPr>
          <w:i/>
          <w:kern w:val="28"/>
          <w:szCs w:val="56"/>
        </w:rPr>
        <w:t>Los Comités de Transparencia tendrán las siguientes atribuciones:</w:t>
      </w:r>
    </w:p>
    <w:p w14:paraId="35060F69" w14:textId="77777777" w:rsidR="00A77B3B" w:rsidRPr="003F15B3" w:rsidRDefault="00A77B3B" w:rsidP="003F15B3">
      <w:pPr>
        <w:spacing w:line="240" w:lineRule="auto"/>
        <w:ind w:left="567" w:right="567"/>
        <w:contextualSpacing/>
        <w:rPr>
          <w:i/>
          <w:kern w:val="28"/>
          <w:szCs w:val="56"/>
        </w:rPr>
      </w:pPr>
      <w:r w:rsidRPr="003F15B3">
        <w:rPr>
          <w:b/>
          <w:i/>
          <w:kern w:val="28"/>
          <w:szCs w:val="56"/>
        </w:rPr>
        <w:t>VIII.</w:t>
      </w:r>
      <w:r w:rsidRPr="003F15B3">
        <w:rPr>
          <w:i/>
          <w:kern w:val="28"/>
          <w:szCs w:val="56"/>
        </w:rPr>
        <w:t xml:space="preserve"> Aprobar, modificar o revocar la clasificación de la información;</w:t>
      </w:r>
    </w:p>
    <w:p w14:paraId="4489ED43" w14:textId="77777777" w:rsidR="00A77B3B" w:rsidRPr="003F15B3" w:rsidRDefault="00A77B3B" w:rsidP="003F15B3"/>
    <w:p w14:paraId="7A5FED11" w14:textId="77777777" w:rsidR="00A77B3B" w:rsidRPr="003F15B3" w:rsidRDefault="00A77B3B" w:rsidP="003F15B3">
      <w:pPr>
        <w:spacing w:line="240" w:lineRule="auto"/>
        <w:ind w:left="567" w:right="567"/>
        <w:contextualSpacing/>
        <w:rPr>
          <w:i/>
          <w:kern w:val="28"/>
          <w:szCs w:val="56"/>
        </w:rPr>
      </w:pPr>
      <w:r w:rsidRPr="003F15B3">
        <w:rPr>
          <w:b/>
          <w:i/>
          <w:kern w:val="28"/>
          <w:szCs w:val="56"/>
        </w:rPr>
        <w:t>Artículo 132.</w:t>
      </w:r>
      <w:r w:rsidRPr="003F15B3">
        <w:rPr>
          <w:i/>
          <w:kern w:val="28"/>
          <w:szCs w:val="56"/>
        </w:rPr>
        <w:t xml:space="preserve"> La clasificación de la información se llevará a cabo en el momento en que:</w:t>
      </w:r>
    </w:p>
    <w:p w14:paraId="4D169B30" w14:textId="77777777" w:rsidR="00A77B3B" w:rsidRPr="003F15B3" w:rsidRDefault="00A77B3B" w:rsidP="003F15B3">
      <w:pPr>
        <w:spacing w:line="240" w:lineRule="auto"/>
        <w:ind w:left="567" w:right="567"/>
        <w:contextualSpacing/>
        <w:rPr>
          <w:i/>
          <w:kern w:val="28"/>
          <w:szCs w:val="56"/>
        </w:rPr>
      </w:pPr>
      <w:r w:rsidRPr="003F15B3">
        <w:rPr>
          <w:b/>
          <w:i/>
          <w:kern w:val="28"/>
          <w:szCs w:val="56"/>
        </w:rPr>
        <w:t>I.</w:t>
      </w:r>
      <w:r w:rsidRPr="003F15B3">
        <w:rPr>
          <w:i/>
          <w:kern w:val="28"/>
          <w:szCs w:val="56"/>
        </w:rPr>
        <w:t xml:space="preserve"> Se reciba una solicitud de acceso a la información;</w:t>
      </w:r>
    </w:p>
    <w:p w14:paraId="774C5D92" w14:textId="77777777" w:rsidR="00A77B3B" w:rsidRPr="003F15B3" w:rsidRDefault="00A77B3B" w:rsidP="003F15B3">
      <w:pPr>
        <w:spacing w:line="240" w:lineRule="auto"/>
        <w:ind w:left="567" w:right="567"/>
        <w:contextualSpacing/>
        <w:rPr>
          <w:i/>
          <w:kern w:val="28"/>
          <w:szCs w:val="56"/>
        </w:rPr>
      </w:pPr>
      <w:r w:rsidRPr="003F15B3">
        <w:rPr>
          <w:b/>
          <w:i/>
          <w:kern w:val="28"/>
          <w:szCs w:val="56"/>
        </w:rPr>
        <w:t>II.</w:t>
      </w:r>
      <w:r w:rsidRPr="003F15B3">
        <w:rPr>
          <w:i/>
          <w:kern w:val="28"/>
          <w:szCs w:val="56"/>
        </w:rPr>
        <w:t xml:space="preserve"> Se determine mediante resolución de autoridad competente; o</w:t>
      </w:r>
    </w:p>
    <w:p w14:paraId="47AEA1C6" w14:textId="77777777" w:rsidR="00A77B3B" w:rsidRPr="003F15B3" w:rsidRDefault="00A77B3B" w:rsidP="003F15B3">
      <w:pPr>
        <w:spacing w:line="240" w:lineRule="auto"/>
        <w:ind w:left="567" w:right="567"/>
        <w:contextualSpacing/>
        <w:rPr>
          <w:b/>
          <w:i/>
          <w:kern w:val="28"/>
          <w:szCs w:val="56"/>
        </w:rPr>
      </w:pPr>
      <w:r w:rsidRPr="003F15B3">
        <w:rPr>
          <w:b/>
          <w:i/>
          <w:kern w:val="28"/>
          <w:szCs w:val="56"/>
        </w:rPr>
        <w:t>III.</w:t>
      </w:r>
      <w:r w:rsidRPr="003F15B3">
        <w:rPr>
          <w:i/>
          <w:kern w:val="28"/>
          <w:szCs w:val="56"/>
        </w:rPr>
        <w:t xml:space="preserve"> Se generen versiones públicas para dar cumplimiento a las obligaciones de transparencia previstas en esta Ley.</w:t>
      </w:r>
      <w:r w:rsidRPr="003F15B3">
        <w:rPr>
          <w:b/>
          <w:i/>
          <w:kern w:val="28"/>
          <w:szCs w:val="56"/>
        </w:rPr>
        <w:t>”</w:t>
      </w:r>
    </w:p>
    <w:p w14:paraId="11810CF6" w14:textId="77777777" w:rsidR="00A77B3B" w:rsidRPr="003F15B3" w:rsidRDefault="00A77B3B" w:rsidP="003F15B3"/>
    <w:p w14:paraId="1EDAFFA7" w14:textId="77777777" w:rsidR="00A77B3B" w:rsidRPr="003F15B3" w:rsidRDefault="00A77B3B" w:rsidP="003F15B3">
      <w:pPr>
        <w:spacing w:line="240" w:lineRule="auto"/>
        <w:ind w:left="567" w:right="567"/>
        <w:contextualSpacing/>
        <w:rPr>
          <w:i/>
          <w:kern w:val="28"/>
          <w:szCs w:val="56"/>
        </w:rPr>
      </w:pPr>
      <w:r w:rsidRPr="003F15B3">
        <w:rPr>
          <w:b/>
          <w:i/>
          <w:kern w:val="28"/>
          <w:szCs w:val="56"/>
        </w:rPr>
        <w:t>“Segundo. -</w:t>
      </w:r>
      <w:r w:rsidRPr="003F15B3">
        <w:rPr>
          <w:i/>
          <w:kern w:val="28"/>
          <w:szCs w:val="56"/>
        </w:rPr>
        <w:t xml:space="preserve"> Para efectos de los presentes Lineamientos Generales, se entenderá por:</w:t>
      </w:r>
    </w:p>
    <w:p w14:paraId="528E6BAE" w14:textId="77777777" w:rsidR="00A77B3B" w:rsidRPr="003F15B3" w:rsidRDefault="00A77B3B" w:rsidP="003F15B3">
      <w:pPr>
        <w:spacing w:line="240" w:lineRule="auto"/>
        <w:ind w:left="567" w:right="567"/>
        <w:contextualSpacing/>
        <w:rPr>
          <w:i/>
          <w:kern w:val="28"/>
          <w:szCs w:val="56"/>
        </w:rPr>
      </w:pPr>
      <w:r w:rsidRPr="003F15B3">
        <w:rPr>
          <w:b/>
          <w:i/>
          <w:kern w:val="28"/>
          <w:szCs w:val="56"/>
        </w:rPr>
        <w:t>XVIII.</w:t>
      </w:r>
      <w:r w:rsidRPr="003F15B3">
        <w:rPr>
          <w:i/>
          <w:kern w:val="28"/>
          <w:szCs w:val="56"/>
        </w:rPr>
        <w:t xml:space="preserve">  </w:t>
      </w:r>
      <w:r w:rsidRPr="003F15B3">
        <w:rPr>
          <w:b/>
          <w:i/>
          <w:kern w:val="28"/>
          <w:szCs w:val="56"/>
        </w:rPr>
        <w:t>Versión pública:</w:t>
      </w:r>
      <w:r w:rsidRPr="003F15B3">
        <w:rPr>
          <w:i/>
          <w:kern w:val="28"/>
          <w:szCs w:val="56"/>
        </w:rPr>
        <w:t xml:space="preserve"> El documento a partir del que se otorga acceso a la información, en el que se testan partes o secciones clasificadas, indicando el contenido de éstas de manera </w:t>
      </w:r>
      <w:r w:rsidRPr="003F15B3">
        <w:rPr>
          <w:i/>
          <w:kern w:val="28"/>
          <w:szCs w:val="56"/>
        </w:rPr>
        <w:lastRenderedPageBreak/>
        <w:t>genérica, fundando y motivando la reserva o confidencialidad, a través de la resolución que para tal efecto emita el Comité de Transparencia.</w:t>
      </w:r>
    </w:p>
    <w:p w14:paraId="3CC5CD06" w14:textId="77777777" w:rsidR="00A77B3B" w:rsidRPr="003F15B3" w:rsidRDefault="00A77B3B" w:rsidP="003F15B3">
      <w:pPr>
        <w:spacing w:line="240" w:lineRule="auto"/>
        <w:ind w:left="567" w:right="567"/>
        <w:contextualSpacing/>
        <w:rPr>
          <w:i/>
          <w:kern w:val="28"/>
          <w:szCs w:val="56"/>
        </w:rPr>
      </w:pPr>
    </w:p>
    <w:p w14:paraId="0B573EB8" w14:textId="77777777" w:rsidR="00A77B3B" w:rsidRPr="003F15B3" w:rsidRDefault="00A77B3B" w:rsidP="003F15B3">
      <w:pPr>
        <w:spacing w:line="240" w:lineRule="auto"/>
        <w:ind w:left="567" w:right="567"/>
        <w:contextualSpacing/>
        <w:rPr>
          <w:b/>
          <w:i/>
          <w:kern w:val="28"/>
          <w:szCs w:val="56"/>
        </w:rPr>
      </w:pPr>
      <w:r w:rsidRPr="003F15B3">
        <w:rPr>
          <w:b/>
          <w:i/>
          <w:kern w:val="28"/>
          <w:szCs w:val="56"/>
        </w:rPr>
        <w:t>Lineamientos Generales en materia de Clasificación y Desclasificación de la Información</w:t>
      </w:r>
    </w:p>
    <w:p w14:paraId="2D0DBCA9" w14:textId="77777777" w:rsidR="00A77B3B" w:rsidRPr="003F15B3" w:rsidRDefault="00A77B3B" w:rsidP="003F15B3">
      <w:pPr>
        <w:spacing w:line="240" w:lineRule="auto"/>
        <w:ind w:left="567" w:right="567"/>
        <w:contextualSpacing/>
        <w:rPr>
          <w:i/>
          <w:kern w:val="28"/>
          <w:szCs w:val="56"/>
        </w:rPr>
      </w:pPr>
    </w:p>
    <w:p w14:paraId="030B727E" w14:textId="77777777" w:rsidR="00A77B3B" w:rsidRPr="003F15B3" w:rsidRDefault="00A77B3B" w:rsidP="003F15B3">
      <w:pPr>
        <w:spacing w:line="240" w:lineRule="auto"/>
        <w:ind w:left="567" w:right="567"/>
        <w:contextualSpacing/>
        <w:rPr>
          <w:i/>
          <w:kern w:val="28"/>
          <w:szCs w:val="56"/>
        </w:rPr>
      </w:pPr>
      <w:r w:rsidRPr="003F15B3">
        <w:rPr>
          <w:b/>
          <w:i/>
          <w:kern w:val="28"/>
          <w:szCs w:val="56"/>
        </w:rPr>
        <w:t>Cuarto.</w:t>
      </w:r>
      <w:r w:rsidRPr="003F15B3">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934101B" w14:textId="77777777" w:rsidR="00A77B3B" w:rsidRPr="003F15B3" w:rsidRDefault="00A77B3B" w:rsidP="003F15B3">
      <w:pPr>
        <w:spacing w:line="240" w:lineRule="auto"/>
        <w:ind w:left="567" w:right="567"/>
        <w:contextualSpacing/>
        <w:rPr>
          <w:i/>
          <w:kern w:val="28"/>
          <w:szCs w:val="56"/>
        </w:rPr>
      </w:pPr>
      <w:r w:rsidRPr="003F15B3">
        <w:rPr>
          <w:i/>
          <w:kern w:val="28"/>
          <w:szCs w:val="56"/>
        </w:rPr>
        <w:t>Los sujetos obligados deberán aplicar, de manera estricta, las excepciones al derecho de acceso a la información y sólo podrán invocarlas cuando acrediten su procedencia.</w:t>
      </w:r>
    </w:p>
    <w:p w14:paraId="0D5ACED4" w14:textId="77777777" w:rsidR="00A77B3B" w:rsidRPr="003F15B3" w:rsidRDefault="00A77B3B" w:rsidP="003F15B3"/>
    <w:p w14:paraId="6FBD5E86" w14:textId="77777777" w:rsidR="00A77B3B" w:rsidRPr="003F15B3" w:rsidRDefault="00A77B3B" w:rsidP="003F15B3">
      <w:pPr>
        <w:spacing w:line="240" w:lineRule="auto"/>
        <w:ind w:left="567" w:right="567"/>
        <w:contextualSpacing/>
        <w:rPr>
          <w:i/>
          <w:kern w:val="28"/>
          <w:szCs w:val="56"/>
        </w:rPr>
      </w:pPr>
      <w:r w:rsidRPr="003F15B3">
        <w:rPr>
          <w:b/>
          <w:i/>
          <w:kern w:val="28"/>
          <w:szCs w:val="56"/>
        </w:rPr>
        <w:t>Quinto.</w:t>
      </w:r>
      <w:r w:rsidRPr="003F15B3">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EE02DC5" w14:textId="77777777" w:rsidR="00A77B3B" w:rsidRPr="003F15B3" w:rsidRDefault="00A77B3B" w:rsidP="003F15B3"/>
    <w:p w14:paraId="0948B869" w14:textId="77777777" w:rsidR="00A77B3B" w:rsidRPr="003F15B3" w:rsidRDefault="00A77B3B" w:rsidP="003F15B3">
      <w:pPr>
        <w:spacing w:line="240" w:lineRule="auto"/>
        <w:ind w:left="567" w:right="567"/>
        <w:contextualSpacing/>
        <w:rPr>
          <w:i/>
          <w:kern w:val="28"/>
          <w:szCs w:val="56"/>
        </w:rPr>
      </w:pPr>
      <w:r w:rsidRPr="003F15B3">
        <w:rPr>
          <w:b/>
          <w:i/>
          <w:kern w:val="28"/>
          <w:szCs w:val="56"/>
        </w:rPr>
        <w:t>Sexto.</w:t>
      </w:r>
      <w:r w:rsidRPr="003F15B3">
        <w:rPr>
          <w:i/>
          <w:kern w:val="28"/>
          <w:szCs w:val="56"/>
        </w:rPr>
        <w:t xml:space="preserve"> Se deroga.</w:t>
      </w:r>
    </w:p>
    <w:p w14:paraId="45D73F74" w14:textId="77777777" w:rsidR="00A77B3B" w:rsidRPr="003F15B3" w:rsidRDefault="00A77B3B" w:rsidP="003F15B3"/>
    <w:p w14:paraId="6DAA1E87" w14:textId="77777777" w:rsidR="00A77B3B" w:rsidRPr="003F15B3" w:rsidRDefault="00A77B3B" w:rsidP="003F15B3">
      <w:pPr>
        <w:spacing w:line="240" w:lineRule="auto"/>
        <w:ind w:left="567" w:right="567"/>
        <w:contextualSpacing/>
        <w:rPr>
          <w:i/>
          <w:kern w:val="28"/>
          <w:szCs w:val="56"/>
        </w:rPr>
      </w:pPr>
      <w:r w:rsidRPr="003F15B3">
        <w:rPr>
          <w:b/>
          <w:i/>
          <w:kern w:val="28"/>
          <w:szCs w:val="56"/>
        </w:rPr>
        <w:t>Séptimo.</w:t>
      </w:r>
      <w:r w:rsidRPr="003F15B3">
        <w:rPr>
          <w:i/>
          <w:kern w:val="28"/>
          <w:szCs w:val="56"/>
        </w:rPr>
        <w:t xml:space="preserve"> La clasificación de la información se llevará a cabo en el momento en que:</w:t>
      </w:r>
    </w:p>
    <w:p w14:paraId="326215A2" w14:textId="77777777" w:rsidR="00A77B3B" w:rsidRPr="003F15B3" w:rsidRDefault="00A77B3B" w:rsidP="003F15B3">
      <w:pPr>
        <w:spacing w:line="240" w:lineRule="auto"/>
        <w:ind w:left="567" w:right="567"/>
        <w:contextualSpacing/>
        <w:rPr>
          <w:i/>
          <w:kern w:val="28"/>
          <w:szCs w:val="56"/>
        </w:rPr>
      </w:pPr>
      <w:r w:rsidRPr="003F15B3">
        <w:rPr>
          <w:b/>
          <w:i/>
          <w:kern w:val="28"/>
          <w:szCs w:val="56"/>
        </w:rPr>
        <w:t>I.</w:t>
      </w:r>
      <w:r w:rsidRPr="003F15B3">
        <w:rPr>
          <w:i/>
          <w:kern w:val="28"/>
          <w:szCs w:val="56"/>
        </w:rPr>
        <w:t xml:space="preserve">        Se reciba una solicitud de acceso a la información;</w:t>
      </w:r>
    </w:p>
    <w:p w14:paraId="77E4B39A" w14:textId="77777777" w:rsidR="00A77B3B" w:rsidRPr="003F15B3" w:rsidRDefault="00A77B3B" w:rsidP="003F15B3">
      <w:pPr>
        <w:spacing w:line="240" w:lineRule="auto"/>
        <w:ind w:left="567" w:right="567"/>
        <w:contextualSpacing/>
        <w:rPr>
          <w:i/>
          <w:kern w:val="28"/>
          <w:szCs w:val="56"/>
        </w:rPr>
      </w:pPr>
      <w:r w:rsidRPr="003F15B3">
        <w:rPr>
          <w:b/>
          <w:i/>
          <w:kern w:val="28"/>
          <w:szCs w:val="56"/>
        </w:rPr>
        <w:t>II.</w:t>
      </w:r>
      <w:r w:rsidRPr="003F15B3">
        <w:rPr>
          <w:i/>
          <w:kern w:val="28"/>
          <w:szCs w:val="56"/>
        </w:rPr>
        <w:t xml:space="preserve">       Se determine mediante resolución del Comité de Transparencia, el órgano garante competente, o en cumplimiento a una sentencia del Poder Judicial; o</w:t>
      </w:r>
    </w:p>
    <w:p w14:paraId="1BCB0D4A" w14:textId="77777777" w:rsidR="00A77B3B" w:rsidRPr="003F15B3" w:rsidRDefault="00A77B3B" w:rsidP="003F15B3">
      <w:pPr>
        <w:spacing w:line="240" w:lineRule="auto"/>
        <w:ind w:left="567" w:right="567"/>
        <w:contextualSpacing/>
        <w:rPr>
          <w:i/>
          <w:kern w:val="28"/>
          <w:szCs w:val="56"/>
        </w:rPr>
      </w:pPr>
      <w:r w:rsidRPr="003F15B3">
        <w:rPr>
          <w:b/>
          <w:i/>
          <w:kern w:val="28"/>
          <w:szCs w:val="56"/>
        </w:rPr>
        <w:t>III.</w:t>
      </w:r>
      <w:r w:rsidRPr="003F15B3">
        <w:rPr>
          <w:i/>
          <w:kern w:val="28"/>
          <w:szCs w:val="56"/>
        </w:rPr>
        <w:t xml:space="preserve">      Se generen versiones públicas para dar cumplimiento a las obligaciones de transparencia previstas en la Ley General, la Ley Federal y las correspondientes de las entidades federativas.</w:t>
      </w:r>
    </w:p>
    <w:p w14:paraId="57C98A8D" w14:textId="77777777" w:rsidR="00A77B3B" w:rsidRPr="003F15B3" w:rsidRDefault="00A77B3B" w:rsidP="003F15B3">
      <w:pPr>
        <w:spacing w:line="240" w:lineRule="auto"/>
        <w:ind w:left="567" w:right="567"/>
        <w:contextualSpacing/>
        <w:rPr>
          <w:i/>
          <w:kern w:val="28"/>
          <w:szCs w:val="56"/>
        </w:rPr>
      </w:pPr>
      <w:r w:rsidRPr="003F15B3">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69D525AD" w14:textId="77777777" w:rsidR="00A77B3B" w:rsidRPr="003F15B3" w:rsidRDefault="00A77B3B" w:rsidP="003F15B3"/>
    <w:p w14:paraId="3113519D" w14:textId="77777777" w:rsidR="00A77B3B" w:rsidRPr="003F15B3" w:rsidRDefault="00A77B3B" w:rsidP="003F15B3">
      <w:pPr>
        <w:spacing w:line="240" w:lineRule="auto"/>
        <w:ind w:left="567" w:right="567"/>
        <w:contextualSpacing/>
        <w:rPr>
          <w:i/>
          <w:kern w:val="28"/>
          <w:szCs w:val="56"/>
        </w:rPr>
      </w:pPr>
      <w:r w:rsidRPr="003F15B3">
        <w:rPr>
          <w:b/>
          <w:i/>
          <w:kern w:val="28"/>
          <w:szCs w:val="56"/>
        </w:rPr>
        <w:lastRenderedPageBreak/>
        <w:t>Octavo.</w:t>
      </w:r>
      <w:r w:rsidRPr="003F15B3">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D2EBFDD" w14:textId="77777777" w:rsidR="00A77B3B" w:rsidRPr="003F15B3" w:rsidRDefault="00A77B3B" w:rsidP="003F15B3">
      <w:pPr>
        <w:spacing w:line="240" w:lineRule="auto"/>
        <w:ind w:left="567" w:right="567"/>
        <w:contextualSpacing/>
        <w:rPr>
          <w:i/>
          <w:kern w:val="28"/>
          <w:szCs w:val="56"/>
        </w:rPr>
      </w:pPr>
      <w:r w:rsidRPr="003F15B3">
        <w:rPr>
          <w:i/>
          <w:kern w:val="28"/>
          <w:szCs w:val="56"/>
        </w:rPr>
        <w:t>Para motivar la clasificación se deberán señalar las razones o circunstancias especiales que lo llevaron a concluir que el caso particular se ajusta al supuesto previsto por la norma legal invocada como fundamento.</w:t>
      </w:r>
    </w:p>
    <w:p w14:paraId="1583543C" w14:textId="77777777" w:rsidR="00A77B3B" w:rsidRPr="003F15B3" w:rsidRDefault="00A77B3B" w:rsidP="003F15B3">
      <w:pPr>
        <w:spacing w:line="240" w:lineRule="auto"/>
        <w:ind w:left="567" w:right="567"/>
        <w:contextualSpacing/>
        <w:rPr>
          <w:i/>
          <w:kern w:val="28"/>
          <w:szCs w:val="56"/>
        </w:rPr>
      </w:pPr>
      <w:r w:rsidRPr="003F15B3">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A433831" w14:textId="77777777" w:rsidR="00A77B3B" w:rsidRPr="003F15B3" w:rsidRDefault="00A77B3B" w:rsidP="003F15B3"/>
    <w:p w14:paraId="2FCFAB0F" w14:textId="77777777" w:rsidR="00A77B3B" w:rsidRPr="003F15B3" w:rsidRDefault="00A77B3B" w:rsidP="003F15B3">
      <w:pPr>
        <w:spacing w:line="240" w:lineRule="auto"/>
        <w:ind w:left="567" w:right="567"/>
        <w:contextualSpacing/>
        <w:rPr>
          <w:i/>
          <w:kern w:val="28"/>
          <w:szCs w:val="56"/>
        </w:rPr>
      </w:pPr>
      <w:r w:rsidRPr="003F15B3">
        <w:rPr>
          <w:b/>
          <w:i/>
          <w:kern w:val="28"/>
          <w:szCs w:val="56"/>
        </w:rPr>
        <w:t>Noveno.</w:t>
      </w:r>
      <w:r w:rsidRPr="003F15B3">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CE23092" w14:textId="77777777" w:rsidR="00A77B3B" w:rsidRPr="003F15B3" w:rsidRDefault="00A77B3B" w:rsidP="003F15B3"/>
    <w:p w14:paraId="1C6E2DE1" w14:textId="77777777" w:rsidR="00A77B3B" w:rsidRPr="003F15B3" w:rsidRDefault="00A77B3B" w:rsidP="003F15B3">
      <w:pPr>
        <w:spacing w:line="240" w:lineRule="auto"/>
        <w:ind w:left="567" w:right="567"/>
        <w:contextualSpacing/>
        <w:rPr>
          <w:i/>
          <w:kern w:val="28"/>
          <w:szCs w:val="56"/>
        </w:rPr>
      </w:pPr>
      <w:r w:rsidRPr="003F15B3">
        <w:rPr>
          <w:b/>
          <w:i/>
          <w:kern w:val="28"/>
          <w:szCs w:val="56"/>
        </w:rPr>
        <w:t>Décimo.</w:t>
      </w:r>
      <w:r w:rsidRPr="003F15B3">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9E2C63D" w14:textId="77777777" w:rsidR="00A77B3B" w:rsidRPr="003F15B3" w:rsidRDefault="00A77B3B" w:rsidP="003F15B3">
      <w:pPr>
        <w:spacing w:line="240" w:lineRule="auto"/>
        <w:ind w:left="567" w:right="567"/>
        <w:contextualSpacing/>
        <w:rPr>
          <w:i/>
          <w:kern w:val="28"/>
          <w:szCs w:val="56"/>
        </w:rPr>
      </w:pPr>
      <w:r w:rsidRPr="003F15B3">
        <w:rPr>
          <w:i/>
          <w:kern w:val="28"/>
          <w:szCs w:val="56"/>
        </w:rPr>
        <w:t>En ausencia de los titulares de las áreas, la información será clasificada o desclasificada por la persona que lo supla, en términos de la normativa que rija la actuación del sujeto obligado.</w:t>
      </w:r>
    </w:p>
    <w:p w14:paraId="1BDBE02A" w14:textId="77777777" w:rsidR="00A77B3B" w:rsidRPr="003F15B3" w:rsidRDefault="00A77B3B" w:rsidP="003F15B3">
      <w:pPr>
        <w:spacing w:line="240" w:lineRule="auto"/>
        <w:ind w:left="567" w:right="567"/>
        <w:contextualSpacing/>
        <w:rPr>
          <w:b/>
          <w:i/>
          <w:kern w:val="28"/>
          <w:szCs w:val="56"/>
        </w:rPr>
      </w:pPr>
      <w:r w:rsidRPr="003F15B3">
        <w:rPr>
          <w:b/>
          <w:i/>
          <w:kern w:val="28"/>
          <w:szCs w:val="56"/>
        </w:rPr>
        <w:t>Décimo primero.</w:t>
      </w:r>
      <w:r w:rsidRPr="003F15B3">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F15B3">
        <w:rPr>
          <w:b/>
          <w:i/>
          <w:kern w:val="28"/>
          <w:szCs w:val="56"/>
        </w:rPr>
        <w:t>”</w:t>
      </w:r>
    </w:p>
    <w:p w14:paraId="5D33621B" w14:textId="77777777" w:rsidR="00A77B3B" w:rsidRPr="003F15B3" w:rsidRDefault="00A77B3B" w:rsidP="003F15B3"/>
    <w:p w14:paraId="17477E27" w14:textId="77777777" w:rsidR="00A77B3B" w:rsidRPr="003F15B3" w:rsidRDefault="00A77B3B" w:rsidP="003F15B3">
      <w:r w:rsidRPr="003F15B3">
        <w:t xml:space="preserve">Consecuentemente, se destaca que la versión pública que elabore </w:t>
      </w:r>
      <w:r w:rsidRPr="003F15B3">
        <w:rPr>
          <w:b/>
        </w:rPr>
        <w:t>EL SUJETO OBLIGADO</w:t>
      </w:r>
      <w:r w:rsidRPr="003F15B3">
        <w:t xml:space="preserve"> debe cumplir con las formalidades exigidas en la Ley, por lo que para tal efecto emitirá el </w:t>
      </w:r>
      <w:r w:rsidRPr="003F15B3">
        <w:rPr>
          <w:b/>
        </w:rPr>
        <w:t>Acuerdo del Comité de Transparencia</w:t>
      </w:r>
      <w:r w:rsidRPr="003F15B3">
        <w:t xml:space="preserve"> en términos de los artículos 122 y 124 de la Ley de Transparencia y Acceso a la Información Pública del Estado de México y Municipios, con el cual sustentará la clasificación de datos y con ello la "versión pública" de los documentos </w:t>
      </w:r>
      <w:r w:rsidRPr="003F15B3">
        <w:lastRenderedPageBreak/>
        <w:t>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CBF5791" w14:textId="77777777" w:rsidR="00A77B3B" w:rsidRPr="003F15B3" w:rsidRDefault="00A77B3B" w:rsidP="003F15B3"/>
    <w:p w14:paraId="3DCAFFE0" w14:textId="77777777" w:rsidR="00D80DF7" w:rsidRPr="003F15B3" w:rsidRDefault="00D80DF7" w:rsidP="003F15B3">
      <w:r w:rsidRPr="003F15B3">
        <w:t>Es importante señalar que, para el caso en concreto, se deben tomar en consideración los siguientes datos que de manera enunciativa más no limitativa se pudieran clasificar o no como confidenciales:</w:t>
      </w:r>
    </w:p>
    <w:p w14:paraId="2FC71675" w14:textId="77777777" w:rsidR="00D80DF7" w:rsidRPr="003F15B3" w:rsidRDefault="00D80DF7" w:rsidP="003F15B3"/>
    <w:p w14:paraId="03B5576E" w14:textId="77777777" w:rsidR="00D80DF7" w:rsidRPr="003F15B3" w:rsidRDefault="00D80DF7" w:rsidP="003F15B3">
      <w:pPr>
        <w:numPr>
          <w:ilvl w:val="0"/>
          <w:numId w:val="8"/>
        </w:numPr>
        <w:spacing w:after="160" w:line="256" w:lineRule="auto"/>
        <w:contextualSpacing/>
        <w:jc w:val="left"/>
        <w:rPr>
          <w:b/>
        </w:rPr>
      </w:pPr>
      <w:r w:rsidRPr="003F15B3">
        <w:rPr>
          <w:b/>
        </w:rPr>
        <w:t xml:space="preserve">Datos del proveedor y domicilio fiscal </w:t>
      </w:r>
    </w:p>
    <w:p w14:paraId="5EE7D107" w14:textId="77777777" w:rsidR="00D80DF7" w:rsidRPr="003F15B3" w:rsidRDefault="00D80DF7" w:rsidP="003F15B3">
      <w:pPr>
        <w:rPr>
          <w:rFonts w:cs="Arial"/>
        </w:rPr>
      </w:pPr>
      <w:r w:rsidRPr="003F15B3">
        <w:rPr>
          <w:rFonts w:cs="Arial"/>
        </w:rPr>
        <w:t xml:space="preserve">Debe dejar visible los datos del proveedor, en su caso, y el domicilio fiscal; es decir, no debe testarse dato alguno relacionado con el contribuyente, aunque el proveedor sea una persona física. Esto se debe a que del ejercicio de ponderación entre el derecho a la protección de datos personales con el derecho de acceso a la información pública en el caso particular, es de mayor trascendencia el derecho de cualquier persona a conocer en qué se gastan los recursos públicos, puesto que se trata de erogaciones que realiza un órgano del Estado con base en los recursos que encuentran su origen en mayor medida en las contribuciones aportadas por los gobernados, por lo que debe transparentarse su ejercicio. </w:t>
      </w:r>
    </w:p>
    <w:p w14:paraId="7E4AF0FA" w14:textId="77777777" w:rsidR="00D80DF7" w:rsidRPr="003F15B3" w:rsidRDefault="00D80DF7" w:rsidP="003F15B3">
      <w:pPr>
        <w:rPr>
          <w:rFonts w:cs="Arial"/>
        </w:rPr>
      </w:pPr>
    </w:p>
    <w:p w14:paraId="1C0B9531" w14:textId="77777777" w:rsidR="00D80DF7" w:rsidRPr="003F15B3" w:rsidRDefault="00D80DF7" w:rsidP="003F15B3">
      <w:pPr>
        <w:rPr>
          <w:rFonts w:cs="Arial"/>
        </w:rPr>
      </w:pPr>
      <w:r w:rsidRPr="003F15B3">
        <w:rPr>
          <w:rFonts w:cs="Arial"/>
        </w:rPr>
        <w:t xml:space="preserve">Además, las personas físicas que prestan servicios o venden productos a las instituciones públicas renuncian implícitamente a una parte de su derecho a la intimidad al obtener beneficios y lucros de los recursos públicos por los servicios que prestan o productos que venden, por lo que no puede considerarse como información clasificada lo relativo a su </w:t>
      </w:r>
      <w:r w:rsidRPr="003F15B3">
        <w:rPr>
          <w:rFonts w:cs="Arial"/>
        </w:rPr>
        <w:lastRenderedPageBreak/>
        <w:t>nombre y domicilio fiscal, atento a que dicha información es la que puede generar certeza en los gobernados, en el sentido de que se está ejerciendo debidamente el presupuesto, esto es, se están realizando pagos a una persona que es la expedidora de un documento por el que se hizo un pago con dinero del erario público.</w:t>
      </w:r>
    </w:p>
    <w:p w14:paraId="036741B6" w14:textId="77777777" w:rsidR="00D80DF7" w:rsidRPr="003F15B3" w:rsidRDefault="00D80DF7" w:rsidP="003F15B3">
      <w:pPr>
        <w:autoSpaceDE w:val="0"/>
        <w:autoSpaceDN w:val="0"/>
        <w:adjustRightInd w:val="0"/>
      </w:pPr>
    </w:p>
    <w:p w14:paraId="2B508C7B" w14:textId="77777777" w:rsidR="00D80DF7" w:rsidRPr="003F15B3" w:rsidRDefault="00D80DF7" w:rsidP="003F15B3">
      <w:pPr>
        <w:numPr>
          <w:ilvl w:val="0"/>
          <w:numId w:val="8"/>
        </w:numPr>
        <w:autoSpaceDE w:val="0"/>
        <w:autoSpaceDN w:val="0"/>
        <w:adjustRightInd w:val="0"/>
        <w:spacing w:after="160" w:line="256" w:lineRule="auto"/>
        <w:contextualSpacing/>
        <w:jc w:val="left"/>
        <w:rPr>
          <w:b/>
        </w:rPr>
      </w:pPr>
      <w:r w:rsidRPr="003F15B3">
        <w:rPr>
          <w:b/>
        </w:rPr>
        <w:t xml:space="preserve">Cuentas bancarias de particulares </w:t>
      </w:r>
    </w:p>
    <w:p w14:paraId="4C2A0859" w14:textId="77777777" w:rsidR="00D80DF7" w:rsidRPr="003F15B3" w:rsidRDefault="00D80DF7" w:rsidP="003F15B3">
      <w:pPr>
        <w:rPr>
          <w:rFonts w:cs="Arial"/>
          <w:szCs w:val="22"/>
        </w:rPr>
      </w:pPr>
    </w:p>
    <w:p w14:paraId="038F2AFB" w14:textId="77777777" w:rsidR="00D80DF7" w:rsidRPr="003F15B3" w:rsidRDefault="00D80DF7" w:rsidP="003F15B3">
      <w:r w:rsidRPr="003F15B3">
        <w:rPr>
          <w:rFonts w:cs="Arial"/>
          <w:szCs w:val="22"/>
        </w:rPr>
        <w:t>E</w:t>
      </w:r>
      <w:r w:rsidRPr="003F15B3">
        <w:rPr>
          <w:rFonts w:cs="Arial"/>
        </w:rPr>
        <w:t xml:space="preserve">s importante señalar que </w:t>
      </w:r>
      <w:r w:rsidRPr="003F15B3">
        <w:t xml:space="preserve">por cuanto hace al </w:t>
      </w:r>
      <w:r w:rsidRPr="003F15B3">
        <w:rPr>
          <w:b/>
          <w:bCs/>
        </w:rPr>
        <w:t>número de cuenta bancaria</w:t>
      </w:r>
      <w:r w:rsidRPr="003F15B3">
        <w:t xml:space="preserve"> </w:t>
      </w:r>
      <w:r w:rsidRPr="003F15B3">
        <w:rPr>
          <w:b/>
          <w:bCs/>
        </w:rPr>
        <w:t>de los particulares</w:t>
      </w:r>
      <w:r w:rsidRPr="003F15B3">
        <w:t xml:space="preserve"> debe ser clasificado como confidencial con fundamento en las fracciones I y II del artículo 143 de la Ley de la Materia de la Entidad; en razón de que, con su difusión se estaría poniendo en riesgo la seguridad de su titular.</w:t>
      </w:r>
    </w:p>
    <w:p w14:paraId="2670A133" w14:textId="77777777" w:rsidR="00D80DF7" w:rsidRPr="003F15B3" w:rsidRDefault="00D80DF7" w:rsidP="003F15B3">
      <w:pPr>
        <w:autoSpaceDE w:val="0"/>
        <w:autoSpaceDN w:val="0"/>
        <w:adjustRightInd w:val="0"/>
        <w:ind w:right="50"/>
      </w:pPr>
    </w:p>
    <w:p w14:paraId="49E4D5FA" w14:textId="77777777" w:rsidR="00D80DF7" w:rsidRPr="003F15B3" w:rsidRDefault="00D80DF7" w:rsidP="003F15B3">
      <w:pPr>
        <w:autoSpaceDE w:val="0"/>
        <w:autoSpaceDN w:val="0"/>
        <w:adjustRightInd w:val="0"/>
        <w:ind w:right="51"/>
      </w:pPr>
      <w:r w:rsidRPr="003F15B3">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AF1B75A" w14:textId="77777777" w:rsidR="00D80DF7" w:rsidRPr="003F15B3" w:rsidRDefault="00D80DF7" w:rsidP="003F15B3">
      <w:pPr>
        <w:autoSpaceDE w:val="0"/>
        <w:autoSpaceDN w:val="0"/>
        <w:adjustRightInd w:val="0"/>
        <w:ind w:right="51"/>
      </w:pPr>
    </w:p>
    <w:p w14:paraId="5613E83D" w14:textId="77777777" w:rsidR="00D80DF7" w:rsidRPr="003F15B3" w:rsidRDefault="00D80DF7" w:rsidP="003F15B3">
      <w:pPr>
        <w:autoSpaceDE w:val="0"/>
        <w:autoSpaceDN w:val="0"/>
        <w:adjustRightInd w:val="0"/>
        <w:ind w:right="50"/>
      </w:pPr>
      <w:r w:rsidRPr="003F15B3">
        <w:t>Lo anterior encuentra sustento en el criterio 10/17 emitido por el Instituto Nacional de Transparencia y Acceso a la Información Pública del Estado de México y Municipios, que a la letra dicen:</w:t>
      </w:r>
    </w:p>
    <w:p w14:paraId="54C13F68" w14:textId="77777777" w:rsidR="00D80DF7" w:rsidRPr="003F15B3" w:rsidRDefault="00D80DF7" w:rsidP="003F15B3">
      <w:pPr>
        <w:autoSpaceDE w:val="0"/>
        <w:autoSpaceDN w:val="0"/>
        <w:adjustRightInd w:val="0"/>
        <w:ind w:right="50"/>
      </w:pPr>
    </w:p>
    <w:p w14:paraId="14AA4B0E" w14:textId="77777777" w:rsidR="00D80DF7" w:rsidRPr="003F15B3" w:rsidRDefault="00D80DF7" w:rsidP="003F15B3">
      <w:pPr>
        <w:spacing w:line="240" w:lineRule="auto"/>
        <w:ind w:left="567" w:right="567"/>
        <w:contextualSpacing/>
        <w:rPr>
          <w:i/>
          <w:kern w:val="28"/>
          <w:szCs w:val="56"/>
        </w:rPr>
      </w:pPr>
      <w:r w:rsidRPr="003F15B3">
        <w:rPr>
          <w:b/>
          <w:i/>
          <w:kern w:val="28"/>
          <w:szCs w:val="56"/>
        </w:rPr>
        <w:t>“Cuentas bancarias y/o CLABE interbancaria de personas físicas y morales privadas.</w:t>
      </w:r>
      <w:r w:rsidRPr="003F15B3">
        <w:rPr>
          <w:i/>
          <w:kern w:val="28"/>
          <w:szCs w:val="56"/>
        </w:rPr>
        <w:t xml:space="preserve"> El número de cuenta bancaria y/o CLABE interbancaria de particulares es información confidencial, al tratarse de un conjunto de caracteres numéricos utilizados por </w:t>
      </w:r>
      <w:r w:rsidRPr="003F15B3">
        <w:rPr>
          <w:i/>
          <w:kern w:val="28"/>
          <w:szCs w:val="56"/>
        </w:rPr>
        <w:lastRenderedPageBreak/>
        <w:t>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40E1C7E" w14:textId="77777777" w:rsidR="00D80DF7" w:rsidRPr="003F15B3" w:rsidRDefault="00D80DF7" w:rsidP="003F15B3">
      <w:pPr>
        <w:spacing w:line="240" w:lineRule="auto"/>
        <w:ind w:left="567" w:right="567"/>
        <w:contextualSpacing/>
        <w:rPr>
          <w:i/>
          <w:kern w:val="28"/>
          <w:szCs w:val="56"/>
        </w:rPr>
      </w:pPr>
    </w:p>
    <w:p w14:paraId="0C6807C3" w14:textId="77777777" w:rsidR="00D80DF7" w:rsidRPr="003F15B3" w:rsidRDefault="00D80DF7" w:rsidP="003F15B3">
      <w:pPr>
        <w:spacing w:line="240" w:lineRule="auto"/>
        <w:ind w:left="567" w:right="567"/>
        <w:contextualSpacing/>
        <w:rPr>
          <w:b/>
          <w:bCs/>
          <w:i/>
          <w:kern w:val="28"/>
          <w:szCs w:val="56"/>
        </w:rPr>
      </w:pPr>
      <w:r w:rsidRPr="003F15B3">
        <w:rPr>
          <w:b/>
          <w:bCs/>
          <w:i/>
          <w:kern w:val="28"/>
          <w:szCs w:val="56"/>
        </w:rPr>
        <w:t xml:space="preserve"> Resoluciones: </w:t>
      </w:r>
    </w:p>
    <w:p w14:paraId="0DFE6C3B" w14:textId="77777777" w:rsidR="00D80DF7" w:rsidRPr="003F15B3" w:rsidRDefault="00D80DF7" w:rsidP="003F15B3">
      <w:pPr>
        <w:spacing w:line="240" w:lineRule="auto"/>
        <w:ind w:left="567" w:right="567"/>
        <w:contextualSpacing/>
        <w:rPr>
          <w:i/>
          <w:kern w:val="28"/>
          <w:szCs w:val="56"/>
        </w:rPr>
      </w:pPr>
      <w:r w:rsidRPr="003F15B3">
        <w:rPr>
          <w:b/>
          <w:bCs/>
          <w:i/>
          <w:kern w:val="28"/>
          <w:szCs w:val="56"/>
        </w:rPr>
        <w:t xml:space="preserve">RRA 1276/16 </w:t>
      </w:r>
      <w:r w:rsidRPr="003F15B3">
        <w:rPr>
          <w:i/>
          <w:kern w:val="28"/>
          <w:szCs w:val="56"/>
        </w:rPr>
        <w:t xml:space="preserve">Grupo Aeroportuario de la Ciudad de México. S.A. de C.V. 01 de noviembre de 2016. Por unanimidad. Comisionada Ponente Areli Cano Guadiana. </w:t>
      </w:r>
    </w:p>
    <w:p w14:paraId="748AC33C" w14:textId="77777777" w:rsidR="00D80DF7" w:rsidRPr="003F15B3" w:rsidRDefault="00D80DF7" w:rsidP="003F15B3">
      <w:pPr>
        <w:spacing w:line="240" w:lineRule="auto"/>
        <w:ind w:left="567" w:right="567"/>
        <w:contextualSpacing/>
        <w:rPr>
          <w:i/>
          <w:kern w:val="28"/>
          <w:szCs w:val="56"/>
        </w:rPr>
      </w:pPr>
      <w:r w:rsidRPr="003F15B3">
        <w:rPr>
          <w:b/>
          <w:bCs/>
          <w:i/>
          <w:kern w:val="28"/>
          <w:szCs w:val="56"/>
        </w:rPr>
        <w:t>RRA 3527/16</w:t>
      </w:r>
      <w:r w:rsidRPr="003F15B3">
        <w:rPr>
          <w:i/>
          <w:kern w:val="28"/>
          <w:szCs w:val="56"/>
        </w:rPr>
        <w:t xml:space="preserve"> Servicio de Administración Tributaria. 07 de diciembre de 2016. Por unanimidad. Comisionada Ponente Ximena Puente de la Mora. </w:t>
      </w:r>
    </w:p>
    <w:p w14:paraId="0A70D0A8" w14:textId="77777777" w:rsidR="00D80DF7" w:rsidRPr="003F15B3" w:rsidRDefault="00D80DF7" w:rsidP="003F15B3">
      <w:pPr>
        <w:spacing w:line="240" w:lineRule="auto"/>
        <w:ind w:left="567" w:right="567"/>
        <w:contextualSpacing/>
        <w:rPr>
          <w:i/>
          <w:kern w:val="28"/>
          <w:szCs w:val="56"/>
        </w:rPr>
      </w:pPr>
      <w:r w:rsidRPr="003F15B3">
        <w:rPr>
          <w:b/>
          <w:bCs/>
          <w:i/>
          <w:kern w:val="28"/>
          <w:szCs w:val="56"/>
        </w:rPr>
        <w:t>RRA 4404/16</w:t>
      </w:r>
      <w:r w:rsidRPr="003F15B3">
        <w:rPr>
          <w:i/>
          <w:kern w:val="28"/>
          <w:szCs w:val="56"/>
        </w:rPr>
        <w:t xml:space="preserve"> Partido del Trabajo. 01 de febrero de 2017. Por unanimidad. Comisionado Ponente Francisco Acuña Llamas.”</w:t>
      </w:r>
    </w:p>
    <w:p w14:paraId="25017A40" w14:textId="77777777" w:rsidR="00D80DF7" w:rsidRPr="003F15B3" w:rsidRDefault="00D80DF7" w:rsidP="003F15B3">
      <w:pPr>
        <w:autoSpaceDE w:val="0"/>
        <w:autoSpaceDN w:val="0"/>
        <w:adjustRightInd w:val="0"/>
        <w:ind w:left="851" w:right="899"/>
        <w:jc w:val="center"/>
        <w:rPr>
          <w:b/>
          <w:i/>
          <w:szCs w:val="22"/>
        </w:rPr>
      </w:pPr>
    </w:p>
    <w:p w14:paraId="44BBAC16" w14:textId="77777777" w:rsidR="00D80DF7" w:rsidRPr="003F15B3" w:rsidRDefault="00D80DF7" w:rsidP="003F15B3">
      <w:pPr>
        <w:numPr>
          <w:ilvl w:val="0"/>
          <w:numId w:val="8"/>
        </w:numPr>
        <w:autoSpaceDE w:val="0"/>
        <w:autoSpaceDN w:val="0"/>
        <w:adjustRightInd w:val="0"/>
        <w:spacing w:after="160" w:line="256" w:lineRule="auto"/>
        <w:ind w:right="50"/>
        <w:contextualSpacing/>
        <w:jc w:val="left"/>
        <w:rPr>
          <w:b/>
        </w:rPr>
      </w:pPr>
      <w:r w:rsidRPr="003F15B3">
        <w:rPr>
          <w:b/>
        </w:rPr>
        <w:t>Cuentas bancarias de los Sujetos Obligados</w:t>
      </w:r>
    </w:p>
    <w:p w14:paraId="6EC5A2BA" w14:textId="77777777" w:rsidR="00D80DF7" w:rsidRPr="003F15B3" w:rsidRDefault="00D80DF7" w:rsidP="003F15B3">
      <w:pPr>
        <w:autoSpaceDE w:val="0"/>
        <w:autoSpaceDN w:val="0"/>
        <w:adjustRightInd w:val="0"/>
        <w:ind w:right="50"/>
      </w:pPr>
    </w:p>
    <w:p w14:paraId="2F00B880" w14:textId="77777777" w:rsidR="00D80DF7" w:rsidRPr="003F15B3" w:rsidRDefault="00D80DF7" w:rsidP="003F15B3">
      <w:pPr>
        <w:autoSpaceDE w:val="0"/>
        <w:autoSpaceDN w:val="0"/>
        <w:adjustRightInd w:val="0"/>
        <w:ind w:right="50"/>
      </w:pPr>
      <w:r w:rsidRPr="003F15B3">
        <w:t xml:space="preserve">Por cuanto hace a las </w:t>
      </w:r>
      <w:r w:rsidRPr="003F15B3">
        <w:rPr>
          <w:b/>
          <w:bCs/>
        </w:rPr>
        <w:t>cuentas bancarias de los Sujetos obligados</w:t>
      </w:r>
      <w:r w:rsidRPr="003F15B3">
        <w:t>,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49B2D4F3" w14:textId="77777777" w:rsidR="00D80DF7" w:rsidRPr="003F15B3" w:rsidRDefault="00D80DF7" w:rsidP="003F15B3">
      <w:pPr>
        <w:autoSpaceDE w:val="0"/>
        <w:autoSpaceDN w:val="0"/>
        <w:adjustRightInd w:val="0"/>
        <w:ind w:right="50"/>
      </w:pPr>
    </w:p>
    <w:p w14:paraId="6CA04EEF" w14:textId="77777777" w:rsidR="00D80DF7" w:rsidRPr="003F15B3" w:rsidRDefault="00D80DF7" w:rsidP="003F15B3">
      <w:pPr>
        <w:spacing w:line="240" w:lineRule="auto"/>
        <w:ind w:left="567" w:right="567"/>
        <w:contextualSpacing/>
        <w:rPr>
          <w:i/>
          <w:kern w:val="28"/>
          <w:szCs w:val="56"/>
        </w:rPr>
      </w:pPr>
      <w:r w:rsidRPr="003F15B3">
        <w:rPr>
          <w:i/>
          <w:kern w:val="28"/>
          <w:szCs w:val="56"/>
        </w:rPr>
        <w:t>“</w:t>
      </w:r>
      <w:r w:rsidRPr="003F15B3">
        <w:rPr>
          <w:b/>
          <w:bCs/>
          <w:i/>
          <w:kern w:val="28"/>
          <w:szCs w:val="56"/>
        </w:rPr>
        <w:t>Cuentas bancarias y/o CLABE interbancaria de sujetos obligados que reciben y/o transfieren recursos públicos, son información pública</w:t>
      </w:r>
      <w:r w:rsidRPr="003F15B3">
        <w:rPr>
          <w:i/>
          <w:kern w:val="28"/>
          <w:szCs w:val="56"/>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D010CCD" w14:textId="77777777" w:rsidR="00D80DF7" w:rsidRPr="003F15B3" w:rsidRDefault="00D80DF7" w:rsidP="003F15B3">
      <w:pPr>
        <w:spacing w:line="240" w:lineRule="auto"/>
        <w:ind w:left="567" w:right="567"/>
        <w:contextualSpacing/>
        <w:rPr>
          <w:i/>
          <w:kern w:val="28"/>
          <w:szCs w:val="56"/>
        </w:rPr>
      </w:pPr>
    </w:p>
    <w:p w14:paraId="0C54F68F" w14:textId="77777777" w:rsidR="00D80DF7" w:rsidRPr="003F15B3" w:rsidRDefault="00D80DF7" w:rsidP="003F15B3">
      <w:pPr>
        <w:spacing w:line="240" w:lineRule="auto"/>
        <w:ind w:left="567" w:right="567"/>
        <w:contextualSpacing/>
        <w:rPr>
          <w:b/>
          <w:i/>
          <w:kern w:val="28"/>
          <w:szCs w:val="56"/>
        </w:rPr>
      </w:pPr>
      <w:r w:rsidRPr="003F15B3">
        <w:rPr>
          <w:b/>
          <w:i/>
          <w:kern w:val="28"/>
          <w:szCs w:val="56"/>
        </w:rPr>
        <w:t xml:space="preserve"> Resoluciones: </w:t>
      </w:r>
    </w:p>
    <w:p w14:paraId="32837682" w14:textId="77777777" w:rsidR="00D80DF7" w:rsidRPr="003F15B3" w:rsidRDefault="00D80DF7" w:rsidP="003F15B3">
      <w:pPr>
        <w:spacing w:line="240" w:lineRule="auto"/>
        <w:ind w:left="567" w:right="567"/>
        <w:contextualSpacing/>
        <w:rPr>
          <w:i/>
          <w:kern w:val="28"/>
          <w:szCs w:val="56"/>
        </w:rPr>
      </w:pPr>
      <w:r w:rsidRPr="003F15B3">
        <w:rPr>
          <w:b/>
          <w:i/>
          <w:kern w:val="28"/>
          <w:szCs w:val="56"/>
        </w:rPr>
        <w:t>RRA 0448/16.</w:t>
      </w:r>
      <w:r w:rsidRPr="003F15B3">
        <w:rPr>
          <w:i/>
          <w:kern w:val="28"/>
          <w:szCs w:val="56"/>
        </w:rPr>
        <w:t xml:space="preserve"> NOTIMEX, Agencia de Noticias del Estado Mexicano. 24 de agosto de 2016. Por unanimidad. Comisionado Ponente Joel Salas Suárez. </w:t>
      </w:r>
    </w:p>
    <w:p w14:paraId="786639A8" w14:textId="77777777" w:rsidR="00D80DF7" w:rsidRPr="003F15B3" w:rsidRDefault="00D80DF7" w:rsidP="003F15B3">
      <w:pPr>
        <w:spacing w:line="240" w:lineRule="auto"/>
        <w:ind w:left="567" w:right="567"/>
        <w:contextualSpacing/>
        <w:rPr>
          <w:i/>
          <w:kern w:val="28"/>
          <w:szCs w:val="56"/>
        </w:rPr>
      </w:pPr>
      <w:r w:rsidRPr="003F15B3">
        <w:rPr>
          <w:b/>
          <w:i/>
          <w:kern w:val="28"/>
          <w:szCs w:val="56"/>
        </w:rPr>
        <w:t>RRA 2787/16.</w:t>
      </w:r>
      <w:r w:rsidRPr="003F15B3">
        <w:rPr>
          <w:i/>
          <w:kern w:val="28"/>
          <w:szCs w:val="56"/>
        </w:rPr>
        <w:t xml:space="preserve"> Colegio de Postgraduados. 01 de noviembre de 2016. Por unanimidad. Comisionado Ponente Francisco Javier Acuña Llamas. </w:t>
      </w:r>
    </w:p>
    <w:p w14:paraId="04BED979" w14:textId="77777777" w:rsidR="00D80DF7" w:rsidRPr="003F15B3" w:rsidRDefault="00D80DF7" w:rsidP="003F15B3">
      <w:pPr>
        <w:spacing w:line="240" w:lineRule="auto"/>
        <w:ind w:left="567" w:right="567"/>
        <w:contextualSpacing/>
        <w:rPr>
          <w:i/>
          <w:kern w:val="28"/>
          <w:szCs w:val="56"/>
        </w:rPr>
      </w:pPr>
      <w:r w:rsidRPr="003F15B3">
        <w:rPr>
          <w:b/>
          <w:i/>
          <w:kern w:val="28"/>
          <w:szCs w:val="56"/>
        </w:rPr>
        <w:lastRenderedPageBreak/>
        <w:t>RRA 4756/16.</w:t>
      </w:r>
      <w:r w:rsidRPr="003F15B3">
        <w:rPr>
          <w:i/>
          <w:kern w:val="28"/>
          <w:szCs w:val="56"/>
        </w:rPr>
        <w:t xml:space="preserve"> Instituto Mexicano del Seguro Social. 08 de febrero de 2017. Por unanimidad. Comisionado Ponente Oscar Mauricio Guerra Ford. “</w:t>
      </w:r>
    </w:p>
    <w:p w14:paraId="750D7831" w14:textId="77777777" w:rsidR="00D80DF7" w:rsidRPr="003F15B3" w:rsidRDefault="00D80DF7" w:rsidP="003F15B3"/>
    <w:p w14:paraId="26725648" w14:textId="77777777" w:rsidR="00D80DF7" w:rsidRPr="003F15B3" w:rsidRDefault="00D80DF7" w:rsidP="003F15B3">
      <w:pPr>
        <w:numPr>
          <w:ilvl w:val="0"/>
          <w:numId w:val="9"/>
        </w:numPr>
      </w:pPr>
      <w:r w:rsidRPr="003F15B3">
        <w:rPr>
          <w:b/>
          <w:bCs/>
        </w:rPr>
        <w:t>Número de folio de identificación oficial</w:t>
      </w:r>
    </w:p>
    <w:p w14:paraId="0B64D32A" w14:textId="77777777" w:rsidR="00D80DF7" w:rsidRPr="003F15B3" w:rsidRDefault="00D80DF7" w:rsidP="003F15B3"/>
    <w:p w14:paraId="36059EEA" w14:textId="77777777" w:rsidR="00D80DF7" w:rsidRPr="003F15B3" w:rsidRDefault="00D80DF7" w:rsidP="003F15B3">
      <w:pPr>
        <w:rPr>
          <w:lang w:val="es-ES"/>
        </w:rPr>
      </w:pPr>
      <w:r w:rsidRPr="003F15B3">
        <w:t>El número de folio de identificación oficial del INE, es el código único y personal que se entrega con cada credencial y permite ubicar eficientemente los datos en el Sistema del Instituto Nacional Electoral</w:t>
      </w:r>
      <w:proofErr w:type="gramStart"/>
      <w:r w:rsidRPr="003F15B3">
        <w:t>,  por</w:t>
      </w:r>
      <w:proofErr w:type="gramEnd"/>
      <w:r w:rsidRPr="003F15B3">
        <w:t xml:space="preserve"> lo que se considera dato personal confidencial, conforme a lo dispuesto en </w:t>
      </w:r>
      <w:r w:rsidRPr="003F15B3">
        <w:rPr>
          <w:lang w:val="es-ES"/>
        </w:rPr>
        <w:t>la fracción I, del artículo 143 de la Ley de Transparencia y Acceso a la Información Pública del Estado de México y Municipios</w:t>
      </w:r>
      <w:r w:rsidRPr="003F15B3">
        <w:t>.</w:t>
      </w:r>
    </w:p>
    <w:p w14:paraId="162E5C25" w14:textId="77777777" w:rsidR="00D80DF7" w:rsidRPr="003F15B3" w:rsidRDefault="00D80DF7" w:rsidP="003F15B3">
      <w:pPr>
        <w:rPr>
          <w:lang w:val="es-ES"/>
        </w:rPr>
      </w:pPr>
    </w:p>
    <w:p w14:paraId="67B74801" w14:textId="32E08027" w:rsidR="00D80DF7" w:rsidRPr="003F15B3" w:rsidRDefault="00D80DF7" w:rsidP="003F15B3">
      <w:pPr>
        <w:pStyle w:val="Ttulo3"/>
      </w:pPr>
      <w:bookmarkStart w:id="45" w:name="_Toc206614409"/>
      <w:r w:rsidRPr="003F15B3">
        <w:t>e) Vista a autoridades</w:t>
      </w:r>
      <w:bookmarkEnd w:id="45"/>
    </w:p>
    <w:p w14:paraId="4DD3A4C6" w14:textId="245B2AD6" w:rsidR="00CC635F" w:rsidRPr="003F15B3" w:rsidRDefault="00D80DF7" w:rsidP="003F15B3">
      <w:r w:rsidRPr="003F15B3">
        <w:t xml:space="preserve">Finalmente, no se omite comentar que mediante respuesta </w:t>
      </w:r>
      <w:r w:rsidRPr="003F15B3">
        <w:rPr>
          <w:b/>
          <w:bCs/>
        </w:rPr>
        <w:t>EL SUJETO OBLIGADO</w:t>
      </w:r>
      <w:r w:rsidRPr="003F15B3">
        <w:t xml:space="preserve"> adjuntó el archivo denominado </w:t>
      </w:r>
      <w:proofErr w:type="spellStart"/>
      <w:r w:rsidRPr="003F15B3">
        <w:rPr>
          <w:b/>
          <w:bCs/>
          <w:i/>
          <w:iCs/>
        </w:rPr>
        <w:t>Respsol</w:t>
      </w:r>
      <w:proofErr w:type="spellEnd"/>
      <w:r w:rsidRPr="003F15B3">
        <w:rPr>
          <w:b/>
          <w:bCs/>
          <w:i/>
          <w:iCs/>
        </w:rPr>
        <w:t xml:space="preserve"> 01911_2025.pdf, </w:t>
      </w:r>
      <w:r w:rsidRPr="003F15B3">
        <w:t>en el que se advirtió que no fue testada información susceptible de ser clasificada como confidencial, la cual de manera enunciativa más no limitativa el número de folio de credencial para votar, cuentas bancarias de particulares y fotografías de particulares; atento a ello, se deberá hacer del conocimiento al Titular de la Dirección General de Protección de Datos Personales en atención al artículo 82, fracción XXVII de la Ley de Protección de Datos Personales del Estado de México y Municipios., a fin de que determinen lo conducente.</w:t>
      </w:r>
      <w:r w:rsidR="00434670" w:rsidRPr="003F15B3">
        <w:t xml:space="preserve"> Asimismo, en el archivo electrónico en comento, se advierte que </w:t>
      </w:r>
      <w:r w:rsidR="00434670" w:rsidRPr="003F15B3">
        <w:rPr>
          <w:b/>
          <w:bCs/>
        </w:rPr>
        <w:t xml:space="preserve">EL SUJETO OBLIGADO </w:t>
      </w:r>
      <w:r w:rsidR="00434670" w:rsidRPr="003F15B3">
        <w:t xml:space="preserve">dejó a la vista información  susceptible de ser clasificada como reservada como es el caso de las fotografías de policías; atento a ello, </w:t>
      </w:r>
      <w:r w:rsidR="00CC635F" w:rsidRPr="003F15B3">
        <w:t>se girará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548D5A72" w14:textId="77777777" w:rsidR="00CC635F" w:rsidRPr="003F15B3" w:rsidRDefault="00CC635F" w:rsidP="003F15B3"/>
    <w:p w14:paraId="24F27127" w14:textId="77777777" w:rsidR="00D80DF7" w:rsidRPr="003F15B3" w:rsidRDefault="00D80DF7" w:rsidP="003F15B3"/>
    <w:p w14:paraId="374838C9" w14:textId="4992CE96" w:rsidR="00E0690A" w:rsidRPr="003F15B3" w:rsidRDefault="00D80DF7" w:rsidP="003F15B3">
      <w:pPr>
        <w:pStyle w:val="Ttulo3"/>
      </w:pPr>
      <w:bookmarkStart w:id="46" w:name="_Toc206614410"/>
      <w:r w:rsidRPr="003F15B3">
        <w:t>f</w:t>
      </w:r>
      <w:r w:rsidR="00E0690A" w:rsidRPr="003F15B3">
        <w:t>) Conclusión</w:t>
      </w:r>
      <w:bookmarkEnd w:id="46"/>
    </w:p>
    <w:p w14:paraId="68B73B81" w14:textId="2D529400" w:rsidR="00E0690A" w:rsidRPr="003F15B3" w:rsidRDefault="00E0690A" w:rsidP="003F15B3">
      <w:pPr>
        <w:widowControl w:val="0"/>
        <w:tabs>
          <w:tab w:val="left" w:pos="1701"/>
          <w:tab w:val="left" w:pos="1843"/>
        </w:tabs>
        <w:rPr>
          <w:rFonts w:eastAsia="Palatino Linotype" w:cs="Palatino Linotype"/>
        </w:rPr>
      </w:pPr>
      <w:r w:rsidRPr="003F15B3">
        <w:rPr>
          <w:rFonts w:eastAsia="Palatino Linotype" w:cs="Palatino Linotype"/>
        </w:rPr>
        <w:t xml:space="preserve">En razón de lo anteriormente expuesto, este Instituto estima que las razones o motivos de inconformidad hechos valer por </w:t>
      </w:r>
      <w:r w:rsidRPr="003F15B3">
        <w:rPr>
          <w:rFonts w:eastAsia="Aptos" w:cs="Tahoma"/>
          <w:b/>
          <w:iCs/>
          <w:szCs w:val="22"/>
          <w:lang w:eastAsia="en-US"/>
        </w:rPr>
        <w:t>LA PARTE RECURRENTE</w:t>
      </w:r>
      <w:r w:rsidRPr="003F15B3">
        <w:rPr>
          <w:rFonts w:eastAsia="Aptos" w:cs="Tahoma"/>
          <w:bCs/>
          <w:iCs/>
          <w:szCs w:val="22"/>
          <w:lang w:eastAsia="en-US"/>
        </w:rPr>
        <w:t xml:space="preserve"> </w:t>
      </w:r>
      <w:r w:rsidRPr="003F15B3">
        <w:rPr>
          <w:rFonts w:eastAsia="Palatino Linotype" w:cs="Palatino Linotype"/>
        </w:rPr>
        <w:t xml:space="preserve">devienen </w:t>
      </w:r>
      <w:r w:rsidRPr="003F15B3">
        <w:rPr>
          <w:rFonts w:eastAsia="Palatino Linotype" w:cs="Palatino Linotype"/>
          <w:b/>
        </w:rPr>
        <w:t>fundadas</w:t>
      </w:r>
      <w:r w:rsidRPr="003F15B3">
        <w:rPr>
          <w:rFonts w:eastAsia="Palatino Linotype" w:cs="Palatino Linotype"/>
        </w:rPr>
        <w:t xml:space="preserve"> y suficientes para </w:t>
      </w:r>
      <w:r w:rsidR="00D80DF7" w:rsidRPr="003F15B3">
        <w:rPr>
          <w:rFonts w:eastAsia="Palatino Linotype" w:cs="Palatino Linotype"/>
          <w:b/>
        </w:rPr>
        <w:t>MODIFICA</w:t>
      </w:r>
      <w:r w:rsidRPr="003F15B3">
        <w:rPr>
          <w:rFonts w:eastAsia="Palatino Linotype" w:cs="Palatino Linotype"/>
        </w:rPr>
        <w:t xml:space="preserve"> la respuesta del </w:t>
      </w:r>
      <w:r w:rsidRPr="003F15B3">
        <w:rPr>
          <w:rFonts w:eastAsia="Palatino Linotype" w:cs="Palatino Linotype"/>
          <w:b/>
        </w:rPr>
        <w:t>SUJETO OBLIGADO</w:t>
      </w:r>
      <w:r w:rsidRPr="003F15B3">
        <w:rPr>
          <w:rFonts w:eastAsia="Palatino Linotype" w:cs="Palatino Linotype"/>
        </w:rPr>
        <w:t xml:space="preserve"> y ordenarle haga entrega de la información descrita en el presente Considerando.</w:t>
      </w:r>
    </w:p>
    <w:p w14:paraId="5872A9EA" w14:textId="77777777" w:rsidR="00E0690A" w:rsidRPr="003F15B3" w:rsidRDefault="00E0690A" w:rsidP="003F15B3">
      <w:pPr>
        <w:rPr>
          <w:rFonts w:eastAsia="Palatino Linotype"/>
        </w:rPr>
      </w:pPr>
    </w:p>
    <w:p w14:paraId="41ED5EFC" w14:textId="77777777" w:rsidR="00E0690A" w:rsidRPr="003F15B3" w:rsidRDefault="00E0690A" w:rsidP="003F15B3">
      <w:pPr>
        <w:ind w:right="-93"/>
        <w:rPr>
          <w:rFonts w:cs="Tahoma"/>
          <w:bCs/>
          <w:szCs w:val="22"/>
        </w:rPr>
      </w:pPr>
      <w:r w:rsidRPr="003F15B3">
        <w:rPr>
          <w:rFonts w:cs="Tahoma"/>
          <w:bCs/>
          <w:szCs w:val="22"/>
        </w:rPr>
        <w:t xml:space="preserve">Así, con fundamento en lo establecido en los artículos 5, párrafos </w:t>
      </w:r>
      <w:r w:rsidRPr="003F15B3">
        <w:t>trigésimo séptimo, trigésimo octavo, trigésimo noveno, fracciones IV y V</w:t>
      </w:r>
      <w:r w:rsidRPr="003F15B3">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A61AF61" w14:textId="77777777" w:rsidR="00E0690A" w:rsidRPr="003F15B3" w:rsidRDefault="00E0690A" w:rsidP="003F15B3"/>
    <w:p w14:paraId="2092012B" w14:textId="77777777" w:rsidR="00E0690A" w:rsidRPr="003F15B3" w:rsidRDefault="00E0690A" w:rsidP="003F15B3">
      <w:pPr>
        <w:pStyle w:val="Ttulo1"/>
      </w:pPr>
      <w:bookmarkStart w:id="47" w:name="_Toc206614411"/>
      <w:r w:rsidRPr="003F15B3">
        <w:t>RESUELVE</w:t>
      </w:r>
      <w:bookmarkEnd w:id="47"/>
    </w:p>
    <w:p w14:paraId="1C439BCD" w14:textId="77777777" w:rsidR="00E0690A" w:rsidRPr="003F15B3" w:rsidRDefault="00E0690A" w:rsidP="003F15B3">
      <w:pPr>
        <w:ind w:right="113"/>
        <w:rPr>
          <w:rFonts w:cs="Arial"/>
          <w:b/>
          <w:szCs w:val="22"/>
        </w:rPr>
      </w:pPr>
    </w:p>
    <w:p w14:paraId="68BCBE65" w14:textId="029D48F3" w:rsidR="00E0690A" w:rsidRPr="003F15B3" w:rsidRDefault="00E0690A" w:rsidP="003F15B3">
      <w:pPr>
        <w:widowControl w:val="0"/>
        <w:rPr>
          <w:rFonts w:eastAsia="Calibri" w:cs="Tahoma"/>
          <w:bCs/>
          <w:szCs w:val="22"/>
          <w:lang w:eastAsia="en-US"/>
        </w:rPr>
      </w:pPr>
      <w:r w:rsidRPr="003F15B3">
        <w:rPr>
          <w:b/>
          <w:bCs/>
        </w:rPr>
        <w:t>PRIMERO.</w:t>
      </w:r>
      <w:r w:rsidRPr="003F15B3">
        <w:t xml:space="preserve"> </w:t>
      </w:r>
      <w:r w:rsidRPr="003F15B3">
        <w:rPr>
          <w:rFonts w:cs="Tahoma"/>
          <w:szCs w:val="22"/>
        </w:rPr>
        <w:t xml:space="preserve">Se </w:t>
      </w:r>
      <w:r w:rsidR="00E44C09" w:rsidRPr="003F15B3">
        <w:rPr>
          <w:rFonts w:cs="Tahoma"/>
          <w:b/>
          <w:bCs/>
          <w:szCs w:val="22"/>
        </w:rPr>
        <w:t>MODIFICA</w:t>
      </w:r>
      <w:r w:rsidRPr="003F15B3">
        <w:rPr>
          <w:rFonts w:cs="Tahoma"/>
          <w:szCs w:val="22"/>
        </w:rPr>
        <w:t xml:space="preserve"> la respuesta entregada por el </w:t>
      </w:r>
      <w:r w:rsidRPr="003F15B3">
        <w:rPr>
          <w:rFonts w:cs="Tahoma"/>
          <w:b/>
          <w:bCs/>
          <w:szCs w:val="22"/>
        </w:rPr>
        <w:t>SUJETO OBLIGADO</w:t>
      </w:r>
      <w:r w:rsidRPr="003F15B3">
        <w:rPr>
          <w:rFonts w:cs="Tahoma"/>
          <w:szCs w:val="22"/>
        </w:rPr>
        <w:t xml:space="preserve"> en la solicitud de información </w:t>
      </w:r>
      <w:r w:rsidR="00D80DF7" w:rsidRPr="003F15B3">
        <w:rPr>
          <w:rFonts w:eastAsia="Calibri"/>
          <w:b/>
          <w:bCs/>
          <w:lang w:eastAsia="en-US"/>
        </w:rPr>
        <w:t>01911/TOLUCA/IP/2025</w:t>
      </w:r>
      <w:r w:rsidRPr="003F15B3">
        <w:rPr>
          <w:rFonts w:eastAsia="Calibri"/>
          <w:b/>
          <w:lang w:eastAsia="en-US"/>
        </w:rPr>
        <w:t>,</w:t>
      </w:r>
      <w:r w:rsidRPr="003F15B3">
        <w:rPr>
          <w:rFonts w:cs="Tahoma"/>
          <w:bCs/>
          <w:szCs w:val="22"/>
        </w:rPr>
        <w:t xml:space="preserve"> </w:t>
      </w:r>
      <w:r w:rsidRPr="003F15B3">
        <w:rPr>
          <w:rFonts w:eastAsia="Calibri" w:cs="Tahoma"/>
          <w:bCs/>
          <w:szCs w:val="22"/>
          <w:lang w:eastAsia="en-US"/>
        </w:rPr>
        <w:t xml:space="preserve">por resultar </w:t>
      </w:r>
      <w:r w:rsidRPr="003F15B3">
        <w:rPr>
          <w:rFonts w:eastAsia="Calibri" w:cs="Tahoma"/>
          <w:b/>
          <w:bCs/>
          <w:szCs w:val="22"/>
          <w:lang w:eastAsia="en-US"/>
        </w:rPr>
        <w:t>FUNDADAS</w:t>
      </w:r>
      <w:r w:rsidRPr="003F15B3">
        <w:rPr>
          <w:rFonts w:eastAsia="Calibri" w:cs="Tahoma"/>
          <w:bCs/>
          <w:szCs w:val="22"/>
          <w:lang w:eastAsia="en-US"/>
        </w:rPr>
        <w:t xml:space="preserve"> las razones o motivos de inconformidad hechos valer por </w:t>
      </w:r>
      <w:r w:rsidRPr="003F15B3">
        <w:rPr>
          <w:rFonts w:eastAsia="Calibri" w:cs="Tahoma"/>
          <w:b/>
          <w:szCs w:val="22"/>
          <w:lang w:eastAsia="en-US"/>
        </w:rPr>
        <w:t>LA PARTE RECURRENTE</w:t>
      </w:r>
      <w:r w:rsidRPr="003F15B3">
        <w:rPr>
          <w:rFonts w:eastAsia="Calibri" w:cs="Tahoma"/>
          <w:bCs/>
          <w:szCs w:val="22"/>
          <w:lang w:eastAsia="en-US"/>
        </w:rPr>
        <w:t xml:space="preserve"> en el Recurso de Revisión </w:t>
      </w:r>
      <w:r w:rsidRPr="003F15B3">
        <w:rPr>
          <w:rFonts w:eastAsia="Calibri"/>
          <w:b/>
          <w:lang w:eastAsia="en-US"/>
        </w:rPr>
        <w:t>0</w:t>
      </w:r>
      <w:r w:rsidR="00D80DF7" w:rsidRPr="003F15B3">
        <w:rPr>
          <w:rFonts w:eastAsia="Calibri"/>
          <w:b/>
          <w:lang w:eastAsia="en-US"/>
        </w:rPr>
        <w:t>5757</w:t>
      </w:r>
      <w:r w:rsidRPr="003F15B3">
        <w:rPr>
          <w:rFonts w:eastAsia="Calibri"/>
          <w:b/>
          <w:lang w:eastAsia="en-US"/>
        </w:rPr>
        <w:t>/INFOEM/IP/RR/2025</w:t>
      </w:r>
      <w:r w:rsidRPr="003F15B3">
        <w:rPr>
          <w:rFonts w:eastAsiaTheme="minorHAnsi" w:cstheme="minorBidi"/>
          <w:szCs w:val="22"/>
          <w:lang w:eastAsia="en-US"/>
        </w:rPr>
        <w:t>,</w:t>
      </w:r>
      <w:r w:rsidRPr="003F15B3">
        <w:rPr>
          <w:rFonts w:cs="Tahoma"/>
          <w:b/>
          <w:szCs w:val="22"/>
        </w:rPr>
        <w:t xml:space="preserve"> </w:t>
      </w:r>
      <w:r w:rsidRPr="003F15B3">
        <w:rPr>
          <w:rFonts w:eastAsia="Calibri" w:cs="Tahoma"/>
          <w:bCs/>
          <w:szCs w:val="22"/>
          <w:lang w:eastAsia="en-US"/>
        </w:rPr>
        <w:t xml:space="preserve">en términos del considerando </w:t>
      </w:r>
      <w:r w:rsidRPr="003F15B3">
        <w:rPr>
          <w:rFonts w:eastAsia="Calibri" w:cs="Tahoma"/>
          <w:b/>
          <w:szCs w:val="22"/>
          <w:lang w:eastAsia="en-US"/>
        </w:rPr>
        <w:t>SEGUNDO</w:t>
      </w:r>
      <w:r w:rsidRPr="003F15B3">
        <w:rPr>
          <w:rFonts w:eastAsia="Calibri" w:cs="Tahoma"/>
          <w:bCs/>
          <w:szCs w:val="22"/>
          <w:lang w:eastAsia="en-US"/>
        </w:rPr>
        <w:t xml:space="preserve"> de la presente Resolución.</w:t>
      </w:r>
    </w:p>
    <w:p w14:paraId="2BE10800" w14:textId="77777777" w:rsidR="00E0690A" w:rsidRPr="003F15B3" w:rsidRDefault="00E0690A" w:rsidP="003F15B3">
      <w:pPr>
        <w:rPr>
          <w:rFonts w:eastAsia="Palatino Linotype"/>
          <w:b/>
          <w:szCs w:val="22"/>
        </w:rPr>
      </w:pPr>
    </w:p>
    <w:p w14:paraId="72FCC3A2" w14:textId="10871DD4" w:rsidR="00E0690A" w:rsidRPr="003F15B3" w:rsidRDefault="00E0690A" w:rsidP="003F15B3">
      <w:pPr>
        <w:ind w:right="-93"/>
        <w:rPr>
          <w:rFonts w:eastAsia="Calibri" w:cs="Tahoma"/>
          <w:bCs/>
          <w:szCs w:val="22"/>
          <w:lang w:eastAsia="en-US"/>
        </w:rPr>
      </w:pPr>
      <w:r w:rsidRPr="003F15B3">
        <w:rPr>
          <w:rFonts w:eastAsia="Calibri" w:cs="Tahoma"/>
          <w:b/>
          <w:bCs/>
          <w:szCs w:val="22"/>
          <w:lang w:eastAsia="en-US"/>
        </w:rPr>
        <w:t>SEGUNDO.</w:t>
      </w:r>
      <w:r w:rsidRPr="003F15B3">
        <w:rPr>
          <w:rFonts w:eastAsia="Calibri" w:cs="Tahoma"/>
          <w:szCs w:val="22"/>
          <w:lang w:eastAsia="es-MX"/>
        </w:rPr>
        <w:t xml:space="preserve"> Se </w:t>
      </w:r>
      <w:r w:rsidRPr="003F15B3">
        <w:rPr>
          <w:rFonts w:eastAsia="Calibri" w:cs="Tahoma"/>
          <w:b/>
          <w:szCs w:val="22"/>
          <w:lang w:eastAsia="es-MX"/>
        </w:rPr>
        <w:t xml:space="preserve">ORDENA </w:t>
      </w:r>
      <w:r w:rsidRPr="003F15B3">
        <w:rPr>
          <w:rFonts w:eastAsia="Calibri" w:cs="Tahoma"/>
          <w:szCs w:val="22"/>
          <w:lang w:eastAsia="es-MX"/>
        </w:rPr>
        <w:t xml:space="preserve">al </w:t>
      </w:r>
      <w:r w:rsidRPr="003F15B3">
        <w:rPr>
          <w:rFonts w:eastAsia="Calibri" w:cs="Tahoma"/>
          <w:b/>
          <w:bCs/>
          <w:szCs w:val="22"/>
          <w:lang w:eastAsia="es-MX"/>
        </w:rPr>
        <w:t>SUJETO OBLIGADO</w:t>
      </w:r>
      <w:r w:rsidRPr="003F15B3">
        <w:rPr>
          <w:rFonts w:eastAsia="Calibri" w:cs="Tahoma"/>
          <w:szCs w:val="22"/>
          <w:lang w:eastAsia="es-MX"/>
        </w:rPr>
        <w:t xml:space="preserve">, </w:t>
      </w:r>
      <w:r w:rsidRPr="003F15B3">
        <w:rPr>
          <w:rFonts w:eastAsia="Calibri" w:cs="Tahoma"/>
          <w:bCs/>
          <w:szCs w:val="22"/>
          <w:lang w:eastAsia="en-US"/>
        </w:rPr>
        <w:t xml:space="preserve">a efecto de que entregue a través del </w:t>
      </w:r>
      <w:r w:rsidRPr="003F15B3">
        <w:rPr>
          <w:rFonts w:eastAsia="Calibri" w:cs="Tahoma"/>
          <w:b/>
          <w:bCs/>
          <w:szCs w:val="22"/>
          <w:lang w:eastAsia="en-US"/>
        </w:rPr>
        <w:t>SAIMEX</w:t>
      </w:r>
      <w:r w:rsidRPr="003F15B3">
        <w:rPr>
          <w:rFonts w:eastAsia="Calibri" w:cs="Tahoma"/>
          <w:bCs/>
          <w:szCs w:val="22"/>
          <w:lang w:eastAsia="en-US"/>
        </w:rPr>
        <w:t xml:space="preserve">, </w:t>
      </w:r>
      <w:r w:rsidR="003C69C8" w:rsidRPr="003F15B3">
        <w:rPr>
          <w:rFonts w:eastAsia="Calibri" w:cs="Tahoma"/>
          <w:bCs/>
          <w:szCs w:val="22"/>
          <w:lang w:eastAsia="en-US"/>
        </w:rPr>
        <w:t xml:space="preserve">de ser procedente en </w:t>
      </w:r>
      <w:r w:rsidR="003C69C8" w:rsidRPr="003F15B3">
        <w:rPr>
          <w:rFonts w:eastAsia="Calibri" w:cs="Tahoma"/>
          <w:b/>
          <w:bCs/>
          <w:szCs w:val="22"/>
          <w:lang w:eastAsia="en-US"/>
        </w:rPr>
        <w:t>versión pública</w:t>
      </w:r>
      <w:r w:rsidR="003C69C8" w:rsidRPr="003F15B3">
        <w:rPr>
          <w:rFonts w:eastAsia="Calibri" w:cs="Tahoma"/>
          <w:bCs/>
          <w:szCs w:val="22"/>
          <w:lang w:eastAsia="en-US"/>
        </w:rPr>
        <w:t xml:space="preserve"> </w:t>
      </w:r>
      <w:r w:rsidR="00E21031" w:rsidRPr="003F15B3">
        <w:rPr>
          <w:rFonts w:eastAsia="Calibri" w:cs="Tahoma"/>
          <w:bCs/>
          <w:szCs w:val="22"/>
          <w:lang w:eastAsia="en-US"/>
        </w:rPr>
        <w:t>lo</w:t>
      </w:r>
      <w:r w:rsidRPr="003F15B3">
        <w:rPr>
          <w:rFonts w:eastAsia="Calibri" w:cs="Tahoma"/>
          <w:bCs/>
          <w:szCs w:val="22"/>
          <w:lang w:eastAsia="en-US"/>
        </w:rPr>
        <w:t xml:space="preserve"> siguiente:</w:t>
      </w:r>
    </w:p>
    <w:p w14:paraId="65EA23AC" w14:textId="77777777" w:rsidR="00E0690A" w:rsidRPr="003F15B3" w:rsidRDefault="00E0690A" w:rsidP="003F15B3">
      <w:pPr>
        <w:rPr>
          <w:rFonts w:eastAsia="Palatino Linotype"/>
          <w:b/>
          <w:szCs w:val="22"/>
        </w:rPr>
      </w:pPr>
    </w:p>
    <w:p w14:paraId="45143568" w14:textId="38577C50" w:rsidR="00D80DF7" w:rsidRPr="003F15B3" w:rsidRDefault="00D80DF7" w:rsidP="003F15B3">
      <w:pPr>
        <w:pStyle w:val="Puesto"/>
        <w:rPr>
          <w:rFonts w:eastAsia="Palatino Linotype"/>
          <w:b/>
          <w:bCs/>
        </w:rPr>
      </w:pPr>
      <w:r w:rsidRPr="003F15B3">
        <w:rPr>
          <w:rFonts w:eastAsia="Palatino Linotype"/>
          <w:b/>
          <w:bCs/>
        </w:rPr>
        <w:lastRenderedPageBreak/>
        <w:t xml:space="preserve">Los expedientes de las adjudicaciones directas faltantes correspondientes al año 2023, incluyendo los contratos. </w:t>
      </w:r>
    </w:p>
    <w:p w14:paraId="74EA0546" w14:textId="77777777" w:rsidR="003C69C8" w:rsidRPr="003F15B3" w:rsidRDefault="003C69C8" w:rsidP="003F15B3">
      <w:pPr>
        <w:rPr>
          <w:rFonts w:eastAsia="Palatino Linotype"/>
        </w:rPr>
      </w:pPr>
    </w:p>
    <w:p w14:paraId="5CCFBB6C" w14:textId="51ED4BA6" w:rsidR="00BA2096" w:rsidRPr="003F15B3" w:rsidRDefault="003C69C8" w:rsidP="003F15B3">
      <w:pPr>
        <w:rPr>
          <w:bCs/>
        </w:rPr>
      </w:pPr>
      <w:r w:rsidRPr="003F15B3">
        <w:rPr>
          <w:rFonts w:eastAsia="Calibri" w:cs="Tahoma"/>
          <w:bCs/>
          <w:szCs w:val="22"/>
          <w:lang w:eastAsia="en-US"/>
        </w:rPr>
        <w:t xml:space="preserve">De ser necesarias las </w:t>
      </w:r>
      <w:r w:rsidRPr="003F15B3">
        <w:rPr>
          <w:rFonts w:eastAsia="Palatino Linotype" w:cs="Palatino Linotype"/>
          <w:szCs w:val="22"/>
        </w:rPr>
        <w:t>versiones</w:t>
      </w:r>
      <w:r w:rsidRPr="003F15B3">
        <w:rPr>
          <w:rFonts w:eastAsia="Calibri" w:cs="Tahoma"/>
          <w:bCs/>
          <w:szCs w:val="22"/>
          <w:lang w:eastAsia="en-US"/>
        </w:rPr>
        <w:t xml:space="preserve"> públicas</w:t>
      </w:r>
      <w:r w:rsidR="00BA2096" w:rsidRPr="003F15B3">
        <w:rPr>
          <w:bCs/>
        </w:rPr>
        <w:t>,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7D5AE6BB" w14:textId="77777777" w:rsidR="00F372B2" w:rsidRPr="003F15B3" w:rsidRDefault="00F372B2" w:rsidP="003F15B3"/>
    <w:p w14:paraId="2E2C2019" w14:textId="77777777" w:rsidR="00E0690A" w:rsidRPr="003F15B3" w:rsidRDefault="00E0690A" w:rsidP="003F15B3">
      <w:r w:rsidRPr="003F15B3">
        <w:rPr>
          <w:b/>
          <w:bCs/>
        </w:rPr>
        <w:t>TERCERO.</w:t>
      </w:r>
      <w:r w:rsidRPr="003F15B3">
        <w:t xml:space="preserve"> </w:t>
      </w:r>
      <w:r w:rsidRPr="003F15B3">
        <w:rPr>
          <w:rFonts w:eastAsia="Palatino Linotype" w:cs="Palatino Linotype"/>
          <w:b/>
          <w:lang w:eastAsia="es-MX"/>
        </w:rPr>
        <w:t xml:space="preserve">Notifíquese </w:t>
      </w:r>
      <w:r w:rsidRPr="003F15B3">
        <w:rPr>
          <w:szCs w:val="17"/>
          <w:lang w:eastAsia="es-ES_tradnl"/>
        </w:rPr>
        <w:t xml:space="preserve">vía </w:t>
      </w:r>
      <w:r w:rsidRPr="003F15B3">
        <w:rPr>
          <w:rFonts w:cs="Arial"/>
        </w:rPr>
        <w:t>Sistema de Acceso a la Información Mexiquense (</w:t>
      </w:r>
      <w:r w:rsidRPr="003F15B3">
        <w:rPr>
          <w:rFonts w:cs="Arial"/>
          <w:b/>
          <w:bCs/>
        </w:rPr>
        <w:t>SAIMEX)</w:t>
      </w:r>
      <w:r w:rsidRPr="003F15B3">
        <w:rPr>
          <w:shd w:val="clear" w:color="auto" w:fill="FFFFFF"/>
        </w:rPr>
        <w:t xml:space="preserve"> la presente resolución al Titular de la Unidad de Transparencia del Sujeto Obligado</w:t>
      </w:r>
      <w:r w:rsidRPr="003F15B3">
        <w:t xml:space="preserve">, para que conforme al artículo 186 último párrafo, 189 segundo párrafo y 194 de la Ley de Transparencia y Acceso a la Información Pública del Estado de México y Municipios, dé cumplimiento a lo ordenado dentro del plazo de </w:t>
      </w:r>
      <w:r w:rsidRPr="003F15B3">
        <w:rPr>
          <w:b/>
          <w:bCs/>
        </w:rPr>
        <w:t>diez días hábiles</w:t>
      </w:r>
      <w:r w:rsidRPr="003F15B3">
        <w:t xml:space="preserve">, e informe a este Instituto en un plazo de </w:t>
      </w:r>
      <w:r w:rsidRPr="003F15B3">
        <w:rPr>
          <w:b/>
          <w:bCs/>
        </w:rPr>
        <w:t>tres días hábiles</w:t>
      </w:r>
      <w:r w:rsidRPr="003F15B3">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D827E9" w14:textId="77777777" w:rsidR="00E0690A" w:rsidRPr="003F15B3" w:rsidRDefault="00E0690A" w:rsidP="003F15B3"/>
    <w:p w14:paraId="188004C4" w14:textId="77777777" w:rsidR="00E0690A" w:rsidRPr="003F15B3" w:rsidRDefault="00E0690A" w:rsidP="003F15B3">
      <w:r w:rsidRPr="003F15B3">
        <w:rPr>
          <w:b/>
          <w:bCs/>
        </w:rPr>
        <w:t>CUARTO.</w:t>
      </w:r>
      <w:r w:rsidRPr="003F15B3">
        <w:t xml:space="preserve"> Notifíquese a </w:t>
      </w:r>
      <w:r w:rsidRPr="003F15B3">
        <w:rPr>
          <w:b/>
          <w:bCs/>
        </w:rPr>
        <w:t>LA PARTE RECURRENTE</w:t>
      </w:r>
      <w:r w:rsidRPr="003F15B3">
        <w:t xml:space="preserve"> la presente resolución vía Sistema de Acceso a la Información Mexiquense (SAIMEX).</w:t>
      </w:r>
    </w:p>
    <w:p w14:paraId="02439512" w14:textId="77777777" w:rsidR="00E0690A" w:rsidRPr="003F15B3" w:rsidRDefault="00E0690A" w:rsidP="003F15B3"/>
    <w:p w14:paraId="75BA7A0D" w14:textId="77777777" w:rsidR="00E0690A" w:rsidRPr="003F15B3" w:rsidRDefault="00E0690A" w:rsidP="003F15B3">
      <w:r w:rsidRPr="003F15B3">
        <w:rPr>
          <w:b/>
          <w:bCs/>
        </w:rPr>
        <w:t>QUINTO</w:t>
      </w:r>
      <w:r w:rsidRPr="003F15B3">
        <w:t xml:space="preserve">. Hágase del conocimiento a </w:t>
      </w:r>
      <w:r w:rsidRPr="003F15B3">
        <w:rPr>
          <w:b/>
          <w:bCs/>
        </w:rPr>
        <w:t>LA PARTE RECURRENTE</w:t>
      </w:r>
      <w:r w:rsidRPr="003F15B3">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DE92C81" w14:textId="77777777" w:rsidR="00E0690A" w:rsidRPr="003F15B3" w:rsidRDefault="00E0690A" w:rsidP="003F15B3">
      <w:pPr>
        <w:widowControl w:val="0"/>
        <w:autoSpaceDE w:val="0"/>
        <w:autoSpaceDN w:val="0"/>
        <w:adjustRightInd w:val="0"/>
      </w:pPr>
    </w:p>
    <w:p w14:paraId="455D0AEF" w14:textId="77777777" w:rsidR="00E0690A" w:rsidRPr="003F15B3" w:rsidRDefault="00E0690A" w:rsidP="003F15B3">
      <w:r w:rsidRPr="003F15B3">
        <w:rPr>
          <w:b/>
          <w:bCs/>
        </w:rPr>
        <w:lastRenderedPageBreak/>
        <w:t>SEXTO.</w:t>
      </w:r>
      <w:r w:rsidRPr="003F15B3">
        <w:t xml:space="preserve"> De conformidad con el artículo 198 de la Ley de Transparencia y Acceso a la Información Pública del Estado de México y Municipios, el </w:t>
      </w:r>
      <w:r w:rsidRPr="003F15B3">
        <w:rPr>
          <w:b/>
          <w:bCs/>
        </w:rPr>
        <w:t>SUJETO OBLIGADO</w:t>
      </w:r>
      <w:r w:rsidRPr="003F15B3">
        <w:t xml:space="preserve"> podrá solicitar una ampliación de plazo de manera fundada y motivada, para el cumplimiento de la presente resolución.</w:t>
      </w:r>
    </w:p>
    <w:p w14:paraId="3132477A" w14:textId="77777777" w:rsidR="00E0690A" w:rsidRPr="003F15B3" w:rsidRDefault="00E0690A" w:rsidP="003F15B3">
      <w:pPr>
        <w:pStyle w:val="Prrafodelista"/>
        <w:widowControl w:val="0"/>
        <w:autoSpaceDE w:val="0"/>
        <w:autoSpaceDN w:val="0"/>
        <w:adjustRightInd w:val="0"/>
        <w:ind w:left="0"/>
      </w:pPr>
    </w:p>
    <w:p w14:paraId="29942724" w14:textId="77777777" w:rsidR="00CC635F" w:rsidRPr="003F15B3" w:rsidRDefault="00CC635F" w:rsidP="003F15B3">
      <w:r w:rsidRPr="003F15B3">
        <w:rPr>
          <w:b/>
          <w:bCs/>
        </w:rPr>
        <w:t>SÉPTIMO</w:t>
      </w:r>
      <w:r w:rsidRPr="003F15B3">
        <w:rPr>
          <w:rFonts w:cs="Arial"/>
          <w:sz w:val="24"/>
          <w:szCs w:val="24"/>
          <w:lang w:eastAsia="es-MX"/>
        </w:rPr>
        <w:t xml:space="preserve">. </w:t>
      </w:r>
      <w:r w:rsidRPr="003F15B3">
        <w:rPr>
          <w:b/>
        </w:rPr>
        <w:t>Gírese oficio</w:t>
      </w:r>
      <w:r w:rsidRPr="003F15B3">
        <w:t xml:space="preserve"> al Titular de la </w:t>
      </w:r>
      <w:r w:rsidRPr="003F15B3">
        <w:rPr>
          <w:b/>
        </w:rPr>
        <w:t xml:space="preserve">Dirección General de Protección de Datos Personales </w:t>
      </w:r>
      <w:r w:rsidRPr="003F15B3">
        <w:t>en atención al artículo 82, fracción XXVII de la Ley de Protección de Datos Personales del Estado de México y Municipios, en términos del Considerando SEGUNDO de la presente resolución.</w:t>
      </w:r>
    </w:p>
    <w:p w14:paraId="37ED66F9" w14:textId="77777777" w:rsidR="00CC635F" w:rsidRPr="003F15B3" w:rsidRDefault="00CC635F" w:rsidP="003F15B3"/>
    <w:p w14:paraId="10A3239D" w14:textId="09FF6409" w:rsidR="00CC635F" w:rsidRPr="003F15B3" w:rsidRDefault="00CC635F" w:rsidP="003F15B3">
      <w:r w:rsidRPr="003F15B3">
        <w:rPr>
          <w:b/>
          <w:bCs/>
        </w:rPr>
        <w:t>OCTAVO</w:t>
      </w:r>
      <w:r w:rsidRPr="003F15B3">
        <w:rPr>
          <w:rFonts w:cs="Arial"/>
          <w:b/>
          <w:sz w:val="28"/>
        </w:rPr>
        <w:t>.</w:t>
      </w:r>
      <w:r w:rsidRPr="003F15B3">
        <w:rPr>
          <w:rFonts w:eastAsia="Calibri" w:cs="Arial"/>
          <w:b/>
          <w:bCs/>
          <w:sz w:val="28"/>
        </w:rPr>
        <w:t xml:space="preserve"> </w:t>
      </w:r>
      <w:r w:rsidRPr="003F15B3">
        <w:rPr>
          <w:b/>
        </w:rPr>
        <w:t>Gírese oficio</w:t>
      </w:r>
      <w:r w:rsidRPr="003F15B3">
        <w:t xml:space="preserve"> a la </w:t>
      </w:r>
      <w:r w:rsidRPr="003F15B3">
        <w:rPr>
          <w:b/>
        </w:rPr>
        <w:t>Secretaría Técnica del Pleno de este Instituto</w:t>
      </w:r>
      <w:r w:rsidRPr="003F15B3">
        <w:t xml:space="preserve">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QUINTO de la presente resolución.</w:t>
      </w:r>
    </w:p>
    <w:p w14:paraId="4FD099A5" w14:textId="77777777" w:rsidR="00CC635F" w:rsidRPr="003F15B3" w:rsidRDefault="00CC635F" w:rsidP="003F15B3">
      <w:pPr>
        <w:pStyle w:val="Prrafodelista"/>
        <w:widowControl w:val="0"/>
        <w:autoSpaceDE w:val="0"/>
        <w:autoSpaceDN w:val="0"/>
        <w:adjustRightInd w:val="0"/>
        <w:ind w:left="0"/>
      </w:pPr>
    </w:p>
    <w:p w14:paraId="02D27F64" w14:textId="7BC42B28" w:rsidR="003C69C8" w:rsidRPr="003F15B3" w:rsidRDefault="00D11FAD" w:rsidP="003F15B3">
      <w:pPr>
        <w:ind w:right="-93"/>
      </w:pPr>
      <w:r w:rsidRPr="003F15B3">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w:t>
      </w:r>
      <w:r w:rsidR="00E36C12" w:rsidRPr="003F15B3">
        <w:t xml:space="preserve"> EMITIENDO VOTO PARTICULAR </w:t>
      </w:r>
      <w:r w:rsidRPr="003F15B3">
        <w:t>Y GUADALUPE RAMÍREZ PEÑA, EN LA VIGÉSIMA NOVENA SESIÓN ORDINARIA, CELEBRADA EL VEINTE DE AGOSTO DE DOS MIL VEINTICINCO</w:t>
      </w:r>
      <w:r w:rsidR="00D16766">
        <w:t>,</w:t>
      </w:r>
      <w:r w:rsidRPr="003F15B3">
        <w:t xml:space="preserve"> ANTE EL SECRETARIO TÉCNICO DEL PLENO, ALEXIS TAPIA RAMÍREZ</w:t>
      </w:r>
      <w:r w:rsidR="003C69C8" w:rsidRPr="003F15B3">
        <w:t>.</w:t>
      </w:r>
    </w:p>
    <w:p w14:paraId="1DA361E5" w14:textId="2CA99F5A" w:rsidR="00D85CEA" w:rsidRPr="003F15B3" w:rsidRDefault="00C876F7" w:rsidP="003F15B3">
      <w:pPr>
        <w:ind w:right="-93"/>
        <w:rPr>
          <w:rFonts w:eastAsia="Palatino Linotype" w:cs="Palatino Linotype"/>
          <w:sz w:val="20"/>
          <w:lang w:val="pt-PT"/>
        </w:rPr>
      </w:pPr>
      <w:r w:rsidRPr="003F15B3">
        <w:rPr>
          <w:rFonts w:eastAsia="Palatino Linotype" w:cs="Palatino Linotype"/>
          <w:sz w:val="20"/>
          <w:lang w:val="pt-PT"/>
        </w:rPr>
        <w:t>SCMM/AGZ/DEMF/RPG</w:t>
      </w:r>
      <w:r w:rsidR="00D85CEA" w:rsidRPr="003F15B3">
        <w:rPr>
          <w:rFonts w:eastAsia="Palatino Linotype" w:cs="Palatino Linotype"/>
          <w:sz w:val="20"/>
        </w:rPr>
        <w:br w:type="page"/>
      </w:r>
    </w:p>
    <w:p w14:paraId="2D425474" w14:textId="77777777" w:rsidR="009C04A8" w:rsidRPr="003F15B3" w:rsidRDefault="009C04A8" w:rsidP="003F15B3">
      <w:pPr>
        <w:ind w:right="-93"/>
        <w:rPr>
          <w:rFonts w:eastAsia="Calibri" w:cs="Tahoma"/>
          <w:szCs w:val="22"/>
        </w:rPr>
      </w:pPr>
    </w:p>
    <w:p w14:paraId="696BC976" w14:textId="77777777" w:rsidR="00664420" w:rsidRPr="003F15B3" w:rsidRDefault="00664420" w:rsidP="003F15B3">
      <w:pPr>
        <w:ind w:right="-93"/>
        <w:rPr>
          <w:rFonts w:eastAsia="Calibri" w:cs="Tahoma"/>
          <w:bCs/>
          <w:szCs w:val="22"/>
          <w:lang w:eastAsia="en-US"/>
        </w:rPr>
      </w:pPr>
    </w:p>
    <w:p w14:paraId="671CB0C5" w14:textId="77777777" w:rsidR="00664420" w:rsidRPr="003F15B3" w:rsidRDefault="00664420" w:rsidP="003F15B3">
      <w:pPr>
        <w:ind w:right="-93"/>
        <w:rPr>
          <w:rFonts w:eastAsia="Calibri" w:cs="Tahoma"/>
          <w:bCs/>
          <w:szCs w:val="22"/>
          <w:lang w:eastAsia="en-US"/>
        </w:rPr>
      </w:pPr>
    </w:p>
    <w:p w14:paraId="6FDF3D7E" w14:textId="77777777" w:rsidR="00664420" w:rsidRPr="003F15B3" w:rsidRDefault="00664420" w:rsidP="003F15B3">
      <w:pPr>
        <w:tabs>
          <w:tab w:val="center" w:pos="4568"/>
        </w:tabs>
        <w:ind w:right="-93"/>
        <w:rPr>
          <w:rFonts w:eastAsia="Calibri" w:cs="Tahoma"/>
          <w:bCs/>
          <w:szCs w:val="22"/>
          <w:lang w:eastAsia="en-US"/>
        </w:rPr>
      </w:pPr>
    </w:p>
    <w:p w14:paraId="6246F818" w14:textId="77777777" w:rsidR="00664420" w:rsidRPr="003F15B3" w:rsidRDefault="00664420" w:rsidP="003F15B3">
      <w:pPr>
        <w:tabs>
          <w:tab w:val="center" w:pos="4568"/>
        </w:tabs>
        <w:ind w:right="-93"/>
        <w:rPr>
          <w:rFonts w:eastAsia="Calibri" w:cs="Tahoma"/>
          <w:bCs/>
          <w:szCs w:val="22"/>
          <w:lang w:eastAsia="en-US"/>
        </w:rPr>
      </w:pPr>
    </w:p>
    <w:p w14:paraId="57A88B28" w14:textId="77777777" w:rsidR="00664420" w:rsidRPr="003F15B3" w:rsidRDefault="00664420" w:rsidP="003F15B3">
      <w:pPr>
        <w:tabs>
          <w:tab w:val="center" w:pos="4568"/>
        </w:tabs>
        <w:ind w:right="-93"/>
        <w:rPr>
          <w:rFonts w:eastAsia="Calibri" w:cs="Tahoma"/>
          <w:bCs/>
          <w:szCs w:val="22"/>
          <w:lang w:eastAsia="en-US"/>
        </w:rPr>
      </w:pPr>
    </w:p>
    <w:p w14:paraId="77EF6095" w14:textId="77777777" w:rsidR="00664420" w:rsidRPr="003F15B3" w:rsidRDefault="00664420" w:rsidP="003F15B3">
      <w:pPr>
        <w:tabs>
          <w:tab w:val="center" w:pos="4568"/>
        </w:tabs>
        <w:ind w:right="-93"/>
        <w:rPr>
          <w:rFonts w:eastAsia="Calibri" w:cs="Tahoma"/>
          <w:bCs/>
          <w:szCs w:val="22"/>
          <w:lang w:eastAsia="en-US"/>
        </w:rPr>
      </w:pPr>
    </w:p>
    <w:p w14:paraId="35593947" w14:textId="77777777" w:rsidR="00664420" w:rsidRPr="003F15B3" w:rsidRDefault="00664420" w:rsidP="003F15B3">
      <w:pPr>
        <w:tabs>
          <w:tab w:val="center" w:pos="4568"/>
        </w:tabs>
        <w:ind w:right="-93"/>
        <w:rPr>
          <w:rFonts w:eastAsia="Calibri" w:cs="Tahoma"/>
          <w:bCs/>
          <w:szCs w:val="22"/>
          <w:lang w:eastAsia="en-US"/>
        </w:rPr>
      </w:pPr>
    </w:p>
    <w:p w14:paraId="3AF72A17" w14:textId="77777777" w:rsidR="00664420" w:rsidRPr="003F15B3" w:rsidRDefault="00664420" w:rsidP="003F15B3">
      <w:pPr>
        <w:tabs>
          <w:tab w:val="center" w:pos="4568"/>
        </w:tabs>
        <w:ind w:right="-93"/>
        <w:rPr>
          <w:rFonts w:eastAsia="Calibri" w:cs="Tahoma"/>
          <w:bCs/>
          <w:szCs w:val="22"/>
          <w:lang w:eastAsia="en-US"/>
        </w:rPr>
      </w:pPr>
    </w:p>
    <w:p w14:paraId="37169144" w14:textId="77777777" w:rsidR="00664420" w:rsidRPr="003F15B3" w:rsidRDefault="00664420" w:rsidP="003F15B3">
      <w:pPr>
        <w:tabs>
          <w:tab w:val="center" w:pos="4568"/>
        </w:tabs>
        <w:ind w:right="-93"/>
        <w:rPr>
          <w:rFonts w:eastAsia="Calibri" w:cs="Tahoma"/>
          <w:bCs/>
          <w:szCs w:val="22"/>
          <w:lang w:eastAsia="en-US"/>
        </w:rPr>
      </w:pPr>
    </w:p>
    <w:p w14:paraId="77CFC088" w14:textId="77777777" w:rsidR="00664420" w:rsidRPr="003F15B3" w:rsidRDefault="00664420" w:rsidP="003F15B3">
      <w:pPr>
        <w:tabs>
          <w:tab w:val="center" w:pos="4568"/>
        </w:tabs>
        <w:ind w:right="-93"/>
        <w:rPr>
          <w:rFonts w:eastAsia="Calibri" w:cs="Tahoma"/>
          <w:bCs/>
          <w:szCs w:val="22"/>
          <w:lang w:eastAsia="en-US"/>
        </w:rPr>
      </w:pPr>
    </w:p>
    <w:p w14:paraId="781A11A5" w14:textId="77777777" w:rsidR="00664420" w:rsidRPr="003F15B3" w:rsidRDefault="00664420" w:rsidP="003F15B3">
      <w:pPr>
        <w:tabs>
          <w:tab w:val="center" w:pos="4568"/>
        </w:tabs>
        <w:ind w:right="-93"/>
        <w:rPr>
          <w:rFonts w:eastAsia="Calibri" w:cs="Tahoma"/>
          <w:bCs/>
          <w:szCs w:val="22"/>
          <w:lang w:eastAsia="en-US"/>
        </w:rPr>
      </w:pPr>
    </w:p>
    <w:bookmarkEnd w:id="1"/>
    <w:p w14:paraId="5B4ADFF3" w14:textId="77777777" w:rsidR="00A131AC" w:rsidRPr="003F15B3" w:rsidRDefault="00A131AC" w:rsidP="003F15B3"/>
    <w:sectPr w:rsidR="00A131AC" w:rsidRPr="003F15B3"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431C4" w14:textId="77777777" w:rsidR="00C74B70" w:rsidRDefault="00C74B70" w:rsidP="00664420">
      <w:pPr>
        <w:spacing w:line="240" w:lineRule="auto"/>
      </w:pPr>
      <w:r>
        <w:separator/>
      </w:r>
    </w:p>
  </w:endnote>
  <w:endnote w:type="continuationSeparator" w:id="0">
    <w:p w14:paraId="7C80C074" w14:textId="77777777" w:rsidR="00C74B70" w:rsidRDefault="00C74B7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34670" w:rsidRDefault="00434670">
    <w:pPr>
      <w:tabs>
        <w:tab w:val="center" w:pos="4550"/>
        <w:tab w:val="left" w:pos="5818"/>
      </w:tabs>
      <w:ind w:right="260"/>
      <w:jc w:val="right"/>
      <w:rPr>
        <w:color w:val="071320" w:themeColor="text2" w:themeShade="80"/>
        <w:sz w:val="24"/>
        <w:szCs w:val="24"/>
      </w:rPr>
    </w:pPr>
  </w:p>
  <w:p w14:paraId="1BCA7F23" w14:textId="77777777" w:rsidR="00434670" w:rsidRDefault="004346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88092B6" w:rsidR="00434670" w:rsidRDefault="0043467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D4025" w:rsidRPr="00AD4025">
      <w:rPr>
        <w:noProof/>
        <w:color w:val="0A1D30" w:themeColor="text2" w:themeShade="BF"/>
        <w:sz w:val="24"/>
        <w:szCs w:val="24"/>
        <w:lang w:val="es-ES"/>
      </w:rPr>
      <w:t>36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D4025" w:rsidRPr="00AD4025">
      <w:rPr>
        <w:noProof/>
        <w:color w:val="0A1D30" w:themeColor="text2" w:themeShade="BF"/>
        <w:sz w:val="24"/>
        <w:szCs w:val="24"/>
        <w:lang w:val="es-ES"/>
      </w:rPr>
      <w:t>38</w:t>
    </w:r>
    <w:r>
      <w:rPr>
        <w:color w:val="0A1D30" w:themeColor="text2" w:themeShade="BF"/>
        <w:sz w:val="24"/>
        <w:szCs w:val="24"/>
      </w:rPr>
      <w:fldChar w:fldCharType="end"/>
    </w:r>
  </w:p>
  <w:p w14:paraId="310E15C0" w14:textId="77777777" w:rsidR="00434670" w:rsidRDefault="004346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FFDC5" w14:textId="77777777" w:rsidR="00C74B70" w:rsidRDefault="00C74B70" w:rsidP="00664420">
      <w:pPr>
        <w:spacing w:line="240" w:lineRule="auto"/>
      </w:pPr>
      <w:r>
        <w:separator/>
      </w:r>
    </w:p>
  </w:footnote>
  <w:footnote w:type="continuationSeparator" w:id="0">
    <w:p w14:paraId="2A07DC21" w14:textId="77777777" w:rsidR="00C74B70" w:rsidRDefault="00C74B70" w:rsidP="00664420">
      <w:pPr>
        <w:spacing w:line="240" w:lineRule="auto"/>
      </w:pPr>
      <w:r>
        <w:continuationSeparator/>
      </w:r>
    </w:p>
  </w:footnote>
  <w:footnote w:id="1">
    <w:p w14:paraId="0B561189" w14:textId="612059E3" w:rsidR="00AA1B38" w:rsidRPr="00AA1B38" w:rsidRDefault="00AA1B38">
      <w:pPr>
        <w:pStyle w:val="Textonotapie"/>
        <w:rPr>
          <w:i/>
        </w:rPr>
      </w:pPr>
      <w:r>
        <w:rPr>
          <w:rStyle w:val="Refdenotaalpie"/>
        </w:rPr>
        <w:footnoteRef/>
      </w:r>
      <w:r>
        <w:t xml:space="preserve"> </w:t>
      </w:r>
      <w:r w:rsidRPr="00AA1B38">
        <w:rPr>
          <w:rFonts w:eastAsia="Palatino Linotype" w:cs="Palatino Linotype"/>
          <w:i/>
          <w:szCs w:val="22"/>
        </w:rPr>
        <w:t xml:space="preserve">Organismo público descentralizado de la Administración Pública Municipal del Ayuntamiento de Toluca, el cual cuenta con personalidad jurídica y patrimonio propio y sus obligaciones en materia de trasparencia las realiza a través del </w:t>
      </w:r>
      <w:r w:rsidRPr="00AA1B38">
        <w:rPr>
          <w:rFonts w:eastAsia="Palatino Linotype" w:cs="Palatino Linotype"/>
          <w:b/>
          <w:bCs/>
          <w:i/>
          <w:szCs w:val="22"/>
        </w:rPr>
        <w:t>SUJETO OBLIGADO</w:t>
      </w:r>
    </w:p>
  </w:footnote>
  <w:footnote w:id="2">
    <w:p w14:paraId="20EDA2B9" w14:textId="77777777" w:rsidR="00434670" w:rsidRDefault="00434670" w:rsidP="00D22952">
      <w:pPr>
        <w:pStyle w:val="Textonotapie"/>
        <w:rPr>
          <w:i/>
          <w:iCs/>
          <w:sz w:val="18"/>
          <w:szCs w:val="18"/>
        </w:rPr>
      </w:pPr>
      <w:r w:rsidRPr="00D22952">
        <w:rPr>
          <w:rStyle w:val="Refdenotaalpie"/>
        </w:rPr>
        <w:footnoteRef/>
      </w:r>
      <w:r>
        <w:t xml:space="preserve"> </w:t>
      </w:r>
      <w:hyperlink r:id="rId1" w:history="1">
        <w:r w:rsidRPr="00D22952">
          <w:rPr>
            <w:rStyle w:val="Hipervnculo151"/>
            <w:rFonts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34670" w:rsidRPr="00330DA7" w14:paraId="070A4B18" w14:textId="77777777" w:rsidTr="003F35FD">
      <w:trPr>
        <w:trHeight w:val="144"/>
        <w:jc w:val="right"/>
      </w:trPr>
      <w:tc>
        <w:tcPr>
          <w:tcW w:w="2727" w:type="dxa"/>
        </w:tcPr>
        <w:p w14:paraId="62B7493A" w14:textId="77777777" w:rsidR="00434670" w:rsidRPr="00330DA7" w:rsidRDefault="0043467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0410B756" w:rsidR="00434670" w:rsidRPr="00A90C72" w:rsidRDefault="00434670" w:rsidP="00396C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5757</w:t>
          </w:r>
          <w:r w:rsidRPr="006E7E69">
            <w:rPr>
              <w:rFonts w:eastAsia="Calibri" w:cs="Tahoma"/>
              <w:szCs w:val="22"/>
              <w:lang w:eastAsia="en-US"/>
            </w:rPr>
            <w:t>/INFOEM/IP/RR/2025</w:t>
          </w:r>
        </w:p>
      </w:tc>
    </w:tr>
    <w:tr w:rsidR="00434670" w:rsidRPr="00330DA7" w14:paraId="4521E058" w14:textId="77777777" w:rsidTr="003F35FD">
      <w:trPr>
        <w:trHeight w:val="283"/>
        <w:jc w:val="right"/>
      </w:trPr>
      <w:tc>
        <w:tcPr>
          <w:tcW w:w="2727" w:type="dxa"/>
        </w:tcPr>
        <w:p w14:paraId="0B68C086" w14:textId="77777777" w:rsidR="00434670" w:rsidRPr="00330DA7" w:rsidRDefault="0043467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AA8EFC9" w:rsidR="00434670" w:rsidRPr="009233A1" w:rsidRDefault="00434670" w:rsidP="006E7E69">
          <w:pPr>
            <w:tabs>
              <w:tab w:val="right" w:pos="8838"/>
            </w:tabs>
            <w:spacing w:line="240" w:lineRule="auto"/>
            <w:ind w:left="-74" w:right="-105"/>
            <w:rPr>
              <w:rFonts w:eastAsia="Calibri" w:cs="Tahoma"/>
              <w:szCs w:val="22"/>
              <w:lang w:val="es-MX" w:eastAsia="en-US"/>
            </w:rPr>
          </w:pPr>
          <w:r w:rsidRPr="00396C48">
            <w:rPr>
              <w:rFonts w:eastAsia="Calibri" w:cs="Tahoma"/>
              <w:szCs w:val="22"/>
              <w:lang w:eastAsia="en-US"/>
            </w:rPr>
            <w:t>Ayuntamiento de T</w:t>
          </w:r>
          <w:r>
            <w:rPr>
              <w:rFonts w:eastAsia="Calibri" w:cs="Tahoma"/>
              <w:szCs w:val="22"/>
              <w:lang w:eastAsia="en-US"/>
            </w:rPr>
            <w:t>oluca</w:t>
          </w:r>
        </w:p>
      </w:tc>
    </w:tr>
    <w:tr w:rsidR="00434670" w:rsidRPr="00330DA7" w14:paraId="6331D9B6" w14:textId="77777777" w:rsidTr="003F35FD">
      <w:trPr>
        <w:trHeight w:val="283"/>
        <w:jc w:val="right"/>
      </w:trPr>
      <w:tc>
        <w:tcPr>
          <w:tcW w:w="2727" w:type="dxa"/>
        </w:tcPr>
        <w:p w14:paraId="3FA86BAE" w14:textId="6568823B" w:rsidR="00434670" w:rsidRPr="00330DA7" w:rsidRDefault="0043467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34670" w:rsidRPr="00EA66FC" w:rsidRDefault="0043467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34670" w:rsidRPr="00443C6B" w:rsidRDefault="0043467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425833301" name="Imagen 425833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567"/>
      <w:gridCol w:w="6095"/>
    </w:tblGrid>
    <w:tr w:rsidR="00434670" w:rsidRPr="00330DA7" w14:paraId="29CFF901" w14:textId="77777777" w:rsidTr="00D45761">
      <w:trPr>
        <w:trHeight w:val="1435"/>
      </w:trPr>
      <w:tc>
        <w:tcPr>
          <w:tcW w:w="567" w:type="dxa"/>
        </w:tcPr>
        <w:p w14:paraId="046B9F8F" w14:textId="77777777" w:rsidR="00434670" w:rsidRPr="00330DA7" w:rsidRDefault="00434670" w:rsidP="004D0573">
          <w:pPr>
            <w:tabs>
              <w:tab w:val="right" w:pos="4273"/>
            </w:tabs>
            <w:rPr>
              <w:rFonts w:ascii="Garamond" w:eastAsia="Calibri" w:hAnsi="Garamond"/>
              <w:szCs w:val="22"/>
              <w:lang w:eastAsia="en-US"/>
            </w:rPr>
          </w:pPr>
        </w:p>
      </w:tc>
      <w:tc>
        <w:tcPr>
          <w:tcW w:w="6095"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5"/>
            <w:gridCol w:w="3684"/>
            <w:gridCol w:w="3402"/>
          </w:tblGrid>
          <w:tr w:rsidR="00434670" w:rsidRPr="00330DA7" w14:paraId="04F272D2" w14:textId="77777777" w:rsidTr="00D45761">
            <w:trPr>
              <w:trHeight w:val="144"/>
            </w:trPr>
            <w:tc>
              <w:tcPr>
                <w:tcW w:w="2445" w:type="dxa"/>
              </w:tcPr>
              <w:p w14:paraId="2FD4DBF6" w14:textId="77777777" w:rsidR="00434670" w:rsidRPr="00330DA7" w:rsidRDefault="00434670" w:rsidP="004D0573">
                <w:pPr>
                  <w:tabs>
                    <w:tab w:val="right" w:pos="8838"/>
                  </w:tabs>
                  <w:spacing w:line="240" w:lineRule="auto"/>
                  <w:ind w:left="-74" w:right="-105"/>
                  <w:rPr>
                    <w:rFonts w:eastAsia="Calibri" w:cs="Tahoma"/>
                    <w:b/>
                    <w:szCs w:val="22"/>
                    <w:lang w:eastAsia="en-US"/>
                  </w:rPr>
                </w:pPr>
                <w:bookmarkStart w:id="2" w:name="_Hlk12526980"/>
                <w:r w:rsidRPr="00330DA7">
                  <w:rPr>
                    <w:rFonts w:eastAsia="Calibri" w:cs="Tahoma"/>
                    <w:b/>
                    <w:szCs w:val="22"/>
                    <w:lang w:eastAsia="en-US"/>
                  </w:rPr>
                  <w:t>Recurso de Revisión:</w:t>
                </w:r>
              </w:p>
            </w:tc>
            <w:tc>
              <w:tcPr>
                <w:tcW w:w="3684" w:type="dxa"/>
              </w:tcPr>
              <w:p w14:paraId="140729E3" w14:textId="73D336BC" w:rsidR="00434670" w:rsidRPr="004D0573" w:rsidRDefault="00434670" w:rsidP="00396C48">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5757</w:t>
                </w:r>
                <w:r w:rsidRPr="006E7E69">
                  <w:rPr>
                    <w:rFonts w:eastAsia="Calibri" w:cs="Tahoma"/>
                    <w:szCs w:val="22"/>
                    <w:lang w:eastAsia="en-US"/>
                  </w:rPr>
                  <w:t>/INFOEM/IP/RR/2025</w:t>
                </w:r>
              </w:p>
            </w:tc>
            <w:tc>
              <w:tcPr>
                <w:tcW w:w="3402" w:type="dxa"/>
              </w:tcPr>
              <w:p w14:paraId="71DEA1CF" w14:textId="77777777" w:rsidR="00434670" w:rsidRDefault="00434670" w:rsidP="004D0573">
                <w:pPr>
                  <w:tabs>
                    <w:tab w:val="right" w:pos="8838"/>
                  </w:tabs>
                  <w:spacing w:line="240" w:lineRule="auto"/>
                  <w:ind w:left="-74" w:right="-105"/>
                  <w:rPr>
                    <w:rFonts w:eastAsia="Calibri" w:cs="Tahoma"/>
                    <w:szCs w:val="22"/>
                    <w:lang w:eastAsia="en-US"/>
                  </w:rPr>
                </w:pPr>
              </w:p>
            </w:tc>
          </w:tr>
          <w:tr w:rsidR="00434670" w:rsidRPr="00330DA7" w14:paraId="05C58951" w14:textId="77777777" w:rsidTr="00D45761">
            <w:trPr>
              <w:trHeight w:val="144"/>
            </w:trPr>
            <w:tc>
              <w:tcPr>
                <w:tcW w:w="2445" w:type="dxa"/>
              </w:tcPr>
              <w:p w14:paraId="642B9610" w14:textId="77777777" w:rsidR="00434670" w:rsidRPr="00330DA7" w:rsidRDefault="00434670" w:rsidP="004D0573">
                <w:pPr>
                  <w:tabs>
                    <w:tab w:val="right" w:pos="8838"/>
                  </w:tabs>
                  <w:spacing w:line="240" w:lineRule="auto"/>
                  <w:ind w:left="-74" w:right="-105"/>
                  <w:rPr>
                    <w:rFonts w:eastAsia="Calibri" w:cs="Tahoma"/>
                    <w:b/>
                    <w:szCs w:val="22"/>
                    <w:lang w:eastAsia="en-US"/>
                  </w:rPr>
                </w:pPr>
                <w:bookmarkStart w:id="3" w:name="_Hlk10641523"/>
                <w:bookmarkEnd w:id="2"/>
                <w:r w:rsidRPr="00330DA7">
                  <w:rPr>
                    <w:rFonts w:eastAsia="Calibri" w:cs="Tahoma"/>
                    <w:b/>
                    <w:szCs w:val="22"/>
                    <w:lang w:eastAsia="en-US"/>
                  </w:rPr>
                  <w:t>Recurrente:</w:t>
                </w:r>
              </w:p>
            </w:tc>
            <w:tc>
              <w:tcPr>
                <w:tcW w:w="3684" w:type="dxa"/>
              </w:tcPr>
              <w:p w14:paraId="7728D15B" w14:textId="4A618393" w:rsidR="00434670" w:rsidRPr="0086345C" w:rsidRDefault="00434670" w:rsidP="0086345C">
                <w:pPr>
                  <w:tabs>
                    <w:tab w:val="right" w:pos="8838"/>
                  </w:tabs>
                  <w:spacing w:line="240" w:lineRule="auto"/>
                  <w:ind w:left="-74" w:right="-105"/>
                  <w:rPr>
                    <w:rFonts w:ascii="Arial" w:hAnsi="Arial" w:cs="Arial"/>
                    <w:b/>
                    <w:bCs/>
                    <w:sz w:val="15"/>
                    <w:szCs w:val="15"/>
                    <w:lang w:eastAsia="es-MX"/>
                  </w:rPr>
                </w:pPr>
              </w:p>
            </w:tc>
            <w:tc>
              <w:tcPr>
                <w:tcW w:w="3402" w:type="dxa"/>
              </w:tcPr>
              <w:p w14:paraId="73F47F53" w14:textId="77777777" w:rsidR="00434670" w:rsidRPr="005F19B1" w:rsidRDefault="00434670" w:rsidP="004D0573">
                <w:pPr>
                  <w:tabs>
                    <w:tab w:val="left" w:pos="3122"/>
                    <w:tab w:val="right" w:pos="8838"/>
                  </w:tabs>
                  <w:spacing w:line="240" w:lineRule="auto"/>
                  <w:ind w:left="-105" w:right="-105"/>
                  <w:rPr>
                    <w:rFonts w:eastAsia="Calibri" w:cs="Tahoma"/>
                    <w:szCs w:val="22"/>
                    <w:lang w:eastAsia="en-US"/>
                  </w:rPr>
                </w:pPr>
              </w:p>
            </w:tc>
          </w:tr>
          <w:bookmarkEnd w:id="3"/>
          <w:tr w:rsidR="00434670" w:rsidRPr="00330DA7" w14:paraId="00E6CDC1" w14:textId="77777777" w:rsidTr="00D45761">
            <w:trPr>
              <w:trHeight w:val="283"/>
            </w:trPr>
            <w:tc>
              <w:tcPr>
                <w:tcW w:w="2445" w:type="dxa"/>
              </w:tcPr>
              <w:p w14:paraId="0631AD24" w14:textId="77777777" w:rsidR="00434670" w:rsidRPr="00330DA7" w:rsidRDefault="0043467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684" w:type="dxa"/>
              </w:tcPr>
              <w:p w14:paraId="3ACBE0D8" w14:textId="18B3861C" w:rsidR="00434670" w:rsidRPr="00D45761" w:rsidRDefault="00434670" w:rsidP="00D45761">
                <w:pPr>
                  <w:tabs>
                    <w:tab w:val="right" w:pos="8838"/>
                  </w:tabs>
                  <w:spacing w:line="240" w:lineRule="auto"/>
                  <w:ind w:left="-74" w:right="-105"/>
                  <w:rPr>
                    <w:rFonts w:ascii="Times New Roman" w:hAnsi="Times New Roman"/>
                    <w:lang w:eastAsia="es-MX"/>
                  </w:rPr>
                </w:pPr>
                <w:r w:rsidRPr="00396C48">
                  <w:rPr>
                    <w:rFonts w:eastAsia="Calibri" w:cs="Tahoma"/>
                    <w:szCs w:val="22"/>
                    <w:lang w:eastAsia="en-US"/>
                  </w:rPr>
                  <w:t>Ayuntamiento de T</w:t>
                </w:r>
                <w:r>
                  <w:rPr>
                    <w:rFonts w:eastAsia="Calibri" w:cs="Tahoma"/>
                    <w:szCs w:val="22"/>
                    <w:lang w:eastAsia="en-US"/>
                  </w:rPr>
                  <w:t>oluca</w:t>
                </w:r>
              </w:p>
            </w:tc>
            <w:tc>
              <w:tcPr>
                <w:tcW w:w="3402" w:type="dxa"/>
              </w:tcPr>
              <w:p w14:paraId="3A7DA319" w14:textId="77777777" w:rsidR="00434670" w:rsidRPr="00A90C72" w:rsidRDefault="00434670" w:rsidP="004D0573">
                <w:pPr>
                  <w:tabs>
                    <w:tab w:val="left" w:pos="2834"/>
                    <w:tab w:val="right" w:pos="8838"/>
                  </w:tabs>
                  <w:spacing w:line="240" w:lineRule="auto"/>
                  <w:ind w:left="-108" w:right="-105"/>
                  <w:rPr>
                    <w:rFonts w:eastAsia="Calibri" w:cs="Tahoma"/>
                    <w:szCs w:val="22"/>
                    <w:lang w:eastAsia="en-US"/>
                  </w:rPr>
                </w:pPr>
              </w:p>
            </w:tc>
          </w:tr>
          <w:tr w:rsidR="00434670" w:rsidRPr="00330DA7" w14:paraId="0F6CD8D2" w14:textId="77777777" w:rsidTr="00D45761">
            <w:trPr>
              <w:trHeight w:val="283"/>
            </w:trPr>
            <w:tc>
              <w:tcPr>
                <w:tcW w:w="2445" w:type="dxa"/>
              </w:tcPr>
              <w:p w14:paraId="31700628" w14:textId="0565A62A" w:rsidR="00434670" w:rsidRPr="00330DA7" w:rsidRDefault="0043467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684" w:type="dxa"/>
              </w:tcPr>
              <w:p w14:paraId="31A90A58" w14:textId="75878977" w:rsidR="00434670" w:rsidRPr="00EA66FC" w:rsidRDefault="0043467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34670" w:rsidRPr="00330DA7" w:rsidRDefault="00434670" w:rsidP="004D0573">
                <w:pPr>
                  <w:tabs>
                    <w:tab w:val="right" w:pos="8838"/>
                  </w:tabs>
                  <w:spacing w:line="240" w:lineRule="auto"/>
                  <w:ind w:left="-108" w:right="-105"/>
                  <w:rPr>
                    <w:rFonts w:eastAsia="Calibri" w:cs="Tahoma"/>
                    <w:szCs w:val="22"/>
                    <w:lang w:eastAsia="en-US"/>
                  </w:rPr>
                </w:pPr>
              </w:p>
            </w:tc>
          </w:tr>
        </w:tbl>
        <w:p w14:paraId="5DC6AC61" w14:textId="77777777" w:rsidR="00434670" w:rsidRPr="00330DA7" w:rsidRDefault="00434670" w:rsidP="004D0573">
          <w:pPr>
            <w:tabs>
              <w:tab w:val="right" w:pos="8838"/>
            </w:tabs>
            <w:ind w:left="-28"/>
            <w:rPr>
              <w:rFonts w:ascii="Arial" w:eastAsia="Calibri" w:hAnsi="Arial" w:cs="Arial"/>
              <w:b/>
              <w:szCs w:val="22"/>
              <w:lang w:eastAsia="en-US"/>
            </w:rPr>
          </w:pPr>
        </w:p>
      </w:tc>
    </w:tr>
  </w:tbl>
  <w:p w14:paraId="2A906731" w14:textId="77777777" w:rsidR="00434670" w:rsidRPr="00765661" w:rsidRDefault="00AD4025"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1E354D"/>
    <w:multiLevelType w:val="hybridMultilevel"/>
    <w:tmpl w:val="1DD27C0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3906254"/>
    <w:multiLevelType w:val="hybridMultilevel"/>
    <w:tmpl w:val="E63C18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6F52283"/>
    <w:multiLevelType w:val="hybridMultilevel"/>
    <w:tmpl w:val="711A775A"/>
    <w:lvl w:ilvl="0" w:tplc="080A0001">
      <w:start w:val="3"/>
      <w:numFmt w:val="bullet"/>
      <w:lvlText w:val=""/>
      <w:lvlJc w:val="left"/>
      <w:pPr>
        <w:ind w:left="720" w:hanging="360"/>
      </w:pPr>
      <w:rPr>
        <w:rFonts w:ascii="Symbol" w:eastAsia="Times New Roman"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4A805F91"/>
    <w:multiLevelType w:val="hybridMultilevel"/>
    <w:tmpl w:val="EB5E2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DE1C22"/>
    <w:multiLevelType w:val="hybridMultilevel"/>
    <w:tmpl w:val="E9FACAF0"/>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7"/>
  </w:num>
  <w:num w:numId="6">
    <w:abstractNumId w:val="5"/>
  </w:num>
  <w:num w:numId="7">
    <w:abstractNumId w:val="1"/>
  </w:num>
  <w:num w:numId="8">
    <w:abstractNumId w:val="3"/>
  </w:num>
  <w:num w:numId="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3156"/>
    <w:rsid w:val="00042FBB"/>
    <w:rsid w:val="00043F51"/>
    <w:rsid w:val="00045F17"/>
    <w:rsid w:val="00052402"/>
    <w:rsid w:val="00057B2D"/>
    <w:rsid w:val="000611E4"/>
    <w:rsid w:val="00065518"/>
    <w:rsid w:val="000777E2"/>
    <w:rsid w:val="00080071"/>
    <w:rsid w:val="000954C3"/>
    <w:rsid w:val="000A03B3"/>
    <w:rsid w:val="000A0798"/>
    <w:rsid w:val="000C3BBA"/>
    <w:rsid w:val="000D0D67"/>
    <w:rsid w:val="000E09C4"/>
    <w:rsid w:val="000E23B9"/>
    <w:rsid w:val="000F32E8"/>
    <w:rsid w:val="000F46F7"/>
    <w:rsid w:val="00103C8A"/>
    <w:rsid w:val="00107F71"/>
    <w:rsid w:val="001117BD"/>
    <w:rsid w:val="00111E31"/>
    <w:rsid w:val="0011350D"/>
    <w:rsid w:val="001144FB"/>
    <w:rsid w:val="00117DDB"/>
    <w:rsid w:val="001219B6"/>
    <w:rsid w:val="00127130"/>
    <w:rsid w:val="00135056"/>
    <w:rsid w:val="0014040A"/>
    <w:rsid w:val="00141876"/>
    <w:rsid w:val="0014207B"/>
    <w:rsid w:val="0014630F"/>
    <w:rsid w:val="00150C49"/>
    <w:rsid w:val="001734D5"/>
    <w:rsid w:val="00185C7C"/>
    <w:rsid w:val="001878E5"/>
    <w:rsid w:val="001A3532"/>
    <w:rsid w:val="001A58B3"/>
    <w:rsid w:val="001A6A2C"/>
    <w:rsid w:val="001C555C"/>
    <w:rsid w:val="001C6BE2"/>
    <w:rsid w:val="001C7688"/>
    <w:rsid w:val="001D0BF3"/>
    <w:rsid w:val="001D2464"/>
    <w:rsid w:val="001D5BAD"/>
    <w:rsid w:val="001E007D"/>
    <w:rsid w:val="001E0CFD"/>
    <w:rsid w:val="001F329F"/>
    <w:rsid w:val="001F3515"/>
    <w:rsid w:val="002015AE"/>
    <w:rsid w:val="00211F42"/>
    <w:rsid w:val="002127DE"/>
    <w:rsid w:val="00217A0D"/>
    <w:rsid w:val="00222145"/>
    <w:rsid w:val="0023065C"/>
    <w:rsid w:val="00233005"/>
    <w:rsid w:val="00233F17"/>
    <w:rsid w:val="0023534F"/>
    <w:rsid w:val="00237120"/>
    <w:rsid w:val="0023755C"/>
    <w:rsid w:val="0024022D"/>
    <w:rsid w:val="00240234"/>
    <w:rsid w:val="00245D19"/>
    <w:rsid w:val="00247709"/>
    <w:rsid w:val="002553CD"/>
    <w:rsid w:val="0026539F"/>
    <w:rsid w:val="0027763B"/>
    <w:rsid w:val="0029056A"/>
    <w:rsid w:val="00293D29"/>
    <w:rsid w:val="002958FA"/>
    <w:rsid w:val="002961A6"/>
    <w:rsid w:val="002961B5"/>
    <w:rsid w:val="0029641C"/>
    <w:rsid w:val="002A3601"/>
    <w:rsid w:val="002A6D78"/>
    <w:rsid w:val="002B0D19"/>
    <w:rsid w:val="002B1D44"/>
    <w:rsid w:val="002B4ED6"/>
    <w:rsid w:val="002B7C6F"/>
    <w:rsid w:val="002D111C"/>
    <w:rsid w:val="002E18F0"/>
    <w:rsid w:val="002F6393"/>
    <w:rsid w:val="00302476"/>
    <w:rsid w:val="00304C8C"/>
    <w:rsid w:val="00306C07"/>
    <w:rsid w:val="00311E83"/>
    <w:rsid w:val="0031433B"/>
    <w:rsid w:val="00327203"/>
    <w:rsid w:val="00331F35"/>
    <w:rsid w:val="00335CDF"/>
    <w:rsid w:val="00341E94"/>
    <w:rsid w:val="003448CF"/>
    <w:rsid w:val="00346BC2"/>
    <w:rsid w:val="00361984"/>
    <w:rsid w:val="00362A11"/>
    <w:rsid w:val="00365097"/>
    <w:rsid w:val="00365A82"/>
    <w:rsid w:val="00367A23"/>
    <w:rsid w:val="00374E27"/>
    <w:rsid w:val="00386CD1"/>
    <w:rsid w:val="003872A2"/>
    <w:rsid w:val="00396C48"/>
    <w:rsid w:val="003A0B8F"/>
    <w:rsid w:val="003A3A7E"/>
    <w:rsid w:val="003A40C1"/>
    <w:rsid w:val="003A67CC"/>
    <w:rsid w:val="003B0255"/>
    <w:rsid w:val="003B0AEC"/>
    <w:rsid w:val="003B2486"/>
    <w:rsid w:val="003B5D3E"/>
    <w:rsid w:val="003C69C8"/>
    <w:rsid w:val="003E4B14"/>
    <w:rsid w:val="003F15B3"/>
    <w:rsid w:val="003F28CD"/>
    <w:rsid w:val="003F35FD"/>
    <w:rsid w:val="003F4455"/>
    <w:rsid w:val="0041385B"/>
    <w:rsid w:val="0041389E"/>
    <w:rsid w:val="00416357"/>
    <w:rsid w:val="00430170"/>
    <w:rsid w:val="00432522"/>
    <w:rsid w:val="00434670"/>
    <w:rsid w:val="0043654A"/>
    <w:rsid w:val="00441BFA"/>
    <w:rsid w:val="00446958"/>
    <w:rsid w:val="00454FBD"/>
    <w:rsid w:val="004565C2"/>
    <w:rsid w:val="0046122C"/>
    <w:rsid w:val="00462338"/>
    <w:rsid w:val="0046490C"/>
    <w:rsid w:val="00473260"/>
    <w:rsid w:val="00475FF6"/>
    <w:rsid w:val="004768CB"/>
    <w:rsid w:val="00490760"/>
    <w:rsid w:val="004A4241"/>
    <w:rsid w:val="004B001B"/>
    <w:rsid w:val="004B5759"/>
    <w:rsid w:val="004C1963"/>
    <w:rsid w:val="004C43D3"/>
    <w:rsid w:val="004D0573"/>
    <w:rsid w:val="004D7CD8"/>
    <w:rsid w:val="004E0C63"/>
    <w:rsid w:val="004E2939"/>
    <w:rsid w:val="004E5068"/>
    <w:rsid w:val="004F7A00"/>
    <w:rsid w:val="00510A32"/>
    <w:rsid w:val="005122DD"/>
    <w:rsid w:val="00517CB9"/>
    <w:rsid w:val="00522385"/>
    <w:rsid w:val="00523E60"/>
    <w:rsid w:val="00523F48"/>
    <w:rsid w:val="005267CD"/>
    <w:rsid w:val="005365FA"/>
    <w:rsid w:val="00536C50"/>
    <w:rsid w:val="00537666"/>
    <w:rsid w:val="005432B1"/>
    <w:rsid w:val="005442E9"/>
    <w:rsid w:val="00550AB5"/>
    <w:rsid w:val="0055624C"/>
    <w:rsid w:val="005723CB"/>
    <w:rsid w:val="00575400"/>
    <w:rsid w:val="00591A20"/>
    <w:rsid w:val="0059564B"/>
    <w:rsid w:val="005A468E"/>
    <w:rsid w:val="005A5BF2"/>
    <w:rsid w:val="005B18AF"/>
    <w:rsid w:val="005B45A1"/>
    <w:rsid w:val="005B5464"/>
    <w:rsid w:val="005C253D"/>
    <w:rsid w:val="005D57B7"/>
    <w:rsid w:val="005D5A50"/>
    <w:rsid w:val="005D6D54"/>
    <w:rsid w:val="005F2A3D"/>
    <w:rsid w:val="005F5301"/>
    <w:rsid w:val="005F65B7"/>
    <w:rsid w:val="006067C7"/>
    <w:rsid w:val="00610015"/>
    <w:rsid w:val="00615195"/>
    <w:rsid w:val="006159AD"/>
    <w:rsid w:val="00620A63"/>
    <w:rsid w:val="00635CB1"/>
    <w:rsid w:val="006415E5"/>
    <w:rsid w:val="006448CC"/>
    <w:rsid w:val="00646436"/>
    <w:rsid w:val="00657603"/>
    <w:rsid w:val="00664420"/>
    <w:rsid w:val="006A21FC"/>
    <w:rsid w:val="006A646A"/>
    <w:rsid w:val="006B10B0"/>
    <w:rsid w:val="006D3237"/>
    <w:rsid w:val="006E13CF"/>
    <w:rsid w:val="006E25BC"/>
    <w:rsid w:val="006E6BBC"/>
    <w:rsid w:val="006E7E4C"/>
    <w:rsid w:val="006E7E69"/>
    <w:rsid w:val="006F7768"/>
    <w:rsid w:val="00707A84"/>
    <w:rsid w:val="00716AAA"/>
    <w:rsid w:val="00717E59"/>
    <w:rsid w:val="00724F22"/>
    <w:rsid w:val="00725C8B"/>
    <w:rsid w:val="007354CA"/>
    <w:rsid w:val="00743BF6"/>
    <w:rsid w:val="007517BD"/>
    <w:rsid w:val="00751837"/>
    <w:rsid w:val="0075751F"/>
    <w:rsid w:val="007612A5"/>
    <w:rsid w:val="0076337C"/>
    <w:rsid w:val="00773DD6"/>
    <w:rsid w:val="00773EAB"/>
    <w:rsid w:val="00774516"/>
    <w:rsid w:val="00775BFC"/>
    <w:rsid w:val="00782160"/>
    <w:rsid w:val="00786F38"/>
    <w:rsid w:val="00794BA5"/>
    <w:rsid w:val="007A2B8D"/>
    <w:rsid w:val="007A3459"/>
    <w:rsid w:val="007A4F9E"/>
    <w:rsid w:val="007B2A93"/>
    <w:rsid w:val="007B6074"/>
    <w:rsid w:val="007C2F8A"/>
    <w:rsid w:val="007C7993"/>
    <w:rsid w:val="007C7C47"/>
    <w:rsid w:val="007D1C55"/>
    <w:rsid w:val="007D1C84"/>
    <w:rsid w:val="007D317F"/>
    <w:rsid w:val="007D5C39"/>
    <w:rsid w:val="007E069C"/>
    <w:rsid w:val="007E07E1"/>
    <w:rsid w:val="007E53A4"/>
    <w:rsid w:val="007F5D06"/>
    <w:rsid w:val="00805A6E"/>
    <w:rsid w:val="00811211"/>
    <w:rsid w:val="00811F75"/>
    <w:rsid w:val="00813497"/>
    <w:rsid w:val="00823BA5"/>
    <w:rsid w:val="00826C28"/>
    <w:rsid w:val="00831728"/>
    <w:rsid w:val="00852598"/>
    <w:rsid w:val="00860F56"/>
    <w:rsid w:val="0086345C"/>
    <w:rsid w:val="0086353B"/>
    <w:rsid w:val="00863676"/>
    <w:rsid w:val="00864CC1"/>
    <w:rsid w:val="00865CF4"/>
    <w:rsid w:val="008737B0"/>
    <w:rsid w:val="00875695"/>
    <w:rsid w:val="00876DBC"/>
    <w:rsid w:val="00883954"/>
    <w:rsid w:val="008856B3"/>
    <w:rsid w:val="008950DC"/>
    <w:rsid w:val="008A21E1"/>
    <w:rsid w:val="008A6003"/>
    <w:rsid w:val="008A6F88"/>
    <w:rsid w:val="008B05AD"/>
    <w:rsid w:val="008B1E16"/>
    <w:rsid w:val="008C76E5"/>
    <w:rsid w:val="008E1316"/>
    <w:rsid w:val="008E1593"/>
    <w:rsid w:val="008E495D"/>
    <w:rsid w:val="008E6224"/>
    <w:rsid w:val="008E6A11"/>
    <w:rsid w:val="00903DBE"/>
    <w:rsid w:val="00910FD2"/>
    <w:rsid w:val="00911079"/>
    <w:rsid w:val="00915F66"/>
    <w:rsid w:val="00916B9B"/>
    <w:rsid w:val="009176E8"/>
    <w:rsid w:val="009233A1"/>
    <w:rsid w:val="009246CF"/>
    <w:rsid w:val="00931437"/>
    <w:rsid w:val="00936B5A"/>
    <w:rsid w:val="00944643"/>
    <w:rsid w:val="009467B4"/>
    <w:rsid w:val="00953212"/>
    <w:rsid w:val="00953430"/>
    <w:rsid w:val="009604AD"/>
    <w:rsid w:val="00965890"/>
    <w:rsid w:val="00970EB3"/>
    <w:rsid w:val="0097369C"/>
    <w:rsid w:val="00974ED7"/>
    <w:rsid w:val="00976247"/>
    <w:rsid w:val="00982877"/>
    <w:rsid w:val="00985840"/>
    <w:rsid w:val="00985F73"/>
    <w:rsid w:val="0098693C"/>
    <w:rsid w:val="00990B5B"/>
    <w:rsid w:val="00993ED0"/>
    <w:rsid w:val="0099409D"/>
    <w:rsid w:val="009A1340"/>
    <w:rsid w:val="009A2D78"/>
    <w:rsid w:val="009A2EDE"/>
    <w:rsid w:val="009A7C10"/>
    <w:rsid w:val="009B2945"/>
    <w:rsid w:val="009C04A8"/>
    <w:rsid w:val="009D1BF6"/>
    <w:rsid w:val="009D41AC"/>
    <w:rsid w:val="009D78BC"/>
    <w:rsid w:val="009E0652"/>
    <w:rsid w:val="009E0DA6"/>
    <w:rsid w:val="009E2DEE"/>
    <w:rsid w:val="009E45F2"/>
    <w:rsid w:val="009E4644"/>
    <w:rsid w:val="009F797C"/>
    <w:rsid w:val="00A048C7"/>
    <w:rsid w:val="00A12AFA"/>
    <w:rsid w:val="00A131AC"/>
    <w:rsid w:val="00A16D85"/>
    <w:rsid w:val="00A21A20"/>
    <w:rsid w:val="00A35DA7"/>
    <w:rsid w:val="00A36A99"/>
    <w:rsid w:val="00A41792"/>
    <w:rsid w:val="00A53315"/>
    <w:rsid w:val="00A6091A"/>
    <w:rsid w:val="00A63966"/>
    <w:rsid w:val="00A6415E"/>
    <w:rsid w:val="00A70EF0"/>
    <w:rsid w:val="00A76102"/>
    <w:rsid w:val="00A77B3B"/>
    <w:rsid w:val="00A815EA"/>
    <w:rsid w:val="00A833BD"/>
    <w:rsid w:val="00A9208D"/>
    <w:rsid w:val="00A964CC"/>
    <w:rsid w:val="00AA1B38"/>
    <w:rsid w:val="00AA335B"/>
    <w:rsid w:val="00AA3AE9"/>
    <w:rsid w:val="00AA6EA9"/>
    <w:rsid w:val="00AC2DB8"/>
    <w:rsid w:val="00AC3CA0"/>
    <w:rsid w:val="00AD4025"/>
    <w:rsid w:val="00AD4855"/>
    <w:rsid w:val="00AD4A34"/>
    <w:rsid w:val="00AE1543"/>
    <w:rsid w:val="00AE3DA7"/>
    <w:rsid w:val="00AE4B12"/>
    <w:rsid w:val="00AE5AEF"/>
    <w:rsid w:val="00AF03C4"/>
    <w:rsid w:val="00B137E8"/>
    <w:rsid w:val="00B169A2"/>
    <w:rsid w:val="00B22A80"/>
    <w:rsid w:val="00B36848"/>
    <w:rsid w:val="00B373AF"/>
    <w:rsid w:val="00B61BCE"/>
    <w:rsid w:val="00B65555"/>
    <w:rsid w:val="00B71D39"/>
    <w:rsid w:val="00B74D32"/>
    <w:rsid w:val="00B75FCE"/>
    <w:rsid w:val="00B80A20"/>
    <w:rsid w:val="00BA1AB6"/>
    <w:rsid w:val="00BA2096"/>
    <w:rsid w:val="00BA27B5"/>
    <w:rsid w:val="00BA55A8"/>
    <w:rsid w:val="00BB1C97"/>
    <w:rsid w:val="00BB2790"/>
    <w:rsid w:val="00BB2ABF"/>
    <w:rsid w:val="00BB64F4"/>
    <w:rsid w:val="00BC1202"/>
    <w:rsid w:val="00BD2738"/>
    <w:rsid w:val="00BD3F4F"/>
    <w:rsid w:val="00BD5A7C"/>
    <w:rsid w:val="00BE4E82"/>
    <w:rsid w:val="00BE7A1B"/>
    <w:rsid w:val="00BF0221"/>
    <w:rsid w:val="00BF091A"/>
    <w:rsid w:val="00BF3C67"/>
    <w:rsid w:val="00BF4EAD"/>
    <w:rsid w:val="00BF51BF"/>
    <w:rsid w:val="00C00D03"/>
    <w:rsid w:val="00C049E2"/>
    <w:rsid w:val="00C10D59"/>
    <w:rsid w:val="00C1438D"/>
    <w:rsid w:val="00C229BF"/>
    <w:rsid w:val="00C30616"/>
    <w:rsid w:val="00C33BBB"/>
    <w:rsid w:val="00C351EC"/>
    <w:rsid w:val="00C36795"/>
    <w:rsid w:val="00C372E4"/>
    <w:rsid w:val="00C42C5A"/>
    <w:rsid w:val="00C42CA7"/>
    <w:rsid w:val="00C45534"/>
    <w:rsid w:val="00C461EC"/>
    <w:rsid w:val="00C507D4"/>
    <w:rsid w:val="00C63D2B"/>
    <w:rsid w:val="00C6769F"/>
    <w:rsid w:val="00C71CEF"/>
    <w:rsid w:val="00C72DAA"/>
    <w:rsid w:val="00C73A98"/>
    <w:rsid w:val="00C74B70"/>
    <w:rsid w:val="00C7571D"/>
    <w:rsid w:val="00C80B14"/>
    <w:rsid w:val="00C876F7"/>
    <w:rsid w:val="00C93BC8"/>
    <w:rsid w:val="00CA50B3"/>
    <w:rsid w:val="00CA64AF"/>
    <w:rsid w:val="00CB1407"/>
    <w:rsid w:val="00CB4F52"/>
    <w:rsid w:val="00CB7C31"/>
    <w:rsid w:val="00CB7E9A"/>
    <w:rsid w:val="00CC48E9"/>
    <w:rsid w:val="00CC5ED7"/>
    <w:rsid w:val="00CC635F"/>
    <w:rsid w:val="00CD0B92"/>
    <w:rsid w:val="00CD3244"/>
    <w:rsid w:val="00CE1DFB"/>
    <w:rsid w:val="00CE29D3"/>
    <w:rsid w:val="00CE3DBD"/>
    <w:rsid w:val="00CE58F2"/>
    <w:rsid w:val="00CF2D8B"/>
    <w:rsid w:val="00CF3383"/>
    <w:rsid w:val="00CF74B8"/>
    <w:rsid w:val="00CF7586"/>
    <w:rsid w:val="00CF7F0C"/>
    <w:rsid w:val="00D036D3"/>
    <w:rsid w:val="00D07C17"/>
    <w:rsid w:val="00D11FAD"/>
    <w:rsid w:val="00D15341"/>
    <w:rsid w:val="00D161C4"/>
    <w:rsid w:val="00D16766"/>
    <w:rsid w:val="00D20F37"/>
    <w:rsid w:val="00D228A6"/>
    <w:rsid w:val="00D22952"/>
    <w:rsid w:val="00D2790D"/>
    <w:rsid w:val="00D35FF9"/>
    <w:rsid w:val="00D44B43"/>
    <w:rsid w:val="00D45761"/>
    <w:rsid w:val="00D51ECD"/>
    <w:rsid w:val="00D53CE6"/>
    <w:rsid w:val="00D5461D"/>
    <w:rsid w:val="00D55FDA"/>
    <w:rsid w:val="00D6170E"/>
    <w:rsid w:val="00D66EF4"/>
    <w:rsid w:val="00D80DF7"/>
    <w:rsid w:val="00D85CEA"/>
    <w:rsid w:val="00D91CB4"/>
    <w:rsid w:val="00DA54C1"/>
    <w:rsid w:val="00DB1C09"/>
    <w:rsid w:val="00DB50C2"/>
    <w:rsid w:val="00DC30FA"/>
    <w:rsid w:val="00DD18A1"/>
    <w:rsid w:val="00DE1133"/>
    <w:rsid w:val="00DE78A1"/>
    <w:rsid w:val="00DF4A13"/>
    <w:rsid w:val="00DF4A41"/>
    <w:rsid w:val="00E0690A"/>
    <w:rsid w:val="00E06AA0"/>
    <w:rsid w:val="00E11AA0"/>
    <w:rsid w:val="00E16BF5"/>
    <w:rsid w:val="00E21031"/>
    <w:rsid w:val="00E27023"/>
    <w:rsid w:val="00E32E50"/>
    <w:rsid w:val="00E33233"/>
    <w:rsid w:val="00E36C12"/>
    <w:rsid w:val="00E37496"/>
    <w:rsid w:val="00E37A3F"/>
    <w:rsid w:val="00E37D3C"/>
    <w:rsid w:val="00E44C09"/>
    <w:rsid w:val="00E52E20"/>
    <w:rsid w:val="00E62E6A"/>
    <w:rsid w:val="00E7134A"/>
    <w:rsid w:val="00E73A29"/>
    <w:rsid w:val="00E83EF5"/>
    <w:rsid w:val="00E87AE9"/>
    <w:rsid w:val="00E9335C"/>
    <w:rsid w:val="00EA5EE8"/>
    <w:rsid w:val="00ED1C1E"/>
    <w:rsid w:val="00EE232C"/>
    <w:rsid w:val="00EE2AF2"/>
    <w:rsid w:val="00EE7028"/>
    <w:rsid w:val="00EE77E9"/>
    <w:rsid w:val="00EF4336"/>
    <w:rsid w:val="00EF6D46"/>
    <w:rsid w:val="00F04C08"/>
    <w:rsid w:val="00F07EE6"/>
    <w:rsid w:val="00F305A9"/>
    <w:rsid w:val="00F32348"/>
    <w:rsid w:val="00F33CC8"/>
    <w:rsid w:val="00F372B2"/>
    <w:rsid w:val="00F4481C"/>
    <w:rsid w:val="00F45902"/>
    <w:rsid w:val="00F50530"/>
    <w:rsid w:val="00F52005"/>
    <w:rsid w:val="00F52089"/>
    <w:rsid w:val="00F714BF"/>
    <w:rsid w:val="00F72289"/>
    <w:rsid w:val="00F73861"/>
    <w:rsid w:val="00F75D23"/>
    <w:rsid w:val="00F8365A"/>
    <w:rsid w:val="00F8547A"/>
    <w:rsid w:val="00F86DF5"/>
    <w:rsid w:val="00F93742"/>
    <w:rsid w:val="00FA5957"/>
    <w:rsid w:val="00FB0A56"/>
    <w:rsid w:val="00FB78B9"/>
    <w:rsid w:val="00FC12AD"/>
    <w:rsid w:val="00FC3CE0"/>
    <w:rsid w:val="00FC7090"/>
    <w:rsid w:val="00FD06A8"/>
    <w:rsid w:val="00FE33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9D1BF6"/>
    <w:rPr>
      <w:color w:val="605E5C"/>
      <w:shd w:val="clear" w:color="auto" w:fill="E1DFDD"/>
    </w:rPr>
  </w:style>
  <w:style w:type="character" w:customStyle="1" w:styleId="Mencinsinresolver2">
    <w:name w:val="Mención sin resolver2"/>
    <w:basedOn w:val="Fuentedeprrafopredeter"/>
    <w:uiPriority w:val="99"/>
    <w:semiHidden/>
    <w:unhideWhenUsed/>
    <w:rsid w:val="00E0690A"/>
    <w:rPr>
      <w:color w:val="605E5C"/>
      <w:shd w:val="clear" w:color="auto" w:fill="E1DFDD"/>
    </w:rPr>
  </w:style>
  <w:style w:type="character" w:customStyle="1" w:styleId="Mencinsinresolver3">
    <w:name w:val="Mención sin resolver3"/>
    <w:basedOn w:val="Fuentedeprrafopredeter"/>
    <w:uiPriority w:val="99"/>
    <w:semiHidden/>
    <w:unhideWhenUsed/>
    <w:rsid w:val="00CC5ED7"/>
    <w:rPr>
      <w:color w:val="605E5C"/>
      <w:shd w:val="clear" w:color="auto" w:fill="E1DFDD"/>
    </w:rPr>
  </w:style>
  <w:style w:type="character" w:customStyle="1" w:styleId="Mencinsinresolver4">
    <w:name w:val="Mención sin resolver4"/>
    <w:basedOn w:val="Fuentedeprrafopredeter"/>
    <w:uiPriority w:val="99"/>
    <w:semiHidden/>
    <w:unhideWhenUsed/>
    <w:rsid w:val="00883954"/>
    <w:rPr>
      <w:color w:val="605E5C"/>
      <w:shd w:val="clear" w:color="auto" w:fill="E1DFDD"/>
    </w:rPr>
  </w:style>
  <w:style w:type="character" w:customStyle="1" w:styleId="Hipervnculo151">
    <w:name w:val="Hipervínculo151"/>
    <w:basedOn w:val="Fuentedeprrafopredeter"/>
    <w:uiPriority w:val="99"/>
    <w:rsid w:val="00D2295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054">
      <w:bodyDiv w:val="1"/>
      <w:marLeft w:val="0"/>
      <w:marRight w:val="0"/>
      <w:marTop w:val="0"/>
      <w:marBottom w:val="0"/>
      <w:divBdr>
        <w:top w:val="none" w:sz="0" w:space="0" w:color="auto"/>
        <w:left w:val="none" w:sz="0" w:space="0" w:color="auto"/>
        <w:bottom w:val="none" w:sz="0" w:space="0" w:color="auto"/>
        <w:right w:val="none" w:sz="0" w:space="0" w:color="auto"/>
      </w:divBdr>
    </w:div>
    <w:div w:id="111944927">
      <w:bodyDiv w:val="1"/>
      <w:marLeft w:val="0"/>
      <w:marRight w:val="0"/>
      <w:marTop w:val="0"/>
      <w:marBottom w:val="0"/>
      <w:divBdr>
        <w:top w:val="none" w:sz="0" w:space="0" w:color="auto"/>
        <w:left w:val="none" w:sz="0" w:space="0" w:color="auto"/>
        <w:bottom w:val="none" w:sz="0" w:space="0" w:color="auto"/>
        <w:right w:val="none" w:sz="0" w:space="0" w:color="auto"/>
      </w:divBdr>
    </w:div>
    <w:div w:id="123891530">
      <w:bodyDiv w:val="1"/>
      <w:marLeft w:val="0"/>
      <w:marRight w:val="0"/>
      <w:marTop w:val="0"/>
      <w:marBottom w:val="0"/>
      <w:divBdr>
        <w:top w:val="none" w:sz="0" w:space="0" w:color="auto"/>
        <w:left w:val="none" w:sz="0" w:space="0" w:color="auto"/>
        <w:bottom w:val="none" w:sz="0" w:space="0" w:color="auto"/>
        <w:right w:val="none" w:sz="0" w:space="0" w:color="auto"/>
      </w:divBdr>
    </w:div>
    <w:div w:id="225533652">
      <w:bodyDiv w:val="1"/>
      <w:marLeft w:val="0"/>
      <w:marRight w:val="0"/>
      <w:marTop w:val="0"/>
      <w:marBottom w:val="0"/>
      <w:divBdr>
        <w:top w:val="none" w:sz="0" w:space="0" w:color="auto"/>
        <w:left w:val="none" w:sz="0" w:space="0" w:color="auto"/>
        <w:bottom w:val="none" w:sz="0" w:space="0" w:color="auto"/>
        <w:right w:val="none" w:sz="0" w:space="0" w:color="auto"/>
      </w:divBdr>
    </w:div>
    <w:div w:id="244192933">
      <w:bodyDiv w:val="1"/>
      <w:marLeft w:val="0"/>
      <w:marRight w:val="0"/>
      <w:marTop w:val="0"/>
      <w:marBottom w:val="0"/>
      <w:divBdr>
        <w:top w:val="none" w:sz="0" w:space="0" w:color="auto"/>
        <w:left w:val="none" w:sz="0" w:space="0" w:color="auto"/>
        <w:bottom w:val="none" w:sz="0" w:space="0" w:color="auto"/>
        <w:right w:val="none" w:sz="0" w:space="0" w:color="auto"/>
      </w:divBdr>
    </w:div>
    <w:div w:id="264579432">
      <w:bodyDiv w:val="1"/>
      <w:marLeft w:val="0"/>
      <w:marRight w:val="0"/>
      <w:marTop w:val="0"/>
      <w:marBottom w:val="0"/>
      <w:divBdr>
        <w:top w:val="none" w:sz="0" w:space="0" w:color="auto"/>
        <w:left w:val="none" w:sz="0" w:space="0" w:color="auto"/>
        <w:bottom w:val="none" w:sz="0" w:space="0" w:color="auto"/>
        <w:right w:val="none" w:sz="0" w:space="0" w:color="auto"/>
      </w:divBdr>
    </w:div>
    <w:div w:id="350030656">
      <w:bodyDiv w:val="1"/>
      <w:marLeft w:val="0"/>
      <w:marRight w:val="0"/>
      <w:marTop w:val="0"/>
      <w:marBottom w:val="0"/>
      <w:divBdr>
        <w:top w:val="none" w:sz="0" w:space="0" w:color="auto"/>
        <w:left w:val="none" w:sz="0" w:space="0" w:color="auto"/>
        <w:bottom w:val="none" w:sz="0" w:space="0" w:color="auto"/>
        <w:right w:val="none" w:sz="0" w:space="0" w:color="auto"/>
      </w:divBdr>
      <w:divsChild>
        <w:div w:id="1365131119">
          <w:marLeft w:val="0"/>
          <w:marRight w:val="0"/>
          <w:marTop w:val="0"/>
          <w:marBottom w:val="0"/>
          <w:divBdr>
            <w:top w:val="none" w:sz="0" w:space="0" w:color="auto"/>
            <w:left w:val="none" w:sz="0" w:space="0" w:color="auto"/>
            <w:bottom w:val="none" w:sz="0" w:space="0" w:color="auto"/>
            <w:right w:val="none" w:sz="0" w:space="0" w:color="auto"/>
          </w:divBdr>
        </w:div>
      </w:divsChild>
    </w:div>
    <w:div w:id="374283176">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602802836">
      <w:bodyDiv w:val="1"/>
      <w:marLeft w:val="0"/>
      <w:marRight w:val="0"/>
      <w:marTop w:val="0"/>
      <w:marBottom w:val="0"/>
      <w:divBdr>
        <w:top w:val="none" w:sz="0" w:space="0" w:color="auto"/>
        <w:left w:val="none" w:sz="0" w:space="0" w:color="auto"/>
        <w:bottom w:val="none" w:sz="0" w:space="0" w:color="auto"/>
        <w:right w:val="none" w:sz="0" w:space="0" w:color="auto"/>
      </w:divBdr>
      <w:divsChild>
        <w:div w:id="535393734">
          <w:marLeft w:val="0"/>
          <w:marRight w:val="0"/>
          <w:marTop w:val="0"/>
          <w:marBottom w:val="0"/>
          <w:divBdr>
            <w:top w:val="none" w:sz="0" w:space="0" w:color="auto"/>
            <w:left w:val="none" w:sz="0" w:space="0" w:color="auto"/>
            <w:bottom w:val="none" w:sz="0" w:space="0" w:color="auto"/>
            <w:right w:val="none" w:sz="0" w:space="0" w:color="auto"/>
          </w:divBdr>
        </w:div>
      </w:divsChild>
    </w:div>
    <w:div w:id="608974637">
      <w:bodyDiv w:val="1"/>
      <w:marLeft w:val="0"/>
      <w:marRight w:val="0"/>
      <w:marTop w:val="0"/>
      <w:marBottom w:val="0"/>
      <w:divBdr>
        <w:top w:val="none" w:sz="0" w:space="0" w:color="auto"/>
        <w:left w:val="none" w:sz="0" w:space="0" w:color="auto"/>
        <w:bottom w:val="none" w:sz="0" w:space="0" w:color="auto"/>
        <w:right w:val="none" w:sz="0" w:space="0" w:color="auto"/>
      </w:divBdr>
    </w:div>
    <w:div w:id="659120015">
      <w:bodyDiv w:val="1"/>
      <w:marLeft w:val="0"/>
      <w:marRight w:val="0"/>
      <w:marTop w:val="0"/>
      <w:marBottom w:val="0"/>
      <w:divBdr>
        <w:top w:val="none" w:sz="0" w:space="0" w:color="auto"/>
        <w:left w:val="none" w:sz="0" w:space="0" w:color="auto"/>
        <w:bottom w:val="none" w:sz="0" w:space="0" w:color="auto"/>
        <w:right w:val="none" w:sz="0" w:space="0" w:color="auto"/>
      </w:divBdr>
    </w:div>
    <w:div w:id="730227268">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98318540">
      <w:bodyDiv w:val="1"/>
      <w:marLeft w:val="0"/>
      <w:marRight w:val="0"/>
      <w:marTop w:val="0"/>
      <w:marBottom w:val="0"/>
      <w:divBdr>
        <w:top w:val="none" w:sz="0" w:space="0" w:color="auto"/>
        <w:left w:val="none" w:sz="0" w:space="0" w:color="auto"/>
        <w:bottom w:val="none" w:sz="0" w:space="0" w:color="auto"/>
        <w:right w:val="none" w:sz="0" w:space="0" w:color="auto"/>
      </w:divBdr>
    </w:div>
    <w:div w:id="1014921650">
      <w:bodyDiv w:val="1"/>
      <w:marLeft w:val="0"/>
      <w:marRight w:val="0"/>
      <w:marTop w:val="0"/>
      <w:marBottom w:val="0"/>
      <w:divBdr>
        <w:top w:val="none" w:sz="0" w:space="0" w:color="auto"/>
        <w:left w:val="none" w:sz="0" w:space="0" w:color="auto"/>
        <w:bottom w:val="none" w:sz="0" w:space="0" w:color="auto"/>
        <w:right w:val="none" w:sz="0" w:space="0" w:color="auto"/>
      </w:divBdr>
    </w:div>
    <w:div w:id="10291441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92327973">
      <w:bodyDiv w:val="1"/>
      <w:marLeft w:val="0"/>
      <w:marRight w:val="0"/>
      <w:marTop w:val="0"/>
      <w:marBottom w:val="0"/>
      <w:divBdr>
        <w:top w:val="none" w:sz="0" w:space="0" w:color="auto"/>
        <w:left w:val="none" w:sz="0" w:space="0" w:color="auto"/>
        <w:bottom w:val="none" w:sz="0" w:space="0" w:color="auto"/>
        <w:right w:val="none" w:sz="0" w:space="0" w:color="auto"/>
      </w:divBdr>
    </w:div>
    <w:div w:id="1301614413">
      <w:bodyDiv w:val="1"/>
      <w:marLeft w:val="0"/>
      <w:marRight w:val="0"/>
      <w:marTop w:val="0"/>
      <w:marBottom w:val="0"/>
      <w:divBdr>
        <w:top w:val="none" w:sz="0" w:space="0" w:color="auto"/>
        <w:left w:val="none" w:sz="0" w:space="0" w:color="auto"/>
        <w:bottom w:val="none" w:sz="0" w:space="0" w:color="auto"/>
        <w:right w:val="none" w:sz="0" w:space="0" w:color="auto"/>
      </w:divBdr>
    </w:div>
    <w:div w:id="1302922469">
      <w:bodyDiv w:val="1"/>
      <w:marLeft w:val="0"/>
      <w:marRight w:val="0"/>
      <w:marTop w:val="0"/>
      <w:marBottom w:val="0"/>
      <w:divBdr>
        <w:top w:val="none" w:sz="0" w:space="0" w:color="auto"/>
        <w:left w:val="none" w:sz="0" w:space="0" w:color="auto"/>
        <w:bottom w:val="none" w:sz="0" w:space="0" w:color="auto"/>
        <w:right w:val="none" w:sz="0" w:space="0" w:color="auto"/>
      </w:divBdr>
      <w:divsChild>
        <w:div w:id="1482043671">
          <w:marLeft w:val="0"/>
          <w:marRight w:val="0"/>
          <w:marTop w:val="0"/>
          <w:marBottom w:val="0"/>
          <w:divBdr>
            <w:top w:val="none" w:sz="0" w:space="0" w:color="auto"/>
            <w:left w:val="none" w:sz="0" w:space="0" w:color="auto"/>
            <w:bottom w:val="none" w:sz="0" w:space="0" w:color="auto"/>
            <w:right w:val="none" w:sz="0" w:space="0" w:color="auto"/>
          </w:divBdr>
        </w:div>
      </w:divsChild>
    </w:div>
    <w:div w:id="1409309000">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511485891">
      <w:bodyDiv w:val="1"/>
      <w:marLeft w:val="0"/>
      <w:marRight w:val="0"/>
      <w:marTop w:val="0"/>
      <w:marBottom w:val="0"/>
      <w:divBdr>
        <w:top w:val="none" w:sz="0" w:space="0" w:color="auto"/>
        <w:left w:val="none" w:sz="0" w:space="0" w:color="auto"/>
        <w:bottom w:val="none" w:sz="0" w:space="0" w:color="auto"/>
        <w:right w:val="none" w:sz="0" w:space="0" w:color="auto"/>
      </w:divBdr>
    </w:div>
    <w:div w:id="1512524821">
      <w:bodyDiv w:val="1"/>
      <w:marLeft w:val="0"/>
      <w:marRight w:val="0"/>
      <w:marTop w:val="0"/>
      <w:marBottom w:val="0"/>
      <w:divBdr>
        <w:top w:val="none" w:sz="0" w:space="0" w:color="auto"/>
        <w:left w:val="none" w:sz="0" w:space="0" w:color="auto"/>
        <w:bottom w:val="none" w:sz="0" w:space="0" w:color="auto"/>
        <w:right w:val="none" w:sz="0" w:space="0" w:color="auto"/>
      </w:divBdr>
    </w:div>
    <w:div w:id="1525240871">
      <w:bodyDiv w:val="1"/>
      <w:marLeft w:val="0"/>
      <w:marRight w:val="0"/>
      <w:marTop w:val="0"/>
      <w:marBottom w:val="0"/>
      <w:divBdr>
        <w:top w:val="none" w:sz="0" w:space="0" w:color="auto"/>
        <w:left w:val="none" w:sz="0" w:space="0" w:color="auto"/>
        <w:bottom w:val="none" w:sz="0" w:space="0" w:color="auto"/>
        <w:right w:val="none" w:sz="0" w:space="0" w:color="auto"/>
      </w:divBdr>
    </w:div>
    <w:div w:id="1578321623">
      <w:bodyDiv w:val="1"/>
      <w:marLeft w:val="0"/>
      <w:marRight w:val="0"/>
      <w:marTop w:val="0"/>
      <w:marBottom w:val="0"/>
      <w:divBdr>
        <w:top w:val="none" w:sz="0" w:space="0" w:color="auto"/>
        <w:left w:val="none" w:sz="0" w:space="0" w:color="auto"/>
        <w:bottom w:val="none" w:sz="0" w:space="0" w:color="auto"/>
        <w:right w:val="none" w:sz="0" w:space="0" w:color="auto"/>
      </w:divBdr>
    </w:div>
    <w:div w:id="1593313222">
      <w:bodyDiv w:val="1"/>
      <w:marLeft w:val="0"/>
      <w:marRight w:val="0"/>
      <w:marTop w:val="0"/>
      <w:marBottom w:val="0"/>
      <w:divBdr>
        <w:top w:val="none" w:sz="0" w:space="0" w:color="auto"/>
        <w:left w:val="none" w:sz="0" w:space="0" w:color="auto"/>
        <w:bottom w:val="none" w:sz="0" w:space="0" w:color="auto"/>
        <w:right w:val="none" w:sz="0" w:space="0" w:color="auto"/>
      </w:divBdr>
    </w:div>
    <w:div w:id="1598951168">
      <w:bodyDiv w:val="1"/>
      <w:marLeft w:val="0"/>
      <w:marRight w:val="0"/>
      <w:marTop w:val="0"/>
      <w:marBottom w:val="0"/>
      <w:divBdr>
        <w:top w:val="none" w:sz="0" w:space="0" w:color="auto"/>
        <w:left w:val="none" w:sz="0" w:space="0" w:color="auto"/>
        <w:bottom w:val="none" w:sz="0" w:space="0" w:color="auto"/>
        <w:right w:val="none" w:sz="0" w:space="0" w:color="auto"/>
      </w:divBdr>
    </w:div>
    <w:div w:id="1684939249">
      <w:bodyDiv w:val="1"/>
      <w:marLeft w:val="0"/>
      <w:marRight w:val="0"/>
      <w:marTop w:val="0"/>
      <w:marBottom w:val="0"/>
      <w:divBdr>
        <w:top w:val="none" w:sz="0" w:space="0" w:color="auto"/>
        <w:left w:val="none" w:sz="0" w:space="0" w:color="auto"/>
        <w:bottom w:val="none" w:sz="0" w:space="0" w:color="auto"/>
        <w:right w:val="none" w:sz="0" w:space="0" w:color="auto"/>
      </w:divBdr>
      <w:divsChild>
        <w:div w:id="1505433646">
          <w:marLeft w:val="0"/>
          <w:marRight w:val="0"/>
          <w:marTop w:val="0"/>
          <w:marBottom w:val="0"/>
          <w:divBdr>
            <w:top w:val="none" w:sz="0" w:space="0" w:color="auto"/>
            <w:left w:val="none" w:sz="0" w:space="0" w:color="auto"/>
            <w:bottom w:val="none" w:sz="0" w:space="0" w:color="auto"/>
            <w:right w:val="none" w:sz="0" w:space="0" w:color="auto"/>
          </w:divBdr>
        </w:div>
      </w:divsChild>
    </w:div>
    <w:div w:id="1693460174">
      <w:bodyDiv w:val="1"/>
      <w:marLeft w:val="0"/>
      <w:marRight w:val="0"/>
      <w:marTop w:val="0"/>
      <w:marBottom w:val="0"/>
      <w:divBdr>
        <w:top w:val="none" w:sz="0" w:space="0" w:color="auto"/>
        <w:left w:val="none" w:sz="0" w:space="0" w:color="auto"/>
        <w:bottom w:val="none" w:sz="0" w:space="0" w:color="auto"/>
        <w:right w:val="none" w:sz="0" w:space="0" w:color="auto"/>
      </w:divBdr>
    </w:div>
    <w:div w:id="1701665125">
      <w:bodyDiv w:val="1"/>
      <w:marLeft w:val="0"/>
      <w:marRight w:val="0"/>
      <w:marTop w:val="0"/>
      <w:marBottom w:val="0"/>
      <w:divBdr>
        <w:top w:val="none" w:sz="0" w:space="0" w:color="auto"/>
        <w:left w:val="none" w:sz="0" w:space="0" w:color="auto"/>
        <w:bottom w:val="none" w:sz="0" w:space="0" w:color="auto"/>
        <w:right w:val="none" w:sz="0" w:space="0" w:color="auto"/>
      </w:divBdr>
    </w:div>
    <w:div w:id="1724283126">
      <w:bodyDiv w:val="1"/>
      <w:marLeft w:val="0"/>
      <w:marRight w:val="0"/>
      <w:marTop w:val="0"/>
      <w:marBottom w:val="0"/>
      <w:divBdr>
        <w:top w:val="none" w:sz="0" w:space="0" w:color="auto"/>
        <w:left w:val="none" w:sz="0" w:space="0" w:color="auto"/>
        <w:bottom w:val="none" w:sz="0" w:space="0" w:color="auto"/>
        <w:right w:val="none" w:sz="0" w:space="0" w:color="auto"/>
      </w:divBdr>
    </w:div>
    <w:div w:id="1736314969">
      <w:bodyDiv w:val="1"/>
      <w:marLeft w:val="0"/>
      <w:marRight w:val="0"/>
      <w:marTop w:val="0"/>
      <w:marBottom w:val="0"/>
      <w:divBdr>
        <w:top w:val="none" w:sz="0" w:space="0" w:color="auto"/>
        <w:left w:val="none" w:sz="0" w:space="0" w:color="auto"/>
        <w:bottom w:val="none" w:sz="0" w:space="0" w:color="auto"/>
        <w:right w:val="none" w:sz="0" w:space="0" w:color="auto"/>
      </w:divBdr>
    </w:div>
    <w:div w:id="1750467520">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925600258">
      <w:bodyDiv w:val="1"/>
      <w:marLeft w:val="0"/>
      <w:marRight w:val="0"/>
      <w:marTop w:val="0"/>
      <w:marBottom w:val="0"/>
      <w:divBdr>
        <w:top w:val="none" w:sz="0" w:space="0" w:color="auto"/>
        <w:left w:val="none" w:sz="0" w:space="0" w:color="auto"/>
        <w:bottom w:val="none" w:sz="0" w:space="0" w:color="auto"/>
        <w:right w:val="none" w:sz="0" w:space="0" w:color="auto"/>
      </w:divBdr>
    </w:div>
    <w:div w:id="1940982557">
      <w:bodyDiv w:val="1"/>
      <w:marLeft w:val="0"/>
      <w:marRight w:val="0"/>
      <w:marTop w:val="0"/>
      <w:marBottom w:val="0"/>
      <w:divBdr>
        <w:top w:val="none" w:sz="0" w:space="0" w:color="auto"/>
        <w:left w:val="none" w:sz="0" w:space="0" w:color="auto"/>
        <w:bottom w:val="none" w:sz="0" w:space="0" w:color="auto"/>
        <w:right w:val="none" w:sz="0" w:space="0" w:color="auto"/>
      </w:divBdr>
    </w:div>
    <w:div w:id="2011711994">
      <w:bodyDiv w:val="1"/>
      <w:marLeft w:val="0"/>
      <w:marRight w:val="0"/>
      <w:marTop w:val="0"/>
      <w:marBottom w:val="0"/>
      <w:divBdr>
        <w:top w:val="none" w:sz="0" w:space="0" w:color="auto"/>
        <w:left w:val="none" w:sz="0" w:space="0" w:color="auto"/>
        <w:bottom w:val="none" w:sz="0" w:space="0" w:color="auto"/>
        <w:right w:val="none" w:sz="0" w:space="0" w:color="auto"/>
      </w:divBdr>
    </w:div>
    <w:div w:id="2034646819">
      <w:bodyDiv w:val="1"/>
      <w:marLeft w:val="0"/>
      <w:marRight w:val="0"/>
      <w:marTop w:val="0"/>
      <w:marBottom w:val="0"/>
      <w:divBdr>
        <w:top w:val="none" w:sz="0" w:space="0" w:color="auto"/>
        <w:left w:val="none" w:sz="0" w:space="0" w:color="auto"/>
        <w:bottom w:val="none" w:sz="0" w:space="0" w:color="auto"/>
        <w:right w:val="none" w:sz="0" w:space="0" w:color="auto"/>
      </w:divBdr>
    </w:div>
    <w:div w:id="2075883349">
      <w:bodyDiv w:val="1"/>
      <w:marLeft w:val="0"/>
      <w:marRight w:val="0"/>
      <w:marTop w:val="0"/>
      <w:marBottom w:val="0"/>
      <w:divBdr>
        <w:top w:val="none" w:sz="0" w:space="0" w:color="auto"/>
        <w:left w:val="none" w:sz="0" w:space="0" w:color="auto"/>
        <w:bottom w:val="none" w:sz="0" w:space="0" w:color="auto"/>
        <w:right w:val="none" w:sz="0" w:space="0" w:color="auto"/>
      </w:divBdr>
    </w:div>
    <w:div w:id="207639608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 w:id="2130122997">
      <w:bodyDiv w:val="1"/>
      <w:marLeft w:val="0"/>
      <w:marRight w:val="0"/>
      <w:marTop w:val="0"/>
      <w:marBottom w:val="0"/>
      <w:divBdr>
        <w:top w:val="none" w:sz="0" w:space="0" w:color="auto"/>
        <w:left w:val="none" w:sz="0" w:space="0" w:color="auto"/>
        <w:bottom w:val="none" w:sz="0" w:space="0" w:color="auto"/>
        <w:right w:val="none" w:sz="0" w:space="0" w:color="auto"/>
      </w:divBdr>
      <w:divsChild>
        <w:div w:id="1259018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documentManagement/types"/>
    <ds:schemaRef ds:uri="http://purl.org/dc/dcmitype/"/>
    <ds:schemaRef ds:uri="http://www.w3.org/XML/1998/namespace"/>
    <ds:schemaRef ds:uri="http://purl.org/dc/terms/"/>
    <ds:schemaRef ds:uri="http://schemas.openxmlformats.org/package/2006/metadata/core-properties"/>
    <ds:schemaRef ds:uri="http://purl.org/dc/elements/1.1/"/>
    <ds:schemaRef ds:uri="76b08bab-a17d-419c-8fa8-b7b9c3c33fd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E2ADB-7F79-45B4-A543-74A0DE05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9883</Words>
  <Characters>54358</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9</cp:revision>
  <cp:lastPrinted>2025-08-21T19:05:00Z</cp:lastPrinted>
  <dcterms:created xsi:type="dcterms:W3CDTF">2025-08-18T21:31:00Z</dcterms:created>
  <dcterms:modified xsi:type="dcterms:W3CDTF">2025-08-21T19:05:00Z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