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4DE8B" w14:textId="77777777" w:rsidR="002B57F3" w:rsidRPr="00C45E23" w:rsidRDefault="003C2E85">
      <w:pPr>
        <w:spacing w:before="120" w:after="0" w:line="360" w:lineRule="auto"/>
        <w:ind w:right="49"/>
        <w:jc w:val="both"/>
        <w:rPr>
          <w:rFonts w:ascii="Palatino Linotype" w:eastAsia="Palatino Linotype" w:hAnsi="Palatino Linotype" w:cs="Palatino Linotype"/>
          <w:strike/>
          <w:sz w:val="24"/>
          <w:szCs w:val="24"/>
        </w:rPr>
      </w:pPr>
      <w:r w:rsidRPr="00C45E23">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catorce de mayo de dos mil veinticinco.</w:t>
      </w:r>
    </w:p>
    <w:p w14:paraId="695A46C5"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4759F052" w14:textId="645FC095"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b/>
          <w:sz w:val="24"/>
          <w:szCs w:val="24"/>
        </w:rPr>
        <w:t xml:space="preserve">Visto </w:t>
      </w:r>
      <w:r w:rsidRPr="00C45E23">
        <w:rPr>
          <w:rFonts w:ascii="Palatino Linotype" w:eastAsia="Palatino Linotype" w:hAnsi="Palatino Linotype" w:cs="Palatino Linotype"/>
          <w:sz w:val="24"/>
          <w:szCs w:val="24"/>
        </w:rPr>
        <w:t xml:space="preserve">el expediente relativo al recurso de revisión </w:t>
      </w:r>
      <w:r w:rsidRPr="00C45E23">
        <w:rPr>
          <w:rFonts w:ascii="Palatino Linotype" w:eastAsia="Palatino Linotype" w:hAnsi="Palatino Linotype" w:cs="Palatino Linotype"/>
          <w:b/>
          <w:sz w:val="24"/>
          <w:szCs w:val="24"/>
        </w:rPr>
        <w:t>02354/INFOEM/IP/RR/2025</w:t>
      </w:r>
      <w:r w:rsidRPr="00C45E23">
        <w:rPr>
          <w:rFonts w:ascii="Palatino Linotype" w:eastAsia="Palatino Linotype" w:hAnsi="Palatino Linotype" w:cs="Palatino Linotype"/>
          <w:sz w:val="24"/>
          <w:szCs w:val="24"/>
        </w:rPr>
        <w:t>, interpuesto por</w:t>
      </w:r>
      <w:r w:rsidRPr="00C45E23">
        <w:rPr>
          <w:rFonts w:ascii="Palatino Linotype" w:eastAsia="Palatino Linotype" w:hAnsi="Palatino Linotype" w:cs="Palatino Linotype"/>
          <w:b/>
          <w:sz w:val="24"/>
          <w:szCs w:val="24"/>
        </w:rPr>
        <w:t xml:space="preserve"> </w:t>
      </w:r>
      <w:r w:rsidR="008E381F" w:rsidRPr="008E381F">
        <w:rPr>
          <w:rFonts w:ascii="Palatino Linotype" w:eastAsia="Palatino Linotype" w:hAnsi="Palatino Linotype" w:cs="Palatino Linotype"/>
          <w:b/>
          <w:sz w:val="24"/>
          <w:szCs w:val="24"/>
        </w:rPr>
        <w:t>XXXX XXX XXXXXXXX XXXXXXXXX</w:t>
      </w:r>
      <w:r w:rsidRPr="00C45E23">
        <w:rPr>
          <w:rFonts w:ascii="Palatino Linotype" w:eastAsia="Palatino Linotype" w:hAnsi="Palatino Linotype" w:cs="Palatino Linotype"/>
          <w:sz w:val="24"/>
          <w:szCs w:val="24"/>
        </w:rPr>
        <w:t xml:space="preserve">, en lo sucesivo se le denominara </w:t>
      </w:r>
      <w:r w:rsidRPr="00C45E23">
        <w:rPr>
          <w:rFonts w:ascii="Palatino Linotype" w:eastAsia="Palatino Linotype" w:hAnsi="Palatino Linotype" w:cs="Palatino Linotype"/>
          <w:b/>
          <w:sz w:val="24"/>
          <w:szCs w:val="24"/>
        </w:rPr>
        <w:t>LA PARTE RECURRENTE</w:t>
      </w:r>
      <w:r w:rsidRPr="00C45E23">
        <w:rPr>
          <w:rFonts w:ascii="Palatino Linotype" w:eastAsia="Palatino Linotype" w:hAnsi="Palatino Linotype" w:cs="Palatino Linotype"/>
          <w:sz w:val="24"/>
          <w:szCs w:val="24"/>
        </w:rPr>
        <w:t xml:space="preserve">, en contra de la respuesta a la solicitud de información con número de folio </w:t>
      </w:r>
      <w:r w:rsidRPr="00C45E23">
        <w:rPr>
          <w:rFonts w:ascii="Palatino Linotype" w:eastAsia="Palatino Linotype" w:hAnsi="Palatino Linotype" w:cs="Palatino Linotype"/>
          <w:b/>
          <w:sz w:val="24"/>
          <w:szCs w:val="24"/>
        </w:rPr>
        <w:t>00180/SF/IP/2025</w:t>
      </w:r>
      <w:r w:rsidRPr="00C45E23">
        <w:rPr>
          <w:rFonts w:ascii="Palatino Linotype" w:eastAsia="Palatino Linotype" w:hAnsi="Palatino Linotype" w:cs="Palatino Linotype"/>
          <w:sz w:val="24"/>
          <w:szCs w:val="24"/>
        </w:rPr>
        <w:t xml:space="preserve">, por parte de la </w:t>
      </w:r>
      <w:r w:rsidRPr="00C45E23">
        <w:rPr>
          <w:rFonts w:ascii="Palatino Linotype" w:eastAsia="Palatino Linotype" w:hAnsi="Palatino Linotype" w:cs="Palatino Linotype"/>
          <w:b/>
          <w:sz w:val="24"/>
          <w:szCs w:val="24"/>
        </w:rPr>
        <w:t>Secretaría de Finanzas</w:t>
      </w:r>
      <w:r w:rsidRPr="00C45E23">
        <w:rPr>
          <w:rFonts w:ascii="Palatino Linotype" w:eastAsia="Palatino Linotype" w:hAnsi="Palatino Linotype" w:cs="Palatino Linotype"/>
          <w:sz w:val="24"/>
          <w:szCs w:val="24"/>
        </w:rPr>
        <w:t>, en lo sucesivo</w:t>
      </w:r>
      <w:r w:rsidRPr="00C45E23">
        <w:rPr>
          <w:rFonts w:ascii="Palatino Linotype" w:eastAsia="Palatino Linotype" w:hAnsi="Palatino Linotype" w:cs="Palatino Linotype"/>
          <w:b/>
          <w:sz w:val="24"/>
          <w:szCs w:val="24"/>
        </w:rPr>
        <w:t xml:space="preserve"> EL SUJET O OBLIGADO; </w:t>
      </w:r>
      <w:r w:rsidRPr="00C45E23">
        <w:rPr>
          <w:rFonts w:ascii="Palatino Linotype" w:eastAsia="Palatino Linotype" w:hAnsi="Palatino Linotype" w:cs="Palatino Linotype"/>
          <w:sz w:val="24"/>
          <w:szCs w:val="24"/>
        </w:rPr>
        <w:t>se procede a dictar la presente resolución, con base en los siguientes:</w:t>
      </w:r>
    </w:p>
    <w:p w14:paraId="60656430"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2CC15C95" w14:textId="77777777" w:rsidR="002B57F3" w:rsidRPr="00C45E23" w:rsidRDefault="003C2E85">
      <w:pPr>
        <w:spacing w:after="0" w:line="360" w:lineRule="auto"/>
        <w:jc w:val="center"/>
        <w:rPr>
          <w:rFonts w:ascii="Palatino Linotype" w:eastAsia="Palatino Linotype" w:hAnsi="Palatino Linotype" w:cs="Palatino Linotype"/>
          <w:b/>
        </w:rPr>
      </w:pPr>
      <w:r w:rsidRPr="00C45E23">
        <w:rPr>
          <w:rFonts w:ascii="Palatino Linotype" w:eastAsia="Palatino Linotype" w:hAnsi="Palatino Linotype" w:cs="Palatino Linotype"/>
          <w:b/>
        </w:rPr>
        <w:t>A N T E C E D E N T E S</w:t>
      </w:r>
    </w:p>
    <w:p w14:paraId="11097D20" w14:textId="77777777" w:rsidR="002B57F3" w:rsidRPr="00C45E23" w:rsidRDefault="002B57F3">
      <w:pPr>
        <w:spacing w:after="0" w:line="360" w:lineRule="auto"/>
        <w:jc w:val="center"/>
        <w:rPr>
          <w:rFonts w:ascii="Palatino Linotype" w:eastAsia="Palatino Linotype" w:hAnsi="Palatino Linotype" w:cs="Palatino Linotype"/>
          <w:b/>
        </w:rPr>
      </w:pPr>
    </w:p>
    <w:p w14:paraId="3411E28F"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b/>
          <w:sz w:val="24"/>
          <w:szCs w:val="24"/>
        </w:rPr>
        <w:t>1. SOLICITUD DE ACCESO A LA INFORMACIÓN.</w:t>
      </w:r>
      <w:r w:rsidRPr="00C45E23">
        <w:rPr>
          <w:rFonts w:ascii="Palatino Linotype" w:eastAsia="Palatino Linotype" w:hAnsi="Palatino Linotype" w:cs="Palatino Linotype"/>
          <w:sz w:val="24"/>
          <w:szCs w:val="24"/>
        </w:rPr>
        <w:t xml:space="preserve"> De las constancias que obran en el expediente electrónico, se advierte que la persona solicitante presentó su solicitud el </w:t>
      </w:r>
      <w:r w:rsidRPr="00C45E23">
        <w:rPr>
          <w:rFonts w:ascii="Palatino Linotype" w:eastAsia="Palatino Linotype" w:hAnsi="Palatino Linotype" w:cs="Palatino Linotype"/>
          <w:b/>
          <w:sz w:val="24"/>
          <w:szCs w:val="24"/>
        </w:rPr>
        <w:t>dieciséis de febrero del dos mil veinticinco</w:t>
      </w:r>
      <w:r w:rsidRPr="00C45E23">
        <w:rPr>
          <w:rFonts w:ascii="Palatino Linotype" w:eastAsia="Palatino Linotype" w:hAnsi="Palatino Linotype" w:cs="Palatino Linotype"/>
          <w:sz w:val="24"/>
          <w:szCs w:val="24"/>
        </w:rPr>
        <w:t xml:space="preserve">, sin embargo, al ser un día inhábil, de conformidad con el Calendario Oficial en materia de Transparencia, Acceso a la Información Pública y Protección de Datos Personales del Estado de México y Municipios, esta se tuvo por presentada al día hábil siguiente que es el </w:t>
      </w:r>
      <w:r w:rsidRPr="00C45E23">
        <w:rPr>
          <w:rFonts w:ascii="Palatino Linotype" w:eastAsia="Palatino Linotype" w:hAnsi="Palatino Linotype" w:cs="Palatino Linotype"/>
          <w:b/>
          <w:sz w:val="24"/>
          <w:szCs w:val="24"/>
        </w:rPr>
        <w:t>diecisiete de febrero de dos mil veinticinco</w:t>
      </w:r>
      <w:r w:rsidRPr="00C45E23">
        <w:rPr>
          <w:rFonts w:ascii="Palatino Linotype" w:eastAsia="Palatino Linotype" w:hAnsi="Palatino Linotype" w:cs="Palatino Linotype"/>
          <w:sz w:val="24"/>
          <w:szCs w:val="24"/>
        </w:rPr>
        <w:t xml:space="preserve">, a través del Sistema de Acceso a la Información Mexiquense, en lo subsecuente el </w:t>
      </w:r>
      <w:r w:rsidRPr="00C45E23">
        <w:rPr>
          <w:rFonts w:ascii="Palatino Linotype" w:eastAsia="Palatino Linotype" w:hAnsi="Palatino Linotype" w:cs="Palatino Linotype"/>
          <w:b/>
          <w:sz w:val="24"/>
          <w:szCs w:val="24"/>
        </w:rPr>
        <w:t>SAIMEX,</w:t>
      </w:r>
      <w:r w:rsidRPr="00C45E23">
        <w:rPr>
          <w:rFonts w:ascii="Palatino Linotype" w:eastAsia="Palatino Linotype" w:hAnsi="Palatino Linotype" w:cs="Palatino Linotype"/>
          <w:sz w:val="24"/>
          <w:szCs w:val="24"/>
        </w:rPr>
        <w:t xml:space="preserve"> ante </w:t>
      </w:r>
      <w:r w:rsidRPr="00C45E23">
        <w:rPr>
          <w:rFonts w:ascii="Palatino Linotype" w:eastAsia="Palatino Linotype" w:hAnsi="Palatino Linotype" w:cs="Palatino Linotype"/>
          <w:b/>
          <w:sz w:val="24"/>
          <w:szCs w:val="24"/>
        </w:rPr>
        <w:t xml:space="preserve">EL SUJETO </w:t>
      </w:r>
      <w:r w:rsidRPr="00C45E23">
        <w:rPr>
          <w:rFonts w:ascii="Palatino Linotype" w:eastAsia="Palatino Linotype" w:hAnsi="Palatino Linotype" w:cs="Palatino Linotype"/>
          <w:b/>
          <w:sz w:val="24"/>
          <w:szCs w:val="24"/>
        </w:rPr>
        <w:lastRenderedPageBreak/>
        <w:t>OBLIGADO</w:t>
      </w:r>
      <w:r w:rsidRPr="00C45E23">
        <w:rPr>
          <w:rFonts w:ascii="Palatino Linotype" w:eastAsia="Palatino Linotype" w:hAnsi="Palatino Linotype" w:cs="Palatino Linotype"/>
          <w:sz w:val="24"/>
          <w:szCs w:val="24"/>
        </w:rPr>
        <w:t>, la solicitud de acceso a la información pública, a la que se le asignó el número</w:t>
      </w:r>
      <w:r w:rsidRPr="00C45E23">
        <w:rPr>
          <w:rFonts w:ascii="Palatino Linotype" w:eastAsia="Palatino Linotype" w:hAnsi="Palatino Linotype" w:cs="Palatino Linotype"/>
          <w:b/>
          <w:sz w:val="24"/>
          <w:szCs w:val="24"/>
        </w:rPr>
        <w:t xml:space="preserve"> 00180/SF/IP/2025</w:t>
      </w:r>
      <w:r w:rsidRPr="00C45E23">
        <w:rPr>
          <w:rFonts w:ascii="Palatino Linotype" w:eastAsia="Palatino Linotype" w:hAnsi="Palatino Linotype" w:cs="Palatino Linotype"/>
          <w:sz w:val="24"/>
          <w:szCs w:val="24"/>
        </w:rPr>
        <w:t>,</w:t>
      </w:r>
      <w:r w:rsidRPr="00C45E23">
        <w:rPr>
          <w:rFonts w:ascii="Palatino Linotype" w:eastAsia="Palatino Linotype" w:hAnsi="Palatino Linotype" w:cs="Palatino Linotype"/>
          <w:b/>
          <w:sz w:val="24"/>
          <w:szCs w:val="24"/>
        </w:rPr>
        <w:t xml:space="preserve"> </w:t>
      </w:r>
      <w:r w:rsidRPr="00C45E23">
        <w:rPr>
          <w:rFonts w:ascii="Palatino Linotype" w:eastAsia="Palatino Linotype" w:hAnsi="Palatino Linotype" w:cs="Palatino Linotype"/>
          <w:sz w:val="24"/>
          <w:szCs w:val="24"/>
        </w:rPr>
        <w:t>mediante la cual requirió la información siguiente:</w:t>
      </w:r>
    </w:p>
    <w:p w14:paraId="2D2D48B0" w14:textId="77777777" w:rsidR="002B57F3" w:rsidRPr="00C45E23" w:rsidRDefault="003C2E85">
      <w:pPr>
        <w:spacing w:after="0" w:line="360" w:lineRule="auto"/>
        <w:ind w:right="49"/>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En relación con el Anexo de Ejecución 0236/2024 celebrado entre el Ejecutivo Federal, Gobierno del Estado de México y el Colegio de Bachilleres, el 10 de enero de 2024, que incluye el Apartado Analítico de servicios personales 2024, plazas, horas y sueldos autorizados, la siguiente información: </w:t>
      </w:r>
    </w:p>
    <w:p w14:paraId="3D4A5F61" w14:textId="77777777" w:rsidR="002B57F3" w:rsidRPr="00C45E23" w:rsidRDefault="002B57F3">
      <w:pPr>
        <w:spacing w:after="0" w:line="360" w:lineRule="auto"/>
        <w:ind w:right="49"/>
        <w:jc w:val="both"/>
        <w:rPr>
          <w:rFonts w:ascii="Palatino Linotype" w:eastAsia="Palatino Linotype" w:hAnsi="Palatino Linotype" w:cs="Palatino Linotype"/>
          <w:sz w:val="24"/>
          <w:szCs w:val="24"/>
        </w:rPr>
      </w:pPr>
    </w:p>
    <w:p w14:paraId="6939E51A" w14:textId="77777777" w:rsidR="002B57F3" w:rsidRPr="00C45E23" w:rsidRDefault="003C2E85">
      <w:pPr>
        <w:spacing w:after="0" w:line="360" w:lineRule="auto"/>
        <w:ind w:left="567" w:right="900"/>
        <w:jc w:val="both"/>
        <w:rPr>
          <w:rFonts w:ascii="Palatino Linotype" w:eastAsia="Palatino Linotype" w:hAnsi="Palatino Linotype" w:cs="Palatino Linotype"/>
          <w:i/>
          <w:sz w:val="24"/>
          <w:szCs w:val="24"/>
        </w:rPr>
      </w:pPr>
      <w:r w:rsidRPr="00C45E23">
        <w:rPr>
          <w:rFonts w:ascii="Palatino Linotype" w:eastAsia="Palatino Linotype" w:hAnsi="Palatino Linotype" w:cs="Palatino Linotype"/>
          <w:i/>
          <w:sz w:val="24"/>
          <w:szCs w:val="24"/>
        </w:rPr>
        <w:t>“●Monto total individualizado asignado a mi plaza como ingreso bruto, que debí y debo percibir, por este año 2024;</w:t>
      </w:r>
    </w:p>
    <w:p w14:paraId="6D17009E" w14:textId="77777777" w:rsidR="002B57F3" w:rsidRPr="00C45E23" w:rsidRDefault="003C2E85">
      <w:pPr>
        <w:spacing w:after="0" w:line="360" w:lineRule="auto"/>
        <w:ind w:left="567" w:right="900"/>
        <w:jc w:val="both"/>
        <w:rPr>
          <w:rFonts w:ascii="Palatino Linotype" w:eastAsia="Palatino Linotype" w:hAnsi="Palatino Linotype" w:cs="Palatino Linotype"/>
          <w:i/>
          <w:sz w:val="24"/>
          <w:szCs w:val="24"/>
        </w:rPr>
      </w:pPr>
      <w:r w:rsidRPr="00C45E23">
        <w:rPr>
          <w:rFonts w:ascii="Palatino Linotype" w:eastAsia="Palatino Linotype" w:hAnsi="Palatino Linotype" w:cs="Palatino Linotype"/>
          <w:i/>
          <w:sz w:val="24"/>
          <w:szCs w:val="24"/>
        </w:rPr>
        <w:t>●</w:t>
      </w:r>
      <w:r w:rsidRPr="00C45E23">
        <w:rPr>
          <w:rFonts w:ascii="Palatino Linotype" w:eastAsia="Palatino Linotype" w:hAnsi="Palatino Linotype" w:cs="Palatino Linotype"/>
          <w:i/>
          <w:sz w:val="24"/>
          <w:szCs w:val="24"/>
        </w:rPr>
        <w:tab/>
        <w:t>Monto detallado anual que debió aplicarse por concepto tanto de percepciones como de deducciones -cuyos conceptos se especificaron- respecto del ejercicio 2024.</w:t>
      </w:r>
    </w:p>
    <w:p w14:paraId="267F9600" w14:textId="77777777" w:rsidR="002B57F3" w:rsidRPr="00C45E23" w:rsidRDefault="003C2E85">
      <w:pPr>
        <w:spacing w:after="0" w:line="360" w:lineRule="auto"/>
        <w:ind w:left="567" w:right="900"/>
        <w:jc w:val="both"/>
        <w:rPr>
          <w:rFonts w:ascii="Palatino Linotype" w:eastAsia="Palatino Linotype" w:hAnsi="Palatino Linotype" w:cs="Palatino Linotype"/>
          <w:i/>
          <w:sz w:val="24"/>
          <w:szCs w:val="24"/>
        </w:rPr>
      </w:pPr>
      <w:r w:rsidRPr="00C45E23">
        <w:rPr>
          <w:rFonts w:ascii="Palatino Linotype" w:eastAsia="Palatino Linotype" w:hAnsi="Palatino Linotype" w:cs="Palatino Linotype"/>
          <w:i/>
          <w:sz w:val="24"/>
          <w:szCs w:val="24"/>
        </w:rPr>
        <w:t>●</w:t>
      </w:r>
      <w:r w:rsidRPr="00C45E23">
        <w:rPr>
          <w:rFonts w:ascii="Palatino Linotype" w:eastAsia="Palatino Linotype" w:hAnsi="Palatino Linotype" w:cs="Palatino Linotype"/>
          <w:i/>
          <w:sz w:val="24"/>
          <w:szCs w:val="24"/>
        </w:rPr>
        <w:tab/>
        <w:t>En caso de que exista diferencia salarial entre lo autorizado en el Anexo de Ejecución y lo que realmente se ha pagado en 2024, se informe el monto que dejé de percibir y los conceptos, en los cuales se aplicó la deducción.”</w:t>
      </w:r>
    </w:p>
    <w:p w14:paraId="07AA475C" w14:textId="77777777" w:rsidR="002B57F3" w:rsidRPr="00C45E23" w:rsidRDefault="002B57F3">
      <w:pPr>
        <w:spacing w:after="0" w:line="360" w:lineRule="auto"/>
        <w:ind w:left="567" w:right="900"/>
        <w:jc w:val="both"/>
        <w:rPr>
          <w:rFonts w:ascii="Palatino Linotype" w:eastAsia="Palatino Linotype" w:hAnsi="Palatino Linotype" w:cs="Palatino Linotype"/>
          <w:i/>
          <w:sz w:val="24"/>
          <w:szCs w:val="24"/>
        </w:rPr>
      </w:pPr>
    </w:p>
    <w:p w14:paraId="2A80413B" w14:textId="77777777" w:rsidR="002B57F3" w:rsidRPr="00C45E23" w:rsidRDefault="003C2E85">
      <w:pPr>
        <w:spacing w:after="0" w:line="360" w:lineRule="auto"/>
        <w:ind w:right="49"/>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La persona solicitante adjuntó lo siguiente:</w:t>
      </w:r>
    </w:p>
    <w:p w14:paraId="15533FBD" w14:textId="77777777" w:rsidR="002B57F3" w:rsidRPr="00C45E23" w:rsidRDefault="002B57F3">
      <w:pPr>
        <w:spacing w:after="0" w:line="360" w:lineRule="auto"/>
        <w:ind w:right="49"/>
        <w:rPr>
          <w:rFonts w:ascii="Palatino Linotype" w:eastAsia="Palatino Linotype" w:hAnsi="Palatino Linotype" w:cs="Palatino Linotype"/>
          <w:sz w:val="24"/>
          <w:szCs w:val="24"/>
        </w:rPr>
      </w:pPr>
    </w:p>
    <w:p w14:paraId="35C0FE31" w14:textId="77777777" w:rsidR="002B57F3" w:rsidRPr="00C45E23" w:rsidRDefault="003C2E85">
      <w:pPr>
        <w:spacing w:after="0" w:line="360" w:lineRule="auto"/>
        <w:ind w:right="49"/>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Digitalización por ambos lados de la Credencial para Votar, expedida por el Instituto Nacional Electoral, a favor de la persona solicitante en el presente asunto.</w:t>
      </w:r>
    </w:p>
    <w:p w14:paraId="47E4710C" w14:textId="77777777" w:rsidR="002B57F3" w:rsidRPr="00C45E23" w:rsidRDefault="003C2E85">
      <w:pPr>
        <w:spacing w:after="0" w:line="360" w:lineRule="auto"/>
        <w:ind w:right="49"/>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 Anexo de Ejecución / Apoyo Financiero 2024 SEMS-EL COBAEM-MÉXICO 0236/24, celebrado entre el Ejecutivo Federal, por conducto de la Secretaría de Educación Pública (SEP); el Gobierno del Estado de México, asistido por la </w:t>
      </w:r>
      <w:r w:rsidRPr="00C45E23">
        <w:rPr>
          <w:rFonts w:ascii="Palatino Linotype" w:eastAsia="Palatino Linotype" w:hAnsi="Palatino Linotype" w:cs="Palatino Linotype"/>
          <w:sz w:val="24"/>
          <w:szCs w:val="24"/>
        </w:rPr>
        <w:lastRenderedPageBreak/>
        <w:t>Secretaría de Finanzas y la Secretaría de Educación, Ciencia, Tecnología e Innovación; y el Colegio de Bachilleres del Estado de México, (COBAEM), el diez de enero de dos mil veinticuatro.</w:t>
      </w:r>
    </w:p>
    <w:p w14:paraId="21D1ABA2" w14:textId="77777777" w:rsidR="002B57F3" w:rsidRPr="00C45E23" w:rsidRDefault="002B57F3">
      <w:pPr>
        <w:spacing w:after="0" w:line="360" w:lineRule="auto"/>
        <w:ind w:right="49"/>
        <w:jc w:val="both"/>
        <w:rPr>
          <w:rFonts w:ascii="Palatino Linotype" w:eastAsia="Palatino Linotype" w:hAnsi="Palatino Linotype" w:cs="Palatino Linotype"/>
          <w:sz w:val="24"/>
          <w:szCs w:val="24"/>
        </w:rPr>
      </w:pPr>
    </w:p>
    <w:p w14:paraId="03B22A44" w14:textId="77777777" w:rsidR="002B57F3" w:rsidRPr="00C45E23" w:rsidRDefault="003C2E85">
      <w:pPr>
        <w:spacing w:after="0" w:line="360" w:lineRule="auto"/>
        <w:ind w:right="49"/>
        <w:rPr>
          <w:rFonts w:ascii="Palatino Linotype" w:eastAsia="Palatino Linotype" w:hAnsi="Palatino Linotype" w:cs="Palatino Linotype"/>
          <w:b/>
          <w:sz w:val="24"/>
          <w:szCs w:val="24"/>
        </w:rPr>
      </w:pPr>
      <w:r w:rsidRPr="00C45E23">
        <w:rPr>
          <w:rFonts w:ascii="Palatino Linotype" w:eastAsia="Palatino Linotype" w:hAnsi="Palatino Linotype" w:cs="Palatino Linotype"/>
          <w:b/>
          <w:sz w:val="24"/>
          <w:szCs w:val="24"/>
        </w:rPr>
        <w:t>Modalidad de Entrega:</w:t>
      </w:r>
      <w:r w:rsidRPr="00C45E23">
        <w:rPr>
          <w:rFonts w:ascii="Palatino Linotype" w:eastAsia="Palatino Linotype" w:hAnsi="Palatino Linotype" w:cs="Palatino Linotype"/>
          <w:sz w:val="24"/>
          <w:szCs w:val="24"/>
        </w:rPr>
        <w:t xml:space="preserve"> A través </w:t>
      </w:r>
      <w:r w:rsidRPr="00C45E23">
        <w:rPr>
          <w:rFonts w:ascii="Palatino Linotype" w:eastAsia="Palatino Linotype" w:hAnsi="Palatino Linotype" w:cs="Palatino Linotype"/>
          <w:b/>
          <w:sz w:val="24"/>
          <w:szCs w:val="24"/>
        </w:rPr>
        <w:t>del SAIMEX.</w:t>
      </w:r>
    </w:p>
    <w:p w14:paraId="650C1FF5" w14:textId="77777777" w:rsidR="002B57F3" w:rsidRPr="00C45E23" w:rsidRDefault="002B57F3">
      <w:pPr>
        <w:spacing w:after="0" w:line="360" w:lineRule="auto"/>
        <w:ind w:right="49"/>
        <w:rPr>
          <w:rFonts w:ascii="Palatino Linotype" w:eastAsia="Palatino Linotype" w:hAnsi="Palatino Linotype" w:cs="Palatino Linotype"/>
          <w:b/>
          <w:sz w:val="24"/>
          <w:szCs w:val="24"/>
        </w:rPr>
      </w:pPr>
    </w:p>
    <w:p w14:paraId="1D32EF1F"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b/>
          <w:sz w:val="24"/>
          <w:szCs w:val="24"/>
        </w:rPr>
        <w:t xml:space="preserve">2. INFORMACIÓN QUE PUEDE ESTAR EN PODER DE OTRO SUJETO OBLIGADO. </w:t>
      </w:r>
      <w:r w:rsidRPr="00C45E23">
        <w:rPr>
          <w:rFonts w:ascii="Palatino Linotype" w:eastAsia="Palatino Linotype" w:hAnsi="Palatino Linotype" w:cs="Palatino Linotype"/>
          <w:sz w:val="24"/>
          <w:szCs w:val="24"/>
        </w:rPr>
        <w:t xml:space="preserve">El </w:t>
      </w:r>
      <w:r w:rsidRPr="00C45E23">
        <w:rPr>
          <w:rFonts w:ascii="Palatino Linotype" w:eastAsia="Palatino Linotype" w:hAnsi="Palatino Linotype" w:cs="Palatino Linotype"/>
          <w:b/>
          <w:sz w:val="24"/>
          <w:szCs w:val="24"/>
        </w:rPr>
        <w:t>diecinueve de febrero de dos mil veinticinco</w:t>
      </w:r>
      <w:r w:rsidRPr="00C45E23">
        <w:rPr>
          <w:rFonts w:ascii="Palatino Linotype" w:eastAsia="Palatino Linotype" w:hAnsi="Palatino Linotype" w:cs="Palatino Linotype"/>
          <w:sz w:val="24"/>
          <w:szCs w:val="24"/>
        </w:rPr>
        <w:t xml:space="preserve">, </w:t>
      </w:r>
      <w:r w:rsidRPr="00C45E23">
        <w:rPr>
          <w:rFonts w:ascii="Palatino Linotype" w:eastAsia="Palatino Linotype" w:hAnsi="Palatino Linotype" w:cs="Palatino Linotype"/>
          <w:b/>
          <w:sz w:val="24"/>
          <w:szCs w:val="24"/>
        </w:rPr>
        <w:t xml:space="preserve">EL SUJETO OBLIGADO </w:t>
      </w:r>
      <w:r w:rsidRPr="00C45E23">
        <w:rPr>
          <w:rFonts w:ascii="Palatino Linotype" w:eastAsia="Palatino Linotype" w:hAnsi="Palatino Linotype" w:cs="Palatino Linotype"/>
          <w:sz w:val="24"/>
          <w:szCs w:val="24"/>
        </w:rPr>
        <w:t xml:space="preserve">declaró su incompetencia para atender la solicitud de acceso a la información a través de SAIMEX, sustancialmente en los términos siguientes:   </w:t>
      </w:r>
    </w:p>
    <w:p w14:paraId="460C2811" w14:textId="77777777" w:rsidR="002B57F3" w:rsidRPr="00C45E23" w:rsidRDefault="002B57F3">
      <w:pPr>
        <w:spacing w:after="0" w:line="360" w:lineRule="auto"/>
        <w:jc w:val="both"/>
        <w:rPr>
          <w:rFonts w:ascii="Palatino Linotype" w:eastAsia="Palatino Linotype" w:hAnsi="Palatino Linotype" w:cs="Palatino Linotype"/>
          <w:b/>
        </w:rPr>
      </w:pPr>
    </w:p>
    <w:p w14:paraId="5B69E9AB" w14:textId="77777777" w:rsidR="002B57F3" w:rsidRPr="00C45E23" w:rsidRDefault="003C2E85">
      <w:pPr>
        <w:spacing w:after="240"/>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“Sobre el particular, sírvase encontrar en archivo adjunto copia del Acuerdo de Incompetencia de fecha 17 de febrero de 2025, mediante el cual se detalla incompetencia de este Sujeto Obligado</w:t>
      </w:r>
    </w:p>
    <w:p w14:paraId="093628A1" w14:textId="77777777" w:rsidR="002B57F3" w:rsidRPr="00C45E23" w:rsidRDefault="003C2E85">
      <w:pPr>
        <w:spacing w:before="240" w:after="240"/>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ATENTAMENTE</w:t>
      </w:r>
    </w:p>
    <w:p w14:paraId="7DC1645A" w14:textId="77777777" w:rsidR="002B57F3" w:rsidRPr="00C45E23" w:rsidRDefault="003C2E85">
      <w:pPr>
        <w:spacing w:before="240" w:after="0" w:line="360" w:lineRule="auto"/>
        <w:ind w:left="567" w:right="902"/>
        <w:jc w:val="both"/>
        <w:rPr>
          <w:rFonts w:ascii="Palatino Linotype" w:eastAsia="Palatino Linotype" w:hAnsi="Palatino Linotype" w:cs="Palatino Linotype"/>
          <w:i/>
        </w:rPr>
      </w:pPr>
      <w:proofErr w:type="spellStart"/>
      <w:r w:rsidRPr="00C45E23">
        <w:rPr>
          <w:rFonts w:ascii="Palatino Linotype" w:eastAsia="Palatino Linotype" w:hAnsi="Palatino Linotype" w:cs="Palatino Linotype"/>
          <w:i/>
        </w:rPr>
        <w:t>Lic</w:t>
      </w:r>
      <w:proofErr w:type="spellEnd"/>
      <w:r w:rsidRPr="00C45E23">
        <w:rPr>
          <w:rFonts w:ascii="Palatino Linotype" w:eastAsia="Palatino Linotype" w:hAnsi="Palatino Linotype" w:cs="Palatino Linotype"/>
          <w:i/>
        </w:rPr>
        <w:t xml:space="preserve"> en Economía David Arturo Gómez Becerril” (Sic)</w:t>
      </w:r>
    </w:p>
    <w:p w14:paraId="7F33D5EA" w14:textId="77777777" w:rsidR="002B57F3" w:rsidRPr="00C45E23" w:rsidRDefault="002B57F3">
      <w:pPr>
        <w:spacing w:after="0" w:line="360" w:lineRule="auto"/>
        <w:ind w:left="567" w:right="902"/>
        <w:jc w:val="both"/>
        <w:rPr>
          <w:rFonts w:ascii="Palatino Linotype" w:eastAsia="Palatino Linotype" w:hAnsi="Palatino Linotype" w:cs="Palatino Linotype"/>
          <w:b/>
        </w:rPr>
      </w:pPr>
    </w:p>
    <w:p w14:paraId="02A270B7" w14:textId="77777777" w:rsidR="002B57F3" w:rsidRPr="00C45E23" w:rsidRDefault="003C2E85">
      <w:pPr>
        <w:spacing w:after="0" w:line="360" w:lineRule="auto"/>
        <w:ind w:left="567" w:right="902"/>
        <w:jc w:val="both"/>
        <w:rPr>
          <w:rFonts w:ascii="Palatino Linotype" w:eastAsia="Palatino Linotype" w:hAnsi="Palatino Linotype" w:cs="Palatino Linotype"/>
          <w:b/>
        </w:rPr>
      </w:pPr>
      <w:r w:rsidRPr="00C45E23">
        <w:rPr>
          <w:rFonts w:ascii="Palatino Linotype" w:eastAsia="Palatino Linotype" w:hAnsi="Palatino Linotype" w:cs="Palatino Linotype"/>
          <w:b/>
        </w:rPr>
        <w:t>Archivos adjuntos:</w:t>
      </w:r>
    </w:p>
    <w:p w14:paraId="2CCAD5F4" w14:textId="77777777" w:rsidR="002B57F3" w:rsidRPr="00C45E23" w:rsidRDefault="003C2E85">
      <w:pPr>
        <w:spacing w:after="240" w:line="360" w:lineRule="auto"/>
        <w:ind w:left="567" w:right="902"/>
        <w:jc w:val="both"/>
        <w:rPr>
          <w:rFonts w:ascii="Palatino Linotype" w:eastAsia="Palatino Linotype" w:hAnsi="Palatino Linotype" w:cs="Palatino Linotype"/>
        </w:rPr>
      </w:pPr>
      <w:r w:rsidRPr="00C45E23">
        <w:rPr>
          <w:rFonts w:ascii="Palatino Linotype" w:eastAsia="Palatino Linotype" w:hAnsi="Palatino Linotype" w:cs="Palatino Linotype"/>
          <w:b/>
          <w:i/>
        </w:rPr>
        <w:t xml:space="preserve">“00180 ACUERDO DE INCOMPETENCIA.pdf”: </w:t>
      </w:r>
      <w:r w:rsidRPr="00C45E23">
        <w:rPr>
          <w:rFonts w:ascii="Palatino Linotype" w:eastAsia="Palatino Linotype" w:hAnsi="Palatino Linotype" w:cs="Palatino Linotype"/>
        </w:rPr>
        <w:t xml:space="preserve">Documento que se compone de ocho fojas y contiene el Acuerdo de Incompetencia para atender la solicitud de información </w:t>
      </w:r>
      <w:r w:rsidRPr="00C45E23">
        <w:rPr>
          <w:rFonts w:ascii="Palatino Linotype" w:eastAsia="Palatino Linotype" w:hAnsi="Palatino Linotype" w:cs="Palatino Linotype"/>
          <w:b/>
        </w:rPr>
        <w:t>00180/SF/IP/2025</w:t>
      </w:r>
      <w:r w:rsidRPr="00C45E23">
        <w:rPr>
          <w:rFonts w:ascii="Palatino Linotype" w:eastAsia="Palatino Linotype" w:hAnsi="Palatino Linotype" w:cs="Palatino Linotype"/>
        </w:rPr>
        <w:t xml:space="preserve">, en el que medularmente se vierten las siguientes consideraciones: </w:t>
      </w:r>
    </w:p>
    <w:p w14:paraId="7C7EB154"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w:t>
      </w:r>
      <w:r w:rsidRPr="00C45E23">
        <w:rPr>
          <w:rFonts w:ascii="Palatino Linotype" w:eastAsia="Palatino Linotype" w:hAnsi="Palatino Linotype" w:cs="Palatino Linotype"/>
          <w:b/>
          <w:i/>
        </w:rPr>
        <w:t>se precisa que la información no es generada por la Secretaría de Finanzas, pudiendo ser competente para atender la presente solicitud el Colegio de Bachilleres del Estado de México y la Oficialía Mayor</w:t>
      </w:r>
      <w:r w:rsidRPr="00C45E23">
        <w:rPr>
          <w:rFonts w:ascii="Palatino Linotype" w:eastAsia="Palatino Linotype" w:hAnsi="Palatino Linotype" w:cs="Palatino Linotype"/>
          <w:i/>
        </w:rPr>
        <w:t xml:space="preserve">, los cuales </w:t>
      </w:r>
      <w:r w:rsidRPr="00C45E23">
        <w:rPr>
          <w:rFonts w:ascii="Palatino Linotype" w:eastAsia="Palatino Linotype" w:hAnsi="Palatino Linotype" w:cs="Palatino Linotype"/>
          <w:i/>
        </w:rPr>
        <w:lastRenderedPageBreak/>
        <w:t>son un Sujeto Obligado en términos de lo dispuesto, en el artículo 3, fracción XLI de la Ley de Transparencia, lo anterior, en correlación con lo establecido en el numeral, 210C0701040001L denominado Departamento de Recursos Humanos, funciones 4, 7 y 17 del Manual General de Organización del Colegio de Bachilleres del Estado de México, publicado en el Periódico Oficial "Gaceta del Gobierno" del Estado de México, en fecha 07 de enero de 2020, los artículos 7 fracción XXX y 10, fracciones VIII y XIV del Reglamento Interior de la Oficialía Mayor, publicado en el Periódico Oficial "Gaceta del Gobierno" del Estado de México, en fecha 20 de diciembre de 2023, el numeral 23400004040000L, denominado Dirección de Remuneraciones al Personal, funciones 3 y 8, el numeral 23400004040300L, denominado Subdirección de Control de Pagos, funciones 5, 6 y 9 del Manual General de Organización de la Oficialía Mayor, publicado en el Periódico Oficial "Gaceta del Gobierno" del Estado de México, en fecha 28 de mayo de 2024 de los cuales a la letra señalan:</w:t>
      </w:r>
    </w:p>
    <w:p w14:paraId="2365E37F"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w:t>
      </w:r>
    </w:p>
    <w:p w14:paraId="16D53BE8"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"MANUAL GENERAL DE ORGANIZACIÓN DEL COLEGIO DE BACHILLERES DEL ESTADO DE MÉXICO"</w:t>
      </w:r>
    </w:p>
    <w:p w14:paraId="0D67F2AD"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210C0701040001L: DEPARTAMENTO DE RECURSOS HUMANOS</w:t>
      </w:r>
    </w:p>
    <w:p w14:paraId="67D57D95"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OBJETIVO: Llevar a cabo las acciones de selección, contratación, registro, control, capacitación y desarrollo del personal adscrito al Colegio de Bachilleres, así como llevar a cabo las acciones necesarias para el pago oportuno de sus remuneraciones.</w:t>
      </w:r>
    </w:p>
    <w:p w14:paraId="043FB9D0"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w:t>
      </w:r>
    </w:p>
    <w:p w14:paraId="1BC81DA2"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4. Llevar a cabo los trámites para la contratación de personal, previa selección y análisis de la Dirección de Administración y Finanzas y autorización de la Dirección General, y verificar que la asignación de puestos y de sueldos se ajusten a las plazas y a los tabuladores autorizados para el Estado, de acuerdo con la normatividad vigente en la materia.</w:t>
      </w:r>
    </w:p>
    <w:p w14:paraId="672584C0"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 xml:space="preserve">7. Elaborar las nóminas y pagar oportunamente las remuneraciones al personal; aplicar las sanciones y descuentos por concepto de retardos y faltas; Impuesto Sobre </w:t>
      </w:r>
      <w:r w:rsidRPr="00C45E23">
        <w:rPr>
          <w:rFonts w:ascii="Palatino Linotype" w:eastAsia="Palatino Linotype" w:hAnsi="Palatino Linotype" w:cs="Palatino Linotype"/>
          <w:i/>
        </w:rPr>
        <w:lastRenderedPageBreak/>
        <w:t>la Renta, sobre Sueldos y Salarios; cuotas al ISSEMYM, y a y otros impuestos y derechos de los y las trabajadoras del Colegio de Bachilleres.</w:t>
      </w:r>
    </w:p>
    <w:p w14:paraId="25629CBB"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17. Informar detalladamente a la Subdirección de Planeación de Sueldos y Salarios del Sector Auxiliar de la Dirección de Política Salarial, de la plantilla y movimientos del personal adscrito al Colegio.</w:t>
      </w:r>
    </w:p>
    <w:p w14:paraId="532389C0"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"REGLAMENTO INTERIOR DE LA OFICIALÍA MAYOR"</w:t>
      </w:r>
    </w:p>
    <w:p w14:paraId="15686019"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Artículo 7. Corresponde a la persona titular de la Oficialía Mayor el ejercicio de las atribuciones siguientes:</w:t>
      </w:r>
    </w:p>
    <w:p w14:paraId="603B4E49"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w:t>
      </w:r>
    </w:p>
    <w:p w14:paraId="5E3730FE"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XXX. Suscribir los convenios de sueldos y prestaciones, de conformidad con los lineamientos establecidos por la persona Titular del Poder Ejecutivo Estatal y con base en la normatividad aplicable;</w:t>
      </w:r>
    </w:p>
    <w:p w14:paraId="065F5E63"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Artículo 10. Corresponden a la Dirección General de Personal las atribuciones siguientes:</w:t>
      </w:r>
    </w:p>
    <w:p w14:paraId="13B4B4D7"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w:t>
      </w:r>
    </w:p>
    <w:p w14:paraId="168A4A6A"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VII. Aplicar las disposiciones que norman la remuneración y prestaciones que deban otorgarse a las personas servidoras públicas del Poder Ejecutivo del Gobierno del Estado, en concordancia con las estructuras orgánico-funcionales y los catálogos de puestos aprobados;</w:t>
      </w:r>
    </w:p>
    <w:p w14:paraId="525581B9"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XIV. Realizar la actualización de las plantillas de plazas y contratos por tiempo determinado de las dependencias y organismos auxiliares del Poder Ejecutivo del Gobierno del Estado, de acuerdo con la normatividad en la materia;</w:t>
      </w:r>
    </w:p>
    <w:p w14:paraId="355E7F68"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"MANUAL GENERAL DE ORGANIZACIÓN DE LA OFICIALÍA MAYOR"</w:t>
      </w:r>
    </w:p>
    <w:p w14:paraId="054A9386"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23400004040000L. DIRECCIÓN DE REMUNERACIONES AL PERSONAL</w:t>
      </w:r>
    </w:p>
    <w:p w14:paraId="190A2DE2"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lastRenderedPageBreak/>
        <w:t>OBJETIVO: Coordinar la sistematización y actualización de la información relativa a la situación laboral de las personas servidoras públicas de las dependencias y órganos administrativos desconcentrados del Poder Ejecutivo del Estado, a través del Sistema de Nómina del Sector Central del Poder Ejecutivo, y entregarles las percepciones a que tienen derecho por la prestación de sus servicios.</w:t>
      </w:r>
    </w:p>
    <w:p w14:paraId="368F0567"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3. Aplicar las normas, políticas y disposiciones que regulan la remuneración que debe otorgarse a las personas servidoras públicas, de conformidad con las estructuras orgánicas, los tabuladores y los catálogos de puestos aprobados.</w:t>
      </w:r>
    </w:p>
    <w:p w14:paraId="27CF1324"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8. Instrumentar, en coordinación con la Dirección General de Recaudación de la Secretaría de Finanzas y con las coordinaciones y delegaciones administrativas o equivalentes, los mecanismos que conduzcan a la entrega oportuna de las percepciones a las personas servidoras públicas por la prestación de sus servicios.</w:t>
      </w:r>
    </w:p>
    <w:p w14:paraId="4E1E13EF"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23400004040300L. SUBDIRECCIÓN DE CONTROL DE PAGOS</w:t>
      </w:r>
    </w:p>
    <w:p w14:paraId="72EF9914"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OBJETIVO: Supervisar y entregar información de las remuneraciones a las personas servidoras públicas de las dependencias del Poder Ejecutivo Estatal, por la prestación de sus servicios, así como dirigir los servicios de orientación y trámite de diversos conceptos (constancias de no adeudo, validación de finiquitos y laudos, constancias anuales y comprobantes quincenales de percepciones y deducciones, constancias de históricos laborales, alta de pensiones alimenticias, alta de embargos judiciales, entre otros).</w:t>
      </w:r>
    </w:p>
    <w:p w14:paraId="6CD08BA0"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5. Coordinar el área de atención al público en la Dirección de Remuneraciones al Personal y en las oficinas desconcentradas, para informar y orientar al personal al servicio público, respecto de sus percepciones y deducciones, con el objeto de que las coordinaciones administrativas o equivalentes de las dependencias y órganos administrativos desconcentrados del Poder Ejecutivo Estatal, tramiten los conceptos de pago a que tienen derecho.</w:t>
      </w:r>
    </w:p>
    <w:p w14:paraId="1789609B" w14:textId="77777777" w:rsidR="002B57F3" w:rsidRPr="00C45E23" w:rsidRDefault="003C2E85">
      <w:pPr>
        <w:spacing w:before="240" w:after="24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6. Emitir las constancias que soliciten las personas servidoras públicas generales y de confianza sobre su historia laboral, percepciones o deducciones correspondientes, así como las que requieran las autoridades competentes.</w:t>
      </w:r>
    </w:p>
    <w:p w14:paraId="0C4BC7F2" w14:textId="77777777" w:rsidR="002B57F3" w:rsidRPr="00C45E23" w:rsidRDefault="003C2E85">
      <w:pPr>
        <w:spacing w:before="240"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lastRenderedPageBreak/>
        <w:t>9. Retener, liberar, cancelar y reexpedir el pago por cheque o depósito bancario de las personas servidoras públicas en relación de la quincena actual a petición de la dependencia, en el Sistema de Nómina, así como actualizar sus comprobantes en el Sistema de Emisión de Comprobantes de Percepciones y Deducciones, a través de la red Internet en la página del Gobierno (g2g).</w:t>
      </w:r>
    </w:p>
    <w:p w14:paraId="524233C7" w14:textId="77777777" w:rsidR="002B57F3" w:rsidRPr="00C45E23" w:rsidRDefault="003C2E85">
      <w:pP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 xml:space="preserve">IV.- De lo vertido en líneas anteriores; </w:t>
      </w:r>
      <w:r w:rsidRPr="00C45E23">
        <w:rPr>
          <w:rFonts w:ascii="Palatino Linotype" w:eastAsia="Palatino Linotype" w:hAnsi="Palatino Linotype" w:cs="Palatino Linotype"/>
          <w:b/>
          <w:i/>
          <w:u w:val="single"/>
        </w:rPr>
        <w:t>con fundamento en el artículo 167 de la ley en la materia, se hace del conocimiento que el Sujeto Obligado que podría ser competente para conocer de su solicitud es el Colegio de Bachilleres del Estado de México y la Oficialía Mayor</w:t>
      </w:r>
      <w:r w:rsidRPr="00C45E23">
        <w:rPr>
          <w:rFonts w:ascii="Palatino Linotype" w:eastAsia="Palatino Linotype" w:hAnsi="Palatino Linotype" w:cs="Palatino Linotype"/>
          <w:i/>
        </w:rPr>
        <w:t>.” (Énfasis añadido)</w:t>
      </w:r>
    </w:p>
    <w:p w14:paraId="50C94138" w14:textId="77777777" w:rsidR="002B57F3" w:rsidRPr="00C45E23" w:rsidRDefault="002B57F3">
      <w:pPr>
        <w:spacing w:after="0" w:line="360" w:lineRule="auto"/>
        <w:ind w:right="49"/>
        <w:rPr>
          <w:rFonts w:ascii="Palatino Linotype" w:eastAsia="Palatino Linotype" w:hAnsi="Palatino Linotype" w:cs="Palatino Linotype"/>
          <w:b/>
        </w:rPr>
      </w:pPr>
    </w:p>
    <w:p w14:paraId="53D7D8B6" w14:textId="77777777" w:rsidR="002B57F3" w:rsidRPr="00C45E23" w:rsidRDefault="003C2E85">
      <w:pPr>
        <w:spacing w:after="0" w:line="360" w:lineRule="auto"/>
        <w:ind w:right="49"/>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b/>
          <w:sz w:val="24"/>
          <w:szCs w:val="24"/>
        </w:rPr>
        <w:t xml:space="preserve">3. INTERPOSICIÓN DEL RECURSO DE REVISIÓN. </w:t>
      </w:r>
      <w:r w:rsidRPr="00C45E23">
        <w:rPr>
          <w:rFonts w:ascii="Palatino Linotype" w:eastAsia="Palatino Linotype" w:hAnsi="Palatino Linotype" w:cs="Palatino Linotype"/>
          <w:sz w:val="24"/>
          <w:szCs w:val="24"/>
        </w:rPr>
        <w:t xml:space="preserve">Inconforme con los términos de la declaración de incompetencia, emitida por parte del </w:t>
      </w:r>
      <w:r w:rsidRPr="00C45E23">
        <w:rPr>
          <w:rFonts w:ascii="Palatino Linotype" w:eastAsia="Palatino Linotype" w:hAnsi="Palatino Linotype" w:cs="Palatino Linotype"/>
          <w:b/>
          <w:sz w:val="24"/>
          <w:szCs w:val="24"/>
        </w:rPr>
        <w:t>SUJETO OBLIGADO</w:t>
      </w:r>
      <w:r w:rsidRPr="00C45E23">
        <w:rPr>
          <w:rFonts w:ascii="Palatino Linotype" w:eastAsia="Palatino Linotype" w:hAnsi="Palatino Linotype" w:cs="Palatino Linotype"/>
          <w:sz w:val="24"/>
          <w:szCs w:val="24"/>
        </w:rPr>
        <w:t xml:space="preserve">, se tiene constancia que el </w:t>
      </w:r>
      <w:r w:rsidRPr="00C45E23">
        <w:rPr>
          <w:rFonts w:ascii="Palatino Linotype" w:eastAsia="Palatino Linotype" w:hAnsi="Palatino Linotype" w:cs="Palatino Linotype"/>
          <w:b/>
          <w:sz w:val="24"/>
          <w:szCs w:val="24"/>
        </w:rPr>
        <w:t>dos de marzo de dos mil veinticinco</w:t>
      </w:r>
      <w:r w:rsidRPr="00C45E23">
        <w:rPr>
          <w:rFonts w:ascii="Palatino Linotype" w:eastAsia="Palatino Linotype" w:hAnsi="Palatino Linotype" w:cs="Palatino Linotype"/>
          <w:sz w:val="24"/>
          <w:szCs w:val="24"/>
        </w:rPr>
        <w:t xml:space="preserve">, interpuso el recurso de revisión a través de </w:t>
      </w:r>
      <w:r w:rsidRPr="00C45E23">
        <w:rPr>
          <w:rFonts w:ascii="Palatino Linotype" w:eastAsia="Palatino Linotype" w:hAnsi="Palatino Linotype" w:cs="Palatino Linotype"/>
          <w:b/>
          <w:sz w:val="24"/>
          <w:szCs w:val="24"/>
        </w:rPr>
        <w:t>SAIMEX</w:t>
      </w:r>
      <w:r w:rsidRPr="00C45E23">
        <w:rPr>
          <w:rFonts w:ascii="Palatino Linotype" w:eastAsia="Palatino Linotype" w:hAnsi="Palatino Linotype" w:cs="Palatino Linotype"/>
          <w:sz w:val="24"/>
          <w:szCs w:val="24"/>
        </w:rPr>
        <w:t>, sin embargo, al ser un día inhábil, de conformidad con el Calendario Oficial en materia de Transparencia, Acceso a la Información Pública y Protección de Datos Personales del Estado de México y Municipios, este medio de impugnación se tuvo por presentado al día hábil siguiente que es el</w:t>
      </w:r>
      <w:r w:rsidRPr="00C45E23">
        <w:rPr>
          <w:rFonts w:ascii="Palatino Linotype" w:eastAsia="Palatino Linotype" w:hAnsi="Palatino Linotype" w:cs="Palatino Linotype"/>
          <w:b/>
          <w:sz w:val="24"/>
          <w:szCs w:val="24"/>
        </w:rPr>
        <w:t xml:space="preserve"> cuatro de marzo de dos mil veinticinco, </w:t>
      </w:r>
      <w:r w:rsidRPr="00C45E23">
        <w:rPr>
          <w:rFonts w:ascii="Palatino Linotype" w:eastAsia="Palatino Linotype" w:hAnsi="Palatino Linotype" w:cs="Palatino Linotype"/>
          <w:sz w:val="24"/>
          <w:szCs w:val="24"/>
        </w:rPr>
        <w:t>en donde se manifestó en los términos que a continuación se detallan:</w:t>
      </w:r>
    </w:p>
    <w:p w14:paraId="1AA19004" w14:textId="77777777" w:rsidR="002B57F3" w:rsidRPr="00C45E23" w:rsidRDefault="002B57F3">
      <w:pPr>
        <w:spacing w:after="0" w:line="360" w:lineRule="auto"/>
        <w:ind w:right="49"/>
        <w:jc w:val="both"/>
        <w:rPr>
          <w:rFonts w:ascii="Palatino Linotype" w:eastAsia="Palatino Linotype" w:hAnsi="Palatino Linotype" w:cs="Palatino Linotype"/>
        </w:rPr>
      </w:pPr>
    </w:p>
    <w:p w14:paraId="431EB162" w14:textId="77777777" w:rsidR="002B57F3" w:rsidRPr="00C45E23" w:rsidRDefault="003C2E85">
      <w:pPr>
        <w:tabs>
          <w:tab w:val="left" w:pos="2745"/>
        </w:tabs>
        <w:spacing w:after="240" w:line="276" w:lineRule="auto"/>
        <w:ind w:left="567" w:right="900"/>
        <w:jc w:val="both"/>
        <w:rPr>
          <w:rFonts w:ascii="Palatino Linotype" w:eastAsia="Palatino Linotype" w:hAnsi="Palatino Linotype" w:cs="Palatino Linotype"/>
          <w:b/>
          <w:i/>
        </w:rPr>
      </w:pPr>
      <w:r w:rsidRPr="00C45E23">
        <w:rPr>
          <w:rFonts w:ascii="Palatino Linotype" w:eastAsia="Palatino Linotype" w:hAnsi="Palatino Linotype" w:cs="Palatino Linotype"/>
          <w:b/>
          <w:i/>
        </w:rPr>
        <w:t xml:space="preserve">a) Acto impugnado: </w:t>
      </w:r>
      <w:r w:rsidRPr="00C45E23">
        <w:rPr>
          <w:rFonts w:ascii="Palatino Linotype" w:eastAsia="Palatino Linotype" w:hAnsi="Palatino Linotype" w:cs="Palatino Linotype"/>
          <w:i/>
        </w:rPr>
        <w:t>“Oficio de respuesta suscrito por David Arturo Gómez Becerril, Encargado de la UIPPE y de la Unidad de Transparencia de la Secretaría de Finanzas que recayó a esta solicitud y por el cual se está presentando el presente Recurso de Revisión EN TIEMPO Y FORMA.” (Sic)</w:t>
      </w:r>
    </w:p>
    <w:p w14:paraId="0B87E4D5" w14:textId="77777777" w:rsidR="002B57F3" w:rsidRPr="00C45E23" w:rsidRDefault="003C2E85">
      <w:pPr>
        <w:spacing w:after="0" w:line="276" w:lineRule="auto"/>
        <w:ind w:left="567" w:right="902"/>
        <w:jc w:val="both"/>
        <w:rPr>
          <w:rFonts w:ascii="Palatino Linotype" w:eastAsia="Palatino Linotype" w:hAnsi="Palatino Linotype" w:cs="Palatino Linotype"/>
          <w:i/>
        </w:rPr>
      </w:pPr>
      <w:bookmarkStart w:id="0" w:name="_heading=h.30j0zll" w:colFirst="0" w:colLast="0"/>
      <w:bookmarkEnd w:id="0"/>
      <w:r w:rsidRPr="00C45E23">
        <w:rPr>
          <w:rFonts w:ascii="Palatino Linotype" w:eastAsia="Palatino Linotype" w:hAnsi="Palatino Linotype" w:cs="Palatino Linotype"/>
          <w:b/>
          <w:i/>
        </w:rPr>
        <w:t>b) Razones o motivos de inconformidad</w:t>
      </w:r>
      <w:r w:rsidRPr="00C45E23">
        <w:rPr>
          <w:rFonts w:ascii="Palatino Linotype" w:eastAsia="Palatino Linotype" w:hAnsi="Palatino Linotype" w:cs="Palatino Linotype"/>
          <w:i/>
        </w:rPr>
        <w:t xml:space="preserve">: “La declaración de incompetencia de la Secretaría de Finanzas del Estado de México, lo cual es notoriamente improcedente y contrario a derecho y a las facultades legales con las cuales se obligó y suscribió el "ANEXO DE EJECUCIÓN QUE CELEBRÓ EL EJECUTIVO FEDERAL CON </w:t>
      </w:r>
      <w:r w:rsidRPr="00C45E23">
        <w:rPr>
          <w:rFonts w:ascii="Palatino Linotype" w:eastAsia="Palatino Linotype" w:hAnsi="Palatino Linotype" w:cs="Palatino Linotype"/>
          <w:i/>
        </w:rPr>
        <w:lastRenderedPageBreak/>
        <w:t>EL GOBIERNO DEL ESTADO DE MÉXICO, ASISTIDO DE LA SECRETARÍA DE FINANZAS Y EL COLEGIO DE BACHILLERES DEL ESTADO DE MÉXICO EN FECHA 10 DE ENERO 2024." Por lo que SÍ es competente la Secretaría de Finanzas, para emitir la respuesta solicitada. Toda vez que esta Secretaría es la responsable, en términos del ANEXO DE EJECUCIÓN mencionado, de la captación y dispersión de los recursos Federales y Estatales asignados al Colegio de Bachilleres del Estado de México; asimismo y toda vez que la solicitud inicial requiere de datos personales de esta parte solicitante, anexo mi credencial de elector para acreditar mi personalidad con la que me ostentó en el presente recurso de revisión y sea procedente el mismo” (Sic)</w:t>
      </w:r>
    </w:p>
    <w:p w14:paraId="776265E4" w14:textId="77777777" w:rsidR="002B57F3" w:rsidRPr="00C45E23" w:rsidRDefault="002B57F3">
      <w:pPr>
        <w:tabs>
          <w:tab w:val="left" w:pos="7513"/>
        </w:tabs>
        <w:spacing w:after="0" w:line="360" w:lineRule="auto"/>
        <w:ind w:right="49"/>
        <w:jc w:val="both"/>
        <w:rPr>
          <w:rFonts w:ascii="Palatino Linotype" w:eastAsia="Palatino Linotype" w:hAnsi="Palatino Linotype" w:cs="Palatino Linotype"/>
          <w:sz w:val="24"/>
          <w:szCs w:val="24"/>
        </w:rPr>
      </w:pPr>
    </w:p>
    <w:p w14:paraId="14EBC39B" w14:textId="77777777" w:rsidR="002B57F3" w:rsidRPr="00C45E23" w:rsidRDefault="003C2E85">
      <w:pPr>
        <w:tabs>
          <w:tab w:val="left" w:pos="7513"/>
        </w:tabs>
        <w:spacing w:after="0" w:line="360" w:lineRule="auto"/>
        <w:ind w:right="49"/>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A la interposición de este medio de impugnación, </w:t>
      </w:r>
      <w:r w:rsidRPr="00C45E23">
        <w:rPr>
          <w:rFonts w:ascii="Palatino Linotype" w:eastAsia="Palatino Linotype" w:hAnsi="Palatino Linotype" w:cs="Palatino Linotype"/>
          <w:b/>
          <w:sz w:val="24"/>
          <w:szCs w:val="24"/>
        </w:rPr>
        <w:t>LA PARTE RECURRENTE</w:t>
      </w:r>
      <w:r w:rsidRPr="00C45E23">
        <w:rPr>
          <w:rFonts w:ascii="Palatino Linotype" w:eastAsia="Palatino Linotype" w:hAnsi="Palatino Linotype" w:cs="Palatino Linotype"/>
          <w:sz w:val="24"/>
          <w:szCs w:val="24"/>
        </w:rPr>
        <w:t xml:space="preserve"> adjuntó dos archivos denominados,</w:t>
      </w:r>
      <w:r w:rsidRPr="00C45E23">
        <w:rPr>
          <w:rFonts w:ascii="Palatino Linotype" w:eastAsia="Palatino Linotype" w:hAnsi="Palatino Linotype" w:cs="Palatino Linotype"/>
          <w:b/>
          <w:sz w:val="24"/>
          <w:szCs w:val="24"/>
        </w:rPr>
        <w:t xml:space="preserve"> </w:t>
      </w:r>
      <w:r w:rsidRPr="00C45E23">
        <w:rPr>
          <w:rFonts w:ascii="Palatino Linotype" w:eastAsia="Palatino Linotype" w:hAnsi="Palatino Linotype" w:cs="Palatino Linotype"/>
          <w:b/>
          <w:i/>
          <w:sz w:val="24"/>
          <w:szCs w:val="24"/>
        </w:rPr>
        <w:t>“21 INE JJGF.pdf” y “15_ANEXO DE EJECUCION MEXICO 0236_24.pdf”</w:t>
      </w:r>
      <w:r w:rsidRPr="00C45E23">
        <w:rPr>
          <w:rFonts w:ascii="Palatino Linotype" w:eastAsia="Palatino Linotype" w:hAnsi="Palatino Linotype" w:cs="Palatino Linotype"/>
          <w:sz w:val="24"/>
          <w:szCs w:val="24"/>
        </w:rPr>
        <w:t xml:space="preserve">, los cuales son los mismos documentos adjuntados en la solicitud de información. </w:t>
      </w:r>
    </w:p>
    <w:p w14:paraId="33BBDAD0" w14:textId="77777777" w:rsidR="002B57F3" w:rsidRPr="00C45E23" w:rsidRDefault="002B57F3">
      <w:pPr>
        <w:tabs>
          <w:tab w:val="left" w:pos="7513"/>
        </w:tabs>
        <w:spacing w:after="0" w:line="360" w:lineRule="auto"/>
        <w:ind w:right="49"/>
        <w:jc w:val="both"/>
        <w:rPr>
          <w:rFonts w:ascii="Palatino Linotype" w:eastAsia="Palatino Linotype" w:hAnsi="Palatino Linotype" w:cs="Palatino Linotype"/>
          <w:b/>
          <w:sz w:val="24"/>
          <w:szCs w:val="24"/>
        </w:rPr>
      </w:pPr>
    </w:p>
    <w:p w14:paraId="48C63EAB" w14:textId="77777777" w:rsidR="002B57F3" w:rsidRPr="00C45E23" w:rsidRDefault="003C2E85">
      <w:pPr>
        <w:spacing w:after="0" w:line="360" w:lineRule="auto"/>
        <w:ind w:right="51"/>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b/>
          <w:sz w:val="24"/>
          <w:szCs w:val="24"/>
        </w:rPr>
        <w:t xml:space="preserve">4. TURNO. </w:t>
      </w:r>
      <w:r w:rsidRPr="00C45E23">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C45E23">
        <w:rPr>
          <w:rFonts w:ascii="Palatino Linotype" w:eastAsia="Palatino Linotype" w:hAnsi="Palatino Linotype" w:cs="Palatino Linotype"/>
          <w:b/>
          <w:sz w:val="24"/>
          <w:szCs w:val="24"/>
        </w:rPr>
        <w:t xml:space="preserve">Guadalupe Ramírez Peña, </w:t>
      </w:r>
      <w:r w:rsidRPr="00C45E23">
        <w:rPr>
          <w:rFonts w:ascii="Palatino Linotype" w:eastAsia="Palatino Linotype" w:hAnsi="Palatino Linotype" w:cs="Palatino Linotype"/>
          <w:sz w:val="24"/>
          <w:szCs w:val="24"/>
        </w:rPr>
        <w:t xml:space="preserve">a efecto de que analizara sobre su admisión o su </w:t>
      </w:r>
      <w:proofErr w:type="spellStart"/>
      <w:r w:rsidRPr="00C45E23">
        <w:rPr>
          <w:rFonts w:ascii="Palatino Linotype" w:eastAsia="Palatino Linotype" w:hAnsi="Palatino Linotype" w:cs="Palatino Linotype"/>
          <w:sz w:val="24"/>
          <w:szCs w:val="24"/>
        </w:rPr>
        <w:t>desechamiento</w:t>
      </w:r>
      <w:proofErr w:type="spellEnd"/>
      <w:r w:rsidRPr="00C45E23">
        <w:rPr>
          <w:rFonts w:ascii="Palatino Linotype" w:eastAsia="Palatino Linotype" w:hAnsi="Palatino Linotype" w:cs="Palatino Linotype"/>
          <w:sz w:val="24"/>
          <w:szCs w:val="24"/>
        </w:rPr>
        <w:t>.</w:t>
      </w:r>
    </w:p>
    <w:p w14:paraId="785F0F8B" w14:textId="77777777" w:rsidR="002B57F3" w:rsidRPr="00C45E23" w:rsidRDefault="002B57F3">
      <w:pPr>
        <w:spacing w:after="0" w:line="360" w:lineRule="auto"/>
        <w:ind w:right="51"/>
        <w:jc w:val="both"/>
        <w:rPr>
          <w:rFonts w:ascii="Palatino Linotype" w:eastAsia="Palatino Linotype" w:hAnsi="Palatino Linotype" w:cs="Palatino Linotype"/>
          <w:sz w:val="24"/>
          <w:szCs w:val="24"/>
        </w:rPr>
      </w:pPr>
    </w:p>
    <w:p w14:paraId="71E43723"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b/>
          <w:sz w:val="24"/>
          <w:szCs w:val="24"/>
        </w:rPr>
        <w:t>5. ADMISIÓN DEL RECURSO DE REVISIÓN.</w:t>
      </w:r>
      <w:r w:rsidRPr="00C45E23">
        <w:rPr>
          <w:rFonts w:ascii="Palatino Linotype" w:eastAsia="Palatino Linotype" w:hAnsi="Palatino Linotype" w:cs="Palatino Linotype"/>
          <w:sz w:val="24"/>
          <w:szCs w:val="24"/>
        </w:rPr>
        <w:t xml:space="preserve"> El </w:t>
      </w:r>
      <w:r w:rsidRPr="00C45E23">
        <w:rPr>
          <w:rFonts w:ascii="Palatino Linotype" w:eastAsia="Palatino Linotype" w:hAnsi="Palatino Linotype" w:cs="Palatino Linotype"/>
          <w:b/>
          <w:sz w:val="24"/>
          <w:szCs w:val="24"/>
        </w:rPr>
        <w:t xml:space="preserve">siete de marzo de dos mil veinticinco, </w:t>
      </w:r>
      <w:r w:rsidRPr="00C45E23">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w:t>
      </w:r>
      <w:r w:rsidRPr="00C45E23">
        <w:rPr>
          <w:rFonts w:ascii="Palatino Linotype" w:eastAsia="Palatino Linotype" w:hAnsi="Palatino Linotype" w:cs="Palatino Linotype"/>
          <w:sz w:val="24"/>
          <w:szCs w:val="24"/>
        </w:rPr>
        <w:lastRenderedPageBreak/>
        <w:t xml:space="preserve">trámite el recurso de revisión que ahora se resuelve, dando un plazo máximo de siete días hábiles para que las partes manifestaran lo que a su derecho resultara conveniente, ofrecieran pruebas, formularan alegatos y </w:t>
      </w:r>
      <w:r w:rsidRPr="00C45E23">
        <w:rPr>
          <w:rFonts w:ascii="Palatino Linotype" w:eastAsia="Palatino Linotype" w:hAnsi="Palatino Linotype" w:cs="Palatino Linotype"/>
          <w:b/>
          <w:sz w:val="24"/>
          <w:szCs w:val="24"/>
        </w:rPr>
        <w:t xml:space="preserve">EL SUJETO OBLIGADO </w:t>
      </w:r>
      <w:r w:rsidRPr="00C45E23">
        <w:rPr>
          <w:rFonts w:ascii="Palatino Linotype" w:eastAsia="Palatino Linotype" w:hAnsi="Palatino Linotype" w:cs="Palatino Linotype"/>
          <w:sz w:val="24"/>
          <w:szCs w:val="24"/>
        </w:rPr>
        <w:t>presentara su informe justificado.</w:t>
      </w:r>
    </w:p>
    <w:p w14:paraId="5B242C6E"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15C95566" w14:textId="77777777" w:rsidR="002B57F3" w:rsidRPr="00C45E23" w:rsidRDefault="003C2E85">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b/>
          <w:sz w:val="24"/>
          <w:szCs w:val="24"/>
        </w:rPr>
        <w:t>6. MANIFESTACIONES E INFORME JUSTIFICADO</w:t>
      </w:r>
      <w:r w:rsidRPr="00C45E23">
        <w:rPr>
          <w:rFonts w:ascii="Palatino Linotype" w:eastAsia="Palatino Linotype" w:hAnsi="Palatino Linotype" w:cs="Palatino Linotype"/>
          <w:sz w:val="24"/>
          <w:szCs w:val="24"/>
        </w:rPr>
        <w:t xml:space="preserve">. De las constancias que integran el expediente en que se actúa se advierte </w:t>
      </w:r>
      <w:proofErr w:type="gramStart"/>
      <w:r w:rsidRPr="00C45E23">
        <w:rPr>
          <w:rFonts w:ascii="Palatino Linotype" w:eastAsia="Palatino Linotype" w:hAnsi="Palatino Linotype" w:cs="Palatino Linotype"/>
          <w:sz w:val="24"/>
          <w:szCs w:val="24"/>
        </w:rPr>
        <w:t>que</w:t>
      </w:r>
      <w:proofErr w:type="gramEnd"/>
      <w:r w:rsidRPr="00C45E23">
        <w:rPr>
          <w:rFonts w:ascii="Palatino Linotype" w:eastAsia="Palatino Linotype" w:hAnsi="Palatino Linotype" w:cs="Palatino Linotype"/>
          <w:sz w:val="24"/>
          <w:szCs w:val="24"/>
        </w:rPr>
        <w:t xml:space="preserve"> durante el periodo de manifestaciones, </w:t>
      </w:r>
      <w:r w:rsidRPr="00C45E23">
        <w:rPr>
          <w:rFonts w:ascii="Palatino Linotype" w:eastAsia="Palatino Linotype" w:hAnsi="Palatino Linotype" w:cs="Palatino Linotype"/>
          <w:b/>
          <w:sz w:val="24"/>
          <w:szCs w:val="24"/>
        </w:rPr>
        <w:t xml:space="preserve">EL SUJETO OBLIGADO </w:t>
      </w:r>
      <w:r w:rsidRPr="00C45E23">
        <w:rPr>
          <w:rFonts w:ascii="Palatino Linotype" w:eastAsia="Palatino Linotype" w:hAnsi="Palatino Linotype" w:cs="Palatino Linotype"/>
          <w:sz w:val="24"/>
          <w:szCs w:val="24"/>
        </w:rPr>
        <w:t xml:space="preserve">rindió su informe justificado el </w:t>
      </w:r>
      <w:r w:rsidRPr="00C45E23">
        <w:rPr>
          <w:rFonts w:ascii="Palatino Linotype" w:eastAsia="Palatino Linotype" w:hAnsi="Palatino Linotype" w:cs="Palatino Linotype"/>
          <w:b/>
          <w:sz w:val="24"/>
          <w:szCs w:val="24"/>
        </w:rPr>
        <w:t>doce de marzo</w:t>
      </w:r>
      <w:r w:rsidRPr="00C45E23">
        <w:rPr>
          <w:rFonts w:ascii="Palatino Linotype" w:eastAsia="Palatino Linotype" w:hAnsi="Palatino Linotype" w:cs="Palatino Linotype"/>
          <w:sz w:val="24"/>
          <w:szCs w:val="24"/>
        </w:rPr>
        <w:t xml:space="preserve"> </w:t>
      </w:r>
      <w:r w:rsidRPr="00C45E23">
        <w:rPr>
          <w:rFonts w:ascii="Palatino Linotype" w:eastAsia="Palatino Linotype" w:hAnsi="Palatino Linotype" w:cs="Palatino Linotype"/>
          <w:b/>
          <w:sz w:val="24"/>
          <w:szCs w:val="24"/>
        </w:rPr>
        <w:t>de dos mil veinticinco</w:t>
      </w:r>
      <w:r w:rsidRPr="00C45E23">
        <w:rPr>
          <w:rFonts w:ascii="Palatino Linotype" w:eastAsia="Palatino Linotype" w:hAnsi="Palatino Linotype" w:cs="Palatino Linotype"/>
          <w:sz w:val="24"/>
          <w:szCs w:val="24"/>
        </w:rPr>
        <w:t>, mediante el archivo electrónico “</w:t>
      </w:r>
      <w:r w:rsidRPr="00C45E23">
        <w:rPr>
          <w:rFonts w:ascii="Palatino Linotype" w:eastAsia="Palatino Linotype" w:hAnsi="Palatino Linotype" w:cs="Palatino Linotype"/>
          <w:b/>
          <w:i/>
          <w:sz w:val="24"/>
          <w:szCs w:val="24"/>
        </w:rPr>
        <w:t>02354 INFOEM IP RR 2025.pdf”,</w:t>
      </w:r>
      <w:r w:rsidRPr="00C45E23">
        <w:rPr>
          <w:rFonts w:ascii="Palatino Linotype" w:eastAsia="Palatino Linotype" w:hAnsi="Palatino Linotype" w:cs="Palatino Linotype"/>
          <w:sz w:val="24"/>
          <w:szCs w:val="24"/>
        </w:rPr>
        <w:t xml:space="preserve"> el cual se compone de diez fojas y en él, se ratifica la incompetencia total para atender la presente solicitud de información.</w:t>
      </w:r>
    </w:p>
    <w:p w14:paraId="67DDF0EF" w14:textId="77777777" w:rsidR="002B57F3" w:rsidRPr="00C45E23" w:rsidRDefault="002B57F3">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p>
    <w:p w14:paraId="4870FA95" w14:textId="77777777" w:rsidR="002B57F3" w:rsidRPr="00C45E23" w:rsidRDefault="003C2E85">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Por cuanto hace a </w:t>
      </w:r>
      <w:r w:rsidRPr="00C45E23">
        <w:rPr>
          <w:rFonts w:ascii="Palatino Linotype" w:eastAsia="Palatino Linotype" w:hAnsi="Palatino Linotype" w:cs="Palatino Linotype"/>
          <w:b/>
          <w:sz w:val="24"/>
          <w:szCs w:val="24"/>
        </w:rPr>
        <w:t>LA PARTE RECURRENTE</w:t>
      </w:r>
      <w:r w:rsidRPr="00C45E23">
        <w:rPr>
          <w:rFonts w:ascii="Palatino Linotype" w:eastAsia="Palatino Linotype" w:hAnsi="Palatino Linotype" w:cs="Palatino Linotype"/>
          <w:sz w:val="24"/>
          <w:szCs w:val="24"/>
        </w:rPr>
        <w:t xml:space="preserve">, se tiene que el </w:t>
      </w:r>
      <w:r w:rsidRPr="00C45E23">
        <w:rPr>
          <w:rFonts w:ascii="Palatino Linotype" w:eastAsia="Palatino Linotype" w:hAnsi="Palatino Linotype" w:cs="Palatino Linotype"/>
          <w:b/>
          <w:sz w:val="24"/>
          <w:szCs w:val="24"/>
        </w:rPr>
        <w:t>catorce de marzo de dos mil veinticinco</w:t>
      </w:r>
      <w:r w:rsidRPr="00C45E23">
        <w:rPr>
          <w:rFonts w:ascii="Palatino Linotype" w:eastAsia="Palatino Linotype" w:hAnsi="Palatino Linotype" w:cs="Palatino Linotype"/>
          <w:sz w:val="24"/>
          <w:szCs w:val="24"/>
        </w:rPr>
        <w:t xml:space="preserve">, adjuntó los soportes documentales denominados </w:t>
      </w:r>
      <w:r w:rsidRPr="00C45E23">
        <w:rPr>
          <w:rFonts w:ascii="Palatino Linotype" w:eastAsia="Palatino Linotype" w:hAnsi="Palatino Linotype" w:cs="Palatino Linotype"/>
          <w:b/>
          <w:i/>
          <w:sz w:val="24"/>
          <w:szCs w:val="24"/>
        </w:rPr>
        <w:t>“15_ANEXO DE EJECUCION MEXICO 0236_24 (1).</w:t>
      </w:r>
      <w:proofErr w:type="spellStart"/>
      <w:r w:rsidRPr="00C45E23">
        <w:rPr>
          <w:rFonts w:ascii="Palatino Linotype" w:eastAsia="Palatino Linotype" w:hAnsi="Palatino Linotype" w:cs="Palatino Linotype"/>
          <w:b/>
          <w:i/>
          <w:sz w:val="24"/>
          <w:szCs w:val="24"/>
        </w:rPr>
        <w:t>pdf</w:t>
      </w:r>
      <w:proofErr w:type="spellEnd"/>
      <w:r w:rsidRPr="00C45E23">
        <w:rPr>
          <w:rFonts w:ascii="Palatino Linotype" w:eastAsia="Palatino Linotype" w:hAnsi="Palatino Linotype" w:cs="Palatino Linotype"/>
          <w:b/>
          <w:i/>
          <w:sz w:val="24"/>
          <w:szCs w:val="24"/>
        </w:rPr>
        <w:t xml:space="preserve">” </w:t>
      </w:r>
      <w:r w:rsidRPr="00C45E23">
        <w:rPr>
          <w:rFonts w:ascii="Palatino Linotype" w:eastAsia="Palatino Linotype" w:hAnsi="Palatino Linotype" w:cs="Palatino Linotype"/>
          <w:sz w:val="24"/>
          <w:szCs w:val="24"/>
        </w:rPr>
        <w:t>y</w:t>
      </w:r>
      <w:r w:rsidRPr="00C45E23">
        <w:rPr>
          <w:rFonts w:ascii="Palatino Linotype" w:eastAsia="Palatino Linotype" w:hAnsi="Palatino Linotype" w:cs="Palatino Linotype"/>
          <w:b/>
          <w:i/>
          <w:sz w:val="24"/>
          <w:szCs w:val="24"/>
        </w:rPr>
        <w:t xml:space="preserve"> “21 INE JJGF.pdf”, </w:t>
      </w:r>
      <w:r w:rsidRPr="00C45E23">
        <w:rPr>
          <w:rFonts w:ascii="Palatino Linotype" w:eastAsia="Palatino Linotype" w:hAnsi="Palatino Linotype" w:cs="Palatino Linotype"/>
          <w:sz w:val="24"/>
          <w:szCs w:val="24"/>
        </w:rPr>
        <w:t>los cuales son coincidentes en contenido con los remitidos desde la solicitud de acceso a la información.</w:t>
      </w:r>
    </w:p>
    <w:p w14:paraId="314A0657" w14:textId="77777777" w:rsidR="002B57F3" w:rsidRPr="00C45E23" w:rsidRDefault="002B57F3">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p>
    <w:p w14:paraId="7FE1F3C5" w14:textId="77777777" w:rsidR="002B57F3" w:rsidRPr="00C45E23" w:rsidRDefault="003C2E85">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sz w:val="24"/>
          <w:szCs w:val="24"/>
        </w:rPr>
      </w:pPr>
      <w:r w:rsidRPr="00C45E23">
        <w:rPr>
          <w:rFonts w:ascii="Palatino Linotype" w:eastAsia="Palatino Linotype" w:hAnsi="Palatino Linotype" w:cs="Palatino Linotype"/>
          <w:sz w:val="24"/>
          <w:szCs w:val="24"/>
        </w:rPr>
        <w:t xml:space="preserve">Es de precisar </w:t>
      </w:r>
      <w:proofErr w:type="gramStart"/>
      <w:r w:rsidRPr="00C45E23">
        <w:rPr>
          <w:rFonts w:ascii="Palatino Linotype" w:eastAsia="Palatino Linotype" w:hAnsi="Palatino Linotype" w:cs="Palatino Linotype"/>
          <w:sz w:val="24"/>
          <w:szCs w:val="24"/>
        </w:rPr>
        <w:t>que</w:t>
      </w:r>
      <w:proofErr w:type="gramEnd"/>
      <w:r w:rsidRPr="00C45E23">
        <w:rPr>
          <w:rFonts w:ascii="Palatino Linotype" w:eastAsia="Palatino Linotype" w:hAnsi="Palatino Linotype" w:cs="Palatino Linotype"/>
          <w:sz w:val="24"/>
          <w:szCs w:val="24"/>
        </w:rPr>
        <w:t xml:space="preserve"> una vez analizada la documentación proporcionada por EL </w:t>
      </w:r>
      <w:r w:rsidRPr="00C45E23">
        <w:rPr>
          <w:rFonts w:ascii="Palatino Linotype" w:eastAsia="Palatino Linotype" w:hAnsi="Palatino Linotype" w:cs="Palatino Linotype"/>
          <w:b/>
          <w:sz w:val="24"/>
          <w:szCs w:val="24"/>
        </w:rPr>
        <w:t>SUJETO OBLIGADO</w:t>
      </w:r>
      <w:r w:rsidRPr="00C45E23">
        <w:rPr>
          <w:rFonts w:ascii="Palatino Linotype" w:eastAsia="Palatino Linotype" w:hAnsi="Palatino Linotype" w:cs="Palatino Linotype"/>
          <w:sz w:val="24"/>
          <w:szCs w:val="24"/>
        </w:rPr>
        <w:t xml:space="preserve">, se determinó ponerla a la vista del particular mediante acuerdo suscrito por la Comisionada Ponente, el </w:t>
      </w:r>
      <w:r w:rsidRPr="00C45E23">
        <w:rPr>
          <w:rFonts w:ascii="Palatino Linotype" w:eastAsia="Palatino Linotype" w:hAnsi="Palatino Linotype" w:cs="Palatino Linotype"/>
          <w:b/>
          <w:sz w:val="24"/>
          <w:szCs w:val="24"/>
        </w:rPr>
        <w:t>veintiocho de abril de dos mil veinticinco</w:t>
      </w:r>
      <w:r w:rsidRPr="00C45E23">
        <w:rPr>
          <w:rFonts w:ascii="Palatino Linotype" w:eastAsia="Palatino Linotype" w:hAnsi="Palatino Linotype" w:cs="Palatino Linotype"/>
          <w:sz w:val="24"/>
          <w:szCs w:val="24"/>
        </w:rPr>
        <w:t>.</w:t>
      </w:r>
      <w:r w:rsidRPr="00C45E23">
        <w:rPr>
          <w:rFonts w:ascii="Palatino Linotype" w:eastAsia="Palatino Linotype" w:hAnsi="Palatino Linotype" w:cs="Palatino Linotype"/>
          <w:b/>
          <w:sz w:val="24"/>
          <w:szCs w:val="24"/>
        </w:rPr>
        <w:t xml:space="preserve"> </w:t>
      </w:r>
    </w:p>
    <w:p w14:paraId="1A51C74D" w14:textId="77777777" w:rsidR="002B57F3" w:rsidRPr="00C45E23" w:rsidRDefault="002B57F3">
      <w:pPr>
        <w:spacing w:after="0" w:line="360" w:lineRule="auto"/>
        <w:ind w:right="49"/>
        <w:rPr>
          <w:rFonts w:ascii="Palatino Linotype" w:eastAsia="Palatino Linotype" w:hAnsi="Palatino Linotype" w:cs="Palatino Linotype"/>
          <w:b/>
          <w:sz w:val="24"/>
          <w:szCs w:val="24"/>
        </w:rPr>
      </w:pPr>
    </w:p>
    <w:p w14:paraId="4E579CD4" w14:textId="77777777" w:rsidR="002B57F3" w:rsidRPr="00C45E23" w:rsidRDefault="003C2E85">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b/>
          <w:sz w:val="24"/>
          <w:szCs w:val="24"/>
        </w:rPr>
        <w:lastRenderedPageBreak/>
        <w:t xml:space="preserve">7. RECONDUCCIÓN DE VÍA. </w:t>
      </w:r>
      <w:r w:rsidRPr="00C45E23">
        <w:rPr>
          <w:rFonts w:ascii="Palatino Linotype" w:eastAsia="Palatino Linotype" w:hAnsi="Palatino Linotype" w:cs="Palatino Linotype"/>
          <w:sz w:val="24"/>
          <w:szCs w:val="24"/>
        </w:rPr>
        <w:t>El</w:t>
      </w:r>
      <w:r w:rsidRPr="00C45E23">
        <w:rPr>
          <w:rFonts w:ascii="Palatino Linotype" w:eastAsia="Palatino Linotype" w:hAnsi="Palatino Linotype" w:cs="Palatino Linotype"/>
          <w:b/>
          <w:sz w:val="24"/>
          <w:szCs w:val="24"/>
        </w:rPr>
        <w:t xml:space="preserve"> cuatro de abril de dos mil veinticinco, </w:t>
      </w:r>
      <w:r w:rsidRPr="00C45E23">
        <w:rPr>
          <w:rFonts w:ascii="Palatino Linotype" w:eastAsia="Palatino Linotype" w:hAnsi="Palatino Linotype" w:cs="Palatino Linotype"/>
          <w:sz w:val="24"/>
          <w:szCs w:val="24"/>
        </w:rPr>
        <w:t>se notificó a las partes, el acuerdo por el que se recondujo la vía para dar tratamiento al presente Recurso de Revisión, vía Derecho de Acceso, Rectificación, Cancelación y Oposición –para posteriores referencias, Derechos ARCO-, toda vez que se determinó que el particular solicitó acceso a sus datos personales, asimismo, atento a lo dispuesto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se acordó lo siguiente:</w:t>
      </w:r>
    </w:p>
    <w:p w14:paraId="12285247" w14:textId="77777777" w:rsidR="002B57F3" w:rsidRPr="00C45E23" w:rsidRDefault="002B57F3">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p>
    <w:p w14:paraId="2FE9186E" w14:textId="77777777" w:rsidR="002B57F3" w:rsidRPr="00C45E23" w:rsidRDefault="003C2E85">
      <w:pPr>
        <w:spacing w:after="0" w:line="360" w:lineRule="auto"/>
        <w:ind w:left="567" w:right="900"/>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a) Tener por acreditada la identidad de </w:t>
      </w:r>
      <w:r w:rsidRPr="00C45E23">
        <w:rPr>
          <w:rFonts w:ascii="Palatino Linotype" w:eastAsia="Palatino Linotype" w:hAnsi="Palatino Linotype" w:cs="Palatino Linotype"/>
          <w:b/>
          <w:sz w:val="24"/>
          <w:szCs w:val="24"/>
        </w:rPr>
        <w:t>LA PARTE</w:t>
      </w:r>
      <w:r w:rsidRPr="00C45E23">
        <w:rPr>
          <w:rFonts w:ascii="Palatino Linotype" w:eastAsia="Palatino Linotype" w:hAnsi="Palatino Linotype" w:cs="Palatino Linotype"/>
          <w:sz w:val="24"/>
          <w:szCs w:val="24"/>
        </w:rPr>
        <w:t xml:space="preserve"> </w:t>
      </w:r>
      <w:r w:rsidRPr="00C45E23">
        <w:rPr>
          <w:rFonts w:ascii="Palatino Linotype" w:eastAsia="Palatino Linotype" w:hAnsi="Palatino Linotype" w:cs="Palatino Linotype"/>
          <w:b/>
          <w:sz w:val="24"/>
          <w:szCs w:val="24"/>
        </w:rPr>
        <w:t>RECURRENTE</w:t>
      </w:r>
      <w:r w:rsidRPr="00C45E23">
        <w:rPr>
          <w:rFonts w:ascii="Palatino Linotype" w:eastAsia="Palatino Linotype" w:hAnsi="Palatino Linotype" w:cs="Palatino Linotype"/>
          <w:sz w:val="24"/>
          <w:szCs w:val="24"/>
        </w:rPr>
        <w:t xml:space="preserve"> dentro del presente Recurso de Revisión. </w:t>
      </w:r>
    </w:p>
    <w:p w14:paraId="1C5AF500" w14:textId="77777777" w:rsidR="002B57F3" w:rsidRPr="00C45E23" w:rsidRDefault="003C2E85">
      <w:pPr>
        <w:spacing w:after="0" w:line="360" w:lineRule="auto"/>
        <w:ind w:left="567" w:right="900"/>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b) El requerimiento a las partes para que en un plazo no mayor a siete días manifestaran, por cualquier medio, su voluntad de conciliar, con el apercibimiento de que, en caso de no hacerlo, se tendría por precluido su derecho, para tales efectos; y</w:t>
      </w:r>
    </w:p>
    <w:p w14:paraId="6875CDF3" w14:textId="77777777" w:rsidR="002B57F3" w:rsidRPr="00C45E23" w:rsidRDefault="002B57F3">
      <w:pPr>
        <w:spacing w:after="0" w:line="360" w:lineRule="auto"/>
        <w:ind w:left="567" w:right="900"/>
        <w:jc w:val="both"/>
        <w:rPr>
          <w:rFonts w:ascii="Palatino Linotype" w:eastAsia="Palatino Linotype" w:hAnsi="Palatino Linotype" w:cs="Palatino Linotype"/>
          <w:sz w:val="24"/>
          <w:szCs w:val="24"/>
        </w:rPr>
      </w:pPr>
    </w:p>
    <w:p w14:paraId="0A6AD206" w14:textId="77777777" w:rsidR="002B57F3" w:rsidRPr="00C45E23" w:rsidRDefault="003C2E85">
      <w:pPr>
        <w:spacing w:after="0" w:line="360" w:lineRule="auto"/>
        <w:ind w:right="49"/>
        <w:jc w:val="both"/>
        <w:rPr>
          <w:rFonts w:ascii="Palatino Linotype" w:eastAsia="Palatino Linotype" w:hAnsi="Palatino Linotype" w:cs="Palatino Linotype"/>
          <w:sz w:val="24"/>
          <w:szCs w:val="24"/>
          <w:u w:val="single"/>
        </w:rPr>
      </w:pPr>
      <w:bookmarkStart w:id="1" w:name="_heading=h.s2dofbw8ahvv" w:colFirst="0" w:colLast="0"/>
      <w:bookmarkEnd w:id="1"/>
      <w:r w:rsidRPr="00C45E23">
        <w:rPr>
          <w:rFonts w:ascii="Palatino Linotype" w:eastAsia="Palatino Linotype" w:hAnsi="Palatino Linotype" w:cs="Palatino Linotype"/>
          <w:b/>
          <w:sz w:val="24"/>
          <w:szCs w:val="24"/>
        </w:rPr>
        <w:t>8. CONCILIACIÓN. LA PARTE RECURRENTE</w:t>
      </w:r>
      <w:r w:rsidRPr="00C45E23">
        <w:rPr>
          <w:rFonts w:ascii="Palatino Linotype" w:eastAsia="Palatino Linotype" w:hAnsi="Palatino Linotype" w:cs="Palatino Linotype"/>
          <w:sz w:val="24"/>
          <w:szCs w:val="24"/>
        </w:rPr>
        <w:t xml:space="preserve"> </w:t>
      </w:r>
      <w:r w:rsidRPr="00C45E23">
        <w:rPr>
          <w:rFonts w:ascii="Palatino Linotype" w:eastAsia="Palatino Linotype" w:hAnsi="Palatino Linotype" w:cs="Palatino Linotype"/>
          <w:b/>
          <w:sz w:val="24"/>
          <w:szCs w:val="24"/>
          <w:u w:val="single"/>
        </w:rPr>
        <w:t>expresó su voluntad para conciliar en el presente asunto</w:t>
      </w:r>
      <w:r w:rsidRPr="00C45E23">
        <w:rPr>
          <w:rFonts w:ascii="Palatino Linotype" w:eastAsia="Palatino Linotype" w:hAnsi="Palatino Linotype" w:cs="Palatino Linotype"/>
          <w:sz w:val="24"/>
          <w:szCs w:val="24"/>
        </w:rPr>
        <w:t xml:space="preserve">, el </w:t>
      </w:r>
      <w:r w:rsidRPr="00C45E23">
        <w:rPr>
          <w:rFonts w:ascii="Palatino Linotype" w:eastAsia="Palatino Linotype" w:hAnsi="Palatino Linotype" w:cs="Palatino Linotype"/>
          <w:b/>
          <w:sz w:val="24"/>
          <w:szCs w:val="24"/>
        </w:rPr>
        <w:t>ocho de abril de dos mil veinticinco</w:t>
      </w:r>
      <w:r w:rsidRPr="00C45E23">
        <w:rPr>
          <w:rFonts w:ascii="Palatino Linotype" w:eastAsia="Palatino Linotype" w:hAnsi="Palatino Linotype" w:cs="Palatino Linotype"/>
          <w:sz w:val="24"/>
          <w:szCs w:val="24"/>
        </w:rPr>
        <w:t xml:space="preserve">, a través del SAIMEX, mientras que </w:t>
      </w:r>
      <w:r w:rsidRPr="00C45E23">
        <w:rPr>
          <w:rFonts w:ascii="Palatino Linotype" w:eastAsia="Palatino Linotype" w:hAnsi="Palatino Linotype" w:cs="Palatino Linotype"/>
          <w:b/>
          <w:sz w:val="24"/>
          <w:szCs w:val="24"/>
        </w:rPr>
        <w:t>EL SUJETO OBLIGADO</w:t>
      </w:r>
      <w:r w:rsidRPr="00C45E23">
        <w:rPr>
          <w:rFonts w:ascii="Palatino Linotype" w:eastAsia="Palatino Linotype" w:hAnsi="Palatino Linotype" w:cs="Palatino Linotype"/>
          <w:sz w:val="24"/>
          <w:szCs w:val="24"/>
        </w:rPr>
        <w:t xml:space="preserve"> el </w:t>
      </w:r>
      <w:r w:rsidRPr="00C45E23">
        <w:rPr>
          <w:rFonts w:ascii="Palatino Linotype" w:eastAsia="Palatino Linotype" w:hAnsi="Palatino Linotype" w:cs="Palatino Linotype"/>
          <w:b/>
          <w:sz w:val="24"/>
          <w:szCs w:val="24"/>
        </w:rPr>
        <w:t>veintidós de abril de dos mil veinticinco</w:t>
      </w:r>
      <w:r w:rsidRPr="00C45E23">
        <w:rPr>
          <w:rFonts w:ascii="Palatino Linotype" w:eastAsia="Palatino Linotype" w:hAnsi="Palatino Linotype" w:cs="Palatino Linotype"/>
          <w:sz w:val="24"/>
          <w:szCs w:val="24"/>
        </w:rPr>
        <w:t xml:space="preserve">, adjuntó el archivo electrónico denominado </w:t>
      </w:r>
      <w:r w:rsidRPr="00C45E23">
        <w:rPr>
          <w:rFonts w:ascii="Palatino Linotype" w:eastAsia="Palatino Linotype" w:hAnsi="Palatino Linotype" w:cs="Palatino Linotype"/>
          <w:i/>
          <w:sz w:val="24"/>
          <w:szCs w:val="24"/>
        </w:rPr>
        <w:t>“</w:t>
      </w:r>
      <w:r w:rsidRPr="00C45E23">
        <w:rPr>
          <w:rFonts w:ascii="Palatino Linotype" w:eastAsia="Palatino Linotype" w:hAnsi="Palatino Linotype" w:cs="Palatino Linotype"/>
          <w:b/>
          <w:i/>
          <w:sz w:val="24"/>
          <w:szCs w:val="24"/>
        </w:rPr>
        <w:t>02354 INFOEM IP RR 2025, INST. TRANSP.pdf”</w:t>
      </w:r>
      <w:r w:rsidRPr="00C45E23">
        <w:rPr>
          <w:rFonts w:ascii="Palatino Linotype" w:eastAsia="Palatino Linotype" w:hAnsi="Palatino Linotype" w:cs="Palatino Linotype"/>
          <w:b/>
          <w:sz w:val="24"/>
          <w:szCs w:val="24"/>
        </w:rPr>
        <w:t xml:space="preserve">, </w:t>
      </w:r>
      <w:r w:rsidRPr="00C45E23">
        <w:rPr>
          <w:rFonts w:ascii="Palatino Linotype" w:eastAsia="Palatino Linotype" w:hAnsi="Palatino Linotype" w:cs="Palatino Linotype"/>
          <w:sz w:val="24"/>
          <w:szCs w:val="24"/>
        </w:rPr>
        <w:t xml:space="preserve">en el cual manifiesta medularmente que </w:t>
      </w:r>
      <w:r w:rsidRPr="00C45E23">
        <w:rPr>
          <w:rFonts w:ascii="Palatino Linotype" w:eastAsia="Palatino Linotype" w:hAnsi="Palatino Linotype" w:cs="Palatino Linotype"/>
          <w:b/>
          <w:sz w:val="24"/>
          <w:szCs w:val="24"/>
          <w:u w:val="single"/>
        </w:rPr>
        <w:t>no es posible llevar a cabo la conciliación</w:t>
      </w:r>
      <w:r w:rsidRPr="00C45E23">
        <w:rPr>
          <w:rFonts w:ascii="Palatino Linotype" w:eastAsia="Palatino Linotype" w:hAnsi="Palatino Linotype" w:cs="Palatino Linotype"/>
          <w:sz w:val="24"/>
          <w:szCs w:val="24"/>
        </w:rPr>
        <w:t xml:space="preserve">, en virtud de que no cuenta con la competencia para </w:t>
      </w:r>
      <w:r w:rsidRPr="00C45E23">
        <w:rPr>
          <w:rFonts w:ascii="Palatino Linotype" w:eastAsia="Palatino Linotype" w:hAnsi="Palatino Linotype" w:cs="Palatino Linotype"/>
          <w:sz w:val="24"/>
          <w:szCs w:val="24"/>
        </w:rPr>
        <w:lastRenderedPageBreak/>
        <w:t xml:space="preserve">conocer de la información solicitada, por lo que ante la inexistencia de una voluntad reciproca para conciliar en el presente asunto y una vez que transcurrió el plazo para ello, el </w:t>
      </w:r>
      <w:r w:rsidRPr="00C45E23">
        <w:rPr>
          <w:rFonts w:ascii="Palatino Linotype" w:eastAsia="Palatino Linotype" w:hAnsi="Palatino Linotype" w:cs="Palatino Linotype"/>
          <w:b/>
          <w:sz w:val="24"/>
          <w:szCs w:val="24"/>
        </w:rPr>
        <w:t>veintiocho de abril de dos mil veinticuatro</w:t>
      </w:r>
      <w:r w:rsidRPr="00C45E23">
        <w:rPr>
          <w:rFonts w:ascii="Palatino Linotype" w:eastAsia="Palatino Linotype" w:hAnsi="Palatino Linotype" w:cs="Palatino Linotype"/>
          <w:sz w:val="24"/>
          <w:szCs w:val="24"/>
        </w:rPr>
        <w:t>, se emitió acuerdo de preclusión de la etapa de conciliación y se continuó con el trámite del presente recurso de revisión.</w:t>
      </w:r>
    </w:p>
    <w:p w14:paraId="3F07F57D" w14:textId="77777777" w:rsidR="002B57F3" w:rsidRPr="00C45E23" w:rsidRDefault="003C2E85">
      <w:pPr>
        <w:spacing w:after="0" w:line="360" w:lineRule="auto"/>
        <w:ind w:right="49"/>
        <w:rPr>
          <w:rFonts w:ascii="Palatino Linotype" w:eastAsia="Palatino Linotype" w:hAnsi="Palatino Linotype" w:cs="Palatino Linotype"/>
          <w:b/>
          <w:sz w:val="24"/>
          <w:szCs w:val="24"/>
        </w:rPr>
      </w:pPr>
      <w:r w:rsidRPr="00C45E23">
        <w:rPr>
          <w:rFonts w:ascii="Palatino Linotype" w:eastAsia="Palatino Linotype" w:hAnsi="Palatino Linotype" w:cs="Palatino Linotype"/>
          <w:b/>
          <w:sz w:val="24"/>
          <w:szCs w:val="24"/>
        </w:rPr>
        <w:t xml:space="preserve"> </w:t>
      </w:r>
    </w:p>
    <w:p w14:paraId="2F6196ED"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b/>
          <w:sz w:val="24"/>
          <w:szCs w:val="24"/>
        </w:rPr>
        <w:t xml:space="preserve">9. CIERRE DE INSTRUCCIÓN. </w:t>
      </w:r>
      <w:r w:rsidRPr="00C45E23">
        <w:rPr>
          <w:rFonts w:ascii="Palatino Linotype" w:eastAsia="Palatino Linotype" w:hAnsi="Palatino Linotype" w:cs="Palatino Linotype"/>
          <w:sz w:val="24"/>
          <w:szCs w:val="24"/>
        </w:rPr>
        <w:t>Una vez analizado el estado procesal que guardaba el expediente, el</w:t>
      </w:r>
      <w:r w:rsidRPr="00C45E23">
        <w:rPr>
          <w:rFonts w:ascii="Palatino Linotype" w:eastAsia="Palatino Linotype" w:hAnsi="Palatino Linotype" w:cs="Palatino Linotype"/>
          <w:b/>
          <w:sz w:val="24"/>
          <w:szCs w:val="24"/>
        </w:rPr>
        <w:t xml:space="preserve"> s</w:t>
      </w:r>
      <w:r w:rsidR="00D3348A" w:rsidRPr="00C45E23">
        <w:rPr>
          <w:rFonts w:ascii="Palatino Linotype" w:eastAsia="Palatino Linotype" w:hAnsi="Palatino Linotype" w:cs="Palatino Linotype"/>
          <w:b/>
          <w:sz w:val="24"/>
          <w:szCs w:val="24"/>
        </w:rPr>
        <w:t>eis</w:t>
      </w:r>
      <w:r w:rsidRPr="00C45E23">
        <w:rPr>
          <w:rFonts w:ascii="Palatino Linotype" w:eastAsia="Palatino Linotype" w:hAnsi="Palatino Linotype" w:cs="Palatino Linotype"/>
          <w:b/>
          <w:sz w:val="24"/>
          <w:szCs w:val="24"/>
        </w:rPr>
        <w:t xml:space="preserve"> de mayo de dos mil veinticinco,</w:t>
      </w:r>
      <w:r w:rsidRPr="00C45E23">
        <w:rPr>
          <w:rFonts w:ascii="Palatino Linotype" w:eastAsia="Palatino Linotype" w:hAnsi="Palatino Linotype" w:cs="Palatino Linotype"/>
          <w:sz w:val="24"/>
          <w:szCs w:val="24"/>
        </w:rPr>
        <w:t xml:space="preserve"> de conformidad con lo establecido en los artículos 11 y 127 de la Ley de Protección de Datos Personales en Posesión de Sujetos Obligados del Estado de México y Municipios y 185 fracción VI de la Ley de Transparencia y Acceso a la Información Pública del Estado de México y Municipios de aplicación supletoria, se tiene por cerrada la etapa de instrucción a efecto de que se proceda con la integración de la resolución del asunto.</w:t>
      </w:r>
    </w:p>
    <w:p w14:paraId="4DE7C5C2"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4F9A7E24"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14:paraId="74E5FCAC"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361B4B45" w14:textId="77777777" w:rsidR="002B57F3" w:rsidRPr="00C45E23" w:rsidRDefault="003C2E85">
      <w:pPr>
        <w:widowControl w:val="0"/>
        <w:spacing w:after="0" w:line="360" w:lineRule="auto"/>
        <w:jc w:val="center"/>
        <w:rPr>
          <w:rFonts w:ascii="Palatino Linotype" w:eastAsia="Palatino Linotype" w:hAnsi="Palatino Linotype" w:cs="Palatino Linotype"/>
          <w:b/>
          <w:sz w:val="24"/>
          <w:szCs w:val="24"/>
        </w:rPr>
      </w:pPr>
      <w:r w:rsidRPr="00C45E23">
        <w:rPr>
          <w:rFonts w:ascii="Palatino Linotype" w:eastAsia="Palatino Linotype" w:hAnsi="Palatino Linotype" w:cs="Palatino Linotype"/>
          <w:b/>
          <w:sz w:val="24"/>
          <w:szCs w:val="24"/>
        </w:rPr>
        <w:t>C O N S I D E R A N D O S</w:t>
      </w:r>
    </w:p>
    <w:p w14:paraId="50236869" w14:textId="77777777" w:rsidR="002B57F3" w:rsidRPr="00C45E23" w:rsidRDefault="002B57F3">
      <w:pPr>
        <w:widowControl w:val="0"/>
        <w:spacing w:after="0" w:line="360" w:lineRule="auto"/>
        <w:jc w:val="center"/>
        <w:rPr>
          <w:rFonts w:ascii="Palatino Linotype" w:eastAsia="Palatino Linotype" w:hAnsi="Palatino Linotype" w:cs="Palatino Linotype"/>
          <w:b/>
          <w:sz w:val="24"/>
          <w:szCs w:val="24"/>
        </w:rPr>
      </w:pPr>
    </w:p>
    <w:p w14:paraId="796975E2"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b/>
          <w:sz w:val="24"/>
          <w:szCs w:val="24"/>
        </w:rPr>
        <w:t>PRIMERO. COMPETENCIA.</w:t>
      </w:r>
      <w:r w:rsidRPr="00C45E23">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w:t>
      </w:r>
      <w:r w:rsidRPr="00C45E23">
        <w:rPr>
          <w:rFonts w:ascii="Palatino Linotype" w:eastAsia="Palatino Linotype" w:hAnsi="Palatino Linotype" w:cs="Palatino Linotype"/>
          <w:sz w:val="24"/>
          <w:szCs w:val="24"/>
        </w:rPr>
        <w:lastRenderedPageBreak/>
        <w:t xml:space="preserve">interpuesto por </w:t>
      </w:r>
      <w:r w:rsidRPr="00C45E23">
        <w:rPr>
          <w:rFonts w:ascii="Palatino Linotype" w:eastAsia="Palatino Linotype" w:hAnsi="Palatino Linotype" w:cs="Palatino Linotype"/>
          <w:b/>
          <w:sz w:val="24"/>
          <w:szCs w:val="24"/>
        </w:rPr>
        <w:t>LA PARTE RECURRENTE</w:t>
      </w:r>
      <w:r w:rsidRPr="00C45E23">
        <w:rPr>
          <w:rFonts w:ascii="Palatino Linotype" w:eastAsia="Palatino Linotype" w:hAnsi="Palatino Linotype" w:cs="Palatino Linotype"/>
          <w:sz w:val="24"/>
          <w:szCs w:val="24"/>
        </w:rPr>
        <w:t>, conforme a lo dispuesto en los artículos 5°, párrafos trigésimo séptimo, trigésimo octavo y trigésimo noveno, fracciones I, II, III, IV y V de la Constitución Política del Estado Libre y Soberano de México; 127, 129, 133 y 135 de la Ley de Protección de Datos Personales en Posesión de Sujetos Obligados del Estado de México y Municipios; 1°, 2°, fracciones II y IV; 13, 29, 36, fracciones I y II; 176, 178, 179, 181 párrafo tercero, 185, 188 y 189 de la Ley Transparencia y Acceso a la Información Pública del Estado de México y Municipios supletoria de la Ley de Protección de Datos Personales para la sustanciación de recursos de revisión; 7°, 9°, fracciones I y XXIII y 11 del Reglamento Interior del Instituto de Transparencia, Acceso a la Información Pública y Protección de Datos Personales del Estado de México y Municipios.</w:t>
      </w:r>
    </w:p>
    <w:p w14:paraId="5DDC54F6"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68B456ED" w14:textId="77777777" w:rsidR="002B57F3" w:rsidRPr="00C45E23" w:rsidRDefault="003C2E85">
      <w:pPr>
        <w:spacing w:after="0" w:line="360" w:lineRule="auto"/>
        <w:jc w:val="both"/>
        <w:rPr>
          <w:rFonts w:ascii="Palatino Linotype" w:eastAsia="Palatino Linotype" w:hAnsi="Palatino Linotype" w:cs="Palatino Linotype"/>
          <w:sz w:val="24"/>
          <w:szCs w:val="24"/>
        </w:rPr>
      </w:pPr>
      <w:bookmarkStart w:id="2" w:name="_heading=h.tyjcwt" w:colFirst="0" w:colLast="0"/>
      <w:bookmarkEnd w:id="2"/>
      <w:r w:rsidRPr="00C45E23">
        <w:rPr>
          <w:rFonts w:ascii="Palatino Linotype" w:eastAsia="Palatino Linotype" w:hAnsi="Palatino Linotype" w:cs="Palatino Linotype"/>
          <w:b/>
          <w:sz w:val="24"/>
          <w:szCs w:val="24"/>
        </w:rPr>
        <w:t xml:space="preserve">SEGUNDO. OPORTUNIDAD Y PROCEDIBILIDAD DEL RECURSO DE REVISIÓN. </w:t>
      </w:r>
      <w:r w:rsidRPr="00C45E23">
        <w:rPr>
          <w:rFonts w:ascii="Palatino Linotype" w:eastAsia="Palatino Linotype" w:hAnsi="Palatino Linotype" w:cs="Palatino Linotype"/>
          <w:sz w:val="24"/>
          <w:szCs w:val="24"/>
        </w:rPr>
        <w:t xml:space="preserve">De conformidad con los requisitos de Oportunidad y Procedibilidad que deben reunir los recursos de revisión interpuestos, previstos en los artículos 128 y 130 de la Ley de Protección de Datos Personales en Posesión de Sujetos Obligados del Estado de México y Municipios; en la especie se advierte que el presente medio de impugnación fue interpuesto dentro del plazo de quince días previsto en el primer artículo de referencia; toda vez que </w:t>
      </w:r>
      <w:r w:rsidRPr="00C45E23">
        <w:rPr>
          <w:rFonts w:ascii="Palatino Linotype" w:eastAsia="Palatino Linotype" w:hAnsi="Palatino Linotype" w:cs="Palatino Linotype"/>
          <w:b/>
          <w:sz w:val="24"/>
          <w:szCs w:val="24"/>
        </w:rPr>
        <w:t>EL SUJETO OBLIGADO</w:t>
      </w:r>
      <w:r w:rsidRPr="00C45E23">
        <w:rPr>
          <w:rFonts w:ascii="Palatino Linotype" w:eastAsia="Palatino Linotype" w:hAnsi="Palatino Linotype" w:cs="Palatino Linotype"/>
          <w:sz w:val="24"/>
          <w:szCs w:val="24"/>
        </w:rPr>
        <w:t xml:space="preserve">, declaró su incompetencia para atender la solicitud de información de </w:t>
      </w:r>
      <w:r w:rsidRPr="00C45E23">
        <w:rPr>
          <w:rFonts w:ascii="Palatino Linotype" w:eastAsia="Palatino Linotype" w:hAnsi="Palatino Linotype" w:cs="Palatino Linotype"/>
          <w:b/>
          <w:sz w:val="24"/>
          <w:szCs w:val="24"/>
        </w:rPr>
        <w:t>LA PARTE RECURRENTE</w:t>
      </w:r>
      <w:r w:rsidRPr="00C45E23">
        <w:rPr>
          <w:rFonts w:ascii="Palatino Linotype" w:eastAsia="Palatino Linotype" w:hAnsi="Palatino Linotype" w:cs="Palatino Linotype"/>
          <w:sz w:val="24"/>
          <w:szCs w:val="24"/>
        </w:rPr>
        <w:t>, el</w:t>
      </w:r>
      <w:r w:rsidRPr="00C45E23">
        <w:rPr>
          <w:rFonts w:ascii="Palatino Linotype" w:eastAsia="Palatino Linotype" w:hAnsi="Palatino Linotype" w:cs="Palatino Linotype"/>
          <w:b/>
          <w:sz w:val="24"/>
          <w:szCs w:val="24"/>
        </w:rPr>
        <w:t xml:space="preserve"> diecinueve de febrero del año dos mil veinticinco,</w:t>
      </w:r>
      <w:r w:rsidRPr="00C45E23">
        <w:rPr>
          <w:rFonts w:ascii="Palatino Linotype" w:eastAsia="Palatino Linotype" w:hAnsi="Palatino Linotype" w:cs="Palatino Linotype"/>
          <w:sz w:val="24"/>
          <w:szCs w:val="24"/>
        </w:rPr>
        <w:t xml:space="preserve"> mientras que </w:t>
      </w:r>
      <w:r w:rsidRPr="00C45E23">
        <w:rPr>
          <w:rFonts w:ascii="Palatino Linotype" w:eastAsia="Palatino Linotype" w:hAnsi="Palatino Linotype" w:cs="Palatino Linotype"/>
          <w:b/>
          <w:sz w:val="24"/>
          <w:szCs w:val="24"/>
        </w:rPr>
        <w:t>LA PARTE</w:t>
      </w:r>
      <w:r w:rsidRPr="00C45E23">
        <w:rPr>
          <w:rFonts w:ascii="Palatino Linotype" w:eastAsia="Palatino Linotype" w:hAnsi="Palatino Linotype" w:cs="Palatino Linotype"/>
          <w:sz w:val="24"/>
          <w:szCs w:val="24"/>
        </w:rPr>
        <w:t xml:space="preserve"> </w:t>
      </w:r>
      <w:r w:rsidRPr="00C45E23">
        <w:rPr>
          <w:rFonts w:ascii="Palatino Linotype" w:eastAsia="Palatino Linotype" w:hAnsi="Palatino Linotype" w:cs="Palatino Linotype"/>
          <w:b/>
          <w:sz w:val="24"/>
          <w:szCs w:val="24"/>
        </w:rPr>
        <w:t>RECURRENTE</w:t>
      </w:r>
      <w:r w:rsidRPr="00C45E23">
        <w:rPr>
          <w:rFonts w:ascii="Palatino Linotype" w:eastAsia="Palatino Linotype" w:hAnsi="Palatino Linotype" w:cs="Palatino Linotype"/>
          <w:sz w:val="24"/>
          <w:szCs w:val="24"/>
        </w:rPr>
        <w:t xml:space="preserve"> interpuso su recurso de revisión el </w:t>
      </w:r>
      <w:r w:rsidRPr="00C45E23">
        <w:rPr>
          <w:rFonts w:ascii="Palatino Linotype" w:eastAsia="Palatino Linotype" w:hAnsi="Palatino Linotype" w:cs="Palatino Linotype"/>
          <w:b/>
          <w:sz w:val="24"/>
          <w:szCs w:val="24"/>
        </w:rPr>
        <w:t>cuatro de marzo de dos mil veinticinco</w:t>
      </w:r>
      <w:r w:rsidRPr="00C45E23">
        <w:rPr>
          <w:rFonts w:ascii="Palatino Linotype" w:eastAsia="Palatino Linotype" w:hAnsi="Palatino Linotype" w:cs="Palatino Linotype"/>
          <w:sz w:val="24"/>
          <w:szCs w:val="24"/>
        </w:rPr>
        <w:t xml:space="preserve">, esto es al </w:t>
      </w:r>
      <w:r w:rsidRPr="00C45E23">
        <w:rPr>
          <w:rFonts w:ascii="Palatino Linotype" w:eastAsia="Palatino Linotype" w:hAnsi="Palatino Linotype" w:cs="Palatino Linotype"/>
          <w:b/>
          <w:sz w:val="24"/>
          <w:szCs w:val="24"/>
        </w:rPr>
        <w:t>octavo día hábil</w:t>
      </w:r>
      <w:r w:rsidRPr="00C45E23">
        <w:rPr>
          <w:rFonts w:ascii="Palatino Linotype" w:eastAsia="Palatino Linotype" w:hAnsi="Palatino Linotype" w:cs="Palatino Linotype"/>
          <w:sz w:val="24"/>
          <w:szCs w:val="24"/>
        </w:rPr>
        <w:t xml:space="preserve"> de tener conocimiento de la </w:t>
      </w:r>
      <w:r w:rsidRPr="00C45E23">
        <w:rPr>
          <w:rFonts w:ascii="Palatino Linotype" w:eastAsia="Palatino Linotype" w:hAnsi="Palatino Linotype" w:cs="Palatino Linotype"/>
          <w:sz w:val="24"/>
          <w:szCs w:val="24"/>
        </w:rPr>
        <w:lastRenderedPageBreak/>
        <w:t>incompetencia para atender la solicitud de información, por lo que se encuentra dentro de los márgenes temporales previstos en el artículo 128 de la Ley de Protección de Datos Personales en Posesión de Sujetos Obligados del Estado de México y Municipios y, por tanto, su interposición se considera oportuna.</w:t>
      </w:r>
    </w:p>
    <w:p w14:paraId="6977C213"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325D3609"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Finalmente, se advierte que resulta procedente la interposición del recurso, según lo manifestado por </w:t>
      </w:r>
      <w:r w:rsidRPr="00C45E23">
        <w:rPr>
          <w:rFonts w:ascii="Palatino Linotype" w:eastAsia="Palatino Linotype" w:hAnsi="Palatino Linotype" w:cs="Palatino Linotype"/>
          <w:b/>
          <w:sz w:val="24"/>
          <w:szCs w:val="24"/>
        </w:rPr>
        <w:t>LA PARTE</w:t>
      </w:r>
      <w:r w:rsidRPr="00C45E23">
        <w:rPr>
          <w:rFonts w:ascii="Palatino Linotype" w:eastAsia="Palatino Linotype" w:hAnsi="Palatino Linotype" w:cs="Palatino Linotype"/>
          <w:sz w:val="24"/>
          <w:szCs w:val="24"/>
        </w:rPr>
        <w:t xml:space="preserve"> </w:t>
      </w:r>
      <w:r w:rsidRPr="00C45E23">
        <w:rPr>
          <w:rFonts w:ascii="Palatino Linotype" w:eastAsia="Palatino Linotype" w:hAnsi="Palatino Linotype" w:cs="Palatino Linotype"/>
          <w:b/>
          <w:sz w:val="24"/>
          <w:szCs w:val="24"/>
        </w:rPr>
        <w:t>RECURRENTE</w:t>
      </w:r>
      <w:r w:rsidRPr="00C45E23">
        <w:rPr>
          <w:rFonts w:ascii="Palatino Linotype" w:eastAsia="Palatino Linotype" w:hAnsi="Palatino Linotype" w:cs="Palatino Linotype"/>
          <w:sz w:val="24"/>
          <w:szCs w:val="24"/>
        </w:rPr>
        <w:t xml:space="preserve"> en sus motivos de inconformidad, de acuerdo al artículo 129, fracción III de la Ley de Protección de Datos Personales aplicable a la entidad, que a la letra dice: </w:t>
      </w:r>
    </w:p>
    <w:p w14:paraId="3CEEB6A9"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2CE23E7F" w14:textId="77777777" w:rsidR="002B57F3" w:rsidRPr="00C45E23" w:rsidRDefault="003C2E85">
      <w:pPr>
        <w:spacing w:after="0" w:line="276" w:lineRule="auto"/>
        <w:ind w:left="851"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w:t>
      </w:r>
      <w:r w:rsidRPr="00C45E23">
        <w:rPr>
          <w:rFonts w:ascii="Palatino Linotype" w:eastAsia="Palatino Linotype" w:hAnsi="Palatino Linotype" w:cs="Palatino Linotype"/>
          <w:b/>
          <w:i/>
        </w:rPr>
        <w:t xml:space="preserve">Artículo 129. </w:t>
      </w:r>
      <w:r w:rsidRPr="00C45E23">
        <w:rPr>
          <w:rFonts w:ascii="Palatino Linotype" w:eastAsia="Palatino Linotype" w:hAnsi="Palatino Linotype" w:cs="Palatino Linotype"/>
          <w:i/>
        </w:rPr>
        <w:t>El recurso de revisión procederá en los supuestos siguientes:</w:t>
      </w:r>
    </w:p>
    <w:p w14:paraId="7E846473" w14:textId="77777777" w:rsidR="002B57F3" w:rsidRPr="00C45E23" w:rsidRDefault="003C2E85">
      <w:pPr>
        <w:spacing w:after="0" w:line="276" w:lineRule="auto"/>
        <w:ind w:left="851"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w:t>
      </w:r>
    </w:p>
    <w:p w14:paraId="380E9992" w14:textId="77777777" w:rsidR="002B57F3" w:rsidRPr="00C45E23" w:rsidRDefault="003C2E85">
      <w:pPr>
        <w:spacing w:after="0" w:line="276" w:lineRule="auto"/>
        <w:ind w:left="851"/>
        <w:rPr>
          <w:rFonts w:ascii="Palatino Linotype" w:eastAsia="Palatino Linotype" w:hAnsi="Palatino Linotype" w:cs="Palatino Linotype"/>
          <w:i/>
        </w:rPr>
      </w:pPr>
      <w:r w:rsidRPr="00C45E23">
        <w:rPr>
          <w:rFonts w:ascii="Palatino Linotype" w:eastAsia="Palatino Linotype" w:hAnsi="Palatino Linotype" w:cs="Palatino Linotype"/>
          <w:b/>
          <w:i/>
        </w:rPr>
        <w:t xml:space="preserve">III. Se declare la incompetencia por el responsable.;” </w:t>
      </w:r>
      <w:r w:rsidRPr="00C45E23">
        <w:rPr>
          <w:rFonts w:ascii="Palatino Linotype" w:eastAsia="Palatino Linotype" w:hAnsi="Palatino Linotype" w:cs="Palatino Linotype"/>
          <w:i/>
        </w:rPr>
        <w:t>(Énfasis añadido)</w:t>
      </w:r>
    </w:p>
    <w:p w14:paraId="23265161" w14:textId="77777777" w:rsidR="002B57F3" w:rsidRPr="00C45E23" w:rsidRDefault="002B57F3">
      <w:pPr>
        <w:spacing w:after="0" w:line="276" w:lineRule="auto"/>
        <w:ind w:left="851"/>
        <w:rPr>
          <w:rFonts w:ascii="Palatino Linotype" w:eastAsia="Palatino Linotype" w:hAnsi="Palatino Linotype" w:cs="Palatino Linotype"/>
          <w:b/>
          <w:i/>
          <w:sz w:val="24"/>
          <w:szCs w:val="24"/>
        </w:rPr>
      </w:pPr>
    </w:p>
    <w:p w14:paraId="100CB9D4" w14:textId="77777777" w:rsidR="002B57F3" w:rsidRPr="00C45E23" w:rsidRDefault="003C2E85">
      <w:pPr>
        <w:spacing w:after="0" w:line="360" w:lineRule="auto"/>
        <w:ind w:right="51"/>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b/>
          <w:sz w:val="24"/>
          <w:szCs w:val="24"/>
        </w:rPr>
        <w:t xml:space="preserve">TERCERO. ESTUDIO DE FONDO DEL ASUNTO. </w:t>
      </w:r>
      <w:r w:rsidRPr="00C45E23">
        <w:rPr>
          <w:rFonts w:ascii="Palatino Linotype" w:eastAsia="Palatino Linotype" w:hAnsi="Palatino Linotype" w:cs="Palatino Linotype"/>
          <w:sz w:val="24"/>
          <w:szCs w:val="24"/>
        </w:rPr>
        <w:t xml:space="preserve">En primer término, es de señalar que el ejercicio de los derechos de acceso, rectificación, cancelación y oposición, ARCO, se encuentra regulado por el artículo 6 apartado A, fracción II párrafo primero, y 16 segundo párrafo de la Constitución de los Estados Unidos Mexicanos, los cuales establecen lo siguiente: </w:t>
      </w:r>
    </w:p>
    <w:p w14:paraId="5341A759" w14:textId="77777777" w:rsidR="002B57F3" w:rsidRPr="00C45E23" w:rsidRDefault="002B57F3">
      <w:pPr>
        <w:spacing w:after="0" w:line="276" w:lineRule="auto"/>
        <w:ind w:left="851" w:right="49"/>
        <w:jc w:val="both"/>
        <w:rPr>
          <w:rFonts w:ascii="Palatino Linotype" w:eastAsia="Palatino Linotype" w:hAnsi="Palatino Linotype" w:cs="Palatino Linotype"/>
          <w:sz w:val="24"/>
          <w:szCs w:val="24"/>
        </w:rPr>
      </w:pPr>
    </w:p>
    <w:p w14:paraId="18BDD70D" w14:textId="77777777" w:rsidR="002B57F3" w:rsidRPr="00C45E23" w:rsidRDefault="003C2E85">
      <w:pPr>
        <w:tabs>
          <w:tab w:val="left" w:pos="7797"/>
          <w:tab w:val="left" w:pos="7938"/>
        </w:tabs>
        <w:spacing w:after="0" w:line="276" w:lineRule="auto"/>
        <w:ind w:left="851"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w:t>
      </w:r>
      <w:r w:rsidRPr="00C45E23">
        <w:rPr>
          <w:rFonts w:ascii="Palatino Linotype" w:eastAsia="Palatino Linotype" w:hAnsi="Palatino Linotype" w:cs="Palatino Linotype"/>
          <w:b/>
          <w:i/>
        </w:rPr>
        <w:t>Artículo 6o.</w:t>
      </w:r>
    </w:p>
    <w:p w14:paraId="45EFDFC5" w14:textId="77777777" w:rsidR="002B57F3" w:rsidRPr="00C45E23" w:rsidRDefault="003C2E85">
      <w:pPr>
        <w:tabs>
          <w:tab w:val="left" w:pos="7797"/>
          <w:tab w:val="left" w:pos="7938"/>
        </w:tabs>
        <w:spacing w:after="0" w:line="276" w:lineRule="auto"/>
        <w:ind w:left="851"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w:t>
      </w:r>
    </w:p>
    <w:p w14:paraId="1E685E70" w14:textId="77777777" w:rsidR="002B57F3" w:rsidRPr="00C45E23" w:rsidRDefault="003C2E85">
      <w:pPr>
        <w:tabs>
          <w:tab w:val="left" w:pos="7513"/>
          <w:tab w:val="left" w:pos="7797"/>
          <w:tab w:val="left" w:pos="7938"/>
        </w:tabs>
        <w:spacing w:after="0" w:line="276" w:lineRule="auto"/>
        <w:ind w:left="851"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A. Para el ejercicio del derecho de acceso a la información, la Federación y las entidades federativas, en el ámbito de sus respectivas competencias, se regirán por los siguientes principios y bases:</w:t>
      </w:r>
    </w:p>
    <w:p w14:paraId="24FBA84F" w14:textId="77777777" w:rsidR="002B57F3" w:rsidRPr="00C45E23" w:rsidRDefault="003C2E85">
      <w:pPr>
        <w:tabs>
          <w:tab w:val="left" w:pos="7797"/>
          <w:tab w:val="left" w:pos="7938"/>
        </w:tabs>
        <w:spacing w:after="0" w:line="276" w:lineRule="auto"/>
        <w:ind w:left="851"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w:t>
      </w:r>
    </w:p>
    <w:p w14:paraId="6574AC53" w14:textId="77777777" w:rsidR="002B57F3" w:rsidRPr="00C45E23" w:rsidRDefault="003C2E85">
      <w:pPr>
        <w:tabs>
          <w:tab w:val="left" w:pos="851"/>
          <w:tab w:val="left" w:pos="7797"/>
          <w:tab w:val="left" w:pos="7938"/>
        </w:tabs>
        <w:spacing w:after="0" w:line="276" w:lineRule="auto"/>
        <w:ind w:left="851"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lastRenderedPageBreak/>
        <w:t xml:space="preserve">II. </w:t>
      </w:r>
      <w:r w:rsidRPr="00C45E23">
        <w:rPr>
          <w:rFonts w:ascii="Palatino Linotype" w:eastAsia="Palatino Linotype" w:hAnsi="Palatino Linotype" w:cs="Palatino Linotype"/>
          <w:b/>
          <w:i/>
        </w:rPr>
        <w:t xml:space="preserve">La información que se refiere a la vida privada y los datos personales será protegida </w:t>
      </w:r>
      <w:r w:rsidRPr="00C45E23">
        <w:rPr>
          <w:rFonts w:ascii="Palatino Linotype" w:eastAsia="Palatino Linotype" w:hAnsi="Palatino Linotype" w:cs="Palatino Linotype"/>
          <w:i/>
        </w:rPr>
        <w:t>en los términos y con las excepciones que fijen las leyes. Para tal efecto, los sujetos obligados contarán con las facultades suficientes para su atención.</w:t>
      </w:r>
    </w:p>
    <w:p w14:paraId="4803CCE2" w14:textId="77777777" w:rsidR="002B57F3" w:rsidRPr="00C45E23" w:rsidRDefault="003C2E85">
      <w:pPr>
        <w:tabs>
          <w:tab w:val="left" w:pos="851"/>
          <w:tab w:val="left" w:pos="7797"/>
          <w:tab w:val="left" w:pos="7938"/>
        </w:tabs>
        <w:spacing w:after="0" w:line="276" w:lineRule="auto"/>
        <w:ind w:left="851"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w:t>
      </w:r>
    </w:p>
    <w:p w14:paraId="54D7E70C" w14:textId="77777777" w:rsidR="002B57F3" w:rsidRPr="00C45E23" w:rsidRDefault="003C2E85">
      <w:pPr>
        <w:tabs>
          <w:tab w:val="left" w:pos="851"/>
          <w:tab w:val="left" w:pos="7797"/>
          <w:tab w:val="left" w:pos="7938"/>
        </w:tabs>
        <w:spacing w:after="0" w:line="276" w:lineRule="auto"/>
        <w:ind w:left="851"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Artículo 16.</w:t>
      </w:r>
      <w:r w:rsidRPr="00C45E23">
        <w:rPr>
          <w:rFonts w:ascii="Palatino Linotype" w:eastAsia="Palatino Linotype" w:hAnsi="Palatino Linotype" w:cs="Palatino Linotype"/>
        </w:rPr>
        <w:t xml:space="preserve"> </w:t>
      </w:r>
      <w:r w:rsidRPr="00C45E23">
        <w:rPr>
          <w:rFonts w:ascii="Palatino Linotype" w:eastAsia="Palatino Linotype" w:hAnsi="Palatino Linotype" w:cs="Palatino Linotype"/>
          <w:i/>
        </w:rPr>
        <w:t xml:space="preserve">Toda persona </w:t>
      </w:r>
      <w:r w:rsidRPr="00C45E23">
        <w:rPr>
          <w:rFonts w:ascii="Palatino Linotype" w:eastAsia="Palatino Linotype" w:hAnsi="Palatino Linotype" w:cs="Palatino Linotype"/>
          <w:b/>
          <w:i/>
        </w:rPr>
        <w:t xml:space="preserve">tiene derecho a la protección de sus datos personales, al acceso, </w:t>
      </w:r>
      <w:r w:rsidRPr="00C45E23">
        <w:rPr>
          <w:rFonts w:ascii="Palatino Linotype" w:eastAsia="Palatino Linotype" w:hAnsi="Palatino Linotype" w:cs="Palatino Linotype"/>
          <w:i/>
        </w:rPr>
        <w:t>rectificación y cancelación de los mismos, así</w:t>
      </w:r>
      <w:r w:rsidRPr="00C45E23">
        <w:rPr>
          <w:rFonts w:ascii="Palatino Linotype" w:eastAsia="Palatino Linotype" w:hAnsi="Palatino Linotype" w:cs="Palatino Linotype"/>
          <w:b/>
          <w:i/>
        </w:rPr>
        <w:t xml:space="preserve"> </w:t>
      </w:r>
      <w:r w:rsidRPr="00C45E23">
        <w:rPr>
          <w:rFonts w:ascii="Palatino Linotype" w:eastAsia="Palatino Linotype" w:hAnsi="Palatino Linotype" w:cs="Palatino Linotype"/>
          <w:i/>
        </w:rPr>
        <w:t>como a manifestar su oposición, en los términos que fije la ley,</w:t>
      </w:r>
      <w:r w:rsidRPr="00C45E23">
        <w:rPr>
          <w:rFonts w:ascii="Palatino Linotype" w:eastAsia="Palatino Linotype" w:hAnsi="Palatino Linotype" w:cs="Palatino Linotype"/>
          <w:b/>
          <w:i/>
        </w:rPr>
        <w:t xml:space="preserve"> </w:t>
      </w:r>
      <w:r w:rsidRPr="00C45E23">
        <w:rPr>
          <w:rFonts w:ascii="Palatino Linotype" w:eastAsia="Palatino Linotype" w:hAnsi="Palatino Linotype" w:cs="Palatino Linotype"/>
          <w:i/>
        </w:rPr>
        <w:t xml:space="preserve">la cual establecerá los supuestos de excepción a los principios que rijan el tratamiento de datos, por razones de seguridad nacional, disposiciones de orden público, seguridad y salud públicas o para proteger los derechos de terceros.” </w:t>
      </w:r>
    </w:p>
    <w:p w14:paraId="79C7953E"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Derivado de lo anterior, se desprende que </w:t>
      </w:r>
      <w:r w:rsidRPr="00C45E23">
        <w:rPr>
          <w:rFonts w:ascii="Palatino Linotype" w:eastAsia="Palatino Linotype" w:hAnsi="Palatino Linotype" w:cs="Palatino Linotype"/>
          <w:b/>
          <w:sz w:val="24"/>
          <w:szCs w:val="24"/>
        </w:rPr>
        <w:t>la protección de datos personales</w:t>
      </w:r>
      <w:r w:rsidRPr="00C45E23">
        <w:rPr>
          <w:rFonts w:ascii="Palatino Linotype" w:eastAsia="Palatino Linotype" w:hAnsi="Palatino Linotype" w:cs="Palatino Linotype"/>
          <w:sz w:val="24"/>
          <w:szCs w:val="24"/>
        </w:rPr>
        <w:t xml:space="preserve"> es un derecho fundamental, así como la información referente al ámbito privado de las personas, los cuales deben estar protegidos en los términos y con las excepciones a los principios de tratamiento de datos que por razones de orden público fije la ley, por lo que toda persona tiene derecho a la protección de sus datos personales.</w:t>
      </w:r>
    </w:p>
    <w:p w14:paraId="78B55C36"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609F8B03" w14:textId="77777777" w:rsidR="002B57F3" w:rsidRPr="00C45E23" w:rsidRDefault="003C2E85">
      <w:pPr>
        <w:spacing w:after="0" w:line="360" w:lineRule="auto"/>
        <w:jc w:val="both"/>
        <w:rPr>
          <w:rFonts w:ascii="Palatino Linotype" w:eastAsia="Palatino Linotype" w:hAnsi="Palatino Linotype" w:cs="Palatino Linotype"/>
          <w:b/>
          <w:sz w:val="24"/>
          <w:szCs w:val="24"/>
        </w:rPr>
      </w:pPr>
      <w:r w:rsidRPr="00C45E23">
        <w:rPr>
          <w:rFonts w:ascii="Palatino Linotype" w:eastAsia="Palatino Linotype" w:hAnsi="Palatino Linotype" w:cs="Palatino Linotype"/>
          <w:sz w:val="24"/>
          <w:szCs w:val="24"/>
        </w:rPr>
        <w:t>Ante tal premisa se puede apreciar que la inclusión</w:t>
      </w:r>
      <w:r w:rsidRPr="00C45E23">
        <w:rPr>
          <w:rFonts w:ascii="Palatino Linotype" w:eastAsia="Palatino Linotype" w:hAnsi="Palatino Linotype" w:cs="Palatino Linotype"/>
          <w:b/>
          <w:sz w:val="24"/>
          <w:szCs w:val="24"/>
        </w:rPr>
        <w:t xml:space="preserve"> del derecho al acceso de datos personales en nuestra Constitución permite que cualquier persona -titular de datos personales obtenga la protección en esta materia.</w:t>
      </w:r>
    </w:p>
    <w:p w14:paraId="63A4D49E" w14:textId="77777777" w:rsidR="002B57F3" w:rsidRPr="00C45E23" w:rsidRDefault="002B57F3">
      <w:pPr>
        <w:spacing w:after="0" w:line="360" w:lineRule="auto"/>
        <w:jc w:val="both"/>
        <w:rPr>
          <w:rFonts w:ascii="Palatino Linotype" w:eastAsia="Palatino Linotype" w:hAnsi="Palatino Linotype" w:cs="Palatino Linotype"/>
          <w:b/>
          <w:sz w:val="24"/>
          <w:szCs w:val="24"/>
        </w:rPr>
      </w:pPr>
    </w:p>
    <w:p w14:paraId="457DAC22"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En este sentido, la Ley de Protección de Datos Personales en Posesión de Sujetos Obligados del Estado de México y Municipios, señala expresamente que:</w:t>
      </w:r>
    </w:p>
    <w:p w14:paraId="01415C10"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43757EC5" w14:textId="77777777" w:rsidR="002B57F3" w:rsidRPr="00C45E23" w:rsidRDefault="003C2E85">
      <w:pPr>
        <w:spacing w:after="0" w:line="276" w:lineRule="auto"/>
        <w:ind w:left="567" w:right="1185"/>
        <w:jc w:val="both"/>
        <w:rPr>
          <w:rFonts w:ascii="Palatino Linotype" w:eastAsia="Palatino Linotype" w:hAnsi="Palatino Linotype" w:cs="Palatino Linotype"/>
          <w:i/>
        </w:rPr>
      </w:pPr>
      <w:r w:rsidRPr="00C45E23">
        <w:rPr>
          <w:rFonts w:ascii="Palatino Linotype" w:eastAsia="Palatino Linotype" w:hAnsi="Palatino Linotype" w:cs="Palatino Linotype"/>
          <w:i/>
        </w:rPr>
        <w:t>“</w:t>
      </w:r>
      <w:r w:rsidRPr="00C45E23">
        <w:rPr>
          <w:rFonts w:ascii="Palatino Linotype" w:eastAsia="Palatino Linotype" w:hAnsi="Palatino Linotype" w:cs="Palatino Linotype"/>
          <w:b/>
          <w:i/>
        </w:rPr>
        <w:t>Artículo 4</w:t>
      </w:r>
      <w:r w:rsidRPr="00C45E23">
        <w:rPr>
          <w:rFonts w:ascii="Palatino Linotype" w:eastAsia="Palatino Linotype" w:hAnsi="Palatino Linotype" w:cs="Palatino Linotype"/>
          <w:i/>
        </w:rPr>
        <w:t>. Para los efectos de esta Ley se entenderá por:</w:t>
      </w:r>
    </w:p>
    <w:p w14:paraId="0D8D24D0" w14:textId="77777777" w:rsidR="002B57F3" w:rsidRPr="00C45E23" w:rsidRDefault="003C2E85">
      <w:pPr>
        <w:spacing w:after="0" w:line="276" w:lineRule="auto"/>
        <w:ind w:left="567" w:right="1185"/>
        <w:jc w:val="both"/>
        <w:rPr>
          <w:rFonts w:ascii="Palatino Linotype" w:eastAsia="Palatino Linotype" w:hAnsi="Palatino Linotype" w:cs="Palatino Linotype"/>
          <w:i/>
        </w:rPr>
      </w:pPr>
      <w:r w:rsidRPr="00C45E23">
        <w:rPr>
          <w:rFonts w:ascii="Palatino Linotype" w:eastAsia="Palatino Linotype" w:hAnsi="Palatino Linotype" w:cs="Palatino Linotype"/>
          <w:i/>
        </w:rPr>
        <w:t>…</w:t>
      </w:r>
    </w:p>
    <w:p w14:paraId="7AC9E4F3" w14:textId="77777777" w:rsidR="002B57F3" w:rsidRPr="00C45E23" w:rsidRDefault="003C2E85">
      <w:pPr>
        <w:spacing w:after="0" w:line="276" w:lineRule="auto"/>
        <w:ind w:left="567" w:right="1185"/>
        <w:jc w:val="both"/>
        <w:rPr>
          <w:rFonts w:ascii="Palatino Linotype" w:eastAsia="Palatino Linotype" w:hAnsi="Palatino Linotype" w:cs="Palatino Linotype"/>
          <w:i/>
        </w:rPr>
      </w:pPr>
      <w:r w:rsidRPr="00C45E23">
        <w:rPr>
          <w:rFonts w:ascii="Palatino Linotype" w:eastAsia="Palatino Linotype" w:hAnsi="Palatino Linotype" w:cs="Palatino Linotype"/>
          <w:b/>
          <w:i/>
        </w:rPr>
        <w:t>XI.</w:t>
      </w:r>
      <w:r w:rsidRPr="00C45E23">
        <w:rPr>
          <w:rFonts w:ascii="Palatino Linotype" w:eastAsia="Palatino Linotype" w:hAnsi="Palatino Linotype" w:cs="Palatino Linotype"/>
          <w:i/>
        </w:rPr>
        <w:t xml:space="preserve"> </w:t>
      </w:r>
      <w:r w:rsidRPr="00C45E23">
        <w:rPr>
          <w:rFonts w:ascii="Palatino Linotype" w:eastAsia="Palatino Linotype" w:hAnsi="Palatino Linotype" w:cs="Palatino Linotype"/>
          <w:b/>
          <w:i/>
        </w:rPr>
        <w:t>Datos personales</w:t>
      </w:r>
      <w:r w:rsidRPr="00C45E23">
        <w:rPr>
          <w:rFonts w:ascii="Palatino Linotype" w:eastAsia="Palatino Linotype" w:hAnsi="Palatino Linotype" w:cs="Palatino Linotype"/>
          <w:i/>
        </w:rPr>
        <w:t xml:space="preserve">: a la información concerniente a una persona física o jurídica colectiva identificada o identificable, establecida en cualquier formato o </w:t>
      </w:r>
      <w:r w:rsidRPr="00C45E23">
        <w:rPr>
          <w:rFonts w:ascii="Palatino Linotype" w:eastAsia="Palatino Linotype" w:hAnsi="Palatino Linotype" w:cs="Palatino Linotype"/>
          <w:i/>
        </w:rPr>
        <w:lastRenderedPageBreak/>
        <w:t>modalidad, y que esté almacenada en los sistemas y bases de datos, se considerará que una persona es identificable cuando su identidad pueda determinarse directa o indirectamente a través de cualquier documento informativo físico o electrónico.</w:t>
      </w:r>
    </w:p>
    <w:p w14:paraId="2E61309F" w14:textId="77777777" w:rsidR="002B57F3" w:rsidRPr="00C45E23" w:rsidRDefault="003C2E85">
      <w:pPr>
        <w:spacing w:after="0" w:line="276" w:lineRule="auto"/>
        <w:ind w:left="567" w:right="1185"/>
        <w:jc w:val="both"/>
        <w:rPr>
          <w:rFonts w:ascii="Palatino Linotype" w:eastAsia="Palatino Linotype" w:hAnsi="Palatino Linotype" w:cs="Palatino Linotype"/>
          <w:i/>
        </w:rPr>
      </w:pPr>
      <w:r w:rsidRPr="00C45E23">
        <w:rPr>
          <w:rFonts w:ascii="Palatino Linotype" w:eastAsia="Palatino Linotype" w:hAnsi="Palatino Linotype" w:cs="Palatino Linotype"/>
          <w:i/>
        </w:rPr>
        <w:t>…</w:t>
      </w:r>
    </w:p>
    <w:p w14:paraId="6192FE6E" w14:textId="77777777" w:rsidR="002B57F3" w:rsidRPr="00C45E23" w:rsidRDefault="003C2E85">
      <w:pPr>
        <w:spacing w:after="0" w:line="276" w:lineRule="auto"/>
        <w:ind w:left="567" w:right="1185"/>
        <w:jc w:val="both"/>
        <w:rPr>
          <w:rFonts w:ascii="Palatino Linotype" w:eastAsia="Palatino Linotype" w:hAnsi="Palatino Linotype" w:cs="Palatino Linotype"/>
          <w:i/>
        </w:rPr>
      </w:pPr>
      <w:r w:rsidRPr="00C45E23">
        <w:rPr>
          <w:rFonts w:ascii="Palatino Linotype" w:eastAsia="Palatino Linotype" w:hAnsi="Palatino Linotype" w:cs="Palatino Linotype"/>
          <w:b/>
          <w:i/>
        </w:rPr>
        <w:t>XIII.</w:t>
      </w:r>
      <w:r w:rsidRPr="00C45E23">
        <w:rPr>
          <w:rFonts w:ascii="Palatino Linotype" w:eastAsia="Palatino Linotype" w:hAnsi="Palatino Linotype" w:cs="Palatino Linotype"/>
          <w:i/>
        </w:rPr>
        <w:t xml:space="preserve"> </w:t>
      </w:r>
      <w:r w:rsidRPr="00C45E23">
        <w:rPr>
          <w:rFonts w:ascii="Palatino Linotype" w:eastAsia="Palatino Linotype" w:hAnsi="Palatino Linotype" w:cs="Palatino Linotype"/>
          <w:b/>
          <w:i/>
        </w:rPr>
        <w:t>Derechos ARCO:</w:t>
      </w:r>
      <w:r w:rsidRPr="00C45E23">
        <w:rPr>
          <w:rFonts w:ascii="Palatino Linotype" w:eastAsia="Palatino Linotype" w:hAnsi="Palatino Linotype" w:cs="Palatino Linotype"/>
          <w:i/>
        </w:rPr>
        <w:t xml:space="preserve"> a los derechos de Acceso, Rectificación, Cancelación y Oposición al tratamiento de datos personales.</w:t>
      </w:r>
    </w:p>
    <w:p w14:paraId="5F37A46A" w14:textId="77777777" w:rsidR="002B57F3" w:rsidRPr="00C45E23" w:rsidRDefault="003C2E85">
      <w:pPr>
        <w:spacing w:after="0" w:line="276" w:lineRule="auto"/>
        <w:ind w:left="567" w:right="1185"/>
        <w:jc w:val="both"/>
        <w:rPr>
          <w:rFonts w:ascii="Palatino Linotype" w:eastAsia="Palatino Linotype" w:hAnsi="Palatino Linotype" w:cs="Palatino Linotype"/>
          <w:i/>
        </w:rPr>
      </w:pPr>
      <w:r w:rsidRPr="00C45E23">
        <w:rPr>
          <w:rFonts w:ascii="Palatino Linotype" w:eastAsia="Palatino Linotype" w:hAnsi="Palatino Linotype" w:cs="Palatino Linotype"/>
          <w:i/>
        </w:rPr>
        <w:t>…</w:t>
      </w:r>
    </w:p>
    <w:p w14:paraId="74AB6A45" w14:textId="77777777" w:rsidR="002B57F3" w:rsidRPr="00C45E23" w:rsidRDefault="003C2E85">
      <w:pPr>
        <w:spacing w:after="0" w:line="276" w:lineRule="auto"/>
        <w:ind w:left="567" w:right="1185"/>
        <w:jc w:val="both"/>
        <w:rPr>
          <w:rFonts w:ascii="Palatino Linotype" w:eastAsia="Palatino Linotype" w:hAnsi="Palatino Linotype" w:cs="Palatino Linotype"/>
          <w:i/>
        </w:rPr>
      </w:pPr>
      <w:r w:rsidRPr="00C45E23">
        <w:rPr>
          <w:rFonts w:ascii="Palatino Linotype" w:eastAsia="Palatino Linotype" w:hAnsi="Palatino Linotype" w:cs="Palatino Linotype"/>
          <w:b/>
          <w:i/>
        </w:rPr>
        <w:t>XLI. Responsable: a los sujetos obligados a que se refiere la presente Ley que deciden sobre el tratamiento de los datos personales</w:t>
      </w:r>
      <w:r w:rsidRPr="00C45E23">
        <w:rPr>
          <w:rFonts w:ascii="Palatino Linotype" w:eastAsia="Palatino Linotype" w:hAnsi="Palatino Linotype" w:cs="Palatino Linotype"/>
          <w:i/>
        </w:rPr>
        <w:t>.</w:t>
      </w:r>
    </w:p>
    <w:p w14:paraId="6F18CB41" w14:textId="77777777" w:rsidR="002B57F3" w:rsidRPr="00C45E23" w:rsidRDefault="003C2E85">
      <w:pPr>
        <w:spacing w:after="0" w:line="276" w:lineRule="auto"/>
        <w:ind w:left="567" w:right="1185"/>
        <w:jc w:val="both"/>
        <w:rPr>
          <w:rFonts w:ascii="Palatino Linotype" w:eastAsia="Palatino Linotype" w:hAnsi="Palatino Linotype" w:cs="Palatino Linotype"/>
          <w:i/>
        </w:rPr>
      </w:pPr>
      <w:r w:rsidRPr="00C45E23">
        <w:rPr>
          <w:rFonts w:ascii="Palatino Linotype" w:eastAsia="Palatino Linotype" w:hAnsi="Palatino Linotype" w:cs="Palatino Linotype"/>
          <w:i/>
        </w:rPr>
        <w:t>…</w:t>
      </w:r>
    </w:p>
    <w:p w14:paraId="253A75ED" w14:textId="77777777" w:rsidR="002B57F3" w:rsidRPr="00C45E23" w:rsidRDefault="003C2E85">
      <w:pPr>
        <w:spacing w:after="0" w:line="276" w:lineRule="auto"/>
        <w:ind w:left="567" w:right="1185"/>
        <w:jc w:val="both"/>
        <w:rPr>
          <w:rFonts w:ascii="Palatino Linotype" w:eastAsia="Palatino Linotype" w:hAnsi="Palatino Linotype" w:cs="Palatino Linotype"/>
          <w:b/>
          <w:i/>
          <w:u w:val="single"/>
        </w:rPr>
      </w:pPr>
      <w:r w:rsidRPr="00C45E23">
        <w:rPr>
          <w:rFonts w:ascii="Palatino Linotype" w:eastAsia="Palatino Linotype" w:hAnsi="Palatino Linotype" w:cs="Palatino Linotype"/>
          <w:b/>
          <w:i/>
        </w:rPr>
        <w:t>L. Tratamiento: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r w:rsidRPr="00C45E23">
        <w:rPr>
          <w:rFonts w:ascii="Palatino Linotype" w:eastAsia="Palatino Linotype" w:hAnsi="Palatino Linotype" w:cs="Palatino Linotype"/>
          <w:b/>
          <w:i/>
          <w:u w:val="single"/>
        </w:rPr>
        <w:t>.</w:t>
      </w:r>
    </w:p>
    <w:p w14:paraId="4ECABB92" w14:textId="77777777" w:rsidR="002B57F3" w:rsidRPr="00C45E23" w:rsidRDefault="003C2E85">
      <w:pPr>
        <w:spacing w:after="0" w:line="276" w:lineRule="auto"/>
        <w:ind w:left="567" w:right="1185"/>
        <w:jc w:val="both"/>
        <w:rPr>
          <w:rFonts w:ascii="Palatino Linotype" w:eastAsia="Palatino Linotype" w:hAnsi="Palatino Linotype" w:cs="Palatino Linotype"/>
          <w:i/>
        </w:rPr>
      </w:pPr>
      <w:r w:rsidRPr="00C45E23">
        <w:rPr>
          <w:rFonts w:ascii="Palatino Linotype" w:eastAsia="Palatino Linotype" w:hAnsi="Palatino Linotype" w:cs="Palatino Linotype"/>
          <w:i/>
        </w:rPr>
        <w:t>…</w:t>
      </w:r>
    </w:p>
    <w:p w14:paraId="528AABE6" w14:textId="77777777" w:rsidR="002B57F3" w:rsidRPr="00C45E23" w:rsidRDefault="003C2E85">
      <w:pPr>
        <w:spacing w:after="0" w:line="276" w:lineRule="auto"/>
        <w:ind w:left="567" w:right="1185"/>
        <w:jc w:val="both"/>
        <w:rPr>
          <w:rFonts w:ascii="Palatino Linotype" w:eastAsia="Palatino Linotype" w:hAnsi="Palatino Linotype" w:cs="Palatino Linotype"/>
          <w:i/>
        </w:rPr>
      </w:pPr>
      <w:r w:rsidRPr="00C45E23">
        <w:rPr>
          <w:rFonts w:ascii="Palatino Linotype" w:eastAsia="Palatino Linotype" w:hAnsi="Palatino Linotype" w:cs="Palatino Linotype"/>
          <w:b/>
          <w:i/>
        </w:rPr>
        <w:t>Artículo 98. El titular tiene derecho a</w:t>
      </w:r>
      <w:r w:rsidRPr="00C45E23">
        <w:rPr>
          <w:rFonts w:ascii="Palatino Linotype" w:eastAsia="Palatino Linotype" w:hAnsi="Palatino Linotype" w:cs="Palatino Linotype"/>
          <w:i/>
        </w:rPr>
        <w:t xml:space="preserve"> acceder, </w:t>
      </w:r>
      <w:r w:rsidRPr="00C45E23">
        <w:rPr>
          <w:rFonts w:ascii="Palatino Linotype" w:eastAsia="Palatino Linotype" w:hAnsi="Palatino Linotype" w:cs="Palatino Linotype"/>
          <w:b/>
          <w:i/>
        </w:rPr>
        <w:t>solicitar y ser informado sobre sus datos personales en posesión de los sujetos obligados</w:t>
      </w:r>
      <w:r w:rsidRPr="00C45E23">
        <w:rPr>
          <w:rFonts w:ascii="Palatino Linotype" w:eastAsia="Palatino Linotype" w:hAnsi="Palatino Linotype" w:cs="Palatino Linotype"/>
          <w:i/>
        </w:rPr>
        <w:t xml:space="preserve">, </w:t>
      </w:r>
      <w:r w:rsidRPr="00C45E23">
        <w:rPr>
          <w:rFonts w:ascii="Palatino Linotype" w:eastAsia="Palatino Linotype" w:hAnsi="Palatino Linotype" w:cs="Palatino Linotype"/>
          <w:b/>
          <w:i/>
        </w:rPr>
        <w:t>así como la información relacionada con las condiciones y generalidades de su tratamiento, tales como el origen de los datos, las condiciones del tratamiento del cual sean objeto</w:t>
      </w:r>
      <w:r w:rsidRPr="00C45E23">
        <w:rPr>
          <w:rFonts w:ascii="Palatino Linotype" w:eastAsia="Palatino Linotype" w:hAnsi="Palatino Linotype" w:cs="Palatino Linotype"/>
          <w:i/>
        </w:rPr>
        <w:t xml:space="preserve">, </w:t>
      </w:r>
      <w:r w:rsidRPr="00C45E23">
        <w:rPr>
          <w:rFonts w:ascii="Palatino Linotype" w:eastAsia="Palatino Linotype" w:hAnsi="Palatino Linotype" w:cs="Palatino Linotype"/>
          <w:b/>
          <w:i/>
        </w:rPr>
        <w:t>las cesiones realizadas o que se pretendan realizar,</w:t>
      </w:r>
      <w:r w:rsidRPr="00C45E23">
        <w:rPr>
          <w:rFonts w:ascii="Palatino Linotype" w:eastAsia="Palatino Linotype" w:hAnsi="Palatino Linotype" w:cs="Palatino Linotype"/>
          <w:i/>
        </w:rPr>
        <w:t xml:space="preserve"> así como tener acceso al aviso de privacidad al que está sujeto.</w:t>
      </w:r>
      <w:r w:rsidRPr="00C45E23">
        <w:rPr>
          <w:rFonts w:ascii="Palatino Linotype" w:eastAsia="Palatino Linotype" w:hAnsi="Palatino Linotype" w:cs="Palatino Linotype"/>
          <w:b/>
          <w:i/>
        </w:rPr>
        <w:t xml:space="preserve">” </w:t>
      </w:r>
    </w:p>
    <w:p w14:paraId="2CF18AEB"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496B3695"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En función de la normativa señalada, se desprenden las premisas siguientes:</w:t>
      </w:r>
    </w:p>
    <w:p w14:paraId="3119CA78" w14:textId="77777777" w:rsidR="002B57F3" w:rsidRPr="00C45E23" w:rsidRDefault="002B57F3">
      <w:pPr>
        <w:tabs>
          <w:tab w:val="left" w:pos="2410"/>
        </w:tabs>
        <w:spacing w:after="0" w:line="360" w:lineRule="auto"/>
        <w:jc w:val="both"/>
        <w:rPr>
          <w:rFonts w:ascii="Palatino Linotype" w:eastAsia="Palatino Linotype" w:hAnsi="Palatino Linotype" w:cs="Palatino Linotype"/>
          <w:i/>
          <w:sz w:val="24"/>
          <w:szCs w:val="24"/>
        </w:rPr>
      </w:pPr>
    </w:p>
    <w:p w14:paraId="45793D5A"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Primero, por datos personales se entenderá la información concerniente a una persona física identificada o identificable; y que se considera que una persona es </w:t>
      </w:r>
      <w:r w:rsidRPr="00C45E23">
        <w:rPr>
          <w:rFonts w:ascii="Palatino Linotype" w:eastAsia="Palatino Linotype" w:hAnsi="Palatino Linotype" w:cs="Palatino Linotype"/>
          <w:b/>
          <w:sz w:val="24"/>
          <w:szCs w:val="24"/>
        </w:rPr>
        <w:t>identificable cuando su identidad pueda determinarse directa o indirectamente a través de cualquier información</w:t>
      </w:r>
      <w:r w:rsidRPr="00C45E23">
        <w:rPr>
          <w:rFonts w:ascii="Palatino Linotype" w:eastAsia="Palatino Linotype" w:hAnsi="Palatino Linotype" w:cs="Palatino Linotype"/>
          <w:sz w:val="24"/>
          <w:szCs w:val="24"/>
        </w:rPr>
        <w:t>.</w:t>
      </w:r>
    </w:p>
    <w:p w14:paraId="573384C7"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6E79B363"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De igual manera, se destaca que en todo momento el </w:t>
      </w:r>
      <w:r w:rsidRPr="00C45E23">
        <w:rPr>
          <w:rFonts w:ascii="Palatino Linotype" w:eastAsia="Palatino Linotype" w:hAnsi="Palatino Linotype" w:cs="Palatino Linotype"/>
          <w:b/>
          <w:sz w:val="24"/>
          <w:szCs w:val="24"/>
        </w:rPr>
        <w:t>titular podrá solicitar al responsable</w:t>
      </w:r>
      <w:r w:rsidRPr="00C45E23">
        <w:rPr>
          <w:rFonts w:ascii="Palatino Linotype" w:eastAsia="Palatino Linotype" w:hAnsi="Palatino Linotype" w:cs="Palatino Linotype"/>
          <w:sz w:val="24"/>
          <w:szCs w:val="24"/>
        </w:rPr>
        <w:t xml:space="preserve">, el acceso, rectificación, cancelación u </w:t>
      </w:r>
      <w:r w:rsidRPr="00C45E23">
        <w:rPr>
          <w:rFonts w:ascii="Palatino Linotype" w:eastAsia="Palatino Linotype" w:hAnsi="Palatino Linotype" w:cs="Palatino Linotype"/>
          <w:b/>
          <w:sz w:val="24"/>
          <w:szCs w:val="24"/>
        </w:rPr>
        <w:t xml:space="preserve">oposición </w:t>
      </w:r>
      <w:r w:rsidRPr="00C45E23">
        <w:rPr>
          <w:rFonts w:ascii="Palatino Linotype" w:eastAsia="Palatino Linotype" w:hAnsi="Palatino Linotype" w:cs="Palatino Linotype"/>
          <w:sz w:val="24"/>
          <w:szCs w:val="24"/>
        </w:rPr>
        <w:t>-derechos ARCO- al tratamiento de los datos personales que le conciernen.</w:t>
      </w:r>
    </w:p>
    <w:p w14:paraId="4DE3C8C9"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369AAF8C"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En la</w:t>
      </w:r>
      <w:r w:rsidRPr="00C45E23">
        <w:rPr>
          <w:rFonts w:ascii="Palatino Linotype" w:eastAsia="Palatino Linotype" w:hAnsi="Palatino Linotype" w:cs="Palatino Linotype"/>
          <w:b/>
          <w:sz w:val="24"/>
          <w:szCs w:val="24"/>
        </w:rPr>
        <w:t xml:space="preserve"> recepción y trámite </w:t>
      </w:r>
      <w:r w:rsidRPr="00C45E23">
        <w:rPr>
          <w:rFonts w:ascii="Palatino Linotype" w:eastAsia="Palatino Linotype" w:hAnsi="Palatino Linotype" w:cs="Palatino Linotype"/>
          <w:sz w:val="24"/>
          <w:szCs w:val="24"/>
        </w:rPr>
        <w:t>de las solicitudes de ejercicio de los derechos ARCO,</w:t>
      </w:r>
      <w:r w:rsidRPr="00C45E23">
        <w:rPr>
          <w:rFonts w:ascii="Palatino Linotype" w:eastAsia="Palatino Linotype" w:hAnsi="Palatino Linotype" w:cs="Palatino Linotype"/>
          <w:b/>
          <w:sz w:val="24"/>
          <w:szCs w:val="24"/>
        </w:rPr>
        <w:t xml:space="preserve"> </w:t>
      </w:r>
      <w:r w:rsidRPr="00C45E23">
        <w:rPr>
          <w:rFonts w:ascii="Palatino Linotype" w:eastAsia="Palatino Linotype" w:hAnsi="Palatino Linotype" w:cs="Palatino Linotype"/>
          <w:sz w:val="24"/>
          <w:szCs w:val="24"/>
        </w:rPr>
        <w:t>que se formulen a los sujetos obligados</w:t>
      </w:r>
      <w:r w:rsidRPr="00C45E23">
        <w:rPr>
          <w:rFonts w:ascii="Palatino Linotype" w:eastAsia="Palatino Linotype" w:hAnsi="Palatino Linotype" w:cs="Palatino Linotype"/>
          <w:b/>
          <w:sz w:val="24"/>
          <w:szCs w:val="24"/>
        </w:rPr>
        <w:t>, se sujetará al procedimiento establecido en el Título Tercero de la Ley General de Protección de Datos Personales en Posesión de Sujetos Obligados</w:t>
      </w:r>
      <w:r w:rsidRPr="00C45E23">
        <w:rPr>
          <w:rFonts w:ascii="Palatino Linotype" w:eastAsia="Palatino Linotype" w:hAnsi="Palatino Linotype" w:cs="Palatino Linotype"/>
          <w:sz w:val="24"/>
          <w:szCs w:val="24"/>
        </w:rPr>
        <w:t xml:space="preserve">, </w:t>
      </w:r>
      <w:r w:rsidRPr="00C45E23">
        <w:rPr>
          <w:rFonts w:ascii="Palatino Linotype" w:eastAsia="Palatino Linotype" w:hAnsi="Palatino Linotype" w:cs="Palatino Linotype"/>
          <w:b/>
          <w:sz w:val="24"/>
          <w:szCs w:val="24"/>
        </w:rPr>
        <w:t>en consonancia con el Título Décimo de la Ley de Protección de Datos Personales en Posesión de Sujetos Obligados del Estado de México y Municipios</w:t>
      </w:r>
      <w:r w:rsidRPr="00C45E23">
        <w:rPr>
          <w:rFonts w:ascii="Palatino Linotype" w:eastAsia="Palatino Linotype" w:hAnsi="Palatino Linotype" w:cs="Palatino Linotype"/>
          <w:sz w:val="24"/>
          <w:szCs w:val="24"/>
        </w:rPr>
        <w:t xml:space="preserve"> y demás disposiciones que resulten aplicables en la materia.</w:t>
      </w:r>
    </w:p>
    <w:p w14:paraId="674D503E"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1C0C582E"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Para el alcance en materia de protección de datos personales, así como para su tratamiento, debemos considerar todas las operaciones efectuadas por los procedimientos manuales o automatizados aplicados a los datos personales, relativas a </w:t>
      </w:r>
      <w:r w:rsidRPr="00C45E23">
        <w:rPr>
          <w:rFonts w:ascii="Palatino Linotype" w:eastAsia="Palatino Linotype" w:hAnsi="Palatino Linotype" w:cs="Palatino Linotype"/>
          <w:b/>
          <w:sz w:val="24"/>
          <w:szCs w:val="24"/>
        </w:rPr>
        <w:t>su obtención</w:t>
      </w:r>
      <w:r w:rsidRPr="00C45E23">
        <w:rPr>
          <w:rFonts w:ascii="Palatino Linotype" w:eastAsia="Palatino Linotype" w:hAnsi="Palatino Linotype" w:cs="Palatino Linotype"/>
          <w:sz w:val="24"/>
          <w:szCs w:val="24"/>
        </w:rPr>
        <w:t xml:space="preserve">, </w:t>
      </w:r>
      <w:r w:rsidRPr="00C45E23">
        <w:rPr>
          <w:rFonts w:ascii="Palatino Linotype" w:eastAsia="Palatino Linotype" w:hAnsi="Palatino Linotype" w:cs="Palatino Linotype"/>
          <w:b/>
          <w:sz w:val="24"/>
          <w:szCs w:val="24"/>
        </w:rPr>
        <w:t>uso, registro, organización, conservación, elaboración, utilización, comunicación, almacenamiento, posesión, acceso, manejo, aprovechamiento divulgación, difusión, transferencia o disposición</w:t>
      </w:r>
      <w:r w:rsidRPr="00C45E23">
        <w:rPr>
          <w:rFonts w:ascii="Palatino Linotype" w:eastAsia="Palatino Linotype" w:hAnsi="Palatino Linotype" w:cs="Palatino Linotype"/>
          <w:sz w:val="24"/>
          <w:szCs w:val="24"/>
        </w:rPr>
        <w:t>.</w:t>
      </w:r>
    </w:p>
    <w:p w14:paraId="209FA7A4"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27EF0AA2"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Es así que, los derechos ARCO es el derecho humano con que cuenta una persona para la protección de sus datos personales, en posesión de Sujetos Obligados y el tratamiento de los mismos deber de sujetarse a los principios de licitud, finalidad, lealtad, consentimiento, calidad, proporcionalidad, información y responsabilidad.</w:t>
      </w:r>
    </w:p>
    <w:p w14:paraId="1877AA57"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41CE9C01" w14:textId="77777777" w:rsidR="002B57F3" w:rsidRPr="00C45E23" w:rsidRDefault="003C2E85">
      <w:pPr>
        <w:spacing w:after="0" w:line="360" w:lineRule="auto"/>
        <w:jc w:val="both"/>
        <w:rPr>
          <w:rFonts w:ascii="Palatino Linotype" w:eastAsia="Palatino Linotype" w:hAnsi="Palatino Linotype" w:cs="Palatino Linotype"/>
          <w:b/>
          <w:sz w:val="24"/>
          <w:szCs w:val="24"/>
        </w:rPr>
      </w:pPr>
      <w:r w:rsidRPr="00C45E23">
        <w:rPr>
          <w:rFonts w:ascii="Palatino Linotype" w:eastAsia="Palatino Linotype" w:hAnsi="Palatino Linotype" w:cs="Palatino Linotype"/>
          <w:sz w:val="24"/>
          <w:szCs w:val="24"/>
        </w:rPr>
        <w:t>Expuesto lo anterior, se procede al análisis de la totalidad de las constancias que integran el expediente electrónico del SAIMEX, con</w:t>
      </w:r>
      <w:r w:rsidRPr="00C45E23">
        <w:rPr>
          <w:rFonts w:ascii="Palatino Linotype" w:eastAsia="Palatino Linotype" w:hAnsi="Palatino Linotype" w:cs="Palatino Linotype"/>
          <w:b/>
          <w:sz w:val="24"/>
          <w:szCs w:val="24"/>
        </w:rPr>
        <w:t xml:space="preserve"> el objeto de determinar si la respuesta e informe justificado del Sujeto Obligado son adecuados y suficientes para satisfacer el derecho de acceso a los datos personales de la parte Recurrente, o en su defecto, en caso de ser procedente, ordenar la entrega de la documentación solicitada. </w:t>
      </w:r>
    </w:p>
    <w:p w14:paraId="2E43A862" w14:textId="77777777" w:rsidR="002B57F3" w:rsidRPr="00C45E23" w:rsidRDefault="002B57F3">
      <w:pPr>
        <w:spacing w:after="0" w:line="360" w:lineRule="auto"/>
        <w:jc w:val="both"/>
        <w:rPr>
          <w:rFonts w:ascii="Palatino Linotype" w:eastAsia="Palatino Linotype" w:hAnsi="Palatino Linotype" w:cs="Palatino Linotype"/>
          <w:b/>
          <w:sz w:val="24"/>
          <w:szCs w:val="24"/>
        </w:rPr>
      </w:pPr>
    </w:p>
    <w:p w14:paraId="749F7F28"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Ahora bien, del análisis de la solicitud de acceso a datos personales, que motiva el recurso de revisión que ahora se resuelve, se advierte que </w:t>
      </w:r>
      <w:r w:rsidRPr="00C45E23">
        <w:rPr>
          <w:rFonts w:ascii="Palatino Linotype" w:eastAsia="Palatino Linotype" w:hAnsi="Palatino Linotype" w:cs="Palatino Linotype"/>
          <w:b/>
          <w:sz w:val="24"/>
          <w:szCs w:val="24"/>
        </w:rPr>
        <w:t>LA PARTE</w:t>
      </w:r>
      <w:r w:rsidRPr="00C45E23">
        <w:rPr>
          <w:rFonts w:ascii="Palatino Linotype" w:eastAsia="Palatino Linotype" w:hAnsi="Palatino Linotype" w:cs="Palatino Linotype"/>
          <w:sz w:val="24"/>
          <w:szCs w:val="24"/>
        </w:rPr>
        <w:t xml:space="preserve"> </w:t>
      </w:r>
      <w:r w:rsidRPr="00C45E23">
        <w:rPr>
          <w:rFonts w:ascii="Palatino Linotype" w:eastAsia="Palatino Linotype" w:hAnsi="Palatino Linotype" w:cs="Palatino Linotype"/>
          <w:b/>
          <w:sz w:val="24"/>
          <w:szCs w:val="24"/>
        </w:rPr>
        <w:t>RECURRENTE</w:t>
      </w:r>
      <w:r w:rsidRPr="00C45E23">
        <w:rPr>
          <w:rFonts w:ascii="Palatino Linotype" w:eastAsia="Palatino Linotype" w:hAnsi="Palatino Linotype" w:cs="Palatino Linotype"/>
          <w:sz w:val="24"/>
          <w:szCs w:val="24"/>
        </w:rPr>
        <w:t xml:space="preserve"> requirió al </w:t>
      </w:r>
      <w:r w:rsidRPr="00C45E23">
        <w:rPr>
          <w:rFonts w:ascii="Palatino Linotype" w:eastAsia="Palatino Linotype" w:hAnsi="Palatino Linotype" w:cs="Palatino Linotype"/>
          <w:b/>
          <w:sz w:val="24"/>
          <w:szCs w:val="24"/>
        </w:rPr>
        <w:t xml:space="preserve">SUJETO OBLIGADO </w:t>
      </w:r>
      <w:r w:rsidRPr="00C45E23">
        <w:rPr>
          <w:rFonts w:ascii="Palatino Linotype" w:eastAsia="Palatino Linotype" w:hAnsi="Palatino Linotype" w:cs="Palatino Linotype"/>
          <w:sz w:val="24"/>
          <w:szCs w:val="24"/>
        </w:rPr>
        <w:t>le proporcione, información consistente en lo siguiente:</w:t>
      </w:r>
    </w:p>
    <w:p w14:paraId="25DE0D48"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52B03E6C" w14:textId="77777777" w:rsidR="002B57F3" w:rsidRPr="00C45E23" w:rsidRDefault="003C2E85">
      <w:pPr>
        <w:spacing w:after="0" w:line="360" w:lineRule="auto"/>
        <w:ind w:right="49"/>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En relación con el Anexo de Ejecución 0236/2024 celebrado entre el Ejecutivo Federal, Gobierno del Estado de México y el Colegio de Bachilleres, el 10 de enero de 2024, que incluye el Apartado Analítico de servicios personales 2024, plazas, horas y sueldos autorizados, la siguiente información: </w:t>
      </w:r>
    </w:p>
    <w:p w14:paraId="4E57A913" w14:textId="77777777" w:rsidR="002B57F3" w:rsidRPr="00C45E23" w:rsidRDefault="002B57F3">
      <w:pPr>
        <w:spacing w:after="0" w:line="360" w:lineRule="auto"/>
        <w:ind w:right="49"/>
        <w:jc w:val="both"/>
        <w:rPr>
          <w:rFonts w:ascii="Palatino Linotype" w:eastAsia="Palatino Linotype" w:hAnsi="Palatino Linotype" w:cs="Palatino Linotype"/>
          <w:sz w:val="24"/>
          <w:szCs w:val="24"/>
        </w:rPr>
      </w:pPr>
    </w:p>
    <w:p w14:paraId="13FE10B3" w14:textId="77777777" w:rsidR="002B57F3" w:rsidRPr="00C45E23" w:rsidRDefault="003C2E85">
      <w:pPr>
        <w:spacing w:after="0" w:line="360" w:lineRule="auto"/>
        <w:ind w:left="567" w:right="900"/>
        <w:jc w:val="both"/>
        <w:rPr>
          <w:rFonts w:ascii="Palatino Linotype" w:eastAsia="Palatino Linotype" w:hAnsi="Palatino Linotype" w:cs="Palatino Linotype"/>
          <w:i/>
        </w:rPr>
      </w:pPr>
      <w:r w:rsidRPr="00C45E23">
        <w:rPr>
          <w:rFonts w:ascii="Palatino Linotype" w:eastAsia="Palatino Linotype" w:hAnsi="Palatino Linotype" w:cs="Palatino Linotype"/>
          <w:i/>
        </w:rPr>
        <w:t>“●Monto total individualizado asignado a mi plaza como ingreso bruto, que debí y debo percibir, por este año 2024;</w:t>
      </w:r>
    </w:p>
    <w:p w14:paraId="14D371DB" w14:textId="77777777" w:rsidR="002B57F3" w:rsidRPr="00C45E23" w:rsidRDefault="003C2E85">
      <w:pPr>
        <w:spacing w:after="0" w:line="360" w:lineRule="auto"/>
        <w:ind w:left="567" w:right="900"/>
        <w:jc w:val="both"/>
        <w:rPr>
          <w:rFonts w:ascii="Palatino Linotype" w:eastAsia="Palatino Linotype" w:hAnsi="Palatino Linotype" w:cs="Palatino Linotype"/>
          <w:i/>
        </w:rPr>
      </w:pPr>
      <w:r w:rsidRPr="00C45E23">
        <w:rPr>
          <w:rFonts w:ascii="Palatino Linotype" w:eastAsia="Palatino Linotype" w:hAnsi="Palatino Linotype" w:cs="Palatino Linotype"/>
          <w:i/>
        </w:rPr>
        <w:t>●</w:t>
      </w:r>
      <w:r w:rsidRPr="00C45E23">
        <w:rPr>
          <w:rFonts w:ascii="Palatino Linotype" w:eastAsia="Palatino Linotype" w:hAnsi="Palatino Linotype" w:cs="Palatino Linotype"/>
          <w:i/>
        </w:rPr>
        <w:tab/>
        <w:t>Monto detallado anual que debió aplicarse por concepto tanto de percepciones como de deducciones -cuyos conceptos se especificaron- respecto del ejercicio 2024.</w:t>
      </w:r>
    </w:p>
    <w:p w14:paraId="0EC39556" w14:textId="77777777" w:rsidR="002B57F3" w:rsidRPr="00C45E23" w:rsidRDefault="003C2E85">
      <w:pPr>
        <w:spacing w:after="0" w:line="360" w:lineRule="auto"/>
        <w:ind w:left="567" w:right="900"/>
        <w:jc w:val="both"/>
        <w:rPr>
          <w:rFonts w:ascii="Palatino Linotype" w:eastAsia="Palatino Linotype" w:hAnsi="Palatino Linotype" w:cs="Palatino Linotype"/>
          <w:i/>
        </w:rPr>
      </w:pPr>
      <w:r w:rsidRPr="00C45E23">
        <w:rPr>
          <w:rFonts w:ascii="Palatino Linotype" w:eastAsia="Palatino Linotype" w:hAnsi="Palatino Linotype" w:cs="Palatino Linotype"/>
          <w:i/>
        </w:rPr>
        <w:lastRenderedPageBreak/>
        <w:t>●</w:t>
      </w:r>
      <w:r w:rsidRPr="00C45E23">
        <w:rPr>
          <w:rFonts w:ascii="Palatino Linotype" w:eastAsia="Palatino Linotype" w:hAnsi="Palatino Linotype" w:cs="Palatino Linotype"/>
          <w:i/>
        </w:rPr>
        <w:tab/>
        <w:t>En caso de que exista diferencia salarial entre lo autorizado en el Anexo de Ejecución y lo que realmente se ha pagado en 2024, se informe el monto que dejé de percibir y los conceptos, en los cuales se aplicó la deducción.”</w:t>
      </w:r>
    </w:p>
    <w:p w14:paraId="0044AF41" w14:textId="77777777" w:rsidR="002B57F3" w:rsidRPr="00C45E23" w:rsidRDefault="002B57F3">
      <w:pPr>
        <w:spacing w:after="0" w:line="360" w:lineRule="auto"/>
        <w:ind w:left="567" w:right="900"/>
        <w:jc w:val="both"/>
        <w:rPr>
          <w:rFonts w:ascii="Palatino Linotype" w:eastAsia="Palatino Linotype" w:hAnsi="Palatino Linotype" w:cs="Palatino Linotype"/>
          <w:i/>
          <w:sz w:val="24"/>
          <w:szCs w:val="24"/>
        </w:rPr>
      </w:pPr>
    </w:p>
    <w:p w14:paraId="66040E21" w14:textId="77777777" w:rsidR="002B57F3" w:rsidRPr="00C45E23" w:rsidRDefault="003C2E8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Derivado de esta solicitud, </w:t>
      </w:r>
      <w:r w:rsidRPr="00C45E23">
        <w:rPr>
          <w:rFonts w:ascii="Palatino Linotype" w:eastAsia="Palatino Linotype" w:hAnsi="Palatino Linotype" w:cs="Palatino Linotype"/>
          <w:b/>
          <w:sz w:val="24"/>
          <w:szCs w:val="24"/>
        </w:rPr>
        <w:t>EL SUJETO OBLIGADO</w:t>
      </w:r>
      <w:r w:rsidRPr="00C45E23">
        <w:rPr>
          <w:rFonts w:ascii="Palatino Linotype" w:eastAsia="Palatino Linotype" w:hAnsi="Palatino Linotype" w:cs="Palatino Linotype"/>
          <w:sz w:val="24"/>
          <w:szCs w:val="24"/>
        </w:rPr>
        <w:t xml:space="preserve"> declaró la incompetencia total para atender la presente solicitud de información, asimismo refirió que puede ser competente para atender la presente solicitud el Colegio de Bachilleres del Estado de México y la Oficialía Mayor.</w:t>
      </w:r>
    </w:p>
    <w:p w14:paraId="449EE6B3" w14:textId="77777777" w:rsidR="002B57F3" w:rsidRPr="00C45E23" w:rsidRDefault="002B57F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1F0539AB" w14:textId="77777777" w:rsidR="002B57F3" w:rsidRPr="00C45E23" w:rsidRDefault="003C2E85">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Una vez conocida la respuesta, el particular interpuso el recurso de revisión que nos ocupa, inconformándose por la incompetencia alegada por </w:t>
      </w:r>
      <w:r w:rsidRPr="00C45E23">
        <w:rPr>
          <w:rFonts w:ascii="Palatino Linotype" w:eastAsia="Palatino Linotype" w:hAnsi="Palatino Linotype" w:cs="Palatino Linotype"/>
          <w:b/>
          <w:sz w:val="24"/>
          <w:szCs w:val="24"/>
        </w:rPr>
        <w:t>EL SUJETO OBLIGADO</w:t>
      </w:r>
      <w:r w:rsidRPr="00C45E23">
        <w:rPr>
          <w:rFonts w:ascii="Palatino Linotype" w:eastAsia="Palatino Linotype" w:hAnsi="Palatino Linotype" w:cs="Palatino Linotype"/>
          <w:sz w:val="24"/>
          <w:szCs w:val="24"/>
        </w:rPr>
        <w:t xml:space="preserve">; </w:t>
      </w:r>
    </w:p>
    <w:p w14:paraId="26822A64" w14:textId="77777777" w:rsidR="002B57F3" w:rsidRPr="00C45E23" w:rsidRDefault="002B57F3">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p>
    <w:p w14:paraId="6AA10CED" w14:textId="77777777" w:rsidR="002B57F3" w:rsidRPr="00C45E23" w:rsidRDefault="003C2E85">
      <w:pPr>
        <w:pBdr>
          <w:top w:val="nil"/>
          <w:left w:val="nil"/>
          <w:bottom w:val="nil"/>
          <w:right w:val="nil"/>
          <w:between w:val="nil"/>
        </w:pBdr>
        <w:tabs>
          <w:tab w:val="left" w:pos="284"/>
        </w:tabs>
        <w:spacing w:after="0" w:line="360" w:lineRule="auto"/>
        <w:ind w:right="51"/>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Durante la etapa de manifestaciones, se tiene constancia que en el informe justificado, la Secretaría de Finanzas ratificó la incompetencia total para atender el requerimiento de información, mientras que la persona solicitante adjuntó la digitalización por ambos lados de la Credencial para Votar, expedida por el Instituto Nacional Electoral, y el Anexo de Ejecución / Apoyo Financiero 2024 SEMS-EL COBAEM-MÉXICO 0236/24, los cuales son coincidentes en contenido con los remitidos desde la solicitud de acceso a la información.</w:t>
      </w:r>
    </w:p>
    <w:p w14:paraId="3F79CEB1" w14:textId="77777777" w:rsidR="002B57F3" w:rsidRPr="00C45E23" w:rsidRDefault="002B57F3">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p>
    <w:p w14:paraId="3EFB3A09"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Una vez analizado el expediente del recurso de revisión que se resuelve en este acto, este Organismo Garante determinó que el procedimiento de acceso a la información pública no es la vía para su tramitación, por lo que se determinó su atención en </w:t>
      </w:r>
      <w:r w:rsidRPr="00C45E23">
        <w:rPr>
          <w:rFonts w:ascii="Palatino Linotype" w:eastAsia="Palatino Linotype" w:hAnsi="Palatino Linotype" w:cs="Palatino Linotype"/>
          <w:sz w:val="24"/>
          <w:szCs w:val="24"/>
        </w:rPr>
        <w:lastRenderedPageBreak/>
        <w:t xml:space="preserve">términos del ejercicio del derecho de acceso a datos personales, toda vez que este Instituto, al igual que otros Organismo Garantes como el entonces Instituto Nacional de Acceso a la Información Pública y Protección de Datos Personales (INAI) se han pronunciado por la procedencia de los recursos de revisión según la materia de la solicitud. </w:t>
      </w:r>
    </w:p>
    <w:p w14:paraId="46EE4E06"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3F342574"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Discernimiento que encuentra apoyo en el criterio orientador </w:t>
      </w:r>
      <w:r w:rsidRPr="00C45E23">
        <w:rPr>
          <w:rFonts w:ascii="Palatino Linotype" w:eastAsia="Palatino Linotype" w:hAnsi="Palatino Linotype" w:cs="Palatino Linotype"/>
          <w:b/>
          <w:sz w:val="24"/>
          <w:szCs w:val="24"/>
        </w:rPr>
        <w:t>008/2009</w:t>
      </w:r>
      <w:r w:rsidRPr="00C45E23">
        <w:rPr>
          <w:rFonts w:ascii="Palatino Linotype" w:eastAsia="Palatino Linotype" w:hAnsi="Palatino Linotype" w:cs="Palatino Linotype"/>
          <w:sz w:val="24"/>
          <w:szCs w:val="24"/>
        </w:rPr>
        <w:t xml:space="preserve"> del entonces INAI, que a la letra dispone lo siguiente:</w:t>
      </w:r>
    </w:p>
    <w:p w14:paraId="4E8DB4D9"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2D5FBD47" w14:textId="77777777" w:rsidR="002B57F3" w:rsidRPr="00C45E23" w:rsidRDefault="003C2E85">
      <w:pPr>
        <w:tabs>
          <w:tab w:val="left" w:pos="7655"/>
        </w:tabs>
        <w:spacing w:after="0" w:line="276" w:lineRule="auto"/>
        <w:ind w:left="851" w:right="902"/>
        <w:jc w:val="both"/>
        <w:rPr>
          <w:rFonts w:ascii="Palatino Linotype" w:eastAsia="Palatino Linotype" w:hAnsi="Palatino Linotype" w:cs="Palatino Linotype"/>
          <w:b/>
          <w:i/>
        </w:rPr>
      </w:pPr>
      <w:r w:rsidRPr="00C45E23">
        <w:rPr>
          <w:rFonts w:ascii="Palatino Linotype" w:eastAsia="Palatino Linotype" w:hAnsi="Palatino Linotype" w:cs="Palatino Linotype"/>
          <w:i/>
        </w:rPr>
        <w:t>“</w:t>
      </w:r>
      <w:r w:rsidRPr="00C45E23">
        <w:rPr>
          <w:rFonts w:ascii="Palatino Linotype" w:eastAsia="Palatino Linotype" w:hAnsi="Palatino Linotype" w:cs="Palatino Linotype"/>
          <w:b/>
          <w:i/>
        </w:rPr>
        <w:t>Las dependencias y entidades deberán dar trámite a las solicitudes aun cuando la vía en la que fueron presentadas -acceso a datos personales o información pública- no corresponda con la naturaleza de la materia de la misma.</w:t>
      </w:r>
      <w:r w:rsidRPr="00C45E23">
        <w:rPr>
          <w:rFonts w:ascii="Palatino Linotype" w:eastAsia="Palatino Linotype" w:hAnsi="Palatino Linotype" w:cs="Palatino Linotype"/>
          <w:i/>
        </w:rPr>
        <w:t xml:space="preserve"> </w:t>
      </w:r>
      <w:r w:rsidRPr="00C45E23">
        <w:rPr>
          <w:rFonts w:ascii="Palatino Linotype" w:eastAsia="Palatino Linotype" w:hAnsi="Palatino Linotype" w:cs="Palatino Linotype"/>
          <w:b/>
          <w:i/>
        </w:rPr>
        <w:t xml:space="preserve">Todas aquellas solicitudes cuyo objetivo sea allegarse de información pública y que sean ingresadas por la vía de acceso a datos personales, así como el caso contrario, </w:t>
      </w:r>
      <w:r w:rsidRPr="00C45E23">
        <w:rPr>
          <w:rFonts w:ascii="Palatino Linotype" w:eastAsia="Palatino Linotype" w:hAnsi="Palatino Linotype" w:cs="Palatino Linotype"/>
          <w:b/>
          <w:i/>
          <w:u w:val="single"/>
        </w:rPr>
        <w:t>deberán ser tramitadas por las dependencias y entidades de conformidad con la naturaleza de la información de que se trate</w:t>
      </w:r>
      <w:r w:rsidRPr="00C45E23">
        <w:rPr>
          <w:rFonts w:ascii="Palatino Linotype" w:eastAsia="Palatino Linotype" w:hAnsi="Palatino Linotype" w:cs="Palatino Linotype"/>
          <w:b/>
          <w:i/>
        </w:rPr>
        <w:t>, sin necesidad de que el particular requiera presentar una nueva solicitud.</w:t>
      </w:r>
    </w:p>
    <w:p w14:paraId="4CED1B78" w14:textId="77777777" w:rsidR="002B57F3" w:rsidRPr="00C45E23" w:rsidRDefault="003C2E85">
      <w:pPr>
        <w:tabs>
          <w:tab w:val="left" w:pos="7655"/>
        </w:tabs>
        <w:spacing w:after="0" w:line="276" w:lineRule="auto"/>
        <w:ind w:left="851"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 xml:space="preserve">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w:t>
      </w:r>
      <w:r w:rsidRPr="00C45E23">
        <w:rPr>
          <w:rFonts w:ascii="Palatino Linotype" w:eastAsia="Palatino Linotype" w:hAnsi="Palatino Linotype" w:cs="Palatino Linotype"/>
          <w:i/>
        </w:rPr>
        <w:lastRenderedPageBreak/>
        <w:t xml:space="preserve">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w:t>
      </w:r>
      <w:r w:rsidRPr="00C45E23">
        <w:rPr>
          <w:rFonts w:ascii="Palatino Linotype" w:eastAsia="Palatino Linotype" w:hAnsi="Palatino Linotype" w:cs="Palatino Linotype"/>
          <w:b/>
          <w:i/>
        </w:rPr>
        <w:t>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r w:rsidRPr="00C45E23">
        <w:rPr>
          <w:rFonts w:ascii="Palatino Linotype" w:eastAsia="Palatino Linotype" w:hAnsi="Palatino Linotype" w:cs="Palatino Linotype"/>
          <w:i/>
        </w:rPr>
        <w:t>.” (Énfasis añadido)</w:t>
      </w:r>
    </w:p>
    <w:p w14:paraId="3F4399CB" w14:textId="77777777" w:rsidR="002B57F3" w:rsidRPr="00C45E23" w:rsidRDefault="002B57F3">
      <w:pPr>
        <w:tabs>
          <w:tab w:val="left" w:pos="7655"/>
        </w:tabs>
        <w:spacing w:after="0" w:line="360" w:lineRule="auto"/>
        <w:ind w:left="851" w:right="902"/>
        <w:jc w:val="both"/>
        <w:rPr>
          <w:rFonts w:ascii="Palatino Linotype" w:eastAsia="Palatino Linotype" w:hAnsi="Palatino Linotype" w:cs="Palatino Linotype"/>
          <w:i/>
          <w:sz w:val="24"/>
          <w:szCs w:val="24"/>
        </w:rPr>
      </w:pPr>
    </w:p>
    <w:p w14:paraId="1F6FDA5D" w14:textId="77777777" w:rsidR="002B57F3" w:rsidRPr="00C45E23" w:rsidRDefault="003C2E85">
      <w:pPr>
        <w:spacing w:after="0" w:line="360" w:lineRule="auto"/>
        <w:jc w:val="both"/>
        <w:rPr>
          <w:rFonts w:ascii="Palatino Linotype" w:eastAsia="Palatino Linotype" w:hAnsi="Palatino Linotype" w:cs="Palatino Linotype"/>
          <w:sz w:val="24"/>
          <w:szCs w:val="24"/>
        </w:rPr>
      </w:pPr>
      <w:bookmarkStart w:id="3" w:name="_heading=h.ji8ztm5oimvb" w:colFirst="0" w:colLast="0"/>
      <w:bookmarkEnd w:id="3"/>
      <w:r w:rsidRPr="00C45E23">
        <w:rPr>
          <w:rFonts w:ascii="Palatino Linotype" w:eastAsia="Palatino Linotype" w:hAnsi="Palatino Linotype" w:cs="Palatino Linotype"/>
          <w:sz w:val="24"/>
          <w:szCs w:val="24"/>
        </w:rPr>
        <w:t xml:space="preserve">Lo anterior, bajo el principio  de </w:t>
      </w:r>
      <w:proofErr w:type="spellStart"/>
      <w:r w:rsidRPr="00C45E23">
        <w:rPr>
          <w:rFonts w:ascii="Palatino Linotype" w:eastAsia="Palatino Linotype" w:hAnsi="Palatino Linotype" w:cs="Palatino Linotype"/>
          <w:sz w:val="24"/>
          <w:szCs w:val="24"/>
        </w:rPr>
        <w:t>expeditez</w:t>
      </w:r>
      <w:proofErr w:type="spellEnd"/>
      <w:r w:rsidRPr="00C45E23">
        <w:rPr>
          <w:rFonts w:ascii="Palatino Linotype" w:eastAsia="Palatino Linotype" w:hAnsi="Palatino Linotype" w:cs="Palatino Linotype"/>
          <w:sz w:val="24"/>
          <w:szCs w:val="24"/>
          <w:vertAlign w:val="superscript"/>
        </w:rPr>
        <w:footnoteReference w:id="1"/>
      </w:r>
      <w:r w:rsidRPr="00C45E23">
        <w:rPr>
          <w:rFonts w:ascii="Palatino Linotype" w:eastAsia="Palatino Linotype" w:hAnsi="Palatino Linotype" w:cs="Palatino Linotype"/>
          <w:sz w:val="24"/>
          <w:szCs w:val="24"/>
        </w:rPr>
        <w:t xml:space="preserve"> “</w:t>
      </w:r>
      <w:r w:rsidRPr="00C45E23">
        <w:rPr>
          <w:rFonts w:ascii="Palatino Linotype" w:eastAsia="Palatino Linotype" w:hAnsi="Palatino Linotype" w:cs="Palatino Linotype"/>
          <w:i/>
          <w:sz w:val="24"/>
          <w:szCs w:val="24"/>
        </w:rPr>
        <w:t xml:space="preserve">que consiste en que la impartición de justicia debe estar libre de estorbos, lo que significa que el poder público —en cualquiera de sus manifestaciones: Ejecutivo, Legislativo o Judicial— no puede supeditar el acceso a los tribunales a la satisfacción de condiciones innecesarias, excesivas y carentes de razonabilidad o proporcionalidad”, </w:t>
      </w:r>
      <w:r w:rsidRPr="00C45E23">
        <w:rPr>
          <w:rFonts w:ascii="Palatino Linotype" w:eastAsia="Palatino Linotype" w:hAnsi="Palatino Linotype" w:cs="Palatino Linotype"/>
          <w:sz w:val="24"/>
          <w:szCs w:val="24"/>
        </w:rPr>
        <w:t>determina  procedente dar trámite a la solicitud formulada por la recurrente bajo el procedimiento de acceso a los datos personales previsto en la Ley de Protección de Datos Personales en Posesión de Sujetos Obligados del Estado de México y Municipios, de conformidad con el artículo 1 de la Ley referida la misma tiene por objeto garantizar la protección de los datos personales que se encuentren en posesión de los sujetos obligados, de tal forma, en la resolución del presente asunto resulta aplicable la Ley de Protección de Datos Personales en Posesión de Sujetos Obligados del Estado de México y Municipios.</w:t>
      </w:r>
    </w:p>
    <w:p w14:paraId="2118DE8E" w14:textId="77777777" w:rsidR="002B57F3" w:rsidRPr="00C45E23" w:rsidRDefault="002B57F3">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p>
    <w:p w14:paraId="521EACF9"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Aunado a lo anterior, los Lineamientos Generales en Materia de Clasificación y Desclasificación de la Información, así como para la elaboración de Versiones Públicas, reformados el dieciocho de noviembre de dos mil veintidós, vigentes a la fecha de la solicitud, disponen lo siguiente en su lineamiento </w:t>
      </w:r>
      <w:r w:rsidRPr="00C45E23">
        <w:rPr>
          <w:rFonts w:ascii="Palatino Linotype" w:eastAsia="Palatino Linotype" w:hAnsi="Palatino Linotype" w:cs="Palatino Linotype"/>
          <w:b/>
          <w:sz w:val="24"/>
          <w:szCs w:val="24"/>
        </w:rPr>
        <w:t>trigésimo noveno</w:t>
      </w:r>
      <w:r w:rsidRPr="00C45E23">
        <w:rPr>
          <w:rFonts w:ascii="Palatino Linotype" w:eastAsia="Palatino Linotype" w:hAnsi="Palatino Linotype" w:cs="Palatino Linotype"/>
          <w:sz w:val="24"/>
          <w:szCs w:val="24"/>
        </w:rPr>
        <w:t xml:space="preserve">: </w:t>
      </w:r>
    </w:p>
    <w:p w14:paraId="7DDEBFEB"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6575970D" w14:textId="77777777" w:rsidR="002B57F3" w:rsidRPr="00C45E23" w:rsidRDefault="003C2E85">
      <w:pP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“Trigésimo noveno. Los datos personales concernientes a una persona física identificada o identificable, no podrán clasificarse como confidenciales ante sus titulares.</w:t>
      </w:r>
    </w:p>
    <w:p w14:paraId="6B30B126" w14:textId="77777777" w:rsidR="002B57F3" w:rsidRPr="00C45E23" w:rsidRDefault="003C2E85">
      <w:pPr>
        <w:spacing w:after="0" w:line="276" w:lineRule="auto"/>
        <w:ind w:left="567" w:right="902"/>
        <w:jc w:val="both"/>
        <w:rPr>
          <w:rFonts w:ascii="Palatino Linotype" w:eastAsia="Palatino Linotype" w:hAnsi="Palatino Linotype" w:cs="Palatino Linotype"/>
          <w:b/>
          <w:i/>
          <w:u w:val="single"/>
        </w:rPr>
      </w:pPr>
      <w:r w:rsidRPr="00C45E23">
        <w:rPr>
          <w:rFonts w:ascii="Palatino Linotype" w:eastAsia="Palatino Linotype" w:hAnsi="Palatino Linotype" w:cs="Palatino Linotype"/>
          <w:b/>
          <w:i/>
          <w:u w:val="single"/>
        </w:rPr>
        <w:t>En caso de que el titular de los datos o su representante realice una solicitud de acceso a la información donde se encuentren sus datos personales, los sujetos obligados deberán reconducir la solicitud y atenderla en términos de las leyes aplicables al ejercicio del derecho a la protección de datos personales. Dando acceso a los datos previa acreditación de la identidad o personalidad del mismo, en términos de las disposiciones normativas aplicables.</w:t>
      </w:r>
    </w:p>
    <w:p w14:paraId="4609006E" w14:textId="77777777" w:rsidR="002B57F3" w:rsidRPr="00C45E23" w:rsidRDefault="003C2E85">
      <w:pP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En caso de que los documentos puestos a disposición del titular de los datos contengan información pública, además de sus datos personales, no deberá testarse ésta.</w:t>
      </w:r>
    </w:p>
    <w:p w14:paraId="62625F17" w14:textId="77777777" w:rsidR="002B57F3" w:rsidRPr="00C45E23" w:rsidRDefault="003C2E85">
      <w:pP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Ante las solicitudes de acceso en las que se requieran datos personales de terceros que obren en una fuente de acceso público o en un registro público, los sujetos obligados en cumplimiento al principio de finalidad deberán orientar al solicitante para que acuda a aquél en el que se encuentre la información y la obtenga mediante el procedimiento establecido para tal fin.” (Énfasis añadido)</w:t>
      </w:r>
    </w:p>
    <w:p w14:paraId="72E6DB1B" w14:textId="77777777" w:rsidR="002B57F3" w:rsidRPr="00C45E23" w:rsidRDefault="002B57F3">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p>
    <w:p w14:paraId="1D708E47" w14:textId="77777777" w:rsidR="002B57F3" w:rsidRPr="00C45E23" w:rsidRDefault="003C2E85">
      <w:pPr>
        <w:spacing w:after="0" w:line="360" w:lineRule="auto"/>
        <w:ind w:right="49"/>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Teniendo esto en cuenta, este Instituto </w:t>
      </w:r>
      <w:proofErr w:type="spellStart"/>
      <w:r w:rsidRPr="00C45E23">
        <w:rPr>
          <w:rFonts w:ascii="Palatino Linotype" w:eastAsia="Palatino Linotype" w:hAnsi="Palatino Linotype" w:cs="Palatino Linotype"/>
          <w:sz w:val="24"/>
          <w:szCs w:val="24"/>
        </w:rPr>
        <w:t>aperturó</w:t>
      </w:r>
      <w:proofErr w:type="spellEnd"/>
      <w:r w:rsidRPr="00C45E23">
        <w:rPr>
          <w:rFonts w:ascii="Palatino Linotype" w:eastAsia="Palatino Linotype" w:hAnsi="Palatino Linotype" w:cs="Palatino Linotype"/>
          <w:sz w:val="24"/>
          <w:szCs w:val="24"/>
        </w:rPr>
        <w:t xml:space="preserve"> la fase de conciliación, en la cual</w:t>
      </w:r>
      <w:r w:rsidRPr="00C45E23">
        <w:rPr>
          <w:rFonts w:ascii="Palatino Linotype" w:eastAsia="Palatino Linotype" w:hAnsi="Palatino Linotype" w:cs="Palatino Linotype"/>
          <w:b/>
          <w:sz w:val="24"/>
          <w:szCs w:val="24"/>
        </w:rPr>
        <w:t xml:space="preserve"> LA PARTE RECURRENTE</w:t>
      </w:r>
      <w:r w:rsidRPr="00C45E23">
        <w:rPr>
          <w:rFonts w:ascii="Palatino Linotype" w:eastAsia="Palatino Linotype" w:hAnsi="Palatino Linotype" w:cs="Palatino Linotype"/>
          <w:sz w:val="24"/>
          <w:szCs w:val="24"/>
        </w:rPr>
        <w:t xml:space="preserve"> </w:t>
      </w:r>
      <w:r w:rsidRPr="00C45E23">
        <w:rPr>
          <w:rFonts w:ascii="Palatino Linotype" w:eastAsia="Palatino Linotype" w:hAnsi="Palatino Linotype" w:cs="Palatino Linotype"/>
          <w:b/>
          <w:sz w:val="24"/>
          <w:szCs w:val="24"/>
          <w:u w:val="single"/>
        </w:rPr>
        <w:t>expresó su voluntad para conciliar en el presente asunto</w:t>
      </w:r>
      <w:r w:rsidRPr="00C45E23">
        <w:rPr>
          <w:rFonts w:ascii="Palatino Linotype" w:eastAsia="Palatino Linotype" w:hAnsi="Palatino Linotype" w:cs="Palatino Linotype"/>
          <w:sz w:val="24"/>
          <w:szCs w:val="24"/>
        </w:rPr>
        <w:t xml:space="preserve">, mientras que </w:t>
      </w:r>
      <w:r w:rsidRPr="00C45E23">
        <w:rPr>
          <w:rFonts w:ascii="Palatino Linotype" w:eastAsia="Palatino Linotype" w:hAnsi="Palatino Linotype" w:cs="Palatino Linotype"/>
          <w:b/>
          <w:sz w:val="24"/>
          <w:szCs w:val="24"/>
        </w:rPr>
        <w:t>EL SUJETO OBLIGADO</w:t>
      </w:r>
      <w:r w:rsidRPr="00C45E23">
        <w:rPr>
          <w:rFonts w:ascii="Palatino Linotype" w:eastAsia="Palatino Linotype" w:hAnsi="Palatino Linotype" w:cs="Palatino Linotype"/>
          <w:sz w:val="24"/>
          <w:szCs w:val="24"/>
        </w:rPr>
        <w:t xml:space="preserve"> manifestó medularmente que </w:t>
      </w:r>
      <w:r w:rsidRPr="00C45E23">
        <w:rPr>
          <w:rFonts w:ascii="Palatino Linotype" w:eastAsia="Palatino Linotype" w:hAnsi="Palatino Linotype" w:cs="Palatino Linotype"/>
          <w:b/>
          <w:sz w:val="24"/>
          <w:szCs w:val="24"/>
          <w:u w:val="single"/>
        </w:rPr>
        <w:t>no es posible llevar a cabo la conciliación</w:t>
      </w:r>
      <w:r w:rsidRPr="00C45E23">
        <w:rPr>
          <w:rFonts w:ascii="Palatino Linotype" w:eastAsia="Palatino Linotype" w:hAnsi="Palatino Linotype" w:cs="Palatino Linotype"/>
          <w:sz w:val="24"/>
          <w:szCs w:val="24"/>
        </w:rPr>
        <w:t xml:space="preserve">, en virtud de que no cuenta con la competencia </w:t>
      </w:r>
      <w:r w:rsidRPr="00C45E23">
        <w:rPr>
          <w:rFonts w:ascii="Palatino Linotype" w:eastAsia="Palatino Linotype" w:hAnsi="Palatino Linotype" w:cs="Palatino Linotype"/>
          <w:sz w:val="24"/>
          <w:szCs w:val="24"/>
        </w:rPr>
        <w:lastRenderedPageBreak/>
        <w:t>para conocer de la información solicitada, por lo que ante la inexistencia de una voluntad recíproca para conciliar en el presente asunto se cerró la etapa conciliatoria.</w:t>
      </w:r>
    </w:p>
    <w:p w14:paraId="020EE9D3"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112D07B1"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Asimismo, en el escrito mediante el cual </w:t>
      </w:r>
      <w:r w:rsidRPr="00C45E23">
        <w:rPr>
          <w:rFonts w:ascii="Palatino Linotype" w:eastAsia="Palatino Linotype" w:hAnsi="Palatino Linotype" w:cs="Palatino Linotype"/>
          <w:b/>
          <w:sz w:val="24"/>
          <w:szCs w:val="24"/>
        </w:rPr>
        <w:t>LA PARTE RECURRENTE</w:t>
      </w:r>
      <w:r w:rsidRPr="00C45E23">
        <w:rPr>
          <w:rFonts w:ascii="Palatino Linotype" w:eastAsia="Palatino Linotype" w:hAnsi="Palatino Linotype" w:cs="Palatino Linotype"/>
          <w:sz w:val="24"/>
          <w:szCs w:val="24"/>
        </w:rPr>
        <w:t xml:space="preserve"> manifestó su voluntad de conciliar se advierte que hizo referencia a la conciliación pero bajo la entrega por parte del </w:t>
      </w:r>
      <w:r w:rsidRPr="00C45E23">
        <w:rPr>
          <w:rFonts w:ascii="Palatino Linotype" w:eastAsia="Palatino Linotype" w:hAnsi="Palatino Linotype" w:cs="Palatino Linotype"/>
          <w:b/>
          <w:sz w:val="24"/>
          <w:szCs w:val="24"/>
        </w:rPr>
        <w:t xml:space="preserve">Sujeto Obligado </w:t>
      </w:r>
      <w:r w:rsidRPr="00C45E23">
        <w:rPr>
          <w:rFonts w:ascii="Palatino Linotype" w:eastAsia="Palatino Linotype" w:hAnsi="Palatino Linotype" w:cs="Palatino Linotype"/>
          <w:sz w:val="24"/>
          <w:szCs w:val="24"/>
        </w:rPr>
        <w:t>de “</w:t>
      </w:r>
      <w:r w:rsidRPr="00C45E23">
        <w:rPr>
          <w:rFonts w:ascii="Palatino Linotype" w:eastAsia="Palatino Linotype" w:hAnsi="Palatino Linotype" w:cs="Palatino Linotype"/>
          <w:i/>
          <w:sz w:val="24"/>
          <w:szCs w:val="24"/>
        </w:rPr>
        <w:t>documentos donde se deslinden de la responsabilidad del Anexo de Ejecución 2024, al que se obligaron, presentando para tal efecto los recibos, trasferencia, acuses o documento fehaciente donde acredite y demuestre que entregó el recurso económico tanto Federal como el Estatal al Colegio de Bachilleres del Estado de México</w:t>
      </w:r>
      <w:r w:rsidRPr="00C45E23">
        <w:rPr>
          <w:rFonts w:ascii="Palatino Linotype" w:eastAsia="Palatino Linotype" w:hAnsi="Palatino Linotype" w:cs="Palatino Linotype"/>
          <w:sz w:val="24"/>
          <w:szCs w:val="24"/>
        </w:rPr>
        <w:t>”.</w:t>
      </w:r>
    </w:p>
    <w:p w14:paraId="078CC216"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3DFE73A0"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Al respecto, debe mencionarse que </w:t>
      </w:r>
      <w:r w:rsidRPr="00C45E23">
        <w:rPr>
          <w:rFonts w:ascii="Palatino Linotype" w:eastAsia="Palatino Linotype" w:hAnsi="Palatino Linotype" w:cs="Palatino Linotype"/>
          <w:b/>
          <w:sz w:val="24"/>
          <w:szCs w:val="24"/>
        </w:rPr>
        <w:t xml:space="preserve">LA PARTE RECURRENTE </w:t>
      </w:r>
      <w:r w:rsidRPr="00C45E23">
        <w:rPr>
          <w:rFonts w:ascii="Palatino Linotype" w:eastAsia="Palatino Linotype" w:hAnsi="Palatino Linotype" w:cs="Palatino Linotype"/>
          <w:sz w:val="24"/>
          <w:szCs w:val="24"/>
        </w:rPr>
        <w:t xml:space="preserve">pretendió ampliar su solicitud, pues como se advierte, requirió que </w:t>
      </w:r>
      <w:r w:rsidRPr="00C45E23">
        <w:rPr>
          <w:rFonts w:ascii="Palatino Linotype" w:eastAsia="Palatino Linotype" w:hAnsi="Palatino Linotype" w:cs="Palatino Linotype"/>
          <w:b/>
          <w:sz w:val="24"/>
          <w:szCs w:val="24"/>
        </w:rPr>
        <w:t xml:space="preserve">EL SUJETO OBLIGADO </w:t>
      </w:r>
      <w:r w:rsidRPr="00C45E23">
        <w:rPr>
          <w:rFonts w:ascii="Palatino Linotype" w:eastAsia="Palatino Linotype" w:hAnsi="Palatino Linotype" w:cs="Palatino Linotype"/>
          <w:sz w:val="24"/>
          <w:szCs w:val="24"/>
        </w:rPr>
        <w:t xml:space="preserve">proporcionara los documentos donde se deslinda de la responsabilidad del Anexo de Ejecución 2024, presentando recibos, trasferencia, acuses o documento fehaciente donde acredite y demuestre que entregó el recurso económico tanto Federal como el Estatal al Colegio de Bachilleres del Estado de México; sin embargo, dicha información no fue requerida al momento de presentar las solicitudes de información, como se desprende de los antecedentes de la presente resolución, y de las constancias que obran en el expediente electrónico del SAIMEX. En este sentido, dichos pronunciamientos se traducen como </w:t>
      </w:r>
      <w:proofErr w:type="gramStart"/>
      <w:r w:rsidRPr="00C45E23">
        <w:rPr>
          <w:rFonts w:ascii="Palatino Linotype" w:eastAsia="Palatino Linotype" w:hAnsi="Palatino Linotype" w:cs="Palatino Linotype"/>
          <w:sz w:val="24"/>
          <w:szCs w:val="24"/>
        </w:rPr>
        <w:t xml:space="preserve">una </w:t>
      </w:r>
      <w:r w:rsidRPr="00C45E23">
        <w:rPr>
          <w:rFonts w:ascii="Palatino Linotype" w:eastAsia="Palatino Linotype" w:hAnsi="Palatino Linotype" w:cs="Palatino Linotype"/>
          <w:i/>
          <w:sz w:val="24"/>
          <w:szCs w:val="24"/>
        </w:rPr>
        <w:t>plus</w:t>
      </w:r>
      <w:proofErr w:type="gramEnd"/>
      <w:r w:rsidRPr="00C45E23">
        <w:rPr>
          <w:rFonts w:ascii="Palatino Linotype" w:eastAsia="Palatino Linotype" w:hAnsi="Palatino Linotype" w:cs="Palatino Linotype"/>
          <w:i/>
          <w:sz w:val="24"/>
          <w:szCs w:val="24"/>
        </w:rPr>
        <w:t xml:space="preserve"> </w:t>
      </w:r>
      <w:proofErr w:type="spellStart"/>
      <w:r w:rsidRPr="00C45E23">
        <w:rPr>
          <w:rFonts w:ascii="Palatino Linotype" w:eastAsia="Palatino Linotype" w:hAnsi="Palatino Linotype" w:cs="Palatino Linotype"/>
          <w:i/>
          <w:sz w:val="24"/>
          <w:szCs w:val="24"/>
        </w:rPr>
        <w:t>petitio</w:t>
      </w:r>
      <w:proofErr w:type="spellEnd"/>
      <w:r w:rsidRPr="00C45E23">
        <w:rPr>
          <w:rFonts w:ascii="Palatino Linotype" w:eastAsia="Palatino Linotype" w:hAnsi="Palatino Linotype" w:cs="Palatino Linotype"/>
          <w:b/>
          <w:i/>
          <w:sz w:val="24"/>
          <w:szCs w:val="24"/>
        </w:rPr>
        <w:t xml:space="preserve">, </w:t>
      </w:r>
      <w:r w:rsidRPr="00C45E23">
        <w:rPr>
          <w:rFonts w:ascii="Palatino Linotype" w:eastAsia="Palatino Linotype" w:hAnsi="Palatino Linotype" w:cs="Palatino Linotype"/>
          <w:sz w:val="24"/>
          <w:szCs w:val="24"/>
        </w:rPr>
        <w:t xml:space="preserve">y por tanto inatendibles a través del recurso de revisión.  </w:t>
      </w:r>
    </w:p>
    <w:p w14:paraId="65A68C5A"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4163409F"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En este orden de ideas, una vez formulada su solicitud inicial,</w:t>
      </w:r>
      <w:r w:rsidRPr="00C45E23">
        <w:rPr>
          <w:rFonts w:ascii="Palatino Linotype" w:eastAsia="Palatino Linotype" w:hAnsi="Palatino Linotype" w:cs="Palatino Linotype"/>
          <w:i/>
          <w:sz w:val="24"/>
          <w:szCs w:val="24"/>
        </w:rPr>
        <w:t xml:space="preserve"> </w:t>
      </w:r>
      <w:r w:rsidRPr="00C45E23">
        <w:rPr>
          <w:rFonts w:ascii="Palatino Linotype" w:eastAsia="Palatino Linotype" w:hAnsi="Palatino Linotype" w:cs="Palatino Linotype"/>
          <w:sz w:val="24"/>
          <w:szCs w:val="24"/>
        </w:rPr>
        <w:t>los particulares no pueden modificarla o ampliarla a través de posteriores promociones o en el momento de ingresar su recurso de revisión y menos aún si les fue otorgada la oportunidad para su ampliación, por tanto, la materia de las solicitudes de información se circunscribe a que se permita el acceso a los documentos inicialmente solicitados y en su caso a los aclarados o corregidos.</w:t>
      </w:r>
    </w:p>
    <w:p w14:paraId="17B2EB22"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45F322E3"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Robustece lo anterior lo plasmado en el Criterio orientador con clave de control SO/001/2017, emitido por el entonces Instituto Nacional de Transparencia, Acceso a la Información y Protección de Datos Personales, INAI, que lleva por rubro y texto lo que a continuación se transcribe:</w:t>
      </w:r>
    </w:p>
    <w:p w14:paraId="1B8E2666"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3763D8EB" w14:textId="77777777" w:rsidR="002B57F3" w:rsidRPr="00C45E23" w:rsidRDefault="003C2E85">
      <w:pPr>
        <w:spacing w:after="0" w:line="276" w:lineRule="auto"/>
        <w:ind w:left="992" w:right="902"/>
        <w:jc w:val="both"/>
        <w:rPr>
          <w:rFonts w:ascii="Palatino Linotype" w:eastAsia="Palatino Linotype" w:hAnsi="Palatino Linotype" w:cs="Palatino Linotype"/>
        </w:rPr>
      </w:pPr>
      <w:r w:rsidRPr="00C45E23">
        <w:rPr>
          <w:rFonts w:ascii="Palatino Linotype" w:eastAsia="Palatino Linotype" w:hAnsi="Palatino Linotype" w:cs="Palatino Linotype"/>
          <w:i/>
        </w:rPr>
        <w:t>“</w:t>
      </w:r>
      <w:r w:rsidRPr="00C45E23">
        <w:rPr>
          <w:rFonts w:ascii="Palatino Linotype" w:eastAsia="Palatino Linotype" w:hAnsi="Palatino Linotype" w:cs="Palatino Linotype"/>
          <w:b/>
          <w:i/>
        </w:rPr>
        <w:t xml:space="preserve">Es improcedente ampliar las solicitudes de acceso a información, a través de la interposición del recurso de revisión. </w:t>
      </w:r>
      <w:r w:rsidRPr="00C45E23">
        <w:rPr>
          <w:rFonts w:ascii="Palatino Linotype" w:eastAsia="Palatino Linotype" w:hAnsi="Palatino Linotype" w:cs="Palatino Linotype"/>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C45E23">
        <w:rPr>
          <w:rFonts w:ascii="Palatino Linotype" w:eastAsia="Palatino Linotype" w:hAnsi="Palatino Linotype" w:cs="Palatino Linotype"/>
          <w:b/>
          <w:i/>
        </w:rPr>
        <w:t>.</w:t>
      </w:r>
      <w:r w:rsidRPr="00C45E23">
        <w:rPr>
          <w:rFonts w:ascii="Palatino Linotype" w:eastAsia="Palatino Linotype" w:hAnsi="Palatino Linotype" w:cs="Palatino Linotype"/>
          <w:i/>
        </w:rPr>
        <w:t>”</w:t>
      </w:r>
    </w:p>
    <w:p w14:paraId="0C857C40"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77FC64A9"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lastRenderedPageBreak/>
        <w:t>No obstante, se dejan a salvo los derechos de la persona solicitante para que, en caso de considerar conveniente a sus intereses, el conocer la información que fue señalada, la solicite a través de una nueva solicitud de información.</w:t>
      </w:r>
    </w:p>
    <w:p w14:paraId="28AE9730"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4CEAE693"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Precisado lo anterior, es de retomar que, del análisis a la solicitud que dio origen al recurso de revisión de nuestra atención, se advierte que </w:t>
      </w:r>
      <w:r w:rsidRPr="00C45E23">
        <w:rPr>
          <w:rFonts w:ascii="Palatino Linotype" w:eastAsia="Palatino Linotype" w:hAnsi="Palatino Linotype" w:cs="Palatino Linotype"/>
          <w:b/>
          <w:sz w:val="24"/>
          <w:szCs w:val="24"/>
        </w:rPr>
        <w:t>LA PARTE RECURRENTE</w:t>
      </w:r>
      <w:r w:rsidRPr="00C45E23">
        <w:rPr>
          <w:rFonts w:ascii="Palatino Linotype" w:eastAsia="Palatino Linotype" w:hAnsi="Palatino Linotype" w:cs="Palatino Linotype"/>
          <w:sz w:val="24"/>
          <w:szCs w:val="24"/>
        </w:rPr>
        <w:t xml:space="preserve"> pretendió ejercer uno de los derechos ARCO, como es el de acceso a datos personales, ello en virtud de que requiere el monto total individualizado asignado a mi plaza como ingreso bruto, que debió y debe percibir, por este año 2024; monto detallado anual que debió aplicarse por concepto tanto de percepciones como de deducciones -cuyos conceptos se precisaron en cada caso, respecto del ejercicio 2024- y en caso de que exista diferencia salarial entre lo autorizado en el Anexo de Ejecución y lo que realmente se ha pagado en 2024, se informe el monto que dejó de percibir y los conceptos, en los cuales se aplicó la deducción.</w:t>
      </w:r>
    </w:p>
    <w:p w14:paraId="6A9C82F2"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11586D30" w14:textId="77777777" w:rsidR="002B57F3" w:rsidRPr="00C45E23" w:rsidRDefault="003C2E8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Por lo que, una vez establecidas las posturas de las partes, se procede al análisis de los requerimientos de información, así como la información proporcionada por </w:t>
      </w:r>
      <w:r w:rsidRPr="00C45E23">
        <w:rPr>
          <w:rFonts w:ascii="Palatino Linotype" w:eastAsia="Palatino Linotype" w:hAnsi="Palatino Linotype" w:cs="Palatino Linotype"/>
          <w:b/>
          <w:sz w:val="24"/>
          <w:szCs w:val="24"/>
        </w:rPr>
        <w:t xml:space="preserve">EL SUJETO OBLIGADO, </w:t>
      </w:r>
      <w:r w:rsidRPr="00C45E23">
        <w:rPr>
          <w:rFonts w:ascii="Palatino Linotype" w:eastAsia="Palatino Linotype" w:hAnsi="Palatino Linotype" w:cs="Palatino Linotype"/>
          <w:sz w:val="24"/>
          <w:szCs w:val="24"/>
        </w:rPr>
        <w:t xml:space="preserve">en contraposición con el motivo de inconformidad alegado por </w:t>
      </w:r>
      <w:r w:rsidRPr="00C45E23">
        <w:rPr>
          <w:rFonts w:ascii="Palatino Linotype" w:eastAsia="Palatino Linotype" w:hAnsi="Palatino Linotype" w:cs="Palatino Linotype"/>
          <w:b/>
          <w:sz w:val="24"/>
          <w:szCs w:val="24"/>
        </w:rPr>
        <w:t xml:space="preserve">LA PARTE RECURRENTE, </w:t>
      </w:r>
      <w:r w:rsidRPr="00C45E23">
        <w:rPr>
          <w:rFonts w:ascii="Palatino Linotype" w:eastAsia="Palatino Linotype" w:hAnsi="Palatino Linotype" w:cs="Palatino Linotype"/>
          <w:sz w:val="24"/>
          <w:szCs w:val="24"/>
        </w:rPr>
        <w:t>con la finalidad de determinar si el Derecho de acceso de esta se satisfizo, o, en su defecto, ordenar el soporte documental correspondiente, en caso de ser procedente.</w:t>
      </w:r>
    </w:p>
    <w:p w14:paraId="086173CD" w14:textId="77777777" w:rsidR="002B57F3" w:rsidRPr="00C45E23" w:rsidRDefault="002B57F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1DA43D24"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lastRenderedPageBreak/>
        <w:t xml:space="preserve">En este tenor, toda vez que </w:t>
      </w:r>
      <w:r w:rsidRPr="00C45E23">
        <w:rPr>
          <w:rFonts w:ascii="Palatino Linotype" w:eastAsia="Palatino Linotype" w:hAnsi="Palatino Linotype" w:cs="Palatino Linotype"/>
          <w:b/>
          <w:sz w:val="24"/>
          <w:szCs w:val="24"/>
        </w:rPr>
        <w:t>EL SUJETO OBLIGADO</w:t>
      </w:r>
      <w:r w:rsidRPr="00C45E23">
        <w:rPr>
          <w:rFonts w:ascii="Palatino Linotype" w:eastAsia="Palatino Linotype" w:hAnsi="Palatino Linotype" w:cs="Palatino Linotype"/>
          <w:sz w:val="24"/>
          <w:szCs w:val="24"/>
        </w:rPr>
        <w:t xml:space="preserve"> se declaró incompetente para dar atención a la solicitud de información y que este es el motivo de inconformidad hecho valer por </w:t>
      </w:r>
      <w:r w:rsidRPr="00C45E23">
        <w:rPr>
          <w:rFonts w:ascii="Palatino Linotype" w:eastAsia="Palatino Linotype" w:hAnsi="Palatino Linotype" w:cs="Palatino Linotype"/>
          <w:b/>
          <w:sz w:val="24"/>
          <w:szCs w:val="24"/>
        </w:rPr>
        <w:t>LA PARTE RECURRENTE</w:t>
      </w:r>
      <w:r w:rsidRPr="00C45E23">
        <w:rPr>
          <w:rFonts w:ascii="Palatino Linotype" w:eastAsia="Palatino Linotype" w:hAnsi="Palatino Linotype" w:cs="Palatino Linotype"/>
          <w:sz w:val="24"/>
          <w:szCs w:val="24"/>
        </w:rPr>
        <w:t>, se estima necesario abordar, en primera instancia, la competencia de la autoridad emisora del acto impugnado,  por ser una cuestión de orden público y de estudio preferente pues de ella deriva la validez de los actos que se emiten, los cuales las autoridades solo pueden realizar en los términos que les ordena la ley.</w:t>
      </w:r>
    </w:p>
    <w:p w14:paraId="40CA545C"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2D1335CC" w14:textId="77777777" w:rsidR="002B57F3" w:rsidRPr="00C45E23" w:rsidRDefault="003C2E8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Sirve de sustento a lo anterior, por analogía, la Jurisprudencia con número de registro 170827, emitida por la Segunda Sala de la Suprema Corte de Justicia de la Nación, cuyo rubro y texto a continuación se transcriben:</w:t>
      </w:r>
    </w:p>
    <w:p w14:paraId="5503ADEC" w14:textId="77777777" w:rsidR="002B57F3" w:rsidRPr="00C45E23" w:rsidRDefault="002B57F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09341646" w14:textId="77777777" w:rsidR="002B57F3" w:rsidRPr="00C45E23" w:rsidRDefault="003C2E85">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w:t>
      </w:r>
      <w:r w:rsidRPr="00C45E23">
        <w:rPr>
          <w:rFonts w:ascii="Palatino Linotype" w:eastAsia="Palatino Linotype" w:hAnsi="Palatino Linotype" w:cs="Palatino Linotype"/>
          <w:b/>
          <w:i/>
        </w:rPr>
        <w:t>COMPETENCIA. SU ESTUDIO OFICIOSO RESPECTO DE LA AUTORIDAD DEMANDADA EN EL JUICIO CONTENCIOSO ADMINISTRATIVO, DEBE SER ANALIZADA POR LAS SALAS DEL TRIBUNAL FEDERAL DE JUSTICIA FISCAL Y ADMINISTRATIVA</w:t>
      </w:r>
      <w:r w:rsidRPr="00C45E23">
        <w:rPr>
          <w:rFonts w:ascii="Palatino Linotype" w:eastAsia="Palatino Linotype" w:hAnsi="Palatino Linotype" w:cs="Palatino Linotype"/>
          <w:i/>
        </w:rPr>
        <w:t xml:space="preserve">.- El artículo 238, penúltimo párrafo, del Código Fiscal de la Federación y su correlativo 51, penúltimo párrafo, de la Ley Federal de Procedimiento Contencioso Administrativo, </w:t>
      </w:r>
      <w:r w:rsidRPr="00C45E23">
        <w:rPr>
          <w:rFonts w:ascii="Palatino Linotype" w:eastAsia="Palatino Linotype" w:hAnsi="Palatino Linotype" w:cs="Palatino Linotype"/>
          <w:b/>
          <w:i/>
        </w:rPr>
        <w:t>establece que ese Tribunal podrá hacer valer de oficio, por ser de orden público, la incompetencia de la autoridad para dictar la resolución impugnada.</w:t>
      </w:r>
      <w:r w:rsidRPr="00C45E23">
        <w:rPr>
          <w:rFonts w:ascii="Palatino Linotype" w:eastAsia="Palatino Linotype" w:hAnsi="Palatino Linotype" w:cs="Palatino Linotype"/>
          <w:i/>
        </w:rPr>
        <w:t xml:space="preserve"> Al respecto debe decirse que ese estudio implica todo lo relacionado con la competencia de la autoridad, supuesto en el cual se incluye tanto la ausencia de fundamentación de la competencia, como la indebida o insuficiente fundamentación de la misma, en virtud de que al tratarse de una facultad oficiosa, las Salas fiscales de cualquier modo entrarán al examen de las facultades de la autoridad para emitir el acto de molestia; lo anterior con independencia de que exista o no agravio del afectado, o bien, de que invoque incompetencia o simplemente argumente una indebida, insuficiente o deficiente </w:t>
      </w:r>
      <w:r w:rsidRPr="00C45E23">
        <w:rPr>
          <w:rFonts w:ascii="Palatino Linotype" w:eastAsia="Palatino Linotype" w:hAnsi="Palatino Linotype" w:cs="Palatino Linotype"/>
          <w:i/>
        </w:rPr>
        <w:lastRenderedPageBreak/>
        <w:t xml:space="preserve">fundamentación de la competencia. Cabe agregar que </w:t>
      </w:r>
      <w:r w:rsidRPr="00C45E23">
        <w:rPr>
          <w:rFonts w:ascii="Palatino Linotype" w:eastAsia="Palatino Linotype" w:hAnsi="Palatino Linotype" w:cs="Palatino Linotype"/>
          <w:b/>
          <w:i/>
        </w:rPr>
        <w:t>en el caso de que las Salas fiscales estimen que la autoridad administrativa es incompetente, su pronunciamiento en ese sentido será indispensable, porque ello constituirá causa de nulidad de la resolución impugnada;</w:t>
      </w:r>
      <w:r w:rsidRPr="00C45E23">
        <w:rPr>
          <w:rFonts w:ascii="Palatino Linotype" w:eastAsia="Palatino Linotype" w:hAnsi="Palatino Linotype" w:cs="Palatino Linotype"/>
          <w:i/>
        </w:rPr>
        <w:t xml:space="preserve"> sin embargo, si considera que la autoridad es competente, esto no quiere decir que dicha autoridad jurisdiccional necesariamente deba pronunciarse al respecto en los fallos que emita, pues el no pronunciamiento expreso, simplemente es indicativo de que estimó que la autoridad demandada sí tenía competencia para emitir la resolución o acto impugnado en el juicio de nulidad.”</w:t>
      </w:r>
    </w:p>
    <w:p w14:paraId="2E471F3F" w14:textId="77777777" w:rsidR="002B57F3" w:rsidRPr="00C45E23" w:rsidRDefault="002B57F3">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i/>
          <w:sz w:val="24"/>
          <w:szCs w:val="24"/>
        </w:rPr>
      </w:pPr>
    </w:p>
    <w:p w14:paraId="798686FB" w14:textId="77777777" w:rsidR="002B57F3" w:rsidRPr="00C45E23" w:rsidRDefault="003C2E8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El estudio preferente del principio de competencia, entendido en su origen como la aptitud atribuida expresamente a una autoridad, por una norma jurídica, para llevar a cabo determinadas conductas o actos, tiene su justificación en la protección y seguridad del gobernado a efecto de que tenga el conocimiento cierto de quién es la autoridad que emite el acto o resolución que lo afecta jurídicamente, para tener la posibilidad de verificar si dicha autoridad tiene o no atribuciones o facultades para conocer respecto de los actos de molestia, y esté en posibilidad de oponer sus defensas. </w:t>
      </w:r>
    </w:p>
    <w:p w14:paraId="38F535E2" w14:textId="77777777" w:rsidR="002B57F3" w:rsidRPr="00C45E23" w:rsidRDefault="002B57F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3220EBC1" w14:textId="77777777" w:rsidR="002B57F3" w:rsidRPr="00C45E23" w:rsidRDefault="003C2E8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Una vez acotado lo anterior, respecto a la materia de la solicitud es oportuno mencionar que el objeto del Anexo de Ejecución / Apoyo Financiero 2024 SEMS-EL COBAEM-MÉXICO 0236/24, celebrado entre el Ejecutivo Federal, por conducto de la Secretaría de Educación Pública (SEP); el Gobierno del Estado de México, asistido por la </w:t>
      </w:r>
      <w:r w:rsidRPr="00C45E23">
        <w:rPr>
          <w:rFonts w:ascii="Palatino Linotype" w:eastAsia="Palatino Linotype" w:hAnsi="Palatino Linotype" w:cs="Palatino Linotype"/>
          <w:b/>
          <w:sz w:val="24"/>
          <w:szCs w:val="24"/>
        </w:rPr>
        <w:t>Secretaría de Finanzas</w:t>
      </w:r>
      <w:r w:rsidRPr="00C45E23">
        <w:rPr>
          <w:rFonts w:ascii="Palatino Linotype" w:eastAsia="Palatino Linotype" w:hAnsi="Palatino Linotype" w:cs="Palatino Linotype"/>
          <w:sz w:val="24"/>
          <w:szCs w:val="24"/>
        </w:rPr>
        <w:t xml:space="preserve"> y la Secretaría de Educación, Ciencia, Tecnología e Innovación; y el Colegio de Bachilleres del Estado de México, (COBAEM), en términos de su Cláusula Primera, consiste en establecer las bases conforme a las </w:t>
      </w:r>
      <w:r w:rsidRPr="00C45E23">
        <w:rPr>
          <w:rFonts w:ascii="Palatino Linotype" w:eastAsia="Palatino Linotype" w:hAnsi="Palatino Linotype" w:cs="Palatino Linotype"/>
          <w:sz w:val="24"/>
          <w:szCs w:val="24"/>
        </w:rPr>
        <w:lastRenderedPageBreak/>
        <w:t>cuales la Secretaría de Educación Pública y el Gobierno del Estado de México, proporcionarán subsidio al COBAEM, durante el ejercicio 2024, a fin de contribuir al financiamiento de sus gastos de operación, es decir, el costo del analítico de servicios personales que comprende el número de plazas y horas, prestaciones y conceptos autorizados, con base en los catálogos de puestos/categorías y tabuladores de sueldos, así como en las prestaciones autorizadas a los organismos descentralizados estatales vigentes, emitidos por la Dirección General de Recursos Humanos y Organización de la Secretaría de Educación Pública; adquisición de materiales y suministros -capítulo 2000- y servicios generales– capítulo 3000-, de conformidad con lo establecido en los Apartados “A” y “B” firmados por las partes, que forman parte integrante del Acuerdo.</w:t>
      </w:r>
    </w:p>
    <w:p w14:paraId="34011DFC" w14:textId="77777777" w:rsidR="002B57F3" w:rsidRPr="00C45E23" w:rsidRDefault="002B57F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29E82257" w14:textId="77777777" w:rsidR="002B57F3" w:rsidRPr="00C45E23" w:rsidRDefault="003C2E8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Lo anterior, en cumplimiento al Convenio de Coordinación para la Creación, Operación y Apoyo financiero del el COBAEM suscrito por la SEP y el Gobierno del Estado de México el veintiocho de junio de mil novecientos noventa y seis, en cuya cláusula Novena convinieron concurrir en partes iguales a la integración del presupuesto anual de operación; y al Convenio Marco de Coordinación para Promover y Prestar en el Estado de México Servicios Educativos del Tipo Medio Superior dentro del Sistema Nacional de Bachillerato, así como para fortalecer la formación para el trabajo, celebrado el treinta de junio de dos mil nueve, en cuyas Cláusulas Trigésima Séptima y Cuadragésima Cuarta se prevé que las partes operaran dicho instrumento a través de los oficios de autorización que expida la SEP, </w:t>
      </w:r>
      <w:r w:rsidRPr="00C45E23">
        <w:rPr>
          <w:rFonts w:ascii="Palatino Linotype" w:eastAsia="Palatino Linotype" w:hAnsi="Palatino Linotype" w:cs="Palatino Linotype"/>
          <w:sz w:val="24"/>
          <w:szCs w:val="24"/>
        </w:rPr>
        <w:lastRenderedPageBreak/>
        <w:t>o bien mediante la suscripción de anexos de ejecución, anuales y específicos por cada uno de los organismos públicos descentralizados que operen en la entidad.</w:t>
      </w:r>
    </w:p>
    <w:p w14:paraId="497A3C9F" w14:textId="77777777" w:rsidR="002B57F3" w:rsidRPr="00C45E23" w:rsidRDefault="002B57F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71747181" w14:textId="77777777" w:rsidR="002B57F3" w:rsidRPr="00C45E23" w:rsidRDefault="003C2E8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En este contexto, la solicitud de información se presentó tomando como referencia el Apartado “B” correspondiente al Analítico de servicios personales 2024, plazas, horas y sueldos autorizados, del Anexo de Ejecución / Apoyo Financiero 2024 SEMS-EL COBAEM-MÉXICO 0236/24:</w:t>
      </w:r>
    </w:p>
    <w:p w14:paraId="1B336896" w14:textId="77777777" w:rsidR="002B57F3" w:rsidRPr="00C45E23" w:rsidRDefault="003C2E85">
      <w:pPr>
        <w:pBdr>
          <w:top w:val="nil"/>
          <w:left w:val="nil"/>
          <w:bottom w:val="nil"/>
          <w:right w:val="nil"/>
          <w:between w:val="nil"/>
        </w:pBdr>
        <w:spacing w:after="0" w:line="360" w:lineRule="auto"/>
        <w:jc w:val="center"/>
        <w:rPr>
          <w:rFonts w:ascii="Palatino Linotype" w:eastAsia="Palatino Linotype" w:hAnsi="Palatino Linotype" w:cs="Palatino Linotype"/>
          <w:sz w:val="24"/>
          <w:szCs w:val="24"/>
        </w:rPr>
      </w:pPr>
      <w:r w:rsidRPr="00C45E23">
        <w:rPr>
          <w:rFonts w:ascii="Palatino Linotype" w:eastAsia="Palatino Linotype" w:hAnsi="Palatino Linotype" w:cs="Palatino Linotype"/>
          <w:noProof/>
          <w:sz w:val="24"/>
          <w:szCs w:val="24"/>
        </w:rPr>
        <w:drawing>
          <wp:inline distT="0" distB="0" distL="0" distR="0" wp14:anchorId="1BA43EA3" wp14:editId="0703C424">
            <wp:extent cx="5296512" cy="3153139"/>
            <wp:effectExtent l="0" t="0" r="0" b="0"/>
            <wp:docPr id="21401319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b="-408"/>
                    <a:stretch>
                      <a:fillRect/>
                    </a:stretch>
                  </pic:blipFill>
                  <pic:spPr>
                    <a:xfrm>
                      <a:off x="0" y="0"/>
                      <a:ext cx="5296512" cy="3153139"/>
                    </a:xfrm>
                    <a:prstGeom prst="rect">
                      <a:avLst/>
                    </a:prstGeom>
                    <a:ln/>
                  </pic:spPr>
                </pic:pic>
              </a:graphicData>
            </a:graphic>
          </wp:inline>
        </w:drawing>
      </w:r>
    </w:p>
    <w:p w14:paraId="1E400CC0" w14:textId="77777777" w:rsidR="002B57F3" w:rsidRPr="00C45E23" w:rsidRDefault="003C2E85">
      <w:pPr>
        <w:pBdr>
          <w:top w:val="nil"/>
          <w:left w:val="nil"/>
          <w:bottom w:val="nil"/>
          <w:right w:val="nil"/>
          <w:between w:val="nil"/>
        </w:pBdr>
        <w:spacing w:after="0" w:line="360" w:lineRule="auto"/>
        <w:jc w:val="center"/>
        <w:rPr>
          <w:rFonts w:ascii="Palatino Linotype" w:eastAsia="Palatino Linotype" w:hAnsi="Palatino Linotype" w:cs="Palatino Linotype"/>
          <w:sz w:val="24"/>
          <w:szCs w:val="24"/>
        </w:rPr>
      </w:pPr>
      <w:r w:rsidRPr="00C45E23">
        <w:rPr>
          <w:rFonts w:ascii="Palatino Linotype" w:eastAsia="Palatino Linotype" w:hAnsi="Palatino Linotype" w:cs="Palatino Linotype"/>
          <w:noProof/>
          <w:sz w:val="24"/>
          <w:szCs w:val="24"/>
        </w:rPr>
        <w:lastRenderedPageBreak/>
        <w:drawing>
          <wp:inline distT="0" distB="0" distL="0" distR="0" wp14:anchorId="36885326" wp14:editId="26EAA9E1">
            <wp:extent cx="5400000" cy="4184725"/>
            <wp:effectExtent l="0" t="0" r="0" b="0"/>
            <wp:docPr id="21401319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400000" cy="4184725"/>
                    </a:xfrm>
                    <a:prstGeom prst="rect">
                      <a:avLst/>
                    </a:prstGeom>
                    <a:ln/>
                  </pic:spPr>
                </pic:pic>
              </a:graphicData>
            </a:graphic>
          </wp:inline>
        </w:drawing>
      </w:r>
    </w:p>
    <w:p w14:paraId="1A35D574" w14:textId="77777777" w:rsidR="002B57F3" w:rsidRPr="00C45E23" w:rsidRDefault="003C2E85">
      <w:pPr>
        <w:pBdr>
          <w:top w:val="nil"/>
          <w:left w:val="nil"/>
          <w:bottom w:val="nil"/>
          <w:right w:val="nil"/>
          <w:between w:val="nil"/>
        </w:pBdr>
        <w:spacing w:after="0" w:line="360" w:lineRule="auto"/>
        <w:ind w:right="99"/>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Una vez precisado lo anterior, se procede al análisis del marco normativo aplicable al </w:t>
      </w:r>
      <w:r w:rsidRPr="00C45E23">
        <w:rPr>
          <w:rFonts w:ascii="Palatino Linotype" w:eastAsia="Palatino Linotype" w:hAnsi="Palatino Linotype" w:cs="Palatino Linotype"/>
          <w:b/>
          <w:sz w:val="24"/>
          <w:szCs w:val="24"/>
        </w:rPr>
        <w:t xml:space="preserve">SUJETO OBLIGADO, </w:t>
      </w:r>
      <w:r w:rsidRPr="00C45E23">
        <w:rPr>
          <w:rFonts w:ascii="Palatino Linotype" w:eastAsia="Palatino Linotype" w:hAnsi="Palatino Linotype" w:cs="Palatino Linotype"/>
          <w:sz w:val="24"/>
          <w:szCs w:val="24"/>
        </w:rPr>
        <w:t>con la finalidad de determinar sus atribuciones, y si estas se vinculan con la materia de la solicitud.</w:t>
      </w:r>
    </w:p>
    <w:p w14:paraId="1E4A835B" w14:textId="77777777" w:rsidR="002B57F3" w:rsidRPr="00C45E23" w:rsidRDefault="002B57F3">
      <w:pPr>
        <w:pBdr>
          <w:top w:val="nil"/>
          <w:left w:val="nil"/>
          <w:bottom w:val="nil"/>
          <w:right w:val="nil"/>
          <w:between w:val="nil"/>
        </w:pBdr>
        <w:spacing w:after="0" w:line="360" w:lineRule="auto"/>
        <w:ind w:right="99"/>
        <w:jc w:val="both"/>
        <w:rPr>
          <w:rFonts w:ascii="Palatino Linotype" w:eastAsia="Palatino Linotype" w:hAnsi="Palatino Linotype" w:cs="Palatino Linotype"/>
          <w:sz w:val="24"/>
          <w:szCs w:val="24"/>
        </w:rPr>
      </w:pPr>
    </w:p>
    <w:p w14:paraId="2B9E0716" w14:textId="77777777" w:rsidR="002B57F3" w:rsidRPr="00C45E23" w:rsidRDefault="003C2E85">
      <w:pPr>
        <w:numPr>
          <w:ilvl w:val="0"/>
          <w:numId w:val="1"/>
        </w:numPr>
        <w:pBdr>
          <w:top w:val="nil"/>
          <w:left w:val="nil"/>
          <w:bottom w:val="nil"/>
          <w:right w:val="nil"/>
          <w:between w:val="nil"/>
        </w:pBdr>
        <w:spacing w:after="0" w:line="360" w:lineRule="auto"/>
        <w:ind w:left="0" w:right="99" w:hanging="142"/>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b/>
          <w:sz w:val="24"/>
          <w:szCs w:val="24"/>
          <w:u w:val="single"/>
        </w:rPr>
        <w:t xml:space="preserve">De la esfera competencial de la Secretaría de Finanzas </w:t>
      </w:r>
    </w:p>
    <w:p w14:paraId="6882A657" w14:textId="77777777" w:rsidR="002B57F3" w:rsidRPr="00C45E23" w:rsidRDefault="002B57F3">
      <w:pPr>
        <w:pBdr>
          <w:top w:val="nil"/>
          <w:left w:val="nil"/>
          <w:bottom w:val="nil"/>
          <w:right w:val="nil"/>
          <w:between w:val="nil"/>
        </w:pBdr>
        <w:spacing w:after="0" w:line="360" w:lineRule="auto"/>
        <w:ind w:right="99"/>
        <w:jc w:val="both"/>
        <w:rPr>
          <w:rFonts w:ascii="Palatino Linotype" w:eastAsia="Palatino Linotype" w:hAnsi="Palatino Linotype" w:cs="Palatino Linotype"/>
          <w:sz w:val="24"/>
          <w:szCs w:val="24"/>
        </w:rPr>
      </w:pPr>
    </w:p>
    <w:p w14:paraId="77343F27" w14:textId="77777777" w:rsidR="002B57F3" w:rsidRPr="00C45E23" w:rsidRDefault="003C2E85">
      <w:pPr>
        <w:pBdr>
          <w:top w:val="nil"/>
          <w:left w:val="nil"/>
          <w:bottom w:val="nil"/>
          <w:right w:val="nil"/>
          <w:between w:val="nil"/>
        </w:pBdr>
        <w:spacing w:after="0" w:line="360" w:lineRule="auto"/>
        <w:ind w:right="99"/>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En este tenor, de conformidad con el artículo 28 de la Ley Orgánica de la Administración Pública del Estado de México, la Secretaría de Finanzas es la dependencia encargada de la planeación, programación, presupuestación y </w:t>
      </w:r>
      <w:r w:rsidRPr="00C45E23">
        <w:rPr>
          <w:rFonts w:ascii="Palatino Linotype" w:eastAsia="Palatino Linotype" w:hAnsi="Palatino Linotype" w:cs="Palatino Linotype"/>
          <w:sz w:val="24"/>
          <w:szCs w:val="24"/>
        </w:rPr>
        <w:lastRenderedPageBreak/>
        <w:t>evaluación de las actividades del Poder Ejecutivo, de la administración financiera y tributaria de la hacienda pública del Estado que requieran las dependencias del Poder Ejecutivo del Estado, en los ámbitos de su competencia.</w:t>
      </w:r>
    </w:p>
    <w:p w14:paraId="2A67BC6C" w14:textId="77777777" w:rsidR="002B57F3" w:rsidRPr="00C45E23" w:rsidRDefault="002B57F3">
      <w:pPr>
        <w:pBdr>
          <w:top w:val="nil"/>
          <w:left w:val="nil"/>
          <w:bottom w:val="nil"/>
          <w:right w:val="nil"/>
          <w:between w:val="nil"/>
        </w:pBdr>
        <w:spacing w:after="0" w:line="360" w:lineRule="auto"/>
        <w:ind w:right="99"/>
        <w:jc w:val="both"/>
        <w:rPr>
          <w:rFonts w:ascii="Palatino Linotype" w:eastAsia="Palatino Linotype" w:hAnsi="Palatino Linotype" w:cs="Palatino Linotype"/>
          <w:sz w:val="24"/>
          <w:szCs w:val="24"/>
        </w:rPr>
      </w:pPr>
    </w:p>
    <w:p w14:paraId="68B43B72" w14:textId="77777777" w:rsidR="002B57F3" w:rsidRPr="00C45E23" w:rsidRDefault="003C2E85">
      <w:pPr>
        <w:pBdr>
          <w:top w:val="nil"/>
          <w:left w:val="nil"/>
          <w:bottom w:val="nil"/>
          <w:right w:val="nil"/>
          <w:between w:val="nil"/>
        </w:pBdr>
        <w:spacing w:after="0" w:line="360" w:lineRule="auto"/>
        <w:ind w:right="99"/>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Sus atribuciones se contemplan en el artículo 29 de la Ley Orgánica de la Administración Pública: </w:t>
      </w:r>
    </w:p>
    <w:p w14:paraId="655977CD" w14:textId="77777777" w:rsidR="002B57F3" w:rsidRPr="00C45E23" w:rsidRDefault="002B57F3">
      <w:pPr>
        <w:pBdr>
          <w:top w:val="nil"/>
          <w:left w:val="nil"/>
          <w:bottom w:val="nil"/>
          <w:right w:val="nil"/>
          <w:between w:val="nil"/>
        </w:pBdr>
        <w:spacing w:after="0" w:line="360" w:lineRule="auto"/>
        <w:ind w:right="99"/>
        <w:jc w:val="both"/>
        <w:rPr>
          <w:rFonts w:ascii="Palatino Linotype" w:eastAsia="Palatino Linotype" w:hAnsi="Palatino Linotype" w:cs="Palatino Linotype"/>
          <w:sz w:val="24"/>
          <w:szCs w:val="24"/>
        </w:rPr>
      </w:pPr>
    </w:p>
    <w:p w14:paraId="3455E930"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Artículo 29</w:t>
      </w:r>
      <w:r w:rsidRPr="00C45E23">
        <w:rPr>
          <w:rFonts w:ascii="Palatino Linotype" w:eastAsia="Palatino Linotype" w:hAnsi="Palatino Linotype" w:cs="Palatino Linotype"/>
          <w:i/>
        </w:rPr>
        <w:t xml:space="preserve">. La Secretaría de Finanzas contará con las siguientes atribuciones: </w:t>
      </w:r>
    </w:p>
    <w:p w14:paraId="5EDF97A0"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 xml:space="preserve">I. </w:t>
      </w:r>
      <w:r w:rsidRPr="00C45E23">
        <w:rPr>
          <w:rFonts w:ascii="Palatino Linotype" w:eastAsia="Palatino Linotype" w:hAnsi="Palatino Linotype" w:cs="Palatino Linotype"/>
          <w:i/>
        </w:rPr>
        <w:t xml:space="preserve">Formular y someter a consideración del Poder Ejecutivo, bajo los principios de austeridad y equidad, los proyectos de leyes, reglamentos y demás disposiciones de carácter general que se requieran para la planeación, programación, presupuestación, y evaluación de la actividad económica y financiera del Estado, así como para la actividad fiscal y tributaria en el marco del sistema de planeación democrático; </w:t>
      </w:r>
    </w:p>
    <w:p w14:paraId="42C8B003"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II.</w:t>
      </w:r>
      <w:r w:rsidRPr="00C45E23">
        <w:rPr>
          <w:rFonts w:ascii="Palatino Linotype" w:eastAsia="Palatino Linotype" w:hAnsi="Palatino Linotype" w:cs="Palatino Linotype"/>
          <w:i/>
        </w:rPr>
        <w:t xml:space="preserve"> </w:t>
      </w:r>
      <w:r w:rsidRPr="00C45E23">
        <w:rPr>
          <w:rFonts w:ascii="Palatino Linotype" w:eastAsia="Palatino Linotype" w:hAnsi="Palatino Linotype" w:cs="Palatino Linotype"/>
          <w:b/>
          <w:i/>
        </w:rPr>
        <w:t xml:space="preserve">Establecer políticas en materia hacendaria, así como </w:t>
      </w:r>
      <w:r w:rsidRPr="00C45E23">
        <w:rPr>
          <w:rFonts w:ascii="Palatino Linotype" w:eastAsia="Palatino Linotype" w:hAnsi="Palatino Linotype" w:cs="Palatino Linotype"/>
          <w:b/>
          <w:i/>
          <w:u w:val="single"/>
        </w:rPr>
        <w:t>recaudar</w:t>
      </w:r>
      <w:r w:rsidRPr="00C45E23">
        <w:rPr>
          <w:rFonts w:ascii="Palatino Linotype" w:eastAsia="Palatino Linotype" w:hAnsi="Palatino Linotype" w:cs="Palatino Linotype"/>
          <w:b/>
          <w:i/>
        </w:rPr>
        <w:t xml:space="preserve"> los impuestos, derechos, aportaciones de mejoras, productos y aprovechamientos, que correspondan al Estado</w:t>
      </w:r>
      <w:r w:rsidRPr="00C45E23">
        <w:rPr>
          <w:rFonts w:ascii="Palatino Linotype" w:eastAsia="Palatino Linotype" w:hAnsi="Palatino Linotype" w:cs="Palatino Linotype"/>
          <w:i/>
        </w:rPr>
        <w:t xml:space="preserve">; </w:t>
      </w:r>
      <w:r w:rsidRPr="00C45E23">
        <w:rPr>
          <w:rFonts w:ascii="Palatino Linotype" w:eastAsia="Palatino Linotype" w:hAnsi="Palatino Linotype" w:cs="Palatino Linotype"/>
          <w:b/>
          <w:i/>
        </w:rPr>
        <w:t xml:space="preserve">y </w:t>
      </w:r>
      <w:r w:rsidRPr="00C45E23">
        <w:rPr>
          <w:rFonts w:ascii="Palatino Linotype" w:eastAsia="Palatino Linotype" w:hAnsi="Palatino Linotype" w:cs="Palatino Linotype"/>
          <w:b/>
          <w:i/>
          <w:u w:val="single"/>
        </w:rPr>
        <w:t>las contribuciones federales</w:t>
      </w:r>
      <w:r w:rsidRPr="00C45E23">
        <w:rPr>
          <w:rFonts w:ascii="Palatino Linotype" w:eastAsia="Palatino Linotype" w:hAnsi="Palatino Linotype" w:cs="Palatino Linotype"/>
          <w:b/>
          <w:i/>
        </w:rPr>
        <w:t xml:space="preserve"> y municipales en los términos de los convenios suscritos, conforme a las leyes estatales y generales aplicables</w:t>
      </w:r>
      <w:r w:rsidRPr="00C45E23">
        <w:rPr>
          <w:rFonts w:ascii="Palatino Linotype" w:eastAsia="Palatino Linotype" w:hAnsi="Palatino Linotype" w:cs="Palatino Linotype"/>
          <w:i/>
        </w:rPr>
        <w:t>, mediante designación directa de las personas servidoras públicas consideradas en la Ley, cualesquiera de sus facultades otorgadas por los propios convenios suscritos, excepto aquéllas que por disposición de ley o del reglamento interior respectivo, deban ser ejercidas precisamente por la propia persona titular de la Secretaría;</w:t>
      </w:r>
    </w:p>
    <w:p w14:paraId="28154998"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III</w:t>
      </w:r>
      <w:r w:rsidRPr="00C45E23">
        <w:rPr>
          <w:rFonts w:ascii="Palatino Linotype" w:eastAsia="Palatino Linotype" w:hAnsi="Palatino Linotype" w:cs="Palatino Linotype"/>
          <w:i/>
        </w:rPr>
        <w:t xml:space="preserve">. Instrumentar, vigilar y buscar asegurar el cumplimiento de las disposiciones legales de carácter fiscal y las demás de su ramo, aplicables en el Estado; </w:t>
      </w:r>
    </w:p>
    <w:p w14:paraId="53B51247"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IV</w:t>
      </w:r>
      <w:r w:rsidRPr="00C45E23">
        <w:rPr>
          <w:rFonts w:ascii="Palatino Linotype" w:eastAsia="Palatino Linotype" w:hAnsi="Palatino Linotype" w:cs="Palatino Linotype"/>
          <w:i/>
        </w:rPr>
        <w:t xml:space="preserve">. Ejercer en el ámbito de su competencia las atribuciones derivadas de los convenios fiscales que celebre el Gobierno del Estado con la Secretaría de Hacienda y Crédito Público del Gobierno Federal, con los gobiernos de otros estados de la República, con los gobiernos municipales y con organismos auxiliares; </w:t>
      </w:r>
    </w:p>
    <w:p w14:paraId="648B0143"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lastRenderedPageBreak/>
        <w:t>V</w:t>
      </w:r>
      <w:r w:rsidRPr="00C45E23">
        <w:rPr>
          <w:rFonts w:ascii="Palatino Linotype" w:eastAsia="Palatino Linotype" w:hAnsi="Palatino Linotype" w:cs="Palatino Linotype"/>
          <w:i/>
        </w:rPr>
        <w:t xml:space="preserve">. Formular y presentar a la persona titular del Poder Ejecutivo del Estado, los proyectos de Ley de Ingresos, del Presupuesto de Egresos y el programa general del gasto público; </w:t>
      </w:r>
    </w:p>
    <w:p w14:paraId="43BC4E84"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VI</w:t>
      </w:r>
      <w:r w:rsidRPr="00C45E23">
        <w:rPr>
          <w:rFonts w:ascii="Palatino Linotype" w:eastAsia="Palatino Linotype" w:hAnsi="Palatino Linotype" w:cs="Palatino Linotype"/>
          <w:i/>
        </w:rPr>
        <w:t>. Practicar revisiones y auditorías a los causantes para prevenir la evasión y elusión, y en su caso, determinar créditos fiscales y precisar las bases para su liquidación;</w:t>
      </w:r>
    </w:p>
    <w:p w14:paraId="2A1CFC5D"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VII</w:t>
      </w:r>
      <w:r w:rsidRPr="00C45E23">
        <w:rPr>
          <w:rFonts w:ascii="Palatino Linotype" w:eastAsia="Palatino Linotype" w:hAnsi="Palatino Linotype" w:cs="Palatino Linotype"/>
          <w:i/>
        </w:rPr>
        <w:t>. Formular mensualmente los estados financieros de la hacienda pública, presentando anualmente a la persona titular del Poder Ejecutivo del Estado, en la primera quincena del mes de enero, un informe pormenorizado del ejercicio fiscal anterior;</w:t>
      </w:r>
    </w:p>
    <w:p w14:paraId="350A5088"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VIII</w:t>
      </w:r>
      <w:r w:rsidRPr="00C45E23">
        <w:rPr>
          <w:rFonts w:ascii="Palatino Linotype" w:eastAsia="Palatino Linotype" w:hAnsi="Palatino Linotype" w:cs="Palatino Linotype"/>
          <w:i/>
        </w:rPr>
        <w:t>. Ejercer la facultad económico-coactiva conforme a las leyes relativas, para hacer efectivos los créditos fiscales a favor del Estado;</w:t>
      </w:r>
    </w:p>
    <w:p w14:paraId="67C03597"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IX.</w:t>
      </w:r>
      <w:r w:rsidRPr="00C45E23">
        <w:rPr>
          <w:rFonts w:ascii="Palatino Linotype" w:eastAsia="Palatino Linotype" w:hAnsi="Palatino Linotype" w:cs="Palatino Linotype"/>
          <w:i/>
        </w:rPr>
        <w:t xml:space="preserve"> Establecer, administrar, integrar, controlar, verificar y mantener actualizados, el padrón fiscal de contribuyentes y demás registros relacionados, conforme a las disposiciones legales aplicables; </w:t>
      </w:r>
    </w:p>
    <w:p w14:paraId="53D4C6EF"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w:t>
      </w:r>
      <w:r w:rsidRPr="00C45E23">
        <w:rPr>
          <w:rFonts w:ascii="Palatino Linotype" w:eastAsia="Palatino Linotype" w:hAnsi="Palatino Linotype" w:cs="Palatino Linotype"/>
          <w:i/>
        </w:rPr>
        <w:t xml:space="preserve">. Cuidar que las personas empleadas que manejen fondos del Estado otorguen fianza suficiente para garantizar su manejo en los términos que determine la ley; </w:t>
      </w:r>
    </w:p>
    <w:p w14:paraId="24E099F0"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XI</w:t>
      </w:r>
      <w:r w:rsidRPr="00C45E23">
        <w:rPr>
          <w:rFonts w:ascii="Palatino Linotype" w:eastAsia="Palatino Linotype" w:hAnsi="Palatino Linotype" w:cs="Palatino Linotype"/>
          <w:i/>
        </w:rPr>
        <w:t xml:space="preserve">. Dictar las normas relacionadas con el manejo de fondos y valores de las dependencias, organismos auxiliares y fideicomisos del Estado, así como custodiar los documentos que constituyen valores, acciones y demás derechos que formen parte del patrimonio del Estado y los de los particulares reintegrables; </w:t>
      </w:r>
    </w:p>
    <w:p w14:paraId="577E613B"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XII</w:t>
      </w:r>
      <w:r w:rsidRPr="00C45E23">
        <w:rPr>
          <w:rFonts w:ascii="Palatino Linotype" w:eastAsia="Palatino Linotype" w:hAnsi="Palatino Linotype" w:cs="Palatino Linotype"/>
          <w:i/>
        </w:rPr>
        <w:t xml:space="preserve">. Acordar con la persona titular del Poder Ejecutivo del Estado, la negociación de contratación, refinanciamiento y reestructura de la deuda pública estatal, llevar su registro y control; así como vigilar y registrar la de los municipios, informándole periódicamente sobre su estado y conformación; </w:t>
      </w:r>
    </w:p>
    <w:p w14:paraId="2664F47E"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XIII</w:t>
      </w:r>
      <w:r w:rsidRPr="00C45E23">
        <w:rPr>
          <w:rFonts w:ascii="Palatino Linotype" w:eastAsia="Palatino Linotype" w:hAnsi="Palatino Linotype" w:cs="Palatino Linotype"/>
          <w:i/>
        </w:rPr>
        <w:t xml:space="preserve">. Dirigir, regular, controlar, supervisar y evaluar las actividades de las personas servidoras públicas en las oficinas recaudadoras físicas y virtuales, así como de orientación y asistencia a las personas contribuyentes en el Estado; </w:t>
      </w:r>
    </w:p>
    <w:p w14:paraId="0A045A5F"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XIV</w:t>
      </w:r>
      <w:r w:rsidRPr="00C45E23">
        <w:rPr>
          <w:rFonts w:ascii="Palatino Linotype" w:eastAsia="Palatino Linotype" w:hAnsi="Palatino Linotype" w:cs="Palatino Linotype"/>
          <w:i/>
        </w:rPr>
        <w:t xml:space="preserve">. </w:t>
      </w:r>
      <w:r w:rsidRPr="00C45E23">
        <w:rPr>
          <w:rFonts w:ascii="Palatino Linotype" w:eastAsia="Palatino Linotype" w:hAnsi="Palatino Linotype" w:cs="Palatino Linotype"/>
          <w:b/>
          <w:i/>
        </w:rPr>
        <w:t>Efectuar los pagos conforme a los programas y presupuestos aprobados, así como, formular mensualmente el estado de origen y aplicación de los recursos financieros y tributarios del Estado</w:t>
      </w:r>
      <w:r w:rsidRPr="00C45E23">
        <w:rPr>
          <w:rFonts w:ascii="Palatino Linotype" w:eastAsia="Palatino Linotype" w:hAnsi="Palatino Linotype" w:cs="Palatino Linotype"/>
          <w:i/>
        </w:rPr>
        <w:t xml:space="preserve">; </w:t>
      </w:r>
    </w:p>
    <w:p w14:paraId="640BA4C2"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lastRenderedPageBreak/>
        <w:t>XV</w:t>
      </w:r>
      <w:r w:rsidRPr="00C45E23">
        <w:rPr>
          <w:rFonts w:ascii="Palatino Linotype" w:eastAsia="Palatino Linotype" w:hAnsi="Palatino Linotype" w:cs="Palatino Linotype"/>
          <w:i/>
        </w:rPr>
        <w:t xml:space="preserve">. Proponer a la persona titular del Poder Ejecutivo del Estado la cancelación de cuentas incobrables, así como el otorgamiento de subsidios fiscales en los casos en que proceda; </w:t>
      </w:r>
    </w:p>
    <w:p w14:paraId="2DBC93CC"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 xml:space="preserve">XVI. </w:t>
      </w:r>
      <w:r w:rsidRPr="00C45E23">
        <w:rPr>
          <w:rFonts w:ascii="Palatino Linotype" w:eastAsia="Palatino Linotype" w:hAnsi="Palatino Linotype" w:cs="Palatino Linotype"/>
          <w:i/>
        </w:rPr>
        <w:t xml:space="preserve">Proporcionar asesoría en materia de interpretación y aplicación de las leyes tributarias, presupuestales y administrativas de su competencia que le sea solicitada por las dependencias y entidades de la Administración Pública, por los ayuntamientos y por los particulares, así como realizar una labor permanente de difusión y orientación fiscal; </w:t>
      </w:r>
    </w:p>
    <w:p w14:paraId="367ED379"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XVII</w:t>
      </w:r>
      <w:r w:rsidRPr="00C45E23">
        <w:rPr>
          <w:rFonts w:ascii="Palatino Linotype" w:eastAsia="Palatino Linotype" w:hAnsi="Palatino Linotype" w:cs="Palatino Linotype"/>
          <w:i/>
        </w:rPr>
        <w:t>. Tramitar y resolver los recursos administrativos en la esfera de su competencia e intervenir en los juicios de carácter fiscal que se ventilen ante cualquier tribunal cuando tenga interés la Entidad. En materia de impuestos federales coordinados, en representación de la Entidad y en cumplimiento de los convenios y acuerdos de coordinación fiscal, tendrá las siguientes facultades:</w:t>
      </w:r>
    </w:p>
    <w:p w14:paraId="3A83A50B"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a)</w:t>
      </w:r>
      <w:r w:rsidRPr="00C45E23">
        <w:rPr>
          <w:rFonts w:ascii="Palatino Linotype" w:eastAsia="Palatino Linotype" w:hAnsi="Palatino Linotype" w:cs="Palatino Linotype"/>
          <w:i/>
        </w:rPr>
        <w:t xml:space="preserve"> Intervenir como parte en los juicios contra resoluciones o actos emitidos por la Entidad en ejercicio de sus facultades por ingresos federales ya sea por sí o a través de las dependencias u organismos auxiliares de la Administración Pública, sin perjuicio de la intervención que corresponda a la Secretaría de Hacienda y Crédito Público y/o al Servicio de Administración Tributaria; </w:t>
      </w:r>
    </w:p>
    <w:p w14:paraId="675F79E6"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b)</w:t>
      </w:r>
      <w:r w:rsidRPr="00C45E23">
        <w:rPr>
          <w:rFonts w:ascii="Palatino Linotype" w:eastAsia="Palatino Linotype" w:hAnsi="Palatino Linotype" w:cs="Palatino Linotype"/>
          <w:i/>
        </w:rPr>
        <w:t xml:space="preserve"> Ejercer las acciones, oponer las excepciones y defensas que correspondan a los actos emitidos por la Entidad en los juicios; </w:t>
      </w:r>
    </w:p>
    <w:p w14:paraId="54D463C4"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c)</w:t>
      </w:r>
      <w:r w:rsidRPr="00C45E23">
        <w:rPr>
          <w:rFonts w:ascii="Palatino Linotype" w:eastAsia="Palatino Linotype" w:hAnsi="Palatino Linotype" w:cs="Palatino Linotype"/>
          <w:i/>
        </w:rPr>
        <w:t xml:space="preserve"> Intervenir en su carácter de autoridad ejecutora, en los juicios interpuestos contra requerimientos de pago a cargo de instituciones de fianzas con base en pólizas que se hayan expedido para asegurar el interés fiscal; </w:t>
      </w:r>
    </w:p>
    <w:p w14:paraId="73042FAA"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d)</w:t>
      </w:r>
      <w:r w:rsidRPr="00C45E23">
        <w:rPr>
          <w:rFonts w:ascii="Palatino Linotype" w:eastAsia="Palatino Linotype" w:hAnsi="Palatino Linotype" w:cs="Palatino Linotype"/>
          <w:i/>
        </w:rPr>
        <w:t xml:space="preserve"> Interponer recurso de revisión en nombre y representación de la Entidad y de la persona titular del Poder Ejecutivo del Estado, en contra de las sentencias y resoluciones ante el Tribunal Colegiado de Circuito competente, por conducto de las Salas, Secciones o Pleno del Tribunal Federal de Justicia Administrativa y las dictadas en el Juicio en Línea, en relación con los juicios en que el propio Estado haya intervenido como parte.</w:t>
      </w:r>
    </w:p>
    <w:p w14:paraId="02A58852"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 xml:space="preserve">Para el ejercicio de las atribuciones contenidas en esta fracción, la persona titular de la Secretaría de Finanzas se auxiliará de la persona titular de la Procuraduría Fiscal y sus direcciones de área, jefaturas de departamento y demás funcionarios que establezca el reglamento interior respectivo, quienes tendrán las atribuciones de </w:t>
      </w:r>
      <w:r w:rsidRPr="00C45E23">
        <w:rPr>
          <w:rFonts w:ascii="Palatino Linotype" w:eastAsia="Palatino Linotype" w:hAnsi="Palatino Linotype" w:cs="Palatino Linotype"/>
          <w:i/>
        </w:rPr>
        <w:lastRenderedPageBreak/>
        <w:t xml:space="preserve">representación de la Entidad que ejerza la persona titular de la Secretaría de Finanzas; </w:t>
      </w:r>
    </w:p>
    <w:p w14:paraId="236B5322"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XVIII.</w:t>
      </w:r>
      <w:r w:rsidRPr="00C45E23">
        <w:rPr>
          <w:rFonts w:ascii="Palatino Linotype" w:eastAsia="Palatino Linotype" w:hAnsi="Palatino Linotype" w:cs="Palatino Linotype"/>
          <w:i/>
        </w:rPr>
        <w:t xml:space="preserve"> Fijar las políticas, normas y lineamientos generales en materia de catastro, de acuerdo con las leyes respectivas; </w:t>
      </w:r>
    </w:p>
    <w:p w14:paraId="676112AC"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XIX.</w:t>
      </w:r>
      <w:r w:rsidRPr="00C45E23">
        <w:rPr>
          <w:rFonts w:ascii="Palatino Linotype" w:eastAsia="Palatino Linotype" w:hAnsi="Palatino Linotype" w:cs="Palatino Linotype"/>
          <w:i/>
        </w:rPr>
        <w:t xml:space="preserve"> Elaborar con la participación de las dependencias y organismos auxiliares, así como con la participación ciudadana, el Plan de Desarrollo del Estado de México que se pondrá a consideración de la persona titular del Poder Ejecutivo del Estado, incluyendo consideraciones y proyecciones de largo alcance, así como los programas sectoriales, institucionales, regionales, especiales y anuales que requiera la Entidad, con enfoque de derechos humanos y perspectiva de género, de conformidad con las disposiciones legales aplicables; </w:t>
      </w:r>
    </w:p>
    <w:p w14:paraId="121640BB"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XX.</w:t>
      </w:r>
      <w:r w:rsidRPr="00C45E23">
        <w:rPr>
          <w:rFonts w:ascii="Palatino Linotype" w:eastAsia="Palatino Linotype" w:hAnsi="Palatino Linotype" w:cs="Palatino Linotype"/>
          <w:i/>
        </w:rPr>
        <w:t xml:space="preserve"> Establecer la coordinación de los programas de desarrollo socioeconómico del Gobierno del Estado, con los de la Administración Pública Federal y la de los municipios de la Entidad, promoviendo la participación en los mismos de los sectores social y privado; así como recibir, concentrar y administrar los ingresos y recursos financieros provenientes de los mismos, en apego a las disposiciones legales aplicables; </w:t>
      </w:r>
    </w:p>
    <w:p w14:paraId="7ABDFD27"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XXI</w:t>
      </w:r>
      <w:r w:rsidRPr="00C45E23">
        <w:rPr>
          <w:rFonts w:ascii="Palatino Linotype" w:eastAsia="Palatino Linotype" w:hAnsi="Palatino Linotype" w:cs="Palatino Linotype"/>
          <w:i/>
        </w:rPr>
        <w:t xml:space="preserve">. Solicitar a la Oficialía Mayor el diseño, implementación y actualización de todos los sistemas informáticos indispensables para el cumplimiento de sus atribuciones, tales como: de ingresos, del gasto público, de contabilidad gubernamental, disciplina financiera y estadística y demás apegadas a las disposiciones legales aplicables; </w:t>
      </w:r>
    </w:p>
    <w:p w14:paraId="65A5BC59"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XXII</w:t>
      </w:r>
      <w:r w:rsidRPr="00C45E23">
        <w:rPr>
          <w:rFonts w:ascii="Palatino Linotype" w:eastAsia="Palatino Linotype" w:hAnsi="Palatino Linotype" w:cs="Palatino Linotype"/>
          <w:i/>
        </w:rPr>
        <w:t xml:space="preserve">. Planear, autorizar, coordinar, vigilar y evaluar los programas de inversión pública de las dependencias del Ejecutivo y de sus organismos auxiliares, para que se realicen conforme a los objetivos de los planes de desarrollo aprobados y la normatividad competente; </w:t>
      </w:r>
    </w:p>
    <w:p w14:paraId="223793DA"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XXIII.</w:t>
      </w:r>
      <w:r w:rsidRPr="00C45E23">
        <w:rPr>
          <w:rFonts w:ascii="Palatino Linotype" w:eastAsia="Palatino Linotype" w:hAnsi="Palatino Linotype" w:cs="Palatino Linotype"/>
          <w:i/>
        </w:rPr>
        <w:t xml:space="preserve"> Proyectar y calcular los egresos del Gobierno del Estado y los ingresos y egresos de sus organismos auxiliares; </w:t>
      </w:r>
    </w:p>
    <w:p w14:paraId="492FCCCA"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XXIV.</w:t>
      </w:r>
      <w:r w:rsidRPr="00C45E23">
        <w:rPr>
          <w:rFonts w:ascii="Palatino Linotype" w:eastAsia="Palatino Linotype" w:hAnsi="Palatino Linotype" w:cs="Palatino Linotype"/>
          <w:i/>
        </w:rPr>
        <w:t xml:space="preserve"> Garantizar, en el ámbito de su competencia, la aplicación de las reglas y criterios de disciplina financiera, equilibrio presupuestario y responsabilidad hacendaria, en términos de la legislación en la materia; </w:t>
      </w:r>
    </w:p>
    <w:p w14:paraId="49D03CDF"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XXV</w:t>
      </w:r>
      <w:r w:rsidRPr="00C45E23">
        <w:rPr>
          <w:rFonts w:ascii="Palatino Linotype" w:eastAsia="Palatino Linotype" w:hAnsi="Palatino Linotype" w:cs="Palatino Linotype"/>
          <w:i/>
        </w:rPr>
        <w:t xml:space="preserve">. Establecer y llevar los sistemas de contabilidad gubernamental, disciplina financiera y de estadística general del Gobierno del Estado; </w:t>
      </w:r>
    </w:p>
    <w:p w14:paraId="54BC0888"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lastRenderedPageBreak/>
        <w:t>XXVI.</w:t>
      </w:r>
      <w:r w:rsidRPr="00C45E23">
        <w:rPr>
          <w:rFonts w:ascii="Palatino Linotype" w:eastAsia="Palatino Linotype" w:hAnsi="Palatino Linotype" w:cs="Palatino Linotype"/>
          <w:i/>
        </w:rPr>
        <w:t xml:space="preserve"> Realizar periódicamente la evaluación del cumplimiento de las obligaciones específicas de responsabilidad hacendaria a cargo de los municipios, en términos de lo establecido en los propios convenios, remitiendo los resultados a la dependencia del Gobierno Federal competente; </w:t>
      </w:r>
    </w:p>
    <w:p w14:paraId="4CA03B39"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 xml:space="preserve">XXVII. </w:t>
      </w:r>
      <w:r w:rsidRPr="00C45E23">
        <w:rPr>
          <w:rFonts w:ascii="Palatino Linotype" w:eastAsia="Palatino Linotype" w:hAnsi="Palatino Linotype" w:cs="Palatino Linotype"/>
          <w:i/>
        </w:rPr>
        <w:t xml:space="preserve">Proporcionar, en el ámbito de su competencia, la información financiera que solicite la autoridad federal competente, para dar cumplimiento a lo dispuesto por la Ley de Disciplina Financiera de las Entidades Federativas y los Municipios, incluyendo la necesaria para la evaluación del Sistema de Alertas a que se refiere el artículo 43 de la mencionada Ley; </w:t>
      </w:r>
    </w:p>
    <w:p w14:paraId="3A0CD02D"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XXVIII</w:t>
      </w:r>
      <w:r w:rsidRPr="00C45E23">
        <w:rPr>
          <w:rFonts w:ascii="Palatino Linotype" w:eastAsia="Palatino Linotype" w:hAnsi="Palatino Linotype" w:cs="Palatino Linotype"/>
          <w:i/>
        </w:rPr>
        <w:t xml:space="preserve">. Celebrar convenios con los entes públicos estatales que se ubiquen en un nivel de endeudamiento elevado, con el objeto de establecer obligaciones específicas de responsabilidad hacendaria; </w:t>
      </w:r>
    </w:p>
    <w:p w14:paraId="189B195B"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XXIX</w:t>
      </w:r>
      <w:r w:rsidRPr="00C45E23">
        <w:rPr>
          <w:rFonts w:ascii="Palatino Linotype" w:eastAsia="Palatino Linotype" w:hAnsi="Palatino Linotype" w:cs="Palatino Linotype"/>
          <w:i/>
        </w:rPr>
        <w:t xml:space="preserve">. Hacer la glosa preventiva de los ingresos y egresos del Gobierno del Estado, elaborar la cuenta pública y mantener las relaciones con el Órgano Superior de Fiscalización del Estado de México; </w:t>
      </w:r>
    </w:p>
    <w:p w14:paraId="112864B8"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XXX.</w:t>
      </w:r>
      <w:r w:rsidRPr="00C45E23">
        <w:rPr>
          <w:rFonts w:ascii="Palatino Linotype" w:eastAsia="Palatino Linotype" w:hAnsi="Palatino Linotype" w:cs="Palatino Linotype"/>
          <w:i/>
        </w:rPr>
        <w:t xml:space="preserve"> Registrar y normar los actos y contratos de los que resulten derechos y obligaciones para el Gobierno del Estado; </w:t>
      </w:r>
    </w:p>
    <w:p w14:paraId="55ACA436"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XXXI.</w:t>
      </w:r>
      <w:r w:rsidRPr="00C45E23">
        <w:rPr>
          <w:rFonts w:ascii="Palatino Linotype" w:eastAsia="Palatino Linotype" w:hAnsi="Palatino Linotype" w:cs="Palatino Linotype"/>
          <w:i/>
        </w:rPr>
        <w:t xml:space="preserve"> Determinar el destino final tratándose de tráileres, autobuses y cualquier tipo de remolques, una vez declarados abandonados; </w:t>
      </w:r>
    </w:p>
    <w:p w14:paraId="5B247C63"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XXXII</w:t>
      </w:r>
      <w:r w:rsidRPr="00C45E23">
        <w:rPr>
          <w:rFonts w:ascii="Palatino Linotype" w:eastAsia="Palatino Linotype" w:hAnsi="Palatino Linotype" w:cs="Palatino Linotype"/>
          <w:i/>
        </w:rPr>
        <w:t>. Instrumentar e intervenir en el otorgamiento de los subsidios, aportaciones, ayudas, transferencias y financiamiento temporal a las dependencias, municipios, instituciones o particulares, con el objeto de comprobar que la inversión se efectúe en los términos establecidos de conformidad con la legislación aplicable y las disposiciones normativas que para estos efectos se emitan;</w:t>
      </w:r>
    </w:p>
    <w:p w14:paraId="21C4DAD4"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XXIII</w:t>
      </w:r>
      <w:r w:rsidRPr="00C45E23">
        <w:rPr>
          <w:rFonts w:ascii="Palatino Linotype" w:eastAsia="Palatino Linotype" w:hAnsi="Palatino Linotype" w:cs="Palatino Linotype"/>
          <w:i/>
        </w:rPr>
        <w:t xml:space="preserve">. Prestar a los municipios, cuando así lo soliciten, la asesoría y el apoyo técnico necesario para la elaboración de sus planes y programas de desarrollo económico y social; </w:t>
      </w:r>
    </w:p>
    <w:p w14:paraId="180BA9F8"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XXXIV</w:t>
      </w:r>
      <w:r w:rsidRPr="00C45E23">
        <w:rPr>
          <w:rFonts w:ascii="Palatino Linotype" w:eastAsia="Palatino Linotype" w:hAnsi="Palatino Linotype" w:cs="Palatino Linotype"/>
          <w:i/>
        </w:rPr>
        <w:t xml:space="preserve">. Integrar y mantener actualizada la información geográfica y estadística de la Entidad; </w:t>
      </w:r>
    </w:p>
    <w:p w14:paraId="1284565B"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 xml:space="preserve">XXXV. </w:t>
      </w:r>
      <w:r w:rsidRPr="00C45E23">
        <w:rPr>
          <w:rFonts w:ascii="Palatino Linotype" w:eastAsia="Palatino Linotype" w:hAnsi="Palatino Linotype" w:cs="Palatino Linotype"/>
          <w:i/>
        </w:rPr>
        <w:t xml:space="preserve">Asesorar a la persona titular del Poder Ejecutivo del Estado en la elaboración de los convenios que celebre el Gobierno del Estado en materia de planeación, programación, supervisión y evaluación del desarrollo de la Entidad; </w:t>
      </w:r>
    </w:p>
    <w:p w14:paraId="79F18A91"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lastRenderedPageBreak/>
        <w:t>XXXVI</w:t>
      </w:r>
      <w:r w:rsidRPr="00C45E23">
        <w:rPr>
          <w:rFonts w:ascii="Palatino Linotype" w:eastAsia="Palatino Linotype" w:hAnsi="Palatino Linotype" w:cs="Palatino Linotype"/>
          <w:i/>
        </w:rPr>
        <w:t xml:space="preserve">. Vigilar que el desarrollo económico y social de la Entidad sea armónico, para que beneficie en forma equitativa a las diferentes regiones del Estado, evaluando periódicamente los resultados obtenidos, en términos simples y comprensibles; </w:t>
      </w:r>
    </w:p>
    <w:p w14:paraId="425DCEA4"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XXXVI</w:t>
      </w:r>
      <w:r w:rsidRPr="00C45E23">
        <w:rPr>
          <w:rFonts w:ascii="Palatino Linotype" w:eastAsia="Palatino Linotype" w:hAnsi="Palatino Linotype" w:cs="Palatino Linotype"/>
          <w:i/>
        </w:rPr>
        <w:t xml:space="preserve">I. Generar, requerir, analizar y consolidar con fines de inteligencia, información patrimonial, económica, financiera, fiscal, civil y cualquier otra que pudieran proporcionar las dependencias y entidades de la Administración Pública Estatal y Municipal y presentarla a las autoridades competentes, a fin de prevenir y detectar los delitos en materia de operaciones con recursos de procedencia ilícita, dentro del territorio del Estado; </w:t>
      </w:r>
    </w:p>
    <w:p w14:paraId="23CD4E0F"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XXXVIII</w:t>
      </w:r>
      <w:r w:rsidRPr="00C45E23">
        <w:rPr>
          <w:rFonts w:ascii="Palatino Linotype" w:eastAsia="Palatino Linotype" w:hAnsi="Palatino Linotype" w:cs="Palatino Linotype"/>
          <w:i/>
        </w:rPr>
        <w:t xml:space="preserve">. Colaborar en coordinación con la Secretaría de la Contraloría y de la Oficialía Mayor para que, por conducto de esta última, se proponga a la persona titular del Poder Ejecutivo del Estado la emisión de las normas para la recepción y entrega de las unidades administrativas y organismos auxiliares que integran el Poder Ejecutivo; </w:t>
      </w:r>
    </w:p>
    <w:p w14:paraId="16385F2E"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XXXIX</w:t>
      </w:r>
      <w:r w:rsidRPr="00C45E23">
        <w:rPr>
          <w:rFonts w:ascii="Palatino Linotype" w:eastAsia="Palatino Linotype" w:hAnsi="Palatino Linotype" w:cs="Palatino Linotype"/>
          <w:i/>
        </w:rPr>
        <w:t xml:space="preserve">. Expedir las placas de matriculación, calcomanías, tarjetas de circulación y demás elementos de identificación de los vehículos automotores destinados a transporte de carga, de uso particular y comercial, que no sean competencia de otras autoridades; </w:t>
      </w:r>
    </w:p>
    <w:p w14:paraId="0BA8375D"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XL.</w:t>
      </w:r>
      <w:r w:rsidRPr="00C45E23">
        <w:rPr>
          <w:rFonts w:ascii="Palatino Linotype" w:eastAsia="Palatino Linotype" w:hAnsi="Palatino Linotype" w:cs="Palatino Linotype"/>
          <w:i/>
        </w:rPr>
        <w:t xml:space="preserve"> Emitir dictamen de viabilidad o la autorización, según sea el caso, respecto de la constitución de los fideicomisos públicos de los entes públicos, a través de sus unidades administrativas, dependencias u organismos auxiliares, verificar el debido cumplimiento de sus fines, así como registrar, supervisar y evaluar su funcionamiento en cualquier momento, solicitando la información que considere necesaria con base en los lineamientos que para tal efecto emita la Secretaría; Asimismo, participará en la constitución o celebración de fideicomisos públicos. </w:t>
      </w:r>
    </w:p>
    <w:p w14:paraId="4F60A17B"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XLI</w:t>
      </w:r>
      <w:r w:rsidRPr="00C45E23">
        <w:rPr>
          <w:rFonts w:ascii="Palatino Linotype" w:eastAsia="Palatino Linotype" w:hAnsi="Palatino Linotype" w:cs="Palatino Linotype"/>
          <w:i/>
        </w:rPr>
        <w:t xml:space="preserve">. Comparecer ante terceros con facultades para formular declaraciones en representación del Estado y celebrar convenios a través de los cuales el Estado pueda asumir obligaciones de hacer y no hacer en relación con operaciones de crédito, préstamo, empréstito, emisión de valores o financiamiento a cargo de fideicomisos en los que participe como fideicomitente un organismo público descentralizado, y obligarse a indemnizar del daño o perjuicio o la privación de cualquier ganancia lícita que se ocasione por el incumplimiento de dichas obligaciones de hacer y no hacer o por la inexactitud de sus declaraciones, sin que ello constituya deuda pública del </w:t>
      </w:r>
      <w:r w:rsidRPr="00C45E23">
        <w:rPr>
          <w:rFonts w:ascii="Palatino Linotype" w:eastAsia="Palatino Linotype" w:hAnsi="Palatino Linotype" w:cs="Palatino Linotype"/>
          <w:i/>
        </w:rPr>
        <w:lastRenderedPageBreak/>
        <w:t xml:space="preserve">Estado y siempre y cuando no se garanticen obligaciones a favor de terceros. En los convenios a que se refiere esta fracción, no se podrán pactar penas convencionales o predeterminar responsabilidades por daños y perjuicios en caso de incumplimiento. En los convenios antes mencionados que celebre el Estado se podrán estipular las cláusulas que se requieran incluyendo, entre otras, las aplicables a la jurisdicción; </w:t>
      </w:r>
    </w:p>
    <w:p w14:paraId="491FDC73"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XLII.</w:t>
      </w:r>
      <w:r w:rsidRPr="00C45E23">
        <w:rPr>
          <w:rFonts w:ascii="Palatino Linotype" w:eastAsia="Palatino Linotype" w:hAnsi="Palatino Linotype" w:cs="Palatino Linotype"/>
          <w:i/>
        </w:rPr>
        <w:t xml:space="preserve"> Hacer efectivas las garantías otorgadas bajo cualquier modalidad a favor del Gobierno del Estado de México, mediante los procedimientos previstos en las disposiciones legales y reglamentarias aplicables. Para el ejercicio de la atribución contenida en esta fracción, la persona titular de la Secretaría se auxiliará de la persona titular de la Procuraduría Fiscal, en su carácter de autoridad ejecutora, a fin de hacer efectivas las pólizas de fianza otorgadas a favor del Gobierno del Estado; </w:t>
      </w:r>
    </w:p>
    <w:p w14:paraId="66590FC7"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XLIII</w:t>
      </w:r>
      <w:r w:rsidRPr="00C45E23">
        <w:rPr>
          <w:rFonts w:ascii="Palatino Linotype" w:eastAsia="Palatino Linotype" w:hAnsi="Palatino Linotype" w:cs="Palatino Linotype"/>
          <w:i/>
        </w:rPr>
        <w:t xml:space="preserve">. Implementar, desarrollar y fomentar, en coordinación con la Secretaría General de Gobierno, la política de Gobierno Digital y el uso estratégico de tecnologías de la información en el ejercicio de la gestión pública dentro de la Entidad; </w:t>
      </w:r>
    </w:p>
    <w:p w14:paraId="01BF23A2"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XLIV</w:t>
      </w:r>
      <w:r w:rsidRPr="00C45E23">
        <w:rPr>
          <w:rFonts w:ascii="Palatino Linotype" w:eastAsia="Palatino Linotype" w:hAnsi="Palatino Linotype" w:cs="Palatino Linotype"/>
          <w:i/>
        </w:rPr>
        <w:t xml:space="preserve">. Emitir, en conjunto con la Secretaría General de Gobierno, los lineamientos técnicos en materia de Gobierno Digital conforme a lo establecido en los ordenamientos jurídicos aplicables; </w:t>
      </w:r>
    </w:p>
    <w:p w14:paraId="1CC6A544"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XLV.</w:t>
      </w:r>
      <w:r w:rsidRPr="00C45E23">
        <w:rPr>
          <w:rFonts w:ascii="Palatino Linotype" w:eastAsia="Palatino Linotype" w:hAnsi="Palatino Linotype" w:cs="Palatino Linotype"/>
          <w:i/>
        </w:rPr>
        <w:t xml:space="preserve"> Dar asesoría en materia de Gobierno Digital a los sujetos de la Ley de Gobierno Digital, teniendo como base la normatividad aplicable en dicha materia; </w:t>
      </w:r>
    </w:p>
    <w:p w14:paraId="0BBEEA04"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XLVI</w:t>
      </w:r>
      <w:r w:rsidRPr="00C45E23">
        <w:rPr>
          <w:rFonts w:ascii="Palatino Linotype" w:eastAsia="Palatino Linotype" w:hAnsi="Palatino Linotype" w:cs="Palatino Linotype"/>
          <w:i/>
        </w:rPr>
        <w:t xml:space="preserve">. Implementar y administrar el Registro Único de Personas Acreditadas del Estado de México, y realizar todas las acciones que de ello resulten. Para la realización de las acciones establecidas en esta fracción, la Secretaría deberá coordinarse con el Consejo Estatal de Gobierno Digital y con la Secretaría General de Gobierno, aplicando las disposiciones de la normatividad aplicable; </w:t>
      </w:r>
    </w:p>
    <w:p w14:paraId="36244A6F"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XLVII</w:t>
      </w:r>
      <w:r w:rsidRPr="00C45E23">
        <w:rPr>
          <w:rFonts w:ascii="Palatino Linotype" w:eastAsia="Palatino Linotype" w:hAnsi="Palatino Linotype" w:cs="Palatino Linotype"/>
          <w:i/>
        </w:rPr>
        <w:t xml:space="preserve">. Implementar y administrar el Sistema Estatal de Información, Trámites y Servicios, en coordinación con el Consejo Estatal de Gobierno Digital y la Secretaría General de Gobierno; </w:t>
      </w:r>
    </w:p>
    <w:p w14:paraId="294859E5"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XLVIII.</w:t>
      </w:r>
      <w:r w:rsidRPr="00C45E23">
        <w:rPr>
          <w:rFonts w:ascii="Palatino Linotype" w:eastAsia="Palatino Linotype" w:hAnsi="Palatino Linotype" w:cs="Palatino Linotype"/>
          <w:i/>
        </w:rPr>
        <w:t xml:space="preserve"> Impulsar la igualdad entre mujeres y hombres a través de la incorporación de la perspectiva de género en la planeación, diseño, elaboración, ejecución, seguimiento y evaluación del presupuesto; </w:t>
      </w:r>
    </w:p>
    <w:p w14:paraId="57AD6A4D"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lastRenderedPageBreak/>
        <w:t>XLIX.</w:t>
      </w:r>
      <w:r w:rsidRPr="00C45E23">
        <w:rPr>
          <w:rFonts w:ascii="Palatino Linotype" w:eastAsia="Palatino Linotype" w:hAnsi="Palatino Linotype" w:cs="Palatino Linotype"/>
          <w:i/>
        </w:rPr>
        <w:t xml:space="preserve"> Aplicar las políticas en materia de protección de datos personales respecto del almacenamiento y custodia de información que derive del ejercicio de sus atribuciones; y </w:t>
      </w:r>
    </w:p>
    <w:p w14:paraId="32D3EA15"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L</w:t>
      </w:r>
      <w:r w:rsidRPr="00C45E23">
        <w:rPr>
          <w:rFonts w:ascii="Palatino Linotype" w:eastAsia="Palatino Linotype" w:hAnsi="Palatino Linotype" w:cs="Palatino Linotype"/>
          <w:i/>
        </w:rPr>
        <w:t xml:space="preserve">. Realizar las estimaciones del impacto presupuestario de las iniciativas de leyes o de decretos que se presenten a la consideración de la Legislatura, que impliquen afectación al Presupuesto de Egresos del Gobierno del Estado de México, de conformidad a lo dispuesto por el Código Financiero y demás disposiciones legales aplicables; </w:t>
      </w:r>
    </w:p>
    <w:p w14:paraId="06C806DE" w14:textId="77777777" w:rsidR="002B57F3" w:rsidRPr="00C45E23" w:rsidRDefault="003C2E8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LI.</w:t>
      </w:r>
      <w:r w:rsidRPr="00C45E23">
        <w:rPr>
          <w:rFonts w:ascii="Palatino Linotype" w:eastAsia="Palatino Linotype" w:hAnsi="Palatino Linotype" w:cs="Palatino Linotype"/>
          <w:i/>
        </w:rPr>
        <w:t xml:space="preserve"> Las demás que le señalen otras leyes, reglamentos y disposiciones jurídicas aplicables, así como las que le encomiende la persona titular del Poder Ejecutivo del Estado.”</w:t>
      </w:r>
    </w:p>
    <w:p w14:paraId="42BC20F4" w14:textId="77777777" w:rsidR="002B57F3" w:rsidRPr="00C45E23" w:rsidRDefault="002B57F3">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p>
    <w:p w14:paraId="46491438" w14:textId="77777777" w:rsidR="002B57F3" w:rsidRPr="00C45E23" w:rsidRDefault="003C2E8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Del precepto citado se desprende que el objetivo de la Secretaría de Finanzas consiste en administrar la hacienda pública estatal, a través de la planeación, programación, presupuestación y evaluación de las actividades del Poder Ejecutivo, sin que se advierta la obligación de realizar los pagos y descuentos a los servidores públicos adscritos a las dependencias del Poder Ejecutivo, así como a los organismos auxiliares, como lo es el Colegio de Bachilleres del Estado de México, COBAEM. </w:t>
      </w:r>
    </w:p>
    <w:p w14:paraId="7C99918A" w14:textId="77777777" w:rsidR="002B57F3" w:rsidRPr="00C45E23" w:rsidRDefault="002B57F3">
      <w:pPr>
        <w:pBdr>
          <w:top w:val="nil"/>
          <w:left w:val="nil"/>
          <w:bottom w:val="nil"/>
          <w:right w:val="nil"/>
          <w:between w:val="nil"/>
        </w:pBdr>
        <w:spacing w:after="0" w:line="360" w:lineRule="auto"/>
        <w:jc w:val="both"/>
        <w:rPr>
          <w:rFonts w:ascii="Palatino Linotype" w:eastAsia="Palatino Linotype" w:hAnsi="Palatino Linotype" w:cs="Palatino Linotype"/>
          <w:sz w:val="28"/>
          <w:szCs w:val="28"/>
        </w:rPr>
      </w:pPr>
    </w:p>
    <w:p w14:paraId="2A715C3C" w14:textId="77777777" w:rsidR="002B57F3" w:rsidRPr="00C45E23" w:rsidRDefault="003C2E8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Asimismo, es conveniente referir que, si bien, </w:t>
      </w:r>
      <w:r w:rsidRPr="00C45E23">
        <w:rPr>
          <w:rFonts w:ascii="Palatino Linotype" w:eastAsia="Palatino Linotype" w:hAnsi="Palatino Linotype" w:cs="Palatino Linotype"/>
          <w:b/>
          <w:sz w:val="24"/>
          <w:szCs w:val="24"/>
        </w:rPr>
        <w:t>EL SUJETO OBLIGADO</w:t>
      </w:r>
      <w:r w:rsidRPr="00C45E23">
        <w:rPr>
          <w:rFonts w:ascii="Palatino Linotype" w:eastAsia="Palatino Linotype" w:hAnsi="Palatino Linotype" w:cs="Palatino Linotype"/>
          <w:sz w:val="24"/>
          <w:szCs w:val="24"/>
        </w:rPr>
        <w:t xml:space="preserve"> suscribió el Anexo de Ejecución / Apoyo Financiero 2024 SEMS-EL COBAEM-MÉXICO 0236/24, junto con la Gobernadora Constitucional de la entidad y la Secretaría de Educación, Ciencia, Tecnología e Innovación, de la lectura del mismo tampoco se advirtió obligación alguna, que de manera específica se facultará a la Secretaría de Finanzas para realizar los pagos y descuentos a los servidores públicos adscritos al Colegio de Bachilleres del Estado de México, tal y como se desprende de la Cláusula Cuarta </w:t>
      </w:r>
      <w:r w:rsidRPr="00C45E23">
        <w:rPr>
          <w:rFonts w:ascii="Palatino Linotype" w:eastAsia="Palatino Linotype" w:hAnsi="Palatino Linotype" w:cs="Palatino Linotype"/>
          <w:sz w:val="24"/>
          <w:szCs w:val="24"/>
        </w:rPr>
        <w:lastRenderedPageBreak/>
        <w:t xml:space="preserve">del referido Anexo, en donde se estipulan las obligaciones del Gobierno del Estado para dar cumplimiento al mismo: </w:t>
      </w:r>
    </w:p>
    <w:p w14:paraId="59EC4270" w14:textId="77777777" w:rsidR="002B57F3" w:rsidRPr="00C45E23" w:rsidRDefault="003C2E85">
      <w:pPr>
        <w:pBdr>
          <w:top w:val="nil"/>
          <w:left w:val="nil"/>
          <w:bottom w:val="nil"/>
          <w:right w:val="nil"/>
          <w:between w:val="nil"/>
        </w:pBdr>
        <w:spacing w:after="0" w:line="360" w:lineRule="auto"/>
        <w:jc w:val="center"/>
        <w:rPr>
          <w:rFonts w:ascii="Palatino Linotype" w:eastAsia="Palatino Linotype" w:hAnsi="Palatino Linotype" w:cs="Palatino Linotype"/>
          <w:sz w:val="24"/>
          <w:szCs w:val="24"/>
        </w:rPr>
      </w:pPr>
      <w:r w:rsidRPr="00C45E23">
        <w:rPr>
          <w:rFonts w:ascii="Palatino Linotype" w:eastAsia="Palatino Linotype" w:hAnsi="Palatino Linotype" w:cs="Palatino Linotype"/>
          <w:noProof/>
          <w:sz w:val="24"/>
          <w:szCs w:val="24"/>
        </w:rPr>
        <w:drawing>
          <wp:inline distT="0" distB="0" distL="0" distR="0" wp14:anchorId="1383E4BF" wp14:editId="45EB3C38">
            <wp:extent cx="5434116" cy="3803519"/>
            <wp:effectExtent l="0" t="0" r="0" b="0"/>
            <wp:docPr id="21401319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434116" cy="3803519"/>
                    </a:xfrm>
                    <a:prstGeom prst="rect">
                      <a:avLst/>
                    </a:prstGeom>
                    <a:ln/>
                  </pic:spPr>
                </pic:pic>
              </a:graphicData>
            </a:graphic>
          </wp:inline>
        </w:drawing>
      </w:r>
      <w:r w:rsidRPr="00C45E23">
        <w:rPr>
          <w:noProof/>
        </w:rPr>
        <mc:AlternateContent>
          <mc:Choice Requires="wpg">
            <w:drawing>
              <wp:anchor distT="0" distB="0" distL="114300" distR="114300" simplePos="0" relativeHeight="251658240" behindDoc="0" locked="0" layoutInCell="1" hidden="0" allowOverlap="1" wp14:anchorId="6C71F919" wp14:editId="6B6E1C3B">
                <wp:simplePos x="0" y="0"/>
                <wp:positionH relativeFrom="column">
                  <wp:posOffset>-76199</wp:posOffset>
                </wp:positionH>
                <wp:positionV relativeFrom="paragraph">
                  <wp:posOffset>101600</wp:posOffset>
                </wp:positionV>
                <wp:extent cx="5706110" cy="2063680"/>
                <wp:effectExtent l="0" t="0" r="0" b="0"/>
                <wp:wrapNone/>
                <wp:docPr id="2140131924" name="Rectángulo 2140131924"/>
                <wp:cNvGraphicFramePr/>
                <a:graphic xmlns:a="http://schemas.openxmlformats.org/drawingml/2006/main">
                  <a:graphicData uri="http://schemas.microsoft.com/office/word/2010/wordprocessingShape">
                    <wps:wsp>
                      <wps:cNvSpPr/>
                      <wps:spPr>
                        <a:xfrm>
                          <a:off x="2550095" y="2805310"/>
                          <a:ext cx="5591810" cy="1949380"/>
                        </a:xfrm>
                        <a:prstGeom prst="rect">
                          <a:avLst/>
                        </a:prstGeom>
                        <a:noFill/>
                        <a:ln w="38100" cap="flat" cmpd="sng">
                          <a:solidFill>
                            <a:srgbClr val="C00000"/>
                          </a:solidFill>
                          <a:prstDash val="solid"/>
                          <a:miter lim="800000"/>
                          <a:headEnd type="none" w="sm" len="sm"/>
                          <a:tailEnd type="none" w="sm" len="sm"/>
                        </a:ln>
                      </wps:spPr>
                      <wps:txbx>
                        <w:txbxContent>
                          <w:p w14:paraId="7328CFFF" w14:textId="77777777" w:rsidR="002B57F3" w:rsidRDefault="002B57F3">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-76199</wp:posOffset>
                </wp:positionH>
                <wp:positionV relativeFrom="paragraph">
                  <wp:posOffset>101600</wp:posOffset>
                </wp:positionV>
                <wp:extent cx="5706110" cy="2063680"/>
                <wp:effectExtent b="0" l="0" r="0" t="0"/>
                <wp:wrapNone/>
                <wp:docPr id="2140131924"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5706110" cy="2063680"/>
                        </a:xfrm>
                        <a:prstGeom prst="rect"/>
                        <a:ln/>
                      </pic:spPr>
                    </pic:pic>
                  </a:graphicData>
                </a:graphic>
              </wp:anchor>
            </w:drawing>
          </mc:Fallback>
        </mc:AlternateContent>
      </w:r>
    </w:p>
    <w:p w14:paraId="57BD97F4" w14:textId="77777777" w:rsidR="002B57F3" w:rsidRPr="00C45E23" w:rsidRDefault="002B57F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1F7B609B" w14:textId="77777777" w:rsidR="002B57F3" w:rsidRPr="00C45E23" w:rsidRDefault="003C2E8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Como se puede observar, las obligaciones de la Secretaría de Finanzas se encuentran establecidas, específicamente en los incisos a), b), c), d) y e) del Anexo de Ejecución/Apoyo Financiero 2024 SEMS-EL COBAEM-MÉXICO 0236/24, las cuales se concretan a:</w:t>
      </w:r>
    </w:p>
    <w:p w14:paraId="5B35E28A" w14:textId="77777777" w:rsidR="002B57F3" w:rsidRPr="00C45E23" w:rsidRDefault="002B57F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3D40A5DE" w14:textId="77777777" w:rsidR="002B57F3" w:rsidRPr="00C45E23" w:rsidRDefault="003C2E85">
      <w:pPr>
        <w:pBdr>
          <w:top w:val="nil"/>
          <w:left w:val="nil"/>
          <w:bottom w:val="nil"/>
          <w:right w:val="nil"/>
          <w:between w:val="nil"/>
        </w:pBdr>
        <w:spacing w:after="0" w:line="360" w:lineRule="auto"/>
        <w:ind w:left="284"/>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La recepción de los recursos ministrados por la Secretaría de Educación Pública, a través de la apertura de una cuenta bancaria productiva específica en una institución bancaria autorizada.</w:t>
      </w:r>
    </w:p>
    <w:p w14:paraId="74281867" w14:textId="77777777" w:rsidR="002B57F3" w:rsidRPr="00C45E23" w:rsidRDefault="003C2E85">
      <w:pPr>
        <w:pBdr>
          <w:top w:val="nil"/>
          <w:left w:val="nil"/>
          <w:bottom w:val="nil"/>
          <w:right w:val="nil"/>
          <w:between w:val="nil"/>
        </w:pBdr>
        <w:spacing w:after="0" w:line="360" w:lineRule="auto"/>
        <w:ind w:left="284"/>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lastRenderedPageBreak/>
        <w:t>- La transferencia de los recursos ministrados por la SEP al COBAEM, en un plazo no mayor a cinco días naturales posteriores a la fecha de recepción de los mismos, cuya evidencia documental debe ser remitida a la SEP, con la finalidad de acreditar la transferencia.</w:t>
      </w:r>
    </w:p>
    <w:p w14:paraId="413D10B1" w14:textId="77777777" w:rsidR="002B57F3" w:rsidRPr="00C45E23" w:rsidRDefault="003C2E85">
      <w:pPr>
        <w:pBdr>
          <w:top w:val="nil"/>
          <w:left w:val="nil"/>
          <w:bottom w:val="nil"/>
          <w:right w:val="nil"/>
          <w:between w:val="nil"/>
        </w:pBdr>
        <w:spacing w:after="0" w:line="360" w:lineRule="auto"/>
        <w:ind w:left="284"/>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 La coordinación con el COBAEM, para efectos de entregas a la Coordinación Sectorial de Planeación y Administración de la Subsecretaría de Educación Media Superior de la SEP, el recibo de ministración correspondiente, y el Comprobante Fiscal Digital por Internet, CFDI, que acredite la recepción de los recursos. </w:t>
      </w:r>
    </w:p>
    <w:p w14:paraId="5EB63815" w14:textId="77777777" w:rsidR="002B57F3" w:rsidRPr="00C45E23" w:rsidRDefault="003C2E85">
      <w:pPr>
        <w:pBdr>
          <w:top w:val="nil"/>
          <w:left w:val="nil"/>
          <w:bottom w:val="nil"/>
          <w:right w:val="nil"/>
          <w:between w:val="nil"/>
        </w:pBdr>
        <w:spacing w:after="0" w:line="360" w:lineRule="auto"/>
        <w:ind w:left="284"/>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Aportar al COBAEM, los recursos financieros a su cargo, con base en la disponibilidad presupuestaria del ejercicio 2024, dentro de los cinco días posteriores a la ministración realizada por la SEP, cuya evidencia documental, esto es, el documento que acredite la aportación estatal junto con la documentación bancaria donde se refleje la transferencia de los recursos estatales, debe ser enviada a esta última con la finalidad de acreditar la aportación del Gobierno del Estado.</w:t>
      </w:r>
    </w:p>
    <w:p w14:paraId="0F92590B" w14:textId="77777777" w:rsidR="002B57F3" w:rsidRPr="00C45E23" w:rsidRDefault="003C2E85">
      <w:pPr>
        <w:pBdr>
          <w:top w:val="nil"/>
          <w:left w:val="nil"/>
          <w:bottom w:val="nil"/>
          <w:right w:val="nil"/>
          <w:between w:val="nil"/>
        </w:pBdr>
        <w:spacing w:after="0" w:line="360" w:lineRule="auto"/>
        <w:ind w:left="284"/>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Reintegrar a la Tesorería de la Federación los recursos financieros que aporte la SEP, que no se transfieran al COBAEM, así como los rendimientos generados por los recursos federales.</w:t>
      </w:r>
    </w:p>
    <w:p w14:paraId="7C6EC58C" w14:textId="77777777" w:rsidR="002B57F3" w:rsidRPr="00C45E23" w:rsidRDefault="003C2E85">
      <w:pPr>
        <w:pBdr>
          <w:top w:val="nil"/>
          <w:left w:val="nil"/>
          <w:bottom w:val="nil"/>
          <w:right w:val="nil"/>
          <w:between w:val="nil"/>
        </w:pBdr>
        <w:spacing w:after="0" w:line="360" w:lineRule="auto"/>
        <w:ind w:left="284"/>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Informar al COBAEM, al día siguiente en el que sean radicados los recursos financieros federales por parte de la SEP, de la disponibilidad presupuestaria correspondiente.</w:t>
      </w:r>
    </w:p>
    <w:p w14:paraId="409D81CC" w14:textId="77777777" w:rsidR="002B57F3" w:rsidRPr="00C45E23" w:rsidRDefault="002B57F3">
      <w:pPr>
        <w:pBdr>
          <w:top w:val="nil"/>
          <w:left w:val="nil"/>
          <w:bottom w:val="nil"/>
          <w:right w:val="nil"/>
          <w:between w:val="nil"/>
        </w:pBdr>
        <w:spacing w:after="0" w:line="360" w:lineRule="auto"/>
        <w:ind w:left="284"/>
        <w:jc w:val="both"/>
        <w:rPr>
          <w:rFonts w:ascii="Palatino Linotype" w:eastAsia="Palatino Linotype" w:hAnsi="Palatino Linotype" w:cs="Palatino Linotype"/>
          <w:sz w:val="24"/>
          <w:szCs w:val="24"/>
        </w:rPr>
      </w:pPr>
    </w:p>
    <w:p w14:paraId="75894559"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lastRenderedPageBreak/>
        <w:t xml:space="preserve">Con base en lo previo, se colige que existe una evidente incompetencia por parte del </w:t>
      </w:r>
      <w:r w:rsidRPr="00C45E23">
        <w:rPr>
          <w:rFonts w:ascii="Palatino Linotype" w:eastAsia="Palatino Linotype" w:hAnsi="Palatino Linotype" w:cs="Palatino Linotype"/>
          <w:b/>
          <w:sz w:val="24"/>
          <w:szCs w:val="24"/>
        </w:rPr>
        <w:t>SUJETO OBLIGADO</w:t>
      </w:r>
      <w:r w:rsidRPr="00C45E23">
        <w:rPr>
          <w:rFonts w:ascii="Palatino Linotype" w:eastAsia="Palatino Linotype" w:hAnsi="Palatino Linotype" w:cs="Palatino Linotype"/>
          <w:sz w:val="24"/>
          <w:szCs w:val="24"/>
        </w:rPr>
        <w:t xml:space="preserve"> para satisfacer lo solicitado, en términos del Criterio orientador con Clave de control SO/013/2017 emitido por el Pleno del entonces Instituto Nacional de Transparencia, Acceso a la Información y Protección de Datos Personales, el cual, para pronta referencia se reproduce a continuación:</w:t>
      </w:r>
    </w:p>
    <w:p w14:paraId="2E366A29"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78936010" w14:textId="77777777" w:rsidR="002B57F3" w:rsidRPr="00C45E23" w:rsidRDefault="003C2E85">
      <w:pPr>
        <w:spacing w:after="120"/>
        <w:ind w:left="851" w:right="851"/>
        <w:jc w:val="both"/>
        <w:rPr>
          <w:rFonts w:ascii="Palatino Linotype" w:eastAsia="Palatino Linotype" w:hAnsi="Palatino Linotype" w:cs="Palatino Linotype"/>
          <w:i/>
        </w:rPr>
      </w:pPr>
      <w:r w:rsidRPr="00C45E23">
        <w:rPr>
          <w:rFonts w:ascii="Palatino Linotype" w:eastAsia="Palatino Linotype" w:hAnsi="Palatino Linotype" w:cs="Palatino Linotype"/>
          <w:b/>
          <w:i/>
        </w:rPr>
        <w:t>“Incompetencia. La incompetencia implica la ausencia de atribuciones del sujeto obligado para poseer la información solicitada</w:t>
      </w:r>
      <w:r w:rsidRPr="00C45E23">
        <w:rPr>
          <w:rFonts w:ascii="Palatino Linotype" w:eastAsia="Palatino Linotype" w:hAnsi="Palatino Linotype" w:cs="Palatino Linotype"/>
          <w:i/>
        </w:rPr>
        <w:t xml:space="preserve">; es decir, se trata de una cuestión de derecho, </w:t>
      </w:r>
      <w:r w:rsidRPr="00C45E23">
        <w:rPr>
          <w:rFonts w:ascii="Palatino Linotype" w:eastAsia="Palatino Linotype" w:hAnsi="Palatino Linotype" w:cs="Palatino Linotype"/>
          <w:b/>
          <w:i/>
        </w:rPr>
        <w:t>en tanto que no existan facultades para contar con lo requerido</w:t>
      </w:r>
      <w:r w:rsidRPr="00C45E23">
        <w:rPr>
          <w:rFonts w:ascii="Palatino Linotype" w:eastAsia="Palatino Linotype" w:hAnsi="Palatino Linotype" w:cs="Palatino Linotype"/>
          <w:i/>
        </w:rPr>
        <w:t>; por lo que la incompetencia es una cualidad atribuida al sujeto obligado que la declara.”</w:t>
      </w:r>
    </w:p>
    <w:p w14:paraId="48D9365B" w14:textId="77777777" w:rsidR="002B57F3" w:rsidRPr="00C45E23" w:rsidRDefault="002B57F3">
      <w:pPr>
        <w:spacing w:before="120" w:after="0" w:line="360" w:lineRule="auto"/>
        <w:ind w:right="851"/>
        <w:jc w:val="both"/>
        <w:rPr>
          <w:rFonts w:ascii="Palatino Linotype" w:eastAsia="Palatino Linotype" w:hAnsi="Palatino Linotype" w:cs="Palatino Linotype"/>
          <w:i/>
          <w:sz w:val="24"/>
          <w:szCs w:val="24"/>
        </w:rPr>
      </w:pPr>
    </w:p>
    <w:p w14:paraId="5007144E" w14:textId="77777777" w:rsidR="002B57F3" w:rsidRPr="00C45E23" w:rsidRDefault="003C2E85">
      <w:pPr>
        <w:numPr>
          <w:ilvl w:val="0"/>
          <w:numId w:val="1"/>
        </w:numPr>
        <w:pBdr>
          <w:top w:val="nil"/>
          <w:left w:val="nil"/>
          <w:bottom w:val="nil"/>
          <w:right w:val="nil"/>
          <w:between w:val="nil"/>
        </w:pBdr>
        <w:tabs>
          <w:tab w:val="left" w:pos="567"/>
        </w:tabs>
        <w:spacing w:after="0" w:line="360" w:lineRule="auto"/>
        <w:ind w:left="0" w:hanging="142"/>
        <w:jc w:val="both"/>
        <w:rPr>
          <w:rFonts w:ascii="Palatino Linotype" w:eastAsia="Palatino Linotype" w:hAnsi="Palatino Linotype" w:cs="Palatino Linotype"/>
          <w:b/>
          <w:sz w:val="24"/>
          <w:szCs w:val="24"/>
          <w:u w:val="single"/>
        </w:rPr>
      </w:pPr>
      <w:r w:rsidRPr="00C45E23">
        <w:rPr>
          <w:rFonts w:ascii="Palatino Linotype" w:eastAsia="Palatino Linotype" w:hAnsi="Palatino Linotype" w:cs="Palatino Linotype"/>
          <w:b/>
          <w:sz w:val="24"/>
          <w:szCs w:val="24"/>
          <w:u w:val="single"/>
        </w:rPr>
        <w:t xml:space="preserve"> Delimitación del ámbito competencial relativo a la información solicitada.</w:t>
      </w:r>
    </w:p>
    <w:p w14:paraId="3AA2C69C" w14:textId="77777777" w:rsidR="002B57F3" w:rsidRPr="00C45E23" w:rsidRDefault="002B57F3">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b/>
          <w:sz w:val="24"/>
          <w:szCs w:val="24"/>
          <w:u w:val="single"/>
        </w:rPr>
      </w:pPr>
    </w:p>
    <w:p w14:paraId="11AA1316" w14:textId="77777777" w:rsidR="002B57F3" w:rsidRPr="00C45E23" w:rsidRDefault="003C2E8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En primer término, toda vez que a través de la solicitud el particular pretendió ejercer su derecho de acceso a sus datos personales en calidad de servidor público adscrito al Colegio de Bachilleres del Estado de México, es necesario mencionar que este es un Organismo descentralizado del Poder Ejecutivo Estatal, por lo que es imprescindible mencionar que la descentralización alude a un sistema propenso a transferir de un determinado centro de toma de decisiones un conjunto de atribuciones, funciones, facultades, actividades y recursos, en favor de entes, órganos, instituciones o regiones que se hallan en una situación de cierta subordinación, más no en una relación de jerarquía respecto del centro.</w:t>
      </w:r>
    </w:p>
    <w:p w14:paraId="44AAE040" w14:textId="77777777" w:rsidR="002B57F3" w:rsidRPr="00C45E23" w:rsidRDefault="002B57F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6A69C5FF" w14:textId="77777777" w:rsidR="002B57F3" w:rsidRPr="00C45E23" w:rsidRDefault="003C2E85">
      <w:pPr>
        <w:spacing w:after="0" w:line="360" w:lineRule="auto"/>
        <w:ind w:right="51"/>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lastRenderedPageBreak/>
        <w:t>En todo aparato político o administrativo contemporáneo se advierte la presencia de la centralización y de la descentralización como fórmulas o directivas de organización coexistentes, que puede darse en diferentes ámbitos como el político, el administrativo o el económico, dando así origen a la descentralización política, administrativa o económica.</w:t>
      </w:r>
    </w:p>
    <w:p w14:paraId="76DDC42A" w14:textId="77777777" w:rsidR="002B57F3" w:rsidRPr="00C45E23" w:rsidRDefault="002B57F3">
      <w:pPr>
        <w:spacing w:after="0" w:line="360" w:lineRule="auto"/>
        <w:ind w:right="51"/>
        <w:jc w:val="both"/>
        <w:rPr>
          <w:rFonts w:ascii="Palatino Linotype" w:eastAsia="Palatino Linotype" w:hAnsi="Palatino Linotype" w:cs="Palatino Linotype"/>
          <w:sz w:val="24"/>
          <w:szCs w:val="24"/>
        </w:rPr>
      </w:pPr>
    </w:p>
    <w:p w14:paraId="34BB7B1E" w14:textId="77777777" w:rsidR="002B57F3" w:rsidRPr="00C45E23" w:rsidRDefault="003C2E85">
      <w:pPr>
        <w:spacing w:after="0" w:line="360" w:lineRule="auto"/>
        <w:ind w:right="51"/>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La descentralización administrativa, es una tendencia organizativa de la administración pública, conforme a la cual se confiere la personalidad jurídica propia a ciertos entes a los que se les otorga autonomía orgánica relativa, respecto del órgano central, para encargarles o encomendarles actividades administrativas.</w:t>
      </w:r>
    </w:p>
    <w:p w14:paraId="176EEB1E" w14:textId="77777777" w:rsidR="002B57F3" w:rsidRPr="00C45E23" w:rsidRDefault="002B57F3">
      <w:pPr>
        <w:spacing w:after="0" w:line="360" w:lineRule="auto"/>
        <w:ind w:right="51"/>
        <w:jc w:val="both"/>
        <w:rPr>
          <w:rFonts w:ascii="Palatino Linotype" w:eastAsia="Palatino Linotype" w:hAnsi="Palatino Linotype" w:cs="Palatino Linotype"/>
          <w:sz w:val="24"/>
          <w:szCs w:val="24"/>
        </w:rPr>
      </w:pPr>
    </w:p>
    <w:p w14:paraId="153EA0BD" w14:textId="77777777" w:rsidR="002B57F3" w:rsidRPr="00C45E23" w:rsidRDefault="003C2E85">
      <w:pPr>
        <w:spacing w:after="0" w:line="360" w:lineRule="auto"/>
        <w:ind w:right="51"/>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En opinión del profesor Gabino Fraga, la descentralización administrativa estriba en confiar algunas actividades administrativas a órganos que guardan una relación que no es de jerarquía con la administración central, pero sin que dejen de existir, respecto de ellas, las facultades indispensables para conservar la unidad de poder</w:t>
      </w:r>
      <w:r w:rsidRPr="00C45E23">
        <w:rPr>
          <w:rFonts w:ascii="Palatino Linotype" w:eastAsia="Palatino Linotype" w:hAnsi="Palatino Linotype" w:cs="Palatino Linotype"/>
          <w:sz w:val="24"/>
          <w:szCs w:val="24"/>
          <w:vertAlign w:val="superscript"/>
        </w:rPr>
        <w:footnoteReference w:id="2"/>
      </w:r>
      <w:r w:rsidRPr="00C45E23">
        <w:rPr>
          <w:rFonts w:ascii="Palatino Linotype" w:eastAsia="Palatino Linotype" w:hAnsi="Palatino Linotype" w:cs="Palatino Linotype"/>
          <w:sz w:val="24"/>
          <w:szCs w:val="24"/>
        </w:rPr>
        <w:t>.</w:t>
      </w:r>
    </w:p>
    <w:p w14:paraId="1EA9270A" w14:textId="77777777" w:rsidR="002B57F3" w:rsidRPr="00C45E23" w:rsidRDefault="003C2E85">
      <w:pPr>
        <w:spacing w:after="0" w:line="360" w:lineRule="auto"/>
        <w:ind w:right="51"/>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La descentralización administrativa implica la creación de personas jurídicas de derecho público, distintas al Estado y a la administración pública, y tiene diversas modalidades, como la territorial o regional, por servicio y por colaboración.</w:t>
      </w:r>
    </w:p>
    <w:p w14:paraId="5A4B5CD5" w14:textId="77777777" w:rsidR="002B57F3" w:rsidRPr="00C45E23" w:rsidRDefault="002B57F3">
      <w:pPr>
        <w:spacing w:after="0" w:line="360" w:lineRule="auto"/>
        <w:ind w:right="51"/>
        <w:jc w:val="both"/>
        <w:rPr>
          <w:rFonts w:ascii="Palatino Linotype" w:eastAsia="Palatino Linotype" w:hAnsi="Palatino Linotype" w:cs="Palatino Linotype"/>
          <w:sz w:val="24"/>
          <w:szCs w:val="24"/>
        </w:rPr>
      </w:pPr>
    </w:p>
    <w:p w14:paraId="18354C0C" w14:textId="77777777" w:rsidR="002B57F3" w:rsidRPr="00C45E23" w:rsidRDefault="003C2E85">
      <w:pPr>
        <w:spacing w:after="0" w:line="360" w:lineRule="auto"/>
        <w:ind w:right="51"/>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La descentralización administrativa por servicio significa una delegación de ciertas facultades de las personas morales territoriales -estado, provincia, municipio-, en favor del propio servicio que se personaliza, con recursos propios y con poder de </w:t>
      </w:r>
      <w:r w:rsidRPr="00C45E23">
        <w:rPr>
          <w:rFonts w:ascii="Palatino Linotype" w:eastAsia="Palatino Linotype" w:hAnsi="Palatino Linotype" w:cs="Palatino Linotype"/>
          <w:sz w:val="24"/>
          <w:szCs w:val="24"/>
        </w:rPr>
        <w:lastRenderedPageBreak/>
        <w:t xml:space="preserve">decisión, sin que por ello se rompan sus vínculos con aquellas, porque se establecen relaciones jurídicas obligadas que fijan el régimen de derecho al que se someten tales servicios personificados. </w:t>
      </w:r>
    </w:p>
    <w:p w14:paraId="4FB314B7" w14:textId="77777777" w:rsidR="002B57F3" w:rsidRPr="00C45E23" w:rsidRDefault="003C2E85">
      <w:pPr>
        <w:spacing w:after="0" w:line="360" w:lineRule="auto"/>
        <w:ind w:right="51"/>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En otras palabras, la descentralización por servicio, entraña la creación de una nueva persona jurídica de derecho público con una esfera de competencia, órganos propios y poder de decisión, sin perjuicio de que las personas morales territoriales, conserven determinadas facultades de intervención, pero que se caracteriza por tener autonomía jurídica, financiera y técnica.</w:t>
      </w:r>
    </w:p>
    <w:p w14:paraId="242E9EB4" w14:textId="77777777" w:rsidR="002B57F3" w:rsidRPr="00C45E23" w:rsidRDefault="002B57F3">
      <w:pPr>
        <w:spacing w:after="0" w:line="360" w:lineRule="auto"/>
        <w:ind w:right="51"/>
        <w:jc w:val="both"/>
        <w:rPr>
          <w:rFonts w:ascii="Palatino Linotype" w:eastAsia="Palatino Linotype" w:hAnsi="Palatino Linotype" w:cs="Palatino Linotype"/>
          <w:sz w:val="24"/>
          <w:szCs w:val="24"/>
        </w:rPr>
      </w:pPr>
    </w:p>
    <w:p w14:paraId="2B8B1A49" w14:textId="77777777" w:rsidR="002B57F3" w:rsidRPr="00C45E23" w:rsidRDefault="003C2E85">
      <w:pPr>
        <w:spacing w:after="0" w:line="360" w:lineRule="auto"/>
        <w:ind w:right="51"/>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Gracias a la autonomía jurídica que implica la descentralización administrativa por servicio, el órgano descentralizado tiene personalidad jurídica propia; en virtud de su autonomía financiera cuenta con patrimonio propio; y en razón de su autonomía técnica, goza de una reglamentación propia y específica.</w:t>
      </w:r>
    </w:p>
    <w:p w14:paraId="127C3385" w14:textId="77777777" w:rsidR="002B57F3" w:rsidRPr="00C45E23" w:rsidRDefault="002B57F3">
      <w:pPr>
        <w:spacing w:after="0" w:line="360" w:lineRule="auto"/>
        <w:ind w:right="51"/>
        <w:jc w:val="both"/>
        <w:rPr>
          <w:rFonts w:ascii="Palatino Linotype" w:eastAsia="Palatino Linotype" w:hAnsi="Palatino Linotype" w:cs="Palatino Linotype"/>
          <w:sz w:val="28"/>
          <w:szCs w:val="28"/>
        </w:rPr>
      </w:pPr>
    </w:p>
    <w:p w14:paraId="41D1365B" w14:textId="77777777" w:rsidR="002B57F3" w:rsidRPr="00C45E23" w:rsidRDefault="003C2E85">
      <w:pPr>
        <w:spacing w:after="0" w:line="360" w:lineRule="auto"/>
        <w:ind w:right="51"/>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Así, pueden considerarse como las características más importantes de la descentralización administrativa por servicio las siguientes:</w:t>
      </w:r>
    </w:p>
    <w:p w14:paraId="121F0E03" w14:textId="77777777" w:rsidR="002B57F3" w:rsidRPr="00C45E23" w:rsidRDefault="002B57F3">
      <w:pPr>
        <w:spacing w:after="0" w:line="360" w:lineRule="auto"/>
        <w:ind w:right="51"/>
        <w:jc w:val="both"/>
        <w:rPr>
          <w:rFonts w:ascii="Palatino Linotype" w:eastAsia="Palatino Linotype" w:hAnsi="Palatino Linotype" w:cs="Palatino Linotype"/>
          <w:sz w:val="24"/>
          <w:szCs w:val="24"/>
        </w:rPr>
      </w:pPr>
    </w:p>
    <w:p w14:paraId="4C695178" w14:textId="77777777" w:rsidR="002B57F3" w:rsidRPr="00C45E23" w:rsidRDefault="003C2E85">
      <w:pPr>
        <w:spacing w:after="0" w:line="360" w:lineRule="auto"/>
        <w:ind w:left="284" w:right="51"/>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1. Su establecimiento mediante ley o decreto. </w:t>
      </w:r>
    </w:p>
    <w:p w14:paraId="7F675443" w14:textId="77777777" w:rsidR="002B57F3" w:rsidRPr="00C45E23" w:rsidRDefault="003C2E85">
      <w:pPr>
        <w:spacing w:after="0" w:line="360" w:lineRule="auto"/>
        <w:ind w:left="284" w:right="51"/>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2. Personalidad jurídica propia.</w:t>
      </w:r>
    </w:p>
    <w:p w14:paraId="3A188F38" w14:textId="77777777" w:rsidR="002B57F3" w:rsidRPr="00C45E23" w:rsidRDefault="003C2E85">
      <w:pPr>
        <w:spacing w:after="0" w:line="360" w:lineRule="auto"/>
        <w:ind w:left="284" w:right="51"/>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3. Patrimonio propio.</w:t>
      </w:r>
    </w:p>
    <w:p w14:paraId="5B3B1B01" w14:textId="77777777" w:rsidR="002B57F3" w:rsidRPr="00C45E23" w:rsidRDefault="003C2E85">
      <w:pPr>
        <w:spacing w:after="0" w:line="360" w:lineRule="auto"/>
        <w:ind w:left="284" w:right="51"/>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4. Estatuto y regulación propios.</w:t>
      </w:r>
    </w:p>
    <w:p w14:paraId="0587D008" w14:textId="77777777" w:rsidR="002B57F3" w:rsidRPr="00C45E23" w:rsidRDefault="003C2E85">
      <w:pPr>
        <w:spacing w:after="0" w:line="360" w:lineRule="auto"/>
        <w:ind w:left="284" w:right="51"/>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5. Realización de una actividad técnica.</w:t>
      </w:r>
    </w:p>
    <w:p w14:paraId="46446E24" w14:textId="77777777" w:rsidR="002B57F3" w:rsidRPr="00C45E23" w:rsidRDefault="003C2E85">
      <w:pPr>
        <w:spacing w:after="0" w:line="360" w:lineRule="auto"/>
        <w:ind w:left="284" w:right="51"/>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6. Tutela y vigilancia por parte de la administración central.</w:t>
      </w:r>
    </w:p>
    <w:p w14:paraId="4A422D80" w14:textId="77777777" w:rsidR="002B57F3" w:rsidRPr="00C45E23" w:rsidRDefault="002B57F3">
      <w:pPr>
        <w:spacing w:after="0" w:line="360" w:lineRule="auto"/>
        <w:ind w:left="284" w:right="51"/>
        <w:jc w:val="both"/>
        <w:rPr>
          <w:rFonts w:ascii="Palatino Linotype" w:eastAsia="Palatino Linotype" w:hAnsi="Palatino Linotype" w:cs="Palatino Linotype"/>
          <w:sz w:val="24"/>
          <w:szCs w:val="24"/>
        </w:rPr>
      </w:pPr>
    </w:p>
    <w:p w14:paraId="67D859D8" w14:textId="77777777" w:rsidR="002B57F3" w:rsidRPr="00C45E23" w:rsidRDefault="003C2E85">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u w:val="single"/>
        </w:rPr>
      </w:pPr>
      <w:r w:rsidRPr="00C45E23">
        <w:rPr>
          <w:rFonts w:ascii="Palatino Linotype" w:eastAsia="Palatino Linotype" w:hAnsi="Palatino Linotype" w:cs="Palatino Linotype"/>
          <w:sz w:val="24"/>
          <w:szCs w:val="24"/>
        </w:rPr>
        <w:t xml:space="preserve">En este sentido, el Organismo Público Descentralizado de Carácter Estatal denominado Colegio de Bachilleres del Estado de México, se creó a través del Decreto de Ley número 147 de la H. “LII” Legislatura, publicado en la Periódico Oficial “Gaceta del Gobierno” del Estado de México el veintiocho de junio de mil novecientos noventa y seis, el cual señala, en su artículo 1º, que </w:t>
      </w:r>
      <w:r w:rsidRPr="00C45E23">
        <w:rPr>
          <w:rFonts w:ascii="Palatino Linotype" w:eastAsia="Palatino Linotype" w:hAnsi="Palatino Linotype" w:cs="Palatino Linotype"/>
          <w:b/>
          <w:sz w:val="24"/>
          <w:szCs w:val="24"/>
          <w:u w:val="single"/>
        </w:rPr>
        <w:t>dicho organismo cuenta con personalidad jurídica y patrimonio propios.</w:t>
      </w:r>
    </w:p>
    <w:p w14:paraId="71FBA535" w14:textId="77777777" w:rsidR="002B57F3" w:rsidRPr="00C45E23" w:rsidRDefault="002B57F3">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u w:val="single"/>
        </w:rPr>
      </w:pPr>
    </w:p>
    <w:p w14:paraId="5DFDD81D" w14:textId="77777777" w:rsidR="002B57F3" w:rsidRPr="00C45E23" w:rsidRDefault="003C2E8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Ahora bien, por cuanto hace a la materia de la solicitud, es oportuno traer a contexto el Manual General de Organización del Colegio de Bachilleres del Estado de México, cuyo contenido en su parte conducente, es el siguiente:</w:t>
      </w:r>
    </w:p>
    <w:p w14:paraId="6E58C618" w14:textId="77777777" w:rsidR="002B57F3" w:rsidRPr="00C45E23" w:rsidRDefault="002B57F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5EB486B2" w14:textId="77777777" w:rsidR="002B57F3" w:rsidRPr="00C45E23" w:rsidRDefault="003C2E85">
      <w:pPr>
        <w:pBdr>
          <w:top w:val="nil"/>
          <w:left w:val="nil"/>
          <w:bottom w:val="nil"/>
          <w:right w:val="nil"/>
          <w:between w:val="nil"/>
        </w:pBdr>
        <w:spacing w:after="0" w:line="276" w:lineRule="auto"/>
        <w:ind w:left="567" w:right="845"/>
        <w:jc w:val="both"/>
        <w:rPr>
          <w:rFonts w:ascii="Palatino Linotype" w:eastAsia="Palatino Linotype" w:hAnsi="Palatino Linotype" w:cs="Palatino Linotype"/>
          <w:b/>
          <w:i/>
        </w:rPr>
      </w:pPr>
      <w:r w:rsidRPr="00C45E23">
        <w:rPr>
          <w:rFonts w:ascii="Palatino Linotype" w:eastAsia="Palatino Linotype" w:hAnsi="Palatino Linotype" w:cs="Palatino Linotype"/>
          <w:b/>
          <w:i/>
        </w:rPr>
        <w:t xml:space="preserve">210C0701040001L DEPARTAMENTO DE RECURSOS HUMANOS </w:t>
      </w:r>
    </w:p>
    <w:p w14:paraId="4EA03DCB" w14:textId="77777777" w:rsidR="002B57F3" w:rsidRPr="00C45E23" w:rsidRDefault="003C2E85">
      <w:pPr>
        <w:pBdr>
          <w:top w:val="nil"/>
          <w:left w:val="nil"/>
          <w:bottom w:val="nil"/>
          <w:right w:val="nil"/>
          <w:between w:val="nil"/>
        </w:pBdr>
        <w:spacing w:after="0" w:line="276" w:lineRule="auto"/>
        <w:ind w:left="567" w:right="845"/>
        <w:jc w:val="both"/>
        <w:rPr>
          <w:rFonts w:ascii="Palatino Linotype" w:eastAsia="Palatino Linotype" w:hAnsi="Palatino Linotype" w:cs="Palatino Linotype"/>
          <w:i/>
        </w:rPr>
      </w:pPr>
      <w:r w:rsidRPr="00C45E23">
        <w:rPr>
          <w:rFonts w:ascii="Palatino Linotype" w:eastAsia="Palatino Linotype" w:hAnsi="Palatino Linotype" w:cs="Palatino Linotype"/>
          <w:b/>
          <w:i/>
        </w:rPr>
        <w:t>OBJETIVO:</w:t>
      </w:r>
      <w:r w:rsidRPr="00C45E23">
        <w:rPr>
          <w:rFonts w:ascii="Palatino Linotype" w:eastAsia="Palatino Linotype" w:hAnsi="Palatino Linotype" w:cs="Palatino Linotype"/>
          <w:i/>
        </w:rPr>
        <w:t xml:space="preserve"> Llevar a cabo las acciones de selección, contratación, registro, control, capacitación y desarrollo del personal adscrito al Colegio de Bachilleres, así como </w:t>
      </w:r>
      <w:r w:rsidRPr="00C45E23">
        <w:rPr>
          <w:rFonts w:ascii="Palatino Linotype" w:eastAsia="Palatino Linotype" w:hAnsi="Palatino Linotype" w:cs="Palatino Linotype"/>
          <w:b/>
          <w:i/>
        </w:rPr>
        <w:t>llevar a cabo las acciones necesarias para el pago oportuno de sus remuneraciones</w:t>
      </w:r>
      <w:r w:rsidRPr="00C45E23">
        <w:rPr>
          <w:rFonts w:ascii="Palatino Linotype" w:eastAsia="Palatino Linotype" w:hAnsi="Palatino Linotype" w:cs="Palatino Linotype"/>
          <w:i/>
        </w:rPr>
        <w:t>.</w:t>
      </w:r>
    </w:p>
    <w:p w14:paraId="746F7A7F" w14:textId="77777777" w:rsidR="002B57F3" w:rsidRPr="00C45E23" w:rsidRDefault="003C2E85">
      <w:pPr>
        <w:pBdr>
          <w:top w:val="nil"/>
          <w:left w:val="nil"/>
          <w:bottom w:val="nil"/>
          <w:right w:val="nil"/>
          <w:between w:val="nil"/>
        </w:pBdr>
        <w:spacing w:after="0" w:line="276" w:lineRule="auto"/>
        <w:ind w:left="567" w:right="845"/>
        <w:jc w:val="both"/>
        <w:rPr>
          <w:rFonts w:ascii="Palatino Linotype" w:eastAsia="Palatino Linotype" w:hAnsi="Palatino Linotype" w:cs="Palatino Linotype"/>
          <w:i/>
        </w:rPr>
      </w:pPr>
      <w:r w:rsidRPr="00C45E23">
        <w:rPr>
          <w:rFonts w:ascii="Palatino Linotype" w:eastAsia="Palatino Linotype" w:hAnsi="Palatino Linotype" w:cs="Palatino Linotype"/>
          <w:i/>
        </w:rPr>
        <w:t xml:space="preserve">- Llevar a cabo los trámites para la contratación de personal, previa selección y análisis de la Dirección de Administración y Finanzas y autorización de la Dirección General, y </w:t>
      </w:r>
      <w:r w:rsidRPr="00C45E23">
        <w:rPr>
          <w:rFonts w:ascii="Palatino Linotype" w:eastAsia="Palatino Linotype" w:hAnsi="Palatino Linotype" w:cs="Palatino Linotype"/>
          <w:b/>
          <w:i/>
        </w:rPr>
        <w:t>verificar que la asignación de puestos y de sueldos se ajusten a las plazas y a los tabuladores autorizados para el Estado</w:t>
      </w:r>
      <w:r w:rsidRPr="00C45E23">
        <w:rPr>
          <w:rFonts w:ascii="Palatino Linotype" w:eastAsia="Palatino Linotype" w:hAnsi="Palatino Linotype" w:cs="Palatino Linotype"/>
          <w:i/>
        </w:rPr>
        <w:t>, de acuerdo con la normatividad vigente en la materia.</w:t>
      </w:r>
    </w:p>
    <w:p w14:paraId="73BB4D99" w14:textId="77777777" w:rsidR="002B57F3" w:rsidRPr="00C45E23" w:rsidRDefault="003C2E85">
      <w:pPr>
        <w:pBdr>
          <w:top w:val="nil"/>
          <w:left w:val="nil"/>
          <w:bottom w:val="nil"/>
          <w:right w:val="nil"/>
          <w:between w:val="nil"/>
        </w:pBdr>
        <w:spacing w:after="0" w:line="276" w:lineRule="auto"/>
        <w:ind w:left="567" w:right="845"/>
        <w:jc w:val="both"/>
        <w:rPr>
          <w:rFonts w:ascii="Palatino Linotype" w:eastAsia="Palatino Linotype" w:hAnsi="Palatino Linotype" w:cs="Palatino Linotype"/>
          <w:i/>
        </w:rPr>
      </w:pPr>
      <w:r w:rsidRPr="00C45E23">
        <w:rPr>
          <w:rFonts w:ascii="Palatino Linotype" w:eastAsia="Palatino Linotype" w:hAnsi="Palatino Linotype" w:cs="Palatino Linotype"/>
          <w:i/>
        </w:rPr>
        <w:t>…</w:t>
      </w:r>
    </w:p>
    <w:p w14:paraId="739CE356" w14:textId="77777777" w:rsidR="002B57F3" w:rsidRPr="00C45E23" w:rsidRDefault="003C2E85">
      <w:pPr>
        <w:pBdr>
          <w:top w:val="nil"/>
          <w:left w:val="nil"/>
          <w:bottom w:val="nil"/>
          <w:right w:val="nil"/>
          <w:between w:val="nil"/>
        </w:pBdr>
        <w:spacing w:after="0" w:line="276" w:lineRule="auto"/>
        <w:ind w:left="567" w:right="845"/>
        <w:jc w:val="both"/>
        <w:rPr>
          <w:rFonts w:ascii="Palatino Linotype" w:eastAsia="Palatino Linotype" w:hAnsi="Palatino Linotype" w:cs="Palatino Linotype"/>
          <w:b/>
          <w:i/>
          <w:u w:val="single"/>
        </w:rPr>
      </w:pPr>
      <w:r w:rsidRPr="00C45E23">
        <w:rPr>
          <w:rFonts w:ascii="Palatino Linotype" w:eastAsia="Palatino Linotype" w:hAnsi="Palatino Linotype" w:cs="Palatino Linotype"/>
          <w:i/>
        </w:rPr>
        <w:t xml:space="preserve">- </w:t>
      </w:r>
      <w:r w:rsidRPr="00C45E23">
        <w:rPr>
          <w:rFonts w:ascii="Palatino Linotype" w:eastAsia="Palatino Linotype" w:hAnsi="Palatino Linotype" w:cs="Palatino Linotype"/>
          <w:b/>
          <w:i/>
          <w:u w:val="single"/>
        </w:rPr>
        <w:t>Elaborar las nóminas y pagar oportunamente las remuneraciones al personal; aplicar las sanciones y descuentos por concepto de retardos y faltas; Impuesto Sobre la Renta, sobre Sueldos y Salarios; cuotas al ISSEMyM, y otros impuestos y derechos de los y las trabajadoras del Colegio de Bachilleres.</w:t>
      </w:r>
    </w:p>
    <w:p w14:paraId="64CA44B7" w14:textId="77777777" w:rsidR="002B57F3" w:rsidRPr="00C45E23" w:rsidRDefault="003C2E85">
      <w:pPr>
        <w:pBdr>
          <w:top w:val="nil"/>
          <w:left w:val="nil"/>
          <w:bottom w:val="nil"/>
          <w:right w:val="nil"/>
          <w:between w:val="nil"/>
        </w:pBdr>
        <w:spacing w:after="0" w:line="276" w:lineRule="auto"/>
        <w:ind w:left="567" w:right="845"/>
        <w:jc w:val="both"/>
        <w:rPr>
          <w:rFonts w:ascii="Palatino Linotype" w:eastAsia="Palatino Linotype" w:hAnsi="Palatino Linotype" w:cs="Palatino Linotype"/>
          <w:i/>
        </w:rPr>
      </w:pPr>
      <w:r w:rsidRPr="00C45E23">
        <w:rPr>
          <w:rFonts w:ascii="Palatino Linotype" w:eastAsia="Palatino Linotype" w:hAnsi="Palatino Linotype" w:cs="Palatino Linotype"/>
          <w:i/>
        </w:rPr>
        <w:lastRenderedPageBreak/>
        <w:t>…</w:t>
      </w:r>
    </w:p>
    <w:p w14:paraId="3EBAFEAA" w14:textId="77777777" w:rsidR="002B57F3" w:rsidRPr="00C45E23" w:rsidRDefault="003C2E85">
      <w:pPr>
        <w:pBdr>
          <w:top w:val="nil"/>
          <w:left w:val="nil"/>
          <w:bottom w:val="nil"/>
          <w:right w:val="nil"/>
          <w:between w:val="nil"/>
        </w:pBdr>
        <w:spacing w:after="0" w:line="276" w:lineRule="auto"/>
        <w:ind w:left="567" w:right="845"/>
        <w:jc w:val="both"/>
        <w:rPr>
          <w:rFonts w:ascii="Palatino Linotype" w:eastAsia="Palatino Linotype" w:hAnsi="Palatino Linotype" w:cs="Palatino Linotype"/>
          <w:i/>
        </w:rPr>
      </w:pPr>
      <w:r w:rsidRPr="00C45E23">
        <w:rPr>
          <w:rFonts w:ascii="Palatino Linotype" w:eastAsia="Palatino Linotype" w:hAnsi="Palatino Linotype" w:cs="Palatino Linotype"/>
          <w:i/>
        </w:rPr>
        <w:t>-  Informar detalladamente a la Subdirección de Planeación de Sueldos y Salarios del Sector Auxiliar de la Dirección de Política Salarial, de la plantilla y movimientos del personal adscrito al Colegio.</w:t>
      </w:r>
    </w:p>
    <w:p w14:paraId="26C8A5F6" w14:textId="77777777" w:rsidR="002B57F3" w:rsidRPr="00C45E23" w:rsidRDefault="003C2E85">
      <w:pPr>
        <w:pBdr>
          <w:top w:val="nil"/>
          <w:left w:val="nil"/>
          <w:bottom w:val="nil"/>
          <w:right w:val="nil"/>
          <w:between w:val="nil"/>
        </w:pBdr>
        <w:spacing w:after="0" w:line="276" w:lineRule="auto"/>
        <w:ind w:left="567" w:right="845"/>
        <w:jc w:val="both"/>
        <w:rPr>
          <w:rFonts w:ascii="Palatino Linotype" w:eastAsia="Palatino Linotype" w:hAnsi="Palatino Linotype" w:cs="Palatino Linotype"/>
          <w:i/>
        </w:rPr>
      </w:pPr>
      <w:r w:rsidRPr="00C45E23">
        <w:rPr>
          <w:rFonts w:ascii="Palatino Linotype" w:eastAsia="Palatino Linotype" w:hAnsi="Palatino Linotype" w:cs="Palatino Linotype"/>
          <w:i/>
        </w:rPr>
        <w:t>…</w:t>
      </w:r>
    </w:p>
    <w:p w14:paraId="7A939EE9" w14:textId="77777777" w:rsidR="002B57F3" w:rsidRPr="00C45E23" w:rsidRDefault="002B57F3">
      <w:pPr>
        <w:pBdr>
          <w:top w:val="nil"/>
          <w:left w:val="nil"/>
          <w:bottom w:val="nil"/>
          <w:right w:val="nil"/>
          <w:between w:val="nil"/>
        </w:pBdr>
        <w:spacing w:after="0" w:line="360" w:lineRule="auto"/>
        <w:ind w:left="567" w:right="845"/>
        <w:jc w:val="both"/>
        <w:rPr>
          <w:rFonts w:ascii="Palatino Linotype" w:eastAsia="Palatino Linotype" w:hAnsi="Palatino Linotype" w:cs="Palatino Linotype"/>
          <w:i/>
          <w:sz w:val="24"/>
          <w:szCs w:val="24"/>
        </w:rPr>
      </w:pPr>
    </w:p>
    <w:p w14:paraId="0C445AF7"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Como se observa, el Colegio de Bachilleres del Estado de México, a través del Departamento de Recursos Humanos, es responsable de llevar a cabo la selección, contratación, registro, control, capacitación y desarrollo del personal bajo su cargo, debiendo verificar que la asignación de puestos y de sueldos se ajusten a las plazas y a los tabuladores autorizados para el Estado, así como </w:t>
      </w:r>
      <w:r w:rsidRPr="00C45E23">
        <w:rPr>
          <w:rFonts w:ascii="Palatino Linotype" w:eastAsia="Palatino Linotype" w:hAnsi="Palatino Linotype" w:cs="Palatino Linotype"/>
          <w:b/>
          <w:sz w:val="24"/>
          <w:szCs w:val="24"/>
          <w:u w:val="single"/>
        </w:rPr>
        <w:t>elaborar las nóminas y pagar oportunamente las remuneraciones al personal</w:t>
      </w:r>
      <w:r w:rsidRPr="00C45E23">
        <w:rPr>
          <w:rFonts w:ascii="Palatino Linotype" w:eastAsia="Palatino Linotype" w:hAnsi="Palatino Linotype" w:cs="Palatino Linotype"/>
          <w:sz w:val="24"/>
          <w:szCs w:val="24"/>
        </w:rPr>
        <w:t xml:space="preserve">; </w:t>
      </w:r>
      <w:r w:rsidRPr="00C45E23">
        <w:rPr>
          <w:rFonts w:ascii="Palatino Linotype" w:eastAsia="Palatino Linotype" w:hAnsi="Palatino Linotype" w:cs="Palatino Linotype"/>
          <w:b/>
          <w:sz w:val="24"/>
          <w:szCs w:val="24"/>
          <w:u w:val="single"/>
        </w:rPr>
        <w:t>aplicar las sanciones y descuentos</w:t>
      </w:r>
      <w:r w:rsidRPr="00C45E23">
        <w:rPr>
          <w:rFonts w:ascii="Palatino Linotype" w:eastAsia="Palatino Linotype" w:hAnsi="Palatino Linotype" w:cs="Palatino Linotype"/>
          <w:sz w:val="24"/>
          <w:szCs w:val="24"/>
        </w:rPr>
        <w:t xml:space="preserve"> </w:t>
      </w:r>
      <w:r w:rsidRPr="00C45E23">
        <w:rPr>
          <w:rFonts w:ascii="Palatino Linotype" w:eastAsia="Palatino Linotype" w:hAnsi="Palatino Linotype" w:cs="Palatino Linotype"/>
          <w:b/>
          <w:sz w:val="24"/>
          <w:szCs w:val="24"/>
          <w:u w:val="single"/>
        </w:rPr>
        <w:t>por concepto de retardos y faltas; Impuesto Sobre la Renta, sobre Sueldos y Salarios; cuotas al ISSEMyM, entre otros impuestos y derechos</w:t>
      </w:r>
      <w:r w:rsidRPr="00C45E23">
        <w:rPr>
          <w:rFonts w:ascii="Palatino Linotype" w:eastAsia="Palatino Linotype" w:hAnsi="Palatino Linotype" w:cs="Palatino Linotype"/>
          <w:sz w:val="24"/>
          <w:szCs w:val="24"/>
        </w:rPr>
        <w:t>.</w:t>
      </w:r>
    </w:p>
    <w:p w14:paraId="35627532"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1D36D33C"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Por lo tanto, se colige que </w:t>
      </w:r>
      <w:r w:rsidRPr="00C45E23">
        <w:rPr>
          <w:rFonts w:ascii="Palatino Linotype" w:eastAsia="Palatino Linotype" w:hAnsi="Palatino Linotype" w:cs="Palatino Linotype"/>
          <w:b/>
          <w:sz w:val="24"/>
          <w:szCs w:val="24"/>
          <w:u w:val="single"/>
        </w:rPr>
        <w:t>el Colegio de Bachilleres del Estado de México es, en primera instancia, EL SUJETO OBLIGADO que pudiera dar atención a la solicitud,</w:t>
      </w:r>
      <w:r w:rsidRPr="00C45E23">
        <w:rPr>
          <w:rFonts w:ascii="Palatino Linotype" w:eastAsia="Palatino Linotype" w:hAnsi="Palatino Linotype" w:cs="Palatino Linotype"/>
          <w:sz w:val="24"/>
          <w:szCs w:val="24"/>
        </w:rPr>
        <w:t xml:space="preserve"> ya que cuenta con facultades para generar, administrar y/o poseer la información materia de las mismas, esto es, el pago de percepciones y la aplicación de descuentos de los servidores públicos bajo su adscripción.</w:t>
      </w:r>
    </w:p>
    <w:p w14:paraId="5B5276FE"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05ABD215"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Argumento que se robustece con el mismo Anexo de Ejecución / Apoyo Financiero 2024 SEMS-EL COBAEM-MÉXICO 0236/24, el cual en su Cláusula Quinta establece las obligaciones que se le confieren al COBAEM:</w:t>
      </w:r>
    </w:p>
    <w:p w14:paraId="2BA72102" w14:textId="77777777" w:rsidR="002B57F3" w:rsidRPr="00C45E23" w:rsidRDefault="003C2E85">
      <w:pPr>
        <w:spacing w:after="200" w:line="360" w:lineRule="auto"/>
        <w:jc w:val="center"/>
        <w:rPr>
          <w:rFonts w:ascii="Palatino Linotype" w:eastAsia="Palatino Linotype" w:hAnsi="Palatino Linotype" w:cs="Palatino Linotype"/>
        </w:rPr>
      </w:pPr>
      <w:r w:rsidRPr="00C45E23">
        <w:rPr>
          <w:rFonts w:ascii="Palatino Linotype" w:eastAsia="Palatino Linotype" w:hAnsi="Palatino Linotype" w:cs="Palatino Linotype"/>
          <w:noProof/>
        </w:rPr>
        <w:lastRenderedPageBreak/>
        <w:drawing>
          <wp:inline distT="0" distB="0" distL="0" distR="0" wp14:anchorId="7A3DEFDA" wp14:editId="3527781B">
            <wp:extent cx="4680000" cy="5233894"/>
            <wp:effectExtent l="0" t="0" r="0" b="0"/>
            <wp:docPr id="21401319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680000" cy="5233894"/>
                    </a:xfrm>
                    <a:prstGeom prst="rect">
                      <a:avLst/>
                    </a:prstGeom>
                    <a:ln/>
                  </pic:spPr>
                </pic:pic>
              </a:graphicData>
            </a:graphic>
          </wp:inline>
        </w:drawing>
      </w:r>
    </w:p>
    <w:p w14:paraId="45AA181A" w14:textId="77777777" w:rsidR="002B57F3" w:rsidRPr="00C45E23" w:rsidRDefault="003C2E85">
      <w:pPr>
        <w:spacing w:after="200" w:line="360" w:lineRule="auto"/>
        <w:jc w:val="center"/>
        <w:rPr>
          <w:rFonts w:ascii="Palatino Linotype" w:eastAsia="Palatino Linotype" w:hAnsi="Palatino Linotype" w:cs="Palatino Linotype"/>
        </w:rPr>
      </w:pPr>
      <w:r w:rsidRPr="00C45E23">
        <w:rPr>
          <w:rFonts w:ascii="Palatino Linotype" w:eastAsia="Palatino Linotype" w:hAnsi="Palatino Linotype" w:cs="Palatino Linotype"/>
          <w:noProof/>
        </w:rPr>
        <w:lastRenderedPageBreak/>
        <w:drawing>
          <wp:inline distT="0" distB="0" distL="0" distR="0" wp14:anchorId="46376BAA" wp14:editId="572A3A03">
            <wp:extent cx="4525289" cy="1829169"/>
            <wp:effectExtent l="0" t="0" r="0" b="0"/>
            <wp:docPr id="21401319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525289" cy="1829169"/>
                    </a:xfrm>
                    <a:prstGeom prst="rect">
                      <a:avLst/>
                    </a:prstGeom>
                    <a:ln/>
                  </pic:spPr>
                </pic:pic>
              </a:graphicData>
            </a:graphic>
          </wp:inline>
        </w:drawing>
      </w:r>
    </w:p>
    <w:p w14:paraId="296B7723"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Como se advierte, en los incisos a), c), e) f) y h), el COBAEM está facultado, para administrar y ejercer los recursos provenientes del Anexo de Ejecución / Apoyo Financiero 2024 SEMS-EL COBAEM-MÉXICO 0236/24, al estar obligado medularmente a lo siguiente:</w:t>
      </w:r>
    </w:p>
    <w:p w14:paraId="1AC63D74"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42304669" w14:textId="77777777" w:rsidR="002B57F3" w:rsidRPr="00C45E23" w:rsidRDefault="003C2E85">
      <w:pPr>
        <w:spacing w:after="0" w:line="360" w:lineRule="auto"/>
        <w:ind w:left="284"/>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 </w:t>
      </w:r>
      <w:proofErr w:type="spellStart"/>
      <w:r w:rsidRPr="00C45E23">
        <w:rPr>
          <w:rFonts w:ascii="Palatino Linotype" w:eastAsia="Palatino Linotype" w:hAnsi="Palatino Linotype" w:cs="Palatino Linotype"/>
          <w:sz w:val="24"/>
          <w:szCs w:val="24"/>
        </w:rPr>
        <w:t>Aperturar</w:t>
      </w:r>
      <w:proofErr w:type="spellEnd"/>
      <w:r w:rsidRPr="00C45E23">
        <w:rPr>
          <w:rFonts w:ascii="Palatino Linotype" w:eastAsia="Palatino Linotype" w:hAnsi="Palatino Linotype" w:cs="Palatino Linotype"/>
          <w:sz w:val="24"/>
          <w:szCs w:val="24"/>
        </w:rPr>
        <w:t xml:space="preserve"> dos cuentas bancarias productivas específicas en una institución bancaria autorizada para la recepción, administración y ejercicio de los recursos financieros que aporte la SEP, y el Gobierno del Estado.</w:t>
      </w:r>
    </w:p>
    <w:p w14:paraId="5109F79F" w14:textId="77777777" w:rsidR="002B57F3" w:rsidRPr="00C45E23" w:rsidRDefault="003C2E85">
      <w:pPr>
        <w:spacing w:after="0" w:line="360" w:lineRule="auto"/>
        <w:ind w:left="284"/>
        <w:jc w:val="both"/>
        <w:rPr>
          <w:rFonts w:ascii="Palatino Linotype" w:eastAsia="Palatino Linotype" w:hAnsi="Palatino Linotype" w:cs="Palatino Linotype"/>
          <w:b/>
          <w:sz w:val="24"/>
          <w:szCs w:val="24"/>
        </w:rPr>
      </w:pPr>
      <w:r w:rsidRPr="00C45E23">
        <w:rPr>
          <w:rFonts w:ascii="Palatino Linotype" w:eastAsia="Palatino Linotype" w:hAnsi="Palatino Linotype" w:cs="Palatino Linotype"/>
          <w:sz w:val="24"/>
          <w:szCs w:val="24"/>
        </w:rPr>
        <w:t xml:space="preserve">- </w:t>
      </w:r>
      <w:r w:rsidRPr="00C45E23">
        <w:rPr>
          <w:rFonts w:ascii="Palatino Linotype" w:eastAsia="Palatino Linotype" w:hAnsi="Palatino Linotype" w:cs="Palatino Linotype"/>
          <w:b/>
          <w:sz w:val="24"/>
          <w:szCs w:val="24"/>
        </w:rPr>
        <w:t xml:space="preserve">Destinar el subsidio financiero objeto del Anexo de Ejecución, únicamente a cubrir los gastos relacionados con su operación indispensables para la realización de sus actividades, </w:t>
      </w:r>
      <w:r w:rsidRPr="00C45E23">
        <w:rPr>
          <w:rFonts w:ascii="Palatino Linotype" w:eastAsia="Palatino Linotype" w:hAnsi="Palatino Linotype" w:cs="Palatino Linotype"/>
          <w:sz w:val="24"/>
          <w:szCs w:val="24"/>
        </w:rPr>
        <w:t xml:space="preserve">esto es, </w:t>
      </w:r>
      <w:r w:rsidRPr="00C45E23">
        <w:rPr>
          <w:rFonts w:ascii="Palatino Linotype" w:eastAsia="Palatino Linotype" w:hAnsi="Palatino Linotype" w:cs="Palatino Linotype"/>
          <w:b/>
          <w:sz w:val="24"/>
          <w:szCs w:val="24"/>
        </w:rPr>
        <w:t xml:space="preserve">el costo analítico de servicios personales que comprende el número de plazas y horas, prestaciones y conceptos autorizados, con base en los catálogos de puestos/categorías y tabuladores de sueldos, así como en las prestaciones autorizadas a los organismos descentralizados estatales vigentes, emitidos por la Dirección General de Recursos Humanos y Organización de la Secretaría de Educación Pública; </w:t>
      </w:r>
      <w:r w:rsidRPr="00C45E23">
        <w:rPr>
          <w:rFonts w:ascii="Palatino Linotype" w:eastAsia="Palatino Linotype" w:hAnsi="Palatino Linotype" w:cs="Palatino Linotype"/>
          <w:b/>
          <w:sz w:val="24"/>
          <w:szCs w:val="24"/>
        </w:rPr>
        <w:lastRenderedPageBreak/>
        <w:t xml:space="preserve">adquisición de materiales y suministros –capitulo 2000- y servicios generales –capitulo 3000-, </w:t>
      </w:r>
      <w:r w:rsidRPr="00C45E23">
        <w:rPr>
          <w:rFonts w:ascii="Palatino Linotype" w:eastAsia="Palatino Linotype" w:hAnsi="Palatino Linotype" w:cs="Palatino Linotype"/>
          <w:sz w:val="24"/>
          <w:szCs w:val="24"/>
        </w:rPr>
        <w:t xml:space="preserve">de conformidad con los </w:t>
      </w:r>
      <w:r w:rsidRPr="00C45E23">
        <w:rPr>
          <w:rFonts w:ascii="Palatino Linotype" w:eastAsia="Palatino Linotype" w:hAnsi="Palatino Linotype" w:cs="Palatino Linotype"/>
          <w:b/>
          <w:sz w:val="24"/>
          <w:szCs w:val="24"/>
        </w:rPr>
        <w:t>Apartados</w:t>
      </w:r>
      <w:r w:rsidRPr="00C45E23">
        <w:rPr>
          <w:rFonts w:ascii="Palatino Linotype" w:eastAsia="Palatino Linotype" w:hAnsi="Palatino Linotype" w:cs="Palatino Linotype"/>
          <w:sz w:val="24"/>
          <w:szCs w:val="24"/>
        </w:rPr>
        <w:t xml:space="preserve"> “A” y </w:t>
      </w:r>
      <w:r w:rsidRPr="00C45E23">
        <w:rPr>
          <w:rFonts w:ascii="Palatino Linotype" w:eastAsia="Palatino Linotype" w:hAnsi="Palatino Linotype" w:cs="Palatino Linotype"/>
          <w:b/>
          <w:sz w:val="24"/>
          <w:szCs w:val="24"/>
        </w:rPr>
        <w:t>“B”.</w:t>
      </w:r>
    </w:p>
    <w:p w14:paraId="066D6190" w14:textId="77777777" w:rsidR="002B57F3" w:rsidRPr="00C45E23" w:rsidRDefault="003C2E85">
      <w:pPr>
        <w:spacing w:after="0" w:line="360" w:lineRule="auto"/>
        <w:ind w:left="284"/>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 Resguardar la documentación original justificativa y comprobatoria del ejercicio y aplicación de los recursos financieros materia del Anexo de </w:t>
      </w:r>
      <w:proofErr w:type="gramStart"/>
      <w:r w:rsidRPr="00C45E23">
        <w:rPr>
          <w:rFonts w:ascii="Palatino Linotype" w:eastAsia="Palatino Linotype" w:hAnsi="Palatino Linotype" w:cs="Palatino Linotype"/>
          <w:sz w:val="24"/>
          <w:szCs w:val="24"/>
        </w:rPr>
        <w:t>Ejecución,  para</w:t>
      </w:r>
      <w:proofErr w:type="gramEnd"/>
      <w:r w:rsidRPr="00C45E23">
        <w:rPr>
          <w:rFonts w:ascii="Palatino Linotype" w:eastAsia="Palatino Linotype" w:hAnsi="Palatino Linotype" w:cs="Palatino Linotype"/>
          <w:sz w:val="24"/>
          <w:szCs w:val="24"/>
        </w:rPr>
        <w:t xml:space="preserve"> efectos de rendición de cuentas y transparencia, así como mantener un registro específico de este Anexo de Ejecución debidamente actualizado, identificado y controlado.</w:t>
      </w:r>
    </w:p>
    <w:p w14:paraId="2D4479C6" w14:textId="77777777" w:rsidR="002B57F3" w:rsidRPr="00C45E23" w:rsidRDefault="003C2E85">
      <w:pPr>
        <w:spacing w:after="0" w:line="360" w:lineRule="auto"/>
        <w:ind w:left="284"/>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 Informar trimestralmente a la SEP y al Gobierno del Estado de México sobre el ejercicio de los recursos a los que se refiere el Anexo de Ejecución, y de manera complementaria, </w:t>
      </w:r>
      <w:r w:rsidRPr="00C45E23">
        <w:rPr>
          <w:rFonts w:ascii="Palatino Linotype" w:eastAsia="Palatino Linotype" w:hAnsi="Palatino Linotype" w:cs="Palatino Linotype"/>
          <w:b/>
          <w:sz w:val="24"/>
          <w:szCs w:val="24"/>
          <w:u w:val="single"/>
        </w:rPr>
        <w:t>remitir mensualmente los documentos de trabajo donde se identifiquen los recursos federales y estatales ejercidos para el pago de la nómina conforme al Apartado “B” (sueldos, plazas, horas y prestaciones autorizadas)</w:t>
      </w:r>
    </w:p>
    <w:p w14:paraId="37007E11" w14:textId="77777777" w:rsidR="002B57F3" w:rsidRPr="00C45E23" w:rsidRDefault="003C2E85">
      <w:pPr>
        <w:spacing w:after="0" w:line="360" w:lineRule="auto"/>
        <w:ind w:left="284"/>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 Proporcionar las facilidades necesarias para que las instancias competentes de control, supervisión y fiscalización del Gobierno del Estado de México </w:t>
      </w:r>
      <w:proofErr w:type="gramStart"/>
      <w:r w:rsidRPr="00C45E23">
        <w:rPr>
          <w:rFonts w:ascii="Palatino Linotype" w:eastAsia="Palatino Linotype" w:hAnsi="Palatino Linotype" w:cs="Palatino Linotype"/>
          <w:sz w:val="24"/>
          <w:szCs w:val="24"/>
        </w:rPr>
        <w:t>ejerzan  sus</w:t>
      </w:r>
      <w:proofErr w:type="gramEnd"/>
      <w:r w:rsidRPr="00C45E23">
        <w:rPr>
          <w:rFonts w:ascii="Palatino Linotype" w:eastAsia="Palatino Linotype" w:hAnsi="Palatino Linotype" w:cs="Palatino Linotype"/>
          <w:sz w:val="24"/>
          <w:szCs w:val="24"/>
        </w:rPr>
        <w:t xml:space="preserve"> atribuciones en el ámbito de sus respectivas competencias, respecto a los recursos objeto del Anexo de Ejecución.</w:t>
      </w:r>
    </w:p>
    <w:p w14:paraId="28F1238D" w14:textId="77777777" w:rsidR="002B57F3" w:rsidRPr="00C45E23" w:rsidRDefault="002B57F3">
      <w:pPr>
        <w:spacing w:after="0" w:line="360" w:lineRule="auto"/>
        <w:ind w:left="284"/>
        <w:jc w:val="both"/>
        <w:rPr>
          <w:rFonts w:ascii="Palatino Linotype" w:eastAsia="Palatino Linotype" w:hAnsi="Palatino Linotype" w:cs="Palatino Linotype"/>
          <w:sz w:val="24"/>
          <w:szCs w:val="24"/>
        </w:rPr>
      </w:pPr>
    </w:p>
    <w:p w14:paraId="45ED95BD"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Corolario a lo anterior, es imprescindible mencionar que la obligación prevista en la Cláusula Quinta, inciso f), del </w:t>
      </w:r>
      <w:proofErr w:type="gramStart"/>
      <w:r w:rsidRPr="00C45E23">
        <w:rPr>
          <w:rFonts w:ascii="Palatino Linotype" w:eastAsia="Palatino Linotype" w:hAnsi="Palatino Linotype" w:cs="Palatino Linotype"/>
          <w:sz w:val="24"/>
          <w:szCs w:val="24"/>
        </w:rPr>
        <w:t>Anexo,  guarda</w:t>
      </w:r>
      <w:proofErr w:type="gramEnd"/>
      <w:r w:rsidRPr="00C45E23">
        <w:rPr>
          <w:rFonts w:ascii="Palatino Linotype" w:eastAsia="Palatino Linotype" w:hAnsi="Palatino Linotype" w:cs="Palatino Linotype"/>
          <w:sz w:val="24"/>
          <w:szCs w:val="24"/>
        </w:rPr>
        <w:t xml:space="preserve"> estrecha relación con las </w:t>
      </w:r>
      <w:proofErr w:type="spellStart"/>
      <w:r w:rsidRPr="00C45E23">
        <w:rPr>
          <w:rFonts w:ascii="Palatino Linotype" w:eastAsia="Palatino Linotype" w:hAnsi="Palatino Linotype" w:cs="Palatino Linotype"/>
          <w:sz w:val="24"/>
          <w:szCs w:val="24"/>
        </w:rPr>
        <w:t>Clausulas</w:t>
      </w:r>
      <w:proofErr w:type="spellEnd"/>
      <w:r w:rsidRPr="00C45E23">
        <w:rPr>
          <w:rFonts w:ascii="Palatino Linotype" w:eastAsia="Palatino Linotype" w:hAnsi="Palatino Linotype" w:cs="Palatino Linotype"/>
          <w:sz w:val="24"/>
          <w:szCs w:val="24"/>
        </w:rPr>
        <w:t xml:space="preserve"> Tercera, incisos c), d) y e), y Cuarta, incisos f), g), primer párrafo y h) del mismo anexo, que disponen lo siguiente:</w:t>
      </w:r>
    </w:p>
    <w:p w14:paraId="4696525F"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noProof/>
          <w:sz w:val="24"/>
          <w:szCs w:val="24"/>
        </w:rPr>
        <w:drawing>
          <wp:inline distT="0" distB="0" distL="0" distR="0" wp14:anchorId="0A007C74" wp14:editId="4FB32F2E">
            <wp:extent cx="5612130" cy="182880"/>
            <wp:effectExtent l="0" t="0" r="0" b="0"/>
            <wp:docPr id="21401319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612130" cy="182880"/>
                    </a:xfrm>
                    <a:prstGeom prst="rect">
                      <a:avLst/>
                    </a:prstGeom>
                    <a:ln/>
                  </pic:spPr>
                </pic:pic>
              </a:graphicData>
            </a:graphic>
          </wp:inline>
        </w:drawing>
      </w:r>
    </w:p>
    <w:p w14:paraId="0FE2D0C5"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noProof/>
          <w:sz w:val="24"/>
          <w:szCs w:val="24"/>
        </w:rPr>
        <w:lastRenderedPageBreak/>
        <w:drawing>
          <wp:inline distT="0" distB="0" distL="0" distR="0" wp14:anchorId="2825C4AA" wp14:editId="4BF67623">
            <wp:extent cx="5612130" cy="843915"/>
            <wp:effectExtent l="0" t="0" r="0" b="0"/>
            <wp:docPr id="21401319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t="33683"/>
                    <a:stretch>
                      <a:fillRect/>
                    </a:stretch>
                  </pic:blipFill>
                  <pic:spPr>
                    <a:xfrm>
                      <a:off x="0" y="0"/>
                      <a:ext cx="5612130" cy="843915"/>
                    </a:xfrm>
                    <a:prstGeom prst="rect">
                      <a:avLst/>
                    </a:prstGeom>
                    <a:ln/>
                  </pic:spPr>
                </pic:pic>
              </a:graphicData>
            </a:graphic>
          </wp:inline>
        </w:drawing>
      </w:r>
      <w:r w:rsidRPr="00C45E23">
        <w:rPr>
          <w:rFonts w:ascii="Palatino Linotype" w:eastAsia="Palatino Linotype" w:hAnsi="Palatino Linotype" w:cs="Palatino Linotype"/>
          <w:sz w:val="24"/>
          <w:szCs w:val="24"/>
        </w:rPr>
        <w:t xml:space="preserve"> </w:t>
      </w:r>
    </w:p>
    <w:p w14:paraId="0B6FC945"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noProof/>
          <w:sz w:val="24"/>
          <w:szCs w:val="24"/>
        </w:rPr>
        <w:drawing>
          <wp:inline distT="0" distB="0" distL="0" distR="0" wp14:anchorId="491F0863" wp14:editId="4691987A">
            <wp:extent cx="5612130" cy="237490"/>
            <wp:effectExtent l="0" t="0" r="0" b="0"/>
            <wp:docPr id="21401319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612130" cy="237490"/>
                    </a:xfrm>
                    <a:prstGeom prst="rect">
                      <a:avLst/>
                    </a:prstGeom>
                    <a:ln/>
                  </pic:spPr>
                </pic:pic>
              </a:graphicData>
            </a:graphic>
          </wp:inline>
        </w:drawing>
      </w:r>
      <w:r w:rsidRPr="00C45E23">
        <w:rPr>
          <w:rFonts w:ascii="Palatino Linotype" w:eastAsia="Palatino Linotype" w:hAnsi="Palatino Linotype" w:cs="Palatino Linotype"/>
          <w:noProof/>
          <w:sz w:val="24"/>
          <w:szCs w:val="24"/>
        </w:rPr>
        <w:drawing>
          <wp:inline distT="0" distB="0" distL="0" distR="0" wp14:anchorId="5A936A58" wp14:editId="64638CA1">
            <wp:extent cx="5612130" cy="1732915"/>
            <wp:effectExtent l="0" t="0" r="0" b="0"/>
            <wp:docPr id="21401319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612130" cy="1732915"/>
                    </a:xfrm>
                    <a:prstGeom prst="rect">
                      <a:avLst/>
                    </a:prstGeom>
                    <a:ln/>
                  </pic:spPr>
                </pic:pic>
              </a:graphicData>
            </a:graphic>
          </wp:inline>
        </w:drawing>
      </w:r>
      <w:r w:rsidRPr="00C45E23">
        <w:rPr>
          <w:rFonts w:ascii="Palatino Linotype" w:eastAsia="Palatino Linotype" w:hAnsi="Palatino Linotype" w:cs="Palatino Linotype"/>
          <w:noProof/>
          <w:sz w:val="24"/>
          <w:szCs w:val="24"/>
        </w:rPr>
        <w:drawing>
          <wp:inline distT="0" distB="0" distL="0" distR="0" wp14:anchorId="5A16F472" wp14:editId="3DACB233">
            <wp:extent cx="5612130" cy="371475"/>
            <wp:effectExtent l="0" t="0" r="0" b="0"/>
            <wp:docPr id="21401319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612130" cy="371475"/>
                    </a:xfrm>
                    <a:prstGeom prst="rect">
                      <a:avLst/>
                    </a:prstGeom>
                    <a:ln/>
                  </pic:spPr>
                </pic:pic>
              </a:graphicData>
            </a:graphic>
          </wp:inline>
        </w:drawing>
      </w:r>
    </w:p>
    <w:p w14:paraId="5A891C47"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En este tenor, se colige que </w:t>
      </w:r>
      <w:r w:rsidRPr="00C45E23">
        <w:rPr>
          <w:rFonts w:ascii="Palatino Linotype" w:eastAsia="Palatino Linotype" w:hAnsi="Palatino Linotype" w:cs="Palatino Linotype"/>
          <w:b/>
          <w:sz w:val="24"/>
          <w:szCs w:val="24"/>
          <w:u w:val="single"/>
        </w:rPr>
        <w:t>la Secretaría de Educación Pública, y la Secretaría de Educación, Ciencia, Tecnología e Innovación, también cuentan con competencia para conocer sobre la materia de la solicitud de información</w:t>
      </w:r>
      <w:r w:rsidRPr="00C45E23">
        <w:rPr>
          <w:rFonts w:ascii="Palatino Linotype" w:eastAsia="Palatino Linotype" w:hAnsi="Palatino Linotype" w:cs="Palatino Linotype"/>
          <w:sz w:val="24"/>
          <w:szCs w:val="24"/>
        </w:rPr>
        <w:t xml:space="preserve">, al ser las instancias responsables de </w:t>
      </w:r>
      <w:r w:rsidRPr="00C45E23">
        <w:rPr>
          <w:rFonts w:ascii="Palatino Linotype" w:eastAsia="Palatino Linotype" w:hAnsi="Palatino Linotype" w:cs="Palatino Linotype"/>
          <w:b/>
          <w:sz w:val="24"/>
          <w:szCs w:val="24"/>
        </w:rPr>
        <w:t>revisar los informes trimestrales sobre el ejercicio de los recursos financieros que elabore y remita el COBAEM, a fin de verificar la correcta aplicación de los mismos</w:t>
      </w:r>
      <w:r w:rsidRPr="00C45E23">
        <w:rPr>
          <w:rFonts w:ascii="Palatino Linotype" w:eastAsia="Palatino Linotype" w:hAnsi="Palatino Linotype" w:cs="Palatino Linotype"/>
          <w:sz w:val="24"/>
          <w:szCs w:val="24"/>
        </w:rPr>
        <w:t xml:space="preserve">, reiterando que </w:t>
      </w:r>
      <w:r w:rsidRPr="00C45E23">
        <w:rPr>
          <w:rFonts w:ascii="Palatino Linotype" w:eastAsia="Palatino Linotype" w:hAnsi="Palatino Linotype" w:cs="Palatino Linotype"/>
          <w:b/>
          <w:sz w:val="24"/>
          <w:szCs w:val="24"/>
          <w:u w:val="single"/>
        </w:rPr>
        <w:t>dichos informes deben contener los documentos de trabajo donde se identifiquen los recursos federales y estatales ejercidos para el pago de la nómina, conforme al Apartado "B” (sueldos, plazas, horas y prestaciones autorizados)</w:t>
      </w:r>
      <w:r w:rsidRPr="00C45E23">
        <w:rPr>
          <w:rFonts w:ascii="Palatino Linotype" w:eastAsia="Palatino Linotype" w:hAnsi="Palatino Linotype" w:cs="Palatino Linotype"/>
          <w:sz w:val="24"/>
          <w:szCs w:val="24"/>
        </w:rPr>
        <w:t xml:space="preserve">, así como </w:t>
      </w:r>
      <w:r w:rsidRPr="00C45E23">
        <w:rPr>
          <w:rFonts w:ascii="Palatino Linotype" w:eastAsia="Palatino Linotype" w:hAnsi="Palatino Linotype" w:cs="Palatino Linotype"/>
          <w:b/>
          <w:sz w:val="24"/>
          <w:szCs w:val="24"/>
        </w:rPr>
        <w:t xml:space="preserve">verificar que los recursos aportados por la SEP y el Gobierno del Estado se apliquen específicamente para el objeto del Anexo de Ejecución, </w:t>
      </w:r>
      <w:r w:rsidRPr="00C45E23">
        <w:rPr>
          <w:rFonts w:ascii="Palatino Linotype" w:eastAsia="Palatino Linotype" w:hAnsi="Palatino Linotype" w:cs="Palatino Linotype"/>
          <w:sz w:val="24"/>
          <w:szCs w:val="24"/>
        </w:rPr>
        <w:t xml:space="preserve">debiendo comunicar a las autoridades competentes </w:t>
      </w:r>
      <w:r w:rsidRPr="00C45E23">
        <w:rPr>
          <w:rFonts w:ascii="Palatino Linotype" w:eastAsia="Palatino Linotype" w:hAnsi="Palatino Linotype" w:cs="Palatino Linotype"/>
          <w:sz w:val="24"/>
          <w:szCs w:val="24"/>
        </w:rPr>
        <w:lastRenderedPageBreak/>
        <w:t>cualquier irregularidad de la que tengan conocimiento con motivo de la ejecución del Anexo, de conformidad con las disposiciones aplicables.</w:t>
      </w:r>
    </w:p>
    <w:p w14:paraId="590EC32E" w14:textId="77777777" w:rsidR="002B57F3" w:rsidRPr="00C45E23" w:rsidRDefault="002B57F3">
      <w:pPr>
        <w:spacing w:after="0" w:line="360" w:lineRule="auto"/>
        <w:ind w:right="51"/>
        <w:jc w:val="both"/>
        <w:rPr>
          <w:rFonts w:ascii="Palatino Linotype" w:eastAsia="Palatino Linotype" w:hAnsi="Palatino Linotype" w:cs="Palatino Linotype"/>
          <w:sz w:val="24"/>
          <w:szCs w:val="24"/>
        </w:rPr>
      </w:pPr>
    </w:p>
    <w:p w14:paraId="2662B16D"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Atento a las consideraciones expuestas, no es procedente la entrega de información alguna para atender la solicitud de información,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de aplicación supletoria, lo que a</w:t>
      </w:r>
      <w:r w:rsidRPr="00C45E23">
        <w:rPr>
          <w:rFonts w:ascii="Palatino Linotype" w:eastAsia="Palatino Linotype" w:hAnsi="Palatino Linotype" w:cs="Palatino Linotype"/>
          <w:i/>
          <w:sz w:val="24"/>
          <w:szCs w:val="24"/>
        </w:rPr>
        <w:t xml:space="preserve"> contrario sensu</w:t>
      </w:r>
      <w:r w:rsidRPr="00C45E23">
        <w:rPr>
          <w:rFonts w:ascii="Palatino Linotype" w:eastAsia="Palatino Linotype" w:hAnsi="Palatino Linotype" w:cs="Palatino Linotype"/>
          <w:sz w:val="24"/>
          <w:szCs w:val="24"/>
        </w:rPr>
        <w:t xml:space="preserve"> significa que no se está obligado a proporcionar lo que no obre en sus archivos, en consecuencia,  el pronunciamiento vertido por la Unidad de Transparencia, es suficiente para tener por atendidos los requerimientos de información. </w:t>
      </w:r>
    </w:p>
    <w:p w14:paraId="333D63C9" w14:textId="77777777" w:rsidR="002B57F3" w:rsidRPr="00C45E23" w:rsidRDefault="002B57F3">
      <w:pPr>
        <w:spacing w:after="0" w:line="360" w:lineRule="auto"/>
        <w:ind w:right="51"/>
        <w:jc w:val="both"/>
        <w:rPr>
          <w:rFonts w:ascii="Palatino Linotype" w:eastAsia="Palatino Linotype" w:hAnsi="Palatino Linotype" w:cs="Palatino Linotype"/>
          <w:sz w:val="24"/>
          <w:szCs w:val="24"/>
        </w:rPr>
      </w:pPr>
    </w:p>
    <w:p w14:paraId="5529F0E8" w14:textId="77777777" w:rsidR="002B57F3" w:rsidRPr="00C45E23" w:rsidRDefault="003C2E85">
      <w:pPr>
        <w:spacing w:after="0" w:line="360" w:lineRule="auto"/>
        <w:ind w:right="49"/>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Dicho lo anterior, respecto a la Declaración de Incompetencia, la Ley de Transparencia y Acceso a la Información Pública del Estado de México, de aplicación supletoria, establece en los artículos 49, fracción II y 167, lo siguiente: </w:t>
      </w:r>
    </w:p>
    <w:p w14:paraId="450BDAC8" w14:textId="77777777" w:rsidR="002B57F3" w:rsidRPr="00C45E23" w:rsidRDefault="002B57F3">
      <w:pPr>
        <w:spacing w:after="0" w:line="360" w:lineRule="auto"/>
        <w:ind w:right="49"/>
        <w:jc w:val="both"/>
        <w:rPr>
          <w:rFonts w:ascii="Palatino Linotype" w:eastAsia="Palatino Linotype" w:hAnsi="Palatino Linotype" w:cs="Palatino Linotype"/>
        </w:rPr>
      </w:pPr>
    </w:p>
    <w:p w14:paraId="72D51713" w14:textId="77777777" w:rsidR="002B57F3" w:rsidRPr="00C45E23" w:rsidRDefault="003C2E85">
      <w:pPr>
        <w:tabs>
          <w:tab w:val="left" w:pos="1134"/>
          <w:tab w:val="left" w:pos="1276"/>
        </w:tabs>
        <w:spacing w:after="0" w:line="276" w:lineRule="auto"/>
        <w:ind w:left="567" w:right="902"/>
        <w:jc w:val="both"/>
        <w:rPr>
          <w:rFonts w:ascii="Palatino Linotype" w:eastAsia="Palatino Linotype" w:hAnsi="Palatino Linotype" w:cs="Palatino Linotype"/>
          <w:i/>
        </w:rPr>
      </w:pPr>
      <w:r w:rsidRPr="00C45E23">
        <w:rPr>
          <w:rFonts w:ascii="Palatino Linotype" w:eastAsia="Palatino Linotype" w:hAnsi="Palatino Linotype" w:cs="Palatino Linotype"/>
          <w:i/>
        </w:rPr>
        <w:t>“</w:t>
      </w:r>
      <w:r w:rsidRPr="00C45E23">
        <w:rPr>
          <w:rFonts w:ascii="Palatino Linotype" w:eastAsia="Palatino Linotype" w:hAnsi="Palatino Linotype" w:cs="Palatino Linotype"/>
          <w:b/>
          <w:i/>
        </w:rPr>
        <w:t>Artículo 49.</w:t>
      </w:r>
      <w:r w:rsidRPr="00C45E23">
        <w:rPr>
          <w:rFonts w:ascii="Palatino Linotype" w:eastAsia="Palatino Linotype" w:hAnsi="Palatino Linotype" w:cs="Palatino Linotype"/>
          <w:i/>
        </w:rPr>
        <w:t xml:space="preserve"> </w:t>
      </w:r>
      <w:r w:rsidRPr="00C45E23">
        <w:rPr>
          <w:rFonts w:ascii="Palatino Linotype" w:eastAsia="Palatino Linotype" w:hAnsi="Palatino Linotype" w:cs="Palatino Linotype"/>
          <w:b/>
          <w:i/>
        </w:rPr>
        <w:t>Los Comités de Transparencia</w:t>
      </w:r>
      <w:r w:rsidRPr="00C45E23">
        <w:rPr>
          <w:rFonts w:ascii="Palatino Linotype" w:eastAsia="Palatino Linotype" w:hAnsi="Palatino Linotype" w:cs="Palatino Linotype"/>
          <w:i/>
        </w:rPr>
        <w:t xml:space="preserve"> tendrán las siguientes atribuciones:</w:t>
      </w:r>
    </w:p>
    <w:p w14:paraId="73E32DBC" w14:textId="77777777" w:rsidR="002B57F3" w:rsidRPr="00C45E23" w:rsidRDefault="003C2E85">
      <w:pPr>
        <w:tabs>
          <w:tab w:val="left" w:pos="1134"/>
        </w:tabs>
        <w:spacing w:after="0" w:line="276" w:lineRule="auto"/>
        <w:ind w:left="567" w:right="902"/>
        <w:jc w:val="both"/>
        <w:rPr>
          <w:rFonts w:ascii="Palatino Linotype" w:eastAsia="Palatino Linotype" w:hAnsi="Palatino Linotype" w:cs="Palatino Linotype"/>
          <w:b/>
          <w:i/>
        </w:rPr>
      </w:pPr>
      <w:r w:rsidRPr="00C45E23">
        <w:rPr>
          <w:rFonts w:ascii="Palatino Linotype" w:eastAsia="Palatino Linotype" w:hAnsi="Palatino Linotype" w:cs="Palatino Linotype"/>
          <w:b/>
          <w:i/>
        </w:rPr>
        <w:t>...</w:t>
      </w:r>
    </w:p>
    <w:p w14:paraId="6D5E6C9F" w14:textId="77777777" w:rsidR="002B57F3" w:rsidRPr="00C45E23" w:rsidRDefault="003C2E85">
      <w:pPr>
        <w:tabs>
          <w:tab w:val="left" w:pos="1134"/>
        </w:tabs>
        <w:spacing w:after="0" w:line="276" w:lineRule="auto"/>
        <w:ind w:left="567" w:right="902"/>
        <w:jc w:val="both"/>
        <w:rPr>
          <w:rFonts w:ascii="Palatino Linotype" w:eastAsia="Palatino Linotype" w:hAnsi="Palatino Linotype" w:cs="Palatino Linotype"/>
          <w:b/>
          <w:i/>
          <w:u w:val="single"/>
        </w:rPr>
      </w:pPr>
      <w:r w:rsidRPr="00C45E23">
        <w:rPr>
          <w:rFonts w:ascii="Palatino Linotype" w:eastAsia="Palatino Linotype" w:hAnsi="Palatino Linotype" w:cs="Palatino Linotype"/>
          <w:b/>
          <w:i/>
        </w:rPr>
        <w:t>II.</w:t>
      </w:r>
      <w:r w:rsidRPr="00C45E23">
        <w:t xml:space="preserve"> </w:t>
      </w:r>
      <w:r w:rsidRPr="00C45E23">
        <w:rPr>
          <w:rFonts w:ascii="Palatino Linotype" w:eastAsia="Palatino Linotype" w:hAnsi="Palatino Linotype" w:cs="Palatino Linotype"/>
          <w:b/>
          <w:i/>
        </w:rPr>
        <w:t>Confirmar, modificar o revocar</w:t>
      </w:r>
      <w:r w:rsidRPr="00C45E23">
        <w:rPr>
          <w:rFonts w:ascii="Palatino Linotype" w:eastAsia="Palatino Linotype" w:hAnsi="Palatino Linotype" w:cs="Palatino Linotype"/>
          <w:i/>
        </w:rPr>
        <w:t xml:space="preserve"> las determinaciones </w:t>
      </w:r>
      <w:proofErr w:type="gramStart"/>
      <w:r w:rsidRPr="00C45E23">
        <w:rPr>
          <w:rFonts w:ascii="Palatino Linotype" w:eastAsia="Palatino Linotype" w:hAnsi="Palatino Linotype" w:cs="Palatino Linotype"/>
          <w:i/>
        </w:rPr>
        <w:t>que</w:t>
      </w:r>
      <w:proofErr w:type="gramEnd"/>
      <w:r w:rsidRPr="00C45E23">
        <w:rPr>
          <w:rFonts w:ascii="Palatino Linotype" w:eastAsia="Palatino Linotype" w:hAnsi="Palatino Linotype" w:cs="Palatino Linotype"/>
          <w:i/>
        </w:rPr>
        <w:t xml:space="preserve"> en materia de ampliación del plazo de respuesta, clasificación de la información </w:t>
      </w:r>
      <w:r w:rsidRPr="00C45E23">
        <w:rPr>
          <w:rFonts w:ascii="Palatino Linotype" w:eastAsia="Palatino Linotype" w:hAnsi="Palatino Linotype" w:cs="Palatino Linotype"/>
          <w:b/>
          <w:i/>
        </w:rPr>
        <w:t>y declaración</w:t>
      </w:r>
      <w:r w:rsidRPr="00C45E23">
        <w:rPr>
          <w:rFonts w:ascii="Palatino Linotype" w:eastAsia="Palatino Linotype" w:hAnsi="Palatino Linotype" w:cs="Palatino Linotype"/>
          <w:i/>
        </w:rPr>
        <w:t xml:space="preserve"> de inexistencia o </w:t>
      </w:r>
      <w:r w:rsidRPr="00C45E23">
        <w:rPr>
          <w:rFonts w:ascii="Palatino Linotype" w:eastAsia="Palatino Linotype" w:hAnsi="Palatino Linotype" w:cs="Palatino Linotype"/>
          <w:b/>
          <w:i/>
        </w:rPr>
        <w:t>de incompetencia realicen los titulares de las áreas de los sujetos obligados;</w:t>
      </w:r>
    </w:p>
    <w:p w14:paraId="5A79FC2F" w14:textId="77777777" w:rsidR="002B57F3" w:rsidRPr="00C45E23" w:rsidRDefault="003C2E85">
      <w:pPr>
        <w:tabs>
          <w:tab w:val="left" w:pos="1134"/>
        </w:tabs>
        <w:spacing w:after="0" w:line="276" w:lineRule="auto"/>
        <w:ind w:left="851" w:right="902"/>
        <w:jc w:val="both"/>
        <w:rPr>
          <w:rFonts w:ascii="Palatino Linotype" w:eastAsia="Palatino Linotype" w:hAnsi="Palatino Linotype" w:cs="Palatino Linotype"/>
          <w:b/>
          <w:i/>
        </w:rPr>
      </w:pPr>
      <w:r w:rsidRPr="00C45E23">
        <w:rPr>
          <w:rFonts w:ascii="Palatino Linotype" w:eastAsia="Palatino Linotype" w:hAnsi="Palatino Linotype" w:cs="Palatino Linotype"/>
          <w:b/>
          <w:i/>
        </w:rPr>
        <w:t>...</w:t>
      </w:r>
    </w:p>
    <w:p w14:paraId="14CC6A9F" w14:textId="77777777" w:rsidR="002B57F3" w:rsidRPr="00C45E23" w:rsidRDefault="003C2E85">
      <w:pPr>
        <w:tabs>
          <w:tab w:val="left" w:pos="1134"/>
        </w:tabs>
        <w:spacing w:after="0" w:line="276" w:lineRule="auto"/>
        <w:ind w:left="851" w:right="902"/>
        <w:jc w:val="both"/>
        <w:rPr>
          <w:rFonts w:ascii="Palatino Linotype" w:eastAsia="Palatino Linotype" w:hAnsi="Palatino Linotype" w:cs="Palatino Linotype"/>
          <w:b/>
          <w:i/>
        </w:rPr>
      </w:pPr>
      <w:r w:rsidRPr="00C45E23">
        <w:rPr>
          <w:rFonts w:ascii="Palatino Linotype" w:eastAsia="Palatino Linotype" w:hAnsi="Palatino Linotype" w:cs="Palatino Linotype"/>
          <w:b/>
          <w:i/>
        </w:rPr>
        <w:lastRenderedPageBreak/>
        <w:t>Artículo 167</w:t>
      </w:r>
      <w:r w:rsidRPr="00C45E23">
        <w:rPr>
          <w:rFonts w:ascii="Palatino Linotype" w:eastAsia="Palatino Linotype" w:hAnsi="Palatino Linotype" w:cs="Palatino Linotype"/>
          <w:i/>
        </w:rPr>
        <w:t xml:space="preserve">. </w:t>
      </w:r>
      <w:r w:rsidRPr="00C45E23">
        <w:rPr>
          <w:rFonts w:ascii="Palatino Linotype" w:eastAsia="Palatino Linotype" w:hAnsi="Palatino Linotype" w:cs="Palatino Linotype"/>
          <w:b/>
          <w:i/>
        </w:rPr>
        <w:t>Cuando las unidades de transparencia determinen la notoria incompetencia</w:t>
      </w:r>
      <w:r w:rsidRPr="00C45E23">
        <w:rPr>
          <w:rFonts w:ascii="Palatino Linotype" w:eastAsia="Palatino Linotype" w:hAnsi="Palatino Linotype" w:cs="Palatino Linotype"/>
          <w:i/>
        </w:rPr>
        <w:t xml:space="preserve"> por parte de los sujetos obligados, dentro del ámbito de aplicación, para atender la solicitud de acceso a la información, </w:t>
      </w:r>
      <w:r w:rsidRPr="00C45E23">
        <w:rPr>
          <w:rFonts w:ascii="Palatino Linotype" w:eastAsia="Palatino Linotype" w:hAnsi="Palatino Linotype" w:cs="Palatino Linotype"/>
          <w:b/>
          <w:i/>
        </w:rPr>
        <w:t>deberán comunicarlo al solicitante, dentro de los tres días hábiles posteriores a la recepción de la solicitud</w:t>
      </w:r>
      <w:r w:rsidRPr="00C45E23">
        <w:rPr>
          <w:rFonts w:ascii="Palatino Linotype" w:eastAsia="Palatino Linotype" w:hAnsi="Palatino Linotype" w:cs="Palatino Linotype"/>
          <w:i/>
        </w:rPr>
        <w:t xml:space="preserve"> y, </w:t>
      </w:r>
      <w:r w:rsidRPr="00C45E23">
        <w:rPr>
          <w:rFonts w:ascii="Palatino Linotype" w:eastAsia="Palatino Linotype" w:hAnsi="Palatino Linotype" w:cs="Palatino Linotype"/>
          <w:b/>
          <w:i/>
        </w:rPr>
        <w:t>en su caso orientar al solicitante, el o los sujetos obligados competentes.”</w:t>
      </w:r>
    </w:p>
    <w:p w14:paraId="01231D8C" w14:textId="77777777" w:rsidR="002B57F3" w:rsidRPr="00C45E23" w:rsidRDefault="003C2E85">
      <w:pPr>
        <w:tabs>
          <w:tab w:val="left" w:pos="142"/>
          <w:tab w:val="left" w:pos="284"/>
        </w:tabs>
        <w:spacing w:after="0" w:line="360" w:lineRule="auto"/>
        <w:jc w:val="both"/>
        <w:rPr>
          <w:rFonts w:ascii="Palatino Linotype" w:eastAsia="Palatino Linotype" w:hAnsi="Palatino Linotype" w:cs="Palatino Linotype"/>
          <w:b/>
          <w:sz w:val="24"/>
          <w:szCs w:val="24"/>
        </w:rPr>
      </w:pPr>
      <w:r w:rsidRPr="00C45E23">
        <w:rPr>
          <w:rFonts w:ascii="Palatino Linotype" w:eastAsia="Palatino Linotype" w:hAnsi="Palatino Linotype" w:cs="Palatino Linotype"/>
          <w:sz w:val="24"/>
          <w:szCs w:val="24"/>
        </w:rPr>
        <w:t>De los preceptos citados se desprende que es atribución del Comité de Transparencia confirmar, modificar o revocar, en su caso, la declaración de incompetencia,</w:t>
      </w:r>
      <w:r w:rsidRPr="00C45E23">
        <w:rPr>
          <w:rFonts w:ascii="Palatino Linotype" w:eastAsia="Palatino Linotype" w:hAnsi="Palatino Linotype" w:cs="Palatino Linotype"/>
          <w:b/>
          <w:sz w:val="24"/>
          <w:szCs w:val="24"/>
        </w:rPr>
        <w:t xml:space="preserve"> en aquellos casos en los que no se trate de una notoria incompetencia. </w:t>
      </w:r>
    </w:p>
    <w:p w14:paraId="3B3137C9" w14:textId="77777777" w:rsidR="002B57F3" w:rsidRPr="00C45E23" w:rsidRDefault="002B57F3">
      <w:pPr>
        <w:tabs>
          <w:tab w:val="left" w:pos="142"/>
          <w:tab w:val="left" w:pos="284"/>
        </w:tabs>
        <w:spacing w:after="0" w:line="360" w:lineRule="auto"/>
        <w:jc w:val="both"/>
        <w:rPr>
          <w:rFonts w:ascii="Palatino Linotype" w:eastAsia="Palatino Linotype" w:hAnsi="Palatino Linotype" w:cs="Palatino Linotype"/>
          <w:b/>
          <w:sz w:val="24"/>
          <w:szCs w:val="24"/>
        </w:rPr>
      </w:pPr>
    </w:p>
    <w:p w14:paraId="6A35EF23" w14:textId="77777777" w:rsidR="002B57F3" w:rsidRPr="00C45E23" w:rsidRDefault="003C2E85">
      <w:pPr>
        <w:tabs>
          <w:tab w:val="left" w:pos="142"/>
          <w:tab w:val="left" w:pos="284"/>
        </w:tabs>
        <w:spacing w:after="0" w:line="360" w:lineRule="auto"/>
        <w:jc w:val="both"/>
        <w:rPr>
          <w:rFonts w:ascii="Palatino Linotype" w:eastAsia="Palatino Linotype" w:hAnsi="Palatino Linotype" w:cs="Palatino Linotype"/>
          <w:sz w:val="24"/>
          <w:szCs w:val="24"/>
          <w:u w:val="single"/>
        </w:rPr>
      </w:pPr>
      <w:r w:rsidRPr="00C45E23">
        <w:rPr>
          <w:rFonts w:ascii="Palatino Linotype" w:eastAsia="Palatino Linotype" w:hAnsi="Palatino Linotype" w:cs="Palatino Linotype"/>
          <w:sz w:val="24"/>
          <w:szCs w:val="24"/>
        </w:rPr>
        <w:t xml:space="preserve">Puesto que la Ley también prevé que dicho acuerdo no es necesario cuando la Unidad de Transparencia determine que la incompetencia es notoria dando un plazo de tres días hábiles para hacerlo del conocimiento de la persona solicitante. En otras palabras, la Ley de la Materia confiere a las Unidades de Transparencia la posibilidad de notificar la incompetencia cuando ésta sea notoria, siendo innecesario que dicha circunstancia sea sometida a consideración de los integrantes del Comité de Transparencia </w:t>
      </w:r>
      <w:r w:rsidRPr="00C45E23">
        <w:rPr>
          <w:rFonts w:ascii="Palatino Linotype" w:eastAsia="Palatino Linotype" w:hAnsi="Palatino Linotype" w:cs="Palatino Linotype"/>
          <w:sz w:val="24"/>
          <w:szCs w:val="24"/>
          <w:u w:val="single"/>
        </w:rPr>
        <w:t xml:space="preserve">para su aprobación. </w:t>
      </w:r>
    </w:p>
    <w:p w14:paraId="32240435" w14:textId="77777777" w:rsidR="002B57F3" w:rsidRPr="00C45E23" w:rsidRDefault="002B57F3">
      <w:pPr>
        <w:tabs>
          <w:tab w:val="left" w:pos="142"/>
          <w:tab w:val="left" w:pos="284"/>
        </w:tabs>
        <w:spacing w:after="0" w:line="360" w:lineRule="auto"/>
        <w:jc w:val="both"/>
        <w:rPr>
          <w:rFonts w:ascii="Palatino Linotype" w:eastAsia="Palatino Linotype" w:hAnsi="Palatino Linotype" w:cs="Palatino Linotype"/>
          <w:sz w:val="24"/>
          <w:szCs w:val="24"/>
          <w:u w:val="single"/>
        </w:rPr>
      </w:pPr>
    </w:p>
    <w:p w14:paraId="2AC22DB6" w14:textId="77777777" w:rsidR="002B57F3" w:rsidRPr="00C45E23" w:rsidRDefault="003C2E85">
      <w:pPr>
        <w:tabs>
          <w:tab w:val="left" w:pos="142"/>
          <w:tab w:val="left" w:pos="284"/>
        </w:tabs>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Como sustento de lo anterior, resulta aplicable el Criterio Orientador 20/20, emitido por el entonces Instituto Nacional de Transparencia, Acceso a la Información, y Protección de Datos Personales, INAI, que lleva por rubro y texto los siguientes:  </w:t>
      </w:r>
    </w:p>
    <w:p w14:paraId="76606B64" w14:textId="77777777" w:rsidR="002B57F3" w:rsidRPr="00C45E23" w:rsidRDefault="002B57F3">
      <w:pPr>
        <w:tabs>
          <w:tab w:val="left" w:pos="142"/>
          <w:tab w:val="left" w:pos="284"/>
        </w:tabs>
        <w:spacing w:after="0" w:line="360" w:lineRule="auto"/>
        <w:jc w:val="both"/>
        <w:rPr>
          <w:rFonts w:ascii="Palatino Linotype" w:eastAsia="Palatino Linotype" w:hAnsi="Palatino Linotype" w:cs="Palatino Linotype"/>
          <w:sz w:val="24"/>
          <w:szCs w:val="24"/>
        </w:rPr>
      </w:pPr>
    </w:p>
    <w:p w14:paraId="6C04D815" w14:textId="77777777" w:rsidR="002B57F3" w:rsidRPr="00C45E23" w:rsidRDefault="003C2E85">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“Declaración de incompetencia por parte del Comité, cuando no sea notoria o manifiesta.</w:t>
      </w:r>
      <w:r w:rsidRPr="00C45E23">
        <w:rPr>
          <w:rFonts w:ascii="Palatino Linotype" w:eastAsia="Palatino Linotype" w:hAnsi="Palatino Linotype" w:cs="Palatino Linotype"/>
          <w:i/>
        </w:rPr>
        <w:t xml:space="preserve"> Cuando la normatividad que prevé las atribuciones del sujeto obligado no sea clara en delimitar su competencia respecto a lo requerido </w:t>
      </w:r>
      <w:r w:rsidRPr="00C45E23">
        <w:rPr>
          <w:rFonts w:ascii="Palatino Linotype" w:eastAsia="Palatino Linotype" w:hAnsi="Palatino Linotype" w:cs="Palatino Linotype"/>
          <w:i/>
        </w:rPr>
        <w:lastRenderedPageBreak/>
        <w:t>por la persona solicitante y resulte necesario efectuar un análisis mayor para determinar la incompetencia, ésta debe ser declarada por el Comité de Transparencia.”</w:t>
      </w:r>
    </w:p>
    <w:p w14:paraId="10E2881B" w14:textId="77777777" w:rsidR="002B57F3" w:rsidRPr="00C45E23" w:rsidRDefault="002B57F3">
      <w:pPr>
        <w:pBdr>
          <w:top w:val="nil"/>
          <w:left w:val="nil"/>
          <w:bottom w:val="nil"/>
          <w:right w:val="nil"/>
          <w:between w:val="nil"/>
        </w:pBdr>
        <w:spacing w:after="0" w:line="360" w:lineRule="auto"/>
        <w:ind w:left="851" w:right="902"/>
        <w:jc w:val="both"/>
        <w:rPr>
          <w:rFonts w:ascii="Palatino Linotype" w:eastAsia="Palatino Linotype" w:hAnsi="Palatino Linotype" w:cs="Palatino Linotype"/>
          <w:i/>
          <w:sz w:val="24"/>
          <w:szCs w:val="24"/>
        </w:rPr>
      </w:pPr>
    </w:p>
    <w:p w14:paraId="5D8C2BA1" w14:textId="77777777" w:rsidR="002B57F3" w:rsidRPr="00C45E23" w:rsidRDefault="003C2E85">
      <w:pPr>
        <w:tabs>
          <w:tab w:val="left" w:pos="142"/>
          <w:tab w:val="left" w:pos="284"/>
        </w:tabs>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C45E23">
        <w:rPr>
          <w:rFonts w:ascii="Palatino Linotype" w:eastAsia="Palatino Linotype" w:hAnsi="Palatino Linotype" w:cs="Palatino Linotype"/>
          <w:b/>
          <w:sz w:val="24"/>
          <w:szCs w:val="24"/>
        </w:rPr>
        <w:t xml:space="preserve"> </w:t>
      </w:r>
      <w:r w:rsidRPr="00C45E23">
        <w:rPr>
          <w:rFonts w:ascii="Palatino Linotype" w:eastAsia="Palatino Linotype" w:hAnsi="Palatino Linotype" w:cs="Palatino Linotype"/>
          <w:b/>
          <w:sz w:val="24"/>
          <w:szCs w:val="24"/>
          <w:u w:val="single"/>
        </w:rPr>
        <w:t>duda razonable sobre la administración del documento materia de la solicitud de información</w:t>
      </w:r>
      <w:r w:rsidRPr="00C45E23">
        <w:rPr>
          <w:rFonts w:ascii="Palatino Linotype" w:eastAsia="Palatino Linotype" w:hAnsi="Palatino Linotype" w:cs="Palatino Linotype"/>
          <w:sz w:val="24"/>
          <w:szCs w:val="24"/>
        </w:rPr>
        <w:t>, como se lee enseguida:</w:t>
      </w:r>
    </w:p>
    <w:p w14:paraId="6572A5B0" w14:textId="77777777" w:rsidR="002B57F3" w:rsidRPr="00C45E23" w:rsidRDefault="002B57F3">
      <w:pPr>
        <w:tabs>
          <w:tab w:val="left" w:pos="142"/>
          <w:tab w:val="left" w:pos="284"/>
        </w:tabs>
        <w:spacing w:after="0" w:line="360" w:lineRule="auto"/>
        <w:jc w:val="both"/>
        <w:rPr>
          <w:rFonts w:ascii="Palatino Linotype" w:eastAsia="Palatino Linotype" w:hAnsi="Palatino Linotype" w:cs="Palatino Linotype"/>
          <w:sz w:val="24"/>
          <w:szCs w:val="24"/>
        </w:rPr>
      </w:pPr>
    </w:p>
    <w:p w14:paraId="7A4B47D8" w14:textId="77777777" w:rsidR="002B57F3" w:rsidRPr="00C45E23" w:rsidRDefault="003C2E85">
      <w:pPr>
        <w:tabs>
          <w:tab w:val="left" w:pos="1418"/>
        </w:tabs>
        <w:spacing w:after="0" w:line="276" w:lineRule="auto"/>
        <w:ind w:left="851" w:right="902"/>
        <w:jc w:val="both"/>
        <w:rPr>
          <w:rFonts w:ascii="Palatino Linotype" w:eastAsia="Palatino Linotype" w:hAnsi="Palatino Linotype" w:cs="Palatino Linotype"/>
          <w:i/>
        </w:rPr>
      </w:pPr>
      <w:r w:rsidRPr="00C45E23">
        <w:rPr>
          <w:rFonts w:ascii="Palatino Linotype" w:eastAsia="Palatino Linotype" w:hAnsi="Palatino Linotype" w:cs="Palatino Linotype"/>
          <w:b/>
          <w:i/>
        </w:rPr>
        <w:t xml:space="preserve">“DECLARATORIA DE INCOMPETENCIA DEL SUJETO OBLIGADO. SUPUESTO PARA CONFIRMARLA POR ACUERDO DEL COMITÉ DE TRANSPARENCIA. </w:t>
      </w:r>
      <w:r w:rsidRPr="00C45E23">
        <w:rPr>
          <w:rFonts w:ascii="Palatino Linotype" w:eastAsia="Palatino Linotype" w:hAnsi="Palatino Linotype" w:cs="Palatino Linotype"/>
          <w:i/>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C45E23">
        <w:rPr>
          <w:rFonts w:ascii="Palatino Linotype" w:eastAsia="Palatino Linotype" w:hAnsi="Palatino Linotype" w:cs="Palatino Linotype"/>
          <w:b/>
          <w:i/>
        </w:rPr>
        <w:t xml:space="preserve">al ejercer el derecho de acceso a la información pública cabe la posibilidad de que existan atribuciones concurrentes entre dos o más Sujetos Obligados que </w:t>
      </w:r>
      <w:r w:rsidRPr="00C45E23">
        <w:rPr>
          <w:rFonts w:ascii="Palatino Linotype" w:eastAsia="Palatino Linotype" w:hAnsi="Palatino Linotype" w:cs="Palatino Linotype"/>
          <w:b/>
          <w:i/>
          <w:u w:val="single"/>
        </w:rPr>
        <w:t>impiden determinar dentro del término legal de tres días hábiles</w:t>
      </w:r>
      <w:r w:rsidRPr="00C45E23">
        <w:rPr>
          <w:rFonts w:ascii="Palatino Linotype" w:eastAsia="Palatino Linotype" w:hAnsi="Palatino Linotype" w:cs="Palatino Linotype"/>
          <w:b/>
          <w:i/>
        </w:rPr>
        <w:t>, si se posee o no la información por el Sujeto Obligado requerid</w:t>
      </w:r>
      <w:r w:rsidRPr="00C45E23">
        <w:rPr>
          <w:rFonts w:ascii="Palatino Linotype" w:eastAsia="Palatino Linotype" w:hAnsi="Palatino Linotype" w:cs="Palatino Linotype"/>
          <w:i/>
        </w:rPr>
        <w:t xml:space="preserve">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w:t>
      </w:r>
      <w:r w:rsidRPr="00C45E23">
        <w:rPr>
          <w:rFonts w:ascii="Palatino Linotype" w:eastAsia="Palatino Linotype" w:hAnsi="Palatino Linotype" w:cs="Palatino Linotype"/>
          <w:i/>
        </w:rPr>
        <w:lastRenderedPageBreak/>
        <w:t>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351033CA" w14:textId="77777777" w:rsidR="002B57F3" w:rsidRPr="00C45E23" w:rsidRDefault="003C2E85">
      <w:pPr>
        <w:tabs>
          <w:tab w:val="left" w:pos="142"/>
          <w:tab w:val="left" w:pos="284"/>
        </w:tabs>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En el caso particular, dado que se ha demostrado que la incompetencia del </w:t>
      </w:r>
      <w:r w:rsidRPr="00C45E23">
        <w:rPr>
          <w:rFonts w:ascii="Palatino Linotype" w:eastAsia="Palatino Linotype" w:hAnsi="Palatino Linotype" w:cs="Palatino Linotype"/>
          <w:b/>
          <w:sz w:val="24"/>
          <w:szCs w:val="24"/>
        </w:rPr>
        <w:t>SUJETO OBLIGADO</w:t>
      </w:r>
      <w:r w:rsidRPr="00C45E23">
        <w:rPr>
          <w:rFonts w:ascii="Palatino Linotype" w:eastAsia="Palatino Linotype" w:hAnsi="Palatino Linotype" w:cs="Palatino Linotype"/>
          <w:sz w:val="24"/>
          <w:szCs w:val="24"/>
        </w:rPr>
        <w:t xml:space="preserve"> es notoria, por lo </w:t>
      </w:r>
      <w:proofErr w:type="gramStart"/>
      <w:r w:rsidRPr="00C45E23">
        <w:rPr>
          <w:rFonts w:ascii="Palatino Linotype" w:eastAsia="Palatino Linotype" w:hAnsi="Palatino Linotype" w:cs="Palatino Linotype"/>
          <w:sz w:val="24"/>
          <w:szCs w:val="24"/>
        </w:rPr>
        <w:t>tanto</w:t>
      </w:r>
      <w:proofErr w:type="gramEnd"/>
      <w:r w:rsidRPr="00C45E23">
        <w:rPr>
          <w:rFonts w:ascii="Palatino Linotype" w:eastAsia="Palatino Linotype" w:hAnsi="Palatino Linotype" w:cs="Palatino Linotype"/>
          <w:sz w:val="24"/>
          <w:szCs w:val="24"/>
        </w:rPr>
        <w:t xml:space="preserve"> resulta innecesaria la emisión de una declaratoria formal de incompetencia a través del Comité de Transparencia.</w:t>
      </w:r>
    </w:p>
    <w:p w14:paraId="499F8BD9" w14:textId="77777777" w:rsidR="002B57F3" w:rsidRPr="00C45E23" w:rsidRDefault="002B57F3">
      <w:pPr>
        <w:spacing w:after="0" w:line="360" w:lineRule="auto"/>
        <w:ind w:right="51"/>
        <w:jc w:val="both"/>
        <w:rPr>
          <w:rFonts w:ascii="Palatino Linotype" w:eastAsia="Palatino Linotype" w:hAnsi="Palatino Linotype" w:cs="Palatino Linotype"/>
          <w:sz w:val="24"/>
          <w:szCs w:val="24"/>
        </w:rPr>
      </w:pPr>
    </w:p>
    <w:p w14:paraId="08C4D7E8" w14:textId="77777777" w:rsidR="002B57F3" w:rsidRPr="00C45E23" w:rsidRDefault="003C2E85">
      <w:pP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 xml:space="preserve">Atento a lo anterior, se dejan a salvo los derechos de la parte </w:t>
      </w:r>
      <w:r w:rsidRPr="00C45E23">
        <w:rPr>
          <w:rFonts w:ascii="Palatino Linotype" w:eastAsia="Palatino Linotype" w:hAnsi="Palatino Linotype" w:cs="Palatino Linotype"/>
          <w:b/>
          <w:sz w:val="24"/>
          <w:szCs w:val="24"/>
        </w:rPr>
        <w:t>Recurrente</w:t>
      </w:r>
      <w:r w:rsidRPr="00C45E23">
        <w:rPr>
          <w:rFonts w:ascii="Palatino Linotype" w:eastAsia="Palatino Linotype" w:hAnsi="Palatino Linotype" w:cs="Palatino Linotype"/>
          <w:sz w:val="24"/>
          <w:szCs w:val="24"/>
        </w:rPr>
        <w:t xml:space="preserve"> para que, en caso de considerarlo oportuno formule las solicitudes de información ante los Sujetos Obligados competentes, para lo cual deberá tomar en consideración lo antes mencionado, atendiendo a la naturaleza de la información a la que pretenda acceder, esto es, acreditar su identidad y representación, así como la identidad de las personas titulares de los datos personales a los cuales se pretende acceder.</w:t>
      </w:r>
    </w:p>
    <w:p w14:paraId="029B8B1E" w14:textId="77777777" w:rsidR="002B57F3" w:rsidRPr="00C45E23" w:rsidRDefault="002B57F3">
      <w:pPr>
        <w:spacing w:after="0" w:line="360" w:lineRule="auto"/>
        <w:jc w:val="both"/>
        <w:rPr>
          <w:rFonts w:ascii="Palatino Linotype" w:eastAsia="Palatino Linotype" w:hAnsi="Palatino Linotype" w:cs="Palatino Linotype"/>
          <w:sz w:val="24"/>
          <w:szCs w:val="24"/>
        </w:rPr>
      </w:pPr>
    </w:p>
    <w:p w14:paraId="2434BB57" w14:textId="77777777" w:rsidR="002B57F3" w:rsidRPr="00C45E23" w:rsidRDefault="003C2E85">
      <w:pPr>
        <w:tabs>
          <w:tab w:val="left" w:pos="142"/>
          <w:tab w:val="left" w:pos="284"/>
        </w:tabs>
        <w:spacing w:after="0" w:line="360" w:lineRule="auto"/>
        <w:jc w:val="both"/>
        <w:rPr>
          <w:rFonts w:ascii="Palatino Linotype" w:eastAsia="Palatino Linotype" w:hAnsi="Palatino Linotype" w:cs="Palatino Linotype"/>
          <w:sz w:val="24"/>
          <w:szCs w:val="24"/>
        </w:rPr>
      </w:pPr>
      <w:bookmarkStart w:id="4" w:name="_heading=h.myz01bhe129c" w:colFirst="0" w:colLast="0"/>
      <w:bookmarkEnd w:id="4"/>
      <w:r w:rsidRPr="00C45E23">
        <w:rPr>
          <w:rFonts w:ascii="Palatino Linotype" w:eastAsia="Palatino Linotype" w:hAnsi="Palatino Linotype" w:cs="Palatino Linotype"/>
          <w:sz w:val="24"/>
          <w:szCs w:val="24"/>
        </w:rPr>
        <w:t xml:space="preserve">Derivado de lo expuesto, dado que </w:t>
      </w:r>
      <w:r w:rsidRPr="00C45E23">
        <w:rPr>
          <w:rFonts w:ascii="Palatino Linotype" w:eastAsia="Palatino Linotype" w:hAnsi="Palatino Linotype" w:cs="Palatino Linotype"/>
          <w:b/>
          <w:sz w:val="24"/>
          <w:szCs w:val="24"/>
        </w:rPr>
        <w:t>EL SUJETO OBLIGADO</w:t>
      </w:r>
      <w:r w:rsidRPr="00C45E23">
        <w:rPr>
          <w:rFonts w:ascii="Palatino Linotype" w:eastAsia="Palatino Linotype" w:hAnsi="Palatino Linotype" w:cs="Palatino Linotype"/>
          <w:sz w:val="24"/>
          <w:szCs w:val="24"/>
        </w:rPr>
        <w:t xml:space="preserve"> informó de la notoria incompetencia para atender favorablemente la solicitud a la persona solicitante, asimismo le orientó al Colegio de Bachilleres del Estado de México, como el Sujetos Obligados competente para generar, administrar o poseer la información que es de su interés, siendo de vital importancia señalar que la facultad de orientación a las personas solicitantes para que formulen su solicitud ante </w:t>
      </w:r>
      <w:r w:rsidRPr="00C45E23">
        <w:rPr>
          <w:rFonts w:ascii="Palatino Linotype" w:eastAsia="Palatino Linotype" w:hAnsi="Palatino Linotype" w:cs="Palatino Linotype"/>
          <w:b/>
          <w:sz w:val="24"/>
          <w:szCs w:val="24"/>
        </w:rPr>
        <w:t>EL SUJETO OBLIGADO</w:t>
      </w:r>
      <w:r w:rsidRPr="00C45E23">
        <w:rPr>
          <w:rFonts w:ascii="Palatino Linotype" w:eastAsia="Palatino Linotype" w:hAnsi="Palatino Linotype" w:cs="Palatino Linotype"/>
          <w:sz w:val="24"/>
          <w:szCs w:val="24"/>
        </w:rPr>
        <w:t xml:space="preserve"> competente es potestativa; se concluye que motivos de inconformidad de </w:t>
      </w:r>
      <w:r w:rsidRPr="00C45E23">
        <w:rPr>
          <w:rFonts w:ascii="Palatino Linotype" w:eastAsia="Palatino Linotype" w:hAnsi="Palatino Linotype" w:cs="Palatino Linotype"/>
          <w:b/>
          <w:sz w:val="24"/>
          <w:szCs w:val="24"/>
        </w:rPr>
        <w:t xml:space="preserve">LA </w:t>
      </w:r>
      <w:r w:rsidRPr="00C45E23">
        <w:rPr>
          <w:rFonts w:ascii="Palatino Linotype" w:eastAsia="Palatino Linotype" w:hAnsi="Palatino Linotype" w:cs="Palatino Linotype"/>
          <w:b/>
          <w:sz w:val="24"/>
          <w:szCs w:val="24"/>
        </w:rPr>
        <w:lastRenderedPageBreak/>
        <w:t>PARTE</w:t>
      </w:r>
      <w:r w:rsidRPr="00C45E23">
        <w:rPr>
          <w:rFonts w:ascii="Palatino Linotype" w:eastAsia="Palatino Linotype" w:hAnsi="Palatino Linotype" w:cs="Palatino Linotype"/>
          <w:sz w:val="24"/>
          <w:szCs w:val="24"/>
        </w:rPr>
        <w:t xml:space="preserve"> </w:t>
      </w:r>
      <w:r w:rsidRPr="00C45E23">
        <w:rPr>
          <w:rFonts w:ascii="Palatino Linotype" w:eastAsia="Palatino Linotype" w:hAnsi="Palatino Linotype" w:cs="Palatino Linotype"/>
          <w:b/>
          <w:sz w:val="24"/>
          <w:szCs w:val="24"/>
        </w:rPr>
        <w:t xml:space="preserve">RECURRENTE </w:t>
      </w:r>
      <w:r w:rsidRPr="00C45E23">
        <w:rPr>
          <w:rFonts w:ascii="Palatino Linotype" w:eastAsia="Palatino Linotype" w:hAnsi="Palatino Linotype" w:cs="Palatino Linotype"/>
          <w:sz w:val="24"/>
          <w:szCs w:val="24"/>
        </w:rPr>
        <w:t xml:space="preserve">son infundados, por lo que resulta procedente </w:t>
      </w:r>
      <w:r w:rsidRPr="00C45E23">
        <w:rPr>
          <w:rFonts w:ascii="Palatino Linotype" w:eastAsia="Palatino Linotype" w:hAnsi="Palatino Linotype" w:cs="Palatino Linotype"/>
          <w:i/>
          <w:sz w:val="24"/>
          <w:szCs w:val="24"/>
        </w:rPr>
        <w:t xml:space="preserve">confirmar </w:t>
      </w:r>
      <w:r w:rsidRPr="00C45E23">
        <w:rPr>
          <w:rFonts w:ascii="Palatino Linotype" w:eastAsia="Palatino Linotype" w:hAnsi="Palatino Linotype" w:cs="Palatino Linotype"/>
          <w:sz w:val="24"/>
          <w:szCs w:val="24"/>
        </w:rPr>
        <w:t xml:space="preserve">la respuesta proporcionada a la solicitud de información </w:t>
      </w:r>
      <w:r w:rsidRPr="00C45E23">
        <w:rPr>
          <w:rFonts w:ascii="Palatino Linotype" w:eastAsia="Palatino Linotype" w:hAnsi="Palatino Linotype" w:cs="Palatino Linotype"/>
          <w:b/>
          <w:sz w:val="24"/>
          <w:szCs w:val="24"/>
        </w:rPr>
        <w:t>00180/SF/IP/2025</w:t>
      </w:r>
      <w:r w:rsidRPr="00C45E23">
        <w:rPr>
          <w:rFonts w:ascii="Palatino Linotype" w:eastAsia="Palatino Linotype" w:hAnsi="Palatino Linotype" w:cs="Palatino Linotype"/>
          <w:sz w:val="24"/>
          <w:szCs w:val="24"/>
        </w:rPr>
        <w:t>.</w:t>
      </w:r>
    </w:p>
    <w:p w14:paraId="1603D05A" w14:textId="77777777" w:rsidR="002B57F3" w:rsidRPr="00C45E23" w:rsidRDefault="002B57F3">
      <w:pPr>
        <w:spacing w:after="0" w:line="360" w:lineRule="auto"/>
        <w:ind w:right="51"/>
        <w:jc w:val="both"/>
        <w:rPr>
          <w:rFonts w:ascii="Palatino Linotype" w:eastAsia="Palatino Linotype" w:hAnsi="Palatino Linotype" w:cs="Palatino Linotype"/>
          <w:sz w:val="24"/>
          <w:szCs w:val="24"/>
        </w:rPr>
      </w:pPr>
    </w:p>
    <w:p w14:paraId="2B5CCBB6" w14:textId="77777777" w:rsidR="002B57F3" w:rsidRPr="00C45E23" w:rsidRDefault="003C2E8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Así, con fundamento en lo prescrito en los artículos 5 párrafos trigésimo séptimo,  trigésimo octavo y trigésimo noveno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21FFD5BE" w14:textId="77777777" w:rsidR="002B57F3" w:rsidRPr="00C45E23" w:rsidRDefault="002B57F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6EB79E95" w14:textId="77777777" w:rsidR="002B57F3" w:rsidRPr="00C45E23" w:rsidRDefault="003C2E85">
      <w:pPr>
        <w:pBdr>
          <w:top w:val="nil"/>
          <w:left w:val="nil"/>
          <w:bottom w:val="nil"/>
          <w:right w:val="nil"/>
          <w:between w:val="nil"/>
        </w:pBdr>
        <w:spacing w:after="0" w:line="360" w:lineRule="auto"/>
        <w:jc w:val="center"/>
        <w:rPr>
          <w:rFonts w:ascii="Palatino Linotype" w:eastAsia="Palatino Linotype" w:hAnsi="Palatino Linotype" w:cs="Palatino Linotype"/>
          <w:b/>
          <w:sz w:val="24"/>
          <w:szCs w:val="24"/>
        </w:rPr>
      </w:pPr>
      <w:r w:rsidRPr="00C45E23">
        <w:rPr>
          <w:rFonts w:ascii="Palatino Linotype" w:eastAsia="Palatino Linotype" w:hAnsi="Palatino Linotype" w:cs="Palatino Linotype"/>
          <w:b/>
          <w:sz w:val="24"/>
          <w:szCs w:val="24"/>
        </w:rPr>
        <w:t>R E S U E L V E</w:t>
      </w:r>
    </w:p>
    <w:p w14:paraId="154B9BB0" w14:textId="77777777" w:rsidR="002B57F3" w:rsidRPr="00C45E23" w:rsidRDefault="002B57F3">
      <w:pPr>
        <w:pBdr>
          <w:top w:val="nil"/>
          <w:left w:val="nil"/>
          <w:bottom w:val="nil"/>
          <w:right w:val="nil"/>
          <w:between w:val="nil"/>
        </w:pBdr>
        <w:spacing w:after="0" w:line="360" w:lineRule="auto"/>
        <w:jc w:val="center"/>
        <w:rPr>
          <w:rFonts w:ascii="Palatino Linotype" w:eastAsia="Palatino Linotype" w:hAnsi="Palatino Linotype" w:cs="Palatino Linotype"/>
          <w:b/>
          <w:sz w:val="24"/>
          <w:szCs w:val="24"/>
        </w:rPr>
      </w:pPr>
    </w:p>
    <w:p w14:paraId="10A07599" w14:textId="77777777" w:rsidR="002B57F3" w:rsidRPr="00C45E23" w:rsidRDefault="003C2E85">
      <w:pPr>
        <w:pBdr>
          <w:top w:val="nil"/>
          <w:left w:val="nil"/>
          <w:bottom w:val="nil"/>
          <w:right w:val="nil"/>
          <w:between w:val="nil"/>
        </w:pBdr>
        <w:spacing w:after="0" w:line="360" w:lineRule="auto"/>
        <w:jc w:val="both"/>
        <w:rPr>
          <w:sz w:val="24"/>
          <w:szCs w:val="24"/>
        </w:rPr>
      </w:pPr>
      <w:bookmarkStart w:id="5" w:name="_heading=h.17dp8vu" w:colFirst="0" w:colLast="0"/>
      <w:bookmarkEnd w:id="5"/>
      <w:r w:rsidRPr="00C45E23">
        <w:rPr>
          <w:rFonts w:ascii="Palatino Linotype" w:eastAsia="Palatino Linotype" w:hAnsi="Palatino Linotype" w:cs="Palatino Linotype"/>
          <w:b/>
          <w:sz w:val="24"/>
          <w:szCs w:val="24"/>
        </w:rPr>
        <w:t xml:space="preserve">PRIMERO. </w:t>
      </w:r>
      <w:r w:rsidRPr="00C45E23">
        <w:rPr>
          <w:rFonts w:ascii="Palatino Linotype" w:eastAsia="Palatino Linotype" w:hAnsi="Palatino Linotype" w:cs="Palatino Linotype"/>
          <w:sz w:val="24"/>
          <w:szCs w:val="24"/>
        </w:rPr>
        <w:t>Resultan</w:t>
      </w:r>
      <w:r w:rsidRPr="00C45E23">
        <w:rPr>
          <w:rFonts w:ascii="Palatino Linotype" w:eastAsia="Palatino Linotype" w:hAnsi="Palatino Linotype" w:cs="Palatino Linotype"/>
          <w:b/>
          <w:sz w:val="24"/>
          <w:szCs w:val="24"/>
        </w:rPr>
        <w:t xml:space="preserve"> infundados</w:t>
      </w:r>
      <w:r w:rsidRPr="00C45E23">
        <w:rPr>
          <w:rFonts w:ascii="Palatino Linotype" w:eastAsia="Palatino Linotype" w:hAnsi="Palatino Linotype" w:cs="Palatino Linotype"/>
          <w:sz w:val="24"/>
          <w:szCs w:val="24"/>
        </w:rPr>
        <w:t xml:space="preserve"> los motivos de inconformidad hechos valer por </w:t>
      </w:r>
      <w:r w:rsidRPr="00C45E23">
        <w:rPr>
          <w:rFonts w:ascii="Palatino Linotype" w:eastAsia="Palatino Linotype" w:hAnsi="Palatino Linotype" w:cs="Palatino Linotype"/>
          <w:b/>
          <w:sz w:val="24"/>
          <w:szCs w:val="24"/>
        </w:rPr>
        <w:t xml:space="preserve">LA PARTE RECURRENTE </w:t>
      </w:r>
      <w:r w:rsidRPr="00C45E23">
        <w:rPr>
          <w:rFonts w:ascii="Palatino Linotype" w:eastAsia="Palatino Linotype" w:hAnsi="Palatino Linotype" w:cs="Palatino Linotype"/>
          <w:sz w:val="24"/>
          <w:szCs w:val="24"/>
        </w:rPr>
        <w:t xml:space="preserve">en el recurso de revisión </w:t>
      </w:r>
      <w:r w:rsidRPr="00C45E23">
        <w:rPr>
          <w:rFonts w:ascii="Palatino Linotype" w:eastAsia="Palatino Linotype" w:hAnsi="Palatino Linotype" w:cs="Palatino Linotype"/>
          <w:b/>
          <w:sz w:val="24"/>
          <w:szCs w:val="24"/>
        </w:rPr>
        <w:t>02354/INFOEM/IP/RR/2025</w:t>
      </w:r>
      <w:r w:rsidRPr="00C45E23">
        <w:rPr>
          <w:rFonts w:ascii="Palatino Linotype" w:eastAsia="Palatino Linotype" w:hAnsi="Palatino Linotype" w:cs="Palatino Linotype"/>
          <w:sz w:val="24"/>
          <w:szCs w:val="24"/>
        </w:rPr>
        <w:t xml:space="preserve">; por lo que, en términos de los argumentos señalados en el </w:t>
      </w:r>
      <w:r w:rsidRPr="00C45E23">
        <w:rPr>
          <w:rFonts w:ascii="Palatino Linotype" w:eastAsia="Palatino Linotype" w:hAnsi="Palatino Linotype" w:cs="Palatino Linotype"/>
          <w:b/>
          <w:sz w:val="24"/>
          <w:szCs w:val="24"/>
        </w:rPr>
        <w:t>Considerando Tercero</w:t>
      </w:r>
      <w:r w:rsidRPr="00C45E23">
        <w:rPr>
          <w:rFonts w:ascii="Palatino Linotype" w:eastAsia="Palatino Linotype" w:hAnsi="Palatino Linotype" w:cs="Palatino Linotype"/>
          <w:sz w:val="24"/>
          <w:szCs w:val="24"/>
        </w:rPr>
        <w:t xml:space="preserve">, se </w:t>
      </w:r>
      <w:r w:rsidRPr="00C45E23">
        <w:rPr>
          <w:rFonts w:ascii="Palatino Linotype" w:eastAsia="Palatino Linotype" w:hAnsi="Palatino Linotype" w:cs="Palatino Linotype"/>
          <w:b/>
          <w:sz w:val="24"/>
          <w:szCs w:val="24"/>
        </w:rPr>
        <w:t>CONFIRMA</w:t>
      </w:r>
      <w:r w:rsidRPr="00C45E23">
        <w:rPr>
          <w:rFonts w:ascii="Palatino Linotype" w:eastAsia="Palatino Linotype" w:hAnsi="Palatino Linotype" w:cs="Palatino Linotype"/>
          <w:sz w:val="24"/>
          <w:szCs w:val="24"/>
        </w:rPr>
        <w:t xml:space="preserve"> la respuesta emitida por </w:t>
      </w:r>
      <w:r w:rsidRPr="00C45E23">
        <w:rPr>
          <w:rFonts w:ascii="Palatino Linotype" w:eastAsia="Palatino Linotype" w:hAnsi="Palatino Linotype" w:cs="Palatino Linotype"/>
          <w:b/>
          <w:sz w:val="24"/>
          <w:szCs w:val="24"/>
        </w:rPr>
        <w:t>EL SUJETO OBLIGADO.</w:t>
      </w:r>
    </w:p>
    <w:p w14:paraId="76CC2D12" w14:textId="77777777" w:rsidR="002B57F3" w:rsidRPr="00C45E23" w:rsidRDefault="002B57F3">
      <w:pPr>
        <w:spacing w:after="0" w:line="360" w:lineRule="auto"/>
        <w:rPr>
          <w:sz w:val="24"/>
          <w:szCs w:val="24"/>
        </w:rPr>
      </w:pPr>
    </w:p>
    <w:p w14:paraId="11E9F81D" w14:textId="77777777" w:rsidR="002B57F3" w:rsidRPr="00C45E23" w:rsidRDefault="003C2E85">
      <w:pPr>
        <w:pBdr>
          <w:top w:val="nil"/>
          <w:left w:val="nil"/>
          <w:bottom w:val="nil"/>
          <w:right w:val="nil"/>
          <w:between w:val="nil"/>
        </w:pBdr>
        <w:spacing w:after="0" w:line="360" w:lineRule="auto"/>
        <w:jc w:val="both"/>
        <w:rPr>
          <w:sz w:val="24"/>
          <w:szCs w:val="24"/>
        </w:rPr>
      </w:pPr>
      <w:r w:rsidRPr="00C45E23">
        <w:rPr>
          <w:rFonts w:ascii="Palatino Linotype" w:eastAsia="Palatino Linotype" w:hAnsi="Palatino Linotype" w:cs="Palatino Linotype"/>
          <w:b/>
          <w:sz w:val="24"/>
          <w:szCs w:val="24"/>
        </w:rPr>
        <w:t>SEGUNDO</w:t>
      </w:r>
      <w:r w:rsidRPr="00C45E23">
        <w:rPr>
          <w:rFonts w:ascii="Palatino Linotype" w:eastAsia="Palatino Linotype" w:hAnsi="Palatino Linotype" w:cs="Palatino Linotype"/>
          <w:sz w:val="24"/>
          <w:szCs w:val="24"/>
        </w:rPr>
        <w:t xml:space="preserve">. </w:t>
      </w:r>
      <w:r w:rsidRPr="00C45E23">
        <w:rPr>
          <w:rFonts w:ascii="Palatino Linotype" w:eastAsia="Palatino Linotype" w:hAnsi="Palatino Linotype" w:cs="Palatino Linotype"/>
          <w:b/>
          <w:sz w:val="24"/>
          <w:szCs w:val="24"/>
        </w:rPr>
        <w:t xml:space="preserve">Notifíquese, </w:t>
      </w:r>
      <w:r w:rsidRPr="00C45E23">
        <w:rPr>
          <w:rFonts w:ascii="Palatino Linotype" w:eastAsia="Palatino Linotype" w:hAnsi="Palatino Linotype" w:cs="Palatino Linotype"/>
          <w:sz w:val="24"/>
          <w:szCs w:val="24"/>
        </w:rPr>
        <w:t xml:space="preserve">vía </w:t>
      </w:r>
      <w:r w:rsidRPr="00C45E23">
        <w:rPr>
          <w:rFonts w:ascii="Palatino Linotype" w:eastAsia="Palatino Linotype" w:hAnsi="Palatino Linotype" w:cs="Palatino Linotype"/>
          <w:b/>
          <w:sz w:val="24"/>
          <w:szCs w:val="24"/>
        </w:rPr>
        <w:t xml:space="preserve">SAIMEX, </w:t>
      </w:r>
      <w:r w:rsidRPr="00C45E23">
        <w:rPr>
          <w:rFonts w:ascii="Palatino Linotype" w:eastAsia="Palatino Linotype" w:hAnsi="Palatino Linotype" w:cs="Palatino Linotype"/>
          <w:sz w:val="24"/>
          <w:szCs w:val="24"/>
        </w:rPr>
        <w:t xml:space="preserve">al Titular de la Unidad de Transparencia del </w:t>
      </w:r>
      <w:r w:rsidRPr="00C45E23">
        <w:rPr>
          <w:rFonts w:ascii="Palatino Linotype" w:eastAsia="Palatino Linotype" w:hAnsi="Palatino Linotype" w:cs="Palatino Linotype"/>
          <w:b/>
          <w:sz w:val="24"/>
          <w:szCs w:val="24"/>
        </w:rPr>
        <w:t>Sujeto Obligado</w:t>
      </w:r>
      <w:r w:rsidRPr="00C45E23">
        <w:rPr>
          <w:rFonts w:ascii="Palatino Linotype" w:eastAsia="Palatino Linotype" w:hAnsi="Palatino Linotype" w:cs="Palatino Linotype"/>
          <w:sz w:val="24"/>
          <w:szCs w:val="24"/>
        </w:rPr>
        <w:t xml:space="preserve"> para su conocimiento, la presente resolución.</w:t>
      </w:r>
    </w:p>
    <w:p w14:paraId="57E02BA7" w14:textId="77777777" w:rsidR="002B57F3" w:rsidRPr="00C45E23" w:rsidRDefault="002B57F3">
      <w:pPr>
        <w:spacing w:after="0" w:line="360" w:lineRule="auto"/>
        <w:rPr>
          <w:sz w:val="24"/>
          <w:szCs w:val="24"/>
        </w:rPr>
      </w:pPr>
    </w:p>
    <w:p w14:paraId="4DF78B92" w14:textId="77777777" w:rsidR="002B57F3" w:rsidRPr="00C45E23" w:rsidRDefault="003C2E85">
      <w:pPr>
        <w:pBdr>
          <w:top w:val="nil"/>
          <w:left w:val="nil"/>
          <w:bottom w:val="nil"/>
          <w:right w:val="nil"/>
          <w:between w:val="nil"/>
        </w:pBdr>
        <w:spacing w:after="0" w:line="360" w:lineRule="auto"/>
        <w:jc w:val="both"/>
        <w:rPr>
          <w:sz w:val="24"/>
          <w:szCs w:val="24"/>
        </w:rPr>
      </w:pPr>
      <w:r w:rsidRPr="00C45E23">
        <w:rPr>
          <w:rFonts w:ascii="Palatino Linotype" w:eastAsia="Palatino Linotype" w:hAnsi="Palatino Linotype" w:cs="Palatino Linotype"/>
          <w:b/>
          <w:sz w:val="24"/>
          <w:szCs w:val="24"/>
        </w:rPr>
        <w:t>TERCERO.  Notifíquese</w:t>
      </w:r>
      <w:r w:rsidRPr="00C45E23">
        <w:rPr>
          <w:rFonts w:ascii="Palatino Linotype" w:eastAsia="Palatino Linotype" w:hAnsi="Palatino Linotype" w:cs="Palatino Linotype"/>
          <w:sz w:val="24"/>
          <w:szCs w:val="24"/>
        </w:rPr>
        <w:t xml:space="preserve"> vía</w:t>
      </w:r>
      <w:r w:rsidRPr="00C45E23">
        <w:rPr>
          <w:rFonts w:ascii="Palatino Linotype" w:eastAsia="Palatino Linotype" w:hAnsi="Palatino Linotype" w:cs="Palatino Linotype"/>
          <w:b/>
          <w:sz w:val="24"/>
          <w:szCs w:val="24"/>
        </w:rPr>
        <w:t xml:space="preserve"> SAIMEX, </w:t>
      </w:r>
      <w:r w:rsidRPr="00C45E23">
        <w:rPr>
          <w:rFonts w:ascii="Palatino Linotype" w:eastAsia="Palatino Linotype" w:hAnsi="Palatino Linotype" w:cs="Palatino Linotype"/>
          <w:sz w:val="24"/>
          <w:szCs w:val="24"/>
        </w:rPr>
        <w:t xml:space="preserve">a </w:t>
      </w:r>
      <w:r w:rsidRPr="00C45E23">
        <w:rPr>
          <w:rFonts w:ascii="Palatino Linotype" w:eastAsia="Palatino Linotype" w:hAnsi="Palatino Linotype" w:cs="Palatino Linotype"/>
          <w:b/>
          <w:sz w:val="24"/>
          <w:szCs w:val="24"/>
        </w:rPr>
        <w:t>LA PARTE</w:t>
      </w:r>
      <w:r w:rsidRPr="00C45E23">
        <w:rPr>
          <w:rFonts w:ascii="Palatino Linotype" w:eastAsia="Palatino Linotype" w:hAnsi="Palatino Linotype" w:cs="Palatino Linotype"/>
          <w:sz w:val="24"/>
          <w:szCs w:val="24"/>
        </w:rPr>
        <w:t xml:space="preserve"> </w:t>
      </w:r>
      <w:r w:rsidRPr="00C45E23">
        <w:rPr>
          <w:rFonts w:ascii="Palatino Linotype" w:eastAsia="Palatino Linotype" w:hAnsi="Palatino Linotype" w:cs="Palatino Linotype"/>
          <w:b/>
          <w:sz w:val="24"/>
          <w:szCs w:val="24"/>
        </w:rPr>
        <w:t>RECURRENTE</w:t>
      </w:r>
      <w:r w:rsidRPr="00C45E23">
        <w:rPr>
          <w:rFonts w:ascii="Palatino Linotype" w:eastAsia="Palatino Linotype" w:hAnsi="Palatino Linotype" w:cs="Palatino Linotype"/>
          <w:sz w:val="24"/>
          <w:szCs w:val="24"/>
        </w:rPr>
        <w:t xml:space="preserve"> la presente resolución, así como que de conformidad con lo establecido en el artículo 142 de la Ley de Protección de Datos Personales en Posesión de Sujetos Obligados del Estado </w:t>
      </w:r>
      <w:r w:rsidRPr="00C45E23">
        <w:rPr>
          <w:rFonts w:ascii="Palatino Linotype" w:eastAsia="Palatino Linotype" w:hAnsi="Palatino Linotype" w:cs="Palatino Linotype"/>
          <w:sz w:val="24"/>
          <w:szCs w:val="24"/>
        </w:rPr>
        <w:lastRenderedPageBreak/>
        <w:t>de México y Municipios, podrá promover el Juicio de Amparo en los términos de las leyes aplicables.</w:t>
      </w:r>
    </w:p>
    <w:p w14:paraId="2CB23B14" w14:textId="77777777" w:rsidR="002B57F3" w:rsidRPr="00C45E23" w:rsidRDefault="002B57F3">
      <w:pPr>
        <w:pBdr>
          <w:top w:val="nil"/>
          <w:left w:val="nil"/>
          <w:bottom w:val="nil"/>
          <w:right w:val="nil"/>
          <w:between w:val="nil"/>
        </w:pBdr>
        <w:spacing w:after="0" w:line="360" w:lineRule="auto"/>
        <w:ind w:right="99"/>
        <w:jc w:val="both"/>
        <w:rPr>
          <w:rFonts w:ascii="Palatino Linotype" w:eastAsia="Palatino Linotype" w:hAnsi="Palatino Linotype" w:cs="Palatino Linotype"/>
          <w:sz w:val="24"/>
          <w:szCs w:val="24"/>
        </w:rPr>
      </w:pPr>
    </w:p>
    <w:p w14:paraId="4C913C57" w14:textId="77777777" w:rsidR="002B57F3" w:rsidRPr="00717FC9" w:rsidRDefault="003C2E85">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r w:rsidRPr="00C45E23">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D3348A" w:rsidRPr="00C45E23">
        <w:rPr>
          <w:rFonts w:ascii="Palatino Linotype" w:eastAsia="Palatino Linotype" w:hAnsi="Palatino Linotype" w:cs="Palatino Linotype"/>
          <w:sz w:val="24"/>
          <w:szCs w:val="24"/>
        </w:rPr>
        <w:t xml:space="preserve"> (EMITIENDO OPINIÓN PARTICULAR)</w:t>
      </w:r>
      <w:r w:rsidRPr="00C45E23">
        <w:rPr>
          <w:rFonts w:ascii="Palatino Linotype" w:eastAsia="Palatino Linotype" w:hAnsi="Palatino Linotype" w:cs="Palatino Linotype"/>
          <w:sz w:val="24"/>
          <w:szCs w:val="24"/>
        </w:rPr>
        <w:t>, SHARON CRISTINA MORALES MARTÍNEZ, LUIS GUSTAVO PARRA NORIEGA Y GUADALUPE RAMÍREZ PEÑA; EN LA DÉCIMA SÉPTIMA SESIÓN ORDINARIA CELEBRADA EL CATORCE DE MAYO DE DOS MIL VEINTICINCO, ANTE EL SECRETARIO TÉCNICO DEL PLENO ALEXIS TAPIA RAMÍREZ.</w:t>
      </w:r>
    </w:p>
    <w:p w14:paraId="7AC4B9C8" w14:textId="77777777" w:rsidR="002B57F3" w:rsidRPr="00717FC9" w:rsidRDefault="002B57F3">
      <w:pPr>
        <w:pBdr>
          <w:top w:val="nil"/>
          <w:left w:val="nil"/>
          <w:bottom w:val="nil"/>
          <w:right w:val="nil"/>
          <w:between w:val="nil"/>
        </w:pBdr>
        <w:spacing w:after="0" w:line="360" w:lineRule="auto"/>
        <w:ind w:right="99"/>
        <w:jc w:val="both"/>
        <w:rPr>
          <w:rFonts w:ascii="Palatino Linotype" w:eastAsia="Palatino Linotype" w:hAnsi="Palatino Linotype" w:cs="Palatino Linotype"/>
          <w:sz w:val="24"/>
          <w:szCs w:val="24"/>
        </w:rPr>
      </w:pPr>
    </w:p>
    <w:p w14:paraId="6818283D" w14:textId="77777777" w:rsidR="002B57F3" w:rsidRPr="00717FC9" w:rsidRDefault="002B57F3">
      <w:pPr>
        <w:spacing w:after="0" w:line="360" w:lineRule="auto"/>
        <w:jc w:val="both"/>
        <w:rPr>
          <w:rFonts w:ascii="Palatino Linotype" w:eastAsia="Palatino Linotype" w:hAnsi="Palatino Linotype" w:cs="Palatino Linotype"/>
          <w:sz w:val="24"/>
          <w:szCs w:val="24"/>
        </w:rPr>
      </w:pPr>
    </w:p>
    <w:p w14:paraId="01CC8C4C" w14:textId="77777777" w:rsidR="00D3348A" w:rsidRPr="00717FC9" w:rsidRDefault="00D3348A">
      <w:pPr>
        <w:spacing w:after="0" w:line="360" w:lineRule="auto"/>
        <w:jc w:val="both"/>
        <w:rPr>
          <w:rFonts w:ascii="Palatino Linotype" w:eastAsia="Palatino Linotype" w:hAnsi="Palatino Linotype" w:cs="Palatino Linotype"/>
          <w:sz w:val="24"/>
          <w:szCs w:val="24"/>
        </w:rPr>
      </w:pPr>
    </w:p>
    <w:p w14:paraId="1F2EF4D0" w14:textId="77777777" w:rsidR="00D3348A" w:rsidRPr="00717FC9" w:rsidRDefault="00D3348A">
      <w:pPr>
        <w:spacing w:after="0" w:line="360" w:lineRule="auto"/>
        <w:jc w:val="both"/>
        <w:rPr>
          <w:rFonts w:ascii="Palatino Linotype" w:eastAsia="Palatino Linotype" w:hAnsi="Palatino Linotype" w:cs="Palatino Linotype"/>
          <w:sz w:val="24"/>
          <w:szCs w:val="24"/>
        </w:rPr>
      </w:pPr>
    </w:p>
    <w:p w14:paraId="677281B1" w14:textId="77777777" w:rsidR="00D3348A" w:rsidRPr="00717FC9" w:rsidRDefault="00D3348A">
      <w:pPr>
        <w:spacing w:after="0" w:line="360" w:lineRule="auto"/>
        <w:jc w:val="both"/>
        <w:rPr>
          <w:rFonts w:ascii="Palatino Linotype" w:eastAsia="Palatino Linotype" w:hAnsi="Palatino Linotype" w:cs="Palatino Linotype"/>
          <w:sz w:val="24"/>
          <w:szCs w:val="24"/>
        </w:rPr>
      </w:pPr>
    </w:p>
    <w:p w14:paraId="2EE641A3" w14:textId="77777777" w:rsidR="00D3348A" w:rsidRPr="00717FC9" w:rsidRDefault="00D3348A">
      <w:pPr>
        <w:spacing w:after="0" w:line="360" w:lineRule="auto"/>
        <w:jc w:val="both"/>
        <w:rPr>
          <w:rFonts w:ascii="Palatino Linotype" w:eastAsia="Palatino Linotype" w:hAnsi="Palatino Linotype" w:cs="Palatino Linotype"/>
          <w:sz w:val="24"/>
          <w:szCs w:val="24"/>
        </w:rPr>
      </w:pPr>
    </w:p>
    <w:p w14:paraId="5270D7FD" w14:textId="77777777" w:rsidR="00D3348A" w:rsidRPr="00717FC9" w:rsidRDefault="00D3348A">
      <w:pPr>
        <w:spacing w:after="0" w:line="360" w:lineRule="auto"/>
        <w:jc w:val="both"/>
        <w:rPr>
          <w:rFonts w:ascii="Palatino Linotype" w:eastAsia="Palatino Linotype" w:hAnsi="Palatino Linotype" w:cs="Palatino Linotype"/>
          <w:sz w:val="24"/>
          <w:szCs w:val="24"/>
        </w:rPr>
      </w:pPr>
    </w:p>
    <w:p w14:paraId="4E1AF394" w14:textId="77777777" w:rsidR="00D3348A" w:rsidRPr="00717FC9" w:rsidRDefault="00D3348A">
      <w:pPr>
        <w:spacing w:after="0" w:line="360" w:lineRule="auto"/>
        <w:jc w:val="both"/>
        <w:rPr>
          <w:rFonts w:ascii="Palatino Linotype" w:eastAsia="Palatino Linotype" w:hAnsi="Palatino Linotype" w:cs="Palatino Linotype"/>
          <w:sz w:val="24"/>
          <w:szCs w:val="24"/>
        </w:rPr>
      </w:pPr>
    </w:p>
    <w:p w14:paraId="7AFF5977" w14:textId="77777777" w:rsidR="00D3348A" w:rsidRPr="00717FC9" w:rsidRDefault="00D3348A">
      <w:pPr>
        <w:spacing w:after="0" w:line="360" w:lineRule="auto"/>
        <w:jc w:val="both"/>
        <w:rPr>
          <w:rFonts w:ascii="Palatino Linotype" w:eastAsia="Palatino Linotype" w:hAnsi="Palatino Linotype" w:cs="Palatino Linotype"/>
          <w:sz w:val="24"/>
          <w:szCs w:val="24"/>
        </w:rPr>
      </w:pPr>
    </w:p>
    <w:p w14:paraId="31182F3B" w14:textId="77777777" w:rsidR="00D3348A" w:rsidRPr="00717FC9" w:rsidRDefault="00D3348A">
      <w:pPr>
        <w:spacing w:after="0" w:line="360" w:lineRule="auto"/>
        <w:jc w:val="both"/>
        <w:rPr>
          <w:rFonts w:ascii="Palatino Linotype" w:eastAsia="Palatino Linotype" w:hAnsi="Palatino Linotype" w:cs="Palatino Linotype"/>
          <w:sz w:val="24"/>
          <w:szCs w:val="24"/>
        </w:rPr>
      </w:pPr>
    </w:p>
    <w:p w14:paraId="07D8ADCC" w14:textId="77777777" w:rsidR="00D3348A" w:rsidRPr="00717FC9" w:rsidRDefault="00D3348A">
      <w:pPr>
        <w:spacing w:after="0" w:line="360" w:lineRule="auto"/>
        <w:jc w:val="both"/>
        <w:rPr>
          <w:rFonts w:ascii="Palatino Linotype" w:eastAsia="Palatino Linotype" w:hAnsi="Palatino Linotype" w:cs="Palatino Linotype"/>
          <w:sz w:val="24"/>
          <w:szCs w:val="24"/>
        </w:rPr>
      </w:pPr>
    </w:p>
    <w:p w14:paraId="1E9029E7" w14:textId="77777777" w:rsidR="002B57F3" w:rsidRPr="00717FC9" w:rsidRDefault="002B57F3">
      <w:pPr>
        <w:spacing w:after="240" w:line="360" w:lineRule="auto"/>
        <w:jc w:val="both"/>
        <w:rPr>
          <w:rFonts w:ascii="Palatino Linotype" w:eastAsia="Palatino Linotype" w:hAnsi="Palatino Linotype" w:cs="Palatino Linotype"/>
          <w:sz w:val="24"/>
          <w:szCs w:val="24"/>
        </w:rPr>
      </w:pPr>
    </w:p>
    <w:sectPr w:rsidR="002B57F3" w:rsidRPr="00717FC9">
      <w:headerReference w:type="default" r:id="rId19"/>
      <w:footerReference w:type="default" r:id="rId20"/>
      <w:headerReference w:type="first" r:id="rId21"/>
      <w:footerReference w:type="first" r:id="rId22"/>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132B7" w14:textId="77777777" w:rsidR="00207018" w:rsidRDefault="00207018">
      <w:pPr>
        <w:spacing w:after="0" w:line="240" w:lineRule="auto"/>
      </w:pPr>
      <w:r>
        <w:separator/>
      </w:r>
    </w:p>
  </w:endnote>
  <w:endnote w:type="continuationSeparator" w:id="0">
    <w:p w14:paraId="125C0374" w14:textId="77777777" w:rsidR="00207018" w:rsidRDefault="00207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95F0A" w14:textId="77777777" w:rsidR="002B57F3" w:rsidRDefault="003C2E8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45E23">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45E23">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053FBECE" w14:textId="77777777" w:rsidR="002B57F3" w:rsidRDefault="002B57F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C9B8C" w14:textId="77777777" w:rsidR="002B57F3" w:rsidRDefault="003C2E8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45E2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45E23">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5E08286B" w14:textId="77777777" w:rsidR="002B57F3" w:rsidRDefault="002B57F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8610E" w14:textId="77777777" w:rsidR="00207018" w:rsidRDefault="00207018">
      <w:pPr>
        <w:spacing w:after="0" w:line="240" w:lineRule="auto"/>
      </w:pPr>
      <w:r>
        <w:separator/>
      </w:r>
    </w:p>
  </w:footnote>
  <w:footnote w:type="continuationSeparator" w:id="0">
    <w:p w14:paraId="2D932654" w14:textId="77777777" w:rsidR="00207018" w:rsidRDefault="00207018">
      <w:pPr>
        <w:spacing w:after="0" w:line="240" w:lineRule="auto"/>
      </w:pPr>
      <w:r>
        <w:continuationSeparator/>
      </w:r>
    </w:p>
  </w:footnote>
  <w:footnote w:id="1">
    <w:p w14:paraId="14473687" w14:textId="77777777" w:rsidR="002B57F3" w:rsidRDefault="003C2E85">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BONILLLA LÓPEZ Miguel. </w:t>
      </w:r>
      <w:r>
        <w:rPr>
          <w:rFonts w:ascii="Palatino Linotype" w:eastAsia="Palatino Linotype" w:hAnsi="Palatino Linotype" w:cs="Palatino Linotype"/>
          <w:i/>
          <w:color w:val="000000"/>
          <w:sz w:val="20"/>
          <w:szCs w:val="20"/>
        </w:rPr>
        <w:t>Los principios Constitucionales del Juicio de Amparo II.</w:t>
      </w:r>
      <w:r>
        <w:rPr>
          <w:rFonts w:ascii="Palatino Linotype" w:eastAsia="Palatino Linotype" w:hAnsi="Palatino Linotype" w:cs="Palatino Linotype"/>
          <w:color w:val="000000"/>
          <w:sz w:val="20"/>
          <w:szCs w:val="20"/>
        </w:rPr>
        <w:t xml:space="preserve"> México. 2009. UNAM. </w:t>
      </w:r>
    </w:p>
  </w:footnote>
  <w:footnote w:id="2">
    <w:p w14:paraId="0B038481" w14:textId="77777777" w:rsidR="002B57F3" w:rsidRDefault="003C2E85">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Gabino Fraga, Derecho administrativo, 29ª ed. Porrúa, México, 1990, p. 198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4B3C2" w14:textId="77777777" w:rsidR="002B57F3" w:rsidRDefault="002B57F3">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
      <w:tblW w:w="10273" w:type="dxa"/>
      <w:tblInd w:w="-1281" w:type="dxa"/>
      <w:tblLayout w:type="fixed"/>
      <w:tblLook w:val="0400" w:firstRow="0" w:lastRow="0" w:firstColumn="0" w:lastColumn="0" w:noHBand="0" w:noVBand="1"/>
    </w:tblPr>
    <w:tblGrid>
      <w:gridCol w:w="5716"/>
      <w:gridCol w:w="4557"/>
    </w:tblGrid>
    <w:tr w:rsidR="002B57F3" w14:paraId="5799FF35" w14:textId="77777777">
      <w:trPr>
        <w:trHeight w:val="246"/>
      </w:trPr>
      <w:tc>
        <w:tcPr>
          <w:tcW w:w="5716" w:type="dxa"/>
        </w:tcPr>
        <w:p w14:paraId="1BA0FB09" w14:textId="77777777" w:rsidR="002B57F3" w:rsidRDefault="003C2E8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557" w:type="dxa"/>
        </w:tcPr>
        <w:p w14:paraId="09CB4EC8" w14:textId="77777777" w:rsidR="002B57F3" w:rsidRDefault="003C2E85">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02354/INFOEM/IP/RR/2025.</w:t>
          </w:r>
        </w:p>
      </w:tc>
    </w:tr>
    <w:tr w:rsidR="002B57F3" w14:paraId="373F9E5B" w14:textId="77777777">
      <w:trPr>
        <w:trHeight w:val="212"/>
      </w:trPr>
      <w:tc>
        <w:tcPr>
          <w:tcW w:w="5716" w:type="dxa"/>
        </w:tcPr>
        <w:p w14:paraId="49E08911" w14:textId="77777777" w:rsidR="002B57F3" w:rsidRDefault="003C2E8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45F731D5" w14:textId="77777777" w:rsidR="002B57F3" w:rsidRDefault="002B57F3">
          <w:pPr>
            <w:spacing w:after="120"/>
            <w:ind w:left="-486" w:right="214" w:firstLine="567"/>
            <w:jc w:val="right"/>
            <w:rPr>
              <w:rFonts w:ascii="Palatino Linotype" w:eastAsia="Palatino Linotype" w:hAnsi="Palatino Linotype" w:cs="Palatino Linotype"/>
              <w:sz w:val="24"/>
              <w:szCs w:val="24"/>
            </w:rPr>
          </w:pPr>
        </w:p>
      </w:tc>
    </w:tr>
    <w:tr w:rsidR="002B57F3" w14:paraId="4F19978B" w14:textId="77777777">
      <w:trPr>
        <w:trHeight w:val="264"/>
      </w:trPr>
      <w:tc>
        <w:tcPr>
          <w:tcW w:w="5716" w:type="dxa"/>
        </w:tcPr>
        <w:p w14:paraId="1EAAEB11" w14:textId="77777777" w:rsidR="002B57F3" w:rsidRDefault="003C2E8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1E08B522" w14:textId="77777777" w:rsidR="002B57F3" w:rsidRDefault="003C2E85">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Secretaría de Finanzas.</w:t>
          </w:r>
        </w:p>
      </w:tc>
    </w:tr>
    <w:tr w:rsidR="002B57F3" w14:paraId="320F68BD" w14:textId="77777777">
      <w:trPr>
        <w:trHeight w:val="373"/>
      </w:trPr>
      <w:tc>
        <w:tcPr>
          <w:tcW w:w="5716" w:type="dxa"/>
        </w:tcPr>
        <w:p w14:paraId="23D78032" w14:textId="77777777" w:rsidR="002B57F3" w:rsidRDefault="003C2E8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1D5DC9B2" w14:textId="77777777" w:rsidR="002B57F3" w:rsidRDefault="003C2E8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431E18C" w14:textId="77777777" w:rsidR="002B57F3" w:rsidRDefault="003C2E85">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288A82DF" wp14:editId="64CB7927">
          <wp:simplePos x="0" y="0"/>
          <wp:positionH relativeFrom="column">
            <wp:posOffset>-1080134</wp:posOffset>
          </wp:positionH>
          <wp:positionV relativeFrom="paragraph">
            <wp:posOffset>-1362074</wp:posOffset>
          </wp:positionV>
          <wp:extent cx="7353300" cy="8658225"/>
          <wp:effectExtent l="0" t="0" r="0" b="0"/>
          <wp:wrapNone/>
          <wp:docPr id="214013193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9472B" w14:textId="77777777" w:rsidR="002B57F3" w:rsidRDefault="002B57F3">
    <w:pPr>
      <w:widowControl w:val="0"/>
      <w:pBdr>
        <w:top w:val="nil"/>
        <w:left w:val="nil"/>
        <w:bottom w:val="nil"/>
        <w:right w:val="nil"/>
        <w:between w:val="nil"/>
      </w:pBdr>
      <w:spacing w:after="0" w:line="276" w:lineRule="auto"/>
      <w:rPr>
        <w:color w:val="000000"/>
      </w:rPr>
    </w:pPr>
  </w:p>
  <w:tbl>
    <w:tblPr>
      <w:tblStyle w:val="a0"/>
      <w:tblW w:w="10273" w:type="dxa"/>
      <w:tblInd w:w="-1281" w:type="dxa"/>
      <w:tblLayout w:type="fixed"/>
      <w:tblLook w:val="0400" w:firstRow="0" w:lastRow="0" w:firstColumn="0" w:lastColumn="0" w:noHBand="0" w:noVBand="1"/>
    </w:tblPr>
    <w:tblGrid>
      <w:gridCol w:w="5716"/>
      <w:gridCol w:w="4557"/>
    </w:tblGrid>
    <w:tr w:rsidR="002B57F3" w14:paraId="0BBF7E60" w14:textId="77777777">
      <w:trPr>
        <w:trHeight w:val="246"/>
      </w:trPr>
      <w:tc>
        <w:tcPr>
          <w:tcW w:w="5716" w:type="dxa"/>
        </w:tcPr>
        <w:p w14:paraId="21CC1E1B" w14:textId="77777777" w:rsidR="002B57F3" w:rsidRDefault="003C2E8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557" w:type="dxa"/>
        </w:tcPr>
        <w:p w14:paraId="2EABB159" w14:textId="77777777" w:rsidR="002B57F3" w:rsidRDefault="003C2E85">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02354/INFOEM/IP/RR/2025.</w:t>
          </w:r>
        </w:p>
      </w:tc>
    </w:tr>
    <w:tr w:rsidR="002B57F3" w14:paraId="1ABE10B5" w14:textId="77777777">
      <w:trPr>
        <w:trHeight w:val="212"/>
      </w:trPr>
      <w:tc>
        <w:tcPr>
          <w:tcW w:w="5716" w:type="dxa"/>
        </w:tcPr>
        <w:p w14:paraId="4C5FD096" w14:textId="77777777" w:rsidR="002B57F3" w:rsidRDefault="003C2E8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12D1EEAD" w14:textId="355CCF93" w:rsidR="002B57F3" w:rsidRDefault="008E381F">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XXXX XXX XXXXXXXX XXXXXXXXX</w:t>
          </w:r>
          <w:r w:rsidR="003C2E85">
            <w:rPr>
              <w:rFonts w:ascii="Palatino Linotype" w:eastAsia="Palatino Linotype" w:hAnsi="Palatino Linotype" w:cs="Palatino Linotype"/>
              <w:color w:val="000000"/>
              <w:sz w:val="24"/>
              <w:szCs w:val="24"/>
            </w:rPr>
            <w:t>.</w:t>
          </w:r>
        </w:p>
      </w:tc>
    </w:tr>
    <w:tr w:rsidR="002B57F3" w14:paraId="30620404" w14:textId="77777777">
      <w:trPr>
        <w:trHeight w:val="264"/>
      </w:trPr>
      <w:tc>
        <w:tcPr>
          <w:tcW w:w="5716" w:type="dxa"/>
        </w:tcPr>
        <w:p w14:paraId="0893A987" w14:textId="77777777" w:rsidR="002B57F3" w:rsidRDefault="003C2E8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23DB553E" w14:textId="77777777" w:rsidR="002B57F3" w:rsidRDefault="003C2E85">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Secretaría de Finanzas.</w:t>
          </w:r>
        </w:p>
      </w:tc>
    </w:tr>
    <w:tr w:rsidR="002B57F3" w14:paraId="68915AC4" w14:textId="77777777">
      <w:trPr>
        <w:trHeight w:val="373"/>
      </w:trPr>
      <w:tc>
        <w:tcPr>
          <w:tcW w:w="5716" w:type="dxa"/>
        </w:tcPr>
        <w:p w14:paraId="3B40D4C9" w14:textId="77777777" w:rsidR="002B57F3" w:rsidRDefault="003C2E8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412FF9DD" w14:textId="77777777" w:rsidR="002B57F3" w:rsidRDefault="003C2E8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2B53F5FC" w14:textId="77777777" w:rsidR="002B57F3" w:rsidRDefault="003C2E85">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6CF3CCB2" wp14:editId="6000A859">
          <wp:simplePos x="0" y="0"/>
          <wp:positionH relativeFrom="column">
            <wp:posOffset>-1080134</wp:posOffset>
          </wp:positionH>
          <wp:positionV relativeFrom="paragraph">
            <wp:posOffset>-1381124</wp:posOffset>
          </wp:positionV>
          <wp:extent cx="7353300" cy="8658225"/>
          <wp:effectExtent l="0" t="0" r="0" b="0"/>
          <wp:wrapNone/>
          <wp:docPr id="214013192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150B1"/>
    <w:multiLevelType w:val="multilevel"/>
    <w:tmpl w:val="B0AC35F4"/>
    <w:lvl w:ilvl="0">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7F3"/>
    <w:rsid w:val="00207018"/>
    <w:rsid w:val="002B57F3"/>
    <w:rsid w:val="003C2E85"/>
    <w:rsid w:val="005719F3"/>
    <w:rsid w:val="00717FC9"/>
    <w:rsid w:val="008A5459"/>
    <w:rsid w:val="008E381F"/>
    <w:rsid w:val="00C45E23"/>
    <w:rsid w:val="00D334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DCA79"/>
  <w15:docId w15:val="{D83E7EFA-F9BA-41F7-8952-A17590689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830"/>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E508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0830"/>
  </w:style>
  <w:style w:type="paragraph" w:styleId="Piedepgina">
    <w:name w:val="footer"/>
    <w:basedOn w:val="Normal"/>
    <w:link w:val="PiedepginaCar"/>
    <w:uiPriority w:val="99"/>
    <w:unhideWhenUsed/>
    <w:rsid w:val="00E508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0830"/>
  </w:style>
  <w:style w:type="paragraph" w:styleId="Prrafodelista">
    <w:name w:val="List Paragraph"/>
    <w:basedOn w:val="Normal"/>
    <w:uiPriority w:val="34"/>
    <w:qFormat/>
    <w:rsid w:val="00E50830"/>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lfMilEYT1NK7C47s/LkC8+1L8Q==">CgMxLjAyCWguMzBqMHpsbDIOaC5zMmRvZmJ3OGFodnYyCGgudHlqY3d0Mg5oLmppOHp0bTVvaW12YjIOaC5teXowMWJoZTEyOWMyCWguMTdkcDh2dTgAciExQkdyUWJ1MjYteU95OHVJbTl2cERGcVMta0RXS3pHNE0=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55</Pages>
  <Words>12826</Words>
  <Characters>70549</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INFOEM505</dc:creator>
  <cp:lastModifiedBy>Maricela Villagómez Martínez</cp:lastModifiedBy>
  <cp:revision>2</cp:revision>
  <cp:lastPrinted>2025-05-16T18:22:00Z</cp:lastPrinted>
  <dcterms:created xsi:type="dcterms:W3CDTF">2025-05-29T17:36:00Z</dcterms:created>
  <dcterms:modified xsi:type="dcterms:W3CDTF">2025-05-29T17:36:00Z</dcterms:modified>
</cp:coreProperties>
</file>