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9D2F38"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bookmarkStart w:id="0" w:name="_heading=h.1fob9te" w:colFirst="0" w:colLast="0"/>
      <w:bookmarkEnd w:id="0"/>
      <w:r w:rsidRPr="009B7723">
        <w:rPr>
          <w:rFonts w:ascii="Palatino Linotype" w:eastAsia="Palatino Linotype" w:hAnsi="Palatino Linotype" w:cs="Palatino Linotype"/>
          <w:sz w:val="22"/>
          <w:szCs w:val="22"/>
        </w:rPr>
        <w:t xml:space="preserve">Resolución del Pleno del Instituto de Transparencia, Acceso a la Información Pública y Protección de Datos Personales del Estado de México y Municipios, con domicilio en Metepec, Estado de México, a </w:t>
      </w:r>
      <w:r w:rsidRPr="009B7723">
        <w:rPr>
          <w:rFonts w:ascii="Palatino Linotype" w:eastAsia="Palatino Linotype" w:hAnsi="Palatino Linotype" w:cs="Palatino Linotype"/>
          <w:b/>
          <w:sz w:val="22"/>
          <w:szCs w:val="22"/>
        </w:rPr>
        <w:t>seis de marzo de dos mil veinticuatro</w:t>
      </w:r>
      <w:r w:rsidRPr="009B7723">
        <w:rPr>
          <w:rFonts w:ascii="Palatino Linotype" w:eastAsia="Palatino Linotype" w:hAnsi="Palatino Linotype" w:cs="Palatino Linotype"/>
          <w:sz w:val="22"/>
          <w:szCs w:val="22"/>
        </w:rPr>
        <w:t xml:space="preserve">. </w:t>
      </w:r>
    </w:p>
    <w:p w14:paraId="04292F9E" w14:textId="0AF39C0F"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Visto</w:t>
      </w:r>
      <w:r w:rsidRPr="009B7723">
        <w:rPr>
          <w:rFonts w:ascii="Palatino Linotype" w:eastAsia="Palatino Linotype" w:hAnsi="Palatino Linotype" w:cs="Palatino Linotype"/>
          <w:sz w:val="22"/>
          <w:szCs w:val="22"/>
        </w:rPr>
        <w:t xml:space="preserve"> el expediente formado con motivo del recurso de revisión </w:t>
      </w:r>
      <w:r w:rsidRPr="009B7723">
        <w:rPr>
          <w:rFonts w:ascii="Palatino Linotype" w:eastAsia="Palatino Linotype" w:hAnsi="Palatino Linotype" w:cs="Palatino Linotype"/>
          <w:b/>
          <w:sz w:val="22"/>
          <w:szCs w:val="22"/>
        </w:rPr>
        <w:t>00609/INFOEM/IP/RR/2025</w:t>
      </w:r>
      <w:r w:rsidRPr="009B7723">
        <w:rPr>
          <w:rFonts w:ascii="Palatino Linotype" w:eastAsia="Palatino Linotype" w:hAnsi="Palatino Linotype" w:cs="Palatino Linotype"/>
          <w:sz w:val="22"/>
          <w:szCs w:val="22"/>
        </w:rPr>
        <w:t>, interpuesto por</w:t>
      </w:r>
      <w:r w:rsidRPr="009B7723">
        <w:rPr>
          <w:rFonts w:ascii="Palatino Linotype" w:eastAsia="Palatino Linotype" w:hAnsi="Palatino Linotype" w:cs="Palatino Linotype"/>
          <w:b/>
          <w:sz w:val="22"/>
          <w:szCs w:val="22"/>
        </w:rPr>
        <w:t xml:space="preserve"> </w:t>
      </w:r>
      <w:r w:rsidR="00291C50" w:rsidRPr="00291C50">
        <w:rPr>
          <w:rFonts w:ascii="Palatino Linotype" w:eastAsia="Palatino Linotype" w:hAnsi="Palatino Linotype" w:cs="Palatino Linotype"/>
          <w:b/>
          <w:sz w:val="22"/>
          <w:szCs w:val="22"/>
        </w:rPr>
        <w:t>XXXX XXX XXXXXXXX XXXXXXX</w:t>
      </w:r>
      <w:r w:rsidRPr="009B7723">
        <w:rPr>
          <w:rFonts w:ascii="Palatino Linotype" w:eastAsia="Palatino Linotype" w:hAnsi="Palatino Linotype" w:cs="Palatino Linotype"/>
          <w:b/>
          <w:sz w:val="22"/>
          <w:szCs w:val="22"/>
        </w:rPr>
        <w:t>,</w:t>
      </w:r>
      <w:r w:rsidRPr="009B7723">
        <w:rPr>
          <w:rFonts w:ascii="Palatino Linotype" w:eastAsia="Palatino Linotype" w:hAnsi="Palatino Linotype" w:cs="Palatino Linotype"/>
          <w:sz w:val="22"/>
          <w:szCs w:val="22"/>
        </w:rPr>
        <w:t xml:space="preserve"> en lo sucesivo</w:t>
      </w:r>
      <w:r w:rsidRPr="009B7723">
        <w:rPr>
          <w:rFonts w:ascii="Palatino Linotype" w:eastAsia="Palatino Linotype" w:hAnsi="Palatino Linotype" w:cs="Palatino Linotype"/>
          <w:b/>
          <w:sz w:val="22"/>
          <w:szCs w:val="22"/>
        </w:rPr>
        <w:t xml:space="preserve"> 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en contra de la respuesta a su solicitud por parte del </w:t>
      </w:r>
      <w:r w:rsidRPr="009B7723">
        <w:rPr>
          <w:rFonts w:ascii="Palatino Linotype" w:eastAsia="Palatino Linotype" w:hAnsi="Palatino Linotype" w:cs="Palatino Linotype"/>
          <w:b/>
          <w:sz w:val="22"/>
          <w:szCs w:val="22"/>
        </w:rPr>
        <w:t xml:space="preserve">Ayuntamiento de Ecatepec de Morelos, </w:t>
      </w:r>
      <w:r w:rsidRPr="009B7723">
        <w:rPr>
          <w:rFonts w:ascii="Palatino Linotype" w:eastAsia="Palatino Linotype" w:hAnsi="Palatino Linotype" w:cs="Palatino Linotype"/>
          <w:sz w:val="22"/>
          <w:szCs w:val="22"/>
        </w:rPr>
        <w:t xml:space="preserve">en lo sucesivo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 xml:space="preserve">se procede a dictar la presente resolución con base en los siguientes: </w:t>
      </w:r>
    </w:p>
    <w:p w14:paraId="3B1483AF" w14:textId="77777777" w:rsidR="00B05CDB" w:rsidRPr="009B7723" w:rsidRDefault="00C371BC">
      <w:pPr>
        <w:spacing w:before="240" w:after="240" w:line="360" w:lineRule="auto"/>
        <w:jc w:val="center"/>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I. A N T E C E D E N T E S</w:t>
      </w:r>
    </w:p>
    <w:p w14:paraId="1D0CAEC3"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1. Solicitud de acceso a la información.</w:t>
      </w:r>
      <w:r w:rsidRPr="009B7723">
        <w:rPr>
          <w:rFonts w:ascii="Palatino Linotype" w:eastAsia="Palatino Linotype" w:hAnsi="Palatino Linotype" w:cs="Palatino Linotype"/>
          <w:sz w:val="22"/>
          <w:szCs w:val="22"/>
        </w:rPr>
        <w:t xml:space="preserve"> El </w:t>
      </w:r>
      <w:r w:rsidRPr="009B7723">
        <w:rPr>
          <w:rFonts w:ascii="Palatino Linotype" w:eastAsia="Palatino Linotype" w:hAnsi="Palatino Linotype" w:cs="Palatino Linotype"/>
          <w:b/>
          <w:sz w:val="22"/>
          <w:szCs w:val="22"/>
        </w:rPr>
        <w:t>trece de enero de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dos mil veinticinco,</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 xml:space="preserve">Recurrente </w:t>
      </w:r>
      <w:r w:rsidRPr="009B7723">
        <w:rPr>
          <w:rFonts w:ascii="Palatino Linotype" w:eastAsia="Palatino Linotype" w:hAnsi="Palatino Linotype" w:cs="Palatino Linotype"/>
          <w:sz w:val="22"/>
          <w:szCs w:val="22"/>
        </w:rPr>
        <w:t xml:space="preserve">presentó, a través del Sistema de Acceso a la Información Mexiquense, en lo subsecuente el </w:t>
      </w:r>
      <w:r w:rsidRPr="009B7723">
        <w:rPr>
          <w:rFonts w:ascii="Palatino Linotype" w:eastAsia="Palatino Linotype" w:hAnsi="Palatino Linotype" w:cs="Palatino Linotype"/>
          <w:b/>
          <w:sz w:val="22"/>
          <w:szCs w:val="22"/>
        </w:rPr>
        <w:t>SAIMEX,</w:t>
      </w:r>
      <w:r w:rsidRPr="009B7723">
        <w:rPr>
          <w:rFonts w:ascii="Palatino Linotype" w:eastAsia="Palatino Linotype" w:hAnsi="Palatino Linotype" w:cs="Palatino Linotype"/>
          <w:sz w:val="22"/>
          <w:szCs w:val="22"/>
        </w:rPr>
        <w:t xml:space="preserve"> ante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la solicitud de acceso a la información pública, a la que se le asignó el número</w:t>
      </w:r>
      <w:r w:rsidRPr="009B7723">
        <w:rPr>
          <w:rFonts w:ascii="Palatino Linotype" w:eastAsia="Palatino Linotype" w:hAnsi="Palatino Linotype" w:cs="Palatino Linotype"/>
          <w:b/>
          <w:sz w:val="22"/>
          <w:szCs w:val="22"/>
        </w:rPr>
        <w:t xml:space="preserve"> 00046/ECATEPEC/IP/2025, </w:t>
      </w:r>
      <w:r w:rsidRPr="009B7723">
        <w:rPr>
          <w:rFonts w:ascii="Palatino Linotype" w:eastAsia="Palatino Linotype" w:hAnsi="Palatino Linotype" w:cs="Palatino Linotype"/>
          <w:sz w:val="22"/>
          <w:szCs w:val="22"/>
        </w:rPr>
        <w:t xml:space="preserve">mediante la cual requirió la información siguiente: </w:t>
      </w:r>
    </w:p>
    <w:p w14:paraId="0A992EAF" w14:textId="77777777" w:rsidR="00B05CDB" w:rsidRPr="009B7723" w:rsidRDefault="00C371BC">
      <w:pPr>
        <w:spacing w:before="240" w:after="240"/>
        <w:ind w:left="567" w:right="902"/>
        <w:jc w:val="both"/>
        <w:rPr>
          <w:rFonts w:ascii="Palatino Linotype" w:eastAsia="Palatino Linotype" w:hAnsi="Palatino Linotype" w:cs="Palatino Linotype"/>
          <w:i/>
          <w:sz w:val="22"/>
          <w:szCs w:val="22"/>
        </w:rPr>
      </w:pPr>
      <w:bookmarkStart w:id="1" w:name="_heading=h.gjdgxs" w:colFirst="0" w:colLast="0"/>
      <w:bookmarkEnd w:id="1"/>
      <w:r w:rsidRPr="009B7723">
        <w:rPr>
          <w:rFonts w:ascii="Palatino Linotype" w:eastAsia="Palatino Linotype" w:hAnsi="Palatino Linotype" w:cs="Palatino Linotype"/>
          <w:i/>
          <w:sz w:val="22"/>
          <w:szCs w:val="22"/>
        </w:rPr>
        <w:t>“</w:t>
      </w:r>
      <w:r w:rsidRPr="009B7723">
        <w:rPr>
          <w:rFonts w:ascii="Palatino Linotype" w:eastAsia="Palatino Linotype" w:hAnsi="Palatino Linotype" w:cs="Palatino Linotype"/>
          <w:b/>
          <w:i/>
          <w:sz w:val="22"/>
          <w:szCs w:val="22"/>
          <w:u w:val="single"/>
        </w:rPr>
        <w:t>Cuáles son las 100 calles que serán repavimentadas por parte del Gobierno del Ayuntamiento de Ecatepec</w:t>
      </w:r>
      <w:r w:rsidRPr="009B7723">
        <w:rPr>
          <w:rFonts w:ascii="Palatino Linotype" w:eastAsia="Palatino Linotype" w:hAnsi="Palatino Linotype" w:cs="Palatino Linotype"/>
          <w:i/>
          <w:sz w:val="22"/>
          <w:szCs w:val="22"/>
        </w:rPr>
        <w:t xml:space="preserve">, derivado del anuncio en redes sociales por parte de la </w:t>
      </w:r>
      <w:proofErr w:type="gramStart"/>
      <w:r w:rsidRPr="009B7723">
        <w:rPr>
          <w:rFonts w:ascii="Palatino Linotype" w:eastAsia="Palatino Linotype" w:hAnsi="Palatino Linotype" w:cs="Palatino Linotype"/>
          <w:i/>
          <w:sz w:val="22"/>
          <w:szCs w:val="22"/>
        </w:rPr>
        <w:t>Presidenta</w:t>
      </w:r>
      <w:proofErr w:type="gramEnd"/>
      <w:r w:rsidRPr="009B7723">
        <w:rPr>
          <w:rFonts w:ascii="Palatino Linotype" w:eastAsia="Palatino Linotype" w:hAnsi="Palatino Linotype" w:cs="Palatino Linotype"/>
          <w:i/>
          <w:sz w:val="22"/>
          <w:szCs w:val="22"/>
        </w:rPr>
        <w:t xml:space="preserve"> Municipal, Azucena Cisneros, el día 12 de enero de 2025.” (Sic) </w:t>
      </w:r>
    </w:p>
    <w:p w14:paraId="31A099C3" w14:textId="77777777" w:rsidR="00B05CDB" w:rsidRPr="009B7723" w:rsidRDefault="00C371BC">
      <w:pPr>
        <w:spacing w:before="240" w:after="240" w:line="360" w:lineRule="auto"/>
        <w:ind w:right="49"/>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Modalidad de Entrega:</w:t>
      </w:r>
      <w:r w:rsidRPr="009B7723">
        <w:rPr>
          <w:rFonts w:ascii="Palatino Linotype" w:eastAsia="Palatino Linotype" w:hAnsi="Palatino Linotype" w:cs="Palatino Linotype"/>
          <w:sz w:val="22"/>
          <w:szCs w:val="22"/>
        </w:rPr>
        <w:t xml:space="preserve"> A través </w:t>
      </w:r>
      <w:r w:rsidRPr="009B7723">
        <w:rPr>
          <w:rFonts w:ascii="Palatino Linotype" w:eastAsia="Palatino Linotype" w:hAnsi="Palatino Linotype" w:cs="Palatino Linotype"/>
          <w:b/>
          <w:sz w:val="22"/>
          <w:szCs w:val="22"/>
        </w:rPr>
        <w:t>del SAIMEX.</w:t>
      </w:r>
    </w:p>
    <w:p w14:paraId="79378B6E" w14:textId="77777777" w:rsidR="00B05CDB" w:rsidRPr="009B7723" w:rsidRDefault="00C371BC">
      <w:pPr>
        <w:spacing w:before="240" w:after="240" w:line="360" w:lineRule="auto"/>
        <w:jc w:val="both"/>
        <w:rPr>
          <w:rFonts w:ascii="Palatino Linotype" w:eastAsia="Palatino Linotype" w:hAnsi="Palatino Linotype" w:cs="Palatino Linotype"/>
          <w:b/>
          <w:sz w:val="22"/>
          <w:szCs w:val="22"/>
        </w:rPr>
      </w:pPr>
      <w:bookmarkStart w:id="2" w:name="_heading=h.3dy6vkm" w:colFirst="0" w:colLast="0"/>
      <w:bookmarkEnd w:id="2"/>
      <w:r w:rsidRPr="009B7723">
        <w:rPr>
          <w:rFonts w:ascii="Palatino Linotype" w:eastAsia="Palatino Linotype" w:hAnsi="Palatino Linotype" w:cs="Palatino Linotype"/>
          <w:b/>
          <w:sz w:val="22"/>
          <w:szCs w:val="22"/>
        </w:rPr>
        <w:t xml:space="preserve">2. Respuesta. </w:t>
      </w:r>
      <w:r w:rsidRPr="009B7723">
        <w:rPr>
          <w:rFonts w:ascii="Palatino Linotype" w:eastAsia="Palatino Linotype" w:hAnsi="Palatino Linotype" w:cs="Palatino Linotype"/>
          <w:sz w:val="22"/>
          <w:szCs w:val="22"/>
        </w:rPr>
        <w:t xml:space="preserve">El </w:t>
      </w:r>
      <w:r w:rsidRPr="009B7723">
        <w:rPr>
          <w:rFonts w:ascii="Palatino Linotype" w:eastAsia="Palatino Linotype" w:hAnsi="Palatino Linotype" w:cs="Palatino Linotype"/>
          <w:b/>
          <w:sz w:val="22"/>
          <w:szCs w:val="22"/>
        </w:rPr>
        <w:t>cinco de febrero de dos mil veinticinco</w:t>
      </w:r>
      <w:r w:rsidRPr="009B7723">
        <w:rPr>
          <w:rFonts w:ascii="Palatino Linotype" w:eastAsia="Palatino Linotype" w:hAnsi="Palatino Linotype" w:cs="Palatino Linotype"/>
          <w:sz w:val="22"/>
          <w:szCs w:val="22"/>
        </w:rPr>
        <w:t xml:space="preserve">,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 xml:space="preserve">envió su respuesta a la solicitud de acceso a la información a través de SAIMEX, sustancialmente en los términos siguientes:   </w:t>
      </w:r>
    </w:p>
    <w:p w14:paraId="62ECE0A3" w14:textId="77777777" w:rsidR="00B05CDB" w:rsidRPr="009B7723" w:rsidRDefault="00C371BC">
      <w:pPr>
        <w:spacing w:before="240" w:after="240"/>
        <w:ind w:left="567" w:right="902"/>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3472B9C9" w14:textId="77777777" w:rsidR="00B05CDB" w:rsidRPr="009B7723" w:rsidRDefault="00C371BC">
      <w:pPr>
        <w:spacing w:before="240" w:after="240"/>
        <w:ind w:left="567" w:right="902"/>
        <w:jc w:val="both"/>
        <w:rPr>
          <w:rFonts w:ascii="Palatino Linotype" w:eastAsia="Palatino Linotype" w:hAnsi="Palatino Linotype" w:cs="Palatino Linotype"/>
          <w:b/>
          <w:i/>
          <w:sz w:val="22"/>
          <w:szCs w:val="22"/>
          <w:u w:val="single"/>
        </w:rPr>
      </w:pPr>
      <w:r w:rsidRPr="009B7723">
        <w:rPr>
          <w:rFonts w:ascii="Palatino Linotype" w:eastAsia="Palatino Linotype" w:hAnsi="Palatino Linotype" w:cs="Palatino Linotype"/>
          <w:b/>
          <w:i/>
          <w:sz w:val="22"/>
          <w:szCs w:val="22"/>
          <w:u w:val="single"/>
        </w:rPr>
        <w:t>El H. Ayuntamiento de Ecatepec de Morelos implemento el programa "Cimientos de esperanza" el cual consiste en trabajar mano a mano con los vecinos, donde ellos ponen la mano de obra y el ayuntamiento otorga los materiales. Este programa está avanzando con la evaluación de calles que cuenten con servicios de agua y drenaje, esto con el propósito de dar atención y solución a las peticiones de la ciudadanía por medio de las audiencias ciudadanas. El artículo 8 de la Constitución Política de los Estados Unidos Mexicanos</w:t>
      </w:r>
    </w:p>
    <w:p w14:paraId="304E356D" w14:textId="77777777" w:rsidR="00B05CDB" w:rsidRPr="009B7723" w:rsidRDefault="00C371BC">
      <w:pPr>
        <w:spacing w:before="240" w:after="240"/>
        <w:ind w:left="567" w:right="902"/>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ATENTAMENTE</w:t>
      </w:r>
    </w:p>
    <w:p w14:paraId="43647588" w14:textId="77777777" w:rsidR="00B05CDB" w:rsidRPr="009B7723" w:rsidRDefault="00C371BC">
      <w:pPr>
        <w:spacing w:before="240" w:after="240"/>
        <w:ind w:left="567" w:right="902"/>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Luis Ángel Hernández Soto” (Sic) (Énfasis añadido)</w:t>
      </w:r>
    </w:p>
    <w:p w14:paraId="7FFDC190"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 xml:space="preserve">3. Interposición del recurso de revisión. </w:t>
      </w:r>
      <w:r w:rsidRPr="009B7723">
        <w:rPr>
          <w:rFonts w:ascii="Palatino Linotype" w:eastAsia="Palatino Linotype" w:hAnsi="Palatino Linotype" w:cs="Palatino Linotype"/>
          <w:sz w:val="22"/>
          <w:szCs w:val="22"/>
        </w:rPr>
        <w:t xml:space="preserve">Inconforme con los términos de la respuesta emitida por parte del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el</w:t>
      </w:r>
      <w:r w:rsidRPr="009B7723">
        <w:rPr>
          <w:rFonts w:ascii="Palatino Linotype" w:eastAsia="Palatino Linotype" w:hAnsi="Palatino Linotype" w:cs="Palatino Linotype"/>
          <w:b/>
          <w:sz w:val="22"/>
          <w:szCs w:val="22"/>
        </w:rPr>
        <w:t xml:space="preserve"> cinco de febrero de dos mil veinticinco,</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interpuso el recurso de revisión a través de </w:t>
      </w:r>
      <w:r w:rsidRPr="009B7723">
        <w:rPr>
          <w:rFonts w:ascii="Palatino Linotype" w:eastAsia="Palatino Linotype" w:hAnsi="Palatino Linotype" w:cs="Palatino Linotype"/>
          <w:b/>
          <w:sz w:val="22"/>
          <w:szCs w:val="22"/>
        </w:rPr>
        <w:t xml:space="preserve">SAIMEX, </w:t>
      </w:r>
      <w:r w:rsidRPr="009B7723">
        <w:rPr>
          <w:rFonts w:ascii="Palatino Linotype" w:eastAsia="Palatino Linotype" w:hAnsi="Palatino Linotype" w:cs="Palatino Linotype"/>
          <w:sz w:val="22"/>
          <w:szCs w:val="22"/>
        </w:rPr>
        <w:t>en donde se manifestó de la siguiente manera:</w:t>
      </w:r>
    </w:p>
    <w:p w14:paraId="44F7A560" w14:textId="77777777" w:rsidR="00B05CDB" w:rsidRPr="009B7723" w:rsidRDefault="00C371BC">
      <w:pPr>
        <w:tabs>
          <w:tab w:val="left" w:pos="2745"/>
        </w:tabs>
        <w:spacing w:before="240" w:after="240"/>
        <w:ind w:left="567" w:right="900"/>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 xml:space="preserve">a) Acto impugnado: </w:t>
      </w:r>
      <w:r w:rsidRPr="009B7723">
        <w:rPr>
          <w:rFonts w:ascii="Palatino Linotype" w:eastAsia="Palatino Linotype" w:hAnsi="Palatino Linotype" w:cs="Palatino Linotype"/>
          <w:i/>
          <w:sz w:val="22"/>
          <w:szCs w:val="22"/>
        </w:rPr>
        <w:t xml:space="preserve">“Respuesta a mi solicitud precisa de información pública con folio 00046/ECATEPEC/IP/2025, firmada por Luis Ángel Hernández Soto, </w:t>
      </w:r>
      <w:proofErr w:type="gramStart"/>
      <w:r w:rsidRPr="009B7723">
        <w:rPr>
          <w:rFonts w:ascii="Palatino Linotype" w:eastAsia="Palatino Linotype" w:hAnsi="Palatino Linotype" w:cs="Palatino Linotype"/>
          <w:i/>
          <w:sz w:val="22"/>
          <w:szCs w:val="22"/>
        </w:rPr>
        <w:t>Responsable</w:t>
      </w:r>
      <w:proofErr w:type="gramEnd"/>
      <w:r w:rsidRPr="009B7723">
        <w:rPr>
          <w:rFonts w:ascii="Palatino Linotype" w:eastAsia="Palatino Linotype" w:hAnsi="Palatino Linotype" w:cs="Palatino Linotype"/>
          <w:i/>
          <w:sz w:val="22"/>
          <w:szCs w:val="22"/>
        </w:rPr>
        <w:t xml:space="preserve"> de la Unidad de Información del Ayuntamiento de Ecatepec de Morelos, recibida vía SAIMEX, el 5 de febrero de 2025.” (Sic)</w:t>
      </w:r>
    </w:p>
    <w:p w14:paraId="6B903BA6" w14:textId="77777777" w:rsidR="00B05CDB" w:rsidRPr="009B7723" w:rsidRDefault="00C371BC">
      <w:pPr>
        <w:spacing w:line="276" w:lineRule="auto"/>
        <w:ind w:left="567" w:right="900"/>
        <w:jc w:val="both"/>
        <w:rPr>
          <w:rFonts w:ascii="Palatino Linotype" w:eastAsia="Palatino Linotype" w:hAnsi="Palatino Linotype" w:cs="Palatino Linotype"/>
          <w:i/>
          <w:sz w:val="22"/>
          <w:szCs w:val="22"/>
        </w:rPr>
      </w:pPr>
      <w:bookmarkStart w:id="3" w:name="_heading=h.30j0zll" w:colFirst="0" w:colLast="0"/>
      <w:bookmarkEnd w:id="3"/>
      <w:r w:rsidRPr="009B7723">
        <w:rPr>
          <w:rFonts w:ascii="Palatino Linotype" w:eastAsia="Palatino Linotype" w:hAnsi="Palatino Linotype" w:cs="Palatino Linotype"/>
          <w:b/>
          <w:sz w:val="22"/>
          <w:szCs w:val="22"/>
        </w:rPr>
        <w:t>b) Razones o motivos de inconformidad</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i/>
          <w:sz w:val="22"/>
          <w:szCs w:val="22"/>
        </w:rPr>
        <w:t>“</w:t>
      </w:r>
      <w:r w:rsidRPr="009B7723">
        <w:rPr>
          <w:rFonts w:ascii="Palatino Linotype" w:eastAsia="Palatino Linotype" w:hAnsi="Palatino Linotype" w:cs="Palatino Linotype"/>
          <w:b/>
          <w:i/>
          <w:sz w:val="22"/>
          <w:szCs w:val="22"/>
          <w:u w:val="single"/>
        </w:rPr>
        <w:t xml:space="preserve">La respuesta del servidor público en comento nunca menciona el dato preciso solicitado: "Cuáles son las 100 calles que serán repavimentadas por parte del Gobierno del Ayuntamiento de Ecatepec, derivado del anuncio en redes sociales por parte de la </w:t>
      </w:r>
      <w:proofErr w:type="gramStart"/>
      <w:r w:rsidRPr="009B7723">
        <w:rPr>
          <w:rFonts w:ascii="Palatino Linotype" w:eastAsia="Palatino Linotype" w:hAnsi="Palatino Linotype" w:cs="Palatino Linotype"/>
          <w:b/>
          <w:i/>
          <w:sz w:val="22"/>
          <w:szCs w:val="22"/>
          <w:u w:val="single"/>
        </w:rPr>
        <w:t>Presidenta</w:t>
      </w:r>
      <w:proofErr w:type="gramEnd"/>
      <w:r w:rsidRPr="009B7723">
        <w:rPr>
          <w:rFonts w:ascii="Palatino Linotype" w:eastAsia="Palatino Linotype" w:hAnsi="Palatino Linotype" w:cs="Palatino Linotype"/>
          <w:b/>
          <w:i/>
          <w:sz w:val="22"/>
          <w:szCs w:val="22"/>
          <w:u w:val="single"/>
        </w:rPr>
        <w:t xml:space="preserve"> Municipal, Azucena Cisneros, el día 12 de enero de 2025".</w:t>
      </w:r>
      <w:r w:rsidRPr="009B7723">
        <w:rPr>
          <w:rFonts w:ascii="Palatino Linotype" w:eastAsia="Palatino Linotype" w:hAnsi="Palatino Linotype" w:cs="Palatino Linotype"/>
          <w:i/>
          <w:sz w:val="22"/>
          <w:szCs w:val="22"/>
        </w:rPr>
        <w:t>” (Sic) (Énfasis añadido)</w:t>
      </w:r>
    </w:p>
    <w:p w14:paraId="174D3F1A" w14:textId="77777777" w:rsidR="00B05CDB" w:rsidRPr="009B7723" w:rsidRDefault="00B05CDB">
      <w:pPr>
        <w:spacing w:line="276" w:lineRule="auto"/>
        <w:ind w:left="567" w:right="900"/>
        <w:jc w:val="both"/>
        <w:rPr>
          <w:rFonts w:ascii="Palatino Linotype" w:eastAsia="Palatino Linotype" w:hAnsi="Palatino Linotype" w:cs="Palatino Linotype"/>
          <w:i/>
          <w:sz w:val="22"/>
          <w:szCs w:val="22"/>
        </w:rPr>
      </w:pPr>
    </w:p>
    <w:p w14:paraId="097A7C39" w14:textId="77777777" w:rsidR="00B05CDB" w:rsidRPr="009B7723" w:rsidRDefault="00C371BC">
      <w:pPr>
        <w:spacing w:line="360" w:lineRule="auto"/>
        <w:ind w:left="567" w:right="1134"/>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Archivos adjuntos: “</w:t>
      </w:r>
      <w:r w:rsidRPr="009B7723">
        <w:rPr>
          <w:rFonts w:ascii="Palatino Linotype" w:eastAsia="Palatino Linotype" w:hAnsi="Palatino Linotype" w:cs="Palatino Linotype"/>
          <w:b/>
          <w:i/>
          <w:sz w:val="22"/>
          <w:szCs w:val="22"/>
        </w:rPr>
        <w:t xml:space="preserve">SAIMEX_ECATEPEC.pdf”: </w:t>
      </w:r>
      <w:r w:rsidRPr="009B7723">
        <w:rPr>
          <w:rFonts w:ascii="Palatino Linotype" w:eastAsia="Palatino Linotype" w:hAnsi="Palatino Linotype" w:cs="Palatino Linotype"/>
          <w:sz w:val="22"/>
          <w:szCs w:val="22"/>
        </w:rPr>
        <w:t>Documento que se compone de dos fojas, el cual contiene el acuse de la solicitud de información.</w:t>
      </w:r>
    </w:p>
    <w:p w14:paraId="3AFC5DE4" w14:textId="77777777" w:rsidR="00B05CDB" w:rsidRPr="009B7723" w:rsidRDefault="00B05CDB">
      <w:pPr>
        <w:ind w:left="567" w:right="900"/>
        <w:jc w:val="both"/>
        <w:rPr>
          <w:rFonts w:ascii="Palatino Linotype" w:eastAsia="Palatino Linotype" w:hAnsi="Palatino Linotype" w:cs="Palatino Linotype"/>
          <w:sz w:val="22"/>
          <w:szCs w:val="22"/>
        </w:rPr>
      </w:pPr>
    </w:p>
    <w:p w14:paraId="7EAABCBB" w14:textId="77777777" w:rsidR="00B05CDB" w:rsidRPr="009B7723" w:rsidRDefault="00C371BC">
      <w:pPr>
        <w:spacing w:before="240" w:after="240" w:line="360" w:lineRule="auto"/>
        <w:ind w:right="51"/>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lastRenderedPageBreak/>
        <w:t xml:space="preserve">4. Turno. </w:t>
      </w:r>
      <w:r w:rsidRPr="009B7723">
        <w:rPr>
          <w:rFonts w:ascii="Palatino Linotype" w:eastAsia="Palatino Linotype" w:hAnsi="Palatino Linotype" w:cs="Palatino Linotype"/>
          <w:sz w:val="22"/>
          <w:szCs w:val="22"/>
        </w:rPr>
        <w:t xml:space="preserve">De conformidad con el artículo 185 fracción I de la Ley de Transparencia y Acceso a la Información Pública del Estado de México y Municipios vigente, el presente recurso de revisión se turnó por el sistema electrónico del Instituto de Transparencia, Acceso a la Información Pública y Protección de Datos Personales del Estado de México y Municipios, a la Comisionada </w:t>
      </w:r>
      <w:r w:rsidRPr="009B7723">
        <w:rPr>
          <w:rFonts w:ascii="Palatino Linotype" w:eastAsia="Palatino Linotype" w:hAnsi="Palatino Linotype" w:cs="Palatino Linotype"/>
          <w:b/>
          <w:sz w:val="22"/>
          <w:szCs w:val="22"/>
        </w:rPr>
        <w:t xml:space="preserve">Guadalupe Ramírez Peña, </w:t>
      </w:r>
      <w:r w:rsidRPr="009B7723">
        <w:rPr>
          <w:rFonts w:ascii="Palatino Linotype" w:eastAsia="Palatino Linotype" w:hAnsi="Palatino Linotype" w:cs="Palatino Linotype"/>
          <w:sz w:val="22"/>
          <w:szCs w:val="22"/>
        </w:rPr>
        <w:t xml:space="preserve">a efecto de que analizara sobre su admisión o su </w:t>
      </w:r>
      <w:proofErr w:type="spellStart"/>
      <w:r w:rsidRPr="009B7723">
        <w:rPr>
          <w:rFonts w:ascii="Palatino Linotype" w:eastAsia="Palatino Linotype" w:hAnsi="Palatino Linotype" w:cs="Palatino Linotype"/>
          <w:sz w:val="22"/>
          <w:szCs w:val="22"/>
        </w:rPr>
        <w:t>desechamiento</w:t>
      </w:r>
      <w:proofErr w:type="spellEnd"/>
      <w:r w:rsidRPr="009B7723">
        <w:rPr>
          <w:rFonts w:ascii="Palatino Linotype" w:eastAsia="Palatino Linotype" w:hAnsi="Palatino Linotype" w:cs="Palatino Linotype"/>
          <w:sz w:val="22"/>
          <w:szCs w:val="22"/>
        </w:rPr>
        <w:t>.</w:t>
      </w:r>
    </w:p>
    <w:p w14:paraId="77174804"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5. Admisión del Recurso de revisión.</w:t>
      </w:r>
      <w:r w:rsidRPr="009B7723">
        <w:rPr>
          <w:rFonts w:ascii="Palatino Linotype" w:eastAsia="Palatino Linotype" w:hAnsi="Palatino Linotype" w:cs="Palatino Linotype"/>
          <w:sz w:val="22"/>
          <w:szCs w:val="22"/>
        </w:rPr>
        <w:t xml:space="preserve"> El </w:t>
      </w:r>
      <w:r w:rsidRPr="009B7723">
        <w:rPr>
          <w:rFonts w:ascii="Palatino Linotype" w:eastAsia="Palatino Linotype" w:hAnsi="Palatino Linotype" w:cs="Palatino Linotype"/>
          <w:b/>
          <w:sz w:val="22"/>
          <w:szCs w:val="22"/>
        </w:rPr>
        <w:t xml:space="preserve">diez de febrero de dos mil veinticinco, </w:t>
      </w:r>
      <w:r w:rsidRPr="009B7723">
        <w:rPr>
          <w:rFonts w:ascii="Palatino Linotype" w:eastAsia="Palatino Linotype" w:hAnsi="Palatino Linotype" w:cs="Palatino Linotype"/>
          <w:sz w:val="22"/>
          <w:szCs w:val="22"/>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presentara su informe justificado.</w:t>
      </w:r>
    </w:p>
    <w:p w14:paraId="5332CBD8" w14:textId="77777777" w:rsidR="00B05CDB" w:rsidRPr="009B7723" w:rsidRDefault="00C371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bookmarkStart w:id="4" w:name="_heading=h.2s8eyo1" w:colFirst="0" w:colLast="0"/>
      <w:bookmarkEnd w:id="4"/>
      <w:r w:rsidRPr="009B7723">
        <w:rPr>
          <w:rFonts w:ascii="Palatino Linotype" w:eastAsia="Palatino Linotype" w:hAnsi="Palatino Linotype" w:cs="Palatino Linotype"/>
          <w:b/>
          <w:sz w:val="22"/>
          <w:szCs w:val="22"/>
        </w:rPr>
        <w:t>6. Manifestaciones e Informe Justificado</w:t>
      </w:r>
      <w:r w:rsidRPr="009B7723">
        <w:rPr>
          <w:rFonts w:ascii="Palatino Linotype" w:eastAsia="Palatino Linotype" w:hAnsi="Palatino Linotype" w:cs="Palatino Linotype"/>
          <w:sz w:val="22"/>
          <w:szCs w:val="22"/>
        </w:rPr>
        <w:t xml:space="preserve">. De las constancias que integran el expediente en que se actúa se advierte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durante el periodo de manifestaciones e informe justificado,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remitió su informe justificado, los días </w:t>
      </w:r>
      <w:r w:rsidRPr="009B7723">
        <w:rPr>
          <w:rFonts w:ascii="Palatino Linotype" w:eastAsia="Palatino Linotype" w:hAnsi="Palatino Linotype" w:cs="Palatino Linotype"/>
          <w:b/>
          <w:sz w:val="22"/>
          <w:szCs w:val="22"/>
        </w:rPr>
        <w:t>dieciocho y veinte de febrero de dos mil veinticinco</w:t>
      </w:r>
      <w:r w:rsidRPr="009B7723">
        <w:rPr>
          <w:rFonts w:ascii="Palatino Linotype" w:eastAsia="Palatino Linotype" w:hAnsi="Palatino Linotype" w:cs="Palatino Linotype"/>
          <w:sz w:val="22"/>
          <w:szCs w:val="22"/>
        </w:rPr>
        <w:t xml:space="preserve">, mediante los archivos electrónicos denominados </w:t>
      </w:r>
      <w:r w:rsidRPr="009B7723">
        <w:rPr>
          <w:rFonts w:ascii="Palatino Linotype" w:eastAsia="Palatino Linotype" w:hAnsi="Palatino Linotype" w:cs="Palatino Linotype"/>
          <w:b/>
          <w:i/>
          <w:sz w:val="22"/>
          <w:szCs w:val="22"/>
        </w:rPr>
        <w:t>“sol 00046.pdf”</w:t>
      </w:r>
      <w:r w:rsidRPr="009B7723">
        <w:rPr>
          <w:rFonts w:ascii="Palatino Linotype" w:eastAsia="Palatino Linotype" w:hAnsi="Palatino Linotype" w:cs="Palatino Linotype"/>
          <w:sz w:val="22"/>
          <w:szCs w:val="22"/>
        </w:rPr>
        <w:t xml:space="preserve"> y </w:t>
      </w:r>
      <w:r w:rsidRPr="009B7723">
        <w:rPr>
          <w:rFonts w:ascii="Palatino Linotype" w:eastAsia="Palatino Linotype" w:hAnsi="Palatino Linotype" w:cs="Palatino Linotype"/>
          <w:b/>
          <w:i/>
          <w:sz w:val="22"/>
          <w:szCs w:val="22"/>
        </w:rPr>
        <w:t xml:space="preserve">“sol 098.pdf”, </w:t>
      </w:r>
      <w:r w:rsidRPr="009B7723">
        <w:rPr>
          <w:rFonts w:ascii="Palatino Linotype" w:eastAsia="Palatino Linotype" w:hAnsi="Palatino Linotype" w:cs="Palatino Linotype"/>
          <w:sz w:val="22"/>
          <w:szCs w:val="22"/>
        </w:rPr>
        <w:t>los cuales se describen de manera pormenorizada a continuación:</w:t>
      </w:r>
    </w:p>
    <w:p w14:paraId="5EC30A30" w14:textId="77777777" w:rsidR="00B05CDB" w:rsidRPr="009B7723" w:rsidRDefault="00B05C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7B6AC2C7" w14:textId="77777777" w:rsidR="00B05CDB" w:rsidRPr="009B7723" w:rsidRDefault="00C371BC">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i/>
          <w:sz w:val="22"/>
          <w:szCs w:val="22"/>
        </w:rPr>
        <w:t>“sol 00046.pdf”</w:t>
      </w:r>
      <w:r w:rsidRPr="009B7723">
        <w:rPr>
          <w:rFonts w:ascii="Palatino Linotype" w:eastAsia="Palatino Linotype" w:hAnsi="Palatino Linotype" w:cs="Palatino Linotype"/>
          <w:sz w:val="22"/>
          <w:szCs w:val="22"/>
        </w:rPr>
        <w:t xml:space="preserve">: Oficio de turno, suscrito por el Titular de la Unidad de Transparencia, por el cual requiere al </w:t>
      </w:r>
      <w:proofErr w:type="gramStart"/>
      <w:r w:rsidRPr="009B7723">
        <w:rPr>
          <w:rFonts w:ascii="Palatino Linotype" w:eastAsia="Palatino Linotype" w:hAnsi="Palatino Linotype" w:cs="Palatino Linotype"/>
          <w:sz w:val="22"/>
          <w:szCs w:val="22"/>
        </w:rPr>
        <w:t>Director</w:t>
      </w:r>
      <w:proofErr w:type="gramEnd"/>
      <w:r w:rsidRPr="009B7723">
        <w:rPr>
          <w:rFonts w:ascii="Palatino Linotype" w:eastAsia="Palatino Linotype" w:hAnsi="Palatino Linotype" w:cs="Palatino Linotype"/>
          <w:sz w:val="22"/>
          <w:szCs w:val="22"/>
        </w:rPr>
        <w:t xml:space="preserve"> de Obras Públicas, que remita la información solicitada en un plazo de cinco días hábiles para dar contestación al recurso de revisión citado al rubro.</w:t>
      </w:r>
    </w:p>
    <w:p w14:paraId="49BF4959" w14:textId="77777777" w:rsidR="00B05CDB" w:rsidRPr="009B7723" w:rsidRDefault="00B05CDB">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p>
    <w:p w14:paraId="4A6DBB51" w14:textId="77777777" w:rsidR="00B05CDB" w:rsidRPr="009B7723" w:rsidRDefault="00C371BC">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i/>
          <w:sz w:val="22"/>
          <w:szCs w:val="22"/>
        </w:rPr>
        <w:t xml:space="preserve">“sol 098.pdf”: </w:t>
      </w:r>
      <w:r w:rsidRPr="009B7723">
        <w:rPr>
          <w:rFonts w:ascii="Palatino Linotype" w:eastAsia="Palatino Linotype" w:hAnsi="Palatino Linotype" w:cs="Palatino Linotype"/>
          <w:sz w:val="22"/>
          <w:szCs w:val="22"/>
        </w:rPr>
        <w:t>Documento que se compone de dos fojas y contiene lo siguiente:</w:t>
      </w:r>
    </w:p>
    <w:p w14:paraId="6EB7E00D" w14:textId="77777777" w:rsidR="00B05CDB" w:rsidRPr="009B7723" w:rsidRDefault="00C371BC">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i/>
          <w:sz w:val="22"/>
          <w:szCs w:val="22"/>
        </w:rPr>
        <w:lastRenderedPageBreak/>
        <w:t>-</w:t>
      </w:r>
      <w:r w:rsidRPr="009B7723">
        <w:rPr>
          <w:rFonts w:ascii="Palatino Linotype" w:eastAsia="Palatino Linotype" w:hAnsi="Palatino Linotype" w:cs="Palatino Linotype"/>
          <w:sz w:val="22"/>
          <w:szCs w:val="22"/>
        </w:rPr>
        <w:t xml:space="preserve">Oficio DOP/ECA/000872/2025, signado por el </w:t>
      </w:r>
      <w:proofErr w:type="gramStart"/>
      <w:r w:rsidRPr="009B7723">
        <w:rPr>
          <w:rFonts w:ascii="Palatino Linotype" w:eastAsia="Palatino Linotype" w:hAnsi="Palatino Linotype" w:cs="Palatino Linotype"/>
          <w:sz w:val="22"/>
          <w:szCs w:val="22"/>
        </w:rPr>
        <w:t>Director</w:t>
      </w:r>
      <w:proofErr w:type="gramEnd"/>
      <w:r w:rsidRPr="009B7723">
        <w:rPr>
          <w:rFonts w:ascii="Palatino Linotype" w:eastAsia="Palatino Linotype" w:hAnsi="Palatino Linotype" w:cs="Palatino Linotype"/>
          <w:sz w:val="22"/>
          <w:szCs w:val="22"/>
        </w:rPr>
        <w:t xml:space="preserve"> de Obras Públicas, por el cual, manifiesta que debido a un error ortográfico en la solicitud original, se mencionó erróneamente la palabra “repavimentar” en lugar de “pavimentar”, lo cual generó una confusión en el proceso de análisis de la información.</w:t>
      </w:r>
    </w:p>
    <w:p w14:paraId="1F1B3375" w14:textId="77777777" w:rsidR="00B05CDB" w:rsidRPr="009B7723" w:rsidRDefault="00B05CDB">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p>
    <w:p w14:paraId="7191D629" w14:textId="77777777" w:rsidR="00B05CDB" w:rsidRPr="009B7723" w:rsidRDefault="00C371BC">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No obstante, precisa que adjunta el listado de calles que actualmente se están trabajando en el marco del programa “Cimientos de Esperanza”, en el que se promueve la participación activa de los ciudadanos en labores de mano de obra, mientras que el Gobierno Municipal se encarga de proveer los materiales necesarios para la ejecución de los trabajos.</w:t>
      </w:r>
    </w:p>
    <w:p w14:paraId="02D1C7C1" w14:textId="77777777" w:rsidR="00B05CDB" w:rsidRPr="009B7723" w:rsidRDefault="00B05CDB">
      <w:pPr>
        <w:pBdr>
          <w:top w:val="nil"/>
          <w:left w:val="nil"/>
          <w:bottom w:val="nil"/>
          <w:right w:val="nil"/>
          <w:between w:val="nil"/>
        </w:pBdr>
        <w:tabs>
          <w:tab w:val="left" w:pos="284"/>
        </w:tabs>
        <w:spacing w:line="360" w:lineRule="auto"/>
        <w:ind w:left="567" w:right="1134"/>
        <w:jc w:val="both"/>
        <w:rPr>
          <w:rFonts w:ascii="Palatino Linotype" w:eastAsia="Palatino Linotype" w:hAnsi="Palatino Linotype" w:cs="Palatino Linotype"/>
          <w:sz w:val="22"/>
          <w:szCs w:val="22"/>
        </w:rPr>
      </w:pPr>
    </w:p>
    <w:p w14:paraId="44E8D71C" w14:textId="77777777" w:rsidR="00B05CDB" w:rsidRPr="009B7723" w:rsidRDefault="00C371BC">
      <w:pPr>
        <w:numPr>
          <w:ilvl w:val="0"/>
          <w:numId w:val="2"/>
        </w:numPr>
        <w:pBdr>
          <w:top w:val="nil"/>
          <w:left w:val="nil"/>
          <w:bottom w:val="nil"/>
          <w:right w:val="nil"/>
          <w:between w:val="nil"/>
        </w:pBdr>
        <w:tabs>
          <w:tab w:val="left" w:pos="284"/>
        </w:tabs>
        <w:spacing w:line="360" w:lineRule="auto"/>
        <w:ind w:left="567" w:right="1134" w:hanging="141"/>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Listado que da cuenta de las primeras cien calles contempladas en el programa “Cimientos de Esperanza”.</w:t>
      </w:r>
    </w:p>
    <w:p w14:paraId="33911628" w14:textId="77777777" w:rsidR="00B05CDB" w:rsidRPr="009B7723" w:rsidRDefault="00B05CDB">
      <w:pPr>
        <w:pBdr>
          <w:top w:val="nil"/>
          <w:left w:val="nil"/>
          <w:bottom w:val="nil"/>
          <w:right w:val="nil"/>
          <w:between w:val="nil"/>
        </w:pBdr>
        <w:tabs>
          <w:tab w:val="left" w:pos="284"/>
        </w:tabs>
        <w:spacing w:line="360" w:lineRule="auto"/>
        <w:ind w:left="927" w:right="1134"/>
        <w:jc w:val="both"/>
        <w:rPr>
          <w:rFonts w:ascii="Palatino Linotype" w:eastAsia="Palatino Linotype" w:hAnsi="Palatino Linotype" w:cs="Palatino Linotype"/>
          <w:sz w:val="22"/>
          <w:szCs w:val="22"/>
        </w:rPr>
      </w:pPr>
    </w:p>
    <w:p w14:paraId="600BC3DD" w14:textId="77777777" w:rsidR="00B05CDB" w:rsidRPr="009B7723" w:rsidRDefault="00C371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Es de precisar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una vez analizada esta documentación, se procedió a ponerla a disposición de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xml:space="preserve">, mediante acuerdo signado por la Comisionada Ponente, el </w:t>
      </w:r>
      <w:r w:rsidRPr="009B7723">
        <w:rPr>
          <w:rFonts w:ascii="Palatino Linotype" w:eastAsia="Palatino Linotype" w:hAnsi="Palatino Linotype" w:cs="Palatino Linotype"/>
          <w:b/>
          <w:sz w:val="22"/>
          <w:szCs w:val="22"/>
        </w:rPr>
        <w:t>veinticuatro de febrero de dos mil veinticinco</w:t>
      </w:r>
      <w:r w:rsidRPr="009B7723">
        <w:rPr>
          <w:rFonts w:ascii="Palatino Linotype" w:eastAsia="Palatino Linotype" w:hAnsi="Palatino Linotype" w:cs="Palatino Linotype"/>
          <w:sz w:val="22"/>
          <w:szCs w:val="22"/>
        </w:rPr>
        <w:t xml:space="preserve">, cabe señalar que una vez conocido este pronunciamiento,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xml:space="preserve"> no adjuntó archivo alguno en esta etapa, por lo que se tiene por precluido su derecho y se procede a emitir la resolución que conforme a derecho corresponda.</w:t>
      </w:r>
    </w:p>
    <w:p w14:paraId="3E65CC21" w14:textId="77777777" w:rsidR="00B05CDB" w:rsidRPr="009B7723" w:rsidRDefault="00B05C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p>
    <w:p w14:paraId="6254D578" w14:textId="77777777" w:rsidR="00B05CDB" w:rsidRPr="009B7723" w:rsidRDefault="00C371BC">
      <w:pPr>
        <w:spacing w:after="240" w:line="360" w:lineRule="auto"/>
        <w:jc w:val="both"/>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 xml:space="preserve">7. Cierre de instrucción. </w:t>
      </w:r>
      <w:r w:rsidRPr="009B7723">
        <w:rPr>
          <w:rFonts w:ascii="Palatino Linotype" w:eastAsia="Palatino Linotype" w:hAnsi="Palatino Linotype" w:cs="Palatino Linotype"/>
          <w:sz w:val="22"/>
          <w:szCs w:val="22"/>
        </w:rPr>
        <w:t xml:space="preserve">Una vez transcurrido el periodo otorgado a las partes para realizar sus manifestaciones y no habiendo documentos que integrar al expediente, el </w:t>
      </w:r>
      <w:r w:rsidRPr="009B7723">
        <w:rPr>
          <w:rFonts w:ascii="Palatino Linotype" w:eastAsia="Palatino Linotype" w:hAnsi="Palatino Linotype" w:cs="Palatino Linotype"/>
          <w:b/>
          <w:sz w:val="22"/>
          <w:szCs w:val="22"/>
        </w:rPr>
        <w:t>cuatro de marzo de dos mil veinticinco,</w:t>
      </w:r>
      <w:r w:rsidRPr="009B7723">
        <w:rPr>
          <w:rFonts w:ascii="Palatino Linotype" w:eastAsia="Palatino Linotype" w:hAnsi="Palatino Linotype" w:cs="Palatino Linotype"/>
          <w:sz w:val="22"/>
          <w:szCs w:val="22"/>
        </w:rPr>
        <w:t xml:space="preserve"> la Comisionada Ponente determinó el cierre de instrucción en términos </w:t>
      </w:r>
      <w:r w:rsidRPr="009B7723">
        <w:rPr>
          <w:rFonts w:ascii="Palatino Linotype" w:eastAsia="Palatino Linotype" w:hAnsi="Palatino Linotype" w:cs="Palatino Linotype"/>
          <w:sz w:val="22"/>
          <w:szCs w:val="22"/>
        </w:rPr>
        <w:lastRenderedPageBreak/>
        <w:t>de la fracción VI del artículo 185 de la Ley de Transparencia y Acceso a la Información Pública del Estado de México y Municipios.</w:t>
      </w:r>
    </w:p>
    <w:p w14:paraId="6B8E415F"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En razón de que fue debidamente sustanciado el expediente electrónico y no existe diligencia pendiente de desahogo, se emite la Resolución que conforme a Derecho proceda, de acuerdo con los siguientes: </w:t>
      </w:r>
    </w:p>
    <w:p w14:paraId="4B6EBF1D" w14:textId="77777777" w:rsidR="00B05CDB" w:rsidRPr="009B7723" w:rsidRDefault="00C371BC">
      <w:pPr>
        <w:widowControl w:val="0"/>
        <w:spacing w:before="240" w:after="240" w:line="360" w:lineRule="auto"/>
        <w:jc w:val="center"/>
        <w:rPr>
          <w:rFonts w:ascii="Palatino Linotype" w:eastAsia="Palatino Linotype" w:hAnsi="Palatino Linotype" w:cs="Palatino Linotype"/>
          <w:b/>
        </w:rPr>
      </w:pPr>
      <w:r w:rsidRPr="009B7723">
        <w:rPr>
          <w:rFonts w:ascii="Palatino Linotype" w:eastAsia="Palatino Linotype" w:hAnsi="Palatino Linotype" w:cs="Palatino Linotype"/>
          <w:b/>
        </w:rPr>
        <w:t>II. C O N S I D E R A N D O S</w:t>
      </w:r>
    </w:p>
    <w:p w14:paraId="72A6A10F"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Primero. Competencia.</w:t>
      </w:r>
      <w:r w:rsidRPr="009B7723">
        <w:rPr>
          <w:rFonts w:ascii="Palatino Linotype" w:eastAsia="Palatino Linotype" w:hAnsi="Palatino Linotype" w:cs="Palatino Linotype"/>
          <w:sz w:val="22"/>
          <w:szCs w:val="22"/>
        </w:rPr>
        <w:t xml:space="preserve"> 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tercero, trigésimo cuarto y trigésimo quinto fracciones IV y V de la Constitución Política del Estado Libre y Soberano de México; 2, fracción II; 29, 36 fracciones I y II; 176, 178, 181, 185, fracción I, 186 y 188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D7DC15E"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bookmarkStart w:id="5" w:name="_heading=h.tyjcwt" w:colFirst="0" w:colLast="0"/>
      <w:bookmarkEnd w:id="5"/>
      <w:r w:rsidRPr="009B7723">
        <w:rPr>
          <w:rFonts w:ascii="Palatino Linotype" w:eastAsia="Palatino Linotype" w:hAnsi="Palatino Linotype" w:cs="Palatino Linotype"/>
          <w:b/>
          <w:sz w:val="22"/>
          <w:szCs w:val="22"/>
        </w:rPr>
        <w:t>Segundo. Oportunidad y Procedibilidad del Recurso de Revisión</w:t>
      </w:r>
      <w:r w:rsidRPr="009B7723">
        <w:rPr>
          <w:rFonts w:ascii="Palatino Linotype" w:eastAsia="Palatino Linotype" w:hAnsi="Palatino Linotype" w:cs="Palatino Linotype"/>
          <w:sz w:val="22"/>
          <w:szCs w:val="22"/>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C703C57"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El recurso de revisión fue interpuesto dentro del plazo de quince días hábiles, previsto en el artículo 178 de la Ley de Transparencia y Acceso a la Información Pública del Estado de México y Municipios, toda vez que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 xml:space="preserve">remitió la respuesta a la solicitud de </w:t>
      </w:r>
      <w:r w:rsidRPr="009B7723">
        <w:rPr>
          <w:rFonts w:ascii="Palatino Linotype" w:eastAsia="Palatino Linotype" w:hAnsi="Palatino Linotype" w:cs="Palatino Linotype"/>
          <w:sz w:val="22"/>
          <w:szCs w:val="22"/>
        </w:rPr>
        <w:lastRenderedPageBreak/>
        <w:t xml:space="preserve">información el </w:t>
      </w:r>
      <w:r w:rsidRPr="009B7723">
        <w:rPr>
          <w:rFonts w:ascii="Palatino Linotype" w:eastAsia="Palatino Linotype" w:hAnsi="Palatino Linotype" w:cs="Palatino Linotype"/>
          <w:b/>
          <w:sz w:val="22"/>
          <w:szCs w:val="22"/>
        </w:rPr>
        <w:t xml:space="preserve">cinco de febrero del dos mil veinticinco, </w:t>
      </w:r>
      <w:r w:rsidRPr="009B7723">
        <w:rPr>
          <w:rFonts w:ascii="Palatino Linotype" w:eastAsia="Palatino Linotype" w:hAnsi="Palatino Linotype" w:cs="Palatino Linotype"/>
          <w:sz w:val="22"/>
          <w:szCs w:val="22"/>
        </w:rPr>
        <w:t xml:space="preserve">mientras que el recurso de revisión interpuesto por </w:t>
      </w:r>
      <w:r w:rsidRPr="009B7723">
        <w:rPr>
          <w:rFonts w:ascii="Palatino Linotype" w:eastAsia="Palatino Linotype" w:hAnsi="Palatino Linotype" w:cs="Palatino Linotype"/>
          <w:b/>
          <w:sz w:val="22"/>
          <w:szCs w:val="22"/>
        </w:rPr>
        <w:t>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se tuvo por presentado el día </w:t>
      </w:r>
      <w:r w:rsidRPr="009B7723">
        <w:rPr>
          <w:rFonts w:ascii="Palatino Linotype" w:eastAsia="Palatino Linotype" w:hAnsi="Palatino Linotype" w:cs="Palatino Linotype"/>
          <w:b/>
          <w:sz w:val="22"/>
          <w:szCs w:val="22"/>
        </w:rPr>
        <w:t xml:space="preserve">cinco de febrero del dos mil veinticinco, </w:t>
      </w:r>
      <w:r w:rsidRPr="009B7723">
        <w:rPr>
          <w:rFonts w:ascii="Palatino Linotype" w:eastAsia="Palatino Linotype" w:hAnsi="Palatino Linotype" w:cs="Palatino Linotype"/>
          <w:sz w:val="22"/>
          <w:szCs w:val="22"/>
        </w:rPr>
        <w:t xml:space="preserve">esto es, el </w:t>
      </w:r>
      <w:r w:rsidRPr="009B7723">
        <w:rPr>
          <w:rFonts w:ascii="Palatino Linotype" w:eastAsia="Palatino Linotype" w:hAnsi="Palatino Linotype" w:cs="Palatino Linotype"/>
          <w:b/>
          <w:sz w:val="22"/>
          <w:szCs w:val="22"/>
        </w:rPr>
        <w:t>mismo día hábil en</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el que tuvo conocimiento de la respuesta impugnada.</w:t>
      </w:r>
      <w:r w:rsidRPr="009B7723">
        <w:rPr>
          <w:rFonts w:ascii="Palatino Linotype" w:eastAsia="Palatino Linotype" w:hAnsi="Palatino Linotype" w:cs="Palatino Linotype"/>
          <w:sz w:val="22"/>
          <w:szCs w:val="22"/>
        </w:rPr>
        <w:t xml:space="preserve"> </w:t>
      </w:r>
    </w:p>
    <w:p w14:paraId="58C7C5EC" w14:textId="77777777" w:rsidR="00B05CDB" w:rsidRPr="009B7723" w:rsidRDefault="00C371BC">
      <w:pPr>
        <w:pBdr>
          <w:top w:val="nil"/>
          <w:left w:val="nil"/>
          <w:bottom w:val="nil"/>
          <w:right w:val="nil"/>
          <w:between w:val="nil"/>
        </w:pBdr>
        <w:spacing w:before="240" w:after="240" w:line="360" w:lineRule="auto"/>
        <w:jc w:val="both"/>
        <w:rPr>
          <w:sz w:val="22"/>
          <w:szCs w:val="22"/>
        </w:rPr>
      </w:pPr>
      <w:r w:rsidRPr="009B7723">
        <w:rPr>
          <w:rFonts w:ascii="Palatino Linotype" w:eastAsia="Palatino Linotype" w:hAnsi="Palatino Linotype" w:cs="Palatino Linotype"/>
          <w:sz w:val="22"/>
          <w:szCs w:val="22"/>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0300D34B" w14:textId="77777777" w:rsidR="00B05CDB" w:rsidRPr="009B7723" w:rsidRDefault="00C371BC">
      <w:pPr>
        <w:pBdr>
          <w:top w:val="nil"/>
          <w:left w:val="nil"/>
          <w:bottom w:val="nil"/>
          <w:right w:val="nil"/>
          <w:between w:val="nil"/>
        </w:pBdr>
        <w:spacing w:before="120" w:after="120" w:line="276" w:lineRule="auto"/>
        <w:ind w:left="860" w:right="900"/>
        <w:jc w:val="both"/>
      </w:pPr>
      <w:r w:rsidRPr="009B7723">
        <w:rPr>
          <w:rFonts w:ascii="Palatino Linotype" w:eastAsia="Palatino Linotype" w:hAnsi="Palatino Linotype" w:cs="Palatino Linotype"/>
          <w:b/>
          <w:i/>
          <w:sz w:val="22"/>
          <w:szCs w:val="22"/>
        </w:rPr>
        <w:t>“RECURSO DE RECLAMACIÓN. SU INTERPOSICIÓN NO ES EXTEMPORÁNEA SI SE REALIZA ANTES DE QUE INICIE EL PLAZO PARA HACERLO</w:t>
      </w:r>
      <w:r w:rsidRPr="009B7723">
        <w:rPr>
          <w:rFonts w:ascii="Palatino Linotype" w:eastAsia="Palatino Linotype" w:hAnsi="Palatino Linotype" w:cs="Palatino Linotype"/>
          <w:i/>
          <w:sz w:val="22"/>
          <w:szCs w:val="22"/>
        </w:rPr>
        <w:t>.</w:t>
      </w:r>
    </w:p>
    <w:p w14:paraId="51B68E94" w14:textId="77777777" w:rsidR="00B05CDB" w:rsidRPr="009B7723" w:rsidRDefault="00C371BC">
      <w:pPr>
        <w:pBdr>
          <w:top w:val="nil"/>
          <w:left w:val="nil"/>
          <w:bottom w:val="nil"/>
          <w:right w:val="nil"/>
          <w:between w:val="nil"/>
        </w:pBdr>
        <w:spacing w:before="120" w:after="120" w:line="276" w:lineRule="auto"/>
        <w:ind w:left="860" w:right="900"/>
        <w:jc w:val="both"/>
      </w:pPr>
      <w:r w:rsidRPr="009B7723">
        <w:rPr>
          <w:rFonts w:ascii="Palatino Linotype" w:eastAsia="Palatino Linotype" w:hAnsi="Palatino Linotype" w:cs="Palatino Linotype"/>
          <w:i/>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9B7723">
        <w:rPr>
          <w:rFonts w:ascii="Palatino Linotype" w:eastAsia="Palatino Linotype" w:hAnsi="Palatino Linotype" w:cs="Palatino Linotype"/>
          <w:i/>
          <w:sz w:val="22"/>
          <w:szCs w:val="22"/>
        </w:rPr>
        <w:t>que</w:t>
      </w:r>
      <w:proofErr w:type="gramEnd"/>
      <w:r w:rsidRPr="009B7723">
        <w:rPr>
          <w:rFonts w:ascii="Palatino Linotype" w:eastAsia="Palatino Linotype" w:hAnsi="Palatino Linotype" w:cs="Palatino Linotype"/>
          <w:i/>
          <w:sz w:val="22"/>
          <w:szCs w:val="22"/>
        </w:rPr>
        <w:t xml:space="preserve"> si dicho recurso se interpone antes de que inicie el plazo para hacerlo, su presentación no es extemporánea.”</w:t>
      </w:r>
    </w:p>
    <w:p w14:paraId="6388B5A8"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En este sentido, se concluye que el presente recurso de revisión se encuentra dentro de los márgenes temporales previstos en las disposiciones legales referidas.</w:t>
      </w:r>
    </w:p>
    <w:p w14:paraId="0EADE279" w14:textId="77777777" w:rsidR="00B05CDB" w:rsidRPr="009B7723" w:rsidRDefault="00C371BC">
      <w:pPr>
        <w:tabs>
          <w:tab w:val="left" w:pos="7938"/>
        </w:tabs>
        <w:spacing w:before="240" w:after="240" w:line="360" w:lineRule="auto"/>
        <w:jc w:val="both"/>
        <w:rPr>
          <w:rFonts w:ascii="Palatino Linotype" w:eastAsia="Palatino Linotype" w:hAnsi="Palatino Linotype" w:cs="Palatino Linotype"/>
          <w:sz w:val="22"/>
          <w:szCs w:val="22"/>
        </w:rPr>
      </w:pPr>
      <w:bookmarkStart w:id="6" w:name="_heading=h.3znysh7" w:colFirst="0" w:colLast="0"/>
      <w:bookmarkEnd w:id="6"/>
      <w:r w:rsidRPr="009B7723">
        <w:rPr>
          <w:rFonts w:ascii="Palatino Linotype" w:eastAsia="Palatino Linotype" w:hAnsi="Palatino Linotype" w:cs="Palatino Linotype"/>
          <w:sz w:val="22"/>
          <w:szCs w:val="22"/>
        </w:rPr>
        <w:lastRenderedPageBreak/>
        <w:t>Al mismo tiempo, por cuanto hace a la procedibilidad del recurso de revisión, una vez realizado el análisis del formato de interposición del recurso, se concluye la acreditación plena de los elementos formales precisados por el artículo 180 de la Ley de Transparencia y Acceso a la Información Pública del Estado de México y Municipios, en atención a que fue presentado mediante el formato visible en el SAIMEX.</w:t>
      </w:r>
    </w:p>
    <w:p w14:paraId="3FD5F9C6"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Finalmente, se advierte que resulta procedente la interposición del recurso, según lo manifestado por </w:t>
      </w:r>
      <w:r w:rsidRPr="009B7723">
        <w:rPr>
          <w:rFonts w:ascii="Palatino Linotype" w:eastAsia="Palatino Linotype" w:hAnsi="Palatino Linotype" w:cs="Palatino Linotype"/>
          <w:b/>
          <w:sz w:val="22"/>
          <w:szCs w:val="22"/>
        </w:rPr>
        <w:t>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en sus motivos de inconformidad, de acuerdo al artículo 179, fracción </w:t>
      </w:r>
      <w:proofErr w:type="gramStart"/>
      <w:r w:rsidRPr="009B7723">
        <w:rPr>
          <w:rFonts w:ascii="Palatino Linotype" w:eastAsia="Palatino Linotype" w:hAnsi="Palatino Linotype" w:cs="Palatino Linotype"/>
          <w:sz w:val="22"/>
          <w:szCs w:val="22"/>
        </w:rPr>
        <w:t>VI  del</w:t>
      </w:r>
      <w:proofErr w:type="gramEnd"/>
      <w:r w:rsidRPr="009B7723">
        <w:rPr>
          <w:rFonts w:ascii="Palatino Linotype" w:eastAsia="Palatino Linotype" w:hAnsi="Palatino Linotype" w:cs="Palatino Linotype"/>
          <w:sz w:val="22"/>
          <w:szCs w:val="22"/>
        </w:rPr>
        <w:t xml:space="preserve"> ordenamiento legal citado, que a la letra dice: </w:t>
      </w:r>
    </w:p>
    <w:p w14:paraId="0EDBF527" w14:textId="77777777" w:rsidR="00B05CDB" w:rsidRPr="009B7723" w:rsidRDefault="00C371BC">
      <w:pPr>
        <w:spacing w:before="120" w:after="120"/>
        <w:ind w:left="567" w:right="902"/>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w:t>
      </w:r>
      <w:r w:rsidRPr="009B7723">
        <w:rPr>
          <w:rFonts w:ascii="Palatino Linotype" w:eastAsia="Palatino Linotype" w:hAnsi="Palatino Linotype" w:cs="Palatino Linotype"/>
          <w:b/>
          <w:i/>
          <w:sz w:val="22"/>
          <w:szCs w:val="22"/>
        </w:rPr>
        <w:t>Artículo 179.</w:t>
      </w:r>
      <w:r w:rsidRPr="009B7723">
        <w:rPr>
          <w:rFonts w:ascii="Palatino Linotype" w:eastAsia="Palatino Linotype" w:hAnsi="Palatino Linotype" w:cs="Palatino Linotype"/>
          <w:i/>
          <w:sz w:val="22"/>
          <w:szCs w:val="22"/>
        </w:rPr>
        <w:t xml:space="preserve"> El recurso de revisión es un medio de protección que la Ley otorga a los particulares, para hacer valer su derecho de acceso a la información pública, y procederá en contra de las siguientes causas:</w:t>
      </w:r>
    </w:p>
    <w:p w14:paraId="275892F1" w14:textId="77777777" w:rsidR="00B05CDB" w:rsidRPr="009B7723" w:rsidRDefault="00C371BC">
      <w:pPr>
        <w:spacing w:before="120" w:after="120"/>
        <w:ind w:left="567" w:right="902"/>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w:t>
      </w:r>
    </w:p>
    <w:p w14:paraId="0C09DCC1" w14:textId="77777777" w:rsidR="00B05CDB" w:rsidRPr="009B7723" w:rsidRDefault="00C371BC">
      <w:pPr>
        <w:spacing w:before="120" w:after="120"/>
        <w:ind w:left="567" w:right="902"/>
        <w:jc w:val="both"/>
        <w:rPr>
          <w:rFonts w:ascii="Palatino Linotype" w:eastAsia="Palatino Linotype" w:hAnsi="Palatino Linotype" w:cs="Palatino Linotype"/>
          <w:b/>
          <w:i/>
          <w:sz w:val="22"/>
          <w:szCs w:val="22"/>
          <w:u w:val="single"/>
        </w:rPr>
      </w:pPr>
      <w:r w:rsidRPr="009B7723">
        <w:rPr>
          <w:rFonts w:ascii="Palatino Linotype" w:eastAsia="Palatino Linotype" w:hAnsi="Palatino Linotype" w:cs="Palatino Linotype"/>
          <w:b/>
          <w:i/>
          <w:sz w:val="22"/>
          <w:szCs w:val="22"/>
          <w:u w:val="single"/>
        </w:rPr>
        <w:t>VI. La entrega de información que no corresponda con lo solicitado;</w:t>
      </w:r>
      <w:r w:rsidRPr="009B7723">
        <w:rPr>
          <w:rFonts w:ascii="Palatino Linotype" w:eastAsia="Palatino Linotype" w:hAnsi="Palatino Linotype" w:cs="Palatino Linotype"/>
          <w:b/>
          <w:i/>
          <w:sz w:val="22"/>
          <w:szCs w:val="22"/>
        </w:rPr>
        <w:t xml:space="preserve">” </w:t>
      </w:r>
      <w:r w:rsidRPr="009B7723">
        <w:rPr>
          <w:rFonts w:ascii="Palatino Linotype" w:eastAsia="Palatino Linotype" w:hAnsi="Palatino Linotype" w:cs="Palatino Linotype"/>
          <w:i/>
          <w:sz w:val="22"/>
          <w:szCs w:val="22"/>
        </w:rPr>
        <w:t>(Énfasis añadido)</w:t>
      </w:r>
    </w:p>
    <w:p w14:paraId="71668A3D"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 xml:space="preserve">Tercero. Análisis de las causas de sobreseimiento del recurso de revisión. </w:t>
      </w:r>
      <w:r w:rsidRPr="009B7723">
        <w:rPr>
          <w:rFonts w:ascii="Palatino Linotype" w:eastAsia="Palatino Linotype" w:hAnsi="Palatino Linotype" w:cs="Palatino Linotype"/>
          <w:sz w:val="22"/>
          <w:szCs w:val="22"/>
        </w:rPr>
        <w:t>En primera instancia, debe apuntarse que del análisis al recurso de revisión que ahora se resuelve, se tiene que se actualiza la causal de sobreseimiento del recurso de revisión establecido en la fracción III del artículo 192</w:t>
      </w:r>
      <w:r w:rsidRPr="009B7723">
        <w:rPr>
          <w:rFonts w:ascii="Palatino Linotype" w:eastAsia="Palatino Linotype" w:hAnsi="Palatino Linotype" w:cs="Palatino Linotype"/>
          <w:sz w:val="22"/>
          <w:szCs w:val="22"/>
          <w:vertAlign w:val="superscript"/>
        </w:rPr>
        <w:footnoteReference w:id="1"/>
      </w:r>
      <w:r w:rsidRPr="009B7723">
        <w:rPr>
          <w:rFonts w:ascii="Palatino Linotype" w:eastAsia="Palatino Linotype" w:hAnsi="Palatino Linotype" w:cs="Palatino Linotype"/>
          <w:sz w:val="22"/>
          <w:szCs w:val="22"/>
        </w:rPr>
        <w:t xml:space="preserve"> en relación con el diverso 186 fracción I</w:t>
      </w:r>
      <w:r w:rsidRPr="009B7723">
        <w:rPr>
          <w:rFonts w:ascii="Palatino Linotype" w:eastAsia="Palatino Linotype" w:hAnsi="Palatino Linotype" w:cs="Palatino Linotype"/>
          <w:sz w:val="22"/>
          <w:szCs w:val="22"/>
          <w:vertAlign w:val="superscript"/>
        </w:rPr>
        <w:footnoteReference w:id="2"/>
      </w:r>
      <w:r w:rsidRPr="009B7723">
        <w:rPr>
          <w:rFonts w:ascii="Palatino Linotype" w:eastAsia="Palatino Linotype" w:hAnsi="Palatino Linotype" w:cs="Palatino Linotype"/>
          <w:sz w:val="22"/>
          <w:szCs w:val="22"/>
        </w:rPr>
        <w:t xml:space="preserve">, ambos de la Ley de Transparencia y Acceso a la Información Pública del Estado de México y Municipios, derivado del contenido del informe justificado rendido por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w:t>
      </w:r>
    </w:p>
    <w:p w14:paraId="05D233DC" w14:textId="77777777" w:rsidR="00B05CDB" w:rsidRPr="009B7723" w:rsidRDefault="00C371BC">
      <w:pPr>
        <w:pBdr>
          <w:top w:val="nil"/>
          <w:left w:val="nil"/>
          <w:bottom w:val="nil"/>
          <w:right w:val="nil"/>
          <w:between w:val="nil"/>
        </w:pBd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 xml:space="preserve">Ahora bien, para profundizar en el estudio del presente asunto, es conveniente recordar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de un análisis a la solicitud de información, se advierte que la parte solicitante requirió al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le proporcionara lo siguiente:</w:t>
      </w:r>
    </w:p>
    <w:p w14:paraId="6C1C2F66" w14:textId="77777777" w:rsidR="00B05CDB" w:rsidRPr="009B7723" w:rsidRDefault="00C371BC">
      <w:pPr>
        <w:pBdr>
          <w:top w:val="nil"/>
          <w:left w:val="nil"/>
          <w:bottom w:val="nil"/>
          <w:right w:val="nil"/>
          <w:between w:val="nil"/>
        </w:pBdr>
        <w:spacing w:before="240" w:after="240" w:line="360" w:lineRule="auto"/>
        <w:ind w:left="567" w:right="1134"/>
        <w:jc w:val="both"/>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 xml:space="preserve">Derivado del anuncio en redes sociales por parte de la </w:t>
      </w:r>
      <w:proofErr w:type="gramStart"/>
      <w:r w:rsidRPr="009B7723">
        <w:rPr>
          <w:rFonts w:ascii="Palatino Linotype" w:eastAsia="Palatino Linotype" w:hAnsi="Palatino Linotype" w:cs="Palatino Linotype"/>
          <w:b/>
          <w:sz w:val="22"/>
          <w:szCs w:val="22"/>
        </w:rPr>
        <w:t>Presidenta</w:t>
      </w:r>
      <w:proofErr w:type="gramEnd"/>
      <w:r w:rsidRPr="009B7723">
        <w:rPr>
          <w:rFonts w:ascii="Palatino Linotype" w:eastAsia="Palatino Linotype" w:hAnsi="Palatino Linotype" w:cs="Palatino Linotype"/>
          <w:b/>
          <w:sz w:val="22"/>
          <w:szCs w:val="22"/>
        </w:rPr>
        <w:t xml:space="preserve"> Municipal, el día 12 de enero de 2025:</w:t>
      </w:r>
    </w:p>
    <w:p w14:paraId="105349E7" w14:textId="77777777" w:rsidR="00B05CDB" w:rsidRPr="009B7723" w:rsidRDefault="00C371BC">
      <w:pPr>
        <w:numPr>
          <w:ilvl w:val="0"/>
          <w:numId w:val="2"/>
        </w:numPr>
        <w:pBdr>
          <w:top w:val="nil"/>
          <w:left w:val="nil"/>
          <w:bottom w:val="nil"/>
          <w:right w:val="nil"/>
          <w:between w:val="nil"/>
        </w:pBdr>
        <w:spacing w:before="240" w:after="240" w:line="360" w:lineRule="auto"/>
        <w:ind w:left="567" w:right="1134" w:hanging="141"/>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Cuáles son las 100 calles que serán repavimentadas por parte del Gobierno del Ayuntamiento de Ecatepec.</w:t>
      </w:r>
    </w:p>
    <w:p w14:paraId="6646E17B"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En respuesta,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manifestó que </w:t>
      </w:r>
      <w:r w:rsidRPr="009B7723">
        <w:rPr>
          <w:rFonts w:ascii="Palatino Linotype" w:eastAsia="Palatino Linotype" w:hAnsi="Palatino Linotype" w:cs="Palatino Linotype"/>
          <w:b/>
          <w:sz w:val="22"/>
          <w:szCs w:val="22"/>
        </w:rPr>
        <w:t>el H. Ayuntamiento de Ecatepec de Morelos implementó el programa "Cimientos de esperanza" el cual consiste en trabajar mano a mano con los vecinos, donde ellos ponen la mano de obra y el ayuntamiento otorga los materiales.</w:t>
      </w:r>
      <w:r w:rsidRPr="009B7723">
        <w:rPr>
          <w:rFonts w:ascii="Palatino Linotype" w:eastAsia="Palatino Linotype" w:hAnsi="Palatino Linotype" w:cs="Palatino Linotype"/>
          <w:sz w:val="22"/>
          <w:szCs w:val="22"/>
        </w:rPr>
        <w:t xml:space="preserve"> Este programa está avanzando con la evaluación de calles que cuenten con servicios de agua y drenaje, esto con el propósito de dar atención y solución a las peticiones de la ciudadanía por medio de las audiencias ciudadanas. </w:t>
      </w:r>
    </w:p>
    <w:p w14:paraId="48451F39"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En esta tesitura, una vez conocida la respuesta emitida por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al no estar conforme con los términos de la misma, interpuso el recurso de revisión que nos ocupa, inconformándose medularmente porque la información entregada en respuesta no guarda relación con lo solicitado.</w:t>
      </w:r>
    </w:p>
    <w:p w14:paraId="1ECBAAFF" w14:textId="77777777" w:rsidR="00B05CDB" w:rsidRPr="009B7723" w:rsidRDefault="00C371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Así las cosas, durante la etapa de manifestaciones e informe justificado, se tiene que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 xml:space="preserve">por conducto del </w:t>
      </w:r>
      <w:proofErr w:type="gramStart"/>
      <w:r w:rsidRPr="009B7723">
        <w:rPr>
          <w:rFonts w:ascii="Palatino Linotype" w:eastAsia="Palatino Linotype" w:hAnsi="Palatino Linotype" w:cs="Palatino Linotype"/>
          <w:sz w:val="22"/>
          <w:szCs w:val="22"/>
        </w:rPr>
        <w:t>Director</w:t>
      </w:r>
      <w:proofErr w:type="gramEnd"/>
      <w:r w:rsidRPr="009B7723">
        <w:rPr>
          <w:rFonts w:ascii="Palatino Linotype" w:eastAsia="Palatino Linotype" w:hAnsi="Palatino Linotype" w:cs="Palatino Linotype"/>
          <w:sz w:val="22"/>
          <w:szCs w:val="22"/>
        </w:rPr>
        <w:t xml:space="preserve"> de Obras Públicas, manifiesta que debido a un error ortográfico en la solicitud original, se mencionó erróneamente la palabra “repavimentar” en lugar de “pavimentar”, lo cual generó una confusión en el proceso de análisis de la información.</w:t>
      </w:r>
    </w:p>
    <w:p w14:paraId="066BB196" w14:textId="77777777" w:rsidR="00B05CDB" w:rsidRPr="009B7723" w:rsidRDefault="00B05CDB">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b/>
          <w:sz w:val="22"/>
          <w:szCs w:val="22"/>
        </w:rPr>
      </w:pPr>
    </w:p>
    <w:p w14:paraId="6C887CC4" w14:textId="77777777" w:rsidR="00B05CDB" w:rsidRPr="009B7723" w:rsidRDefault="00C371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 xml:space="preserve">No obstante, adjunta el listado de calles que actualmente se están trabajando en el marco del programa “Cimientos de Esperanza”, en el que se promueve la participación activa de los ciudadanos en labores de mano de obra, mientras que el Gobierno Municipal se encarga de proveer los materiales necesarios para la ejecución de los trabajos, mientras que </w:t>
      </w:r>
      <w:r w:rsidRPr="009B7723">
        <w:rPr>
          <w:rFonts w:ascii="Palatino Linotype" w:eastAsia="Palatino Linotype" w:hAnsi="Palatino Linotype" w:cs="Palatino Linotype"/>
          <w:b/>
          <w:sz w:val="22"/>
          <w:szCs w:val="22"/>
        </w:rPr>
        <w:t xml:space="preserve">la parte Recurrente </w:t>
      </w:r>
      <w:r w:rsidRPr="009B7723">
        <w:rPr>
          <w:rFonts w:ascii="Palatino Linotype" w:eastAsia="Palatino Linotype" w:hAnsi="Palatino Linotype" w:cs="Palatino Linotype"/>
          <w:sz w:val="22"/>
          <w:szCs w:val="22"/>
        </w:rPr>
        <w:t>fue omisa en pronunciarse en esta etapa.</w:t>
      </w:r>
    </w:p>
    <w:p w14:paraId="4B274AA9"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Establecidas estas consideraciones resulta importante iniciar el presente estudio, estableciendo que el requerimiento de información de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xml:space="preserve"> deviene de una publicación realizada en la red social Facebook el 12 de enero de 2025 en el portal del Gobierno de Ecatepec de Morelos, misma que se inserta a continuación:</w:t>
      </w:r>
    </w:p>
    <w:p w14:paraId="3D681F1E" w14:textId="77777777" w:rsidR="00B05CDB" w:rsidRPr="009B7723" w:rsidRDefault="00C371BC">
      <w:pPr>
        <w:spacing w:before="240" w:after="240" w:line="360" w:lineRule="auto"/>
        <w:ind w:right="49"/>
        <w:jc w:val="center"/>
        <w:rPr>
          <w:rFonts w:ascii="Palatino Linotype" w:eastAsia="Palatino Linotype" w:hAnsi="Palatino Linotype" w:cs="Palatino Linotype"/>
          <w:sz w:val="22"/>
          <w:szCs w:val="22"/>
        </w:rPr>
      </w:pPr>
      <w:r w:rsidRPr="009B7723">
        <w:rPr>
          <w:rFonts w:ascii="Palatino Linotype" w:eastAsia="Palatino Linotype" w:hAnsi="Palatino Linotype" w:cs="Palatino Linotype"/>
          <w:noProof/>
          <w:sz w:val="22"/>
          <w:szCs w:val="22"/>
        </w:rPr>
        <w:lastRenderedPageBreak/>
        <w:drawing>
          <wp:inline distT="0" distB="0" distL="0" distR="0" wp14:anchorId="1B72E35B" wp14:editId="2188E357">
            <wp:extent cx="4009383" cy="4835390"/>
            <wp:effectExtent l="0" t="0" r="0" b="0"/>
            <wp:docPr id="1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009383" cy="4835390"/>
                    </a:xfrm>
                    <a:prstGeom prst="rect">
                      <a:avLst/>
                    </a:prstGeom>
                    <a:ln/>
                  </pic:spPr>
                </pic:pic>
              </a:graphicData>
            </a:graphic>
          </wp:inline>
        </w:drawing>
      </w:r>
    </w:p>
    <w:p w14:paraId="5E7EA70D" w14:textId="77777777" w:rsidR="00B05CDB" w:rsidRPr="009B7723" w:rsidRDefault="00C371BC">
      <w:pPr>
        <w:spacing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De tal suerte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con lo vertido anteriormente, podemos concluir que es de interés del particular, el conocer las calles que se contemplan en el programa “Cimientos de Esperanza”, el cual contempla en su primera etapa, la pavimentación de cien calles, por lo que con este indicio, estaríamos ante un hecho notorio, el cual se sustenta conforme a las siguientes tesis jurisprudenciales:</w:t>
      </w:r>
    </w:p>
    <w:p w14:paraId="3BDB7FCE" w14:textId="77777777" w:rsidR="00B05CDB" w:rsidRPr="009B7723" w:rsidRDefault="00C371BC">
      <w:pPr>
        <w:ind w:left="567" w:right="616"/>
        <w:jc w:val="center"/>
        <w:rPr>
          <w:rFonts w:ascii="Palatino Linotype" w:eastAsia="Palatino Linotype" w:hAnsi="Palatino Linotype" w:cs="Palatino Linotype"/>
          <w:b/>
          <w:i/>
          <w:sz w:val="22"/>
          <w:szCs w:val="22"/>
        </w:rPr>
      </w:pPr>
      <w:r w:rsidRPr="009B7723">
        <w:rPr>
          <w:rFonts w:ascii="Palatino Linotype" w:eastAsia="Palatino Linotype" w:hAnsi="Palatino Linotype" w:cs="Palatino Linotype"/>
          <w:b/>
          <w:i/>
          <w:sz w:val="22"/>
          <w:szCs w:val="22"/>
        </w:rPr>
        <w:t xml:space="preserve"> “HECHOS NOTORIOS. CONCEPTOS GENERAL Y JURÍDICO</w:t>
      </w:r>
    </w:p>
    <w:p w14:paraId="6EC2D2C2" w14:textId="77777777" w:rsidR="00B05CDB" w:rsidRPr="009B7723" w:rsidRDefault="00C371BC">
      <w:pPr>
        <w:ind w:left="567" w:right="616"/>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b/>
          <w:i/>
          <w:sz w:val="22"/>
          <w:szCs w:val="22"/>
        </w:rPr>
        <w:t xml:space="preserve">Conforme al artículo </w:t>
      </w:r>
      <w:hyperlink r:id="rId9">
        <w:r w:rsidRPr="009B7723">
          <w:rPr>
            <w:rFonts w:ascii="Palatino Linotype" w:eastAsia="Palatino Linotype" w:hAnsi="Palatino Linotype" w:cs="Palatino Linotype"/>
            <w:b/>
            <w:i/>
            <w:sz w:val="22"/>
            <w:szCs w:val="22"/>
          </w:rPr>
          <w:t>88 del Código Federal de Procedimientos Civiles</w:t>
        </w:r>
      </w:hyperlink>
      <w:r w:rsidRPr="009B7723">
        <w:rPr>
          <w:rFonts w:ascii="Palatino Linotype" w:eastAsia="Palatino Linotype" w:hAnsi="Palatino Linotype" w:cs="Palatino Linotype"/>
          <w:b/>
          <w:i/>
          <w:sz w:val="22"/>
          <w:szCs w:val="22"/>
        </w:rPr>
        <w:t xml:space="preserve"> los tribunales pueden invocar hechos </w:t>
      </w:r>
      <w:proofErr w:type="gramStart"/>
      <w:r w:rsidRPr="009B7723">
        <w:rPr>
          <w:rFonts w:ascii="Palatino Linotype" w:eastAsia="Palatino Linotype" w:hAnsi="Palatino Linotype" w:cs="Palatino Linotype"/>
          <w:b/>
          <w:i/>
          <w:sz w:val="22"/>
          <w:szCs w:val="22"/>
        </w:rPr>
        <w:t>notorios</w:t>
      </w:r>
      <w:proofErr w:type="gramEnd"/>
      <w:r w:rsidRPr="009B7723">
        <w:rPr>
          <w:rFonts w:ascii="Palatino Linotype" w:eastAsia="Palatino Linotype" w:hAnsi="Palatino Linotype" w:cs="Palatino Linotype"/>
          <w:b/>
          <w:i/>
          <w:sz w:val="22"/>
          <w:szCs w:val="22"/>
        </w:rPr>
        <w:t xml:space="preserve"> aunque no hayan sido alegados ni probados por las partes.</w:t>
      </w:r>
      <w:r w:rsidRPr="009B7723">
        <w:rPr>
          <w:rFonts w:ascii="Palatino Linotype" w:eastAsia="Palatino Linotype" w:hAnsi="Palatino Linotype" w:cs="Palatino Linotype"/>
          <w:i/>
          <w:sz w:val="22"/>
          <w:szCs w:val="22"/>
        </w:rPr>
        <w:t xml:space="preserve"> Por hechos notorios deben entenderse, en general, aquellos que </w:t>
      </w:r>
      <w:r w:rsidRPr="009B7723">
        <w:rPr>
          <w:rFonts w:ascii="Palatino Linotype" w:eastAsia="Palatino Linotype" w:hAnsi="Palatino Linotype" w:cs="Palatino Linotype"/>
          <w:i/>
          <w:sz w:val="22"/>
          <w:szCs w:val="22"/>
        </w:rPr>
        <w:lastRenderedPageBreak/>
        <w:t>por el conocimiento humano se consideran ciertos e indiscutibles, ya sea que pertenezcan a la historia, a la ciencia, a la naturaleza</w:t>
      </w:r>
      <w:r w:rsidRPr="009B7723">
        <w:rPr>
          <w:rFonts w:ascii="Palatino Linotype" w:eastAsia="Palatino Linotype" w:hAnsi="Palatino Linotype" w:cs="Palatino Linotype"/>
          <w:b/>
          <w:i/>
          <w:sz w:val="22"/>
          <w:szCs w:val="22"/>
        </w:rPr>
        <w:t>, a las vicisitudes de la vida pública actual o a circunstancias comúnmente conocidas en un determinado lugar</w:t>
      </w:r>
      <w:r w:rsidRPr="009B7723">
        <w:rPr>
          <w:rFonts w:ascii="Palatino Linotype" w:eastAsia="Palatino Linotype" w:hAnsi="Palatino Linotype" w:cs="Palatino Linotype"/>
          <w:i/>
          <w:sz w:val="22"/>
          <w:szCs w:val="22"/>
        </w:rPr>
        <w:t xml:space="preserve">, </w:t>
      </w:r>
      <w:r w:rsidRPr="009B7723">
        <w:rPr>
          <w:rFonts w:ascii="Palatino Linotype" w:eastAsia="Palatino Linotype" w:hAnsi="Palatino Linotype" w:cs="Palatino Linotype"/>
          <w:b/>
          <w:i/>
          <w:sz w:val="22"/>
          <w:szCs w:val="22"/>
        </w:rPr>
        <w:t>de modo que toda persona de ese medio esté en condiciones de saberlo</w:t>
      </w:r>
      <w:r w:rsidRPr="009B7723">
        <w:rPr>
          <w:rFonts w:ascii="Palatino Linotype" w:eastAsia="Palatino Linotype" w:hAnsi="Palatino Linotype" w:cs="Palatino Linotype"/>
          <w:i/>
          <w:sz w:val="22"/>
          <w:szCs w:val="22"/>
        </w:rPr>
        <w:t>; y desde el punto de vista jurídico, hecho notorio es cualquier acontecimiento de dominio público conocido por todos o casi todos los miembros de un círculo social en el momento en que va a pronunciarse la decisión judicial, respecto del cual no hay duda ni discusión; de manera que al ser notorio la ley exime de su prueba, por ser del conocimiento público en el medio social donde ocurrió o donde se tramita el procedimiento.</w:t>
      </w:r>
    </w:p>
    <w:p w14:paraId="431C3CE9" w14:textId="77777777" w:rsidR="00B05CDB" w:rsidRPr="009B7723" w:rsidRDefault="00B05CDB">
      <w:pPr>
        <w:ind w:left="567" w:right="616"/>
        <w:rPr>
          <w:rFonts w:ascii="Palatino Linotype" w:eastAsia="Palatino Linotype" w:hAnsi="Palatino Linotype" w:cs="Palatino Linotype"/>
          <w:i/>
          <w:sz w:val="22"/>
          <w:szCs w:val="22"/>
        </w:rPr>
      </w:pPr>
    </w:p>
    <w:p w14:paraId="2D5987CB" w14:textId="77777777" w:rsidR="00B05CDB" w:rsidRPr="009B7723" w:rsidRDefault="00C371BC">
      <w:pPr>
        <w:ind w:left="567" w:right="616"/>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Controversia constitucional 24/2005. Cámara de Diputados del Congreso de la Unión. 9 de marzo de 2006. Once votos. Ponente: José Ramón Cossío Díaz. Secretarios: Raúl Manuel Mejía Garza y Laura Patricia Rojas Zamudio.</w:t>
      </w:r>
    </w:p>
    <w:p w14:paraId="5EBB45B8" w14:textId="77777777" w:rsidR="00B05CDB" w:rsidRPr="009B7723" w:rsidRDefault="00C371BC">
      <w:pPr>
        <w:ind w:left="567" w:right="616"/>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El Tribunal Pleno, el dieciséis de mayo en curso, aprobó, con el número 74/2006, la tesis jurisprudencial que antecede. México, Distrito Federal, a dieciséis de mayo de dos mil seis.</w:t>
      </w:r>
    </w:p>
    <w:p w14:paraId="516E8EEA" w14:textId="77777777" w:rsidR="00B05CDB" w:rsidRPr="009B7723" w:rsidRDefault="00C371BC">
      <w:pPr>
        <w:ind w:left="567" w:right="616"/>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Nota: Esta tesis fue objeto de la denuncia relativa a la contradicción de tesis 91/2014, desechada por notoriamente improcedente, mediante acuerdo de 24 de marzo de 2014.”</w:t>
      </w:r>
    </w:p>
    <w:p w14:paraId="196D9681" w14:textId="77777777" w:rsidR="00B05CDB" w:rsidRPr="009B7723" w:rsidRDefault="00B05CDB">
      <w:pPr>
        <w:ind w:left="567" w:right="616"/>
        <w:jc w:val="both"/>
        <w:rPr>
          <w:rFonts w:ascii="Palatino Linotype" w:eastAsia="Palatino Linotype" w:hAnsi="Palatino Linotype" w:cs="Palatino Linotype"/>
          <w:i/>
          <w:sz w:val="22"/>
          <w:szCs w:val="22"/>
        </w:rPr>
      </w:pPr>
    </w:p>
    <w:p w14:paraId="1C339122" w14:textId="77777777" w:rsidR="00B05CDB" w:rsidRPr="009B7723" w:rsidRDefault="00C371BC">
      <w:pPr>
        <w:widowControl w:val="0"/>
        <w:pBdr>
          <w:top w:val="nil"/>
          <w:left w:val="nil"/>
          <w:bottom w:val="nil"/>
          <w:right w:val="nil"/>
          <w:between w:val="nil"/>
        </w:pBdr>
        <w:shd w:val="clear" w:color="auto" w:fill="FFFFFF"/>
        <w:spacing w:after="120"/>
        <w:ind w:left="567" w:right="567"/>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b/>
          <w:i/>
          <w:sz w:val="22"/>
          <w:szCs w:val="22"/>
        </w:rPr>
        <w:t>PÁGINAS WEB O ELECTRÓNICAS. SU CONTENIDO ES UN HECHO NOTORIO Y SUSCEPTIBLE DE SER VALORADO EN UNA DECISIÓN JUDICIAL.</w:t>
      </w:r>
      <w:r w:rsidRPr="009B7723">
        <w:rPr>
          <w:sz w:val="22"/>
          <w:szCs w:val="22"/>
        </w:rPr>
        <w:t xml:space="preserve"> </w:t>
      </w:r>
      <w:r w:rsidRPr="009B7723">
        <w:rPr>
          <w:rFonts w:ascii="Palatino Linotype" w:eastAsia="Palatino Linotype" w:hAnsi="Palatino Linotype" w:cs="Palatino Linotype"/>
          <w:i/>
          <w:sz w:val="22"/>
          <w:szCs w:val="22"/>
        </w:rPr>
        <w:t xml:space="preserve">Los datos publicados en documentos o páginas situados en redes informáticas constituyen un hecho notorio por formar parte del conocimiento público a través de tales medios al momento en que se dicta una resolución judicial, de conformidad con el artículo 88 del Código Federal de Procedimientos Civiles. El acceso al uso de Internet para buscar información sobre la existencia de personas morales, establecimientos mercantiles, domicilios y en general cualquier dato publicado en redes informáticas, forma parte de la cultura normal de sectores específicos de la sociedad dependiendo del tipo de información de que se trate. De ahí que, si bien no es posible afirmar que esa información se encuentra al alcance de todos los sectores de la sociedad, lo cierto es que sí es posible determinar si por el tipo de datos un hecho forma parte de la cultura normal de un sector de la sociedad y pueda ser considerado como notorio por el juzgador y, consecuentemente, valorado en una decisión judicial, por tratarse de un dato u opinión común indiscutible, no por el número de personas que conocen ese hecho, sino por la notoriedad, accesibilidad, aceptación e imparcialidad de este conocimiento. Por tanto, el contenido de una página de Internet que refleja hechos propios de una de las partes en cualquier juicio, puede ser tomado como prueba plena, a menos que haya una en contrario que no fue creada por orden del interesado, ya que se le reputará autor y podrá perjudicarle lo que ofrezca en sus términos. TERCER TRIBUNAL COLEGIADO EN MATERIA CIVIL DEL PRIMER CIRCUITO. Amparo en revisión 365/2012. </w:t>
      </w:r>
      <w:proofErr w:type="spellStart"/>
      <w:r w:rsidRPr="009B7723">
        <w:rPr>
          <w:rFonts w:ascii="Palatino Linotype" w:eastAsia="Palatino Linotype" w:hAnsi="Palatino Linotype" w:cs="Palatino Linotype"/>
          <w:i/>
          <w:sz w:val="22"/>
          <w:szCs w:val="22"/>
        </w:rPr>
        <w:t>Mardygras</w:t>
      </w:r>
      <w:proofErr w:type="spellEnd"/>
      <w:r w:rsidRPr="009B7723">
        <w:rPr>
          <w:rFonts w:ascii="Palatino Linotype" w:eastAsia="Palatino Linotype" w:hAnsi="Palatino Linotype" w:cs="Palatino Linotype"/>
          <w:i/>
          <w:sz w:val="22"/>
          <w:szCs w:val="22"/>
        </w:rPr>
        <w:t xml:space="preserve">, S.A. de C.V. 7 de diciembre de 2012. Unanimidad de </w:t>
      </w:r>
      <w:r w:rsidRPr="009B7723">
        <w:rPr>
          <w:rFonts w:ascii="Palatino Linotype" w:eastAsia="Palatino Linotype" w:hAnsi="Palatino Linotype" w:cs="Palatino Linotype"/>
          <w:i/>
          <w:sz w:val="22"/>
          <w:szCs w:val="22"/>
        </w:rPr>
        <w:lastRenderedPageBreak/>
        <w:t xml:space="preserve">votos. Ponente: Neófito López Ramos. Secretaria: Ana Lilia Osorno Arroyo. HECHO NOTORIO. LO CONSTITUYEN LOS DATOS QUE APARECEN EN LAS PÁGINAS ELECTRÓNICAS OFICIALES QUE LOS ÓRGANOS DE GOBIERNO UTILIZAN PARA PONER A DISPOSICIÓN DEL PÚBLICO, ENTRE OTROS SERVICIOS, LA DESCRIPCIÓN DE SUS PLAZAS, EL DIRECTORIO DE SUS EMPLEADOS O EL ESTADO QUE GUARDAN SUS EXPEDIENTES Y, POR ELLO, ES VÁLIDO QUE SE INVOQUEN DE OFICIO PARA RESOLVER UN ASUNTO EN PARTICULAR. Los datos que aparecen en las páginas electrónicas oficiales que los órganos de gobierno utilizan para poner a disposición del público, entre otros servicios, la descripción de sus plazas, el directorio de sus empleados o el estado que guardan sus expedientes, constituyen Tesis: XX.2o. J/24 Semanario Judicial de la Federación y su Gaceta Novena Época 168124 75 de 163 Tribunales Colegiados de Circuito Tomo XXIX, </w:t>
      </w:r>
      <w:proofErr w:type="gramStart"/>
      <w:r w:rsidRPr="009B7723">
        <w:rPr>
          <w:rFonts w:ascii="Palatino Linotype" w:eastAsia="Palatino Linotype" w:hAnsi="Palatino Linotype" w:cs="Palatino Linotype"/>
          <w:i/>
          <w:sz w:val="22"/>
          <w:szCs w:val="22"/>
        </w:rPr>
        <w:t>Enero</w:t>
      </w:r>
      <w:proofErr w:type="gramEnd"/>
      <w:r w:rsidRPr="009B7723">
        <w:rPr>
          <w:rFonts w:ascii="Palatino Linotype" w:eastAsia="Palatino Linotype" w:hAnsi="Palatino Linotype" w:cs="Palatino Linotype"/>
          <w:i/>
          <w:sz w:val="22"/>
          <w:szCs w:val="22"/>
        </w:rPr>
        <w:t xml:space="preserve"> de 2009 </w:t>
      </w:r>
      <w:proofErr w:type="spellStart"/>
      <w:r w:rsidRPr="009B7723">
        <w:rPr>
          <w:rFonts w:ascii="Palatino Linotype" w:eastAsia="Palatino Linotype" w:hAnsi="Palatino Linotype" w:cs="Palatino Linotype"/>
          <w:i/>
          <w:sz w:val="22"/>
          <w:szCs w:val="22"/>
        </w:rPr>
        <w:t>Pag.</w:t>
      </w:r>
      <w:proofErr w:type="spellEnd"/>
      <w:r w:rsidRPr="009B7723">
        <w:rPr>
          <w:rFonts w:ascii="Palatino Linotype" w:eastAsia="Palatino Linotype" w:hAnsi="Palatino Linotype" w:cs="Palatino Linotype"/>
          <w:i/>
          <w:sz w:val="22"/>
          <w:szCs w:val="22"/>
        </w:rPr>
        <w:t xml:space="preserve"> 2470 Jurisprudencia(Común) un hecho notorio que puede invocarse por los tribunales, en términos del artículo 88 del Código Federal de Procedimientos Civiles, de aplicación supletoria a la Ley de Amparo; porque la información generada o comunicada por esa vía forma parte del sistema mundial de diseminación y obtención de datos denominada "internet", del cual puede obtenerse, por ejemplo, el nombre de un servidor público, el organigrama de una institución, así como el sentido de sus resoluciones; de ahí que sea válido que los órganos jurisdiccionales invoquen de oficio lo publicado en ese medio para resolver un asunto en particular. SEGUNDO TRIBUNAL COLEGIADO DEL VIGÉSIMO CIRCUITO. Amparo directo 816/2006. 13 de junio de 2007. Unanimidad de votos. Ponente: Carlos Arteaga Álvarez. Secretario: Jorge Alberto Camacho Pérez. Amparo directo 77/2008. 10 de octubre de 2008. Unanimidad de votos. Ponente: Carlos Arteaga Álvarez. Secretario: José Martín Lázaro Vázquez. Amparo directo 74/2008. 10 de octubre de 2008. Unanimidad de votos. Ponente: Carlos Arteaga Álvarez. Secretario: Jorge Alberto Camacho Pérez. Amparo directo 355/2008. 16 de octubre de 2008. Unanimidad de votos. Ponente: Antonio Artemio Maldonado Cruz, secretario de tribunal autorizado por la Comisión de Carrera Judicial del Consejo de la Judicatura Federal para desempeñar las funciones de Magistrado. Secretario: Rolando Meza Camacho. Amparo directo 968/2007. 23 de octubre de 2008. Unanimidad de votos. Ponente: Marta Olivia Tello Acuña. Secretaria: Elvia Aguilar Moreno. Nota: Esta tesis fue objeto de la denuncia relativa a la contradicción de tesis 91/2014, desechada por notoriamente improcedente, mediante acuerdo de 23 de marzo de 2014. Por ejecutoria del 19 de junio de 2013, la Segunda Sala declaró inexistente la contradicción de tesis 132/2013 derivada de la denuncia de la que fue objeto el criterio contenido en esta tesis, al estimarse que no son discrepantes los criterios materia de la denuncia respectiva.”</w:t>
      </w:r>
    </w:p>
    <w:p w14:paraId="015376A9"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Acotado lo anterior, se procede a realizar una aproximación inicial a la respuesta, para lo cual se visualiza que la solicitud de información se turnó a la persona titular de la Dirección de Obras Públicas, tal como se desprende de las siguientes ilustraciones:</w:t>
      </w:r>
    </w:p>
    <w:p w14:paraId="79FBD26F" w14:textId="77777777" w:rsidR="00B05CDB" w:rsidRPr="009B7723" w:rsidRDefault="00C371BC">
      <w:pPr>
        <w:spacing w:before="240" w:after="240" w:line="360" w:lineRule="auto"/>
        <w:jc w:val="both"/>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Turno de la solicitud en SAIMEX:</w:t>
      </w:r>
    </w:p>
    <w:p w14:paraId="4CC4F080" w14:textId="77777777" w:rsidR="00B05CDB" w:rsidRPr="009B7723" w:rsidRDefault="00C371BC">
      <w:pPr>
        <w:spacing w:before="240" w:after="240" w:line="360" w:lineRule="auto"/>
        <w:jc w:val="center"/>
        <w:rPr>
          <w:rFonts w:ascii="Palatino Linotype" w:eastAsia="Palatino Linotype" w:hAnsi="Palatino Linotype" w:cs="Palatino Linotype"/>
          <w:sz w:val="22"/>
          <w:szCs w:val="22"/>
        </w:rPr>
      </w:pPr>
      <w:r w:rsidRPr="009B7723">
        <w:rPr>
          <w:rFonts w:ascii="Palatino Linotype" w:eastAsia="Palatino Linotype" w:hAnsi="Palatino Linotype" w:cs="Palatino Linotype"/>
          <w:noProof/>
          <w:sz w:val="22"/>
          <w:szCs w:val="22"/>
        </w:rPr>
        <w:drawing>
          <wp:inline distT="0" distB="0" distL="0" distR="0" wp14:anchorId="1B864CCF" wp14:editId="0A3D70A0">
            <wp:extent cx="1123886" cy="1429291"/>
            <wp:effectExtent l="0" t="0" r="0" b="0"/>
            <wp:docPr id="1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123886" cy="1429291"/>
                    </a:xfrm>
                    <a:prstGeom prst="rect">
                      <a:avLst/>
                    </a:prstGeom>
                    <a:ln/>
                  </pic:spPr>
                </pic:pic>
              </a:graphicData>
            </a:graphic>
          </wp:inline>
        </w:drawing>
      </w:r>
    </w:p>
    <w:p w14:paraId="3A4B2D66"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 xml:space="preserve">Gaceta Municipal No. 05/2025 del Ayuntamiento de Ecatepec de Morelos: </w:t>
      </w:r>
      <w:r w:rsidRPr="009B7723">
        <w:rPr>
          <w:rFonts w:ascii="Palatino Linotype" w:eastAsia="Palatino Linotype" w:hAnsi="Palatino Linotype" w:cs="Palatino Linotype"/>
          <w:sz w:val="22"/>
          <w:szCs w:val="22"/>
        </w:rPr>
        <w:t>Artículo segundo. Se aprueban los nombramientos a favor de los titulares, dependencias, unidades y organismos del H. Ayuntamiento de Ecatepec de Morelos, Estado de México, periodo 2025-2027.</w:t>
      </w:r>
    </w:p>
    <w:p w14:paraId="71198628" w14:textId="77777777" w:rsidR="00B05CDB" w:rsidRPr="009B7723" w:rsidRDefault="00C371BC">
      <w:pPr>
        <w:spacing w:before="240" w:after="240" w:line="360" w:lineRule="auto"/>
        <w:jc w:val="center"/>
        <w:rPr>
          <w:rFonts w:ascii="Palatino Linotype" w:eastAsia="Palatino Linotype" w:hAnsi="Palatino Linotype" w:cs="Palatino Linotype"/>
          <w:sz w:val="22"/>
          <w:szCs w:val="22"/>
        </w:rPr>
      </w:pPr>
      <w:r w:rsidRPr="009B7723">
        <w:rPr>
          <w:rFonts w:ascii="Palatino Linotype" w:eastAsia="Palatino Linotype" w:hAnsi="Palatino Linotype" w:cs="Palatino Linotype"/>
          <w:noProof/>
          <w:sz w:val="22"/>
          <w:szCs w:val="22"/>
        </w:rPr>
        <w:drawing>
          <wp:inline distT="0" distB="0" distL="0" distR="0" wp14:anchorId="72167247" wp14:editId="622B0AEC">
            <wp:extent cx="5165741" cy="2667046"/>
            <wp:effectExtent l="0" t="0" r="0" b="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1"/>
                    <a:srcRect/>
                    <a:stretch>
                      <a:fillRect/>
                    </a:stretch>
                  </pic:blipFill>
                  <pic:spPr>
                    <a:xfrm>
                      <a:off x="0" y="0"/>
                      <a:ext cx="5165741" cy="2667046"/>
                    </a:xfrm>
                    <a:prstGeom prst="rect">
                      <a:avLst/>
                    </a:prstGeom>
                    <a:ln/>
                  </pic:spPr>
                </pic:pic>
              </a:graphicData>
            </a:graphic>
          </wp:inline>
        </w:drawing>
      </w:r>
      <w:r w:rsidRPr="009B7723">
        <w:rPr>
          <w:noProof/>
        </w:rPr>
        <mc:AlternateContent>
          <mc:Choice Requires="wpg">
            <w:drawing>
              <wp:anchor distT="0" distB="0" distL="114300" distR="114300" simplePos="0" relativeHeight="251658240" behindDoc="0" locked="0" layoutInCell="1" hidden="0" allowOverlap="1" wp14:anchorId="284EE6C3" wp14:editId="75F7974F">
                <wp:simplePos x="0" y="0"/>
                <wp:positionH relativeFrom="column">
                  <wp:posOffset>279400</wp:posOffset>
                </wp:positionH>
                <wp:positionV relativeFrom="paragraph">
                  <wp:posOffset>2197100</wp:posOffset>
                </wp:positionV>
                <wp:extent cx="5153025" cy="466725"/>
                <wp:effectExtent l="0" t="0" r="0" b="0"/>
                <wp:wrapNone/>
                <wp:docPr id="13" name="Rectángulo 13"/>
                <wp:cNvGraphicFramePr/>
                <a:graphic xmlns:a="http://schemas.openxmlformats.org/drawingml/2006/main">
                  <a:graphicData uri="http://schemas.microsoft.com/office/word/2010/wordprocessingShape">
                    <wps:wsp>
                      <wps:cNvSpPr/>
                      <wps:spPr>
                        <a:xfrm>
                          <a:off x="2783775" y="3560925"/>
                          <a:ext cx="5124450" cy="438150"/>
                        </a:xfrm>
                        <a:prstGeom prst="rect">
                          <a:avLst/>
                        </a:prstGeom>
                        <a:noFill/>
                        <a:ln w="28575" cap="flat" cmpd="sng">
                          <a:solidFill>
                            <a:srgbClr val="1908F8"/>
                          </a:solidFill>
                          <a:prstDash val="solid"/>
                          <a:round/>
                          <a:headEnd type="none" w="sm" len="sm"/>
                          <a:tailEnd type="none" w="sm" len="sm"/>
                        </a:ln>
                      </wps:spPr>
                      <wps:txbx>
                        <w:txbxContent>
                          <w:p w14:paraId="54187483" w14:textId="77777777" w:rsidR="00B05CDB" w:rsidRDefault="00B05CDB">
                            <w:pPr>
                              <w:textDirection w:val="btLr"/>
                            </w:pPr>
                          </w:p>
                        </w:txbxContent>
                      </wps:txbx>
                      <wps:bodyPr spcFirstLastPara="1" wrap="square" lIns="91425" tIns="91425" rIns="91425" bIns="91425" anchor="ctr" anchorCtr="0">
                        <a:noAutofit/>
                      </wps:bodyPr>
                    </wps:wsp>
                  </a:graphicData>
                </a:graphic>
              </wp:anchor>
            </w:drawing>
          </mc:Choice>
          <mc:Fallback xmlns:oel="http://schemas.microsoft.com/office/2019/extlst"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0" distB="0" distT="0" distL="114300" distR="114300" hidden="0" layoutInCell="1" locked="0" relativeHeight="0" simplePos="0">
                <wp:simplePos x="0" y="0"/>
                <wp:positionH relativeFrom="column">
                  <wp:posOffset>279400</wp:posOffset>
                </wp:positionH>
                <wp:positionV relativeFrom="paragraph">
                  <wp:posOffset>2197100</wp:posOffset>
                </wp:positionV>
                <wp:extent cx="5153025" cy="466725"/>
                <wp:effectExtent b="0" l="0" r="0" t="0"/>
                <wp:wrapNone/>
                <wp:docPr id="13" name="image6.png"/>
                <a:graphic>
                  <a:graphicData uri="http://schemas.openxmlformats.org/drawingml/2006/picture">
                    <pic:pic>
                      <pic:nvPicPr>
                        <pic:cNvPr id="0" name="image6.png"/>
                        <pic:cNvPicPr preferRelativeResize="0"/>
                      </pic:nvPicPr>
                      <pic:blipFill>
                        <a:blip r:embed="rId12"/>
                        <a:srcRect/>
                        <a:stretch>
                          <a:fillRect/>
                        </a:stretch>
                      </pic:blipFill>
                      <pic:spPr>
                        <a:xfrm>
                          <a:off x="0" y="0"/>
                          <a:ext cx="5153025" cy="466725"/>
                        </a:xfrm>
                        <a:prstGeom prst="rect"/>
                        <a:ln/>
                      </pic:spPr>
                    </pic:pic>
                  </a:graphicData>
                </a:graphic>
              </wp:anchor>
            </w:drawing>
          </mc:Fallback>
        </mc:AlternateContent>
      </w:r>
    </w:p>
    <w:p w14:paraId="7B3CA024"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Continuando en estudio, resulta pertinente traer a colación lo establecido por el Bando Municipal del Ayuntamiento de Ecatepec de Morelos, vigente a la fecha de la solicitud, el cual establece que dicha unidad administrativa cuenta con las siguientes atribuciones:</w:t>
      </w:r>
    </w:p>
    <w:p w14:paraId="5FD88FC5" w14:textId="77777777" w:rsidR="00B05CDB" w:rsidRPr="009B7723" w:rsidRDefault="00C371BC">
      <w:pPr>
        <w:spacing w:before="240" w:after="240" w:line="276" w:lineRule="auto"/>
        <w:ind w:left="567" w:right="1134"/>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 xml:space="preserve">“Artículo 55. </w:t>
      </w:r>
      <w:r w:rsidRPr="009B7723">
        <w:rPr>
          <w:rFonts w:ascii="Palatino Linotype" w:eastAsia="Palatino Linotype" w:hAnsi="Palatino Linotype" w:cs="Palatino Linotype"/>
          <w:b/>
          <w:i/>
          <w:sz w:val="22"/>
          <w:szCs w:val="22"/>
        </w:rPr>
        <w:t>La Dirección de Desarrollo Urbano y Obras Públicas tendrá las funciones de planeación, programación, presupuestación, ejecución, supervisión y conservación de las obras públicas municipales</w:t>
      </w:r>
      <w:r w:rsidRPr="009B7723">
        <w:rPr>
          <w:rFonts w:ascii="Palatino Linotype" w:eastAsia="Palatino Linotype" w:hAnsi="Palatino Linotype" w:cs="Palatino Linotype"/>
          <w:i/>
          <w:sz w:val="22"/>
          <w:szCs w:val="22"/>
        </w:rPr>
        <w:t xml:space="preserve"> y  los servicios relacionados con las mismas, llevando el control y vigilancia de estas, conforme a lo establecido  en la Ley Orgánica Municipal del Estado de México, el Libro Décimo Segundo del Código Administrativo del  Estado de México y su Reglamento, el presente Bando Municipal y demás ordenamientos legales aplicables  vigentes. Tratándose de recursos Federales, cuando la normatividad así lo indique, se aplicará la Ley </w:t>
      </w:r>
      <w:proofErr w:type="gramStart"/>
      <w:r w:rsidRPr="009B7723">
        <w:rPr>
          <w:rFonts w:ascii="Palatino Linotype" w:eastAsia="Palatino Linotype" w:hAnsi="Palatino Linotype" w:cs="Palatino Linotype"/>
          <w:i/>
          <w:sz w:val="22"/>
          <w:szCs w:val="22"/>
        </w:rPr>
        <w:t>de  Obras</w:t>
      </w:r>
      <w:proofErr w:type="gramEnd"/>
      <w:r w:rsidRPr="009B7723">
        <w:rPr>
          <w:rFonts w:ascii="Palatino Linotype" w:eastAsia="Palatino Linotype" w:hAnsi="Palatino Linotype" w:cs="Palatino Linotype"/>
          <w:i/>
          <w:sz w:val="22"/>
          <w:szCs w:val="22"/>
        </w:rPr>
        <w:t xml:space="preserve"> Públicas y Servicios Relacionados con las Mismas.” (Énfasis añadido)</w:t>
      </w:r>
    </w:p>
    <w:p w14:paraId="12105ACD" w14:textId="77777777" w:rsidR="00B05CDB" w:rsidRPr="009B7723" w:rsidRDefault="00C371BC">
      <w:pPr>
        <w:pBdr>
          <w:top w:val="nil"/>
          <w:left w:val="nil"/>
          <w:bottom w:val="nil"/>
          <w:right w:val="nil"/>
          <w:between w:val="nil"/>
        </w:pBdr>
        <w:tabs>
          <w:tab w:val="left" w:pos="284"/>
        </w:tabs>
        <w:spacing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Del precepto anteriormente citado, se advierte que compete a la Dirección de Desarrollo Urbano y Obras Públicas, las funciones de planeación, programación, presupuestación, ejecución, supervisión y conservación de las obras públicas municipales, por consiguiente si se turnó el requerimiento de información a dicha unidad administrativa y esta se pronunció en informe justificado, es dable afirmar que en el presente asunto obra un pronunciamiento de la unidad administrativa competente, por lo que se determina que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siguió el procedimiento establecido por el artículo 162 de la Ley de Transparencia y Acceso a la Información Pública del Estado de México y Municipios, ya que turnó la solicitud al área en la que podría obrar la información de conformidad con la fracción XXXIX del artículo tercero de la legislación local vigente en materia de transparencia: </w:t>
      </w:r>
    </w:p>
    <w:p w14:paraId="187822F9" w14:textId="77777777" w:rsidR="00B05CDB" w:rsidRPr="009B7723" w:rsidRDefault="00B05CDB"/>
    <w:p w14:paraId="53E25C49" w14:textId="77777777" w:rsidR="00B05CDB" w:rsidRPr="009B7723" w:rsidRDefault="00C371BC">
      <w:pPr>
        <w:pBdr>
          <w:top w:val="nil"/>
          <w:left w:val="nil"/>
          <w:bottom w:val="nil"/>
          <w:right w:val="nil"/>
          <w:between w:val="nil"/>
        </w:pBdr>
        <w:ind w:left="864" w:right="864"/>
        <w:jc w:val="both"/>
      </w:pPr>
      <w:r w:rsidRPr="009B7723">
        <w:rPr>
          <w:rFonts w:ascii="Palatino Linotype" w:eastAsia="Palatino Linotype" w:hAnsi="Palatino Linotype" w:cs="Palatino Linotype"/>
          <w:i/>
          <w:sz w:val="22"/>
          <w:szCs w:val="22"/>
        </w:rPr>
        <w:t>XXXIX.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p>
    <w:p w14:paraId="2DFB2E58" w14:textId="77777777" w:rsidR="00B05CDB" w:rsidRPr="009B7723" w:rsidRDefault="00B05CDB"/>
    <w:p w14:paraId="182DA6EF" w14:textId="77777777" w:rsidR="00B05CDB" w:rsidRPr="009B7723" w:rsidRDefault="00C371BC">
      <w:pPr>
        <w:pBdr>
          <w:top w:val="nil"/>
          <w:left w:val="nil"/>
          <w:bottom w:val="nil"/>
          <w:right w:val="nil"/>
          <w:between w:val="nil"/>
        </w:pBdr>
        <w:shd w:val="clear" w:color="auto" w:fill="FFFFFF"/>
        <w:spacing w:line="360" w:lineRule="auto"/>
        <w:jc w:val="both"/>
        <w:rPr>
          <w:sz w:val="22"/>
          <w:szCs w:val="22"/>
        </w:rPr>
      </w:pPr>
      <w:r w:rsidRPr="009B7723">
        <w:rPr>
          <w:rFonts w:ascii="Palatino Linotype" w:eastAsia="Palatino Linotype" w:hAnsi="Palatino Linotype" w:cs="Palatino Linotype"/>
          <w:sz w:val="22"/>
          <w:szCs w:val="22"/>
        </w:rPr>
        <w:t>En este orden de ideas, se advierte que efectivamente la Unidad de Transparencia cumplió con lo expresado en el artículo 162 de la Ley de Transparencia y Acceso a la Información Pública del Estado de México y Municipios, el cual menciona lo siguiente:</w:t>
      </w:r>
    </w:p>
    <w:p w14:paraId="2A69E4CF" w14:textId="77777777" w:rsidR="00B05CDB" w:rsidRPr="009B7723" w:rsidRDefault="00B05CDB"/>
    <w:p w14:paraId="3B7BA5B4" w14:textId="77777777" w:rsidR="00B05CDB" w:rsidRPr="009B7723" w:rsidRDefault="00C371BC">
      <w:pPr>
        <w:pBdr>
          <w:top w:val="nil"/>
          <w:left w:val="nil"/>
          <w:bottom w:val="nil"/>
          <w:right w:val="nil"/>
          <w:between w:val="nil"/>
        </w:pBdr>
        <w:ind w:left="864" w:right="864"/>
        <w:jc w:val="both"/>
      </w:pPr>
      <w:r w:rsidRPr="009B7723">
        <w:rPr>
          <w:rFonts w:ascii="Palatino Linotype" w:eastAsia="Palatino Linotype" w:hAnsi="Palatino Linotype" w:cs="Palatino Linotype"/>
          <w:i/>
          <w:sz w:val="22"/>
          <w:szCs w:val="22"/>
        </w:rPr>
        <w:t xml:space="preserve">“Artículo 162. Las unidades de transparencia deberán garantizar que las solicitudes </w:t>
      </w:r>
      <w:r w:rsidRPr="009B7723">
        <w:rPr>
          <w:rFonts w:ascii="Palatino Linotype" w:eastAsia="Palatino Linotype" w:hAnsi="Palatino Linotype" w:cs="Palatino Linotype"/>
          <w:b/>
          <w:i/>
          <w:sz w:val="22"/>
          <w:szCs w:val="22"/>
        </w:rPr>
        <w:t xml:space="preserve">se turnen a todas las Áreas competentes </w:t>
      </w:r>
      <w:r w:rsidRPr="009B7723">
        <w:rPr>
          <w:rFonts w:ascii="Palatino Linotype" w:eastAsia="Palatino Linotype" w:hAnsi="Palatino Linotype" w:cs="Palatino Linotype"/>
          <w:i/>
          <w:sz w:val="22"/>
          <w:szCs w:val="22"/>
        </w:rPr>
        <w:t>que cuenten con la información o deban tenerla de acuerdo a sus facultades, competencias y funciones, con el objeto de que realicen una búsqueda exhaustiva y razonable de la información solicitada.”</w:t>
      </w:r>
    </w:p>
    <w:p w14:paraId="1190AF54" w14:textId="77777777" w:rsidR="00B05CDB" w:rsidRPr="009B7723" w:rsidRDefault="00C371BC">
      <w:pPr>
        <w:spacing w:before="240" w:after="240" w:line="360" w:lineRule="auto"/>
        <w:ind w:right="49"/>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sz w:val="22"/>
          <w:szCs w:val="22"/>
        </w:rPr>
        <w:t xml:space="preserve">No </w:t>
      </w:r>
      <w:proofErr w:type="gramStart"/>
      <w:r w:rsidRPr="009B7723">
        <w:rPr>
          <w:rFonts w:ascii="Palatino Linotype" w:eastAsia="Palatino Linotype" w:hAnsi="Palatino Linotype" w:cs="Palatino Linotype"/>
          <w:sz w:val="22"/>
          <w:szCs w:val="22"/>
        </w:rPr>
        <w:t>obstante</w:t>
      </w:r>
      <w:proofErr w:type="gramEnd"/>
      <w:r w:rsidRPr="009B7723">
        <w:rPr>
          <w:rFonts w:ascii="Palatino Linotype" w:eastAsia="Palatino Linotype" w:hAnsi="Palatino Linotype" w:cs="Palatino Linotype"/>
          <w:sz w:val="22"/>
          <w:szCs w:val="22"/>
        </w:rPr>
        <w:t xml:space="preserve"> lo anterior, el pronunciamiento vertido en respuesta por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a través del servidor público habilitado fue el siguiente: “</w:t>
      </w:r>
      <w:r w:rsidRPr="009B7723">
        <w:rPr>
          <w:rFonts w:ascii="Palatino Linotype" w:eastAsia="Palatino Linotype" w:hAnsi="Palatino Linotype" w:cs="Palatino Linotype"/>
          <w:i/>
          <w:sz w:val="22"/>
          <w:szCs w:val="22"/>
        </w:rPr>
        <w:t>El H. Ayuntamiento de Ecatepec de Morelos implemento el programa "Cimientos de esperanza" el cual consiste en trabajar mano a mano con los vecinos, donde ellos ponen la mano de obra y el ayuntamiento otorga los materiales. Este programa está avanzando con la evaluación de calles que cuenten con servicios de agua y drenaje, esto con el propósito de dar atención y solución a las peticiones de la ciudadanía por medio de las audiencias ciudadanas. El artículo 8 de la Constitución Política de los Estados Unidos Mexicanos.”</w:t>
      </w:r>
    </w:p>
    <w:p w14:paraId="76A2E12F" w14:textId="77777777" w:rsidR="00B05CDB" w:rsidRPr="009B7723" w:rsidRDefault="00C371BC">
      <w:pPr>
        <w:spacing w:before="240" w:after="240" w:line="360" w:lineRule="auto"/>
        <w:ind w:right="49"/>
        <w:jc w:val="both"/>
        <w:rPr>
          <w:rFonts w:ascii="Palatino Linotype" w:eastAsia="Palatino Linotype" w:hAnsi="Palatino Linotype" w:cs="Palatino Linotype"/>
          <w:b/>
          <w:sz w:val="22"/>
          <w:szCs w:val="22"/>
        </w:rPr>
      </w:pPr>
      <w:r w:rsidRPr="009B7723">
        <w:rPr>
          <w:rFonts w:ascii="Palatino Linotype" w:eastAsia="Palatino Linotype" w:hAnsi="Palatino Linotype" w:cs="Palatino Linotype"/>
          <w:sz w:val="22"/>
          <w:szCs w:val="22"/>
        </w:rPr>
        <w:t xml:space="preserve">En primera instancia, a juicio de este Organismo Garante, se aprecia que la respuesta proporcionada por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carece de congruencia y exhaustividad</w:t>
      </w:r>
      <w:r w:rsidRPr="009B7723">
        <w:rPr>
          <w:rFonts w:ascii="Palatino Linotype" w:eastAsia="Palatino Linotype" w:hAnsi="Palatino Linotype" w:cs="Palatino Linotype"/>
          <w:b/>
          <w:sz w:val="22"/>
          <w:szCs w:val="22"/>
        </w:rPr>
        <w:t xml:space="preserve">, </w:t>
      </w:r>
      <w:r w:rsidRPr="009B7723">
        <w:rPr>
          <w:rFonts w:ascii="Palatino Linotype" w:eastAsia="Palatino Linotype" w:hAnsi="Palatino Linotype" w:cs="Palatino Linotype"/>
          <w:sz w:val="22"/>
          <w:szCs w:val="22"/>
        </w:rPr>
        <w:t>toda vez que</w:t>
      </w:r>
      <w:r w:rsidRPr="009B7723">
        <w:rPr>
          <w:rFonts w:ascii="Palatino Linotype" w:eastAsia="Palatino Linotype" w:hAnsi="Palatino Linotype" w:cs="Palatino Linotype"/>
          <w:b/>
          <w:sz w:val="22"/>
          <w:szCs w:val="22"/>
        </w:rPr>
        <w:t xml:space="preserve"> no se pronuncia en estricto sentido respecto de la información solicitada</w:t>
      </w:r>
      <w:r w:rsidRPr="009B7723">
        <w:rPr>
          <w:rFonts w:ascii="Palatino Linotype" w:eastAsia="Palatino Linotype" w:hAnsi="Palatino Linotype" w:cs="Palatino Linotype"/>
          <w:sz w:val="22"/>
          <w:szCs w:val="22"/>
        </w:rPr>
        <w:t xml:space="preserve">, por ello se estima que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no observó lo que dispone el Criterio 02/2017 emitido por el Instituto Nacional de Transparencia, Acceso a la Información y Protección de Datos Personales se establece que: </w:t>
      </w:r>
    </w:p>
    <w:p w14:paraId="61A5C6B4" w14:textId="77777777" w:rsidR="00B05CDB" w:rsidRPr="009B7723" w:rsidRDefault="00C371BC">
      <w:pPr>
        <w:pBdr>
          <w:top w:val="nil"/>
          <w:left w:val="nil"/>
          <w:bottom w:val="nil"/>
          <w:right w:val="nil"/>
          <w:between w:val="nil"/>
        </w:pBdr>
        <w:shd w:val="clear" w:color="auto" w:fill="FFFFFF"/>
        <w:spacing w:line="276" w:lineRule="auto"/>
        <w:ind w:left="567" w:right="1134"/>
        <w:jc w:val="both"/>
      </w:pPr>
      <w:r w:rsidRPr="009B7723">
        <w:rPr>
          <w:rFonts w:ascii="Palatino Linotype" w:eastAsia="Palatino Linotype" w:hAnsi="Palatino Linotype" w:cs="Palatino Linotype"/>
          <w:b/>
          <w:i/>
          <w:sz w:val="22"/>
          <w:szCs w:val="22"/>
        </w:rPr>
        <w:t xml:space="preserve">“Congruencia y exhaustividad. Sus alcances para garantizar el derecho de acceso a la información. </w:t>
      </w:r>
      <w:r w:rsidRPr="009B7723">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w:t>
      </w:r>
      <w:r w:rsidRPr="009B7723">
        <w:rPr>
          <w:rFonts w:ascii="Palatino Linotype" w:eastAsia="Palatino Linotype" w:hAnsi="Palatino Linotype" w:cs="Palatino Linotype"/>
          <w:i/>
          <w:sz w:val="22"/>
          <w:szCs w:val="22"/>
        </w:rPr>
        <w:lastRenderedPageBreak/>
        <w:t>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2FC4C055" w14:textId="77777777" w:rsidR="00B05CDB" w:rsidRPr="009B7723" w:rsidRDefault="00B05CDB">
      <w:pPr>
        <w:pBdr>
          <w:top w:val="nil"/>
          <w:left w:val="nil"/>
          <w:bottom w:val="nil"/>
          <w:right w:val="nil"/>
          <w:between w:val="nil"/>
        </w:pBdr>
        <w:shd w:val="clear" w:color="auto" w:fill="FFFFFF"/>
        <w:ind w:right="49"/>
        <w:jc w:val="both"/>
      </w:pPr>
    </w:p>
    <w:p w14:paraId="2A1347A9" w14:textId="77777777" w:rsidR="00B05CDB" w:rsidRPr="009B7723" w:rsidRDefault="00C371BC">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Es así, que los sujetos obligados para garantizar el derecho de acceso a la Información, deberán cumplir con los principios de exhaustividad y congruencia, esto es, que la congruencia </w:t>
      </w:r>
      <w:r w:rsidRPr="009B7723">
        <w:rPr>
          <w:rFonts w:ascii="Palatino Linotype" w:eastAsia="Palatino Linotype" w:hAnsi="Palatino Linotype" w:cs="Palatino Linotype"/>
          <w:b/>
          <w:sz w:val="22"/>
          <w:szCs w:val="22"/>
        </w:rPr>
        <w:t>implica que exista concordancia entre el requerimiento formulado por el particular y la respuesta proporcionada por el sujeto obligado</w:t>
      </w:r>
      <w:r w:rsidRPr="009B7723">
        <w:rPr>
          <w:rFonts w:ascii="Palatino Linotype" w:eastAsia="Palatino Linotype" w:hAnsi="Palatino Linotype" w:cs="Palatino Linotype"/>
          <w:sz w:val="22"/>
          <w:szCs w:val="22"/>
        </w:rPr>
        <w:t xml:space="preserve">, mientras que la exhaustividad establece que el sujeto obligado </w:t>
      </w:r>
      <w:r w:rsidRPr="009B7723">
        <w:rPr>
          <w:rFonts w:ascii="Palatino Linotype" w:eastAsia="Palatino Linotype" w:hAnsi="Palatino Linotype" w:cs="Palatino Linotype"/>
          <w:b/>
          <w:sz w:val="22"/>
          <w:szCs w:val="22"/>
        </w:rPr>
        <w:t>deberá atender de manera expresa cada uno de los puntos solicitados</w:t>
      </w:r>
      <w:r w:rsidRPr="009B7723">
        <w:rPr>
          <w:rFonts w:ascii="Palatino Linotype" w:eastAsia="Palatino Linotype" w:hAnsi="Palatino Linotype" w:cs="Palatino Linotype"/>
          <w:sz w:val="22"/>
          <w:szCs w:val="22"/>
        </w:rPr>
        <w:t xml:space="preserve">, situación que en el presente caso </w:t>
      </w:r>
      <w:r w:rsidRPr="009B7723">
        <w:rPr>
          <w:rFonts w:ascii="Palatino Linotype" w:eastAsia="Palatino Linotype" w:hAnsi="Palatino Linotype" w:cs="Palatino Linotype"/>
          <w:b/>
          <w:sz w:val="22"/>
          <w:szCs w:val="22"/>
          <w:u w:val="single"/>
        </w:rPr>
        <w:t>no aconteció</w:t>
      </w:r>
      <w:r w:rsidRPr="009B7723">
        <w:rPr>
          <w:rFonts w:ascii="Palatino Linotype" w:eastAsia="Palatino Linotype" w:hAnsi="Palatino Linotype" w:cs="Palatino Linotype"/>
          <w:sz w:val="22"/>
          <w:szCs w:val="22"/>
        </w:rPr>
        <w:t xml:space="preserve">, pues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no fue congruente en proporcionar las cien calles contempladas para pavimentar en el Programa denominado “Cimientos de Esperanza”.</w:t>
      </w:r>
    </w:p>
    <w:p w14:paraId="40B0DC83" w14:textId="77777777" w:rsidR="00B05CDB" w:rsidRPr="009B7723" w:rsidRDefault="00B05CDB">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p>
    <w:p w14:paraId="5C085751" w14:textId="77777777" w:rsidR="00B05CDB" w:rsidRPr="009B7723" w:rsidRDefault="00C371BC">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No obstante, mediante informe justificado,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proporcionó el listado de las cien calles contempladas para pavimentar en el Programa denominado “Cimientos de Esperanza”, se inserta un extracto de la información recibida para mejor referencia:</w:t>
      </w:r>
    </w:p>
    <w:p w14:paraId="470AB470" w14:textId="77777777" w:rsidR="00B05CDB" w:rsidRPr="009B7723" w:rsidRDefault="00B05CDB">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p>
    <w:p w14:paraId="00B909C1" w14:textId="77777777" w:rsidR="00B05CDB" w:rsidRPr="009B7723" w:rsidRDefault="00C371BC">
      <w:pPr>
        <w:pBdr>
          <w:top w:val="nil"/>
          <w:left w:val="nil"/>
          <w:bottom w:val="nil"/>
          <w:right w:val="nil"/>
          <w:between w:val="nil"/>
        </w:pBdr>
        <w:shd w:val="clear" w:color="auto" w:fill="FFFFFF"/>
        <w:spacing w:line="360" w:lineRule="auto"/>
        <w:ind w:right="-150"/>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noProof/>
          <w:sz w:val="22"/>
          <w:szCs w:val="22"/>
        </w:rPr>
        <w:lastRenderedPageBreak/>
        <w:drawing>
          <wp:inline distT="0" distB="0" distL="0" distR="0" wp14:anchorId="3674B50D" wp14:editId="3652773C">
            <wp:extent cx="5816722" cy="2714727"/>
            <wp:effectExtent l="0" t="0" r="0" b="0"/>
            <wp:docPr id="1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
                    <a:srcRect/>
                    <a:stretch>
                      <a:fillRect/>
                    </a:stretch>
                  </pic:blipFill>
                  <pic:spPr>
                    <a:xfrm>
                      <a:off x="0" y="0"/>
                      <a:ext cx="5816722" cy="2714727"/>
                    </a:xfrm>
                    <a:prstGeom prst="rect">
                      <a:avLst/>
                    </a:prstGeom>
                    <a:ln/>
                  </pic:spPr>
                </pic:pic>
              </a:graphicData>
            </a:graphic>
          </wp:inline>
        </w:drawing>
      </w:r>
    </w:p>
    <w:p w14:paraId="55B7D527"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bookmarkStart w:id="7" w:name="_heading=h.2et92p0" w:colFirst="0" w:colLast="0"/>
      <w:bookmarkEnd w:id="7"/>
      <w:r w:rsidRPr="009B7723">
        <w:rPr>
          <w:rFonts w:ascii="Palatino Linotype" w:eastAsia="Palatino Linotype" w:hAnsi="Palatino Linotype" w:cs="Palatino Linotype"/>
          <w:sz w:val="22"/>
          <w:szCs w:val="22"/>
        </w:rPr>
        <w:t>Bajo este orden de ideas, resulta importante analizar las constancias obtenidas a lo largo de la conformación del expediente electrónico para efecto de determinar si con lo vertido en la sustanciación del medio de impugnación, es adecuado y suficiente para tener por atendido el requerimiento de información, para un mejor entendimiento, se trae a colación el siguiente esquema de análisis:</w:t>
      </w:r>
    </w:p>
    <w:tbl>
      <w:tblPr>
        <w:tblStyle w:val="af8"/>
        <w:tblW w:w="893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0"/>
        <w:gridCol w:w="2693"/>
        <w:gridCol w:w="2410"/>
        <w:gridCol w:w="2268"/>
      </w:tblGrid>
      <w:tr w:rsidR="007C3C8C" w:rsidRPr="009B7723" w14:paraId="766422A0" w14:textId="77777777">
        <w:tc>
          <w:tcPr>
            <w:tcW w:w="1560" w:type="dxa"/>
            <w:shd w:val="clear" w:color="auto" w:fill="DDD9C4"/>
          </w:tcPr>
          <w:p w14:paraId="0879212C" w14:textId="77777777" w:rsidR="00B05CDB" w:rsidRPr="009B7723" w:rsidRDefault="00C371BC">
            <w:pPr>
              <w:spacing w:before="240" w:after="240"/>
              <w:ind w:right="49"/>
              <w:jc w:val="center"/>
              <w:rPr>
                <w:rFonts w:ascii="Palatino Linotype" w:eastAsia="Palatino Linotype" w:hAnsi="Palatino Linotype" w:cs="Palatino Linotype"/>
                <w:b/>
                <w:sz w:val="18"/>
                <w:szCs w:val="18"/>
              </w:rPr>
            </w:pPr>
            <w:r w:rsidRPr="009B7723">
              <w:rPr>
                <w:rFonts w:ascii="Palatino Linotype" w:eastAsia="Palatino Linotype" w:hAnsi="Palatino Linotype" w:cs="Palatino Linotype"/>
                <w:b/>
                <w:sz w:val="18"/>
                <w:szCs w:val="18"/>
              </w:rPr>
              <w:t>Requerimiento de información</w:t>
            </w:r>
          </w:p>
        </w:tc>
        <w:tc>
          <w:tcPr>
            <w:tcW w:w="2693" w:type="dxa"/>
            <w:shd w:val="clear" w:color="auto" w:fill="DDD9C4"/>
          </w:tcPr>
          <w:p w14:paraId="29FA586C" w14:textId="77777777" w:rsidR="00B05CDB" w:rsidRPr="009B7723" w:rsidRDefault="00C371BC">
            <w:pPr>
              <w:spacing w:before="240" w:after="240"/>
              <w:ind w:right="49"/>
              <w:jc w:val="center"/>
              <w:rPr>
                <w:rFonts w:ascii="Palatino Linotype" w:eastAsia="Palatino Linotype" w:hAnsi="Palatino Linotype" w:cs="Palatino Linotype"/>
                <w:b/>
                <w:sz w:val="18"/>
                <w:szCs w:val="18"/>
              </w:rPr>
            </w:pPr>
            <w:r w:rsidRPr="009B7723">
              <w:rPr>
                <w:rFonts w:ascii="Palatino Linotype" w:eastAsia="Palatino Linotype" w:hAnsi="Palatino Linotype" w:cs="Palatino Linotype"/>
                <w:b/>
                <w:sz w:val="18"/>
                <w:szCs w:val="18"/>
              </w:rPr>
              <w:t>Respuesta</w:t>
            </w:r>
          </w:p>
          <w:p w14:paraId="041EECFF" w14:textId="77777777" w:rsidR="00B05CDB" w:rsidRPr="009B7723" w:rsidRDefault="00B05CDB">
            <w:pPr>
              <w:spacing w:before="240" w:after="240"/>
              <w:ind w:right="49"/>
              <w:jc w:val="both"/>
              <w:rPr>
                <w:rFonts w:ascii="Palatino Linotype" w:eastAsia="Palatino Linotype" w:hAnsi="Palatino Linotype" w:cs="Palatino Linotype"/>
                <w:b/>
                <w:sz w:val="18"/>
                <w:szCs w:val="18"/>
              </w:rPr>
            </w:pPr>
          </w:p>
        </w:tc>
        <w:tc>
          <w:tcPr>
            <w:tcW w:w="2410" w:type="dxa"/>
            <w:shd w:val="clear" w:color="auto" w:fill="DDD9C4"/>
          </w:tcPr>
          <w:p w14:paraId="3176AA3C" w14:textId="77777777" w:rsidR="00B05CDB" w:rsidRPr="009B7723" w:rsidRDefault="00C371BC">
            <w:pPr>
              <w:spacing w:before="240" w:after="240"/>
              <w:ind w:right="49"/>
              <w:jc w:val="center"/>
              <w:rPr>
                <w:rFonts w:ascii="Palatino Linotype" w:eastAsia="Palatino Linotype" w:hAnsi="Palatino Linotype" w:cs="Palatino Linotype"/>
                <w:b/>
                <w:sz w:val="18"/>
                <w:szCs w:val="18"/>
              </w:rPr>
            </w:pPr>
            <w:r w:rsidRPr="009B7723">
              <w:rPr>
                <w:rFonts w:ascii="Palatino Linotype" w:eastAsia="Palatino Linotype" w:hAnsi="Palatino Linotype" w:cs="Palatino Linotype"/>
                <w:b/>
                <w:sz w:val="18"/>
                <w:szCs w:val="18"/>
              </w:rPr>
              <w:t>Informe Justificado</w:t>
            </w:r>
          </w:p>
        </w:tc>
        <w:tc>
          <w:tcPr>
            <w:tcW w:w="2268" w:type="dxa"/>
            <w:shd w:val="clear" w:color="auto" w:fill="DDD9C4"/>
          </w:tcPr>
          <w:p w14:paraId="306D9118" w14:textId="77777777" w:rsidR="00B05CDB" w:rsidRPr="009B7723" w:rsidRDefault="00C371BC">
            <w:pPr>
              <w:spacing w:before="240" w:after="240"/>
              <w:ind w:right="49"/>
              <w:jc w:val="center"/>
              <w:rPr>
                <w:rFonts w:ascii="Palatino Linotype" w:eastAsia="Palatino Linotype" w:hAnsi="Palatino Linotype" w:cs="Palatino Linotype"/>
                <w:b/>
                <w:sz w:val="18"/>
                <w:szCs w:val="18"/>
              </w:rPr>
            </w:pPr>
            <w:r w:rsidRPr="009B7723">
              <w:rPr>
                <w:rFonts w:ascii="Palatino Linotype" w:eastAsia="Palatino Linotype" w:hAnsi="Palatino Linotype" w:cs="Palatino Linotype"/>
                <w:b/>
                <w:sz w:val="18"/>
                <w:szCs w:val="18"/>
              </w:rPr>
              <w:t>¿El pronunciamiento del Sujeto Obligado satisface el requerimiento de información?</w:t>
            </w:r>
          </w:p>
        </w:tc>
      </w:tr>
      <w:tr w:rsidR="007C3C8C" w:rsidRPr="009B7723" w14:paraId="78EDB141" w14:textId="77777777">
        <w:tc>
          <w:tcPr>
            <w:tcW w:w="1560" w:type="dxa"/>
          </w:tcPr>
          <w:p w14:paraId="7A915D51" w14:textId="77777777" w:rsidR="00B05CDB" w:rsidRPr="009B7723" w:rsidRDefault="00C371BC">
            <w:pPr>
              <w:spacing w:before="240" w:after="240"/>
              <w:ind w:right="-23"/>
              <w:jc w:val="both"/>
              <w:rPr>
                <w:rFonts w:ascii="Palatino Linotype" w:eastAsia="Palatino Linotype" w:hAnsi="Palatino Linotype" w:cs="Palatino Linotype"/>
                <w:b/>
                <w:sz w:val="18"/>
                <w:szCs w:val="18"/>
              </w:rPr>
            </w:pPr>
            <w:r w:rsidRPr="009B7723">
              <w:rPr>
                <w:rFonts w:ascii="Palatino Linotype" w:eastAsia="Palatino Linotype" w:hAnsi="Palatino Linotype" w:cs="Palatino Linotype"/>
                <w:b/>
                <w:sz w:val="18"/>
                <w:szCs w:val="18"/>
              </w:rPr>
              <w:t xml:space="preserve">Derivado del anuncio en redes sociales por parte de la </w:t>
            </w:r>
            <w:proofErr w:type="gramStart"/>
            <w:r w:rsidRPr="009B7723">
              <w:rPr>
                <w:rFonts w:ascii="Palatino Linotype" w:eastAsia="Palatino Linotype" w:hAnsi="Palatino Linotype" w:cs="Palatino Linotype"/>
                <w:b/>
                <w:sz w:val="18"/>
                <w:szCs w:val="18"/>
              </w:rPr>
              <w:t>Presidenta</w:t>
            </w:r>
            <w:proofErr w:type="gramEnd"/>
            <w:r w:rsidRPr="009B7723">
              <w:rPr>
                <w:rFonts w:ascii="Palatino Linotype" w:eastAsia="Palatino Linotype" w:hAnsi="Palatino Linotype" w:cs="Palatino Linotype"/>
                <w:b/>
                <w:sz w:val="18"/>
                <w:szCs w:val="18"/>
              </w:rPr>
              <w:t xml:space="preserve"> Municipal, el día 12 de enero de 2025:</w:t>
            </w:r>
          </w:p>
          <w:p w14:paraId="35B5DCBF" w14:textId="77777777" w:rsidR="00B05CDB" w:rsidRPr="009B7723" w:rsidRDefault="00C371BC">
            <w:pPr>
              <w:spacing w:before="240" w:after="240"/>
              <w:ind w:right="-23"/>
              <w:jc w:val="both"/>
              <w:rPr>
                <w:rFonts w:ascii="Palatino Linotype" w:eastAsia="Palatino Linotype" w:hAnsi="Palatino Linotype" w:cs="Palatino Linotype"/>
                <w:sz w:val="18"/>
                <w:szCs w:val="18"/>
              </w:rPr>
            </w:pPr>
            <w:r w:rsidRPr="009B7723">
              <w:rPr>
                <w:rFonts w:ascii="Palatino Linotype" w:eastAsia="Palatino Linotype" w:hAnsi="Palatino Linotype" w:cs="Palatino Linotype"/>
                <w:sz w:val="18"/>
                <w:szCs w:val="18"/>
              </w:rPr>
              <w:lastRenderedPageBreak/>
              <w:t>-Cuáles son las 100 calles que serán repavimentadas por parte del Gobierno del Ayuntamiento de Ecatepec.</w:t>
            </w:r>
          </w:p>
        </w:tc>
        <w:tc>
          <w:tcPr>
            <w:tcW w:w="2693" w:type="dxa"/>
          </w:tcPr>
          <w:p w14:paraId="1CE249A8" w14:textId="77777777" w:rsidR="00B05CDB" w:rsidRPr="009B7723" w:rsidRDefault="00C371BC">
            <w:pPr>
              <w:spacing w:before="240" w:after="240"/>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18"/>
                <w:szCs w:val="18"/>
              </w:rPr>
              <w:lastRenderedPageBreak/>
              <w:t xml:space="preserve">Director de Obras Públicas: </w:t>
            </w:r>
            <w:r w:rsidRPr="009B7723">
              <w:rPr>
                <w:rFonts w:ascii="Palatino Linotype" w:eastAsia="Palatino Linotype" w:hAnsi="Palatino Linotype" w:cs="Palatino Linotype"/>
                <w:sz w:val="18"/>
                <w:szCs w:val="18"/>
              </w:rPr>
              <w:t xml:space="preserve">“El H. Ayuntamiento de Ecatepec de Morelos implemento el programa "Cimientos de esperanza" el cual consiste en trabajar mano a mano con los vecinos, donde ellos ponen la mano de obra y el ayuntamiento otorga los materiales. Este programa está </w:t>
            </w:r>
            <w:r w:rsidRPr="009B7723">
              <w:rPr>
                <w:rFonts w:ascii="Palatino Linotype" w:eastAsia="Palatino Linotype" w:hAnsi="Palatino Linotype" w:cs="Palatino Linotype"/>
                <w:sz w:val="18"/>
                <w:szCs w:val="18"/>
              </w:rPr>
              <w:lastRenderedPageBreak/>
              <w:t>avanzando con la evaluación de calles que cuenten con servicios de agua y drenaje, esto con el propósito de dar atención y solución a las peticiones de la ciudadanía por medio de las audiencias ciudadanas. El artículo 8 de la Constitución Política de los Estados Unidos Mexicanos.”</w:t>
            </w:r>
          </w:p>
        </w:tc>
        <w:tc>
          <w:tcPr>
            <w:tcW w:w="2410" w:type="dxa"/>
          </w:tcPr>
          <w:p w14:paraId="30306356" w14:textId="77777777" w:rsidR="00B05CDB" w:rsidRPr="009B7723" w:rsidRDefault="00C371BC">
            <w:pPr>
              <w:spacing w:before="240" w:after="240"/>
              <w:ind w:right="49"/>
              <w:jc w:val="both"/>
              <w:rPr>
                <w:rFonts w:ascii="Palatino Linotype" w:eastAsia="Palatino Linotype" w:hAnsi="Palatino Linotype" w:cs="Palatino Linotype"/>
                <w:sz w:val="18"/>
                <w:szCs w:val="18"/>
              </w:rPr>
            </w:pPr>
            <w:r w:rsidRPr="009B7723">
              <w:rPr>
                <w:rFonts w:ascii="Palatino Linotype" w:eastAsia="Palatino Linotype" w:hAnsi="Palatino Linotype" w:cs="Palatino Linotype"/>
                <w:b/>
                <w:sz w:val="18"/>
                <w:szCs w:val="18"/>
              </w:rPr>
              <w:lastRenderedPageBreak/>
              <w:t>Director de Obras Públicas:</w:t>
            </w:r>
            <w:r w:rsidRPr="009B7723">
              <w:rPr>
                <w:rFonts w:ascii="Palatino Linotype" w:eastAsia="Palatino Linotype" w:hAnsi="Palatino Linotype" w:cs="Palatino Linotype"/>
                <w:sz w:val="18"/>
                <w:szCs w:val="18"/>
              </w:rPr>
              <w:t xml:space="preserve"> Debido a un error ortográfico en la solicitud original, se mencionó erróneamente la palabra “repavimentar” en lugar de “pavimentar”, lo cual generó una confusión </w:t>
            </w:r>
            <w:r w:rsidRPr="009B7723">
              <w:rPr>
                <w:rFonts w:ascii="Palatino Linotype" w:eastAsia="Palatino Linotype" w:hAnsi="Palatino Linotype" w:cs="Palatino Linotype"/>
                <w:sz w:val="18"/>
                <w:szCs w:val="18"/>
              </w:rPr>
              <w:lastRenderedPageBreak/>
              <w:t>en el proceso de análisis de la información.</w:t>
            </w:r>
          </w:p>
          <w:p w14:paraId="4B5FA1A6" w14:textId="77777777" w:rsidR="00B05CDB" w:rsidRPr="009B7723" w:rsidRDefault="00C371BC">
            <w:pPr>
              <w:spacing w:before="240" w:after="240"/>
              <w:ind w:right="49"/>
              <w:jc w:val="both"/>
              <w:rPr>
                <w:rFonts w:ascii="Palatino Linotype" w:eastAsia="Palatino Linotype" w:hAnsi="Palatino Linotype" w:cs="Palatino Linotype"/>
                <w:sz w:val="18"/>
                <w:szCs w:val="18"/>
              </w:rPr>
            </w:pPr>
            <w:r w:rsidRPr="009B7723">
              <w:rPr>
                <w:rFonts w:ascii="Palatino Linotype" w:eastAsia="Palatino Linotype" w:hAnsi="Palatino Linotype" w:cs="Palatino Linotype"/>
                <w:sz w:val="18"/>
                <w:szCs w:val="18"/>
              </w:rPr>
              <w:t xml:space="preserve">Asimismo, </w:t>
            </w:r>
            <w:r w:rsidRPr="009B7723">
              <w:rPr>
                <w:rFonts w:ascii="Palatino Linotype" w:eastAsia="Palatino Linotype" w:hAnsi="Palatino Linotype" w:cs="Palatino Linotype"/>
                <w:b/>
                <w:sz w:val="18"/>
                <w:szCs w:val="18"/>
                <w:u w:val="single"/>
              </w:rPr>
              <w:t>adjunta el listado en el que da cuenta de las 100 calles que actualmente se están trabajando en el marco del programa “Cimientos de Esperanza”.</w:t>
            </w:r>
          </w:p>
        </w:tc>
        <w:tc>
          <w:tcPr>
            <w:tcW w:w="2268" w:type="dxa"/>
          </w:tcPr>
          <w:p w14:paraId="2EC93B1E" w14:textId="77777777" w:rsidR="00B05CDB" w:rsidRPr="009B7723" w:rsidRDefault="00C371BC">
            <w:pPr>
              <w:spacing w:before="240" w:after="240" w:line="360" w:lineRule="auto"/>
              <w:ind w:right="49"/>
              <w:jc w:val="center"/>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lastRenderedPageBreak/>
              <w:t>Sí</w:t>
            </w:r>
          </w:p>
        </w:tc>
      </w:tr>
    </w:tbl>
    <w:p w14:paraId="51B61621"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De lo anteriormente analizado, se abordan a las siguientes conclusiones:</w:t>
      </w:r>
    </w:p>
    <w:p w14:paraId="517BD238" w14:textId="77777777" w:rsidR="00B05CDB" w:rsidRPr="009B7723" w:rsidRDefault="00C371BC">
      <w:pPr>
        <w:numPr>
          <w:ilvl w:val="0"/>
          <w:numId w:val="3"/>
        </w:numPr>
        <w:pBdr>
          <w:top w:val="nil"/>
          <w:left w:val="nil"/>
          <w:bottom w:val="nil"/>
          <w:right w:val="nil"/>
          <w:between w:val="nil"/>
        </w:pBdr>
        <w:spacing w:before="240" w:line="360" w:lineRule="auto"/>
        <w:ind w:right="1275"/>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En primera instancia, del análisis a la respuesta del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se advierte que esta no colma el requerimiento de información del particular, en virtud de que no da cuenta de las cien calles que se contemplan en el programa denominado “Cimientos de Esperanza”, por lo tanto, es dable afirmar que su pronunciamiento no está dotado de los principios de congruencia y exhaustividad.</w:t>
      </w:r>
    </w:p>
    <w:p w14:paraId="163C8D35" w14:textId="77777777" w:rsidR="00B05CDB" w:rsidRPr="009B7723" w:rsidRDefault="00B05CDB">
      <w:pPr>
        <w:pBdr>
          <w:top w:val="nil"/>
          <w:left w:val="nil"/>
          <w:bottom w:val="nil"/>
          <w:right w:val="nil"/>
          <w:between w:val="nil"/>
        </w:pBdr>
        <w:spacing w:line="360" w:lineRule="auto"/>
        <w:ind w:left="720" w:right="1275"/>
        <w:jc w:val="both"/>
        <w:rPr>
          <w:rFonts w:ascii="Palatino Linotype" w:eastAsia="Palatino Linotype" w:hAnsi="Palatino Linotype" w:cs="Palatino Linotype"/>
          <w:sz w:val="22"/>
          <w:szCs w:val="22"/>
        </w:rPr>
      </w:pPr>
    </w:p>
    <w:p w14:paraId="2C01DC15" w14:textId="77777777" w:rsidR="00B05CDB" w:rsidRPr="009B7723" w:rsidRDefault="00C371BC">
      <w:pPr>
        <w:numPr>
          <w:ilvl w:val="0"/>
          <w:numId w:val="3"/>
        </w:numPr>
        <w:pBdr>
          <w:top w:val="nil"/>
          <w:left w:val="nil"/>
          <w:bottom w:val="nil"/>
          <w:right w:val="nil"/>
          <w:between w:val="nil"/>
        </w:pBdr>
        <w:spacing w:line="360" w:lineRule="auto"/>
        <w:ind w:right="1275"/>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Posteriormente en la etapa de informe justificado, la persona servidora pública habilitada refiere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debido a un error ortográfico en la solicitud original, se mencionó erróneamente la palabra “repavimentar” en lugar de “pavimentar”, lo cual generó una confusión en el proceso de análisis de la información.</w:t>
      </w:r>
    </w:p>
    <w:p w14:paraId="5E64E373" w14:textId="77777777" w:rsidR="00B05CDB" w:rsidRPr="009B7723" w:rsidRDefault="00B05CDB">
      <w:pPr>
        <w:pBdr>
          <w:top w:val="nil"/>
          <w:left w:val="nil"/>
          <w:bottom w:val="nil"/>
          <w:right w:val="nil"/>
          <w:between w:val="nil"/>
        </w:pBdr>
        <w:spacing w:line="360" w:lineRule="auto"/>
        <w:ind w:left="720" w:right="1275"/>
        <w:jc w:val="both"/>
        <w:rPr>
          <w:rFonts w:ascii="Palatino Linotype" w:eastAsia="Palatino Linotype" w:hAnsi="Palatino Linotype" w:cs="Palatino Linotype"/>
          <w:sz w:val="22"/>
          <w:szCs w:val="22"/>
        </w:rPr>
      </w:pPr>
    </w:p>
    <w:p w14:paraId="5F769A1A" w14:textId="77777777" w:rsidR="00B05CDB" w:rsidRPr="009B7723" w:rsidRDefault="00C371BC">
      <w:pPr>
        <w:pBdr>
          <w:top w:val="nil"/>
          <w:left w:val="nil"/>
          <w:bottom w:val="nil"/>
          <w:right w:val="nil"/>
          <w:between w:val="nil"/>
        </w:pBdr>
        <w:spacing w:line="360" w:lineRule="auto"/>
        <w:ind w:left="720" w:right="1275"/>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Asimismo, adjunta el listado en el que da cuenta de las 100 calles que actualmente se están trabajando en el marco del programa “Cimientos de Esperanza”.</w:t>
      </w:r>
    </w:p>
    <w:p w14:paraId="6402C3CA" w14:textId="77777777" w:rsidR="00B05CDB" w:rsidRPr="009B7723" w:rsidRDefault="00B05CDB">
      <w:pPr>
        <w:pBdr>
          <w:top w:val="nil"/>
          <w:left w:val="nil"/>
          <w:bottom w:val="nil"/>
          <w:right w:val="nil"/>
          <w:between w:val="nil"/>
        </w:pBdr>
        <w:spacing w:line="360" w:lineRule="auto"/>
        <w:ind w:left="720" w:right="1275"/>
        <w:jc w:val="both"/>
        <w:rPr>
          <w:rFonts w:ascii="Palatino Linotype" w:eastAsia="Palatino Linotype" w:hAnsi="Palatino Linotype" w:cs="Palatino Linotype"/>
          <w:sz w:val="22"/>
          <w:szCs w:val="22"/>
        </w:rPr>
      </w:pPr>
    </w:p>
    <w:p w14:paraId="591E0F3F" w14:textId="77777777" w:rsidR="00B05CDB" w:rsidRPr="009B7723" w:rsidRDefault="00C371BC">
      <w:pPr>
        <w:numPr>
          <w:ilvl w:val="0"/>
          <w:numId w:val="3"/>
        </w:numPr>
        <w:pBdr>
          <w:top w:val="nil"/>
          <w:left w:val="nil"/>
          <w:bottom w:val="nil"/>
          <w:right w:val="nil"/>
          <w:between w:val="nil"/>
        </w:pBdr>
        <w:spacing w:after="240" w:line="360" w:lineRule="auto"/>
        <w:ind w:right="1275"/>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En consecuencia, al otorgarse la lista de las cien calles que actualmente se están trabajando en el marco del programa “Cimientos de Esperanza”, se tiene por satisfecho el requerimiento de información del particular, pues es concretamente lo que solicitó el particular.</w:t>
      </w:r>
    </w:p>
    <w:p w14:paraId="713BCF2E" w14:textId="77777777" w:rsidR="00B05CDB" w:rsidRPr="009B7723" w:rsidRDefault="00C371BC">
      <w:pPr>
        <w:pBdr>
          <w:top w:val="nil"/>
          <w:left w:val="nil"/>
          <w:bottom w:val="nil"/>
          <w:right w:val="nil"/>
          <w:between w:val="nil"/>
        </w:pBdr>
        <w:spacing w:before="240" w:after="240" w:line="360" w:lineRule="auto"/>
        <w:jc w:val="both"/>
        <w:rPr>
          <w:rFonts w:ascii="Palatino Linotype" w:eastAsia="Palatino Linotype" w:hAnsi="Palatino Linotype" w:cs="Palatino Linotype"/>
          <w:b/>
          <w:sz w:val="22"/>
          <w:szCs w:val="22"/>
          <w:u w:val="single"/>
        </w:rPr>
      </w:pPr>
      <w:r w:rsidRPr="009B7723">
        <w:rPr>
          <w:rFonts w:ascii="Palatino Linotype" w:eastAsia="Palatino Linotype" w:hAnsi="Palatino Linotype" w:cs="Palatino Linotype"/>
          <w:sz w:val="22"/>
          <w:szCs w:val="22"/>
        </w:rPr>
        <w:t xml:space="preserve">Por lo anteriormente expuesto, se tiene por satisfecho el requerimiento de información de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xml:space="preserve"> </w:t>
      </w:r>
      <w:proofErr w:type="gramStart"/>
      <w:r w:rsidRPr="009B7723">
        <w:rPr>
          <w:rFonts w:ascii="Palatino Linotype" w:eastAsia="Palatino Linotype" w:hAnsi="Palatino Linotype" w:cs="Palatino Linotype"/>
          <w:sz w:val="22"/>
          <w:szCs w:val="22"/>
        </w:rPr>
        <w:t>y</w:t>
      </w:r>
      <w:proofErr w:type="gramEnd"/>
      <w:r w:rsidRPr="009B7723">
        <w:rPr>
          <w:rFonts w:ascii="Palatino Linotype" w:eastAsia="Palatino Linotype" w:hAnsi="Palatino Linotype" w:cs="Palatino Linotype"/>
          <w:sz w:val="22"/>
          <w:szCs w:val="22"/>
        </w:rPr>
        <w:t xml:space="preserve"> por consiguiente, al haber colmado lo peticionado en la solicitud mediante el alcance al informe justificado es que se actualiza la causal de sobreseimiento prevista en la fracción III del artículo 192 de la Ley de Transparencia y Acceso a la Información Pública del Estado de México y Municipios, que dispone lo siguiente:</w:t>
      </w:r>
    </w:p>
    <w:p w14:paraId="1E881C1D" w14:textId="77777777" w:rsidR="00B05CDB" w:rsidRPr="009B7723" w:rsidRDefault="00C371BC">
      <w:pPr>
        <w:spacing w:line="276" w:lineRule="auto"/>
        <w:ind w:left="567" w:right="901"/>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b/>
          <w:i/>
          <w:sz w:val="22"/>
          <w:szCs w:val="22"/>
        </w:rPr>
        <w:t xml:space="preserve">“Artículo 192. </w:t>
      </w:r>
      <w:r w:rsidRPr="009B7723">
        <w:rPr>
          <w:rFonts w:ascii="Palatino Linotype" w:eastAsia="Palatino Linotype" w:hAnsi="Palatino Linotype" w:cs="Palatino Linotype"/>
          <w:i/>
          <w:sz w:val="22"/>
          <w:szCs w:val="22"/>
        </w:rPr>
        <w:t>El recurso será sobreseído en todo o en parte cuando una vez admitido, se actualicen alguno de los siguientes supuestos:</w:t>
      </w:r>
    </w:p>
    <w:p w14:paraId="66AB3683" w14:textId="77777777" w:rsidR="00B05CDB" w:rsidRPr="009B7723" w:rsidRDefault="00C371BC">
      <w:pPr>
        <w:spacing w:line="276" w:lineRule="auto"/>
        <w:ind w:left="567" w:right="901"/>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b/>
          <w:i/>
          <w:sz w:val="22"/>
          <w:szCs w:val="22"/>
        </w:rPr>
        <w:t>…</w:t>
      </w:r>
    </w:p>
    <w:p w14:paraId="51571F59" w14:textId="77777777" w:rsidR="00B05CDB" w:rsidRPr="009B7723" w:rsidRDefault="00C371BC">
      <w:pPr>
        <w:spacing w:line="276" w:lineRule="auto"/>
        <w:ind w:left="567" w:right="901"/>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b/>
          <w:i/>
          <w:sz w:val="22"/>
          <w:szCs w:val="22"/>
        </w:rPr>
        <w:t xml:space="preserve">III. El sujeto obligado responsable del acto lo modifique o revoque de tal manera que el recurso de revisión quede sin materia…”. </w:t>
      </w:r>
      <w:r w:rsidRPr="009B7723">
        <w:rPr>
          <w:rFonts w:ascii="Palatino Linotype" w:eastAsia="Palatino Linotype" w:hAnsi="Palatino Linotype" w:cs="Palatino Linotype"/>
          <w:i/>
          <w:sz w:val="22"/>
          <w:szCs w:val="22"/>
        </w:rPr>
        <w:t>(Énfasis añadido)</w:t>
      </w:r>
    </w:p>
    <w:p w14:paraId="165A786B" w14:textId="77777777" w:rsidR="00B05CDB" w:rsidRPr="009B7723" w:rsidRDefault="00B05CDB">
      <w:pPr>
        <w:spacing w:line="360" w:lineRule="auto"/>
        <w:jc w:val="both"/>
        <w:rPr>
          <w:rFonts w:ascii="Palatino Linotype" w:eastAsia="Palatino Linotype" w:hAnsi="Palatino Linotype" w:cs="Palatino Linotype"/>
          <w:b/>
          <w:i/>
          <w:sz w:val="22"/>
          <w:szCs w:val="22"/>
        </w:rPr>
      </w:pPr>
    </w:p>
    <w:p w14:paraId="27CA679B" w14:textId="77777777" w:rsidR="00B05CDB" w:rsidRPr="009B7723" w:rsidRDefault="00C371BC">
      <w:pPr>
        <w:spacing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De lo establecido en el precepto legal citado se advierte que el sobreseimiento del recurso de revisión procede en los siguientes casos:</w:t>
      </w:r>
    </w:p>
    <w:p w14:paraId="1AF56AC5"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a) Cuando el sujeto obligado modifique el acto impugnado.</w:t>
      </w:r>
    </w:p>
    <w:p w14:paraId="540DC9A7"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b) Cuando el sujeto obligado revoque el acto impugnado.</w:t>
      </w:r>
    </w:p>
    <w:p w14:paraId="2FFDED73"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Quedando en ambos casos el acto combatido sin materia o sin efectos.</w:t>
      </w:r>
    </w:p>
    <w:p w14:paraId="3B8B3031"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Como se observa de lo anterior, un acto impugnado es modificado en aquellos casos en los que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después de haber otorgado una respuesta, emite una diversa de manera posterior y en esta subsana las deficiencias que hubiera tenido, quedando satisfecho el derecho subjetivo accionado por </w:t>
      </w:r>
      <w:r w:rsidRPr="009B7723">
        <w:rPr>
          <w:rFonts w:ascii="Palatino Linotype" w:eastAsia="Palatino Linotype" w:hAnsi="Palatino Linotype" w:cs="Palatino Linotype"/>
          <w:b/>
          <w:sz w:val="22"/>
          <w:szCs w:val="22"/>
        </w:rPr>
        <w:t>la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w:t>
      </w:r>
    </w:p>
    <w:p w14:paraId="65C4925A"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lastRenderedPageBreak/>
        <w:t xml:space="preserve">Por lo que hace a la revocación, esta se actualiza cuando el </w:t>
      </w:r>
      <w:r w:rsidRPr="009B7723">
        <w:rPr>
          <w:rFonts w:ascii="Palatino Linotype" w:eastAsia="Palatino Linotype" w:hAnsi="Palatino Linotype" w:cs="Palatino Linotype"/>
          <w:b/>
          <w:sz w:val="22"/>
          <w:szCs w:val="22"/>
        </w:rPr>
        <w:t xml:space="preserve">Sujeto Obligado </w:t>
      </w:r>
      <w:r w:rsidRPr="009B7723">
        <w:rPr>
          <w:rFonts w:ascii="Palatino Linotype" w:eastAsia="Palatino Linotype" w:hAnsi="Palatino Linotype" w:cs="Palatino Linotype"/>
          <w:sz w:val="22"/>
          <w:szCs w:val="22"/>
        </w:rPr>
        <w:t>deja sin efectos la primera respuesta y en su lugar emite otra con las características y cualidades suficientes para dejar satisfecho el ejercicio del derecho al acceso a la información pública.</w:t>
      </w:r>
    </w:p>
    <w:p w14:paraId="412F7CA2" w14:textId="77777777" w:rsidR="00B05CDB" w:rsidRPr="009B7723" w:rsidRDefault="00C371BC">
      <w:pPr>
        <w:spacing w:before="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En ese tenor, un acto impugnado queda sin efectos, cuando aun existiendo jurídicamente (esto es, que no se ha modificado, ni revocado) ya no genera ninguna consecuencia legal.</w:t>
      </w:r>
    </w:p>
    <w:p w14:paraId="55CD28F1" w14:textId="77777777" w:rsidR="00B05CDB" w:rsidRPr="009B7723" w:rsidRDefault="00C371BC">
      <w:pPr>
        <w:spacing w:before="240" w:after="240" w:line="360" w:lineRule="auto"/>
        <w:ind w:right="49"/>
        <w:jc w:val="both"/>
        <w:rPr>
          <w:rFonts w:ascii="Palatino Linotype" w:eastAsia="Palatino Linotype" w:hAnsi="Palatino Linotype" w:cs="Palatino Linotype"/>
          <w:b/>
          <w:sz w:val="22"/>
          <w:szCs w:val="22"/>
          <w:u w:val="single"/>
        </w:rPr>
      </w:pPr>
      <w:r w:rsidRPr="009B7723">
        <w:rPr>
          <w:rFonts w:ascii="Palatino Linotype" w:eastAsia="Palatino Linotype" w:hAnsi="Palatino Linotype" w:cs="Palatino Linotype"/>
          <w:sz w:val="22"/>
          <w:szCs w:val="22"/>
        </w:rPr>
        <w:t xml:space="preserve">En tanto, en el presente caso queda sin materia, toda vez </w:t>
      </w:r>
      <w:proofErr w:type="gramStart"/>
      <w:r w:rsidRPr="009B7723">
        <w:rPr>
          <w:rFonts w:ascii="Palatino Linotype" w:eastAsia="Palatino Linotype" w:hAnsi="Palatino Linotype" w:cs="Palatino Linotype"/>
          <w:sz w:val="22"/>
          <w:szCs w:val="22"/>
        </w:rPr>
        <w:t>que</w:t>
      </w:r>
      <w:proofErr w:type="gramEnd"/>
      <w:r w:rsidRPr="009B7723">
        <w:rPr>
          <w:rFonts w:ascii="Palatino Linotype" w:eastAsia="Palatino Linotype" w:hAnsi="Palatino Linotype" w:cs="Palatino Linotype"/>
          <w:sz w:val="22"/>
          <w:szCs w:val="22"/>
        </w:rPr>
        <w:t xml:space="preserve"> con el Informe Justificado,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modificó los términos de la respuesta inicial </w:t>
      </w:r>
      <w:r w:rsidRPr="009B7723">
        <w:rPr>
          <w:rFonts w:ascii="Palatino Linotype" w:eastAsia="Palatino Linotype" w:hAnsi="Palatino Linotype" w:cs="Palatino Linotype"/>
          <w:b/>
          <w:sz w:val="22"/>
          <w:szCs w:val="22"/>
          <w:u w:val="single"/>
        </w:rPr>
        <w:t>al proporcionar la lista de las cien calles que actualmente se están trabajando en el marco del programa “Cimientos de Esperanza”.</w:t>
      </w:r>
    </w:p>
    <w:p w14:paraId="3AA89A71" w14:textId="77777777" w:rsidR="00B05CDB" w:rsidRPr="009B7723" w:rsidRDefault="00C371BC">
      <w:pPr>
        <w:spacing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Por lo que tomando en consideración que la información proporcionada por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satisface el requerimiento de información y fue puesta a la vista de la parte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debe entenderse que ha quedado satisfecha la solicitud planteada, quedando sin materia el presente recurso de revisión, consecuentemente se actualiza la causal prevista en la fracción III del artículo 192 de la Ley de la Materia vigente en la Entidad, antes transcrita.</w:t>
      </w:r>
    </w:p>
    <w:p w14:paraId="7139A250"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En resumen, 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dio respuesta completa a la solicitud de acceso a la información pública de </w:t>
      </w:r>
      <w:r w:rsidRPr="009B7723">
        <w:rPr>
          <w:rFonts w:ascii="Palatino Linotype" w:eastAsia="Palatino Linotype" w:hAnsi="Palatino Linotype" w:cs="Palatino Linotype"/>
          <w:b/>
          <w:sz w:val="22"/>
          <w:szCs w:val="22"/>
        </w:rPr>
        <w:t>la ahora parte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aunque ello haya sido de manera posterior a su respuesta inicial; dejando con ello sin materia el presente recurso de revisión, actualizándose entonces la causal prevista en la fracción III del artículo 192 de la Ley de la Materia vigente en la Entidad, antes transcrita. </w:t>
      </w:r>
    </w:p>
    <w:p w14:paraId="4B14B8EB"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 xml:space="preserve">Siendo el </w:t>
      </w:r>
      <w:r w:rsidRPr="009B7723">
        <w:rPr>
          <w:rFonts w:ascii="Palatino Linotype" w:eastAsia="Palatino Linotype" w:hAnsi="Palatino Linotype" w:cs="Palatino Linotype"/>
          <w:i/>
          <w:sz w:val="22"/>
          <w:szCs w:val="22"/>
        </w:rPr>
        <w:t>sobreseimiento</w:t>
      </w:r>
      <w:r w:rsidRPr="009B7723">
        <w:rPr>
          <w:rFonts w:ascii="Palatino Linotype" w:eastAsia="Palatino Linotype" w:hAnsi="Palatino Linotype" w:cs="Palatino Linotype"/>
          <w:sz w:val="22"/>
          <w:szCs w:val="22"/>
        </w:rPr>
        <w:t xml:space="preserve"> un acto que da por terminado el procedimiento administrativo de impugnación sin resolver el fondo de la cuestión planteada, por presentarse causas que impiden a la autoridad referirse a lo sustancial de lo planteado por el </w:t>
      </w:r>
      <w:r w:rsidRPr="009B7723">
        <w:rPr>
          <w:rFonts w:ascii="Palatino Linotype" w:eastAsia="Palatino Linotype" w:hAnsi="Palatino Linotype" w:cs="Palatino Linotype"/>
          <w:b/>
          <w:sz w:val="22"/>
          <w:szCs w:val="22"/>
        </w:rPr>
        <w:t>Recurrente</w:t>
      </w:r>
      <w:r w:rsidRPr="009B7723">
        <w:rPr>
          <w:rFonts w:ascii="Palatino Linotype" w:eastAsia="Palatino Linotype" w:hAnsi="Palatino Linotype" w:cs="Palatino Linotype"/>
          <w:sz w:val="22"/>
          <w:szCs w:val="22"/>
        </w:rPr>
        <w:t xml:space="preserve">, los efectos del sobreseimiento son los dar por concluido el recurso administrativo sin entrar al estudio de </w:t>
      </w:r>
      <w:r w:rsidRPr="009B7723">
        <w:rPr>
          <w:rFonts w:ascii="Palatino Linotype" w:eastAsia="Palatino Linotype" w:hAnsi="Palatino Linotype" w:cs="Palatino Linotype"/>
          <w:sz w:val="22"/>
          <w:szCs w:val="22"/>
        </w:rPr>
        <w:lastRenderedPageBreak/>
        <w:t>fondo del asunto de que se trate; lo anterior con apoyo en el criterio del Poder Judicial de la Federación con rubro:</w:t>
      </w:r>
    </w:p>
    <w:p w14:paraId="7506F1E6" w14:textId="77777777" w:rsidR="00B05CDB" w:rsidRPr="009B7723" w:rsidRDefault="00C371BC">
      <w:pPr>
        <w:spacing w:before="240"/>
        <w:ind w:left="567" w:right="567"/>
        <w:jc w:val="both"/>
        <w:rPr>
          <w:rFonts w:ascii="Palatino Linotype" w:eastAsia="Palatino Linotype" w:hAnsi="Palatino Linotype" w:cs="Palatino Linotype"/>
          <w:b/>
          <w:i/>
          <w:sz w:val="22"/>
          <w:szCs w:val="22"/>
        </w:rPr>
      </w:pPr>
      <w:r w:rsidRPr="009B7723">
        <w:rPr>
          <w:rFonts w:ascii="Palatino Linotype" w:eastAsia="Palatino Linotype" w:hAnsi="Palatino Linotype" w:cs="Palatino Linotype"/>
          <w:i/>
          <w:sz w:val="22"/>
          <w:szCs w:val="22"/>
        </w:rPr>
        <w:t>“</w:t>
      </w:r>
      <w:r w:rsidRPr="009B7723">
        <w:rPr>
          <w:rFonts w:ascii="Palatino Linotype" w:eastAsia="Palatino Linotype" w:hAnsi="Palatino Linotype" w:cs="Palatino Linotype"/>
          <w:b/>
          <w:i/>
          <w:sz w:val="22"/>
          <w:szCs w:val="22"/>
        </w:rPr>
        <w:t>SOBRESEIMIENTO, NO PERMITE ENTRAR AL ESTUDIO DE LAS CUESTIONES DE FONDO</w:t>
      </w:r>
    </w:p>
    <w:p w14:paraId="267AFF4A" w14:textId="77777777" w:rsidR="00B05CDB" w:rsidRPr="009B7723" w:rsidRDefault="00C371BC">
      <w:pPr>
        <w:ind w:left="567" w:right="567"/>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 xml:space="preserve">Localización: 213609. II.2o.183 K. Tribunales Colegiados de Circuito. Octava Época. Semanario Judicial de la Federación. Tomo XIII, </w:t>
      </w:r>
      <w:proofErr w:type="gramStart"/>
      <w:r w:rsidRPr="009B7723">
        <w:rPr>
          <w:rFonts w:ascii="Palatino Linotype" w:eastAsia="Palatino Linotype" w:hAnsi="Palatino Linotype" w:cs="Palatino Linotype"/>
          <w:i/>
          <w:sz w:val="22"/>
          <w:szCs w:val="22"/>
        </w:rPr>
        <w:t>Febrero</w:t>
      </w:r>
      <w:proofErr w:type="gramEnd"/>
      <w:r w:rsidRPr="009B7723">
        <w:rPr>
          <w:rFonts w:ascii="Palatino Linotype" w:eastAsia="Palatino Linotype" w:hAnsi="Palatino Linotype" w:cs="Palatino Linotype"/>
          <w:i/>
          <w:sz w:val="22"/>
          <w:szCs w:val="22"/>
        </w:rPr>
        <w:t xml:space="preserve"> de 1994, Pág. 420</w:t>
      </w:r>
    </w:p>
    <w:p w14:paraId="57A081BD" w14:textId="77777777" w:rsidR="00B05CDB" w:rsidRPr="009B7723" w:rsidRDefault="00C371BC">
      <w:pPr>
        <w:ind w:left="567" w:right="567"/>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 xml:space="preserve">Cuerpo de tesis: No causa agravio la sentencia que no se ocupa de los razonamientos tendientes a demostrar la inconstitucionalidad de los actos reclamados de las autoridades responsables, que constituyen el problema de fondo, si se decreta el sobreseimiento del juicio.” </w:t>
      </w:r>
    </w:p>
    <w:p w14:paraId="439E10EB" w14:textId="77777777" w:rsidR="00B05CDB" w:rsidRPr="009B7723" w:rsidRDefault="00B05CDB">
      <w:pPr>
        <w:ind w:left="567" w:right="567"/>
        <w:jc w:val="both"/>
        <w:rPr>
          <w:rFonts w:ascii="Palatino Linotype" w:eastAsia="Palatino Linotype" w:hAnsi="Palatino Linotype" w:cs="Palatino Linotype"/>
          <w:i/>
          <w:sz w:val="22"/>
          <w:szCs w:val="22"/>
        </w:rPr>
      </w:pPr>
    </w:p>
    <w:p w14:paraId="21FBD85F" w14:textId="77777777" w:rsidR="00B05CDB" w:rsidRPr="009B7723" w:rsidRDefault="00C371BC">
      <w:pPr>
        <w:spacing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sz w:val="22"/>
          <w:szCs w:val="22"/>
        </w:rPr>
        <w:t>Cabe destacar que la decisión de este órgano colegiado de sobreseer el recurso de revisión no implica una limitación o negación a la justicia, según lo ha establecido el Poder Judicial Federal, en el criterio que es aplicable por analogía, con rubro:</w:t>
      </w:r>
    </w:p>
    <w:p w14:paraId="55A8758C" w14:textId="77777777" w:rsidR="00B05CDB" w:rsidRPr="009B7723" w:rsidRDefault="00C371BC">
      <w:pPr>
        <w:spacing w:before="240"/>
        <w:ind w:left="567" w:right="567"/>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i/>
          <w:sz w:val="22"/>
          <w:szCs w:val="22"/>
        </w:rPr>
        <w:t>“DESECHAMIENTO O SOBRESEIMIENTO EN EL JUICIO DE AMPARO. NO IMPLICA DENEGACIÓN DE JUSTICIA NI GENERA INSEGURIDAD JURÍDICA”</w:t>
      </w:r>
    </w:p>
    <w:p w14:paraId="3AB26F2D" w14:textId="4873EB4F" w:rsidR="00B05CDB" w:rsidRPr="009B7723" w:rsidRDefault="00C371BC">
      <w:pPr>
        <w:ind w:left="567" w:right="567"/>
        <w:jc w:val="both"/>
        <w:rPr>
          <w:rFonts w:ascii="Palatino Linotype" w:eastAsia="Palatino Linotype" w:hAnsi="Palatino Linotype" w:cs="Palatino Linotype"/>
          <w:i/>
          <w:sz w:val="22"/>
          <w:szCs w:val="22"/>
        </w:rPr>
      </w:pPr>
      <w:r w:rsidRPr="009B7723">
        <w:rPr>
          <w:rFonts w:ascii="Palatino Linotype" w:eastAsia="Palatino Linotype" w:hAnsi="Palatino Linotype" w:cs="Palatino Linotype"/>
          <w:i/>
          <w:sz w:val="22"/>
          <w:szCs w:val="22"/>
        </w:rPr>
        <w:t xml:space="preserve">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 </w:t>
      </w:r>
    </w:p>
    <w:p w14:paraId="22171A8E" w14:textId="6B627FCB" w:rsidR="007C3C8C" w:rsidRPr="009B7723" w:rsidRDefault="007C3C8C">
      <w:pPr>
        <w:ind w:left="567" w:right="567"/>
        <w:jc w:val="both"/>
        <w:rPr>
          <w:rFonts w:ascii="Palatino Linotype" w:eastAsia="Palatino Linotype" w:hAnsi="Palatino Linotype" w:cs="Palatino Linotype"/>
          <w:i/>
          <w:sz w:val="22"/>
          <w:szCs w:val="22"/>
        </w:rPr>
      </w:pPr>
    </w:p>
    <w:p w14:paraId="3CCD7027" w14:textId="77777777" w:rsidR="007C3C8C" w:rsidRPr="009B7723" w:rsidRDefault="007C3C8C">
      <w:pPr>
        <w:ind w:left="567" w:right="567"/>
        <w:jc w:val="both"/>
        <w:rPr>
          <w:rFonts w:ascii="Palatino Linotype" w:eastAsia="Palatino Linotype" w:hAnsi="Palatino Linotype" w:cs="Palatino Linotype"/>
          <w:i/>
          <w:sz w:val="22"/>
          <w:szCs w:val="22"/>
        </w:rPr>
      </w:pPr>
    </w:p>
    <w:p w14:paraId="6A5FD9BA" w14:textId="77777777" w:rsidR="00B05CDB" w:rsidRPr="009B7723" w:rsidRDefault="00B05CDB">
      <w:pPr>
        <w:ind w:left="567" w:right="567"/>
        <w:jc w:val="both"/>
        <w:rPr>
          <w:rFonts w:ascii="Palatino Linotype" w:eastAsia="Palatino Linotype" w:hAnsi="Palatino Linotype" w:cs="Palatino Linotype"/>
          <w:i/>
          <w:sz w:val="22"/>
          <w:szCs w:val="22"/>
        </w:rPr>
      </w:pPr>
    </w:p>
    <w:p w14:paraId="3680450A" w14:textId="77777777" w:rsidR="00B05CDB" w:rsidRPr="009B7723" w:rsidRDefault="00C371BC">
      <w:pPr>
        <w:spacing w:line="360" w:lineRule="auto"/>
        <w:ind w:right="50"/>
        <w:jc w:val="both"/>
        <w:rPr>
          <w:rFonts w:ascii="Palatino Linotype" w:eastAsia="Palatino Linotype" w:hAnsi="Palatino Linotype" w:cs="Palatino Linotype"/>
          <w:sz w:val="22"/>
          <w:szCs w:val="22"/>
        </w:rPr>
      </w:pPr>
      <w:bookmarkStart w:id="8" w:name="_heading=h.17dp8vu" w:colFirst="0" w:colLast="0"/>
      <w:bookmarkEnd w:id="8"/>
      <w:r w:rsidRPr="009B7723">
        <w:rPr>
          <w:rFonts w:ascii="Palatino Linotype" w:eastAsia="Palatino Linotype" w:hAnsi="Palatino Linotype" w:cs="Palatino Linotype"/>
          <w:sz w:val="22"/>
          <w:szCs w:val="22"/>
        </w:rPr>
        <w:lastRenderedPageBreak/>
        <w:t xml:space="preserve"> Así, con fundamento en lo prescrito en los artículos 5 párrafos trigésimo tercero, trigésimo cuarto y trigésimo quinto, fracciones IV y V de la Constitución Política del Estado Libre y Soberano de México; 2, fracción II; 29, 36 fracciones I y II; 176, 178, 181, 185 de la Ley de Transparencia y Acceso a la Información Pública del Estado de México y Municipios, este Pleno:</w:t>
      </w:r>
    </w:p>
    <w:p w14:paraId="71E5544A" w14:textId="77777777" w:rsidR="00B05CDB" w:rsidRPr="009B7723" w:rsidRDefault="00C371BC">
      <w:pPr>
        <w:numPr>
          <w:ilvl w:val="0"/>
          <w:numId w:val="1"/>
        </w:numPr>
        <w:spacing w:before="280" w:after="280" w:line="360" w:lineRule="auto"/>
        <w:ind w:left="284" w:hanging="426"/>
        <w:jc w:val="center"/>
        <w:rPr>
          <w:rFonts w:ascii="Palatino Linotype" w:eastAsia="Palatino Linotype" w:hAnsi="Palatino Linotype" w:cs="Palatino Linotype"/>
          <w:b/>
          <w:sz w:val="22"/>
          <w:szCs w:val="22"/>
        </w:rPr>
      </w:pPr>
      <w:r w:rsidRPr="009B7723">
        <w:rPr>
          <w:rFonts w:ascii="Palatino Linotype" w:eastAsia="Palatino Linotype" w:hAnsi="Palatino Linotype" w:cs="Palatino Linotype"/>
          <w:b/>
          <w:sz w:val="22"/>
          <w:szCs w:val="22"/>
        </w:rPr>
        <w:t>R E S U E L V E:</w:t>
      </w:r>
    </w:p>
    <w:p w14:paraId="05DF9BEA" w14:textId="77777777" w:rsidR="00B05CDB" w:rsidRPr="009B7723" w:rsidRDefault="00C371BC">
      <w:pPr>
        <w:spacing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Primero.</w:t>
      </w:r>
      <w:r w:rsidRPr="009B7723">
        <w:rPr>
          <w:rFonts w:ascii="Palatino Linotype" w:eastAsia="Palatino Linotype" w:hAnsi="Palatino Linotype" w:cs="Palatino Linotype"/>
          <w:sz w:val="22"/>
          <w:szCs w:val="22"/>
        </w:rPr>
        <w:t xml:space="preserve"> Se </w:t>
      </w:r>
      <w:r w:rsidRPr="009B7723">
        <w:rPr>
          <w:rFonts w:ascii="Palatino Linotype" w:eastAsia="Palatino Linotype" w:hAnsi="Palatino Linotype" w:cs="Palatino Linotype"/>
          <w:b/>
          <w:sz w:val="22"/>
          <w:szCs w:val="22"/>
        </w:rPr>
        <w:t>SOBRESEE</w:t>
      </w:r>
      <w:r w:rsidRPr="009B7723">
        <w:rPr>
          <w:rFonts w:ascii="Palatino Linotype" w:eastAsia="Palatino Linotype" w:hAnsi="Palatino Linotype" w:cs="Palatino Linotype"/>
          <w:sz w:val="22"/>
          <w:szCs w:val="22"/>
        </w:rPr>
        <w:t xml:space="preserve"> el recurso de revisión </w:t>
      </w:r>
      <w:r w:rsidRPr="009B7723">
        <w:rPr>
          <w:rFonts w:ascii="Palatino Linotype" w:eastAsia="Palatino Linotype" w:hAnsi="Palatino Linotype" w:cs="Palatino Linotype"/>
          <w:b/>
          <w:sz w:val="22"/>
          <w:szCs w:val="22"/>
        </w:rPr>
        <w:t xml:space="preserve">00609/INFOEM/IP/RR/2025, </w:t>
      </w:r>
      <w:r w:rsidRPr="009B7723">
        <w:rPr>
          <w:rFonts w:ascii="Palatino Linotype" w:eastAsia="Palatino Linotype" w:hAnsi="Palatino Linotype" w:cs="Palatino Linotype"/>
          <w:sz w:val="22"/>
          <w:szCs w:val="22"/>
        </w:rPr>
        <w:t xml:space="preserve">porque al </w:t>
      </w:r>
      <w:r w:rsidRPr="009B7723">
        <w:rPr>
          <w:rFonts w:ascii="Palatino Linotype" w:eastAsia="Palatino Linotype" w:hAnsi="Palatino Linotype" w:cs="Palatino Linotype"/>
          <w:b/>
          <w:sz w:val="22"/>
          <w:szCs w:val="22"/>
        </w:rPr>
        <w:t>modificar la respuesta</w:t>
      </w:r>
      <w:r w:rsidRPr="009B7723">
        <w:rPr>
          <w:rFonts w:ascii="Palatino Linotype" w:eastAsia="Palatino Linotype" w:hAnsi="Palatino Linotype" w:cs="Palatino Linotype"/>
          <w:sz w:val="22"/>
          <w:szCs w:val="22"/>
        </w:rPr>
        <w:t xml:space="preserve"> se actualizó la causal prevista en el artículo 192, fracción III, de la Ley de Transparencia y Acceso a la Información Pública del Estado de México y Municipios, quedando sin materia en términos del </w:t>
      </w:r>
      <w:r w:rsidRPr="009B7723">
        <w:rPr>
          <w:rFonts w:ascii="Palatino Linotype" w:eastAsia="Palatino Linotype" w:hAnsi="Palatino Linotype" w:cs="Palatino Linotype"/>
          <w:b/>
          <w:sz w:val="22"/>
          <w:szCs w:val="22"/>
        </w:rPr>
        <w:t>Considerando</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 xml:space="preserve">Tercero </w:t>
      </w:r>
      <w:r w:rsidRPr="009B7723">
        <w:rPr>
          <w:rFonts w:ascii="Palatino Linotype" w:eastAsia="Palatino Linotype" w:hAnsi="Palatino Linotype" w:cs="Palatino Linotype"/>
          <w:sz w:val="22"/>
          <w:szCs w:val="22"/>
        </w:rPr>
        <w:t>de la presente Resolución.</w:t>
      </w:r>
    </w:p>
    <w:p w14:paraId="6E6D0B64" w14:textId="77777777" w:rsidR="00B05CDB" w:rsidRPr="009B7723" w:rsidRDefault="00C371BC">
      <w:pPr>
        <w:spacing w:before="240" w:after="240" w:line="360" w:lineRule="auto"/>
        <w:ind w:right="49"/>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Segundo. Notifíquese vía Sistema de Acceso a la Información Mexiquense</w:t>
      </w:r>
      <w:r w:rsidRPr="009B7723">
        <w:rPr>
          <w:rFonts w:ascii="Palatino Linotype" w:eastAsia="Palatino Linotype" w:hAnsi="Palatino Linotype" w:cs="Palatino Linotype"/>
          <w:sz w:val="22"/>
          <w:szCs w:val="22"/>
        </w:rPr>
        <w:t xml:space="preserve"> (</w:t>
      </w:r>
      <w:r w:rsidRPr="009B7723">
        <w:rPr>
          <w:rFonts w:ascii="Palatino Linotype" w:eastAsia="Palatino Linotype" w:hAnsi="Palatino Linotype" w:cs="Palatino Linotype"/>
          <w:b/>
          <w:sz w:val="22"/>
          <w:szCs w:val="22"/>
        </w:rPr>
        <w:t>SAIMEX)</w:t>
      </w:r>
      <w:r w:rsidRPr="009B7723">
        <w:rPr>
          <w:rFonts w:ascii="Palatino Linotype" w:eastAsia="Palatino Linotype" w:hAnsi="Palatino Linotype" w:cs="Palatino Linotype"/>
          <w:b/>
          <w:i/>
          <w:sz w:val="22"/>
          <w:szCs w:val="22"/>
        </w:rPr>
        <w:t xml:space="preserve">, </w:t>
      </w:r>
      <w:r w:rsidRPr="009B7723">
        <w:rPr>
          <w:rFonts w:ascii="Palatino Linotype" w:eastAsia="Palatino Linotype" w:hAnsi="Palatino Linotype" w:cs="Palatino Linotype"/>
          <w:sz w:val="22"/>
          <w:szCs w:val="22"/>
        </w:rPr>
        <w:t xml:space="preserve">al Titular de la Unidad de Transparencia del </w:t>
      </w:r>
      <w:r w:rsidRPr="009B7723">
        <w:rPr>
          <w:rFonts w:ascii="Palatino Linotype" w:eastAsia="Palatino Linotype" w:hAnsi="Palatino Linotype" w:cs="Palatino Linotype"/>
          <w:b/>
          <w:sz w:val="22"/>
          <w:szCs w:val="22"/>
        </w:rPr>
        <w:t>Sujeto Obligado</w:t>
      </w:r>
      <w:r w:rsidRPr="009B7723">
        <w:rPr>
          <w:rFonts w:ascii="Palatino Linotype" w:eastAsia="Palatino Linotype" w:hAnsi="Palatino Linotype" w:cs="Palatino Linotype"/>
          <w:sz w:val="22"/>
          <w:szCs w:val="22"/>
        </w:rPr>
        <w:t xml:space="preserve"> la presente resolución, para su conocimiento.</w:t>
      </w:r>
    </w:p>
    <w:p w14:paraId="685ADBAF" w14:textId="77777777" w:rsidR="00B05CDB" w:rsidRPr="009B7723" w:rsidRDefault="00C371BC">
      <w:pPr>
        <w:spacing w:before="240" w:after="240" w:line="360" w:lineRule="auto"/>
        <w:jc w:val="both"/>
        <w:rPr>
          <w:rFonts w:ascii="Palatino Linotype" w:eastAsia="Palatino Linotype" w:hAnsi="Palatino Linotype" w:cs="Palatino Linotype"/>
          <w:sz w:val="22"/>
          <w:szCs w:val="22"/>
        </w:rPr>
      </w:pPr>
      <w:r w:rsidRPr="009B7723">
        <w:rPr>
          <w:rFonts w:ascii="Palatino Linotype" w:eastAsia="Palatino Linotype" w:hAnsi="Palatino Linotype" w:cs="Palatino Linotype"/>
          <w:b/>
          <w:sz w:val="22"/>
          <w:szCs w:val="22"/>
        </w:rPr>
        <w:t xml:space="preserve">Tercero. Notifíquese vía Sistema de Acceso a la Información Mexiquense (SAIMEX), </w:t>
      </w:r>
      <w:r w:rsidRPr="009B7723">
        <w:rPr>
          <w:rFonts w:ascii="Palatino Linotype" w:eastAsia="Palatino Linotype" w:hAnsi="Palatino Linotype" w:cs="Palatino Linotype"/>
          <w:sz w:val="22"/>
          <w:szCs w:val="22"/>
        </w:rPr>
        <w:t xml:space="preserve">la presente resolución a </w:t>
      </w:r>
      <w:r w:rsidRPr="009B7723">
        <w:rPr>
          <w:rFonts w:ascii="Palatino Linotype" w:eastAsia="Palatino Linotype" w:hAnsi="Palatino Linotype" w:cs="Palatino Linotype"/>
          <w:b/>
          <w:sz w:val="22"/>
          <w:szCs w:val="22"/>
        </w:rPr>
        <w:t>la parte Recurrente</w:t>
      </w:r>
      <w:r w:rsidRPr="009B7723">
        <w:rPr>
          <w:rFonts w:ascii="Palatino Linotype" w:eastAsia="Palatino Linotype" w:hAnsi="Palatino Linotype" w:cs="Palatino Linotype"/>
          <w:sz w:val="22"/>
          <w:szCs w:val="22"/>
        </w:rPr>
        <w:t xml:space="preserve">, así como que podrá impugnarla vía </w:t>
      </w:r>
      <w:r w:rsidRPr="009B7723">
        <w:rPr>
          <w:rFonts w:ascii="Palatino Linotype" w:eastAsia="Palatino Linotype" w:hAnsi="Palatino Linotype" w:cs="Palatino Linotype"/>
          <w:b/>
          <w:sz w:val="22"/>
          <w:szCs w:val="22"/>
        </w:rPr>
        <w:t>Juicio de Amparo</w:t>
      </w:r>
      <w:r w:rsidRPr="009B7723">
        <w:rPr>
          <w:rFonts w:ascii="Palatino Linotype" w:eastAsia="Palatino Linotype" w:hAnsi="Palatino Linotype" w:cs="Palatino Linotype"/>
          <w:sz w:val="22"/>
          <w:szCs w:val="22"/>
        </w:rPr>
        <w:t xml:space="preserve"> en los términos de las leyes aplicables, de conformidad con lo establecido en el artículo 196 de la Ley de Transparencia y Acceso a la Información Pública del Estado de México y Municipios. </w:t>
      </w:r>
    </w:p>
    <w:p w14:paraId="00AAB932" w14:textId="77777777" w:rsidR="00B05CDB" w:rsidRPr="007C3C8C" w:rsidRDefault="00C371BC">
      <w:pPr>
        <w:spacing w:line="360" w:lineRule="auto"/>
        <w:jc w:val="both"/>
        <w:rPr>
          <w:rFonts w:ascii="Palatino Linotype" w:eastAsia="Palatino Linotype" w:hAnsi="Palatino Linotype" w:cs="Palatino Linotype"/>
        </w:rPr>
      </w:pPr>
      <w:bookmarkStart w:id="9" w:name="_heading=h.lnxbz9" w:colFirst="0" w:colLast="0"/>
      <w:bookmarkEnd w:id="9"/>
      <w:r w:rsidRPr="009B7723">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w:t>
      </w:r>
      <w:r w:rsidRPr="009B7723">
        <w:rPr>
          <w:rFonts w:ascii="Palatino Linotype" w:eastAsia="Palatino Linotype" w:hAnsi="Palatino Linotype" w:cs="Palatino Linotype"/>
        </w:rPr>
        <w:lastRenderedPageBreak/>
        <w:t>GUSTAVO PARRA NORIEGA Y GUADALUPE RAMÍREZ PEÑA; EN LA OCTAVA SESIÓN ORDINARIA, CELEBRADA EL SEIS DE MARZO DE DOS MIL VEINTICINCO, ANTE EL SECRETARIO TÉCNICO DEL PLENO ALEXIS TAPIA RAMÍREZ.</w:t>
      </w:r>
      <w:r w:rsidRPr="007C3C8C">
        <w:rPr>
          <w:rFonts w:ascii="Palatino Linotype" w:eastAsia="Palatino Linotype" w:hAnsi="Palatino Linotype" w:cs="Palatino Linotype"/>
        </w:rPr>
        <w:t xml:space="preserve"> </w:t>
      </w:r>
    </w:p>
    <w:p w14:paraId="308F66DE" w14:textId="77777777" w:rsidR="00B05CDB" w:rsidRPr="007C3C8C" w:rsidRDefault="00B05CDB">
      <w:pPr>
        <w:rPr>
          <w:rFonts w:ascii="Palatino Linotype" w:eastAsia="Palatino Linotype" w:hAnsi="Palatino Linotype" w:cs="Palatino Linotype"/>
        </w:rPr>
      </w:pPr>
    </w:p>
    <w:p w14:paraId="086A12DE" w14:textId="77777777" w:rsidR="00B05CDB" w:rsidRPr="007C3C8C" w:rsidRDefault="00B05CDB">
      <w:pPr>
        <w:rPr>
          <w:rFonts w:ascii="Palatino Linotype" w:eastAsia="Palatino Linotype" w:hAnsi="Palatino Linotype" w:cs="Palatino Linotype"/>
        </w:rPr>
      </w:pPr>
    </w:p>
    <w:p w14:paraId="686280D0" w14:textId="77777777" w:rsidR="00B05CDB" w:rsidRPr="007C3C8C" w:rsidRDefault="00B05CDB">
      <w:pPr>
        <w:spacing w:line="360" w:lineRule="auto"/>
        <w:jc w:val="both"/>
        <w:rPr>
          <w:rFonts w:ascii="Palatino Linotype" w:eastAsia="Palatino Linotype" w:hAnsi="Palatino Linotype" w:cs="Palatino Linotype"/>
        </w:rPr>
      </w:pPr>
      <w:bookmarkStart w:id="10" w:name="_heading=h.3rdcrjn" w:colFirst="0" w:colLast="0"/>
      <w:bookmarkEnd w:id="10"/>
    </w:p>
    <w:p w14:paraId="25F48990" w14:textId="77777777" w:rsidR="00B05CDB" w:rsidRPr="007C3C8C" w:rsidRDefault="00B05CDB">
      <w:pPr>
        <w:spacing w:line="360" w:lineRule="auto"/>
        <w:jc w:val="both"/>
        <w:rPr>
          <w:rFonts w:ascii="Palatino Linotype" w:eastAsia="Palatino Linotype" w:hAnsi="Palatino Linotype" w:cs="Palatino Linotype"/>
        </w:rPr>
      </w:pPr>
    </w:p>
    <w:p w14:paraId="314E1AF3" w14:textId="77777777" w:rsidR="00B05CDB" w:rsidRPr="007C3C8C" w:rsidRDefault="00B05CDB">
      <w:pPr>
        <w:spacing w:line="360" w:lineRule="auto"/>
        <w:jc w:val="both"/>
        <w:rPr>
          <w:rFonts w:ascii="Palatino Linotype" w:eastAsia="Palatino Linotype" w:hAnsi="Palatino Linotype" w:cs="Palatino Linotype"/>
        </w:rPr>
      </w:pPr>
    </w:p>
    <w:p w14:paraId="1C6CBA9D" w14:textId="77777777" w:rsidR="00B05CDB" w:rsidRPr="007C3C8C" w:rsidRDefault="00B05CDB">
      <w:pPr>
        <w:spacing w:line="360" w:lineRule="auto"/>
        <w:jc w:val="both"/>
        <w:rPr>
          <w:rFonts w:ascii="Palatino Linotype" w:eastAsia="Palatino Linotype" w:hAnsi="Palatino Linotype" w:cs="Palatino Linotype"/>
        </w:rPr>
      </w:pPr>
      <w:bookmarkStart w:id="11" w:name="_heading=h.1t3h5sf" w:colFirst="0" w:colLast="0"/>
      <w:bookmarkEnd w:id="11"/>
    </w:p>
    <w:p w14:paraId="123FE6D0" w14:textId="77777777" w:rsidR="00B05CDB" w:rsidRPr="007C3C8C" w:rsidRDefault="00B05CDB">
      <w:pPr>
        <w:spacing w:line="360" w:lineRule="auto"/>
        <w:jc w:val="both"/>
        <w:rPr>
          <w:rFonts w:ascii="Palatino Linotype" w:eastAsia="Palatino Linotype" w:hAnsi="Palatino Linotype" w:cs="Palatino Linotype"/>
        </w:rPr>
      </w:pPr>
    </w:p>
    <w:p w14:paraId="388681DE" w14:textId="77777777" w:rsidR="00B05CDB" w:rsidRPr="007C3C8C" w:rsidRDefault="00B05CDB">
      <w:pPr>
        <w:spacing w:line="360" w:lineRule="auto"/>
        <w:jc w:val="both"/>
        <w:rPr>
          <w:rFonts w:ascii="Palatino Linotype" w:eastAsia="Palatino Linotype" w:hAnsi="Palatino Linotype" w:cs="Palatino Linotype"/>
        </w:rPr>
      </w:pPr>
    </w:p>
    <w:p w14:paraId="1B31065B" w14:textId="77777777" w:rsidR="00B05CDB" w:rsidRPr="007C3C8C" w:rsidRDefault="00B05CDB">
      <w:pPr>
        <w:spacing w:line="360" w:lineRule="auto"/>
        <w:jc w:val="both"/>
        <w:rPr>
          <w:rFonts w:ascii="Palatino Linotype" w:eastAsia="Palatino Linotype" w:hAnsi="Palatino Linotype" w:cs="Palatino Linotype"/>
        </w:rPr>
      </w:pPr>
    </w:p>
    <w:p w14:paraId="42CD8954" w14:textId="77777777" w:rsidR="00B05CDB" w:rsidRPr="007C3C8C" w:rsidRDefault="00B05CDB">
      <w:pPr>
        <w:spacing w:line="360" w:lineRule="auto"/>
        <w:jc w:val="both"/>
        <w:rPr>
          <w:rFonts w:ascii="Palatino Linotype" w:eastAsia="Palatino Linotype" w:hAnsi="Palatino Linotype" w:cs="Palatino Linotype"/>
        </w:rPr>
      </w:pPr>
    </w:p>
    <w:p w14:paraId="621A452A" w14:textId="77777777" w:rsidR="00B05CDB" w:rsidRPr="007C3C8C" w:rsidRDefault="00B05CDB">
      <w:pPr>
        <w:spacing w:line="360" w:lineRule="auto"/>
        <w:jc w:val="both"/>
        <w:rPr>
          <w:rFonts w:ascii="Palatino Linotype" w:eastAsia="Palatino Linotype" w:hAnsi="Palatino Linotype" w:cs="Palatino Linotype"/>
        </w:rPr>
      </w:pPr>
    </w:p>
    <w:p w14:paraId="24DC3A72" w14:textId="77777777" w:rsidR="00B05CDB" w:rsidRPr="007C3C8C" w:rsidRDefault="00B05CDB">
      <w:pPr>
        <w:spacing w:line="360" w:lineRule="auto"/>
        <w:jc w:val="both"/>
        <w:rPr>
          <w:rFonts w:ascii="Palatino Linotype" w:eastAsia="Palatino Linotype" w:hAnsi="Palatino Linotype" w:cs="Palatino Linotype"/>
        </w:rPr>
      </w:pPr>
    </w:p>
    <w:p w14:paraId="2FBAE741" w14:textId="77777777" w:rsidR="00B05CDB" w:rsidRPr="007C3C8C" w:rsidRDefault="00B05CDB">
      <w:pPr>
        <w:spacing w:line="360" w:lineRule="auto"/>
        <w:jc w:val="both"/>
        <w:rPr>
          <w:rFonts w:ascii="Palatino Linotype" w:eastAsia="Palatino Linotype" w:hAnsi="Palatino Linotype" w:cs="Palatino Linotype"/>
        </w:rPr>
      </w:pPr>
    </w:p>
    <w:p w14:paraId="3046792A" w14:textId="77777777" w:rsidR="00B05CDB" w:rsidRPr="007C3C8C" w:rsidRDefault="00B05CDB">
      <w:pPr>
        <w:spacing w:line="360" w:lineRule="auto"/>
        <w:jc w:val="both"/>
        <w:rPr>
          <w:rFonts w:ascii="Palatino Linotype" w:eastAsia="Palatino Linotype" w:hAnsi="Palatino Linotype" w:cs="Palatino Linotype"/>
        </w:rPr>
      </w:pPr>
    </w:p>
    <w:p w14:paraId="1AA2FDDA" w14:textId="77777777" w:rsidR="00B05CDB" w:rsidRPr="007C3C8C" w:rsidRDefault="00B05CDB">
      <w:pPr>
        <w:spacing w:line="360" w:lineRule="auto"/>
        <w:jc w:val="both"/>
        <w:rPr>
          <w:rFonts w:ascii="Palatino Linotype" w:eastAsia="Palatino Linotype" w:hAnsi="Palatino Linotype" w:cs="Palatino Linotype"/>
        </w:rPr>
      </w:pPr>
    </w:p>
    <w:p w14:paraId="79F15382" w14:textId="77777777" w:rsidR="00B05CDB" w:rsidRPr="007C3C8C" w:rsidRDefault="00B05CDB">
      <w:pPr>
        <w:spacing w:line="360" w:lineRule="auto"/>
        <w:jc w:val="both"/>
        <w:rPr>
          <w:rFonts w:ascii="Palatino Linotype" w:eastAsia="Palatino Linotype" w:hAnsi="Palatino Linotype" w:cs="Palatino Linotype"/>
        </w:rPr>
      </w:pPr>
    </w:p>
    <w:p w14:paraId="3A1D8EB9" w14:textId="77777777" w:rsidR="00B05CDB" w:rsidRPr="007C3C8C" w:rsidRDefault="00B05CDB">
      <w:pPr>
        <w:spacing w:line="360" w:lineRule="auto"/>
        <w:jc w:val="both"/>
        <w:rPr>
          <w:rFonts w:ascii="Palatino Linotype" w:eastAsia="Palatino Linotype" w:hAnsi="Palatino Linotype" w:cs="Palatino Linotype"/>
        </w:rPr>
      </w:pPr>
    </w:p>
    <w:p w14:paraId="1AF929A6" w14:textId="77777777" w:rsidR="00B05CDB" w:rsidRPr="007C3C8C" w:rsidRDefault="00B05CDB">
      <w:pPr>
        <w:spacing w:line="360" w:lineRule="auto"/>
        <w:jc w:val="both"/>
        <w:rPr>
          <w:rFonts w:ascii="Palatino Linotype" w:eastAsia="Palatino Linotype" w:hAnsi="Palatino Linotype" w:cs="Palatino Linotype"/>
        </w:rPr>
      </w:pPr>
    </w:p>
    <w:p w14:paraId="63BF81FF" w14:textId="77777777" w:rsidR="00B05CDB" w:rsidRPr="007C3C8C" w:rsidRDefault="00B05CDB">
      <w:pPr>
        <w:spacing w:line="360" w:lineRule="auto"/>
        <w:jc w:val="both"/>
        <w:rPr>
          <w:rFonts w:ascii="Palatino Linotype" w:eastAsia="Palatino Linotype" w:hAnsi="Palatino Linotype" w:cs="Palatino Linotype"/>
        </w:rPr>
      </w:pPr>
    </w:p>
    <w:p w14:paraId="44EAF26C" w14:textId="77777777" w:rsidR="00B05CDB" w:rsidRPr="007C3C8C" w:rsidRDefault="00B05CDB">
      <w:pPr>
        <w:spacing w:line="360" w:lineRule="auto"/>
        <w:jc w:val="both"/>
        <w:rPr>
          <w:rFonts w:ascii="Palatino Linotype" w:eastAsia="Palatino Linotype" w:hAnsi="Palatino Linotype" w:cs="Palatino Linotype"/>
        </w:rPr>
      </w:pPr>
    </w:p>
    <w:p w14:paraId="0462EA76" w14:textId="77777777" w:rsidR="00B05CDB" w:rsidRPr="007C3C8C" w:rsidRDefault="00B05CDB">
      <w:pPr>
        <w:spacing w:line="360" w:lineRule="auto"/>
        <w:jc w:val="both"/>
        <w:rPr>
          <w:rFonts w:ascii="Palatino Linotype" w:eastAsia="Palatino Linotype" w:hAnsi="Palatino Linotype" w:cs="Palatino Linotype"/>
        </w:rPr>
      </w:pPr>
    </w:p>
    <w:p w14:paraId="61C96072" w14:textId="77777777" w:rsidR="00B05CDB" w:rsidRPr="007C3C8C" w:rsidRDefault="00B05CDB">
      <w:pPr>
        <w:spacing w:line="360" w:lineRule="auto"/>
        <w:jc w:val="both"/>
        <w:rPr>
          <w:rFonts w:ascii="Palatino Linotype" w:eastAsia="Palatino Linotype" w:hAnsi="Palatino Linotype" w:cs="Palatino Linotype"/>
        </w:rPr>
      </w:pPr>
    </w:p>
    <w:p w14:paraId="0585DC5F" w14:textId="77777777" w:rsidR="00B05CDB" w:rsidRPr="007C3C8C" w:rsidRDefault="00B05CDB">
      <w:pPr>
        <w:spacing w:line="360" w:lineRule="auto"/>
        <w:jc w:val="both"/>
        <w:rPr>
          <w:rFonts w:ascii="Palatino Linotype" w:eastAsia="Palatino Linotype" w:hAnsi="Palatino Linotype" w:cs="Palatino Linotype"/>
        </w:rPr>
      </w:pPr>
    </w:p>
    <w:p w14:paraId="7B63CBA6" w14:textId="77777777" w:rsidR="00B05CDB" w:rsidRPr="007C3C8C" w:rsidRDefault="00B05CDB">
      <w:pPr>
        <w:spacing w:line="360" w:lineRule="auto"/>
        <w:jc w:val="both"/>
        <w:rPr>
          <w:rFonts w:ascii="Palatino Linotype" w:eastAsia="Palatino Linotype" w:hAnsi="Palatino Linotype" w:cs="Palatino Linotype"/>
        </w:rPr>
      </w:pPr>
    </w:p>
    <w:p w14:paraId="3E88A6C7" w14:textId="77777777" w:rsidR="00B05CDB" w:rsidRPr="007C3C8C" w:rsidRDefault="00B05CDB">
      <w:pPr>
        <w:spacing w:line="360" w:lineRule="auto"/>
        <w:jc w:val="both"/>
        <w:rPr>
          <w:rFonts w:ascii="Palatino Linotype" w:eastAsia="Palatino Linotype" w:hAnsi="Palatino Linotype" w:cs="Palatino Linotype"/>
        </w:rPr>
      </w:pPr>
    </w:p>
    <w:sectPr w:rsidR="00B05CDB" w:rsidRPr="007C3C8C">
      <w:headerReference w:type="default" r:id="rId14"/>
      <w:footerReference w:type="default" r:id="rId15"/>
      <w:headerReference w:type="first" r:id="rId16"/>
      <w:footerReference w:type="first" r:id="rId17"/>
      <w:pgSz w:w="12240" w:h="15840"/>
      <w:pgMar w:top="1985" w:right="1467"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E47748" w14:textId="77777777" w:rsidR="00A415C9" w:rsidRDefault="00A415C9">
      <w:r>
        <w:separator/>
      </w:r>
    </w:p>
  </w:endnote>
  <w:endnote w:type="continuationSeparator" w:id="0">
    <w:p w14:paraId="3A582670" w14:textId="77777777" w:rsidR="00A415C9" w:rsidRDefault="00A415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Noto Sans Symbols">
    <w:altName w:val="Times New Roman"/>
    <w:charset w:val="00"/>
    <w:family w:val="auto"/>
    <w:pitch w:val="default"/>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BC5531" w14:textId="77777777" w:rsidR="00B05CDB" w:rsidRDefault="00C371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7723">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7723">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691CE947" w14:textId="77777777" w:rsidR="00B05CDB" w:rsidRDefault="00B05CDB">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3EE46" w14:textId="77777777" w:rsidR="00B05CDB" w:rsidRDefault="00C371BC">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9B7723">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9B7723">
      <w:rPr>
        <w:rFonts w:ascii="Palatino Linotype" w:eastAsia="Palatino Linotype" w:hAnsi="Palatino Linotype" w:cs="Palatino Linotype"/>
        <w:b/>
        <w:noProof/>
        <w:color w:val="000000"/>
        <w:sz w:val="20"/>
        <w:szCs w:val="20"/>
      </w:rPr>
      <w:t>24</w:t>
    </w:r>
    <w:r>
      <w:rPr>
        <w:rFonts w:ascii="Palatino Linotype" w:eastAsia="Palatino Linotype" w:hAnsi="Palatino Linotype" w:cs="Palatino Linotype"/>
        <w:b/>
        <w:color w:val="000000"/>
        <w:sz w:val="20"/>
        <w:szCs w:val="20"/>
      </w:rPr>
      <w:fldChar w:fldCharType="end"/>
    </w:r>
  </w:p>
  <w:p w14:paraId="0748F41F" w14:textId="77777777" w:rsidR="00B05CDB" w:rsidRDefault="00B05CDB">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C3F11" w14:textId="77777777" w:rsidR="00A415C9" w:rsidRDefault="00A415C9">
      <w:r>
        <w:separator/>
      </w:r>
    </w:p>
  </w:footnote>
  <w:footnote w:type="continuationSeparator" w:id="0">
    <w:p w14:paraId="1AAE7F4D" w14:textId="77777777" w:rsidR="00A415C9" w:rsidRDefault="00A415C9">
      <w:r>
        <w:continuationSeparator/>
      </w:r>
    </w:p>
  </w:footnote>
  <w:footnote w:id="1">
    <w:p w14:paraId="1E8B6BC6" w14:textId="77777777" w:rsidR="00B05CDB" w:rsidRDefault="00C371B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Cambria" w:eastAsia="Cambria" w:hAnsi="Cambria" w:cs="Cambria"/>
          <w:color w:val="000000"/>
          <w:sz w:val="20"/>
          <w:szCs w:val="20"/>
        </w:rPr>
        <w:t xml:space="preserve"> </w:t>
      </w:r>
      <w:r>
        <w:rPr>
          <w:rFonts w:ascii="Palatino Linotype" w:eastAsia="Palatino Linotype" w:hAnsi="Palatino Linotype" w:cs="Palatino Linotype"/>
          <w:b/>
          <w:color w:val="000000"/>
          <w:sz w:val="18"/>
          <w:szCs w:val="18"/>
        </w:rPr>
        <w:t>Artículo 192.</w:t>
      </w:r>
      <w:r>
        <w:rPr>
          <w:rFonts w:ascii="Palatino Linotype" w:eastAsia="Palatino Linotype" w:hAnsi="Palatino Linotype" w:cs="Palatino Linotype"/>
          <w:color w:val="000000"/>
          <w:sz w:val="18"/>
          <w:szCs w:val="18"/>
        </w:rPr>
        <w:t xml:space="preserve"> El recurso será sobreseído, en todo o en parte, cuando una vez admitido, se actualicen alguno de los siguientes supuestos:</w:t>
      </w:r>
    </w:p>
    <w:p w14:paraId="65B25974" w14:textId="77777777" w:rsidR="00B05CDB" w:rsidRDefault="00C371BC">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w:t>
      </w:r>
    </w:p>
    <w:p w14:paraId="061E9EC5" w14:textId="77777777" w:rsidR="00B05CDB" w:rsidRDefault="00C371BC">
      <w:pPr>
        <w:pBdr>
          <w:top w:val="nil"/>
          <w:left w:val="nil"/>
          <w:bottom w:val="nil"/>
          <w:right w:val="nil"/>
          <w:between w:val="nil"/>
        </w:pBdr>
        <w:rPr>
          <w:rFonts w:ascii="Palatino Linotype" w:eastAsia="Palatino Linotype" w:hAnsi="Palatino Linotype" w:cs="Palatino Linotype"/>
          <w:color w:val="000000"/>
          <w:sz w:val="18"/>
          <w:szCs w:val="18"/>
        </w:rPr>
      </w:pPr>
      <w:r>
        <w:rPr>
          <w:rFonts w:ascii="Palatino Linotype" w:eastAsia="Palatino Linotype" w:hAnsi="Palatino Linotype" w:cs="Palatino Linotype"/>
          <w:color w:val="000000"/>
          <w:sz w:val="18"/>
          <w:szCs w:val="18"/>
        </w:rPr>
        <w:t>III. El sujeto obligado responsable del acto lo modifique o revoque de tal manera que el recurso de revisión quede sin materia;</w:t>
      </w:r>
    </w:p>
  </w:footnote>
  <w:footnote w:id="2">
    <w:p w14:paraId="5FBDA70F" w14:textId="77777777" w:rsidR="00B05CDB" w:rsidRDefault="00C371BC">
      <w:pPr>
        <w:pBdr>
          <w:top w:val="nil"/>
          <w:left w:val="nil"/>
          <w:bottom w:val="nil"/>
          <w:right w:val="nil"/>
          <w:between w:val="nil"/>
        </w:pBdr>
        <w:rPr>
          <w:rFonts w:ascii="Palatino Linotype" w:eastAsia="Palatino Linotype" w:hAnsi="Palatino Linotype" w:cs="Palatino Linotype"/>
          <w:color w:val="000000"/>
          <w:sz w:val="18"/>
          <w:szCs w:val="18"/>
        </w:rPr>
      </w:pPr>
      <w:r>
        <w:rPr>
          <w:vertAlign w:val="superscript"/>
        </w:rPr>
        <w:footnoteRef/>
      </w:r>
      <w:r>
        <w:rPr>
          <w:rFonts w:ascii="Palatino Linotype" w:eastAsia="Palatino Linotype" w:hAnsi="Palatino Linotype" w:cs="Palatino Linotype"/>
          <w:color w:val="000000"/>
          <w:sz w:val="18"/>
          <w:szCs w:val="18"/>
        </w:rPr>
        <w:t xml:space="preserve"> </w:t>
      </w:r>
      <w:r>
        <w:rPr>
          <w:rFonts w:ascii="Palatino Linotype" w:eastAsia="Palatino Linotype" w:hAnsi="Palatino Linotype" w:cs="Palatino Linotype"/>
          <w:b/>
          <w:color w:val="000000"/>
          <w:sz w:val="18"/>
          <w:szCs w:val="18"/>
        </w:rPr>
        <w:t>Artículo 186</w:t>
      </w:r>
      <w:r>
        <w:rPr>
          <w:rFonts w:ascii="Palatino Linotype" w:eastAsia="Palatino Linotype" w:hAnsi="Palatino Linotype" w:cs="Palatino Linotype"/>
          <w:color w:val="000000"/>
          <w:sz w:val="18"/>
          <w:szCs w:val="18"/>
        </w:rPr>
        <w:t>. Las resoluciones del Instituto podrán:</w:t>
      </w:r>
    </w:p>
    <w:p w14:paraId="09BECCD5" w14:textId="77777777" w:rsidR="00B05CDB" w:rsidRDefault="00C371BC">
      <w:pPr>
        <w:pBdr>
          <w:top w:val="nil"/>
          <w:left w:val="nil"/>
          <w:bottom w:val="nil"/>
          <w:right w:val="nil"/>
          <w:between w:val="nil"/>
        </w:pBdr>
        <w:rPr>
          <w:rFonts w:ascii="Cambria" w:eastAsia="Cambria" w:hAnsi="Cambria" w:cs="Cambria"/>
          <w:color w:val="000000"/>
          <w:sz w:val="20"/>
          <w:szCs w:val="20"/>
        </w:rPr>
      </w:pPr>
      <w:r>
        <w:rPr>
          <w:rFonts w:ascii="Palatino Linotype" w:eastAsia="Palatino Linotype" w:hAnsi="Palatino Linotype" w:cs="Palatino Linotype"/>
          <w:color w:val="000000"/>
          <w:sz w:val="18"/>
          <w:szCs w:val="18"/>
        </w:rPr>
        <w:t>I. Desechar o sobreseer el recurso;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E5B71" w14:textId="77777777" w:rsidR="00B05CDB" w:rsidRDefault="00C371BC">
    <w:pPr>
      <w:rPr>
        <w:rFonts w:ascii="Cambria" w:eastAsia="Cambria" w:hAnsi="Cambria" w:cs="Cambria"/>
        <w:color w:val="000000"/>
      </w:rPr>
    </w:pPr>
    <w:r>
      <w:rPr>
        <w:noProof/>
      </w:rPr>
      <w:drawing>
        <wp:anchor distT="0" distB="0" distL="0" distR="0" simplePos="0" relativeHeight="251658240" behindDoc="1" locked="0" layoutInCell="1" hidden="0" allowOverlap="1" wp14:anchorId="6C09CC06" wp14:editId="4EE503F4">
          <wp:simplePos x="0" y="0"/>
          <wp:positionH relativeFrom="column">
            <wp:posOffset>-1080109</wp:posOffset>
          </wp:positionH>
          <wp:positionV relativeFrom="paragraph">
            <wp:posOffset>-488284</wp:posOffset>
          </wp:positionV>
          <wp:extent cx="7809865" cy="10165715"/>
          <wp:effectExtent l="0" t="0" r="0" b="0"/>
          <wp:wrapNone/>
          <wp:docPr id="1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9"/>
      <w:tblW w:w="7087" w:type="dxa"/>
      <w:tblInd w:w="3261" w:type="dxa"/>
      <w:tblLayout w:type="fixed"/>
      <w:tblLook w:val="0400" w:firstRow="0" w:lastRow="0" w:firstColumn="0" w:lastColumn="0" w:noHBand="0" w:noVBand="1"/>
    </w:tblPr>
    <w:tblGrid>
      <w:gridCol w:w="2489"/>
      <w:gridCol w:w="4598"/>
    </w:tblGrid>
    <w:tr w:rsidR="00B05CDB" w14:paraId="0CDDFECD" w14:textId="77777777">
      <w:tc>
        <w:tcPr>
          <w:tcW w:w="2489" w:type="dxa"/>
          <w:shd w:val="clear" w:color="auto" w:fill="auto"/>
        </w:tcPr>
        <w:p w14:paraId="7E56DD6E"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598" w:type="dxa"/>
          <w:shd w:val="clear" w:color="auto" w:fill="auto"/>
          <w:vAlign w:val="center"/>
        </w:tcPr>
        <w:p w14:paraId="6579CDEE" w14:textId="77777777" w:rsidR="00B05CDB" w:rsidRDefault="00C371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00609/INFOEM/IP/RR/2025</w:t>
          </w:r>
        </w:p>
      </w:tc>
    </w:tr>
    <w:tr w:rsidR="00B05CDB" w14:paraId="28D49A29" w14:textId="77777777">
      <w:trPr>
        <w:trHeight w:val="228"/>
      </w:trPr>
      <w:tc>
        <w:tcPr>
          <w:tcW w:w="2489" w:type="dxa"/>
          <w:shd w:val="clear" w:color="auto" w:fill="auto"/>
          <w:vAlign w:val="center"/>
        </w:tcPr>
        <w:p w14:paraId="3B84C20F"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598" w:type="dxa"/>
          <w:shd w:val="clear" w:color="auto" w:fill="auto"/>
          <w:vAlign w:val="center"/>
        </w:tcPr>
        <w:p w14:paraId="6F158D24" w14:textId="77777777" w:rsidR="00B05CDB" w:rsidRDefault="00C371BC">
          <w:pPr>
            <w:ind w:left="-45" w:right="116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05CDB" w14:paraId="5DEF5801" w14:textId="77777777">
      <w:tc>
        <w:tcPr>
          <w:tcW w:w="2489" w:type="dxa"/>
          <w:shd w:val="clear" w:color="auto" w:fill="auto"/>
          <w:vAlign w:val="center"/>
        </w:tcPr>
        <w:p w14:paraId="7F2AE8F0" w14:textId="77777777" w:rsidR="00B05CDB" w:rsidRDefault="00C371BC">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598" w:type="dxa"/>
          <w:shd w:val="clear" w:color="auto" w:fill="auto"/>
          <w:vAlign w:val="center"/>
        </w:tcPr>
        <w:p w14:paraId="2C373B6C" w14:textId="77777777" w:rsidR="00B05CDB" w:rsidRDefault="00C371BC">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20FF9ED" w14:textId="77777777" w:rsidR="00B05CDB" w:rsidRDefault="00C371BC">
    <w:pPr>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F2EFFF" w14:textId="77777777" w:rsidR="00B05CDB" w:rsidRDefault="00C371BC">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r>
      <w:rPr>
        <w:noProof/>
      </w:rPr>
      <w:drawing>
        <wp:anchor distT="0" distB="0" distL="0" distR="0" simplePos="0" relativeHeight="251659264" behindDoc="1" locked="0" layoutInCell="1" hidden="0" allowOverlap="1" wp14:anchorId="42D5988F" wp14:editId="174A7587">
          <wp:simplePos x="0" y="0"/>
          <wp:positionH relativeFrom="column">
            <wp:posOffset>-1079487</wp:posOffset>
          </wp:positionH>
          <wp:positionV relativeFrom="paragraph">
            <wp:posOffset>-328916</wp:posOffset>
          </wp:positionV>
          <wp:extent cx="7809865" cy="10165715"/>
          <wp:effectExtent l="0" t="0" r="0" b="0"/>
          <wp:wrapNone/>
          <wp:docPr id="1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fa"/>
      <w:tblW w:w="6945" w:type="dxa"/>
      <w:tblInd w:w="3261" w:type="dxa"/>
      <w:tblLayout w:type="fixed"/>
      <w:tblLook w:val="0400" w:firstRow="0" w:lastRow="0" w:firstColumn="0" w:lastColumn="0" w:noHBand="0" w:noVBand="1"/>
    </w:tblPr>
    <w:tblGrid>
      <w:gridCol w:w="2551"/>
      <w:gridCol w:w="4394"/>
    </w:tblGrid>
    <w:tr w:rsidR="00B05CDB" w14:paraId="39EE627A" w14:textId="77777777">
      <w:tc>
        <w:tcPr>
          <w:tcW w:w="2551" w:type="dxa"/>
          <w:shd w:val="clear" w:color="auto" w:fill="auto"/>
          <w:vAlign w:val="center"/>
        </w:tcPr>
        <w:p w14:paraId="0AEDC8E1"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394" w:type="dxa"/>
          <w:shd w:val="clear" w:color="auto" w:fill="auto"/>
          <w:vAlign w:val="center"/>
        </w:tcPr>
        <w:p w14:paraId="5F401EE7" w14:textId="77777777" w:rsidR="00B05CDB" w:rsidRDefault="00C371BC">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00609/INFOEM/IP/RR/2025</w:t>
          </w:r>
        </w:p>
      </w:tc>
    </w:tr>
    <w:tr w:rsidR="00B05CDB" w14:paraId="5FC25D29" w14:textId="77777777">
      <w:trPr>
        <w:trHeight w:val="130"/>
      </w:trPr>
      <w:tc>
        <w:tcPr>
          <w:tcW w:w="2551" w:type="dxa"/>
          <w:shd w:val="clear" w:color="auto" w:fill="auto"/>
          <w:vAlign w:val="center"/>
        </w:tcPr>
        <w:p w14:paraId="0944C501"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394" w:type="dxa"/>
          <w:shd w:val="clear" w:color="auto" w:fill="auto"/>
          <w:vAlign w:val="center"/>
        </w:tcPr>
        <w:p w14:paraId="2E46734F" w14:textId="3C0E6F7B" w:rsidR="00B05CDB" w:rsidRDefault="00291C50">
          <w:pPr>
            <w:ind w:left="-4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 XXX XXXXXXXX XXXXXXX </w:t>
          </w:r>
        </w:p>
      </w:tc>
    </w:tr>
    <w:tr w:rsidR="00B05CDB" w14:paraId="182D19ED" w14:textId="77777777">
      <w:trPr>
        <w:trHeight w:val="228"/>
      </w:trPr>
      <w:tc>
        <w:tcPr>
          <w:tcW w:w="2551" w:type="dxa"/>
          <w:shd w:val="clear" w:color="auto" w:fill="auto"/>
          <w:vAlign w:val="center"/>
        </w:tcPr>
        <w:p w14:paraId="3E7CE854"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394" w:type="dxa"/>
          <w:shd w:val="clear" w:color="auto" w:fill="auto"/>
          <w:vAlign w:val="center"/>
        </w:tcPr>
        <w:p w14:paraId="58E9B0B6" w14:textId="77777777" w:rsidR="00B05CDB" w:rsidRDefault="00C371BC">
          <w:pPr>
            <w:ind w:left="-45" w:right="1302"/>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Ecatepec de Morelos</w:t>
          </w:r>
        </w:p>
      </w:tc>
    </w:tr>
    <w:tr w:rsidR="00B05CDB" w14:paraId="5D1A9E5A" w14:textId="77777777">
      <w:tc>
        <w:tcPr>
          <w:tcW w:w="2551" w:type="dxa"/>
          <w:shd w:val="clear" w:color="auto" w:fill="auto"/>
          <w:vAlign w:val="center"/>
        </w:tcPr>
        <w:p w14:paraId="15484A7A" w14:textId="77777777" w:rsidR="00B05CDB" w:rsidRDefault="00C371BC">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4394" w:type="dxa"/>
          <w:shd w:val="clear" w:color="auto" w:fill="auto"/>
          <w:vAlign w:val="center"/>
        </w:tcPr>
        <w:p w14:paraId="115DF8B3" w14:textId="77777777" w:rsidR="00B05CDB" w:rsidRDefault="00C371BC">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6139CCCB" w14:textId="77777777" w:rsidR="00B05CDB" w:rsidRDefault="00B05CDB">
    <w:pPr>
      <w:pBdr>
        <w:top w:val="nil"/>
        <w:left w:val="nil"/>
        <w:bottom w:val="nil"/>
        <w:right w:val="nil"/>
        <w:between w:val="nil"/>
      </w:pBdr>
      <w:tabs>
        <w:tab w:val="center" w:pos="4252"/>
        <w:tab w:val="right" w:pos="8504"/>
      </w:tabs>
      <w:rPr>
        <w:rFonts w:ascii="Cambria" w:eastAsia="Cambria" w:hAnsi="Cambria" w:cs="Cambria"/>
        <w:color w:val="000000"/>
      </w:rPr>
    </w:pPr>
  </w:p>
  <w:p w14:paraId="01726962" w14:textId="77777777" w:rsidR="00B05CDB" w:rsidRDefault="00B05CD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2635BD"/>
    <w:multiLevelType w:val="multilevel"/>
    <w:tmpl w:val="A5A67DC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5CC37441"/>
    <w:multiLevelType w:val="multilevel"/>
    <w:tmpl w:val="78C4690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68932F24"/>
    <w:multiLevelType w:val="multilevel"/>
    <w:tmpl w:val="5EB6EA6C"/>
    <w:lvl w:ilvl="0">
      <w:start w:val="101"/>
      <w:numFmt w:val="bullet"/>
      <w:lvlText w:val="-"/>
      <w:lvlJc w:val="left"/>
      <w:pPr>
        <w:ind w:left="927" w:hanging="360"/>
      </w:pPr>
      <w:rPr>
        <w:rFonts w:ascii="Palatino Linotype" w:eastAsia="Palatino Linotype" w:hAnsi="Palatino Linotype" w:cs="Palatino Linotype"/>
      </w:rPr>
    </w:lvl>
    <w:lvl w:ilvl="1">
      <w:start w:val="1"/>
      <w:numFmt w:val="bullet"/>
      <w:lvlText w:val="o"/>
      <w:lvlJc w:val="left"/>
      <w:pPr>
        <w:ind w:left="1647" w:hanging="360"/>
      </w:pPr>
      <w:rPr>
        <w:rFonts w:ascii="Courier New" w:eastAsia="Courier New" w:hAnsi="Courier New" w:cs="Courier New"/>
      </w:rPr>
    </w:lvl>
    <w:lvl w:ilvl="2">
      <w:start w:val="1"/>
      <w:numFmt w:val="bullet"/>
      <w:lvlText w:val="▪"/>
      <w:lvlJc w:val="left"/>
      <w:pPr>
        <w:ind w:left="2367" w:hanging="360"/>
      </w:pPr>
      <w:rPr>
        <w:rFonts w:ascii="Noto Sans Symbols" w:eastAsia="Noto Sans Symbols" w:hAnsi="Noto Sans Symbols" w:cs="Noto Sans Symbols"/>
      </w:rPr>
    </w:lvl>
    <w:lvl w:ilvl="3">
      <w:start w:val="1"/>
      <w:numFmt w:val="bullet"/>
      <w:lvlText w:val="●"/>
      <w:lvlJc w:val="left"/>
      <w:pPr>
        <w:ind w:left="3087" w:hanging="360"/>
      </w:pPr>
      <w:rPr>
        <w:rFonts w:ascii="Noto Sans Symbols" w:eastAsia="Noto Sans Symbols" w:hAnsi="Noto Sans Symbols" w:cs="Noto Sans Symbols"/>
      </w:rPr>
    </w:lvl>
    <w:lvl w:ilvl="4">
      <w:start w:val="1"/>
      <w:numFmt w:val="bullet"/>
      <w:lvlText w:val="o"/>
      <w:lvlJc w:val="left"/>
      <w:pPr>
        <w:ind w:left="3807" w:hanging="360"/>
      </w:pPr>
      <w:rPr>
        <w:rFonts w:ascii="Courier New" w:eastAsia="Courier New" w:hAnsi="Courier New" w:cs="Courier New"/>
      </w:rPr>
    </w:lvl>
    <w:lvl w:ilvl="5">
      <w:start w:val="1"/>
      <w:numFmt w:val="bullet"/>
      <w:lvlText w:val="▪"/>
      <w:lvlJc w:val="left"/>
      <w:pPr>
        <w:ind w:left="4527" w:hanging="360"/>
      </w:pPr>
      <w:rPr>
        <w:rFonts w:ascii="Noto Sans Symbols" w:eastAsia="Noto Sans Symbols" w:hAnsi="Noto Sans Symbols" w:cs="Noto Sans Symbols"/>
      </w:rPr>
    </w:lvl>
    <w:lvl w:ilvl="6">
      <w:start w:val="1"/>
      <w:numFmt w:val="bullet"/>
      <w:lvlText w:val="●"/>
      <w:lvlJc w:val="left"/>
      <w:pPr>
        <w:ind w:left="5247" w:hanging="360"/>
      </w:pPr>
      <w:rPr>
        <w:rFonts w:ascii="Noto Sans Symbols" w:eastAsia="Noto Sans Symbols" w:hAnsi="Noto Sans Symbols" w:cs="Noto Sans Symbols"/>
      </w:rPr>
    </w:lvl>
    <w:lvl w:ilvl="7">
      <w:start w:val="1"/>
      <w:numFmt w:val="bullet"/>
      <w:lvlText w:val="o"/>
      <w:lvlJc w:val="left"/>
      <w:pPr>
        <w:ind w:left="5967" w:hanging="360"/>
      </w:pPr>
      <w:rPr>
        <w:rFonts w:ascii="Courier New" w:eastAsia="Courier New" w:hAnsi="Courier New" w:cs="Courier New"/>
      </w:rPr>
    </w:lvl>
    <w:lvl w:ilvl="8">
      <w:start w:val="1"/>
      <w:numFmt w:val="bullet"/>
      <w:lvlText w:val="▪"/>
      <w:lvlJc w:val="left"/>
      <w:pPr>
        <w:ind w:left="6687" w:hanging="360"/>
      </w:pPr>
      <w:rPr>
        <w:rFonts w:ascii="Noto Sans Symbols" w:eastAsia="Noto Sans Symbols" w:hAnsi="Noto Sans Symbols" w:cs="Noto Sans Symbols"/>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05CDB"/>
    <w:rsid w:val="00291C50"/>
    <w:rsid w:val="007C3C8C"/>
    <w:rsid w:val="00865A6E"/>
    <w:rsid w:val="009B7723"/>
    <w:rsid w:val="00A415C9"/>
    <w:rsid w:val="00B05CDB"/>
    <w:rsid w:val="00C371BC"/>
    <w:rsid w:val="00DF06B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3EC3548"/>
  <w15:docId w15:val="{A36E6825-A197-4277-98EE-66EFF35E5F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93422"/>
  </w:style>
  <w:style w:type="paragraph" w:styleId="Ttulo1">
    <w:name w:val="heading 1"/>
    <w:basedOn w:val="Normal"/>
    <w:next w:val="Normal"/>
    <w:uiPriority w:val="9"/>
    <w:qFormat/>
    <w:pPr>
      <w:keepNext/>
      <w:keepLines/>
      <w:spacing w:before="240"/>
      <w:outlineLvl w:val="0"/>
    </w:pPr>
    <w:rPr>
      <w:rFonts w:ascii="Calibri" w:eastAsia="Calibri" w:hAnsi="Calibri" w:cs="Calibri"/>
      <w:color w:val="366091"/>
      <w:sz w:val="32"/>
      <w:szCs w:val="32"/>
      <w:lang w:val="es-ES"/>
    </w:rPr>
  </w:style>
  <w:style w:type="paragraph" w:styleId="Ttulo2">
    <w:name w:val="heading 2"/>
    <w:basedOn w:val="Normal"/>
    <w:next w:val="Normal"/>
    <w:uiPriority w:val="9"/>
    <w:semiHidden/>
    <w:unhideWhenUsed/>
    <w:qFormat/>
    <w:pPr>
      <w:keepNext/>
      <w:keepLines/>
      <w:spacing w:before="40"/>
      <w:outlineLvl w:val="1"/>
    </w:pPr>
    <w:rPr>
      <w:rFonts w:ascii="Calibri" w:eastAsia="Calibri" w:hAnsi="Calibri" w:cs="Calibri"/>
      <w:color w:val="366091"/>
      <w:sz w:val="26"/>
      <w:szCs w:val="26"/>
      <w:lang w:val="es-ES"/>
    </w:rPr>
  </w:style>
  <w:style w:type="paragraph" w:styleId="Ttulo3">
    <w:name w:val="heading 3"/>
    <w:basedOn w:val="Normal"/>
    <w:next w:val="Normal"/>
    <w:uiPriority w:val="9"/>
    <w:semiHidden/>
    <w:unhideWhenUsed/>
    <w:qFormat/>
    <w:pPr>
      <w:keepNext/>
      <w:spacing w:before="240" w:after="60"/>
      <w:ind w:left="2160" w:hanging="720"/>
      <w:outlineLvl w:val="2"/>
    </w:pPr>
    <w:rPr>
      <w:rFonts w:ascii="Calibri" w:eastAsia="Calibri" w:hAnsi="Calibri" w:cs="Calibri"/>
      <w:b/>
      <w:sz w:val="26"/>
      <w:szCs w:val="26"/>
      <w:lang w:val="es-ES"/>
    </w:rPr>
  </w:style>
  <w:style w:type="paragraph" w:styleId="Ttulo4">
    <w:name w:val="heading 4"/>
    <w:basedOn w:val="Normal"/>
    <w:next w:val="Normal"/>
    <w:uiPriority w:val="9"/>
    <w:semiHidden/>
    <w:unhideWhenUsed/>
    <w:qFormat/>
    <w:pPr>
      <w:keepNext/>
      <w:spacing w:before="240" w:after="60"/>
      <w:ind w:left="2880" w:hanging="720"/>
      <w:outlineLvl w:val="3"/>
    </w:pPr>
    <w:rPr>
      <w:rFonts w:ascii="Cambria" w:eastAsia="Cambria" w:hAnsi="Cambria" w:cs="Cambria"/>
      <w:b/>
      <w:sz w:val="28"/>
      <w:szCs w:val="28"/>
      <w:lang w:val="es-ES"/>
    </w:rPr>
  </w:style>
  <w:style w:type="paragraph" w:styleId="Ttulo5">
    <w:name w:val="heading 5"/>
    <w:basedOn w:val="Normal"/>
    <w:next w:val="Normal"/>
    <w:uiPriority w:val="9"/>
    <w:semiHidden/>
    <w:unhideWhenUsed/>
    <w:qFormat/>
    <w:pPr>
      <w:spacing w:before="240" w:after="60"/>
      <w:ind w:left="3600" w:hanging="720"/>
      <w:outlineLvl w:val="4"/>
    </w:pPr>
    <w:rPr>
      <w:rFonts w:ascii="Cambria" w:eastAsia="Cambria" w:hAnsi="Cambria" w:cs="Cambria"/>
      <w:b/>
      <w:i/>
      <w:sz w:val="26"/>
      <w:szCs w:val="26"/>
      <w:lang w:val="es-ES"/>
    </w:rPr>
  </w:style>
  <w:style w:type="paragraph" w:styleId="Ttulo6">
    <w:name w:val="heading 6"/>
    <w:basedOn w:val="Normal"/>
    <w:next w:val="Normal"/>
    <w:uiPriority w:val="9"/>
    <w:semiHidden/>
    <w:unhideWhenUsed/>
    <w:qFormat/>
    <w:pPr>
      <w:spacing w:before="240" w:after="60"/>
      <w:ind w:left="4320" w:hanging="720"/>
      <w:outlineLvl w:val="5"/>
    </w:pPr>
    <w:rPr>
      <w:b/>
      <w:sz w:val="22"/>
      <w:szCs w:val="22"/>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lang w:val="es-ES"/>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table" w:customStyle="1" w:styleId="TableNormal8">
    <w:name w:val="Table Normal"/>
    <w:tblPr>
      <w:tblCellMar>
        <w:top w:w="0" w:type="dxa"/>
        <w:left w:w="0" w:type="dxa"/>
        <w:bottom w:w="0" w:type="dxa"/>
        <w:right w:w="0" w:type="dxa"/>
      </w:tblCellMar>
    </w:tbl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8"/>
    <w:tblPr>
      <w:tblStyleRowBandSize w:val="1"/>
      <w:tblStyleColBandSize w:val="1"/>
      <w:tblCellMar>
        <w:left w:w="115" w:type="dxa"/>
        <w:right w:w="115" w:type="dxa"/>
      </w:tblCellMar>
    </w:tblPr>
  </w:style>
  <w:style w:type="table" w:customStyle="1" w:styleId="a0">
    <w:basedOn w:val="TableNormal8"/>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FE2A5A"/>
    <w:pPr>
      <w:tabs>
        <w:tab w:val="center" w:pos="4419"/>
        <w:tab w:val="right" w:pos="8838"/>
      </w:tabs>
    </w:pPr>
    <w:rPr>
      <w:lang w:val="es-ES"/>
    </w:rPr>
  </w:style>
  <w:style w:type="character" w:customStyle="1" w:styleId="EncabezadoCar">
    <w:name w:val="Encabezado Car"/>
    <w:basedOn w:val="Fuentedeprrafopredeter"/>
    <w:link w:val="Encabezado"/>
    <w:uiPriority w:val="99"/>
    <w:rsid w:val="00FE2A5A"/>
  </w:style>
  <w:style w:type="paragraph" w:styleId="Piedepgina">
    <w:name w:val="footer"/>
    <w:basedOn w:val="Normal"/>
    <w:link w:val="PiedepginaCar"/>
    <w:uiPriority w:val="99"/>
    <w:unhideWhenUsed/>
    <w:rsid w:val="00FE2A5A"/>
    <w:pPr>
      <w:tabs>
        <w:tab w:val="center" w:pos="4419"/>
        <w:tab w:val="right" w:pos="8838"/>
      </w:tabs>
    </w:pPr>
    <w:rPr>
      <w:lang w:val="es-ES"/>
    </w:rPr>
  </w:style>
  <w:style w:type="character" w:customStyle="1" w:styleId="PiedepginaCar">
    <w:name w:val="Pie de página Car"/>
    <w:basedOn w:val="Fuentedeprrafopredeter"/>
    <w:link w:val="Piedepgina"/>
    <w:uiPriority w:val="99"/>
    <w:rsid w:val="00FE2A5A"/>
  </w:style>
  <w:style w:type="paragraph" w:styleId="Prrafodelista">
    <w:name w:val="List Paragraph"/>
    <w:basedOn w:val="Normal"/>
    <w:uiPriority w:val="34"/>
    <w:qFormat/>
    <w:rsid w:val="00FE2A5A"/>
    <w:pPr>
      <w:ind w:left="720"/>
      <w:contextualSpacing/>
    </w:pPr>
    <w:rPr>
      <w:lang w:val="es-ES"/>
    </w:rPr>
  </w:style>
  <w:style w:type="table" w:styleId="Tablaconcuadrcula">
    <w:name w:val="Table Grid"/>
    <w:basedOn w:val="Tablanormal"/>
    <w:uiPriority w:val="39"/>
    <w:rsid w:val="005135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012F5"/>
    <w:pPr>
      <w:spacing w:before="100" w:beforeAutospacing="1" w:after="100" w:afterAutospacing="1"/>
    </w:pPr>
    <w:rPr>
      <w:lang w:val="es-ES"/>
    </w:rPr>
  </w:style>
  <w:style w:type="table" w:customStyle="1" w:styleId="a1">
    <w:basedOn w:val="TableNormal8"/>
    <w:tblPr>
      <w:tblStyleRowBandSize w:val="1"/>
      <w:tblStyleColBandSize w:val="1"/>
      <w:tblCellMar>
        <w:left w:w="115" w:type="dxa"/>
        <w:right w:w="115" w:type="dxa"/>
      </w:tblCellMar>
    </w:tblPr>
  </w:style>
  <w:style w:type="table" w:customStyle="1" w:styleId="a2">
    <w:basedOn w:val="TableNormal8"/>
    <w:tblPr>
      <w:tblStyleRowBandSize w:val="1"/>
      <w:tblStyleColBandSize w:val="1"/>
      <w:tblCellMar>
        <w:left w:w="115" w:type="dxa"/>
        <w:right w:w="115" w:type="dxa"/>
      </w:tblCellMar>
    </w:tblPr>
  </w:style>
  <w:style w:type="character" w:customStyle="1" w:styleId="apple-tab-span">
    <w:name w:val="apple-tab-span"/>
    <w:basedOn w:val="Fuentedeprrafopredeter"/>
    <w:rsid w:val="00355FC9"/>
  </w:style>
  <w:style w:type="table" w:customStyle="1" w:styleId="a3">
    <w:basedOn w:val="TableNormal7"/>
    <w:tblPr>
      <w:tblStyleRowBandSize w:val="1"/>
      <w:tblStyleColBandSize w:val="1"/>
      <w:tblCellMar>
        <w:left w:w="115" w:type="dxa"/>
        <w:right w:w="115" w:type="dxa"/>
      </w:tblCellMar>
    </w:tblPr>
  </w:style>
  <w:style w:type="table" w:customStyle="1" w:styleId="a4">
    <w:basedOn w:val="TableNormal7"/>
    <w:tblPr>
      <w:tblStyleRowBandSize w:val="1"/>
      <w:tblStyleColBandSize w:val="1"/>
      <w:tblCellMar>
        <w:left w:w="115" w:type="dxa"/>
        <w:right w:w="115" w:type="dxa"/>
      </w:tblCellMar>
    </w:tblPr>
  </w:style>
  <w:style w:type="character" w:styleId="Hipervnculo">
    <w:name w:val="Hyperlink"/>
    <w:basedOn w:val="Fuentedeprrafopredeter"/>
    <w:uiPriority w:val="99"/>
    <w:unhideWhenUsed/>
    <w:rsid w:val="009C2C49"/>
    <w:rPr>
      <w:color w:val="0000FF"/>
      <w:u w:val="single"/>
    </w:rPr>
  </w:style>
  <w:style w:type="table" w:customStyle="1" w:styleId="a5">
    <w:basedOn w:val="TableNormal6"/>
    <w:tblPr>
      <w:tblStyleRowBandSize w:val="1"/>
      <w:tblStyleColBandSize w:val="1"/>
      <w:tblCellMar>
        <w:left w:w="115" w:type="dxa"/>
        <w:right w:w="115" w:type="dxa"/>
      </w:tblCellMar>
    </w:tblPr>
  </w:style>
  <w:style w:type="table" w:customStyle="1" w:styleId="a6">
    <w:basedOn w:val="TableNormal6"/>
    <w:tblPr>
      <w:tblStyleRowBandSize w:val="1"/>
      <w:tblStyleColBandSize w:val="1"/>
      <w:tblCellMar>
        <w:left w:w="115" w:type="dxa"/>
        <w:right w:w="115" w:type="dxa"/>
      </w:tblCellMar>
    </w:tblPr>
  </w:style>
  <w:style w:type="table" w:customStyle="1" w:styleId="a7">
    <w:basedOn w:val="TableNormal5"/>
    <w:tblPr>
      <w:tblStyleRowBandSize w:val="1"/>
      <w:tblStyleColBandSize w:val="1"/>
      <w:tblCellMar>
        <w:left w:w="115" w:type="dxa"/>
        <w:right w:w="115" w:type="dxa"/>
      </w:tblCellMar>
    </w:tblPr>
  </w:style>
  <w:style w:type="table" w:customStyle="1" w:styleId="a8">
    <w:basedOn w:val="TableNormal5"/>
    <w:tblPr>
      <w:tblStyleRowBandSize w:val="1"/>
      <w:tblStyleColBandSize w:val="1"/>
      <w:tblCellMar>
        <w:left w:w="115" w:type="dxa"/>
        <w:right w:w="115" w:type="dxa"/>
      </w:tblCellMar>
    </w:tblPr>
  </w:style>
  <w:style w:type="table" w:customStyle="1" w:styleId="a9">
    <w:basedOn w:val="TableNormal5"/>
    <w:tblPr>
      <w:tblStyleRowBandSize w:val="1"/>
      <w:tblStyleColBandSize w:val="1"/>
      <w:tblCellMar>
        <w:left w:w="115" w:type="dxa"/>
        <w:right w:w="115" w:type="dxa"/>
      </w:tblCellMar>
    </w:tblPr>
  </w:style>
  <w:style w:type="table" w:customStyle="1" w:styleId="aa">
    <w:basedOn w:val="TableNormal5"/>
    <w:tblPr>
      <w:tblStyleRowBandSize w:val="1"/>
      <w:tblStyleColBandSize w:val="1"/>
      <w:tblCellMar>
        <w:left w:w="115" w:type="dxa"/>
        <w:right w:w="115" w:type="dxa"/>
      </w:tblCellMar>
    </w:tblPr>
  </w:style>
  <w:style w:type="table" w:customStyle="1" w:styleId="ab">
    <w:basedOn w:val="TableNormal4"/>
    <w:tblPr>
      <w:tblStyleRowBandSize w:val="1"/>
      <w:tblStyleColBandSize w:val="1"/>
      <w:tblCellMar>
        <w:left w:w="115" w:type="dxa"/>
        <w:right w:w="115" w:type="dxa"/>
      </w:tblCellMar>
    </w:tblPr>
  </w:style>
  <w:style w:type="table" w:customStyle="1" w:styleId="ac">
    <w:basedOn w:val="TableNormal4"/>
    <w:tblPr>
      <w:tblStyleRowBandSize w:val="1"/>
      <w:tblStyleColBandSize w:val="1"/>
      <w:tblCellMar>
        <w:left w:w="115" w:type="dxa"/>
        <w:right w:w="115" w:type="dxa"/>
      </w:tblCellMar>
    </w:tblPr>
  </w:style>
  <w:style w:type="table" w:customStyle="1" w:styleId="ad">
    <w:basedOn w:val="TableNormal4"/>
    <w:tblPr>
      <w:tblStyleRowBandSize w:val="1"/>
      <w:tblStyleColBandSize w:val="1"/>
      <w:tblCellMar>
        <w:left w:w="115" w:type="dxa"/>
        <w:right w:w="115" w:type="dxa"/>
      </w:tblCellMar>
    </w:tblPr>
  </w:style>
  <w:style w:type="table" w:customStyle="1" w:styleId="ae">
    <w:basedOn w:val="TableNormal4"/>
    <w:tblPr>
      <w:tblStyleRowBandSize w:val="1"/>
      <w:tblStyleColBandSize w:val="1"/>
      <w:tblCellMar>
        <w:left w:w="115" w:type="dxa"/>
        <w:right w:w="115" w:type="dxa"/>
      </w:tblCellMar>
    </w:tblPr>
  </w:style>
  <w:style w:type="table" w:customStyle="1" w:styleId="af">
    <w:basedOn w:val="TableNormal3"/>
    <w:tblPr>
      <w:tblStyleRowBandSize w:val="1"/>
      <w:tblStyleColBandSize w:val="1"/>
      <w:tblCellMar>
        <w:left w:w="115" w:type="dxa"/>
        <w:right w:w="115" w:type="dxa"/>
      </w:tblCellMar>
    </w:tblPr>
  </w:style>
  <w:style w:type="table" w:customStyle="1" w:styleId="af0">
    <w:basedOn w:val="TableNormal3"/>
    <w:tblPr>
      <w:tblStyleRowBandSize w:val="1"/>
      <w:tblStyleColBandSize w:val="1"/>
      <w:tblCellMar>
        <w:left w:w="115" w:type="dxa"/>
        <w:right w:w="115" w:type="dxa"/>
      </w:tblCellMar>
    </w:tblPr>
  </w:style>
  <w:style w:type="table" w:customStyle="1" w:styleId="af1">
    <w:basedOn w:val="TableNormal3"/>
    <w:tblPr>
      <w:tblStyleRowBandSize w:val="1"/>
      <w:tblStyleColBandSize w:val="1"/>
      <w:tblCellMar>
        <w:left w:w="115" w:type="dxa"/>
        <w:right w:w="115" w:type="dxa"/>
      </w:tblCellMar>
    </w:tblPr>
  </w:style>
  <w:style w:type="table" w:customStyle="1" w:styleId="af2">
    <w:basedOn w:val="TableNormal3"/>
    <w:tblPr>
      <w:tblStyleRowBandSize w:val="1"/>
      <w:tblStyleColBandSize w:val="1"/>
      <w:tblCellMar>
        <w:left w:w="115" w:type="dxa"/>
        <w:right w:w="115" w:type="dxa"/>
      </w:tblCellMar>
    </w:tblPr>
  </w:style>
  <w:style w:type="table" w:customStyle="1" w:styleId="af3">
    <w:basedOn w:val="TableNormal2"/>
    <w:tblPr>
      <w:tblStyleRowBandSize w:val="1"/>
      <w:tblStyleColBandSize w:val="1"/>
      <w:tblCellMar>
        <w:left w:w="115" w:type="dxa"/>
        <w:right w:w="115" w:type="dxa"/>
      </w:tblCellMar>
    </w:tblPr>
  </w:style>
  <w:style w:type="table" w:customStyle="1" w:styleId="af4">
    <w:basedOn w:val="TableNormal2"/>
    <w:tblPr>
      <w:tblStyleRowBandSize w:val="1"/>
      <w:tblStyleColBandSize w:val="1"/>
      <w:tblCellMar>
        <w:left w:w="115" w:type="dxa"/>
        <w:right w:w="115" w:type="dxa"/>
      </w:tblCellMar>
    </w:tblPr>
  </w:style>
  <w:style w:type="table" w:customStyle="1" w:styleId="af5">
    <w:basedOn w:val="TableNormal1"/>
    <w:tblPr>
      <w:tblStyleRowBandSize w:val="1"/>
      <w:tblStyleColBandSize w:val="1"/>
      <w:tblCellMar>
        <w:left w:w="108" w:type="dxa"/>
        <w:right w:w="108" w:type="dxa"/>
      </w:tblCellMar>
    </w:tblPr>
  </w:style>
  <w:style w:type="table" w:customStyle="1" w:styleId="af6">
    <w:basedOn w:val="TableNormal1"/>
    <w:tblPr>
      <w:tblStyleRowBandSize w:val="1"/>
      <w:tblStyleColBandSize w:val="1"/>
      <w:tblCellMar>
        <w:left w:w="115" w:type="dxa"/>
        <w:right w:w="115" w:type="dxa"/>
      </w:tblCellMar>
    </w:tblPr>
  </w:style>
  <w:style w:type="table" w:customStyle="1" w:styleId="af7">
    <w:basedOn w:val="TableNormal1"/>
    <w:tblPr>
      <w:tblStyleRowBandSize w:val="1"/>
      <w:tblStyleColBandSize w:val="1"/>
      <w:tblCellMar>
        <w:left w:w="115" w:type="dxa"/>
        <w:right w:w="115" w:type="dxa"/>
      </w:tblCellMar>
    </w:tblPr>
  </w:style>
  <w:style w:type="table" w:customStyle="1" w:styleId="af8">
    <w:basedOn w:val="TableNormal0"/>
    <w:tblPr>
      <w:tblStyleRowBandSize w:val="1"/>
      <w:tblStyleColBandSize w:val="1"/>
      <w:tblCellMar>
        <w:left w:w="108" w:type="dxa"/>
        <w:right w:w="108" w:type="dxa"/>
      </w:tblCellMar>
    </w:tblPr>
  </w:style>
  <w:style w:type="table" w:customStyle="1" w:styleId="af9">
    <w:basedOn w:val="TableNormal0"/>
    <w:tblPr>
      <w:tblStyleRowBandSize w:val="1"/>
      <w:tblStyleColBandSize w:val="1"/>
      <w:tblCellMar>
        <w:left w:w="115" w:type="dxa"/>
        <w:right w:w="115" w:type="dxa"/>
      </w:tblCellMar>
    </w:tblPr>
  </w:style>
  <w:style w:type="table" w:customStyle="1" w:styleId="afa">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about:blank" TargetMode="Externa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oggY5vxNzqE0BhiJOJCTHZTHWg==">CgMxLjAyCWguMWZvYjl0ZTIIaC5namRneHMyCWguM2R5NnZrbTIJaC4zMGowemxsMgloLjJzOGV5bzEyCGgudHlqY3d0MgloLjN6bnlzaDcyCWguMmV0OTJwMDIJaC4xN2RwOHZ1MghoLmxueGJ6OTIJaC4zcmRjcmpuMgloLjF0M2g1c2Y4AHIhMUEzblg5dEQ3SUZpTnV2bzFMY2JyWGFhRGhZNjhFU3NO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24</Pages>
  <Words>5804</Words>
  <Characters>31925</Characters>
  <Application>Microsoft Office Word</Application>
  <DocSecurity>0</DocSecurity>
  <Lines>266</Lines>
  <Paragraphs>75</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37654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Villagómez Martínez</cp:lastModifiedBy>
  <cp:revision>2</cp:revision>
  <cp:lastPrinted>2025-03-07T21:06:00Z</cp:lastPrinted>
  <dcterms:created xsi:type="dcterms:W3CDTF">2025-03-28T19:14:00Z</dcterms:created>
  <dcterms:modified xsi:type="dcterms:W3CDTF">2025-03-28T19:14:00Z</dcterms:modified>
</cp:coreProperties>
</file>