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70A" w:rsidRDefault="00ED570A">
      <w:pPr>
        <w:widowControl w:val="0"/>
        <w:pBdr>
          <w:top w:val="nil"/>
          <w:left w:val="nil"/>
          <w:bottom w:val="nil"/>
          <w:right w:val="nil"/>
          <w:between w:val="nil"/>
        </w:pBdr>
        <w:spacing w:line="276" w:lineRule="auto"/>
      </w:pPr>
    </w:p>
    <w:p w:rsidR="00ED570A" w:rsidRPr="003B37F6" w:rsidRDefault="00022CBA">
      <w:pPr>
        <w:spacing w:line="360" w:lineRule="auto"/>
        <w:jc w:val="both"/>
        <w:rPr>
          <w:rFonts w:ascii="Palatino Linotype" w:eastAsia="Palatino Linotype" w:hAnsi="Palatino Linotype" w:cs="Palatino Linotype"/>
        </w:rPr>
      </w:pPr>
      <w:r w:rsidRPr="003B37F6">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veintidós de enero de dos mil veinticinco.</w:t>
      </w:r>
    </w:p>
    <w:p w:rsidR="00ED570A" w:rsidRPr="003B37F6" w:rsidRDefault="00ED570A">
      <w:pPr>
        <w:spacing w:line="360" w:lineRule="auto"/>
        <w:jc w:val="both"/>
        <w:rPr>
          <w:rFonts w:ascii="Palatino Linotype" w:eastAsia="Palatino Linotype" w:hAnsi="Palatino Linotype" w:cs="Palatino Linotype"/>
        </w:rPr>
      </w:pPr>
    </w:p>
    <w:p w:rsidR="00ED570A" w:rsidRPr="003B37F6" w:rsidRDefault="00022CBA">
      <w:pPr>
        <w:spacing w:line="360" w:lineRule="auto"/>
        <w:jc w:val="both"/>
        <w:rPr>
          <w:rFonts w:ascii="Palatino Linotype" w:eastAsia="Palatino Linotype" w:hAnsi="Palatino Linotype" w:cs="Palatino Linotype"/>
        </w:rPr>
      </w:pPr>
      <w:r w:rsidRPr="003B37F6">
        <w:rPr>
          <w:rFonts w:ascii="Palatino Linotype" w:eastAsia="Palatino Linotype" w:hAnsi="Palatino Linotype" w:cs="Palatino Linotype"/>
          <w:b/>
        </w:rPr>
        <w:t xml:space="preserve">VISTO </w:t>
      </w:r>
      <w:r w:rsidRPr="003B37F6">
        <w:rPr>
          <w:rFonts w:ascii="Palatino Linotype" w:eastAsia="Palatino Linotype" w:hAnsi="Palatino Linotype" w:cs="Palatino Linotype"/>
        </w:rPr>
        <w:t xml:space="preserve">el expediente electrónico formados con motivo del recurso de revisión </w:t>
      </w:r>
      <w:r w:rsidRPr="003B37F6">
        <w:rPr>
          <w:rFonts w:ascii="Palatino Linotype" w:eastAsia="Palatino Linotype" w:hAnsi="Palatino Linotype" w:cs="Palatino Linotype"/>
          <w:b/>
        </w:rPr>
        <w:t xml:space="preserve">07628/INFOEM/IP/RR/2024 </w:t>
      </w:r>
      <w:r w:rsidRPr="003B37F6">
        <w:rPr>
          <w:rFonts w:ascii="Palatino Linotype" w:eastAsia="Palatino Linotype" w:hAnsi="Palatino Linotype" w:cs="Palatino Linotype"/>
        </w:rPr>
        <w:t xml:space="preserve">promovido por </w:t>
      </w:r>
      <w:r w:rsidR="00902965" w:rsidRPr="003B37F6">
        <w:rPr>
          <w:rFonts w:ascii="Palatino Linotype" w:eastAsia="Palatino Linotype" w:hAnsi="Palatino Linotype" w:cs="Palatino Linotype"/>
        </w:rPr>
        <w:t>XXXXXXXXXX</w:t>
      </w:r>
      <w:r w:rsidRPr="003B37F6">
        <w:rPr>
          <w:rFonts w:ascii="Palatino Linotype" w:eastAsia="Palatino Linotype" w:hAnsi="Palatino Linotype" w:cs="Palatino Linotype"/>
        </w:rPr>
        <w:t>, a través del</w:t>
      </w:r>
      <w:r w:rsidRPr="003B37F6">
        <w:rPr>
          <w:rFonts w:ascii="Palatino Linotype" w:eastAsia="Palatino Linotype" w:hAnsi="Palatino Linotype" w:cs="Palatino Linotype"/>
          <w:b/>
        </w:rPr>
        <w:t xml:space="preserve"> Sistema de Acceso a la Información Mexiquense (SAIMEX),</w:t>
      </w:r>
      <w:r w:rsidRPr="003B37F6">
        <w:rPr>
          <w:rFonts w:ascii="Palatino Linotype" w:eastAsia="Palatino Linotype" w:hAnsi="Palatino Linotype" w:cs="Palatino Linotype"/>
        </w:rPr>
        <w:t xml:space="preserve"> a quien en lo sucesivo se identificará como </w:t>
      </w:r>
      <w:r w:rsidRPr="003B37F6">
        <w:rPr>
          <w:rFonts w:ascii="Palatino Linotype" w:eastAsia="Palatino Linotype" w:hAnsi="Palatino Linotype" w:cs="Palatino Linotype"/>
          <w:b/>
        </w:rPr>
        <w:t>EL RECURRENTE</w:t>
      </w:r>
      <w:r w:rsidRPr="003B37F6">
        <w:rPr>
          <w:rFonts w:ascii="Palatino Linotype" w:eastAsia="Palatino Linotype" w:hAnsi="Palatino Linotype" w:cs="Palatino Linotype"/>
        </w:rPr>
        <w:t xml:space="preserve">, en contra de la respuesta del </w:t>
      </w:r>
      <w:r w:rsidRPr="003B37F6">
        <w:rPr>
          <w:rFonts w:ascii="Palatino Linotype" w:eastAsia="Palatino Linotype" w:hAnsi="Palatino Linotype" w:cs="Palatino Linotype"/>
          <w:b/>
        </w:rPr>
        <w:t xml:space="preserve">Ayuntamiento de San Felipe del Progreso, </w:t>
      </w:r>
      <w:r w:rsidRPr="003B37F6">
        <w:rPr>
          <w:rFonts w:ascii="Palatino Linotype" w:eastAsia="Palatino Linotype" w:hAnsi="Palatino Linotype" w:cs="Palatino Linotype"/>
        </w:rPr>
        <w:t>en adelante el</w:t>
      </w:r>
      <w:r w:rsidRPr="003B37F6">
        <w:rPr>
          <w:rFonts w:ascii="Palatino Linotype" w:eastAsia="Palatino Linotype" w:hAnsi="Palatino Linotype" w:cs="Palatino Linotype"/>
          <w:b/>
        </w:rPr>
        <w:t xml:space="preserve"> SUJETO OBLIGADO</w:t>
      </w:r>
      <w:r w:rsidRPr="003B37F6">
        <w:rPr>
          <w:rFonts w:ascii="Palatino Linotype" w:eastAsia="Palatino Linotype" w:hAnsi="Palatino Linotype" w:cs="Palatino Linotype"/>
        </w:rPr>
        <w:t>, por lo que se procede a dictar la presente resolución, con base en los siguientes:</w:t>
      </w:r>
    </w:p>
    <w:p w:rsidR="00ED570A" w:rsidRPr="003B37F6" w:rsidRDefault="00ED570A">
      <w:pPr>
        <w:keepNext/>
        <w:keepLines/>
        <w:spacing w:line="360" w:lineRule="auto"/>
        <w:jc w:val="center"/>
        <w:rPr>
          <w:rFonts w:ascii="Palatino Linotype" w:eastAsia="Palatino Linotype" w:hAnsi="Palatino Linotype" w:cs="Palatino Linotype"/>
          <w:b/>
        </w:rPr>
      </w:pPr>
      <w:bookmarkStart w:id="0" w:name="_heading=h.gjdgxs" w:colFirst="0" w:colLast="0"/>
      <w:bookmarkEnd w:id="0"/>
    </w:p>
    <w:p w:rsidR="00ED570A" w:rsidRPr="003B37F6" w:rsidRDefault="00022CBA">
      <w:pPr>
        <w:keepNext/>
        <w:keepLines/>
        <w:spacing w:line="360" w:lineRule="auto"/>
        <w:jc w:val="center"/>
        <w:rPr>
          <w:rFonts w:ascii="Palatino Linotype" w:eastAsia="Palatino Linotype" w:hAnsi="Palatino Linotype" w:cs="Palatino Linotype"/>
          <w:b/>
        </w:rPr>
      </w:pPr>
      <w:r w:rsidRPr="003B37F6">
        <w:rPr>
          <w:rFonts w:ascii="Palatino Linotype" w:eastAsia="Palatino Linotype" w:hAnsi="Palatino Linotype" w:cs="Palatino Linotype"/>
          <w:b/>
        </w:rPr>
        <w:t>A N T E C E D E N T E S</w:t>
      </w:r>
    </w:p>
    <w:p w:rsidR="00ED570A" w:rsidRPr="003B37F6" w:rsidRDefault="00ED570A">
      <w:pPr>
        <w:keepNext/>
        <w:keepLines/>
        <w:spacing w:line="360" w:lineRule="auto"/>
        <w:jc w:val="center"/>
        <w:rPr>
          <w:rFonts w:ascii="Palatino Linotype" w:eastAsia="Palatino Linotype" w:hAnsi="Palatino Linotype" w:cs="Palatino Linotype"/>
          <w:b/>
        </w:rPr>
      </w:pPr>
    </w:p>
    <w:p w:rsidR="00ED570A" w:rsidRPr="003B37F6" w:rsidRDefault="00022CBA">
      <w:pPr>
        <w:numPr>
          <w:ilvl w:val="0"/>
          <w:numId w:val="1"/>
        </w:numPr>
        <w:spacing w:line="360" w:lineRule="auto"/>
        <w:ind w:left="0" w:firstLine="0"/>
        <w:jc w:val="both"/>
      </w:pPr>
      <w:r w:rsidRPr="003B37F6">
        <w:rPr>
          <w:rFonts w:ascii="Palatino Linotype" w:eastAsia="Palatino Linotype" w:hAnsi="Palatino Linotype" w:cs="Palatino Linotype"/>
        </w:rPr>
        <w:t xml:space="preserve">El fecha </w:t>
      </w:r>
      <w:r w:rsidRPr="003B37F6">
        <w:rPr>
          <w:rFonts w:ascii="Palatino Linotype" w:eastAsia="Palatino Linotype" w:hAnsi="Palatino Linotype" w:cs="Palatino Linotype"/>
          <w:b/>
        </w:rPr>
        <w:t>veintinueve de agosto de dos mil veinticuatro</w:t>
      </w:r>
      <w:r w:rsidRPr="003B37F6">
        <w:rPr>
          <w:rFonts w:ascii="Palatino Linotype" w:eastAsia="Palatino Linotype" w:hAnsi="Palatino Linotype" w:cs="Palatino Linotype"/>
        </w:rPr>
        <w:t xml:space="preserve">, </w:t>
      </w:r>
      <w:r w:rsidRPr="003B37F6">
        <w:rPr>
          <w:rFonts w:ascii="Palatino Linotype" w:eastAsia="Palatino Linotype" w:hAnsi="Palatino Linotype" w:cs="Palatino Linotype"/>
          <w:b/>
        </w:rPr>
        <w:t>EL RECURRENTE,</w:t>
      </w:r>
      <w:r w:rsidRPr="003B37F6">
        <w:rPr>
          <w:rFonts w:ascii="Palatino Linotype" w:eastAsia="Palatino Linotype" w:hAnsi="Palatino Linotype" w:cs="Palatino Linotype"/>
        </w:rPr>
        <w:t xml:space="preserve"> ante el </w:t>
      </w:r>
      <w:r w:rsidRPr="003B37F6">
        <w:rPr>
          <w:rFonts w:ascii="Palatino Linotype" w:eastAsia="Palatino Linotype" w:hAnsi="Palatino Linotype" w:cs="Palatino Linotype"/>
          <w:b/>
        </w:rPr>
        <w:t>SUJETO OBLIGADO</w:t>
      </w:r>
      <w:r w:rsidRPr="003B37F6">
        <w:rPr>
          <w:rFonts w:ascii="Palatino Linotype" w:eastAsia="Palatino Linotype" w:hAnsi="Palatino Linotype" w:cs="Palatino Linotype"/>
        </w:rPr>
        <w:t xml:space="preserve"> vía Sistema de Acceso a la Información Mexiquense (</w:t>
      </w:r>
      <w:r w:rsidRPr="003B37F6">
        <w:rPr>
          <w:rFonts w:ascii="Palatino Linotype" w:eastAsia="Palatino Linotype" w:hAnsi="Palatino Linotype" w:cs="Palatino Linotype"/>
          <w:b/>
        </w:rPr>
        <w:t>SAIMEX)</w:t>
      </w:r>
      <w:r w:rsidRPr="003B37F6">
        <w:rPr>
          <w:rFonts w:ascii="Palatino Linotype" w:eastAsia="Palatino Linotype" w:hAnsi="Palatino Linotype" w:cs="Palatino Linotype"/>
        </w:rPr>
        <w:t xml:space="preserve">, presentó la solicitud de información registrada con el número </w:t>
      </w:r>
      <w:r w:rsidRPr="003B37F6">
        <w:rPr>
          <w:rFonts w:ascii="Palatino Linotype" w:eastAsia="Palatino Linotype" w:hAnsi="Palatino Linotype" w:cs="Palatino Linotype"/>
          <w:b/>
        </w:rPr>
        <w:t xml:space="preserve">00121/FELIPRO/IP/2024 </w:t>
      </w:r>
      <w:r w:rsidRPr="003B37F6">
        <w:rPr>
          <w:rFonts w:ascii="Palatino Linotype" w:eastAsia="Palatino Linotype" w:hAnsi="Palatino Linotype" w:cs="Palatino Linotype"/>
        </w:rPr>
        <w:t>en las que se solicitó lo siguiente:</w:t>
      </w:r>
    </w:p>
    <w:p w:rsidR="00ED570A" w:rsidRPr="003B37F6" w:rsidRDefault="00ED570A">
      <w:pPr>
        <w:spacing w:line="360" w:lineRule="auto"/>
        <w:jc w:val="both"/>
        <w:rPr>
          <w:rFonts w:ascii="Palatino Linotype" w:eastAsia="Palatino Linotype" w:hAnsi="Palatino Linotype" w:cs="Palatino Linotype"/>
        </w:rPr>
      </w:pPr>
    </w:p>
    <w:p w:rsidR="00ED570A" w:rsidRPr="003B37F6" w:rsidRDefault="00022CBA">
      <w:pPr>
        <w:spacing w:line="360" w:lineRule="auto"/>
        <w:ind w:left="993" w:right="680"/>
        <w:jc w:val="both"/>
        <w:rPr>
          <w:rFonts w:ascii="Palatino Linotype" w:eastAsia="Palatino Linotype" w:hAnsi="Palatino Linotype" w:cs="Palatino Linotype"/>
          <w:i/>
        </w:rPr>
      </w:pPr>
      <w:r w:rsidRPr="003B37F6">
        <w:rPr>
          <w:rFonts w:ascii="Palatino Linotype" w:eastAsia="Palatino Linotype" w:hAnsi="Palatino Linotype" w:cs="Palatino Linotype"/>
          <w:i/>
          <w:color w:val="000000"/>
        </w:rPr>
        <w:t xml:space="preserve">“SOLICITO EL RECIBO DE NOMINA DEL PRESIDENTE MUNICIPAL, SECRETARIO DEL AYUNTAMIENTO, SECRETARIO TECNICO, SECRETARIO PARTICULAR, DIRECTOR DE GOBERNACIÓN, CHOFER DEL PRESIDENTE, ASI COMO EL PAGO DE DIETAS Y </w:t>
      </w:r>
      <w:r w:rsidRPr="003B37F6">
        <w:rPr>
          <w:rFonts w:ascii="Palatino Linotype" w:eastAsia="Palatino Linotype" w:hAnsi="Palatino Linotype" w:cs="Palatino Linotype"/>
          <w:i/>
          <w:color w:val="000000"/>
        </w:rPr>
        <w:lastRenderedPageBreak/>
        <w:t xml:space="preserve">ASIGNACIÓN DE VEHICULOS, GASTOS DE GASOLINA DE LOS VEHICULOS OFICIALES ASIGNADOS DEL 01 AL 28 DE AGOSTO DE 2024.” </w:t>
      </w:r>
      <w:r w:rsidRPr="003B37F6">
        <w:rPr>
          <w:rFonts w:ascii="Palatino Linotype" w:eastAsia="Palatino Linotype" w:hAnsi="Palatino Linotype" w:cs="Palatino Linotype"/>
          <w:color w:val="000000"/>
        </w:rPr>
        <w:t>(Sic)</w:t>
      </w:r>
    </w:p>
    <w:p w:rsidR="00ED570A" w:rsidRPr="003B37F6" w:rsidRDefault="00ED570A">
      <w:pPr>
        <w:spacing w:line="360" w:lineRule="auto"/>
        <w:jc w:val="both"/>
        <w:rPr>
          <w:rFonts w:ascii="Palatino Linotype" w:eastAsia="Palatino Linotype" w:hAnsi="Palatino Linotype" w:cs="Palatino Linotype"/>
        </w:rPr>
      </w:pPr>
    </w:p>
    <w:p w:rsidR="00ED570A" w:rsidRPr="003B37F6" w:rsidRDefault="00022CBA">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Se eligió como modalidad de entrega a través de la plataforma digital Sistema de Acceso a la Información Mexiquense (SAIMEX).</w:t>
      </w:r>
    </w:p>
    <w:p w:rsidR="00ED570A" w:rsidRPr="003B37F6" w:rsidRDefault="00ED570A">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rsidR="00ED570A" w:rsidRPr="003B37F6" w:rsidRDefault="00022CBA">
      <w:pPr>
        <w:numPr>
          <w:ilvl w:val="0"/>
          <w:numId w:val="2"/>
        </w:numPr>
        <w:pBdr>
          <w:top w:val="nil"/>
          <w:left w:val="nil"/>
          <w:bottom w:val="nil"/>
          <w:right w:val="nil"/>
          <w:between w:val="nil"/>
        </w:pBdr>
        <w:spacing w:line="360" w:lineRule="auto"/>
        <w:rPr>
          <w:rFonts w:ascii="Palatino Linotype" w:eastAsia="Palatino Linotype" w:hAnsi="Palatino Linotype" w:cs="Palatino Linotype"/>
          <w:color w:val="000000"/>
        </w:rPr>
      </w:pPr>
      <w:bookmarkStart w:id="1" w:name="_heading=h.1fob9te" w:colFirst="0" w:colLast="0"/>
      <w:bookmarkEnd w:id="1"/>
      <w:r w:rsidRPr="003B37F6">
        <w:rPr>
          <w:rFonts w:ascii="Palatino Linotype" w:eastAsia="Palatino Linotype" w:hAnsi="Palatino Linotype" w:cs="Palatino Linotype"/>
          <w:b/>
          <w:color w:val="000000"/>
          <w:u w:val="single"/>
        </w:rPr>
        <w:t>Respuesta del Sujeto Obligado.</w:t>
      </w: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 xml:space="preserve">En fecha </w:t>
      </w:r>
      <w:r w:rsidRPr="003B37F6">
        <w:rPr>
          <w:rFonts w:ascii="Palatino Linotype" w:eastAsia="Palatino Linotype" w:hAnsi="Palatino Linotype" w:cs="Palatino Linotype"/>
          <w:b/>
          <w:color w:val="000000"/>
        </w:rPr>
        <w:t>seis de diciembre  de dos mil veinticuatro</w:t>
      </w:r>
      <w:r w:rsidRPr="003B37F6">
        <w:rPr>
          <w:rFonts w:ascii="Palatino Linotype" w:eastAsia="Palatino Linotype" w:hAnsi="Palatino Linotype" w:cs="Palatino Linotype"/>
          <w:color w:val="000000"/>
        </w:rPr>
        <w:t xml:space="preserve">, el </w:t>
      </w:r>
      <w:r w:rsidRPr="003B37F6">
        <w:rPr>
          <w:rFonts w:ascii="Palatino Linotype" w:eastAsia="Palatino Linotype" w:hAnsi="Palatino Linotype" w:cs="Palatino Linotype"/>
          <w:b/>
          <w:color w:val="000000"/>
        </w:rPr>
        <w:t>SUJETO OBLIGADO</w:t>
      </w:r>
      <w:r w:rsidRPr="003B37F6">
        <w:rPr>
          <w:rFonts w:ascii="Palatino Linotype" w:eastAsia="Palatino Linotype" w:hAnsi="Palatino Linotype" w:cs="Palatino Linotype"/>
          <w:b/>
          <w:i/>
          <w:color w:val="000000"/>
        </w:rPr>
        <w:t xml:space="preserve"> </w:t>
      </w:r>
      <w:r w:rsidRPr="003B37F6">
        <w:rPr>
          <w:rFonts w:ascii="Palatino Linotype" w:eastAsia="Palatino Linotype" w:hAnsi="Palatino Linotype" w:cs="Palatino Linotype"/>
          <w:color w:val="000000"/>
        </w:rPr>
        <w:t xml:space="preserve">dio respuesta haciendo un cambio de modalidad, argumentando limitaciones técnicas y administrativas, fijando horario para realizar consulta directa en las oficinas de la Dirección de Administración y Tesorería municipal. </w:t>
      </w:r>
    </w:p>
    <w:p w:rsidR="00ED570A" w:rsidRPr="003B37F6" w:rsidRDefault="00ED570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D570A" w:rsidRPr="003B37F6" w:rsidRDefault="00022CBA">
      <w:pPr>
        <w:numPr>
          <w:ilvl w:val="0"/>
          <w:numId w:val="3"/>
        </w:numPr>
        <w:pBdr>
          <w:top w:val="nil"/>
          <w:left w:val="nil"/>
          <w:bottom w:val="nil"/>
          <w:right w:val="nil"/>
          <w:between w:val="nil"/>
        </w:pBdr>
        <w:spacing w:line="360" w:lineRule="auto"/>
        <w:ind w:right="538"/>
        <w:jc w:val="both"/>
        <w:rPr>
          <w:rFonts w:ascii="Palatino Linotype" w:eastAsia="Palatino Linotype" w:hAnsi="Palatino Linotype" w:cs="Palatino Linotype"/>
          <w:b/>
          <w:i/>
          <w:color w:val="000000"/>
          <w:u w:val="single"/>
        </w:rPr>
      </w:pPr>
      <w:r w:rsidRPr="003B37F6">
        <w:rPr>
          <w:rFonts w:ascii="Palatino Linotype" w:eastAsia="Palatino Linotype" w:hAnsi="Palatino Linotype" w:cs="Palatino Linotype"/>
          <w:b/>
          <w:color w:val="000000"/>
          <w:u w:val="single"/>
        </w:rPr>
        <w:t>Recurso de Revisión (razones o motivos de inconformidad)</w:t>
      </w:r>
    </w:p>
    <w:p w:rsidR="00ED570A" w:rsidRPr="003B37F6" w:rsidRDefault="00022CBA">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i/>
          <w:color w:val="000000"/>
        </w:rPr>
      </w:pPr>
      <w:r w:rsidRPr="003B37F6">
        <w:rPr>
          <w:rFonts w:ascii="Palatino Linotype" w:eastAsia="Palatino Linotype" w:hAnsi="Palatino Linotype" w:cs="Palatino Linotype"/>
          <w:color w:val="000000"/>
        </w:rPr>
        <w:t>En fecha</w:t>
      </w:r>
      <w:r w:rsidRPr="003B37F6">
        <w:rPr>
          <w:rFonts w:ascii="Palatino Linotype" w:eastAsia="Palatino Linotype" w:hAnsi="Palatino Linotype" w:cs="Palatino Linotype"/>
          <w:b/>
          <w:color w:val="000000"/>
        </w:rPr>
        <w:t xml:space="preserve"> doce de diciembre de dos mil veinticuatro,</w:t>
      </w:r>
      <w:r w:rsidRPr="003B37F6">
        <w:rPr>
          <w:rFonts w:ascii="Palatino Linotype" w:eastAsia="Palatino Linotype" w:hAnsi="Palatino Linotype" w:cs="Palatino Linotype"/>
          <w:color w:val="000000"/>
        </w:rPr>
        <w:t xml:space="preserve"> el particular interpuso el recurso de revisión en contra de la respuesta, manifestando las siguientes razones o motivos de inconformidad:</w:t>
      </w:r>
    </w:p>
    <w:p w:rsidR="00ED570A" w:rsidRPr="003B37F6" w:rsidRDefault="00ED570A">
      <w:p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rPr>
      </w:pPr>
    </w:p>
    <w:p w:rsidR="00ED570A" w:rsidRPr="003B37F6" w:rsidRDefault="00022CBA">
      <w:pPr>
        <w:numPr>
          <w:ilvl w:val="0"/>
          <w:numId w:val="8"/>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bookmarkStart w:id="2" w:name="_heading=h.30j0zll" w:colFirst="0" w:colLast="0"/>
      <w:bookmarkEnd w:id="2"/>
      <w:r w:rsidRPr="003B37F6">
        <w:rPr>
          <w:rFonts w:ascii="Palatino Linotype" w:eastAsia="Palatino Linotype" w:hAnsi="Palatino Linotype" w:cs="Palatino Linotype"/>
          <w:b/>
          <w:color w:val="000000"/>
        </w:rPr>
        <w:t>Acto impugnado</w:t>
      </w:r>
      <w:r w:rsidRPr="003B37F6">
        <w:rPr>
          <w:rFonts w:ascii="Palatino Linotype" w:eastAsia="Palatino Linotype" w:hAnsi="Palatino Linotype" w:cs="Palatino Linotype"/>
          <w:color w:val="000000"/>
        </w:rPr>
        <w:t xml:space="preserve">: </w:t>
      </w:r>
      <w:r w:rsidRPr="003B37F6">
        <w:rPr>
          <w:rFonts w:ascii="Palatino Linotype" w:eastAsia="Palatino Linotype" w:hAnsi="Palatino Linotype" w:cs="Palatino Linotype"/>
          <w:i/>
          <w:color w:val="000000"/>
        </w:rPr>
        <w:t>“NO SE ENTREGO LA INFORMACION” (S</w:t>
      </w:r>
      <w:r w:rsidRPr="003B37F6">
        <w:rPr>
          <w:rFonts w:ascii="Palatino Linotype" w:eastAsia="Palatino Linotype" w:hAnsi="Palatino Linotype" w:cs="Palatino Linotype"/>
          <w:color w:val="000000"/>
        </w:rPr>
        <w:t>ic)</w:t>
      </w:r>
    </w:p>
    <w:p w:rsidR="00ED570A" w:rsidRPr="003B37F6" w:rsidRDefault="00ED570A">
      <w:pPr>
        <w:pBdr>
          <w:top w:val="nil"/>
          <w:left w:val="nil"/>
          <w:bottom w:val="nil"/>
          <w:right w:val="nil"/>
          <w:between w:val="nil"/>
        </w:pBdr>
        <w:spacing w:line="360" w:lineRule="auto"/>
        <w:ind w:left="709" w:right="49"/>
        <w:jc w:val="both"/>
        <w:rPr>
          <w:rFonts w:ascii="Palatino Linotype" w:eastAsia="Palatino Linotype" w:hAnsi="Palatino Linotype" w:cs="Palatino Linotype"/>
          <w:color w:val="000000"/>
          <w:sz w:val="22"/>
          <w:szCs w:val="22"/>
        </w:rPr>
      </w:pPr>
    </w:p>
    <w:p w:rsidR="00ED570A" w:rsidRPr="003B37F6" w:rsidRDefault="00022CBA">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r w:rsidRPr="003B37F6">
        <w:rPr>
          <w:rFonts w:ascii="Palatino Linotype" w:eastAsia="Palatino Linotype" w:hAnsi="Palatino Linotype" w:cs="Palatino Linotype"/>
          <w:b/>
          <w:color w:val="000000"/>
        </w:rPr>
        <w:lastRenderedPageBreak/>
        <w:t xml:space="preserve">Razones o Motivos de inconformidad: </w:t>
      </w:r>
      <w:r w:rsidRPr="003B37F6">
        <w:rPr>
          <w:rFonts w:ascii="Palatino Linotype" w:eastAsia="Palatino Linotype" w:hAnsi="Palatino Linotype" w:cs="Palatino Linotype"/>
          <w:i/>
          <w:color w:val="000000"/>
        </w:rPr>
        <w:t>“NO SE ENTREGO LA INFORMACIÓN SOLICITADA”</w:t>
      </w:r>
      <w:r w:rsidRPr="003B37F6">
        <w:rPr>
          <w:rFonts w:ascii="Palatino Linotype" w:eastAsia="Palatino Linotype" w:hAnsi="Palatino Linotype" w:cs="Palatino Linotype"/>
          <w:color w:val="000000"/>
        </w:rPr>
        <w:t xml:space="preserve"> (Sic)</w:t>
      </w:r>
    </w:p>
    <w:p w:rsidR="00ED570A" w:rsidRPr="003B37F6" w:rsidRDefault="00ED570A">
      <w:pPr>
        <w:pBdr>
          <w:top w:val="nil"/>
          <w:left w:val="nil"/>
          <w:bottom w:val="nil"/>
          <w:right w:val="nil"/>
          <w:between w:val="nil"/>
        </w:pBdr>
        <w:spacing w:line="360" w:lineRule="auto"/>
        <w:ind w:left="720"/>
        <w:rPr>
          <w:rFonts w:ascii="Palatino Linotype" w:eastAsia="Palatino Linotype" w:hAnsi="Palatino Linotype" w:cs="Palatino Linotype"/>
          <w:i/>
          <w:color w:val="000000"/>
        </w:rPr>
      </w:pPr>
    </w:p>
    <w:p w:rsidR="00ED570A" w:rsidRPr="003B37F6" w:rsidRDefault="00022CBA">
      <w:pPr>
        <w:numPr>
          <w:ilvl w:val="0"/>
          <w:numId w:val="4"/>
        </w:numPr>
        <w:pBdr>
          <w:top w:val="nil"/>
          <w:left w:val="nil"/>
          <w:bottom w:val="nil"/>
          <w:right w:val="nil"/>
          <w:between w:val="nil"/>
        </w:pBdr>
        <w:tabs>
          <w:tab w:val="left" w:pos="0"/>
        </w:tabs>
        <w:spacing w:line="360" w:lineRule="auto"/>
        <w:ind w:left="709" w:right="49"/>
        <w:jc w:val="both"/>
        <w:rPr>
          <w:rFonts w:ascii="Palatino Linotype" w:eastAsia="Palatino Linotype" w:hAnsi="Palatino Linotype" w:cs="Palatino Linotype"/>
          <w:i/>
          <w:color w:val="000000"/>
          <w:u w:val="single"/>
        </w:rPr>
      </w:pPr>
      <w:r w:rsidRPr="003B37F6">
        <w:rPr>
          <w:rFonts w:ascii="Palatino Linotype" w:eastAsia="Palatino Linotype" w:hAnsi="Palatino Linotype" w:cs="Palatino Linotype"/>
          <w:b/>
          <w:color w:val="000000"/>
          <w:u w:val="single"/>
        </w:rPr>
        <w:t>Manifestaciones, alegatos y respuesta complementaría.</w:t>
      </w: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Con fundamento en lo dispuesto por el artículo 185 fracción II de la ley de la materia, se acordó a las partes a efecto de que en un plazo máximo de siete días, el Recurrente manifestara lo que a su derecho conviniera, ofrecieran pruebas y alegatos, y el Sujeto Obligado presentara el Informe Justificado.</w:t>
      </w:r>
    </w:p>
    <w:p w:rsidR="00ED570A" w:rsidRPr="003B37F6" w:rsidRDefault="00ED570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D570A" w:rsidRPr="003B37F6" w:rsidRDefault="00022CBA">
      <w:pPr>
        <w:numPr>
          <w:ilvl w:val="0"/>
          <w:numId w:val="1"/>
        </w:numPr>
        <w:spacing w:line="360" w:lineRule="auto"/>
        <w:ind w:left="0" w:firstLine="0"/>
        <w:jc w:val="both"/>
        <w:rPr>
          <w:rFonts w:ascii="Palatino Linotype" w:eastAsia="Palatino Linotype" w:hAnsi="Palatino Linotype" w:cs="Palatino Linotype"/>
          <w:i/>
          <w:color w:val="000000"/>
        </w:rPr>
      </w:pPr>
      <w:r w:rsidRPr="003B37F6">
        <w:rPr>
          <w:rFonts w:ascii="Palatino Linotype" w:eastAsia="Palatino Linotype" w:hAnsi="Palatino Linotype" w:cs="Palatino Linotype"/>
        </w:rPr>
        <w:t xml:space="preserve">El Recurrente dejó de realizar manifestaciones que a su derecho conviniera y asistiera. </w:t>
      </w:r>
    </w:p>
    <w:p w:rsidR="00ED570A" w:rsidRPr="003B37F6" w:rsidRDefault="00ED570A">
      <w:pPr>
        <w:pBdr>
          <w:top w:val="nil"/>
          <w:left w:val="nil"/>
          <w:bottom w:val="nil"/>
          <w:right w:val="nil"/>
          <w:between w:val="nil"/>
        </w:pBdr>
        <w:ind w:left="720"/>
        <w:rPr>
          <w:rFonts w:ascii="Palatino Linotype" w:eastAsia="Palatino Linotype" w:hAnsi="Palatino Linotype" w:cs="Palatino Linotype"/>
          <w:color w:val="000000"/>
        </w:rPr>
      </w:pPr>
    </w:p>
    <w:p w:rsidR="00ED570A" w:rsidRPr="003B37F6" w:rsidRDefault="00022CBA">
      <w:pPr>
        <w:numPr>
          <w:ilvl w:val="0"/>
          <w:numId w:val="1"/>
        </w:numPr>
        <w:spacing w:line="360" w:lineRule="auto"/>
        <w:ind w:left="0"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rPr>
        <w:t xml:space="preserve">Por su parte el Sujeto Obligado en fecha </w:t>
      </w:r>
      <w:r w:rsidRPr="003B37F6">
        <w:rPr>
          <w:rFonts w:ascii="Palatino Linotype" w:eastAsia="Palatino Linotype" w:hAnsi="Palatino Linotype" w:cs="Palatino Linotype"/>
          <w:b/>
        </w:rPr>
        <w:t>diecinueve de diciembre de dos mil veinticuatro</w:t>
      </w:r>
      <w:r w:rsidRPr="003B37F6">
        <w:rPr>
          <w:rFonts w:ascii="Palatino Linotype" w:eastAsia="Palatino Linotype" w:hAnsi="Palatino Linotype" w:cs="Palatino Linotype"/>
        </w:rPr>
        <w:t xml:space="preserve">, adjuntando mediante archivo electrónico en </w:t>
      </w:r>
      <w:proofErr w:type="spellStart"/>
      <w:r w:rsidRPr="003B37F6">
        <w:rPr>
          <w:rFonts w:ascii="Palatino Linotype" w:eastAsia="Palatino Linotype" w:hAnsi="Palatino Linotype" w:cs="Palatino Linotype"/>
        </w:rPr>
        <w:t>pdf</w:t>
      </w:r>
      <w:proofErr w:type="spellEnd"/>
      <w:r w:rsidRPr="003B37F6">
        <w:rPr>
          <w:rFonts w:ascii="Palatino Linotype" w:eastAsia="Palatino Linotype" w:hAnsi="Palatino Linotype" w:cs="Palatino Linotype"/>
        </w:rPr>
        <w:t>, un total de catorce recibos de nómina.</w:t>
      </w:r>
    </w:p>
    <w:p w:rsidR="00ED570A" w:rsidRPr="003B37F6" w:rsidRDefault="00ED570A">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rPr>
      </w:pPr>
    </w:p>
    <w:p w:rsidR="00ED570A" w:rsidRPr="003B37F6" w:rsidRDefault="00022CBA">
      <w:pPr>
        <w:numPr>
          <w:ilvl w:val="0"/>
          <w:numId w:val="1"/>
        </w:numPr>
        <w:spacing w:line="360" w:lineRule="auto"/>
        <w:ind w:left="0" w:firstLine="0"/>
        <w:jc w:val="both"/>
        <w:rPr>
          <w:rFonts w:ascii="Palatino Linotype" w:eastAsia="Palatino Linotype" w:hAnsi="Palatino Linotype" w:cs="Palatino Linotype"/>
          <w:b/>
        </w:rPr>
      </w:pPr>
      <w:r w:rsidRPr="003B37F6">
        <w:rPr>
          <w:rFonts w:ascii="Palatino Linotype" w:eastAsia="Palatino Linotype" w:hAnsi="Palatino Linotype" w:cs="Palatino Linotype"/>
        </w:rPr>
        <w:t xml:space="preserve">Seguidamente, en fecha </w:t>
      </w:r>
      <w:r w:rsidRPr="003B37F6">
        <w:rPr>
          <w:rFonts w:ascii="Palatino Linotype" w:eastAsia="Palatino Linotype" w:hAnsi="Palatino Linotype" w:cs="Palatino Linotype"/>
          <w:b/>
        </w:rPr>
        <w:t>veinte de enero de dos mil veinticinco</w:t>
      </w:r>
      <w:r w:rsidRPr="003B37F6">
        <w:rPr>
          <w:rFonts w:ascii="Palatino Linotype" w:eastAsia="Palatino Linotype" w:hAnsi="Palatino Linotype" w:cs="Palatino Linotype"/>
        </w:rPr>
        <w:t>, la Comisionada Ponente dictó el cierre del periodo de instrucción y, ordenó la resolución que conforme a Derecho proceda, de acuerdo a las siguientes:</w:t>
      </w:r>
      <w:r w:rsidRPr="003B37F6">
        <w:rPr>
          <w:rFonts w:ascii="Palatino Linotype" w:eastAsia="Palatino Linotype" w:hAnsi="Palatino Linotype" w:cs="Palatino Linotype"/>
          <w:b/>
        </w:rPr>
        <w:t xml:space="preserve"> </w:t>
      </w:r>
    </w:p>
    <w:p w:rsidR="00ED570A" w:rsidRPr="003B37F6" w:rsidRDefault="00ED570A">
      <w:pPr>
        <w:pBdr>
          <w:top w:val="nil"/>
          <w:left w:val="nil"/>
          <w:bottom w:val="nil"/>
          <w:right w:val="nil"/>
          <w:between w:val="nil"/>
        </w:pBdr>
        <w:spacing w:line="360" w:lineRule="auto"/>
        <w:ind w:left="720"/>
        <w:rPr>
          <w:rFonts w:ascii="Palatino Linotype" w:eastAsia="Palatino Linotype" w:hAnsi="Palatino Linotype" w:cs="Palatino Linotype"/>
          <w:b/>
          <w:color w:val="000000"/>
        </w:rPr>
      </w:pPr>
    </w:p>
    <w:p w:rsidR="00ED570A" w:rsidRPr="003B37F6" w:rsidRDefault="00ED570A">
      <w:pPr>
        <w:pBdr>
          <w:top w:val="nil"/>
          <w:left w:val="nil"/>
          <w:bottom w:val="nil"/>
          <w:right w:val="nil"/>
          <w:between w:val="nil"/>
        </w:pBdr>
        <w:spacing w:line="360" w:lineRule="auto"/>
        <w:ind w:left="720"/>
        <w:rPr>
          <w:rFonts w:ascii="Palatino Linotype" w:eastAsia="Palatino Linotype" w:hAnsi="Palatino Linotype" w:cs="Palatino Linotype"/>
          <w:b/>
          <w:color w:val="000000"/>
        </w:rPr>
      </w:pPr>
    </w:p>
    <w:p w:rsidR="00ED570A" w:rsidRPr="003B37F6" w:rsidRDefault="00022CBA">
      <w:pPr>
        <w:keepNext/>
        <w:keepLines/>
        <w:spacing w:line="360" w:lineRule="auto"/>
        <w:jc w:val="center"/>
        <w:rPr>
          <w:rFonts w:ascii="Palatino Linotype" w:eastAsia="Palatino Linotype" w:hAnsi="Palatino Linotype" w:cs="Palatino Linotype"/>
        </w:rPr>
      </w:pPr>
      <w:r w:rsidRPr="003B37F6">
        <w:rPr>
          <w:rFonts w:ascii="Palatino Linotype" w:eastAsia="Palatino Linotype" w:hAnsi="Palatino Linotype" w:cs="Palatino Linotype"/>
          <w:b/>
        </w:rPr>
        <w:lastRenderedPageBreak/>
        <w:t xml:space="preserve">C O N S I D E R A C I O N E S </w:t>
      </w:r>
    </w:p>
    <w:p w:rsidR="00ED570A" w:rsidRPr="003B37F6" w:rsidRDefault="00022CBA">
      <w:pPr>
        <w:keepNext/>
        <w:keepLines/>
        <w:spacing w:line="360" w:lineRule="auto"/>
        <w:rPr>
          <w:rFonts w:ascii="Palatino Linotype" w:eastAsia="Palatino Linotype" w:hAnsi="Palatino Linotype" w:cs="Palatino Linotype"/>
          <w:b/>
        </w:rPr>
      </w:pPr>
      <w:bookmarkStart w:id="3" w:name="_heading=h.2et92p0" w:colFirst="0" w:colLast="0"/>
      <w:bookmarkEnd w:id="3"/>
      <w:r w:rsidRPr="003B37F6">
        <w:rPr>
          <w:rFonts w:ascii="Palatino Linotype" w:eastAsia="Palatino Linotype" w:hAnsi="Palatino Linotype" w:cs="Palatino Linotype"/>
          <w:b/>
        </w:rPr>
        <w:t>PRIMERO. Competencia</w:t>
      </w: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El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rsidR="00ED570A" w:rsidRPr="003B37F6" w:rsidRDefault="00ED570A">
      <w:pPr>
        <w:spacing w:line="360" w:lineRule="auto"/>
        <w:jc w:val="both"/>
        <w:rPr>
          <w:rFonts w:ascii="Palatino Linotype" w:eastAsia="Palatino Linotype" w:hAnsi="Palatino Linotype" w:cs="Palatino Linotype"/>
        </w:rPr>
      </w:pPr>
    </w:p>
    <w:p w:rsidR="00ED570A" w:rsidRPr="003B37F6" w:rsidRDefault="00022CBA">
      <w:pPr>
        <w:keepNext/>
        <w:keepLines/>
        <w:spacing w:line="360" w:lineRule="auto"/>
        <w:rPr>
          <w:rFonts w:ascii="Palatino Linotype" w:eastAsia="Palatino Linotype" w:hAnsi="Palatino Linotype" w:cs="Palatino Linotype"/>
          <w:b/>
        </w:rPr>
      </w:pPr>
      <w:r w:rsidRPr="003B37F6">
        <w:rPr>
          <w:rFonts w:ascii="Palatino Linotype" w:eastAsia="Palatino Linotype" w:hAnsi="Palatino Linotype" w:cs="Palatino Linotype"/>
          <w:b/>
        </w:rPr>
        <w:t>SEGUNDO. Procedencia.</w:t>
      </w:r>
    </w:p>
    <w:p w:rsidR="00ED570A" w:rsidRPr="003B37F6" w:rsidRDefault="00022CBA">
      <w:pPr>
        <w:numPr>
          <w:ilvl w:val="0"/>
          <w:numId w:val="1"/>
        </w:numP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Este Órgano Garante considera que el medio de impugnación reúne los requisitos de procedencia toda vez que; el recurso fue presentado dentro del plazo establecido en el artículo 178 de la Ley de Transparencia y Acceso a la Información Pública del Estado de México y Municipios; asimismo no se tiene conocimiento que se encuentre en trámite algún medio de defensa presentado por el Recurrente ante otra instancia.</w:t>
      </w:r>
    </w:p>
    <w:p w:rsidR="00ED570A" w:rsidRPr="003B37F6" w:rsidRDefault="00ED570A">
      <w:pPr>
        <w:spacing w:line="360" w:lineRule="auto"/>
        <w:jc w:val="both"/>
        <w:rPr>
          <w:rFonts w:ascii="Palatino Linotype" w:eastAsia="Palatino Linotype" w:hAnsi="Palatino Linotype" w:cs="Palatino Linotype"/>
        </w:rPr>
      </w:pP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lastRenderedPageBreak/>
        <w:t>Por otro lado el escrito contiene las formalidades previstas en el artículo 180 último párrafo de la citada Ley de la materia, por lo que es procedente que este Instituto conozca y resuelva el presente recurso.</w:t>
      </w:r>
    </w:p>
    <w:p w:rsidR="00ED570A" w:rsidRPr="003B37F6" w:rsidRDefault="00ED570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ED570A" w:rsidRPr="003B37F6" w:rsidRDefault="00022CBA">
      <w:pPr>
        <w:pStyle w:val="Ttulo2"/>
        <w:tabs>
          <w:tab w:val="left" w:pos="0"/>
        </w:tabs>
        <w:spacing w:before="0" w:line="360" w:lineRule="auto"/>
        <w:rPr>
          <w:rFonts w:ascii="Palatino Linotype" w:eastAsia="Palatino Linotype" w:hAnsi="Palatino Linotype" w:cs="Palatino Linotype"/>
          <w:b/>
          <w:color w:val="000000"/>
          <w:sz w:val="24"/>
          <w:szCs w:val="24"/>
        </w:rPr>
      </w:pPr>
      <w:r w:rsidRPr="003B37F6">
        <w:rPr>
          <w:rFonts w:ascii="Palatino Linotype" w:eastAsia="Palatino Linotype" w:hAnsi="Palatino Linotype" w:cs="Palatino Linotype"/>
          <w:b/>
          <w:color w:val="000000"/>
          <w:sz w:val="24"/>
          <w:szCs w:val="24"/>
        </w:rPr>
        <w:t>TERCERO. Descripción de hechos y planteamiento de la controversia.</w:t>
      </w: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3B37F6">
        <w:rPr>
          <w:rFonts w:ascii="Palatino Linotype" w:eastAsia="Palatino Linotype" w:hAnsi="Palatino Linotype" w:cs="Palatino Linotype"/>
        </w:rPr>
        <w:t>De las constancias en el expediente al rubro indicado, se desprende que el particular solicitó la información que a continuación se desagrega:</w:t>
      </w:r>
    </w:p>
    <w:p w:rsidR="00ED570A" w:rsidRPr="003B37F6" w:rsidRDefault="00ED570A">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ED570A" w:rsidRPr="003B37F6" w:rsidRDefault="00022CBA">
      <w:pPr>
        <w:numPr>
          <w:ilvl w:val="0"/>
          <w:numId w:val="11"/>
        </w:numPr>
        <w:pBdr>
          <w:top w:val="nil"/>
          <w:left w:val="nil"/>
          <w:bottom w:val="nil"/>
          <w:right w:val="nil"/>
          <w:between w:val="nil"/>
        </w:pBdr>
        <w:spacing w:line="360" w:lineRule="auto"/>
        <w:ind w:left="851" w:right="680"/>
        <w:jc w:val="both"/>
        <w:rPr>
          <w:rFonts w:ascii="Palatino Linotype" w:eastAsia="Palatino Linotype" w:hAnsi="Palatino Linotype" w:cs="Palatino Linotype"/>
          <w:b/>
          <w:color w:val="000000"/>
        </w:rPr>
      </w:pPr>
      <w:r w:rsidRPr="003B37F6">
        <w:rPr>
          <w:rFonts w:ascii="Palatino Linotype" w:eastAsia="Palatino Linotype" w:hAnsi="Palatino Linotype" w:cs="Palatino Linotype"/>
          <w:b/>
          <w:color w:val="000000"/>
        </w:rPr>
        <w:t>Recibos de Nomina del Presidente Municipal, Secretario del Ayuntamiento, Secretario Técnico, Secretario Particular, Director de Gobernación, Chofer del Presidente.</w:t>
      </w:r>
    </w:p>
    <w:p w:rsidR="00ED570A" w:rsidRPr="003B37F6" w:rsidRDefault="00022CBA">
      <w:pPr>
        <w:numPr>
          <w:ilvl w:val="0"/>
          <w:numId w:val="11"/>
        </w:numPr>
        <w:pBdr>
          <w:top w:val="nil"/>
          <w:left w:val="nil"/>
          <w:bottom w:val="nil"/>
          <w:right w:val="nil"/>
          <w:between w:val="nil"/>
        </w:pBdr>
        <w:spacing w:line="360" w:lineRule="auto"/>
        <w:ind w:left="851" w:right="680"/>
        <w:jc w:val="both"/>
        <w:rPr>
          <w:rFonts w:ascii="Palatino Linotype" w:eastAsia="Palatino Linotype" w:hAnsi="Palatino Linotype" w:cs="Palatino Linotype"/>
          <w:b/>
          <w:color w:val="000000"/>
        </w:rPr>
      </w:pPr>
      <w:r w:rsidRPr="003B37F6">
        <w:rPr>
          <w:rFonts w:ascii="Palatino Linotype" w:eastAsia="Palatino Linotype" w:hAnsi="Palatino Linotype" w:cs="Palatino Linotype"/>
          <w:b/>
          <w:color w:val="000000"/>
        </w:rPr>
        <w:t>Pago de dietas.</w:t>
      </w:r>
    </w:p>
    <w:p w:rsidR="00ED570A" w:rsidRPr="003B37F6" w:rsidRDefault="00022CBA">
      <w:pPr>
        <w:numPr>
          <w:ilvl w:val="0"/>
          <w:numId w:val="11"/>
        </w:numPr>
        <w:pBdr>
          <w:top w:val="nil"/>
          <w:left w:val="nil"/>
          <w:bottom w:val="nil"/>
          <w:right w:val="nil"/>
          <w:between w:val="nil"/>
        </w:pBdr>
        <w:spacing w:line="360" w:lineRule="auto"/>
        <w:ind w:left="851" w:right="680"/>
        <w:jc w:val="both"/>
        <w:rPr>
          <w:rFonts w:ascii="Palatino Linotype" w:eastAsia="Palatino Linotype" w:hAnsi="Palatino Linotype" w:cs="Palatino Linotype"/>
          <w:b/>
          <w:color w:val="000000"/>
        </w:rPr>
      </w:pPr>
      <w:r w:rsidRPr="003B37F6">
        <w:rPr>
          <w:rFonts w:ascii="Palatino Linotype" w:eastAsia="Palatino Linotype" w:hAnsi="Palatino Linotype" w:cs="Palatino Linotype"/>
          <w:b/>
          <w:color w:val="000000"/>
        </w:rPr>
        <w:t>Asignación de vehículos</w:t>
      </w:r>
    </w:p>
    <w:p w:rsidR="00ED570A" w:rsidRPr="003B37F6" w:rsidRDefault="00022CBA">
      <w:pPr>
        <w:numPr>
          <w:ilvl w:val="0"/>
          <w:numId w:val="11"/>
        </w:numPr>
        <w:pBdr>
          <w:top w:val="nil"/>
          <w:left w:val="nil"/>
          <w:bottom w:val="nil"/>
          <w:right w:val="nil"/>
          <w:between w:val="nil"/>
        </w:pBdr>
        <w:spacing w:line="360" w:lineRule="auto"/>
        <w:ind w:left="851" w:right="680"/>
        <w:jc w:val="both"/>
        <w:rPr>
          <w:rFonts w:ascii="Palatino Linotype" w:eastAsia="Palatino Linotype" w:hAnsi="Palatino Linotype" w:cs="Palatino Linotype"/>
          <w:b/>
          <w:color w:val="000000"/>
        </w:rPr>
      </w:pPr>
      <w:r w:rsidRPr="003B37F6">
        <w:rPr>
          <w:rFonts w:ascii="Palatino Linotype" w:eastAsia="Palatino Linotype" w:hAnsi="Palatino Linotype" w:cs="Palatino Linotype"/>
          <w:b/>
          <w:color w:val="000000"/>
        </w:rPr>
        <w:t xml:space="preserve">Gastos de gasolina de los vehículos oficiales asignados </w:t>
      </w:r>
    </w:p>
    <w:p w:rsidR="00943FCF" w:rsidRPr="003B37F6" w:rsidRDefault="00943FCF" w:rsidP="00943FCF">
      <w:pPr>
        <w:pBdr>
          <w:top w:val="nil"/>
          <w:left w:val="nil"/>
          <w:bottom w:val="nil"/>
          <w:right w:val="nil"/>
          <w:between w:val="nil"/>
        </w:pBdr>
        <w:spacing w:line="360" w:lineRule="auto"/>
        <w:ind w:left="851" w:right="680"/>
        <w:jc w:val="both"/>
        <w:rPr>
          <w:rFonts w:ascii="Palatino Linotype" w:eastAsia="Palatino Linotype" w:hAnsi="Palatino Linotype" w:cs="Palatino Linotype"/>
          <w:b/>
          <w:color w:val="000000"/>
        </w:rPr>
      </w:pPr>
      <w:r w:rsidRPr="003B37F6">
        <w:rPr>
          <w:rFonts w:ascii="Palatino Linotype" w:eastAsia="Palatino Linotype" w:hAnsi="Palatino Linotype" w:cs="Palatino Linotype"/>
          <w:b/>
          <w:color w:val="000000"/>
        </w:rPr>
        <w:t>Todo lo anterior del 01 al 28 de agosto de 2024</w:t>
      </w:r>
    </w:p>
    <w:p w:rsidR="00ED570A" w:rsidRPr="003B37F6" w:rsidRDefault="00ED570A">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 xml:space="preserve">En respuesta el Sujeto Obligado, respecto a la información requerida, realizó cambio de modalidad argumentando limitaciones técnicas y administrativas, debido al proceso de entrega-recepción de la administración 2022-2024, fijando horario para realizar consulta directa en las oficinas de la Dirección de Administración y Tesorería municipal. </w:t>
      </w:r>
    </w:p>
    <w:p w:rsidR="00ED570A" w:rsidRPr="003B37F6" w:rsidRDefault="00ED570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D570A" w:rsidRPr="003B37F6" w:rsidRDefault="00022CBA">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color w:val="000000"/>
        </w:rPr>
        <w:t>Inconforme con la respuesta, se interpuso recurso de revisión argumentando sustancialmente que no se entregó la información requerida completa</w:t>
      </w:r>
      <w:r w:rsidRPr="003B37F6">
        <w:rPr>
          <w:rFonts w:ascii="Palatino Linotype" w:eastAsia="Palatino Linotype" w:hAnsi="Palatino Linotype" w:cs="Palatino Linotype"/>
        </w:rPr>
        <w:t>.</w:t>
      </w:r>
    </w:p>
    <w:p w:rsidR="00ED570A" w:rsidRPr="003B37F6" w:rsidRDefault="00ED570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ED570A" w:rsidRPr="003B37F6" w:rsidRDefault="00022CBA">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fracción I de la Ley de Transparencia y Acceso a la Información Pública del Estado de México y Municipios; fracción que determina la negativa a la información solicitada; contexto del cual se dolió el Recurrente al momento de interponer su inconformidad. De modo tal que el presente recurso de revisión se abocará a determinar si el Sujeto Obligado con su respuesta ciertamente actualiza la causal de procedencia señalada.</w:t>
      </w:r>
    </w:p>
    <w:p w:rsidR="00ED570A" w:rsidRPr="003B37F6" w:rsidRDefault="00ED570A">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rsidR="00ED570A" w:rsidRPr="003B37F6" w:rsidRDefault="00022CBA">
      <w:pPr>
        <w:pStyle w:val="Ttulo1"/>
        <w:spacing w:before="0" w:after="0" w:line="360" w:lineRule="auto"/>
        <w:ind w:right="1"/>
        <w:rPr>
          <w:rFonts w:ascii="Palatino Linotype" w:eastAsia="Palatino Linotype" w:hAnsi="Palatino Linotype" w:cs="Palatino Linotype"/>
          <w:color w:val="000000"/>
          <w:sz w:val="24"/>
          <w:szCs w:val="24"/>
        </w:rPr>
      </w:pPr>
      <w:r w:rsidRPr="003B37F6">
        <w:rPr>
          <w:rFonts w:ascii="Palatino Linotype" w:eastAsia="Palatino Linotype" w:hAnsi="Palatino Linotype" w:cs="Palatino Linotype"/>
          <w:color w:val="000000"/>
          <w:sz w:val="24"/>
          <w:szCs w:val="24"/>
        </w:rPr>
        <w:t>CUARTA. Estudio de la controversia.</w:t>
      </w:r>
    </w:p>
    <w:p w:rsidR="00ED570A" w:rsidRPr="003B37F6" w:rsidRDefault="00022CBA">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 xml:space="preserve">Resulta importante establecer, que el </w:t>
      </w:r>
      <w:r w:rsidRPr="003B37F6">
        <w:rPr>
          <w:rFonts w:ascii="Palatino Linotype" w:eastAsia="Palatino Linotype" w:hAnsi="Palatino Linotype" w:cs="Palatino Linotype"/>
          <w:b/>
          <w:color w:val="000000"/>
        </w:rPr>
        <w:t>SUJETO OBLIGADO</w:t>
      </w:r>
      <w:r w:rsidRPr="003B37F6">
        <w:rPr>
          <w:rFonts w:ascii="Palatino Linotype" w:eastAsia="Palatino Linotype" w:hAnsi="Palatino Linotype" w:cs="Palatino Linotype"/>
          <w:color w:val="000000"/>
        </w:rPr>
        <w:t xml:space="preserve">, admite ser poseedor de la información, por lo cual, no es necesario estudiar si este es competente para conocer y en su caso dar respuesta a la solicitud, pues al mencionar que pone a disposición la información solicitada y al plantear el cambio de modalidad, este reconoce contar con la misma, tan es así que lo pone a disposición del ahora </w:t>
      </w:r>
      <w:r w:rsidRPr="003B37F6">
        <w:rPr>
          <w:rFonts w:ascii="Palatino Linotype" w:eastAsia="Palatino Linotype" w:hAnsi="Palatino Linotype" w:cs="Palatino Linotype"/>
          <w:b/>
          <w:color w:val="000000"/>
        </w:rPr>
        <w:t>RECURRENTE</w:t>
      </w:r>
      <w:r w:rsidRPr="003B37F6">
        <w:rPr>
          <w:rFonts w:ascii="Palatino Linotype" w:eastAsia="Palatino Linotype" w:hAnsi="Palatino Linotype" w:cs="Palatino Linotype"/>
          <w:color w:val="000000"/>
        </w:rPr>
        <w:t xml:space="preserve"> para su consulta directa.</w:t>
      </w:r>
    </w:p>
    <w:p w:rsidR="00ED570A" w:rsidRPr="003B37F6" w:rsidRDefault="00ED570A">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rsidR="00ED570A" w:rsidRPr="003B37F6" w:rsidRDefault="00022CBA">
      <w:pPr>
        <w:numPr>
          <w:ilvl w:val="0"/>
          <w:numId w:val="1"/>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lastRenderedPageBreak/>
        <w:t xml:space="preserve">En atención a ello es importante invocar el contenido del artículo 12 así como el 4 de la Ley de Transparencia y Acceso a la Información Pública del Estado de México y Municipios; preceptos legales que establecen que </w:t>
      </w:r>
      <w:r w:rsidRPr="003B37F6">
        <w:rPr>
          <w:rFonts w:ascii="Palatino Linotype" w:eastAsia="Palatino Linotype" w:hAnsi="Palatino Linotype" w:cs="Palatino Linotype"/>
          <w:b/>
          <w:color w:val="000000"/>
        </w:rPr>
        <w:t xml:space="preserve">los sujetos obligados se encuentran constreñidos a entregar la información pública solicitada por los </w:t>
      </w:r>
      <w:r w:rsidRPr="003B37F6">
        <w:rPr>
          <w:rFonts w:ascii="Palatino Linotype" w:eastAsia="Palatino Linotype" w:hAnsi="Palatino Linotype" w:cs="Palatino Linotype"/>
          <w:color w:val="000000"/>
        </w:rPr>
        <w:t xml:space="preserve">particulares que se encuentre en sus archivos o que obre en su posesión, </w:t>
      </w:r>
      <w:r w:rsidRPr="003B37F6">
        <w:rPr>
          <w:rFonts w:ascii="Palatino Linotype" w:eastAsia="Palatino Linotype" w:hAnsi="Palatino Linotype" w:cs="Palatino Linotype"/>
          <w:b/>
          <w:color w:val="000000"/>
        </w:rPr>
        <w:t>privilegiando en todo momento el principio de máxima publicidad,</w:t>
      </w:r>
      <w:r w:rsidRPr="003B37F6">
        <w:rPr>
          <w:rFonts w:ascii="Palatino Linotype" w:eastAsia="Palatino Linotype" w:hAnsi="Palatino Linotype" w:cs="Palatino Linotype"/>
          <w:color w:val="000000"/>
        </w:rPr>
        <w:t xml:space="preserve"> sin generarla, procesarla, resumirla, ni presentarla conforme al interés del solicitante. </w:t>
      </w:r>
    </w:p>
    <w:p w:rsidR="00ED570A" w:rsidRPr="003B37F6" w:rsidRDefault="00ED570A">
      <w:pPr>
        <w:spacing w:line="360" w:lineRule="auto"/>
        <w:jc w:val="both"/>
        <w:rPr>
          <w:rFonts w:ascii="Palatino Linotype" w:eastAsia="Palatino Linotype" w:hAnsi="Palatino Linotype" w:cs="Palatino Linotype"/>
        </w:rPr>
      </w:pPr>
    </w:p>
    <w:p w:rsidR="00ED570A" w:rsidRPr="003B37F6" w:rsidRDefault="00022CBA">
      <w:pPr>
        <w:numPr>
          <w:ilvl w:val="0"/>
          <w:numId w:val="1"/>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El artículo 158 de la Ley antes citada, dispone que, de manera excepcional, cuando de manera fundada y motivada lo determine el Sujeto Obligado, en los casos en que la entrega de la información que se encuentre a su disposición, sobrepase las capacidades técnicas, administrativas y humanas del</w:t>
      </w:r>
      <w:r w:rsidRPr="003B37F6">
        <w:rPr>
          <w:rFonts w:ascii="Palatino Linotype" w:eastAsia="Palatino Linotype" w:hAnsi="Palatino Linotype" w:cs="Palatino Linotype"/>
          <w:b/>
          <w:color w:val="000000"/>
        </w:rPr>
        <w:t xml:space="preserve"> </w:t>
      </w:r>
      <w:r w:rsidRPr="003B37F6">
        <w:rPr>
          <w:rFonts w:ascii="Palatino Linotype" w:eastAsia="Palatino Linotype" w:hAnsi="Palatino Linotype" w:cs="Palatino Linotype"/>
          <w:color w:val="000000"/>
        </w:rPr>
        <w:t>aludido</w:t>
      </w:r>
      <w:r w:rsidRPr="003B37F6">
        <w:rPr>
          <w:rFonts w:ascii="Palatino Linotype" w:eastAsia="Palatino Linotype" w:hAnsi="Palatino Linotype" w:cs="Palatino Linotype"/>
          <w:b/>
          <w:color w:val="000000"/>
        </w:rPr>
        <w:t xml:space="preserve"> </w:t>
      </w:r>
      <w:r w:rsidRPr="003B37F6">
        <w:rPr>
          <w:rFonts w:ascii="Palatino Linotype" w:eastAsia="Palatino Linotype" w:hAnsi="Palatino Linotype" w:cs="Palatino Linotype"/>
          <w:color w:val="000000"/>
        </w:rPr>
        <w:t>Sujeto Obligado</w:t>
      </w:r>
      <w:r w:rsidRPr="003B37F6">
        <w:rPr>
          <w:rFonts w:ascii="Palatino Linotype" w:eastAsia="Palatino Linotype" w:hAnsi="Palatino Linotype" w:cs="Palatino Linotype"/>
          <w:b/>
          <w:color w:val="000000"/>
        </w:rPr>
        <w:t>,</w:t>
      </w:r>
      <w:r w:rsidRPr="003B37F6">
        <w:rPr>
          <w:rFonts w:ascii="Palatino Linotype" w:eastAsia="Palatino Linotype" w:hAnsi="Palatino Linotype" w:cs="Palatino Linotype"/>
          <w:color w:val="000000"/>
        </w:rPr>
        <w:t xml:space="preserve"> para cumplir con la solicitud, se podrá poner a disposición del solicitante la información en consulta directa.</w:t>
      </w:r>
    </w:p>
    <w:p w:rsidR="00ED570A" w:rsidRPr="003B37F6" w:rsidRDefault="00ED570A">
      <w:pPr>
        <w:pBdr>
          <w:top w:val="nil"/>
          <w:left w:val="nil"/>
          <w:bottom w:val="nil"/>
          <w:right w:val="nil"/>
          <w:between w:val="nil"/>
        </w:pBdr>
        <w:ind w:left="720"/>
        <w:rPr>
          <w:rFonts w:ascii="Palatino Linotype" w:eastAsia="Palatino Linotype" w:hAnsi="Palatino Linotype" w:cs="Palatino Linotype"/>
          <w:color w:val="000000"/>
        </w:rPr>
      </w:pPr>
    </w:p>
    <w:p w:rsidR="00ED570A" w:rsidRPr="003B37F6" w:rsidRDefault="00022CBA">
      <w:pPr>
        <w:numPr>
          <w:ilvl w:val="0"/>
          <w:numId w:val="1"/>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 xml:space="preserve">En ese orden de ideas, el artículo 164 del ordenamiento jurídico, prevé que el acceso se dará en la modalidad de entrega y, en su caso, de envío elegidos por el solicitante. </w:t>
      </w:r>
    </w:p>
    <w:p w:rsidR="00ED570A" w:rsidRPr="003B37F6" w:rsidRDefault="00ED570A">
      <w:pPr>
        <w:pBdr>
          <w:top w:val="nil"/>
          <w:left w:val="nil"/>
          <w:bottom w:val="nil"/>
          <w:right w:val="nil"/>
          <w:between w:val="nil"/>
        </w:pBdr>
        <w:ind w:left="720"/>
        <w:rPr>
          <w:rFonts w:ascii="Palatino Linotype" w:eastAsia="Palatino Linotype" w:hAnsi="Palatino Linotype" w:cs="Palatino Linotype"/>
          <w:color w:val="000000"/>
        </w:rPr>
      </w:pPr>
    </w:p>
    <w:p w:rsidR="00ED570A" w:rsidRPr="003B37F6" w:rsidRDefault="00022CBA">
      <w:pPr>
        <w:numPr>
          <w:ilvl w:val="0"/>
          <w:numId w:val="1"/>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 xml:space="preserve">Cuando la información no pueda entregarse o enviarse en la modalidad elegida, el Sujeto Obligado deberá ofrecer otra u otras modalidades de entrega. En cualquier caso, se </w:t>
      </w:r>
      <w:r w:rsidRPr="003B37F6">
        <w:rPr>
          <w:rFonts w:ascii="Palatino Linotype" w:eastAsia="Palatino Linotype" w:hAnsi="Palatino Linotype" w:cs="Palatino Linotype"/>
          <w:b/>
          <w:color w:val="000000"/>
          <w:u w:val="single"/>
        </w:rPr>
        <w:t>deberá fundar y motivar</w:t>
      </w:r>
      <w:r w:rsidRPr="003B37F6">
        <w:rPr>
          <w:rFonts w:ascii="Palatino Linotype" w:eastAsia="Palatino Linotype" w:hAnsi="Palatino Linotype" w:cs="Palatino Linotype"/>
          <w:color w:val="000000"/>
        </w:rPr>
        <w:t xml:space="preserve"> la necesidad de ofrecer otras modalidades.</w:t>
      </w:r>
    </w:p>
    <w:p w:rsidR="00ED570A" w:rsidRPr="003B37F6" w:rsidRDefault="00ED570A">
      <w:pPr>
        <w:pBdr>
          <w:top w:val="nil"/>
          <w:left w:val="nil"/>
          <w:bottom w:val="nil"/>
          <w:right w:val="nil"/>
          <w:between w:val="nil"/>
        </w:pBdr>
        <w:ind w:left="720"/>
        <w:rPr>
          <w:rFonts w:ascii="Palatino Linotype" w:eastAsia="Palatino Linotype" w:hAnsi="Palatino Linotype" w:cs="Palatino Linotype"/>
          <w:color w:val="000000"/>
        </w:rPr>
      </w:pPr>
    </w:p>
    <w:p w:rsidR="00ED570A" w:rsidRPr="003B37F6" w:rsidRDefault="00022CBA">
      <w:pPr>
        <w:numPr>
          <w:ilvl w:val="0"/>
          <w:numId w:val="1"/>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lastRenderedPageBreak/>
        <w:t>Así, cuando se justifique el impedimento, los Sujetos Obligados deberán ofrecer al particular otras modalidades de entrega que permita la información, como consulta directa en las oficinas de la Unidad de Transparencia; lo anterior, es robustecido con el Criterio 08/17, emitido por el Pleno del Instituto Nacional de Transparencia, Acceso a la Información y Protección de Datos Personales, el cual establece lo siguiente:</w:t>
      </w:r>
    </w:p>
    <w:p w:rsidR="00ED570A" w:rsidRPr="003B37F6" w:rsidRDefault="00ED570A">
      <w:pPr>
        <w:pBdr>
          <w:top w:val="nil"/>
          <w:left w:val="nil"/>
          <w:bottom w:val="nil"/>
          <w:right w:val="nil"/>
          <w:between w:val="nil"/>
        </w:pBdr>
        <w:spacing w:line="276" w:lineRule="auto"/>
        <w:ind w:left="720"/>
        <w:rPr>
          <w:rFonts w:ascii="Palatino Linotype" w:eastAsia="Palatino Linotype" w:hAnsi="Palatino Linotype" w:cs="Palatino Linotype"/>
          <w:color w:val="000000"/>
          <w:sz w:val="22"/>
          <w:szCs w:val="22"/>
        </w:rPr>
      </w:pPr>
    </w:p>
    <w:p w:rsidR="00ED570A" w:rsidRPr="003B37F6" w:rsidRDefault="00022CBA">
      <w:pPr>
        <w:pBdr>
          <w:top w:val="nil"/>
          <w:left w:val="nil"/>
          <w:bottom w:val="nil"/>
          <w:right w:val="nil"/>
          <w:between w:val="nil"/>
        </w:pBdr>
        <w:tabs>
          <w:tab w:val="left" w:pos="426"/>
          <w:tab w:val="left" w:pos="567"/>
        </w:tabs>
        <w:spacing w:line="276" w:lineRule="auto"/>
        <w:ind w:left="567" w:right="538"/>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b/>
          <w:i/>
          <w:color w:val="000000"/>
          <w:sz w:val="22"/>
          <w:szCs w:val="22"/>
        </w:rPr>
        <w:t>“Modalidad de entrega. Procedencia de proporcionar la información solicitada en una diversa a la elegida por el solicitante.</w:t>
      </w:r>
      <w:r w:rsidRPr="003B37F6">
        <w:rPr>
          <w:rFonts w:ascii="Palatino Linotype" w:eastAsia="Palatino Linotype" w:hAnsi="Palatino Linotype" w:cs="Palatino Linotype"/>
          <w:i/>
          <w:color w:val="000000"/>
          <w:sz w:val="22"/>
          <w:szCs w:val="22"/>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rsidR="00ED570A" w:rsidRPr="003B37F6" w:rsidRDefault="00ED570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ED570A" w:rsidRPr="003B37F6" w:rsidRDefault="00022CBA">
      <w:pPr>
        <w:numPr>
          <w:ilvl w:val="0"/>
          <w:numId w:val="1"/>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Del citado criterio, se desprende que cuando no sea posible atender la modalidad elegida por el solicitante, la obligación de acceso a la información se tendrá por cumplida cuando el Sujeto Obligado justifique el impedimento para atender la misma y se notifique al particular la puesta a disposición de la información en todas las modalidades que lo permitan, procurando reducir los costos de entrega.</w:t>
      </w:r>
    </w:p>
    <w:p w:rsidR="00ED570A" w:rsidRPr="003B37F6" w:rsidRDefault="00ED570A">
      <w:pPr>
        <w:pBdr>
          <w:top w:val="nil"/>
          <w:left w:val="nil"/>
          <w:bottom w:val="nil"/>
          <w:right w:val="nil"/>
          <w:between w:val="nil"/>
        </w:pBdr>
        <w:tabs>
          <w:tab w:val="left" w:pos="0"/>
          <w:tab w:val="left" w:pos="426"/>
          <w:tab w:val="left" w:pos="567"/>
        </w:tabs>
        <w:spacing w:line="360" w:lineRule="auto"/>
        <w:ind w:right="49"/>
        <w:jc w:val="both"/>
        <w:rPr>
          <w:rFonts w:ascii="Palatino Linotype" w:eastAsia="Palatino Linotype" w:hAnsi="Palatino Linotype" w:cs="Palatino Linotype"/>
          <w:color w:val="000000"/>
        </w:rPr>
      </w:pPr>
    </w:p>
    <w:p w:rsidR="00ED570A" w:rsidRPr="003B37F6" w:rsidRDefault="00022CBA">
      <w:pPr>
        <w:numPr>
          <w:ilvl w:val="0"/>
          <w:numId w:val="1"/>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 xml:space="preserve">Además, según Calero, Natalia (2016), en la “Ley General de Transparencia y Acceso a la Información Pública Comentada”, cuando los sujetos obligados ofrezcan como modalidad de entrega de la información, consulta directa, estos deberán fundar </w:t>
      </w:r>
      <w:r w:rsidRPr="003B37F6">
        <w:rPr>
          <w:rFonts w:ascii="Palatino Linotype" w:eastAsia="Palatino Linotype" w:hAnsi="Palatino Linotype" w:cs="Palatino Linotype"/>
          <w:color w:val="000000"/>
        </w:rPr>
        <w:lastRenderedPageBreak/>
        <w:t>y motivar las razones por las cuales no es posible otorgar el acceso a los documentos de otra forma; además que se deberá explicar de manera detallada lo siguiente:</w:t>
      </w:r>
    </w:p>
    <w:p w:rsidR="00ED570A" w:rsidRPr="003B37F6" w:rsidRDefault="00ED570A">
      <w:pPr>
        <w:pBdr>
          <w:top w:val="nil"/>
          <w:left w:val="nil"/>
          <w:bottom w:val="nil"/>
          <w:right w:val="nil"/>
          <w:between w:val="nil"/>
        </w:pBdr>
        <w:ind w:left="720"/>
        <w:rPr>
          <w:rFonts w:ascii="Palatino Linotype" w:eastAsia="Palatino Linotype" w:hAnsi="Palatino Linotype" w:cs="Palatino Linotype"/>
          <w:color w:val="000000"/>
        </w:rPr>
      </w:pPr>
    </w:p>
    <w:p w:rsidR="00ED570A" w:rsidRPr="003B37F6" w:rsidRDefault="00022CBA">
      <w:pPr>
        <w:numPr>
          <w:ilvl w:val="0"/>
          <w:numId w:val="10"/>
        </w:numPr>
        <w:pBdr>
          <w:top w:val="nil"/>
          <w:left w:val="nil"/>
          <w:bottom w:val="nil"/>
          <w:right w:val="nil"/>
          <w:between w:val="nil"/>
        </w:pBdr>
        <w:tabs>
          <w:tab w:val="left" w:pos="0"/>
          <w:tab w:val="left" w:pos="426"/>
          <w:tab w:val="left" w:pos="567"/>
        </w:tabs>
        <w:spacing w:line="360" w:lineRule="auto"/>
        <w:ind w:left="567" w:right="49" w:hanging="149"/>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Las razones por las cuales la información implicaba un análisis, estudio o procesamiento de datos;</w:t>
      </w:r>
    </w:p>
    <w:p w:rsidR="00ED570A" w:rsidRPr="003B37F6" w:rsidRDefault="00022CBA">
      <w:pPr>
        <w:numPr>
          <w:ilvl w:val="0"/>
          <w:numId w:val="10"/>
        </w:numPr>
        <w:pBdr>
          <w:top w:val="nil"/>
          <w:left w:val="nil"/>
          <w:bottom w:val="nil"/>
          <w:right w:val="nil"/>
          <w:between w:val="nil"/>
        </w:pBdr>
        <w:tabs>
          <w:tab w:val="left" w:pos="0"/>
          <w:tab w:val="left" w:pos="426"/>
          <w:tab w:val="left" w:pos="567"/>
        </w:tabs>
        <w:spacing w:line="360" w:lineRule="auto"/>
        <w:ind w:right="49"/>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El tiempo no es suficiente para atender la solicitud en la modalidad elegida, y</w:t>
      </w:r>
    </w:p>
    <w:p w:rsidR="00ED570A" w:rsidRPr="003B37F6" w:rsidRDefault="00022CBA">
      <w:pPr>
        <w:numPr>
          <w:ilvl w:val="0"/>
          <w:numId w:val="10"/>
        </w:numPr>
        <w:pBdr>
          <w:top w:val="nil"/>
          <w:left w:val="nil"/>
          <w:bottom w:val="nil"/>
          <w:right w:val="nil"/>
          <w:between w:val="nil"/>
        </w:pBdr>
        <w:tabs>
          <w:tab w:val="left" w:pos="0"/>
          <w:tab w:val="left" w:pos="426"/>
          <w:tab w:val="left" w:pos="567"/>
        </w:tabs>
        <w:spacing w:line="360" w:lineRule="auto"/>
        <w:ind w:left="567" w:right="49" w:hanging="142"/>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La cantidad de recursos humanos y materiales con los que cuenta el Sujeto Obligado son insuficientes.</w:t>
      </w:r>
    </w:p>
    <w:p w:rsidR="00ED570A" w:rsidRPr="003B37F6" w:rsidRDefault="00ED570A">
      <w:pPr>
        <w:pBdr>
          <w:top w:val="nil"/>
          <w:left w:val="nil"/>
          <w:bottom w:val="nil"/>
          <w:right w:val="nil"/>
          <w:between w:val="nil"/>
        </w:pBdr>
        <w:tabs>
          <w:tab w:val="left" w:pos="0"/>
          <w:tab w:val="left" w:pos="426"/>
          <w:tab w:val="left" w:pos="567"/>
        </w:tabs>
        <w:spacing w:line="360" w:lineRule="auto"/>
        <w:ind w:right="49"/>
        <w:jc w:val="both"/>
        <w:rPr>
          <w:rFonts w:ascii="Palatino Linotype" w:eastAsia="Palatino Linotype" w:hAnsi="Palatino Linotype" w:cs="Palatino Linotype"/>
          <w:color w:val="000000"/>
        </w:rPr>
      </w:pPr>
    </w:p>
    <w:p w:rsidR="00ED570A" w:rsidRPr="003B37F6" w:rsidRDefault="00022CBA">
      <w:pPr>
        <w:numPr>
          <w:ilvl w:val="0"/>
          <w:numId w:val="1"/>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De igual forma, de las constancias que integran el expediente del asunto que nos ocupa, se advierte que si bien es cierto que el Sujeto Obligado, se limitó a ofrecer el cambio de modalidad a consulta directa, también lo es que no ofreció todos los medios por los cuales pudiera entregar la información, como por ejemplo de manera enunciativa más no limitativa, la entrega a través de un dispositivo USB o disco duro extraíble, sin costo si la persona solicitante los proporciona; correo certificado, previo pago de los costos de reproducción y envío, así como habilitar una liga electrónica en una plataforma electrónica de almacenamiento, entre otras.</w:t>
      </w:r>
    </w:p>
    <w:p w:rsidR="00ED570A" w:rsidRPr="003B37F6" w:rsidRDefault="00ED570A">
      <w:pPr>
        <w:pBdr>
          <w:top w:val="nil"/>
          <w:left w:val="nil"/>
          <w:bottom w:val="nil"/>
          <w:right w:val="nil"/>
          <w:between w:val="nil"/>
        </w:pBdr>
        <w:tabs>
          <w:tab w:val="left" w:pos="0"/>
          <w:tab w:val="left" w:pos="426"/>
          <w:tab w:val="left" w:pos="567"/>
        </w:tabs>
        <w:spacing w:line="360" w:lineRule="auto"/>
        <w:ind w:right="49"/>
        <w:jc w:val="both"/>
        <w:rPr>
          <w:rFonts w:ascii="Palatino Linotype" w:eastAsia="Palatino Linotype" w:hAnsi="Palatino Linotype" w:cs="Palatino Linotype"/>
          <w:color w:val="000000"/>
        </w:rPr>
      </w:pPr>
    </w:p>
    <w:p w:rsidR="00ED570A" w:rsidRPr="003B37F6" w:rsidRDefault="00022CBA">
      <w:pPr>
        <w:numPr>
          <w:ilvl w:val="0"/>
          <w:numId w:val="1"/>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 xml:space="preserve">Ahora bien, en relación al peso máximo de archivos que soporta el SAIMEX para adjuntar como respuesta a las solicitudes de información, al respecto hago de su conocimiento que el citado sistema, tiene el soporte tecnológico para que se puedan adjuntar archivos con un peso aprox. de hasta 500Mb o un equivalente de hasta 8,000 </w:t>
      </w:r>
      <w:r w:rsidRPr="003B37F6">
        <w:rPr>
          <w:rFonts w:ascii="Palatino Linotype" w:eastAsia="Palatino Linotype" w:hAnsi="Palatino Linotype" w:cs="Palatino Linotype"/>
          <w:color w:val="000000"/>
        </w:rPr>
        <w:lastRenderedPageBreak/>
        <w:t xml:space="preserve">hojas, garantizando que el Ciudadano no tenga problemas en la descarga de la información usando conexiones a internet convencionales bajo parámetros de escaneo en resolución máxima de 150Dpi's, escala de grises y formato "PDF" extraído directamente del escáner, refiriendo que en el caso particular, </w:t>
      </w:r>
      <w:r w:rsidRPr="003B37F6">
        <w:rPr>
          <w:rFonts w:ascii="Palatino Linotype" w:eastAsia="Palatino Linotype" w:hAnsi="Palatino Linotype" w:cs="Palatino Linotype"/>
          <w:color w:val="000000"/>
          <w:u w:val="single"/>
        </w:rPr>
        <w:t>no se considera efectuar el registro de incidencias</w:t>
      </w:r>
      <w:r w:rsidRPr="003B37F6">
        <w:rPr>
          <w:rFonts w:ascii="Palatino Linotype" w:eastAsia="Palatino Linotype" w:hAnsi="Palatino Linotype" w:cs="Palatino Linotype"/>
          <w:color w:val="000000"/>
        </w:rPr>
        <w:t>, en primer lugar porque el Particular solicitó los recibos de nómina de seis servidores públicos, el pago de dietas, asignación de vehículos y gastos de gasolina de los vehículos oficiales asignados, comprendiendo el periodo del uno al veintiocho de agosto de dos mil veinticuatro, por lo que tomando en consideración las capacidades técnicas antes descritas en relación a la cantidad de fojas que pudieran dar cuenta de la información solicitada no sobrepasan la capacidad de dicho sistema.</w:t>
      </w:r>
    </w:p>
    <w:p w:rsidR="00ED570A" w:rsidRPr="003B37F6" w:rsidRDefault="00ED570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ED570A" w:rsidRPr="003B37F6" w:rsidRDefault="00022CBA">
      <w:pPr>
        <w:numPr>
          <w:ilvl w:val="0"/>
          <w:numId w:val="1"/>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Es con base en las consideraciones de hecho y de derecho señaladas en líneas anteriores que, el Sujeto Obligado, genera, administra y posee la información solicitada por la parte Recurrente, siendo procedente ordenar la entrega de la información, a efecto de satisfacer el requerimiento de la persona solicitante.</w:t>
      </w:r>
    </w:p>
    <w:p w:rsidR="00ED570A" w:rsidRPr="003B37F6" w:rsidRDefault="00ED570A">
      <w:pPr>
        <w:pBdr>
          <w:top w:val="nil"/>
          <w:left w:val="nil"/>
          <w:bottom w:val="nil"/>
          <w:right w:val="nil"/>
          <w:between w:val="nil"/>
        </w:pBdr>
        <w:ind w:left="720"/>
        <w:rPr>
          <w:rFonts w:ascii="Palatino Linotype" w:eastAsia="Palatino Linotype" w:hAnsi="Palatino Linotype" w:cs="Palatino Linotype"/>
          <w:color w:val="000000"/>
        </w:rPr>
      </w:pPr>
    </w:p>
    <w:p w:rsidR="00ED570A" w:rsidRPr="003B37F6" w:rsidRDefault="00022CBA">
      <w:pPr>
        <w:numPr>
          <w:ilvl w:val="0"/>
          <w:numId w:val="1"/>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 xml:space="preserve">Resulta importante mencionar que el </w:t>
      </w:r>
      <w:r w:rsidRPr="003B37F6">
        <w:rPr>
          <w:rFonts w:ascii="Palatino Linotype" w:eastAsia="Palatino Linotype" w:hAnsi="Palatino Linotype" w:cs="Palatino Linotype"/>
          <w:b/>
          <w:color w:val="000000"/>
        </w:rPr>
        <w:t>SUJETO OBLIGADO</w:t>
      </w:r>
      <w:r w:rsidRPr="003B37F6">
        <w:rPr>
          <w:rFonts w:ascii="Palatino Linotype" w:eastAsia="Palatino Linotype" w:hAnsi="Palatino Linotype" w:cs="Palatino Linotype"/>
          <w:color w:val="000000"/>
        </w:rPr>
        <w:t xml:space="preserve"> en informe justificado adjuntó catorce recibos de nómina, sin embargo, los mismos fueron remitidos sin previo acuerdo de la clasificación de la información, no obstante a ello, los mismos no se encuentran en una correcta versión pública, y no corresponden al periodo solicitado por el RECURRENTE, así como también no es toda la información requerida.</w:t>
      </w:r>
    </w:p>
    <w:p w:rsidR="00ED570A" w:rsidRPr="003B37F6" w:rsidRDefault="00ED570A">
      <w:pPr>
        <w:pBdr>
          <w:top w:val="nil"/>
          <w:left w:val="nil"/>
          <w:bottom w:val="nil"/>
          <w:right w:val="nil"/>
          <w:between w:val="nil"/>
        </w:pBdr>
        <w:tabs>
          <w:tab w:val="left" w:pos="0"/>
          <w:tab w:val="left" w:pos="426"/>
          <w:tab w:val="left" w:pos="567"/>
        </w:tabs>
        <w:spacing w:line="360" w:lineRule="auto"/>
        <w:ind w:right="49"/>
        <w:jc w:val="both"/>
        <w:rPr>
          <w:rFonts w:ascii="Palatino Linotype" w:eastAsia="Palatino Linotype" w:hAnsi="Palatino Linotype" w:cs="Palatino Linotype"/>
          <w:color w:val="000000"/>
        </w:rPr>
      </w:pPr>
    </w:p>
    <w:p w:rsidR="00ED570A" w:rsidRPr="003B37F6" w:rsidRDefault="00022CBA">
      <w:pPr>
        <w:numPr>
          <w:ilvl w:val="0"/>
          <w:numId w:val="1"/>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lastRenderedPageBreak/>
        <w:t xml:space="preserve">Bajo los argumentos expuestos, se considera que el Sujeto Obligado, no acreditó de manera fundada y motivada, el cambio de modalidad a consulta directa, toda vez que la información solicitada por el Recurrente en una lógica no sobrepasa las capacidades técnicas y administrativas, razón por la cual, resulta procedente ordenar al Sujeto Obligado poner a disposición de la persona solicitante la información en la modalidad que lo solicitó el recurrente, de ser el caso en versión pública; en todas las modalidades posibles, de manera enunciativa, más no limitativa: </w:t>
      </w:r>
      <w:r w:rsidRPr="003B37F6">
        <w:rPr>
          <w:rFonts w:ascii="Palatino Linotype" w:eastAsia="Palatino Linotype" w:hAnsi="Palatino Linotype" w:cs="Palatino Linotype"/>
          <w:color w:val="000000"/>
          <w:u w:val="single"/>
        </w:rPr>
        <w:t>disco compacto, dispositivos de almacenamiento (CD-ROOM, USB, Disco duro extraíble, etc.), consulta directa, copias simples o certificadas, con posibilidad de entrega en la Unidad de Transparencia o a domicilio por correo certificado, previo pago de los derechos correspondientes.</w:t>
      </w:r>
    </w:p>
    <w:p w:rsidR="00ED570A" w:rsidRPr="003B37F6" w:rsidRDefault="00ED570A">
      <w:pPr>
        <w:pBdr>
          <w:top w:val="nil"/>
          <w:left w:val="nil"/>
          <w:bottom w:val="nil"/>
          <w:right w:val="nil"/>
          <w:between w:val="nil"/>
        </w:pBdr>
        <w:spacing w:line="360" w:lineRule="auto"/>
        <w:ind w:right="1"/>
        <w:jc w:val="both"/>
        <w:rPr>
          <w:rFonts w:ascii="Palatino Linotype" w:eastAsia="Palatino Linotype" w:hAnsi="Palatino Linotype" w:cs="Palatino Linotype"/>
          <w:color w:val="000000"/>
        </w:rPr>
      </w:pPr>
    </w:p>
    <w:p w:rsidR="00ED570A" w:rsidRPr="003B37F6" w:rsidRDefault="00022CBA">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Ahora bien, continuando con el desarrollo de la presente, se precisa que en el Manual de Organización de la Administración Pública Municipal, de San Felipe del Progreso, establece lo siguiente:</w:t>
      </w:r>
    </w:p>
    <w:p w:rsidR="00ED570A" w:rsidRPr="003B37F6" w:rsidRDefault="00ED570A">
      <w:pPr>
        <w:pBdr>
          <w:top w:val="nil"/>
          <w:left w:val="nil"/>
          <w:bottom w:val="nil"/>
          <w:right w:val="nil"/>
          <w:between w:val="nil"/>
        </w:pBdr>
        <w:tabs>
          <w:tab w:val="left" w:pos="0"/>
          <w:tab w:val="left" w:pos="426"/>
          <w:tab w:val="left" w:pos="567"/>
        </w:tabs>
        <w:spacing w:line="360" w:lineRule="auto"/>
        <w:ind w:right="49"/>
        <w:jc w:val="both"/>
        <w:rPr>
          <w:rFonts w:ascii="Palatino Linotype" w:eastAsia="Palatino Linotype" w:hAnsi="Palatino Linotype" w:cs="Palatino Linotype"/>
          <w:color w:val="000000"/>
        </w:rPr>
      </w:pPr>
    </w:p>
    <w:p w:rsidR="00ED570A" w:rsidRPr="003B37F6" w:rsidRDefault="00022CBA">
      <w:pPr>
        <w:pBdr>
          <w:top w:val="nil"/>
          <w:left w:val="nil"/>
          <w:bottom w:val="nil"/>
          <w:right w:val="nil"/>
          <w:between w:val="nil"/>
        </w:pBdr>
        <w:tabs>
          <w:tab w:val="left" w:pos="426"/>
          <w:tab w:val="left" w:pos="567"/>
          <w:tab w:val="left" w:pos="709"/>
        </w:tabs>
        <w:spacing w:line="276" w:lineRule="auto"/>
        <w:ind w:left="851" w:right="680"/>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i/>
          <w:color w:val="000000"/>
          <w:sz w:val="22"/>
          <w:szCs w:val="22"/>
        </w:rPr>
        <w:t>Artículo 3.- La Administración Pública Municipal estará conformada por las siguientes dependencias, órganos desconcentrados y entidades:</w:t>
      </w:r>
    </w:p>
    <w:p w:rsidR="00ED570A" w:rsidRPr="003B37F6" w:rsidRDefault="00022CBA">
      <w:pPr>
        <w:pBdr>
          <w:top w:val="nil"/>
          <w:left w:val="nil"/>
          <w:bottom w:val="nil"/>
          <w:right w:val="nil"/>
          <w:between w:val="nil"/>
        </w:pBdr>
        <w:tabs>
          <w:tab w:val="left" w:pos="426"/>
          <w:tab w:val="left" w:pos="567"/>
          <w:tab w:val="left" w:pos="709"/>
        </w:tabs>
        <w:spacing w:line="276" w:lineRule="auto"/>
        <w:ind w:left="851" w:right="680"/>
        <w:jc w:val="both"/>
        <w:rPr>
          <w:rFonts w:ascii="Palatino Linotype" w:eastAsia="Palatino Linotype" w:hAnsi="Palatino Linotype" w:cs="Palatino Linotype"/>
          <w:b/>
          <w:i/>
          <w:color w:val="000000"/>
          <w:sz w:val="22"/>
          <w:szCs w:val="22"/>
        </w:rPr>
      </w:pPr>
      <w:r w:rsidRPr="003B37F6">
        <w:rPr>
          <w:rFonts w:ascii="Palatino Linotype" w:eastAsia="Palatino Linotype" w:hAnsi="Palatino Linotype" w:cs="Palatino Linotype"/>
          <w:b/>
          <w:i/>
          <w:color w:val="000000"/>
          <w:sz w:val="22"/>
          <w:szCs w:val="22"/>
        </w:rPr>
        <w:t>I Dependencias:</w:t>
      </w:r>
    </w:p>
    <w:p w:rsidR="00ED570A" w:rsidRPr="003B37F6" w:rsidRDefault="00022CBA">
      <w:pPr>
        <w:numPr>
          <w:ilvl w:val="0"/>
          <w:numId w:val="6"/>
        </w:numPr>
        <w:pBdr>
          <w:top w:val="nil"/>
          <w:left w:val="nil"/>
          <w:bottom w:val="nil"/>
          <w:right w:val="nil"/>
          <w:between w:val="nil"/>
        </w:pBdr>
        <w:tabs>
          <w:tab w:val="left" w:pos="426"/>
          <w:tab w:val="left" w:pos="567"/>
          <w:tab w:val="left" w:pos="709"/>
        </w:tabs>
        <w:spacing w:line="276" w:lineRule="auto"/>
        <w:ind w:left="851" w:right="680" w:firstLine="0"/>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i/>
          <w:color w:val="000000"/>
          <w:sz w:val="22"/>
          <w:szCs w:val="22"/>
        </w:rPr>
        <w:t>Secretaría del Ayuntamiento;</w:t>
      </w:r>
    </w:p>
    <w:p w:rsidR="00ED570A" w:rsidRPr="003B37F6" w:rsidRDefault="00022CBA">
      <w:pPr>
        <w:numPr>
          <w:ilvl w:val="0"/>
          <w:numId w:val="6"/>
        </w:numPr>
        <w:pBdr>
          <w:top w:val="nil"/>
          <w:left w:val="nil"/>
          <w:bottom w:val="nil"/>
          <w:right w:val="nil"/>
          <w:between w:val="nil"/>
        </w:pBdr>
        <w:tabs>
          <w:tab w:val="left" w:pos="426"/>
          <w:tab w:val="left" w:pos="567"/>
          <w:tab w:val="left" w:pos="709"/>
        </w:tabs>
        <w:spacing w:line="276" w:lineRule="auto"/>
        <w:ind w:left="851" w:right="680" w:firstLine="0"/>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i/>
          <w:color w:val="000000"/>
          <w:sz w:val="22"/>
          <w:szCs w:val="22"/>
        </w:rPr>
        <w:t>Tesorería Municipal;</w:t>
      </w:r>
    </w:p>
    <w:p w:rsidR="00ED570A" w:rsidRPr="003B37F6" w:rsidRDefault="00022CBA">
      <w:pPr>
        <w:pBdr>
          <w:top w:val="nil"/>
          <w:left w:val="nil"/>
          <w:bottom w:val="nil"/>
          <w:right w:val="nil"/>
          <w:between w:val="nil"/>
        </w:pBdr>
        <w:tabs>
          <w:tab w:val="left" w:pos="426"/>
          <w:tab w:val="left" w:pos="567"/>
          <w:tab w:val="left" w:pos="709"/>
        </w:tabs>
        <w:spacing w:line="276" w:lineRule="auto"/>
        <w:ind w:left="851" w:right="680"/>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i/>
          <w:color w:val="000000"/>
          <w:sz w:val="22"/>
          <w:szCs w:val="22"/>
        </w:rPr>
        <w:t>…</w:t>
      </w:r>
    </w:p>
    <w:p w:rsidR="00ED570A" w:rsidRPr="003B37F6" w:rsidRDefault="00022CBA">
      <w:pPr>
        <w:pBdr>
          <w:top w:val="nil"/>
          <w:left w:val="nil"/>
          <w:bottom w:val="nil"/>
          <w:right w:val="nil"/>
          <w:between w:val="nil"/>
        </w:pBdr>
        <w:tabs>
          <w:tab w:val="left" w:pos="426"/>
          <w:tab w:val="left" w:pos="567"/>
          <w:tab w:val="left" w:pos="709"/>
        </w:tabs>
        <w:spacing w:line="276" w:lineRule="auto"/>
        <w:ind w:left="851" w:right="680"/>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i/>
          <w:color w:val="000000"/>
          <w:sz w:val="22"/>
          <w:szCs w:val="22"/>
        </w:rPr>
        <w:t>g) Dirección de Administración</w:t>
      </w:r>
    </w:p>
    <w:p w:rsidR="00ED570A" w:rsidRPr="003B37F6" w:rsidRDefault="00ED570A">
      <w:pPr>
        <w:pBdr>
          <w:top w:val="nil"/>
          <w:left w:val="nil"/>
          <w:bottom w:val="nil"/>
          <w:right w:val="nil"/>
          <w:between w:val="nil"/>
        </w:pBdr>
        <w:tabs>
          <w:tab w:val="left" w:pos="426"/>
          <w:tab w:val="left" w:pos="567"/>
          <w:tab w:val="left" w:pos="709"/>
        </w:tabs>
        <w:spacing w:line="276" w:lineRule="auto"/>
        <w:ind w:left="851" w:right="680"/>
        <w:jc w:val="both"/>
        <w:rPr>
          <w:rFonts w:ascii="Palatino Linotype" w:eastAsia="Palatino Linotype" w:hAnsi="Palatino Linotype" w:cs="Palatino Linotype"/>
          <w:i/>
          <w:color w:val="000000"/>
          <w:sz w:val="22"/>
          <w:szCs w:val="22"/>
        </w:rPr>
      </w:pPr>
    </w:p>
    <w:p w:rsidR="00ED570A" w:rsidRPr="003B37F6" w:rsidRDefault="00022CBA">
      <w:pPr>
        <w:pBdr>
          <w:top w:val="nil"/>
          <w:left w:val="nil"/>
          <w:bottom w:val="nil"/>
          <w:right w:val="nil"/>
          <w:between w:val="nil"/>
        </w:pBdr>
        <w:tabs>
          <w:tab w:val="left" w:pos="426"/>
          <w:tab w:val="left" w:pos="567"/>
          <w:tab w:val="left" w:pos="709"/>
        </w:tabs>
        <w:spacing w:line="276" w:lineRule="auto"/>
        <w:ind w:left="851" w:right="680"/>
        <w:jc w:val="center"/>
        <w:rPr>
          <w:rFonts w:ascii="Palatino Linotype" w:eastAsia="Palatino Linotype" w:hAnsi="Palatino Linotype" w:cs="Palatino Linotype"/>
          <w:b/>
          <w:i/>
          <w:color w:val="000000"/>
          <w:sz w:val="22"/>
          <w:szCs w:val="22"/>
        </w:rPr>
      </w:pPr>
      <w:r w:rsidRPr="003B37F6">
        <w:rPr>
          <w:rFonts w:ascii="Palatino Linotype" w:eastAsia="Palatino Linotype" w:hAnsi="Palatino Linotype" w:cs="Palatino Linotype"/>
          <w:b/>
          <w:i/>
          <w:color w:val="000000"/>
          <w:sz w:val="22"/>
          <w:szCs w:val="22"/>
        </w:rPr>
        <w:t>Capítulo Cuarto</w:t>
      </w:r>
    </w:p>
    <w:p w:rsidR="00ED570A" w:rsidRPr="003B37F6" w:rsidRDefault="00022CBA">
      <w:pPr>
        <w:pBdr>
          <w:top w:val="nil"/>
          <w:left w:val="nil"/>
          <w:bottom w:val="nil"/>
          <w:right w:val="nil"/>
          <w:between w:val="nil"/>
        </w:pBdr>
        <w:tabs>
          <w:tab w:val="left" w:pos="426"/>
          <w:tab w:val="left" w:pos="567"/>
          <w:tab w:val="left" w:pos="709"/>
        </w:tabs>
        <w:spacing w:line="276" w:lineRule="auto"/>
        <w:ind w:left="851" w:right="680"/>
        <w:jc w:val="center"/>
        <w:rPr>
          <w:rFonts w:ascii="Palatino Linotype" w:eastAsia="Palatino Linotype" w:hAnsi="Palatino Linotype" w:cs="Palatino Linotype"/>
          <w:b/>
          <w:i/>
          <w:color w:val="000000"/>
          <w:sz w:val="22"/>
          <w:szCs w:val="22"/>
        </w:rPr>
      </w:pPr>
      <w:r w:rsidRPr="003B37F6">
        <w:rPr>
          <w:rFonts w:ascii="Palatino Linotype" w:eastAsia="Palatino Linotype" w:hAnsi="Palatino Linotype" w:cs="Palatino Linotype"/>
          <w:b/>
          <w:i/>
          <w:color w:val="000000"/>
          <w:sz w:val="22"/>
          <w:szCs w:val="22"/>
        </w:rPr>
        <w:lastRenderedPageBreak/>
        <w:t>De la Tesorería Municipal</w:t>
      </w:r>
    </w:p>
    <w:p w:rsidR="00ED570A" w:rsidRPr="003B37F6" w:rsidRDefault="00022CBA">
      <w:pPr>
        <w:pBdr>
          <w:top w:val="nil"/>
          <w:left w:val="nil"/>
          <w:bottom w:val="nil"/>
          <w:right w:val="nil"/>
          <w:between w:val="nil"/>
        </w:pBdr>
        <w:tabs>
          <w:tab w:val="left" w:pos="426"/>
          <w:tab w:val="left" w:pos="567"/>
          <w:tab w:val="left" w:pos="709"/>
        </w:tabs>
        <w:spacing w:line="276" w:lineRule="auto"/>
        <w:ind w:left="851" w:right="680"/>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i/>
          <w:color w:val="000000"/>
          <w:sz w:val="22"/>
          <w:szCs w:val="22"/>
        </w:rPr>
        <w:t>Artículo 21.- Para el estudio, planeación y despacho de los asuntos de su competencia, la Tesorería Municipal contará con unidades administrativas subalternas cuyas atribuciones se determinarán en el Reglamento Interior correspondiente.</w:t>
      </w:r>
    </w:p>
    <w:p w:rsidR="00ED570A" w:rsidRPr="003B37F6" w:rsidRDefault="00022CBA">
      <w:pPr>
        <w:pBdr>
          <w:top w:val="nil"/>
          <w:left w:val="nil"/>
          <w:bottom w:val="nil"/>
          <w:right w:val="nil"/>
          <w:between w:val="nil"/>
        </w:pBdr>
        <w:tabs>
          <w:tab w:val="left" w:pos="426"/>
          <w:tab w:val="left" w:pos="567"/>
          <w:tab w:val="left" w:pos="709"/>
        </w:tabs>
        <w:spacing w:line="276" w:lineRule="auto"/>
        <w:ind w:left="851" w:right="680"/>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i/>
          <w:color w:val="000000"/>
          <w:sz w:val="22"/>
          <w:szCs w:val="22"/>
        </w:rPr>
        <w:t>Artículo 22.- El titular de la Tesorería Municipal será el Tesorero Municipal quien tiene a su cargo el despacho de los asuntos que le confieren la Ley Orgánica, el Código Financiero, las demás disposiciones aplicables, así como el ejercicio de las siguientes atribuciones:</w:t>
      </w:r>
    </w:p>
    <w:p w:rsidR="00ED570A" w:rsidRPr="003B37F6" w:rsidRDefault="00022CBA">
      <w:pPr>
        <w:pBdr>
          <w:top w:val="nil"/>
          <w:left w:val="nil"/>
          <w:bottom w:val="nil"/>
          <w:right w:val="nil"/>
          <w:between w:val="nil"/>
        </w:pBdr>
        <w:tabs>
          <w:tab w:val="left" w:pos="426"/>
          <w:tab w:val="left" w:pos="567"/>
          <w:tab w:val="left" w:pos="709"/>
        </w:tabs>
        <w:spacing w:line="276" w:lineRule="auto"/>
        <w:ind w:left="851" w:right="680"/>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i/>
          <w:color w:val="000000"/>
          <w:sz w:val="22"/>
          <w:szCs w:val="22"/>
        </w:rPr>
        <w:t>…</w:t>
      </w:r>
    </w:p>
    <w:p w:rsidR="00ED570A" w:rsidRPr="003B37F6" w:rsidRDefault="00022CBA">
      <w:pPr>
        <w:pBdr>
          <w:top w:val="nil"/>
          <w:left w:val="nil"/>
          <w:bottom w:val="nil"/>
          <w:right w:val="nil"/>
          <w:between w:val="nil"/>
        </w:pBdr>
        <w:tabs>
          <w:tab w:val="left" w:pos="426"/>
          <w:tab w:val="left" w:pos="567"/>
          <w:tab w:val="left" w:pos="709"/>
        </w:tabs>
        <w:spacing w:line="276" w:lineRule="auto"/>
        <w:ind w:left="851" w:right="680"/>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i/>
          <w:color w:val="000000"/>
          <w:sz w:val="22"/>
          <w:szCs w:val="22"/>
        </w:rPr>
        <w:t xml:space="preserve">X. Coordinar la programación, </w:t>
      </w:r>
      <w:proofErr w:type="spellStart"/>
      <w:r w:rsidRPr="003B37F6">
        <w:rPr>
          <w:rFonts w:ascii="Palatino Linotype" w:eastAsia="Palatino Linotype" w:hAnsi="Palatino Linotype" w:cs="Palatino Linotype"/>
          <w:i/>
          <w:color w:val="000000"/>
          <w:sz w:val="22"/>
          <w:szCs w:val="22"/>
        </w:rPr>
        <w:t>presupuestación</w:t>
      </w:r>
      <w:proofErr w:type="spellEnd"/>
      <w:r w:rsidRPr="003B37F6">
        <w:rPr>
          <w:rFonts w:ascii="Palatino Linotype" w:eastAsia="Palatino Linotype" w:hAnsi="Palatino Linotype" w:cs="Palatino Linotype"/>
          <w:i/>
          <w:color w:val="000000"/>
          <w:sz w:val="22"/>
          <w:szCs w:val="22"/>
        </w:rPr>
        <w:t xml:space="preserve"> y ejercicio del gasto de la Administración Pública Municipal;</w:t>
      </w:r>
    </w:p>
    <w:p w:rsidR="00ED570A" w:rsidRPr="003B37F6" w:rsidRDefault="00022CBA">
      <w:pPr>
        <w:pBdr>
          <w:top w:val="nil"/>
          <w:left w:val="nil"/>
          <w:bottom w:val="nil"/>
          <w:right w:val="nil"/>
          <w:between w:val="nil"/>
        </w:pBdr>
        <w:tabs>
          <w:tab w:val="left" w:pos="426"/>
          <w:tab w:val="left" w:pos="567"/>
          <w:tab w:val="left" w:pos="709"/>
        </w:tabs>
        <w:spacing w:line="276" w:lineRule="auto"/>
        <w:ind w:left="851" w:right="680"/>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i/>
          <w:color w:val="000000"/>
          <w:sz w:val="22"/>
          <w:szCs w:val="22"/>
        </w:rPr>
        <w:t>…</w:t>
      </w:r>
    </w:p>
    <w:p w:rsidR="00ED570A" w:rsidRPr="003B37F6" w:rsidRDefault="00022CBA">
      <w:pPr>
        <w:pBdr>
          <w:top w:val="nil"/>
          <w:left w:val="nil"/>
          <w:bottom w:val="nil"/>
          <w:right w:val="nil"/>
          <w:between w:val="nil"/>
        </w:pBdr>
        <w:tabs>
          <w:tab w:val="left" w:pos="426"/>
          <w:tab w:val="left" w:pos="567"/>
          <w:tab w:val="left" w:pos="709"/>
        </w:tabs>
        <w:spacing w:line="276" w:lineRule="auto"/>
        <w:ind w:left="851" w:right="680"/>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i/>
          <w:color w:val="000000"/>
          <w:sz w:val="22"/>
          <w:szCs w:val="22"/>
        </w:rPr>
        <w:t>XII. Revisar y validar, conjuntamente con el Instituto Municipal de Información, Planeación, Programación y Evaluación, los anteproyectos de presupuesto de las dependencias municipales;</w:t>
      </w:r>
    </w:p>
    <w:p w:rsidR="00ED570A" w:rsidRPr="003B37F6" w:rsidRDefault="00022CBA">
      <w:pPr>
        <w:pBdr>
          <w:top w:val="nil"/>
          <w:left w:val="nil"/>
          <w:bottom w:val="nil"/>
          <w:right w:val="nil"/>
          <w:between w:val="nil"/>
        </w:pBdr>
        <w:tabs>
          <w:tab w:val="left" w:pos="426"/>
          <w:tab w:val="left" w:pos="567"/>
          <w:tab w:val="left" w:pos="709"/>
        </w:tabs>
        <w:spacing w:line="276" w:lineRule="auto"/>
        <w:ind w:left="851" w:right="680"/>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i/>
          <w:color w:val="000000"/>
          <w:sz w:val="22"/>
          <w:szCs w:val="22"/>
        </w:rPr>
        <w:t>XIII. Elaborar el proyecto de presupuesto de ingresos y egreso del Municipio;</w:t>
      </w:r>
    </w:p>
    <w:p w:rsidR="00ED570A" w:rsidRPr="003B37F6" w:rsidRDefault="00022CBA">
      <w:pPr>
        <w:pBdr>
          <w:top w:val="nil"/>
          <w:left w:val="nil"/>
          <w:bottom w:val="nil"/>
          <w:right w:val="nil"/>
          <w:between w:val="nil"/>
        </w:pBdr>
        <w:tabs>
          <w:tab w:val="left" w:pos="426"/>
          <w:tab w:val="left" w:pos="567"/>
          <w:tab w:val="left" w:pos="709"/>
        </w:tabs>
        <w:spacing w:line="276" w:lineRule="auto"/>
        <w:ind w:left="851" w:right="680"/>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i/>
          <w:color w:val="000000"/>
          <w:sz w:val="22"/>
          <w:szCs w:val="22"/>
        </w:rPr>
        <w:t>…</w:t>
      </w:r>
    </w:p>
    <w:p w:rsidR="00ED570A" w:rsidRPr="003B37F6" w:rsidRDefault="00ED570A">
      <w:pPr>
        <w:pBdr>
          <w:top w:val="nil"/>
          <w:left w:val="nil"/>
          <w:bottom w:val="nil"/>
          <w:right w:val="nil"/>
          <w:between w:val="nil"/>
        </w:pBdr>
        <w:tabs>
          <w:tab w:val="left" w:pos="426"/>
          <w:tab w:val="left" w:pos="567"/>
          <w:tab w:val="left" w:pos="709"/>
        </w:tabs>
        <w:spacing w:line="276" w:lineRule="auto"/>
        <w:ind w:left="851" w:right="680"/>
        <w:jc w:val="both"/>
        <w:rPr>
          <w:rFonts w:ascii="Palatino Linotype" w:eastAsia="Palatino Linotype" w:hAnsi="Palatino Linotype" w:cs="Palatino Linotype"/>
          <w:i/>
          <w:color w:val="000000"/>
          <w:sz w:val="22"/>
          <w:szCs w:val="22"/>
        </w:rPr>
      </w:pPr>
    </w:p>
    <w:p w:rsidR="00ED570A" w:rsidRPr="003B37F6" w:rsidRDefault="00022CBA">
      <w:pPr>
        <w:pBdr>
          <w:top w:val="nil"/>
          <w:left w:val="nil"/>
          <w:bottom w:val="nil"/>
          <w:right w:val="nil"/>
          <w:between w:val="nil"/>
        </w:pBdr>
        <w:tabs>
          <w:tab w:val="left" w:pos="426"/>
          <w:tab w:val="left" w:pos="567"/>
          <w:tab w:val="left" w:pos="709"/>
        </w:tabs>
        <w:spacing w:line="276" w:lineRule="auto"/>
        <w:ind w:left="851" w:right="680"/>
        <w:jc w:val="center"/>
        <w:rPr>
          <w:rFonts w:ascii="Palatino Linotype" w:eastAsia="Palatino Linotype" w:hAnsi="Palatino Linotype" w:cs="Palatino Linotype"/>
          <w:b/>
          <w:i/>
          <w:color w:val="000000"/>
          <w:sz w:val="22"/>
          <w:szCs w:val="22"/>
        </w:rPr>
      </w:pPr>
      <w:r w:rsidRPr="003B37F6">
        <w:rPr>
          <w:rFonts w:ascii="Palatino Linotype" w:eastAsia="Palatino Linotype" w:hAnsi="Palatino Linotype" w:cs="Palatino Linotype"/>
          <w:b/>
          <w:i/>
          <w:color w:val="000000"/>
          <w:sz w:val="22"/>
          <w:szCs w:val="22"/>
        </w:rPr>
        <w:t>Capítulo Noveno</w:t>
      </w:r>
    </w:p>
    <w:p w:rsidR="00ED570A" w:rsidRPr="003B37F6" w:rsidRDefault="00022CBA">
      <w:pPr>
        <w:pBdr>
          <w:top w:val="nil"/>
          <w:left w:val="nil"/>
          <w:bottom w:val="nil"/>
          <w:right w:val="nil"/>
          <w:between w:val="nil"/>
        </w:pBdr>
        <w:tabs>
          <w:tab w:val="left" w:pos="426"/>
          <w:tab w:val="left" w:pos="567"/>
          <w:tab w:val="left" w:pos="709"/>
        </w:tabs>
        <w:spacing w:line="276" w:lineRule="auto"/>
        <w:ind w:left="851" w:right="680"/>
        <w:jc w:val="center"/>
        <w:rPr>
          <w:rFonts w:ascii="Palatino Linotype" w:eastAsia="Palatino Linotype" w:hAnsi="Palatino Linotype" w:cs="Palatino Linotype"/>
          <w:b/>
          <w:i/>
          <w:color w:val="000000"/>
          <w:sz w:val="22"/>
          <w:szCs w:val="22"/>
        </w:rPr>
      </w:pPr>
      <w:r w:rsidRPr="003B37F6">
        <w:rPr>
          <w:rFonts w:ascii="Palatino Linotype" w:eastAsia="Palatino Linotype" w:hAnsi="Palatino Linotype" w:cs="Palatino Linotype"/>
          <w:b/>
          <w:i/>
          <w:color w:val="000000"/>
          <w:sz w:val="22"/>
          <w:szCs w:val="22"/>
        </w:rPr>
        <w:t>Dirección de Administración</w:t>
      </w:r>
    </w:p>
    <w:p w:rsidR="00ED570A" w:rsidRPr="003B37F6" w:rsidRDefault="00022CBA">
      <w:pPr>
        <w:pBdr>
          <w:top w:val="nil"/>
          <w:left w:val="nil"/>
          <w:bottom w:val="nil"/>
          <w:right w:val="nil"/>
          <w:between w:val="nil"/>
        </w:pBdr>
        <w:tabs>
          <w:tab w:val="left" w:pos="426"/>
          <w:tab w:val="left" w:pos="567"/>
          <w:tab w:val="left" w:pos="709"/>
        </w:tabs>
        <w:spacing w:line="276" w:lineRule="auto"/>
        <w:ind w:left="851" w:right="680"/>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i/>
          <w:color w:val="000000"/>
          <w:sz w:val="22"/>
          <w:szCs w:val="22"/>
        </w:rPr>
        <w:t>Artículo 31.- Para el estudio, planeación y despacho de los asuntos de su competencia, la Dirección de Administración contará con los siguientes Coordinaciones administrativas subalternas:</w:t>
      </w:r>
    </w:p>
    <w:p w:rsidR="00ED570A" w:rsidRPr="003B37F6" w:rsidRDefault="00022CBA">
      <w:pPr>
        <w:numPr>
          <w:ilvl w:val="0"/>
          <w:numId w:val="7"/>
        </w:numPr>
        <w:pBdr>
          <w:top w:val="nil"/>
          <w:left w:val="nil"/>
          <w:bottom w:val="nil"/>
          <w:right w:val="nil"/>
          <w:between w:val="nil"/>
        </w:pBdr>
        <w:tabs>
          <w:tab w:val="left" w:pos="426"/>
          <w:tab w:val="left" w:pos="567"/>
          <w:tab w:val="left" w:pos="709"/>
        </w:tabs>
        <w:spacing w:line="276" w:lineRule="auto"/>
        <w:ind w:left="851" w:right="680" w:firstLine="0"/>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i/>
          <w:color w:val="000000"/>
          <w:sz w:val="22"/>
          <w:szCs w:val="22"/>
        </w:rPr>
        <w:t>Departamento de Adquisiciones y servicios</w:t>
      </w:r>
    </w:p>
    <w:p w:rsidR="00ED570A" w:rsidRPr="003B37F6" w:rsidRDefault="00022CBA">
      <w:pPr>
        <w:numPr>
          <w:ilvl w:val="0"/>
          <w:numId w:val="7"/>
        </w:numPr>
        <w:pBdr>
          <w:top w:val="nil"/>
          <w:left w:val="nil"/>
          <w:bottom w:val="nil"/>
          <w:right w:val="nil"/>
          <w:between w:val="nil"/>
        </w:pBdr>
        <w:tabs>
          <w:tab w:val="left" w:pos="426"/>
          <w:tab w:val="left" w:pos="567"/>
          <w:tab w:val="left" w:pos="709"/>
        </w:tabs>
        <w:spacing w:line="276" w:lineRule="auto"/>
        <w:ind w:left="851" w:right="680" w:firstLine="0"/>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i/>
          <w:color w:val="000000"/>
          <w:sz w:val="22"/>
          <w:szCs w:val="22"/>
        </w:rPr>
        <w:t>Departamento de Recursos Humanos</w:t>
      </w:r>
    </w:p>
    <w:p w:rsidR="00ED570A" w:rsidRPr="003B37F6" w:rsidRDefault="00022CBA">
      <w:pPr>
        <w:numPr>
          <w:ilvl w:val="0"/>
          <w:numId w:val="7"/>
        </w:numPr>
        <w:pBdr>
          <w:top w:val="nil"/>
          <w:left w:val="nil"/>
          <w:bottom w:val="nil"/>
          <w:right w:val="nil"/>
          <w:between w:val="nil"/>
        </w:pBdr>
        <w:tabs>
          <w:tab w:val="left" w:pos="426"/>
          <w:tab w:val="left" w:pos="567"/>
          <w:tab w:val="left" w:pos="709"/>
        </w:tabs>
        <w:spacing w:line="276" w:lineRule="auto"/>
        <w:ind w:left="851" w:right="680" w:firstLine="0"/>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i/>
          <w:color w:val="000000"/>
          <w:sz w:val="22"/>
          <w:szCs w:val="22"/>
        </w:rPr>
        <w:t>Parque Vehicular</w:t>
      </w:r>
    </w:p>
    <w:p w:rsidR="00ED570A" w:rsidRPr="003B37F6" w:rsidRDefault="00022CBA">
      <w:pPr>
        <w:numPr>
          <w:ilvl w:val="0"/>
          <w:numId w:val="7"/>
        </w:numPr>
        <w:pBdr>
          <w:top w:val="nil"/>
          <w:left w:val="nil"/>
          <w:bottom w:val="nil"/>
          <w:right w:val="nil"/>
          <w:between w:val="nil"/>
        </w:pBdr>
        <w:tabs>
          <w:tab w:val="left" w:pos="426"/>
          <w:tab w:val="left" w:pos="567"/>
          <w:tab w:val="left" w:pos="709"/>
        </w:tabs>
        <w:spacing w:line="276" w:lineRule="auto"/>
        <w:ind w:left="851" w:right="680" w:firstLine="0"/>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i/>
          <w:color w:val="000000"/>
          <w:sz w:val="22"/>
          <w:szCs w:val="22"/>
        </w:rPr>
        <w:t>Almacén general</w:t>
      </w:r>
    </w:p>
    <w:p w:rsidR="00ED570A" w:rsidRPr="003B37F6" w:rsidRDefault="00022CBA">
      <w:pPr>
        <w:pBdr>
          <w:top w:val="nil"/>
          <w:left w:val="nil"/>
          <w:bottom w:val="nil"/>
          <w:right w:val="nil"/>
          <w:between w:val="nil"/>
        </w:pBdr>
        <w:tabs>
          <w:tab w:val="left" w:pos="426"/>
          <w:tab w:val="left" w:pos="567"/>
          <w:tab w:val="left" w:pos="709"/>
        </w:tabs>
        <w:spacing w:line="276" w:lineRule="auto"/>
        <w:ind w:left="851" w:right="680"/>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i/>
          <w:color w:val="000000"/>
          <w:sz w:val="22"/>
          <w:szCs w:val="22"/>
        </w:rPr>
        <w:t>Artículo 32.- Corresponde a la Dirección de Administración el ejercicio de las siguientes atribuciones:</w:t>
      </w:r>
    </w:p>
    <w:p w:rsidR="00ED570A" w:rsidRPr="003B37F6" w:rsidRDefault="00022CBA">
      <w:pPr>
        <w:pBdr>
          <w:top w:val="nil"/>
          <w:left w:val="nil"/>
          <w:bottom w:val="nil"/>
          <w:right w:val="nil"/>
          <w:between w:val="nil"/>
        </w:pBdr>
        <w:tabs>
          <w:tab w:val="left" w:pos="426"/>
          <w:tab w:val="left" w:pos="567"/>
          <w:tab w:val="left" w:pos="709"/>
        </w:tabs>
        <w:spacing w:line="276" w:lineRule="auto"/>
        <w:ind w:left="851" w:right="680"/>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i/>
          <w:color w:val="000000"/>
          <w:sz w:val="22"/>
          <w:szCs w:val="22"/>
        </w:rPr>
        <w:t>…</w:t>
      </w:r>
    </w:p>
    <w:p w:rsidR="00ED570A" w:rsidRPr="003B37F6" w:rsidRDefault="00022CBA">
      <w:pPr>
        <w:pBdr>
          <w:top w:val="nil"/>
          <w:left w:val="nil"/>
          <w:bottom w:val="nil"/>
          <w:right w:val="nil"/>
          <w:between w:val="nil"/>
        </w:pBdr>
        <w:tabs>
          <w:tab w:val="left" w:pos="426"/>
          <w:tab w:val="left" w:pos="567"/>
          <w:tab w:val="left" w:pos="709"/>
        </w:tabs>
        <w:spacing w:line="276" w:lineRule="auto"/>
        <w:ind w:left="851" w:right="680"/>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i/>
          <w:color w:val="000000"/>
          <w:sz w:val="22"/>
          <w:szCs w:val="22"/>
        </w:rPr>
        <w:lastRenderedPageBreak/>
        <w:t>XI. Realizar inspecciones y verificaciones a los establecimientos de los proveedores de bienes o prestadores de servicios para comprobar su capacidad financiera, técnica, legal y, en su caso, la calidad de los productos y servicios;</w:t>
      </w:r>
    </w:p>
    <w:p w:rsidR="00ED570A" w:rsidRPr="003B37F6" w:rsidRDefault="00022CBA">
      <w:pPr>
        <w:pBdr>
          <w:top w:val="nil"/>
          <w:left w:val="nil"/>
          <w:bottom w:val="nil"/>
          <w:right w:val="nil"/>
          <w:between w:val="nil"/>
        </w:pBdr>
        <w:tabs>
          <w:tab w:val="left" w:pos="426"/>
          <w:tab w:val="left" w:pos="567"/>
          <w:tab w:val="left" w:pos="709"/>
        </w:tabs>
        <w:spacing w:line="276" w:lineRule="auto"/>
        <w:ind w:left="851" w:right="680"/>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i/>
          <w:color w:val="000000"/>
          <w:sz w:val="22"/>
          <w:szCs w:val="22"/>
        </w:rPr>
        <w:t>…</w:t>
      </w:r>
    </w:p>
    <w:p w:rsidR="00ED570A" w:rsidRPr="003B37F6" w:rsidRDefault="00022CBA">
      <w:pPr>
        <w:pBdr>
          <w:top w:val="nil"/>
          <w:left w:val="nil"/>
          <w:bottom w:val="nil"/>
          <w:right w:val="nil"/>
          <w:between w:val="nil"/>
        </w:pBdr>
        <w:tabs>
          <w:tab w:val="left" w:pos="426"/>
          <w:tab w:val="left" w:pos="567"/>
          <w:tab w:val="left" w:pos="709"/>
        </w:tabs>
        <w:spacing w:line="276" w:lineRule="auto"/>
        <w:ind w:left="851" w:right="680"/>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i/>
          <w:color w:val="000000"/>
          <w:sz w:val="22"/>
          <w:szCs w:val="22"/>
        </w:rPr>
        <w:t>XXI. Coordinar la revisión de los tabuladores de categorías y percepciones de los servidores públicos municipales;</w:t>
      </w:r>
    </w:p>
    <w:p w:rsidR="00ED570A" w:rsidRPr="003B37F6" w:rsidRDefault="00022CBA">
      <w:pPr>
        <w:pBdr>
          <w:top w:val="nil"/>
          <w:left w:val="nil"/>
          <w:bottom w:val="nil"/>
          <w:right w:val="nil"/>
          <w:between w:val="nil"/>
        </w:pBdr>
        <w:tabs>
          <w:tab w:val="left" w:pos="426"/>
          <w:tab w:val="left" w:pos="567"/>
          <w:tab w:val="left" w:pos="709"/>
        </w:tabs>
        <w:spacing w:line="276" w:lineRule="auto"/>
        <w:ind w:left="851" w:right="680"/>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i/>
          <w:color w:val="000000"/>
          <w:sz w:val="22"/>
          <w:szCs w:val="22"/>
        </w:rPr>
        <w:t>…</w:t>
      </w:r>
    </w:p>
    <w:p w:rsidR="00ED570A" w:rsidRPr="003B37F6" w:rsidRDefault="00022CBA">
      <w:pPr>
        <w:pBdr>
          <w:top w:val="nil"/>
          <w:left w:val="nil"/>
          <w:bottom w:val="nil"/>
          <w:right w:val="nil"/>
          <w:between w:val="nil"/>
        </w:pBdr>
        <w:tabs>
          <w:tab w:val="left" w:pos="426"/>
          <w:tab w:val="left" w:pos="567"/>
          <w:tab w:val="left" w:pos="709"/>
        </w:tabs>
        <w:spacing w:line="276" w:lineRule="auto"/>
        <w:ind w:left="851" w:right="680"/>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i/>
          <w:color w:val="000000"/>
          <w:sz w:val="22"/>
          <w:szCs w:val="22"/>
        </w:rPr>
        <w:t>XXXI. Proveer oportunamente a las dependencias de la Administración Pública Municipal de los bienes necesarios para el desarrollo de sus funciones;</w:t>
      </w:r>
    </w:p>
    <w:p w:rsidR="00ED570A" w:rsidRPr="003B37F6" w:rsidRDefault="00022CBA">
      <w:pPr>
        <w:pBdr>
          <w:top w:val="nil"/>
          <w:left w:val="nil"/>
          <w:bottom w:val="nil"/>
          <w:right w:val="nil"/>
          <w:between w:val="nil"/>
        </w:pBdr>
        <w:tabs>
          <w:tab w:val="left" w:pos="426"/>
          <w:tab w:val="left" w:pos="567"/>
          <w:tab w:val="left" w:pos="709"/>
        </w:tabs>
        <w:spacing w:line="276" w:lineRule="auto"/>
        <w:ind w:left="851" w:right="680"/>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i/>
          <w:color w:val="000000"/>
          <w:sz w:val="22"/>
          <w:szCs w:val="22"/>
        </w:rPr>
        <w:t>…</w:t>
      </w:r>
    </w:p>
    <w:p w:rsidR="00ED570A" w:rsidRPr="003B37F6" w:rsidRDefault="00022CBA">
      <w:pPr>
        <w:pBdr>
          <w:top w:val="nil"/>
          <w:left w:val="nil"/>
          <w:bottom w:val="nil"/>
          <w:right w:val="nil"/>
          <w:between w:val="nil"/>
        </w:pBdr>
        <w:tabs>
          <w:tab w:val="left" w:pos="426"/>
          <w:tab w:val="left" w:pos="567"/>
          <w:tab w:val="left" w:pos="709"/>
        </w:tabs>
        <w:spacing w:line="276" w:lineRule="auto"/>
        <w:ind w:left="851" w:right="680"/>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i/>
          <w:color w:val="000000"/>
          <w:sz w:val="22"/>
          <w:szCs w:val="22"/>
        </w:rPr>
        <w:t>XXXIV. Establecer los lineamientos para la asignación razonable de combustible de los vehículos oficiales propiedad del Municipio;</w:t>
      </w:r>
    </w:p>
    <w:p w:rsidR="00ED570A" w:rsidRPr="003B37F6" w:rsidRDefault="00ED570A">
      <w:pPr>
        <w:pBdr>
          <w:top w:val="nil"/>
          <w:left w:val="nil"/>
          <w:bottom w:val="nil"/>
          <w:right w:val="nil"/>
          <w:between w:val="nil"/>
        </w:pBdr>
        <w:tabs>
          <w:tab w:val="left" w:pos="0"/>
          <w:tab w:val="left" w:pos="426"/>
          <w:tab w:val="left" w:pos="567"/>
        </w:tabs>
        <w:spacing w:line="360" w:lineRule="auto"/>
        <w:ind w:right="49"/>
        <w:jc w:val="both"/>
        <w:rPr>
          <w:rFonts w:ascii="Palatino Linotype" w:eastAsia="Palatino Linotype" w:hAnsi="Palatino Linotype" w:cs="Palatino Linotype"/>
          <w:color w:val="000000"/>
        </w:rPr>
      </w:pPr>
    </w:p>
    <w:p w:rsidR="00ED570A" w:rsidRPr="003B37F6" w:rsidRDefault="00022CBA">
      <w:pPr>
        <w:numPr>
          <w:ilvl w:val="0"/>
          <w:numId w:val="1"/>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Es con base en las consideraciones de hecho y de derecho señaladas en líneas anteriores que, el Sujeto Obligado, genera, administra y posee la información solicitada por la parte Recurrente, siendo procedente ordenar la entrega de la información, a efecto de satisfacer el requerimiento de la persona solicitante.</w:t>
      </w:r>
    </w:p>
    <w:p w:rsidR="00ED570A" w:rsidRPr="003B37F6" w:rsidRDefault="00ED570A">
      <w:pPr>
        <w:pBdr>
          <w:top w:val="nil"/>
          <w:left w:val="nil"/>
          <w:bottom w:val="nil"/>
          <w:right w:val="nil"/>
          <w:between w:val="nil"/>
        </w:pBdr>
        <w:tabs>
          <w:tab w:val="left" w:pos="0"/>
          <w:tab w:val="left" w:pos="426"/>
          <w:tab w:val="left" w:pos="567"/>
        </w:tabs>
        <w:spacing w:line="360" w:lineRule="auto"/>
        <w:ind w:right="49"/>
        <w:jc w:val="both"/>
        <w:rPr>
          <w:rFonts w:ascii="Palatino Linotype" w:eastAsia="Palatino Linotype" w:hAnsi="Palatino Linotype" w:cs="Palatino Linotype"/>
          <w:color w:val="000000"/>
        </w:rPr>
      </w:pPr>
    </w:p>
    <w:p w:rsidR="00ED570A" w:rsidRPr="003B37F6" w:rsidRDefault="00022CBA">
      <w:pPr>
        <w:numPr>
          <w:ilvl w:val="0"/>
          <w:numId w:val="1"/>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 xml:space="preserve">Bajo los argumentos expuestos, se considera que el Sujeto Obligado, no acreditó de manera fundada y motivada, el cambio de modalidad a consulta directa. Sobre esta situación, es necesario precisar que el Sujeto Obligado fue omiso en manifestar algún impedimento del número de hojas o peso de la información que sobrepasara las capacidades técnicas del sistema SAIMEX, si no que únicamente refirió que lo peticionado sobrepasa las capacidades técnicas y administrativas, lo cual trae como resultado que el agravio resulte </w:t>
      </w:r>
      <w:r w:rsidRPr="003B37F6">
        <w:rPr>
          <w:rFonts w:ascii="Palatino Linotype" w:eastAsia="Palatino Linotype" w:hAnsi="Palatino Linotype" w:cs="Palatino Linotype"/>
          <w:b/>
          <w:color w:val="000000"/>
        </w:rPr>
        <w:t>FUNDADO.</w:t>
      </w:r>
      <w:r w:rsidRPr="003B37F6">
        <w:rPr>
          <w:rFonts w:ascii="Palatino Linotype" w:eastAsia="Palatino Linotype" w:hAnsi="Palatino Linotype" w:cs="Palatino Linotype"/>
          <w:color w:val="000000"/>
        </w:rPr>
        <w:t xml:space="preserve"> </w:t>
      </w:r>
    </w:p>
    <w:p w:rsidR="00ED570A" w:rsidRPr="003B37F6" w:rsidRDefault="00ED570A">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p>
    <w:p w:rsidR="00ED570A" w:rsidRPr="003B37F6" w:rsidRDefault="00022CBA">
      <w:pPr>
        <w:numPr>
          <w:ilvl w:val="0"/>
          <w:numId w:val="1"/>
        </w:numPr>
        <w:pBdr>
          <w:top w:val="nil"/>
          <w:left w:val="nil"/>
          <w:bottom w:val="nil"/>
          <w:right w:val="nil"/>
          <w:between w:val="nil"/>
        </w:pBdr>
        <w:tabs>
          <w:tab w:val="left" w:pos="0"/>
          <w:tab w:val="left" w:pos="287"/>
        </w:tabs>
        <w:spacing w:line="360" w:lineRule="auto"/>
        <w:ind w:left="0" w:right="-150"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 xml:space="preserve">Ahora bien, en relación a que se solicitó los recibos de nómina de seis servidores públicos, ya descritos líneas anteriores, correspondientes al mes de agosto de dos mil veinticuatro, en seguimiento al análisis del recurso que nos ocupa, es menester señalar que, sobre la nómina nos lleva a precisar que en nuestra legislación del Estado de México no existe como tal una definición de “nómina”; sin embargo, el “Glosario de Términos Usuales de Finanzas Públicas” del Centro de Estudios de las Finanzas Públicas de la Cámara de Diputados del H. Congreso de la Unión, el “Glosario de Términos Administrativos”, emitido por el Instituto Nacional de Administración Pública, A.C. y el “Glosario de Términos para el Proceso de Planeación, Programación, </w:t>
      </w:r>
      <w:proofErr w:type="spellStart"/>
      <w:r w:rsidRPr="003B37F6">
        <w:rPr>
          <w:rFonts w:ascii="Palatino Linotype" w:eastAsia="Palatino Linotype" w:hAnsi="Palatino Linotype" w:cs="Palatino Linotype"/>
          <w:color w:val="000000"/>
        </w:rPr>
        <w:t>Presupuestación</w:t>
      </w:r>
      <w:proofErr w:type="spellEnd"/>
      <w:r w:rsidRPr="003B37F6">
        <w:rPr>
          <w:rFonts w:ascii="Palatino Linotype" w:eastAsia="Palatino Linotype" w:hAnsi="Palatino Linotype" w:cs="Palatino Linotype"/>
          <w:color w:val="000000"/>
        </w:rPr>
        <w:t xml:space="preserve"> y Evaluación en la Administración Pública”, elaborado por el Grupo de Trabajo de Sistemas de Información Financiera, Contable y Presupuestal de la Comisión Permanente de Funcionarios Fiscales del Instituto para el Desarrollo Técnico de las Haciendas Públicas (INDETEC), señalan la siguiente definición de la palabra nómina, honorarios y personal de lista de raya:</w:t>
      </w:r>
    </w:p>
    <w:p w:rsidR="00ED570A" w:rsidRPr="003B37F6" w:rsidRDefault="00ED570A">
      <w:pPr>
        <w:pBdr>
          <w:top w:val="nil"/>
          <w:left w:val="nil"/>
          <w:bottom w:val="nil"/>
          <w:right w:val="nil"/>
          <w:between w:val="nil"/>
        </w:pBdr>
        <w:spacing w:line="276" w:lineRule="auto"/>
        <w:ind w:right="-150"/>
        <w:jc w:val="both"/>
        <w:rPr>
          <w:rFonts w:ascii="Palatino Linotype" w:eastAsia="Palatino Linotype" w:hAnsi="Palatino Linotype" w:cs="Palatino Linotype"/>
          <w:color w:val="000000"/>
          <w:sz w:val="22"/>
          <w:szCs w:val="22"/>
        </w:rPr>
      </w:pPr>
    </w:p>
    <w:p w:rsidR="00ED570A" w:rsidRPr="003B37F6" w:rsidRDefault="00022CBA">
      <w:pPr>
        <w:spacing w:line="276" w:lineRule="auto"/>
        <w:ind w:left="851" w:right="851"/>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b/>
          <w:i/>
          <w:color w:val="000000"/>
          <w:sz w:val="22"/>
          <w:szCs w:val="22"/>
        </w:rPr>
        <w:t xml:space="preserve">“NÓMINA </w:t>
      </w:r>
      <w:r w:rsidRPr="003B37F6">
        <w:rPr>
          <w:rFonts w:ascii="Palatino Linotype" w:eastAsia="Palatino Linotype" w:hAnsi="Palatino Linotype" w:cs="Palatino Linotype"/>
          <w:i/>
          <w:color w:val="000000"/>
          <w:sz w:val="22"/>
          <w:szCs w:val="22"/>
        </w:rPr>
        <w:t>Listado general de los trabajadores de una institución, en</w:t>
      </w:r>
      <w:r w:rsidRPr="003B37F6">
        <w:rPr>
          <w:rFonts w:ascii="Palatino Linotype" w:eastAsia="Palatino Linotype" w:hAnsi="Palatino Linotype" w:cs="Palatino Linotype"/>
          <w:b/>
          <w:i/>
          <w:color w:val="000000"/>
          <w:sz w:val="22"/>
          <w:szCs w:val="22"/>
        </w:rPr>
        <w:t xml:space="preserve"> </w:t>
      </w:r>
      <w:r w:rsidRPr="003B37F6">
        <w:rPr>
          <w:rFonts w:ascii="Palatino Linotype" w:eastAsia="Palatino Linotype" w:hAnsi="Palatino Linotype" w:cs="Palatino Linotype"/>
          <w:i/>
          <w:color w:val="000000"/>
          <w:sz w:val="22"/>
          <w:szCs w:val="22"/>
        </w:rPr>
        <w:t>el cual se asientan las percepciones brutas, deducciones y</w:t>
      </w:r>
      <w:r w:rsidRPr="003B37F6">
        <w:rPr>
          <w:rFonts w:ascii="Palatino Linotype" w:eastAsia="Palatino Linotype" w:hAnsi="Palatino Linotype" w:cs="Palatino Linotype"/>
          <w:b/>
          <w:i/>
          <w:color w:val="000000"/>
          <w:sz w:val="22"/>
          <w:szCs w:val="22"/>
        </w:rPr>
        <w:t xml:space="preserve"> </w:t>
      </w:r>
      <w:r w:rsidRPr="003B37F6">
        <w:rPr>
          <w:rFonts w:ascii="Palatino Linotype" w:eastAsia="Palatino Linotype" w:hAnsi="Palatino Linotype" w:cs="Palatino Linotype"/>
          <w:i/>
          <w:color w:val="000000"/>
          <w:sz w:val="22"/>
          <w:szCs w:val="22"/>
        </w:rPr>
        <w:t>alcance neto de las mismas; la nómina es utilizada para</w:t>
      </w:r>
      <w:r w:rsidRPr="003B37F6">
        <w:rPr>
          <w:rFonts w:ascii="Palatino Linotype" w:eastAsia="Palatino Linotype" w:hAnsi="Palatino Linotype" w:cs="Palatino Linotype"/>
          <w:b/>
          <w:i/>
          <w:color w:val="000000"/>
          <w:sz w:val="22"/>
          <w:szCs w:val="22"/>
        </w:rPr>
        <w:t xml:space="preserve"> </w:t>
      </w:r>
      <w:r w:rsidRPr="003B37F6">
        <w:rPr>
          <w:rFonts w:ascii="Palatino Linotype" w:eastAsia="Palatino Linotype" w:hAnsi="Palatino Linotype" w:cs="Palatino Linotype"/>
          <w:i/>
          <w:color w:val="000000"/>
          <w:sz w:val="22"/>
          <w:szCs w:val="22"/>
        </w:rPr>
        <w:t>efectuar los pagos periódicos (semanales, quincenales o</w:t>
      </w:r>
      <w:r w:rsidRPr="003B37F6">
        <w:rPr>
          <w:rFonts w:ascii="Palatino Linotype" w:eastAsia="Palatino Linotype" w:hAnsi="Palatino Linotype" w:cs="Palatino Linotype"/>
          <w:b/>
          <w:i/>
          <w:color w:val="000000"/>
          <w:sz w:val="22"/>
          <w:szCs w:val="22"/>
        </w:rPr>
        <w:t xml:space="preserve"> </w:t>
      </w:r>
      <w:r w:rsidRPr="003B37F6">
        <w:rPr>
          <w:rFonts w:ascii="Palatino Linotype" w:eastAsia="Palatino Linotype" w:hAnsi="Palatino Linotype" w:cs="Palatino Linotype"/>
          <w:i/>
          <w:color w:val="000000"/>
          <w:sz w:val="22"/>
          <w:szCs w:val="22"/>
        </w:rPr>
        <w:t>mensuales) a los trabajadores por concepto de sueldos y</w:t>
      </w:r>
      <w:r w:rsidRPr="003B37F6">
        <w:rPr>
          <w:rFonts w:ascii="Palatino Linotype" w:eastAsia="Palatino Linotype" w:hAnsi="Palatino Linotype" w:cs="Palatino Linotype"/>
          <w:b/>
          <w:i/>
          <w:color w:val="000000"/>
          <w:sz w:val="22"/>
          <w:szCs w:val="22"/>
        </w:rPr>
        <w:t xml:space="preserve"> </w:t>
      </w:r>
      <w:r w:rsidRPr="003B37F6">
        <w:rPr>
          <w:rFonts w:ascii="Palatino Linotype" w:eastAsia="Palatino Linotype" w:hAnsi="Palatino Linotype" w:cs="Palatino Linotype"/>
          <w:i/>
          <w:color w:val="000000"/>
          <w:sz w:val="22"/>
          <w:szCs w:val="22"/>
        </w:rPr>
        <w:t>salarios.”(Sic)</w:t>
      </w:r>
    </w:p>
    <w:p w:rsidR="00ED570A" w:rsidRPr="003B37F6" w:rsidRDefault="00ED570A">
      <w:pPr>
        <w:spacing w:line="360" w:lineRule="auto"/>
        <w:ind w:right="-93"/>
        <w:jc w:val="both"/>
        <w:rPr>
          <w:rFonts w:ascii="Palatino Linotype" w:eastAsia="Palatino Linotype" w:hAnsi="Palatino Linotype" w:cs="Palatino Linotype"/>
          <w:color w:val="000000"/>
        </w:rPr>
      </w:pP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 xml:space="preserve">Con base a lo anterior, conviene a traer lo establecido por el artículo 804, fracción II, de la Ley Federal de Trabajo, el cual a la letra establece: </w:t>
      </w:r>
    </w:p>
    <w:p w:rsidR="00ED570A" w:rsidRPr="003B37F6" w:rsidRDefault="00ED570A">
      <w:pPr>
        <w:spacing w:line="360" w:lineRule="auto"/>
        <w:ind w:left="851" w:right="851"/>
        <w:jc w:val="both"/>
        <w:rPr>
          <w:rFonts w:ascii="Palatino Linotype" w:eastAsia="Palatino Linotype" w:hAnsi="Palatino Linotype" w:cs="Palatino Linotype"/>
          <w:i/>
          <w:color w:val="000000"/>
        </w:rPr>
      </w:pPr>
    </w:p>
    <w:p w:rsidR="00ED570A" w:rsidRPr="003B37F6" w:rsidRDefault="00022CBA">
      <w:pPr>
        <w:spacing w:line="276" w:lineRule="auto"/>
        <w:ind w:left="851" w:right="851"/>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i/>
          <w:color w:val="000000"/>
          <w:sz w:val="22"/>
          <w:szCs w:val="22"/>
        </w:rPr>
        <w:t>“</w:t>
      </w:r>
      <w:r w:rsidRPr="003B37F6">
        <w:rPr>
          <w:rFonts w:ascii="Palatino Linotype" w:eastAsia="Palatino Linotype" w:hAnsi="Palatino Linotype" w:cs="Palatino Linotype"/>
          <w:b/>
          <w:i/>
          <w:color w:val="000000"/>
          <w:sz w:val="22"/>
          <w:szCs w:val="22"/>
        </w:rPr>
        <w:t>Artículo 804.-</w:t>
      </w:r>
      <w:r w:rsidRPr="003B37F6">
        <w:rPr>
          <w:rFonts w:ascii="Palatino Linotype" w:eastAsia="Palatino Linotype" w:hAnsi="Palatino Linotype" w:cs="Palatino Linotype"/>
          <w:i/>
          <w:color w:val="000000"/>
          <w:sz w:val="22"/>
          <w:szCs w:val="22"/>
        </w:rPr>
        <w:t xml:space="preserve"> </w:t>
      </w:r>
      <w:r w:rsidRPr="003B37F6">
        <w:rPr>
          <w:rFonts w:ascii="Palatino Linotype" w:eastAsia="Palatino Linotype" w:hAnsi="Palatino Linotype" w:cs="Palatino Linotype"/>
          <w:b/>
          <w:i/>
          <w:color w:val="000000"/>
          <w:sz w:val="22"/>
          <w:szCs w:val="22"/>
        </w:rPr>
        <w:t>El patrón tiene obligación de conservar y exhibir en juicio los documentos que a continuación se precisan</w:t>
      </w:r>
      <w:r w:rsidRPr="003B37F6">
        <w:rPr>
          <w:rFonts w:ascii="Palatino Linotype" w:eastAsia="Palatino Linotype" w:hAnsi="Palatino Linotype" w:cs="Palatino Linotype"/>
          <w:i/>
          <w:color w:val="000000"/>
          <w:sz w:val="22"/>
          <w:szCs w:val="22"/>
        </w:rPr>
        <w:t>:</w:t>
      </w:r>
    </w:p>
    <w:p w:rsidR="00ED570A" w:rsidRPr="003B37F6" w:rsidRDefault="00022CBA">
      <w:pPr>
        <w:spacing w:line="276" w:lineRule="auto"/>
        <w:ind w:left="851" w:right="851"/>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i/>
          <w:color w:val="000000"/>
          <w:sz w:val="22"/>
          <w:szCs w:val="22"/>
        </w:rPr>
        <w:t>…</w:t>
      </w:r>
    </w:p>
    <w:p w:rsidR="00ED570A" w:rsidRPr="003B37F6" w:rsidRDefault="00022CBA">
      <w:pPr>
        <w:spacing w:line="276" w:lineRule="auto"/>
        <w:ind w:left="851" w:right="851"/>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b/>
          <w:i/>
          <w:color w:val="000000"/>
          <w:sz w:val="22"/>
          <w:szCs w:val="22"/>
        </w:rPr>
        <w:t>II.</w:t>
      </w:r>
      <w:r w:rsidRPr="003B37F6">
        <w:rPr>
          <w:rFonts w:ascii="Palatino Linotype" w:eastAsia="Palatino Linotype" w:hAnsi="Palatino Linotype" w:cs="Palatino Linotype"/>
          <w:i/>
          <w:color w:val="000000"/>
          <w:sz w:val="22"/>
          <w:szCs w:val="22"/>
        </w:rPr>
        <w:t xml:space="preserve"> </w:t>
      </w:r>
      <w:r w:rsidRPr="003B37F6">
        <w:rPr>
          <w:rFonts w:ascii="Palatino Linotype" w:eastAsia="Palatino Linotype" w:hAnsi="Palatino Linotype" w:cs="Palatino Linotype"/>
          <w:b/>
          <w:i/>
          <w:color w:val="000000"/>
          <w:sz w:val="22"/>
          <w:szCs w:val="22"/>
        </w:rPr>
        <w:t>Listas de raya o nómina de personal</w:t>
      </w:r>
      <w:r w:rsidRPr="003B37F6">
        <w:rPr>
          <w:rFonts w:ascii="Palatino Linotype" w:eastAsia="Palatino Linotype" w:hAnsi="Palatino Linotype" w:cs="Palatino Linotype"/>
          <w:i/>
          <w:color w:val="000000"/>
          <w:sz w:val="22"/>
          <w:szCs w:val="22"/>
        </w:rPr>
        <w:t xml:space="preserve">, cuando se lleven en el centro de trabajo; o recibos de pagos de salarios; </w:t>
      </w:r>
    </w:p>
    <w:p w:rsidR="00ED570A" w:rsidRPr="003B37F6" w:rsidRDefault="00022CBA">
      <w:pPr>
        <w:spacing w:line="276" w:lineRule="auto"/>
        <w:ind w:left="851" w:right="851"/>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i/>
          <w:color w:val="000000"/>
          <w:sz w:val="22"/>
          <w:szCs w:val="22"/>
        </w:rPr>
        <w:t>(…)</w:t>
      </w:r>
    </w:p>
    <w:p w:rsidR="00ED570A" w:rsidRPr="003B37F6" w:rsidRDefault="00022CBA">
      <w:pPr>
        <w:spacing w:line="276" w:lineRule="auto"/>
        <w:ind w:left="851" w:right="851"/>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i/>
          <w:color w:val="000000"/>
          <w:sz w:val="22"/>
          <w:szCs w:val="22"/>
        </w:rPr>
        <w:t xml:space="preserve">Los documentos señalados en la fracción I deberán conservarse mientras dure la relación laboral y hasta un año después; </w:t>
      </w:r>
      <w:r w:rsidRPr="003B37F6">
        <w:rPr>
          <w:rFonts w:ascii="Palatino Linotype" w:eastAsia="Palatino Linotype" w:hAnsi="Palatino Linotype" w:cs="Palatino Linotype"/>
          <w:b/>
          <w:i/>
          <w:color w:val="000000"/>
          <w:sz w:val="22"/>
          <w:szCs w:val="22"/>
        </w:rPr>
        <w:t>los señalados en las fracciones II, III y IV, durante el último año y un año después de que se extinga la relación laboral</w:t>
      </w:r>
      <w:r w:rsidRPr="003B37F6">
        <w:rPr>
          <w:rFonts w:ascii="Palatino Linotype" w:eastAsia="Palatino Linotype" w:hAnsi="Palatino Linotype" w:cs="Palatino Linotype"/>
          <w:i/>
          <w:color w:val="000000"/>
          <w:sz w:val="22"/>
          <w:szCs w:val="22"/>
        </w:rPr>
        <w:t>; y los mencionados en la fracción V, conforme lo señalen las Leyes que los rijan.” (Sic)</w:t>
      </w:r>
    </w:p>
    <w:p w:rsidR="00ED570A" w:rsidRPr="003B37F6" w:rsidRDefault="00ED570A">
      <w:pPr>
        <w:spacing w:line="360" w:lineRule="auto"/>
        <w:ind w:left="851" w:right="851"/>
        <w:jc w:val="both"/>
        <w:rPr>
          <w:rFonts w:ascii="Palatino Linotype" w:eastAsia="Palatino Linotype" w:hAnsi="Palatino Linotype" w:cs="Palatino Linotype"/>
          <w:i/>
          <w:color w:val="000000"/>
        </w:rPr>
      </w:pP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De lo precedente, se concluye que la nómina, es el registro utilizado para efectuar los pagos a los trabajadores por concepto de sueldos y salarios, el cual se compone por el conjunto de trabajadores en el que se asientan las percepciones brutas, deducciones y la cantidad neta a pagar.</w:t>
      </w:r>
    </w:p>
    <w:p w:rsidR="00ED570A" w:rsidRPr="003B37F6" w:rsidRDefault="00ED570A">
      <w:pPr>
        <w:spacing w:line="360" w:lineRule="auto"/>
        <w:jc w:val="both"/>
        <w:rPr>
          <w:rFonts w:ascii="Palatino Linotype" w:eastAsia="Palatino Linotype" w:hAnsi="Palatino Linotype" w:cs="Palatino Linotype"/>
          <w:color w:val="000000"/>
        </w:rPr>
      </w:pPr>
    </w:p>
    <w:p w:rsidR="00ED570A" w:rsidRPr="003B37F6" w:rsidRDefault="00022CBA">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En ese contexto, tratándose de servidores públicos de los Municipios la Ley del Trabajo de los Servidores Públicos del Estado y Municipios, en su artículo 220-K, establece lo siguiente:</w:t>
      </w:r>
    </w:p>
    <w:p w:rsidR="00ED570A" w:rsidRPr="003B37F6" w:rsidRDefault="00ED570A">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rsidR="00ED570A" w:rsidRPr="003B37F6" w:rsidRDefault="00022CBA">
      <w:pPr>
        <w:tabs>
          <w:tab w:val="left" w:pos="9072"/>
        </w:tabs>
        <w:spacing w:line="276" w:lineRule="auto"/>
        <w:ind w:left="851" w:right="851"/>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b/>
          <w:i/>
          <w:color w:val="000000"/>
          <w:sz w:val="22"/>
          <w:szCs w:val="22"/>
        </w:rPr>
        <w:t>“ARTÍCULO 220 K.-</w:t>
      </w:r>
      <w:r w:rsidRPr="003B37F6">
        <w:rPr>
          <w:rFonts w:ascii="Palatino Linotype" w:eastAsia="Palatino Linotype" w:hAnsi="Palatino Linotype" w:cs="Palatino Linotype"/>
          <w:i/>
          <w:color w:val="000000"/>
          <w:sz w:val="22"/>
          <w:szCs w:val="22"/>
        </w:rPr>
        <w:t xml:space="preserve"> La </w:t>
      </w:r>
      <w:r w:rsidRPr="003B37F6">
        <w:rPr>
          <w:rFonts w:ascii="Palatino Linotype" w:eastAsia="Palatino Linotype" w:hAnsi="Palatino Linotype" w:cs="Palatino Linotype"/>
          <w:b/>
          <w:i/>
          <w:color w:val="000000"/>
          <w:sz w:val="22"/>
          <w:szCs w:val="22"/>
        </w:rPr>
        <w:t>institución o dependencia pública tiene la obligación de conservar y exhibir en el proceso los documentos que a continuación</w:t>
      </w:r>
      <w:r w:rsidRPr="003B37F6">
        <w:rPr>
          <w:rFonts w:ascii="Palatino Linotype" w:eastAsia="Palatino Linotype" w:hAnsi="Palatino Linotype" w:cs="Palatino Linotype"/>
          <w:i/>
          <w:color w:val="000000"/>
          <w:sz w:val="22"/>
          <w:szCs w:val="22"/>
        </w:rPr>
        <w:t xml:space="preserve"> </w:t>
      </w:r>
      <w:r w:rsidRPr="003B37F6">
        <w:rPr>
          <w:rFonts w:ascii="Palatino Linotype" w:eastAsia="Palatino Linotype" w:hAnsi="Palatino Linotype" w:cs="Palatino Linotype"/>
          <w:b/>
          <w:i/>
          <w:color w:val="000000"/>
          <w:sz w:val="22"/>
          <w:szCs w:val="22"/>
        </w:rPr>
        <w:t>se precisan</w:t>
      </w:r>
      <w:r w:rsidRPr="003B37F6">
        <w:rPr>
          <w:rFonts w:ascii="Palatino Linotype" w:eastAsia="Palatino Linotype" w:hAnsi="Palatino Linotype" w:cs="Palatino Linotype"/>
          <w:i/>
          <w:color w:val="000000"/>
          <w:sz w:val="22"/>
          <w:szCs w:val="22"/>
        </w:rPr>
        <w:t>:</w:t>
      </w:r>
    </w:p>
    <w:p w:rsidR="00ED570A" w:rsidRPr="003B37F6" w:rsidRDefault="00022CBA">
      <w:pPr>
        <w:tabs>
          <w:tab w:val="left" w:pos="9072"/>
        </w:tabs>
        <w:spacing w:line="276" w:lineRule="auto"/>
        <w:ind w:left="851" w:right="851"/>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i/>
          <w:color w:val="000000"/>
          <w:sz w:val="22"/>
          <w:szCs w:val="22"/>
        </w:rPr>
        <w:lastRenderedPageBreak/>
        <w:t>…</w:t>
      </w:r>
    </w:p>
    <w:p w:rsidR="00ED570A" w:rsidRPr="003B37F6" w:rsidRDefault="00022CBA">
      <w:pPr>
        <w:tabs>
          <w:tab w:val="left" w:pos="9072"/>
        </w:tabs>
        <w:spacing w:line="276" w:lineRule="auto"/>
        <w:ind w:left="851" w:right="851"/>
        <w:jc w:val="both"/>
        <w:rPr>
          <w:rFonts w:ascii="Palatino Linotype" w:eastAsia="Palatino Linotype" w:hAnsi="Palatino Linotype" w:cs="Palatino Linotype"/>
          <w:b/>
          <w:i/>
          <w:color w:val="000000"/>
          <w:sz w:val="22"/>
          <w:szCs w:val="22"/>
        </w:rPr>
      </w:pPr>
      <w:r w:rsidRPr="003B37F6">
        <w:rPr>
          <w:rFonts w:ascii="Palatino Linotype" w:eastAsia="Palatino Linotype" w:hAnsi="Palatino Linotype" w:cs="Palatino Linotype"/>
          <w:i/>
          <w:color w:val="000000"/>
          <w:sz w:val="22"/>
          <w:szCs w:val="22"/>
        </w:rPr>
        <w:t xml:space="preserve">II. </w:t>
      </w:r>
      <w:r w:rsidRPr="003B37F6">
        <w:rPr>
          <w:rFonts w:ascii="Palatino Linotype" w:eastAsia="Palatino Linotype" w:hAnsi="Palatino Linotype" w:cs="Palatino Linotype"/>
          <w:b/>
          <w:i/>
          <w:color w:val="000000"/>
          <w:sz w:val="22"/>
          <w:szCs w:val="22"/>
        </w:rPr>
        <w:t>Recibos de pagos de salarios o</w:t>
      </w:r>
      <w:r w:rsidRPr="003B37F6">
        <w:rPr>
          <w:rFonts w:ascii="Palatino Linotype" w:eastAsia="Palatino Linotype" w:hAnsi="Palatino Linotype" w:cs="Palatino Linotype"/>
          <w:i/>
          <w:color w:val="000000"/>
          <w:sz w:val="22"/>
          <w:szCs w:val="22"/>
        </w:rPr>
        <w:t xml:space="preserve"> </w:t>
      </w:r>
      <w:r w:rsidRPr="003B37F6">
        <w:rPr>
          <w:rFonts w:ascii="Palatino Linotype" w:eastAsia="Palatino Linotype" w:hAnsi="Palatino Linotype" w:cs="Palatino Linotype"/>
          <w:b/>
          <w:i/>
          <w:color w:val="000000"/>
          <w:sz w:val="22"/>
          <w:szCs w:val="22"/>
        </w:rPr>
        <w:t>las constancias documentales del pago de salario</w:t>
      </w:r>
      <w:r w:rsidRPr="003B37F6">
        <w:rPr>
          <w:rFonts w:ascii="Palatino Linotype" w:eastAsia="Palatino Linotype" w:hAnsi="Palatino Linotype" w:cs="Palatino Linotype"/>
          <w:i/>
          <w:color w:val="000000"/>
          <w:sz w:val="22"/>
          <w:szCs w:val="22"/>
        </w:rPr>
        <w:t xml:space="preserve"> </w:t>
      </w:r>
      <w:r w:rsidRPr="003B37F6">
        <w:rPr>
          <w:rFonts w:ascii="Palatino Linotype" w:eastAsia="Palatino Linotype" w:hAnsi="Palatino Linotype" w:cs="Palatino Linotype"/>
          <w:b/>
          <w:i/>
          <w:color w:val="000000"/>
          <w:sz w:val="22"/>
          <w:szCs w:val="22"/>
        </w:rPr>
        <w:t xml:space="preserve">cuando </w:t>
      </w:r>
      <w:r w:rsidRPr="003B37F6">
        <w:rPr>
          <w:rFonts w:ascii="Palatino Linotype" w:eastAsia="Palatino Linotype" w:hAnsi="Palatino Linotype" w:cs="Palatino Linotype"/>
          <w:b/>
          <w:i/>
          <w:color w:val="000000"/>
          <w:sz w:val="22"/>
          <w:szCs w:val="22"/>
          <w:u w:val="single"/>
        </w:rPr>
        <w:t>sea por depósito o mediante información electrónica</w:t>
      </w:r>
      <w:r w:rsidRPr="003B37F6">
        <w:rPr>
          <w:rFonts w:ascii="Palatino Linotype" w:eastAsia="Palatino Linotype" w:hAnsi="Palatino Linotype" w:cs="Palatino Linotype"/>
          <w:b/>
          <w:i/>
          <w:color w:val="000000"/>
          <w:sz w:val="22"/>
          <w:szCs w:val="22"/>
        </w:rPr>
        <w:t>;</w:t>
      </w:r>
    </w:p>
    <w:p w:rsidR="00ED570A" w:rsidRPr="003B37F6" w:rsidRDefault="00022CBA">
      <w:pPr>
        <w:tabs>
          <w:tab w:val="left" w:pos="9072"/>
        </w:tabs>
        <w:spacing w:line="276" w:lineRule="auto"/>
        <w:ind w:left="851" w:right="851"/>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i/>
          <w:color w:val="000000"/>
          <w:sz w:val="22"/>
          <w:szCs w:val="22"/>
        </w:rPr>
        <w:t>…</w:t>
      </w:r>
    </w:p>
    <w:p w:rsidR="00ED570A" w:rsidRPr="003B37F6" w:rsidRDefault="00022CBA">
      <w:pPr>
        <w:tabs>
          <w:tab w:val="left" w:pos="9072"/>
        </w:tabs>
        <w:spacing w:line="276" w:lineRule="auto"/>
        <w:ind w:left="851" w:right="851"/>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i/>
          <w:color w:val="000000"/>
          <w:sz w:val="22"/>
          <w:szCs w:val="22"/>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w:t>
      </w:r>
    </w:p>
    <w:p w:rsidR="00ED570A" w:rsidRPr="003B37F6" w:rsidRDefault="00022CBA">
      <w:pPr>
        <w:tabs>
          <w:tab w:val="left" w:pos="9072"/>
        </w:tabs>
        <w:spacing w:line="276" w:lineRule="auto"/>
        <w:ind w:left="851" w:right="851"/>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i/>
          <w:color w:val="000000"/>
          <w:sz w:val="22"/>
          <w:szCs w:val="22"/>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(Sic)</w:t>
      </w:r>
    </w:p>
    <w:p w:rsidR="00ED570A" w:rsidRPr="003B37F6" w:rsidRDefault="00ED570A">
      <w:pPr>
        <w:tabs>
          <w:tab w:val="left" w:pos="9072"/>
        </w:tabs>
        <w:spacing w:line="360" w:lineRule="auto"/>
        <w:ind w:left="851" w:right="851"/>
        <w:jc w:val="both"/>
        <w:rPr>
          <w:rFonts w:ascii="Palatino Linotype" w:eastAsia="Palatino Linotype" w:hAnsi="Palatino Linotype" w:cs="Palatino Linotype"/>
          <w:i/>
          <w:color w:val="000000"/>
        </w:rPr>
      </w:pP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 xml:space="preserve">De lo anterior, se advierte que toda institución pública o dependencia pública del Estado de México debe conservar </w:t>
      </w:r>
      <w:r w:rsidRPr="003B37F6">
        <w:rPr>
          <w:rFonts w:ascii="Palatino Linotype" w:eastAsia="Palatino Linotype" w:hAnsi="Palatino Linotype" w:cs="Palatino Linotype"/>
          <w:b/>
          <w:i/>
          <w:color w:val="000000"/>
        </w:rPr>
        <w:t>los recibos o constancias de pago de salarios, prima vacacional, aguinaldo y demás prestaciones legales de acuerdo con la forma en que se haya realizado el pago, es decir, en efectivo, cheque, depósito, transferencia u otra</w:t>
      </w:r>
      <w:r w:rsidRPr="003B37F6">
        <w:rPr>
          <w:rFonts w:ascii="Palatino Linotype" w:eastAsia="Palatino Linotype" w:hAnsi="Palatino Linotype" w:cs="Palatino Linotype"/>
          <w:color w:val="000000"/>
        </w:rPr>
        <w:t>, debiendo conservar dicha documentación durante el último año y un año después de que se extingue la relación laboral a través de los sistemas de digitalización o de información magnética o electrónica.</w:t>
      </w:r>
    </w:p>
    <w:p w:rsidR="00ED570A" w:rsidRPr="003B37F6" w:rsidRDefault="00ED570A">
      <w:pPr>
        <w:tabs>
          <w:tab w:val="left" w:pos="284"/>
        </w:tabs>
        <w:spacing w:line="360" w:lineRule="auto"/>
        <w:jc w:val="both"/>
        <w:rPr>
          <w:rFonts w:ascii="Palatino Linotype" w:eastAsia="Palatino Linotype" w:hAnsi="Palatino Linotype" w:cs="Palatino Linotype"/>
        </w:rPr>
      </w:pP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Ahora bien, el artículo 350 del Código Financiero del Estado de México dispone lo que se transcribe a continuación:</w:t>
      </w:r>
    </w:p>
    <w:p w:rsidR="00ED570A" w:rsidRPr="003B37F6" w:rsidRDefault="00022CBA">
      <w:pPr>
        <w:spacing w:before="120" w:after="120"/>
        <w:ind w:left="1134" w:right="851"/>
        <w:jc w:val="both"/>
        <w:rPr>
          <w:rFonts w:ascii="Palatino Linotype" w:eastAsia="Palatino Linotype" w:hAnsi="Palatino Linotype" w:cs="Palatino Linotype"/>
          <w:i/>
          <w:sz w:val="22"/>
          <w:szCs w:val="22"/>
        </w:rPr>
      </w:pPr>
      <w:r w:rsidRPr="003B37F6">
        <w:rPr>
          <w:rFonts w:ascii="Palatino Linotype" w:eastAsia="Palatino Linotype" w:hAnsi="Palatino Linotype" w:cs="Palatino Linotype"/>
          <w:i/>
          <w:sz w:val="22"/>
          <w:szCs w:val="22"/>
        </w:rPr>
        <w:lastRenderedPageBreak/>
        <w:t>“</w:t>
      </w:r>
      <w:r w:rsidRPr="003B37F6">
        <w:rPr>
          <w:rFonts w:ascii="Palatino Linotype" w:eastAsia="Palatino Linotype" w:hAnsi="Palatino Linotype" w:cs="Palatino Linotype"/>
          <w:b/>
          <w:i/>
          <w:sz w:val="22"/>
          <w:szCs w:val="22"/>
        </w:rPr>
        <w:t>Artículo 350.-</w:t>
      </w:r>
      <w:r w:rsidRPr="003B37F6">
        <w:rPr>
          <w:rFonts w:ascii="Palatino Linotype" w:eastAsia="Palatino Linotype" w:hAnsi="Palatino Linotype" w:cs="Palatino Linotype"/>
          <w:i/>
          <w:sz w:val="22"/>
          <w:szCs w:val="22"/>
        </w:rPr>
        <w:t xml:space="preserve"> Mensualmente </w:t>
      </w:r>
      <w:r w:rsidRPr="003B37F6">
        <w:rPr>
          <w:rFonts w:ascii="Palatino Linotype" w:eastAsia="Palatino Linotype" w:hAnsi="Palatino Linotype" w:cs="Palatino Linotype"/>
          <w:b/>
          <w:i/>
          <w:sz w:val="22"/>
          <w:szCs w:val="22"/>
          <w:u w:val="single"/>
        </w:rPr>
        <w:t>dentro de los primeros veinte días hábiles</w:t>
      </w:r>
      <w:r w:rsidRPr="003B37F6">
        <w:rPr>
          <w:rFonts w:ascii="Palatino Linotype" w:eastAsia="Palatino Linotype" w:hAnsi="Palatino Linotype" w:cs="Palatino Linotype"/>
          <w:i/>
          <w:sz w:val="22"/>
          <w:szCs w:val="22"/>
        </w:rPr>
        <w:t xml:space="preserve">, la Secretaría y </w:t>
      </w:r>
      <w:r w:rsidRPr="003B37F6">
        <w:rPr>
          <w:rFonts w:ascii="Palatino Linotype" w:eastAsia="Palatino Linotype" w:hAnsi="Palatino Linotype" w:cs="Palatino Linotype"/>
          <w:b/>
          <w:i/>
          <w:sz w:val="22"/>
          <w:szCs w:val="22"/>
          <w:u w:val="single"/>
        </w:rPr>
        <w:t>las Tesorerías, enviarán para su análisis y evaluación al Órgano Superior de Fiscalización del Estado de México, la siguiente información</w:t>
      </w:r>
      <w:r w:rsidRPr="003B37F6">
        <w:rPr>
          <w:rFonts w:ascii="Palatino Linotype" w:eastAsia="Palatino Linotype" w:hAnsi="Palatino Linotype" w:cs="Palatino Linotype"/>
          <w:i/>
          <w:sz w:val="22"/>
          <w:szCs w:val="22"/>
        </w:rPr>
        <w:t xml:space="preserve">: </w:t>
      </w:r>
    </w:p>
    <w:p w:rsidR="00ED570A" w:rsidRPr="003B37F6" w:rsidRDefault="00022CBA">
      <w:pPr>
        <w:spacing w:before="120" w:after="120"/>
        <w:ind w:left="1134" w:right="851"/>
        <w:jc w:val="both"/>
        <w:rPr>
          <w:rFonts w:ascii="Palatino Linotype" w:eastAsia="Palatino Linotype" w:hAnsi="Palatino Linotype" w:cs="Palatino Linotype"/>
          <w:i/>
          <w:sz w:val="22"/>
          <w:szCs w:val="22"/>
        </w:rPr>
      </w:pPr>
      <w:r w:rsidRPr="003B37F6">
        <w:rPr>
          <w:rFonts w:ascii="Palatino Linotype" w:eastAsia="Palatino Linotype" w:hAnsi="Palatino Linotype" w:cs="Palatino Linotype"/>
          <w:i/>
          <w:sz w:val="22"/>
          <w:szCs w:val="22"/>
        </w:rPr>
        <w:t>[…]</w:t>
      </w:r>
    </w:p>
    <w:p w:rsidR="00ED570A" w:rsidRPr="003B37F6" w:rsidRDefault="00022CBA">
      <w:pPr>
        <w:spacing w:before="120" w:after="120"/>
        <w:ind w:left="1134" w:right="851"/>
        <w:jc w:val="both"/>
        <w:rPr>
          <w:rFonts w:ascii="Palatino Linotype" w:eastAsia="Palatino Linotype" w:hAnsi="Palatino Linotype" w:cs="Palatino Linotype"/>
          <w:i/>
          <w:sz w:val="22"/>
          <w:szCs w:val="22"/>
        </w:rPr>
      </w:pPr>
      <w:r w:rsidRPr="003B37F6">
        <w:rPr>
          <w:rFonts w:ascii="Palatino Linotype" w:eastAsia="Palatino Linotype" w:hAnsi="Palatino Linotype" w:cs="Palatino Linotype"/>
          <w:b/>
          <w:i/>
          <w:sz w:val="22"/>
          <w:szCs w:val="22"/>
        </w:rPr>
        <w:t xml:space="preserve">IV. </w:t>
      </w:r>
      <w:r w:rsidRPr="003B37F6">
        <w:rPr>
          <w:rFonts w:ascii="Palatino Linotype" w:eastAsia="Palatino Linotype" w:hAnsi="Palatino Linotype" w:cs="Palatino Linotype"/>
          <w:b/>
          <w:i/>
          <w:sz w:val="22"/>
          <w:szCs w:val="22"/>
          <w:u w:val="single"/>
        </w:rPr>
        <w:t>Información de nómina</w:t>
      </w:r>
      <w:r w:rsidRPr="003B37F6">
        <w:rPr>
          <w:rFonts w:ascii="Palatino Linotype" w:eastAsia="Palatino Linotype" w:hAnsi="Palatino Linotype" w:cs="Palatino Linotype"/>
          <w:i/>
          <w:sz w:val="22"/>
          <w:szCs w:val="22"/>
        </w:rPr>
        <w:t>.”</w:t>
      </w:r>
    </w:p>
    <w:p w:rsidR="00ED570A" w:rsidRPr="003B37F6" w:rsidRDefault="00022CBA">
      <w:pPr>
        <w:spacing w:before="120" w:after="120"/>
        <w:ind w:left="1134" w:right="851"/>
        <w:jc w:val="both"/>
        <w:rPr>
          <w:rFonts w:ascii="Palatino Linotype" w:eastAsia="Palatino Linotype" w:hAnsi="Palatino Linotype" w:cs="Palatino Linotype"/>
          <w:i/>
          <w:sz w:val="22"/>
          <w:szCs w:val="22"/>
        </w:rPr>
      </w:pPr>
      <w:r w:rsidRPr="003B37F6">
        <w:rPr>
          <w:rFonts w:ascii="Palatino Linotype" w:eastAsia="Palatino Linotype" w:hAnsi="Palatino Linotype" w:cs="Palatino Linotype"/>
          <w:i/>
          <w:sz w:val="22"/>
          <w:szCs w:val="22"/>
        </w:rPr>
        <w:t>(Énfasis añadido)</w:t>
      </w:r>
    </w:p>
    <w:p w:rsidR="00ED570A" w:rsidRPr="003B37F6" w:rsidRDefault="00ED570A">
      <w:pPr>
        <w:spacing w:before="120" w:after="120"/>
        <w:ind w:right="1106"/>
        <w:jc w:val="both"/>
        <w:rPr>
          <w:rFonts w:ascii="Palatino Linotype" w:eastAsia="Palatino Linotype" w:hAnsi="Palatino Linotype" w:cs="Palatino Linotype"/>
        </w:rPr>
      </w:pP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De igual forma, las disposiciones administrativas que rigen a las Entidades Fiscalizables en el Estado de México, se encuentran los Lineamientos para la integración del Informe Mensual emitidos anualmente por el Órgano Superior de Fiscalización del Estado de México (OSFEM) en ejercicio de sus atribuciones, los cuales representan una herramienta para elaborar y presentar los Informes Mensuales por parte de las Entidades Fiscalizables, en cuanto a los requerimientos financieros, contables, patrimoniales, presupuestales, programáticos y administrativos que nos señalan los ordenamientos legales respectivos, que entre otros destacan: la Ley Orgánica Municipal, Ley de Ingresos de los Municipios, Presupuesto de Egresos y Manual Único de Contabilidad Gubernamental para las Dependencias y Entidades Públicas del Gobierno y Municipios, todos del Estado de México.</w:t>
      </w:r>
    </w:p>
    <w:p w:rsidR="00ED570A" w:rsidRPr="003B37F6" w:rsidRDefault="00ED570A">
      <w:pPr>
        <w:tabs>
          <w:tab w:val="left" w:pos="284"/>
        </w:tabs>
        <w:spacing w:line="360" w:lineRule="auto"/>
        <w:jc w:val="both"/>
        <w:rPr>
          <w:rFonts w:ascii="Palatino Linotype" w:eastAsia="Palatino Linotype" w:hAnsi="Palatino Linotype" w:cs="Palatino Linotype"/>
        </w:rPr>
      </w:pP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 xml:space="preserve">Así, los Lineamientos en comento sirven para definir los criterios, formatos y documentación necesaria para presentar los informes mensuales. Entre los criterios que </w:t>
      </w:r>
      <w:r w:rsidRPr="003B37F6">
        <w:rPr>
          <w:rFonts w:ascii="Palatino Linotype" w:eastAsia="Palatino Linotype" w:hAnsi="Palatino Linotype" w:cs="Palatino Linotype"/>
          <w:color w:val="000000"/>
        </w:rPr>
        <w:lastRenderedPageBreak/>
        <w:t xml:space="preserve">se manejan en tales Lineamientos está aquel que se refiere a la integración de información de nómina, tal y como se muestra en la siguiente captura: </w:t>
      </w:r>
    </w:p>
    <w:p w:rsidR="00ED570A" w:rsidRPr="003B37F6" w:rsidRDefault="00022CBA">
      <w:pPr>
        <w:spacing w:line="360" w:lineRule="auto"/>
        <w:jc w:val="center"/>
        <w:rPr>
          <w:rFonts w:ascii="Palatino Linotype" w:eastAsia="Palatino Linotype" w:hAnsi="Palatino Linotype" w:cs="Palatino Linotype"/>
        </w:rPr>
      </w:pPr>
      <w:r w:rsidRPr="003B37F6">
        <w:rPr>
          <w:rFonts w:ascii="Palatino Linotype" w:eastAsia="Palatino Linotype" w:hAnsi="Palatino Linotype" w:cs="Palatino Linotype"/>
          <w:noProof/>
        </w:rPr>
        <w:drawing>
          <wp:inline distT="0" distB="0" distL="0" distR="0">
            <wp:extent cx="4305316" cy="2705771"/>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305316" cy="2705771"/>
                    </a:xfrm>
                    <a:prstGeom prst="rect">
                      <a:avLst/>
                    </a:prstGeom>
                    <a:ln/>
                  </pic:spPr>
                </pic:pic>
              </a:graphicData>
            </a:graphic>
          </wp:inline>
        </w:drawing>
      </w:r>
    </w:p>
    <w:p w:rsidR="00ED570A" w:rsidRPr="003B37F6" w:rsidRDefault="00ED570A">
      <w:pPr>
        <w:spacing w:line="360" w:lineRule="auto"/>
        <w:ind w:left="720"/>
        <w:rPr>
          <w:rFonts w:ascii="Palatino Linotype" w:eastAsia="Palatino Linotype" w:hAnsi="Palatino Linotype" w:cs="Palatino Linotype"/>
          <w:color w:val="000000"/>
        </w:rPr>
      </w:pP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 xml:space="preserve">De la imagen insertada, se desprende que, se puede obtener la información requerida por </w:t>
      </w:r>
      <w:r w:rsidRPr="003B37F6">
        <w:rPr>
          <w:rFonts w:ascii="Palatino Linotype" w:eastAsia="Palatino Linotype" w:hAnsi="Palatino Linotype" w:cs="Palatino Linotype"/>
          <w:b/>
          <w:color w:val="000000"/>
        </w:rPr>
        <w:t>EL RECURRENTE</w:t>
      </w:r>
      <w:r w:rsidRPr="003B37F6">
        <w:rPr>
          <w:rFonts w:ascii="Palatino Linotype" w:eastAsia="Palatino Linotype" w:hAnsi="Palatino Linotype" w:cs="Palatino Linotype"/>
          <w:color w:val="000000"/>
        </w:rPr>
        <w:t xml:space="preserve">; puesto que resulta claro que existe la obligación por parte del </w:t>
      </w:r>
      <w:r w:rsidRPr="003B37F6">
        <w:rPr>
          <w:rFonts w:ascii="Palatino Linotype" w:eastAsia="Palatino Linotype" w:hAnsi="Palatino Linotype" w:cs="Palatino Linotype"/>
          <w:b/>
          <w:color w:val="000000"/>
        </w:rPr>
        <w:t>SUJETO OBLIGADO</w:t>
      </w:r>
      <w:r w:rsidRPr="003B37F6">
        <w:rPr>
          <w:rFonts w:ascii="Palatino Linotype" w:eastAsia="Palatino Linotype" w:hAnsi="Palatino Linotype" w:cs="Palatino Linotype"/>
          <w:color w:val="000000"/>
        </w:rPr>
        <w:t xml:space="preserve">, de realizar los informes por parte de la </w:t>
      </w:r>
      <w:r w:rsidRPr="003B37F6">
        <w:rPr>
          <w:rFonts w:ascii="Palatino Linotype" w:eastAsia="Palatino Linotype" w:hAnsi="Palatino Linotype" w:cs="Palatino Linotype"/>
          <w:b/>
          <w:color w:val="000000"/>
        </w:rPr>
        <w:t>Tesorería Municipal</w:t>
      </w:r>
      <w:r w:rsidRPr="003B37F6">
        <w:rPr>
          <w:rFonts w:ascii="Palatino Linotype" w:eastAsia="Palatino Linotype" w:hAnsi="Palatino Linotype" w:cs="Palatino Linotype"/>
          <w:color w:val="000000"/>
        </w:rPr>
        <w:t xml:space="preserve"> para que remita los reportes mensuales al Órgano Superior de Fiscalización del Estado de México de conformidad con el artículo 32 de la Ley de Fiscalización Superior del Estado de México, en los cuales se incluyen los Comprobantes Fiscales Digitales por Internet por concepto de nómina, que comprende la información relativa al pago de las remuneraciones de cada uno de los servidores públicos correspondiente a un periodo determinado, incluyendo el aguinaldo y las gratificaciones; en </w:t>
      </w:r>
      <w:r w:rsidRPr="003B37F6">
        <w:rPr>
          <w:rFonts w:ascii="Palatino Linotype" w:eastAsia="Palatino Linotype" w:hAnsi="Palatino Linotype" w:cs="Palatino Linotype"/>
          <w:color w:val="000000"/>
        </w:rPr>
        <w:lastRenderedPageBreak/>
        <w:t xml:space="preserve">consecuencia, la información solicitada por </w:t>
      </w:r>
      <w:r w:rsidRPr="003B37F6">
        <w:rPr>
          <w:rFonts w:ascii="Palatino Linotype" w:eastAsia="Palatino Linotype" w:hAnsi="Palatino Linotype" w:cs="Palatino Linotype"/>
          <w:b/>
          <w:color w:val="000000"/>
        </w:rPr>
        <w:t>EL RECURRENTE</w:t>
      </w:r>
      <w:r w:rsidRPr="003B37F6">
        <w:rPr>
          <w:rFonts w:ascii="Palatino Linotype" w:eastAsia="Palatino Linotype" w:hAnsi="Palatino Linotype" w:cs="Palatino Linotype"/>
          <w:color w:val="000000"/>
        </w:rPr>
        <w:t xml:space="preserve"> debe obrar en los archivos del </w:t>
      </w:r>
      <w:r w:rsidRPr="003B37F6">
        <w:rPr>
          <w:rFonts w:ascii="Palatino Linotype" w:eastAsia="Palatino Linotype" w:hAnsi="Palatino Linotype" w:cs="Palatino Linotype"/>
          <w:b/>
          <w:color w:val="000000"/>
        </w:rPr>
        <w:t xml:space="preserve">SUJETO OBLIGADO. </w:t>
      </w:r>
    </w:p>
    <w:p w:rsidR="00ED570A" w:rsidRPr="003B37F6" w:rsidRDefault="00ED570A">
      <w:pPr>
        <w:spacing w:line="360" w:lineRule="auto"/>
        <w:ind w:right="709"/>
        <w:jc w:val="both"/>
        <w:rPr>
          <w:rFonts w:ascii="Palatino Linotype" w:eastAsia="Palatino Linotype" w:hAnsi="Palatino Linotype" w:cs="Palatino Linotype"/>
        </w:rPr>
      </w:pP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Sirve de sustento por analogía, para justificar la publicidad sobre los datos relativos a los montos por concepto de pago de las remuneraciones, los criterios 01/2003 y 02/2003 emitidos por el Comité de Acceso a la Información Pública y Protección de Datos Personales de la Suprema Corte de Justicia de la Nación.</w:t>
      </w:r>
    </w:p>
    <w:p w:rsidR="00ED570A" w:rsidRPr="003B37F6" w:rsidRDefault="00022CBA">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 xml:space="preserve"> </w:t>
      </w: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 xml:space="preserve">En este sentido, </w:t>
      </w:r>
      <w:r w:rsidRPr="003B37F6">
        <w:rPr>
          <w:rFonts w:ascii="Palatino Linotype" w:eastAsia="Palatino Linotype" w:hAnsi="Palatino Linotype" w:cs="Palatino Linotype"/>
          <w:b/>
          <w:color w:val="000000"/>
        </w:rPr>
        <w:t>EL SUJETO OBLIGADO</w:t>
      </w:r>
      <w:r w:rsidRPr="003B37F6">
        <w:rPr>
          <w:rFonts w:ascii="Palatino Linotype" w:eastAsia="Palatino Linotype" w:hAnsi="Palatino Linotype" w:cs="Palatino Linotype"/>
          <w:color w:val="000000"/>
        </w:rPr>
        <w:t xml:space="preserve"> se encuentra constreñido a entregar la información solicitada por </w:t>
      </w:r>
      <w:r w:rsidRPr="003B37F6">
        <w:rPr>
          <w:rFonts w:ascii="Palatino Linotype" w:eastAsia="Palatino Linotype" w:hAnsi="Palatino Linotype" w:cs="Palatino Linotype"/>
          <w:b/>
          <w:color w:val="000000"/>
        </w:rPr>
        <w:t xml:space="preserve">EL RECURRENTE </w:t>
      </w:r>
      <w:r w:rsidRPr="003B37F6">
        <w:rPr>
          <w:rFonts w:ascii="Palatino Linotype" w:eastAsia="Palatino Linotype" w:hAnsi="Palatino Linotype" w:cs="Palatino Linotype"/>
          <w:color w:val="000000"/>
        </w:rPr>
        <w:t>de acuerdo a lo dispuesto por los artículos 3, fracción XI y 12 de la Ley de Transparencia y Acceso a la Información Pública del Estado de México y Municipios, de los cuales se desprende que es información pública la contenida en los documentos que los Sujetos Obligados generen, administren o se encuentre en su posesión en ejercicio de sus atribuciones.</w:t>
      </w:r>
    </w:p>
    <w:p w:rsidR="00ED570A" w:rsidRPr="003B37F6" w:rsidRDefault="00ED570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 xml:space="preserve">Luego entonces, este Órgano Garante determina que para colmar el derecho de acceso a la información del hoy </w:t>
      </w:r>
      <w:r w:rsidRPr="003B37F6">
        <w:rPr>
          <w:rFonts w:ascii="Palatino Linotype" w:eastAsia="Palatino Linotype" w:hAnsi="Palatino Linotype" w:cs="Palatino Linotype"/>
          <w:b/>
          <w:color w:val="000000"/>
        </w:rPr>
        <w:t xml:space="preserve">RECURRENTE, el SUJETO OBLIGADO </w:t>
      </w:r>
      <w:r w:rsidRPr="003B37F6">
        <w:rPr>
          <w:rFonts w:ascii="Palatino Linotype" w:eastAsia="Palatino Linotype" w:hAnsi="Palatino Linotype" w:cs="Palatino Linotype"/>
          <w:color w:val="000000"/>
        </w:rPr>
        <w:t>deberá entregar los recibos de nómina señalados en la solicitud de información, y deberá realizar el análisis de los datos que se deberán de clasificar como confidenciales y los datos que deben de tener formato abierto.</w:t>
      </w:r>
    </w:p>
    <w:p w:rsidR="00ED570A" w:rsidRPr="003B37F6" w:rsidRDefault="00ED570A">
      <w:pPr>
        <w:tabs>
          <w:tab w:val="left" w:pos="284"/>
        </w:tabs>
        <w:spacing w:line="360" w:lineRule="auto"/>
        <w:jc w:val="both"/>
        <w:rPr>
          <w:rFonts w:ascii="Palatino Linotype" w:eastAsia="Palatino Linotype" w:hAnsi="Palatino Linotype" w:cs="Palatino Linotype"/>
        </w:rPr>
      </w:pP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lastRenderedPageBreak/>
        <w:t>De lo anterior, se debe de puntualizar que los recibos de nómina contienen los datos personales de los servidores,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Registro Federal de Contribuyentes (RFC), la Clave Única de Registro de Población (CURP), la Clave de cualquier tipo de seguridad social (ISSEMYM, u otros), y los descuentos y claves que se realicen por pensión alimenticia o deducciones estrictamente personales o de cualquier índole siempre que, no se encuentren relacionados con los impuestos o las cuotas por seguridad social, número de cuenta o cualquier otro dato que ponga en riesgo la vida, seguridad y salud de dichas personas.</w:t>
      </w:r>
    </w:p>
    <w:p w:rsidR="00ED570A" w:rsidRPr="003B37F6" w:rsidRDefault="00ED570A">
      <w:pPr>
        <w:tabs>
          <w:tab w:val="left" w:pos="284"/>
        </w:tabs>
        <w:spacing w:line="360" w:lineRule="auto"/>
        <w:jc w:val="both"/>
        <w:rPr>
          <w:rFonts w:ascii="Palatino Linotype" w:eastAsia="Palatino Linotype" w:hAnsi="Palatino Linotype" w:cs="Palatino Linotype"/>
        </w:rPr>
      </w:pP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 xml:space="preserve">Por cuanto hace al </w:t>
      </w:r>
      <w:r w:rsidRPr="003B37F6">
        <w:rPr>
          <w:rFonts w:ascii="Palatino Linotype" w:eastAsia="Palatino Linotype" w:hAnsi="Palatino Linotype" w:cs="Palatino Linotype"/>
          <w:b/>
        </w:rPr>
        <w:t>Registro Federal de Contribuyentes (RFC),</w:t>
      </w:r>
      <w:r w:rsidRPr="003B37F6">
        <w:rPr>
          <w:rFonts w:ascii="Palatino Linotype" w:eastAsia="Palatino Linotype" w:hAnsi="Palatino Linotype" w:cs="Palatino Linotype"/>
        </w:rPr>
        <w:t xml:space="preserve"> de las personas físicas, constituye un dato personal, pues se genera con caracteres alfanuméricos a partir del nombre y la fecha de nacimiento de cada persona, y finalmente la </w:t>
      </w:r>
      <w:proofErr w:type="spellStart"/>
      <w:r w:rsidRPr="003B37F6">
        <w:rPr>
          <w:rFonts w:ascii="Palatino Linotype" w:eastAsia="Palatino Linotype" w:hAnsi="Palatino Linotype" w:cs="Palatino Linotype"/>
        </w:rPr>
        <w:t>homoclave</w:t>
      </w:r>
      <w:proofErr w:type="spellEnd"/>
      <w:r w:rsidRPr="003B37F6">
        <w:rPr>
          <w:rFonts w:ascii="Palatino Linotype" w:eastAsia="Palatino Linotype" w:hAnsi="Palatino Linotype" w:cs="Palatino Linotype"/>
        </w:rPr>
        <w:t>, por lo que para su obtención es necesario acreditar ante la autoridad fiscal previamente la identidad de la persona, su fecha de nacimiento, entre otros aspectos.</w:t>
      </w:r>
    </w:p>
    <w:p w:rsidR="00ED570A" w:rsidRPr="003B37F6" w:rsidRDefault="00ED570A">
      <w:pPr>
        <w:tabs>
          <w:tab w:val="left" w:pos="284"/>
        </w:tabs>
        <w:spacing w:line="360" w:lineRule="auto"/>
        <w:jc w:val="both"/>
        <w:rPr>
          <w:rFonts w:ascii="Palatino Linotype" w:eastAsia="Palatino Linotype" w:hAnsi="Palatino Linotype" w:cs="Palatino Linotype"/>
        </w:rPr>
      </w:pP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 xml:space="preserve">Ahora bien, las personas físicas tramitan su inscripción en el registro con el propósito de realizar —mediante esa clave de identificación— operaciones o </w:t>
      </w:r>
      <w:r w:rsidRPr="003B37F6">
        <w:rPr>
          <w:rFonts w:ascii="Palatino Linotype" w:eastAsia="Palatino Linotype" w:hAnsi="Palatino Linotype" w:cs="Palatino Linotype"/>
        </w:rPr>
        <w:lastRenderedPageBreak/>
        <w:t>actividades de naturaleza fiscal, la cual, les permite hacerse identificables respecto de una situación fiscal determinada.</w:t>
      </w:r>
    </w:p>
    <w:p w:rsidR="00ED570A" w:rsidRPr="003B37F6" w:rsidRDefault="00ED570A">
      <w:pPr>
        <w:tabs>
          <w:tab w:val="left" w:pos="284"/>
        </w:tabs>
        <w:spacing w:line="360" w:lineRule="auto"/>
        <w:jc w:val="both"/>
        <w:rPr>
          <w:rFonts w:ascii="Palatino Linotype" w:eastAsia="Palatino Linotype" w:hAnsi="Palatino Linotype" w:cs="Palatino Linotype"/>
        </w:rPr>
      </w:pP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 xml:space="preserve">Lo anterior es compartido por el entonces Instituto Federal de Acceso a la </w:t>
      </w:r>
      <w:r w:rsidRPr="003B37F6">
        <w:rPr>
          <w:rFonts w:ascii="Palatino Linotype" w:eastAsia="Palatino Linotype" w:hAnsi="Palatino Linotype" w:cs="Palatino Linotype"/>
          <w:b/>
        </w:rPr>
        <w:t>Información</w:t>
      </w:r>
      <w:r w:rsidRPr="003B37F6">
        <w:rPr>
          <w:rFonts w:ascii="Palatino Linotype" w:eastAsia="Palatino Linotype" w:hAnsi="Palatino Linotype" w:cs="Palatino Linotype"/>
        </w:rPr>
        <w:t xml:space="preserve"> Pública y Protección de Datos Personales (IFAI) a través del Criterio 19/17, el cual es del tenor literal siguiente:</w:t>
      </w:r>
    </w:p>
    <w:p w:rsidR="00ED570A" w:rsidRPr="003B37F6" w:rsidRDefault="00ED570A">
      <w:pPr>
        <w:pBdr>
          <w:top w:val="nil"/>
          <w:left w:val="nil"/>
          <w:bottom w:val="nil"/>
          <w:right w:val="nil"/>
          <w:between w:val="nil"/>
        </w:pBdr>
        <w:spacing w:line="276" w:lineRule="auto"/>
        <w:jc w:val="both"/>
        <w:rPr>
          <w:rFonts w:ascii="Palatino Linotype" w:eastAsia="Palatino Linotype" w:hAnsi="Palatino Linotype" w:cs="Palatino Linotype"/>
          <w:sz w:val="22"/>
          <w:szCs w:val="22"/>
        </w:rPr>
      </w:pPr>
    </w:p>
    <w:p w:rsidR="00ED570A" w:rsidRPr="003B37F6" w:rsidRDefault="00022CBA">
      <w:pPr>
        <w:spacing w:line="276" w:lineRule="auto"/>
        <w:ind w:left="1134" w:right="851"/>
        <w:jc w:val="both"/>
        <w:rPr>
          <w:rFonts w:ascii="Palatino Linotype" w:eastAsia="Palatino Linotype" w:hAnsi="Palatino Linotype" w:cs="Palatino Linotype"/>
          <w:i/>
          <w:sz w:val="22"/>
          <w:szCs w:val="22"/>
        </w:rPr>
      </w:pPr>
      <w:r w:rsidRPr="003B37F6">
        <w:rPr>
          <w:rFonts w:ascii="Palatino Linotype" w:eastAsia="Palatino Linotype" w:hAnsi="Palatino Linotype" w:cs="Palatino Linotype"/>
          <w:b/>
          <w:i/>
          <w:sz w:val="22"/>
          <w:szCs w:val="22"/>
        </w:rPr>
        <w:t>“Registro Federal de Contribuyentes (RFC) de personas físicas</w:t>
      </w:r>
      <w:r w:rsidRPr="003B37F6">
        <w:rPr>
          <w:rFonts w:ascii="Palatino Linotype" w:eastAsia="Palatino Linotype" w:hAnsi="Palatino Linotype" w:cs="Palatino Linotype"/>
          <w:i/>
          <w:sz w:val="22"/>
          <w:szCs w:val="22"/>
        </w:rPr>
        <w:t>. El RFC es una clave de carácter fiscal, única e irrepetible, que permite identificar al titular, su edad y fecha de nacimiento, por lo que es un dato personal de carácter confidencial.”</w:t>
      </w:r>
    </w:p>
    <w:p w:rsidR="00ED570A" w:rsidRPr="003B37F6" w:rsidRDefault="00ED570A">
      <w:pPr>
        <w:spacing w:line="360" w:lineRule="auto"/>
        <w:ind w:left="567" w:right="900"/>
        <w:jc w:val="both"/>
        <w:rPr>
          <w:rFonts w:ascii="Palatino Linotype" w:eastAsia="Palatino Linotype" w:hAnsi="Palatino Linotype" w:cs="Palatino Linotype"/>
          <w:i/>
        </w:rPr>
      </w:pP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 xml:space="preserve">Así, el </w:t>
      </w:r>
      <w:r w:rsidRPr="003B37F6">
        <w:rPr>
          <w:rFonts w:ascii="Palatino Linotype" w:eastAsia="Palatino Linotype" w:hAnsi="Palatino Linotype" w:cs="Palatino Linotype"/>
          <w:b/>
        </w:rPr>
        <w:t>Registro Federal de Contribuyentes, RFC</w:t>
      </w:r>
      <w:r w:rsidRPr="003B37F6">
        <w:rPr>
          <w:rFonts w:ascii="Palatino Linotype" w:eastAsia="Palatino Linotype" w:hAnsi="Palatino Linotype" w:cs="Palatino Linotype"/>
        </w:rPr>
        <w:t xml:space="preserve">, se vincula al nombre de su titular y permite identificar la edad de la persona, su fecha de nacimiento, así como su </w:t>
      </w:r>
      <w:proofErr w:type="spellStart"/>
      <w:r w:rsidRPr="003B37F6">
        <w:rPr>
          <w:rFonts w:ascii="Palatino Linotype" w:eastAsia="Palatino Linotype" w:hAnsi="Palatino Linotype" w:cs="Palatino Linotype"/>
        </w:rPr>
        <w:t>homoclave</w:t>
      </w:r>
      <w:proofErr w:type="spellEnd"/>
      <w:r w:rsidRPr="003B37F6">
        <w:rPr>
          <w:rFonts w:ascii="Palatino Linotype" w:eastAsia="Palatino Linotype" w:hAnsi="Palatino Linotype" w:cs="Palatino Linotype"/>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rsidR="00ED570A" w:rsidRPr="003B37F6" w:rsidRDefault="00ED570A">
      <w:pPr>
        <w:tabs>
          <w:tab w:val="left" w:pos="284"/>
        </w:tabs>
        <w:spacing w:line="360" w:lineRule="auto"/>
        <w:jc w:val="both"/>
        <w:rPr>
          <w:rFonts w:ascii="Palatino Linotype" w:eastAsia="Palatino Linotype" w:hAnsi="Palatino Linotype" w:cs="Palatino Linotype"/>
        </w:rPr>
      </w:pP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 xml:space="preserve">De igual manera la </w:t>
      </w:r>
      <w:r w:rsidRPr="003B37F6">
        <w:rPr>
          <w:rFonts w:ascii="Palatino Linotype" w:eastAsia="Palatino Linotype" w:hAnsi="Palatino Linotype" w:cs="Palatino Linotype"/>
          <w:b/>
        </w:rPr>
        <w:t>Clave Única de Registro de Población (CURP),</w:t>
      </w:r>
      <w:r w:rsidRPr="003B37F6">
        <w:rPr>
          <w:rFonts w:ascii="Palatino Linotype" w:eastAsia="Palatino Linotype" w:hAnsi="Palatino Linotype" w:cs="Palatino Linotype"/>
        </w:rPr>
        <w:t xml:space="preserve"> constituye un dato personal, ya que tiene como finalidad registrar a cada una de las personas que </w:t>
      </w:r>
      <w:r w:rsidRPr="003B37F6">
        <w:rPr>
          <w:rFonts w:ascii="Palatino Linotype" w:eastAsia="Palatino Linotype" w:hAnsi="Palatino Linotype" w:cs="Palatino Linotype"/>
        </w:rPr>
        <w:lastRenderedPageBreak/>
        <w:t xml:space="preserve">integran la población del país, con datos que permitan certificar y acreditar fehacientemente su identidad, en virtud de que se integra por datos </w:t>
      </w:r>
      <w:r w:rsidRPr="003B37F6">
        <w:rPr>
          <w:rFonts w:ascii="Palatino Linotype" w:eastAsia="Palatino Linotype" w:hAnsi="Palatino Linotype" w:cs="Palatino Linotype"/>
          <w:b/>
        </w:rPr>
        <w:t>personales</w:t>
      </w:r>
      <w:r w:rsidRPr="003B37F6">
        <w:rPr>
          <w:rFonts w:ascii="Palatino Linotype" w:eastAsia="Palatino Linotype" w:hAnsi="Palatino Linotype" w:cs="Palatino Linotype"/>
        </w:rPr>
        <w:t xml:space="preserve"> que únicamente le conciernen a un particular como son su fecha de nacimiento, su nombre, sus apellidos y su lugar de nacimiento; información que permite distinguirlo del resto de los habitantes, por tal motivo, se considera que es de carácter confidencial.</w:t>
      </w:r>
    </w:p>
    <w:p w:rsidR="00ED570A" w:rsidRPr="003B37F6" w:rsidRDefault="00ED570A">
      <w:pPr>
        <w:tabs>
          <w:tab w:val="left" w:pos="284"/>
        </w:tabs>
        <w:spacing w:line="360" w:lineRule="auto"/>
        <w:jc w:val="both"/>
        <w:rPr>
          <w:rFonts w:ascii="Palatino Linotype" w:eastAsia="Palatino Linotype" w:hAnsi="Palatino Linotype" w:cs="Palatino Linotype"/>
        </w:rPr>
      </w:pP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 xml:space="preserve">Argumento que es compartido por el Instituto Nacional de Transparencia, Acceso a la Información y Protección de Datos Personales, INAI, conforme al criterio 18/17, el cual refiere: </w:t>
      </w:r>
    </w:p>
    <w:p w:rsidR="00ED570A" w:rsidRPr="003B37F6" w:rsidRDefault="00ED570A">
      <w:pPr>
        <w:pBdr>
          <w:top w:val="nil"/>
          <w:left w:val="nil"/>
          <w:bottom w:val="nil"/>
          <w:right w:val="nil"/>
          <w:between w:val="nil"/>
        </w:pBdr>
        <w:spacing w:line="276" w:lineRule="auto"/>
        <w:jc w:val="both"/>
        <w:rPr>
          <w:rFonts w:ascii="Palatino Linotype" w:eastAsia="Palatino Linotype" w:hAnsi="Palatino Linotype" w:cs="Palatino Linotype"/>
          <w:sz w:val="22"/>
          <w:szCs w:val="22"/>
        </w:rPr>
      </w:pPr>
    </w:p>
    <w:p w:rsidR="00ED570A" w:rsidRPr="003B37F6" w:rsidRDefault="00022CBA">
      <w:pPr>
        <w:spacing w:line="276" w:lineRule="auto"/>
        <w:ind w:left="1134" w:right="851"/>
        <w:jc w:val="both"/>
        <w:rPr>
          <w:rFonts w:ascii="Palatino Linotype" w:eastAsia="Palatino Linotype" w:hAnsi="Palatino Linotype" w:cs="Palatino Linotype"/>
          <w:i/>
          <w:sz w:val="22"/>
          <w:szCs w:val="22"/>
        </w:rPr>
      </w:pPr>
      <w:r w:rsidRPr="003B37F6">
        <w:rPr>
          <w:rFonts w:ascii="Palatino Linotype" w:eastAsia="Palatino Linotype" w:hAnsi="Palatino Linotype" w:cs="Palatino Linotype"/>
          <w:b/>
          <w:i/>
          <w:sz w:val="22"/>
          <w:szCs w:val="22"/>
        </w:rPr>
        <w:t xml:space="preserve">“Clave Única de Registro de Población (CURP). </w:t>
      </w:r>
      <w:r w:rsidRPr="003B37F6">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rsidR="00ED570A" w:rsidRPr="003B37F6" w:rsidRDefault="00ED570A">
      <w:pPr>
        <w:spacing w:line="360" w:lineRule="auto"/>
        <w:ind w:right="333"/>
        <w:jc w:val="both"/>
        <w:rPr>
          <w:rFonts w:ascii="Palatino Linotype" w:eastAsia="Palatino Linotype" w:hAnsi="Palatino Linotype" w:cs="Palatino Linotype"/>
          <w:i/>
        </w:rPr>
      </w:pP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 xml:space="preserve">Por cuanto hace a la </w:t>
      </w:r>
      <w:r w:rsidRPr="003B37F6">
        <w:rPr>
          <w:rFonts w:ascii="Palatino Linotype" w:eastAsia="Palatino Linotype" w:hAnsi="Palatino Linotype" w:cs="Palatino Linotype"/>
          <w:b/>
        </w:rPr>
        <w:t>Clave de cualquier tipo de seguridad social (</w:t>
      </w:r>
      <w:proofErr w:type="spellStart"/>
      <w:r w:rsidRPr="003B37F6">
        <w:rPr>
          <w:rFonts w:ascii="Palatino Linotype" w:eastAsia="Palatino Linotype" w:hAnsi="Palatino Linotype" w:cs="Palatino Linotype"/>
          <w:b/>
        </w:rPr>
        <w:t>ISSEMyM</w:t>
      </w:r>
      <w:proofErr w:type="spellEnd"/>
      <w:r w:rsidRPr="003B37F6">
        <w:rPr>
          <w:rFonts w:ascii="Palatino Linotype" w:eastAsia="Palatino Linotype" w:hAnsi="Palatino Linotype" w:cs="Palatino Linotype"/>
          <w:b/>
        </w:rPr>
        <w:t>, u otros</w:t>
      </w:r>
      <w:r w:rsidRPr="003B37F6">
        <w:rPr>
          <w:rFonts w:ascii="Palatino Linotype" w:eastAsia="Palatino Linotype" w:hAnsi="Palatino Linotype" w:cs="Palatino Linotype"/>
        </w:rPr>
        <w:t xml:space="preserve">), está integrado por una secuencia de números con los que se identifica a los </w:t>
      </w:r>
      <w:r w:rsidRPr="003B37F6">
        <w:rPr>
          <w:rFonts w:ascii="Palatino Linotype" w:eastAsia="Palatino Linotype" w:hAnsi="Palatino Linotype" w:cs="Palatino Linotype"/>
          <w:b/>
        </w:rPr>
        <w:t>trabajadores</w:t>
      </w:r>
      <w:r w:rsidRPr="003B37F6">
        <w:rPr>
          <w:rFonts w:ascii="Palatino Linotype" w:eastAsia="Palatino Linotype" w:hAnsi="Palatino Linotype" w:cs="Palatino Linotype"/>
        </w:rPr>
        <w:t xml:space="preserve"> que cubren las cuotas respectivas, asimismo, lo identifica con la fuente de trabajo; por lo que al ser una clave de identificación de los trabajadores, constituye información confidencial, dato que únicamente le atañe al servidor público, por lo constituye un dato personal que concierne a una persona física identificada e </w:t>
      </w:r>
      <w:r w:rsidRPr="003B37F6">
        <w:rPr>
          <w:rFonts w:ascii="Palatino Linotype" w:eastAsia="Palatino Linotype" w:hAnsi="Palatino Linotype" w:cs="Palatino Linotype"/>
        </w:rPr>
        <w:lastRenderedPageBreak/>
        <w:t>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rsidR="00ED570A" w:rsidRPr="003B37F6" w:rsidRDefault="00ED570A">
      <w:pPr>
        <w:tabs>
          <w:tab w:val="left" w:pos="284"/>
        </w:tabs>
        <w:spacing w:line="360" w:lineRule="auto"/>
        <w:jc w:val="both"/>
        <w:rPr>
          <w:rFonts w:ascii="Palatino Linotype" w:eastAsia="Palatino Linotype" w:hAnsi="Palatino Linotype" w:cs="Palatino Linotype"/>
        </w:rPr>
      </w:pP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 xml:space="preserve">El artículo 9° del mismo ordenamiento, dispone que el ISSEMYM expedirá documentos de identificación para facilitar el acceso a las prestaciones a que tengan derecho. En este orden de ideas, el artículo 158, fracción I del Reglamento de </w:t>
      </w:r>
      <w:r w:rsidRPr="003B37F6">
        <w:rPr>
          <w:rFonts w:ascii="Palatino Linotype" w:eastAsia="Palatino Linotype" w:hAnsi="Palatino Linotype" w:cs="Palatino Linotype"/>
          <w:b/>
        </w:rPr>
        <w:t>Servicios</w:t>
      </w:r>
      <w:r w:rsidRPr="003B37F6">
        <w:rPr>
          <w:rFonts w:ascii="Palatino Linotype" w:eastAsia="Palatino Linotype" w:hAnsi="Palatino Linotype" w:cs="Palatino Linotype"/>
        </w:rPr>
        <w:t xml:space="preserve">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ISSEMYM.</w:t>
      </w:r>
    </w:p>
    <w:p w:rsidR="00ED570A" w:rsidRPr="003B37F6" w:rsidRDefault="00ED570A">
      <w:pPr>
        <w:tabs>
          <w:tab w:val="left" w:pos="284"/>
        </w:tabs>
        <w:spacing w:line="360" w:lineRule="auto"/>
        <w:jc w:val="both"/>
        <w:rPr>
          <w:rFonts w:ascii="Palatino Linotype" w:eastAsia="Palatino Linotype" w:hAnsi="Palatino Linotype" w:cs="Palatino Linotype"/>
        </w:rPr>
      </w:pP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 xml:space="preserve">Como se advierte, la clave ISSEMYM es un dato personal que permite identificar que </w:t>
      </w:r>
      <w:r w:rsidRPr="003B37F6">
        <w:rPr>
          <w:rFonts w:ascii="Palatino Linotype" w:eastAsia="Palatino Linotype" w:hAnsi="Palatino Linotype" w:cs="Palatino Linotype"/>
          <w:b/>
        </w:rPr>
        <w:t>una</w:t>
      </w:r>
      <w:r w:rsidRPr="003B37F6">
        <w:rPr>
          <w:rFonts w:ascii="Palatino Linotype" w:eastAsia="Palatino Linotype" w:hAnsi="Palatino Linotype" w:cs="Palatino Linotype"/>
        </w:rPr>
        <w:t xml:space="preserve"> persona ya trabajó o trabaja en alguna institución pública del Estado de México, por la que tiene o tuvo derecho a esta prestación de seguridad social; es de destacar que la clave ISSEMYM no cambia, aunque el trabajador se dé de baja y alta en diversas ocasiones, con motivo de haber trabajado en diferentes instituciones públicas de la Entidad. </w:t>
      </w:r>
    </w:p>
    <w:p w:rsidR="00ED570A" w:rsidRPr="003B37F6" w:rsidRDefault="00ED570A">
      <w:pPr>
        <w:tabs>
          <w:tab w:val="left" w:pos="284"/>
        </w:tabs>
        <w:spacing w:line="360" w:lineRule="auto"/>
        <w:jc w:val="both"/>
        <w:rPr>
          <w:rFonts w:ascii="Palatino Linotype" w:eastAsia="Palatino Linotype" w:hAnsi="Palatino Linotype" w:cs="Palatino Linotype"/>
        </w:rPr>
      </w:pP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b/>
        </w:rPr>
        <w:lastRenderedPageBreak/>
        <w:t>Contar</w:t>
      </w:r>
      <w:r w:rsidRPr="003B37F6">
        <w:rPr>
          <w:rFonts w:ascii="Palatino Linotype" w:eastAsia="Palatino Linotype" w:hAnsi="Palatino Linotype" w:cs="Palatino Linotype"/>
        </w:rPr>
        <w:t xml:space="preserve"> con la prestación de seguridad social que brinda el ISSEMYM no es una obligación para entrar a trabajar a una institución pública, por el contrario es un derecho que se adquiere cuando se ingresa al servicio público, por tal motivo, es un dato personal confidencial, por lo que es procedente su eliminación en las versiones públicas que se elaboren, toda vez que actualiza el supuesto de confidencialidad del artículo 143, fracción I de la Ley de Transparencia y Acceso a la Información Pública del Estado de México y Municipios.</w:t>
      </w:r>
    </w:p>
    <w:p w:rsidR="00ED570A" w:rsidRPr="003B37F6" w:rsidRDefault="00ED570A">
      <w:pPr>
        <w:tabs>
          <w:tab w:val="left" w:pos="284"/>
        </w:tabs>
        <w:spacing w:line="360" w:lineRule="auto"/>
        <w:jc w:val="both"/>
        <w:rPr>
          <w:rFonts w:ascii="Palatino Linotype" w:eastAsia="Palatino Linotype" w:hAnsi="Palatino Linotype" w:cs="Palatino Linotype"/>
        </w:rPr>
      </w:pP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b/>
        </w:rPr>
        <w:t>Respecto</w:t>
      </w:r>
      <w:r w:rsidRPr="003B37F6">
        <w:rPr>
          <w:rFonts w:ascii="Palatino Linotype" w:eastAsia="Palatino Linotype" w:hAnsi="Palatino Linotype" w:cs="Palatino Linotype"/>
        </w:rPr>
        <w:t xml:space="preserve"> de los préstamos o descuentos de carácter personal, estos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violentaba la protección de información confidencial, porque incide en la intimidad de un individuo identificado.</w:t>
      </w:r>
    </w:p>
    <w:p w:rsidR="00ED570A" w:rsidRPr="003B37F6" w:rsidRDefault="00ED570A">
      <w:pPr>
        <w:tabs>
          <w:tab w:val="left" w:pos="284"/>
        </w:tabs>
        <w:spacing w:line="360" w:lineRule="auto"/>
        <w:jc w:val="both"/>
        <w:rPr>
          <w:rFonts w:ascii="Palatino Linotype" w:eastAsia="Palatino Linotype" w:hAnsi="Palatino Linotype" w:cs="Palatino Linotype"/>
        </w:rPr>
      </w:pP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Por su parte, el artículo 84 de la Ley del Trabajo de los Servidores Públicos del Estado y Municipios, señala:</w:t>
      </w:r>
    </w:p>
    <w:p w:rsidR="00ED570A" w:rsidRPr="003B37F6" w:rsidRDefault="00ED570A">
      <w:pPr>
        <w:pBdr>
          <w:top w:val="nil"/>
          <w:left w:val="nil"/>
          <w:bottom w:val="nil"/>
          <w:right w:val="nil"/>
          <w:between w:val="nil"/>
        </w:pBdr>
        <w:spacing w:line="276" w:lineRule="auto"/>
        <w:jc w:val="both"/>
        <w:rPr>
          <w:rFonts w:ascii="Palatino Linotype" w:eastAsia="Palatino Linotype" w:hAnsi="Palatino Linotype" w:cs="Palatino Linotype"/>
          <w:sz w:val="22"/>
          <w:szCs w:val="22"/>
        </w:rPr>
      </w:pPr>
    </w:p>
    <w:p w:rsidR="00ED570A" w:rsidRPr="003B37F6" w:rsidRDefault="00022CBA">
      <w:pPr>
        <w:spacing w:line="276" w:lineRule="auto"/>
        <w:ind w:left="1134" w:right="851"/>
        <w:jc w:val="both"/>
        <w:rPr>
          <w:rFonts w:ascii="Palatino Linotype" w:eastAsia="Palatino Linotype" w:hAnsi="Palatino Linotype" w:cs="Palatino Linotype"/>
          <w:sz w:val="22"/>
          <w:szCs w:val="22"/>
        </w:rPr>
      </w:pPr>
      <w:r w:rsidRPr="003B37F6">
        <w:rPr>
          <w:rFonts w:ascii="Palatino Linotype" w:eastAsia="Palatino Linotype" w:hAnsi="Palatino Linotype" w:cs="Palatino Linotype"/>
          <w:i/>
          <w:sz w:val="22"/>
          <w:szCs w:val="22"/>
        </w:rPr>
        <w:t>“</w:t>
      </w:r>
      <w:r w:rsidRPr="003B37F6">
        <w:rPr>
          <w:rFonts w:ascii="Palatino Linotype" w:eastAsia="Palatino Linotype" w:hAnsi="Palatino Linotype" w:cs="Palatino Linotype"/>
          <w:b/>
          <w:i/>
          <w:sz w:val="22"/>
          <w:szCs w:val="22"/>
        </w:rPr>
        <w:t>ARTICULO 84. Sólo podrán hacerse retenciones, descuentos o deducciones al sueldo de los servidores públicos por concepto de:</w:t>
      </w:r>
    </w:p>
    <w:p w:rsidR="00ED570A" w:rsidRPr="003B37F6" w:rsidRDefault="00022CBA">
      <w:pPr>
        <w:spacing w:line="276" w:lineRule="auto"/>
        <w:ind w:left="1134" w:right="851"/>
        <w:jc w:val="both"/>
        <w:rPr>
          <w:rFonts w:ascii="Palatino Linotype" w:eastAsia="Palatino Linotype" w:hAnsi="Palatino Linotype" w:cs="Palatino Linotype"/>
          <w:sz w:val="22"/>
          <w:szCs w:val="22"/>
        </w:rPr>
      </w:pPr>
      <w:r w:rsidRPr="003B37F6">
        <w:rPr>
          <w:rFonts w:ascii="Palatino Linotype" w:eastAsia="Palatino Linotype" w:hAnsi="Palatino Linotype" w:cs="Palatino Linotype"/>
          <w:i/>
          <w:sz w:val="22"/>
          <w:szCs w:val="22"/>
        </w:rPr>
        <w:t>I. Gravámenes fiscales relacionados con el sueldo;</w:t>
      </w:r>
    </w:p>
    <w:p w:rsidR="00ED570A" w:rsidRPr="003B37F6" w:rsidRDefault="00022CBA">
      <w:pPr>
        <w:spacing w:line="276" w:lineRule="auto"/>
        <w:ind w:left="1134" w:right="851"/>
        <w:jc w:val="both"/>
        <w:rPr>
          <w:rFonts w:ascii="Palatino Linotype" w:eastAsia="Palatino Linotype" w:hAnsi="Palatino Linotype" w:cs="Palatino Linotype"/>
          <w:sz w:val="22"/>
          <w:szCs w:val="22"/>
        </w:rPr>
      </w:pPr>
      <w:r w:rsidRPr="003B37F6">
        <w:rPr>
          <w:rFonts w:ascii="Palatino Linotype" w:eastAsia="Palatino Linotype" w:hAnsi="Palatino Linotype" w:cs="Palatino Linotype"/>
          <w:b/>
          <w:i/>
          <w:sz w:val="22"/>
          <w:szCs w:val="22"/>
        </w:rPr>
        <w:lastRenderedPageBreak/>
        <w:t>II. Deudas contraídas con las instituciones públicas o dependencias</w:t>
      </w:r>
      <w:r w:rsidRPr="003B37F6">
        <w:rPr>
          <w:rFonts w:ascii="Palatino Linotype" w:eastAsia="Palatino Linotype" w:hAnsi="Palatino Linotype" w:cs="Palatino Linotype"/>
          <w:i/>
          <w:sz w:val="22"/>
          <w:szCs w:val="22"/>
        </w:rPr>
        <w:t xml:space="preserve"> por concepto de anticipos de sueldo, pagos hechos con exceso, errores o pérdidas debidamente comprobados;</w:t>
      </w:r>
    </w:p>
    <w:p w:rsidR="00ED570A" w:rsidRPr="003B37F6" w:rsidRDefault="00022CBA">
      <w:pPr>
        <w:spacing w:line="276" w:lineRule="auto"/>
        <w:ind w:left="1134" w:right="851"/>
        <w:jc w:val="both"/>
        <w:rPr>
          <w:rFonts w:ascii="Palatino Linotype" w:eastAsia="Palatino Linotype" w:hAnsi="Palatino Linotype" w:cs="Palatino Linotype"/>
          <w:sz w:val="22"/>
          <w:szCs w:val="22"/>
        </w:rPr>
      </w:pPr>
      <w:r w:rsidRPr="003B37F6">
        <w:rPr>
          <w:rFonts w:ascii="Palatino Linotype" w:eastAsia="Palatino Linotype" w:hAnsi="Palatino Linotype" w:cs="Palatino Linotype"/>
          <w:b/>
          <w:i/>
          <w:sz w:val="22"/>
          <w:szCs w:val="22"/>
        </w:rPr>
        <w:t>III. Cuotas sindicales</w:t>
      </w:r>
      <w:r w:rsidRPr="003B37F6">
        <w:rPr>
          <w:rFonts w:ascii="Palatino Linotype" w:eastAsia="Palatino Linotype" w:hAnsi="Palatino Linotype" w:cs="Palatino Linotype"/>
          <w:i/>
          <w:sz w:val="22"/>
          <w:szCs w:val="22"/>
        </w:rPr>
        <w:t>;</w:t>
      </w:r>
    </w:p>
    <w:p w:rsidR="00ED570A" w:rsidRPr="003B37F6" w:rsidRDefault="00022CBA">
      <w:pPr>
        <w:spacing w:line="276" w:lineRule="auto"/>
        <w:ind w:left="1134" w:right="851"/>
        <w:jc w:val="both"/>
        <w:rPr>
          <w:rFonts w:ascii="Palatino Linotype" w:eastAsia="Palatino Linotype" w:hAnsi="Palatino Linotype" w:cs="Palatino Linotype"/>
          <w:sz w:val="22"/>
          <w:szCs w:val="22"/>
        </w:rPr>
      </w:pPr>
      <w:r w:rsidRPr="003B37F6">
        <w:rPr>
          <w:rFonts w:ascii="Palatino Linotype" w:eastAsia="Palatino Linotype" w:hAnsi="Palatino Linotype" w:cs="Palatino Linotype"/>
          <w:i/>
          <w:sz w:val="22"/>
          <w:szCs w:val="22"/>
        </w:rPr>
        <w:t>IV. Cuotas de aportación a fondos para la constitución de cooperativas y de cajas de ahorro, siempre que el servidor público hubiese manifestado previamente, de manera expresa, su conformidad;</w:t>
      </w:r>
    </w:p>
    <w:p w:rsidR="00ED570A" w:rsidRPr="003B37F6" w:rsidRDefault="00022CBA">
      <w:pPr>
        <w:spacing w:line="276" w:lineRule="auto"/>
        <w:ind w:left="1134" w:right="851"/>
        <w:jc w:val="both"/>
        <w:rPr>
          <w:rFonts w:ascii="Palatino Linotype" w:eastAsia="Palatino Linotype" w:hAnsi="Palatino Linotype" w:cs="Palatino Linotype"/>
          <w:sz w:val="22"/>
          <w:szCs w:val="22"/>
        </w:rPr>
      </w:pPr>
      <w:r w:rsidRPr="003B37F6">
        <w:rPr>
          <w:rFonts w:ascii="Palatino Linotype" w:eastAsia="Palatino Linotype" w:hAnsi="Palatino Linotype" w:cs="Palatino Linotype"/>
          <w:i/>
          <w:sz w:val="22"/>
          <w:szCs w:val="22"/>
        </w:rPr>
        <w:t>V. Descuentos ordenados por el Instituto de Seguridad Social del Estado de México y Municipios, con motivo de cuotas y obligaciones contraídas con éste por los servidores públicos;</w:t>
      </w:r>
    </w:p>
    <w:p w:rsidR="00ED570A" w:rsidRPr="003B37F6" w:rsidRDefault="00022CBA">
      <w:pPr>
        <w:spacing w:line="276" w:lineRule="auto"/>
        <w:ind w:left="1134" w:right="851"/>
        <w:jc w:val="both"/>
        <w:rPr>
          <w:rFonts w:ascii="Palatino Linotype" w:eastAsia="Palatino Linotype" w:hAnsi="Palatino Linotype" w:cs="Palatino Linotype"/>
          <w:sz w:val="22"/>
          <w:szCs w:val="22"/>
        </w:rPr>
      </w:pPr>
      <w:r w:rsidRPr="003B37F6">
        <w:rPr>
          <w:rFonts w:ascii="Palatino Linotype" w:eastAsia="Palatino Linotype" w:hAnsi="Palatino Linotype" w:cs="Palatino Linotype"/>
          <w:b/>
          <w:i/>
          <w:sz w:val="22"/>
          <w:szCs w:val="22"/>
        </w:rPr>
        <w:t>VI. Obligaciones a cargo del servidor público con las que haya consentido</w:t>
      </w:r>
      <w:r w:rsidRPr="003B37F6">
        <w:rPr>
          <w:rFonts w:ascii="Palatino Linotype" w:eastAsia="Palatino Linotype" w:hAnsi="Palatino Linotype" w:cs="Palatino Linotype"/>
          <w:i/>
          <w:sz w:val="22"/>
          <w:szCs w:val="22"/>
        </w:rPr>
        <w:t>, derivadas de la adquisición o del uso de habitaciones consideradas como de interés social;</w:t>
      </w:r>
    </w:p>
    <w:p w:rsidR="00ED570A" w:rsidRPr="003B37F6" w:rsidRDefault="00022CBA">
      <w:pPr>
        <w:spacing w:line="276" w:lineRule="auto"/>
        <w:ind w:left="1134" w:right="851"/>
        <w:jc w:val="both"/>
        <w:rPr>
          <w:rFonts w:ascii="Palatino Linotype" w:eastAsia="Palatino Linotype" w:hAnsi="Palatino Linotype" w:cs="Palatino Linotype"/>
          <w:sz w:val="22"/>
          <w:szCs w:val="22"/>
        </w:rPr>
      </w:pPr>
      <w:r w:rsidRPr="003B37F6">
        <w:rPr>
          <w:rFonts w:ascii="Palatino Linotype" w:eastAsia="Palatino Linotype" w:hAnsi="Palatino Linotype" w:cs="Palatino Linotype"/>
          <w:i/>
          <w:sz w:val="22"/>
          <w:szCs w:val="22"/>
        </w:rPr>
        <w:t>VII. Faltas de puntualidad o de asistencia injustificadas;</w:t>
      </w:r>
    </w:p>
    <w:p w:rsidR="00ED570A" w:rsidRPr="003B37F6" w:rsidRDefault="00022CBA">
      <w:pPr>
        <w:spacing w:line="276" w:lineRule="auto"/>
        <w:ind w:left="1134" w:right="851"/>
        <w:jc w:val="both"/>
        <w:rPr>
          <w:rFonts w:ascii="Palatino Linotype" w:eastAsia="Palatino Linotype" w:hAnsi="Palatino Linotype" w:cs="Palatino Linotype"/>
          <w:sz w:val="22"/>
          <w:szCs w:val="22"/>
        </w:rPr>
      </w:pPr>
      <w:r w:rsidRPr="003B37F6">
        <w:rPr>
          <w:rFonts w:ascii="Palatino Linotype" w:eastAsia="Palatino Linotype" w:hAnsi="Palatino Linotype" w:cs="Palatino Linotype"/>
          <w:b/>
          <w:i/>
          <w:sz w:val="22"/>
          <w:szCs w:val="22"/>
        </w:rPr>
        <w:t>VIII. Pensiones alimenticias ordenadas por la autoridad judicial;</w:t>
      </w:r>
      <w:r w:rsidRPr="003B37F6">
        <w:rPr>
          <w:rFonts w:ascii="Palatino Linotype" w:eastAsia="Palatino Linotype" w:hAnsi="Palatino Linotype" w:cs="Palatino Linotype"/>
          <w:i/>
          <w:sz w:val="22"/>
          <w:szCs w:val="22"/>
        </w:rPr>
        <w:t xml:space="preserve"> o</w:t>
      </w:r>
    </w:p>
    <w:p w:rsidR="00ED570A" w:rsidRPr="003B37F6" w:rsidRDefault="00022CBA">
      <w:pPr>
        <w:spacing w:line="276" w:lineRule="auto"/>
        <w:ind w:left="1134" w:right="851"/>
        <w:jc w:val="both"/>
        <w:rPr>
          <w:rFonts w:ascii="Palatino Linotype" w:eastAsia="Palatino Linotype" w:hAnsi="Palatino Linotype" w:cs="Palatino Linotype"/>
          <w:sz w:val="22"/>
          <w:szCs w:val="22"/>
        </w:rPr>
      </w:pPr>
      <w:r w:rsidRPr="003B37F6">
        <w:rPr>
          <w:rFonts w:ascii="Palatino Linotype" w:eastAsia="Palatino Linotype" w:hAnsi="Palatino Linotype" w:cs="Palatino Linotype"/>
          <w:b/>
          <w:i/>
          <w:sz w:val="22"/>
          <w:szCs w:val="22"/>
        </w:rPr>
        <w:t>IX. Cualquier otro convenido con instituciones de servicios y aceptado por el servidor público.</w:t>
      </w:r>
    </w:p>
    <w:p w:rsidR="00ED570A" w:rsidRPr="003B37F6" w:rsidRDefault="00022CBA">
      <w:pPr>
        <w:spacing w:line="276" w:lineRule="auto"/>
        <w:ind w:left="1134" w:right="851"/>
        <w:jc w:val="both"/>
        <w:rPr>
          <w:rFonts w:ascii="Palatino Linotype" w:eastAsia="Palatino Linotype" w:hAnsi="Palatino Linotype" w:cs="Palatino Linotype"/>
          <w:sz w:val="22"/>
          <w:szCs w:val="22"/>
        </w:rPr>
      </w:pPr>
      <w:r w:rsidRPr="003B37F6">
        <w:rPr>
          <w:rFonts w:ascii="Palatino Linotype" w:eastAsia="Palatino Linotype" w:hAnsi="Palatino Linotype" w:cs="Palatino Linotype"/>
          <w:i/>
          <w:sz w:val="22"/>
          <w:szCs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rsidR="00ED570A" w:rsidRPr="003B37F6" w:rsidRDefault="00022CBA">
      <w:pPr>
        <w:spacing w:line="276" w:lineRule="auto"/>
        <w:ind w:left="1134" w:right="851"/>
        <w:jc w:val="both"/>
        <w:rPr>
          <w:rFonts w:ascii="Palatino Linotype" w:eastAsia="Palatino Linotype" w:hAnsi="Palatino Linotype" w:cs="Palatino Linotype"/>
          <w:sz w:val="22"/>
          <w:szCs w:val="22"/>
        </w:rPr>
      </w:pPr>
      <w:r w:rsidRPr="003B37F6">
        <w:rPr>
          <w:rFonts w:ascii="Palatino Linotype" w:eastAsia="Palatino Linotype" w:hAnsi="Palatino Linotype" w:cs="Palatino Linotype"/>
          <w:sz w:val="22"/>
          <w:szCs w:val="22"/>
        </w:rPr>
        <w:t>(Énfasis añadido)</w:t>
      </w:r>
    </w:p>
    <w:p w:rsidR="00ED570A" w:rsidRPr="003B37F6" w:rsidRDefault="00ED570A">
      <w:pPr>
        <w:spacing w:line="360" w:lineRule="auto"/>
        <w:ind w:left="851" w:right="-929"/>
        <w:jc w:val="both"/>
        <w:rPr>
          <w:rFonts w:ascii="Palatino Linotype" w:eastAsia="Palatino Linotype" w:hAnsi="Palatino Linotype" w:cs="Palatino Linotype"/>
        </w:rPr>
      </w:pP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 xml:space="preserve">Derivado de lo anterior, la ley establece claramente cuáles son esos descuentos o gravámenes que directamente se relacionan con las obligaciones adquiridas como servidores públicos y aquéllos que </w:t>
      </w:r>
      <w:r w:rsidRPr="003B37F6">
        <w:rPr>
          <w:rFonts w:ascii="Palatino Linotype" w:eastAsia="Palatino Linotype" w:hAnsi="Palatino Linotype" w:cs="Palatino Linotype"/>
          <w:b/>
          <w:u w:val="single"/>
        </w:rPr>
        <w:t>únicamente inciden en su vida privada</w:t>
      </w:r>
      <w:r w:rsidRPr="003B37F6">
        <w:rPr>
          <w:rFonts w:ascii="Palatino Linotype" w:eastAsia="Palatino Linotype" w:hAnsi="Palatino Linotype" w:cs="Palatino Linotype"/>
        </w:rPr>
        <w:t xml:space="preserve">. De este </w:t>
      </w:r>
      <w:r w:rsidRPr="003B37F6">
        <w:rPr>
          <w:rFonts w:ascii="Palatino Linotype" w:eastAsia="Palatino Linotype" w:hAnsi="Palatino Linotype" w:cs="Palatino Linotype"/>
        </w:rPr>
        <w:lastRenderedPageBreak/>
        <w:t xml:space="preserve">modo, descuentos por pensiones alimenticias o créditos adquiridos con </w:t>
      </w:r>
      <w:r w:rsidRPr="003B37F6">
        <w:rPr>
          <w:rFonts w:ascii="Palatino Linotype" w:eastAsia="Palatino Linotype" w:hAnsi="Palatino Linotype" w:cs="Palatino Linotype"/>
          <w:b/>
        </w:rPr>
        <w:t>instituciones</w:t>
      </w:r>
      <w:r w:rsidRPr="003B37F6">
        <w:rPr>
          <w:rFonts w:ascii="Palatino Linotype" w:eastAsia="Palatino Linotype" w:hAnsi="Palatino Linotype" w:cs="Palatino Linotype"/>
        </w:rPr>
        <w:t xml:space="preserve"> privadas o públicas pero que fueron contraídas en forma individual, son información que debe clasificarse como confidencial.</w:t>
      </w:r>
    </w:p>
    <w:p w:rsidR="00ED570A" w:rsidRPr="003B37F6" w:rsidRDefault="00ED570A">
      <w:pPr>
        <w:tabs>
          <w:tab w:val="left" w:pos="284"/>
        </w:tabs>
        <w:spacing w:line="360" w:lineRule="auto"/>
        <w:jc w:val="both"/>
        <w:rPr>
          <w:rFonts w:ascii="Palatino Linotype" w:eastAsia="Palatino Linotype" w:hAnsi="Palatino Linotype" w:cs="Palatino Linotype"/>
        </w:rPr>
      </w:pP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 xml:space="preserve"> Con base en lo expuesto, se insiste que los datos mencionados, que como se ha dicho, deben ser clasificados como confidenciales por tratarse de información privada, toda </w:t>
      </w:r>
      <w:r w:rsidRPr="003B37F6">
        <w:rPr>
          <w:rFonts w:ascii="Palatino Linotype" w:eastAsia="Palatino Linotype" w:hAnsi="Palatino Linotype" w:cs="Palatino Linotype"/>
          <w:b/>
        </w:rPr>
        <w:t>vez</w:t>
      </w:r>
      <w:r w:rsidRPr="003B37F6">
        <w:rPr>
          <w:rFonts w:ascii="Palatino Linotype" w:eastAsia="Palatino Linotype" w:hAnsi="Palatino Linotype" w:cs="Palatino Linotype"/>
        </w:rPr>
        <w:t xml:space="preserve"> que los datos personales son irrenunciables, intransferibles e indelegables, por lo tanto los sujetos obligados no deben hacer entrega de éstos a persona ajena a su titular, sobre todo cuando traiga implícita que se ponga en riesgo la vida o integridad de una persona.</w:t>
      </w:r>
    </w:p>
    <w:p w:rsidR="00ED570A" w:rsidRPr="003B37F6" w:rsidRDefault="00ED570A">
      <w:pPr>
        <w:tabs>
          <w:tab w:val="left" w:pos="284"/>
        </w:tabs>
        <w:spacing w:line="360" w:lineRule="auto"/>
        <w:jc w:val="both"/>
        <w:rPr>
          <w:rFonts w:ascii="Palatino Linotype" w:eastAsia="Palatino Linotype" w:hAnsi="Palatino Linotype" w:cs="Palatino Linotype"/>
        </w:rPr>
      </w:pP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 xml:space="preserve">Sirven de sustento a lo anterior, las tesis jurisprudenciales P. LX/2000 y 2a. XLIII/2008 emitidas por el Peno y la Segunda Sala de la Suprema Corte de Justicia de la Nación, </w:t>
      </w:r>
      <w:r w:rsidRPr="003B37F6">
        <w:rPr>
          <w:rFonts w:ascii="Palatino Linotype" w:eastAsia="Palatino Linotype" w:hAnsi="Palatino Linotype" w:cs="Palatino Linotype"/>
          <w:b/>
        </w:rPr>
        <w:t>respectivamente</w:t>
      </w:r>
      <w:r w:rsidRPr="003B37F6">
        <w:rPr>
          <w:rFonts w:ascii="Palatino Linotype" w:eastAsia="Palatino Linotype" w:hAnsi="Palatino Linotype" w:cs="Palatino Linotype"/>
        </w:rPr>
        <w:t>, que son del tenor literal siguiente:</w:t>
      </w:r>
    </w:p>
    <w:p w:rsidR="00ED570A" w:rsidRPr="003B37F6" w:rsidRDefault="00ED570A">
      <w:pPr>
        <w:pBdr>
          <w:top w:val="nil"/>
          <w:left w:val="nil"/>
          <w:bottom w:val="nil"/>
          <w:right w:val="nil"/>
          <w:between w:val="nil"/>
        </w:pBdr>
        <w:spacing w:line="276" w:lineRule="auto"/>
        <w:jc w:val="both"/>
        <w:rPr>
          <w:rFonts w:ascii="Palatino Linotype" w:eastAsia="Palatino Linotype" w:hAnsi="Palatino Linotype" w:cs="Palatino Linotype"/>
          <w:sz w:val="22"/>
          <w:szCs w:val="22"/>
        </w:rPr>
      </w:pPr>
    </w:p>
    <w:p w:rsidR="00ED570A" w:rsidRPr="003B37F6" w:rsidRDefault="00022CBA">
      <w:pPr>
        <w:spacing w:line="276" w:lineRule="auto"/>
        <w:ind w:left="1134" w:right="851"/>
        <w:jc w:val="both"/>
        <w:rPr>
          <w:rFonts w:ascii="Palatino Linotype" w:eastAsia="Palatino Linotype" w:hAnsi="Palatino Linotype" w:cs="Palatino Linotype"/>
          <w:i/>
          <w:sz w:val="22"/>
          <w:szCs w:val="22"/>
        </w:rPr>
      </w:pPr>
      <w:r w:rsidRPr="003B37F6">
        <w:rPr>
          <w:rFonts w:ascii="Palatino Linotype" w:eastAsia="Palatino Linotype" w:hAnsi="Palatino Linotype" w:cs="Palatino Linotype"/>
          <w:b/>
          <w:i/>
          <w:sz w:val="22"/>
          <w:szCs w:val="22"/>
        </w:rPr>
        <w:t xml:space="preserve">“DERECHO A LA INFORMACIÓN. SU EJERCICIO SE ENCUENTRA LIMITADO TANTO POR LOS INTERESES NACIONALES Y DE LA SOCIEDAD, COMO POR LOS DERECHOS DE TERCEROS. </w:t>
      </w:r>
      <w:r w:rsidRPr="003B37F6">
        <w:rPr>
          <w:rFonts w:ascii="Palatino Linotype" w:eastAsia="Palatino Linotype" w:hAnsi="Palatino Linotype" w:cs="Palatino Linotype"/>
          <w:i/>
          <w:sz w:val="22"/>
          <w:szCs w:val="22"/>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w:t>
      </w:r>
      <w:r w:rsidRPr="003B37F6">
        <w:rPr>
          <w:rFonts w:ascii="Palatino Linotype" w:eastAsia="Palatino Linotype" w:hAnsi="Palatino Linotype" w:cs="Palatino Linotype"/>
          <w:i/>
          <w:sz w:val="22"/>
          <w:szCs w:val="22"/>
        </w:rPr>
        <w:lastRenderedPageBreak/>
        <w:t xml:space="preserve">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sidRPr="003B37F6">
        <w:rPr>
          <w:rFonts w:ascii="Palatino Linotype" w:eastAsia="Palatino Linotype" w:hAnsi="Palatino Linotype" w:cs="Palatino Linotype"/>
          <w:b/>
          <w:i/>
          <w:sz w:val="22"/>
          <w:szCs w:val="22"/>
        </w:rPr>
        <w:t>restringen el acceso a la información en esta materia, en razón de que su conocimiento público puede generar daños a los intereses nacionales y, por el otro, sancionan la inobservancia de esa reserva</w:t>
      </w:r>
      <w:r w:rsidRPr="003B37F6">
        <w:rPr>
          <w:rFonts w:ascii="Palatino Linotype" w:eastAsia="Palatino Linotype" w:hAnsi="Palatino Linotype" w:cs="Palatino Linotype"/>
          <w:i/>
          <w:sz w:val="22"/>
          <w:szCs w:val="22"/>
        </w:rPr>
        <w:t xml:space="preserve">; por lo que hace al interés social, se cuenta con normas que tienden a proteger la averiguación de los delitos, la salud y la moral públicas, </w:t>
      </w:r>
      <w:r w:rsidRPr="003B37F6">
        <w:rPr>
          <w:rFonts w:ascii="Palatino Linotype" w:eastAsia="Palatino Linotype" w:hAnsi="Palatino Linotype" w:cs="Palatino Linotype"/>
          <w:b/>
          <w:i/>
          <w:sz w:val="22"/>
          <w:szCs w:val="22"/>
        </w:rPr>
        <w:t>mientras que por lo que respecta a la protección de la persona existen normas que protegen el derecho a la vida o a la privacidad de los gobernados</w:t>
      </w:r>
      <w:r w:rsidRPr="003B37F6">
        <w:rPr>
          <w:rFonts w:ascii="Palatino Linotype" w:eastAsia="Palatino Linotype" w:hAnsi="Palatino Linotype" w:cs="Palatino Linotype"/>
          <w:i/>
          <w:sz w:val="22"/>
          <w:szCs w:val="22"/>
        </w:rPr>
        <w:t>.”</w:t>
      </w:r>
    </w:p>
    <w:p w:rsidR="00ED570A" w:rsidRPr="003B37F6" w:rsidRDefault="00ED570A">
      <w:pPr>
        <w:spacing w:line="276" w:lineRule="auto"/>
        <w:ind w:left="1134" w:right="851"/>
        <w:jc w:val="both"/>
        <w:rPr>
          <w:rFonts w:ascii="Palatino Linotype" w:eastAsia="Palatino Linotype" w:hAnsi="Palatino Linotype" w:cs="Palatino Linotype"/>
          <w:i/>
          <w:sz w:val="22"/>
          <w:szCs w:val="22"/>
        </w:rPr>
      </w:pPr>
    </w:p>
    <w:p w:rsidR="00ED570A" w:rsidRPr="003B37F6" w:rsidRDefault="00022CBA">
      <w:pPr>
        <w:spacing w:line="276" w:lineRule="auto"/>
        <w:ind w:left="1134" w:right="851"/>
        <w:jc w:val="both"/>
        <w:rPr>
          <w:rFonts w:ascii="Palatino Linotype" w:eastAsia="Palatino Linotype" w:hAnsi="Palatino Linotype" w:cs="Palatino Linotype"/>
          <w:i/>
          <w:sz w:val="22"/>
          <w:szCs w:val="22"/>
        </w:rPr>
      </w:pPr>
      <w:r w:rsidRPr="003B37F6">
        <w:rPr>
          <w:rFonts w:ascii="Palatino Linotype" w:eastAsia="Palatino Linotype" w:hAnsi="Palatino Linotype" w:cs="Palatino Linotype"/>
          <w:b/>
          <w:i/>
          <w:sz w:val="22"/>
          <w:szCs w:val="22"/>
        </w:rPr>
        <w:t xml:space="preserve">“TRANSPARENCIA Y ACCESO A LA INFORMACIÓN PÚBLICA GUBERNAMENTAL. EL ARTÍCULO 14, FRACCIÓN I, DE LA LEY FEDERAL RELATIVA, NO VIOLA LA GARANTÍA DE ACCESO A LA INFORMACIÓN. </w:t>
      </w:r>
      <w:r w:rsidRPr="003B37F6">
        <w:rPr>
          <w:rFonts w:ascii="Palatino Linotype" w:eastAsia="Palatino Linotype" w:hAnsi="Palatino Linotype" w:cs="Palatino Linotype"/>
          <w:i/>
          <w:sz w:val="22"/>
          <w:szCs w:val="22"/>
        </w:rPr>
        <w:t xml:space="preserve">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w:t>
      </w:r>
      <w:r w:rsidRPr="003B37F6">
        <w:rPr>
          <w:rFonts w:ascii="Palatino Linotype" w:eastAsia="Palatino Linotype" w:hAnsi="Palatino Linotype" w:cs="Palatino Linotype"/>
          <w:i/>
          <w:sz w:val="22"/>
          <w:szCs w:val="22"/>
        </w:rPr>
        <w:lastRenderedPageBreak/>
        <w:t xml:space="preserve">en las leyes reguladoras de cada materia, </w:t>
      </w:r>
      <w:r w:rsidRPr="003B37F6">
        <w:rPr>
          <w:rFonts w:ascii="Palatino Linotype" w:eastAsia="Palatino Linotype" w:hAnsi="Palatino Linotype" w:cs="Palatino Linotype"/>
          <w:b/>
          <w:i/>
          <w:sz w:val="22"/>
          <w:szCs w:val="22"/>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3B37F6">
        <w:rPr>
          <w:rFonts w:ascii="Palatino Linotype" w:eastAsia="Palatino Linotype" w:hAnsi="Palatino Linotype" w:cs="Palatino Linotype"/>
          <w:i/>
          <w:sz w:val="22"/>
          <w:szCs w:val="22"/>
        </w:rPr>
        <w:t xml:space="preserve"> la cual debe ser adecuada y necesaria para alcanzar el fin perseguido, de manera que las ventajas obtenidas con la reserva compensen el sacrificio que ésta implique para los titulares de la garantía individual mencionada o para la sociedad en general.”</w:t>
      </w:r>
    </w:p>
    <w:p w:rsidR="00ED570A" w:rsidRPr="003B37F6" w:rsidRDefault="00ED570A">
      <w:pPr>
        <w:ind w:left="1134" w:right="-929"/>
        <w:jc w:val="both"/>
        <w:rPr>
          <w:rFonts w:ascii="Palatino Linotype" w:eastAsia="Palatino Linotype" w:hAnsi="Palatino Linotype" w:cs="Palatino Linotype"/>
          <w:i/>
        </w:rPr>
      </w:pP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 xml:space="preserve">También, el número de cuenta bancario, en el Criterio 10/17 emitido por el Pleno del Instituto </w:t>
      </w:r>
      <w:r w:rsidRPr="003B37F6">
        <w:rPr>
          <w:rFonts w:ascii="Palatino Linotype" w:eastAsia="Palatino Linotype" w:hAnsi="Palatino Linotype" w:cs="Palatino Linotype"/>
          <w:b/>
        </w:rPr>
        <w:t>Nacional</w:t>
      </w:r>
      <w:r w:rsidRPr="003B37F6">
        <w:rPr>
          <w:rFonts w:ascii="Palatino Linotype" w:eastAsia="Palatino Linotype" w:hAnsi="Palatino Linotype" w:cs="Palatino Linotype"/>
        </w:rPr>
        <w:t xml:space="preserve"> de Transparencia, Acceso a la Información y Protección de Datos Personales  se establece lo siguiente:</w:t>
      </w:r>
    </w:p>
    <w:p w:rsidR="00ED570A" w:rsidRPr="003B37F6" w:rsidRDefault="00ED570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rsidR="00ED570A" w:rsidRPr="003B37F6" w:rsidRDefault="00022CBA">
      <w:pPr>
        <w:shd w:val="clear" w:color="auto" w:fill="FFFFFF"/>
        <w:spacing w:line="276" w:lineRule="auto"/>
        <w:ind w:left="1134" w:right="851"/>
        <w:jc w:val="both"/>
        <w:rPr>
          <w:rFonts w:ascii="Palatino Linotype" w:eastAsia="Palatino Linotype" w:hAnsi="Palatino Linotype" w:cs="Palatino Linotype"/>
          <w:sz w:val="22"/>
          <w:szCs w:val="22"/>
        </w:rPr>
      </w:pPr>
      <w:r w:rsidRPr="003B37F6">
        <w:rPr>
          <w:rFonts w:ascii="Palatino Linotype" w:eastAsia="Palatino Linotype" w:hAnsi="Palatino Linotype" w:cs="Palatino Linotype"/>
          <w:sz w:val="22"/>
          <w:szCs w:val="22"/>
        </w:rPr>
        <w:t>“</w:t>
      </w:r>
      <w:r w:rsidRPr="003B37F6">
        <w:rPr>
          <w:rFonts w:ascii="Palatino Linotype" w:eastAsia="Palatino Linotype" w:hAnsi="Palatino Linotype" w:cs="Palatino Linotype"/>
          <w:b/>
          <w:i/>
          <w:sz w:val="22"/>
          <w:szCs w:val="22"/>
        </w:rPr>
        <w:t>Cuentas bancarias y/o CLABE interbancaria de personas físicas y morales privadas.</w:t>
      </w:r>
      <w:r w:rsidRPr="003B37F6">
        <w:rPr>
          <w:rFonts w:ascii="Palatino Linotype" w:eastAsia="Palatino Linotype" w:hAnsi="Palatino Linotype" w:cs="Palatino Linotype"/>
          <w:i/>
          <w:sz w:val="22"/>
          <w:szCs w:val="22"/>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r w:rsidRPr="003B37F6">
        <w:rPr>
          <w:rFonts w:ascii="Palatino Linotype" w:eastAsia="Palatino Linotype" w:hAnsi="Palatino Linotype" w:cs="Palatino Linotype"/>
          <w:sz w:val="22"/>
          <w:szCs w:val="22"/>
        </w:rPr>
        <w:t>.”</w:t>
      </w:r>
    </w:p>
    <w:p w:rsidR="00ED570A" w:rsidRPr="003B37F6" w:rsidRDefault="00ED570A">
      <w:pPr>
        <w:spacing w:line="360" w:lineRule="auto"/>
        <w:ind w:left="1134" w:right="-929"/>
        <w:jc w:val="both"/>
        <w:rPr>
          <w:rFonts w:ascii="Palatino Linotype" w:eastAsia="Palatino Linotype" w:hAnsi="Palatino Linotype" w:cs="Palatino Linotype"/>
        </w:rPr>
      </w:pP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 xml:space="preserve">Esta cuenta es de uso personal y no guarda relación con el servicio público ni con los recursos </w:t>
      </w:r>
      <w:r w:rsidRPr="003B37F6">
        <w:rPr>
          <w:rFonts w:ascii="Palatino Linotype" w:eastAsia="Palatino Linotype" w:hAnsi="Palatino Linotype" w:cs="Palatino Linotype"/>
          <w:b/>
        </w:rPr>
        <w:t>públicos</w:t>
      </w:r>
      <w:r w:rsidRPr="003B37F6">
        <w:rPr>
          <w:rFonts w:ascii="Palatino Linotype" w:eastAsia="Palatino Linotype" w:hAnsi="Palatino Linotype" w:cs="Palatino Linotype"/>
        </w:rPr>
        <w:t xml:space="preserve">, ya que es elección del trabajador determinar si desea que su </w:t>
      </w:r>
      <w:r w:rsidRPr="003B37F6">
        <w:rPr>
          <w:rFonts w:ascii="Palatino Linotype" w:eastAsia="Palatino Linotype" w:hAnsi="Palatino Linotype" w:cs="Palatino Linotype"/>
        </w:rPr>
        <w:lastRenderedPageBreak/>
        <w:t>sueldo se pague de manera directa o a través de depósito bancario en la institución de crédito de su elección. De tal suerte, el número de cuenta bancario lo proporciona el servidor público al Sujeto Obligado, con el único fin de que realicen los depósitos de su sueldo, por lo que este número constituye información confidencial al pertenecer exclusivamente al ámbito de la vida privada del trabajador y procede su eliminación de conformidad con el artículo 143, fracción I de la Ley de Transparencia y Acceso a la Información Pública del Estado de México y Municipios.</w:t>
      </w:r>
    </w:p>
    <w:p w:rsidR="00ED570A" w:rsidRPr="003B37F6" w:rsidRDefault="00ED570A">
      <w:pPr>
        <w:spacing w:line="360" w:lineRule="auto"/>
        <w:jc w:val="both"/>
        <w:rPr>
          <w:rFonts w:ascii="Palatino Linotype" w:eastAsia="Palatino Linotype" w:hAnsi="Palatino Linotype" w:cs="Palatino Linotype"/>
        </w:rPr>
      </w:pP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 xml:space="preserve">El </w:t>
      </w:r>
      <w:r w:rsidRPr="003B37F6">
        <w:rPr>
          <w:rFonts w:ascii="Palatino Linotype" w:eastAsia="Palatino Linotype" w:hAnsi="Palatino Linotype" w:cs="Palatino Linotype"/>
          <w:b/>
        </w:rPr>
        <w:t>Código de barras bidimensional (QR</w:t>
      </w:r>
      <w:r w:rsidRPr="003B37F6">
        <w:rPr>
          <w:rFonts w:ascii="Palatino Linotype" w:eastAsia="Palatino Linotype" w:hAnsi="Palatino Linotype" w:cs="Palatino Linotype"/>
        </w:rPr>
        <w:t xml:space="preserve">), resulta necesario señalar que los comprobantes </w:t>
      </w:r>
      <w:r w:rsidRPr="003B37F6">
        <w:rPr>
          <w:rFonts w:ascii="Palatino Linotype" w:eastAsia="Palatino Linotype" w:hAnsi="Palatino Linotype" w:cs="Palatino Linotype"/>
          <w:b/>
        </w:rPr>
        <w:t>fiscales</w:t>
      </w:r>
      <w:r w:rsidRPr="003B37F6">
        <w:rPr>
          <w:rFonts w:ascii="Palatino Linotype" w:eastAsia="Palatino Linotype" w:hAnsi="Palatino Linotype" w:cs="Palatino Linotype"/>
        </w:rPr>
        <w:t xml:space="preserve"> digitales por Internet, deben de incluir un código bidimensional conforme al formato QR </w:t>
      </w:r>
      <w:proofErr w:type="spellStart"/>
      <w:r w:rsidRPr="003B37F6">
        <w:rPr>
          <w:rFonts w:ascii="Palatino Linotype" w:eastAsia="Palatino Linotype" w:hAnsi="Palatino Linotype" w:cs="Palatino Linotype"/>
        </w:rPr>
        <w:t>Code</w:t>
      </w:r>
      <w:proofErr w:type="spellEnd"/>
      <w:r w:rsidRPr="003B37F6">
        <w:rPr>
          <w:rFonts w:ascii="Palatino Linotype" w:eastAsia="Palatino Linotype" w:hAnsi="Palatino Linotype" w:cs="Palatino Linotype"/>
        </w:rPr>
        <w:t xml:space="preserve"> (Quick Response </w:t>
      </w:r>
      <w:proofErr w:type="spellStart"/>
      <w:r w:rsidRPr="003B37F6">
        <w:rPr>
          <w:rFonts w:ascii="Palatino Linotype" w:eastAsia="Palatino Linotype" w:hAnsi="Palatino Linotype" w:cs="Palatino Linotype"/>
        </w:rPr>
        <w:t>Code</w:t>
      </w:r>
      <w:proofErr w:type="spellEnd"/>
      <w:r w:rsidRPr="003B37F6">
        <w:rPr>
          <w:rFonts w:ascii="Palatino Linotype" w:eastAsia="Palatino Linotype" w:hAnsi="Palatino Linotype" w:cs="Palatino Linotype"/>
        </w:rPr>
        <w:t xml:space="preserve">), el cual contiene el Registro Federal de Contribuyentes del receptor, del emisor, o de ambos; lo anterior, conforme al Anexo 20 de la Segunda Resolución de modificación a la Resolución Miscelánea Fiscal para el 2017, localizada en la página electrónica  </w:t>
      </w:r>
      <w:hyperlink r:id="rId9">
        <w:r w:rsidRPr="003B37F6">
          <w:rPr>
            <w:rFonts w:ascii="Palatino Linotype" w:eastAsia="Palatino Linotype" w:hAnsi="Palatino Linotype" w:cs="Palatino Linotype"/>
          </w:rPr>
          <w:t>http://dof.gob.mx/nota_detalle.php?codigo=5492254&amp;fecha=28/07/2017</w:t>
        </w:r>
      </w:hyperlink>
      <w:r w:rsidRPr="003B37F6">
        <w:rPr>
          <w:rFonts w:ascii="Palatino Linotype" w:eastAsia="Palatino Linotype" w:hAnsi="Palatino Linotype" w:cs="Palatino Linotype"/>
        </w:rPr>
        <w:t>. Incluso con la captura de dicho código, a través de la aplicación móvil del Servicio de Administración Tributaria, permite el acceso al Registro Federal de Contribuyentes, como del Sujeto Obligado, como de la persona física o moral correspondiente.</w:t>
      </w:r>
    </w:p>
    <w:p w:rsidR="00ED570A" w:rsidRPr="003B37F6" w:rsidRDefault="00ED570A">
      <w:pPr>
        <w:tabs>
          <w:tab w:val="left" w:pos="284"/>
        </w:tabs>
        <w:spacing w:line="360" w:lineRule="auto"/>
        <w:jc w:val="both"/>
        <w:rPr>
          <w:rFonts w:ascii="Palatino Linotype" w:eastAsia="Palatino Linotype" w:hAnsi="Palatino Linotype" w:cs="Palatino Linotype"/>
        </w:rPr>
      </w:pP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 xml:space="preserve">De tales circunstancias, se considera que se actualiza la causal de clasificación prevista en el artículo 143, fracción I de la Ley de la materia, toda vez que el Registro </w:t>
      </w:r>
      <w:r w:rsidRPr="003B37F6">
        <w:rPr>
          <w:rFonts w:ascii="Palatino Linotype" w:eastAsia="Palatino Linotype" w:hAnsi="Palatino Linotype" w:cs="Palatino Linotype"/>
        </w:rPr>
        <w:lastRenderedPageBreak/>
        <w:t>Federal de Contribuyentes corresponde a los servidores públicos, pues como se señaló en párrafos anteriores el mismo hace identificable o identificada al mismo.</w:t>
      </w:r>
    </w:p>
    <w:p w:rsidR="00ED570A" w:rsidRPr="003B37F6" w:rsidRDefault="00ED570A">
      <w:pPr>
        <w:tabs>
          <w:tab w:val="left" w:pos="284"/>
        </w:tabs>
        <w:spacing w:line="360" w:lineRule="auto"/>
        <w:jc w:val="both"/>
        <w:rPr>
          <w:rFonts w:ascii="Palatino Linotype" w:eastAsia="Palatino Linotype" w:hAnsi="Palatino Linotype" w:cs="Palatino Linotype"/>
        </w:rPr>
      </w:pP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 xml:space="preserve">Por otra parte y respecto a la clave de seguridad social y en su caso clave o número del </w:t>
      </w:r>
      <w:r w:rsidRPr="003B37F6">
        <w:rPr>
          <w:rFonts w:ascii="Palatino Linotype" w:eastAsia="Palatino Linotype" w:hAnsi="Palatino Linotype" w:cs="Palatino Linotype"/>
          <w:b/>
        </w:rPr>
        <w:t>servidor</w:t>
      </w:r>
      <w:r w:rsidRPr="003B37F6">
        <w:rPr>
          <w:rFonts w:ascii="Palatino Linotype" w:eastAsia="Palatino Linotype" w:hAnsi="Palatino Linotype" w:cs="Palatino Linotype"/>
        </w:rPr>
        <w:t xml:space="preserve"> público –trabajador-, en virtud de que su divulgación no aporta a la transparencia o a la rendición de cuentas y sí provoca una transgresión a la vida privada e intimidad de la persona, esta información también resulta ser de carácter confidencial; siendo aplicable como orientador el criterio número 15/10 emitido por el entonces Instituto Federal de Transparencia y Acceso a la Información (INAI, cuyo texto y sentido literal es el siguiente:</w:t>
      </w:r>
    </w:p>
    <w:p w:rsidR="00ED570A" w:rsidRPr="003B37F6" w:rsidRDefault="00ED570A">
      <w:pPr>
        <w:pBdr>
          <w:top w:val="nil"/>
          <w:left w:val="nil"/>
          <w:bottom w:val="nil"/>
          <w:right w:val="nil"/>
          <w:between w:val="nil"/>
        </w:pBdr>
        <w:spacing w:line="276" w:lineRule="auto"/>
        <w:jc w:val="both"/>
        <w:rPr>
          <w:rFonts w:ascii="Palatino Linotype" w:eastAsia="Palatino Linotype" w:hAnsi="Palatino Linotype" w:cs="Palatino Linotype"/>
          <w:sz w:val="22"/>
          <w:szCs w:val="22"/>
        </w:rPr>
      </w:pPr>
    </w:p>
    <w:p w:rsidR="00ED570A" w:rsidRPr="003B37F6" w:rsidRDefault="00022CBA">
      <w:pPr>
        <w:shd w:val="clear" w:color="auto" w:fill="FFFFFF"/>
        <w:spacing w:line="276" w:lineRule="auto"/>
        <w:ind w:left="1134" w:right="851"/>
        <w:jc w:val="both"/>
        <w:rPr>
          <w:rFonts w:ascii="Palatino Linotype" w:eastAsia="Palatino Linotype" w:hAnsi="Palatino Linotype" w:cs="Palatino Linotype"/>
          <w:i/>
          <w:color w:val="222222"/>
          <w:sz w:val="22"/>
          <w:szCs w:val="22"/>
        </w:rPr>
      </w:pPr>
      <w:r w:rsidRPr="003B37F6">
        <w:rPr>
          <w:rFonts w:ascii="Palatino Linotype" w:eastAsia="Palatino Linotype" w:hAnsi="Palatino Linotype" w:cs="Palatino Linotype"/>
          <w:b/>
          <w:i/>
          <w:color w:val="222222"/>
          <w:sz w:val="22"/>
          <w:szCs w:val="22"/>
        </w:rPr>
        <w:t>“El número de ficha de identificación única de los trabajadores es información de carácter confidencial.</w:t>
      </w:r>
      <w:r w:rsidRPr="003B37F6">
        <w:rPr>
          <w:rFonts w:ascii="Palatino Linotype" w:eastAsia="Palatino Linotype" w:hAnsi="Palatino Linotype" w:cs="Palatino Linotype"/>
          <w:i/>
          <w:color w:val="222222"/>
          <w:sz w:val="22"/>
          <w:szCs w:val="22"/>
        </w:rPr>
        <w:t> </w:t>
      </w:r>
      <w:r w:rsidRPr="003B37F6">
        <w:rPr>
          <w:rFonts w:ascii="Palatino Linotype" w:eastAsia="Palatino Linotype" w:hAnsi="Palatino Linotype" w:cs="Palatino Linotype"/>
          <w:i/>
          <w:color w:val="222222"/>
          <w:sz w:val="22"/>
          <w:szCs w:val="22"/>
          <w:u w:val="single"/>
        </w:rPr>
        <w:t>En los casos en que el número de trabajador o ficha de identificación única constituya un elemento por medio del cual los trabajadores puedan acceder a un sistema de datos o información de la dependencia o entidad, para hacer uso de diversos servicios, como la presentación de consultas relacionadas con su situación laboral particular</w:t>
      </w:r>
      <w:r w:rsidRPr="003B37F6">
        <w:rPr>
          <w:rFonts w:ascii="Palatino Linotype" w:eastAsia="Palatino Linotype" w:hAnsi="Palatino Linotype" w:cs="Palatino Linotype"/>
          <w:i/>
          <w:color w:val="222222"/>
          <w:sz w:val="22"/>
          <w:szCs w:val="22"/>
        </w:rPr>
        <w:t>, </w:t>
      </w:r>
      <w:r w:rsidRPr="003B37F6">
        <w:rPr>
          <w:rFonts w:ascii="Palatino Linotype" w:eastAsia="Palatino Linotype" w:hAnsi="Palatino Linotype" w:cs="Palatino Linotype"/>
          <w:i/>
          <w:color w:val="222222"/>
          <w:sz w:val="22"/>
          <w:szCs w:val="22"/>
          <w:u w:val="single"/>
        </w:rPr>
        <w:t>dicha información es susceptible de clasificarse con el carácter de confidencial</w:t>
      </w:r>
      <w:r w:rsidRPr="003B37F6">
        <w:rPr>
          <w:rFonts w:ascii="Palatino Linotype" w:eastAsia="Palatino Linotype" w:hAnsi="Palatino Linotype" w:cs="Palatino Linotype"/>
          <w:i/>
          <w:color w:val="222222"/>
          <w:sz w:val="22"/>
          <w:szCs w:val="22"/>
        </w:rPr>
        <w:t>, en términos de lo establecido en el artículo 18, fracción II de la Ley Federal de Transparencia y Acceso a la Información Pública Gubernamental, en virtud de que a través de la misma es posible conocer información personal de su titular.”</w:t>
      </w:r>
    </w:p>
    <w:p w:rsidR="00ED570A" w:rsidRPr="003B37F6" w:rsidRDefault="00ED570A">
      <w:pPr>
        <w:shd w:val="clear" w:color="auto" w:fill="FFFFFF"/>
        <w:ind w:left="1134" w:right="1106"/>
        <w:jc w:val="both"/>
        <w:rPr>
          <w:rFonts w:ascii="Palatino Linotype" w:eastAsia="Palatino Linotype" w:hAnsi="Palatino Linotype" w:cs="Palatino Linotype"/>
          <w:i/>
          <w:color w:val="222222"/>
        </w:rPr>
      </w:pP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 xml:space="preserve">De lo anterior, se debe de mencionar que el </w:t>
      </w:r>
      <w:r w:rsidRPr="003B37F6">
        <w:rPr>
          <w:rFonts w:ascii="Palatino Linotype" w:eastAsia="Palatino Linotype" w:hAnsi="Palatino Linotype" w:cs="Palatino Linotype"/>
          <w:b/>
        </w:rPr>
        <w:t xml:space="preserve">SUJETO OBLIGADO </w:t>
      </w:r>
      <w:r w:rsidRPr="003B37F6">
        <w:rPr>
          <w:rFonts w:ascii="Palatino Linotype" w:eastAsia="Palatino Linotype" w:hAnsi="Palatino Linotype" w:cs="Palatino Linotype"/>
        </w:rPr>
        <w:t xml:space="preserve">deberá de realizar un análisis respecto al número de empleado, ya que este solo deberá de ser </w:t>
      </w:r>
      <w:r w:rsidRPr="003B37F6">
        <w:rPr>
          <w:rFonts w:ascii="Palatino Linotype" w:eastAsia="Palatino Linotype" w:hAnsi="Palatino Linotype" w:cs="Palatino Linotype"/>
        </w:rPr>
        <w:lastRenderedPageBreak/>
        <w:t>clasificado como confidencial si tiene relación con datos personales de los servidores públicos.</w:t>
      </w:r>
    </w:p>
    <w:p w:rsidR="00ED570A" w:rsidRPr="003B37F6" w:rsidRDefault="00ED570A">
      <w:pPr>
        <w:pBdr>
          <w:top w:val="nil"/>
          <w:left w:val="nil"/>
          <w:bottom w:val="nil"/>
          <w:right w:val="nil"/>
          <w:between w:val="nil"/>
        </w:pBdr>
        <w:spacing w:line="360" w:lineRule="auto"/>
        <w:jc w:val="both"/>
        <w:rPr>
          <w:rFonts w:ascii="Palatino Linotype" w:eastAsia="Palatino Linotype" w:hAnsi="Palatino Linotype" w:cs="Palatino Linotype"/>
        </w:rPr>
      </w:pP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 xml:space="preserve">Ahora bien, también es necesario indicar que hay información dentro de los recibos de nómina </w:t>
      </w:r>
      <w:r w:rsidRPr="003B37F6">
        <w:rPr>
          <w:rFonts w:ascii="Palatino Linotype" w:eastAsia="Palatino Linotype" w:hAnsi="Palatino Linotype" w:cs="Palatino Linotype"/>
          <w:b/>
        </w:rPr>
        <w:t>que</w:t>
      </w:r>
      <w:r w:rsidRPr="003B37F6">
        <w:rPr>
          <w:rFonts w:ascii="Palatino Linotype" w:eastAsia="Palatino Linotype" w:hAnsi="Palatino Linotype" w:cs="Palatino Linotype"/>
        </w:rPr>
        <w:t xml:space="preserve"> no contienen datos personales, mismos que deberá tener en cuenta el </w:t>
      </w:r>
      <w:r w:rsidRPr="003B37F6">
        <w:rPr>
          <w:rFonts w:ascii="Palatino Linotype" w:eastAsia="Palatino Linotype" w:hAnsi="Palatino Linotype" w:cs="Palatino Linotype"/>
          <w:b/>
        </w:rPr>
        <w:t xml:space="preserve">SUJETO OBLIGADO </w:t>
      </w:r>
      <w:r w:rsidRPr="003B37F6">
        <w:rPr>
          <w:rFonts w:ascii="Palatino Linotype" w:eastAsia="Palatino Linotype" w:hAnsi="Palatino Linotype" w:cs="Palatino Linotype"/>
        </w:rPr>
        <w:t>para la entrega de la información solicitada</w:t>
      </w:r>
      <w:r w:rsidRPr="003B37F6">
        <w:rPr>
          <w:rFonts w:ascii="Palatino Linotype" w:eastAsia="Palatino Linotype" w:hAnsi="Palatino Linotype" w:cs="Palatino Linotype"/>
          <w:b/>
        </w:rPr>
        <w:t xml:space="preserve">. </w:t>
      </w:r>
    </w:p>
    <w:p w:rsidR="00ED570A" w:rsidRPr="003B37F6" w:rsidRDefault="00ED570A">
      <w:pPr>
        <w:tabs>
          <w:tab w:val="left" w:pos="284"/>
        </w:tabs>
        <w:spacing w:line="360" w:lineRule="auto"/>
        <w:jc w:val="both"/>
        <w:rPr>
          <w:rFonts w:ascii="Palatino Linotype" w:eastAsia="Palatino Linotype" w:hAnsi="Palatino Linotype" w:cs="Palatino Linotype"/>
        </w:rPr>
      </w:pP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 xml:space="preserve">Por cuanto hace </w:t>
      </w:r>
      <w:r w:rsidRPr="003B37F6">
        <w:rPr>
          <w:rFonts w:ascii="Palatino Linotype" w:eastAsia="Palatino Linotype" w:hAnsi="Palatino Linotype" w:cs="Palatino Linotype"/>
          <w:b/>
        </w:rPr>
        <w:t>al Folio Fiscal</w:t>
      </w:r>
      <w:r w:rsidRPr="003B37F6">
        <w:rPr>
          <w:rFonts w:ascii="Palatino Linotype" w:eastAsia="Palatino Linotype" w:hAnsi="Palatino Linotype" w:cs="Palatino Linotype"/>
        </w:rPr>
        <w:t>,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rsidR="00ED570A" w:rsidRPr="003B37F6" w:rsidRDefault="00022CBA">
      <w:pPr>
        <w:spacing w:line="360" w:lineRule="auto"/>
        <w:ind w:right="-929"/>
        <w:jc w:val="center"/>
        <w:rPr>
          <w:rFonts w:ascii="Palatino Linotype" w:eastAsia="Palatino Linotype" w:hAnsi="Palatino Linotype" w:cs="Palatino Linotype"/>
        </w:rPr>
      </w:pPr>
      <w:r w:rsidRPr="003B37F6">
        <w:rPr>
          <w:rFonts w:ascii="Palatino Linotype" w:eastAsia="Palatino Linotype" w:hAnsi="Palatino Linotype" w:cs="Palatino Linotype"/>
          <w:noProof/>
        </w:rPr>
        <w:drawing>
          <wp:inline distT="0" distB="0" distL="0" distR="0">
            <wp:extent cx="3937500" cy="998240"/>
            <wp:effectExtent l="0" t="0" r="0" b="0"/>
            <wp:docPr id="16" name="image1.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10;&#10;Descripción generada automáticamente"/>
                    <pic:cNvPicPr preferRelativeResize="0"/>
                  </pic:nvPicPr>
                  <pic:blipFill>
                    <a:blip r:embed="rId10"/>
                    <a:srcRect b="32787"/>
                    <a:stretch>
                      <a:fillRect/>
                    </a:stretch>
                  </pic:blipFill>
                  <pic:spPr>
                    <a:xfrm>
                      <a:off x="0" y="0"/>
                      <a:ext cx="3937500" cy="998240"/>
                    </a:xfrm>
                    <a:prstGeom prst="rect">
                      <a:avLst/>
                    </a:prstGeom>
                    <a:ln/>
                  </pic:spPr>
                </pic:pic>
              </a:graphicData>
            </a:graphic>
          </wp:inline>
        </w:drawing>
      </w: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 xml:space="preserve">En ese contexto, el folio fiscal, no contiene datos personales del emisor y tampoco se puede obtener información confidencial con el mismo, pues solamente es un identificador del </w:t>
      </w:r>
      <w:r w:rsidRPr="003B37F6">
        <w:rPr>
          <w:rFonts w:ascii="Palatino Linotype" w:eastAsia="Palatino Linotype" w:hAnsi="Palatino Linotype" w:cs="Palatino Linotype"/>
          <w:b/>
        </w:rPr>
        <w:t>emisor</w:t>
      </w:r>
      <w:r w:rsidRPr="003B37F6">
        <w:rPr>
          <w:rFonts w:ascii="Palatino Linotype" w:eastAsia="Palatino Linotype" w:hAnsi="Palatino Linotype" w:cs="Palatino Linotype"/>
        </w:rPr>
        <w:t xml:space="preserve">, del cual su transparencia ayuda a legitimar que el documento </w:t>
      </w:r>
      <w:r w:rsidRPr="003B37F6">
        <w:rPr>
          <w:rFonts w:ascii="Palatino Linotype" w:eastAsia="Palatino Linotype" w:hAnsi="Palatino Linotype" w:cs="Palatino Linotype"/>
        </w:rPr>
        <w:lastRenderedPageBreak/>
        <w:t>cumple con todos los requisitos establecidos en la normatividad aplicable, sin necesidad de algún dato personal, por lo que, no se actualiza la clasificación, en términos del artículo 143, fracción I de la Ley de la materia.</w:t>
      </w:r>
    </w:p>
    <w:p w:rsidR="00ED570A" w:rsidRPr="003B37F6" w:rsidRDefault="00ED570A">
      <w:pPr>
        <w:tabs>
          <w:tab w:val="left" w:pos="284"/>
        </w:tabs>
        <w:spacing w:line="360" w:lineRule="auto"/>
        <w:jc w:val="both"/>
        <w:rPr>
          <w:rFonts w:ascii="Palatino Linotype" w:eastAsia="Palatino Linotype" w:hAnsi="Palatino Linotype" w:cs="Palatino Linotype"/>
        </w:rPr>
      </w:pP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 xml:space="preserve">En esa línea de estudio, las cadenas originales y sellos que se agregan a las facturas, tienen </w:t>
      </w:r>
      <w:r w:rsidRPr="003B37F6">
        <w:rPr>
          <w:rFonts w:ascii="Palatino Linotype" w:eastAsia="Palatino Linotype" w:hAnsi="Palatino Linotype" w:cs="Palatino Linotype"/>
          <w:b/>
        </w:rPr>
        <w:t>una</w:t>
      </w:r>
      <w:r w:rsidRPr="003B37F6">
        <w:rPr>
          <w:rFonts w:ascii="Palatino Linotype" w:eastAsia="Palatino Linotype" w:hAnsi="Palatino Linotype" w:cs="Palatino Linotype"/>
        </w:rPr>
        <w:t xml:space="preserve">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w:t>
      </w:r>
      <w:r w:rsidRPr="003B37F6">
        <w:rPr>
          <w:rFonts w:ascii="Palatino Linotype" w:eastAsia="Palatino Linotype" w:hAnsi="Palatino Linotype" w:cs="Palatino Linotype"/>
          <w:b/>
        </w:rPr>
        <w:t>seguridad</w:t>
      </w:r>
      <w:r w:rsidRPr="003B37F6">
        <w:rPr>
          <w:rFonts w:ascii="Palatino Linotype" w:eastAsia="Palatino Linotype" w:hAnsi="Palatino Linotype" w:cs="Palatino Linotype"/>
        </w:rPr>
        <w:t xml:space="preserve"> y se puntualiza que dicha información está encriptada.</w:t>
      </w:r>
    </w:p>
    <w:p w:rsidR="00ED570A" w:rsidRPr="003B37F6" w:rsidRDefault="00022CBA">
      <w:pPr>
        <w:ind w:left="1134" w:right="851"/>
        <w:jc w:val="both"/>
        <w:rPr>
          <w:rFonts w:ascii="Palatino Linotype" w:eastAsia="Palatino Linotype" w:hAnsi="Palatino Linotype" w:cs="Palatino Linotype"/>
          <w:i/>
          <w:sz w:val="22"/>
          <w:szCs w:val="22"/>
        </w:rPr>
      </w:pPr>
      <w:r w:rsidRPr="003B37F6">
        <w:rPr>
          <w:rFonts w:ascii="Palatino Linotype" w:eastAsia="Palatino Linotype" w:hAnsi="Palatino Linotype" w:cs="Palatino Linotype"/>
          <w:i/>
          <w:sz w:val="22"/>
          <w:szCs w:val="22"/>
        </w:rPr>
        <w:t>“Elementos utilizados en la generación de Sellos Digitales:</w:t>
      </w:r>
    </w:p>
    <w:p w:rsidR="00ED570A" w:rsidRPr="003B37F6" w:rsidRDefault="00022CBA">
      <w:pPr>
        <w:ind w:left="1134" w:right="851"/>
        <w:jc w:val="both"/>
        <w:rPr>
          <w:rFonts w:ascii="Palatino Linotype" w:eastAsia="Palatino Linotype" w:hAnsi="Palatino Linotype" w:cs="Palatino Linotype"/>
          <w:i/>
          <w:sz w:val="22"/>
          <w:szCs w:val="22"/>
        </w:rPr>
      </w:pPr>
      <w:r w:rsidRPr="003B37F6">
        <w:rPr>
          <w:rFonts w:ascii="Palatino Linotype" w:eastAsia="Palatino Linotype" w:hAnsi="Palatino Linotype" w:cs="Palatino Linotype"/>
          <w:i/>
          <w:sz w:val="22"/>
          <w:szCs w:val="22"/>
        </w:rPr>
        <w:t>•</w:t>
      </w:r>
      <w:r w:rsidRPr="003B37F6">
        <w:rPr>
          <w:rFonts w:ascii="Palatino Linotype" w:eastAsia="Palatino Linotype" w:hAnsi="Palatino Linotype" w:cs="Palatino Linotype"/>
          <w:i/>
          <w:sz w:val="22"/>
          <w:szCs w:val="22"/>
        </w:rPr>
        <w:tab/>
        <w:t>Cadena Original, el elemento a sellar, en este caso de un comprobante fiscal digital a través de Internet.</w:t>
      </w:r>
    </w:p>
    <w:p w:rsidR="00ED570A" w:rsidRPr="003B37F6" w:rsidRDefault="00022CBA">
      <w:pPr>
        <w:ind w:left="1134" w:right="851"/>
        <w:jc w:val="both"/>
        <w:rPr>
          <w:rFonts w:ascii="Palatino Linotype" w:eastAsia="Palatino Linotype" w:hAnsi="Palatino Linotype" w:cs="Palatino Linotype"/>
          <w:i/>
          <w:sz w:val="22"/>
          <w:szCs w:val="22"/>
        </w:rPr>
      </w:pPr>
      <w:r w:rsidRPr="003B37F6">
        <w:rPr>
          <w:rFonts w:ascii="Palatino Linotype" w:eastAsia="Palatino Linotype" w:hAnsi="Palatino Linotype" w:cs="Palatino Linotype"/>
          <w:i/>
          <w:sz w:val="22"/>
          <w:szCs w:val="22"/>
        </w:rPr>
        <w:t>•</w:t>
      </w:r>
      <w:r w:rsidRPr="003B37F6">
        <w:rPr>
          <w:rFonts w:ascii="Palatino Linotype" w:eastAsia="Palatino Linotype" w:hAnsi="Palatino Linotype" w:cs="Palatino Linotype"/>
          <w:i/>
          <w:sz w:val="22"/>
          <w:szCs w:val="22"/>
        </w:rPr>
        <w:tab/>
        <w:t>Certificado de Sello Digital y su correspondiente clave privada.</w:t>
      </w:r>
    </w:p>
    <w:p w:rsidR="00ED570A" w:rsidRPr="003B37F6" w:rsidRDefault="00022CBA">
      <w:pPr>
        <w:ind w:left="1134" w:right="851"/>
        <w:jc w:val="both"/>
        <w:rPr>
          <w:rFonts w:ascii="Palatino Linotype" w:eastAsia="Palatino Linotype" w:hAnsi="Palatino Linotype" w:cs="Palatino Linotype"/>
          <w:i/>
          <w:sz w:val="22"/>
          <w:szCs w:val="22"/>
        </w:rPr>
      </w:pPr>
      <w:r w:rsidRPr="003B37F6">
        <w:rPr>
          <w:rFonts w:ascii="Palatino Linotype" w:eastAsia="Palatino Linotype" w:hAnsi="Palatino Linotype" w:cs="Palatino Linotype"/>
          <w:i/>
          <w:sz w:val="22"/>
          <w:szCs w:val="22"/>
        </w:rPr>
        <w:t>•</w:t>
      </w:r>
      <w:r w:rsidRPr="003B37F6">
        <w:rPr>
          <w:rFonts w:ascii="Palatino Linotype" w:eastAsia="Palatino Linotype" w:hAnsi="Palatino Linotype" w:cs="Palatino Linotype"/>
          <w:i/>
          <w:sz w:val="22"/>
          <w:szCs w:val="22"/>
        </w:rPr>
        <w:tab/>
        <w:t>Algoritmos de criptografía de clave pública para firma electrónica avanzada.</w:t>
      </w:r>
    </w:p>
    <w:p w:rsidR="00ED570A" w:rsidRPr="003B37F6" w:rsidRDefault="00022CBA">
      <w:pPr>
        <w:ind w:left="1134" w:right="851"/>
        <w:jc w:val="both"/>
        <w:rPr>
          <w:rFonts w:ascii="Palatino Linotype" w:eastAsia="Palatino Linotype" w:hAnsi="Palatino Linotype" w:cs="Palatino Linotype"/>
          <w:i/>
          <w:sz w:val="22"/>
          <w:szCs w:val="22"/>
        </w:rPr>
      </w:pPr>
      <w:r w:rsidRPr="003B37F6">
        <w:rPr>
          <w:rFonts w:ascii="Palatino Linotype" w:eastAsia="Palatino Linotype" w:hAnsi="Palatino Linotype" w:cs="Palatino Linotype"/>
          <w:i/>
          <w:sz w:val="22"/>
          <w:szCs w:val="22"/>
        </w:rPr>
        <w:t>•</w:t>
      </w:r>
      <w:r w:rsidRPr="003B37F6">
        <w:rPr>
          <w:rFonts w:ascii="Palatino Linotype" w:eastAsia="Palatino Linotype" w:hAnsi="Palatino Linotype" w:cs="Palatino Linotype"/>
          <w:i/>
          <w:sz w:val="22"/>
          <w:szCs w:val="22"/>
        </w:rPr>
        <w:tab/>
        <w:t>Especificaciones de conversión de la firma electrónica avanzada a Base 64.</w:t>
      </w:r>
    </w:p>
    <w:p w:rsidR="00ED570A" w:rsidRPr="003B37F6" w:rsidRDefault="00022CBA">
      <w:pPr>
        <w:ind w:left="1134" w:right="851"/>
        <w:jc w:val="both"/>
        <w:rPr>
          <w:rFonts w:ascii="Palatino Linotype" w:eastAsia="Palatino Linotype" w:hAnsi="Palatino Linotype" w:cs="Palatino Linotype"/>
          <w:i/>
          <w:sz w:val="22"/>
          <w:szCs w:val="22"/>
        </w:rPr>
      </w:pPr>
      <w:r w:rsidRPr="003B37F6">
        <w:rPr>
          <w:rFonts w:ascii="Palatino Linotype" w:eastAsia="Palatino Linotype" w:hAnsi="Palatino Linotype" w:cs="Palatino Linotype"/>
          <w:i/>
          <w:sz w:val="22"/>
          <w:szCs w:val="22"/>
        </w:rPr>
        <w:t>Para la generación de sellos digitales se utiliza criptografía de clave pública aplicada a una cadena original.</w:t>
      </w:r>
    </w:p>
    <w:p w:rsidR="00ED570A" w:rsidRPr="003B37F6" w:rsidRDefault="00022CBA">
      <w:pPr>
        <w:ind w:left="1134" w:right="851"/>
        <w:jc w:val="both"/>
        <w:rPr>
          <w:rFonts w:ascii="Palatino Linotype" w:eastAsia="Palatino Linotype" w:hAnsi="Palatino Linotype" w:cs="Palatino Linotype"/>
          <w:i/>
          <w:sz w:val="22"/>
          <w:szCs w:val="22"/>
        </w:rPr>
      </w:pPr>
      <w:r w:rsidRPr="003B37F6">
        <w:rPr>
          <w:rFonts w:ascii="Palatino Linotype" w:eastAsia="Palatino Linotype" w:hAnsi="Palatino Linotype" w:cs="Palatino Linotype"/>
          <w:i/>
          <w:sz w:val="22"/>
          <w:szCs w:val="22"/>
        </w:rPr>
        <w:t>Criptografía de la Clave Pública</w:t>
      </w:r>
    </w:p>
    <w:p w:rsidR="00ED570A" w:rsidRPr="003B37F6" w:rsidRDefault="00022CBA">
      <w:pPr>
        <w:ind w:left="1134" w:right="851"/>
        <w:jc w:val="both"/>
        <w:rPr>
          <w:rFonts w:ascii="Palatino Linotype" w:eastAsia="Palatino Linotype" w:hAnsi="Palatino Linotype" w:cs="Palatino Linotype"/>
          <w:i/>
          <w:sz w:val="22"/>
          <w:szCs w:val="22"/>
        </w:rPr>
      </w:pPr>
      <w:r w:rsidRPr="003B37F6">
        <w:rPr>
          <w:rFonts w:ascii="Palatino Linotype" w:eastAsia="Palatino Linotype" w:hAnsi="Palatino Linotype" w:cs="Palatino Linotype"/>
          <w:i/>
          <w:sz w:val="22"/>
          <w:szCs w:val="22"/>
        </w:rPr>
        <w:t xml:space="preserve">La criptografía de Clave Pública se basa en la generación de una pareja de números muy grandes relacionados íntimamente entre sí, de tal manera que una operación de </w:t>
      </w:r>
      <w:proofErr w:type="spellStart"/>
      <w:r w:rsidRPr="003B37F6">
        <w:rPr>
          <w:rFonts w:ascii="Palatino Linotype" w:eastAsia="Palatino Linotype" w:hAnsi="Palatino Linotype" w:cs="Palatino Linotype"/>
          <w:i/>
          <w:sz w:val="22"/>
          <w:szCs w:val="22"/>
        </w:rPr>
        <w:t>encripción</w:t>
      </w:r>
      <w:proofErr w:type="spellEnd"/>
      <w:r w:rsidRPr="003B37F6">
        <w:rPr>
          <w:rFonts w:ascii="Palatino Linotype" w:eastAsia="Palatino Linotype" w:hAnsi="Palatino Linotype" w:cs="Palatino Linotype"/>
          <w:i/>
          <w:sz w:val="22"/>
          <w:szCs w:val="22"/>
        </w:rPr>
        <w:t xml:space="preserve"> sobre un mensaje tomando como clave de </w:t>
      </w:r>
      <w:proofErr w:type="spellStart"/>
      <w:r w:rsidRPr="003B37F6">
        <w:rPr>
          <w:rFonts w:ascii="Palatino Linotype" w:eastAsia="Palatino Linotype" w:hAnsi="Palatino Linotype" w:cs="Palatino Linotype"/>
          <w:i/>
          <w:sz w:val="22"/>
          <w:szCs w:val="22"/>
        </w:rPr>
        <w:t>encripción</w:t>
      </w:r>
      <w:proofErr w:type="spellEnd"/>
      <w:r w:rsidRPr="003B37F6">
        <w:rPr>
          <w:rFonts w:ascii="Palatino Linotype" w:eastAsia="Palatino Linotype" w:hAnsi="Palatino Linotype" w:cs="Palatino Linotype"/>
          <w:i/>
          <w:sz w:val="22"/>
          <w:szCs w:val="22"/>
        </w:rPr>
        <w:t xml:space="preserve"> a uno de los dos números, produce un mensaje alterado en su significado que solo puede ser devuelto a su estado original mediante la operación de </w:t>
      </w:r>
      <w:proofErr w:type="spellStart"/>
      <w:r w:rsidRPr="003B37F6">
        <w:rPr>
          <w:rFonts w:ascii="Palatino Linotype" w:eastAsia="Palatino Linotype" w:hAnsi="Palatino Linotype" w:cs="Palatino Linotype"/>
          <w:i/>
          <w:sz w:val="22"/>
          <w:szCs w:val="22"/>
        </w:rPr>
        <w:t>desencripción</w:t>
      </w:r>
      <w:proofErr w:type="spellEnd"/>
      <w:r w:rsidRPr="003B37F6">
        <w:rPr>
          <w:rFonts w:ascii="Palatino Linotype" w:eastAsia="Palatino Linotype" w:hAnsi="Palatino Linotype" w:cs="Palatino Linotype"/>
          <w:i/>
          <w:sz w:val="22"/>
          <w:szCs w:val="22"/>
        </w:rPr>
        <w:t xml:space="preserve"> correspondiente tomando como clave de </w:t>
      </w:r>
      <w:proofErr w:type="spellStart"/>
      <w:r w:rsidRPr="003B37F6">
        <w:rPr>
          <w:rFonts w:ascii="Palatino Linotype" w:eastAsia="Palatino Linotype" w:hAnsi="Palatino Linotype" w:cs="Palatino Linotype"/>
          <w:i/>
          <w:sz w:val="22"/>
          <w:szCs w:val="22"/>
        </w:rPr>
        <w:t>desencripción</w:t>
      </w:r>
      <w:proofErr w:type="spellEnd"/>
      <w:r w:rsidRPr="003B37F6">
        <w:rPr>
          <w:rFonts w:ascii="Palatino Linotype" w:eastAsia="Palatino Linotype" w:hAnsi="Palatino Linotype" w:cs="Palatino Linotype"/>
          <w:i/>
          <w:sz w:val="22"/>
          <w:szCs w:val="22"/>
        </w:rPr>
        <w:t xml:space="preserve"> al otro número de la pareja.”</w:t>
      </w:r>
    </w:p>
    <w:p w:rsidR="00ED570A" w:rsidRPr="003B37F6" w:rsidRDefault="00ED570A">
      <w:pPr>
        <w:spacing w:line="360" w:lineRule="auto"/>
        <w:ind w:right="-929"/>
        <w:jc w:val="both"/>
        <w:rPr>
          <w:rFonts w:ascii="Palatino Linotype" w:eastAsia="Palatino Linotype" w:hAnsi="Palatino Linotype" w:cs="Palatino Linotype"/>
          <w:i/>
        </w:rPr>
      </w:pP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lastRenderedPageBreak/>
        <w:t xml:space="preserve">Es decir, por sí solos las cadenas originales y los sellos originales no contienen datos personales confidenciales, por lo que se considera que </w:t>
      </w:r>
      <w:r w:rsidRPr="003B37F6">
        <w:rPr>
          <w:rFonts w:ascii="Palatino Linotype" w:eastAsia="Palatino Linotype" w:hAnsi="Palatino Linotype" w:cs="Palatino Linotype"/>
          <w:b/>
        </w:rPr>
        <w:t>no actualizan el supuesto de confidencialidad previsto en el artículo 143, fracción I</w:t>
      </w:r>
      <w:r w:rsidRPr="003B37F6">
        <w:rPr>
          <w:rFonts w:ascii="Palatino Linotype" w:eastAsia="Palatino Linotype" w:hAnsi="Palatino Linotype" w:cs="Palatino Linotype"/>
        </w:rPr>
        <w:t>, de la Ley de Transparencia y Acceso a la Información Pública del Estado de México y Municipios y, por el contrario, son información que permite corroborar la legitimidad de la factura, de ser el caso, por lo que guardan el carácter de público.</w:t>
      </w:r>
    </w:p>
    <w:p w:rsidR="00ED570A" w:rsidRPr="003B37F6" w:rsidRDefault="00ED570A">
      <w:pPr>
        <w:spacing w:line="360" w:lineRule="auto"/>
        <w:ind w:right="-929"/>
        <w:jc w:val="both"/>
        <w:rPr>
          <w:rFonts w:ascii="Palatino Linotype" w:eastAsia="Palatino Linotype" w:hAnsi="Palatino Linotype" w:cs="Palatino Linotype"/>
          <w:b/>
        </w:rPr>
      </w:pP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 xml:space="preserve">Por otra parte, por lo que hace al </w:t>
      </w:r>
      <w:r w:rsidRPr="003B37F6">
        <w:rPr>
          <w:rFonts w:ascii="Palatino Linotype" w:eastAsia="Palatino Linotype" w:hAnsi="Palatino Linotype" w:cs="Palatino Linotype"/>
          <w:b/>
        </w:rPr>
        <w:t>número de serie de los certificados de Sello Digitales del emisor y del Servicio de Administración Tributaria</w:t>
      </w:r>
      <w:r w:rsidRPr="003B37F6">
        <w:rPr>
          <w:rFonts w:ascii="Palatino Linotype" w:eastAsia="Palatino Linotype" w:hAnsi="Palatino Linotype" w:cs="Palatino Linotype"/>
        </w:rPr>
        <w:t xml:space="preserve">, el ANEXO 20 de la Segunda Resolución de modificaciones a la Resolución Miscelánea Fiscal para dos mil  diecisiete, precisa que dichos datos se conforman por veinte caracteres numéricos; dicha situación se robustece con el ejemplo localizado en el documento denominado “Cómo ubicar el Folio Fiscal en una factura”, emitido por el Instituto Nacional electoral (consultado el veinticinco de junio de dos mil diecinueve, a las dieciséis horas con diez minutos, en la página electrónica </w:t>
      </w:r>
      <w:hyperlink r:id="rId11">
        <w:r w:rsidRPr="003B37F6">
          <w:rPr>
            <w:rFonts w:ascii="Palatino Linotype" w:eastAsia="Palatino Linotype" w:hAnsi="Palatino Linotype" w:cs="Palatino Linotype"/>
          </w:rPr>
          <w:t>https://portalanterior.ine.mx/archivos2/tutoriales/sistemas/ApoyoInstitucional/SIF/docs/candidatos/folioFiscalFactura.pdf</w:t>
        </w:r>
      </w:hyperlink>
      <w:r w:rsidRPr="003B37F6">
        <w:rPr>
          <w:rFonts w:ascii="Palatino Linotype" w:eastAsia="Palatino Linotype" w:hAnsi="Palatino Linotype" w:cs="Palatino Linotype"/>
        </w:rPr>
        <w:t>), en la cual se advierte que únicamente se encuentra conformado por números, se muestra a continuación:</w:t>
      </w:r>
    </w:p>
    <w:p w:rsidR="00ED570A" w:rsidRPr="003B37F6" w:rsidRDefault="005A4BDE">
      <w:pPr>
        <w:spacing w:line="360" w:lineRule="auto"/>
        <w:ind w:right="-929"/>
        <w:jc w:val="center"/>
        <w:rPr>
          <w:rFonts w:ascii="Palatino Linotype" w:eastAsia="Palatino Linotype" w:hAnsi="Palatino Linotype" w:cs="Palatino Linotype"/>
        </w:rPr>
      </w:pPr>
      <w:r w:rsidRPr="003B37F6">
        <w:rPr>
          <w:noProof/>
        </w:rPr>
        <mc:AlternateContent>
          <mc:Choice Requires="wps">
            <w:drawing>
              <wp:anchor distT="0" distB="0" distL="114300" distR="114300" simplePos="0" relativeHeight="251658240" behindDoc="0" locked="0" layoutInCell="1" hidden="0" allowOverlap="1">
                <wp:simplePos x="0" y="0"/>
                <wp:positionH relativeFrom="column">
                  <wp:posOffset>927200</wp:posOffset>
                </wp:positionH>
                <wp:positionV relativeFrom="paragraph">
                  <wp:posOffset>97500</wp:posOffset>
                </wp:positionV>
                <wp:extent cx="3085674" cy="342464"/>
                <wp:effectExtent l="0" t="0" r="0" b="0"/>
                <wp:wrapNone/>
                <wp:docPr id="13" name="Rectángulo 13"/>
                <wp:cNvGraphicFramePr/>
                <a:graphic xmlns:a="http://schemas.openxmlformats.org/drawingml/2006/main">
                  <a:graphicData uri="http://schemas.microsoft.com/office/word/2010/wordprocessingShape">
                    <wps:wsp>
                      <wps:cNvSpPr/>
                      <wps:spPr>
                        <a:xfrm>
                          <a:off x="0" y="0"/>
                          <a:ext cx="3085674" cy="342464"/>
                        </a:xfrm>
                        <a:prstGeom prst="rect">
                          <a:avLst/>
                        </a:prstGeom>
                        <a:noFill/>
                        <a:ln w="28575" cap="flat" cmpd="sng">
                          <a:solidFill>
                            <a:srgbClr val="000000"/>
                          </a:solidFill>
                          <a:prstDash val="solid"/>
                          <a:miter lim="800000"/>
                          <a:headEnd type="none" w="sm" len="sm"/>
                          <a:tailEnd type="none" w="sm" len="sm"/>
                        </a:ln>
                      </wps:spPr>
                      <wps:txbx>
                        <w:txbxContent>
                          <w:p w:rsidR="00022CBA" w:rsidRDefault="00022CBA">
                            <w:pPr>
                              <w:textDirection w:val="btLr"/>
                            </w:pPr>
                          </w:p>
                        </w:txbxContent>
                      </wps:txbx>
                      <wps:bodyPr spcFirstLastPara="1" wrap="square" lIns="91425" tIns="91425" rIns="91425" bIns="91425" anchor="ctr" anchorCtr="0">
                        <a:noAutofit/>
                      </wps:bodyPr>
                    </wps:wsp>
                  </a:graphicData>
                </a:graphic>
              </wp:anchor>
            </w:drawing>
          </mc:Choice>
          <mc:Fallback>
            <w:pict>
              <v:rect id="Rectángulo 13" o:spid="_x0000_s1026" style="position:absolute;left:0;text-align:left;margin-left:73pt;margin-top:7.7pt;width:242.95pt;height:26.9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" filled="f" strokeweight="2.25pt">
                <v:stroke startarrowwidth="narrow" startarrowlength="short" endarrowwidth="narrow" endarrowlength="short"/>
                <v:textbox inset="2.53958mm,2.53958mm,2.53958mm,2.53958mm">
                  <w:txbxContent>
                    <w:p w:rsidR="00022CBA" w:rsidRDefault="00022CBA">
                      <w:pPr>
                        <w:textDirection w:val="btLr"/>
                      </w:pPr>
                    </w:p>
                  </w:txbxContent>
                </v:textbox>
              </v:rect>
            </w:pict>
          </mc:Fallback>
        </mc:AlternateContent>
      </w:r>
      <w:r w:rsidR="00022CBA" w:rsidRPr="003B37F6">
        <w:rPr>
          <w:rFonts w:ascii="Palatino Linotype" w:eastAsia="Palatino Linotype" w:hAnsi="Palatino Linotype" w:cs="Palatino Linotype"/>
          <w:noProof/>
        </w:rPr>
        <w:drawing>
          <wp:inline distT="0" distB="0" distL="0" distR="0">
            <wp:extent cx="4798864" cy="896339"/>
            <wp:effectExtent l="0" t="0" r="0" b="0"/>
            <wp:docPr id="15" name="image2.pn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nterfaz de usuario gráfica, Aplicación&#10;&#10;Descripción generada automáticamente"/>
                    <pic:cNvPicPr preferRelativeResize="0"/>
                  </pic:nvPicPr>
                  <pic:blipFill>
                    <a:blip r:embed="rId12"/>
                    <a:srcRect/>
                    <a:stretch>
                      <a:fillRect/>
                    </a:stretch>
                  </pic:blipFill>
                  <pic:spPr>
                    <a:xfrm>
                      <a:off x="0" y="0"/>
                      <a:ext cx="4798864" cy="896339"/>
                    </a:xfrm>
                    <a:prstGeom prst="rect">
                      <a:avLst/>
                    </a:prstGeom>
                    <a:ln/>
                  </pic:spPr>
                </pic:pic>
              </a:graphicData>
            </a:graphic>
          </wp:inline>
        </w:drawing>
      </w: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lastRenderedPageBreak/>
        <w:t>Cómo se logra observar, los números de serie del certificado de sello digital no contiene datos personales y con dichos dígitos tampoco se puede obtener información de carácter confidencial, por lo que, tampoco actualizan la causal de clasificación, establecida en el artículo 143, fracción I, de la Ley de Transparencia y Acceso a la Información Pública del Estado de México y Municipios. Máxime que permite corroborar la legitimidad a la factura, pues amparan la utilización de los certificados de sellos digitales válidos.</w:t>
      </w:r>
    </w:p>
    <w:p w:rsidR="009A7F0A" w:rsidRPr="003B37F6" w:rsidRDefault="009A7F0A" w:rsidP="009A7F0A">
      <w:pPr>
        <w:pBdr>
          <w:top w:val="nil"/>
          <w:left w:val="nil"/>
          <w:bottom w:val="nil"/>
          <w:right w:val="nil"/>
          <w:between w:val="nil"/>
        </w:pBdr>
        <w:spacing w:line="360" w:lineRule="auto"/>
        <w:jc w:val="both"/>
        <w:rPr>
          <w:rFonts w:ascii="Palatino Linotype" w:eastAsia="Palatino Linotype" w:hAnsi="Palatino Linotype" w:cs="Palatino Linotype"/>
        </w:rPr>
      </w:pPr>
    </w:p>
    <w:p w:rsidR="009A7F0A" w:rsidRPr="003B37F6" w:rsidRDefault="009A7F0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De lo anterior se establece que el SUJETO OBLIGADO, en su informe justificado remitió recibos de nómina del personal solicitado, sin embargo, la temporalidad que manejo fue de la primera quincena del mes de diciembre de dos mil veinticuatro, cuando lo solicitado fue del 01 al 28 de agosto de 2024, es decir, no corresponden a la temporalidad solicitada, no obstante que no adjunta el Acuerdo de Clasificación de la Información respectivo.</w:t>
      </w:r>
    </w:p>
    <w:p w:rsidR="00252C59" w:rsidRPr="003B37F6" w:rsidRDefault="00E01A73" w:rsidP="00252C59">
      <w:pPr>
        <w:numPr>
          <w:ilvl w:val="0"/>
          <w:numId w:val="1"/>
        </w:numPr>
        <w:pBdr>
          <w:top w:val="nil"/>
          <w:left w:val="nil"/>
          <w:bottom w:val="nil"/>
          <w:right w:val="nil"/>
          <w:between w:val="nil"/>
        </w:pBdr>
        <w:spacing w:before="240" w:after="240" w:line="360" w:lineRule="auto"/>
        <w:ind w:left="0" w:firstLine="67"/>
        <w:jc w:val="both"/>
        <w:rPr>
          <w:rFonts w:ascii="Palatino Linotype" w:eastAsia="Palatino Linotype" w:hAnsi="Palatino Linotype" w:cs="Palatino Linotype"/>
        </w:rPr>
      </w:pPr>
      <w:r w:rsidRPr="003B37F6">
        <w:rPr>
          <w:rFonts w:ascii="Palatino Linotype" w:eastAsia="Palatino Linotype" w:hAnsi="Palatino Linotype" w:cs="Palatino Linotype"/>
        </w:rPr>
        <w:t xml:space="preserve">Ahora bien, es importante resaltar que </w:t>
      </w:r>
      <w:r w:rsidR="00252C59" w:rsidRPr="003B37F6">
        <w:rPr>
          <w:rFonts w:ascii="Palatino Linotype" w:eastAsia="Palatino Linotype" w:hAnsi="Palatino Linotype" w:cs="Palatino Linotype"/>
        </w:rPr>
        <w:t xml:space="preserve">como parte de las obligaciones de transparencia de oficio, que tiene el </w:t>
      </w:r>
      <w:r w:rsidR="00252C59" w:rsidRPr="003B37F6">
        <w:rPr>
          <w:rFonts w:ascii="Palatino Linotype" w:eastAsia="Palatino Linotype" w:hAnsi="Palatino Linotype" w:cs="Palatino Linotype"/>
          <w:b/>
        </w:rPr>
        <w:t xml:space="preserve">Sujeto Obligado </w:t>
      </w:r>
      <w:r w:rsidR="00252C59" w:rsidRPr="003B37F6">
        <w:rPr>
          <w:rFonts w:ascii="Palatino Linotype" w:eastAsia="Palatino Linotype" w:hAnsi="Palatino Linotype" w:cs="Palatino Linotype"/>
        </w:rPr>
        <w:t>debe poner a disposición del público, de manera permanente y actualizada, de forma sencilla, precisa y entendible, en los respectivos medios electrónicos, información relativa a la remuneración bruta y neta de todos los servidores públicos, tal y como se desprende del artículo 92, fracción VIII de la Ley de Transparencia y Acceso a la Información Pública del Estado de México y Municipios, a saber:</w:t>
      </w:r>
    </w:p>
    <w:p w:rsidR="00252C59" w:rsidRPr="003B37F6" w:rsidRDefault="00252C59" w:rsidP="00644801">
      <w:pPr>
        <w:pStyle w:val="Prrafodelista"/>
        <w:spacing w:before="120" w:after="120"/>
        <w:ind w:left="851" w:right="902"/>
        <w:jc w:val="both"/>
        <w:rPr>
          <w:rFonts w:ascii="Palatino Linotype" w:eastAsia="Palatino Linotype" w:hAnsi="Palatino Linotype" w:cs="Palatino Linotype"/>
          <w:i/>
          <w:sz w:val="22"/>
          <w:szCs w:val="22"/>
        </w:rPr>
      </w:pPr>
      <w:r w:rsidRPr="003B37F6">
        <w:rPr>
          <w:rFonts w:ascii="Palatino Linotype" w:eastAsia="Palatino Linotype" w:hAnsi="Palatino Linotype" w:cs="Palatino Linotype"/>
          <w:i/>
          <w:sz w:val="22"/>
          <w:szCs w:val="22"/>
        </w:rPr>
        <w:lastRenderedPageBreak/>
        <w:t>“</w:t>
      </w:r>
      <w:r w:rsidRPr="003B37F6">
        <w:rPr>
          <w:rFonts w:ascii="Palatino Linotype" w:eastAsia="Palatino Linotype" w:hAnsi="Palatino Linotype" w:cs="Palatino Linotype"/>
          <w:b/>
          <w:i/>
          <w:sz w:val="22"/>
          <w:szCs w:val="22"/>
        </w:rPr>
        <w:t>Artículo 92.</w:t>
      </w:r>
      <w:r w:rsidRPr="003B37F6">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252C59" w:rsidRPr="003B37F6" w:rsidRDefault="00252C59" w:rsidP="00644801">
      <w:pPr>
        <w:pStyle w:val="Prrafodelista"/>
        <w:spacing w:before="120" w:after="120"/>
        <w:ind w:left="851" w:right="902"/>
        <w:jc w:val="both"/>
        <w:rPr>
          <w:rFonts w:ascii="Palatino Linotype" w:eastAsia="Palatino Linotype" w:hAnsi="Palatino Linotype" w:cs="Palatino Linotype"/>
          <w:i/>
          <w:sz w:val="22"/>
          <w:szCs w:val="22"/>
        </w:rPr>
      </w:pPr>
      <w:r w:rsidRPr="003B37F6">
        <w:rPr>
          <w:rFonts w:ascii="Palatino Linotype" w:eastAsia="Palatino Linotype" w:hAnsi="Palatino Linotype" w:cs="Palatino Linotype"/>
          <w:i/>
          <w:sz w:val="22"/>
          <w:szCs w:val="22"/>
        </w:rPr>
        <w:t>…</w:t>
      </w:r>
    </w:p>
    <w:p w:rsidR="00252C59" w:rsidRPr="003B37F6" w:rsidRDefault="00252C59" w:rsidP="00644801">
      <w:pPr>
        <w:pStyle w:val="Prrafodelista"/>
        <w:spacing w:before="120" w:after="120"/>
        <w:ind w:left="851" w:right="902"/>
        <w:jc w:val="both"/>
        <w:rPr>
          <w:rFonts w:ascii="Palatino Linotype" w:eastAsia="Palatino Linotype" w:hAnsi="Palatino Linotype" w:cs="Palatino Linotype"/>
          <w:i/>
          <w:sz w:val="22"/>
          <w:szCs w:val="22"/>
        </w:rPr>
      </w:pPr>
      <w:r w:rsidRPr="003B37F6">
        <w:rPr>
          <w:rFonts w:ascii="Palatino Linotype" w:eastAsia="Palatino Linotype" w:hAnsi="Palatino Linotype" w:cs="Palatino Linotype"/>
          <w:b/>
          <w:i/>
          <w:sz w:val="22"/>
          <w:szCs w:val="22"/>
        </w:rPr>
        <w:t>VIII.</w:t>
      </w:r>
      <w:r w:rsidRPr="003B37F6">
        <w:rPr>
          <w:rFonts w:ascii="Palatino Linotype" w:eastAsia="Palatino Linotype" w:hAnsi="Palatino Linotype" w:cs="Palatino Linotype"/>
          <w:i/>
          <w:sz w:val="22"/>
          <w:szCs w:val="22"/>
        </w:rPr>
        <w:t xml:space="preserve"> </w:t>
      </w:r>
      <w:r w:rsidRPr="003B37F6">
        <w:rPr>
          <w:rFonts w:ascii="Palatino Linotype" w:eastAsia="Palatino Linotype" w:hAnsi="Palatino Linotype" w:cs="Palatino Linotype"/>
          <w:b/>
          <w:i/>
          <w:sz w:val="22"/>
          <w:szCs w:val="22"/>
        </w:rPr>
        <w:t>La remuneración bruta y neta de todos los servidores públicos</w:t>
      </w:r>
      <w:r w:rsidRPr="003B37F6">
        <w:rPr>
          <w:rFonts w:ascii="Palatino Linotype" w:eastAsia="Palatino Linotype" w:hAnsi="Palatino Linotype" w:cs="Palatino Linotype"/>
          <w:i/>
          <w:sz w:val="22"/>
          <w:szCs w:val="22"/>
        </w:rPr>
        <w:t xml:space="preserve"> de base o de confianza, de todas las percepciones, incluyendo sueldos, prestaciones, gratificaciones, primas, comisiones, </w:t>
      </w:r>
      <w:r w:rsidRPr="003B37F6">
        <w:rPr>
          <w:rFonts w:ascii="Palatino Linotype" w:eastAsia="Palatino Linotype" w:hAnsi="Palatino Linotype" w:cs="Palatino Linotype"/>
          <w:b/>
          <w:i/>
          <w:sz w:val="22"/>
          <w:szCs w:val="22"/>
          <w:u w:val="single"/>
        </w:rPr>
        <w:t>dietas,</w:t>
      </w:r>
      <w:r w:rsidRPr="003B37F6">
        <w:rPr>
          <w:rFonts w:ascii="Palatino Linotype" w:eastAsia="Palatino Linotype" w:hAnsi="Palatino Linotype" w:cs="Palatino Linotype"/>
          <w:i/>
          <w:sz w:val="22"/>
          <w:szCs w:val="22"/>
        </w:rPr>
        <w:t xml:space="preserve"> bonos, estímulos, ingresos y sistemas de compensación, señalando la periodicidad de dicha remuneración;”</w:t>
      </w:r>
    </w:p>
    <w:p w:rsidR="00644801" w:rsidRPr="003B37F6" w:rsidRDefault="00644801" w:rsidP="00E01A73">
      <w:pPr>
        <w:pStyle w:val="Prrafodelista"/>
        <w:spacing w:before="240" w:after="240" w:line="360" w:lineRule="auto"/>
        <w:ind w:left="0"/>
        <w:jc w:val="both"/>
        <w:rPr>
          <w:rFonts w:ascii="Palatino Linotype" w:eastAsia="Palatino Linotype" w:hAnsi="Palatino Linotype" w:cs="Palatino Linotype"/>
        </w:rPr>
      </w:pPr>
    </w:p>
    <w:p w:rsidR="00252C59" w:rsidRPr="003B37F6" w:rsidRDefault="00644801" w:rsidP="00E35395">
      <w:pPr>
        <w:pStyle w:val="Prrafodelista"/>
        <w:numPr>
          <w:ilvl w:val="0"/>
          <w:numId w:val="1"/>
        </w:numPr>
        <w:spacing w:before="240" w:after="240"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Es decir, en los mimos recibos de nómina se</w:t>
      </w:r>
      <w:r w:rsidR="00E35395" w:rsidRPr="003B37F6">
        <w:rPr>
          <w:rFonts w:ascii="Palatino Linotype" w:eastAsia="Palatino Linotype" w:hAnsi="Palatino Linotype" w:cs="Palatino Linotype"/>
        </w:rPr>
        <w:t xml:space="preserve"> observará lo concerniente a</w:t>
      </w:r>
      <w:r w:rsidRPr="003B37F6">
        <w:rPr>
          <w:rFonts w:ascii="Palatino Linotype" w:eastAsia="Palatino Linotype" w:hAnsi="Palatino Linotype" w:cs="Palatino Linotype"/>
        </w:rPr>
        <w:t xml:space="preserve"> prestaciones como lo referente a la “</w:t>
      </w:r>
      <w:r w:rsidRPr="003B37F6">
        <w:rPr>
          <w:rFonts w:ascii="Palatino Linotype" w:eastAsia="Palatino Linotype" w:hAnsi="Palatino Linotype" w:cs="Palatino Linotype"/>
          <w:i/>
        </w:rPr>
        <w:t>DIETA”.</w:t>
      </w:r>
      <w:r w:rsidRPr="003B37F6">
        <w:rPr>
          <w:rFonts w:ascii="Palatino Linotype" w:eastAsia="Palatino Linotype" w:hAnsi="Palatino Linotype" w:cs="Palatino Linotype"/>
        </w:rPr>
        <w:t xml:space="preserve"> </w:t>
      </w:r>
    </w:p>
    <w:p w:rsidR="00E01A73" w:rsidRPr="003B37F6" w:rsidRDefault="00E35395" w:rsidP="00E01A7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i/>
        </w:rPr>
      </w:pPr>
      <w:r w:rsidRPr="003B37F6">
        <w:rPr>
          <w:rFonts w:ascii="Palatino Linotype" w:eastAsia="Palatino Linotype" w:hAnsi="Palatino Linotype" w:cs="Palatino Linotype"/>
        </w:rPr>
        <w:t>Ahora bien, respecto a los recibos de nómina solicitados</w:t>
      </w:r>
      <w:r w:rsidR="00E01A73" w:rsidRPr="003B37F6">
        <w:rPr>
          <w:rFonts w:ascii="Palatino Linotype" w:eastAsia="Palatino Linotype" w:hAnsi="Palatino Linotype" w:cs="Palatino Linotype"/>
        </w:rPr>
        <w:t xml:space="preserve">, el </w:t>
      </w:r>
      <w:r w:rsidR="00E01A73" w:rsidRPr="003B37F6">
        <w:rPr>
          <w:rFonts w:ascii="Palatino Linotype" w:eastAsia="Palatino Linotype" w:hAnsi="Palatino Linotype" w:cs="Palatino Linotype"/>
          <w:b/>
        </w:rPr>
        <w:t>SUJETO OBLIGADO</w:t>
      </w:r>
      <w:r w:rsidR="00E01A73" w:rsidRPr="003B37F6">
        <w:rPr>
          <w:rFonts w:ascii="Palatino Linotype" w:eastAsia="Palatino Linotype" w:hAnsi="Palatino Linotype" w:cs="Palatino Linotype"/>
        </w:rPr>
        <w:t xml:space="preserve"> deberá de emitir el Acuerdo del Comité de </w:t>
      </w:r>
      <w:r w:rsidR="00E01A73" w:rsidRPr="003B37F6">
        <w:rPr>
          <w:rFonts w:ascii="Palatino Linotype" w:eastAsia="Palatino Linotype" w:hAnsi="Palatino Linotype" w:cs="Palatino Linotype"/>
          <w:b/>
        </w:rPr>
        <w:t>Transparencia</w:t>
      </w:r>
      <w:r w:rsidR="00E01A73" w:rsidRPr="003B37F6">
        <w:rPr>
          <w:rFonts w:ascii="Palatino Linotype" w:eastAsia="Palatino Linotype" w:hAnsi="Palatino Linotype" w:cs="Palatino Linotype"/>
        </w:rPr>
        <w:t>, mediante el cual de manera fundada y motivada establezca las razones por las cuales se clasifican.</w:t>
      </w:r>
    </w:p>
    <w:p w:rsidR="00ED570A" w:rsidRPr="003B37F6" w:rsidRDefault="00ED570A" w:rsidP="00252C59">
      <w:pPr>
        <w:pBdr>
          <w:top w:val="nil"/>
          <w:left w:val="nil"/>
          <w:bottom w:val="nil"/>
          <w:right w:val="nil"/>
          <w:between w:val="nil"/>
        </w:pBdr>
        <w:spacing w:line="360" w:lineRule="auto"/>
        <w:rPr>
          <w:rFonts w:ascii="Palatino Linotype" w:eastAsia="Palatino Linotype" w:hAnsi="Palatino Linotype" w:cs="Palatino Linotype"/>
          <w:b/>
          <w:i/>
          <w:color w:val="000000"/>
        </w:rPr>
      </w:pPr>
    </w:p>
    <w:p w:rsidR="00ED570A" w:rsidRPr="003B37F6" w:rsidRDefault="0057134D">
      <w:pPr>
        <w:numPr>
          <w:ilvl w:val="0"/>
          <w:numId w:val="1"/>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C55911"/>
        </w:rPr>
      </w:pPr>
      <w:r w:rsidRPr="003B37F6">
        <w:rPr>
          <w:rFonts w:ascii="Palatino Linotype" w:eastAsia="Palatino Linotype" w:hAnsi="Palatino Linotype" w:cs="Palatino Linotype"/>
          <w:color w:val="000000"/>
        </w:rPr>
        <w:t>Continuando con el pr</w:t>
      </w:r>
      <w:r w:rsidR="00990E79" w:rsidRPr="003B37F6">
        <w:rPr>
          <w:rFonts w:ascii="Palatino Linotype" w:eastAsia="Palatino Linotype" w:hAnsi="Palatino Linotype" w:cs="Palatino Linotype"/>
          <w:color w:val="000000"/>
        </w:rPr>
        <w:t>e</w:t>
      </w:r>
      <w:r w:rsidRPr="003B37F6">
        <w:rPr>
          <w:rFonts w:ascii="Palatino Linotype" w:eastAsia="Palatino Linotype" w:hAnsi="Palatino Linotype" w:cs="Palatino Linotype"/>
          <w:color w:val="000000"/>
        </w:rPr>
        <w:t xml:space="preserve">sente estudio, </w:t>
      </w:r>
      <w:r w:rsidR="00022CBA" w:rsidRPr="003B37F6">
        <w:rPr>
          <w:rFonts w:ascii="Palatino Linotype" w:eastAsia="Palatino Linotype" w:hAnsi="Palatino Linotype" w:cs="Palatino Linotype"/>
          <w:color w:val="000000"/>
        </w:rPr>
        <w:t xml:space="preserve">por lo que hace a la solicitud de información relativa a </w:t>
      </w:r>
      <w:r w:rsidRPr="003B37F6">
        <w:rPr>
          <w:rFonts w:ascii="Palatino Linotype" w:eastAsia="Palatino Linotype" w:hAnsi="Palatino Linotype" w:cs="Palatino Linotype"/>
          <w:color w:val="000000"/>
        </w:rPr>
        <w:t xml:space="preserve">la </w:t>
      </w:r>
      <w:r w:rsidR="00022CBA" w:rsidRPr="003B37F6">
        <w:rPr>
          <w:rFonts w:ascii="Palatino Linotype" w:eastAsia="Palatino Linotype" w:hAnsi="Palatino Linotype" w:cs="Palatino Linotype"/>
          <w:color w:val="000000"/>
        </w:rPr>
        <w:t>asignación de vehículos y gasto de gasolina de los vehículos oficiales, es el mismo Sujeto Obligado quien al hacer un cambio de modalidad no negó generar la información, sino por el contrario, asumió generarla, manifestando que se encontraba imposibilitado a proporcionarla al momento de la formulación de la solicitud.</w:t>
      </w:r>
    </w:p>
    <w:p w:rsidR="00990E79" w:rsidRPr="003B37F6" w:rsidRDefault="00990E79" w:rsidP="00990E79">
      <w:pPr>
        <w:pStyle w:val="Prrafodelista"/>
        <w:rPr>
          <w:rFonts w:ascii="Palatino Linotype" w:eastAsia="Palatino Linotype" w:hAnsi="Palatino Linotype" w:cs="Palatino Linotype"/>
          <w:color w:val="C55911"/>
        </w:rPr>
      </w:pPr>
    </w:p>
    <w:p w:rsidR="00BE4437" w:rsidRPr="003B37F6" w:rsidRDefault="00BE4437" w:rsidP="00BE4437">
      <w:pPr>
        <w:pStyle w:val="Prrafodelista"/>
        <w:numPr>
          <w:ilvl w:val="0"/>
          <w:numId w:val="1"/>
        </w:numPr>
        <w:spacing w:before="240" w:after="240"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color w:val="000000" w:themeColor="text1"/>
        </w:rPr>
        <w:t xml:space="preserve">Por lo que hace a la asignación de vehículos oficiales, </w:t>
      </w:r>
      <w:r w:rsidRPr="003B37F6">
        <w:rPr>
          <w:rFonts w:ascii="Palatino Linotype" w:eastAsia="Palatino Linotype" w:hAnsi="Palatino Linotype" w:cs="Palatino Linotype"/>
        </w:rPr>
        <w:t xml:space="preserve">se procede a analizar la naturaleza de la información peticionada, razón por la que conviene precisar que, </w:t>
      </w:r>
      <w:r w:rsidRPr="003B37F6">
        <w:rPr>
          <w:rFonts w:ascii="Palatino Linotype" w:eastAsia="Palatino Linotype" w:hAnsi="Palatino Linotype" w:cs="Palatino Linotype"/>
        </w:rPr>
        <w:lastRenderedPageBreak/>
        <w:t xml:space="preserve">constituye una obligación de transparencia común de los sujetos obligados, </w:t>
      </w:r>
      <w:r w:rsidRPr="003B37F6">
        <w:rPr>
          <w:rFonts w:ascii="Palatino Linotype" w:eastAsia="Palatino Linotype" w:hAnsi="Palatino Linotype" w:cs="Palatino Linotype"/>
          <w:b/>
          <w:u w:val="single"/>
        </w:rPr>
        <w:t>contar con el inventario de los bienes muebles e inmuebles en posesión y propiedad,</w:t>
      </w:r>
      <w:r w:rsidRPr="003B37F6">
        <w:rPr>
          <w:rFonts w:ascii="Palatino Linotype" w:eastAsia="Palatino Linotype" w:hAnsi="Palatino Linotype" w:cs="Palatino Linotype"/>
          <w:b/>
        </w:rPr>
        <w:t xml:space="preserve"> </w:t>
      </w:r>
      <w:r w:rsidRPr="003B37F6">
        <w:rPr>
          <w:rFonts w:ascii="Palatino Linotype" w:eastAsia="Palatino Linotype" w:hAnsi="Palatino Linotype" w:cs="Palatino Linotype"/>
        </w:rPr>
        <w:t>conforme la fracción XXXVIII del artículo 92 de la Ley de Transparencia Local, en relación con la fracción XXXIV del artículo 70 de la Ley General de Transparencia y Acceso a la Información Pública, como se sigue:</w:t>
      </w:r>
    </w:p>
    <w:p w:rsidR="00BE4437" w:rsidRPr="003B37F6" w:rsidRDefault="00BE4437" w:rsidP="00BE4437">
      <w:pPr>
        <w:pStyle w:val="Prrafodelista"/>
        <w:rPr>
          <w:rFonts w:ascii="Palatino Linotype" w:eastAsia="Palatino Linotype" w:hAnsi="Palatino Linotype" w:cs="Palatino Linotype"/>
          <w:sz w:val="22"/>
          <w:szCs w:val="22"/>
        </w:rPr>
      </w:pPr>
    </w:p>
    <w:p w:rsidR="00BE4437" w:rsidRPr="003B37F6" w:rsidRDefault="00BE4437" w:rsidP="00BE4437">
      <w:pPr>
        <w:ind w:left="567" w:right="474"/>
        <w:jc w:val="center"/>
        <w:rPr>
          <w:rFonts w:ascii="Palatino Linotype" w:eastAsia="Palatino Linotype" w:hAnsi="Palatino Linotype" w:cs="Palatino Linotype"/>
          <w:b/>
          <w:i/>
          <w:sz w:val="22"/>
          <w:szCs w:val="22"/>
          <w:u w:val="single"/>
        </w:rPr>
      </w:pPr>
      <w:r w:rsidRPr="003B37F6">
        <w:rPr>
          <w:rFonts w:ascii="Palatino Linotype" w:eastAsia="Palatino Linotype" w:hAnsi="Palatino Linotype" w:cs="Palatino Linotype"/>
          <w:b/>
          <w:i/>
          <w:sz w:val="22"/>
          <w:szCs w:val="22"/>
          <w:u w:val="single"/>
        </w:rPr>
        <w:t>Ley de Transparencia y Acceso a la Información Pública del Estado de México y Municipios</w:t>
      </w:r>
    </w:p>
    <w:p w:rsidR="00BE4437" w:rsidRPr="003B37F6" w:rsidRDefault="00BE4437" w:rsidP="00BE4437">
      <w:pPr>
        <w:ind w:left="567" w:right="474"/>
        <w:jc w:val="both"/>
        <w:rPr>
          <w:rFonts w:ascii="Palatino Linotype" w:eastAsia="Palatino Linotype" w:hAnsi="Palatino Linotype" w:cs="Palatino Linotype"/>
          <w:i/>
          <w:sz w:val="22"/>
          <w:szCs w:val="22"/>
        </w:rPr>
      </w:pPr>
      <w:r w:rsidRPr="003B37F6">
        <w:rPr>
          <w:rFonts w:ascii="Palatino Linotype" w:eastAsia="Palatino Linotype" w:hAnsi="Palatino Linotype" w:cs="Palatino Linotype"/>
          <w:i/>
          <w:sz w:val="22"/>
          <w:szCs w:val="22"/>
        </w:rPr>
        <w:t>“</w:t>
      </w:r>
      <w:r w:rsidRPr="003B37F6">
        <w:rPr>
          <w:rFonts w:ascii="Palatino Linotype" w:eastAsia="Palatino Linotype" w:hAnsi="Palatino Linotype" w:cs="Palatino Linotype"/>
          <w:b/>
          <w:i/>
          <w:sz w:val="22"/>
          <w:szCs w:val="22"/>
        </w:rPr>
        <w:t xml:space="preserve">Artículo 92. </w:t>
      </w:r>
      <w:r w:rsidRPr="003B37F6">
        <w:rPr>
          <w:rFonts w:ascii="Palatino Linotype" w:eastAsia="Palatino Linotype" w:hAnsi="Palatino Linotype" w:cs="Palatino Linotype"/>
          <w:i/>
          <w:sz w:val="22"/>
          <w:szCs w:val="22"/>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BE4437" w:rsidRPr="003B37F6" w:rsidRDefault="00BE4437" w:rsidP="00BE4437">
      <w:pPr>
        <w:tabs>
          <w:tab w:val="left" w:pos="4965"/>
        </w:tabs>
        <w:ind w:left="567" w:right="474"/>
        <w:jc w:val="both"/>
        <w:rPr>
          <w:rFonts w:ascii="Palatino Linotype" w:eastAsia="Palatino Linotype" w:hAnsi="Palatino Linotype" w:cs="Palatino Linotype"/>
          <w:i/>
          <w:sz w:val="22"/>
          <w:szCs w:val="22"/>
        </w:rPr>
      </w:pPr>
      <w:r w:rsidRPr="003B37F6">
        <w:rPr>
          <w:rFonts w:ascii="Palatino Linotype" w:eastAsia="Palatino Linotype" w:hAnsi="Palatino Linotype" w:cs="Palatino Linotype"/>
          <w:i/>
          <w:sz w:val="22"/>
          <w:szCs w:val="22"/>
        </w:rPr>
        <w:t>[…]</w:t>
      </w:r>
      <w:r w:rsidRPr="003B37F6">
        <w:rPr>
          <w:rFonts w:ascii="Palatino Linotype" w:eastAsia="Palatino Linotype" w:hAnsi="Palatino Linotype" w:cs="Palatino Linotype"/>
          <w:i/>
          <w:sz w:val="22"/>
          <w:szCs w:val="22"/>
        </w:rPr>
        <w:tab/>
      </w:r>
    </w:p>
    <w:p w:rsidR="00BE4437" w:rsidRPr="003B37F6" w:rsidRDefault="00BE4437" w:rsidP="00BE4437">
      <w:pPr>
        <w:ind w:left="567" w:right="474"/>
        <w:jc w:val="both"/>
        <w:rPr>
          <w:rFonts w:ascii="Palatino Linotype" w:eastAsia="Palatino Linotype" w:hAnsi="Palatino Linotype" w:cs="Palatino Linotype"/>
          <w:b/>
          <w:i/>
          <w:sz w:val="22"/>
          <w:szCs w:val="22"/>
        </w:rPr>
      </w:pPr>
      <w:r w:rsidRPr="003B37F6">
        <w:rPr>
          <w:rFonts w:ascii="Palatino Linotype" w:eastAsia="Palatino Linotype" w:hAnsi="Palatino Linotype" w:cs="Palatino Linotype"/>
          <w:b/>
          <w:i/>
          <w:sz w:val="22"/>
          <w:szCs w:val="22"/>
        </w:rPr>
        <w:t>XXXVIII. El inventario de bienes muebles e inmuebles en posesión y propiedad;</w:t>
      </w:r>
    </w:p>
    <w:p w:rsidR="00BE4437" w:rsidRPr="003B37F6" w:rsidRDefault="00BE4437" w:rsidP="00BE4437">
      <w:pPr>
        <w:ind w:left="567" w:right="474"/>
        <w:jc w:val="both"/>
        <w:rPr>
          <w:rFonts w:ascii="Palatino Linotype" w:eastAsia="Palatino Linotype" w:hAnsi="Palatino Linotype" w:cs="Palatino Linotype"/>
          <w:i/>
          <w:sz w:val="22"/>
          <w:szCs w:val="22"/>
        </w:rPr>
      </w:pPr>
      <w:r w:rsidRPr="003B37F6">
        <w:rPr>
          <w:rFonts w:ascii="Palatino Linotype" w:eastAsia="Palatino Linotype" w:hAnsi="Palatino Linotype" w:cs="Palatino Linotype"/>
          <w:i/>
          <w:sz w:val="22"/>
          <w:szCs w:val="22"/>
        </w:rPr>
        <w:t>[…]”</w:t>
      </w:r>
    </w:p>
    <w:p w:rsidR="00BE4437" w:rsidRPr="003B37F6" w:rsidRDefault="00BE4437" w:rsidP="00BE4437">
      <w:pPr>
        <w:ind w:left="567" w:right="474"/>
        <w:jc w:val="center"/>
        <w:rPr>
          <w:rFonts w:ascii="Palatino Linotype" w:eastAsia="Palatino Linotype" w:hAnsi="Palatino Linotype" w:cs="Palatino Linotype"/>
          <w:b/>
          <w:i/>
          <w:sz w:val="22"/>
          <w:szCs w:val="22"/>
          <w:u w:val="single"/>
        </w:rPr>
      </w:pPr>
      <w:r w:rsidRPr="003B37F6">
        <w:rPr>
          <w:rFonts w:ascii="Palatino Linotype" w:eastAsia="Palatino Linotype" w:hAnsi="Palatino Linotype" w:cs="Palatino Linotype"/>
          <w:b/>
          <w:i/>
          <w:sz w:val="22"/>
          <w:szCs w:val="22"/>
          <w:u w:val="single"/>
        </w:rPr>
        <w:t>Ley General de Transparencia y Acceso a la Información Pública</w:t>
      </w:r>
    </w:p>
    <w:p w:rsidR="00BE4437" w:rsidRPr="003B37F6" w:rsidRDefault="00BE4437" w:rsidP="00BE4437">
      <w:pPr>
        <w:ind w:left="567" w:right="474"/>
        <w:jc w:val="both"/>
        <w:rPr>
          <w:rFonts w:ascii="Palatino Linotype" w:eastAsia="Palatino Linotype" w:hAnsi="Palatino Linotype" w:cs="Palatino Linotype"/>
          <w:i/>
          <w:sz w:val="22"/>
          <w:szCs w:val="22"/>
        </w:rPr>
      </w:pPr>
      <w:r w:rsidRPr="003B37F6">
        <w:rPr>
          <w:rFonts w:ascii="Palatino Linotype" w:eastAsia="Palatino Linotype" w:hAnsi="Palatino Linotype" w:cs="Palatino Linotype"/>
          <w:i/>
          <w:sz w:val="22"/>
          <w:szCs w:val="22"/>
        </w:rPr>
        <w:t>“</w:t>
      </w:r>
      <w:r w:rsidRPr="003B37F6">
        <w:rPr>
          <w:rFonts w:ascii="Palatino Linotype" w:eastAsia="Palatino Linotype" w:hAnsi="Palatino Linotype" w:cs="Palatino Linotype"/>
          <w:b/>
          <w:i/>
          <w:sz w:val="22"/>
          <w:szCs w:val="22"/>
        </w:rPr>
        <w:t>Artículo 70.</w:t>
      </w:r>
      <w:r w:rsidRPr="003B37F6">
        <w:rPr>
          <w:rFonts w:ascii="Palatino Linotype" w:eastAsia="Palatino Linotype" w:hAnsi="Palatino Linotype" w:cs="Palatino Linotype"/>
          <w:i/>
          <w:sz w:val="22"/>
          <w:szCs w:val="22"/>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rsidR="00BE4437" w:rsidRPr="003B37F6" w:rsidRDefault="00BE4437" w:rsidP="00BE4437">
      <w:pPr>
        <w:ind w:left="567" w:right="474"/>
        <w:jc w:val="both"/>
        <w:rPr>
          <w:rFonts w:ascii="Palatino Linotype" w:eastAsia="Palatino Linotype" w:hAnsi="Palatino Linotype" w:cs="Palatino Linotype"/>
          <w:i/>
          <w:sz w:val="22"/>
          <w:szCs w:val="22"/>
        </w:rPr>
      </w:pPr>
      <w:r w:rsidRPr="003B37F6">
        <w:rPr>
          <w:rFonts w:ascii="Palatino Linotype" w:eastAsia="Palatino Linotype" w:hAnsi="Palatino Linotype" w:cs="Palatino Linotype"/>
          <w:i/>
          <w:sz w:val="22"/>
          <w:szCs w:val="22"/>
        </w:rPr>
        <w:t>[…]</w:t>
      </w:r>
    </w:p>
    <w:p w:rsidR="00BE4437" w:rsidRPr="003B37F6" w:rsidRDefault="00BE4437" w:rsidP="00BE4437">
      <w:pPr>
        <w:ind w:left="567" w:right="474"/>
        <w:jc w:val="both"/>
        <w:rPr>
          <w:rFonts w:ascii="Palatino Linotype" w:eastAsia="Palatino Linotype" w:hAnsi="Palatino Linotype" w:cs="Palatino Linotype"/>
          <w:b/>
          <w:i/>
          <w:sz w:val="22"/>
          <w:szCs w:val="22"/>
        </w:rPr>
      </w:pPr>
      <w:r w:rsidRPr="003B37F6">
        <w:rPr>
          <w:rFonts w:ascii="Palatino Linotype" w:eastAsia="Palatino Linotype" w:hAnsi="Palatino Linotype" w:cs="Palatino Linotype"/>
          <w:b/>
          <w:i/>
          <w:sz w:val="22"/>
          <w:szCs w:val="22"/>
        </w:rPr>
        <w:t>XXXIV. El inventario de bienes muebles e inmuebles en posesión y propiedad;</w:t>
      </w:r>
    </w:p>
    <w:p w:rsidR="00BE4437" w:rsidRPr="003B37F6" w:rsidRDefault="00BE4437" w:rsidP="00BE4437">
      <w:pPr>
        <w:ind w:left="567" w:right="474"/>
        <w:jc w:val="both"/>
        <w:rPr>
          <w:rFonts w:ascii="Palatino Linotype" w:eastAsia="Palatino Linotype" w:hAnsi="Palatino Linotype" w:cs="Palatino Linotype"/>
          <w:i/>
          <w:sz w:val="22"/>
          <w:szCs w:val="22"/>
        </w:rPr>
      </w:pPr>
      <w:r w:rsidRPr="003B37F6">
        <w:rPr>
          <w:rFonts w:ascii="Palatino Linotype" w:eastAsia="Palatino Linotype" w:hAnsi="Palatino Linotype" w:cs="Palatino Linotype"/>
          <w:i/>
          <w:sz w:val="22"/>
          <w:szCs w:val="22"/>
        </w:rPr>
        <w:t>[…]”</w:t>
      </w:r>
    </w:p>
    <w:p w:rsidR="00BE4437" w:rsidRPr="003B37F6" w:rsidRDefault="00BE4437" w:rsidP="00BE4437">
      <w:pPr>
        <w:pStyle w:val="Prrafodelista"/>
        <w:spacing w:before="240" w:after="240" w:line="360" w:lineRule="auto"/>
        <w:ind w:left="0"/>
        <w:jc w:val="right"/>
        <w:rPr>
          <w:rFonts w:ascii="Palatino Linotype" w:eastAsia="Palatino Linotype" w:hAnsi="Palatino Linotype" w:cs="Palatino Linotype"/>
          <w:sz w:val="22"/>
          <w:szCs w:val="22"/>
        </w:rPr>
      </w:pPr>
      <w:r w:rsidRPr="003B37F6">
        <w:rPr>
          <w:rFonts w:ascii="Palatino Linotype" w:eastAsia="Palatino Linotype" w:hAnsi="Palatino Linotype" w:cs="Palatino Linotype"/>
          <w:i/>
          <w:sz w:val="22"/>
          <w:szCs w:val="22"/>
        </w:rPr>
        <w:t>(Énfasis añadido)</w:t>
      </w:r>
    </w:p>
    <w:p w:rsidR="00BE4437" w:rsidRPr="003B37F6" w:rsidRDefault="00BE4437" w:rsidP="00BE4437">
      <w:pPr>
        <w:pStyle w:val="Prrafodelista"/>
        <w:spacing w:before="240" w:after="240" w:line="360" w:lineRule="auto"/>
        <w:ind w:left="0"/>
        <w:jc w:val="both"/>
        <w:rPr>
          <w:rFonts w:ascii="Palatino Linotype" w:eastAsia="Palatino Linotype" w:hAnsi="Palatino Linotype" w:cs="Palatino Linotype"/>
        </w:rPr>
      </w:pPr>
    </w:p>
    <w:p w:rsidR="00BE4437" w:rsidRPr="003B37F6" w:rsidRDefault="00BE4437" w:rsidP="00BE4437">
      <w:pPr>
        <w:pStyle w:val="Prrafodelista"/>
        <w:spacing w:before="240" w:after="240" w:line="360" w:lineRule="auto"/>
        <w:ind w:left="0"/>
        <w:jc w:val="both"/>
        <w:rPr>
          <w:rFonts w:ascii="Palatino Linotype" w:eastAsia="Palatino Linotype" w:hAnsi="Palatino Linotype" w:cs="Palatino Linotype"/>
        </w:rPr>
      </w:pPr>
    </w:p>
    <w:p w:rsidR="00BE4437" w:rsidRPr="003B37F6" w:rsidRDefault="00BE4437" w:rsidP="00BE4437">
      <w:pPr>
        <w:pStyle w:val="Prrafodelista"/>
        <w:numPr>
          <w:ilvl w:val="0"/>
          <w:numId w:val="1"/>
        </w:numPr>
        <w:spacing w:line="360" w:lineRule="auto"/>
        <w:ind w:left="0" w:right="49"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lastRenderedPageBreak/>
        <w:t xml:space="preserve">Incluso, en los propios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w:t>
      </w:r>
      <w:r w:rsidRPr="003B37F6">
        <w:rPr>
          <w:rFonts w:ascii="Palatino Linotype" w:eastAsia="Palatino Linotype" w:hAnsi="Palatino Linotype" w:cs="Palatino Linotype"/>
          <w:b/>
        </w:rPr>
        <w:t>establecen que, respecto al inventario de bienes muebles o inmuebles en posesión o propiedad de Sujetos Obligados</w:t>
      </w:r>
      <w:r w:rsidRPr="003B37F6">
        <w:rPr>
          <w:rFonts w:ascii="Palatino Linotype" w:eastAsia="Palatino Linotype" w:hAnsi="Palatino Linotype" w:cs="Palatino Linotype"/>
        </w:rPr>
        <w:t xml:space="preserve">, respecto de los bienes muebles, </w:t>
      </w:r>
      <w:r w:rsidRPr="003B37F6">
        <w:rPr>
          <w:rFonts w:ascii="Palatino Linotype" w:eastAsia="Palatino Linotype" w:hAnsi="Palatino Linotype" w:cs="Palatino Linotype"/>
          <w:b/>
        </w:rPr>
        <w:t xml:space="preserve">se deben registrar, entre otros, </w:t>
      </w:r>
      <w:r w:rsidRPr="003B37F6">
        <w:rPr>
          <w:rFonts w:ascii="Palatino Linotype" w:eastAsia="Palatino Linotype" w:hAnsi="Palatino Linotype" w:cs="Palatino Linotype"/>
          <w:b/>
          <w:u w:val="single"/>
        </w:rPr>
        <w:t>los vehículos al servicio de los sujetos obligados</w:t>
      </w:r>
      <w:r w:rsidRPr="003B37F6">
        <w:rPr>
          <w:rFonts w:ascii="Palatino Linotype" w:eastAsia="Palatino Linotype" w:hAnsi="Palatino Linotype" w:cs="Palatino Linotype"/>
        </w:rPr>
        <w:t>, como se muestra:</w:t>
      </w:r>
    </w:p>
    <w:p w:rsidR="00BE4437" w:rsidRPr="003B37F6" w:rsidRDefault="00BE4437" w:rsidP="00BE4437">
      <w:pPr>
        <w:spacing w:line="360" w:lineRule="auto"/>
        <w:ind w:right="49"/>
        <w:jc w:val="both"/>
        <w:rPr>
          <w:rFonts w:ascii="Palatino Linotype" w:eastAsia="Palatino Linotype" w:hAnsi="Palatino Linotype" w:cs="Palatino Linotype"/>
        </w:rPr>
      </w:pPr>
    </w:p>
    <w:p w:rsidR="00BE4437" w:rsidRPr="003B37F6" w:rsidRDefault="00BE4437" w:rsidP="00BE4437">
      <w:pPr>
        <w:spacing w:line="276" w:lineRule="auto"/>
        <w:ind w:left="567" w:right="701"/>
        <w:jc w:val="both"/>
        <w:rPr>
          <w:rFonts w:ascii="Palatino Linotype" w:eastAsia="Palatino Linotype" w:hAnsi="Palatino Linotype" w:cs="Palatino Linotype"/>
          <w:i/>
          <w:sz w:val="22"/>
          <w:szCs w:val="22"/>
        </w:rPr>
      </w:pPr>
      <w:r w:rsidRPr="003B37F6">
        <w:rPr>
          <w:rFonts w:ascii="Palatino Linotype" w:eastAsia="Palatino Linotype" w:hAnsi="Palatino Linotype" w:cs="Palatino Linotype"/>
          <w:i/>
          <w:sz w:val="22"/>
          <w:szCs w:val="22"/>
        </w:rPr>
        <w:t>“</w:t>
      </w:r>
      <w:r w:rsidRPr="003B37F6">
        <w:rPr>
          <w:rFonts w:ascii="Palatino Linotype" w:eastAsia="Palatino Linotype" w:hAnsi="Palatino Linotype" w:cs="Palatino Linotype"/>
          <w:b/>
          <w:i/>
          <w:sz w:val="22"/>
          <w:szCs w:val="22"/>
        </w:rPr>
        <w:t>XXXIV. El inventario de bienes muebles e inmuebles en posesión y propiedad</w:t>
      </w:r>
      <w:r w:rsidRPr="003B37F6">
        <w:rPr>
          <w:rFonts w:ascii="Palatino Linotype" w:eastAsia="Palatino Linotype" w:hAnsi="Palatino Linotype" w:cs="Palatino Linotype"/>
          <w:i/>
          <w:sz w:val="22"/>
          <w:szCs w:val="22"/>
        </w:rPr>
        <w:t xml:space="preserve"> </w:t>
      </w:r>
    </w:p>
    <w:p w:rsidR="00BE4437" w:rsidRPr="003B37F6" w:rsidRDefault="00BE4437" w:rsidP="00BE4437">
      <w:pPr>
        <w:spacing w:line="276" w:lineRule="auto"/>
        <w:ind w:left="567" w:right="701"/>
        <w:jc w:val="both"/>
        <w:rPr>
          <w:rFonts w:ascii="Palatino Linotype" w:eastAsia="Palatino Linotype" w:hAnsi="Palatino Linotype" w:cs="Palatino Linotype"/>
          <w:i/>
          <w:sz w:val="22"/>
          <w:szCs w:val="22"/>
        </w:rPr>
      </w:pPr>
      <w:r w:rsidRPr="003B37F6">
        <w:rPr>
          <w:rFonts w:ascii="Palatino Linotype" w:eastAsia="Palatino Linotype" w:hAnsi="Palatino Linotype" w:cs="Palatino Linotype"/>
          <w:i/>
          <w:sz w:val="22"/>
          <w:szCs w:val="22"/>
        </w:rPr>
        <w:t>[…]</w:t>
      </w:r>
    </w:p>
    <w:p w:rsidR="00BE4437" w:rsidRPr="003B37F6" w:rsidRDefault="00BE4437" w:rsidP="00BE4437">
      <w:pPr>
        <w:spacing w:line="276" w:lineRule="auto"/>
        <w:ind w:left="567" w:right="701"/>
        <w:jc w:val="both"/>
        <w:rPr>
          <w:rFonts w:ascii="Palatino Linotype" w:eastAsia="Palatino Linotype" w:hAnsi="Palatino Linotype" w:cs="Palatino Linotype"/>
          <w:i/>
          <w:sz w:val="22"/>
          <w:szCs w:val="22"/>
        </w:rPr>
      </w:pPr>
      <w:r w:rsidRPr="003B37F6">
        <w:rPr>
          <w:rFonts w:ascii="Palatino Linotype" w:eastAsia="Palatino Linotype" w:hAnsi="Palatino Linotype" w:cs="Palatino Linotype"/>
          <w:b/>
          <w:i/>
          <w:sz w:val="22"/>
          <w:szCs w:val="22"/>
        </w:rPr>
        <w:t xml:space="preserve">Respecto de los bienes muebles se registrará </w:t>
      </w:r>
      <w:r w:rsidRPr="003B37F6">
        <w:rPr>
          <w:rFonts w:ascii="Palatino Linotype" w:eastAsia="Palatino Linotype" w:hAnsi="Palatino Linotype" w:cs="Palatino Linotype"/>
          <w:i/>
          <w:sz w:val="22"/>
          <w:szCs w:val="22"/>
        </w:rPr>
        <w:t>tanto el mobiliario y equipo –incluido el de cómputo</w:t>
      </w:r>
      <w:r w:rsidRPr="003B37F6">
        <w:rPr>
          <w:rFonts w:ascii="Palatino Linotype" w:eastAsia="Palatino Linotype" w:hAnsi="Palatino Linotype" w:cs="Palatino Linotype"/>
          <w:b/>
          <w:i/>
          <w:sz w:val="22"/>
          <w:szCs w:val="22"/>
          <w:u w:val="single"/>
        </w:rPr>
        <w:t>– como los vehículos</w:t>
      </w:r>
      <w:r w:rsidRPr="003B37F6">
        <w:rPr>
          <w:rFonts w:ascii="Palatino Linotype" w:eastAsia="Palatino Linotype" w:hAnsi="Palatino Linotype" w:cs="Palatino Linotype"/>
          <w:i/>
          <w:sz w:val="22"/>
          <w:szCs w:val="22"/>
        </w:rPr>
        <w:t xml:space="preserve"> y demás bienes muebles al servicio de los sujetos obligados, de conformidad con la Ley General de Contabilidad Gubernamental.”</w:t>
      </w:r>
    </w:p>
    <w:p w:rsidR="00BE4437" w:rsidRPr="003B37F6" w:rsidRDefault="00BE4437" w:rsidP="00BE4437">
      <w:pPr>
        <w:spacing w:line="276" w:lineRule="auto"/>
        <w:ind w:left="567" w:right="701"/>
        <w:jc w:val="right"/>
        <w:rPr>
          <w:rFonts w:ascii="Palatino Linotype" w:eastAsia="Palatino Linotype" w:hAnsi="Palatino Linotype" w:cs="Palatino Linotype"/>
          <w:i/>
          <w:sz w:val="22"/>
          <w:szCs w:val="22"/>
        </w:rPr>
      </w:pPr>
      <w:r w:rsidRPr="003B37F6">
        <w:rPr>
          <w:rFonts w:ascii="Palatino Linotype" w:eastAsia="Palatino Linotype" w:hAnsi="Palatino Linotype" w:cs="Palatino Linotype"/>
          <w:i/>
          <w:sz w:val="22"/>
          <w:szCs w:val="22"/>
        </w:rPr>
        <w:t>(Énfasis añadido)</w:t>
      </w:r>
    </w:p>
    <w:p w:rsidR="00BD03CC" w:rsidRPr="003B37F6" w:rsidRDefault="00BD03CC" w:rsidP="00BE4437">
      <w:pPr>
        <w:pBdr>
          <w:top w:val="nil"/>
          <w:left w:val="nil"/>
          <w:bottom w:val="nil"/>
          <w:right w:val="nil"/>
          <w:between w:val="nil"/>
        </w:pBdr>
        <w:spacing w:line="360" w:lineRule="auto"/>
        <w:ind w:right="96"/>
        <w:jc w:val="both"/>
        <w:rPr>
          <w:rFonts w:ascii="Palatino Linotype" w:eastAsia="Palatino Linotype" w:hAnsi="Palatino Linotype" w:cs="Palatino Linotype"/>
        </w:rPr>
      </w:pPr>
    </w:p>
    <w:p w:rsidR="00BE4437" w:rsidRPr="003B37F6" w:rsidRDefault="00BE4437" w:rsidP="00BD03CC">
      <w:pPr>
        <w:pStyle w:val="Prrafodelista"/>
        <w:numPr>
          <w:ilvl w:val="0"/>
          <w:numId w:val="1"/>
        </w:numPr>
        <w:pBdr>
          <w:top w:val="nil"/>
          <w:left w:val="nil"/>
          <w:bottom w:val="nil"/>
          <w:right w:val="nil"/>
          <w:between w:val="nil"/>
        </w:pBdr>
        <w:spacing w:line="360" w:lineRule="auto"/>
        <w:ind w:left="0" w:right="96" w:firstLine="0"/>
        <w:jc w:val="both"/>
        <w:rPr>
          <w:rFonts w:ascii="Palatino Linotype" w:eastAsia="Palatino Linotype" w:hAnsi="Palatino Linotype" w:cs="Palatino Linotype"/>
          <w:b/>
          <w:u w:val="single"/>
        </w:rPr>
      </w:pPr>
      <w:r w:rsidRPr="003B37F6">
        <w:rPr>
          <w:rFonts w:ascii="Palatino Linotype" w:eastAsia="Palatino Linotype" w:hAnsi="Palatino Linotype" w:cs="Palatino Linotype"/>
        </w:rPr>
        <w:t xml:space="preserve">Como se desprende de lo anterior, todos los sujetos obligados deberán publicar el inventario de bienes muebles e inmuebles que utilicen, tengan a su cargo y/o les hayan sido asignados para el ejercicio de sus funciones; que destinen a un servicio público conforme a la normatividad aplicable o por cualquier concepto, </w:t>
      </w:r>
      <w:r w:rsidRPr="003B37F6">
        <w:rPr>
          <w:rFonts w:ascii="Palatino Linotype" w:eastAsia="Palatino Linotype" w:hAnsi="Palatino Linotype" w:cs="Palatino Linotype"/>
          <w:b/>
          <w:u w:val="single"/>
        </w:rPr>
        <w:t>tanto si son propiedad de los sujetos obligados como los que se encuentren en posesión de éstos; inventario que debe incluir los vehículos al servicio del ente público.</w:t>
      </w:r>
    </w:p>
    <w:p w:rsidR="00BE4437" w:rsidRPr="003B37F6" w:rsidRDefault="00BE4437" w:rsidP="00BE4437">
      <w:pPr>
        <w:pBdr>
          <w:top w:val="nil"/>
          <w:left w:val="nil"/>
          <w:bottom w:val="nil"/>
          <w:right w:val="nil"/>
          <w:between w:val="nil"/>
        </w:pBdr>
        <w:spacing w:line="360" w:lineRule="auto"/>
        <w:ind w:right="96"/>
        <w:jc w:val="both"/>
        <w:rPr>
          <w:rFonts w:ascii="Palatino Linotype" w:eastAsia="Palatino Linotype" w:hAnsi="Palatino Linotype" w:cs="Palatino Linotype"/>
        </w:rPr>
      </w:pPr>
    </w:p>
    <w:p w:rsidR="00BE4437" w:rsidRPr="003B37F6" w:rsidRDefault="00BE4437" w:rsidP="00406827">
      <w:pPr>
        <w:pStyle w:val="Prrafodelista"/>
        <w:numPr>
          <w:ilvl w:val="0"/>
          <w:numId w:val="1"/>
        </w:numPr>
        <w:pBdr>
          <w:top w:val="nil"/>
          <w:left w:val="nil"/>
          <w:bottom w:val="nil"/>
          <w:right w:val="nil"/>
          <w:between w:val="nil"/>
        </w:pBdr>
        <w:spacing w:line="360" w:lineRule="auto"/>
        <w:ind w:left="0" w:right="96"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lastRenderedPageBreak/>
        <w:t xml:space="preserve">En tal sentido, se colige que la información a la que pretende acceder la persona solicitante se encuentra relacionada con obligaciones de transparencia comunes que </w:t>
      </w:r>
      <w:r w:rsidR="00AA7A7E" w:rsidRPr="003B37F6">
        <w:rPr>
          <w:rFonts w:ascii="Palatino Linotype" w:eastAsia="Palatino Linotype" w:hAnsi="Palatino Linotype" w:cs="Palatino Linotype"/>
        </w:rPr>
        <w:t xml:space="preserve">el Ayuntamiento de San Felipe del Progreso está obligado </w:t>
      </w:r>
      <w:r w:rsidRPr="003B37F6">
        <w:rPr>
          <w:rFonts w:ascii="Palatino Linotype" w:eastAsia="Palatino Linotype" w:hAnsi="Palatino Linotype" w:cs="Palatino Linotype"/>
        </w:rPr>
        <w:t>a transparentar de manera permanente de conformidad con la normativa aplicable.</w:t>
      </w:r>
    </w:p>
    <w:p w:rsidR="00BE4437" w:rsidRPr="003B37F6" w:rsidRDefault="00BE4437" w:rsidP="00BE4437">
      <w:pPr>
        <w:pBdr>
          <w:top w:val="nil"/>
          <w:left w:val="nil"/>
          <w:bottom w:val="nil"/>
          <w:right w:val="nil"/>
          <w:between w:val="nil"/>
        </w:pBdr>
        <w:tabs>
          <w:tab w:val="left" w:pos="0"/>
          <w:tab w:val="left" w:pos="426"/>
          <w:tab w:val="left" w:pos="567"/>
        </w:tabs>
        <w:spacing w:line="360" w:lineRule="auto"/>
        <w:ind w:right="49"/>
        <w:jc w:val="both"/>
        <w:rPr>
          <w:rFonts w:ascii="Palatino Linotype" w:eastAsia="Palatino Linotype" w:hAnsi="Palatino Linotype" w:cs="Palatino Linotype"/>
          <w:color w:val="000000" w:themeColor="text1"/>
        </w:rPr>
      </w:pPr>
    </w:p>
    <w:p w:rsidR="00ED570A" w:rsidRPr="003B37F6" w:rsidRDefault="00022CBA">
      <w:pPr>
        <w:numPr>
          <w:ilvl w:val="0"/>
          <w:numId w:val="1"/>
        </w:numPr>
        <w:pBdr>
          <w:top w:val="nil"/>
          <w:left w:val="nil"/>
          <w:bottom w:val="nil"/>
          <w:right w:val="nil"/>
          <w:between w:val="nil"/>
        </w:pBdr>
        <w:tabs>
          <w:tab w:val="left" w:pos="0"/>
          <w:tab w:val="left" w:pos="426"/>
          <w:tab w:val="left" w:pos="567"/>
        </w:tabs>
        <w:spacing w:line="360" w:lineRule="auto"/>
        <w:ind w:left="0" w:right="49" w:firstLine="0"/>
        <w:jc w:val="both"/>
        <w:rPr>
          <w:rFonts w:ascii="Palatino Linotype" w:eastAsia="Palatino Linotype" w:hAnsi="Palatino Linotype" w:cs="Palatino Linotype"/>
          <w:color w:val="C55911"/>
        </w:rPr>
      </w:pPr>
      <w:r w:rsidRPr="003B37F6">
        <w:rPr>
          <w:rFonts w:ascii="Palatino Linotype" w:eastAsia="Palatino Linotype" w:hAnsi="Palatino Linotype" w:cs="Palatino Linotype"/>
          <w:color w:val="000000"/>
        </w:rPr>
        <w:t>Siguiendo con lo anterior, resulta importante lo señalado en la Ley General de Contabilidad Gubernamental:</w:t>
      </w:r>
    </w:p>
    <w:p w:rsidR="00ED570A" w:rsidRPr="003B37F6" w:rsidRDefault="00ED570A">
      <w:pPr>
        <w:pBdr>
          <w:top w:val="nil"/>
          <w:left w:val="nil"/>
          <w:bottom w:val="nil"/>
          <w:right w:val="nil"/>
          <w:between w:val="nil"/>
        </w:pBdr>
        <w:ind w:left="720"/>
        <w:rPr>
          <w:rFonts w:ascii="Palatino Linotype" w:eastAsia="Palatino Linotype" w:hAnsi="Palatino Linotype" w:cs="Palatino Linotype"/>
          <w:color w:val="000000"/>
        </w:rPr>
      </w:pPr>
    </w:p>
    <w:p w:rsidR="00ED570A" w:rsidRPr="003B37F6" w:rsidRDefault="00022CBA">
      <w:pPr>
        <w:pBdr>
          <w:top w:val="nil"/>
          <w:left w:val="nil"/>
          <w:bottom w:val="nil"/>
          <w:right w:val="nil"/>
          <w:between w:val="nil"/>
        </w:pBdr>
        <w:ind w:left="720"/>
        <w:jc w:val="center"/>
        <w:rPr>
          <w:rFonts w:ascii="Palatino Linotype" w:eastAsia="Palatino Linotype" w:hAnsi="Palatino Linotype" w:cs="Palatino Linotype"/>
          <w:b/>
          <w:color w:val="000000"/>
        </w:rPr>
      </w:pPr>
      <w:r w:rsidRPr="003B37F6">
        <w:rPr>
          <w:rFonts w:ascii="Palatino Linotype" w:eastAsia="Palatino Linotype" w:hAnsi="Palatino Linotype" w:cs="Palatino Linotype"/>
          <w:b/>
          <w:color w:val="000000"/>
        </w:rPr>
        <w:t>TÍTULO PRIMERO</w:t>
      </w:r>
    </w:p>
    <w:p w:rsidR="00ED570A" w:rsidRPr="003B37F6" w:rsidRDefault="00022CBA">
      <w:pPr>
        <w:pBdr>
          <w:top w:val="nil"/>
          <w:left w:val="nil"/>
          <w:bottom w:val="nil"/>
          <w:right w:val="nil"/>
          <w:between w:val="nil"/>
        </w:pBdr>
        <w:ind w:left="720"/>
        <w:jc w:val="center"/>
        <w:rPr>
          <w:rFonts w:ascii="Palatino Linotype" w:eastAsia="Palatino Linotype" w:hAnsi="Palatino Linotype" w:cs="Palatino Linotype"/>
          <w:b/>
          <w:color w:val="000000"/>
        </w:rPr>
      </w:pPr>
      <w:r w:rsidRPr="003B37F6">
        <w:rPr>
          <w:rFonts w:ascii="Palatino Linotype" w:eastAsia="Palatino Linotype" w:hAnsi="Palatino Linotype" w:cs="Palatino Linotype"/>
          <w:b/>
          <w:color w:val="000000"/>
        </w:rPr>
        <w:t>Objeto y Definiciones de la Ley</w:t>
      </w:r>
    </w:p>
    <w:p w:rsidR="00ED570A" w:rsidRPr="003B37F6" w:rsidRDefault="00ED570A">
      <w:pPr>
        <w:pBdr>
          <w:top w:val="nil"/>
          <w:left w:val="nil"/>
          <w:bottom w:val="nil"/>
          <w:right w:val="nil"/>
          <w:between w:val="nil"/>
        </w:pBdr>
        <w:ind w:left="720"/>
        <w:jc w:val="center"/>
        <w:rPr>
          <w:rFonts w:ascii="Palatino Linotype" w:eastAsia="Palatino Linotype" w:hAnsi="Palatino Linotype" w:cs="Palatino Linotype"/>
          <w:b/>
          <w:color w:val="000000"/>
        </w:rPr>
      </w:pPr>
    </w:p>
    <w:p w:rsidR="00ED570A" w:rsidRPr="003B37F6" w:rsidRDefault="00022CBA">
      <w:pPr>
        <w:pBdr>
          <w:top w:val="nil"/>
          <w:left w:val="nil"/>
          <w:bottom w:val="nil"/>
          <w:right w:val="nil"/>
          <w:between w:val="nil"/>
        </w:pBdr>
        <w:ind w:left="720"/>
        <w:jc w:val="center"/>
        <w:rPr>
          <w:rFonts w:ascii="Palatino Linotype" w:eastAsia="Palatino Linotype" w:hAnsi="Palatino Linotype" w:cs="Palatino Linotype"/>
          <w:b/>
          <w:color w:val="000000"/>
        </w:rPr>
      </w:pPr>
      <w:r w:rsidRPr="003B37F6">
        <w:rPr>
          <w:rFonts w:ascii="Palatino Linotype" w:eastAsia="Palatino Linotype" w:hAnsi="Palatino Linotype" w:cs="Palatino Linotype"/>
          <w:b/>
          <w:color w:val="000000"/>
        </w:rPr>
        <w:t>CAPÍTULO ÚNICO</w:t>
      </w:r>
    </w:p>
    <w:p w:rsidR="00ED570A" w:rsidRPr="003B37F6" w:rsidRDefault="00022CBA">
      <w:pPr>
        <w:pBdr>
          <w:top w:val="nil"/>
          <w:left w:val="nil"/>
          <w:bottom w:val="nil"/>
          <w:right w:val="nil"/>
          <w:between w:val="nil"/>
        </w:pBdr>
        <w:ind w:left="720"/>
        <w:jc w:val="center"/>
        <w:rPr>
          <w:rFonts w:ascii="Palatino Linotype" w:eastAsia="Palatino Linotype" w:hAnsi="Palatino Linotype" w:cs="Palatino Linotype"/>
          <w:b/>
          <w:color w:val="000000"/>
        </w:rPr>
      </w:pPr>
      <w:r w:rsidRPr="003B37F6">
        <w:rPr>
          <w:rFonts w:ascii="Palatino Linotype" w:eastAsia="Palatino Linotype" w:hAnsi="Palatino Linotype" w:cs="Palatino Linotype"/>
          <w:b/>
          <w:color w:val="000000"/>
        </w:rPr>
        <w:t>Disposiciones Generales</w:t>
      </w:r>
    </w:p>
    <w:p w:rsidR="00ED570A" w:rsidRPr="003B37F6" w:rsidRDefault="00022CBA">
      <w:pPr>
        <w:pBdr>
          <w:top w:val="nil"/>
          <w:left w:val="nil"/>
          <w:bottom w:val="nil"/>
          <w:right w:val="nil"/>
          <w:between w:val="nil"/>
        </w:pBdr>
        <w:ind w:left="720"/>
        <w:jc w:val="both"/>
        <w:rPr>
          <w:rFonts w:ascii="Palatino Linotype" w:eastAsia="Palatino Linotype" w:hAnsi="Palatino Linotype" w:cs="Palatino Linotype"/>
          <w:i/>
          <w:color w:val="000000"/>
        </w:rPr>
      </w:pPr>
      <w:r w:rsidRPr="003B37F6">
        <w:rPr>
          <w:rFonts w:ascii="Palatino Linotype" w:eastAsia="Palatino Linotype" w:hAnsi="Palatino Linotype" w:cs="Palatino Linotype"/>
          <w:b/>
          <w:color w:val="000000"/>
          <w:sz w:val="22"/>
          <w:szCs w:val="22"/>
        </w:rPr>
        <w:t xml:space="preserve">Artículo 1.- </w:t>
      </w:r>
      <w:r w:rsidRPr="003B37F6">
        <w:rPr>
          <w:rFonts w:ascii="Palatino Linotype" w:eastAsia="Palatino Linotype" w:hAnsi="Palatino Linotype" w:cs="Palatino Linotype"/>
          <w:i/>
          <w:color w:val="000000"/>
          <w:sz w:val="22"/>
          <w:szCs w:val="22"/>
        </w:rPr>
        <w:t>La presente Ley es de orden público y tiene como objeto establecer los criterios generales que regirán la contabilidad gubernamental y la emisión de información financiera de los entes públicos, con el fin de lograr su adecuada armonización</w:t>
      </w:r>
      <w:r w:rsidRPr="003B37F6">
        <w:rPr>
          <w:rFonts w:ascii="Palatino Linotype" w:eastAsia="Palatino Linotype" w:hAnsi="Palatino Linotype" w:cs="Palatino Linotype"/>
          <w:i/>
          <w:color w:val="000000"/>
        </w:rPr>
        <w:t>.</w:t>
      </w:r>
    </w:p>
    <w:p w:rsidR="00ED570A" w:rsidRPr="003B37F6" w:rsidRDefault="00ED570A">
      <w:pPr>
        <w:pBdr>
          <w:top w:val="nil"/>
          <w:left w:val="nil"/>
          <w:bottom w:val="nil"/>
          <w:right w:val="nil"/>
          <w:between w:val="nil"/>
        </w:pBdr>
        <w:ind w:left="720"/>
        <w:jc w:val="both"/>
        <w:rPr>
          <w:rFonts w:ascii="Palatino Linotype" w:eastAsia="Palatino Linotype" w:hAnsi="Palatino Linotype" w:cs="Palatino Linotype"/>
          <w:b/>
          <w:color w:val="000000"/>
        </w:rPr>
      </w:pPr>
    </w:p>
    <w:p w:rsidR="00ED570A" w:rsidRPr="003B37F6" w:rsidRDefault="00022CBA">
      <w:pPr>
        <w:pBdr>
          <w:top w:val="nil"/>
          <w:left w:val="nil"/>
          <w:bottom w:val="nil"/>
          <w:right w:val="nil"/>
          <w:between w:val="nil"/>
        </w:pBdr>
        <w:ind w:left="720"/>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b/>
          <w:i/>
          <w:color w:val="000000"/>
          <w:sz w:val="22"/>
          <w:szCs w:val="22"/>
          <w:u w:val="single"/>
        </w:rPr>
        <w:t>La presente Ley es de observancia obligatoria</w:t>
      </w:r>
      <w:r w:rsidRPr="003B37F6">
        <w:rPr>
          <w:rFonts w:ascii="Palatino Linotype" w:eastAsia="Palatino Linotype" w:hAnsi="Palatino Linotype" w:cs="Palatino Linotype"/>
          <w:i/>
          <w:color w:val="000000"/>
          <w:sz w:val="22"/>
          <w:szCs w:val="22"/>
        </w:rPr>
        <w:t xml:space="preserve"> para los poderes Ejecutivo, Legislativo y Judicial de la Federación, los estados y el Distrito Federal; </w:t>
      </w:r>
      <w:r w:rsidRPr="003B37F6">
        <w:rPr>
          <w:rFonts w:ascii="Palatino Linotype" w:eastAsia="Palatino Linotype" w:hAnsi="Palatino Linotype" w:cs="Palatino Linotype"/>
          <w:b/>
          <w:i/>
          <w:color w:val="000000"/>
          <w:sz w:val="22"/>
          <w:szCs w:val="22"/>
          <w:u w:val="single"/>
        </w:rPr>
        <w:t>los ayuntamientos de los municipios</w:t>
      </w:r>
      <w:r w:rsidRPr="003B37F6">
        <w:rPr>
          <w:rFonts w:ascii="Palatino Linotype" w:eastAsia="Palatino Linotype" w:hAnsi="Palatino Linotype" w:cs="Palatino Linotype"/>
          <w:i/>
          <w:color w:val="000000"/>
          <w:sz w:val="22"/>
          <w:szCs w:val="22"/>
        </w:rPr>
        <w:t>; los órganos político-administrativos de las demarcaciones territoriales del Distrito Federal; las entidades de la administración pública paraestatal, ya sean federales, estatales o municipales y los órganos autónomos federales y estatales.</w:t>
      </w:r>
    </w:p>
    <w:p w:rsidR="00ED570A" w:rsidRPr="003B37F6" w:rsidRDefault="00ED570A">
      <w:pPr>
        <w:pBdr>
          <w:top w:val="nil"/>
          <w:left w:val="nil"/>
          <w:bottom w:val="nil"/>
          <w:right w:val="nil"/>
          <w:between w:val="nil"/>
        </w:pBdr>
        <w:ind w:left="720"/>
        <w:jc w:val="both"/>
        <w:rPr>
          <w:rFonts w:ascii="Palatino Linotype" w:eastAsia="Palatino Linotype" w:hAnsi="Palatino Linotype" w:cs="Palatino Linotype"/>
          <w:i/>
          <w:color w:val="000000"/>
          <w:sz w:val="22"/>
          <w:szCs w:val="22"/>
        </w:rPr>
      </w:pPr>
    </w:p>
    <w:p w:rsidR="00ED570A" w:rsidRPr="003B37F6" w:rsidRDefault="00022CBA">
      <w:pPr>
        <w:pBdr>
          <w:top w:val="nil"/>
          <w:left w:val="nil"/>
          <w:bottom w:val="nil"/>
          <w:right w:val="nil"/>
          <w:between w:val="nil"/>
        </w:pBdr>
        <w:ind w:left="720"/>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i/>
          <w:color w:val="000000"/>
          <w:sz w:val="22"/>
          <w:szCs w:val="22"/>
        </w:rPr>
        <w:t xml:space="preserve">Los gobiernos estatales deberán coordinarse con los municipales para que éstos armonicen su contabilidad con base en las disposiciones de esta Ley. El Gobierno de la Ciudad de México deberá coordinarse con los órganos político-administrativos de sus demarcaciones territoriales. Las entidades federativas deberán respetar los derechos de los municipios con población indígena, entre los cuales se encuentran el derecho a decidir las formas internas de convivencia política y </w:t>
      </w:r>
      <w:r w:rsidRPr="003B37F6">
        <w:rPr>
          <w:rFonts w:ascii="Palatino Linotype" w:eastAsia="Palatino Linotype" w:hAnsi="Palatino Linotype" w:cs="Palatino Linotype"/>
          <w:i/>
          <w:color w:val="000000"/>
          <w:sz w:val="22"/>
          <w:szCs w:val="22"/>
        </w:rPr>
        <w:lastRenderedPageBreak/>
        <w:t>el derecho a elegir, conforme a sus normas y, en su caso, costumbres, a las autoridades o representantes para el ejercicio de sus propias formas de gobierno interno</w:t>
      </w:r>
    </w:p>
    <w:p w:rsidR="00ED570A" w:rsidRPr="003B37F6" w:rsidRDefault="00ED570A">
      <w:pPr>
        <w:pBdr>
          <w:top w:val="nil"/>
          <w:left w:val="nil"/>
          <w:bottom w:val="nil"/>
          <w:right w:val="nil"/>
          <w:between w:val="nil"/>
        </w:pBdr>
        <w:tabs>
          <w:tab w:val="left" w:pos="0"/>
          <w:tab w:val="left" w:pos="426"/>
          <w:tab w:val="left" w:pos="567"/>
        </w:tabs>
        <w:spacing w:line="360" w:lineRule="auto"/>
        <w:ind w:right="49"/>
        <w:jc w:val="both"/>
        <w:rPr>
          <w:rFonts w:ascii="Palatino Linotype" w:eastAsia="Palatino Linotype" w:hAnsi="Palatino Linotype" w:cs="Palatino Linotype"/>
          <w:color w:val="000000"/>
        </w:rPr>
      </w:pPr>
    </w:p>
    <w:p w:rsidR="00ED570A" w:rsidRPr="003B37F6" w:rsidRDefault="00022CBA">
      <w:pPr>
        <w:pBdr>
          <w:top w:val="nil"/>
          <w:left w:val="nil"/>
          <w:bottom w:val="nil"/>
          <w:right w:val="nil"/>
          <w:between w:val="nil"/>
        </w:pBdr>
        <w:tabs>
          <w:tab w:val="left" w:pos="426"/>
        </w:tabs>
        <w:spacing w:before="240" w:line="276" w:lineRule="auto"/>
        <w:ind w:right="51"/>
        <w:jc w:val="center"/>
        <w:rPr>
          <w:rFonts w:ascii="Palatino Linotype" w:eastAsia="Palatino Linotype" w:hAnsi="Palatino Linotype" w:cs="Palatino Linotype"/>
          <w:b/>
          <w:i/>
          <w:color w:val="000000"/>
          <w:sz w:val="22"/>
          <w:szCs w:val="22"/>
        </w:rPr>
      </w:pPr>
      <w:r w:rsidRPr="003B37F6">
        <w:rPr>
          <w:rFonts w:ascii="Palatino Linotype" w:eastAsia="Palatino Linotype" w:hAnsi="Palatino Linotype" w:cs="Palatino Linotype"/>
          <w:b/>
          <w:i/>
          <w:color w:val="000000"/>
          <w:sz w:val="22"/>
          <w:szCs w:val="22"/>
        </w:rPr>
        <w:t>TÍTULO QUINTO</w:t>
      </w:r>
    </w:p>
    <w:p w:rsidR="00ED570A" w:rsidRPr="003B37F6" w:rsidRDefault="00022CBA">
      <w:pPr>
        <w:pBdr>
          <w:top w:val="nil"/>
          <w:left w:val="nil"/>
          <w:bottom w:val="nil"/>
          <w:right w:val="nil"/>
          <w:between w:val="nil"/>
        </w:pBdr>
        <w:tabs>
          <w:tab w:val="left" w:pos="426"/>
        </w:tabs>
        <w:spacing w:line="276" w:lineRule="auto"/>
        <w:ind w:right="51"/>
        <w:jc w:val="center"/>
        <w:rPr>
          <w:rFonts w:ascii="Palatino Linotype" w:eastAsia="Palatino Linotype" w:hAnsi="Palatino Linotype" w:cs="Palatino Linotype"/>
          <w:b/>
          <w:i/>
          <w:color w:val="000000"/>
          <w:sz w:val="22"/>
          <w:szCs w:val="22"/>
        </w:rPr>
      </w:pPr>
      <w:r w:rsidRPr="003B37F6">
        <w:rPr>
          <w:rFonts w:ascii="Palatino Linotype" w:eastAsia="Palatino Linotype" w:hAnsi="Palatino Linotype" w:cs="Palatino Linotype"/>
          <w:b/>
          <w:i/>
          <w:color w:val="000000"/>
          <w:sz w:val="22"/>
          <w:szCs w:val="22"/>
        </w:rPr>
        <w:t>De la Transparencia y Difusión de la Información Financiera</w:t>
      </w:r>
    </w:p>
    <w:p w:rsidR="00ED570A" w:rsidRPr="003B37F6" w:rsidRDefault="00022CBA">
      <w:pPr>
        <w:pBdr>
          <w:top w:val="nil"/>
          <w:left w:val="nil"/>
          <w:bottom w:val="nil"/>
          <w:right w:val="nil"/>
          <w:between w:val="nil"/>
        </w:pBdr>
        <w:spacing w:line="276" w:lineRule="auto"/>
        <w:ind w:left="720"/>
        <w:jc w:val="center"/>
        <w:rPr>
          <w:rFonts w:ascii="Palatino Linotype" w:eastAsia="Palatino Linotype" w:hAnsi="Palatino Linotype" w:cs="Palatino Linotype"/>
          <w:b/>
          <w:i/>
          <w:color w:val="000000"/>
          <w:sz w:val="22"/>
          <w:szCs w:val="22"/>
        </w:rPr>
      </w:pPr>
      <w:r w:rsidRPr="003B37F6">
        <w:rPr>
          <w:rFonts w:ascii="Palatino Linotype" w:eastAsia="Palatino Linotype" w:hAnsi="Palatino Linotype" w:cs="Palatino Linotype"/>
          <w:b/>
          <w:i/>
          <w:color w:val="000000"/>
          <w:sz w:val="22"/>
          <w:szCs w:val="22"/>
        </w:rPr>
        <w:t>CAPÍTULO I</w:t>
      </w:r>
    </w:p>
    <w:p w:rsidR="00ED570A" w:rsidRPr="003B37F6" w:rsidRDefault="00022CBA">
      <w:pPr>
        <w:pBdr>
          <w:top w:val="nil"/>
          <w:left w:val="nil"/>
          <w:bottom w:val="nil"/>
          <w:right w:val="nil"/>
          <w:between w:val="nil"/>
        </w:pBdr>
        <w:spacing w:line="276" w:lineRule="auto"/>
        <w:ind w:left="720"/>
        <w:jc w:val="center"/>
        <w:rPr>
          <w:rFonts w:ascii="Palatino Linotype" w:eastAsia="Palatino Linotype" w:hAnsi="Palatino Linotype" w:cs="Palatino Linotype"/>
          <w:b/>
          <w:i/>
          <w:color w:val="000000"/>
          <w:sz w:val="22"/>
          <w:szCs w:val="22"/>
        </w:rPr>
      </w:pPr>
      <w:r w:rsidRPr="003B37F6">
        <w:rPr>
          <w:rFonts w:ascii="Palatino Linotype" w:eastAsia="Palatino Linotype" w:hAnsi="Palatino Linotype" w:cs="Palatino Linotype"/>
          <w:b/>
          <w:i/>
          <w:color w:val="000000"/>
          <w:sz w:val="22"/>
          <w:szCs w:val="22"/>
        </w:rPr>
        <w:t>Disposiciones Generales</w:t>
      </w:r>
    </w:p>
    <w:p w:rsidR="00ED570A" w:rsidRPr="003B37F6" w:rsidRDefault="00ED570A">
      <w:pPr>
        <w:pBdr>
          <w:top w:val="nil"/>
          <w:left w:val="nil"/>
          <w:bottom w:val="nil"/>
          <w:right w:val="nil"/>
          <w:between w:val="nil"/>
        </w:pBdr>
        <w:tabs>
          <w:tab w:val="left" w:pos="426"/>
        </w:tabs>
        <w:spacing w:line="276" w:lineRule="auto"/>
        <w:ind w:right="51"/>
        <w:jc w:val="both"/>
        <w:rPr>
          <w:rFonts w:ascii="Palatino Linotype" w:eastAsia="Palatino Linotype" w:hAnsi="Palatino Linotype" w:cs="Palatino Linotype"/>
          <w:color w:val="000000"/>
          <w:sz w:val="22"/>
          <w:szCs w:val="22"/>
        </w:rPr>
      </w:pPr>
    </w:p>
    <w:p w:rsidR="00ED570A" w:rsidRPr="003B37F6" w:rsidRDefault="00022CBA">
      <w:pPr>
        <w:pBdr>
          <w:top w:val="nil"/>
          <w:left w:val="nil"/>
          <w:bottom w:val="nil"/>
          <w:right w:val="nil"/>
          <w:between w:val="nil"/>
        </w:pBdr>
        <w:tabs>
          <w:tab w:val="left" w:pos="426"/>
        </w:tabs>
        <w:spacing w:line="276" w:lineRule="auto"/>
        <w:ind w:left="567" w:right="616"/>
        <w:jc w:val="both"/>
        <w:rPr>
          <w:rFonts w:ascii="Palatino Linotype" w:eastAsia="Palatino Linotype" w:hAnsi="Palatino Linotype" w:cs="Palatino Linotype"/>
          <w:b/>
          <w:i/>
          <w:color w:val="000000"/>
          <w:sz w:val="22"/>
          <w:szCs w:val="22"/>
        </w:rPr>
      </w:pPr>
      <w:r w:rsidRPr="003B37F6">
        <w:rPr>
          <w:rFonts w:ascii="Palatino Linotype" w:eastAsia="Palatino Linotype" w:hAnsi="Palatino Linotype" w:cs="Palatino Linotype"/>
          <w:i/>
          <w:color w:val="000000"/>
          <w:sz w:val="22"/>
          <w:szCs w:val="22"/>
        </w:rPr>
        <w:t>Artículo 56</w:t>
      </w:r>
      <w:r w:rsidRPr="003B37F6">
        <w:rPr>
          <w:rFonts w:ascii="Palatino Linotype" w:eastAsia="Palatino Linotype" w:hAnsi="Palatino Linotype" w:cs="Palatino Linotype"/>
          <w:b/>
          <w:i/>
          <w:color w:val="000000"/>
          <w:sz w:val="22"/>
          <w:szCs w:val="22"/>
        </w:rPr>
        <w:t>.- La generación y publicación de la información financiera</w:t>
      </w:r>
      <w:r w:rsidRPr="003B37F6">
        <w:rPr>
          <w:rFonts w:ascii="Palatino Linotype" w:eastAsia="Palatino Linotype" w:hAnsi="Palatino Linotype" w:cs="Palatino Linotype"/>
          <w:i/>
          <w:color w:val="000000"/>
          <w:sz w:val="22"/>
          <w:szCs w:val="22"/>
        </w:rPr>
        <w:t xml:space="preserve"> </w:t>
      </w:r>
      <w:r w:rsidRPr="003B37F6">
        <w:rPr>
          <w:rFonts w:ascii="Palatino Linotype" w:eastAsia="Palatino Linotype" w:hAnsi="Palatino Linotype" w:cs="Palatino Linotype"/>
          <w:b/>
          <w:i/>
          <w:color w:val="000000"/>
          <w:sz w:val="22"/>
          <w:szCs w:val="22"/>
        </w:rPr>
        <w:t>de los entes públicos a que se refiere este Título</w:t>
      </w:r>
      <w:r w:rsidRPr="003B37F6">
        <w:rPr>
          <w:rFonts w:ascii="Palatino Linotype" w:eastAsia="Palatino Linotype" w:hAnsi="Palatino Linotype" w:cs="Palatino Linotype"/>
          <w:i/>
          <w:color w:val="000000"/>
          <w:sz w:val="22"/>
          <w:szCs w:val="22"/>
        </w:rPr>
        <w:t xml:space="preserve">, se hará conforme a las normas, estructura, formatos y contenido de la información, que para tal efecto establezca el consejo </w:t>
      </w:r>
      <w:r w:rsidRPr="003B37F6">
        <w:rPr>
          <w:rFonts w:ascii="Palatino Linotype" w:eastAsia="Palatino Linotype" w:hAnsi="Palatino Linotype" w:cs="Palatino Linotype"/>
          <w:b/>
          <w:i/>
          <w:color w:val="000000"/>
          <w:sz w:val="22"/>
          <w:szCs w:val="22"/>
        </w:rPr>
        <w:t xml:space="preserve">y difundirse en la página de Internet del respectivo ente público. </w:t>
      </w:r>
    </w:p>
    <w:p w:rsidR="00ED570A" w:rsidRPr="003B37F6" w:rsidRDefault="00ED570A">
      <w:pPr>
        <w:pBdr>
          <w:top w:val="nil"/>
          <w:left w:val="nil"/>
          <w:bottom w:val="nil"/>
          <w:right w:val="nil"/>
          <w:between w:val="nil"/>
        </w:pBdr>
        <w:tabs>
          <w:tab w:val="left" w:pos="426"/>
        </w:tabs>
        <w:spacing w:line="276" w:lineRule="auto"/>
        <w:ind w:left="567" w:right="616"/>
        <w:jc w:val="both"/>
        <w:rPr>
          <w:rFonts w:ascii="Palatino Linotype" w:eastAsia="Palatino Linotype" w:hAnsi="Palatino Linotype" w:cs="Palatino Linotype"/>
          <w:i/>
          <w:color w:val="000000"/>
          <w:sz w:val="22"/>
          <w:szCs w:val="22"/>
        </w:rPr>
      </w:pPr>
    </w:p>
    <w:p w:rsidR="00ED570A" w:rsidRPr="003B37F6" w:rsidRDefault="00022CBA">
      <w:pPr>
        <w:pBdr>
          <w:top w:val="nil"/>
          <w:left w:val="nil"/>
          <w:bottom w:val="nil"/>
          <w:right w:val="nil"/>
          <w:between w:val="nil"/>
        </w:pBdr>
        <w:tabs>
          <w:tab w:val="left" w:pos="426"/>
        </w:tabs>
        <w:spacing w:line="276" w:lineRule="auto"/>
        <w:ind w:left="567" w:right="616"/>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i/>
          <w:color w:val="000000"/>
          <w:sz w:val="22"/>
          <w:szCs w:val="22"/>
        </w:rPr>
        <w:t>Dicha información podrá complementar la que otros ordenamientos jurídicos aplicables ya disponen en este ámbito para presentarse en informes periódicos y en las cuentas públicas. Asimismo, la información se difundirá en los medios oficiales de difusión en términos de las disposiciones aplicables.</w:t>
      </w:r>
    </w:p>
    <w:p w:rsidR="00ED570A" w:rsidRPr="003B37F6" w:rsidRDefault="00ED570A">
      <w:pPr>
        <w:pBdr>
          <w:top w:val="nil"/>
          <w:left w:val="nil"/>
          <w:bottom w:val="nil"/>
          <w:right w:val="nil"/>
          <w:between w:val="nil"/>
        </w:pBdr>
        <w:tabs>
          <w:tab w:val="left" w:pos="426"/>
        </w:tabs>
        <w:spacing w:line="276" w:lineRule="auto"/>
        <w:ind w:left="567" w:right="616"/>
        <w:jc w:val="both"/>
        <w:rPr>
          <w:rFonts w:ascii="Palatino Linotype" w:eastAsia="Palatino Linotype" w:hAnsi="Palatino Linotype" w:cs="Palatino Linotype"/>
          <w:i/>
          <w:color w:val="000000"/>
          <w:sz w:val="22"/>
          <w:szCs w:val="22"/>
        </w:rPr>
      </w:pPr>
    </w:p>
    <w:p w:rsidR="00ED570A" w:rsidRPr="003B37F6" w:rsidRDefault="00022CBA">
      <w:pPr>
        <w:pBdr>
          <w:top w:val="nil"/>
          <w:left w:val="nil"/>
          <w:bottom w:val="nil"/>
          <w:right w:val="nil"/>
          <w:between w:val="nil"/>
        </w:pBdr>
        <w:tabs>
          <w:tab w:val="left" w:pos="426"/>
        </w:tabs>
        <w:spacing w:line="276" w:lineRule="auto"/>
        <w:ind w:left="567" w:right="616"/>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i/>
          <w:color w:val="000000"/>
          <w:sz w:val="22"/>
          <w:szCs w:val="22"/>
        </w:rPr>
        <w:t xml:space="preserve">Artículo 57.- La Secretaría de Hacienda, las secretarías de finanzas o sus equivalentes de las entidades federativas, así como </w:t>
      </w:r>
      <w:r w:rsidRPr="003B37F6">
        <w:rPr>
          <w:rFonts w:ascii="Palatino Linotype" w:eastAsia="Palatino Linotype" w:hAnsi="Palatino Linotype" w:cs="Palatino Linotype"/>
          <w:b/>
          <w:i/>
          <w:color w:val="000000"/>
          <w:sz w:val="22"/>
          <w:szCs w:val="22"/>
        </w:rPr>
        <w:t>las tesorerías de los municipios y sus equivalentes</w:t>
      </w:r>
      <w:r w:rsidRPr="003B37F6">
        <w:rPr>
          <w:rFonts w:ascii="Palatino Linotype" w:eastAsia="Palatino Linotype" w:hAnsi="Palatino Linotype" w:cs="Palatino Linotype"/>
          <w:i/>
          <w:color w:val="000000"/>
          <w:sz w:val="22"/>
          <w:szCs w:val="22"/>
        </w:rPr>
        <w:t xml:space="preserve"> en las demarcaciones territoriales del Distrito Federal, </w:t>
      </w:r>
      <w:r w:rsidRPr="003B37F6">
        <w:rPr>
          <w:rFonts w:ascii="Palatino Linotype" w:eastAsia="Palatino Linotype" w:hAnsi="Palatino Linotype" w:cs="Palatino Linotype"/>
          <w:b/>
          <w:i/>
          <w:color w:val="000000"/>
          <w:sz w:val="22"/>
          <w:szCs w:val="22"/>
        </w:rPr>
        <w:t>establecerán, en su respectiva página de Internet, los enlaces electrónicos que permitan acceder a la información financiera de todos los entes públicos que conforman el correspondiente orden de gobierno así como a los órganos o instancias de transparencia competentes</w:t>
      </w:r>
      <w:r w:rsidRPr="003B37F6">
        <w:rPr>
          <w:rFonts w:ascii="Palatino Linotype" w:eastAsia="Palatino Linotype" w:hAnsi="Palatino Linotype" w:cs="Palatino Linotype"/>
          <w:i/>
          <w:color w:val="000000"/>
          <w:sz w:val="22"/>
          <w:szCs w:val="22"/>
        </w:rPr>
        <w:t xml:space="preserve">. En el caso de las secretarías de finanzas o sus equivalentes, podrán incluir, previo convenio administrativo, la información financiera de los municipios de la entidad federativa o, en el caso del Distrito Federal, de sus demarcaciones territoriales. </w:t>
      </w:r>
    </w:p>
    <w:p w:rsidR="00ED570A" w:rsidRPr="003B37F6" w:rsidRDefault="00ED570A">
      <w:pPr>
        <w:pBdr>
          <w:top w:val="nil"/>
          <w:left w:val="nil"/>
          <w:bottom w:val="nil"/>
          <w:right w:val="nil"/>
          <w:between w:val="nil"/>
        </w:pBdr>
        <w:tabs>
          <w:tab w:val="left" w:pos="426"/>
        </w:tabs>
        <w:spacing w:line="276" w:lineRule="auto"/>
        <w:ind w:left="567" w:right="616"/>
        <w:jc w:val="both"/>
        <w:rPr>
          <w:rFonts w:ascii="Palatino Linotype" w:eastAsia="Palatino Linotype" w:hAnsi="Palatino Linotype" w:cs="Palatino Linotype"/>
          <w:i/>
          <w:color w:val="000000"/>
          <w:sz w:val="22"/>
          <w:szCs w:val="22"/>
        </w:rPr>
      </w:pPr>
    </w:p>
    <w:p w:rsidR="00ED570A" w:rsidRPr="003B37F6" w:rsidRDefault="00022CBA">
      <w:pPr>
        <w:pBdr>
          <w:top w:val="nil"/>
          <w:left w:val="nil"/>
          <w:bottom w:val="nil"/>
          <w:right w:val="nil"/>
          <w:between w:val="nil"/>
        </w:pBdr>
        <w:tabs>
          <w:tab w:val="left" w:pos="426"/>
        </w:tabs>
        <w:spacing w:line="276" w:lineRule="auto"/>
        <w:ind w:left="567" w:right="616"/>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i/>
          <w:color w:val="000000"/>
          <w:sz w:val="22"/>
          <w:szCs w:val="22"/>
        </w:rPr>
        <w:lastRenderedPageBreak/>
        <w:t xml:space="preserve">Artículo 58.- </w:t>
      </w:r>
      <w:r w:rsidRPr="003B37F6">
        <w:rPr>
          <w:rFonts w:ascii="Palatino Linotype" w:eastAsia="Palatino Linotype" w:hAnsi="Palatino Linotype" w:cs="Palatino Linotype"/>
          <w:b/>
          <w:i/>
          <w:color w:val="000000"/>
          <w:sz w:val="22"/>
          <w:szCs w:val="22"/>
        </w:rPr>
        <w:t>La información financiera que deba incluirse en Internet en términos de este Título deberá publicarse por lo menos trimestralmente</w:t>
      </w:r>
      <w:r w:rsidRPr="003B37F6">
        <w:rPr>
          <w:rFonts w:ascii="Palatino Linotype" w:eastAsia="Palatino Linotype" w:hAnsi="Palatino Linotype" w:cs="Palatino Linotype"/>
          <w:i/>
          <w:color w:val="000000"/>
          <w:sz w:val="22"/>
          <w:szCs w:val="22"/>
        </w:rPr>
        <w:t>, a excepción de los informes y documentos de naturaleza anual y otros que por virtud de esta Ley o disposición legal aplicable tengan un plazo y periodicidad determinada, y difundirse en dicho medio dentro de los treinta días naturales siguientes al cierre del período que corresponda. Asimismo, deberá permanecer disponible en Internet la información correspondiente de los últimos seis ejercicios fiscales.</w:t>
      </w:r>
    </w:p>
    <w:p w:rsidR="00ED570A" w:rsidRPr="003B37F6" w:rsidRDefault="00ED570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ED570A" w:rsidRPr="003B37F6" w:rsidRDefault="00022CBA">
      <w:pPr>
        <w:numPr>
          <w:ilvl w:val="0"/>
          <w:numId w:val="1"/>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 xml:space="preserve"> De la interpretación armónica y progresiva de los preceptos legales se establece que, los entes públicos sujetos al ordenamiento legal, deben publicar su información financiera en sus respectivas páginas de internet y, establece que dicha publicidad debe realizarse </w:t>
      </w:r>
      <w:r w:rsidRPr="003B37F6">
        <w:rPr>
          <w:rFonts w:ascii="Palatino Linotype" w:eastAsia="Palatino Linotype" w:hAnsi="Palatino Linotype" w:cs="Palatino Linotype"/>
          <w:b/>
          <w:i/>
          <w:color w:val="000000"/>
        </w:rPr>
        <w:t>por lo menos trimestralmente</w:t>
      </w:r>
      <w:r w:rsidRPr="003B37F6">
        <w:rPr>
          <w:rFonts w:ascii="Palatino Linotype" w:eastAsia="Palatino Linotype" w:hAnsi="Palatino Linotype" w:cs="Palatino Linotype"/>
          <w:b/>
          <w:color w:val="000000"/>
        </w:rPr>
        <w:t xml:space="preserve">. </w:t>
      </w:r>
      <w:r w:rsidRPr="003B37F6">
        <w:rPr>
          <w:rFonts w:ascii="Palatino Linotype" w:eastAsia="Palatino Linotype" w:hAnsi="Palatino Linotype" w:cs="Palatino Linotype"/>
          <w:color w:val="000000"/>
        </w:rPr>
        <w:t>Este último elemento indica la posibilidad de que la información financiera deba publicarse antes de dicho plazo, ya que no es como tal una obligación que fije que cada trimestre deba hacerse, sino que deja a libre decisión de los entes públicos la publicidad de su información financiera, condicionándola a que, al menos cada tres meses deben hacerlo, pero no es una prohibición para que puedan hacerlo de manera mensual o bimestral.</w:t>
      </w:r>
    </w:p>
    <w:p w:rsidR="00ED570A" w:rsidRPr="003B37F6" w:rsidRDefault="00ED570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ED570A" w:rsidRPr="003B37F6" w:rsidRDefault="00022CBA">
      <w:pPr>
        <w:numPr>
          <w:ilvl w:val="0"/>
          <w:numId w:val="1"/>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 xml:space="preserve">Por otro lado, no pasa desapercibido que el derecho de acceso a la información es un derecho humano constitucional y convencionalmente reconocido, por lo que, todas las autoridades en el ámbito de su competencia, tienen la obligación de promover, </w:t>
      </w:r>
      <w:r w:rsidRPr="003B37F6">
        <w:rPr>
          <w:rFonts w:ascii="Palatino Linotype" w:eastAsia="Palatino Linotype" w:hAnsi="Palatino Linotype" w:cs="Palatino Linotype"/>
          <w:b/>
          <w:color w:val="000000"/>
        </w:rPr>
        <w:t>respetar</w:t>
      </w:r>
      <w:r w:rsidRPr="003B37F6">
        <w:rPr>
          <w:rFonts w:ascii="Palatino Linotype" w:eastAsia="Palatino Linotype" w:hAnsi="Palatino Linotype" w:cs="Palatino Linotype"/>
          <w:color w:val="000000"/>
        </w:rPr>
        <w:t xml:space="preserve">, proteger y </w:t>
      </w:r>
      <w:r w:rsidRPr="003B37F6">
        <w:rPr>
          <w:rFonts w:ascii="Palatino Linotype" w:eastAsia="Palatino Linotype" w:hAnsi="Palatino Linotype" w:cs="Palatino Linotype"/>
          <w:b/>
          <w:color w:val="000000"/>
        </w:rPr>
        <w:t>garantizar</w:t>
      </w:r>
      <w:r w:rsidRPr="003B37F6">
        <w:rPr>
          <w:rFonts w:ascii="Palatino Linotype" w:eastAsia="Palatino Linotype" w:hAnsi="Palatino Linotype" w:cs="Palatino Linotype"/>
          <w:color w:val="000000"/>
        </w:rPr>
        <w:t xml:space="preserve"> el debido acceso a la información, así como la correcta aplicación de la norma.</w:t>
      </w:r>
    </w:p>
    <w:p w:rsidR="00ED570A" w:rsidRPr="003B37F6" w:rsidRDefault="00ED570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ED570A" w:rsidRPr="003B37F6" w:rsidRDefault="00022CBA">
      <w:pPr>
        <w:numPr>
          <w:ilvl w:val="0"/>
          <w:numId w:val="1"/>
        </w:numPr>
        <w:pBdr>
          <w:top w:val="nil"/>
          <w:left w:val="nil"/>
          <w:bottom w:val="nil"/>
          <w:right w:val="nil"/>
          <w:between w:val="nil"/>
        </w:pBdr>
        <w:spacing w:line="360" w:lineRule="auto"/>
        <w:ind w:left="0" w:right="51"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Dicho lo anterior, la normatividad que rige el derecho en cuestión es la Ley de Transparencia y Acceso a la Información Pública del Estado de México y Municipios, la cual se encuentra plasmada en los artículos 4 y 12.</w:t>
      </w:r>
    </w:p>
    <w:p w:rsidR="00ED570A" w:rsidRPr="003B37F6" w:rsidRDefault="00ED570A">
      <w:pPr>
        <w:pBdr>
          <w:top w:val="nil"/>
          <w:left w:val="nil"/>
          <w:bottom w:val="nil"/>
          <w:right w:val="nil"/>
          <w:between w:val="nil"/>
        </w:pBdr>
        <w:spacing w:line="360" w:lineRule="auto"/>
        <w:ind w:right="51"/>
        <w:jc w:val="both"/>
        <w:rPr>
          <w:rFonts w:ascii="Palatino Linotype" w:eastAsia="Palatino Linotype" w:hAnsi="Palatino Linotype" w:cs="Palatino Linotype"/>
          <w:color w:val="000000"/>
        </w:rPr>
      </w:pP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 xml:space="preserve">De lo anterior, se puede advertir que, en el cumplimiento a las obligaciones de transparencia y acceso a la información por parte de los Sujeto Obligados, se tiene que, deben hacer pública toda aquella información que generen, administren o posean, es decir, cualquier información que se encuentre en su posesión por cualquier motivo tiene el carácter de información pública y su acceso será restringido </w:t>
      </w:r>
      <w:r w:rsidRPr="003B37F6">
        <w:rPr>
          <w:rFonts w:ascii="Palatino Linotype" w:eastAsia="Palatino Linotype" w:hAnsi="Palatino Linotype" w:cs="Palatino Linotype"/>
          <w:b/>
          <w:color w:val="000000"/>
        </w:rPr>
        <w:t>únicamente</w:t>
      </w:r>
      <w:r w:rsidRPr="003B37F6">
        <w:rPr>
          <w:rFonts w:ascii="Palatino Linotype" w:eastAsia="Palatino Linotype" w:hAnsi="Palatino Linotype" w:cs="Palatino Linotype"/>
          <w:color w:val="000000"/>
        </w:rPr>
        <w:t xml:space="preserve"> por actualizar alguna causal de clasificación. Además, a la luz del texto de los preceptos legales citados, se tiene un elemento de gran relevancia para el caso que se resuelve, siendo que, el artículo 12, segundo párrafo en los primeros dos renglones indica “</w:t>
      </w:r>
      <w:r w:rsidRPr="003B37F6">
        <w:rPr>
          <w:rFonts w:ascii="Palatino Linotype" w:eastAsia="Palatino Linotype" w:hAnsi="Palatino Linotype" w:cs="Palatino Linotype"/>
          <w:i/>
          <w:color w:val="000000"/>
          <w:sz w:val="22"/>
          <w:szCs w:val="22"/>
        </w:rPr>
        <w:t xml:space="preserve">Los sujetos obligados sólo proporcionarán la información pública que se les requiera y que obre en sus archivos </w:t>
      </w:r>
      <w:r w:rsidRPr="003B37F6">
        <w:rPr>
          <w:rFonts w:ascii="Palatino Linotype" w:eastAsia="Palatino Linotype" w:hAnsi="Palatino Linotype" w:cs="Palatino Linotype"/>
          <w:b/>
          <w:i/>
          <w:color w:val="000000"/>
          <w:sz w:val="22"/>
          <w:szCs w:val="22"/>
        </w:rPr>
        <w:t>y en el estado en que ésta se encuentre</w:t>
      </w:r>
      <w:r w:rsidRPr="003B37F6">
        <w:rPr>
          <w:rFonts w:ascii="Palatino Linotype" w:eastAsia="Palatino Linotype" w:hAnsi="Palatino Linotype" w:cs="Palatino Linotype"/>
          <w:i/>
          <w:color w:val="000000"/>
          <w:sz w:val="22"/>
          <w:szCs w:val="22"/>
        </w:rPr>
        <w:t>.”</w:t>
      </w:r>
    </w:p>
    <w:p w:rsidR="00ED570A" w:rsidRPr="003B37F6" w:rsidRDefault="00ED570A">
      <w:pPr>
        <w:tabs>
          <w:tab w:val="left" w:pos="567"/>
        </w:tabs>
        <w:spacing w:line="360" w:lineRule="auto"/>
        <w:jc w:val="both"/>
        <w:rPr>
          <w:rFonts w:ascii="Palatino Linotype" w:eastAsia="Palatino Linotype" w:hAnsi="Palatino Linotype" w:cs="Palatino Linotype"/>
        </w:rPr>
      </w:pPr>
    </w:p>
    <w:p w:rsidR="00ED570A" w:rsidRPr="003B37F6" w:rsidRDefault="00022CBA">
      <w:pPr>
        <w:numPr>
          <w:ilvl w:val="0"/>
          <w:numId w:val="1"/>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 xml:space="preserve">Bajo la más estricta interpretación del artículo en análisis, se tiene que, los sujetos obligados deben poner a disposición de quien lo solicite la información que se encuentre en su posesión </w:t>
      </w:r>
      <w:r w:rsidRPr="003B37F6">
        <w:rPr>
          <w:rFonts w:ascii="Palatino Linotype" w:eastAsia="Palatino Linotype" w:hAnsi="Palatino Linotype" w:cs="Palatino Linotype"/>
          <w:b/>
          <w:color w:val="000000"/>
        </w:rPr>
        <w:t xml:space="preserve">en el estado en que se encuentre; </w:t>
      </w:r>
      <w:r w:rsidRPr="003B37F6">
        <w:rPr>
          <w:rFonts w:ascii="Palatino Linotype" w:eastAsia="Palatino Linotype" w:hAnsi="Palatino Linotype" w:cs="Palatino Linotype"/>
          <w:color w:val="000000"/>
        </w:rPr>
        <w:t xml:space="preserve">es decir, si el documento requerido es existente, aún y cuando no se encuentre debidamente terminado, concluido, firmado, es un prototipo, un modelo de prueba, es susceptible de ser materia de transparencia y </w:t>
      </w:r>
      <w:r w:rsidRPr="003B37F6">
        <w:rPr>
          <w:rFonts w:ascii="Palatino Linotype" w:eastAsia="Palatino Linotype" w:hAnsi="Palatino Linotype" w:cs="Palatino Linotype"/>
          <w:color w:val="000000"/>
        </w:rPr>
        <w:lastRenderedPageBreak/>
        <w:t>rendición de cuentas y debe privilegiarse su entrega, esto bajo el principio de máxima publicidad, esto siempre que no exista impedimento justificado para su entrega como lo es clasificación por reserva o confidencialidad.</w:t>
      </w:r>
    </w:p>
    <w:p w:rsidR="00ED570A" w:rsidRPr="003B37F6" w:rsidRDefault="00ED570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ED570A" w:rsidRPr="003B37F6" w:rsidRDefault="00022CBA">
      <w:pPr>
        <w:numPr>
          <w:ilvl w:val="0"/>
          <w:numId w:val="1"/>
        </w:numPr>
        <w:pBdr>
          <w:top w:val="nil"/>
          <w:left w:val="nil"/>
          <w:bottom w:val="nil"/>
          <w:right w:val="nil"/>
          <w:between w:val="nil"/>
        </w:pBdr>
        <w:tabs>
          <w:tab w:val="left" w:pos="567"/>
        </w:tabs>
        <w:spacing w:line="360" w:lineRule="auto"/>
        <w:ind w:left="0"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 xml:space="preserve">Entonces, el Sujeto Obligado en ningún momento </w:t>
      </w:r>
      <w:r w:rsidRPr="003B37F6">
        <w:rPr>
          <w:rFonts w:ascii="Palatino Linotype" w:eastAsia="Palatino Linotype" w:hAnsi="Palatino Linotype" w:cs="Palatino Linotype"/>
          <w:color w:val="000000"/>
          <w:u w:val="single"/>
        </w:rPr>
        <w:t>dijo que no ha generado la información o que no cuenta con ella</w:t>
      </w:r>
      <w:r w:rsidRPr="003B37F6">
        <w:rPr>
          <w:rFonts w:ascii="Palatino Linotype" w:eastAsia="Palatino Linotype" w:hAnsi="Palatino Linotype" w:cs="Palatino Linotype"/>
          <w:color w:val="000000"/>
        </w:rPr>
        <w:t>, sino que, manifestó que la misma podía ser consultada directamente en las oficinas que ocupa la Dirección de Administración y la Tesorería Municipal, esto es, que la información que se trata no actualiza ninguna causal de clasificación, así como tampoco existe un impedimento justificado para restringir el derecho del particular, pues, se insiste, es imperante el derecho humano de acceso a la información, en apego al principio de máxima publicidad por ser información existente y que obra en los archivos del Sujeto Obligado, en consecuencia, debe ser proporcionada a quien la solicite.</w:t>
      </w:r>
    </w:p>
    <w:p w:rsidR="00ED570A" w:rsidRPr="003B37F6" w:rsidRDefault="00ED570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 xml:space="preserve">Ahora bien, no debemos perder de vista que el particular solicitó el pago de dietas y gastos de gasolina de los vehículos oficiales. </w:t>
      </w:r>
    </w:p>
    <w:p w:rsidR="00ED570A" w:rsidRPr="003B37F6" w:rsidRDefault="00ED570A">
      <w:pPr>
        <w:pBdr>
          <w:top w:val="nil"/>
          <w:left w:val="nil"/>
          <w:bottom w:val="nil"/>
          <w:right w:val="nil"/>
          <w:between w:val="nil"/>
        </w:pBdr>
        <w:ind w:left="720"/>
        <w:rPr>
          <w:rFonts w:ascii="Palatino Linotype" w:eastAsia="Palatino Linotype" w:hAnsi="Palatino Linotype" w:cs="Palatino Linotype"/>
          <w:color w:val="000000"/>
        </w:rPr>
      </w:pPr>
    </w:p>
    <w:p w:rsidR="00ED570A" w:rsidRPr="003B37F6" w:rsidRDefault="00022CBA">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Dicho lo anterior, es necesario traer a colación la Ley Orgánica Municipal del Estado de México en los artículos 93, 94 y 95, los cuales disponen lo siguiente:</w:t>
      </w:r>
    </w:p>
    <w:p w:rsidR="00ED570A" w:rsidRPr="003B37F6" w:rsidRDefault="00ED570A">
      <w:pPr>
        <w:pBdr>
          <w:top w:val="nil"/>
          <w:left w:val="nil"/>
          <w:bottom w:val="nil"/>
          <w:right w:val="nil"/>
          <w:between w:val="nil"/>
        </w:pBdr>
        <w:ind w:left="720"/>
        <w:rPr>
          <w:rFonts w:ascii="Palatino Linotype" w:eastAsia="Palatino Linotype" w:hAnsi="Palatino Linotype" w:cs="Palatino Linotype"/>
          <w:color w:val="000000"/>
        </w:rPr>
      </w:pPr>
    </w:p>
    <w:p w:rsidR="00ED570A" w:rsidRPr="003B37F6" w:rsidRDefault="00022CBA">
      <w:pPr>
        <w:spacing w:line="360" w:lineRule="auto"/>
        <w:ind w:left="567" w:right="616"/>
        <w:jc w:val="center"/>
        <w:rPr>
          <w:rFonts w:ascii="Palatino Linotype" w:eastAsia="Palatino Linotype" w:hAnsi="Palatino Linotype" w:cs="Palatino Linotype"/>
          <w:b/>
          <w:i/>
          <w:sz w:val="22"/>
          <w:szCs w:val="22"/>
        </w:rPr>
      </w:pPr>
      <w:r w:rsidRPr="003B37F6">
        <w:rPr>
          <w:rFonts w:ascii="Palatino Linotype" w:eastAsia="Palatino Linotype" w:hAnsi="Palatino Linotype" w:cs="Palatino Linotype"/>
          <w:b/>
          <w:i/>
          <w:sz w:val="22"/>
          <w:szCs w:val="22"/>
        </w:rPr>
        <w:t>CAPITULO SEGUNDO</w:t>
      </w:r>
    </w:p>
    <w:p w:rsidR="00ED570A" w:rsidRPr="003B37F6" w:rsidRDefault="00022CBA">
      <w:pPr>
        <w:spacing w:line="360" w:lineRule="auto"/>
        <w:ind w:left="567" w:right="616"/>
        <w:jc w:val="center"/>
        <w:rPr>
          <w:rFonts w:ascii="Palatino Linotype" w:eastAsia="Palatino Linotype" w:hAnsi="Palatino Linotype" w:cs="Palatino Linotype"/>
          <w:b/>
          <w:i/>
          <w:sz w:val="22"/>
          <w:szCs w:val="22"/>
        </w:rPr>
      </w:pPr>
      <w:r w:rsidRPr="003B37F6">
        <w:rPr>
          <w:rFonts w:ascii="Palatino Linotype" w:eastAsia="Palatino Linotype" w:hAnsi="Palatino Linotype" w:cs="Palatino Linotype"/>
          <w:b/>
          <w:i/>
          <w:sz w:val="22"/>
          <w:szCs w:val="22"/>
        </w:rPr>
        <w:t>De la Tesorería Municipal</w:t>
      </w:r>
    </w:p>
    <w:p w:rsidR="00ED570A" w:rsidRPr="003B37F6" w:rsidRDefault="00ED570A">
      <w:pPr>
        <w:spacing w:line="360" w:lineRule="auto"/>
        <w:ind w:left="567" w:right="616"/>
        <w:jc w:val="both"/>
        <w:rPr>
          <w:rFonts w:ascii="Palatino Linotype" w:eastAsia="Palatino Linotype" w:hAnsi="Palatino Linotype" w:cs="Palatino Linotype"/>
          <w:i/>
          <w:sz w:val="22"/>
          <w:szCs w:val="22"/>
        </w:rPr>
      </w:pPr>
    </w:p>
    <w:p w:rsidR="00ED570A" w:rsidRPr="003B37F6" w:rsidRDefault="00022CBA">
      <w:pPr>
        <w:spacing w:line="360" w:lineRule="auto"/>
        <w:ind w:left="567" w:right="616"/>
        <w:jc w:val="both"/>
        <w:rPr>
          <w:rFonts w:ascii="Palatino Linotype" w:eastAsia="Palatino Linotype" w:hAnsi="Palatino Linotype" w:cs="Palatino Linotype"/>
          <w:i/>
          <w:sz w:val="22"/>
          <w:szCs w:val="22"/>
        </w:rPr>
      </w:pPr>
      <w:r w:rsidRPr="003B37F6">
        <w:rPr>
          <w:rFonts w:ascii="Palatino Linotype" w:eastAsia="Palatino Linotype" w:hAnsi="Palatino Linotype" w:cs="Palatino Linotype"/>
          <w:i/>
          <w:sz w:val="22"/>
          <w:szCs w:val="22"/>
        </w:rPr>
        <w:t xml:space="preserve">Artículo 93.- La tesorería municipal es el órgano encargado de la recaudación de los ingresos municipales y responsable de realizar las erogaciones que haga el ayuntamiento. </w:t>
      </w:r>
    </w:p>
    <w:p w:rsidR="00ED570A" w:rsidRPr="003B37F6" w:rsidRDefault="00022CBA">
      <w:pPr>
        <w:spacing w:line="360" w:lineRule="auto"/>
        <w:ind w:left="567" w:right="616"/>
        <w:jc w:val="both"/>
        <w:rPr>
          <w:rFonts w:ascii="Palatino Linotype" w:eastAsia="Palatino Linotype" w:hAnsi="Palatino Linotype" w:cs="Palatino Linotype"/>
          <w:i/>
          <w:sz w:val="22"/>
          <w:szCs w:val="22"/>
        </w:rPr>
      </w:pPr>
      <w:r w:rsidRPr="003B37F6">
        <w:rPr>
          <w:rFonts w:ascii="Palatino Linotype" w:eastAsia="Palatino Linotype" w:hAnsi="Palatino Linotype" w:cs="Palatino Linotype"/>
          <w:i/>
          <w:sz w:val="22"/>
          <w:szCs w:val="22"/>
        </w:rPr>
        <w:t>Artículo 94.- El tesorero municipal, al tomar posesión de su cargo, recibirá la hacienda pública de acuerdo con las previsiones a que se refiere el artículo 19 de esta Ley y remitirá un ejemplar de dicha documentación al ayuntamiento, al Órgano Superior de Fiscalización del Estado de México y al archivo de la tesorería.</w:t>
      </w:r>
    </w:p>
    <w:p w:rsidR="00ED570A" w:rsidRPr="003B37F6" w:rsidRDefault="00ED570A">
      <w:pPr>
        <w:spacing w:line="360" w:lineRule="auto"/>
        <w:ind w:left="567" w:right="616"/>
        <w:jc w:val="both"/>
        <w:rPr>
          <w:rFonts w:ascii="Palatino Linotype" w:eastAsia="Palatino Linotype" w:hAnsi="Palatino Linotype" w:cs="Palatino Linotype"/>
          <w:i/>
          <w:sz w:val="22"/>
          <w:szCs w:val="22"/>
        </w:rPr>
      </w:pPr>
    </w:p>
    <w:p w:rsidR="00ED570A" w:rsidRPr="003B37F6" w:rsidRDefault="00022CBA">
      <w:pPr>
        <w:spacing w:line="360" w:lineRule="auto"/>
        <w:ind w:left="567" w:right="616"/>
        <w:jc w:val="both"/>
        <w:rPr>
          <w:rFonts w:ascii="Palatino Linotype" w:eastAsia="Palatino Linotype" w:hAnsi="Palatino Linotype" w:cs="Palatino Linotype"/>
          <w:i/>
          <w:sz w:val="22"/>
          <w:szCs w:val="22"/>
        </w:rPr>
      </w:pPr>
      <w:r w:rsidRPr="003B37F6">
        <w:rPr>
          <w:rFonts w:ascii="Palatino Linotype" w:eastAsia="Palatino Linotype" w:hAnsi="Palatino Linotype" w:cs="Palatino Linotype"/>
          <w:i/>
          <w:sz w:val="22"/>
          <w:szCs w:val="22"/>
        </w:rPr>
        <w:t>Artículo 95.- Son atribuciones del tesorero municipal:</w:t>
      </w:r>
    </w:p>
    <w:p w:rsidR="00ED570A" w:rsidRPr="003B37F6" w:rsidRDefault="00022CBA">
      <w:pPr>
        <w:spacing w:line="360" w:lineRule="auto"/>
        <w:ind w:left="567" w:right="616"/>
        <w:jc w:val="both"/>
        <w:rPr>
          <w:rFonts w:ascii="Palatino Linotype" w:eastAsia="Palatino Linotype" w:hAnsi="Palatino Linotype" w:cs="Palatino Linotype"/>
          <w:i/>
          <w:sz w:val="22"/>
          <w:szCs w:val="22"/>
        </w:rPr>
      </w:pPr>
      <w:r w:rsidRPr="003B37F6">
        <w:rPr>
          <w:rFonts w:ascii="Palatino Linotype" w:eastAsia="Palatino Linotype" w:hAnsi="Palatino Linotype" w:cs="Palatino Linotype"/>
          <w:i/>
          <w:sz w:val="22"/>
          <w:szCs w:val="22"/>
        </w:rPr>
        <w:t xml:space="preserve">I. Administrar la hacienda pública municipal, de conformidad con las disposiciones legales aplicables; </w:t>
      </w:r>
    </w:p>
    <w:p w:rsidR="00ED570A" w:rsidRPr="003B37F6" w:rsidRDefault="00022CBA">
      <w:pPr>
        <w:spacing w:line="360" w:lineRule="auto"/>
        <w:ind w:left="567" w:right="616"/>
        <w:jc w:val="both"/>
        <w:rPr>
          <w:rFonts w:ascii="Palatino Linotype" w:eastAsia="Palatino Linotype" w:hAnsi="Palatino Linotype" w:cs="Palatino Linotype"/>
          <w:i/>
          <w:sz w:val="22"/>
          <w:szCs w:val="22"/>
        </w:rPr>
      </w:pPr>
      <w:r w:rsidRPr="003B37F6">
        <w:rPr>
          <w:rFonts w:ascii="Palatino Linotype" w:eastAsia="Palatino Linotype" w:hAnsi="Palatino Linotype" w:cs="Palatino Linotype"/>
          <w:i/>
          <w:sz w:val="22"/>
          <w:szCs w:val="22"/>
        </w:rPr>
        <w:t>II. Determinar, liquidar, recaudar, fiscalizar y administrar las contribuciones en los términos de los ordenamientos jurídicos aplicables y, en su caso, aplicar el procedimiento administrativo de ejecución en términos de las disposiciones aplicables;</w:t>
      </w:r>
    </w:p>
    <w:p w:rsidR="00ED570A" w:rsidRPr="003B37F6" w:rsidRDefault="00022CBA">
      <w:pPr>
        <w:spacing w:line="360" w:lineRule="auto"/>
        <w:ind w:left="567" w:right="616"/>
        <w:jc w:val="both"/>
        <w:rPr>
          <w:rFonts w:ascii="Palatino Linotype" w:eastAsia="Palatino Linotype" w:hAnsi="Palatino Linotype" w:cs="Palatino Linotype"/>
          <w:i/>
          <w:sz w:val="22"/>
          <w:szCs w:val="22"/>
        </w:rPr>
      </w:pPr>
      <w:r w:rsidRPr="003B37F6">
        <w:rPr>
          <w:rFonts w:ascii="Palatino Linotype" w:eastAsia="Palatino Linotype" w:hAnsi="Palatino Linotype" w:cs="Palatino Linotype"/>
          <w:i/>
          <w:sz w:val="22"/>
          <w:szCs w:val="22"/>
        </w:rPr>
        <w:t xml:space="preserve">… </w:t>
      </w:r>
    </w:p>
    <w:p w:rsidR="00ED570A" w:rsidRPr="003B37F6" w:rsidRDefault="00022CBA">
      <w:pPr>
        <w:spacing w:line="360" w:lineRule="auto"/>
        <w:ind w:left="567" w:right="616"/>
        <w:jc w:val="both"/>
        <w:rPr>
          <w:rFonts w:ascii="Palatino Linotype" w:eastAsia="Palatino Linotype" w:hAnsi="Palatino Linotype" w:cs="Palatino Linotype"/>
          <w:i/>
          <w:sz w:val="22"/>
          <w:szCs w:val="22"/>
        </w:rPr>
      </w:pPr>
      <w:r w:rsidRPr="003B37F6">
        <w:rPr>
          <w:rFonts w:ascii="Palatino Linotype" w:eastAsia="Palatino Linotype" w:hAnsi="Palatino Linotype" w:cs="Palatino Linotype"/>
          <w:i/>
          <w:sz w:val="22"/>
          <w:szCs w:val="22"/>
        </w:rPr>
        <w:t>IV. Llevar los registros contables, financieros y administrativos de los ingresos, egresos, e inventarios;</w:t>
      </w:r>
    </w:p>
    <w:p w:rsidR="00ED570A" w:rsidRPr="003B37F6" w:rsidRDefault="00ED570A">
      <w:pPr>
        <w:pBdr>
          <w:top w:val="nil"/>
          <w:left w:val="nil"/>
          <w:bottom w:val="nil"/>
          <w:right w:val="nil"/>
          <w:between w:val="nil"/>
        </w:pBdr>
        <w:ind w:left="720"/>
        <w:rPr>
          <w:rFonts w:ascii="Palatino Linotype" w:eastAsia="Palatino Linotype" w:hAnsi="Palatino Linotype" w:cs="Palatino Linotype"/>
          <w:color w:val="000000"/>
        </w:rPr>
      </w:pPr>
    </w:p>
    <w:p w:rsidR="00ED570A" w:rsidRPr="003B37F6" w:rsidRDefault="00ED570A">
      <w:pPr>
        <w:pBdr>
          <w:top w:val="nil"/>
          <w:left w:val="nil"/>
          <w:bottom w:val="nil"/>
          <w:right w:val="nil"/>
          <w:between w:val="nil"/>
        </w:pBdr>
        <w:ind w:left="720"/>
        <w:rPr>
          <w:rFonts w:ascii="Palatino Linotype" w:eastAsia="Palatino Linotype" w:hAnsi="Palatino Linotype" w:cs="Palatino Linotype"/>
          <w:color w:val="000000"/>
        </w:rPr>
      </w:pPr>
    </w:p>
    <w:p w:rsidR="00ED570A" w:rsidRPr="003B37F6" w:rsidRDefault="00022CBA">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 xml:space="preserve">De la anterior normatividad se determina que el área encargada de realizar las erogaciones, pago de dietas y asignación de los vehículos oficiales y asignación de gasto de gasolina de los mismos, es la Tesorería Municipal y la Dirección de Administración, </w:t>
      </w:r>
      <w:r w:rsidRPr="003B37F6">
        <w:rPr>
          <w:rFonts w:ascii="Palatino Linotype" w:eastAsia="Palatino Linotype" w:hAnsi="Palatino Linotype" w:cs="Palatino Linotype"/>
          <w:color w:val="000000"/>
        </w:rPr>
        <w:lastRenderedPageBreak/>
        <w:t>adicionalmente, la Ley de Transparencia y Acceso a la Información Pública del Estado de México y Municipios en el artículo 92 fracción IX, establece los siguiente:</w:t>
      </w:r>
    </w:p>
    <w:p w:rsidR="00ED570A" w:rsidRPr="003B37F6" w:rsidRDefault="00ED570A">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rsidR="00ED570A" w:rsidRPr="003B37F6" w:rsidRDefault="00022CBA">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i/>
          <w:color w:val="000000"/>
          <w:sz w:val="22"/>
          <w:szCs w:val="22"/>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ED570A" w:rsidRPr="003B37F6" w:rsidRDefault="00022CBA">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i/>
          <w:color w:val="000000"/>
          <w:sz w:val="22"/>
          <w:szCs w:val="22"/>
        </w:rPr>
        <w:t>…</w:t>
      </w:r>
    </w:p>
    <w:p w:rsidR="00ED570A" w:rsidRPr="003B37F6" w:rsidRDefault="00022CBA">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i/>
          <w:color w:val="000000"/>
          <w:sz w:val="22"/>
          <w:szCs w:val="22"/>
        </w:rPr>
        <w:t>IX. Los gastos de representación y viáticos, así como el objeto e informe de comisión correspondiente;</w:t>
      </w:r>
    </w:p>
    <w:p w:rsidR="00ED570A" w:rsidRPr="003B37F6" w:rsidRDefault="00022CBA">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i/>
          <w:color w:val="000000"/>
          <w:sz w:val="22"/>
          <w:szCs w:val="22"/>
        </w:rPr>
        <w:t>…</w:t>
      </w:r>
    </w:p>
    <w:p w:rsidR="00ED570A" w:rsidRPr="003B37F6" w:rsidRDefault="00ED570A">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rsidR="00ED570A" w:rsidRPr="003B37F6" w:rsidRDefault="00022CBA">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La información solicitada por el particular, de acuerdo a la normatividad en materia es considerada como obligación de transparencia común, esto es que, los sujetos obligados deben de poner a disposición de manera permanente y actualizada de forma sencilla, precisa y entendible en los respectivos medios electrónicos para el conocimiento del público en general, en consecuencia, se ordena realizar un búsqueda exhaustiva y razonable a efecto de que se localice y entregue la información requerida.</w:t>
      </w:r>
    </w:p>
    <w:p w:rsidR="00ED570A" w:rsidRPr="003B37F6" w:rsidRDefault="00ED570A">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rsidR="00ED570A" w:rsidRPr="003B37F6" w:rsidRDefault="00022CBA">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 xml:space="preserve">Por lo que corresponde a nombres y sueldos de los servidores públicos adscritos a la Presidencia Municipal, es necesario enfatizar que, las remuneraciones que reciben </w:t>
      </w:r>
      <w:r w:rsidRPr="003B37F6">
        <w:rPr>
          <w:rFonts w:ascii="Palatino Linotype" w:eastAsia="Palatino Linotype" w:hAnsi="Palatino Linotype" w:cs="Palatino Linotype"/>
          <w:color w:val="000000"/>
        </w:rPr>
        <w:lastRenderedPageBreak/>
        <w:t>los servidores públicos por la prestación de sus servicios ante una Institución Pública es información de carácter pública, aún y cuando pudiera tratarse de datos personales. Si bien es cierto, las personas físicas tienen derecho a la protección de sus datos personales, también lo es que, los servidores públicos al establecer una relación laboral con un ente público sujeto a la transparencia y rendición de cuentas que su último fin es servir a la ciudadanía, implica que la esfera de protección a sus datos personales sea reducida, en comparación a una persona ajena al quehacer gubernamental, ya que es imperante la obligación de la transparencia y rendición de cuentas en el Estado Mexicano y las percepciones reflejan el ejercicio de los recursos del erario público.</w:t>
      </w:r>
    </w:p>
    <w:p w:rsidR="00ED570A" w:rsidRPr="003B37F6" w:rsidRDefault="00ED570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ED570A" w:rsidRPr="003B37F6" w:rsidRDefault="00022CBA">
      <w:pPr>
        <w:numPr>
          <w:ilvl w:val="0"/>
          <w:numId w:val="1"/>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Sirve de apoyo a lo anterior por analogía, los criterios 01/2003 y 02/2003 emitidos por el Comité de Acceso a la Información y Protección de Datos Personales de la Suprema Corte de Justicia de la Nación que a continuación se citan:</w:t>
      </w:r>
    </w:p>
    <w:p w:rsidR="00ED570A" w:rsidRPr="003B37F6" w:rsidRDefault="00ED570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ED570A" w:rsidRPr="003B37F6" w:rsidRDefault="00022CBA">
      <w:pPr>
        <w:tabs>
          <w:tab w:val="left" w:pos="851"/>
        </w:tabs>
        <w:spacing w:line="276" w:lineRule="auto"/>
        <w:ind w:left="567" w:right="567"/>
        <w:jc w:val="center"/>
        <w:rPr>
          <w:rFonts w:ascii="Palatino Linotype" w:eastAsia="Palatino Linotype" w:hAnsi="Palatino Linotype" w:cs="Palatino Linotype"/>
          <w:b/>
          <w:i/>
          <w:color w:val="000000"/>
          <w:sz w:val="22"/>
          <w:szCs w:val="22"/>
        </w:rPr>
      </w:pPr>
      <w:r w:rsidRPr="003B37F6">
        <w:rPr>
          <w:rFonts w:ascii="Palatino Linotype" w:eastAsia="Palatino Linotype" w:hAnsi="Palatino Linotype" w:cs="Palatino Linotype"/>
          <w:b/>
          <w:i/>
          <w:color w:val="000000"/>
          <w:sz w:val="22"/>
          <w:szCs w:val="22"/>
        </w:rPr>
        <w:t>Criterio 01/2003.</w:t>
      </w:r>
    </w:p>
    <w:p w:rsidR="00ED570A" w:rsidRPr="003B37F6" w:rsidRDefault="00022CBA">
      <w:pPr>
        <w:tabs>
          <w:tab w:val="left" w:pos="851"/>
        </w:tabs>
        <w:spacing w:line="276" w:lineRule="auto"/>
        <w:ind w:left="567" w:right="567"/>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b/>
          <w:i/>
          <w:color w:val="000000"/>
          <w:sz w:val="22"/>
          <w:szCs w:val="22"/>
        </w:rPr>
        <w:t>INGRESOS DE LOS SERVIDORES PÚBLICOS. CONSTITUYEN INFORMACIÓN PÚBLICA AÚN CUANDO SU DIFUSIÓN PUEDE AFECTAR LA VIDA O LA SEGURIDAD DE AQUELLOS</w:t>
      </w:r>
      <w:r w:rsidRPr="003B37F6">
        <w:rPr>
          <w:rFonts w:ascii="Palatino Linotype" w:eastAsia="Palatino Linotype" w:hAnsi="Palatino Linotype" w:cs="Palatino Linotype"/>
          <w:i/>
          <w:color w:val="000000"/>
          <w:sz w:val="22"/>
          <w:szCs w:val="22"/>
        </w:rPr>
        <w:t xml:space="preserve">. ”Si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w:t>
      </w:r>
      <w:r w:rsidRPr="003B37F6">
        <w:rPr>
          <w:rFonts w:ascii="Palatino Linotype" w:eastAsia="Palatino Linotype" w:hAnsi="Palatino Linotype" w:cs="Palatino Linotype"/>
          <w:i/>
          <w:color w:val="000000"/>
          <w:sz w:val="22"/>
          <w:szCs w:val="22"/>
        </w:rPr>
        <w:lastRenderedPageBreak/>
        <w:t>como una obligación de trasparencia, 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p>
    <w:p w:rsidR="00ED570A" w:rsidRPr="003B37F6" w:rsidRDefault="00ED570A">
      <w:pPr>
        <w:tabs>
          <w:tab w:val="left" w:pos="851"/>
        </w:tabs>
        <w:spacing w:line="276" w:lineRule="auto"/>
        <w:ind w:left="567" w:right="567"/>
        <w:jc w:val="both"/>
        <w:rPr>
          <w:rFonts w:ascii="Palatino Linotype" w:eastAsia="Palatino Linotype" w:hAnsi="Palatino Linotype" w:cs="Palatino Linotype"/>
          <w:i/>
          <w:color w:val="000000"/>
          <w:sz w:val="22"/>
          <w:szCs w:val="22"/>
        </w:rPr>
      </w:pPr>
    </w:p>
    <w:p w:rsidR="00ED570A" w:rsidRPr="003B37F6" w:rsidRDefault="00022CBA">
      <w:pPr>
        <w:tabs>
          <w:tab w:val="left" w:pos="851"/>
        </w:tabs>
        <w:spacing w:line="276" w:lineRule="auto"/>
        <w:ind w:left="567" w:right="567"/>
        <w:jc w:val="center"/>
        <w:rPr>
          <w:rFonts w:ascii="Palatino Linotype" w:eastAsia="Palatino Linotype" w:hAnsi="Palatino Linotype" w:cs="Palatino Linotype"/>
          <w:b/>
          <w:i/>
          <w:color w:val="000000"/>
          <w:sz w:val="22"/>
          <w:szCs w:val="22"/>
        </w:rPr>
      </w:pPr>
      <w:r w:rsidRPr="003B37F6">
        <w:rPr>
          <w:rFonts w:ascii="Palatino Linotype" w:eastAsia="Palatino Linotype" w:hAnsi="Palatino Linotype" w:cs="Palatino Linotype"/>
          <w:b/>
          <w:i/>
          <w:color w:val="000000"/>
          <w:sz w:val="22"/>
          <w:szCs w:val="22"/>
        </w:rPr>
        <w:t>Criterio 02/2003.</w:t>
      </w:r>
    </w:p>
    <w:p w:rsidR="00ED570A" w:rsidRPr="003B37F6" w:rsidRDefault="00022CBA">
      <w:pPr>
        <w:tabs>
          <w:tab w:val="left" w:pos="851"/>
        </w:tabs>
        <w:spacing w:line="276" w:lineRule="auto"/>
        <w:ind w:left="567" w:right="567"/>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b/>
          <w:i/>
          <w:color w:val="000000"/>
          <w:sz w:val="22"/>
          <w:szCs w:val="22"/>
        </w:rPr>
        <w:t>INGRESOS DE LOS SERVIDORES PÚBLICOS, SON INFORMACIÓN PÚBLICA AÚN CUANDO CONSTITUYEN DATOS PERSONALES QUE SE REFIEREN AL PATRIMONIO DE AQUÉLLOS.</w:t>
      </w:r>
      <w:r w:rsidRPr="003B37F6">
        <w:rPr>
          <w:rFonts w:ascii="Palatino Linotype" w:eastAsia="Palatino Linotype" w:hAnsi="Palatino Linotype" w:cs="Palatino Linotype"/>
          <w:i/>
          <w:color w:val="000000"/>
          <w:sz w:val="22"/>
          <w:szCs w:val="22"/>
        </w:rPr>
        <w:t xml:space="preserve"> “De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 para su difusión no se requiere consentimiento de aquellos, 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 el sistema de compensación…”</w:t>
      </w:r>
    </w:p>
    <w:p w:rsidR="00ED570A" w:rsidRPr="003B37F6" w:rsidRDefault="00ED570A">
      <w:pPr>
        <w:tabs>
          <w:tab w:val="left" w:pos="567"/>
        </w:tabs>
        <w:spacing w:line="360" w:lineRule="auto"/>
        <w:jc w:val="both"/>
        <w:rPr>
          <w:rFonts w:ascii="Palatino Linotype" w:eastAsia="Palatino Linotype" w:hAnsi="Palatino Linotype" w:cs="Palatino Linotype"/>
        </w:rPr>
      </w:pPr>
    </w:p>
    <w:p w:rsidR="00ED570A" w:rsidRPr="003B37F6" w:rsidRDefault="00022CBA">
      <w:pPr>
        <w:numPr>
          <w:ilvl w:val="0"/>
          <w:numId w:val="1"/>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Además, al ser una erogación que realiza el Sujeto Obligado y al ser a cargo de fondos públicos, erogaciones son fiscalizadas por la Legislatura a través del Órgano Superior de Fiscalización. Bajo dicha tesitura es que resulta que dicha información debe ser pública.</w:t>
      </w:r>
    </w:p>
    <w:p w:rsidR="00ED570A" w:rsidRPr="003B37F6" w:rsidRDefault="00ED570A">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ED570A" w:rsidRPr="003B37F6" w:rsidRDefault="00022CBA">
      <w:pPr>
        <w:numPr>
          <w:ilvl w:val="0"/>
          <w:numId w:val="1"/>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i/>
          <w:color w:val="000000"/>
        </w:rPr>
      </w:pPr>
      <w:r w:rsidRPr="003B37F6">
        <w:rPr>
          <w:rFonts w:ascii="Palatino Linotype" w:eastAsia="Palatino Linotype" w:hAnsi="Palatino Linotype" w:cs="Palatino Linotype"/>
          <w:color w:val="000000"/>
        </w:rPr>
        <w:t xml:space="preserve">Dicho lo anterior, se determina que no hay justificación legal para que el SUJETO OBLIGADO no haga entrega de la información solicitada, toda vez que, bajo el </w:t>
      </w:r>
      <w:r w:rsidRPr="003B37F6">
        <w:rPr>
          <w:rFonts w:ascii="Palatino Linotype" w:eastAsia="Palatino Linotype" w:hAnsi="Palatino Linotype" w:cs="Palatino Linotype"/>
          <w:color w:val="000000"/>
        </w:rPr>
        <w:lastRenderedPageBreak/>
        <w:t>principio de máxima publicidad, toda la información en posesión del Sujeto Obligado tiene el carácter de información pública y debe ser puesta a disposición de quien lo solicite en apego al artículo 11 de la Ley de Transparencia y Acceso a la Información Pública del Estado de México y Municipios.</w:t>
      </w:r>
    </w:p>
    <w:p w:rsidR="00ED570A" w:rsidRPr="003B37F6" w:rsidRDefault="00ED570A">
      <w:pPr>
        <w:pBdr>
          <w:top w:val="nil"/>
          <w:left w:val="nil"/>
          <w:bottom w:val="nil"/>
          <w:right w:val="nil"/>
          <w:between w:val="nil"/>
        </w:pBdr>
        <w:ind w:left="720"/>
        <w:rPr>
          <w:rFonts w:ascii="Palatino Linotype" w:eastAsia="Palatino Linotype" w:hAnsi="Palatino Linotype" w:cs="Palatino Linotype"/>
          <w:color w:val="000000"/>
        </w:rPr>
      </w:pPr>
    </w:p>
    <w:p w:rsidR="00ED570A" w:rsidRPr="003B37F6" w:rsidRDefault="00022CBA">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 xml:space="preserve">Situación que en el presente asunto no ocurrió, entonces, no se cumplió lo que dispone el artículo 166, primer párrafo, del mismo ordenamiento legal </w:t>
      </w:r>
    </w:p>
    <w:p w:rsidR="00ED570A" w:rsidRPr="003B37F6" w:rsidRDefault="00ED570A">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p>
    <w:p w:rsidR="00ED570A" w:rsidRPr="003B37F6" w:rsidRDefault="00022CBA">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i/>
          <w:color w:val="000000"/>
          <w:sz w:val="22"/>
          <w:szCs w:val="22"/>
        </w:rPr>
        <w:t>Artículo 166. La obligación de acceso a la información pública se tendrá por cumplida cuando el solicitante tenga a su disposición la información requerida, o cuando realice la consulta de la misma en el lugar en el que ésta se localice.</w:t>
      </w:r>
    </w:p>
    <w:p w:rsidR="00ED570A" w:rsidRPr="003B37F6" w:rsidRDefault="00022CBA">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sz w:val="22"/>
          <w:szCs w:val="22"/>
        </w:rPr>
      </w:pPr>
      <w:r w:rsidRPr="003B37F6">
        <w:rPr>
          <w:rFonts w:ascii="Palatino Linotype" w:eastAsia="Palatino Linotype" w:hAnsi="Palatino Linotype" w:cs="Palatino Linotype"/>
          <w:i/>
          <w:color w:val="000000"/>
          <w:sz w:val="22"/>
          <w:szCs w:val="22"/>
        </w:rPr>
        <w:t>…</w:t>
      </w:r>
    </w:p>
    <w:p w:rsidR="00ED570A" w:rsidRPr="003B37F6" w:rsidRDefault="00ED570A">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rsidR="00ED570A" w:rsidRPr="003B37F6" w:rsidRDefault="00022CBA">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Para la correcta elaboración de las versiones públicas, es necesario que el Sujeto Obligado esté a lo dispuesto en el siguiente considerando.</w:t>
      </w:r>
    </w:p>
    <w:p w:rsidR="00ED570A" w:rsidRPr="003B37F6" w:rsidRDefault="00ED570A">
      <w:pPr>
        <w:pBdr>
          <w:top w:val="nil"/>
          <w:left w:val="nil"/>
          <w:bottom w:val="nil"/>
          <w:right w:val="nil"/>
          <w:between w:val="nil"/>
        </w:pBdr>
        <w:ind w:left="720"/>
        <w:rPr>
          <w:rFonts w:ascii="Palatino Linotype" w:eastAsia="Palatino Linotype" w:hAnsi="Palatino Linotype" w:cs="Palatino Linotype"/>
          <w:color w:val="000000"/>
        </w:rPr>
      </w:pPr>
    </w:p>
    <w:p w:rsidR="009B5728" w:rsidRPr="003B37F6" w:rsidRDefault="009B5728" w:rsidP="009B5728">
      <w:pPr>
        <w:pBdr>
          <w:top w:val="nil"/>
          <w:left w:val="nil"/>
          <w:bottom w:val="nil"/>
          <w:right w:val="nil"/>
          <w:between w:val="nil"/>
        </w:pBdr>
        <w:spacing w:line="360" w:lineRule="auto"/>
        <w:ind w:right="1"/>
        <w:jc w:val="both"/>
        <w:rPr>
          <w:rFonts w:ascii="Palatino Linotype" w:eastAsia="Palatino Linotype" w:hAnsi="Palatino Linotype" w:cs="Palatino Linotype"/>
          <w:b/>
          <w:color w:val="000000"/>
        </w:rPr>
      </w:pPr>
      <w:r w:rsidRPr="003B37F6">
        <w:rPr>
          <w:rFonts w:ascii="Palatino Linotype" w:eastAsia="Palatino Linotype" w:hAnsi="Palatino Linotype" w:cs="Palatino Linotype"/>
          <w:b/>
          <w:color w:val="000000"/>
        </w:rPr>
        <w:t>QUINTO.  De la versión pública.</w:t>
      </w:r>
    </w:p>
    <w:p w:rsidR="009B5728" w:rsidRPr="003B37F6" w:rsidRDefault="009B5728" w:rsidP="009B5728">
      <w:pPr>
        <w:pStyle w:val="Prrafodelista"/>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 xml:space="preserve">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w:t>
      </w:r>
      <w:r w:rsidRPr="003B37F6">
        <w:rPr>
          <w:rFonts w:ascii="Palatino Linotype" w:eastAsia="Palatino Linotype" w:hAnsi="Palatino Linotype" w:cs="Palatino Linotype"/>
        </w:rPr>
        <w:lastRenderedPageBreak/>
        <w:t>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rsidR="009B5728" w:rsidRPr="003B37F6" w:rsidRDefault="009B5728" w:rsidP="009B5728">
      <w:pPr>
        <w:spacing w:line="360" w:lineRule="auto"/>
        <w:rPr>
          <w:rFonts w:ascii="Palatino Linotype" w:eastAsia="Palatino Linotype" w:hAnsi="Palatino Linotype" w:cs="Palatino Linotype"/>
        </w:rPr>
      </w:pPr>
    </w:p>
    <w:p w:rsidR="009B5728" w:rsidRPr="003B37F6" w:rsidRDefault="009B5728" w:rsidP="009B5728">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Por su parte, la Ley General de Transparencia y Acceso a la Información Pública, en su artículo 116, dispone que se considera información confidencial la que contenga datos personales concernientes a una persona física identificada o identificable. Además,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rsidR="009B5728" w:rsidRPr="003B37F6" w:rsidRDefault="009B5728" w:rsidP="009B5728">
      <w:pPr>
        <w:spacing w:line="360" w:lineRule="auto"/>
        <w:rPr>
          <w:rFonts w:ascii="Palatino Linotype" w:eastAsia="Palatino Linotype" w:hAnsi="Palatino Linotype" w:cs="Palatino Linotype"/>
        </w:rPr>
      </w:pPr>
    </w:p>
    <w:p w:rsidR="009B5728" w:rsidRPr="003B37F6" w:rsidRDefault="009B5728" w:rsidP="009B5728">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rsidR="009B5728" w:rsidRPr="003B37F6" w:rsidRDefault="009B5728" w:rsidP="009B5728">
      <w:pPr>
        <w:spacing w:line="360" w:lineRule="auto"/>
        <w:rPr>
          <w:rFonts w:ascii="Palatino Linotype" w:eastAsia="Palatino Linotype" w:hAnsi="Palatino Linotype" w:cs="Palatino Linotype"/>
        </w:rPr>
      </w:pPr>
    </w:p>
    <w:p w:rsidR="009B5728" w:rsidRPr="003B37F6" w:rsidRDefault="009B5728" w:rsidP="009B5728">
      <w:pPr>
        <w:numPr>
          <w:ilvl w:val="0"/>
          <w:numId w:val="1"/>
        </w:numP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lastRenderedPageBreak/>
        <w:t>En concordancia con lo previo, el artículo 143, fracción I, de la Ley previamente citada, establece que la información privada y los datos personales, concernientes a una persona física o jurídica colectiva identificada o identificable son confidenciales.</w:t>
      </w:r>
    </w:p>
    <w:p w:rsidR="009B5728" w:rsidRPr="003B37F6" w:rsidRDefault="009B5728" w:rsidP="009B5728">
      <w:pPr>
        <w:spacing w:line="360" w:lineRule="auto"/>
        <w:rPr>
          <w:rFonts w:ascii="Palatino Linotype" w:eastAsia="Palatino Linotype" w:hAnsi="Palatino Linotype" w:cs="Palatino Linotype"/>
        </w:rPr>
      </w:pPr>
    </w:p>
    <w:p w:rsidR="009B5728" w:rsidRPr="003B37F6" w:rsidRDefault="009B5728" w:rsidP="009B5728">
      <w:pPr>
        <w:numPr>
          <w:ilvl w:val="0"/>
          <w:numId w:val="1"/>
        </w:numP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rsidR="009B5728" w:rsidRPr="003B37F6" w:rsidRDefault="009B5728" w:rsidP="009B5728">
      <w:pPr>
        <w:spacing w:line="360" w:lineRule="auto"/>
        <w:rPr>
          <w:rFonts w:ascii="Palatino Linotype" w:eastAsia="Palatino Linotype" w:hAnsi="Palatino Linotype" w:cs="Palatino Linotype"/>
        </w:rPr>
      </w:pPr>
    </w:p>
    <w:p w:rsidR="009B5728" w:rsidRPr="003B37F6" w:rsidRDefault="009B5728" w:rsidP="009B5728">
      <w:pPr>
        <w:numPr>
          <w:ilvl w:val="0"/>
          <w:numId w:val="1"/>
        </w:numP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En términos de lo expuesto, la documentación y aquellos datos que se consideren confidenciales, serán una limitante del derecho de acceso a la información, siempre y cuando:</w:t>
      </w:r>
    </w:p>
    <w:p w:rsidR="009B5728" w:rsidRPr="003B37F6" w:rsidRDefault="009B5728" w:rsidP="009B5728">
      <w:pPr>
        <w:spacing w:line="360" w:lineRule="auto"/>
        <w:rPr>
          <w:rFonts w:ascii="Palatino Linotype" w:eastAsia="Palatino Linotype" w:hAnsi="Palatino Linotype" w:cs="Palatino Linotype"/>
        </w:rPr>
      </w:pPr>
    </w:p>
    <w:p w:rsidR="009B5728" w:rsidRPr="003B37F6" w:rsidRDefault="009B5728" w:rsidP="009B5728">
      <w:pPr>
        <w:numPr>
          <w:ilvl w:val="0"/>
          <w:numId w:val="18"/>
        </w:numPr>
        <w:spacing w:line="360" w:lineRule="auto"/>
        <w:jc w:val="both"/>
        <w:rPr>
          <w:rFonts w:ascii="Palatino Linotype" w:eastAsia="Palatino Linotype" w:hAnsi="Palatino Linotype" w:cs="Palatino Linotype"/>
        </w:rPr>
      </w:pPr>
      <w:r w:rsidRPr="003B37F6">
        <w:rPr>
          <w:rFonts w:ascii="Palatino Linotype" w:eastAsia="Palatino Linotype" w:hAnsi="Palatino Linotype" w:cs="Palatino Linotype"/>
        </w:rPr>
        <w:t xml:space="preserve">Se trate de datos personales o información privada; esto es, información concerniente a una persona física o jurídico colectiva y que esta sea identificada o identificable. </w:t>
      </w:r>
    </w:p>
    <w:p w:rsidR="009B5728" w:rsidRPr="003B37F6" w:rsidRDefault="009B5728" w:rsidP="009B5728">
      <w:pPr>
        <w:spacing w:line="360" w:lineRule="auto"/>
        <w:rPr>
          <w:rFonts w:ascii="Palatino Linotype" w:eastAsia="Palatino Linotype" w:hAnsi="Palatino Linotype" w:cs="Palatino Linotype"/>
        </w:rPr>
      </w:pPr>
    </w:p>
    <w:p w:rsidR="009B5728" w:rsidRPr="003B37F6" w:rsidRDefault="009B5728" w:rsidP="009B5728">
      <w:pPr>
        <w:numPr>
          <w:ilvl w:val="0"/>
          <w:numId w:val="18"/>
        </w:numPr>
        <w:spacing w:line="360" w:lineRule="auto"/>
        <w:jc w:val="both"/>
        <w:rPr>
          <w:rFonts w:ascii="Palatino Linotype" w:eastAsia="Palatino Linotype" w:hAnsi="Palatino Linotype" w:cs="Palatino Linotype"/>
        </w:rPr>
      </w:pPr>
      <w:r w:rsidRPr="003B37F6">
        <w:rPr>
          <w:rFonts w:ascii="Palatino Linotype" w:eastAsia="Palatino Linotype" w:hAnsi="Palatino Linotype" w:cs="Palatino Linotype"/>
        </w:rPr>
        <w:t xml:space="preserve">Para la difusión de los datos, se requiera el consentimiento del titular. </w:t>
      </w:r>
    </w:p>
    <w:p w:rsidR="009B5728" w:rsidRPr="003B37F6" w:rsidRDefault="009B5728" w:rsidP="009B5728">
      <w:pPr>
        <w:spacing w:line="360" w:lineRule="auto"/>
        <w:rPr>
          <w:rFonts w:ascii="Palatino Linotype" w:eastAsia="Palatino Linotype" w:hAnsi="Palatino Linotype" w:cs="Palatino Linotype"/>
        </w:rPr>
      </w:pPr>
    </w:p>
    <w:p w:rsidR="009B5728" w:rsidRPr="003B37F6" w:rsidRDefault="009B5728" w:rsidP="009B5728">
      <w:pPr>
        <w:numPr>
          <w:ilvl w:val="0"/>
          <w:numId w:val="1"/>
        </w:numP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rsidR="009B5728" w:rsidRPr="003B37F6" w:rsidRDefault="009B5728" w:rsidP="009B5728">
      <w:pPr>
        <w:spacing w:line="360" w:lineRule="auto"/>
        <w:rPr>
          <w:rFonts w:ascii="Palatino Linotype" w:eastAsia="Palatino Linotype" w:hAnsi="Palatino Linotype" w:cs="Palatino Linotype"/>
        </w:rPr>
      </w:pPr>
    </w:p>
    <w:p w:rsidR="009B5728" w:rsidRPr="003B37F6" w:rsidRDefault="009B5728" w:rsidP="009B5728">
      <w:pPr>
        <w:numPr>
          <w:ilvl w:val="0"/>
          <w:numId w:val="1"/>
        </w:numP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Además, en el artículo 5° de dicho ordenamiento jurídico, establece que es la Ley aplicable para todo tratamiento de datos personales.</w:t>
      </w:r>
    </w:p>
    <w:p w:rsidR="009B5728" w:rsidRPr="003B37F6" w:rsidRDefault="009B5728" w:rsidP="009B5728">
      <w:pPr>
        <w:spacing w:line="360" w:lineRule="auto"/>
        <w:rPr>
          <w:rFonts w:ascii="Palatino Linotype" w:eastAsia="Palatino Linotype" w:hAnsi="Palatino Linotype" w:cs="Palatino Linotype"/>
        </w:rPr>
      </w:pPr>
    </w:p>
    <w:p w:rsidR="009B5728" w:rsidRPr="003B37F6" w:rsidRDefault="009B5728" w:rsidP="009B5728">
      <w:pPr>
        <w:numPr>
          <w:ilvl w:val="0"/>
          <w:numId w:val="1"/>
        </w:numP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 xml:space="preserve">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w:t>
      </w:r>
      <w:r w:rsidRPr="003B37F6">
        <w:rPr>
          <w:rFonts w:ascii="Palatino Linotype" w:eastAsia="Palatino Linotype" w:hAnsi="Palatino Linotype" w:cs="Palatino Linotype"/>
        </w:rPr>
        <w:lastRenderedPageBreak/>
        <w:t>exclusivamente a sus atribuciones legales y con el consentimiento de su titular, además de que debe estar justificado en ley (principio de finalidad).</w:t>
      </w:r>
    </w:p>
    <w:p w:rsidR="009B5728" w:rsidRPr="003B37F6" w:rsidRDefault="009B5728" w:rsidP="009B5728">
      <w:pPr>
        <w:spacing w:line="360" w:lineRule="auto"/>
        <w:rPr>
          <w:rFonts w:ascii="Palatino Linotype" w:eastAsia="Palatino Linotype" w:hAnsi="Palatino Linotype" w:cs="Palatino Linotype"/>
        </w:rPr>
      </w:pPr>
    </w:p>
    <w:p w:rsidR="009B5728" w:rsidRPr="003B37F6" w:rsidRDefault="009B5728" w:rsidP="009B5728">
      <w:pPr>
        <w:numPr>
          <w:ilvl w:val="0"/>
          <w:numId w:val="1"/>
        </w:numP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rsidR="009B5728" w:rsidRPr="003B37F6" w:rsidRDefault="009B5728" w:rsidP="009B5728">
      <w:pPr>
        <w:spacing w:line="360" w:lineRule="auto"/>
        <w:rPr>
          <w:rFonts w:ascii="Palatino Linotype" w:eastAsia="Palatino Linotype" w:hAnsi="Palatino Linotype" w:cs="Palatino Linotype"/>
        </w:rPr>
      </w:pPr>
    </w:p>
    <w:p w:rsidR="009B5728" w:rsidRPr="003B37F6" w:rsidRDefault="009B5728" w:rsidP="009B5728">
      <w:pPr>
        <w:numPr>
          <w:ilvl w:val="0"/>
          <w:numId w:val="1"/>
        </w:numP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rsidR="009B5728" w:rsidRPr="003B37F6" w:rsidRDefault="009B5728" w:rsidP="009B5728">
      <w:pPr>
        <w:spacing w:line="360" w:lineRule="auto"/>
        <w:rPr>
          <w:rFonts w:ascii="Palatino Linotype" w:eastAsia="Palatino Linotype" w:hAnsi="Palatino Linotype" w:cs="Palatino Linotype"/>
        </w:rPr>
      </w:pPr>
    </w:p>
    <w:p w:rsidR="009B5728" w:rsidRPr="003B37F6" w:rsidRDefault="009B5728" w:rsidP="009B5728">
      <w:pPr>
        <w:numPr>
          <w:ilvl w:val="0"/>
          <w:numId w:val="1"/>
        </w:numP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lastRenderedPageBreak/>
        <w:t>De tal suerte, las instituciones públicas tienen la doble responsabilidad, por un lado, de proteger los datos personales y por otro, darles publicidad cuando la relevancia de esos datos sea de interés público.</w:t>
      </w:r>
    </w:p>
    <w:p w:rsidR="009B5728" w:rsidRPr="003B37F6" w:rsidRDefault="009B5728" w:rsidP="009B5728">
      <w:pPr>
        <w:spacing w:line="360" w:lineRule="auto"/>
        <w:rPr>
          <w:rFonts w:ascii="Palatino Linotype" w:eastAsia="Palatino Linotype" w:hAnsi="Palatino Linotype" w:cs="Palatino Linotype"/>
        </w:rPr>
      </w:pPr>
    </w:p>
    <w:p w:rsidR="009B5728" w:rsidRPr="003B37F6" w:rsidRDefault="009B5728" w:rsidP="009B5728">
      <w:pPr>
        <w:numPr>
          <w:ilvl w:val="0"/>
          <w:numId w:val="1"/>
        </w:numP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rsidR="009B5728" w:rsidRPr="003B37F6" w:rsidRDefault="009B5728" w:rsidP="009B5728">
      <w:pPr>
        <w:spacing w:line="360" w:lineRule="auto"/>
        <w:rPr>
          <w:rFonts w:ascii="Palatino Linotype" w:eastAsia="Palatino Linotype" w:hAnsi="Palatino Linotype" w:cs="Palatino Linotype"/>
        </w:rPr>
      </w:pPr>
    </w:p>
    <w:p w:rsidR="009B5728" w:rsidRPr="003B37F6" w:rsidRDefault="009B5728" w:rsidP="009B5728">
      <w:pPr>
        <w:numPr>
          <w:ilvl w:val="0"/>
          <w:numId w:val="1"/>
        </w:numP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 xml:space="preserve">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w:t>
      </w:r>
      <w:r w:rsidRPr="003B37F6">
        <w:rPr>
          <w:rFonts w:ascii="Palatino Linotype" w:eastAsia="Palatino Linotype" w:hAnsi="Palatino Linotype" w:cs="Palatino Linotype"/>
        </w:rPr>
        <w:lastRenderedPageBreak/>
        <w:t>cuentas, constituyen información de naturaleza pública, en razón de que el beneficio de su publicidad es mayor que el beneficio de su clasificación, aun tratándose de información personal.</w:t>
      </w:r>
    </w:p>
    <w:p w:rsidR="009B5728" w:rsidRPr="003B37F6" w:rsidRDefault="009B5728" w:rsidP="009B5728">
      <w:pPr>
        <w:spacing w:line="360" w:lineRule="auto"/>
        <w:rPr>
          <w:rFonts w:ascii="Palatino Linotype" w:eastAsia="Palatino Linotype" w:hAnsi="Palatino Linotype" w:cs="Palatino Linotype"/>
        </w:rPr>
      </w:pPr>
    </w:p>
    <w:p w:rsidR="009B5728" w:rsidRPr="003B37F6" w:rsidRDefault="009B5728" w:rsidP="009B5728">
      <w:pPr>
        <w:numPr>
          <w:ilvl w:val="0"/>
          <w:numId w:val="1"/>
        </w:numP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rsidR="009B5728" w:rsidRPr="003B37F6" w:rsidRDefault="009B5728" w:rsidP="009B5728">
      <w:pPr>
        <w:spacing w:line="360" w:lineRule="auto"/>
        <w:jc w:val="both"/>
        <w:rPr>
          <w:rFonts w:ascii="Palatino Linotype" w:eastAsia="Palatino Linotype" w:hAnsi="Palatino Linotype" w:cs="Palatino Linotype"/>
        </w:rPr>
      </w:pPr>
    </w:p>
    <w:p w:rsidR="009B5728" w:rsidRPr="003B37F6" w:rsidRDefault="009B5728" w:rsidP="009B5728">
      <w:pPr>
        <w:numPr>
          <w:ilvl w:val="0"/>
          <w:numId w:val="16"/>
        </w:numPr>
        <w:spacing w:line="360" w:lineRule="auto"/>
        <w:jc w:val="both"/>
        <w:rPr>
          <w:rFonts w:ascii="Palatino Linotype" w:eastAsia="Palatino Linotype" w:hAnsi="Palatino Linotype" w:cs="Palatino Linotype"/>
          <w:b/>
        </w:rPr>
      </w:pPr>
      <w:r w:rsidRPr="003B37F6">
        <w:rPr>
          <w:rFonts w:ascii="Palatino Linotype" w:eastAsia="Palatino Linotype" w:hAnsi="Palatino Linotype" w:cs="Palatino Linotype"/>
          <w:b/>
        </w:rPr>
        <w:t>Clave Única de Registro de Población (CURP)</w:t>
      </w:r>
    </w:p>
    <w:p w:rsidR="009B5728" w:rsidRPr="003B37F6" w:rsidRDefault="009B5728" w:rsidP="009B5728">
      <w:pPr>
        <w:numPr>
          <w:ilvl w:val="0"/>
          <w:numId w:val="1"/>
        </w:numP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El artículo 36 de la Constitución Política de los Estados Unidos Mexicanos, dispone la obligación de los ciudadanos de inscribirse en el Registro Nacional de Ciudadanos; además, el diverso 85 de la Ley General de Población, prevé que corresponde a la Secretaría de Gobernación el registro y acreditación de la identidad de todas las personas residentes en el país y de los nacionales que residan en el extranjero.</w:t>
      </w:r>
    </w:p>
    <w:p w:rsidR="009B5728" w:rsidRPr="003B37F6" w:rsidRDefault="009B5728" w:rsidP="009B5728">
      <w:pPr>
        <w:spacing w:line="360" w:lineRule="auto"/>
        <w:rPr>
          <w:rFonts w:ascii="Palatino Linotype" w:eastAsia="Palatino Linotype" w:hAnsi="Palatino Linotype" w:cs="Palatino Linotype"/>
        </w:rPr>
      </w:pPr>
    </w:p>
    <w:p w:rsidR="009B5728" w:rsidRPr="003B37F6" w:rsidRDefault="009B5728" w:rsidP="009B5728">
      <w:pPr>
        <w:numPr>
          <w:ilvl w:val="0"/>
          <w:numId w:val="1"/>
        </w:numP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 xml:space="preserve">Acorde con lo anterior, el artículo 22 del Reglamento Interior de la Secretaría de Gobernación, establece en su fracción III, que la Dirección General del Registro Nacional </w:t>
      </w:r>
      <w:r w:rsidRPr="003B37F6">
        <w:rPr>
          <w:rFonts w:ascii="Palatino Linotype" w:eastAsia="Palatino Linotype" w:hAnsi="Palatino Linotype" w:cs="Palatino Linotype"/>
        </w:rPr>
        <w:lastRenderedPageBreak/>
        <w:t>de Población e Identificación Personal tiene la atribución de asignar y depurar la Clave Única de Registro de Población a todas las personas residentes en el país, así como a los mexicanos que residan en el extranjero.</w:t>
      </w:r>
    </w:p>
    <w:p w:rsidR="009B5728" w:rsidRPr="003B37F6" w:rsidRDefault="009B5728" w:rsidP="009B5728">
      <w:pPr>
        <w:spacing w:line="360" w:lineRule="auto"/>
        <w:jc w:val="both"/>
        <w:rPr>
          <w:rFonts w:ascii="Palatino Linotype" w:eastAsia="Palatino Linotype" w:hAnsi="Palatino Linotype" w:cs="Palatino Linotype"/>
        </w:rPr>
      </w:pPr>
    </w:p>
    <w:p w:rsidR="009B5728" w:rsidRPr="003B37F6" w:rsidRDefault="009B5728" w:rsidP="009B5728">
      <w:pPr>
        <w:numPr>
          <w:ilvl w:val="0"/>
          <w:numId w:val="1"/>
        </w:numP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 xml:space="preserve">En ese orden de ideas, la Secretaría de Gobernación en las direcciones https://consultas.curp.gob.mx/CurpSP/html/informacionecurpPS.html y </w:t>
      </w:r>
      <w:hyperlink r:id="rId13">
        <w:r w:rsidRPr="003B37F6">
          <w:rPr>
            <w:rFonts w:ascii="Palatino Linotype" w:eastAsia="Palatino Linotype" w:hAnsi="Palatino Linotype" w:cs="Palatino Linotype"/>
            <w:color w:val="0563C1"/>
            <w:u w:val="single"/>
          </w:rPr>
          <w:t>https://www.gob.mx/segob/renapo/acciones-y-programas/clave-unica-de-registro-de-poblacion-curp-142226</w:t>
        </w:r>
      </w:hyperlink>
      <w:r w:rsidRPr="003B37F6">
        <w:rPr>
          <w:rFonts w:ascii="Palatino Linotype" w:eastAsia="Palatino Linotype" w:hAnsi="Palatino Linotype" w:cs="Palatino Linotype"/>
        </w:rPr>
        <w:t xml:space="preserve"> (consultadas el catorce de diciembre de dos mil veintitrés), estableció que la Clave Única del Registro de Población, es un instrumento de registro que se asigna a todas las personas que viven en el territorio nacional, así como a los mexicanos que residen en el extranjero y se compone de dieciocho elementos, representados por letras y números, que se generan a partir de los datos contenidos en el documento probatorio de la identidad del interesado (acta de nacimiento, carta de naturalización o documento migratorio) de la siguiente forma:</w:t>
      </w:r>
    </w:p>
    <w:p w:rsidR="009B5728" w:rsidRPr="003B37F6" w:rsidRDefault="009B5728" w:rsidP="009B5728">
      <w:pPr>
        <w:spacing w:line="360" w:lineRule="auto"/>
        <w:rPr>
          <w:rFonts w:ascii="Palatino Linotype" w:eastAsia="Palatino Linotype" w:hAnsi="Palatino Linotype" w:cs="Palatino Linotype"/>
        </w:rPr>
      </w:pPr>
    </w:p>
    <w:p w:rsidR="009B5728" w:rsidRPr="003B37F6" w:rsidRDefault="009B5728" w:rsidP="009B5728">
      <w:pPr>
        <w:spacing w:line="360" w:lineRule="auto"/>
        <w:ind w:left="567"/>
        <w:rPr>
          <w:rFonts w:ascii="Palatino Linotype" w:eastAsia="Palatino Linotype" w:hAnsi="Palatino Linotype" w:cs="Palatino Linotype"/>
        </w:rPr>
      </w:pPr>
      <w:r w:rsidRPr="003B37F6">
        <w:rPr>
          <w:rFonts w:ascii="Palatino Linotype" w:eastAsia="Palatino Linotype" w:hAnsi="Palatino Linotype" w:cs="Palatino Linotype"/>
        </w:rPr>
        <w:t>•</w:t>
      </w:r>
      <w:r w:rsidRPr="003B37F6">
        <w:rPr>
          <w:rFonts w:ascii="Palatino Linotype" w:eastAsia="Palatino Linotype" w:hAnsi="Palatino Linotype" w:cs="Palatino Linotype"/>
        </w:rPr>
        <w:tab/>
        <w:t>El primero y segundo apellidos, así como al nombre de pila;</w:t>
      </w:r>
    </w:p>
    <w:p w:rsidR="009B5728" w:rsidRPr="003B37F6" w:rsidRDefault="009B5728" w:rsidP="009B5728">
      <w:pPr>
        <w:spacing w:line="360" w:lineRule="auto"/>
        <w:ind w:left="567"/>
        <w:rPr>
          <w:rFonts w:ascii="Palatino Linotype" w:eastAsia="Palatino Linotype" w:hAnsi="Palatino Linotype" w:cs="Palatino Linotype"/>
        </w:rPr>
      </w:pPr>
      <w:r w:rsidRPr="003B37F6">
        <w:rPr>
          <w:rFonts w:ascii="Palatino Linotype" w:eastAsia="Palatino Linotype" w:hAnsi="Palatino Linotype" w:cs="Palatino Linotype"/>
        </w:rPr>
        <w:t>•</w:t>
      </w:r>
      <w:r w:rsidRPr="003B37F6">
        <w:rPr>
          <w:rFonts w:ascii="Palatino Linotype" w:eastAsia="Palatino Linotype" w:hAnsi="Palatino Linotype" w:cs="Palatino Linotype"/>
        </w:rPr>
        <w:tab/>
        <w:t>La fecha de nacimiento;</w:t>
      </w:r>
    </w:p>
    <w:p w:rsidR="009B5728" w:rsidRPr="003B37F6" w:rsidRDefault="009B5728" w:rsidP="009B5728">
      <w:pPr>
        <w:spacing w:line="360" w:lineRule="auto"/>
        <w:ind w:left="567"/>
        <w:rPr>
          <w:rFonts w:ascii="Palatino Linotype" w:eastAsia="Palatino Linotype" w:hAnsi="Palatino Linotype" w:cs="Palatino Linotype"/>
        </w:rPr>
      </w:pPr>
      <w:r w:rsidRPr="003B37F6">
        <w:rPr>
          <w:rFonts w:ascii="Palatino Linotype" w:eastAsia="Palatino Linotype" w:hAnsi="Palatino Linotype" w:cs="Palatino Linotype"/>
        </w:rPr>
        <w:t>•</w:t>
      </w:r>
      <w:r w:rsidRPr="003B37F6">
        <w:rPr>
          <w:rFonts w:ascii="Palatino Linotype" w:eastAsia="Palatino Linotype" w:hAnsi="Palatino Linotype" w:cs="Palatino Linotype"/>
        </w:rPr>
        <w:tab/>
        <w:t>El sexo, y</w:t>
      </w:r>
    </w:p>
    <w:p w:rsidR="009B5728" w:rsidRPr="003B37F6" w:rsidRDefault="009B5728" w:rsidP="009B5728">
      <w:pPr>
        <w:spacing w:line="360" w:lineRule="auto"/>
        <w:ind w:left="567"/>
        <w:rPr>
          <w:rFonts w:ascii="Palatino Linotype" w:eastAsia="Palatino Linotype" w:hAnsi="Palatino Linotype" w:cs="Palatino Linotype"/>
        </w:rPr>
      </w:pPr>
      <w:r w:rsidRPr="003B37F6">
        <w:rPr>
          <w:rFonts w:ascii="Palatino Linotype" w:eastAsia="Palatino Linotype" w:hAnsi="Palatino Linotype" w:cs="Palatino Linotype"/>
        </w:rPr>
        <w:t>•</w:t>
      </w:r>
      <w:r w:rsidRPr="003B37F6">
        <w:rPr>
          <w:rFonts w:ascii="Palatino Linotype" w:eastAsia="Palatino Linotype" w:hAnsi="Palatino Linotype" w:cs="Palatino Linotype"/>
        </w:rPr>
        <w:tab/>
        <w:t>La entidad federativa de nacimiento.</w:t>
      </w:r>
    </w:p>
    <w:p w:rsidR="009B5728" w:rsidRPr="003B37F6" w:rsidRDefault="009B5728" w:rsidP="009B5728">
      <w:pPr>
        <w:spacing w:line="360" w:lineRule="auto"/>
        <w:ind w:left="567"/>
        <w:rPr>
          <w:rFonts w:ascii="Palatino Linotype" w:eastAsia="Palatino Linotype" w:hAnsi="Palatino Linotype" w:cs="Palatino Linotype"/>
        </w:rPr>
      </w:pPr>
    </w:p>
    <w:p w:rsidR="009B5728" w:rsidRPr="003B37F6" w:rsidRDefault="009B5728" w:rsidP="009B5728">
      <w:pPr>
        <w:numPr>
          <w:ilvl w:val="0"/>
          <w:numId w:val="1"/>
        </w:numP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lastRenderedPageBreak/>
        <w:t>Los dos últimos elementos de la Clave Única de Registro de Población evitan la duplicidad de la Clave y garantizan su correcta integración. Como se desprende de lo anterior, la Clave Única de Registro de Población es un dato personal confidencial, ya que por sí sola brinda información personal de su titular y lo hace identificado e identificable, motivo por el cual se aprueba su eliminación de las versiones públicas, ya que además no guarda relación con el desempeño laboral de un individuo, simplemente se trata de un trámite administrativo requerido por la autoridad federal para hacer identificables a las personas.</w:t>
      </w:r>
    </w:p>
    <w:p w:rsidR="009B5728" w:rsidRPr="003B37F6" w:rsidRDefault="009B5728" w:rsidP="009B5728">
      <w:pPr>
        <w:spacing w:line="360" w:lineRule="auto"/>
        <w:rPr>
          <w:rFonts w:ascii="Palatino Linotype" w:eastAsia="Palatino Linotype" w:hAnsi="Palatino Linotype" w:cs="Palatino Linotype"/>
        </w:rPr>
      </w:pPr>
    </w:p>
    <w:p w:rsidR="009B5728" w:rsidRPr="003B37F6" w:rsidRDefault="009B5728" w:rsidP="009B5728">
      <w:pPr>
        <w:numPr>
          <w:ilvl w:val="0"/>
          <w:numId w:val="1"/>
        </w:numP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Situación que se robustece, con el Criterio de Interpretación, de la Segunda Época, con número de registro SO/018/2017, emitido por el Instituto Nacional de Transparencia, Acceso a la Información y Protección de Datos Personales, que establece lo siguiente:</w:t>
      </w:r>
    </w:p>
    <w:p w:rsidR="009B5728" w:rsidRPr="003B37F6" w:rsidRDefault="009B5728" w:rsidP="009B5728">
      <w:pPr>
        <w:spacing w:line="360" w:lineRule="auto"/>
        <w:rPr>
          <w:rFonts w:ascii="Palatino Linotype" w:eastAsia="Palatino Linotype" w:hAnsi="Palatino Linotype" w:cs="Palatino Linotype"/>
        </w:rPr>
      </w:pPr>
    </w:p>
    <w:p w:rsidR="009B5728" w:rsidRPr="003B37F6" w:rsidRDefault="009B5728" w:rsidP="009B5728">
      <w:pPr>
        <w:spacing w:line="360" w:lineRule="auto"/>
        <w:ind w:left="567" w:right="539"/>
        <w:jc w:val="both"/>
        <w:rPr>
          <w:rFonts w:ascii="Palatino Linotype" w:eastAsia="Palatino Linotype" w:hAnsi="Palatino Linotype" w:cs="Palatino Linotype"/>
          <w:i/>
        </w:rPr>
      </w:pPr>
      <w:r w:rsidRPr="003B37F6">
        <w:rPr>
          <w:rFonts w:ascii="Palatino Linotype" w:eastAsia="Palatino Linotype" w:hAnsi="Palatino Linotype" w:cs="Palatino Linotype"/>
          <w:b/>
          <w:i/>
        </w:rPr>
        <w:t xml:space="preserve">“Clave Única de Registro de Población (CURP). </w:t>
      </w:r>
      <w:r w:rsidRPr="003B37F6">
        <w:rPr>
          <w:rFonts w:ascii="Palatino Linotype" w:eastAsia="Palatino Linotype" w:hAnsi="Palatino Linotype" w:cs="Palatino Linotype"/>
          <w:i/>
        </w:rPr>
        <w:t xml:space="preserve">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rsidR="009B5728" w:rsidRPr="003B37F6" w:rsidRDefault="009B5728" w:rsidP="009B5728">
      <w:pPr>
        <w:spacing w:line="360" w:lineRule="auto"/>
        <w:rPr>
          <w:rFonts w:ascii="Palatino Linotype" w:eastAsia="Palatino Linotype" w:hAnsi="Palatino Linotype" w:cs="Palatino Linotype"/>
        </w:rPr>
      </w:pPr>
    </w:p>
    <w:p w:rsidR="009B5728" w:rsidRPr="003B37F6" w:rsidRDefault="009B5728" w:rsidP="009B5728">
      <w:pPr>
        <w:numPr>
          <w:ilvl w:val="0"/>
          <w:numId w:val="1"/>
        </w:numP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lastRenderedPageBreak/>
        <w:t xml:space="preserve">De acuerdo con lo anterior, resulta procedente la clasificación de </w:t>
      </w:r>
      <w:r w:rsidRPr="003B37F6">
        <w:rPr>
          <w:rFonts w:ascii="Palatino Linotype" w:eastAsia="Palatino Linotype" w:hAnsi="Palatino Linotype" w:cs="Palatino Linotype"/>
          <w:b/>
        </w:rPr>
        <w:t>la Clave Única de Registro de Población</w:t>
      </w:r>
      <w:r w:rsidRPr="003B37F6">
        <w:rPr>
          <w:rFonts w:ascii="Palatino Linotype" w:eastAsia="Palatino Linotype" w:hAnsi="Palatino Linotype" w:cs="Palatino Linotype"/>
        </w:rPr>
        <w:t xml:space="preserve">, por tratarse de un dato personal confidencial, en términos del artículo 143, fracción I, de la Ley de Transparencia y Acceso a la Información Pública del Estado de México y Municipios. </w:t>
      </w:r>
    </w:p>
    <w:p w:rsidR="009B5728" w:rsidRPr="003B37F6" w:rsidRDefault="009B5728" w:rsidP="009B5728">
      <w:pPr>
        <w:spacing w:line="360" w:lineRule="auto"/>
        <w:jc w:val="both"/>
        <w:rPr>
          <w:rFonts w:ascii="Palatino Linotype" w:eastAsia="Palatino Linotype" w:hAnsi="Palatino Linotype" w:cs="Palatino Linotype"/>
        </w:rPr>
      </w:pPr>
    </w:p>
    <w:p w:rsidR="009B5728" w:rsidRPr="003B37F6" w:rsidRDefault="009B5728" w:rsidP="009B5728">
      <w:pPr>
        <w:numPr>
          <w:ilvl w:val="0"/>
          <w:numId w:val="15"/>
        </w:numPr>
        <w:spacing w:line="360" w:lineRule="auto"/>
        <w:jc w:val="both"/>
        <w:rPr>
          <w:rFonts w:ascii="Palatino Linotype" w:eastAsia="Palatino Linotype" w:hAnsi="Palatino Linotype" w:cs="Palatino Linotype"/>
          <w:b/>
        </w:rPr>
      </w:pPr>
      <w:r w:rsidRPr="003B37F6">
        <w:rPr>
          <w:rFonts w:ascii="Palatino Linotype" w:eastAsia="Palatino Linotype" w:hAnsi="Palatino Linotype" w:cs="Palatino Linotype"/>
          <w:b/>
        </w:rPr>
        <w:t xml:space="preserve">Código bidimensional o </w:t>
      </w:r>
      <w:proofErr w:type="spellStart"/>
      <w:r w:rsidRPr="003B37F6">
        <w:rPr>
          <w:rFonts w:ascii="Palatino Linotype" w:eastAsia="Palatino Linotype" w:hAnsi="Palatino Linotype" w:cs="Palatino Linotype"/>
          <w:b/>
        </w:rPr>
        <w:t>Qr</w:t>
      </w:r>
      <w:proofErr w:type="spellEnd"/>
    </w:p>
    <w:p w:rsidR="009B5728" w:rsidRPr="003B37F6" w:rsidRDefault="009B5728" w:rsidP="009B5728">
      <w:pPr>
        <w:numPr>
          <w:ilvl w:val="0"/>
          <w:numId w:val="1"/>
        </w:numP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 xml:space="preserve">En principio, resulta necesario señalar que los comprobantes fiscales digitales por Internet, deben de incluir un código bidimensional conforme al formato QR </w:t>
      </w:r>
      <w:proofErr w:type="spellStart"/>
      <w:r w:rsidRPr="003B37F6">
        <w:rPr>
          <w:rFonts w:ascii="Palatino Linotype" w:eastAsia="Palatino Linotype" w:hAnsi="Palatino Linotype" w:cs="Palatino Linotype"/>
        </w:rPr>
        <w:t>Code</w:t>
      </w:r>
      <w:proofErr w:type="spellEnd"/>
      <w:r w:rsidRPr="003B37F6">
        <w:rPr>
          <w:rFonts w:ascii="Palatino Linotype" w:eastAsia="Palatino Linotype" w:hAnsi="Palatino Linotype" w:cs="Palatino Linotype"/>
        </w:rPr>
        <w:t xml:space="preserve"> (Quick Response </w:t>
      </w:r>
      <w:proofErr w:type="spellStart"/>
      <w:r w:rsidRPr="003B37F6">
        <w:rPr>
          <w:rFonts w:ascii="Palatino Linotype" w:eastAsia="Palatino Linotype" w:hAnsi="Palatino Linotype" w:cs="Palatino Linotype"/>
        </w:rPr>
        <w:t>Code</w:t>
      </w:r>
      <w:proofErr w:type="spellEnd"/>
      <w:r w:rsidRPr="003B37F6">
        <w:rPr>
          <w:rFonts w:ascii="Palatino Linotype" w:eastAsia="Palatino Linotype" w:hAnsi="Palatino Linotype" w:cs="Palatino Linotype"/>
        </w:rPr>
        <w:t>), el cual contiene el Registro Federal de Contribuyentes del receptor, del emisor, o de ambos; lo anterior, conforme al Anexo 20 de la Segunda Resolución de modificación a la Resolución Miscelánea Fiscal para el 2017, localizada en la página electrónica  http://dof.gob.mx/nota_detalle.php?codigo=5492254&amp;fecha=28/07/2017. Incluso con la captura de dicho código, a través de la aplicación móvil del Servicio de Administración Tributaria, permite el acceso al Registro Federal de Contribuyentes, como del Sujeto Obligado, como de los servidores públicos.</w:t>
      </w:r>
    </w:p>
    <w:p w:rsidR="009B5728" w:rsidRPr="003B37F6" w:rsidRDefault="009B5728" w:rsidP="009B5728">
      <w:pPr>
        <w:spacing w:line="360" w:lineRule="auto"/>
        <w:rPr>
          <w:rFonts w:ascii="Palatino Linotype" w:eastAsia="Palatino Linotype" w:hAnsi="Palatino Linotype" w:cs="Palatino Linotype"/>
        </w:rPr>
      </w:pPr>
    </w:p>
    <w:p w:rsidR="009B5728" w:rsidRPr="003B37F6" w:rsidRDefault="009B5728" w:rsidP="009B5728">
      <w:pPr>
        <w:numPr>
          <w:ilvl w:val="0"/>
          <w:numId w:val="1"/>
        </w:numP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De tales circunstancias, se considera que dicho dato actualiza la causal de clasificación prevista en el artículo 143, fracción I de la Ley de la materia, toda vez que da acceso al Registro Federal de Contribuyentes de los servidores públicos del Sujeto Obligado, datos que tal como se señaló previamente, son clasificados.</w:t>
      </w:r>
    </w:p>
    <w:p w:rsidR="009B5728" w:rsidRPr="003B37F6" w:rsidRDefault="009B5728" w:rsidP="009B5728">
      <w:pPr>
        <w:spacing w:line="360" w:lineRule="auto"/>
        <w:rPr>
          <w:rFonts w:ascii="Palatino Linotype" w:eastAsia="Palatino Linotype" w:hAnsi="Palatino Linotype" w:cs="Palatino Linotype"/>
        </w:rPr>
      </w:pPr>
    </w:p>
    <w:p w:rsidR="009B5728" w:rsidRPr="003B37F6" w:rsidRDefault="009B5728" w:rsidP="009B5728">
      <w:pPr>
        <w:numPr>
          <w:ilvl w:val="0"/>
          <w:numId w:val="14"/>
        </w:numPr>
        <w:spacing w:line="360" w:lineRule="auto"/>
        <w:jc w:val="both"/>
        <w:rPr>
          <w:rFonts w:ascii="Palatino Linotype" w:eastAsia="Palatino Linotype" w:hAnsi="Palatino Linotype" w:cs="Palatino Linotype"/>
          <w:b/>
        </w:rPr>
      </w:pPr>
      <w:r w:rsidRPr="003B37F6">
        <w:rPr>
          <w:rFonts w:ascii="Palatino Linotype" w:eastAsia="Palatino Linotype" w:hAnsi="Palatino Linotype" w:cs="Palatino Linotype"/>
          <w:b/>
        </w:rPr>
        <w:t>Número de seguridad social del Instituto de Seguridad Social del Estado de México y Municipios</w:t>
      </w:r>
    </w:p>
    <w:p w:rsidR="009B5728" w:rsidRPr="003B37F6" w:rsidRDefault="009B5728" w:rsidP="009B5728">
      <w:pPr>
        <w:spacing w:line="360" w:lineRule="auto"/>
        <w:rPr>
          <w:rFonts w:ascii="Palatino Linotype" w:eastAsia="Palatino Linotype" w:hAnsi="Palatino Linotype" w:cs="Palatino Linotype"/>
        </w:rPr>
      </w:pPr>
    </w:p>
    <w:p w:rsidR="009B5728" w:rsidRPr="003B37F6" w:rsidRDefault="009B5728" w:rsidP="009B5728">
      <w:pPr>
        <w:numPr>
          <w:ilvl w:val="0"/>
          <w:numId w:val="1"/>
        </w:numP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w:t>
      </w:r>
    </w:p>
    <w:p w:rsidR="009B5728" w:rsidRPr="003B37F6" w:rsidRDefault="009B5728" w:rsidP="009B5728">
      <w:pPr>
        <w:spacing w:line="360" w:lineRule="auto"/>
        <w:rPr>
          <w:rFonts w:ascii="Palatino Linotype" w:eastAsia="Palatino Linotype" w:hAnsi="Palatino Linotype" w:cs="Palatino Linotype"/>
        </w:rPr>
      </w:pPr>
    </w:p>
    <w:p w:rsidR="009B5728" w:rsidRPr="003B37F6" w:rsidRDefault="009B5728" w:rsidP="009B5728">
      <w:pPr>
        <w:numPr>
          <w:ilvl w:val="0"/>
          <w:numId w:val="1"/>
        </w:numP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En ese contexto, el artículo 9° del mismo ordenamiento, dispone que el Instituto de Seguridad Social del Estado de México y Municipios expedirá documentos de identificación para facilitar el acceso a las prestaciones a que tengan derecho; así,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Instituto de Seguridad Social del Estado de México y Municipios.</w:t>
      </w:r>
    </w:p>
    <w:p w:rsidR="009B5728" w:rsidRPr="003B37F6" w:rsidRDefault="009B5728" w:rsidP="009B5728">
      <w:pPr>
        <w:spacing w:line="360" w:lineRule="auto"/>
        <w:rPr>
          <w:rFonts w:ascii="Palatino Linotype" w:eastAsia="Palatino Linotype" w:hAnsi="Palatino Linotype" w:cs="Palatino Linotype"/>
        </w:rPr>
      </w:pPr>
    </w:p>
    <w:p w:rsidR="009B5728" w:rsidRPr="003B37F6" w:rsidRDefault="009B5728" w:rsidP="009B5728">
      <w:pPr>
        <w:numPr>
          <w:ilvl w:val="0"/>
          <w:numId w:val="1"/>
        </w:numP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Como se advierte, el número del Instituto de Seguridad y Servicios Sociales del Estado de México y Municipios, es un dato personal que permite identificar que una persona que trabajó o trabaja en alguna institución pública del Estado de México, por la que tiene o tuvo derecho a esta prestación de seguridad social; además, es de destacar que dicho dato no cambia, aunque el trabajador se dé de baja y alta en diversas ocasiones, con motivo de haber trabajado en diferentes instituciones gubernamentales de la Entidad.</w:t>
      </w:r>
    </w:p>
    <w:p w:rsidR="009B5728" w:rsidRPr="003B37F6" w:rsidRDefault="009B5728" w:rsidP="009B5728">
      <w:pPr>
        <w:spacing w:line="360" w:lineRule="auto"/>
        <w:rPr>
          <w:rFonts w:ascii="Palatino Linotype" w:eastAsia="Palatino Linotype" w:hAnsi="Palatino Linotype" w:cs="Palatino Linotype"/>
        </w:rPr>
      </w:pPr>
    </w:p>
    <w:p w:rsidR="009B5728" w:rsidRPr="003B37F6" w:rsidRDefault="009B5728" w:rsidP="009B5728">
      <w:pPr>
        <w:numPr>
          <w:ilvl w:val="0"/>
          <w:numId w:val="1"/>
        </w:numP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En ese sentido, contar con la prestación de seguridad social que brinda el Instituto de Seguridad Social del Estado de México y Municipios no es una obligación para entrar a trabajar, por el contrario, es un derecho que se adquiere cuando se ingresa al servicio público, por tal motivo, es un dato personal confidencial, que actualiza el supuesto de confidencialidad, establecido en el artículo 143, fracción I, de la Ley de Transparencia y Acceso a la Información Pública del Estado de México y Municipios.</w:t>
      </w:r>
    </w:p>
    <w:p w:rsidR="009B5728" w:rsidRPr="003B37F6" w:rsidRDefault="009B5728" w:rsidP="009B5728">
      <w:pPr>
        <w:spacing w:line="360" w:lineRule="auto"/>
        <w:rPr>
          <w:rFonts w:ascii="Palatino Linotype" w:eastAsia="Palatino Linotype" w:hAnsi="Palatino Linotype" w:cs="Palatino Linotype"/>
        </w:rPr>
      </w:pPr>
    </w:p>
    <w:p w:rsidR="009B5728" w:rsidRPr="003B37F6" w:rsidRDefault="009B5728" w:rsidP="009B5728">
      <w:pPr>
        <w:numPr>
          <w:ilvl w:val="0"/>
          <w:numId w:val="13"/>
        </w:numPr>
        <w:spacing w:line="360" w:lineRule="auto"/>
        <w:jc w:val="both"/>
        <w:rPr>
          <w:rFonts w:ascii="Palatino Linotype" w:eastAsia="Palatino Linotype" w:hAnsi="Palatino Linotype" w:cs="Palatino Linotype"/>
          <w:b/>
        </w:rPr>
      </w:pPr>
      <w:r w:rsidRPr="003B37F6">
        <w:rPr>
          <w:rFonts w:ascii="Palatino Linotype" w:eastAsia="Palatino Linotype" w:hAnsi="Palatino Linotype" w:cs="Palatino Linotype"/>
          <w:b/>
        </w:rPr>
        <w:t>Descuentos personales</w:t>
      </w:r>
    </w:p>
    <w:p w:rsidR="009B5728" w:rsidRPr="003B37F6" w:rsidRDefault="009B5728" w:rsidP="009B5728">
      <w:pPr>
        <w:numPr>
          <w:ilvl w:val="0"/>
          <w:numId w:val="1"/>
        </w:numP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 xml:space="preserve">Es necesario precisar que existen deducciones que se generan con motivo de una decisión libre y voluntaria de los servidores públicos, como son: créditos personales, cuotas sindicales y fondo de resistencia del Sindicato Único de Trabajadores de los </w:t>
      </w:r>
      <w:r w:rsidRPr="003B37F6">
        <w:rPr>
          <w:rFonts w:ascii="Palatino Linotype" w:eastAsia="Palatino Linotype" w:hAnsi="Palatino Linotype" w:cs="Palatino Linotype"/>
        </w:rPr>
        <w:lastRenderedPageBreak/>
        <w:t>Poderes, Municipios e Institución Descentralizadas del Estado de México, seguro de vida, accidentes y enfermedades.</w:t>
      </w:r>
    </w:p>
    <w:p w:rsidR="009B5728" w:rsidRPr="003B37F6" w:rsidRDefault="009B5728" w:rsidP="009B5728">
      <w:pPr>
        <w:spacing w:line="360" w:lineRule="auto"/>
        <w:rPr>
          <w:rFonts w:ascii="Palatino Linotype" w:eastAsia="Palatino Linotype" w:hAnsi="Palatino Linotype" w:cs="Palatino Linotype"/>
        </w:rPr>
      </w:pPr>
    </w:p>
    <w:p w:rsidR="009B5728" w:rsidRPr="003B37F6" w:rsidRDefault="009B5728" w:rsidP="009B5728">
      <w:pPr>
        <w:numPr>
          <w:ilvl w:val="0"/>
          <w:numId w:val="1"/>
        </w:numP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 xml:space="preserve">Asimismo, hay otras que se generan con motivo de una sentencia judicial, como es la pensión alimenticia que periódicamente se retira de la cuenta de un empleado, a efecto de que sea entregado a un tercero.  </w:t>
      </w:r>
    </w:p>
    <w:p w:rsidR="009B5728" w:rsidRPr="003B37F6" w:rsidRDefault="009B5728" w:rsidP="009B5728">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9B5728" w:rsidRPr="003B37F6" w:rsidRDefault="009B5728" w:rsidP="009B5728">
      <w:pPr>
        <w:numPr>
          <w:ilvl w:val="0"/>
          <w:numId w:val="1"/>
        </w:numP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 xml:space="preserve">En consecuencia, este tipo de deducciones son fruto de decisiones que impactan en el patrimonio de un servidor público con la finalidad de obtener un beneficio conforme a la decisión de un trabajador, mismas que no implican la entrega de recursos con cargo al erario, y tampoco reflejan el ejercicio de una prestación; por el contrario, en dichos casos se trata del libre ejercicio del servidor público para disponer de un ingreso que forma parte de su patrimonio. </w:t>
      </w:r>
    </w:p>
    <w:p w:rsidR="009B5728" w:rsidRPr="003B37F6" w:rsidRDefault="009B5728" w:rsidP="009B5728">
      <w:pPr>
        <w:spacing w:line="360" w:lineRule="auto"/>
        <w:rPr>
          <w:rFonts w:ascii="Palatino Linotype" w:eastAsia="Palatino Linotype" w:hAnsi="Palatino Linotype" w:cs="Palatino Linotype"/>
        </w:rPr>
      </w:pPr>
    </w:p>
    <w:p w:rsidR="009B5728" w:rsidRPr="003B37F6" w:rsidRDefault="009B5728" w:rsidP="009B5728">
      <w:pPr>
        <w:numPr>
          <w:ilvl w:val="0"/>
          <w:numId w:val="1"/>
        </w:numP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 xml:space="preserve">Así, dichas deducciones reflejan el destino que un servidor público da a su patrimonio y, por lo tanto, resulta procedente clasificar dichos datos, en el caso, que obren, en los documentos que dan cuenta de lo requerido, en términos del artículo 143, fracción I de la Ley de Transparencia y Acceso a la Información Pública del Estado de México y Municipios. </w:t>
      </w:r>
    </w:p>
    <w:p w:rsidR="009B5728" w:rsidRPr="003B37F6" w:rsidRDefault="009B5728" w:rsidP="009B5728">
      <w:pPr>
        <w:spacing w:line="360" w:lineRule="auto"/>
        <w:ind w:left="567" w:right="539"/>
        <w:rPr>
          <w:rFonts w:ascii="Palatino Linotype" w:eastAsia="Palatino Linotype" w:hAnsi="Palatino Linotype" w:cs="Palatino Linotype"/>
          <w:b/>
        </w:rPr>
      </w:pPr>
    </w:p>
    <w:p w:rsidR="009B5728" w:rsidRPr="003B37F6" w:rsidRDefault="009B5728" w:rsidP="009B5728">
      <w:pPr>
        <w:numPr>
          <w:ilvl w:val="0"/>
          <w:numId w:val="17"/>
        </w:numPr>
        <w:spacing w:line="360" w:lineRule="auto"/>
        <w:ind w:right="539"/>
        <w:jc w:val="both"/>
        <w:rPr>
          <w:rFonts w:ascii="Palatino Linotype" w:eastAsia="Palatino Linotype" w:hAnsi="Palatino Linotype" w:cs="Palatino Linotype"/>
          <w:b/>
        </w:rPr>
      </w:pPr>
      <w:r w:rsidRPr="003B37F6">
        <w:rPr>
          <w:rFonts w:ascii="Palatino Linotype" w:eastAsia="Palatino Linotype" w:hAnsi="Palatino Linotype" w:cs="Palatino Linotype"/>
          <w:b/>
        </w:rPr>
        <w:lastRenderedPageBreak/>
        <w:t>Sellos digitales del emisor y del Servicio de Administración Tributaria y cadena original del complemento de certificación digital del órgano previamente señalado; así como sus respectivos números de serie de los certificados de sellos digitales, folio fiscal y número de serie del emisor.</w:t>
      </w:r>
    </w:p>
    <w:p w:rsidR="009B5728" w:rsidRPr="003B37F6" w:rsidRDefault="009B5728" w:rsidP="009B5728">
      <w:pPr>
        <w:spacing w:line="360" w:lineRule="auto"/>
        <w:rPr>
          <w:rFonts w:ascii="Palatino Linotype" w:eastAsia="Palatino Linotype" w:hAnsi="Palatino Linotype" w:cs="Palatino Linotype"/>
        </w:rPr>
      </w:pPr>
    </w:p>
    <w:p w:rsidR="009B5728" w:rsidRPr="003B37F6" w:rsidRDefault="009B5728" w:rsidP="009B5728">
      <w:pPr>
        <w:numPr>
          <w:ilvl w:val="0"/>
          <w:numId w:val="1"/>
        </w:numP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Cuando, de 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rsidR="00022CBA" w:rsidRPr="003B37F6" w:rsidRDefault="00022CBA" w:rsidP="00022CBA">
      <w:pPr>
        <w:spacing w:line="360" w:lineRule="auto"/>
        <w:jc w:val="both"/>
        <w:rPr>
          <w:rFonts w:ascii="Palatino Linotype" w:eastAsia="Palatino Linotype" w:hAnsi="Palatino Linotype" w:cs="Palatino Linotype"/>
        </w:rPr>
      </w:pPr>
    </w:p>
    <w:p w:rsidR="009B5728" w:rsidRPr="003B37F6" w:rsidRDefault="009B5728" w:rsidP="009B5728">
      <w:pPr>
        <w:numPr>
          <w:ilvl w:val="0"/>
          <w:numId w:val="1"/>
        </w:numP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 xml:space="preserve">Las cadenas originales y sellos que se agregan a las facturas,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w:t>
      </w:r>
      <w:r w:rsidRPr="003B37F6">
        <w:rPr>
          <w:rFonts w:ascii="Palatino Linotype" w:eastAsia="Palatino Linotype" w:hAnsi="Palatino Linotype" w:cs="Palatino Linotype"/>
        </w:rPr>
        <w:lastRenderedPageBreak/>
        <w:t>los datos de los que se componen los elementos de seguridad y se puntualiza que dicha información está encriptada.</w:t>
      </w:r>
    </w:p>
    <w:p w:rsidR="009B5728" w:rsidRPr="003B37F6" w:rsidRDefault="009B5728" w:rsidP="009B5728">
      <w:pPr>
        <w:spacing w:line="360" w:lineRule="auto"/>
        <w:ind w:left="851" w:right="539"/>
        <w:jc w:val="both"/>
        <w:rPr>
          <w:rFonts w:ascii="Palatino Linotype" w:eastAsia="Palatino Linotype" w:hAnsi="Palatino Linotype" w:cs="Palatino Linotype"/>
          <w:i/>
        </w:rPr>
      </w:pPr>
      <w:r w:rsidRPr="003B37F6">
        <w:rPr>
          <w:rFonts w:ascii="Palatino Linotype" w:eastAsia="Palatino Linotype" w:hAnsi="Palatino Linotype" w:cs="Palatino Linotype"/>
          <w:i/>
        </w:rPr>
        <w:t>“…</w:t>
      </w:r>
    </w:p>
    <w:p w:rsidR="009B5728" w:rsidRPr="003B37F6" w:rsidRDefault="009B5728" w:rsidP="009B5728">
      <w:pPr>
        <w:spacing w:line="360" w:lineRule="auto"/>
        <w:ind w:left="851" w:right="539"/>
        <w:jc w:val="both"/>
        <w:rPr>
          <w:rFonts w:ascii="Palatino Linotype" w:eastAsia="Palatino Linotype" w:hAnsi="Palatino Linotype" w:cs="Palatino Linotype"/>
          <w:i/>
        </w:rPr>
      </w:pPr>
      <w:r w:rsidRPr="003B37F6">
        <w:rPr>
          <w:rFonts w:ascii="Palatino Linotype" w:eastAsia="Palatino Linotype" w:hAnsi="Palatino Linotype" w:cs="Palatino Linotype"/>
          <w:i/>
        </w:rPr>
        <w:t>Elementos utilizados en la generación de Sellos Digitales:</w:t>
      </w:r>
    </w:p>
    <w:p w:rsidR="009B5728" w:rsidRPr="003B37F6" w:rsidRDefault="009B5728" w:rsidP="009B5728">
      <w:pPr>
        <w:spacing w:line="360" w:lineRule="auto"/>
        <w:ind w:left="851" w:right="539"/>
        <w:jc w:val="both"/>
        <w:rPr>
          <w:rFonts w:ascii="Palatino Linotype" w:eastAsia="Palatino Linotype" w:hAnsi="Palatino Linotype" w:cs="Palatino Linotype"/>
          <w:i/>
        </w:rPr>
      </w:pPr>
      <w:r w:rsidRPr="003B37F6">
        <w:rPr>
          <w:rFonts w:ascii="Palatino Linotype" w:eastAsia="Palatino Linotype" w:hAnsi="Palatino Linotype" w:cs="Palatino Linotype"/>
          <w:i/>
        </w:rPr>
        <w:t>•</w:t>
      </w:r>
      <w:r w:rsidRPr="003B37F6">
        <w:rPr>
          <w:rFonts w:ascii="Palatino Linotype" w:eastAsia="Palatino Linotype" w:hAnsi="Palatino Linotype" w:cs="Palatino Linotype"/>
          <w:i/>
        </w:rPr>
        <w:tab/>
        <w:t>Cadena Original, el elemento a sellar, en este caso de un comprobante fiscal digital a través de Internet.</w:t>
      </w:r>
    </w:p>
    <w:p w:rsidR="009B5728" w:rsidRPr="003B37F6" w:rsidRDefault="009B5728" w:rsidP="009B5728">
      <w:pPr>
        <w:spacing w:line="360" w:lineRule="auto"/>
        <w:ind w:left="851" w:right="539"/>
        <w:jc w:val="both"/>
        <w:rPr>
          <w:rFonts w:ascii="Palatino Linotype" w:eastAsia="Palatino Linotype" w:hAnsi="Palatino Linotype" w:cs="Palatino Linotype"/>
          <w:i/>
        </w:rPr>
      </w:pPr>
      <w:r w:rsidRPr="003B37F6">
        <w:rPr>
          <w:rFonts w:ascii="Palatino Linotype" w:eastAsia="Palatino Linotype" w:hAnsi="Palatino Linotype" w:cs="Palatino Linotype"/>
          <w:i/>
        </w:rPr>
        <w:t>•</w:t>
      </w:r>
      <w:r w:rsidRPr="003B37F6">
        <w:rPr>
          <w:rFonts w:ascii="Palatino Linotype" w:eastAsia="Palatino Linotype" w:hAnsi="Palatino Linotype" w:cs="Palatino Linotype"/>
          <w:i/>
        </w:rPr>
        <w:tab/>
        <w:t>Certificado de Sello Digital y su correspondiente clave privada.</w:t>
      </w:r>
    </w:p>
    <w:p w:rsidR="009B5728" w:rsidRPr="003B37F6" w:rsidRDefault="009B5728" w:rsidP="009B5728">
      <w:pPr>
        <w:spacing w:line="360" w:lineRule="auto"/>
        <w:ind w:left="851" w:right="539"/>
        <w:jc w:val="both"/>
        <w:rPr>
          <w:rFonts w:ascii="Palatino Linotype" w:eastAsia="Palatino Linotype" w:hAnsi="Palatino Linotype" w:cs="Palatino Linotype"/>
          <w:i/>
        </w:rPr>
      </w:pPr>
      <w:r w:rsidRPr="003B37F6">
        <w:rPr>
          <w:rFonts w:ascii="Palatino Linotype" w:eastAsia="Palatino Linotype" w:hAnsi="Palatino Linotype" w:cs="Palatino Linotype"/>
          <w:i/>
        </w:rPr>
        <w:t>•</w:t>
      </w:r>
      <w:r w:rsidRPr="003B37F6">
        <w:rPr>
          <w:rFonts w:ascii="Palatino Linotype" w:eastAsia="Palatino Linotype" w:hAnsi="Palatino Linotype" w:cs="Palatino Linotype"/>
          <w:i/>
        </w:rPr>
        <w:tab/>
        <w:t>Algoritmos de criptografía de clave pública para firma electrónica avanzada.</w:t>
      </w:r>
    </w:p>
    <w:p w:rsidR="009B5728" w:rsidRPr="003B37F6" w:rsidRDefault="009B5728" w:rsidP="009B5728">
      <w:pPr>
        <w:spacing w:line="360" w:lineRule="auto"/>
        <w:ind w:left="851" w:right="539"/>
        <w:jc w:val="both"/>
        <w:rPr>
          <w:rFonts w:ascii="Palatino Linotype" w:eastAsia="Palatino Linotype" w:hAnsi="Palatino Linotype" w:cs="Palatino Linotype"/>
          <w:i/>
        </w:rPr>
      </w:pPr>
      <w:r w:rsidRPr="003B37F6">
        <w:rPr>
          <w:rFonts w:ascii="Palatino Linotype" w:eastAsia="Palatino Linotype" w:hAnsi="Palatino Linotype" w:cs="Palatino Linotype"/>
          <w:i/>
        </w:rPr>
        <w:t>•</w:t>
      </w:r>
      <w:r w:rsidRPr="003B37F6">
        <w:rPr>
          <w:rFonts w:ascii="Palatino Linotype" w:eastAsia="Palatino Linotype" w:hAnsi="Palatino Linotype" w:cs="Palatino Linotype"/>
          <w:i/>
        </w:rPr>
        <w:tab/>
        <w:t>Especificaciones de conversión de la firma electrónica avanzada a Base 64.</w:t>
      </w:r>
    </w:p>
    <w:p w:rsidR="009B5728" w:rsidRPr="003B37F6" w:rsidRDefault="009B5728" w:rsidP="009B5728">
      <w:pPr>
        <w:spacing w:line="360" w:lineRule="auto"/>
        <w:ind w:left="851" w:right="539"/>
        <w:jc w:val="both"/>
        <w:rPr>
          <w:rFonts w:ascii="Palatino Linotype" w:eastAsia="Palatino Linotype" w:hAnsi="Palatino Linotype" w:cs="Palatino Linotype"/>
          <w:i/>
        </w:rPr>
      </w:pPr>
      <w:r w:rsidRPr="003B37F6">
        <w:rPr>
          <w:rFonts w:ascii="Palatino Linotype" w:eastAsia="Palatino Linotype" w:hAnsi="Palatino Linotype" w:cs="Palatino Linotype"/>
          <w:i/>
        </w:rPr>
        <w:t>Para la generación de sellos digitales se utiliza criptografía de clave pública aplicada a una cadena original.</w:t>
      </w:r>
    </w:p>
    <w:p w:rsidR="009B5728" w:rsidRPr="003B37F6" w:rsidRDefault="009B5728" w:rsidP="009B5728">
      <w:pPr>
        <w:spacing w:line="360" w:lineRule="auto"/>
        <w:ind w:left="851" w:right="539"/>
        <w:jc w:val="both"/>
        <w:rPr>
          <w:rFonts w:ascii="Palatino Linotype" w:eastAsia="Palatino Linotype" w:hAnsi="Palatino Linotype" w:cs="Palatino Linotype"/>
          <w:i/>
        </w:rPr>
      </w:pPr>
      <w:r w:rsidRPr="003B37F6">
        <w:rPr>
          <w:rFonts w:ascii="Palatino Linotype" w:eastAsia="Palatino Linotype" w:hAnsi="Palatino Linotype" w:cs="Palatino Linotype"/>
          <w:i/>
        </w:rPr>
        <w:t>Criptografía de la Clave Pública</w:t>
      </w:r>
    </w:p>
    <w:p w:rsidR="009B5728" w:rsidRPr="003B37F6" w:rsidRDefault="009B5728" w:rsidP="009B5728">
      <w:pPr>
        <w:spacing w:line="360" w:lineRule="auto"/>
        <w:ind w:left="851" w:right="539"/>
        <w:jc w:val="both"/>
        <w:rPr>
          <w:rFonts w:ascii="Palatino Linotype" w:eastAsia="Palatino Linotype" w:hAnsi="Palatino Linotype" w:cs="Palatino Linotype"/>
          <w:i/>
        </w:rPr>
      </w:pPr>
      <w:r w:rsidRPr="003B37F6">
        <w:rPr>
          <w:rFonts w:ascii="Palatino Linotype" w:eastAsia="Palatino Linotype" w:hAnsi="Palatino Linotype" w:cs="Palatino Linotype"/>
          <w:i/>
        </w:rPr>
        <w:t xml:space="preserve">La criptografía de Clave Pública se basa en la generación de una pareja de números muy grandes relacionados íntimamente entre sí, de tal manera que una operación de </w:t>
      </w:r>
      <w:proofErr w:type="spellStart"/>
      <w:r w:rsidRPr="003B37F6">
        <w:rPr>
          <w:rFonts w:ascii="Palatino Linotype" w:eastAsia="Palatino Linotype" w:hAnsi="Palatino Linotype" w:cs="Palatino Linotype"/>
          <w:i/>
        </w:rPr>
        <w:t>encripción</w:t>
      </w:r>
      <w:proofErr w:type="spellEnd"/>
      <w:r w:rsidRPr="003B37F6">
        <w:rPr>
          <w:rFonts w:ascii="Palatino Linotype" w:eastAsia="Palatino Linotype" w:hAnsi="Palatino Linotype" w:cs="Palatino Linotype"/>
          <w:i/>
        </w:rPr>
        <w:t xml:space="preserve"> sobre un mensaje tomando como clave de </w:t>
      </w:r>
      <w:proofErr w:type="spellStart"/>
      <w:r w:rsidRPr="003B37F6">
        <w:rPr>
          <w:rFonts w:ascii="Palatino Linotype" w:eastAsia="Palatino Linotype" w:hAnsi="Palatino Linotype" w:cs="Palatino Linotype"/>
          <w:i/>
        </w:rPr>
        <w:t>encripción</w:t>
      </w:r>
      <w:proofErr w:type="spellEnd"/>
      <w:r w:rsidRPr="003B37F6">
        <w:rPr>
          <w:rFonts w:ascii="Palatino Linotype" w:eastAsia="Palatino Linotype" w:hAnsi="Palatino Linotype" w:cs="Palatino Linotype"/>
          <w:i/>
        </w:rPr>
        <w:t xml:space="preserve"> a uno de los dos números, produce un mensaje alterado en su significado que solo puede ser devuelto a su estado original mediante la operación de </w:t>
      </w:r>
      <w:proofErr w:type="spellStart"/>
      <w:r w:rsidRPr="003B37F6">
        <w:rPr>
          <w:rFonts w:ascii="Palatino Linotype" w:eastAsia="Palatino Linotype" w:hAnsi="Palatino Linotype" w:cs="Palatino Linotype"/>
          <w:i/>
        </w:rPr>
        <w:t>desencripción</w:t>
      </w:r>
      <w:proofErr w:type="spellEnd"/>
      <w:r w:rsidRPr="003B37F6">
        <w:rPr>
          <w:rFonts w:ascii="Palatino Linotype" w:eastAsia="Palatino Linotype" w:hAnsi="Palatino Linotype" w:cs="Palatino Linotype"/>
          <w:i/>
        </w:rPr>
        <w:t xml:space="preserve"> correspondiente tomando como clave de </w:t>
      </w:r>
      <w:proofErr w:type="spellStart"/>
      <w:r w:rsidRPr="003B37F6">
        <w:rPr>
          <w:rFonts w:ascii="Palatino Linotype" w:eastAsia="Palatino Linotype" w:hAnsi="Palatino Linotype" w:cs="Palatino Linotype"/>
          <w:i/>
        </w:rPr>
        <w:t>desencripción</w:t>
      </w:r>
      <w:proofErr w:type="spellEnd"/>
      <w:r w:rsidRPr="003B37F6">
        <w:rPr>
          <w:rFonts w:ascii="Palatino Linotype" w:eastAsia="Palatino Linotype" w:hAnsi="Palatino Linotype" w:cs="Palatino Linotype"/>
          <w:i/>
        </w:rPr>
        <w:t xml:space="preserve"> al otro número de la pareja.</w:t>
      </w:r>
    </w:p>
    <w:p w:rsidR="009B5728" w:rsidRPr="003B37F6" w:rsidRDefault="009B5728" w:rsidP="009B5728">
      <w:pPr>
        <w:numPr>
          <w:ilvl w:val="0"/>
          <w:numId w:val="1"/>
        </w:numP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 xml:space="preserve">Es decir, por sí solos las cadenas originales y los sellos originales no contienen datos personales confidenciales, por lo que se considera que no actualizan en supuesto de confidencialidad previsto en el artículo 143, fracción I, de la Ley de Transparencia y </w:t>
      </w:r>
      <w:r w:rsidRPr="003B37F6">
        <w:rPr>
          <w:rFonts w:ascii="Palatino Linotype" w:eastAsia="Palatino Linotype" w:hAnsi="Palatino Linotype" w:cs="Palatino Linotype"/>
        </w:rPr>
        <w:lastRenderedPageBreak/>
        <w:t>Acceso a la Información Pública del Estado de México y Municipios y, por el contrario, son información que permite corroborar la legitimidad de la factura, de ser el caso, por lo que guardan el carácter de público.</w:t>
      </w:r>
    </w:p>
    <w:p w:rsidR="009B5728" w:rsidRPr="003B37F6" w:rsidRDefault="009B5728" w:rsidP="009B5728">
      <w:pPr>
        <w:spacing w:line="360" w:lineRule="auto"/>
        <w:rPr>
          <w:rFonts w:ascii="Palatino Linotype" w:eastAsia="Palatino Linotype" w:hAnsi="Palatino Linotype" w:cs="Palatino Linotype"/>
        </w:rPr>
      </w:pPr>
    </w:p>
    <w:p w:rsidR="009B5728" w:rsidRPr="003B37F6" w:rsidRDefault="009B5728" w:rsidP="009B5728">
      <w:pPr>
        <w:numPr>
          <w:ilvl w:val="0"/>
          <w:numId w:val="1"/>
        </w:numP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Por otra parte, por lo que hace al número de serie de los certificados de Sello Digitales del emisor y del Servicio de Administración Tributaria, el ANEXO 20 de la Segunda Resolución de modificaciones a la Resolución Miscelánea Fiscal para dos mil diecisiete, precisa que dichos datos se conforman por veinte caracteres numéricos; como ya quedo establecido en el estudio del presente proveído.</w:t>
      </w:r>
    </w:p>
    <w:p w:rsidR="009B5728" w:rsidRPr="003B37F6" w:rsidRDefault="009B5728" w:rsidP="009B5728">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9B5728" w:rsidRPr="003B37F6" w:rsidRDefault="009B5728" w:rsidP="009B5728">
      <w:pPr>
        <w:numPr>
          <w:ilvl w:val="0"/>
          <w:numId w:val="1"/>
        </w:numP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Como se logra observar, los números de serie del certificado de sello digital no contiene datos personales y con dichos dígitos tampoco se puede obtener información de carácter confidencial, por lo que, tampoco actualizan la causal de clasificación, establecida en el artículo 143, fracción I, de la Ley de Transparencia y Acceso a la Información Pública del Estado de México y Municipios. Máxime que permite corroborar la legitimidad a la factura, pues amparan la utilización de los certificados de sellos digitales válidos.</w:t>
      </w:r>
    </w:p>
    <w:p w:rsidR="009B5728" w:rsidRPr="003B37F6" w:rsidRDefault="009B5728" w:rsidP="009B5728">
      <w:pPr>
        <w:pStyle w:val="Prrafodelista"/>
        <w:rPr>
          <w:rFonts w:ascii="Palatino Linotype" w:eastAsia="Palatino Linotype" w:hAnsi="Palatino Linotype" w:cs="Palatino Linotype"/>
        </w:rPr>
      </w:pPr>
    </w:p>
    <w:p w:rsidR="009B5728" w:rsidRPr="003B37F6" w:rsidRDefault="009B5728" w:rsidP="009B5728">
      <w:pPr>
        <w:numPr>
          <w:ilvl w:val="0"/>
          <w:numId w:val="1"/>
        </w:numP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 xml:space="preserve">Ahora bien, por lo que hace al Folio Fiscal,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w:t>
      </w:r>
      <w:r w:rsidRPr="003B37F6">
        <w:rPr>
          <w:rFonts w:ascii="Palatino Linotype" w:eastAsia="Palatino Linotype" w:hAnsi="Palatino Linotype" w:cs="Palatino Linotype"/>
        </w:rPr>
        <w:lastRenderedPageBreak/>
        <w:t>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mostró en el estudio del presente proveído.</w:t>
      </w:r>
    </w:p>
    <w:p w:rsidR="009B5728" w:rsidRPr="003B37F6" w:rsidRDefault="009B5728" w:rsidP="009B5728">
      <w:pPr>
        <w:spacing w:line="360" w:lineRule="auto"/>
        <w:jc w:val="both"/>
        <w:rPr>
          <w:rFonts w:ascii="Palatino Linotype" w:eastAsia="Palatino Linotype" w:hAnsi="Palatino Linotype" w:cs="Palatino Linotype"/>
        </w:rPr>
      </w:pPr>
    </w:p>
    <w:p w:rsidR="009B5728" w:rsidRPr="003B37F6" w:rsidRDefault="009B5728" w:rsidP="009B5728">
      <w:pPr>
        <w:numPr>
          <w:ilvl w:val="0"/>
          <w:numId w:val="1"/>
        </w:numP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En ese contexto, de la misma manera que en los casos previamente analizados, 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rsidR="009B5728" w:rsidRPr="003B37F6" w:rsidRDefault="009B5728" w:rsidP="009B5728">
      <w:pPr>
        <w:spacing w:line="360" w:lineRule="auto"/>
        <w:rPr>
          <w:rFonts w:ascii="Palatino Linotype" w:eastAsia="Palatino Linotype" w:hAnsi="Palatino Linotype" w:cs="Palatino Linotype"/>
        </w:rPr>
      </w:pPr>
    </w:p>
    <w:p w:rsidR="009B5728" w:rsidRPr="003B37F6" w:rsidRDefault="009B5728" w:rsidP="009B5728">
      <w:pPr>
        <w:numPr>
          <w:ilvl w:val="0"/>
          <w:numId w:val="1"/>
        </w:numP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rPr>
        <w:t>Cabe señalar que, en algunos casos, las cadenas originales y sellos digitales, el folio fiscal o el número de serie de los certificados digitales, se pueden conformar de datos confidenciales, tales como el Registro Federal de Contribuyentes o la Clave Única de Registro de Población; por lo que, únicamente podrá clasificar estos, si contienen dicha información, de lo contrario serán públicos.</w:t>
      </w:r>
    </w:p>
    <w:p w:rsidR="009B5728" w:rsidRPr="003B37F6" w:rsidRDefault="009B5728" w:rsidP="009B5728">
      <w:pPr>
        <w:numPr>
          <w:ilvl w:val="0"/>
          <w:numId w:val="1"/>
        </w:numPr>
        <w:spacing w:line="360" w:lineRule="auto"/>
        <w:ind w:left="0"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No pasa desapercibido para este Órgano Garante que los sujetos obligados</w:t>
      </w:r>
      <w:r w:rsidRPr="003B37F6">
        <w:rPr>
          <w:rFonts w:ascii="Palatino Linotype" w:eastAsia="Palatino Linotype" w:hAnsi="Palatino Linotype" w:cs="Palatino Linotype"/>
          <w:b/>
          <w:color w:val="000000"/>
        </w:rPr>
        <w:t xml:space="preserve"> </w:t>
      </w:r>
      <w:r w:rsidRPr="003B37F6">
        <w:rPr>
          <w:rFonts w:ascii="Palatino Linotype" w:eastAsia="Palatino Linotype" w:hAnsi="Palatino Linotype" w:cs="Palatino Linotype"/>
          <w:color w:val="000000"/>
        </w:rPr>
        <w:t xml:space="preserve">serán responsables de los datos personales en su posesión y que, en caso de localizarse datos concernientes a terceros, éstos no podrán difundir, distribuir o comercializar los datos </w:t>
      </w:r>
      <w:r w:rsidRPr="003B37F6">
        <w:rPr>
          <w:rFonts w:ascii="Palatino Linotype" w:eastAsia="Palatino Linotype" w:hAnsi="Palatino Linotype" w:cs="Palatino Linotype"/>
          <w:color w:val="000000"/>
        </w:rPr>
        <w:lastRenderedPageBreak/>
        <w:t>personales.  Cabe destacar que, para la realización de la clasificación de la información, se deben seguir una serie de pasos y procedimientos, por lo que es menester reiterar los mismos:</w:t>
      </w:r>
    </w:p>
    <w:p w:rsidR="009B5728" w:rsidRPr="003B37F6" w:rsidRDefault="009B5728" w:rsidP="009B5728">
      <w:pPr>
        <w:tabs>
          <w:tab w:val="left" w:pos="284"/>
        </w:tabs>
        <w:spacing w:line="360" w:lineRule="auto"/>
        <w:ind w:right="49"/>
        <w:jc w:val="both"/>
        <w:rPr>
          <w:rFonts w:ascii="Palatino Linotype" w:eastAsia="Palatino Linotype" w:hAnsi="Palatino Linotype" w:cs="Palatino Linotype"/>
          <w:color w:val="000000"/>
        </w:rPr>
      </w:pP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6520"/>
      </w:tblGrid>
      <w:tr w:rsidR="009B5728" w:rsidRPr="003B37F6" w:rsidTr="00022CBA">
        <w:tc>
          <w:tcPr>
            <w:tcW w:w="2689" w:type="dxa"/>
          </w:tcPr>
          <w:p w:rsidR="009B5728" w:rsidRPr="003B37F6" w:rsidRDefault="009B5728" w:rsidP="00022CBA">
            <w:pPr>
              <w:tabs>
                <w:tab w:val="left" w:pos="284"/>
              </w:tabs>
              <w:spacing w:line="360" w:lineRule="auto"/>
              <w:rPr>
                <w:rFonts w:ascii="Palatino Linotype" w:eastAsia="Palatino Linotype" w:hAnsi="Palatino Linotype" w:cs="Palatino Linotype"/>
                <w:b/>
              </w:rPr>
            </w:pPr>
            <w:r w:rsidRPr="003B37F6">
              <w:rPr>
                <w:rFonts w:ascii="Palatino Linotype" w:eastAsia="Palatino Linotype" w:hAnsi="Palatino Linotype" w:cs="Palatino Linotype"/>
                <w:b/>
              </w:rPr>
              <w:t>a) Requisitos previos.</w:t>
            </w:r>
          </w:p>
        </w:tc>
        <w:tc>
          <w:tcPr>
            <w:tcW w:w="6520" w:type="dxa"/>
          </w:tcPr>
          <w:p w:rsidR="009B5728" w:rsidRPr="003B37F6" w:rsidRDefault="009B5728" w:rsidP="00022CBA">
            <w:pPr>
              <w:tabs>
                <w:tab w:val="left" w:pos="284"/>
              </w:tabs>
              <w:spacing w:line="276" w:lineRule="auto"/>
              <w:ind w:right="49"/>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9B5728" w:rsidRPr="003B37F6" w:rsidRDefault="009B5728" w:rsidP="00022CBA">
            <w:pPr>
              <w:tabs>
                <w:tab w:val="left" w:pos="284"/>
              </w:tabs>
              <w:spacing w:line="276" w:lineRule="auto"/>
              <w:ind w:right="49"/>
              <w:jc w:val="both"/>
              <w:rPr>
                <w:rFonts w:ascii="Palatino Linotype" w:eastAsia="Palatino Linotype" w:hAnsi="Palatino Linotype" w:cs="Palatino Linotype"/>
                <w:color w:val="000000"/>
              </w:rPr>
            </w:pPr>
          </w:p>
          <w:p w:rsidR="009B5728" w:rsidRPr="003B37F6" w:rsidRDefault="009B5728" w:rsidP="00022CBA">
            <w:pPr>
              <w:tabs>
                <w:tab w:val="left" w:pos="284"/>
              </w:tabs>
              <w:spacing w:line="276" w:lineRule="auto"/>
              <w:ind w:right="49"/>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Al hacerlo tienen que precisar de qué información se trata, señalando el supuesto de clasificación (confidencialidad o reserva).</w:t>
            </w:r>
          </w:p>
          <w:p w:rsidR="009B5728" w:rsidRPr="003B37F6" w:rsidRDefault="009B5728" w:rsidP="00022CBA">
            <w:pPr>
              <w:tabs>
                <w:tab w:val="left" w:pos="284"/>
              </w:tabs>
              <w:spacing w:line="276" w:lineRule="auto"/>
              <w:ind w:right="49"/>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Además, se debe señalar el procedimiento, de los tres que establecen los artículos 132 y 106 de la Ley Estatal y General, respectivamente.</w:t>
            </w:r>
          </w:p>
          <w:p w:rsidR="009B5728" w:rsidRPr="003B37F6" w:rsidRDefault="009B5728" w:rsidP="00022CBA">
            <w:pPr>
              <w:tabs>
                <w:tab w:val="left" w:pos="284"/>
              </w:tabs>
              <w:spacing w:line="276" w:lineRule="auto"/>
              <w:ind w:right="49"/>
              <w:jc w:val="both"/>
              <w:rPr>
                <w:rFonts w:ascii="Palatino Linotype" w:eastAsia="Palatino Linotype" w:hAnsi="Palatino Linotype" w:cs="Palatino Linotype"/>
                <w:color w:val="000000"/>
              </w:rPr>
            </w:pPr>
          </w:p>
          <w:p w:rsidR="009B5728" w:rsidRPr="003B37F6" w:rsidRDefault="009B5728" w:rsidP="00022CBA">
            <w:pPr>
              <w:tabs>
                <w:tab w:val="left" w:pos="284"/>
              </w:tabs>
              <w:spacing w:line="276" w:lineRule="auto"/>
              <w:jc w:val="both"/>
              <w:rPr>
                <w:rFonts w:ascii="Palatino Linotype" w:eastAsia="Palatino Linotype" w:hAnsi="Palatino Linotype" w:cs="Palatino Linotype"/>
              </w:rPr>
            </w:pPr>
            <w:r w:rsidRPr="003B37F6">
              <w:rPr>
                <w:rFonts w:ascii="Palatino Linotype" w:eastAsia="Palatino Linotype" w:hAnsi="Palatino Linotype" w:cs="Palatino Linotype"/>
                <w:color w:val="000000"/>
              </w:rPr>
              <w:t xml:space="preserve">El último de estos requisitos previos consiste en que no se pueden emitir acuerdos de carácter general ni particular, esto es, </w:t>
            </w:r>
            <w:r w:rsidRPr="003B37F6">
              <w:rPr>
                <w:rFonts w:ascii="Palatino Linotype" w:eastAsia="Palatino Linotype" w:hAnsi="Palatino Linotype" w:cs="Palatino Linotype"/>
                <w:color w:val="000000"/>
                <w:u w:val="single"/>
              </w:rPr>
              <w:t>no se puede hacer un acuerdo para clasificar de manera general todos los documentos de un expediente o área, sin</w:t>
            </w:r>
            <w:r w:rsidRPr="003B37F6">
              <w:rPr>
                <w:rFonts w:ascii="Palatino Linotype" w:eastAsia="Palatino Linotype" w:hAnsi="Palatino Linotype" w:cs="Palatino Linotype"/>
                <w:color w:val="000000"/>
              </w:rPr>
              <w:t xml:space="preserve"> individualizar su análisis y tampoco se puede hacer un acuerdo por cada dato que se vaya a clasificar dentro de un documento con diez datos, por ejemplo, susceptibles de ser clasificados.</w:t>
            </w:r>
          </w:p>
        </w:tc>
      </w:tr>
      <w:tr w:rsidR="009B5728" w:rsidRPr="003B37F6" w:rsidTr="00022CBA">
        <w:tc>
          <w:tcPr>
            <w:tcW w:w="2689" w:type="dxa"/>
          </w:tcPr>
          <w:p w:rsidR="009B5728" w:rsidRPr="003B37F6" w:rsidRDefault="009B5728" w:rsidP="00022CBA">
            <w:pPr>
              <w:tabs>
                <w:tab w:val="left" w:pos="284"/>
              </w:tabs>
              <w:spacing w:line="360" w:lineRule="auto"/>
              <w:rPr>
                <w:rFonts w:ascii="Palatino Linotype" w:eastAsia="Palatino Linotype" w:hAnsi="Palatino Linotype" w:cs="Palatino Linotype"/>
                <w:b/>
              </w:rPr>
            </w:pPr>
            <w:r w:rsidRPr="003B37F6">
              <w:rPr>
                <w:rFonts w:ascii="Palatino Linotype" w:eastAsia="Palatino Linotype" w:hAnsi="Palatino Linotype" w:cs="Palatino Linotype"/>
                <w:b/>
              </w:rPr>
              <w:lastRenderedPageBreak/>
              <w:t>b) Supuestos de clasificación.</w:t>
            </w:r>
          </w:p>
        </w:tc>
        <w:tc>
          <w:tcPr>
            <w:tcW w:w="6520" w:type="dxa"/>
          </w:tcPr>
          <w:p w:rsidR="009B5728" w:rsidRPr="003B37F6" w:rsidRDefault="009B5728" w:rsidP="00022CBA">
            <w:pPr>
              <w:tabs>
                <w:tab w:val="left" w:pos="284"/>
              </w:tabs>
              <w:spacing w:line="276" w:lineRule="auto"/>
              <w:ind w:right="49"/>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rsidR="009B5728" w:rsidRPr="003B37F6" w:rsidRDefault="009B5728" w:rsidP="00022CBA">
            <w:pPr>
              <w:tabs>
                <w:tab w:val="left" w:pos="284"/>
              </w:tabs>
              <w:spacing w:line="276" w:lineRule="auto"/>
              <w:ind w:right="49"/>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9B5728" w:rsidRPr="003B37F6" w:rsidRDefault="009B5728" w:rsidP="00022CBA">
            <w:pPr>
              <w:tabs>
                <w:tab w:val="left" w:pos="284"/>
              </w:tabs>
              <w:spacing w:line="276" w:lineRule="auto"/>
              <w:ind w:right="49"/>
              <w:jc w:val="both"/>
              <w:rPr>
                <w:rFonts w:ascii="Palatino Linotype" w:eastAsia="Palatino Linotype" w:hAnsi="Palatino Linotype" w:cs="Palatino Linotype"/>
                <w:color w:val="000000"/>
              </w:rPr>
            </w:pPr>
          </w:p>
          <w:p w:rsidR="009B5728" w:rsidRPr="003B37F6" w:rsidRDefault="009B5728" w:rsidP="00022CBA">
            <w:pPr>
              <w:tabs>
                <w:tab w:val="left" w:pos="284"/>
              </w:tabs>
              <w:spacing w:line="276" w:lineRule="auto"/>
              <w:jc w:val="both"/>
              <w:rPr>
                <w:rFonts w:ascii="Palatino Linotype" w:eastAsia="Palatino Linotype" w:hAnsi="Palatino Linotype" w:cs="Palatino Linotype"/>
              </w:rPr>
            </w:pPr>
            <w:r w:rsidRPr="003B37F6">
              <w:rPr>
                <w:rFonts w:ascii="Palatino Linotype" w:eastAsia="Palatino Linotype" w:hAnsi="Palatino Linotype" w:cs="Palatino Linotype"/>
                <w:color w:val="000000"/>
              </w:rPr>
              <w:t xml:space="preserve">El </w:t>
            </w:r>
            <w:r w:rsidRPr="003B37F6">
              <w:rPr>
                <w:rFonts w:ascii="Palatino Linotype" w:eastAsia="Palatino Linotype" w:hAnsi="Palatino Linotype" w:cs="Palatino Linotype"/>
                <w:b/>
                <w:color w:val="000000"/>
              </w:rPr>
              <w:t>Sujeto Obligado</w:t>
            </w:r>
            <w:r w:rsidRPr="003B37F6">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9B5728" w:rsidRPr="003B37F6" w:rsidTr="00022CBA">
        <w:tc>
          <w:tcPr>
            <w:tcW w:w="2689" w:type="dxa"/>
          </w:tcPr>
          <w:p w:rsidR="009B5728" w:rsidRPr="003B37F6" w:rsidRDefault="009B5728" w:rsidP="00022CBA">
            <w:pPr>
              <w:tabs>
                <w:tab w:val="left" w:pos="284"/>
              </w:tabs>
              <w:spacing w:line="360" w:lineRule="auto"/>
              <w:rPr>
                <w:rFonts w:ascii="Palatino Linotype" w:eastAsia="Palatino Linotype" w:hAnsi="Palatino Linotype" w:cs="Palatino Linotype"/>
                <w:b/>
              </w:rPr>
            </w:pPr>
            <w:r w:rsidRPr="003B37F6">
              <w:rPr>
                <w:rFonts w:ascii="Palatino Linotype" w:eastAsia="Palatino Linotype" w:hAnsi="Palatino Linotype" w:cs="Palatino Linotype"/>
                <w:b/>
              </w:rPr>
              <w:t>c) Formalidades para emitir el acuerdo de clasificación.</w:t>
            </w:r>
          </w:p>
        </w:tc>
        <w:tc>
          <w:tcPr>
            <w:tcW w:w="6520" w:type="dxa"/>
          </w:tcPr>
          <w:p w:rsidR="009B5728" w:rsidRPr="003B37F6" w:rsidRDefault="009B5728" w:rsidP="00022CBA">
            <w:pPr>
              <w:tabs>
                <w:tab w:val="left" w:pos="284"/>
              </w:tabs>
              <w:spacing w:line="276" w:lineRule="auto"/>
              <w:ind w:right="49"/>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rsidR="009B5728" w:rsidRPr="003B37F6" w:rsidRDefault="009B5728" w:rsidP="00022CBA">
            <w:pPr>
              <w:tabs>
                <w:tab w:val="left" w:pos="284"/>
              </w:tabs>
              <w:spacing w:line="276" w:lineRule="auto"/>
              <w:ind w:right="49"/>
              <w:jc w:val="both"/>
              <w:rPr>
                <w:rFonts w:ascii="Palatino Linotype" w:eastAsia="Palatino Linotype" w:hAnsi="Palatino Linotype" w:cs="Palatino Linotype"/>
                <w:color w:val="000000"/>
              </w:rPr>
            </w:pPr>
          </w:p>
          <w:p w:rsidR="009B5728" w:rsidRPr="003B37F6" w:rsidRDefault="009B5728" w:rsidP="00022CBA">
            <w:pPr>
              <w:tabs>
                <w:tab w:val="left" w:pos="284"/>
              </w:tabs>
              <w:spacing w:line="276" w:lineRule="auto"/>
              <w:ind w:right="49"/>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lastRenderedPageBreak/>
              <w:t xml:space="preserve">Es necesario que </w:t>
            </w:r>
            <w:r w:rsidRPr="003B37F6">
              <w:rPr>
                <w:rFonts w:ascii="Palatino Linotype" w:eastAsia="Palatino Linotype" w:hAnsi="Palatino Linotype" w:cs="Palatino Linotype"/>
                <w:b/>
                <w:color w:val="000000"/>
                <w:u w:val="single"/>
              </w:rPr>
              <w:t>el acto reúna con los requisitos elementales</w:t>
            </w:r>
            <w:r w:rsidRPr="003B37F6">
              <w:rPr>
                <w:rFonts w:ascii="Palatino Linotype" w:eastAsia="Palatino Linotype" w:hAnsi="Palatino Linotype" w:cs="Palatino Linotype"/>
                <w:color w:val="000000"/>
              </w:rPr>
              <w:t>, entre ellos, que la autoridad que va a emitir el acto de autoridad sea la legalmente facultada para ello.</w:t>
            </w:r>
          </w:p>
          <w:p w:rsidR="009B5728" w:rsidRPr="003B37F6" w:rsidRDefault="009B5728" w:rsidP="00022CBA">
            <w:pPr>
              <w:tabs>
                <w:tab w:val="left" w:pos="284"/>
              </w:tabs>
              <w:spacing w:line="276" w:lineRule="auto"/>
              <w:jc w:val="both"/>
              <w:rPr>
                <w:rFonts w:ascii="Palatino Linotype" w:eastAsia="Palatino Linotype" w:hAnsi="Palatino Linotype" w:cs="Palatino Linotype"/>
              </w:rPr>
            </w:pPr>
            <w:r w:rsidRPr="003B37F6">
              <w:rPr>
                <w:rFonts w:ascii="Palatino Linotype" w:eastAsia="Palatino Linotype" w:hAnsi="Palatino Linotype" w:cs="Palatino Linotype"/>
                <w:color w:val="00000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9B5728" w:rsidRPr="003B37F6" w:rsidTr="00022CBA">
        <w:tc>
          <w:tcPr>
            <w:tcW w:w="2689" w:type="dxa"/>
          </w:tcPr>
          <w:p w:rsidR="009B5728" w:rsidRPr="003B37F6" w:rsidRDefault="009B5728" w:rsidP="00022CBA">
            <w:pPr>
              <w:tabs>
                <w:tab w:val="left" w:pos="284"/>
              </w:tabs>
              <w:spacing w:line="360" w:lineRule="auto"/>
              <w:rPr>
                <w:rFonts w:ascii="Palatino Linotype" w:eastAsia="Palatino Linotype" w:hAnsi="Palatino Linotype" w:cs="Palatino Linotype"/>
                <w:b/>
              </w:rPr>
            </w:pPr>
          </w:p>
          <w:p w:rsidR="009B5728" w:rsidRPr="003B37F6" w:rsidRDefault="009B5728" w:rsidP="00022CBA">
            <w:pPr>
              <w:tabs>
                <w:tab w:val="left" w:pos="284"/>
              </w:tabs>
              <w:spacing w:line="360" w:lineRule="auto"/>
              <w:jc w:val="both"/>
              <w:rPr>
                <w:rFonts w:ascii="Palatino Linotype" w:eastAsia="Palatino Linotype" w:hAnsi="Palatino Linotype" w:cs="Palatino Linotype"/>
                <w:b/>
              </w:rPr>
            </w:pPr>
            <w:r w:rsidRPr="003B37F6">
              <w:rPr>
                <w:rFonts w:ascii="Palatino Linotype" w:eastAsia="Palatino Linotype" w:hAnsi="Palatino Linotype" w:cs="Palatino Linotype"/>
                <w:b/>
                <w:color w:val="000000"/>
              </w:rPr>
              <w:t xml:space="preserve">d) Requisitos de fondo del acuerdo de clasificación. </w:t>
            </w:r>
          </w:p>
        </w:tc>
        <w:tc>
          <w:tcPr>
            <w:tcW w:w="6520" w:type="dxa"/>
          </w:tcPr>
          <w:p w:rsidR="009B5728" w:rsidRPr="003B37F6" w:rsidRDefault="009B5728" w:rsidP="00022CBA">
            <w:pPr>
              <w:tabs>
                <w:tab w:val="left" w:pos="284"/>
              </w:tabs>
              <w:spacing w:line="276" w:lineRule="auto"/>
              <w:ind w:right="49"/>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3B37F6">
              <w:rPr>
                <w:rFonts w:ascii="Palatino Linotype" w:eastAsia="Palatino Linotype" w:hAnsi="Palatino Linotype" w:cs="Palatino Linotype"/>
                <w:b/>
                <w:color w:val="000000"/>
              </w:rPr>
              <w:t>Sujetos Obligados</w:t>
            </w:r>
            <w:r w:rsidRPr="003B37F6">
              <w:rPr>
                <w:rFonts w:ascii="Palatino Linotype" w:eastAsia="Palatino Linotype" w:hAnsi="Palatino Linotype" w:cs="Palatino Linotype"/>
                <w:color w:val="000000"/>
              </w:rPr>
              <w:t xml:space="preserve">, por lo que deberán fundar y motivar debidamente la clasificación. </w:t>
            </w:r>
          </w:p>
          <w:p w:rsidR="009B5728" w:rsidRPr="003B37F6" w:rsidRDefault="009B5728" w:rsidP="00022CBA">
            <w:pPr>
              <w:tabs>
                <w:tab w:val="left" w:pos="284"/>
              </w:tabs>
              <w:spacing w:line="276" w:lineRule="auto"/>
              <w:ind w:right="49"/>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 xml:space="preserve">De lo anterior, se desprende que para una correcta </w:t>
            </w:r>
            <w:r w:rsidRPr="003B37F6">
              <w:rPr>
                <w:rFonts w:ascii="Palatino Linotype" w:eastAsia="Palatino Linotype" w:hAnsi="Palatino Linotype" w:cs="Palatino Linotype"/>
                <w:b/>
                <w:color w:val="000000"/>
              </w:rPr>
              <w:t>clasificación total o parcial</w:t>
            </w:r>
            <w:r w:rsidRPr="003B37F6">
              <w:rPr>
                <w:rFonts w:ascii="Palatino Linotype" w:eastAsia="Palatino Linotype" w:hAnsi="Palatino Linotype" w:cs="Palatino Linotype"/>
                <w:color w:val="000000"/>
              </w:rPr>
              <w:t xml:space="preserve">, esto es determinar los datos que se suprimen en las versiones públicas, es necesario fundar y motivar, de manera correcta, la clasificación; considerando que todo acto que la autoridad pronuncie en el ejercicio de sus atribuciones, debe expresar los </w:t>
            </w:r>
            <w:r w:rsidRPr="003B37F6">
              <w:rPr>
                <w:rFonts w:ascii="Palatino Linotype" w:eastAsia="Palatino Linotype" w:hAnsi="Palatino Linotype" w:cs="Palatino Linotype"/>
                <w:color w:val="000000"/>
              </w:rPr>
              <w:lastRenderedPageBreak/>
              <w:t>fundamentos legales que le dieron origen y las razones por las que se deben aplicar al caso concreto.</w:t>
            </w:r>
          </w:p>
          <w:p w:rsidR="009B5728" w:rsidRPr="003B37F6" w:rsidRDefault="009B5728" w:rsidP="00022CBA">
            <w:pPr>
              <w:tabs>
                <w:tab w:val="left" w:pos="284"/>
              </w:tabs>
              <w:spacing w:line="276" w:lineRule="auto"/>
              <w:ind w:right="49"/>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9B5728" w:rsidRPr="003B37F6" w:rsidRDefault="009B5728" w:rsidP="00022CBA">
            <w:pPr>
              <w:tabs>
                <w:tab w:val="left" w:pos="284"/>
              </w:tabs>
              <w:spacing w:line="276" w:lineRule="auto"/>
              <w:ind w:right="49"/>
              <w:jc w:val="both"/>
              <w:rPr>
                <w:rFonts w:ascii="Palatino Linotype" w:eastAsia="Palatino Linotype" w:hAnsi="Palatino Linotype" w:cs="Palatino Linotype"/>
                <w:color w:val="000000"/>
              </w:rPr>
            </w:pPr>
          </w:p>
          <w:p w:rsidR="009B5728" w:rsidRPr="003B37F6" w:rsidRDefault="009B5728" w:rsidP="00022CBA">
            <w:pPr>
              <w:tabs>
                <w:tab w:val="left" w:pos="284"/>
              </w:tabs>
              <w:spacing w:line="276" w:lineRule="auto"/>
              <w:ind w:right="49"/>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rsidR="009B5728" w:rsidRPr="003B37F6" w:rsidRDefault="009B5728" w:rsidP="00022CBA">
            <w:pPr>
              <w:tabs>
                <w:tab w:val="left" w:pos="284"/>
              </w:tabs>
              <w:spacing w:line="276" w:lineRule="auto"/>
              <w:ind w:right="49"/>
              <w:jc w:val="both"/>
              <w:rPr>
                <w:rFonts w:ascii="Palatino Linotype" w:eastAsia="Palatino Linotype" w:hAnsi="Palatino Linotype" w:cs="Palatino Linotype"/>
                <w:color w:val="000000"/>
              </w:rPr>
            </w:pPr>
          </w:p>
          <w:p w:rsidR="009B5728" w:rsidRPr="003B37F6" w:rsidRDefault="009B5728" w:rsidP="00022CBA">
            <w:pPr>
              <w:tabs>
                <w:tab w:val="left" w:pos="284"/>
              </w:tabs>
              <w:spacing w:line="276" w:lineRule="auto"/>
              <w:ind w:right="49"/>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 xml:space="preserve">Ahora bien, </w:t>
            </w:r>
            <w:r w:rsidRPr="003B37F6">
              <w:rPr>
                <w:rFonts w:ascii="Palatino Linotype" w:eastAsia="Palatino Linotype" w:hAnsi="Palatino Linotype" w:cs="Palatino Linotype"/>
                <w:b/>
                <w:color w:val="000000"/>
                <w:u w:val="single"/>
              </w:rPr>
              <w:t>para cada caso además de fundar y motivar</w:t>
            </w:r>
            <w:r w:rsidRPr="003B37F6">
              <w:rPr>
                <w:rFonts w:ascii="Palatino Linotype" w:eastAsia="Palatino Linotype" w:hAnsi="Palatino Linotype" w:cs="Palatino Linotype"/>
                <w:color w:val="00000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9B5728" w:rsidRPr="003B37F6" w:rsidTr="00022CBA">
        <w:tc>
          <w:tcPr>
            <w:tcW w:w="2689" w:type="dxa"/>
          </w:tcPr>
          <w:p w:rsidR="009B5728" w:rsidRPr="003B37F6" w:rsidRDefault="009B5728" w:rsidP="00022CBA">
            <w:pPr>
              <w:tabs>
                <w:tab w:val="left" w:pos="284"/>
              </w:tabs>
              <w:spacing w:line="360" w:lineRule="auto"/>
              <w:ind w:right="49"/>
              <w:jc w:val="both"/>
              <w:rPr>
                <w:rFonts w:ascii="Palatino Linotype" w:eastAsia="Palatino Linotype" w:hAnsi="Palatino Linotype" w:cs="Palatino Linotype"/>
                <w:b/>
              </w:rPr>
            </w:pPr>
            <w:r w:rsidRPr="003B37F6">
              <w:rPr>
                <w:rFonts w:ascii="Palatino Linotype" w:eastAsia="Palatino Linotype" w:hAnsi="Palatino Linotype" w:cs="Palatino Linotype"/>
                <w:b/>
              </w:rPr>
              <w:lastRenderedPageBreak/>
              <w:t xml:space="preserve">e) Condiciones especiales de la </w:t>
            </w:r>
            <w:r w:rsidRPr="003B37F6">
              <w:rPr>
                <w:rFonts w:ascii="Palatino Linotype" w:eastAsia="Palatino Linotype" w:hAnsi="Palatino Linotype" w:cs="Palatino Linotype"/>
                <w:b/>
              </w:rPr>
              <w:lastRenderedPageBreak/>
              <w:t xml:space="preserve">clasificación de la información como confidencial. </w:t>
            </w:r>
          </w:p>
        </w:tc>
        <w:tc>
          <w:tcPr>
            <w:tcW w:w="6520" w:type="dxa"/>
          </w:tcPr>
          <w:p w:rsidR="009B5728" w:rsidRPr="003B37F6" w:rsidRDefault="009B5728" w:rsidP="00022CBA">
            <w:pPr>
              <w:tabs>
                <w:tab w:val="left" w:pos="284"/>
              </w:tabs>
              <w:spacing w:line="276" w:lineRule="auto"/>
              <w:ind w:right="49"/>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lastRenderedPageBreak/>
              <w:t xml:space="preserve">Los artículos 148 y 120 de la Ley Estatal y de la Ley General, respectivamente, establecen que aun tratándose de datos </w:t>
            </w:r>
            <w:r w:rsidRPr="003B37F6">
              <w:rPr>
                <w:rFonts w:ascii="Palatino Linotype" w:eastAsia="Palatino Linotype" w:hAnsi="Palatino Linotype" w:cs="Palatino Linotype"/>
                <w:color w:val="000000"/>
              </w:rPr>
              <w:lastRenderedPageBreak/>
              <w:t xml:space="preserve">personales, se podrán proporcionar, incluso sin solicitar el consentimiento de su titular. </w:t>
            </w:r>
          </w:p>
          <w:p w:rsidR="009B5728" w:rsidRPr="003B37F6" w:rsidRDefault="009B5728" w:rsidP="00022CBA">
            <w:pPr>
              <w:tabs>
                <w:tab w:val="left" w:pos="284"/>
              </w:tabs>
              <w:spacing w:line="276" w:lineRule="auto"/>
              <w:ind w:right="49"/>
              <w:jc w:val="both"/>
              <w:rPr>
                <w:rFonts w:ascii="Palatino Linotype" w:eastAsia="Palatino Linotype" w:hAnsi="Palatino Linotype" w:cs="Palatino Linotype"/>
                <w:color w:val="000000"/>
              </w:rPr>
            </w:pPr>
          </w:p>
          <w:p w:rsidR="009B5728" w:rsidRPr="003B37F6" w:rsidRDefault="009B5728" w:rsidP="00022CBA">
            <w:pPr>
              <w:tabs>
                <w:tab w:val="left" w:pos="284"/>
              </w:tabs>
              <w:spacing w:line="276" w:lineRule="auto"/>
              <w:ind w:right="49"/>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9B5728" w:rsidRPr="003B37F6" w:rsidRDefault="009B5728" w:rsidP="00022CBA">
            <w:pPr>
              <w:tabs>
                <w:tab w:val="left" w:pos="284"/>
              </w:tabs>
              <w:spacing w:line="276" w:lineRule="auto"/>
              <w:ind w:right="49"/>
              <w:jc w:val="both"/>
              <w:rPr>
                <w:rFonts w:ascii="Palatino Linotype" w:eastAsia="Palatino Linotype" w:hAnsi="Palatino Linotype" w:cs="Palatino Linotype"/>
                <w:color w:val="000000"/>
              </w:rPr>
            </w:pPr>
          </w:p>
          <w:p w:rsidR="009B5728" w:rsidRPr="003B37F6" w:rsidRDefault="009B5728" w:rsidP="00022CBA">
            <w:pPr>
              <w:tabs>
                <w:tab w:val="left" w:pos="284"/>
              </w:tabs>
              <w:spacing w:line="276" w:lineRule="auto"/>
              <w:jc w:val="both"/>
              <w:rPr>
                <w:rFonts w:ascii="Palatino Linotype" w:eastAsia="Palatino Linotype" w:hAnsi="Palatino Linotype" w:cs="Palatino Linotype"/>
              </w:rPr>
            </w:pPr>
            <w:r w:rsidRPr="003B37F6">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ED570A" w:rsidRPr="003B37F6" w:rsidRDefault="00ED570A">
      <w:pPr>
        <w:keepNext/>
        <w:keepLines/>
        <w:spacing w:line="360" w:lineRule="auto"/>
        <w:rPr>
          <w:rFonts w:ascii="Palatino Linotype" w:eastAsia="Palatino Linotype" w:hAnsi="Palatino Linotype" w:cs="Palatino Linotype"/>
          <w:b/>
          <w:color w:val="000000"/>
        </w:rPr>
      </w:pPr>
    </w:p>
    <w:p w:rsidR="00ED570A" w:rsidRPr="003B37F6" w:rsidRDefault="00022CBA">
      <w:pPr>
        <w:numPr>
          <w:ilvl w:val="0"/>
          <w:numId w:val="1"/>
        </w:numPr>
        <w:pBdr>
          <w:top w:val="nil"/>
          <w:left w:val="nil"/>
          <w:bottom w:val="nil"/>
          <w:right w:val="nil"/>
          <w:between w:val="nil"/>
        </w:pBdr>
        <w:spacing w:line="360" w:lineRule="auto"/>
        <w:ind w:left="0" w:right="1" w:firstLine="0"/>
        <w:jc w:val="both"/>
        <w:rPr>
          <w:rFonts w:ascii="Palatino Linotype" w:eastAsia="Palatino Linotype" w:hAnsi="Palatino Linotype" w:cs="Palatino Linotype"/>
          <w:color w:val="000000"/>
        </w:rPr>
      </w:pPr>
      <w:bookmarkStart w:id="4" w:name="_heading=h.17dp8vu" w:colFirst="0" w:colLast="0"/>
      <w:bookmarkEnd w:id="4"/>
      <w:r w:rsidRPr="003B37F6">
        <w:rPr>
          <w:rFonts w:ascii="Palatino Linotype" w:eastAsia="Palatino Linotype" w:hAnsi="Palatino Linotype" w:cs="Palatino Linotype"/>
          <w:color w:val="000000"/>
        </w:rPr>
        <w:t xml:space="preserve">En 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w:t>
      </w:r>
      <w:r w:rsidRPr="003B37F6">
        <w:rPr>
          <w:rFonts w:ascii="Palatino Linotype" w:eastAsia="Palatino Linotype" w:hAnsi="Palatino Linotype" w:cs="Palatino Linotype"/>
          <w:color w:val="000000"/>
        </w:rPr>
        <w:lastRenderedPageBreak/>
        <w:t>nacional, disposiciones de orden público, seguridad y salud públicas o para proteger los derechos de terceros.</w:t>
      </w:r>
    </w:p>
    <w:p w:rsidR="00ED570A" w:rsidRPr="003B37F6" w:rsidRDefault="00ED570A">
      <w:pPr>
        <w:spacing w:line="360" w:lineRule="auto"/>
        <w:rPr>
          <w:rFonts w:ascii="Palatino Linotype" w:eastAsia="Palatino Linotype" w:hAnsi="Palatino Linotype" w:cs="Palatino Linotype"/>
        </w:rPr>
      </w:pPr>
    </w:p>
    <w:p w:rsidR="00ED570A" w:rsidRPr="003B37F6" w:rsidRDefault="00022CBA">
      <w:pPr>
        <w:numPr>
          <w:ilvl w:val="0"/>
          <w:numId w:val="1"/>
        </w:numPr>
        <w:spacing w:line="360" w:lineRule="auto"/>
        <w:ind w:left="0"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Por su parte, la Ley General de Transparencia y Acceso a la Información Pública, en su artículo 116, dispone que se considera información confidencial la que contenga datos personales concernientes a una persona física identificada o identificable. Además,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rsidR="00ED570A" w:rsidRPr="003B37F6" w:rsidRDefault="00ED570A">
      <w:pPr>
        <w:spacing w:line="360" w:lineRule="auto"/>
        <w:jc w:val="both"/>
        <w:rPr>
          <w:rFonts w:ascii="Palatino Linotype" w:eastAsia="Palatino Linotype" w:hAnsi="Palatino Linotype" w:cs="Palatino Linotype"/>
          <w:color w:val="000000"/>
        </w:rPr>
      </w:pPr>
    </w:p>
    <w:p w:rsidR="00ED570A" w:rsidRPr="003B37F6" w:rsidRDefault="00022CBA">
      <w:pPr>
        <w:numPr>
          <w:ilvl w:val="0"/>
          <w:numId w:val="1"/>
        </w:numPr>
        <w:spacing w:line="360" w:lineRule="auto"/>
        <w:ind w:left="0"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rsidR="00ED570A" w:rsidRPr="003B37F6" w:rsidRDefault="00ED570A">
      <w:pPr>
        <w:tabs>
          <w:tab w:val="left" w:pos="0"/>
          <w:tab w:val="left" w:pos="284"/>
        </w:tabs>
        <w:spacing w:line="360" w:lineRule="auto"/>
        <w:ind w:right="49"/>
        <w:jc w:val="both"/>
        <w:rPr>
          <w:rFonts w:ascii="Palatino Linotype" w:eastAsia="Palatino Linotype" w:hAnsi="Palatino Linotype" w:cs="Palatino Linotype"/>
        </w:rPr>
      </w:pPr>
    </w:p>
    <w:p w:rsidR="00ED570A" w:rsidRPr="003B37F6" w:rsidRDefault="00022CBA">
      <w:pPr>
        <w:numPr>
          <w:ilvl w:val="0"/>
          <w:numId w:val="1"/>
        </w:numPr>
        <w:spacing w:line="360" w:lineRule="auto"/>
        <w:ind w:left="0"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No pasa desapercibido para este Órgano Garante que los sujetos obligados</w:t>
      </w:r>
      <w:r w:rsidRPr="003B37F6">
        <w:rPr>
          <w:rFonts w:ascii="Palatino Linotype" w:eastAsia="Palatino Linotype" w:hAnsi="Palatino Linotype" w:cs="Palatino Linotype"/>
          <w:b/>
          <w:color w:val="000000"/>
        </w:rPr>
        <w:t xml:space="preserve"> </w:t>
      </w:r>
      <w:r w:rsidRPr="003B37F6">
        <w:rPr>
          <w:rFonts w:ascii="Palatino Linotype" w:eastAsia="Palatino Linotype" w:hAnsi="Palatino Linotype" w:cs="Palatino Linotype"/>
          <w:color w:val="000000"/>
        </w:rPr>
        <w:t xml:space="preserve">serán responsables de los datos personales en su posesión y que, en caso de localizarse datos concernientes a terceros, éstos no podrán difundir, distribuir o comercializar los datos personales.  Cabe destacar que, para la realización de la clasificación de la información, </w:t>
      </w:r>
      <w:r w:rsidRPr="003B37F6">
        <w:rPr>
          <w:rFonts w:ascii="Palatino Linotype" w:eastAsia="Palatino Linotype" w:hAnsi="Palatino Linotype" w:cs="Palatino Linotype"/>
          <w:color w:val="000000"/>
        </w:rPr>
        <w:lastRenderedPageBreak/>
        <w:t>se deben seguir una serie de pasos y procedimientos, por lo que es menester reiterar los mismos:</w:t>
      </w:r>
    </w:p>
    <w:p w:rsidR="00ED570A" w:rsidRPr="003B37F6" w:rsidRDefault="00ED570A">
      <w:pPr>
        <w:tabs>
          <w:tab w:val="left" w:pos="284"/>
        </w:tabs>
        <w:spacing w:line="360" w:lineRule="auto"/>
        <w:ind w:right="49"/>
        <w:jc w:val="both"/>
        <w:rPr>
          <w:rFonts w:ascii="Palatino Linotype" w:eastAsia="Palatino Linotype" w:hAnsi="Palatino Linotype" w:cs="Palatino Linotype"/>
          <w:color w:val="000000"/>
        </w:rPr>
      </w:pPr>
    </w:p>
    <w:tbl>
      <w:tblPr>
        <w:tblStyle w:val="ad"/>
        <w:tblW w:w="921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6521"/>
      </w:tblGrid>
      <w:tr w:rsidR="00ED570A" w:rsidRPr="003B37F6">
        <w:tc>
          <w:tcPr>
            <w:tcW w:w="2689" w:type="dxa"/>
            <w:tcBorders>
              <w:top w:val="single" w:sz="4" w:space="0" w:color="BFBFBF"/>
              <w:left w:val="single" w:sz="4" w:space="0" w:color="BFBFBF"/>
              <w:bottom w:val="single" w:sz="4" w:space="0" w:color="BFBFBF"/>
              <w:right w:val="single" w:sz="4" w:space="0" w:color="BFBFBF"/>
            </w:tcBorders>
          </w:tcPr>
          <w:p w:rsidR="00ED570A" w:rsidRPr="003B37F6" w:rsidRDefault="00022CBA">
            <w:pPr>
              <w:tabs>
                <w:tab w:val="left" w:pos="284"/>
              </w:tabs>
              <w:spacing w:line="360" w:lineRule="auto"/>
              <w:rPr>
                <w:rFonts w:ascii="Palatino Linotype" w:eastAsia="Palatino Linotype" w:hAnsi="Palatino Linotype" w:cs="Palatino Linotype"/>
                <w:b/>
              </w:rPr>
            </w:pPr>
            <w:r w:rsidRPr="003B37F6">
              <w:rPr>
                <w:rFonts w:ascii="Palatino Linotype" w:eastAsia="Palatino Linotype" w:hAnsi="Palatino Linotype" w:cs="Palatino Linotype"/>
                <w:b/>
              </w:rPr>
              <w:t>a) Requisitos previos.</w:t>
            </w:r>
          </w:p>
        </w:tc>
        <w:tc>
          <w:tcPr>
            <w:tcW w:w="6521" w:type="dxa"/>
            <w:tcBorders>
              <w:top w:val="single" w:sz="4" w:space="0" w:color="BFBFBF"/>
              <w:left w:val="single" w:sz="4" w:space="0" w:color="BFBFBF"/>
              <w:bottom w:val="single" w:sz="4" w:space="0" w:color="BFBFBF"/>
              <w:right w:val="single" w:sz="4" w:space="0" w:color="BFBFBF"/>
            </w:tcBorders>
          </w:tcPr>
          <w:p w:rsidR="00ED570A" w:rsidRPr="003B37F6" w:rsidRDefault="00022CBA">
            <w:pPr>
              <w:tabs>
                <w:tab w:val="left" w:pos="284"/>
              </w:tabs>
              <w:spacing w:line="360" w:lineRule="auto"/>
              <w:ind w:right="49"/>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ED570A" w:rsidRPr="003B37F6" w:rsidRDefault="00ED570A">
            <w:pPr>
              <w:tabs>
                <w:tab w:val="left" w:pos="284"/>
              </w:tabs>
              <w:spacing w:line="360" w:lineRule="auto"/>
              <w:ind w:right="49"/>
              <w:jc w:val="both"/>
              <w:rPr>
                <w:rFonts w:ascii="Palatino Linotype" w:eastAsia="Palatino Linotype" w:hAnsi="Palatino Linotype" w:cs="Palatino Linotype"/>
                <w:color w:val="000000"/>
              </w:rPr>
            </w:pPr>
          </w:p>
          <w:p w:rsidR="00ED570A" w:rsidRPr="003B37F6" w:rsidRDefault="00022CBA">
            <w:pPr>
              <w:tabs>
                <w:tab w:val="left" w:pos="284"/>
              </w:tabs>
              <w:spacing w:line="360" w:lineRule="auto"/>
              <w:ind w:right="49"/>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Al hacerlo tienen que precisar de qué información se trata, señalando el supuesto de clasificación (confidencialidad o reserva).</w:t>
            </w:r>
          </w:p>
          <w:p w:rsidR="00ED570A" w:rsidRPr="003B37F6" w:rsidRDefault="00022CBA">
            <w:pPr>
              <w:tabs>
                <w:tab w:val="left" w:pos="284"/>
              </w:tabs>
              <w:spacing w:line="360" w:lineRule="auto"/>
              <w:ind w:right="49"/>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Además, se debe señalar el procedimiento, de los tres que establecen los artículos 132 y 106 de la Ley Estatal y General, respectivamente.</w:t>
            </w:r>
          </w:p>
          <w:p w:rsidR="00ED570A" w:rsidRPr="003B37F6" w:rsidRDefault="00ED570A">
            <w:pPr>
              <w:tabs>
                <w:tab w:val="left" w:pos="284"/>
              </w:tabs>
              <w:spacing w:line="360" w:lineRule="auto"/>
              <w:ind w:right="49"/>
              <w:jc w:val="both"/>
              <w:rPr>
                <w:rFonts w:ascii="Palatino Linotype" w:eastAsia="Palatino Linotype" w:hAnsi="Palatino Linotype" w:cs="Palatino Linotype"/>
                <w:color w:val="000000"/>
              </w:rPr>
            </w:pPr>
          </w:p>
          <w:p w:rsidR="00ED570A" w:rsidRPr="003B37F6" w:rsidRDefault="00022CBA">
            <w:pPr>
              <w:tabs>
                <w:tab w:val="left" w:pos="284"/>
              </w:tabs>
              <w:spacing w:line="360" w:lineRule="auto"/>
              <w:jc w:val="both"/>
              <w:rPr>
                <w:rFonts w:ascii="Palatino Linotype" w:eastAsia="Palatino Linotype" w:hAnsi="Palatino Linotype" w:cs="Palatino Linotype"/>
              </w:rPr>
            </w:pPr>
            <w:r w:rsidRPr="003B37F6">
              <w:rPr>
                <w:rFonts w:ascii="Palatino Linotype" w:eastAsia="Palatino Linotype" w:hAnsi="Palatino Linotype" w:cs="Palatino Linotype"/>
                <w:color w:val="000000"/>
              </w:rPr>
              <w:t xml:space="preserve">El último de estos requisitos previos consiste en que no se pueden emitir acuerdos de carácter general ni particular, esto es, </w:t>
            </w:r>
            <w:r w:rsidRPr="003B37F6">
              <w:rPr>
                <w:rFonts w:ascii="Palatino Linotype" w:eastAsia="Palatino Linotype" w:hAnsi="Palatino Linotype" w:cs="Palatino Linotype"/>
                <w:color w:val="000000"/>
                <w:u w:val="single"/>
              </w:rPr>
              <w:t xml:space="preserve">no se puede hacer un acuerdo para clasificar de manera general todos los documentos de un expediente o </w:t>
            </w:r>
            <w:r w:rsidRPr="003B37F6">
              <w:rPr>
                <w:rFonts w:ascii="Palatino Linotype" w:eastAsia="Palatino Linotype" w:hAnsi="Palatino Linotype" w:cs="Palatino Linotype"/>
                <w:color w:val="000000"/>
                <w:u w:val="single"/>
              </w:rPr>
              <w:lastRenderedPageBreak/>
              <w:t>área, sin</w:t>
            </w:r>
            <w:r w:rsidRPr="003B37F6">
              <w:rPr>
                <w:rFonts w:ascii="Palatino Linotype" w:eastAsia="Palatino Linotype" w:hAnsi="Palatino Linotype" w:cs="Palatino Linotype"/>
                <w:color w:val="000000"/>
              </w:rPr>
              <w:t xml:space="preserve"> individualizar su análisis y tampoco se puede hacer un acuerdo por cada dato que se vaya a clasificar dentro de un documento con diez datos, por ejemplo, susceptibles de ser clasificados.</w:t>
            </w:r>
          </w:p>
        </w:tc>
      </w:tr>
      <w:tr w:rsidR="00ED570A" w:rsidRPr="003B37F6">
        <w:tc>
          <w:tcPr>
            <w:tcW w:w="2689" w:type="dxa"/>
            <w:tcBorders>
              <w:top w:val="single" w:sz="4" w:space="0" w:color="BFBFBF"/>
              <w:left w:val="single" w:sz="4" w:space="0" w:color="BFBFBF"/>
              <w:bottom w:val="single" w:sz="4" w:space="0" w:color="BFBFBF"/>
              <w:right w:val="single" w:sz="4" w:space="0" w:color="BFBFBF"/>
            </w:tcBorders>
          </w:tcPr>
          <w:p w:rsidR="00ED570A" w:rsidRPr="003B37F6" w:rsidRDefault="00022CBA">
            <w:pPr>
              <w:tabs>
                <w:tab w:val="left" w:pos="284"/>
              </w:tabs>
              <w:spacing w:line="360" w:lineRule="auto"/>
              <w:rPr>
                <w:rFonts w:ascii="Palatino Linotype" w:eastAsia="Palatino Linotype" w:hAnsi="Palatino Linotype" w:cs="Palatino Linotype"/>
                <w:b/>
              </w:rPr>
            </w:pPr>
            <w:r w:rsidRPr="003B37F6">
              <w:rPr>
                <w:rFonts w:ascii="Palatino Linotype" w:eastAsia="Palatino Linotype" w:hAnsi="Palatino Linotype" w:cs="Palatino Linotype"/>
                <w:b/>
              </w:rPr>
              <w:lastRenderedPageBreak/>
              <w:t>b) Supuestos de clasificación.</w:t>
            </w:r>
          </w:p>
        </w:tc>
        <w:tc>
          <w:tcPr>
            <w:tcW w:w="6521" w:type="dxa"/>
            <w:tcBorders>
              <w:top w:val="single" w:sz="4" w:space="0" w:color="BFBFBF"/>
              <w:left w:val="single" w:sz="4" w:space="0" w:color="BFBFBF"/>
              <w:bottom w:val="single" w:sz="4" w:space="0" w:color="BFBFBF"/>
              <w:right w:val="single" w:sz="4" w:space="0" w:color="BFBFBF"/>
            </w:tcBorders>
          </w:tcPr>
          <w:p w:rsidR="00ED570A" w:rsidRPr="003B37F6" w:rsidRDefault="00022CBA">
            <w:pPr>
              <w:tabs>
                <w:tab w:val="left" w:pos="284"/>
              </w:tabs>
              <w:spacing w:line="360" w:lineRule="auto"/>
              <w:ind w:right="49"/>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rsidR="00ED570A" w:rsidRPr="003B37F6" w:rsidRDefault="00022CBA">
            <w:pPr>
              <w:tabs>
                <w:tab w:val="left" w:pos="284"/>
              </w:tabs>
              <w:spacing w:line="360" w:lineRule="auto"/>
              <w:ind w:right="49"/>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ED570A" w:rsidRPr="003B37F6" w:rsidRDefault="00ED570A">
            <w:pPr>
              <w:tabs>
                <w:tab w:val="left" w:pos="284"/>
              </w:tabs>
              <w:spacing w:line="360" w:lineRule="auto"/>
              <w:ind w:right="49"/>
              <w:jc w:val="both"/>
              <w:rPr>
                <w:rFonts w:ascii="Palatino Linotype" w:eastAsia="Palatino Linotype" w:hAnsi="Palatino Linotype" w:cs="Palatino Linotype"/>
                <w:color w:val="000000"/>
              </w:rPr>
            </w:pPr>
          </w:p>
          <w:p w:rsidR="00ED570A" w:rsidRPr="003B37F6" w:rsidRDefault="00022CBA">
            <w:pPr>
              <w:tabs>
                <w:tab w:val="left" w:pos="284"/>
              </w:tabs>
              <w:spacing w:line="360" w:lineRule="auto"/>
              <w:jc w:val="both"/>
              <w:rPr>
                <w:rFonts w:ascii="Palatino Linotype" w:eastAsia="Palatino Linotype" w:hAnsi="Palatino Linotype" w:cs="Palatino Linotype"/>
              </w:rPr>
            </w:pPr>
            <w:r w:rsidRPr="003B37F6">
              <w:rPr>
                <w:rFonts w:ascii="Palatino Linotype" w:eastAsia="Palatino Linotype" w:hAnsi="Palatino Linotype" w:cs="Palatino Linotype"/>
                <w:color w:val="000000"/>
              </w:rPr>
              <w:t xml:space="preserve">El </w:t>
            </w:r>
            <w:r w:rsidRPr="003B37F6">
              <w:rPr>
                <w:rFonts w:ascii="Palatino Linotype" w:eastAsia="Palatino Linotype" w:hAnsi="Palatino Linotype" w:cs="Palatino Linotype"/>
                <w:b/>
                <w:color w:val="000000"/>
              </w:rPr>
              <w:t>Sujeto Obligado</w:t>
            </w:r>
            <w:r w:rsidRPr="003B37F6">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w:t>
            </w:r>
            <w:r w:rsidRPr="003B37F6">
              <w:rPr>
                <w:rFonts w:ascii="Palatino Linotype" w:eastAsia="Palatino Linotype" w:hAnsi="Palatino Linotype" w:cs="Palatino Linotype"/>
                <w:color w:val="000000"/>
              </w:rPr>
              <w:lastRenderedPageBreak/>
              <w:t>estrictamente con la hipótesis jurídica. Esto también lo debe de realizar el servidor público habilitado y el titular del área que administra la información.</w:t>
            </w:r>
          </w:p>
        </w:tc>
      </w:tr>
      <w:tr w:rsidR="00ED570A" w:rsidRPr="003B37F6">
        <w:tc>
          <w:tcPr>
            <w:tcW w:w="2689" w:type="dxa"/>
            <w:tcBorders>
              <w:top w:val="single" w:sz="4" w:space="0" w:color="BFBFBF"/>
              <w:left w:val="single" w:sz="4" w:space="0" w:color="BFBFBF"/>
              <w:bottom w:val="single" w:sz="4" w:space="0" w:color="BFBFBF"/>
              <w:right w:val="single" w:sz="4" w:space="0" w:color="BFBFBF"/>
            </w:tcBorders>
          </w:tcPr>
          <w:p w:rsidR="00ED570A" w:rsidRPr="003B37F6" w:rsidRDefault="00022CBA">
            <w:pPr>
              <w:tabs>
                <w:tab w:val="left" w:pos="284"/>
              </w:tabs>
              <w:spacing w:line="360" w:lineRule="auto"/>
              <w:rPr>
                <w:rFonts w:ascii="Palatino Linotype" w:eastAsia="Palatino Linotype" w:hAnsi="Palatino Linotype" w:cs="Palatino Linotype"/>
                <w:b/>
              </w:rPr>
            </w:pPr>
            <w:r w:rsidRPr="003B37F6">
              <w:rPr>
                <w:rFonts w:ascii="Palatino Linotype" w:eastAsia="Palatino Linotype" w:hAnsi="Palatino Linotype" w:cs="Palatino Linotype"/>
                <w:b/>
              </w:rPr>
              <w:lastRenderedPageBreak/>
              <w:t>c) Formalidades para emitir el acuerdo de clasificación.</w:t>
            </w:r>
          </w:p>
        </w:tc>
        <w:tc>
          <w:tcPr>
            <w:tcW w:w="6521" w:type="dxa"/>
            <w:tcBorders>
              <w:top w:val="single" w:sz="4" w:space="0" w:color="BFBFBF"/>
              <w:left w:val="single" w:sz="4" w:space="0" w:color="BFBFBF"/>
              <w:bottom w:val="single" w:sz="4" w:space="0" w:color="BFBFBF"/>
              <w:right w:val="single" w:sz="4" w:space="0" w:color="BFBFBF"/>
            </w:tcBorders>
          </w:tcPr>
          <w:p w:rsidR="00ED570A" w:rsidRPr="003B37F6" w:rsidRDefault="00022CBA">
            <w:pPr>
              <w:tabs>
                <w:tab w:val="left" w:pos="284"/>
              </w:tabs>
              <w:spacing w:line="360" w:lineRule="auto"/>
              <w:ind w:right="49"/>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rsidR="00ED570A" w:rsidRPr="003B37F6" w:rsidRDefault="00ED570A">
            <w:pPr>
              <w:tabs>
                <w:tab w:val="left" w:pos="284"/>
              </w:tabs>
              <w:spacing w:line="360" w:lineRule="auto"/>
              <w:ind w:right="49"/>
              <w:jc w:val="both"/>
              <w:rPr>
                <w:rFonts w:ascii="Palatino Linotype" w:eastAsia="Palatino Linotype" w:hAnsi="Palatino Linotype" w:cs="Palatino Linotype"/>
                <w:color w:val="000000"/>
              </w:rPr>
            </w:pPr>
          </w:p>
          <w:p w:rsidR="00ED570A" w:rsidRPr="003B37F6" w:rsidRDefault="00022CBA">
            <w:pPr>
              <w:tabs>
                <w:tab w:val="left" w:pos="284"/>
              </w:tabs>
              <w:spacing w:line="360" w:lineRule="auto"/>
              <w:ind w:right="49"/>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 xml:space="preserve">Es necesario que </w:t>
            </w:r>
            <w:r w:rsidRPr="003B37F6">
              <w:rPr>
                <w:rFonts w:ascii="Palatino Linotype" w:eastAsia="Palatino Linotype" w:hAnsi="Palatino Linotype" w:cs="Palatino Linotype"/>
                <w:b/>
                <w:color w:val="000000"/>
                <w:u w:val="single"/>
              </w:rPr>
              <w:t>el acto reúna con los requisitos elementales</w:t>
            </w:r>
            <w:r w:rsidRPr="003B37F6">
              <w:rPr>
                <w:rFonts w:ascii="Palatino Linotype" w:eastAsia="Palatino Linotype" w:hAnsi="Palatino Linotype" w:cs="Palatino Linotype"/>
                <w:color w:val="000000"/>
              </w:rPr>
              <w:t>, entre ellos, que la autoridad que va a emitir el acto de autoridad sea la legalmente facultada para ello.</w:t>
            </w:r>
          </w:p>
          <w:p w:rsidR="00ED570A" w:rsidRPr="003B37F6" w:rsidRDefault="00022CBA">
            <w:pPr>
              <w:tabs>
                <w:tab w:val="left" w:pos="284"/>
              </w:tabs>
              <w:spacing w:line="360" w:lineRule="auto"/>
              <w:jc w:val="both"/>
              <w:rPr>
                <w:rFonts w:ascii="Palatino Linotype" w:eastAsia="Palatino Linotype" w:hAnsi="Palatino Linotype" w:cs="Palatino Linotype"/>
              </w:rPr>
            </w:pPr>
            <w:r w:rsidRPr="003B37F6">
              <w:rPr>
                <w:rFonts w:ascii="Palatino Linotype" w:eastAsia="Palatino Linotype" w:hAnsi="Palatino Linotype" w:cs="Palatino Linotype"/>
                <w:color w:val="00000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ED570A" w:rsidRPr="003B37F6">
        <w:tc>
          <w:tcPr>
            <w:tcW w:w="2689" w:type="dxa"/>
            <w:tcBorders>
              <w:top w:val="single" w:sz="4" w:space="0" w:color="BFBFBF"/>
              <w:left w:val="single" w:sz="4" w:space="0" w:color="BFBFBF"/>
              <w:bottom w:val="single" w:sz="4" w:space="0" w:color="BFBFBF"/>
              <w:right w:val="single" w:sz="4" w:space="0" w:color="BFBFBF"/>
            </w:tcBorders>
          </w:tcPr>
          <w:p w:rsidR="00ED570A" w:rsidRPr="003B37F6" w:rsidRDefault="00ED570A">
            <w:pPr>
              <w:tabs>
                <w:tab w:val="left" w:pos="284"/>
              </w:tabs>
              <w:spacing w:line="360" w:lineRule="auto"/>
              <w:rPr>
                <w:rFonts w:ascii="Palatino Linotype" w:eastAsia="Palatino Linotype" w:hAnsi="Palatino Linotype" w:cs="Palatino Linotype"/>
                <w:b/>
              </w:rPr>
            </w:pPr>
          </w:p>
          <w:p w:rsidR="00ED570A" w:rsidRPr="003B37F6" w:rsidRDefault="00022CBA">
            <w:pPr>
              <w:tabs>
                <w:tab w:val="left" w:pos="284"/>
              </w:tabs>
              <w:spacing w:line="360" w:lineRule="auto"/>
              <w:jc w:val="both"/>
              <w:rPr>
                <w:rFonts w:ascii="Palatino Linotype" w:eastAsia="Palatino Linotype" w:hAnsi="Palatino Linotype" w:cs="Palatino Linotype"/>
                <w:b/>
              </w:rPr>
            </w:pPr>
            <w:r w:rsidRPr="003B37F6">
              <w:rPr>
                <w:rFonts w:ascii="Palatino Linotype" w:eastAsia="Palatino Linotype" w:hAnsi="Palatino Linotype" w:cs="Palatino Linotype"/>
                <w:b/>
                <w:color w:val="000000"/>
              </w:rPr>
              <w:t xml:space="preserve">d) Requisitos de fondo del acuerdo de clasificación. </w:t>
            </w:r>
          </w:p>
        </w:tc>
        <w:tc>
          <w:tcPr>
            <w:tcW w:w="6521" w:type="dxa"/>
            <w:tcBorders>
              <w:top w:val="single" w:sz="4" w:space="0" w:color="BFBFBF"/>
              <w:left w:val="single" w:sz="4" w:space="0" w:color="BFBFBF"/>
              <w:bottom w:val="single" w:sz="4" w:space="0" w:color="BFBFBF"/>
              <w:right w:val="single" w:sz="4" w:space="0" w:color="BFBFBF"/>
            </w:tcBorders>
          </w:tcPr>
          <w:p w:rsidR="00ED570A" w:rsidRPr="003B37F6" w:rsidRDefault="00022CBA">
            <w:pPr>
              <w:tabs>
                <w:tab w:val="left" w:pos="284"/>
              </w:tabs>
              <w:spacing w:line="360" w:lineRule="auto"/>
              <w:ind w:right="49"/>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3B37F6">
              <w:rPr>
                <w:rFonts w:ascii="Palatino Linotype" w:eastAsia="Palatino Linotype" w:hAnsi="Palatino Linotype" w:cs="Palatino Linotype"/>
                <w:b/>
                <w:color w:val="000000"/>
              </w:rPr>
              <w:t>Sujetos Obligados</w:t>
            </w:r>
            <w:r w:rsidRPr="003B37F6">
              <w:rPr>
                <w:rFonts w:ascii="Palatino Linotype" w:eastAsia="Palatino Linotype" w:hAnsi="Palatino Linotype" w:cs="Palatino Linotype"/>
                <w:color w:val="000000"/>
              </w:rPr>
              <w:t xml:space="preserve">, por lo que deberán fundar y motivar debidamente la clasificación. </w:t>
            </w:r>
          </w:p>
          <w:p w:rsidR="00ED570A" w:rsidRPr="003B37F6" w:rsidRDefault="00022CBA">
            <w:pPr>
              <w:tabs>
                <w:tab w:val="left" w:pos="284"/>
              </w:tabs>
              <w:spacing w:line="360" w:lineRule="auto"/>
              <w:ind w:right="49"/>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 xml:space="preserve">De lo anterior, se desprende que para una correcta </w:t>
            </w:r>
            <w:r w:rsidRPr="003B37F6">
              <w:rPr>
                <w:rFonts w:ascii="Palatino Linotype" w:eastAsia="Palatino Linotype" w:hAnsi="Palatino Linotype" w:cs="Palatino Linotype"/>
                <w:b/>
                <w:color w:val="000000"/>
              </w:rPr>
              <w:t>clasificación total o parcial</w:t>
            </w:r>
            <w:r w:rsidRPr="003B37F6">
              <w:rPr>
                <w:rFonts w:ascii="Palatino Linotype" w:eastAsia="Palatino Linotype" w:hAnsi="Palatino Linotype" w:cs="Palatino Linotype"/>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ED570A" w:rsidRPr="003B37F6" w:rsidRDefault="00ED570A">
            <w:pPr>
              <w:tabs>
                <w:tab w:val="left" w:pos="284"/>
              </w:tabs>
              <w:spacing w:line="360" w:lineRule="auto"/>
              <w:ind w:right="49"/>
              <w:jc w:val="both"/>
              <w:rPr>
                <w:rFonts w:ascii="Palatino Linotype" w:eastAsia="Palatino Linotype" w:hAnsi="Palatino Linotype" w:cs="Palatino Linotype"/>
                <w:color w:val="000000"/>
              </w:rPr>
            </w:pPr>
          </w:p>
          <w:p w:rsidR="00ED570A" w:rsidRPr="003B37F6" w:rsidRDefault="00022CBA">
            <w:pPr>
              <w:tabs>
                <w:tab w:val="left" w:pos="284"/>
              </w:tabs>
              <w:spacing w:line="360" w:lineRule="auto"/>
              <w:ind w:right="49"/>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 xml:space="preserve">Así, en un acto de autoridad se cumple con la debida fundamentación cuando se cita el precepto legal aplicable al caso concreto y la debida motivación cuando se expresan las razones, motivos o circunstancias que tomó en cuenta la </w:t>
            </w:r>
            <w:r w:rsidRPr="003B37F6">
              <w:rPr>
                <w:rFonts w:ascii="Palatino Linotype" w:eastAsia="Palatino Linotype" w:hAnsi="Palatino Linotype" w:cs="Palatino Linotype"/>
                <w:color w:val="000000"/>
              </w:rPr>
              <w:lastRenderedPageBreak/>
              <w:t>autoridad para adecuar el hecho a los fundamentos de derecho. De este modo, la persona que se sienta afectada pueda impugnar la decisión, permitiéndole una real y auténtica defensa.</w:t>
            </w:r>
          </w:p>
          <w:p w:rsidR="00ED570A" w:rsidRPr="003B37F6" w:rsidRDefault="00ED570A">
            <w:pPr>
              <w:tabs>
                <w:tab w:val="left" w:pos="284"/>
              </w:tabs>
              <w:spacing w:line="360" w:lineRule="auto"/>
              <w:ind w:right="49"/>
              <w:jc w:val="both"/>
              <w:rPr>
                <w:rFonts w:ascii="Palatino Linotype" w:eastAsia="Palatino Linotype" w:hAnsi="Palatino Linotype" w:cs="Palatino Linotype"/>
                <w:color w:val="000000"/>
              </w:rPr>
            </w:pPr>
          </w:p>
          <w:p w:rsidR="00ED570A" w:rsidRPr="003B37F6" w:rsidRDefault="00022CBA">
            <w:pPr>
              <w:tabs>
                <w:tab w:val="left" w:pos="284"/>
              </w:tabs>
              <w:spacing w:line="360" w:lineRule="auto"/>
              <w:ind w:right="49"/>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rsidR="00ED570A" w:rsidRPr="003B37F6" w:rsidRDefault="00ED570A">
            <w:pPr>
              <w:tabs>
                <w:tab w:val="left" w:pos="284"/>
              </w:tabs>
              <w:spacing w:line="360" w:lineRule="auto"/>
              <w:ind w:right="49"/>
              <w:jc w:val="both"/>
              <w:rPr>
                <w:rFonts w:ascii="Palatino Linotype" w:eastAsia="Palatino Linotype" w:hAnsi="Palatino Linotype" w:cs="Palatino Linotype"/>
                <w:color w:val="000000"/>
              </w:rPr>
            </w:pPr>
          </w:p>
          <w:p w:rsidR="00ED570A" w:rsidRPr="003B37F6" w:rsidRDefault="00022CBA">
            <w:pPr>
              <w:tabs>
                <w:tab w:val="left" w:pos="284"/>
              </w:tabs>
              <w:spacing w:line="360" w:lineRule="auto"/>
              <w:ind w:right="49"/>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 xml:space="preserve">Ahora bien, </w:t>
            </w:r>
            <w:r w:rsidRPr="003B37F6">
              <w:rPr>
                <w:rFonts w:ascii="Palatino Linotype" w:eastAsia="Palatino Linotype" w:hAnsi="Palatino Linotype" w:cs="Palatino Linotype"/>
                <w:b/>
                <w:color w:val="000000"/>
                <w:u w:val="single"/>
              </w:rPr>
              <w:t>para cada caso además de fundar y motivar</w:t>
            </w:r>
            <w:r w:rsidRPr="003B37F6">
              <w:rPr>
                <w:rFonts w:ascii="Palatino Linotype" w:eastAsia="Palatino Linotype" w:hAnsi="Palatino Linotype" w:cs="Palatino Linotype"/>
                <w:color w:val="00000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ED570A" w:rsidRPr="003B37F6">
        <w:tc>
          <w:tcPr>
            <w:tcW w:w="2689" w:type="dxa"/>
            <w:tcBorders>
              <w:top w:val="single" w:sz="4" w:space="0" w:color="BFBFBF"/>
              <w:left w:val="single" w:sz="4" w:space="0" w:color="BFBFBF"/>
              <w:bottom w:val="single" w:sz="4" w:space="0" w:color="BFBFBF"/>
              <w:right w:val="single" w:sz="4" w:space="0" w:color="BFBFBF"/>
            </w:tcBorders>
          </w:tcPr>
          <w:p w:rsidR="00ED570A" w:rsidRPr="003B37F6" w:rsidRDefault="00022CBA">
            <w:pPr>
              <w:tabs>
                <w:tab w:val="left" w:pos="284"/>
              </w:tabs>
              <w:spacing w:line="360" w:lineRule="auto"/>
              <w:ind w:right="49"/>
              <w:jc w:val="both"/>
              <w:rPr>
                <w:rFonts w:ascii="Palatino Linotype" w:eastAsia="Palatino Linotype" w:hAnsi="Palatino Linotype" w:cs="Palatino Linotype"/>
                <w:b/>
              </w:rPr>
            </w:pPr>
            <w:r w:rsidRPr="003B37F6">
              <w:rPr>
                <w:rFonts w:ascii="Palatino Linotype" w:eastAsia="Palatino Linotype" w:hAnsi="Palatino Linotype" w:cs="Palatino Linotype"/>
                <w:b/>
              </w:rPr>
              <w:lastRenderedPageBreak/>
              <w:t xml:space="preserve">e) Condiciones especiales de la </w:t>
            </w:r>
            <w:r w:rsidRPr="003B37F6">
              <w:rPr>
                <w:rFonts w:ascii="Palatino Linotype" w:eastAsia="Palatino Linotype" w:hAnsi="Palatino Linotype" w:cs="Palatino Linotype"/>
                <w:b/>
              </w:rPr>
              <w:lastRenderedPageBreak/>
              <w:t xml:space="preserve">clasificación de la información como confidencial. </w:t>
            </w:r>
          </w:p>
        </w:tc>
        <w:tc>
          <w:tcPr>
            <w:tcW w:w="6521" w:type="dxa"/>
            <w:tcBorders>
              <w:top w:val="single" w:sz="4" w:space="0" w:color="BFBFBF"/>
              <w:left w:val="single" w:sz="4" w:space="0" w:color="BFBFBF"/>
              <w:bottom w:val="single" w:sz="4" w:space="0" w:color="BFBFBF"/>
              <w:right w:val="single" w:sz="4" w:space="0" w:color="BFBFBF"/>
            </w:tcBorders>
          </w:tcPr>
          <w:p w:rsidR="00ED570A" w:rsidRPr="003B37F6" w:rsidRDefault="00022CBA">
            <w:pPr>
              <w:tabs>
                <w:tab w:val="left" w:pos="284"/>
              </w:tabs>
              <w:spacing w:line="360" w:lineRule="auto"/>
              <w:ind w:right="49"/>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lastRenderedPageBreak/>
              <w:t xml:space="preserve">Los artículos 148 y 120 de la Ley Estatal y de la Ley General, respectivamente, establecen que aun tratándose de datos </w:t>
            </w:r>
            <w:r w:rsidRPr="003B37F6">
              <w:rPr>
                <w:rFonts w:ascii="Palatino Linotype" w:eastAsia="Palatino Linotype" w:hAnsi="Palatino Linotype" w:cs="Palatino Linotype"/>
                <w:color w:val="000000"/>
              </w:rPr>
              <w:lastRenderedPageBreak/>
              <w:t xml:space="preserve">personales, se podrán proporcionar, incluso sin solicitar el consentimiento de su titular. </w:t>
            </w:r>
          </w:p>
          <w:p w:rsidR="00ED570A" w:rsidRPr="003B37F6" w:rsidRDefault="00ED570A">
            <w:pPr>
              <w:tabs>
                <w:tab w:val="left" w:pos="284"/>
              </w:tabs>
              <w:spacing w:line="360" w:lineRule="auto"/>
              <w:ind w:right="49"/>
              <w:jc w:val="both"/>
              <w:rPr>
                <w:rFonts w:ascii="Palatino Linotype" w:eastAsia="Palatino Linotype" w:hAnsi="Palatino Linotype" w:cs="Palatino Linotype"/>
                <w:color w:val="000000"/>
              </w:rPr>
            </w:pPr>
          </w:p>
          <w:p w:rsidR="00ED570A" w:rsidRPr="003B37F6" w:rsidRDefault="00022CBA">
            <w:pPr>
              <w:tabs>
                <w:tab w:val="left" w:pos="284"/>
              </w:tabs>
              <w:spacing w:line="360" w:lineRule="auto"/>
              <w:ind w:right="49"/>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ED570A" w:rsidRPr="003B37F6" w:rsidRDefault="00ED570A">
            <w:pPr>
              <w:tabs>
                <w:tab w:val="left" w:pos="284"/>
              </w:tabs>
              <w:spacing w:line="360" w:lineRule="auto"/>
              <w:ind w:right="49"/>
              <w:jc w:val="both"/>
              <w:rPr>
                <w:rFonts w:ascii="Palatino Linotype" w:eastAsia="Palatino Linotype" w:hAnsi="Palatino Linotype" w:cs="Palatino Linotype"/>
                <w:color w:val="000000"/>
              </w:rPr>
            </w:pPr>
          </w:p>
          <w:p w:rsidR="00ED570A" w:rsidRPr="003B37F6" w:rsidRDefault="00022CBA">
            <w:pPr>
              <w:tabs>
                <w:tab w:val="left" w:pos="284"/>
              </w:tabs>
              <w:spacing w:line="360" w:lineRule="auto"/>
              <w:jc w:val="both"/>
              <w:rPr>
                <w:rFonts w:ascii="Palatino Linotype" w:eastAsia="Palatino Linotype" w:hAnsi="Palatino Linotype" w:cs="Palatino Linotype"/>
              </w:rPr>
            </w:pPr>
            <w:r w:rsidRPr="003B37F6">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ED570A" w:rsidRPr="003B37F6" w:rsidRDefault="00ED570A">
      <w:pPr>
        <w:tabs>
          <w:tab w:val="left" w:pos="284"/>
        </w:tabs>
        <w:spacing w:line="360" w:lineRule="auto"/>
        <w:rPr>
          <w:rFonts w:ascii="Palatino Linotype" w:eastAsia="Palatino Linotype" w:hAnsi="Palatino Linotype" w:cs="Palatino Linotype"/>
          <w:color w:val="000000"/>
        </w:rPr>
      </w:pPr>
    </w:p>
    <w:p w:rsidR="00ED570A" w:rsidRPr="003B37F6" w:rsidRDefault="00022CBA">
      <w:pPr>
        <w:numPr>
          <w:ilvl w:val="0"/>
          <w:numId w:val="1"/>
        </w:numPr>
        <w:spacing w:line="360" w:lineRule="auto"/>
        <w:ind w:left="0"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rPr>
        <w:t xml:space="preserve">Si el </w:t>
      </w:r>
      <w:r w:rsidRPr="003B37F6">
        <w:rPr>
          <w:rFonts w:ascii="Palatino Linotype" w:eastAsia="Palatino Linotype" w:hAnsi="Palatino Linotype" w:cs="Palatino Linotype"/>
          <w:color w:val="000000"/>
        </w:rPr>
        <w:t>servidor</w:t>
      </w:r>
      <w:r w:rsidRPr="003B37F6">
        <w:rPr>
          <w:rFonts w:ascii="Palatino Linotype" w:eastAsia="Palatino Linotype" w:hAnsi="Palatino Linotype" w:cs="Palatino Linotype"/>
        </w:rPr>
        <w:t xml:space="preserve"> público incumple con estas formalidades y entrega la información sin proteger los datos personales incumple con lo que estipula las disposiciones legales </w:t>
      </w:r>
      <w:r w:rsidRPr="003B37F6">
        <w:rPr>
          <w:rFonts w:ascii="Palatino Linotype" w:eastAsia="Palatino Linotype" w:hAnsi="Palatino Linotype" w:cs="Palatino Linotype"/>
          <w:color w:val="000000"/>
        </w:rPr>
        <w:t>establecidas</w:t>
      </w:r>
      <w:r w:rsidRPr="003B37F6">
        <w:rPr>
          <w:rFonts w:ascii="Palatino Linotype" w:eastAsia="Palatino Linotype" w:hAnsi="Palatino Linotype" w:cs="Palatino Linotype"/>
        </w:rPr>
        <w:t>, asimismo que si entrega un documento testado sin el debido acuerdo de clasificación.</w:t>
      </w:r>
    </w:p>
    <w:p w:rsidR="00ED570A" w:rsidRPr="003B37F6" w:rsidRDefault="00ED570A">
      <w:pPr>
        <w:tabs>
          <w:tab w:val="left" w:pos="284"/>
        </w:tabs>
        <w:spacing w:line="360" w:lineRule="auto"/>
        <w:jc w:val="both"/>
        <w:rPr>
          <w:rFonts w:ascii="Palatino Linotype" w:eastAsia="Palatino Linotype" w:hAnsi="Palatino Linotype" w:cs="Palatino Linotype"/>
        </w:rPr>
      </w:pPr>
    </w:p>
    <w:p w:rsidR="00ED570A" w:rsidRPr="003B37F6" w:rsidRDefault="00022CBA">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color w:val="000000"/>
        </w:rPr>
        <w:t>Por lo anterior, el recurso de revisión al ser una garantía secundaria conforme a lo que establece el artículo 176 de la Ley en comento, es necesario revocar la respuesta y ordenar la entrega de la información, a efecto de reparar cualquier posible afectación causada por la no entrega de la información en respuesta a la solicitud, por tal motivo, resultan fundadas las razones o motivos de inconformidad hechos valer por el particular.</w:t>
      </w:r>
    </w:p>
    <w:p w:rsidR="00ED570A" w:rsidRPr="003B37F6" w:rsidRDefault="00ED570A">
      <w:pPr>
        <w:tabs>
          <w:tab w:val="left" w:pos="284"/>
        </w:tabs>
        <w:spacing w:line="360" w:lineRule="auto"/>
        <w:jc w:val="both"/>
        <w:rPr>
          <w:rFonts w:ascii="Palatino Linotype" w:eastAsia="Palatino Linotype" w:hAnsi="Palatino Linotype" w:cs="Palatino Linotype"/>
        </w:rPr>
      </w:pPr>
    </w:p>
    <w:p w:rsidR="00ED570A" w:rsidRPr="003B37F6" w:rsidRDefault="00022CBA">
      <w:pPr>
        <w:numPr>
          <w:ilvl w:val="0"/>
          <w:numId w:val="1"/>
        </w:numPr>
        <w:spacing w:line="360" w:lineRule="auto"/>
        <w:ind w:left="0" w:firstLine="0"/>
        <w:jc w:val="both"/>
        <w:rPr>
          <w:rFonts w:ascii="Palatino Linotype" w:eastAsia="Palatino Linotype" w:hAnsi="Palatino Linotype" w:cs="Palatino Linotype"/>
        </w:rPr>
      </w:pPr>
      <w:r w:rsidRPr="003B37F6">
        <w:rPr>
          <w:rFonts w:ascii="Palatino Linotype" w:eastAsia="Palatino Linotype" w:hAnsi="Palatino Linotype" w:cs="Palatino Linotype"/>
          <w:color w:val="222222"/>
        </w:rPr>
        <w:t xml:space="preserve">Por lo anteriormente expuesto y fundado, este </w:t>
      </w:r>
      <w:r w:rsidRPr="003B37F6">
        <w:rPr>
          <w:rFonts w:ascii="Palatino Linotype" w:eastAsia="Palatino Linotype" w:hAnsi="Palatino Linotype" w:cs="Palatino Linotype"/>
          <w:b/>
          <w:color w:val="222222"/>
        </w:rPr>
        <w:t>ÓRGANO GARANTE</w:t>
      </w:r>
      <w:r w:rsidRPr="003B37F6">
        <w:rPr>
          <w:rFonts w:ascii="Palatino Linotype" w:eastAsia="Palatino Linotype" w:hAnsi="Palatino Linotype" w:cs="Palatino Linotype"/>
          <w:color w:val="222222"/>
        </w:rPr>
        <w:t xml:space="preserve"> emite los siguientes:</w:t>
      </w:r>
    </w:p>
    <w:p w:rsidR="00ED570A" w:rsidRPr="003B37F6" w:rsidRDefault="00022CBA">
      <w:pPr>
        <w:keepNext/>
        <w:keepLines/>
        <w:spacing w:before="240" w:after="240" w:line="360" w:lineRule="auto"/>
        <w:ind w:right="1"/>
        <w:jc w:val="center"/>
        <w:rPr>
          <w:rFonts w:ascii="Palatino Linotype" w:eastAsia="Palatino Linotype" w:hAnsi="Palatino Linotype" w:cs="Palatino Linotype"/>
          <w:b/>
          <w:color w:val="000000"/>
        </w:rPr>
      </w:pPr>
      <w:r w:rsidRPr="003B37F6">
        <w:rPr>
          <w:rFonts w:ascii="Palatino Linotype" w:eastAsia="Palatino Linotype" w:hAnsi="Palatino Linotype" w:cs="Palatino Linotype"/>
          <w:b/>
          <w:color w:val="000000"/>
        </w:rPr>
        <w:t>R E S O L U T I V O S</w:t>
      </w:r>
    </w:p>
    <w:p w:rsidR="00ED570A" w:rsidRPr="003B37F6" w:rsidRDefault="00022CBA">
      <w:pPr>
        <w:spacing w:line="360" w:lineRule="auto"/>
        <w:jc w:val="both"/>
        <w:rPr>
          <w:rFonts w:ascii="Palatino Linotype" w:eastAsia="Palatino Linotype" w:hAnsi="Palatino Linotype" w:cs="Palatino Linotype"/>
        </w:rPr>
      </w:pPr>
      <w:r w:rsidRPr="003B37F6">
        <w:rPr>
          <w:rFonts w:ascii="Palatino Linotype" w:eastAsia="Palatino Linotype" w:hAnsi="Palatino Linotype" w:cs="Palatino Linotype"/>
          <w:b/>
        </w:rPr>
        <w:t>PRIMERO</w:t>
      </w:r>
      <w:r w:rsidRPr="003B37F6">
        <w:rPr>
          <w:rFonts w:ascii="Palatino Linotype" w:eastAsia="Palatino Linotype" w:hAnsi="Palatino Linotype" w:cs="Palatino Linotype"/>
        </w:rPr>
        <w:t xml:space="preserve">. </w:t>
      </w:r>
      <w:r w:rsidRPr="003B37F6">
        <w:rPr>
          <w:rFonts w:ascii="Palatino Linotype" w:eastAsia="Palatino Linotype" w:hAnsi="Palatino Linotype" w:cs="Palatino Linotype"/>
          <w:b/>
        </w:rPr>
        <w:t>Resultan fundadas las razones</w:t>
      </w:r>
      <w:r w:rsidRPr="003B37F6">
        <w:rPr>
          <w:rFonts w:ascii="Palatino Linotype" w:eastAsia="Palatino Linotype" w:hAnsi="Palatino Linotype" w:cs="Palatino Linotype"/>
        </w:rPr>
        <w:t xml:space="preserve"> o motivos de inconformidad hechos valer en el Recurso de Revisión </w:t>
      </w:r>
      <w:r w:rsidRPr="003B37F6">
        <w:rPr>
          <w:rFonts w:ascii="Palatino Linotype" w:eastAsia="Palatino Linotype" w:hAnsi="Palatino Linotype" w:cs="Palatino Linotype"/>
          <w:b/>
        </w:rPr>
        <w:t>07628/INFOEM/IP/RR/2024</w:t>
      </w:r>
      <w:r w:rsidRPr="003B37F6">
        <w:rPr>
          <w:rFonts w:ascii="Palatino Linotype" w:eastAsia="Palatino Linotype" w:hAnsi="Palatino Linotype" w:cs="Palatino Linotype"/>
        </w:rPr>
        <w:t>,</w:t>
      </w:r>
      <w:r w:rsidRPr="003B37F6">
        <w:rPr>
          <w:rFonts w:ascii="Palatino Linotype" w:eastAsia="Palatino Linotype" w:hAnsi="Palatino Linotype" w:cs="Palatino Linotype"/>
          <w:b/>
        </w:rPr>
        <w:t xml:space="preserve"> </w:t>
      </w:r>
      <w:r w:rsidRPr="003B37F6">
        <w:rPr>
          <w:rFonts w:ascii="Palatino Linotype" w:eastAsia="Palatino Linotype" w:hAnsi="Palatino Linotype" w:cs="Palatino Linotype"/>
        </w:rPr>
        <w:t xml:space="preserve">en términos de los  Considerandos </w:t>
      </w:r>
      <w:r w:rsidRPr="003B37F6">
        <w:rPr>
          <w:rFonts w:ascii="Palatino Linotype" w:eastAsia="Palatino Linotype" w:hAnsi="Palatino Linotype" w:cs="Palatino Linotype"/>
          <w:b/>
        </w:rPr>
        <w:t>Cuarto</w:t>
      </w:r>
      <w:r w:rsidRPr="003B37F6">
        <w:rPr>
          <w:rFonts w:ascii="Palatino Linotype" w:eastAsia="Palatino Linotype" w:hAnsi="Palatino Linotype" w:cs="Palatino Linotype"/>
        </w:rPr>
        <w:t xml:space="preserve"> y</w:t>
      </w:r>
      <w:r w:rsidRPr="003B37F6">
        <w:rPr>
          <w:rFonts w:ascii="Palatino Linotype" w:eastAsia="Palatino Linotype" w:hAnsi="Palatino Linotype" w:cs="Palatino Linotype"/>
          <w:b/>
        </w:rPr>
        <w:t xml:space="preserve"> Quinto </w:t>
      </w:r>
      <w:r w:rsidRPr="003B37F6">
        <w:rPr>
          <w:rFonts w:ascii="Palatino Linotype" w:eastAsia="Palatino Linotype" w:hAnsi="Palatino Linotype" w:cs="Palatino Linotype"/>
        </w:rPr>
        <w:t>de la presente Resolución.</w:t>
      </w:r>
    </w:p>
    <w:p w:rsidR="00ED570A" w:rsidRPr="003B37F6" w:rsidRDefault="00ED570A">
      <w:pPr>
        <w:tabs>
          <w:tab w:val="left" w:pos="284"/>
        </w:tabs>
        <w:spacing w:line="360" w:lineRule="auto"/>
        <w:jc w:val="both"/>
        <w:rPr>
          <w:rFonts w:ascii="Palatino Linotype" w:eastAsia="Palatino Linotype" w:hAnsi="Palatino Linotype" w:cs="Palatino Linotype"/>
        </w:rPr>
      </w:pPr>
    </w:p>
    <w:p w:rsidR="00ED570A" w:rsidRPr="003B37F6" w:rsidRDefault="00022CBA">
      <w:pPr>
        <w:tabs>
          <w:tab w:val="left" w:pos="284"/>
        </w:tabs>
        <w:spacing w:line="360" w:lineRule="auto"/>
        <w:jc w:val="both"/>
        <w:rPr>
          <w:rFonts w:ascii="Palatino Linotype" w:eastAsia="Palatino Linotype" w:hAnsi="Palatino Linotype" w:cs="Palatino Linotype"/>
        </w:rPr>
      </w:pPr>
      <w:r w:rsidRPr="003B37F6">
        <w:rPr>
          <w:rFonts w:ascii="Palatino Linotype" w:eastAsia="Palatino Linotype" w:hAnsi="Palatino Linotype" w:cs="Palatino Linotype"/>
          <w:b/>
        </w:rPr>
        <w:t xml:space="preserve">SEGUNDO. </w:t>
      </w:r>
      <w:r w:rsidRPr="003B37F6">
        <w:rPr>
          <w:rFonts w:ascii="Palatino Linotype" w:eastAsia="Palatino Linotype" w:hAnsi="Palatino Linotype" w:cs="Palatino Linotype"/>
        </w:rPr>
        <w:t>Se</w:t>
      </w:r>
      <w:r w:rsidRPr="003B37F6">
        <w:rPr>
          <w:rFonts w:ascii="Palatino Linotype" w:eastAsia="Palatino Linotype" w:hAnsi="Palatino Linotype" w:cs="Palatino Linotype"/>
          <w:b/>
        </w:rPr>
        <w:t xml:space="preserve"> REVOCA </w:t>
      </w:r>
      <w:r w:rsidRPr="003B37F6">
        <w:rPr>
          <w:rFonts w:ascii="Palatino Linotype" w:eastAsia="Palatino Linotype" w:hAnsi="Palatino Linotype" w:cs="Palatino Linotype"/>
        </w:rPr>
        <w:t xml:space="preserve">la respuesta emitida por el </w:t>
      </w:r>
      <w:r w:rsidRPr="003B37F6">
        <w:rPr>
          <w:rFonts w:ascii="Palatino Linotype" w:eastAsia="Palatino Linotype" w:hAnsi="Palatino Linotype" w:cs="Palatino Linotype"/>
          <w:b/>
        </w:rPr>
        <w:t>Ayuntamiento de San Felipe del Progreso</w:t>
      </w:r>
      <w:r w:rsidRPr="003B37F6">
        <w:rPr>
          <w:rFonts w:ascii="Palatino Linotype" w:eastAsia="Palatino Linotype" w:hAnsi="Palatino Linotype" w:cs="Palatino Linotype"/>
        </w:rPr>
        <w:t xml:space="preserve"> y se</w:t>
      </w:r>
      <w:r w:rsidRPr="003B37F6">
        <w:rPr>
          <w:rFonts w:ascii="Palatino Linotype" w:eastAsia="Palatino Linotype" w:hAnsi="Palatino Linotype" w:cs="Palatino Linotype"/>
          <w:b/>
        </w:rPr>
        <w:t xml:space="preserve"> ORDENA </w:t>
      </w:r>
      <w:r w:rsidRPr="003B37F6">
        <w:rPr>
          <w:rFonts w:ascii="Palatino Linotype" w:eastAsia="Palatino Linotype" w:hAnsi="Palatino Linotype" w:cs="Palatino Linotype"/>
        </w:rPr>
        <w:t xml:space="preserve">entregar, vía </w:t>
      </w:r>
      <w:r w:rsidRPr="003B37F6">
        <w:rPr>
          <w:rFonts w:ascii="Palatino Linotype" w:eastAsia="Palatino Linotype" w:hAnsi="Palatino Linotype" w:cs="Palatino Linotype"/>
          <w:b/>
        </w:rPr>
        <w:t>sistema de acceso a la información mexiquense (SAIMEX),</w:t>
      </w:r>
      <w:r w:rsidRPr="003B37F6">
        <w:rPr>
          <w:rFonts w:ascii="Palatino Linotype" w:eastAsia="Palatino Linotype" w:hAnsi="Palatino Linotype" w:cs="Palatino Linotype"/>
        </w:rPr>
        <w:t xml:space="preserve"> en versión pública, del periodo comprendido del uno (1) al veintiocho (28) de agosto de dos mil veinticuatro, los documentos en donde conste la siguiente información:</w:t>
      </w:r>
    </w:p>
    <w:p w:rsidR="00ED570A" w:rsidRPr="003B37F6" w:rsidRDefault="00ED570A">
      <w:pPr>
        <w:tabs>
          <w:tab w:val="left" w:pos="284"/>
        </w:tabs>
        <w:spacing w:line="360" w:lineRule="auto"/>
        <w:jc w:val="both"/>
        <w:rPr>
          <w:rFonts w:ascii="Palatino Linotype" w:eastAsia="Palatino Linotype" w:hAnsi="Palatino Linotype" w:cs="Palatino Linotype"/>
          <w:b/>
        </w:rPr>
      </w:pPr>
    </w:p>
    <w:p w:rsidR="009A5F2C" w:rsidRPr="003B37F6" w:rsidRDefault="00022CBA" w:rsidP="009A5F2C">
      <w:pPr>
        <w:numPr>
          <w:ilvl w:val="0"/>
          <w:numId w:val="9"/>
        </w:numPr>
        <w:pBdr>
          <w:top w:val="nil"/>
          <w:left w:val="nil"/>
          <w:bottom w:val="nil"/>
          <w:right w:val="nil"/>
          <w:between w:val="nil"/>
        </w:pBdr>
        <w:spacing w:line="360" w:lineRule="auto"/>
        <w:ind w:right="680"/>
        <w:jc w:val="both"/>
        <w:rPr>
          <w:rFonts w:ascii="Palatino Linotype" w:eastAsia="Palatino Linotype" w:hAnsi="Palatino Linotype" w:cs="Palatino Linotype"/>
          <w:b/>
          <w:color w:val="000000"/>
        </w:rPr>
      </w:pPr>
      <w:r w:rsidRPr="003B37F6">
        <w:rPr>
          <w:rFonts w:ascii="Palatino Linotype" w:eastAsia="Palatino Linotype" w:hAnsi="Palatino Linotype" w:cs="Palatino Linotype"/>
          <w:b/>
          <w:color w:val="000000"/>
        </w:rPr>
        <w:t xml:space="preserve">Recibos de nómina de la primer </w:t>
      </w:r>
      <w:r w:rsidR="00BF04A3" w:rsidRPr="003B37F6">
        <w:rPr>
          <w:rFonts w:ascii="Palatino Linotype" w:eastAsia="Palatino Linotype" w:hAnsi="Palatino Linotype" w:cs="Palatino Linotype"/>
          <w:b/>
          <w:color w:val="000000"/>
        </w:rPr>
        <w:t>y</w:t>
      </w:r>
      <w:r w:rsidR="009B5728" w:rsidRPr="003B37F6">
        <w:rPr>
          <w:rFonts w:ascii="Palatino Linotype" w:eastAsia="Palatino Linotype" w:hAnsi="Palatino Linotype" w:cs="Palatino Linotype"/>
          <w:b/>
          <w:color w:val="000000"/>
        </w:rPr>
        <w:t xml:space="preserve"> segunda quincena de agosto de dos mil veinticuatro</w:t>
      </w:r>
      <w:r w:rsidR="00943FCF" w:rsidRPr="003B37F6">
        <w:rPr>
          <w:rFonts w:ascii="Palatino Linotype" w:eastAsia="Palatino Linotype" w:hAnsi="Palatino Linotype" w:cs="Palatino Linotype"/>
          <w:b/>
          <w:color w:val="000000"/>
        </w:rPr>
        <w:t>, en una correcta versión pública</w:t>
      </w:r>
      <w:r w:rsidR="009A5F2C" w:rsidRPr="003B37F6">
        <w:rPr>
          <w:rFonts w:ascii="Palatino Linotype" w:eastAsia="Palatino Linotype" w:hAnsi="Palatino Linotype" w:cs="Palatino Linotype"/>
          <w:b/>
          <w:color w:val="000000"/>
        </w:rPr>
        <w:t xml:space="preserve"> del Presidente Municipal, Secretario del Ayuntamiento, Secretario Técnico, Secretario Particular, Director de Gobernación y chofer del Presidente.</w:t>
      </w:r>
    </w:p>
    <w:p w:rsidR="00ED570A" w:rsidRPr="003B37F6" w:rsidRDefault="00943FCF" w:rsidP="009B5728">
      <w:pPr>
        <w:numPr>
          <w:ilvl w:val="0"/>
          <w:numId w:val="9"/>
        </w:numPr>
        <w:pBdr>
          <w:top w:val="nil"/>
          <w:left w:val="nil"/>
          <w:bottom w:val="nil"/>
          <w:right w:val="nil"/>
          <w:between w:val="nil"/>
        </w:pBdr>
        <w:spacing w:line="360" w:lineRule="auto"/>
        <w:ind w:right="680"/>
        <w:jc w:val="both"/>
        <w:rPr>
          <w:rFonts w:ascii="Palatino Linotype" w:eastAsia="Palatino Linotype" w:hAnsi="Palatino Linotype" w:cs="Palatino Linotype"/>
          <w:b/>
          <w:color w:val="000000"/>
        </w:rPr>
      </w:pPr>
      <w:r w:rsidRPr="003B37F6">
        <w:rPr>
          <w:rFonts w:ascii="Palatino Linotype" w:eastAsia="Palatino Linotype" w:hAnsi="Palatino Linotype" w:cs="Palatino Linotype"/>
          <w:b/>
          <w:color w:val="000000"/>
        </w:rPr>
        <w:t xml:space="preserve">Asignación </w:t>
      </w:r>
      <w:r w:rsidR="00022CBA" w:rsidRPr="003B37F6">
        <w:rPr>
          <w:rFonts w:ascii="Palatino Linotype" w:eastAsia="Palatino Linotype" w:hAnsi="Palatino Linotype" w:cs="Palatino Linotype"/>
          <w:b/>
          <w:color w:val="000000"/>
        </w:rPr>
        <w:t xml:space="preserve">de vehículos </w:t>
      </w:r>
      <w:r w:rsidRPr="003B37F6">
        <w:rPr>
          <w:rFonts w:ascii="Palatino Linotype" w:eastAsia="Palatino Linotype" w:hAnsi="Palatino Linotype" w:cs="Palatino Linotype"/>
          <w:b/>
          <w:color w:val="000000"/>
        </w:rPr>
        <w:t>oficiales asignados al</w:t>
      </w:r>
      <w:r w:rsidR="00022CBA" w:rsidRPr="003B37F6">
        <w:rPr>
          <w:rFonts w:ascii="Palatino Linotype" w:eastAsia="Palatino Linotype" w:hAnsi="Palatino Linotype" w:cs="Palatino Linotype"/>
          <w:b/>
          <w:color w:val="000000"/>
        </w:rPr>
        <w:t xml:space="preserve"> Presidente Municipal, Secretario del Ayuntamiento, Secretario Técnico, Secretario Particular, Director de Gobernación y chofer del Presidente.</w:t>
      </w:r>
    </w:p>
    <w:p w:rsidR="00ED570A" w:rsidRPr="003B37F6" w:rsidRDefault="00022CBA">
      <w:pPr>
        <w:numPr>
          <w:ilvl w:val="0"/>
          <w:numId w:val="9"/>
        </w:numPr>
        <w:pBdr>
          <w:top w:val="nil"/>
          <w:left w:val="nil"/>
          <w:bottom w:val="nil"/>
          <w:right w:val="nil"/>
          <w:between w:val="nil"/>
        </w:pBdr>
        <w:spacing w:line="360" w:lineRule="auto"/>
        <w:ind w:right="680"/>
        <w:jc w:val="both"/>
        <w:rPr>
          <w:rFonts w:ascii="Palatino Linotype" w:eastAsia="Palatino Linotype" w:hAnsi="Palatino Linotype" w:cs="Palatino Linotype"/>
          <w:b/>
          <w:color w:val="000000"/>
        </w:rPr>
      </w:pPr>
      <w:r w:rsidRPr="003B37F6">
        <w:rPr>
          <w:rFonts w:ascii="Palatino Linotype" w:eastAsia="Palatino Linotype" w:hAnsi="Palatino Linotype" w:cs="Palatino Linotype"/>
          <w:b/>
          <w:color w:val="000000"/>
        </w:rPr>
        <w:t xml:space="preserve">Gastos de gasolina de los vehículos oficiales asignados </w:t>
      </w:r>
    </w:p>
    <w:p w:rsidR="00ED570A" w:rsidRPr="003B37F6" w:rsidRDefault="00ED570A">
      <w:pPr>
        <w:tabs>
          <w:tab w:val="left" w:pos="284"/>
        </w:tabs>
        <w:spacing w:line="360" w:lineRule="auto"/>
        <w:jc w:val="both"/>
        <w:rPr>
          <w:rFonts w:ascii="Palatino Linotype" w:eastAsia="Palatino Linotype" w:hAnsi="Palatino Linotype" w:cs="Palatino Linotype"/>
          <w:b/>
        </w:rPr>
      </w:pPr>
    </w:p>
    <w:p w:rsidR="00ED570A" w:rsidRPr="003B37F6" w:rsidRDefault="00022CBA">
      <w:pPr>
        <w:spacing w:line="360" w:lineRule="auto"/>
        <w:jc w:val="both"/>
        <w:rPr>
          <w:rFonts w:ascii="Palatino Linotype" w:eastAsia="Palatino Linotype" w:hAnsi="Palatino Linotype" w:cs="Palatino Linotype"/>
          <w:b/>
        </w:rPr>
      </w:pPr>
      <w:r w:rsidRPr="003B37F6">
        <w:rPr>
          <w:rFonts w:ascii="Palatino Linotype" w:eastAsia="Palatino Linotype" w:hAnsi="Palatino Linotype" w:cs="Palatino Linotype"/>
        </w:rPr>
        <w:t xml:space="preserve">Para efecto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3B37F6">
        <w:rPr>
          <w:rFonts w:ascii="Palatino Linotype" w:eastAsia="Palatino Linotype" w:hAnsi="Palatino Linotype" w:cs="Palatino Linotype"/>
          <w:b/>
        </w:rPr>
        <w:t>RECURRENTE.</w:t>
      </w:r>
    </w:p>
    <w:p w:rsidR="00BD0728" w:rsidRPr="003B37F6" w:rsidRDefault="00BD0728">
      <w:pPr>
        <w:spacing w:line="360" w:lineRule="auto"/>
        <w:jc w:val="both"/>
        <w:rPr>
          <w:rFonts w:ascii="Palatino Linotype" w:eastAsia="Palatino Linotype" w:hAnsi="Palatino Linotype" w:cs="Palatino Linotype"/>
          <w:b/>
        </w:rPr>
      </w:pPr>
    </w:p>
    <w:p w:rsidR="00BD0728" w:rsidRPr="003B37F6" w:rsidRDefault="00BD0728" w:rsidP="00BD0728">
      <w:pPr>
        <w:spacing w:line="360" w:lineRule="auto"/>
        <w:ind w:left="360" w:right="615"/>
        <w:jc w:val="both"/>
        <w:rPr>
          <w:rFonts w:ascii="Palatino Linotype" w:eastAsia="Palatino Linotype" w:hAnsi="Palatino Linotype" w:cs="Palatino Linotype"/>
          <w:i/>
          <w:sz w:val="22"/>
          <w:szCs w:val="22"/>
        </w:rPr>
      </w:pPr>
      <w:r w:rsidRPr="003B37F6">
        <w:rPr>
          <w:rFonts w:ascii="Palatino Linotype" w:eastAsia="Palatino Linotype" w:hAnsi="Palatino Linotype" w:cs="Palatino Linotype"/>
          <w:i/>
          <w:sz w:val="22"/>
          <w:szCs w:val="22"/>
        </w:rPr>
        <w:t xml:space="preserve">Para el caso de que el </w:t>
      </w:r>
      <w:r w:rsidRPr="003B37F6">
        <w:rPr>
          <w:rFonts w:ascii="Palatino Linotype" w:eastAsia="Palatino Linotype" w:hAnsi="Palatino Linotype" w:cs="Palatino Linotype"/>
          <w:b/>
          <w:i/>
          <w:sz w:val="22"/>
          <w:szCs w:val="22"/>
        </w:rPr>
        <w:t>Sujeto Obligado</w:t>
      </w:r>
      <w:r w:rsidRPr="003B37F6">
        <w:rPr>
          <w:rFonts w:ascii="Palatino Linotype" w:eastAsia="Palatino Linotype" w:hAnsi="Palatino Linotype" w:cs="Palatino Linotype"/>
          <w:i/>
          <w:sz w:val="22"/>
          <w:szCs w:val="22"/>
        </w:rPr>
        <w:t xml:space="preserve"> no cuente con información, por el hecho de que algún servidor público no cuente con asignación de vehículo oficial, bastará con que así lo haga del conocimiento de la parte </w:t>
      </w:r>
      <w:r w:rsidRPr="003B37F6">
        <w:rPr>
          <w:rFonts w:ascii="Palatino Linotype" w:eastAsia="Palatino Linotype" w:hAnsi="Palatino Linotype" w:cs="Palatino Linotype"/>
          <w:b/>
          <w:i/>
          <w:sz w:val="22"/>
          <w:szCs w:val="22"/>
        </w:rPr>
        <w:t>Recurrente</w:t>
      </w:r>
      <w:r w:rsidRPr="003B37F6">
        <w:rPr>
          <w:rFonts w:ascii="Palatino Linotype" w:eastAsia="Palatino Linotype" w:hAnsi="Palatino Linotype" w:cs="Palatino Linotype"/>
          <w:i/>
          <w:sz w:val="22"/>
          <w:szCs w:val="22"/>
        </w:rPr>
        <w:t>, de manera clara y precisa, en términos del artículo 19, párrafo segundo de la Ley de Transparencia y Acceso a la Información pública del Estado de México y Municipios para tener por colmado el requerimiento de información.</w:t>
      </w:r>
    </w:p>
    <w:p w:rsidR="00BD0728" w:rsidRPr="003B37F6" w:rsidRDefault="00BD0728">
      <w:pPr>
        <w:spacing w:line="360" w:lineRule="auto"/>
        <w:jc w:val="both"/>
        <w:rPr>
          <w:rFonts w:ascii="Palatino Linotype" w:eastAsia="Palatino Linotype" w:hAnsi="Palatino Linotype" w:cs="Palatino Linotype"/>
          <w:b/>
        </w:rPr>
      </w:pPr>
    </w:p>
    <w:p w:rsidR="00ED570A" w:rsidRPr="003B37F6" w:rsidRDefault="00022CBA">
      <w:pPr>
        <w:spacing w:line="360" w:lineRule="auto"/>
        <w:jc w:val="both"/>
        <w:rPr>
          <w:rFonts w:ascii="Palatino Linotype" w:eastAsia="Palatino Linotype" w:hAnsi="Palatino Linotype" w:cs="Palatino Linotype"/>
        </w:rPr>
      </w:pPr>
      <w:r w:rsidRPr="003B37F6">
        <w:rPr>
          <w:rFonts w:ascii="Palatino Linotype" w:eastAsia="Palatino Linotype" w:hAnsi="Palatino Linotype" w:cs="Palatino Linotype"/>
          <w:b/>
        </w:rPr>
        <w:t xml:space="preserve">TERCERO. Notifíquese </w:t>
      </w:r>
      <w:r w:rsidRPr="003B37F6">
        <w:rPr>
          <w:rFonts w:ascii="Palatino Linotype" w:eastAsia="Palatino Linotype" w:hAnsi="Palatino Linotype" w:cs="Palatino Linotype"/>
        </w:rPr>
        <w:t>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ED570A" w:rsidRPr="003B37F6" w:rsidRDefault="00ED570A">
      <w:pPr>
        <w:spacing w:line="360" w:lineRule="auto"/>
        <w:jc w:val="both"/>
        <w:rPr>
          <w:rFonts w:ascii="Palatino Linotype" w:eastAsia="Palatino Linotype" w:hAnsi="Palatino Linotype" w:cs="Palatino Linotype"/>
        </w:rPr>
      </w:pPr>
    </w:p>
    <w:p w:rsidR="00ED570A" w:rsidRPr="003B37F6" w:rsidRDefault="00022CBA">
      <w:pPr>
        <w:spacing w:line="360" w:lineRule="auto"/>
        <w:jc w:val="both"/>
        <w:rPr>
          <w:rFonts w:ascii="Palatino Linotype" w:eastAsia="Palatino Linotype" w:hAnsi="Palatino Linotype" w:cs="Palatino Linotype"/>
        </w:rPr>
      </w:pPr>
      <w:r w:rsidRPr="003B37F6">
        <w:rPr>
          <w:rFonts w:ascii="Palatino Linotype" w:eastAsia="Palatino Linotype" w:hAnsi="Palatino Linotype" w:cs="Palatino Linotype"/>
          <w:b/>
        </w:rPr>
        <w:t xml:space="preserve">CUARTO. </w:t>
      </w:r>
      <w:r w:rsidRPr="003B37F6">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3B37F6">
        <w:rPr>
          <w:rFonts w:ascii="Palatino Linotype" w:eastAsia="Palatino Linotype" w:hAnsi="Palatino Linotype" w:cs="Palatino Linotype"/>
          <w:b/>
        </w:rPr>
        <w:t>Sujeto Obligado</w:t>
      </w:r>
      <w:r w:rsidRPr="003B37F6">
        <w:rPr>
          <w:rFonts w:ascii="Palatino Linotype" w:eastAsia="Palatino Linotype" w:hAnsi="Palatino Linotype" w:cs="Palatino Linotype"/>
        </w:rPr>
        <w:t xml:space="preserve"> de manera fundada y motivada, podrá solicitar una ampliación de plazo para el cumplimiento de la presente resolución.</w:t>
      </w:r>
    </w:p>
    <w:p w:rsidR="00ED570A" w:rsidRPr="003B37F6" w:rsidRDefault="00ED570A">
      <w:pPr>
        <w:spacing w:line="360" w:lineRule="auto"/>
        <w:jc w:val="both"/>
        <w:rPr>
          <w:rFonts w:ascii="Palatino Linotype" w:eastAsia="Palatino Linotype" w:hAnsi="Palatino Linotype" w:cs="Palatino Linotype"/>
        </w:rPr>
      </w:pPr>
    </w:p>
    <w:p w:rsidR="00ED570A" w:rsidRPr="003B37F6" w:rsidRDefault="00022CBA">
      <w:pPr>
        <w:tabs>
          <w:tab w:val="left" w:pos="8080"/>
        </w:tabs>
        <w:spacing w:line="360" w:lineRule="auto"/>
        <w:ind w:right="49"/>
        <w:jc w:val="both"/>
        <w:rPr>
          <w:rFonts w:ascii="Palatino Linotype" w:eastAsia="Palatino Linotype" w:hAnsi="Palatino Linotype" w:cs="Palatino Linotype"/>
        </w:rPr>
      </w:pPr>
      <w:bookmarkStart w:id="5" w:name="_heading=h.44sinio" w:colFirst="0" w:colLast="0"/>
      <w:bookmarkEnd w:id="5"/>
      <w:r w:rsidRPr="003B37F6">
        <w:rPr>
          <w:rFonts w:ascii="Palatino Linotype" w:eastAsia="Palatino Linotype" w:hAnsi="Palatino Linotype" w:cs="Palatino Linotype"/>
          <w:b/>
        </w:rPr>
        <w:t xml:space="preserve">QUINTO. </w:t>
      </w:r>
      <w:r w:rsidRPr="003B37F6">
        <w:rPr>
          <w:rFonts w:ascii="Palatino Linotype" w:eastAsia="Palatino Linotype" w:hAnsi="Palatino Linotype" w:cs="Palatino Linotype"/>
        </w:rPr>
        <w:t xml:space="preserve">Notifíquese al </w:t>
      </w:r>
      <w:r w:rsidRPr="003B37F6">
        <w:rPr>
          <w:rFonts w:ascii="Palatino Linotype" w:eastAsia="Palatino Linotype" w:hAnsi="Palatino Linotype" w:cs="Palatino Linotype"/>
          <w:b/>
        </w:rPr>
        <w:t>Recurrente</w:t>
      </w:r>
      <w:r w:rsidRPr="003B37F6">
        <w:rPr>
          <w:rFonts w:ascii="Palatino Linotype" w:eastAsia="Palatino Linotype" w:hAnsi="Palatino Linotype" w:cs="Palatino Linotype"/>
        </w:rPr>
        <w:t xml:space="preserve"> la presente resolución, vía </w:t>
      </w:r>
      <w:r w:rsidRPr="003B37F6">
        <w:rPr>
          <w:rFonts w:ascii="Palatino Linotype" w:eastAsia="Palatino Linotype" w:hAnsi="Palatino Linotype" w:cs="Palatino Linotype"/>
          <w:b/>
        </w:rPr>
        <w:t>SAIMEX</w:t>
      </w:r>
      <w:r w:rsidRPr="003B37F6">
        <w:rPr>
          <w:rFonts w:ascii="Palatino Linotype" w:eastAsia="Palatino Linotype" w:hAnsi="Palatino Linotype" w:cs="Palatino Linotype"/>
        </w:rPr>
        <w:t>.</w:t>
      </w:r>
    </w:p>
    <w:p w:rsidR="00ED570A" w:rsidRPr="003B37F6" w:rsidRDefault="00ED570A">
      <w:pPr>
        <w:tabs>
          <w:tab w:val="left" w:pos="8080"/>
        </w:tabs>
        <w:spacing w:line="360" w:lineRule="auto"/>
        <w:ind w:right="49"/>
        <w:jc w:val="both"/>
        <w:rPr>
          <w:rFonts w:ascii="Palatino Linotype" w:eastAsia="Palatino Linotype" w:hAnsi="Palatino Linotype" w:cs="Palatino Linotype"/>
        </w:rPr>
      </w:pPr>
    </w:p>
    <w:p w:rsidR="00ED570A" w:rsidRPr="003B37F6" w:rsidRDefault="00022CBA">
      <w:pPr>
        <w:widowControl w:val="0"/>
        <w:tabs>
          <w:tab w:val="left" w:pos="1701"/>
        </w:tabs>
        <w:spacing w:line="360" w:lineRule="auto"/>
        <w:jc w:val="both"/>
        <w:rPr>
          <w:rFonts w:ascii="Palatino Linotype" w:eastAsia="Palatino Linotype" w:hAnsi="Palatino Linotype" w:cs="Palatino Linotype"/>
          <w:color w:val="000000"/>
        </w:rPr>
      </w:pPr>
      <w:r w:rsidRPr="003B37F6">
        <w:rPr>
          <w:rFonts w:ascii="Palatino Linotype" w:eastAsia="Palatino Linotype" w:hAnsi="Palatino Linotype" w:cs="Palatino Linotype"/>
          <w:b/>
          <w:color w:val="000000"/>
        </w:rPr>
        <w:t xml:space="preserve">SEXTO. </w:t>
      </w:r>
      <w:r w:rsidRPr="003B37F6">
        <w:rPr>
          <w:rFonts w:ascii="Palatino Linotype" w:eastAsia="Palatino Linotype" w:hAnsi="Palatino Linotype" w:cs="Palatino Linotype"/>
          <w:color w:val="000000"/>
        </w:rPr>
        <w:t>Se hace del conocimiento del</w:t>
      </w:r>
      <w:r w:rsidRPr="003B37F6">
        <w:rPr>
          <w:rFonts w:ascii="Palatino Linotype" w:eastAsia="Palatino Linotype" w:hAnsi="Palatino Linotype" w:cs="Palatino Linotype"/>
          <w:b/>
          <w:color w:val="000000"/>
        </w:rPr>
        <w:t xml:space="preserve"> Recurrente </w:t>
      </w:r>
      <w:r w:rsidRPr="003B37F6">
        <w:rPr>
          <w:rFonts w:ascii="Palatino Linotype" w:eastAsia="Palatino Linotype" w:hAnsi="Palatino Linotype" w:cs="Palatino Linotype"/>
          <w:color w:val="000000"/>
        </w:rPr>
        <w:t xml:space="preserve">que, de conformidad con lo establecido en el artículo 196 de la Ley de Transparencia y Acceso a la Información </w:t>
      </w:r>
      <w:r w:rsidRPr="003B37F6">
        <w:rPr>
          <w:rFonts w:ascii="Palatino Linotype" w:eastAsia="Palatino Linotype" w:hAnsi="Palatino Linotype" w:cs="Palatino Linotype"/>
          <w:color w:val="000000"/>
        </w:rPr>
        <w:lastRenderedPageBreak/>
        <w:t>Pública del Estado de México y Municipios, en caso de que considere que la resolución le cause algún perjuicio podrá impugnarla vía juicio de amparo en los términos de las leyes aplicables.</w:t>
      </w:r>
    </w:p>
    <w:p w:rsidR="00ED570A" w:rsidRPr="003B37F6" w:rsidRDefault="00ED570A">
      <w:pPr>
        <w:widowControl w:val="0"/>
        <w:tabs>
          <w:tab w:val="left" w:pos="1701"/>
        </w:tabs>
        <w:spacing w:line="360" w:lineRule="auto"/>
        <w:jc w:val="both"/>
        <w:rPr>
          <w:rFonts w:ascii="Palatino Linotype" w:eastAsia="Palatino Linotype" w:hAnsi="Palatino Linotype" w:cs="Palatino Linotype"/>
          <w:color w:val="000000"/>
        </w:rPr>
      </w:pPr>
    </w:p>
    <w:p w:rsidR="00E357D9" w:rsidRPr="003C7186" w:rsidRDefault="00E357D9" w:rsidP="00E357D9">
      <w:pPr>
        <w:spacing w:line="360" w:lineRule="auto"/>
        <w:ind w:left="-142" w:right="-234" w:firstLine="1"/>
        <w:jc w:val="both"/>
        <w:rPr>
          <w:rFonts w:ascii="Palatino Linotype" w:hAnsi="Palatino Linotype"/>
        </w:rPr>
      </w:pPr>
      <w:r w:rsidRPr="003B37F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5758E0" w:rsidRPr="003B37F6">
        <w:rPr>
          <w:rFonts w:ascii="Palatino Linotype" w:hAnsi="Palatino Linotype"/>
        </w:rPr>
        <w:t xml:space="preserve"> EMITIENDO VOTO PARTICULAR</w:t>
      </w:r>
      <w:r w:rsidRPr="003B37F6">
        <w:rPr>
          <w:rFonts w:ascii="Palatino Linotype" w:hAnsi="Palatino Linotype"/>
        </w:rPr>
        <w:t>; EN LA SEGUNDA SESIÓN ORDINARIA CELEBRADA EL VEINTIDÓS (22) DE ENERO DE DOS MIL VEINTICINCO, ANTE EL SECRETARIO TÉCNICO DEL PLENO ALEXIS TAPIA RAMÍREZ.</w:t>
      </w:r>
      <w:bookmarkStart w:id="6" w:name="_GoBack"/>
      <w:bookmarkEnd w:id="6"/>
      <w:r w:rsidRPr="003C7186">
        <w:rPr>
          <w:rFonts w:ascii="Palatino Linotype" w:hAnsi="Palatino Linotype"/>
        </w:rPr>
        <w:t xml:space="preserve"> </w:t>
      </w:r>
    </w:p>
    <w:p w:rsidR="00ED570A" w:rsidRDefault="00ED570A" w:rsidP="00E357D9">
      <w:pPr>
        <w:widowControl w:val="0"/>
        <w:tabs>
          <w:tab w:val="left" w:pos="1701"/>
        </w:tabs>
        <w:spacing w:line="360" w:lineRule="auto"/>
        <w:jc w:val="both"/>
        <w:rPr>
          <w:rFonts w:ascii="Palatino Linotype" w:eastAsia="Palatino Linotype" w:hAnsi="Palatino Linotype" w:cs="Palatino Linotype"/>
          <w:b/>
          <w:color w:val="000000"/>
        </w:rPr>
      </w:pPr>
    </w:p>
    <w:sectPr w:rsidR="00ED570A">
      <w:headerReference w:type="even" r:id="rId14"/>
      <w:headerReference w:type="default" r:id="rId15"/>
      <w:footerReference w:type="default" r:id="rId16"/>
      <w:headerReference w:type="first" r:id="rId17"/>
      <w:footerReference w:type="first" r:id="rId18"/>
      <w:pgSz w:w="12240" w:h="15840"/>
      <w:pgMar w:top="80" w:right="1467"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127" w:rsidRDefault="00996127">
      <w:r>
        <w:separator/>
      </w:r>
    </w:p>
  </w:endnote>
  <w:endnote w:type="continuationSeparator" w:id="0">
    <w:p w:rsidR="00996127" w:rsidRDefault="0099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CBA" w:rsidRDefault="00022CBA">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3B37F6">
      <w:rPr>
        <w:b/>
        <w:noProof/>
        <w:color w:val="000000"/>
      </w:rPr>
      <w:t>78</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3B37F6">
      <w:rPr>
        <w:b/>
        <w:noProof/>
        <w:color w:val="000000"/>
      </w:rPr>
      <w:t>79</w:t>
    </w:r>
    <w:r>
      <w:rPr>
        <w:b/>
        <w:color w:val="000000"/>
      </w:rPr>
      <w:fldChar w:fldCharType="end"/>
    </w:r>
  </w:p>
  <w:p w:rsidR="00022CBA" w:rsidRDefault="00022CB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CBA" w:rsidRDefault="00022CBA">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3B37F6">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3B37F6">
      <w:rPr>
        <w:b/>
        <w:noProof/>
        <w:color w:val="000000"/>
      </w:rPr>
      <w:t>79</w:t>
    </w:r>
    <w:r>
      <w:rPr>
        <w:b/>
        <w:color w:val="000000"/>
      </w:rPr>
      <w:fldChar w:fldCharType="end"/>
    </w:r>
  </w:p>
  <w:p w:rsidR="00022CBA" w:rsidRDefault="00022CB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127" w:rsidRDefault="00996127">
      <w:r>
        <w:separator/>
      </w:r>
    </w:p>
  </w:footnote>
  <w:footnote w:type="continuationSeparator" w:id="0">
    <w:p w:rsidR="00996127" w:rsidRDefault="00996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CBA" w:rsidRDefault="00996127">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CBA" w:rsidRDefault="00022CBA">
    <w:pPr>
      <w:widowControl w:val="0"/>
      <w:pBdr>
        <w:top w:val="nil"/>
        <w:left w:val="nil"/>
        <w:bottom w:val="nil"/>
        <w:right w:val="nil"/>
        <w:between w:val="nil"/>
      </w:pBdr>
      <w:spacing w:line="276" w:lineRule="auto"/>
      <w:rPr>
        <w:color w:val="000000"/>
      </w:rPr>
    </w:pPr>
  </w:p>
  <w:tbl>
    <w:tblPr>
      <w:tblStyle w:val="ae"/>
      <w:tblW w:w="9214" w:type="dxa"/>
      <w:tblInd w:w="0" w:type="dxa"/>
      <w:tblLayout w:type="fixed"/>
      <w:tblLook w:val="0400" w:firstRow="0" w:lastRow="0" w:firstColumn="0" w:lastColumn="0" w:noHBand="0" w:noVBand="1"/>
    </w:tblPr>
    <w:tblGrid>
      <w:gridCol w:w="2268"/>
      <w:gridCol w:w="6946"/>
    </w:tblGrid>
    <w:tr w:rsidR="00022CBA">
      <w:trPr>
        <w:trHeight w:val="2803"/>
      </w:trPr>
      <w:tc>
        <w:tcPr>
          <w:tcW w:w="2268" w:type="dxa"/>
        </w:tcPr>
        <w:p w:rsidR="00022CBA" w:rsidRDefault="00022CBA">
          <w:pPr>
            <w:tabs>
              <w:tab w:val="right" w:pos="4273"/>
            </w:tabs>
            <w:rPr>
              <w:rFonts w:ascii="Garamond" w:eastAsia="Garamond" w:hAnsi="Garamond" w:cs="Garamond"/>
              <w:sz w:val="16"/>
              <w:szCs w:val="16"/>
            </w:rPr>
          </w:pPr>
        </w:p>
      </w:tc>
      <w:tc>
        <w:tcPr>
          <w:tcW w:w="6946" w:type="dxa"/>
        </w:tcPr>
        <w:p w:rsidR="00022CBA" w:rsidRDefault="00022CBA"/>
        <w:tbl>
          <w:tblPr>
            <w:tblStyle w:val="af"/>
            <w:tblW w:w="6684" w:type="dxa"/>
            <w:tblInd w:w="559" w:type="dxa"/>
            <w:tblLayout w:type="fixed"/>
            <w:tblLook w:val="0400" w:firstRow="0" w:lastRow="0" w:firstColumn="0" w:lastColumn="0" w:noHBand="0" w:noVBand="1"/>
          </w:tblPr>
          <w:tblGrid>
            <w:gridCol w:w="2550"/>
            <w:gridCol w:w="4134"/>
          </w:tblGrid>
          <w:tr w:rsidR="00022CBA">
            <w:trPr>
              <w:trHeight w:val="144"/>
            </w:trPr>
            <w:tc>
              <w:tcPr>
                <w:tcW w:w="2550" w:type="dxa"/>
              </w:tcPr>
              <w:p w:rsidR="00022CBA" w:rsidRDefault="00022CBA">
                <w:pPr>
                  <w:tabs>
                    <w:tab w:val="right" w:pos="8838"/>
                  </w:tabs>
                  <w:ind w:left="-264" w:right="-105" w:firstLine="19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134" w:type="dxa"/>
              </w:tcPr>
              <w:p w:rsidR="00022CBA" w:rsidRDefault="00022CBA">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 xml:space="preserve">07628/INFOEM/IP/RR/2024 </w:t>
                </w:r>
              </w:p>
            </w:tc>
          </w:tr>
          <w:tr w:rsidR="00022CBA">
            <w:trPr>
              <w:trHeight w:val="283"/>
            </w:trPr>
            <w:tc>
              <w:tcPr>
                <w:tcW w:w="2550" w:type="dxa"/>
              </w:tcPr>
              <w:p w:rsidR="00022CBA" w:rsidRDefault="00022CBA">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134" w:type="dxa"/>
              </w:tcPr>
              <w:p w:rsidR="00022CBA" w:rsidRDefault="00022CBA">
                <w:pPr>
                  <w:tabs>
                    <w:tab w:val="left" w:pos="2834"/>
                  </w:tabs>
                  <w:ind w:left="-74" w:right="310"/>
                  <w:jc w:val="both"/>
                  <w:rPr>
                    <w:rFonts w:ascii="Palatino Linotype" w:eastAsia="Palatino Linotype" w:hAnsi="Palatino Linotype" w:cs="Palatino Linotype"/>
                  </w:rPr>
                </w:pPr>
                <w:r>
                  <w:rPr>
                    <w:rFonts w:ascii="Palatino Linotype" w:eastAsia="Palatino Linotype" w:hAnsi="Palatino Linotype" w:cs="Palatino Linotype"/>
                  </w:rPr>
                  <w:t>Ayuntamiento de San Felipe del Progreso</w:t>
                </w:r>
              </w:p>
            </w:tc>
          </w:tr>
          <w:tr w:rsidR="00022CBA">
            <w:trPr>
              <w:trHeight w:val="283"/>
            </w:trPr>
            <w:tc>
              <w:tcPr>
                <w:tcW w:w="2550" w:type="dxa"/>
              </w:tcPr>
              <w:p w:rsidR="00022CBA" w:rsidRDefault="00022CBA">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134" w:type="dxa"/>
              </w:tcPr>
              <w:p w:rsidR="00022CBA" w:rsidRDefault="00022CBA">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rsidR="00022CBA" w:rsidRDefault="00022CBA">
                <w:pPr>
                  <w:tabs>
                    <w:tab w:val="right" w:pos="8838"/>
                  </w:tabs>
                  <w:ind w:left="-74" w:right="-1415"/>
                  <w:rPr>
                    <w:rFonts w:ascii="Palatino Linotype" w:eastAsia="Palatino Linotype" w:hAnsi="Palatino Linotype" w:cs="Palatino Linotype"/>
                    <w:b/>
                  </w:rPr>
                </w:pPr>
              </w:p>
            </w:tc>
          </w:tr>
        </w:tbl>
        <w:p w:rsidR="00022CBA" w:rsidRDefault="00022CBA">
          <w:pPr>
            <w:tabs>
              <w:tab w:val="right" w:pos="8838"/>
            </w:tabs>
            <w:ind w:left="-28"/>
            <w:jc w:val="both"/>
            <w:rPr>
              <w:rFonts w:ascii="Arial" w:eastAsia="Arial" w:hAnsi="Arial" w:cs="Arial"/>
              <w:b/>
            </w:rPr>
          </w:pPr>
        </w:p>
      </w:tc>
    </w:tr>
  </w:tbl>
  <w:p w:rsidR="00022CBA" w:rsidRDefault="00996127">
    <w:pPr>
      <w:pBdr>
        <w:top w:val="nil"/>
        <w:left w:val="nil"/>
        <w:bottom w:val="nil"/>
        <w:right w:val="nil"/>
        <w:between w:val="nil"/>
      </w:pBdr>
      <w:tabs>
        <w:tab w:val="center" w:pos="4419"/>
        <w:tab w:val="right" w:pos="8838"/>
      </w:tabs>
      <w:rPr>
        <w:color w:val="000000"/>
        <w:sz w:val="14"/>
        <w:szCs w:val="14"/>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4"/>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CBA" w:rsidRDefault="00996127">
    <w:pPr>
      <w:widowControl w:val="0"/>
      <w:pBdr>
        <w:top w:val="nil"/>
        <w:left w:val="nil"/>
        <w:bottom w:val="nil"/>
        <w:right w:val="nil"/>
        <w:between w:val="nil"/>
      </w:pBdr>
      <w:spacing w:line="276" w:lineRule="auto"/>
      <w:rPr>
        <w:color w:val="000000"/>
        <w:sz w:val="14"/>
        <w:szCs w:val="14"/>
      </w:rPr>
    </w:pPr>
    <w:r>
      <w:rPr>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76.3pt;margin-top:-151.15pt;width:589.8pt;height:768pt;z-index:-251658752;mso-position-horizontal:absolute;mso-position-horizontal-relative:margin;mso-position-vertical:absolute;mso-position-vertical-relative:margin">
          <v:imagedata r:id="rId1" o:title="image4"/>
          <w10:wrap anchorx="margin" anchory="margin"/>
        </v:shape>
      </w:pict>
    </w:r>
  </w:p>
  <w:tbl>
    <w:tblPr>
      <w:tblStyle w:val="af0"/>
      <w:tblW w:w="9915" w:type="dxa"/>
      <w:tblInd w:w="0" w:type="dxa"/>
      <w:tblLayout w:type="fixed"/>
      <w:tblLook w:val="0400" w:firstRow="0" w:lastRow="0" w:firstColumn="0" w:lastColumn="0" w:noHBand="0" w:noVBand="1"/>
    </w:tblPr>
    <w:tblGrid>
      <w:gridCol w:w="2265"/>
      <w:gridCol w:w="7650"/>
    </w:tblGrid>
    <w:tr w:rsidR="00022CBA">
      <w:trPr>
        <w:trHeight w:val="2514"/>
      </w:trPr>
      <w:tc>
        <w:tcPr>
          <w:tcW w:w="2265" w:type="dxa"/>
        </w:tcPr>
        <w:p w:rsidR="00022CBA" w:rsidRDefault="00022CBA">
          <w:pPr>
            <w:tabs>
              <w:tab w:val="right" w:pos="4273"/>
            </w:tabs>
            <w:rPr>
              <w:rFonts w:ascii="Garamond" w:eastAsia="Garamond" w:hAnsi="Garamond" w:cs="Garamond"/>
            </w:rPr>
          </w:pPr>
        </w:p>
      </w:tc>
      <w:tc>
        <w:tcPr>
          <w:tcW w:w="7650" w:type="dxa"/>
        </w:tcPr>
        <w:p w:rsidR="00022CBA" w:rsidRDefault="00022CBA">
          <w:pPr>
            <w:widowControl w:val="0"/>
            <w:pBdr>
              <w:top w:val="nil"/>
              <w:left w:val="nil"/>
              <w:bottom w:val="nil"/>
              <w:right w:val="nil"/>
              <w:between w:val="nil"/>
            </w:pBdr>
            <w:spacing w:line="276" w:lineRule="auto"/>
            <w:rPr>
              <w:rFonts w:ascii="Garamond" w:eastAsia="Garamond" w:hAnsi="Garamond" w:cs="Garamond"/>
            </w:rPr>
          </w:pPr>
        </w:p>
        <w:tbl>
          <w:tblPr>
            <w:tblStyle w:val="af1"/>
            <w:tblW w:w="6690" w:type="dxa"/>
            <w:tblInd w:w="700" w:type="dxa"/>
            <w:tblLayout w:type="fixed"/>
            <w:tblLook w:val="0400" w:firstRow="0" w:lastRow="0" w:firstColumn="0" w:lastColumn="0" w:noHBand="0" w:noVBand="1"/>
          </w:tblPr>
          <w:tblGrid>
            <w:gridCol w:w="2449"/>
            <w:gridCol w:w="4241"/>
          </w:tblGrid>
          <w:tr w:rsidR="00022CBA">
            <w:trPr>
              <w:trHeight w:val="144"/>
            </w:trPr>
            <w:tc>
              <w:tcPr>
                <w:tcW w:w="2449" w:type="dxa"/>
                <w:tcBorders>
                  <w:top w:val="nil"/>
                  <w:left w:val="nil"/>
                  <w:bottom w:val="nil"/>
                  <w:right w:val="nil"/>
                </w:tcBorders>
              </w:tcPr>
              <w:p w:rsidR="00022CBA" w:rsidRDefault="00022CBA">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41" w:type="dxa"/>
                <w:tcBorders>
                  <w:top w:val="nil"/>
                  <w:left w:val="nil"/>
                  <w:bottom w:val="nil"/>
                  <w:right w:val="nil"/>
                </w:tcBorders>
              </w:tcPr>
              <w:p w:rsidR="00022CBA" w:rsidRDefault="00022CBA">
                <w:pPr>
                  <w:ind w:left="-283" w:right="-990" w:firstLine="2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07628/INFOEM/IP/RR/2024</w:t>
                </w:r>
              </w:p>
            </w:tc>
          </w:tr>
          <w:tr w:rsidR="00022CBA">
            <w:trPr>
              <w:trHeight w:val="144"/>
            </w:trPr>
            <w:tc>
              <w:tcPr>
                <w:tcW w:w="2449" w:type="dxa"/>
                <w:tcBorders>
                  <w:top w:val="nil"/>
                  <w:left w:val="nil"/>
                  <w:bottom w:val="nil"/>
                  <w:right w:val="nil"/>
                </w:tcBorders>
              </w:tcPr>
              <w:p w:rsidR="00022CBA" w:rsidRDefault="00022CBA">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41" w:type="dxa"/>
                <w:tcBorders>
                  <w:top w:val="nil"/>
                  <w:left w:val="nil"/>
                  <w:bottom w:val="nil"/>
                  <w:right w:val="nil"/>
                </w:tcBorders>
              </w:tcPr>
              <w:p w:rsidR="00022CBA" w:rsidRDefault="009C01A1">
                <w:pPr>
                  <w:tabs>
                    <w:tab w:val="left" w:pos="3827"/>
                  </w:tabs>
                  <w:ind w:left="-283" w:right="-990" w:firstLine="2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XXXXXXXXXX</w:t>
                </w:r>
              </w:p>
            </w:tc>
          </w:tr>
          <w:tr w:rsidR="00022CBA">
            <w:trPr>
              <w:trHeight w:val="283"/>
            </w:trPr>
            <w:tc>
              <w:tcPr>
                <w:tcW w:w="2449" w:type="dxa"/>
                <w:tcBorders>
                  <w:top w:val="nil"/>
                  <w:left w:val="nil"/>
                  <w:bottom w:val="nil"/>
                  <w:right w:val="nil"/>
                </w:tcBorders>
              </w:tcPr>
              <w:p w:rsidR="00022CBA" w:rsidRDefault="00022CBA">
                <w:pPr>
                  <w:tabs>
                    <w:tab w:val="right" w:pos="8838"/>
                  </w:tabs>
                  <w:ind w:right="16"/>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41" w:type="dxa"/>
                <w:tcBorders>
                  <w:top w:val="nil"/>
                  <w:left w:val="nil"/>
                  <w:bottom w:val="nil"/>
                  <w:right w:val="nil"/>
                </w:tcBorders>
              </w:tcPr>
              <w:p w:rsidR="00022CBA" w:rsidRDefault="00022CBA">
                <w:pPr>
                  <w:tabs>
                    <w:tab w:val="left" w:pos="2834"/>
                  </w:tabs>
                  <w:ind w:left="-283" w:right="-990" w:firstLine="2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San Felipe del Progreso</w:t>
                </w:r>
              </w:p>
            </w:tc>
          </w:tr>
          <w:tr w:rsidR="00022CBA">
            <w:trPr>
              <w:trHeight w:val="283"/>
            </w:trPr>
            <w:tc>
              <w:tcPr>
                <w:tcW w:w="2449" w:type="dxa"/>
                <w:tcBorders>
                  <w:top w:val="nil"/>
                  <w:left w:val="nil"/>
                  <w:bottom w:val="nil"/>
                  <w:right w:val="nil"/>
                </w:tcBorders>
              </w:tcPr>
              <w:p w:rsidR="00022CBA" w:rsidRDefault="00022CBA">
                <w:pPr>
                  <w:tabs>
                    <w:tab w:val="right" w:pos="8838"/>
                  </w:tabs>
                  <w:ind w:right="-11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41" w:type="dxa"/>
                <w:tcBorders>
                  <w:top w:val="nil"/>
                  <w:left w:val="nil"/>
                  <w:bottom w:val="nil"/>
                  <w:right w:val="nil"/>
                </w:tcBorders>
              </w:tcPr>
              <w:p w:rsidR="00022CBA" w:rsidRDefault="00022CBA">
                <w:pPr>
                  <w:ind w:right="-99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022CBA" w:rsidRDefault="00022CBA">
                <w:pPr>
                  <w:ind w:left="-283" w:right="-990" w:firstLine="141"/>
                  <w:rPr>
                    <w:rFonts w:ascii="Palatino Linotype" w:eastAsia="Palatino Linotype" w:hAnsi="Palatino Linotype" w:cs="Palatino Linotype"/>
                    <w:b/>
                    <w:sz w:val="22"/>
                    <w:szCs w:val="22"/>
                  </w:rPr>
                </w:pPr>
              </w:p>
            </w:tc>
          </w:tr>
        </w:tbl>
        <w:p w:rsidR="00022CBA" w:rsidRDefault="00022CBA">
          <w:pPr>
            <w:tabs>
              <w:tab w:val="right" w:pos="8838"/>
            </w:tabs>
            <w:ind w:left="-28"/>
            <w:jc w:val="both"/>
            <w:rPr>
              <w:rFonts w:ascii="Arial" w:eastAsia="Arial" w:hAnsi="Arial" w:cs="Arial"/>
              <w:b/>
            </w:rPr>
          </w:pPr>
        </w:p>
      </w:tc>
    </w:tr>
  </w:tbl>
  <w:p w:rsidR="00022CBA" w:rsidRDefault="00022CBA">
    <w:pPr>
      <w:pBdr>
        <w:top w:val="nil"/>
        <w:left w:val="nil"/>
        <w:bottom w:val="nil"/>
        <w:right w:val="nil"/>
        <w:between w:val="nil"/>
      </w:pBdr>
      <w:tabs>
        <w:tab w:val="center" w:pos="4419"/>
        <w:tab w:val="right" w:pos="8838"/>
      </w:tabs>
      <w:rPr>
        <w:color w:val="00000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30871"/>
    <w:multiLevelType w:val="multilevel"/>
    <w:tmpl w:val="0220CC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662CE9"/>
    <w:multiLevelType w:val="multilevel"/>
    <w:tmpl w:val="351865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3A72145"/>
    <w:multiLevelType w:val="multilevel"/>
    <w:tmpl w:val="10CA8C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2F267A"/>
    <w:multiLevelType w:val="multilevel"/>
    <w:tmpl w:val="7A06CDEE"/>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75A6B63"/>
    <w:multiLevelType w:val="multilevel"/>
    <w:tmpl w:val="256AAE9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D8321B"/>
    <w:multiLevelType w:val="hybridMultilevel"/>
    <w:tmpl w:val="465E0190"/>
    <w:lvl w:ilvl="0" w:tplc="5650BC10">
      <w:start w:val="29"/>
      <w:numFmt w:val="decimal"/>
      <w:lvlText w:val="%1."/>
      <w:lvlJc w:val="left"/>
      <w:pPr>
        <w:ind w:left="3621" w:hanging="360"/>
      </w:pPr>
      <w:rPr>
        <w:rFonts w:cs="Times New Roman" w:hint="default"/>
        <w:b/>
        <w:i w:val="0"/>
      </w:rPr>
    </w:lvl>
    <w:lvl w:ilvl="1" w:tplc="080A0019" w:tentative="1">
      <w:start w:val="1"/>
      <w:numFmt w:val="lowerLetter"/>
      <w:lvlText w:val="%2."/>
      <w:lvlJc w:val="left"/>
      <w:pPr>
        <w:ind w:left="4341" w:hanging="360"/>
      </w:pPr>
      <w:rPr>
        <w:rFonts w:cs="Times New Roman"/>
      </w:rPr>
    </w:lvl>
    <w:lvl w:ilvl="2" w:tplc="080A001B" w:tentative="1">
      <w:start w:val="1"/>
      <w:numFmt w:val="lowerRoman"/>
      <w:lvlText w:val="%3."/>
      <w:lvlJc w:val="right"/>
      <w:pPr>
        <w:ind w:left="5061" w:hanging="180"/>
      </w:pPr>
      <w:rPr>
        <w:rFonts w:cs="Times New Roman"/>
      </w:rPr>
    </w:lvl>
    <w:lvl w:ilvl="3" w:tplc="080A000F" w:tentative="1">
      <w:start w:val="1"/>
      <w:numFmt w:val="decimal"/>
      <w:lvlText w:val="%4."/>
      <w:lvlJc w:val="left"/>
      <w:pPr>
        <w:ind w:left="5781" w:hanging="360"/>
      </w:pPr>
      <w:rPr>
        <w:rFonts w:cs="Times New Roman"/>
      </w:rPr>
    </w:lvl>
    <w:lvl w:ilvl="4" w:tplc="080A0019" w:tentative="1">
      <w:start w:val="1"/>
      <w:numFmt w:val="lowerLetter"/>
      <w:lvlText w:val="%5."/>
      <w:lvlJc w:val="left"/>
      <w:pPr>
        <w:ind w:left="6501" w:hanging="360"/>
      </w:pPr>
      <w:rPr>
        <w:rFonts w:cs="Times New Roman"/>
      </w:rPr>
    </w:lvl>
    <w:lvl w:ilvl="5" w:tplc="080A001B" w:tentative="1">
      <w:start w:val="1"/>
      <w:numFmt w:val="lowerRoman"/>
      <w:lvlText w:val="%6."/>
      <w:lvlJc w:val="right"/>
      <w:pPr>
        <w:ind w:left="7221" w:hanging="180"/>
      </w:pPr>
      <w:rPr>
        <w:rFonts w:cs="Times New Roman"/>
      </w:rPr>
    </w:lvl>
    <w:lvl w:ilvl="6" w:tplc="080A000F" w:tentative="1">
      <w:start w:val="1"/>
      <w:numFmt w:val="decimal"/>
      <w:lvlText w:val="%7."/>
      <w:lvlJc w:val="left"/>
      <w:pPr>
        <w:ind w:left="7941" w:hanging="360"/>
      </w:pPr>
      <w:rPr>
        <w:rFonts w:cs="Times New Roman"/>
      </w:rPr>
    </w:lvl>
    <w:lvl w:ilvl="7" w:tplc="080A0019" w:tentative="1">
      <w:start w:val="1"/>
      <w:numFmt w:val="lowerLetter"/>
      <w:lvlText w:val="%8."/>
      <w:lvlJc w:val="left"/>
      <w:pPr>
        <w:ind w:left="8661" w:hanging="360"/>
      </w:pPr>
      <w:rPr>
        <w:rFonts w:cs="Times New Roman"/>
      </w:rPr>
    </w:lvl>
    <w:lvl w:ilvl="8" w:tplc="080A001B" w:tentative="1">
      <w:start w:val="1"/>
      <w:numFmt w:val="lowerRoman"/>
      <w:lvlText w:val="%9."/>
      <w:lvlJc w:val="right"/>
      <w:pPr>
        <w:ind w:left="9381" w:hanging="180"/>
      </w:pPr>
      <w:rPr>
        <w:rFonts w:cs="Times New Roman"/>
      </w:rPr>
    </w:lvl>
  </w:abstractNum>
  <w:abstractNum w:abstractNumId="6" w15:restartNumberingAfterBreak="0">
    <w:nsid w:val="3B655168"/>
    <w:multiLevelType w:val="multilevel"/>
    <w:tmpl w:val="A3AC8684"/>
    <w:lvl w:ilvl="0">
      <w:start w:val="1"/>
      <w:numFmt w:val="bullet"/>
      <w:lvlText w:val="●"/>
      <w:lvlJc w:val="left"/>
      <w:pPr>
        <w:ind w:left="1498" w:hanging="360"/>
      </w:pPr>
      <w:rPr>
        <w:rFonts w:ascii="Noto Sans Symbols" w:eastAsia="Noto Sans Symbols" w:hAnsi="Noto Sans Symbols" w:cs="Noto Sans Symbols"/>
      </w:rPr>
    </w:lvl>
    <w:lvl w:ilvl="1">
      <w:start w:val="1"/>
      <w:numFmt w:val="bullet"/>
      <w:lvlText w:val="o"/>
      <w:lvlJc w:val="left"/>
      <w:pPr>
        <w:ind w:left="2218" w:hanging="360"/>
      </w:pPr>
      <w:rPr>
        <w:rFonts w:ascii="Courier New" w:eastAsia="Courier New" w:hAnsi="Courier New" w:cs="Courier New"/>
      </w:rPr>
    </w:lvl>
    <w:lvl w:ilvl="2">
      <w:start w:val="1"/>
      <w:numFmt w:val="bullet"/>
      <w:lvlText w:val="▪"/>
      <w:lvlJc w:val="left"/>
      <w:pPr>
        <w:ind w:left="2938" w:hanging="360"/>
      </w:pPr>
      <w:rPr>
        <w:rFonts w:ascii="Noto Sans Symbols" w:eastAsia="Noto Sans Symbols" w:hAnsi="Noto Sans Symbols" w:cs="Noto Sans Symbols"/>
      </w:rPr>
    </w:lvl>
    <w:lvl w:ilvl="3">
      <w:start w:val="1"/>
      <w:numFmt w:val="bullet"/>
      <w:lvlText w:val="●"/>
      <w:lvlJc w:val="left"/>
      <w:pPr>
        <w:ind w:left="3658" w:hanging="360"/>
      </w:pPr>
      <w:rPr>
        <w:rFonts w:ascii="Noto Sans Symbols" w:eastAsia="Noto Sans Symbols" w:hAnsi="Noto Sans Symbols" w:cs="Noto Sans Symbols"/>
      </w:rPr>
    </w:lvl>
    <w:lvl w:ilvl="4">
      <w:start w:val="1"/>
      <w:numFmt w:val="bullet"/>
      <w:lvlText w:val="o"/>
      <w:lvlJc w:val="left"/>
      <w:pPr>
        <w:ind w:left="4378" w:hanging="360"/>
      </w:pPr>
      <w:rPr>
        <w:rFonts w:ascii="Courier New" w:eastAsia="Courier New" w:hAnsi="Courier New" w:cs="Courier New"/>
      </w:rPr>
    </w:lvl>
    <w:lvl w:ilvl="5">
      <w:start w:val="1"/>
      <w:numFmt w:val="bullet"/>
      <w:lvlText w:val="▪"/>
      <w:lvlJc w:val="left"/>
      <w:pPr>
        <w:ind w:left="5098" w:hanging="360"/>
      </w:pPr>
      <w:rPr>
        <w:rFonts w:ascii="Noto Sans Symbols" w:eastAsia="Noto Sans Symbols" w:hAnsi="Noto Sans Symbols" w:cs="Noto Sans Symbols"/>
      </w:rPr>
    </w:lvl>
    <w:lvl w:ilvl="6">
      <w:start w:val="1"/>
      <w:numFmt w:val="bullet"/>
      <w:lvlText w:val="●"/>
      <w:lvlJc w:val="left"/>
      <w:pPr>
        <w:ind w:left="5818" w:hanging="360"/>
      </w:pPr>
      <w:rPr>
        <w:rFonts w:ascii="Noto Sans Symbols" w:eastAsia="Noto Sans Symbols" w:hAnsi="Noto Sans Symbols" w:cs="Noto Sans Symbols"/>
      </w:rPr>
    </w:lvl>
    <w:lvl w:ilvl="7">
      <w:start w:val="1"/>
      <w:numFmt w:val="bullet"/>
      <w:lvlText w:val="o"/>
      <w:lvlJc w:val="left"/>
      <w:pPr>
        <w:ind w:left="6538" w:hanging="360"/>
      </w:pPr>
      <w:rPr>
        <w:rFonts w:ascii="Courier New" w:eastAsia="Courier New" w:hAnsi="Courier New" w:cs="Courier New"/>
      </w:rPr>
    </w:lvl>
    <w:lvl w:ilvl="8">
      <w:start w:val="1"/>
      <w:numFmt w:val="bullet"/>
      <w:lvlText w:val="▪"/>
      <w:lvlJc w:val="left"/>
      <w:pPr>
        <w:ind w:left="7258" w:hanging="360"/>
      </w:pPr>
      <w:rPr>
        <w:rFonts w:ascii="Noto Sans Symbols" w:eastAsia="Noto Sans Symbols" w:hAnsi="Noto Sans Symbols" w:cs="Noto Sans Symbols"/>
      </w:rPr>
    </w:lvl>
  </w:abstractNum>
  <w:abstractNum w:abstractNumId="7" w15:restartNumberingAfterBreak="0">
    <w:nsid w:val="430858DD"/>
    <w:multiLevelType w:val="multilevel"/>
    <w:tmpl w:val="AE0EEFEA"/>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8" w15:restartNumberingAfterBreak="0">
    <w:nsid w:val="46515029"/>
    <w:multiLevelType w:val="multilevel"/>
    <w:tmpl w:val="DD72FE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076575"/>
    <w:multiLevelType w:val="multilevel"/>
    <w:tmpl w:val="F800AF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3C4571E"/>
    <w:multiLevelType w:val="multilevel"/>
    <w:tmpl w:val="A7806430"/>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4806C7D"/>
    <w:multiLevelType w:val="multilevel"/>
    <w:tmpl w:val="A460958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553292A"/>
    <w:multiLevelType w:val="multilevel"/>
    <w:tmpl w:val="D28A7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C1F5FB3"/>
    <w:multiLevelType w:val="multilevel"/>
    <w:tmpl w:val="47D65E2E"/>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0C243DE"/>
    <w:multiLevelType w:val="multilevel"/>
    <w:tmpl w:val="A7EA6CE6"/>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1332E22"/>
    <w:multiLevelType w:val="multilevel"/>
    <w:tmpl w:val="105E5F7A"/>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1653AB9"/>
    <w:multiLevelType w:val="multilevel"/>
    <w:tmpl w:val="02CEE70A"/>
    <w:lvl w:ilvl="0">
      <w:start w:val="1"/>
      <w:numFmt w:val="decimal"/>
      <w:lvlText w:val="%1."/>
      <w:lvlJc w:val="left"/>
      <w:pPr>
        <w:ind w:left="6170"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9621A0E"/>
    <w:multiLevelType w:val="multilevel"/>
    <w:tmpl w:val="9E4C5CC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7AE61FED"/>
    <w:multiLevelType w:val="multilevel"/>
    <w:tmpl w:val="052A90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
  </w:num>
  <w:num w:numId="3">
    <w:abstractNumId w:val="0"/>
  </w:num>
  <w:num w:numId="4">
    <w:abstractNumId w:val="17"/>
  </w:num>
  <w:num w:numId="5">
    <w:abstractNumId w:val="12"/>
  </w:num>
  <w:num w:numId="6">
    <w:abstractNumId w:val="8"/>
  </w:num>
  <w:num w:numId="7">
    <w:abstractNumId w:val="11"/>
  </w:num>
  <w:num w:numId="8">
    <w:abstractNumId w:val="9"/>
  </w:num>
  <w:num w:numId="9">
    <w:abstractNumId w:val="18"/>
  </w:num>
  <w:num w:numId="10">
    <w:abstractNumId w:val="7"/>
  </w:num>
  <w:num w:numId="11">
    <w:abstractNumId w:val="6"/>
  </w:num>
  <w:num w:numId="12">
    <w:abstractNumId w:val="5"/>
  </w:num>
  <w:num w:numId="13">
    <w:abstractNumId w:val="14"/>
  </w:num>
  <w:num w:numId="14">
    <w:abstractNumId w:val="3"/>
  </w:num>
  <w:num w:numId="15">
    <w:abstractNumId w:val="13"/>
  </w:num>
  <w:num w:numId="16">
    <w:abstractNumId w:val="10"/>
  </w:num>
  <w:num w:numId="17">
    <w:abstractNumId w:val="15"/>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70A"/>
    <w:rsid w:val="00006F5A"/>
    <w:rsid w:val="00022CBA"/>
    <w:rsid w:val="00044A7D"/>
    <w:rsid w:val="001017F0"/>
    <w:rsid w:val="00252C59"/>
    <w:rsid w:val="003B37F6"/>
    <w:rsid w:val="00406827"/>
    <w:rsid w:val="0057134D"/>
    <w:rsid w:val="005758E0"/>
    <w:rsid w:val="005A4BDE"/>
    <w:rsid w:val="00644801"/>
    <w:rsid w:val="00667615"/>
    <w:rsid w:val="006A0F8F"/>
    <w:rsid w:val="00902965"/>
    <w:rsid w:val="00943FCF"/>
    <w:rsid w:val="00990E79"/>
    <w:rsid w:val="00996127"/>
    <w:rsid w:val="009A5F2C"/>
    <w:rsid w:val="009A7F0A"/>
    <w:rsid w:val="009B5728"/>
    <w:rsid w:val="009C01A1"/>
    <w:rsid w:val="00AA7A7E"/>
    <w:rsid w:val="00AB46F8"/>
    <w:rsid w:val="00BB31E8"/>
    <w:rsid w:val="00BD03CC"/>
    <w:rsid w:val="00BD0728"/>
    <w:rsid w:val="00BE1DB3"/>
    <w:rsid w:val="00BE4437"/>
    <w:rsid w:val="00BE4648"/>
    <w:rsid w:val="00BF04A3"/>
    <w:rsid w:val="00D01276"/>
    <w:rsid w:val="00D545C5"/>
    <w:rsid w:val="00DA702F"/>
    <w:rsid w:val="00E01A73"/>
    <w:rsid w:val="00E35395"/>
    <w:rsid w:val="00E357D9"/>
    <w:rsid w:val="00ED570A"/>
    <w:rsid w:val="00F52B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BE27D35-E637-44C6-9177-47B2F787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9CC"/>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1709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basedOn w:val="Normal"/>
    <w:next w:val="Normal"/>
    <w:link w:val="Puest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170967"/>
    <w:rPr>
      <w:rFonts w:asciiTheme="majorHAnsi" w:eastAsiaTheme="majorEastAsia" w:hAnsiTheme="majorHAnsi" w:cstheme="majorBidi"/>
      <w:color w:val="2E74B5" w:themeColor="accent1" w:themeShade="BF"/>
      <w:sz w:val="26"/>
      <w:szCs w:val="26"/>
      <w:lang w:eastAsia="es-MX"/>
    </w:rPr>
  </w:style>
  <w:style w:type="paragraph" w:styleId="Encabezado">
    <w:name w:val="header"/>
    <w:basedOn w:val="Normal"/>
    <w:link w:val="EncabezadoCar"/>
    <w:uiPriority w:val="99"/>
    <w:unhideWhenUsed/>
    <w:rsid w:val="00170967"/>
    <w:pPr>
      <w:tabs>
        <w:tab w:val="center" w:pos="4419"/>
        <w:tab w:val="right" w:pos="8838"/>
      </w:tabs>
    </w:pPr>
  </w:style>
  <w:style w:type="character" w:customStyle="1" w:styleId="EncabezadoCar">
    <w:name w:val="Encabezado Car"/>
    <w:basedOn w:val="Fuentedeprrafopredeter"/>
    <w:link w:val="Encabezado"/>
    <w:uiPriority w:val="99"/>
    <w:rsid w:val="00170967"/>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170967"/>
    <w:pPr>
      <w:tabs>
        <w:tab w:val="center" w:pos="4419"/>
        <w:tab w:val="right" w:pos="8838"/>
      </w:tabs>
    </w:pPr>
  </w:style>
  <w:style w:type="character" w:customStyle="1" w:styleId="PiedepginaCar">
    <w:name w:val="Pie de página Car"/>
    <w:basedOn w:val="Fuentedeprrafopredeter"/>
    <w:link w:val="Piedepgina"/>
    <w:uiPriority w:val="99"/>
    <w:rsid w:val="00170967"/>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170967"/>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170967"/>
    <w:rPr>
      <w:rFonts w:ascii="Century Gothic" w:eastAsia="Times New Roman" w:hAnsi="Century Gothic" w:cs="Times New Roman"/>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170967"/>
    <w:rPr>
      <w:color w:val="0563C1"/>
      <w:u w:val="single"/>
    </w:rPr>
  </w:style>
  <w:style w:type="paragraph" w:styleId="Sinespaciado">
    <w:name w:val="No Spacing"/>
    <w:aliases w:val="Francesa,INAI"/>
    <w:link w:val="SinespaciadoCar"/>
    <w:uiPriority w:val="1"/>
    <w:qFormat/>
    <w:rsid w:val="00170967"/>
    <w:rPr>
      <w:lang w:eastAsia="es-ES"/>
    </w:rPr>
  </w:style>
  <w:style w:type="character" w:customStyle="1" w:styleId="SinespaciadoCar">
    <w:name w:val="Sin espaciado Car"/>
    <w:aliases w:val="Francesa Car,INAI Car"/>
    <w:link w:val="Sinespaciado"/>
    <w:uiPriority w:val="1"/>
    <w:qFormat/>
    <w:locked/>
    <w:rsid w:val="00170967"/>
    <w:rPr>
      <w:rFonts w:ascii="Times New Roman" w:eastAsia="Times New Roman" w:hAnsi="Times New Roman" w:cs="Times New Roman"/>
      <w:sz w:val="24"/>
      <w:szCs w:val="24"/>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styleId="Tablaconcuadrcula">
    <w:name w:val="Table Grid"/>
    <w:basedOn w:val="Tablanormal"/>
    <w:uiPriority w:val="39"/>
    <w:qFormat/>
    <w:rsid w:val="00E82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C262E9"/>
    <w:rPr>
      <w:b/>
      <w:sz w:val="28"/>
      <w:szCs w:val="28"/>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05D6F"/>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05D6F"/>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005D6F"/>
    <w:rPr>
      <w:vertAlign w:val="superscript"/>
    </w:rPr>
  </w:style>
  <w:style w:type="paragraph" w:customStyle="1" w:styleId="Texto">
    <w:name w:val="Texto"/>
    <w:basedOn w:val="Normal"/>
    <w:link w:val="TextoCar"/>
    <w:rsid w:val="00005D6F"/>
    <w:pPr>
      <w:spacing w:after="101" w:line="216" w:lineRule="exact"/>
      <w:ind w:firstLine="288"/>
      <w:jc w:val="both"/>
    </w:pPr>
    <w:rPr>
      <w:rFonts w:ascii="Arial" w:hAnsi="Arial" w:cs="Arial"/>
      <w:sz w:val="18"/>
      <w:szCs w:val="20"/>
      <w:lang w:val="es-ES" w:eastAsia="es-ES"/>
    </w:rPr>
  </w:style>
  <w:style w:type="paragraph" w:styleId="Textosinformato">
    <w:name w:val="Plain Text"/>
    <w:basedOn w:val="Normal"/>
    <w:link w:val="TextosinformatoCar"/>
    <w:rsid w:val="00005D6F"/>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rsid w:val="00005D6F"/>
    <w:rPr>
      <w:rFonts w:ascii="Courier New" w:hAnsi="Courier New" w:cs="Courier New"/>
      <w:sz w:val="20"/>
      <w:szCs w:val="20"/>
      <w:lang w:val="es-ES" w:eastAsia="es-ES"/>
    </w:rPr>
  </w:style>
  <w:style w:type="character" w:customStyle="1" w:styleId="TextoCar">
    <w:name w:val="Texto Car"/>
    <w:link w:val="Texto"/>
    <w:locked/>
    <w:rsid w:val="00005D6F"/>
    <w:rPr>
      <w:rFonts w:ascii="Arial" w:hAnsi="Arial" w:cs="Arial"/>
      <w:sz w:val="18"/>
      <w:szCs w:val="20"/>
      <w:lang w:val="es-ES" w:eastAsia="es-ES"/>
    </w:rPr>
  </w:style>
  <w:style w:type="character" w:customStyle="1" w:styleId="PuestoCar">
    <w:name w:val="Puesto Car"/>
    <w:aliases w:val="Cita textual Car"/>
    <w:basedOn w:val="Fuentedeprrafopredeter"/>
    <w:link w:val="Puesto"/>
    <w:uiPriority w:val="10"/>
    <w:rsid w:val="004E049C"/>
    <w:rPr>
      <w:b/>
      <w:sz w:val="72"/>
      <w:szCs w:val="72"/>
    </w:rPr>
  </w:style>
  <w:style w:type="character" w:customStyle="1" w:styleId="Ttulo1Car">
    <w:name w:val="Título 1 Car"/>
    <w:basedOn w:val="Fuentedeprrafopredeter"/>
    <w:link w:val="Ttulo1"/>
    <w:rsid w:val="00AC0C67"/>
    <w:rPr>
      <w:b/>
      <w:sz w:val="48"/>
      <w:szCs w:val="48"/>
    </w:r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paragraph" w:styleId="TDC1">
    <w:name w:val="toc 1"/>
    <w:basedOn w:val="Normal"/>
    <w:next w:val="Normal"/>
    <w:autoRedefine/>
    <w:uiPriority w:val="39"/>
    <w:unhideWhenUsed/>
    <w:rsid w:val="0014208A"/>
    <w:pPr>
      <w:spacing w:after="100" w:line="259" w:lineRule="auto"/>
    </w:pPr>
    <w:rPr>
      <w:rFonts w:asciiTheme="minorHAnsi" w:eastAsiaTheme="minorHAnsi" w:hAnsiTheme="minorHAnsi" w:cstheme="minorBidi"/>
      <w:sz w:val="22"/>
      <w:szCs w:val="22"/>
      <w:lang w:eastAsia="en-US"/>
    </w:rPr>
  </w:style>
  <w:style w:type="character" w:styleId="Hipervnculovisitado">
    <w:name w:val="FollowedHyperlink"/>
    <w:basedOn w:val="Fuentedeprrafopredeter"/>
    <w:uiPriority w:val="99"/>
    <w:semiHidden/>
    <w:unhideWhenUsed/>
    <w:rsid w:val="003F54D1"/>
    <w:rPr>
      <w:color w:val="954F72" w:themeColor="followedHyperlink"/>
      <w:u w:val="single"/>
    </w:r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paragraph" w:customStyle="1" w:styleId="Default">
    <w:name w:val="Default"/>
    <w:rsid w:val="00B13887"/>
    <w:pPr>
      <w:autoSpaceDE w:val="0"/>
      <w:autoSpaceDN w:val="0"/>
      <w:adjustRightInd w:val="0"/>
    </w:pPr>
    <w:rPr>
      <w:rFonts w:ascii="Arial" w:eastAsiaTheme="minorHAnsi" w:hAnsi="Arial" w:cs="Arial"/>
      <w:color w:val="000000"/>
      <w:lang w:eastAsia="en-US"/>
    </w:rPr>
  </w:style>
  <w:style w:type="paragraph" w:styleId="Sangradetextonormal">
    <w:name w:val="Body Text Indent"/>
    <w:basedOn w:val="Normal"/>
    <w:link w:val="SangradetextonormalCar"/>
    <w:uiPriority w:val="99"/>
    <w:semiHidden/>
    <w:unhideWhenUsed/>
    <w:rsid w:val="00C72C29"/>
    <w:pPr>
      <w:spacing w:after="120"/>
      <w:ind w:left="283"/>
    </w:pPr>
  </w:style>
  <w:style w:type="character" w:customStyle="1" w:styleId="SangradetextonormalCar">
    <w:name w:val="Sangría de texto normal Car"/>
    <w:basedOn w:val="Fuentedeprrafopredeter"/>
    <w:link w:val="Sangradetextonormal"/>
    <w:uiPriority w:val="99"/>
    <w:semiHidden/>
    <w:rsid w:val="00C72C29"/>
  </w:style>
  <w:style w:type="paragraph" w:styleId="Textoindependienteprimerasangra2">
    <w:name w:val="Body Text First Indent 2"/>
    <w:basedOn w:val="Sangradetextonormal"/>
    <w:link w:val="Textoindependienteprimerasangra2Car"/>
    <w:uiPriority w:val="99"/>
    <w:unhideWhenUsed/>
    <w:rsid w:val="00C72C2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72C29"/>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b.mx/segob/renapo/acciones-y-programas/clave-unica-de-registro-de-poblacion-curp-142226"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anterior.ine.mx/archivos2/tutoriales/sistemas/ApoyoInstitucional/SIF/docs/candidatos/folioFiscalFactura.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f.gob.mx/nota_detalle.php?codigo=5492254&amp;fecha=28/07/2017"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WfLTlHzTkslUGh9U5Y1Urqdqsg==">CgMxLjAyCGguZ2pkZ3hzMgloLjFmb2I5dGUyCWguMzBqMHpsbDIJaC4yZXQ5MnAwMgloLjE3ZHA4dnUyCWguNDRzaW5pbzgAciExV2JxY0ZjN3I2OURDNGFkMjJNOEw0Y2ZQY093dnVNN3o=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79</Pages>
  <Words>16738</Words>
  <Characters>92064</Characters>
  <Application>Microsoft Office Word</Application>
  <DocSecurity>0</DocSecurity>
  <Lines>767</Lines>
  <Paragraphs>217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INFOEM403</cp:lastModifiedBy>
  <cp:revision>10</cp:revision>
  <dcterms:created xsi:type="dcterms:W3CDTF">2025-01-20T20:09:00Z</dcterms:created>
  <dcterms:modified xsi:type="dcterms:W3CDTF">2025-02-10T23:58:00Z</dcterms:modified>
</cp:coreProperties>
</file>