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A48" w:rsidRDefault="00772A48">
      <w:pPr>
        <w:widowControl w:val="0"/>
        <w:pBdr>
          <w:top w:val="nil"/>
          <w:left w:val="nil"/>
          <w:bottom w:val="nil"/>
          <w:right w:val="nil"/>
          <w:between w:val="nil"/>
        </w:pBdr>
        <w:spacing w:line="276" w:lineRule="auto"/>
      </w:pPr>
    </w:p>
    <w:p w:rsidR="00772A48" w:rsidRDefault="00772A48">
      <w:pPr>
        <w:keepNext/>
        <w:keepLines/>
        <w:pBdr>
          <w:top w:val="nil"/>
          <w:left w:val="nil"/>
          <w:bottom w:val="nil"/>
          <w:right w:val="nil"/>
          <w:between w:val="nil"/>
        </w:pBdr>
        <w:spacing w:line="360" w:lineRule="auto"/>
        <w:ind w:left="708" w:hanging="708"/>
        <w:rPr>
          <w:rFonts w:ascii="Palatino Linotype" w:eastAsia="Palatino Linotype" w:hAnsi="Palatino Linotype" w:cs="Palatino Linotype"/>
          <w:color w:val="000000"/>
          <w:sz w:val="22"/>
          <w:szCs w:val="22"/>
        </w:rPr>
      </w:pPr>
      <w:bookmarkStart w:id="0" w:name="_heading=h.sca51eijidlw" w:colFirst="0" w:colLast="0"/>
      <w:bookmarkEnd w:id="0"/>
    </w:p>
    <w:p w:rsidR="00772A48" w:rsidRDefault="006646EE">
      <w:pPr>
        <w:keepNext/>
        <w:keepLines/>
        <w:pBdr>
          <w:top w:val="nil"/>
          <w:left w:val="nil"/>
          <w:bottom w:val="nil"/>
          <w:right w:val="nil"/>
          <w:between w:val="nil"/>
        </w:pBdr>
        <w:spacing w:line="360" w:lineRule="auto"/>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RESOLUCIÓN DEL RECURSO DE REVISIÓN 03706/INFOEM/IP/RR/2025 Y ACUMULADOS</w:t>
      </w:r>
    </w:p>
    <w:sdt>
      <w:sdtPr>
        <w:rPr>
          <w:sz w:val="20"/>
          <w:szCs w:val="20"/>
          <w:lang w:val="es-ES"/>
        </w:rPr>
        <w:id w:val="1062609328"/>
        <w:docPartObj>
          <w:docPartGallery w:val="Table of Contents"/>
          <w:docPartUnique/>
        </w:docPartObj>
      </w:sdtPr>
      <w:sdtEndPr>
        <w:rPr>
          <w:b/>
          <w:bCs/>
        </w:rPr>
      </w:sdtEndPr>
      <w:sdtContent>
        <w:p w:rsidR="00685EAD" w:rsidRPr="00C65B41" w:rsidRDefault="00685EAD">
          <w:pPr>
            <w:pStyle w:val="TtulodeTDC"/>
          </w:pPr>
          <w:r w:rsidRPr="00C65B41">
            <w:rPr>
              <w:lang w:val="es-ES"/>
            </w:rPr>
            <w:t>Contenido</w:t>
          </w:r>
        </w:p>
        <w:p w:rsidR="00685EAD" w:rsidRPr="00C65B41" w:rsidRDefault="00685EAD">
          <w:pPr>
            <w:pStyle w:val="TDC1"/>
            <w:tabs>
              <w:tab w:val="right" w:leader="dot" w:pos="8828"/>
            </w:tabs>
            <w:rPr>
              <w:rFonts w:cstheme="minorBidi"/>
              <w:noProof/>
            </w:rPr>
          </w:pPr>
          <w:r w:rsidRPr="00C65B41">
            <w:rPr>
              <w:bCs/>
              <w:lang w:val="es-ES"/>
            </w:rPr>
            <w:fldChar w:fldCharType="begin"/>
          </w:r>
          <w:r w:rsidRPr="00C65B41">
            <w:rPr>
              <w:bCs/>
              <w:lang w:val="es-ES"/>
            </w:rPr>
            <w:instrText xml:space="preserve"> TOC \o "1-3" \h \z \u </w:instrText>
          </w:r>
          <w:r w:rsidRPr="00C65B41">
            <w:rPr>
              <w:bCs/>
              <w:lang w:val="es-ES"/>
            </w:rPr>
            <w:fldChar w:fldCharType="separate"/>
          </w:r>
          <w:hyperlink w:anchor="_Toc210314555" w:history="1">
            <w:r w:rsidRPr="00C65B41">
              <w:rPr>
                <w:rStyle w:val="Hipervnculo"/>
                <w:rFonts w:ascii="Palatino Linotype" w:eastAsia="Palatino Linotype" w:hAnsi="Palatino Linotype" w:cs="Palatino Linotype"/>
                <w:noProof/>
              </w:rPr>
              <w:t>A N T E C E D E N T E S</w:t>
            </w:r>
            <w:r w:rsidRPr="00C65B41">
              <w:rPr>
                <w:noProof/>
                <w:webHidden/>
              </w:rPr>
              <w:tab/>
            </w:r>
            <w:r w:rsidRPr="00C65B41">
              <w:rPr>
                <w:noProof/>
                <w:webHidden/>
              </w:rPr>
              <w:fldChar w:fldCharType="begin"/>
            </w:r>
            <w:r w:rsidRPr="00C65B41">
              <w:rPr>
                <w:noProof/>
                <w:webHidden/>
              </w:rPr>
              <w:instrText xml:space="preserve"> PAGEREF _Toc210314555 \h </w:instrText>
            </w:r>
            <w:r w:rsidRPr="00C65B41">
              <w:rPr>
                <w:noProof/>
                <w:webHidden/>
              </w:rPr>
            </w:r>
            <w:r w:rsidRPr="00C65B41">
              <w:rPr>
                <w:noProof/>
                <w:webHidden/>
              </w:rPr>
              <w:fldChar w:fldCharType="separate"/>
            </w:r>
            <w:r w:rsidR="0027324F">
              <w:rPr>
                <w:noProof/>
                <w:webHidden/>
              </w:rPr>
              <w:t>2</w:t>
            </w:r>
            <w:r w:rsidRPr="00C65B41">
              <w:rPr>
                <w:noProof/>
                <w:webHidden/>
              </w:rPr>
              <w:fldChar w:fldCharType="end"/>
            </w:r>
          </w:hyperlink>
        </w:p>
        <w:p w:rsidR="00685EAD" w:rsidRPr="00C65B41" w:rsidRDefault="00F15860">
          <w:pPr>
            <w:pStyle w:val="TDC2"/>
            <w:tabs>
              <w:tab w:val="right" w:leader="dot" w:pos="8828"/>
            </w:tabs>
            <w:rPr>
              <w:rFonts w:cstheme="minorBidi"/>
              <w:noProof/>
            </w:rPr>
          </w:pPr>
          <w:hyperlink w:anchor="_Toc210314556" w:history="1">
            <w:r w:rsidR="00685EAD" w:rsidRPr="00C65B41">
              <w:rPr>
                <w:rStyle w:val="Hipervnculo"/>
                <w:rFonts w:ascii="Palatino Linotype" w:eastAsia="Palatino Linotype" w:hAnsi="Palatino Linotype" w:cs="Palatino Linotype"/>
                <w:noProof/>
              </w:rPr>
              <w:t>I. Presentación de la solicitud de información</w:t>
            </w:r>
            <w:r w:rsidR="00685EAD" w:rsidRPr="00C65B41">
              <w:rPr>
                <w:noProof/>
                <w:webHidden/>
              </w:rPr>
              <w:tab/>
            </w:r>
            <w:r w:rsidR="00685EAD" w:rsidRPr="00C65B41">
              <w:rPr>
                <w:noProof/>
                <w:webHidden/>
              </w:rPr>
              <w:fldChar w:fldCharType="begin"/>
            </w:r>
            <w:r w:rsidR="00685EAD" w:rsidRPr="00C65B41">
              <w:rPr>
                <w:noProof/>
                <w:webHidden/>
              </w:rPr>
              <w:instrText xml:space="preserve"> PAGEREF _Toc210314556 \h </w:instrText>
            </w:r>
            <w:r w:rsidR="00685EAD" w:rsidRPr="00C65B41">
              <w:rPr>
                <w:noProof/>
                <w:webHidden/>
              </w:rPr>
            </w:r>
            <w:r w:rsidR="00685EAD" w:rsidRPr="00C65B41">
              <w:rPr>
                <w:noProof/>
                <w:webHidden/>
              </w:rPr>
              <w:fldChar w:fldCharType="separate"/>
            </w:r>
            <w:r w:rsidR="0027324F">
              <w:rPr>
                <w:noProof/>
                <w:webHidden/>
              </w:rPr>
              <w:t>2</w:t>
            </w:r>
            <w:r w:rsidR="00685EAD" w:rsidRPr="00C65B41">
              <w:rPr>
                <w:noProof/>
                <w:webHidden/>
              </w:rPr>
              <w:fldChar w:fldCharType="end"/>
            </w:r>
          </w:hyperlink>
        </w:p>
        <w:p w:rsidR="00685EAD" w:rsidRPr="00C65B41" w:rsidRDefault="00F15860">
          <w:pPr>
            <w:pStyle w:val="TDC2"/>
            <w:tabs>
              <w:tab w:val="right" w:leader="dot" w:pos="8828"/>
            </w:tabs>
            <w:rPr>
              <w:rFonts w:cstheme="minorBidi"/>
              <w:noProof/>
            </w:rPr>
          </w:pPr>
          <w:hyperlink w:anchor="_Toc210314557" w:history="1">
            <w:r w:rsidR="00685EAD" w:rsidRPr="00C65B41">
              <w:rPr>
                <w:rStyle w:val="Hipervnculo"/>
                <w:rFonts w:ascii="Palatino Linotype" w:eastAsia="Palatino Linotype" w:hAnsi="Palatino Linotype" w:cs="Palatino Linotype"/>
                <w:noProof/>
              </w:rPr>
              <w:t>II. Respuesta del Sujeto Obligado</w:t>
            </w:r>
            <w:r w:rsidR="00685EAD" w:rsidRPr="00C65B41">
              <w:rPr>
                <w:noProof/>
                <w:webHidden/>
              </w:rPr>
              <w:tab/>
            </w:r>
            <w:r w:rsidR="00685EAD" w:rsidRPr="00C65B41">
              <w:rPr>
                <w:noProof/>
                <w:webHidden/>
              </w:rPr>
              <w:fldChar w:fldCharType="begin"/>
            </w:r>
            <w:r w:rsidR="00685EAD" w:rsidRPr="00C65B41">
              <w:rPr>
                <w:noProof/>
                <w:webHidden/>
              </w:rPr>
              <w:instrText xml:space="preserve"> PAGEREF _Toc210314557 \h </w:instrText>
            </w:r>
            <w:r w:rsidR="00685EAD" w:rsidRPr="00C65B41">
              <w:rPr>
                <w:noProof/>
                <w:webHidden/>
              </w:rPr>
            </w:r>
            <w:r w:rsidR="00685EAD" w:rsidRPr="00C65B41">
              <w:rPr>
                <w:noProof/>
                <w:webHidden/>
              </w:rPr>
              <w:fldChar w:fldCharType="separate"/>
            </w:r>
            <w:r w:rsidR="0027324F">
              <w:rPr>
                <w:noProof/>
                <w:webHidden/>
              </w:rPr>
              <w:t>3</w:t>
            </w:r>
            <w:r w:rsidR="00685EAD" w:rsidRPr="00C65B41">
              <w:rPr>
                <w:noProof/>
                <w:webHidden/>
              </w:rPr>
              <w:fldChar w:fldCharType="end"/>
            </w:r>
          </w:hyperlink>
        </w:p>
        <w:p w:rsidR="00685EAD" w:rsidRPr="00C65B41" w:rsidRDefault="00F15860">
          <w:pPr>
            <w:pStyle w:val="TDC2"/>
            <w:tabs>
              <w:tab w:val="right" w:leader="dot" w:pos="8828"/>
            </w:tabs>
            <w:rPr>
              <w:rFonts w:cstheme="minorBidi"/>
              <w:noProof/>
            </w:rPr>
          </w:pPr>
          <w:hyperlink w:anchor="_Toc210314558" w:history="1">
            <w:r w:rsidR="00685EAD" w:rsidRPr="00C65B41">
              <w:rPr>
                <w:rStyle w:val="Hipervnculo"/>
                <w:rFonts w:ascii="Palatino Linotype" w:eastAsia="Palatino Linotype" w:hAnsi="Palatino Linotype" w:cs="Palatino Linotype"/>
                <w:noProof/>
              </w:rPr>
              <w:t>III. Interposición del Recurso de Revisión</w:t>
            </w:r>
            <w:r w:rsidR="00685EAD" w:rsidRPr="00C65B41">
              <w:rPr>
                <w:noProof/>
                <w:webHidden/>
              </w:rPr>
              <w:tab/>
            </w:r>
            <w:r w:rsidR="00685EAD" w:rsidRPr="00C65B41">
              <w:rPr>
                <w:noProof/>
                <w:webHidden/>
              </w:rPr>
              <w:fldChar w:fldCharType="begin"/>
            </w:r>
            <w:r w:rsidR="00685EAD" w:rsidRPr="00C65B41">
              <w:rPr>
                <w:noProof/>
                <w:webHidden/>
              </w:rPr>
              <w:instrText xml:space="preserve"> PAGEREF _Toc210314558 \h </w:instrText>
            </w:r>
            <w:r w:rsidR="00685EAD" w:rsidRPr="00C65B41">
              <w:rPr>
                <w:noProof/>
                <w:webHidden/>
              </w:rPr>
            </w:r>
            <w:r w:rsidR="00685EAD" w:rsidRPr="00C65B41">
              <w:rPr>
                <w:noProof/>
                <w:webHidden/>
              </w:rPr>
              <w:fldChar w:fldCharType="separate"/>
            </w:r>
            <w:r w:rsidR="0027324F">
              <w:rPr>
                <w:noProof/>
                <w:webHidden/>
              </w:rPr>
              <w:t>6</w:t>
            </w:r>
            <w:r w:rsidR="00685EAD" w:rsidRPr="00C65B41">
              <w:rPr>
                <w:noProof/>
                <w:webHidden/>
              </w:rPr>
              <w:fldChar w:fldCharType="end"/>
            </w:r>
          </w:hyperlink>
        </w:p>
        <w:p w:rsidR="00685EAD" w:rsidRPr="00C65B41" w:rsidRDefault="00F15860">
          <w:pPr>
            <w:pStyle w:val="TDC2"/>
            <w:tabs>
              <w:tab w:val="right" w:leader="dot" w:pos="8828"/>
            </w:tabs>
            <w:rPr>
              <w:rFonts w:cstheme="minorBidi"/>
              <w:noProof/>
            </w:rPr>
          </w:pPr>
          <w:hyperlink w:anchor="_Toc210314559" w:history="1">
            <w:r w:rsidR="00685EAD" w:rsidRPr="00C65B41">
              <w:rPr>
                <w:rStyle w:val="Hipervnculo"/>
                <w:rFonts w:ascii="Palatino Linotype" w:eastAsia="Palatino Linotype" w:hAnsi="Palatino Linotype" w:cs="Palatino Linotype"/>
                <w:noProof/>
              </w:rPr>
              <w:t>IV. Trámite del Recurso de Revisión ante este Instituto</w:t>
            </w:r>
            <w:r w:rsidR="00685EAD" w:rsidRPr="00C65B41">
              <w:rPr>
                <w:noProof/>
                <w:webHidden/>
              </w:rPr>
              <w:tab/>
            </w:r>
            <w:r w:rsidR="00685EAD" w:rsidRPr="00C65B41">
              <w:rPr>
                <w:noProof/>
                <w:webHidden/>
              </w:rPr>
              <w:fldChar w:fldCharType="begin"/>
            </w:r>
            <w:r w:rsidR="00685EAD" w:rsidRPr="00C65B41">
              <w:rPr>
                <w:noProof/>
                <w:webHidden/>
              </w:rPr>
              <w:instrText xml:space="preserve"> PAGEREF _Toc210314559 \h </w:instrText>
            </w:r>
            <w:r w:rsidR="00685EAD" w:rsidRPr="00C65B41">
              <w:rPr>
                <w:noProof/>
                <w:webHidden/>
              </w:rPr>
            </w:r>
            <w:r w:rsidR="00685EAD" w:rsidRPr="00C65B41">
              <w:rPr>
                <w:noProof/>
                <w:webHidden/>
              </w:rPr>
              <w:fldChar w:fldCharType="separate"/>
            </w:r>
            <w:r w:rsidR="0027324F">
              <w:rPr>
                <w:noProof/>
                <w:webHidden/>
              </w:rPr>
              <w:t>6</w:t>
            </w:r>
            <w:r w:rsidR="00685EAD" w:rsidRPr="00C65B41">
              <w:rPr>
                <w:noProof/>
                <w:webHidden/>
              </w:rPr>
              <w:fldChar w:fldCharType="end"/>
            </w:r>
          </w:hyperlink>
        </w:p>
        <w:p w:rsidR="00685EAD" w:rsidRPr="00C65B41" w:rsidRDefault="00F15860">
          <w:pPr>
            <w:pStyle w:val="TDC1"/>
            <w:tabs>
              <w:tab w:val="right" w:leader="dot" w:pos="8828"/>
            </w:tabs>
            <w:rPr>
              <w:rFonts w:cstheme="minorBidi"/>
              <w:noProof/>
            </w:rPr>
          </w:pPr>
          <w:hyperlink w:anchor="_Toc210314560" w:history="1">
            <w:r w:rsidR="00685EAD" w:rsidRPr="00C65B41">
              <w:rPr>
                <w:rStyle w:val="Hipervnculo"/>
                <w:rFonts w:ascii="Palatino Linotype" w:eastAsia="Palatino Linotype" w:hAnsi="Palatino Linotype" w:cs="Palatino Linotype"/>
                <w:noProof/>
              </w:rPr>
              <w:t>C O N S I D E R A N D O S</w:t>
            </w:r>
            <w:r w:rsidR="00685EAD" w:rsidRPr="00C65B41">
              <w:rPr>
                <w:noProof/>
                <w:webHidden/>
              </w:rPr>
              <w:tab/>
            </w:r>
            <w:r w:rsidR="00685EAD" w:rsidRPr="00C65B41">
              <w:rPr>
                <w:noProof/>
                <w:webHidden/>
              </w:rPr>
              <w:fldChar w:fldCharType="begin"/>
            </w:r>
            <w:r w:rsidR="00685EAD" w:rsidRPr="00C65B41">
              <w:rPr>
                <w:noProof/>
                <w:webHidden/>
              </w:rPr>
              <w:instrText xml:space="preserve"> PAGEREF _Toc210314560 \h </w:instrText>
            </w:r>
            <w:r w:rsidR="00685EAD" w:rsidRPr="00C65B41">
              <w:rPr>
                <w:noProof/>
                <w:webHidden/>
              </w:rPr>
            </w:r>
            <w:r w:rsidR="00685EAD" w:rsidRPr="00C65B41">
              <w:rPr>
                <w:noProof/>
                <w:webHidden/>
              </w:rPr>
              <w:fldChar w:fldCharType="separate"/>
            </w:r>
            <w:r w:rsidR="0027324F">
              <w:rPr>
                <w:noProof/>
                <w:webHidden/>
              </w:rPr>
              <w:t>8</w:t>
            </w:r>
            <w:r w:rsidR="00685EAD" w:rsidRPr="00C65B41">
              <w:rPr>
                <w:noProof/>
                <w:webHidden/>
              </w:rPr>
              <w:fldChar w:fldCharType="end"/>
            </w:r>
          </w:hyperlink>
        </w:p>
        <w:p w:rsidR="00685EAD" w:rsidRPr="00C65B41" w:rsidRDefault="00F15860">
          <w:pPr>
            <w:pStyle w:val="TDC2"/>
            <w:tabs>
              <w:tab w:val="right" w:leader="dot" w:pos="8828"/>
            </w:tabs>
            <w:rPr>
              <w:rFonts w:cstheme="minorBidi"/>
              <w:noProof/>
            </w:rPr>
          </w:pPr>
          <w:hyperlink w:anchor="_Toc210314561" w:history="1">
            <w:r w:rsidR="00685EAD" w:rsidRPr="00C65B41">
              <w:rPr>
                <w:rStyle w:val="Hipervnculo"/>
                <w:rFonts w:ascii="Palatino Linotype" w:eastAsia="Palatino Linotype" w:hAnsi="Palatino Linotype" w:cs="Palatino Linotype"/>
                <w:noProof/>
              </w:rPr>
              <w:t>PRIMERO. Competencia</w:t>
            </w:r>
            <w:r w:rsidR="00685EAD" w:rsidRPr="00C65B41">
              <w:rPr>
                <w:noProof/>
                <w:webHidden/>
              </w:rPr>
              <w:tab/>
            </w:r>
            <w:r w:rsidR="00685EAD" w:rsidRPr="00C65B41">
              <w:rPr>
                <w:noProof/>
                <w:webHidden/>
              </w:rPr>
              <w:fldChar w:fldCharType="begin"/>
            </w:r>
            <w:r w:rsidR="00685EAD" w:rsidRPr="00C65B41">
              <w:rPr>
                <w:noProof/>
                <w:webHidden/>
              </w:rPr>
              <w:instrText xml:space="preserve"> PAGEREF _Toc210314561 \h </w:instrText>
            </w:r>
            <w:r w:rsidR="00685EAD" w:rsidRPr="00C65B41">
              <w:rPr>
                <w:noProof/>
                <w:webHidden/>
              </w:rPr>
            </w:r>
            <w:r w:rsidR="00685EAD" w:rsidRPr="00C65B41">
              <w:rPr>
                <w:noProof/>
                <w:webHidden/>
              </w:rPr>
              <w:fldChar w:fldCharType="separate"/>
            </w:r>
            <w:r w:rsidR="0027324F">
              <w:rPr>
                <w:noProof/>
                <w:webHidden/>
              </w:rPr>
              <w:t>8</w:t>
            </w:r>
            <w:r w:rsidR="00685EAD" w:rsidRPr="00C65B41">
              <w:rPr>
                <w:noProof/>
                <w:webHidden/>
              </w:rPr>
              <w:fldChar w:fldCharType="end"/>
            </w:r>
          </w:hyperlink>
        </w:p>
        <w:p w:rsidR="00685EAD" w:rsidRPr="00C65B41" w:rsidRDefault="00F15860">
          <w:pPr>
            <w:pStyle w:val="TDC2"/>
            <w:tabs>
              <w:tab w:val="right" w:leader="dot" w:pos="8828"/>
            </w:tabs>
            <w:rPr>
              <w:rFonts w:cstheme="minorBidi"/>
              <w:noProof/>
            </w:rPr>
          </w:pPr>
          <w:hyperlink w:anchor="_Toc210314562" w:history="1">
            <w:r w:rsidR="00685EAD" w:rsidRPr="00C65B41">
              <w:rPr>
                <w:rStyle w:val="Hipervnculo"/>
                <w:rFonts w:ascii="Palatino Linotype" w:eastAsia="Palatino Linotype" w:hAnsi="Palatino Linotype" w:cs="Palatino Linotype"/>
                <w:noProof/>
              </w:rPr>
              <w:t>SEGUNDO. Causales de improcedencia y sobreseimiento</w:t>
            </w:r>
            <w:r w:rsidR="00685EAD" w:rsidRPr="00C65B41">
              <w:rPr>
                <w:noProof/>
                <w:webHidden/>
              </w:rPr>
              <w:tab/>
            </w:r>
            <w:r w:rsidR="00685EAD" w:rsidRPr="00C65B41">
              <w:rPr>
                <w:noProof/>
                <w:webHidden/>
              </w:rPr>
              <w:fldChar w:fldCharType="begin"/>
            </w:r>
            <w:r w:rsidR="00685EAD" w:rsidRPr="00C65B41">
              <w:rPr>
                <w:noProof/>
                <w:webHidden/>
              </w:rPr>
              <w:instrText xml:space="preserve"> PAGEREF _Toc210314562 \h </w:instrText>
            </w:r>
            <w:r w:rsidR="00685EAD" w:rsidRPr="00C65B41">
              <w:rPr>
                <w:noProof/>
                <w:webHidden/>
              </w:rPr>
            </w:r>
            <w:r w:rsidR="00685EAD" w:rsidRPr="00C65B41">
              <w:rPr>
                <w:noProof/>
                <w:webHidden/>
              </w:rPr>
              <w:fldChar w:fldCharType="separate"/>
            </w:r>
            <w:r w:rsidR="0027324F">
              <w:rPr>
                <w:noProof/>
                <w:webHidden/>
              </w:rPr>
              <w:t>9</w:t>
            </w:r>
            <w:r w:rsidR="00685EAD" w:rsidRPr="00C65B41">
              <w:rPr>
                <w:noProof/>
                <w:webHidden/>
              </w:rPr>
              <w:fldChar w:fldCharType="end"/>
            </w:r>
          </w:hyperlink>
        </w:p>
        <w:p w:rsidR="00685EAD" w:rsidRPr="00C65B41" w:rsidRDefault="00F15860">
          <w:pPr>
            <w:pStyle w:val="TDC2"/>
            <w:tabs>
              <w:tab w:val="right" w:leader="dot" w:pos="8828"/>
            </w:tabs>
            <w:rPr>
              <w:rFonts w:cstheme="minorBidi"/>
              <w:noProof/>
            </w:rPr>
          </w:pPr>
          <w:hyperlink w:anchor="_Toc210314563" w:history="1">
            <w:r w:rsidR="00685EAD" w:rsidRPr="00C65B41">
              <w:rPr>
                <w:rStyle w:val="Hipervnculo"/>
                <w:rFonts w:ascii="Palatino Linotype" w:eastAsia="Palatino Linotype" w:hAnsi="Palatino Linotype" w:cs="Palatino Linotype"/>
                <w:noProof/>
              </w:rPr>
              <w:t>CUARTO. Marco normativo aplicable en materia de transparencia y acceso a la información pública</w:t>
            </w:r>
            <w:r w:rsidR="00685EAD" w:rsidRPr="00C65B41">
              <w:rPr>
                <w:noProof/>
                <w:webHidden/>
              </w:rPr>
              <w:tab/>
            </w:r>
            <w:r w:rsidR="00685EAD" w:rsidRPr="00C65B41">
              <w:rPr>
                <w:noProof/>
                <w:webHidden/>
              </w:rPr>
              <w:fldChar w:fldCharType="begin"/>
            </w:r>
            <w:r w:rsidR="00685EAD" w:rsidRPr="00C65B41">
              <w:rPr>
                <w:noProof/>
                <w:webHidden/>
              </w:rPr>
              <w:instrText xml:space="preserve"> PAGEREF _Toc210314563 \h </w:instrText>
            </w:r>
            <w:r w:rsidR="00685EAD" w:rsidRPr="00C65B41">
              <w:rPr>
                <w:noProof/>
                <w:webHidden/>
              </w:rPr>
            </w:r>
            <w:r w:rsidR="00685EAD" w:rsidRPr="00C65B41">
              <w:rPr>
                <w:noProof/>
                <w:webHidden/>
              </w:rPr>
              <w:fldChar w:fldCharType="separate"/>
            </w:r>
            <w:r w:rsidR="0027324F">
              <w:rPr>
                <w:noProof/>
                <w:webHidden/>
              </w:rPr>
              <w:t>12</w:t>
            </w:r>
            <w:r w:rsidR="00685EAD" w:rsidRPr="00C65B41">
              <w:rPr>
                <w:noProof/>
                <w:webHidden/>
              </w:rPr>
              <w:fldChar w:fldCharType="end"/>
            </w:r>
          </w:hyperlink>
        </w:p>
        <w:p w:rsidR="00685EAD" w:rsidRPr="00C65B41" w:rsidRDefault="00F15860">
          <w:pPr>
            <w:pStyle w:val="TDC2"/>
            <w:tabs>
              <w:tab w:val="right" w:leader="dot" w:pos="8828"/>
            </w:tabs>
            <w:rPr>
              <w:rFonts w:cstheme="minorBidi"/>
              <w:noProof/>
            </w:rPr>
          </w:pPr>
          <w:hyperlink w:anchor="_Toc210314564" w:history="1">
            <w:r w:rsidR="00685EAD" w:rsidRPr="00C65B41">
              <w:rPr>
                <w:rStyle w:val="Hipervnculo"/>
                <w:rFonts w:ascii="Palatino Linotype" w:eastAsia="Palatino Linotype" w:hAnsi="Palatino Linotype" w:cs="Palatino Linotype"/>
                <w:noProof/>
              </w:rPr>
              <w:t>QUINTO. Estudio de Fondo</w:t>
            </w:r>
            <w:r w:rsidR="00685EAD" w:rsidRPr="00C65B41">
              <w:rPr>
                <w:noProof/>
                <w:webHidden/>
              </w:rPr>
              <w:tab/>
            </w:r>
            <w:r w:rsidR="00685EAD" w:rsidRPr="00C65B41">
              <w:rPr>
                <w:noProof/>
                <w:webHidden/>
              </w:rPr>
              <w:fldChar w:fldCharType="begin"/>
            </w:r>
            <w:r w:rsidR="00685EAD" w:rsidRPr="00C65B41">
              <w:rPr>
                <w:noProof/>
                <w:webHidden/>
              </w:rPr>
              <w:instrText xml:space="preserve"> PAGEREF _Toc210314564 \h </w:instrText>
            </w:r>
            <w:r w:rsidR="00685EAD" w:rsidRPr="00C65B41">
              <w:rPr>
                <w:noProof/>
                <w:webHidden/>
              </w:rPr>
            </w:r>
            <w:r w:rsidR="00685EAD" w:rsidRPr="00C65B41">
              <w:rPr>
                <w:noProof/>
                <w:webHidden/>
              </w:rPr>
              <w:fldChar w:fldCharType="separate"/>
            </w:r>
            <w:r w:rsidR="0027324F">
              <w:rPr>
                <w:noProof/>
                <w:webHidden/>
              </w:rPr>
              <w:t>13</w:t>
            </w:r>
            <w:r w:rsidR="00685EAD" w:rsidRPr="00C65B41">
              <w:rPr>
                <w:noProof/>
                <w:webHidden/>
              </w:rPr>
              <w:fldChar w:fldCharType="end"/>
            </w:r>
          </w:hyperlink>
        </w:p>
        <w:p w:rsidR="00685EAD" w:rsidRPr="00C65B41" w:rsidRDefault="00F15860">
          <w:pPr>
            <w:pStyle w:val="TDC2"/>
            <w:tabs>
              <w:tab w:val="right" w:leader="dot" w:pos="8828"/>
            </w:tabs>
            <w:rPr>
              <w:rFonts w:cstheme="minorBidi"/>
              <w:noProof/>
            </w:rPr>
          </w:pPr>
          <w:hyperlink w:anchor="_Toc210314565" w:history="1">
            <w:r w:rsidR="00685EAD" w:rsidRPr="00C65B41">
              <w:rPr>
                <w:rStyle w:val="Hipervnculo"/>
                <w:rFonts w:ascii="Palatino Linotype" w:eastAsia="Palatino Linotype" w:hAnsi="Palatino Linotype" w:cs="Palatino Linotype"/>
                <w:noProof/>
              </w:rPr>
              <w:t>SEXTO. Decisión</w:t>
            </w:r>
            <w:r w:rsidR="00685EAD" w:rsidRPr="00C65B41">
              <w:rPr>
                <w:noProof/>
                <w:webHidden/>
              </w:rPr>
              <w:tab/>
            </w:r>
            <w:r w:rsidR="00685EAD" w:rsidRPr="00C65B41">
              <w:rPr>
                <w:noProof/>
                <w:webHidden/>
              </w:rPr>
              <w:fldChar w:fldCharType="begin"/>
            </w:r>
            <w:r w:rsidR="00685EAD" w:rsidRPr="00C65B41">
              <w:rPr>
                <w:noProof/>
                <w:webHidden/>
              </w:rPr>
              <w:instrText xml:space="preserve"> PAGEREF _Toc210314565 \h </w:instrText>
            </w:r>
            <w:r w:rsidR="00685EAD" w:rsidRPr="00C65B41">
              <w:rPr>
                <w:noProof/>
                <w:webHidden/>
              </w:rPr>
            </w:r>
            <w:r w:rsidR="00685EAD" w:rsidRPr="00C65B41">
              <w:rPr>
                <w:noProof/>
                <w:webHidden/>
              </w:rPr>
              <w:fldChar w:fldCharType="separate"/>
            </w:r>
            <w:r w:rsidR="0027324F">
              <w:rPr>
                <w:noProof/>
                <w:webHidden/>
              </w:rPr>
              <w:t>23</w:t>
            </w:r>
            <w:r w:rsidR="00685EAD" w:rsidRPr="00C65B41">
              <w:rPr>
                <w:noProof/>
                <w:webHidden/>
              </w:rPr>
              <w:fldChar w:fldCharType="end"/>
            </w:r>
          </w:hyperlink>
        </w:p>
        <w:p w:rsidR="00685EAD" w:rsidRPr="00C65B41" w:rsidRDefault="00F15860">
          <w:pPr>
            <w:pStyle w:val="TDC1"/>
            <w:tabs>
              <w:tab w:val="right" w:leader="dot" w:pos="8828"/>
            </w:tabs>
            <w:rPr>
              <w:rFonts w:cstheme="minorBidi"/>
              <w:noProof/>
            </w:rPr>
          </w:pPr>
          <w:hyperlink w:anchor="_Toc210314566" w:history="1">
            <w:r w:rsidR="00685EAD" w:rsidRPr="00C65B41">
              <w:rPr>
                <w:rStyle w:val="Hipervnculo"/>
                <w:rFonts w:ascii="Palatino Linotype" w:eastAsia="Palatino Linotype" w:hAnsi="Palatino Linotype" w:cs="Palatino Linotype"/>
                <w:noProof/>
              </w:rPr>
              <w:t>R E S U E L V E</w:t>
            </w:r>
            <w:r w:rsidR="00685EAD" w:rsidRPr="00C65B41">
              <w:rPr>
                <w:noProof/>
                <w:webHidden/>
              </w:rPr>
              <w:tab/>
            </w:r>
            <w:r w:rsidR="00685EAD" w:rsidRPr="00C65B41">
              <w:rPr>
                <w:noProof/>
                <w:webHidden/>
              </w:rPr>
              <w:fldChar w:fldCharType="begin"/>
            </w:r>
            <w:r w:rsidR="00685EAD" w:rsidRPr="00C65B41">
              <w:rPr>
                <w:noProof/>
                <w:webHidden/>
              </w:rPr>
              <w:instrText xml:space="preserve"> PAGEREF _Toc210314566 \h </w:instrText>
            </w:r>
            <w:r w:rsidR="00685EAD" w:rsidRPr="00C65B41">
              <w:rPr>
                <w:noProof/>
                <w:webHidden/>
              </w:rPr>
            </w:r>
            <w:r w:rsidR="00685EAD" w:rsidRPr="00C65B41">
              <w:rPr>
                <w:noProof/>
                <w:webHidden/>
              </w:rPr>
              <w:fldChar w:fldCharType="separate"/>
            </w:r>
            <w:r w:rsidR="0027324F">
              <w:rPr>
                <w:noProof/>
                <w:webHidden/>
              </w:rPr>
              <w:t>24</w:t>
            </w:r>
            <w:r w:rsidR="00685EAD" w:rsidRPr="00C65B41">
              <w:rPr>
                <w:noProof/>
                <w:webHidden/>
              </w:rPr>
              <w:fldChar w:fldCharType="end"/>
            </w:r>
          </w:hyperlink>
        </w:p>
        <w:p w:rsidR="00685EAD" w:rsidRDefault="00685EAD">
          <w:r w:rsidRPr="00C65B41">
            <w:rPr>
              <w:bCs/>
              <w:lang w:val="es-ES"/>
            </w:rPr>
            <w:fldChar w:fldCharType="end"/>
          </w:r>
        </w:p>
      </w:sdtContent>
    </w:sdt>
    <w:p w:rsidR="00772A48" w:rsidRDefault="00772A48">
      <w:pPr>
        <w:keepNext/>
        <w:keepLines/>
        <w:pBdr>
          <w:top w:val="nil"/>
          <w:left w:val="nil"/>
          <w:bottom w:val="nil"/>
          <w:right w:val="nil"/>
          <w:between w:val="nil"/>
        </w:pBdr>
        <w:spacing w:line="360" w:lineRule="auto"/>
        <w:rPr>
          <w:rFonts w:ascii="Palatino Linotype" w:eastAsia="Palatino Linotype" w:hAnsi="Palatino Linotype" w:cs="Palatino Linotype"/>
          <w:color w:val="000000"/>
          <w:sz w:val="22"/>
          <w:szCs w:val="22"/>
        </w:rPr>
      </w:pPr>
    </w:p>
    <w:p w:rsidR="00772A48" w:rsidRDefault="00772A48">
      <w:pPr>
        <w:spacing w:line="360" w:lineRule="auto"/>
        <w:jc w:val="both"/>
      </w:pPr>
    </w:p>
    <w:p w:rsidR="00685EAD" w:rsidRDefault="00685EAD">
      <w:pPr>
        <w:spacing w:line="360" w:lineRule="auto"/>
        <w:jc w:val="both"/>
      </w:pPr>
    </w:p>
    <w:p w:rsidR="00685EAD" w:rsidRDefault="00685EAD">
      <w:pPr>
        <w:spacing w:line="360" w:lineRule="auto"/>
        <w:jc w:val="both"/>
      </w:pPr>
    </w:p>
    <w:p w:rsidR="00685EAD" w:rsidRDefault="00685EAD">
      <w:pPr>
        <w:spacing w:line="360" w:lineRule="auto"/>
        <w:jc w:val="both"/>
      </w:pPr>
    </w:p>
    <w:p w:rsidR="00685EAD" w:rsidRDefault="00685EAD">
      <w:pPr>
        <w:spacing w:line="360" w:lineRule="auto"/>
        <w:jc w:val="both"/>
      </w:pPr>
    </w:p>
    <w:p w:rsidR="00685EAD" w:rsidRDefault="00685EAD">
      <w:pPr>
        <w:spacing w:line="360" w:lineRule="auto"/>
        <w:jc w:val="both"/>
      </w:pPr>
    </w:p>
    <w:p w:rsidR="00685EAD" w:rsidRDefault="00685EAD">
      <w:pPr>
        <w:spacing w:line="360" w:lineRule="auto"/>
        <w:jc w:val="both"/>
      </w:pPr>
    </w:p>
    <w:p w:rsidR="00685EAD" w:rsidRDefault="00685EAD">
      <w:pPr>
        <w:spacing w:line="360" w:lineRule="auto"/>
        <w:jc w:val="both"/>
      </w:pPr>
    </w:p>
    <w:p w:rsidR="00685EAD" w:rsidRDefault="00685EAD">
      <w:pPr>
        <w:spacing w:line="360" w:lineRule="auto"/>
        <w:jc w:val="both"/>
      </w:pPr>
    </w:p>
    <w:p w:rsidR="00685EAD" w:rsidRDefault="00685EAD">
      <w:pPr>
        <w:spacing w:line="360" w:lineRule="auto"/>
        <w:jc w:val="both"/>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del primero de octubre de dos mil veinticinco.</w:t>
      </w:r>
    </w:p>
    <w:p w:rsidR="00772A48" w:rsidRDefault="00772A48">
      <w:pPr>
        <w:spacing w:line="360" w:lineRule="auto"/>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B8058B">
        <w:rPr>
          <w:rFonts w:ascii="Palatino Linotype" w:eastAsia="Palatino Linotype" w:hAnsi="Palatino Linotype" w:cs="Palatino Linotype"/>
          <w:b/>
          <w:sz w:val="22"/>
          <w:szCs w:val="22"/>
        </w:rPr>
        <w:t>03706/INFOEM/IP/RR/2025, 03707/INFOEM/IP/RR/2025, 03708/INFOEM/IP/RR/2025, 03709/INFOEM/IP/RR/2025 y 03710/INFOEM/IP/RR/2025 ,</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D0D0D"/>
          <w:sz w:val="22"/>
          <w:szCs w:val="22"/>
        </w:rPr>
        <w:t xml:space="preserve">interpuesto por </w:t>
      </w:r>
      <w:r>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color w:val="0D0D0D"/>
          <w:sz w:val="22"/>
          <w:szCs w:val="22"/>
        </w:rPr>
        <w:t xml:space="preserve">Recurrente o Particular, en contra de la respuesta del Sujeto Obligado, </w:t>
      </w:r>
      <w:bookmarkStart w:id="1" w:name="_GoBack"/>
      <w:r w:rsidRPr="00B8058B">
        <w:rPr>
          <w:rFonts w:ascii="Palatino Linotype" w:eastAsia="Palatino Linotype" w:hAnsi="Palatino Linotype" w:cs="Palatino Linotype"/>
          <w:b/>
          <w:color w:val="0D0D0D"/>
          <w:sz w:val="22"/>
          <w:szCs w:val="22"/>
        </w:rPr>
        <w:t>Ayuntamiento de Toluca</w:t>
      </w:r>
      <w:bookmarkEnd w:id="1"/>
      <w:r>
        <w:rPr>
          <w:rFonts w:ascii="Palatino Linotype" w:eastAsia="Palatino Linotype" w:hAnsi="Palatino Linotype" w:cs="Palatino Linotype"/>
          <w:color w:val="0D0D0D"/>
          <w:sz w:val="22"/>
          <w:szCs w:val="22"/>
        </w:rPr>
        <w:t xml:space="preserve">, a las solicitudes de acceso a la información pública </w:t>
      </w:r>
      <w:r>
        <w:rPr>
          <w:rFonts w:ascii="Palatino Linotype" w:eastAsia="Palatino Linotype" w:hAnsi="Palatino Linotype" w:cs="Palatino Linotype"/>
          <w:sz w:val="22"/>
          <w:szCs w:val="22"/>
        </w:rPr>
        <w:t>00880/TOLUCA/IP/2025,</w:t>
      </w:r>
      <w:r>
        <w:t xml:space="preserve"> </w:t>
      </w:r>
      <w:r>
        <w:rPr>
          <w:rFonts w:ascii="Palatino Linotype" w:eastAsia="Palatino Linotype" w:hAnsi="Palatino Linotype" w:cs="Palatino Linotype"/>
          <w:sz w:val="22"/>
          <w:szCs w:val="22"/>
        </w:rPr>
        <w:t>00881/TOLUCA/IP/2025, 00883/TOLUCA/IP/2025, 00885/TOLUCA/IP/2025 y 00886/TOLUCA/IP/2025</w:t>
      </w:r>
      <w:r>
        <w:rPr>
          <w:rFonts w:ascii="Palatino Linotype" w:eastAsia="Palatino Linotype" w:hAnsi="Palatino Linotype" w:cs="Palatino Linotype"/>
          <w:color w:val="0D0D0D"/>
          <w:sz w:val="22"/>
          <w:szCs w:val="22"/>
        </w:rPr>
        <w:t>, se emite la presente Resolución, con base en los Antecedentes y C</w:t>
      </w:r>
      <w:r>
        <w:rPr>
          <w:rFonts w:ascii="Palatino Linotype" w:eastAsia="Palatino Linotype" w:hAnsi="Palatino Linotype" w:cs="Palatino Linotype"/>
          <w:sz w:val="22"/>
          <w:szCs w:val="22"/>
        </w:rPr>
        <w:t>onsiderandos que a continuación se exponen:</w:t>
      </w: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pStyle w:val="Ttulo1"/>
        <w:spacing w:before="0" w:after="0" w:line="360" w:lineRule="auto"/>
        <w:jc w:val="center"/>
        <w:rPr>
          <w:rFonts w:ascii="Palatino Linotype" w:eastAsia="Palatino Linotype" w:hAnsi="Palatino Linotype" w:cs="Palatino Linotype"/>
          <w:b/>
          <w:color w:val="000000"/>
          <w:sz w:val="22"/>
          <w:szCs w:val="22"/>
        </w:rPr>
      </w:pPr>
      <w:bookmarkStart w:id="2" w:name="_heading=h.3pcwy7x5wz5r" w:colFirst="0" w:colLast="0"/>
      <w:bookmarkStart w:id="3" w:name="_Toc210314555"/>
      <w:bookmarkEnd w:id="2"/>
      <w:r>
        <w:rPr>
          <w:rFonts w:ascii="Palatino Linotype" w:eastAsia="Palatino Linotype" w:hAnsi="Palatino Linotype" w:cs="Palatino Linotype"/>
          <w:b/>
          <w:color w:val="000000"/>
          <w:sz w:val="22"/>
          <w:szCs w:val="22"/>
        </w:rPr>
        <w:t>A N T E C E D E N T E S</w:t>
      </w:r>
      <w:bookmarkEnd w:id="3"/>
    </w:p>
    <w:p w:rsidR="00772A48" w:rsidRDefault="00772A48">
      <w:pPr>
        <w:spacing w:line="360" w:lineRule="auto"/>
      </w:pPr>
    </w:p>
    <w:p w:rsidR="00772A48" w:rsidRDefault="006646EE">
      <w:pPr>
        <w:pStyle w:val="Ttulo2"/>
        <w:spacing w:before="0" w:after="0" w:line="360" w:lineRule="auto"/>
        <w:rPr>
          <w:rFonts w:ascii="Palatino Linotype" w:eastAsia="Palatino Linotype" w:hAnsi="Palatino Linotype" w:cs="Palatino Linotype"/>
          <w:b/>
          <w:color w:val="000000"/>
          <w:sz w:val="22"/>
          <w:szCs w:val="22"/>
        </w:rPr>
      </w:pPr>
      <w:bookmarkStart w:id="4" w:name="_heading=h.91cw0i3qhhi1" w:colFirst="0" w:colLast="0"/>
      <w:bookmarkStart w:id="5" w:name="_Toc210314556"/>
      <w:bookmarkEnd w:id="4"/>
      <w:r>
        <w:rPr>
          <w:rFonts w:ascii="Palatino Linotype" w:eastAsia="Palatino Linotype" w:hAnsi="Palatino Linotype" w:cs="Palatino Linotype"/>
          <w:b/>
          <w:color w:val="000000"/>
          <w:sz w:val="22"/>
          <w:szCs w:val="22"/>
        </w:rPr>
        <w:t>I. Presentación de la solicitud de información</w:t>
      </w:r>
      <w:bookmarkEnd w:id="5"/>
    </w:p>
    <w:p w:rsidR="00772A48" w:rsidRDefault="00772A4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rsidR="00772A48" w:rsidRDefault="006646EE">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fecha trece de febrero de dos mil veinticinco, el Particular presentó una solicitud de acceso a la información pública, a través del Sistema de Acceso a la Información Mexiquense, en lo sucesivo el SAIMEX, ante el Ayuntamiento de Toluca, mediante la cual requirió lo siguiente:</w:t>
      </w:r>
    </w:p>
    <w:p w:rsidR="00772A48" w:rsidRDefault="00772A4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rPr>
      </w:pPr>
    </w:p>
    <w:tbl>
      <w:tblPr>
        <w:tblStyle w:val="a"/>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379"/>
      </w:tblGrid>
      <w:tr w:rsidR="00772A48">
        <w:tc>
          <w:tcPr>
            <w:tcW w:w="2547" w:type="dxa"/>
            <w:tcBorders>
              <w:top w:val="single" w:sz="4" w:space="0" w:color="000000"/>
              <w:left w:val="single" w:sz="4" w:space="0" w:color="000000"/>
              <w:bottom w:val="single" w:sz="4" w:space="0" w:color="000000"/>
              <w:right w:val="single" w:sz="4" w:space="0" w:color="000000"/>
            </w:tcBorders>
            <w:shd w:val="clear" w:color="auto" w:fill="D0CECE"/>
          </w:tcPr>
          <w:p w:rsidR="00772A48" w:rsidRDefault="006646EE">
            <w:pPr>
              <w:tabs>
                <w:tab w:val="left" w:pos="567"/>
              </w:tabs>
              <w:spacing w:line="360" w:lineRule="auto"/>
              <w:ind w:right="-28"/>
              <w:rPr>
                <w:b/>
              </w:rPr>
            </w:pPr>
            <w:bookmarkStart w:id="6" w:name="_heading=h.n5cvcmfz2ygn" w:colFirst="0" w:colLast="0"/>
            <w:bookmarkEnd w:id="6"/>
            <w:r>
              <w:rPr>
                <w:b/>
              </w:rPr>
              <w:t>FOLIO DE SOLICITUD</w:t>
            </w:r>
          </w:p>
        </w:tc>
        <w:tc>
          <w:tcPr>
            <w:tcW w:w="6379" w:type="dxa"/>
            <w:tcBorders>
              <w:top w:val="single" w:sz="4" w:space="0" w:color="000000"/>
              <w:left w:val="single" w:sz="4" w:space="0" w:color="000000"/>
              <w:bottom w:val="single" w:sz="4" w:space="0" w:color="000000"/>
              <w:right w:val="single" w:sz="4" w:space="0" w:color="000000"/>
            </w:tcBorders>
            <w:shd w:val="clear" w:color="auto" w:fill="D0CECE"/>
          </w:tcPr>
          <w:p w:rsidR="00772A48" w:rsidRDefault="006646EE">
            <w:pPr>
              <w:tabs>
                <w:tab w:val="left" w:pos="567"/>
              </w:tabs>
              <w:spacing w:line="360" w:lineRule="auto"/>
              <w:rPr>
                <w:b/>
              </w:rPr>
            </w:pPr>
            <w:r>
              <w:rPr>
                <w:b/>
              </w:rPr>
              <w:t>‘’DESCRIPCIÓN CLARA Y PRECISA DE LA INFORMACIÓN SOLICITADA</w:t>
            </w:r>
          </w:p>
        </w:tc>
      </w:tr>
      <w:tr w:rsidR="00772A48">
        <w:tc>
          <w:tcPr>
            <w:tcW w:w="2547" w:type="dxa"/>
            <w:tcBorders>
              <w:top w:val="single" w:sz="4" w:space="0" w:color="000000"/>
              <w:left w:val="single" w:sz="4" w:space="0" w:color="000000"/>
              <w:bottom w:val="single" w:sz="4" w:space="0" w:color="000000"/>
              <w:right w:val="single" w:sz="4" w:space="0" w:color="000000"/>
            </w:tcBorders>
          </w:tcPr>
          <w:p w:rsidR="00772A48" w:rsidRDefault="006646EE">
            <w:pPr>
              <w:spacing w:line="360" w:lineRule="auto"/>
              <w:rPr>
                <w:b/>
                <w:i/>
                <w:color w:val="FF0000"/>
              </w:rPr>
            </w:pPr>
            <w:r>
              <w:rPr>
                <w:b/>
                <w:i/>
              </w:rPr>
              <w:t>00880/TOLUCA/IP/2025</w:t>
            </w:r>
          </w:p>
        </w:tc>
        <w:tc>
          <w:tcPr>
            <w:tcW w:w="6379" w:type="dxa"/>
            <w:tcBorders>
              <w:top w:val="single" w:sz="4" w:space="0" w:color="000000"/>
              <w:left w:val="single" w:sz="4" w:space="0" w:color="000000"/>
              <w:bottom w:val="single" w:sz="4" w:space="0" w:color="000000"/>
              <w:right w:val="single" w:sz="4" w:space="0" w:color="000000"/>
            </w:tcBorders>
          </w:tcPr>
          <w:p w:rsidR="00772A48" w:rsidRDefault="006646EE">
            <w:pPr>
              <w:spacing w:line="360" w:lineRule="auto"/>
              <w:jc w:val="both"/>
              <w:rPr>
                <w:i/>
                <w:color w:val="FF0000"/>
              </w:rPr>
            </w:pPr>
            <w:r>
              <w:rPr>
                <w:rFonts w:ascii="Palatino Linotype" w:eastAsia="Palatino Linotype" w:hAnsi="Palatino Linotype" w:cs="Palatino Linotype"/>
                <w:i/>
              </w:rPr>
              <w:t>SOLICITO TODAS LAS RESOLUCIONES QUE RECIBIO LA UNIDAD DE TRANSPARENCIA EN JUNIO 2020</w:t>
            </w:r>
            <w:r>
              <w:rPr>
                <w:i/>
              </w:rPr>
              <w:t>” (Sic)</w:t>
            </w:r>
          </w:p>
        </w:tc>
      </w:tr>
      <w:tr w:rsidR="00772A48">
        <w:tc>
          <w:tcPr>
            <w:tcW w:w="2547" w:type="dxa"/>
            <w:tcBorders>
              <w:top w:val="single" w:sz="4" w:space="0" w:color="000000"/>
              <w:left w:val="single" w:sz="4" w:space="0" w:color="000000"/>
              <w:bottom w:val="single" w:sz="4" w:space="0" w:color="000000"/>
              <w:right w:val="single" w:sz="4" w:space="0" w:color="000000"/>
            </w:tcBorders>
          </w:tcPr>
          <w:p w:rsidR="00772A48" w:rsidRDefault="006646EE">
            <w:pPr>
              <w:spacing w:line="360" w:lineRule="auto"/>
              <w:rPr>
                <w:b/>
                <w:i/>
                <w:color w:val="FF0000"/>
              </w:rPr>
            </w:pPr>
            <w:r>
              <w:rPr>
                <w:b/>
                <w:i/>
              </w:rPr>
              <w:lastRenderedPageBreak/>
              <w:t>00881/TOLUCA/IP/2025</w:t>
            </w:r>
          </w:p>
        </w:tc>
        <w:tc>
          <w:tcPr>
            <w:tcW w:w="6379" w:type="dxa"/>
            <w:tcBorders>
              <w:top w:val="single" w:sz="4" w:space="0" w:color="000000"/>
              <w:left w:val="single" w:sz="4" w:space="0" w:color="000000"/>
              <w:bottom w:val="single" w:sz="4" w:space="0" w:color="000000"/>
              <w:right w:val="single" w:sz="4" w:space="0" w:color="000000"/>
            </w:tcBorders>
          </w:tcPr>
          <w:p w:rsidR="00772A48" w:rsidRDefault="006646EE">
            <w:pPr>
              <w:spacing w:line="360" w:lineRule="auto"/>
              <w:jc w:val="both"/>
              <w:rPr>
                <w:color w:val="FF0000"/>
              </w:rPr>
            </w:pPr>
            <w:r>
              <w:rPr>
                <w:rFonts w:ascii="Palatino Linotype" w:eastAsia="Palatino Linotype" w:hAnsi="Palatino Linotype" w:cs="Palatino Linotype"/>
                <w:i/>
              </w:rPr>
              <w:t>SOLICITO TODAS LAS RESOLUCIONES QUE RECIBIO LA UNIDAD DE TRANSPARENCIA EN ENERO 2020</w:t>
            </w:r>
            <w:r>
              <w:rPr>
                <w:i/>
              </w:rPr>
              <w:t>” (Sic)</w:t>
            </w:r>
          </w:p>
        </w:tc>
      </w:tr>
      <w:tr w:rsidR="00772A48">
        <w:tc>
          <w:tcPr>
            <w:tcW w:w="2547" w:type="dxa"/>
            <w:tcBorders>
              <w:top w:val="single" w:sz="4" w:space="0" w:color="000000"/>
              <w:left w:val="single" w:sz="4" w:space="0" w:color="000000"/>
              <w:bottom w:val="single" w:sz="4" w:space="0" w:color="000000"/>
              <w:right w:val="single" w:sz="4" w:space="0" w:color="000000"/>
            </w:tcBorders>
          </w:tcPr>
          <w:p w:rsidR="00772A48" w:rsidRDefault="006646EE">
            <w:pPr>
              <w:spacing w:line="360" w:lineRule="auto"/>
              <w:rPr>
                <w:b/>
                <w:i/>
                <w:color w:val="FF0000"/>
              </w:rPr>
            </w:pPr>
            <w:r>
              <w:rPr>
                <w:b/>
                <w:i/>
              </w:rPr>
              <w:t>00883/TOLUCA/IP/2025</w:t>
            </w:r>
          </w:p>
        </w:tc>
        <w:tc>
          <w:tcPr>
            <w:tcW w:w="6379" w:type="dxa"/>
            <w:tcBorders>
              <w:top w:val="single" w:sz="4" w:space="0" w:color="000000"/>
              <w:left w:val="single" w:sz="4" w:space="0" w:color="000000"/>
              <w:bottom w:val="single" w:sz="4" w:space="0" w:color="000000"/>
              <w:right w:val="single" w:sz="4" w:space="0" w:color="000000"/>
            </w:tcBorders>
          </w:tcPr>
          <w:p w:rsidR="00772A48" w:rsidRDefault="006646EE">
            <w:pPr>
              <w:spacing w:line="360" w:lineRule="auto"/>
              <w:jc w:val="both"/>
              <w:rPr>
                <w:i/>
                <w:color w:val="FF0000"/>
              </w:rPr>
            </w:pPr>
            <w:r>
              <w:rPr>
                <w:rFonts w:ascii="Palatino Linotype" w:eastAsia="Palatino Linotype" w:hAnsi="Palatino Linotype" w:cs="Palatino Linotype"/>
                <w:i/>
              </w:rPr>
              <w:t>SOLICITO TODAS LAS RESOLUCIONES QUE RECIBIO LA UNIDAD DE TRANSPARENCIA EN MARZO 2020</w:t>
            </w:r>
            <w:r>
              <w:rPr>
                <w:i/>
              </w:rPr>
              <w:t>” (Sic)</w:t>
            </w:r>
          </w:p>
        </w:tc>
      </w:tr>
      <w:tr w:rsidR="00772A48">
        <w:tc>
          <w:tcPr>
            <w:tcW w:w="2547" w:type="dxa"/>
            <w:tcBorders>
              <w:top w:val="single" w:sz="4" w:space="0" w:color="000000"/>
              <w:left w:val="single" w:sz="4" w:space="0" w:color="000000"/>
              <w:bottom w:val="single" w:sz="4" w:space="0" w:color="000000"/>
              <w:right w:val="single" w:sz="4" w:space="0" w:color="000000"/>
            </w:tcBorders>
          </w:tcPr>
          <w:p w:rsidR="00772A48" w:rsidRDefault="006646EE">
            <w:pPr>
              <w:spacing w:line="360" w:lineRule="auto"/>
              <w:rPr>
                <w:b/>
                <w:i/>
              </w:rPr>
            </w:pPr>
            <w:r>
              <w:rPr>
                <w:b/>
                <w:i/>
              </w:rPr>
              <w:t>00885/TOLUCA/IP/2025</w:t>
            </w:r>
          </w:p>
        </w:tc>
        <w:tc>
          <w:tcPr>
            <w:tcW w:w="6379" w:type="dxa"/>
            <w:tcBorders>
              <w:top w:val="single" w:sz="4" w:space="0" w:color="000000"/>
              <w:left w:val="single" w:sz="4" w:space="0" w:color="000000"/>
              <w:bottom w:val="single" w:sz="4" w:space="0" w:color="000000"/>
              <w:right w:val="single" w:sz="4" w:space="0" w:color="000000"/>
            </w:tcBorders>
          </w:tcPr>
          <w:p w:rsidR="00772A48" w:rsidRDefault="006646EE">
            <w:pPr>
              <w:spacing w:line="360" w:lineRule="auto"/>
              <w:jc w:val="both"/>
              <w:rPr>
                <w:i/>
              </w:rPr>
            </w:pPr>
            <w:r>
              <w:rPr>
                <w:rFonts w:ascii="Palatino Linotype" w:eastAsia="Palatino Linotype" w:hAnsi="Palatino Linotype" w:cs="Palatino Linotype"/>
                <w:i/>
              </w:rPr>
              <w:t>SOLICITO TODAS LAS RESOLUCIONES QUE RECIBIO LA UNIDAD DE TRANSPARENCIA EN MAYO 2020</w:t>
            </w:r>
            <w:r>
              <w:rPr>
                <w:i/>
              </w:rPr>
              <w:t>” (Sic)</w:t>
            </w:r>
          </w:p>
        </w:tc>
      </w:tr>
      <w:tr w:rsidR="00772A48">
        <w:tc>
          <w:tcPr>
            <w:tcW w:w="2547" w:type="dxa"/>
            <w:tcBorders>
              <w:top w:val="single" w:sz="4" w:space="0" w:color="000000"/>
              <w:left w:val="single" w:sz="4" w:space="0" w:color="000000"/>
              <w:bottom w:val="single" w:sz="4" w:space="0" w:color="000000"/>
              <w:right w:val="single" w:sz="4" w:space="0" w:color="000000"/>
            </w:tcBorders>
          </w:tcPr>
          <w:p w:rsidR="00772A48" w:rsidRDefault="006646EE">
            <w:pPr>
              <w:spacing w:line="360" w:lineRule="auto"/>
              <w:rPr>
                <w:b/>
                <w:i/>
              </w:rPr>
            </w:pPr>
            <w:r>
              <w:rPr>
                <w:b/>
                <w:i/>
              </w:rPr>
              <w:t>00886/TOLUCA/IP/2025</w:t>
            </w:r>
          </w:p>
        </w:tc>
        <w:tc>
          <w:tcPr>
            <w:tcW w:w="6379" w:type="dxa"/>
            <w:tcBorders>
              <w:top w:val="single" w:sz="4" w:space="0" w:color="000000"/>
              <w:left w:val="single" w:sz="4" w:space="0" w:color="000000"/>
              <w:bottom w:val="single" w:sz="4" w:space="0" w:color="000000"/>
              <w:right w:val="single" w:sz="4" w:space="0" w:color="000000"/>
            </w:tcBorders>
          </w:tcPr>
          <w:p w:rsidR="00772A48" w:rsidRDefault="006646EE">
            <w:p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SOLICITO TODAS LAS RESOLUCIONES QUE RECIBIO LA UNIDAD DE TRANSPARENCIA EN AGOSTO 2020” (Sic)</w:t>
            </w:r>
          </w:p>
        </w:tc>
      </w:tr>
    </w:tbl>
    <w:p w:rsidR="00772A48" w:rsidRDefault="00772A48">
      <w:pPr>
        <w:tabs>
          <w:tab w:val="left" w:pos="4667"/>
        </w:tabs>
        <w:spacing w:line="360" w:lineRule="auto"/>
        <w:ind w:left="567" w:right="567"/>
        <w:jc w:val="both"/>
        <w:rPr>
          <w:rFonts w:ascii="Palatino Linotype" w:eastAsia="Palatino Linotype" w:hAnsi="Palatino Linotype" w:cs="Palatino Linotype"/>
          <w:i/>
        </w:rPr>
      </w:pPr>
    </w:p>
    <w:p w:rsidR="00772A48" w:rsidRDefault="006646EE">
      <w:pPr>
        <w:tabs>
          <w:tab w:val="left" w:pos="4667"/>
        </w:tabs>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 xml:space="preserve">Es de señalar que en las cinco solicitudes de acceso a la información el ahora Recurrente eligió como modalidad de entrega de la información </w:t>
      </w:r>
      <w:r>
        <w:rPr>
          <w:rFonts w:ascii="Palatino Linotype" w:eastAsia="Palatino Linotype" w:hAnsi="Palatino Linotype" w:cs="Palatino Linotype"/>
          <w:i/>
          <w:sz w:val="22"/>
          <w:szCs w:val="22"/>
        </w:rPr>
        <w:t>“A través del SAIMEX”.</w:t>
      </w:r>
    </w:p>
    <w:p w:rsidR="00772A48" w:rsidRDefault="00772A48">
      <w:pPr>
        <w:tabs>
          <w:tab w:val="left" w:pos="4667"/>
        </w:tabs>
        <w:spacing w:line="360" w:lineRule="auto"/>
        <w:ind w:left="567" w:right="567"/>
        <w:jc w:val="both"/>
        <w:rPr>
          <w:rFonts w:ascii="Palatino Linotype" w:eastAsia="Palatino Linotype" w:hAnsi="Palatino Linotype" w:cs="Palatino Linotype"/>
          <w:i/>
        </w:rPr>
      </w:pPr>
    </w:p>
    <w:p w:rsidR="00772A48" w:rsidRDefault="006646EE">
      <w:pPr>
        <w:pStyle w:val="Ttulo2"/>
        <w:spacing w:before="0" w:after="0" w:line="360" w:lineRule="auto"/>
        <w:rPr>
          <w:rFonts w:ascii="Palatino Linotype" w:eastAsia="Palatino Linotype" w:hAnsi="Palatino Linotype" w:cs="Palatino Linotype"/>
          <w:b/>
          <w:color w:val="000000"/>
          <w:sz w:val="22"/>
          <w:szCs w:val="22"/>
        </w:rPr>
      </w:pPr>
      <w:bookmarkStart w:id="7" w:name="_heading=h.bzfvfi8kdbls" w:colFirst="0" w:colLast="0"/>
      <w:bookmarkStart w:id="8" w:name="_Toc210314557"/>
      <w:bookmarkEnd w:id="7"/>
      <w:r>
        <w:rPr>
          <w:rFonts w:ascii="Palatino Linotype" w:eastAsia="Palatino Linotype" w:hAnsi="Palatino Linotype" w:cs="Palatino Linotype"/>
          <w:b/>
          <w:color w:val="000000"/>
          <w:sz w:val="22"/>
          <w:szCs w:val="22"/>
        </w:rPr>
        <w:t>II. Respuesta del Sujeto Obligado</w:t>
      </w:r>
      <w:bookmarkEnd w:id="8"/>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fecha siete de marzo de dos mil veinticinco, el</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Sujeto Obligado dio respuesta a las solicitudes de acceso a la información a través del SAIMEX con la digitalización de los documentos siguientes:</w:t>
      </w:r>
    </w:p>
    <w:p w:rsidR="00772A48" w:rsidRDefault="00772A48">
      <w:pPr>
        <w:spacing w:line="360" w:lineRule="auto"/>
        <w:jc w:val="both"/>
        <w:rPr>
          <w:rFonts w:ascii="Palatino Linotype" w:eastAsia="Palatino Linotype" w:hAnsi="Palatino Linotype" w:cs="Palatino Linotype"/>
          <w:sz w:val="22"/>
          <w:szCs w:val="22"/>
        </w:rPr>
      </w:pPr>
    </w:p>
    <w:tbl>
      <w:tblPr>
        <w:tblStyle w:val="a0"/>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521"/>
      </w:tblGrid>
      <w:tr w:rsidR="00772A48">
        <w:tc>
          <w:tcPr>
            <w:tcW w:w="2405" w:type="dxa"/>
            <w:tcBorders>
              <w:top w:val="single" w:sz="4" w:space="0" w:color="000000"/>
              <w:left w:val="single" w:sz="4" w:space="0" w:color="000000"/>
              <w:bottom w:val="single" w:sz="4" w:space="0" w:color="000000"/>
              <w:right w:val="single" w:sz="4" w:space="0" w:color="000000"/>
            </w:tcBorders>
            <w:shd w:val="clear" w:color="auto" w:fill="D0CECE"/>
          </w:tcPr>
          <w:p w:rsidR="00772A48" w:rsidRDefault="006646EE">
            <w:pPr>
              <w:tabs>
                <w:tab w:val="left" w:pos="567"/>
              </w:tabs>
              <w:spacing w:line="360" w:lineRule="auto"/>
              <w:ind w:right="-28"/>
              <w:rPr>
                <w:b/>
              </w:rPr>
            </w:pPr>
            <w:r>
              <w:rPr>
                <w:b/>
              </w:rPr>
              <w:t>FOLIO DE SOLICITUD</w:t>
            </w:r>
          </w:p>
        </w:tc>
        <w:tc>
          <w:tcPr>
            <w:tcW w:w="6521" w:type="dxa"/>
            <w:tcBorders>
              <w:top w:val="single" w:sz="4" w:space="0" w:color="000000"/>
              <w:left w:val="single" w:sz="4" w:space="0" w:color="000000"/>
              <w:bottom w:val="single" w:sz="4" w:space="0" w:color="000000"/>
              <w:right w:val="single" w:sz="4" w:space="0" w:color="000000"/>
            </w:tcBorders>
            <w:shd w:val="clear" w:color="auto" w:fill="D0CECE"/>
          </w:tcPr>
          <w:p w:rsidR="00772A48" w:rsidRDefault="006646EE">
            <w:pPr>
              <w:tabs>
                <w:tab w:val="left" w:pos="567"/>
              </w:tabs>
              <w:spacing w:line="360" w:lineRule="auto"/>
              <w:jc w:val="both"/>
              <w:rPr>
                <w:b/>
              </w:rPr>
            </w:pPr>
            <w:r>
              <w:rPr>
                <w:b/>
              </w:rPr>
              <w:t>RESPUESTA</w:t>
            </w:r>
          </w:p>
        </w:tc>
      </w:tr>
      <w:tr w:rsidR="00772A48">
        <w:tc>
          <w:tcPr>
            <w:tcW w:w="2405" w:type="dxa"/>
            <w:tcBorders>
              <w:top w:val="single" w:sz="4" w:space="0" w:color="000000"/>
              <w:left w:val="single" w:sz="4" w:space="0" w:color="000000"/>
              <w:bottom w:val="single" w:sz="4" w:space="0" w:color="000000"/>
              <w:right w:val="single" w:sz="4" w:space="0" w:color="000000"/>
            </w:tcBorders>
          </w:tcPr>
          <w:p w:rsidR="00772A48" w:rsidRDefault="006646EE">
            <w:pPr>
              <w:spacing w:line="360" w:lineRule="auto"/>
              <w:rPr>
                <w:b/>
                <w:i/>
                <w:color w:val="FF0000"/>
              </w:rPr>
            </w:pPr>
            <w:r>
              <w:rPr>
                <w:b/>
                <w:i/>
              </w:rPr>
              <w:t>00880/TOLUCA/IP/2025</w:t>
            </w:r>
          </w:p>
        </w:tc>
        <w:tc>
          <w:tcPr>
            <w:tcW w:w="6521" w:type="dxa"/>
            <w:tcBorders>
              <w:top w:val="single" w:sz="4" w:space="0" w:color="000000"/>
              <w:left w:val="single" w:sz="4" w:space="0" w:color="000000"/>
              <w:bottom w:val="single" w:sz="4" w:space="0" w:color="000000"/>
              <w:right w:val="single" w:sz="4" w:space="0" w:color="000000"/>
            </w:tcBorders>
          </w:tcPr>
          <w:p w:rsidR="00772A48" w:rsidRDefault="006646EE">
            <w:pPr>
              <w:tabs>
                <w:tab w:val="left" w:pos="567"/>
              </w:tabs>
              <w:spacing w:line="360" w:lineRule="auto"/>
              <w:jc w:val="both"/>
            </w:pPr>
            <w:r>
              <w:t xml:space="preserve">i) </w:t>
            </w:r>
            <w:r>
              <w:rPr>
                <w:rFonts w:ascii="Palatino Linotype" w:eastAsia="Palatino Linotype" w:hAnsi="Palatino Linotype" w:cs="Palatino Linotype"/>
                <w:sz w:val="22"/>
                <w:szCs w:val="22"/>
              </w:rPr>
              <w:t>Oficio sin número de fecha de siete de marzo de dos mil veinticinco, suscrito por el Titular de Transparencia y dirigido al solicitante, en los siguientes términos</w:t>
            </w:r>
            <w:r>
              <w:t>:</w:t>
            </w:r>
          </w:p>
          <w:p w:rsidR="00772A48" w:rsidRDefault="00772A48">
            <w:pPr>
              <w:tabs>
                <w:tab w:val="left" w:pos="567"/>
              </w:tabs>
              <w:spacing w:line="360" w:lineRule="auto"/>
              <w:jc w:val="both"/>
            </w:pPr>
          </w:p>
          <w:p w:rsidR="00772A48" w:rsidRDefault="006646EE">
            <w:pPr>
              <w:numPr>
                <w:ilvl w:val="0"/>
                <w:numId w:val="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r>
              <w:rPr>
                <w:rFonts w:ascii="Palatino Linotype" w:eastAsia="Palatino Linotype" w:hAnsi="Palatino Linotype" w:cs="Palatino Linotype"/>
                <w:i/>
                <w:color w:val="000000"/>
              </w:rPr>
              <w:t xml:space="preserve">Relativo al manual de organización, de la secretaria de ayuntamiento, y manual de procedimientos de la misma secretaria; se informa que después de realizar una búsqueda exhaustiva y razonable en los archivos que se encuentran bajo resguardo de esta Unidad de </w:t>
            </w:r>
            <w:r>
              <w:rPr>
                <w:rFonts w:ascii="Palatino Linotype" w:eastAsia="Palatino Linotype" w:hAnsi="Palatino Linotype" w:cs="Palatino Linotype"/>
                <w:i/>
                <w:color w:val="000000"/>
              </w:rPr>
              <w:lastRenderedPageBreak/>
              <w:t xml:space="preserve">Transparencia, no se cuenta con documento que colme la pretensión del particular por no haberla generado, poseído y/o administrado.” </w:t>
            </w:r>
          </w:p>
        </w:tc>
      </w:tr>
      <w:tr w:rsidR="00772A48">
        <w:tc>
          <w:tcPr>
            <w:tcW w:w="2405" w:type="dxa"/>
            <w:tcBorders>
              <w:top w:val="single" w:sz="4" w:space="0" w:color="000000"/>
              <w:left w:val="single" w:sz="4" w:space="0" w:color="000000"/>
              <w:bottom w:val="single" w:sz="4" w:space="0" w:color="000000"/>
              <w:right w:val="single" w:sz="4" w:space="0" w:color="000000"/>
            </w:tcBorders>
          </w:tcPr>
          <w:p w:rsidR="00772A48" w:rsidRDefault="006646EE">
            <w:pPr>
              <w:spacing w:line="360" w:lineRule="auto"/>
              <w:rPr>
                <w:b/>
                <w:i/>
                <w:color w:val="FF0000"/>
              </w:rPr>
            </w:pPr>
            <w:r>
              <w:rPr>
                <w:b/>
                <w:i/>
              </w:rPr>
              <w:lastRenderedPageBreak/>
              <w:t>00881/TOLUCA/IP/2025</w:t>
            </w:r>
          </w:p>
        </w:tc>
        <w:tc>
          <w:tcPr>
            <w:tcW w:w="6521" w:type="dxa"/>
            <w:tcBorders>
              <w:top w:val="single" w:sz="4" w:space="0" w:color="000000"/>
              <w:left w:val="single" w:sz="4" w:space="0" w:color="000000"/>
              <w:bottom w:val="single" w:sz="4" w:space="0" w:color="000000"/>
              <w:right w:val="single" w:sz="4" w:space="0" w:color="000000"/>
            </w:tcBorders>
          </w:tcPr>
          <w:p w:rsidR="00772A48" w:rsidRDefault="006646EE">
            <w:pPr>
              <w:tabs>
                <w:tab w:val="left" w:pos="567"/>
              </w:tabs>
              <w:spacing w:line="360" w:lineRule="auto"/>
              <w:jc w:val="both"/>
            </w:pPr>
            <w:r>
              <w:t xml:space="preserve">i) </w:t>
            </w:r>
            <w:r>
              <w:rPr>
                <w:rFonts w:ascii="Palatino Linotype" w:eastAsia="Palatino Linotype" w:hAnsi="Palatino Linotype" w:cs="Palatino Linotype"/>
                <w:sz w:val="22"/>
                <w:szCs w:val="22"/>
              </w:rPr>
              <w:t>Oficio sin número de fecha de siete de marzo de dos mil veinticinco, suscrito por el Titular de Transparencia y dirigido al solicitante, en los siguientes términos</w:t>
            </w:r>
            <w:r>
              <w:t>:</w:t>
            </w:r>
          </w:p>
          <w:p w:rsidR="00772A48" w:rsidRDefault="00772A48">
            <w:pPr>
              <w:tabs>
                <w:tab w:val="left" w:pos="567"/>
              </w:tabs>
              <w:spacing w:line="360" w:lineRule="auto"/>
              <w:jc w:val="both"/>
            </w:pPr>
          </w:p>
          <w:p w:rsidR="00772A48" w:rsidRDefault="006646EE">
            <w:pPr>
              <w:numPr>
                <w:ilvl w:val="0"/>
                <w:numId w:val="1"/>
              </w:numPr>
              <w:pBdr>
                <w:top w:val="nil"/>
                <w:left w:val="nil"/>
                <w:bottom w:val="nil"/>
                <w:right w:val="nil"/>
                <w:between w:val="nil"/>
              </w:pBdr>
              <w:tabs>
                <w:tab w:val="left" w:pos="1222"/>
              </w:tabs>
              <w:spacing w:line="360" w:lineRule="auto"/>
              <w:jc w:val="both"/>
            </w:pPr>
            <w:r>
              <w:rPr>
                <w:color w:val="000000"/>
              </w:rPr>
              <w:t>“</w:t>
            </w:r>
            <w:r>
              <w:rPr>
                <w:rFonts w:ascii="Palatino Linotype" w:eastAsia="Palatino Linotype" w:hAnsi="Palatino Linotype" w:cs="Palatino Linotype"/>
                <w:i/>
                <w:color w:val="000000"/>
              </w:rPr>
              <w:t>Relativo al manual de organización, de la secretaria de ayuntamiento, y manual de procedimientos de la misma secretaria; que después de realizar una búsqueda exhaustiva y minuciosa dentro del SAIMEX, se encontró 8 resoluciones emitidas por el INFOEM, a esta unidad de transparencia, se anexan al presente en versión pública, aprobada en la centésima primera sesión extraordinaria en el acuerdo CT/SE/101/01/2025”</w:t>
            </w:r>
          </w:p>
          <w:p w:rsidR="00772A48" w:rsidRDefault="006646EE">
            <w:pPr>
              <w:tabs>
                <w:tab w:val="left" w:pos="1222"/>
              </w:tabs>
              <w:spacing w:line="360" w:lineRule="auto"/>
              <w:jc w:val="both"/>
            </w:pPr>
            <w:r>
              <w:t xml:space="preserve">ii) </w:t>
            </w:r>
            <w:r>
              <w:rPr>
                <w:rFonts w:ascii="Palatino Linotype" w:eastAsia="Palatino Linotype" w:hAnsi="Palatino Linotype" w:cs="Palatino Linotype"/>
                <w:sz w:val="22"/>
                <w:szCs w:val="22"/>
              </w:rPr>
              <w:t xml:space="preserve">Ocho resoluciones emitidas por el </w:t>
            </w:r>
            <w:proofErr w:type="spellStart"/>
            <w:r>
              <w:rPr>
                <w:rFonts w:ascii="Palatino Linotype" w:eastAsia="Palatino Linotype" w:hAnsi="Palatino Linotype" w:cs="Palatino Linotype"/>
                <w:sz w:val="22"/>
                <w:szCs w:val="22"/>
              </w:rPr>
              <w:t>Infoem</w:t>
            </w:r>
            <w:proofErr w:type="spellEnd"/>
            <w:r>
              <w:rPr>
                <w:rFonts w:ascii="Palatino Linotype" w:eastAsia="Palatino Linotype" w:hAnsi="Palatino Linotype" w:cs="Palatino Linotype"/>
                <w:sz w:val="22"/>
                <w:szCs w:val="22"/>
              </w:rPr>
              <w:t xml:space="preserve"> en versión pública.</w:t>
            </w:r>
          </w:p>
        </w:tc>
      </w:tr>
      <w:tr w:rsidR="00772A48">
        <w:tc>
          <w:tcPr>
            <w:tcW w:w="2405" w:type="dxa"/>
            <w:tcBorders>
              <w:top w:val="single" w:sz="4" w:space="0" w:color="000000"/>
              <w:left w:val="single" w:sz="4" w:space="0" w:color="000000"/>
              <w:bottom w:val="single" w:sz="4" w:space="0" w:color="000000"/>
              <w:right w:val="single" w:sz="4" w:space="0" w:color="000000"/>
            </w:tcBorders>
          </w:tcPr>
          <w:p w:rsidR="00772A48" w:rsidRDefault="006646EE">
            <w:pPr>
              <w:spacing w:line="360" w:lineRule="auto"/>
              <w:rPr>
                <w:b/>
                <w:i/>
              </w:rPr>
            </w:pPr>
            <w:r>
              <w:rPr>
                <w:b/>
                <w:i/>
              </w:rPr>
              <w:t>00883/TOLUCA/IP/2025</w:t>
            </w:r>
          </w:p>
        </w:tc>
        <w:tc>
          <w:tcPr>
            <w:tcW w:w="6521" w:type="dxa"/>
            <w:tcBorders>
              <w:top w:val="single" w:sz="4" w:space="0" w:color="000000"/>
              <w:left w:val="single" w:sz="4" w:space="0" w:color="000000"/>
              <w:bottom w:val="single" w:sz="4" w:space="0" w:color="000000"/>
              <w:right w:val="single" w:sz="4" w:space="0" w:color="000000"/>
            </w:tcBorders>
          </w:tcPr>
          <w:p w:rsidR="00772A48" w:rsidRDefault="006646EE">
            <w:pPr>
              <w:tabs>
                <w:tab w:val="left" w:pos="567"/>
              </w:tabs>
              <w:spacing w:line="360" w:lineRule="auto"/>
              <w:jc w:val="both"/>
            </w:pPr>
            <w:r>
              <w:t xml:space="preserve">i) </w:t>
            </w:r>
            <w:r>
              <w:rPr>
                <w:rFonts w:ascii="Palatino Linotype" w:eastAsia="Palatino Linotype" w:hAnsi="Palatino Linotype" w:cs="Palatino Linotype"/>
                <w:sz w:val="22"/>
                <w:szCs w:val="22"/>
              </w:rPr>
              <w:t>Oficio sin número de fecha de siete de marzo de dos mil veinticinco, suscrito por el Titular de Transparencia y dirigido al solicitante, en los siguientes términos</w:t>
            </w:r>
            <w:r>
              <w:t>:</w:t>
            </w:r>
          </w:p>
          <w:p w:rsidR="00772A48" w:rsidRDefault="00772A48">
            <w:pPr>
              <w:tabs>
                <w:tab w:val="left" w:pos="567"/>
              </w:tabs>
              <w:spacing w:line="360" w:lineRule="auto"/>
              <w:jc w:val="both"/>
            </w:pPr>
          </w:p>
          <w:p w:rsidR="00772A48" w:rsidRDefault="006646EE">
            <w:pPr>
              <w:numPr>
                <w:ilvl w:val="0"/>
                <w:numId w:val="1"/>
              </w:numPr>
              <w:pBdr>
                <w:top w:val="nil"/>
                <w:left w:val="nil"/>
                <w:bottom w:val="nil"/>
                <w:right w:val="nil"/>
                <w:between w:val="nil"/>
              </w:pBdr>
              <w:tabs>
                <w:tab w:val="left" w:pos="1222"/>
              </w:tabs>
              <w:spacing w:line="360" w:lineRule="auto"/>
              <w:jc w:val="both"/>
            </w:pPr>
            <w:r>
              <w:rPr>
                <w:color w:val="000000"/>
              </w:rPr>
              <w:t>“</w:t>
            </w:r>
            <w:r>
              <w:rPr>
                <w:rFonts w:ascii="Palatino Linotype" w:eastAsia="Palatino Linotype" w:hAnsi="Palatino Linotype" w:cs="Palatino Linotype"/>
                <w:i/>
                <w:color w:val="000000"/>
              </w:rPr>
              <w:t>Relativo al manual de organización, de la secretaria de ayuntamiento, y manual de procedimientos de la misma secretaria; que después de realizar una búsqueda exhaustiva y minuciosa dentro del SAIMEX, se encontró 3 resoluciones emitidas por el INFOEM, a esta unidad de transparencia, se anexan al presente en versión pública, aprobada en la centésima primera sesión extraordinaria en el acuerdo CT/SE/101/03/2025”</w:t>
            </w:r>
          </w:p>
          <w:p w:rsidR="00772A48" w:rsidRDefault="00772A48">
            <w:pPr>
              <w:tabs>
                <w:tab w:val="left" w:pos="567"/>
              </w:tabs>
              <w:spacing w:line="360" w:lineRule="auto"/>
              <w:jc w:val="both"/>
            </w:pPr>
          </w:p>
          <w:p w:rsidR="00772A48" w:rsidRDefault="006646EE">
            <w:pPr>
              <w:tabs>
                <w:tab w:val="left" w:pos="567"/>
              </w:tabs>
              <w:spacing w:line="360" w:lineRule="auto"/>
              <w:jc w:val="both"/>
              <w:rPr>
                <w:rFonts w:ascii="Palatino Linotype" w:eastAsia="Palatino Linotype" w:hAnsi="Palatino Linotype" w:cs="Palatino Linotype"/>
                <w:sz w:val="22"/>
                <w:szCs w:val="22"/>
              </w:rPr>
            </w:pPr>
            <w:r>
              <w:t xml:space="preserve">ii) </w:t>
            </w:r>
            <w:r>
              <w:rPr>
                <w:rFonts w:ascii="Palatino Linotype" w:eastAsia="Palatino Linotype" w:hAnsi="Palatino Linotype" w:cs="Palatino Linotype"/>
                <w:sz w:val="22"/>
                <w:szCs w:val="22"/>
              </w:rPr>
              <w:t xml:space="preserve">Tres resoluciones emitida por el </w:t>
            </w:r>
            <w:proofErr w:type="spellStart"/>
            <w:r>
              <w:rPr>
                <w:rFonts w:ascii="Palatino Linotype" w:eastAsia="Palatino Linotype" w:hAnsi="Palatino Linotype" w:cs="Palatino Linotype"/>
                <w:sz w:val="22"/>
                <w:szCs w:val="22"/>
              </w:rPr>
              <w:t>Infoem</w:t>
            </w:r>
            <w:proofErr w:type="spellEnd"/>
            <w:r>
              <w:rPr>
                <w:rFonts w:ascii="Palatino Linotype" w:eastAsia="Palatino Linotype" w:hAnsi="Palatino Linotype" w:cs="Palatino Linotype"/>
                <w:sz w:val="22"/>
                <w:szCs w:val="22"/>
              </w:rPr>
              <w:t xml:space="preserve"> en versión pública.</w:t>
            </w:r>
          </w:p>
        </w:tc>
      </w:tr>
      <w:tr w:rsidR="00772A48">
        <w:tc>
          <w:tcPr>
            <w:tcW w:w="2405" w:type="dxa"/>
            <w:tcBorders>
              <w:top w:val="single" w:sz="4" w:space="0" w:color="000000"/>
              <w:left w:val="single" w:sz="4" w:space="0" w:color="000000"/>
              <w:bottom w:val="single" w:sz="4" w:space="0" w:color="000000"/>
              <w:right w:val="single" w:sz="4" w:space="0" w:color="000000"/>
            </w:tcBorders>
          </w:tcPr>
          <w:p w:rsidR="00772A48" w:rsidRDefault="006646EE">
            <w:pPr>
              <w:spacing w:line="360" w:lineRule="auto"/>
              <w:rPr>
                <w:b/>
                <w:i/>
                <w:color w:val="FF0000"/>
              </w:rPr>
            </w:pPr>
            <w:r>
              <w:rPr>
                <w:b/>
                <w:i/>
              </w:rPr>
              <w:lastRenderedPageBreak/>
              <w:t>00885/TOLUCA/IP/2025</w:t>
            </w:r>
          </w:p>
        </w:tc>
        <w:tc>
          <w:tcPr>
            <w:tcW w:w="6521" w:type="dxa"/>
            <w:tcBorders>
              <w:top w:val="single" w:sz="4" w:space="0" w:color="000000"/>
              <w:left w:val="single" w:sz="4" w:space="0" w:color="000000"/>
              <w:bottom w:val="single" w:sz="4" w:space="0" w:color="000000"/>
              <w:right w:val="single" w:sz="4" w:space="0" w:color="000000"/>
            </w:tcBorders>
          </w:tcPr>
          <w:p w:rsidR="00772A48" w:rsidRDefault="006646EE">
            <w:pPr>
              <w:tabs>
                <w:tab w:val="left" w:pos="567"/>
              </w:tabs>
              <w:spacing w:line="360" w:lineRule="auto"/>
              <w:jc w:val="both"/>
            </w:pPr>
            <w:r>
              <w:t xml:space="preserve">i) </w:t>
            </w:r>
            <w:r>
              <w:rPr>
                <w:rFonts w:ascii="Palatino Linotype" w:eastAsia="Palatino Linotype" w:hAnsi="Palatino Linotype" w:cs="Palatino Linotype"/>
                <w:sz w:val="22"/>
                <w:szCs w:val="22"/>
              </w:rPr>
              <w:t>Oficio sin número de fecha de siete de marzo de dos mil veinticinco, suscrito por el Titular de Transparencia y dirigido al solicitante, en los siguientes términos</w:t>
            </w:r>
            <w:r>
              <w:t>:</w:t>
            </w:r>
          </w:p>
          <w:p w:rsidR="00772A48" w:rsidRDefault="00772A48">
            <w:pPr>
              <w:tabs>
                <w:tab w:val="left" w:pos="567"/>
              </w:tabs>
              <w:spacing w:line="360" w:lineRule="auto"/>
              <w:jc w:val="both"/>
            </w:pPr>
          </w:p>
          <w:p w:rsidR="00772A48" w:rsidRDefault="006646EE">
            <w:pPr>
              <w:tabs>
                <w:tab w:val="left" w:pos="567"/>
              </w:tabs>
              <w:spacing w:line="360" w:lineRule="auto"/>
              <w:jc w:val="both"/>
              <w:rPr>
                <w:i/>
                <w:color w:val="FF0000"/>
              </w:rPr>
            </w:pPr>
            <w:r>
              <w:rPr>
                <w:rFonts w:ascii="Palatino Linotype" w:eastAsia="Palatino Linotype" w:hAnsi="Palatino Linotype" w:cs="Palatino Linotype"/>
              </w:rPr>
              <w:t>“</w:t>
            </w:r>
            <w:r>
              <w:rPr>
                <w:rFonts w:ascii="Palatino Linotype" w:eastAsia="Palatino Linotype" w:hAnsi="Palatino Linotype" w:cs="Palatino Linotype"/>
                <w:i/>
              </w:rPr>
              <w:t>Relativo al manual de organización, de la secretaria de ayuntamiento, y manual de procedimientos de la misma secretaria; se informa que después de realizar una búsqueda exhaustiva y razonable dentro del sistema SAIMEX, no se encontraron resoluciones emitidas por el INFOEM en el mes de mayo, por no haberse generado, poseído o administrado.”</w:t>
            </w:r>
          </w:p>
        </w:tc>
      </w:tr>
      <w:tr w:rsidR="00772A48">
        <w:tc>
          <w:tcPr>
            <w:tcW w:w="2405" w:type="dxa"/>
            <w:tcBorders>
              <w:top w:val="single" w:sz="4" w:space="0" w:color="000000"/>
              <w:left w:val="single" w:sz="4" w:space="0" w:color="000000"/>
              <w:bottom w:val="single" w:sz="4" w:space="0" w:color="000000"/>
              <w:right w:val="single" w:sz="4" w:space="0" w:color="000000"/>
            </w:tcBorders>
          </w:tcPr>
          <w:p w:rsidR="00772A48" w:rsidRDefault="006646EE">
            <w:pPr>
              <w:spacing w:line="360" w:lineRule="auto"/>
              <w:rPr>
                <w:b/>
                <w:i/>
              </w:rPr>
            </w:pPr>
            <w:r>
              <w:rPr>
                <w:b/>
                <w:i/>
              </w:rPr>
              <w:t>00886/TOLUCA/IP/2025</w:t>
            </w:r>
          </w:p>
        </w:tc>
        <w:tc>
          <w:tcPr>
            <w:tcW w:w="6521" w:type="dxa"/>
            <w:tcBorders>
              <w:top w:val="single" w:sz="4" w:space="0" w:color="000000"/>
              <w:left w:val="single" w:sz="4" w:space="0" w:color="000000"/>
              <w:bottom w:val="single" w:sz="4" w:space="0" w:color="000000"/>
              <w:right w:val="single" w:sz="4" w:space="0" w:color="000000"/>
            </w:tcBorders>
          </w:tcPr>
          <w:p w:rsidR="00772A48" w:rsidRDefault="006646EE">
            <w:pPr>
              <w:tabs>
                <w:tab w:val="left" w:pos="567"/>
              </w:tabs>
              <w:spacing w:line="360" w:lineRule="auto"/>
              <w:jc w:val="both"/>
            </w:pPr>
            <w:r>
              <w:t xml:space="preserve">i) </w:t>
            </w:r>
            <w:r>
              <w:rPr>
                <w:rFonts w:ascii="Palatino Linotype" w:eastAsia="Palatino Linotype" w:hAnsi="Palatino Linotype" w:cs="Palatino Linotype"/>
                <w:sz w:val="22"/>
                <w:szCs w:val="22"/>
              </w:rPr>
              <w:t>Oficio sin número de fecha de siete de marzo de dos mil veinticinco, suscrito por el Titular de Transparencia y dirigido al solicitante, en los siguientes términos</w:t>
            </w:r>
            <w:r>
              <w:t>:</w:t>
            </w:r>
          </w:p>
          <w:p w:rsidR="00772A48" w:rsidRDefault="00772A48">
            <w:pPr>
              <w:tabs>
                <w:tab w:val="left" w:pos="567"/>
              </w:tabs>
              <w:spacing w:line="360" w:lineRule="auto"/>
              <w:jc w:val="both"/>
            </w:pPr>
          </w:p>
          <w:p w:rsidR="00772A48" w:rsidRDefault="006646EE">
            <w:pPr>
              <w:numPr>
                <w:ilvl w:val="0"/>
                <w:numId w:val="1"/>
              </w:numPr>
              <w:pBdr>
                <w:top w:val="nil"/>
                <w:left w:val="nil"/>
                <w:bottom w:val="nil"/>
                <w:right w:val="nil"/>
                <w:between w:val="nil"/>
              </w:pBdr>
              <w:tabs>
                <w:tab w:val="left" w:pos="1222"/>
              </w:tabs>
              <w:spacing w:line="360" w:lineRule="auto"/>
              <w:jc w:val="both"/>
            </w:pPr>
            <w:r>
              <w:rPr>
                <w:color w:val="000000"/>
              </w:rPr>
              <w:t>“</w:t>
            </w:r>
            <w:r>
              <w:rPr>
                <w:rFonts w:ascii="Palatino Linotype" w:eastAsia="Palatino Linotype" w:hAnsi="Palatino Linotype" w:cs="Palatino Linotype"/>
                <w:i/>
                <w:color w:val="000000"/>
              </w:rPr>
              <w:t>Relativo al manual de organización, de la secretaria de ayuntamiento, y manual de procedimientos de la misma secretaria; que después de realizar una búsqueda exhaustiva y minuciosa dentro del SAIMEX, se encontró 7 resoluciones emitidas por el INFOEM, a esta unidad de transparencia, se anexan al presente en versión pública, aprobada en la centésima primera sesión extraordinaria en el acuerdo CT/SE/101/04/2025”</w:t>
            </w:r>
          </w:p>
          <w:p w:rsidR="00772A48" w:rsidRDefault="00772A48">
            <w:pPr>
              <w:pBdr>
                <w:top w:val="nil"/>
                <w:left w:val="nil"/>
                <w:bottom w:val="nil"/>
                <w:right w:val="nil"/>
                <w:between w:val="nil"/>
              </w:pBdr>
              <w:tabs>
                <w:tab w:val="left" w:pos="1222"/>
              </w:tabs>
              <w:spacing w:line="360" w:lineRule="auto"/>
              <w:ind w:left="720"/>
              <w:jc w:val="both"/>
              <w:rPr>
                <w:color w:val="000000"/>
              </w:rPr>
            </w:pPr>
          </w:p>
          <w:p w:rsidR="00772A48" w:rsidRDefault="006646EE">
            <w:pPr>
              <w:tabs>
                <w:tab w:val="left" w:pos="567"/>
              </w:tabs>
              <w:spacing w:line="360" w:lineRule="auto"/>
              <w:jc w:val="both"/>
              <w:rPr>
                <w:i/>
                <w:color w:val="FF0000"/>
              </w:rPr>
            </w:pPr>
            <w:r>
              <w:t>ii) S</w:t>
            </w:r>
            <w:r>
              <w:rPr>
                <w:rFonts w:ascii="Palatino Linotype" w:eastAsia="Palatino Linotype" w:hAnsi="Palatino Linotype" w:cs="Palatino Linotype"/>
                <w:sz w:val="22"/>
                <w:szCs w:val="22"/>
              </w:rPr>
              <w:t xml:space="preserve">iete resoluciones emitidas por el </w:t>
            </w:r>
            <w:proofErr w:type="spellStart"/>
            <w:r>
              <w:rPr>
                <w:rFonts w:ascii="Palatino Linotype" w:eastAsia="Palatino Linotype" w:hAnsi="Palatino Linotype" w:cs="Palatino Linotype"/>
                <w:sz w:val="22"/>
                <w:szCs w:val="22"/>
              </w:rPr>
              <w:t>Infoem</w:t>
            </w:r>
            <w:proofErr w:type="spellEnd"/>
            <w:r>
              <w:rPr>
                <w:rFonts w:ascii="Palatino Linotype" w:eastAsia="Palatino Linotype" w:hAnsi="Palatino Linotype" w:cs="Palatino Linotype"/>
                <w:sz w:val="22"/>
                <w:szCs w:val="22"/>
              </w:rPr>
              <w:t xml:space="preserve"> en versión pública.</w:t>
            </w:r>
          </w:p>
        </w:tc>
      </w:tr>
    </w:tbl>
    <w:p w:rsidR="00772A48" w:rsidRDefault="00772A48">
      <w:pPr>
        <w:tabs>
          <w:tab w:val="left" w:pos="4667"/>
        </w:tabs>
        <w:spacing w:line="360" w:lineRule="auto"/>
        <w:ind w:left="567" w:right="567"/>
        <w:jc w:val="both"/>
        <w:rPr>
          <w:rFonts w:ascii="Palatino Linotype" w:eastAsia="Palatino Linotype" w:hAnsi="Palatino Linotype" w:cs="Palatino Linotype"/>
          <w:i/>
        </w:rPr>
      </w:pPr>
    </w:p>
    <w:p w:rsidR="00772A48" w:rsidRDefault="00772A48">
      <w:pPr>
        <w:tabs>
          <w:tab w:val="left" w:pos="4667"/>
        </w:tabs>
        <w:spacing w:line="360" w:lineRule="auto"/>
        <w:jc w:val="both"/>
        <w:rPr>
          <w:rFonts w:ascii="Palatino Linotype" w:eastAsia="Palatino Linotype" w:hAnsi="Palatino Linotype" w:cs="Palatino Linotype"/>
          <w:sz w:val="22"/>
          <w:szCs w:val="22"/>
        </w:rPr>
      </w:pPr>
    </w:p>
    <w:p w:rsidR="00772A48" w:rsidRDefault="00772A48">
      <w:pPr>
        <w:tabs>
          <w:tab w:val="left" w:pos="4667"/>
        </w:tabs>
        <w:spacing w:line="360" w:lineRule="auto"/>
        <w:jc w:val="both"/>
        <w:rPr>
          <w:rFonts w:ascii="Palatino Linotype" w:eastAsia="Palatino Linotype" w:hAnsi="Palatino Linotype" w:cs="Palatino Linotype"/>
          <w:sz w:val="22"/>
          <w:szCs w:val="22"/>
        </w:rPr>
      </w:pPr>
    </w:p>
    <w:p w:rsidR="00772A48" w:rsidRDefault="00772A48">
      <w:pPr>
        <w:tabs>
          <w:tab w:val="left" w:pos="4667"/>
        </w:tabs>
        <w:spacing w:line="360" w:lineRule="auto"/>
        <w:jc w:val="both"/>
        <w:rPr>
          <w:rFonts w:ascii="Palatino Linotype" w:eastAsia="Palatino Linotype" w:hAnsi="Palatino Linotype" w:cs="Palatino Linotype"/>
          <w:sz w:val="22"/>
          <w:szCs w:val="22"/>
        </w:rPr>
      </w:pPr>
    </w:p>
    <w:p w:rsidR="00772A48" w:rsidRDefault="00772A48">
      <w:pPr>
        <w:tabs>
          <w:tab w:val="left" w:pos="4667"/>
        </w:tabs>
        <w:spacing w:line="360" w:lineRule="auto"/>
        <w:jc w:val="both"/>
        <w:rPr>
          <w:rFonts w:ascii="Palatino Linotype" w:eastAsia="Palatino Linotype" w:hAnsi="Palatino Linotype" w:cs="Palatino Linotype"/>
          <w:sz w:val="22"/>
          <w:szCs w:val="22"/>
        </w:rPr>
      </w:pPr>
    </w:p>
    <w:p w:rsidR="00772A48" w:rsidRDefault="006646EE">
      <w:pPr>
        <w:pStyle w:val="Ttulo2"/>
        <w:spacing w:before="0" w:after="0" w:line="360" w:lineRule="auto"/>
        <w:rPr>
          <w:rFonts w:ascii="Palatino Linotype" w:eastAsia="Palatino Linotype" w:hAnsi="Palatino Linotype" w:cs="Palatino Linotype"/>
          <w:b/>
          <w:color w:val="000000"/>
          <w:sz w:val="22"/>
          <w:szCs w:val="22"/>
        </w:rPr>
      </w:pPr>
      <w:bookmarkStart w:id="9" w:name="_heading=h.yjax4a44quhv" w:colFirst="0" w:colLast="0"/>
      <w:bookmarkStart w:id="10" w:name="_Toc210314558"/>
      <w:bookmarkEnd w:id="9"/>
      <w:r>
        <w:rPr>
          <w:rFonts w:ascii="Palatino Linotype" w:eastAsia="Palatino Linotype" w:hAnsi="Palatino Linotype" w:cs="Palatino Linotype"/>
          <w:b/>
          <w:color w:val="000000"/>
          <w:sz w:val="22"/>
          <w:szCs w:val="22"/>
        </w:rPr>
        <w:lastRenderedPageBreak/>
        <w:t>III. Interposición del Recurso de Revisión</w:t>
      </w:r>
      <w:bookmarkEnd w:id="10"/>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Con fecha veintiocho de marzo de dos mil veinticinco, de dos mil veinticinco, se recibió en este Instituto, a través del Sistema de Acceso a la Información Mexiquense (SAIMEX), cinco Recursos de Revisión interpuestos por la persona Recurrente, en contra de las respuestas del Sujeto Obligado, en los términos similares de conformidad con lo siguiente:</w:t>
      </w:r>
    </w:p>
    <w:p w:rsidR="00772A48" w:rsidRDefault="00772A48">
      <w:pPr>
        <w:spacing w:line="360" w:lineRule="auto"/>
        <w:ind w:left="567" w:right="567"/>
        <w:jc w:val="both"/>
        <w:rPr>
          <w:rFonts w:ascii="Palatino Linotype" w:eastAsia="Palatino Linotype" w:hAnsi="Palatino Linotype" w:cs="Palatino Linotype"/>
          <w:i/>
        </w:rPr>
      </w:pPr>
    </w:p>
    <w:p w:rsidR="00772A48" w:rsidRDefault="006646EE">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rsidR="00772A48" w:rsidRDefault="006646EE">
      <w:pPr>
        <w:ind w:firstLine="567"/>
        <w:jc w:val="both"/>
        <w:rPr>
          <w:rFonts w:ascii="Palatino Linotype" w:eastAsia="Palatino Linotype" w:hAnsi="Palatino Linotype" w:cs="Palatino Linotype"/>
          <w:i/>
        </w:rPr>
      </w:pPr>
      <w:r>
        <w:rPr>
          <w:rFonts w:ascii="Palatino Linotype" w:eastAsia="Palatino Linotype" w:hAnsi="Palatino Linotype" w:cs="Palatino Linotype"/>
          <w:i/>
        </w:rPr>
        <w:t>“LA RESPUESTA TAN OPACA DE LA UNIDAD DE OPACIDAD</w:t>
      </w:r>
      <w:r>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 </w:t>
      </w:r>
    </w:p>
    <w:p w:rsidR="00772A48" w:rsidRDefault="00772A48">
      <w:pPr>
        <w:spacing w:line="360" w:lineRule="auto"/>
        <w:ind w:left="567" w:right="567"/>
        <w:jc w:val="both"/>
        <w:rPr>
          <w:rFonts w:ascii="Palatino Linotype" w:eastAsia="Palatino Linotype" w:hAnsi="Palatino Linotype" w:cs="Palatino Linotype"/>
          <w:i/>
        </w:rPr>
      </w:pPr>
    </w:p>
    <w:p w:rsidR="00772A48" w:rsidRDefault="006646EE">
      <w:pPr>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rsidR="00772A48" w:rsidRDefault="006646EE">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color w:val="000000"/>
        </w:rPr>
        <w:t>“A PESAR DE SER INFORMACIÓN QUE DEBE SER PUBLICA LA NIEGA SE ENETRGA INCOMPLETA EL SUJETO OBLIGADO CUANDO YA SE TIENE POR INFOE Y SOLO SE QUERIA CORROBORAR Y LA NIEGAN.</w:t>
      </w:r>
      <w:r>
        <w:rPr>
          <w:rFonts w:ascii="Palatino Linotype" w:eastAsia="Palatino Linotype" w:hAnsi="Palatino Linotype" w:cs="Palatino Linotype"/>
          <w:i/>
        </w:rPr>
        <w:t xml:space="preserve">”  </w:t>
      </w:r>
    </w:p>
    <w:p w:rsidR="00772A48" w:rsidRDefault="00772A48">
      <w:pPr>
        <w:spacing w:line="360" w:lineRule="auto"/>
        <w:ind w:left="567" w:right="567"/>
        <w:jc w:val="both"/>
        <w:rPr>
          <w:rFonts w:ascii="Palatino Linotype" w:eastAsia="Palatino Linotype" w:hAnsi="Palatino Linotype" w:cs="Palatino Linotype"/>
          <w:i/>
        </w:rPr>
      </w:pPr>
    </w:p>
    <w:p w:rsidR="00772A48" w:rsidRDefault="006646EE">
      <w:pPr>
        <w:pStyle w:val="Ttulo2"/>
        <w:spacing w:before="0" w:after="0" w:line="360" w:lineRule="auto"/>
        <w:rPr>
          <w:rFonts w:ascii="Palatino Linotype" w:eastAsia="Palatino Linotype" w:hAnsi="Palatino Linotype" w:cs="Palatino Linotype"/>
          <w:b/>
          <w:color w:val="000000"/>
          <w:sz w:val="22"/>
          <w:szCs w:val="22"/>
        </w:rPr>
      </w:pPr>
      <w:bookmarkStart w:id="11" w:name="_heading=h.plbgvu1gw5ux" w:colFirst="0" w:colLast="0"/>
      <w:bookmarkStart w:id="12" w:name="_Toc210314559"/>
      <w:bookmarkEnd w:id="11"/>
      <w:r>
        <w:rPr>
          <w:rFonts w:ascii="Palatino Linotype" w:eastAsia="Palatino Linotype" w:hAnsi="Palatino Linotype" w:cs="Palatino Linotype"/>
          <w:b/>
          <w:color w:val="000000"/>
          <w:sz w:val="22"/>
          <w:szCs w:val="22"/>
        </w:rPr>
        <w:t>IV. Trámite del Recurso de Revisión ante este Instituto</w:t>
      </w:r>
      <w:bookmarkEnd w:id="12"/>
    </w:p>
    <w:p w:rsidR="00772A48" w:rsidRDefault="00772A48">
      <w:pPr>
        <w:spacing w:line="360" w:lineRule="auto"/>
        <w:jc w:val="both"/>
        <w:rPr>
          <w:rFonts w:ascii="Palatino Linotype" w:eastAsia="Palatino Linotype" w:hAnsi="Palatino Linotype" w:cs="Palatino Linotype"/>
          <w:b/>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El veintiocho de marzo de dos mil veinticinco, el Sistema de Acceso a la Información Mexiquense (SAIMEX), asignó los números de expedientes 03706/INFOEM/IP/RR/2025, 03707/INFOEM/IP/RR/2025, 03708/INFOEM/IP/RR/2025, 03709/INFOEM/IP/RR/2025 y 03710/INFOEM/IP/RR/2025, a los Medios de Impugnación que nos ocupan, con base en el sistema aprobado por el Pleno de este Organismo Garante y los turnó al Comisionado, Luis Gustavo Parra Noriega, para los efectos del artículo 185, fracción I de la Ley de Transparencia y Acceso a la Información Pública del Estado de México y Municipios.</w:t>
      </w:r>
    </w:p>
    <w:p w:rsidR="00772A48" w:rsidRDefault="00772A48">
      <w:pPr>
        <w:spacing w:line="360" w:lineRule="auto"/>
        <w:jc w:val="both"/>
        <w:rPr>
          <w:rFonts w:ascii="Palatino Linotype" w:eastAsia="Palatino Linotype" w:hAnsi="Palatino Linotype" w:cs="Palatino Linotype"/>
          <w:b/>
          <w:sz w:val="22"/>
          <w:szCs w:val="22"/>
        </w:rPr>
      </w:pPr>
    </w:p>
    <w:p w:rsidR="00772A48" w:rsidRDefault="00772A48">
      <w:pPr>
        <w:spacing w:line="360" w:lineRule="auto"/>
        <w:jc w:val="both"/>
        <w:rPr>
          <w:rFonts w:ascii="Palatino Linotype" w:eastAsia="Palatino Linotype" w:hAnsi="Palatino Linotype" w:cs="Palatino Linotype"/>
          <w:b/>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 xml:space="preserve">b) Admisión del Recurso de Revisión. </w:t>
      </w:r>
      <w:r>
        <w:rPr>
          <w:rFonts w:ascii="Palatino Linotype" w:eastAsia="Palatino Linotype" w:hAnsi="Palatino Linotype" w:cs="Palatino Linotype"/>
          <w:sz w:val="22"/>
          <w:szCs w:val="22"/>
        </w:rPr>
        <w:t>El treinta y uno de marzo, dos y tres de abril 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 Informe Justificado. </w:t>
      </w:r>
      <w:r>
        <w:rPr>
          <w:rFonts w:ascii="Palatino Linotype" w:eastAsia="Palatino Linotype" w:hAnsi="Palatino Linotype" w:cs="Palatino Linotype"/>
          <w:sz w:val="22"/>
          <w:szCs w:val="22"/>
        </w:rPr>
        <w:t>El nueve, once, veintiuno de abril, todos de dos mil veinticinco, se recibió, a través del SAIMEX, el informe justificado</w:t>
      </w:r>
      <w:r>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sz w:val="22"/>
          <w:szCs w:val="22"/>
        </w:rPr>
        <w:t>por medio del oficio sin número, de fecha de su presentación, suscrito por el Titular de la Unidad de Transparencia, dirigido al Comisionado Ponente, a través del cual ratifica su respuesta inicial.</w:t>
      </w:r>
    </w:p>
    <w:p w:rsidR="00772A48" w:rsidRDefault="00772A48">
      <w:pPr>
        <w:spacing w:line="360" w:lineRule="auto"/>
        <w:jc w:val="both"/>
        <w:rPr>
          <w:rFonts w:ascii="Palatino Linotype" w:eastAsia="Palatino Linotype" w:hAnsi="Palatino Linotype" w:cs="Palatino Linotype"/>
          <w:b/>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veintidós de septiembre de dos mil veinticinco, se dictó acuerdo mediante el cual se puso a la vista del Particular de forma parcial, el Informe Justificado entregados por el Sujeto Obligado, el cual fue notificado, a través del SAIMEX, el mismo día. </w:t>
      </w: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e) Acumulación de los asuntos. </w:t>
      </w:r>
      <w:r>
        <w:rPr>
          <w:rFonts w:ascii="Palatino Linotype" w:eastAsia="Palatino Linotype" w:hAnsi="Palatino Linotype" w:cs="Palatino Linotype"/>
          <w:sz w:val="22"/>
          <w:szCs w:val="22"/>
        </w:rPr>
        <w:t xml:space="preserve">El nueve de abril de dos mil veinticinco, el Pleno del Instituto de Transparencia, Acceso a la Información Pública y Protección de Datos Personales del Estado de México y Municipios, durante la Décima Tercera Sesión Ordinaria,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decretó la acumulación de los Recursos de Revisión </w:t>
      </w:r>
      <w:r>
        <w:rPr>
          <w:rFonts w:ascii="Palatino Linotype" w:eastAsia="Palatino Linotype" w:hAnsi="Palatino Linotype" w:cs="Palatino Linotype"/>
          <w:b/>
          <w:sz w:val="22"/>
          <w:szCs w:val="22"/>
        </w:rPr>
        <w:lastRenderedPageBreak/>
        <w:t>03710/INFOEM/IP/RR/2025, 03709/INFOEM/IP/RR/2025, 03708/INFOEM/IP/RR/2025 y 03707/INFOEM/IP/RR/2025</w:t>
      </w:r>
      <w:r>
        <w:rPr>
          <w:rFonts w:ascii="Palatino Linotype" w:eastAsia="Palatino Linotype" w:hAnsi="Palatino Linotype" w:cs="Palatino Linotype"/>
          <w:sz w:val="22"/>
          <w:szCs w:val="22"/>
        </w:rPr>
        <w:t xml:space="preserve">, al diverso </w:t>
      </w:r>
      <w:r>
        <w:rPr>
          <w:rFonts w:ascii="Palatino Linotype" w:eastAsia="Palatino Linotype" w:hAnsi="Palatino Linotype" w:cs="Palatino Linotype"/>
          <w:b/>
          <w:sz w:val="22"/>
          <w:szCs w:val="22"/>
        </w:rPr>
        <w:t>03706/INFOEM/IP/RR/2025,</w:t>
      </w:r>
      <w:r>
        <w:rPr>
          <w:rFonts w:ascii="Palatino Linotype" w:eastAsia="Palatino Linotype" w:hAnsi="Palatino Linotype" w:cs="Palatino Linotype"/>
          <w:sz w:val="22"/>
          <w:szCs w:val="22"/>
        </w:rPr>
        <w:t xml:space="preserve"> por ser este último el más antiguo, sustanciado bajo el índice de esta Ponencia.</w:t>
      </w: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b/>
          <w:sz w:val="22"/>
          <w:szCs w:val="22"/>
        </w:rPr>
      </w:pPr>
      <w:bookmarkStart w:id="13" w:name="_heading=h.42h5hjl37ooc" w:colFirst="0" w:colLast="0"/>
      <w:bookmarkEnd w:id="13"/>
      <w:r>
        <w:rPr>
          <w:rFonts w:ascii="Palatino Linotype" w:eastAsia="Palatino Linotype" w:hAnsi="Palatino Linotype" w:cs="Palatino Linotype"/>
          <w:b/>
          <w:sz w:val="22"/>
          <w:szCs w:val="22"/>
        </w:rPr>
        <w:t xml:space="preserve">f) Ampliación de plazo para resolver. </w:t>
      </w:r>
      <w:r>
        <w:rPr>
          <w:rFonts w:ascii="Palatino Linotype" w:eastAsia="Palatino Linotype" w:hAnsi="Palatino Linotype" w:cs="Palatino Linotype"/>
          <w:sz w:val="22"/>
          <w:szCs w:val="22"/>
        </w:rPr>
        <w:t>El veintidós de septiembre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mediante el Sistema de Acceso a la Información Mexiquense (SAIMEX), el mismo día.</w:t>
      </w:r>
    </w:p>
    <w:p w:rsidR="00772A48" w:rsidRDefault="00772A48">
      <w:pPr>
        <w:spacing w:line="360" w:lineRule="auto"/>
        <w:jc w:val="both"/>
        <w:rPr>
          <w:rFonts w:ascii="Palatino Linotype" w:eastAsia="Palatino Linotype" w:hAnsi="Palatino Linotype" w:cs="Palatino Linotype"/>
          <w:b/>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g) Cierre de instrucción.</w:t>
      </w:r>
      <w:r>
        <w:rPr>
          <w:rFonts w:ascii="Palatino Linotype" w:eastAsia="Palatino Linotype" w:hAnsi="Palatino Linotype" w:cs="Palatino Linotype"/>
          <w:sz w:val="22"/>
          <w:szCs w:val="22"/>
        </w:rPr>
        <w:t xml:space="preserve"> El veintinueve de septiembre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catorce de dicho mes y año.</w:t>
      </w:r>
    </w:p>
    <w:p w:rsidR="00772A48" w:rsidRDefault="00772A48">
      <w:pPr>
        <w:spacing w:line="360" w:lineRule="auto"/>
        <w:jc w:val="both"/>
        <w:rPr>
          <w:rFonts w:ascii="Palatino Linotype" w:eastAsia="Palatino Linotype" w:hAnsi="Palatino Linotype" w:cs="Palatino Linotype"/>
          <w:b/>
          <w:sz w:val="22"/>
          <w:szCs w:val="22"/>
        </w:rPr>
      </w:pPr>
    </w:p>
    <w:p w:rsidR="00772A48" w:rsidRDefault="006646EE">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00772A48" w:rsidRDefault="00772A48">
      <w:pPr>
        <w:pStyle w:val="Ttulo1"/>
        <w:spacing w:before="0" w:after="0" w:line="360" w:lineRule="auto"/>
        <w:jc w:val="center"/>
        <w:rPr>
          <w:rFonts w:ascii="Palatino Linotype" w:eastAsia="Palatino Linotype" w:hAnsi="Palatino Linotype" w:cs="Palatino Linotype"/>
          <w:b/>
          <w:color w:val="000000"/>
          <w:sz w:val="14"/>
          <w:szCs w:val="14"/>
        </w:rPr>
      </w:pPr>
    </w:p>
    <w:p w:rsidR="00772A48" w:rsidRDefault="00772A48"/>
    <w:p w:rsidR="00772A48" w:rsidRDefault="006646EE">
      <w:pPr>
        <w:pStyle w:val="Ttulo1"/>
        <w:spacing w:before="0" w:after="0" w:line="360" w:lineRule="auto"/>
        <w:jc w:val="center"/>
        <w:rPr>
          <w:rFonts w:ascii="Palatino Linotype" w:eastAsia="Palatino Linotype" w:hAnsi="Palatino Linotype" w:cs="Palatino Linotype"/>
          <w:b/>
          <w:color w:val="000000"/>
          <w:sz w:val="22"/>
          <w:szCs w:val="22"/>
        </w:rPr>
      </w:pPr>
      <w:bookmarkStart w:id="14" w:name="_heading=h.rnykkv9pq70" w:colFirst="0" w:colLast="0"/>
      <w:bookmarkStart w:id="15" w:name="_Toc210314560"/>
      <w:bookmarkEnd w:id="14"/>
      <w:r>
        <w:rPr>
          <w:rFonts w:ascii="Palatino Linotype" w:eastAsia="Palatino Linotype" w:hAnsi="Palatino Linotype" w:cs="Palatino Linotype"/>
          <w:b/>
          <w:color w:val="000000"/>
          <w:sz w:val="22"/>
          <w:szCs w:val="22"/>
        </w:rPr>
        <w:t>C O N S I D E R A N D O S</w:t>
      </w:r>
      <w:bookmarkEnd w:id="15"/>
    </w:p>
    <w:p w:rsidR="00772A48" w:rsidRDefault="00772A48">
      <w:pPr>
        <w:spacing w:line="360" w:lineRule="auto"/>
      </w:pPr>
    </w:p>
    <w:p w:rsidR="00772A48" w:rsidRDefault="006646EE">
      <w:pPr>
        <w:pStyle w:val="Ttulo2"/>
        <w:spacing w:before="0" w:after="0" w:line="360" w:lineRule="auto"/>
        <w:rPr>
          <w:rFonts w:ascii="Palatino Linotype" w:eastAsia="Palatino Linotype" w:hAnsi="Palatino Linotype" w:cs="Palatino Linotype"/>
          <w:b/>
          <w:color w:val="000000"/>
          <w:sz w:val="22"/>
          <w:szCs w:val="22"/>
        </w:rPr>
      </w:pPr>
      <w:bookmarkStart w:id="16" w:name="_heading=h.14k9jdqawu4x" w:colFirst="0" w:colLast="0"/>
      <w:bookmarkStart w:id="17" w:name="_Toc210314561"/>
      <w:bookmarkEnd w:id="16"/>
      <w:r>
        <w:rPr>
          <w:rFonts w:ascii="Palatino Linotype" w:eastAsia="Palatino Linotype" w:hAnsi="Palatino Linotype" w:cs="Palatino Linotype"/>
          <w:b/>
          <w:color w:val="000000"/>
          <w:sz w:val="22"/>
          <w:szCs w:val="22"/>
        </w:rPr>
        <w:t>PRIMERO. Competencia</w:t>
      </w:r>
      <w:bookmarkEnd w:id="17"/>
    </w:p>
    <w:p w:rsidR="00772A48" w:rsidRDefault="00772A48">
      <w:pPr>
        <w:spacing w:line="360" w:lineRule="auto"/>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6646EE">
      <w:pPr>
        <w:pStyle w:val="Ttulo2"/>
        <w:spacing w:before="0" w:after="0" w:line="360" w:lineRule="auto"/>
        <w:rPr>
          <w:rFonts w:ascii="Palatino Linotype" w:eastAsia="Palatino Linotype" w:hAnsi="Palatino Linotype" w:cs="Palatino Linotype"/>
          <w:b/>
          <w:color w:val="000000"/>
          <w:sz w:val="22"/>
          <w:szCs w:val="22"/>
        </w:rPr>
      </w:pPr>
      <w:bookmarkStart w:id="18" w:name="_heading=h.nqtu0jir6nea" w:colFirst="0" w:colLast="0"/>
      <w:bookmarkStart w:id="19" w:name="_Toc210314562"/>
      <w:bookmarkEnd w:id="18"/>
      <w:r>
        <w:rPr>
          <w:rFonts w:ascii="Palatino Linotype" w:eastAsia="Palatino Linotype" w:hAnsi="Palatino Linotype" w:cs="Palatino Linotype"/>
          <w:b/>
          <w:color w:val="000000"/>
          <w:sz w:val="22"/>
          <w:szCs w:val="22"/>
        </w:rPr>
        <w:t>SEGUNDO. Causales de improcedencia y sobreseimiento</w:t>
      </w:r>
      <w:bookmarkEnd w:id="19"/>
    </w:p>
    <w:p w:rsidR="00772A48" w:rsidRDefault="00772A48">
      <w:pPr>
        <w:spacing w:line="360" w:lineRule="auto"/>
        <w:jc w:val="both"/>
        <w:rPr>
          <w:rFonts w:ascii="Palatino Linotype" w:eastAsia="Palatino Linotype" w:hAnsi="Palatino Linotype" w:cs="Palatino Linotype"/>
          <w:b/>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proofErr w:type="spellStart"/>
      <w:r>
        <w:rPr>
          <w:rFonts w:ascii="Palatino Linotype" w:eastAsia="Palatino Linotype" w:hAnsi="Palatino Linotype" w:cs="Palatino Linotype"/>
          <w:i/>
          <w:sz w:val="22"/>
          <w:szCs w:val="22"/>
        </w:rPr>
        <w:t>litis</w:t>
      </w:r>
      <w:proofErr w:type="spellEnd"/>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rsidR="00772A48" w:rsidRDefault="00772A48">
      <w:pPr>
        <w:spacing w:line="360" w:lineRule="auto"/>
        <w:jc w:val="both"/>
        <w:rPr>
          <w:rFonts w:ascii="Palatino Linotype" w:eastAsia="Palatino Linotype" w:hAnsi="Palatino Linotype" w:cs="Palatino Linotype"/>
          <w:b/>
          <w:color w:val="000000"/>
          <w:sz w:val="22"/>
          <w:szCs w:val="22"/>
        </w:rPr>
      </w:pPr>
    </w:p>
    <w:p w:rsidR="00772A48" w:rsidRDefault="006646EE">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Pr>
          <w:rFonts w:ascii="Palatino Linotype" w:eastAsia="Palatino Linotype" w:hAnsi="Palatino Linotype" w:cs="Palatino Linotype"/>
          <w:sz w:val="22"/>
          <w:szCs w:val="22"/>
        </w:rPr>
        <w:lastRenderedPageBreak/>
        <w:t>actualice alguno de los supuestos establecidos en el artículo 191 de la Ley de Transparencia y Acceso a la Información Pública del Estado de México y Municipios, por ser improcedente.</w:t>
      </w: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se actualiza la causal de procedencia del Recurso de Revisión establecida en el artículo 179, fracción V, de la Ley de Transparencia y Acceso a la Información Pública del Estado de México y Municipios, referente a la entrega de información incompleta.</w:t>
      </w: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Causales de sobreseimiento</w:t>
      </w: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ser de previo y especial pronunciamiento, este Instituto analiza si se actualiza alguna causal de sobreseimiento.</w:t>
      </w: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w:t>
      </w:r>
      <w:r>
        <w:rPr>
          <w:rFonts w:ascii="Palatino Linotype" w:eastAsia="Palatino Linotype" w:hAnsi="Palatino Linotype" w:cs="Palatino Linotype"/>
          <w:sz w:val="22"/>
          <w:szCs w:val="22"/>
        </w:rPr>
        <w:lastRenderedPageBreak/>
        <w:t>Obligado hubiese modificado o revocado el acto impugnado o bien, haya quedado sin materia.</w:t>
      </w:r>
    </w:p>
    <w:p w:rsidR="00772A48" w:rsidRDefault="00772A48">
      <w:pPr>
        <w:spacing w:line="360" w:lineRule="auto"/>
        <w:jc w:val="both"/>
        <w:rPr>
          <w:rFonts w:ascii="Palatino Linotype" w:eastAsia="Palatino Linotype" w:hAnsi="Palatino Linotype" w:cs="Palatino Linotype"/>
          <w:sz w:val="22"/>
          <w:szCs w:val="22"/>
        </w:rPr>
      </w:pPr>
    </w:p>
    <w:p w:rsidR="00772A48" w:rsidRDefault="00772A48">
      <w:pPr>
        <w:spacing w:line="360" w:lineRule="auto"/>
        <w:jc w:val="both"/>
        <w:rPr>
          <w:rFonts w:ascii="Palatino Linotype" w:eastAsia="Palatino Linotype" w:hAnsi="Palatino Linotype" w:cs="Palatino Linotype"/>
          <w:sz w:val="22"/>
          <w:szCs w:val="22"/>
        </w:rPr>
      </w:pP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tales motivos, se considera procedente entrar al fondo del presente asunto. </w:t>
      </w:r>
    </w:p>
    <w:p w:rsidR="00772A48" w:rsidRDefault="00772A48">
      <w:pPr>
        <w:tabs>
          <w:tab w:val="left" w:pos="4962"/>
        </w:tabs>
        <w:spacing w:line="360" w:lineRule="auto"/>
        <w:jc w:val="both"/>
        <w:rPr>
          <w:rFonts w:ascii="Palatino Linotype" w:eastAsia="Palatino Linotype" w:hAnsi="Palatino Linotype" w:cs="Palatino Linotype"/>
          <w:sz w:val="22"/>
          <w:szCs w:val="22"/>
        </w:rPr>
      </w:pPr>
    </w:p>
    <w:p w:rsidR="00772A48" w:rsidRDefault="006646EE">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Determinación de la Controversia</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6646EE">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Una vez realizado el estudio de las constancias que integran el expediente en que se actúa, se desprende que el Particular requirió las resoluciones de Recursos de Revisión notificadas a la Unidad de Transparencia, durante los meses de enero, marzo, mayo, junio y agosto de dos mil veinte.</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6646EE">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respuesta, la Unidad de Transparencia, proporcionó dieciocho resoluciones emitidas por este Instituto y precisó que no había localizado información del mayo y junio de dos mil veinte; ante dicha circunstancia, el Particular se inconformó de la entrega de la información incompleta, lo cual actualiza la causal de procedencia prevista en la fracción V, del artículo 179 de la Ley de Transparencia y Acceso a la Información Pública del Estado de México y Municipios. Así las cosas, una </w:t>
      </w:r>
      <w:proofErr w:type="spellStart"/>
      <w:r>
        <w:rPr>
          <w:rFonts w:ascii="Palatino Linotype" w:eastAsia="Palatino Linotype" w:hAnsi="Palatino Linotype" w:cs="Palatino Linotype"/>
          <w:color w:val="000000"/>
          <w:sz w:val="22"/>
          <w:szCs w:val="22"/>
        </w:rPr>
        <w:t>ves</w:t>
      </w:r>
      <w:proofErr w:type="spellEnd"/>
      <w:r>
        <w:rPr>
          <w:rFonts w:ascii="Palatino Linotype" w:eastAsia="Palatino Linotype" w:hAnsi="Palatino Linotype" w:cs="Palatino Linotype"/>
          <w:color w:val="000000"/>
          <w:sz w:val="22"/>
          <w:szCs w:val="22"/>
        </w:rPr>
        <w:t xml:space="preserve"> admitido y notificado a las partes </w:t>
      </w:r>
      <w:proofErr w:type="gramStart"/>
      <w:r>
        <w:rPr>
          <w:rFonts w:ascii="Palatino Linotype" w:eastAsia="Palatino Linotype" w:hAnsi="Palatino Linotype" w:cs="Palatino Linotype"/>
          <w:color w:val="000000"/>
          <w:sz w:val="22"/>
          <w:szCs w:val="22"/>
        </w:rPr>
        <w:t>los</w:t>
      </w:r>
      <w:proofErr w:type="gramEnd"/>
      <w:r>
        <w:rPr>
          <w:rFonts w:ascii="Palatino Linotype" w:eastAsia="Palatino Linotype" w:hAnsi="Palatino Linotype" w:cs="Palatino Linotype"/>
          <w:color w:val="000000"/>
          <w:sz w:val="22"/>
          <w:szCs w:val="22"/>
        </w:rPr>
        <w:t xml:space="preserve"> Medio de Impugnación, el Sujeto Obligado ratificó la respuesta inicial.</w:t>
      </w: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proporcionada, el escrito </w:t>
      </w:r>
      <w:proofErr w:type="spellStart"/>
      <w:r>
        <w:rPr>
          <w:rFonts w:ascii="Palatino Linotype" w:eastAsia="Palatino Linotype" w:hAnsi="Palatino Linotype" w:cs="Palatino Linotype"/>
          <w:sz w:val="22"/>
          <w:szCs w:val="22"/>
        </w:rPr>
        <w:t>recursal</w:t>
      </w:r>
      <w:proofErr w:type="spellEnd"/>
      <w:r>
        <w:rPr>
          <w:rFonts w:ascii="Palatino Linotype" w:eastAsia="Palatino Linotype" w:hAnsi="Palatino Linotype" w:cs="Palatino Linotype"/>
          <w:sz w:val="22"/>
          <w:szCs w:val="22"/>
        </w:rPr>
        <w:t xml:space="preserve">, y el informe justificado; instrumentales que se toman en cuenta a efecto de resolver el presente medio de impugnación, conforme a lo </w:t>
      </w:r>
      <w:r>
        <w:rPr>
          <w:rFonts w:ascii="Palatino Linotype" w:eastAsia="Palatino Linotype" w:hAnsi="Palatino Linotype" w:cs="Palatino Linotype"/>
          <w:sz w:val="22"/>
          <w:szCs w:val="22"/>
        </w:rPr>
        <w:lastRenderedPageBreak/>
        <w:t>dispuesto por el artículo 185, fracción IV, de la Ley de Transparencia y Acceso a la Información Pública del Estado de México y Municipios.</w:t>
      </w:r>
      <w:r>
        <w:rPr>
          <w:rFonts w:ascii="Palatino Linotype" w:eastAsia="Palatino Linotype" w:hAnsi="Palatino Linotype" w:cs="Palatino Linotype"/>
          <w:b/>
          <w:sz w:val="22"/>
          <w:szCs w:val="22"/>
        </w:rPr>
        <w:t xml:space="preserve"> </w:t>
      </w:r>
    </w:p>
    <w:p w:rsidR="00772A48" w:rsidRDefault="00772A48">
      <w:pPr>
        <w:tabs>
          <w:tab w:val="left" w:pos="4962"/>
        </w:tabs>
        <w:spacing w:line="360" w:lineRule="auto"/>
        <w:jc w:val="both"/>
        <w:rPr>
          <w:rFonts w:ascii="Palatino Linotype" w:eastAsia="Palatino Linotype" w:hAnsi="Palatino Linotype" w:cs="Palatino Linotype"/>
          <w:sz w:val="22"/>
          <w:szCs w:val="22"/>
        </w:rPr>
      </w:pPr>
    </w:p>
    <w:p w:rsidR="00772A48" w:rsidRDefault="006646EE">
      <w:pPr>
        <w:pStyle w:val="Ttulo2"/>
        <w:spacing w:before="0" w:after="0" w:line="360" w:lineRule="auto"/>
        <w:jc w:val="both"/>
        <w:rPr>
          <w:rFonts w:ascii="Palatino Linotype" w:eastAsia="Palatino Linotype" w:hAnsi="Palatino Linotype" w:cs="Palatino Linotype"/>
          <w:b/>
          <w:color w:val="000000"/>
          <w:sz w:val="22"/>
          <w:szCs w:val="22"/>
        </w:rPr>
      </w:pPr>
      <w:bookmarkStart w:id="20" w:name="_heading=h.hpifmsp7ah1y" w:colFirst="0" w:colLast="0"/>
      <w:bookmarkStart w:id="21" w:name="_Toc210314563"/>
      <w:bookmarkEnd w:id="20"/>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21"/>
    </w:p>
    <w:p w:rsidR="00772A48" w:rsidRDefault="00772A48">
      <w:pPr>
        <w:widowControl w:val="0"/>
        <w:spacing w:line="360" w:lineRule="auto"/>
        <w:jc w:val="both"/>
        <w:rPr>
          <w:rFonts w:ascii="Palatino Linotype" w:eastAsia="Palatino Linotype" w:hAnsi="Palatino Linotype" w:cs="Palatino Linotype"/>
          <w:sz w:val="22"/>
          <w:szCs w:val="22"/>
        </w:rPr>
      </w:pPr>
    </w:p>
    <w:p w:rsidR="00772A48" w:rsidRDefault="006646EE">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772A48" w:rsidRDefault="00772A48">
      <w:pPr>
        <w:widowControl w:val="0"/>
        <w:spacing w:line="360" w:lineRule="auto"/>
        <w:jc w:val="both"/>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772A48" w:rsidRDefault="00772A48">
      <w:pPr>
        <w:widowControl w:val="0"/>
        <w:spacing w:line="360" w:lineRule="auto"/>
        <w:jc w:val="both"/>
        <w:rPr>
          <w:rFonts w:ascii="Palatino Linotype" w:eastAsia="Palatino Linotype" w:hAnsi="Palatino Linotype" w:cs="Palatino Linotype"/>
          <w:sz w:val="22"/>
          <w:szCs w:val="22"/>
        </w:rPr>
      </w:pPr>
    </w:p>
    <w:p w:rsidR="00772A48" w:rsidRDefault="006646EE">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rsidR="00772A48" w:rsidRDefault="00772A48">
      <w:pPr>
        <w:widowControl w:val="0"/>
        <w:spacing w:line="360" w:lineRule="auto"/>
        <w:jc w:val="both"/>
        <w:rPr>
          <w:rFonts w:ascii="Palatino Linotype" w:eastAsia="Palatino Linotype" w:hAnsi="Palatino Linotype" w:cs="Palatino Linotype"/>
          <w:sz w:val="22"/>
          <w:szCs w:val="22"/>
        </w:rPr>
      </w:pPr>
    </w:p>
    <w:p w:rsidR="00772A48" w:rsidRDefault="006646EE">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rsidR="00772A48" w:rsidRDefault="00772A48">
      <w:pPr>
        <w:widowControl w:val="0"/>
        <w:spacing w:line="360" w:lineRule="auto"/>
        <w:jc w:val="both"/>
        <w:rPr>
          <w:rFonts w:ascii="Palatino Linotype" w:eastAsia="Palatino Linotype" w:hAnsi="Palatino Linotype" w:cs="Palatino Linotype"/>
          <w:sz w:val="22"/>
          <w:szCs w:val="22"/>
        </w:rPr>
      </w:pPr>
    </w:p>
    <w:p w:rsidR="00772A48" w:rsidRDefault="006646EE">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artículo 18, que, los Sujetos Obligados deberán documentar todo acto que derive del ejercicio de sus facultades, competencias o funciones, considerando desde su origen la </w:t>
      </w:r>
      <w:r>
        <w:rPr>
          <w:rFonts w:ascii="Palatino Linotype" w:eastAsia="Palatino Linotype" w:hAnsi="Palatino Linotype" w:cs="Palatino Linotype"/>
          <w:sz w:val="22"/>
          <w:szCs w:val="22"/>
        </w:rPr>
        <w:lastRenderedPageBreak/>
        <w:t>eventual publicidad y reutilización de la información que generen.</w:t>
      </w:r>
    </w:p>
    <w:p w:rsidR="00772A48" w:rsidRDefault="00772A48">
      <w:pPr>
        <w:widowControl w:val="0"/>
        <w:spacing w:line="360" w:lineRule="auto"/>
        <w:jc w:val="both"/>
        <w:rPr>
          <w:rFonts w:ascii="Palatino Linotype" w:eastAsia="Palatino Linotype" w:hAnsi="Palatino Linotype" w:cs="Palatino Linotype"/>
          <w:sz w:val="22"/>
          <w:szCs w:val="22"/>
        </w:rPr>
      </w:pPr>
    </w:p>
    <w:p w:rsidR="00772A48" w:rsidRDefault="006646EE">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72A48" w:rsidRDefault="00772A48">
      <w:pPr>
        <w:tabs>
          <w:tab w:val="left" w:pos="4962"/>
        </w:tabs>
        <w:spacing w:line="360" w:lineRule="auto"/>
        <w:jc w:val="both"/>
        <w:rPr>
          <w:rFonts w:ascii="Palatino Linotype" w:eastAsia="Palatino Linotype" w:hAnsi="Palatino Linotype" w:cs="Palatino Linotype"/>
          <w:sz w:val="22"/>
          <w:szCs w:val="22"/>
        </w:rPr>
      </w:pPr>
    </w:p>
    <w:p w:rsidR="00772A48" w:rsidRDefault="006646EE">
      <w:pPr>
        <w:pStyle w:val="Ttulo2"/>
        <w:spacing w:before="0" w:after="0" w:line="360" w:lineRule="auto"/>
        <w:rPr>
          <w:rFonts w:ascii="Palatino Linotype" w:eastAsia="Palatino Linotype" w:hAnsi="Palatino Linotype" w:cs="Palatino Linotype"/>
          <w:b/>
          <w:color w:val="000000"/>
          <w:sz w:val="22"/>
          <w:szCs w:val="22"/>
        </w:rPr>
      </w:pPr>
      <w:bookmarkStart w:id="22" w:name="_heading=h.ggmqbsaxe4hq" w:colFirst="0" w:colLast="0"/>
      <w:bookmarkStart w:id="23" w:name="_Toc210314564"/>
      <w:bookmarkEnd w:id="22"/>
      <w:r>
        <w:rPr>
          <w:rFonts w:ascii="Palatino Linotype" w:eastAsia="Palatino Linotype" w:hAnsi="Palatino Linotype" w:cs="Palatino Linotype"/>
          <w:b/>
          <w:color w:val="000000"/>
          <w:sz w:val="22"/>
          <w:szCs w:val="22"/>
        </w:rPr>
        <w:t>QUINTO. Estudio de Fondo</w:t>
      </w:r>
      <w:bookmarkEnd w:id="23"/>
    </w:p>
    <w:p w:rsidR="00772A48" w:rsidRDefault="00772A48">
      <w:pPr>
        <w:spacing w:line="360" w:lineRule="auto"/>
        <w:jc w:val="both"/>
        <w:rPr>
          <w:rFonts w:ascii="Palatino Linotype" w:eastAsia="Palatino Linotype" w:hAnsi="Palatino Linotype" w:cs="Palatino Linotype"/>
          <w:b/>
          <w:sz w:val="22"/>
          <w:szCs w:val="22"/>
        </w:rPr>
      </w:pPr>
    </w:p>
    <w:p w:rsidR="00772A48" w:rsidRDefault="006646EE">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 xml:space="preserve">Expuestas las posturas de las partes, se procede a realizar el análisis del agravio hecho valer por el ahora Recurrente, concerniente a la entrega de información incompleta; </w:t>
      </w:r>
      <w:r>
        <w:rPr>
          <w:rFonts w:ascii="Palatino Linotype" w:eastAsia="Palatino Linotype" w:hAnsi="Palatino Linotype" w:cs="Palatino Linotype"/>
          <w:color w:val="000000"/>
          <w:sz w:val="22"/>
          <w:szCs w:val="22"/>
        </w:rPr>
        <w:t xml:space="preserve">al respecto se debe tener en consideración que de conformidad con lo dispuesto en el artículo 36 de la Ley de Transparencia y Acceso a la información pública del Estado de México y Municipios prevé que el Instituto de Transparencia, Acceso a la Información Pública y Protección de Datos Personales del Estado de México y Municipios, es el encargado de conocer y resolver los recursos de revisión que son interpuestos por Particulares en contra de lo emitido por los sujetos obligados.  </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6646EE">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Aunado a ello, el artículo 119 de la Ley de Transparencia Local, establece que las resoluciones que emita este Organismo Garante debe notificarse a las partes, entre ellas, a los Sujetos Obligados para que den cumplimento a las mismas, aunado a ello, los artículos 24, fracción X, 49, fracción XVII y 56 de la misma Ley prevén que los Sujetos Obligados tienen la obligación de cumplir cabalmente con las resoluciones emitidas por este Organismo Garante y que los Comités de Transparencia deben vigilar el cumplimiento, asimismo, las Unidades de Transparencia son quienes acatarán las resoluciones.</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6646EE">
      <w:p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lastRenderedPageBreak/>
        <w:t>Aunado a lo anterior, es destacar que conforme a los artículos 5.42 del Código Reglamentario del Sujeto Obligado, se advierte la existencia de una Unidad de Transparencia, la cual cuenta con facultades para conocer de las resoluciones que le fueron notificadas en la temporalidad solicitada, en consecuencia, se trata del área competente para conocer de la información solicitada.</w:t>
      </w:r>
    </w:p>
    <w:p w:rsidR="00772A48" w:rsidRDefault="006646EE">
      <w:pPr>
        <w:widowControl w:val="0"/>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 xml:space="preserve">Conforme a lo anterior, se logra vislumbrar que la pretensión de la persona Recurrente es obtener las resoluciones a Recursos de Revisión notificadas a la Unidad de Transparencia en enero, </w:t>
      </w:r>
      <w:r>
        <w:rPr>
          <w:rFonts w:ascii="Palatino Linotype" w:eastAsia="Palatino Linotype" w:hAnsi="Palatino Linotype" w:cs="Palatino Linotype"/>
          <w:color w:val="000000"/>
          <w:sz w:val="22"/>
          <w:szCs w:val="22"/>
        </w:rPr>
        <w:t>marzo, mayo, junio y agosto de dos mil veinte; además, que el Sujeto obligado debe conocer de dicha información.</w:t>
      </w:r>
    </w:p>
    <w:p w:rsidR="00772A48" w:rsidRDefault="00772A48">
      <w:pPr>
        <w:widowControl w:val="0"/>
        <w:spacing w:line="360" w:lineRule="auto"/>
        <w:jc w:val="both"/>
        <w:rPr>
          <w:rFonts w:ascii="Palatino Linotype" w:eastAsia="Palatino Linotype" w:hAnsi="Palatino Linotype" w:cs="Palatino Linotype"/>
          <w:color w:val="000000"/>
          <w:sz w:val="22"/>
          <w:szCs w:val="22"/>
        </w:rPr>
      </w:pPr>
    </w:p>
    <w:p w:rsidR="00772A48" w:rsidRDefault="006646EE">
      <w:pPr>
        <w:spacing w:line="360" w:lineRule="auto"/>
        <w:ind w:righ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Establecida dicha circunstancia, se procede analizar la respuesta entregada, para lo cual, es de señalar que la Unidad de Transparencia fue el área que dio respuesta a la solicitud; 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rsidR="00772A48" w:rsidRDefault="00772A48">
      <w:pPr>
        <w:spacing w:line="360" w:lineRule="auto"/>
        <w:ind w:right="-28"/>
        <w:jc w:val="both"/>
        <w:rPr>
          <w:rFonts w:ascii="Palatino Linotype" w:eastAsia="Palatino Linotype" w:hAnsi="Palatino Linotype" w:cs="Palatino Linotype"/>
          <w:sz w:val="22"/>
          <w:szCs w:val="22"/>
        </w:rPr>
      </w:pPr>
    </w:p>
    <w:p w:rsidR="00772A48" w:rsidRDefault="006646EE">
      <w:pPr>
        <w:spacing w:line="360" w:lineRule="auto"/>
        <w:ind w:righ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Dicho lo anterior, es necesario traer al estudio el artículo 114, fracción II, del Bando Municipal de Toluca, dos mil veinticinco, en relación con el artículo 5.41 fracción I, del Código Reglamentario Municipal, en el que se establece que el Sujeto Obligado para el ejercicio de sus funciones contará con diversas unidades administrativas, entre otras, la Unidad de Transparencia, encargada de conocer todo lo relacionado a garantizar el derecho </w:t>
      </w:r>
      <w:r>
        <w:rPr>
          <w:rFonts w:ascii="Palatino Linotype" w:eastAsia="Palatino Linotype" w:hAnsi="Palatino Linotype" w:cs="Palatino Linotype"/>
          <w:sz w:val="22"/>
          <w:szCs w:val="22"/>
        </w:rPr>
        <w:lastRenderedPageBreak/>
        <w:t>de acceso a la información, y la protección de datos personales de la Administración Municipal.</w:t>
      </w:r>
    </w:p>
    <w:p w:rsidR="00772A48" w:rsidRDefault="006646EE">
      <w:pPr>
        <w:spacing w:line="360" w:lineRule="auto"/>
        <w:ind w:righ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rsidR="00772A48" w:rsidRDefault="006646EE">
      <w:pPr>
        <w:spacing w:line="360" w:lineRule="auto"/>
        <w:ind w:righ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se advierte que fue la propia Unidad de Transparencia en su calidad de habilitado es la competente para conocer de lo requerido, al ver las cuestiones relacionadas con el derecho de acceso a la información y la protección de datos personales del Ayuntamiento de Toluca y por lo tanto cumplió con parte del procedimiento de búsqueda.</w:t>
      </w: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tabs>
          <w:tab w:val="left" w:pos="7080"/>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Ahora bien, en respuesta dicha área proporcionó dieciocho resoluciones notificadas en los meses de enero, marzo y agosto, por este Organismo Garante, además de señalar que en los meses de junio y mayo no se contó con dichos documentales a pesar de haber realizado una búsqueda exhaustiva en sus archivos de resguardo</w:t>
      </w:r>
      <w:r>
        <w:rPr>
          <w:rFonts w:ascii="Palatino Linotype" w:eastAsia="Palatino Linotype" w:hAnsi="Palatino Linotype" w:cs="Palatino Linotype"/>
          <w:color w:val="000000"/>
          <w:sz w:val="22"/>
          <w:szCs w:val="22"/>
        </w:rPr>
        <w:t>.</w:t>
      </w:r>
    </w:p>
    <w:p w:rsidR="00772A48" w:rsidRDefault="00772A48">
      <w:pPr>
        <w:tabs>
          <w:tab w:val="left" w:pos="7080"/>
        </w:tabs>
        <w:spacing w:line="360" w:lineRule="auto"/>
        <w:jc w:val="both"/>
        <w:rPr>
          <w:rFonts w:ascii="Palatino Linotype" w:eastAsia="Palatino Linotype" w:hAnsi="Palatino Linotype" w:cs="Palatino Linotype"/>
          <w:color w:val="000000"/>
          <w:sz w:val="22"/>
          <w:szCs w:val="22"/>
        </w:rPr>
      </w:pPr>
    </w:p>
    <w:p w:rsidR="00772A48" w:rsidRDefault="006646EE">
      <w:pPr>
        <w:tabs>
          <w:tab w:val="left" w:pos="7080"/>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En ese contexto, este Instituto realizó una consulta a la </w:t>
      </w:r>
      <w:r>
        <w:rPr>
          <w:rFonts w:ascii="Palatino Linotype" w:eastAsia="Palatino Linotype" w:hAnsi="Palatino Linotype" w:cs="Palatino Linotype"/>
          <w:sz w:val="22"/>
          <w:szCs w:val="22"/>
        </w:rPr>
        <w:t>Dirección General de Informática, con el fin de que señalara el número total de resoluciones notificadas durante el plazo solicitado, a lo cual contestó que se habían notificado un total de cuarenta y tres determinaciones a Recursos de Revisión, tal como se muestra a continuación:</w:t>
      </w:r>
    </w:p>
    <w:p w:rsidR="00772A48" w:rsidRDefault="00772A48">
      <w:pPr>
        <w:tabs>
          <w:tab w:val="left" w:pos="7080"/>
        </w:tabs>
        <w:spacing w:line="360" w:lineRule="auto"/>
        <w:jc w:val="both"/>
        <w:rPr>
          <w:rFonts w:ascii="Palatino Linotype" w:eastAsia="Palatino Linotype" w:hAnsi="Palatino Linotype" w:cs="Palatino Linotype"/>
          <w:sz w:val="22"/>
          <w:szCs w:val="22"/>
        </w:rPr>
      </w:pPr>
    </w:p>
    <w:p w:rsidR="00772A48" w:rsidRDefault="006646EE">
      <w:pPr>
        <w:tabs>
          <w:tab w:val="left" w:pos="7080"/>
        </w:tabs>
        <w:spacing w:line="360" w:lineRule="auto"/>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noProof/>
          <w:color w:val="000000"/>
          <w:sz w:val="22"/>
          <w:szCs w:val="22"/>
        </w:rPr>
        <w:drawing>
          <wp:inline distT="0" distB="0" distL="0" distR="0">
            <wp:extent cx="4360656" cy="1139989"/>
            <wp:effectExtent l="0" t="0" r="0" b="0"/>
            <wp:docPr id="6213084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360656" cy="1139989"/>
                    </a:xfrm>
                    <a:prstGeom prst="rect">
                      <a:avLst/>
                    </a:prstGeom>
                    <a:ln/>
                  </pic:spPr>
                </pic:pic>
              </a:graphicData>
            </a:graphic>
          </wp:inline>
        </w:drawing>
      </w:r>
    </w:p>
    <w:p w:rsidR="00772A48" w:rsidRDefault="00772A48">
      <w:pPr>
        <w:tabs>
          <w:tab w:val="left" w:pos="7080"/>
        </w:tabs>
        <w:spacing w:line="360" w:lineRule="auto"/>
        <w:jc w:val="both"/>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tal suerte, que este Instituto no tiene certeza si la Unidad de Transparencia realizó una búsqueda exhaustiva y razonable en sus archivos, pues como ya se refirió proporcionó </w:t>
      </w:r>
      <w:r>
        <w:rPr>
          <w:rFonts w:ascii="Palatino Linotype" w:eastAsia="Palatino Linotype" w:hAnsi="Palatino Linotype" w:cs="Palatino Linotype"/>
          <w:sz w:val="22"/>
          <w:szCs w:val="22"/>
        </w:rPr>
        <w:lastRenderedPageBreak/>
        <w:t xml:space="preserve">información de manera incompleta, lo cual da como resultado que el agravio sea </w:t>
      </w:r>
      <w:r>
        <w:rPr>
          <w:rFonts w:ascii="Palatino Linotype" w:eastAsia="Palatino Linotype" w:hAnsi="Palatino Linotype" w:cs="Palatino Linotype"/>
          <w:b/>
          <w:sz w:val="22"/>
          <w:szCs w:val="22"/>
        </w:rPr>
        <w:t>FUNDADO</w:t>
      </w:r>
      <w:r>
        <w:rPr>
          <w:rFonts w:ascii="Palatino Linotype" w:eastAsia="Palatino Linotype" w:hAnsi="Palatino Linotype" w:cs="Palatino Linotype"/>
          <w:sz w:val="22"/>
          <w:szCs w:val="22"/>
        </w:rPr>
        <w:t>.</w:t>
      </w: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 anterior, toma relevancia pues aún y cuando se pronunció la unidad administrativa competentes y esta señaló que realizó una búsqueda exhaustiva y razonable en sus archivos, no acreditó lo siguiente:</w:t>
      </w: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numPr>
          <w:ilvl w:val="0"/>
          <w:numId w:val="2"/>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Tipo de archivos buscados (físicos o electrónicos);</w:t>
      </w:r>
    </w:p>
    <w:p w:rsidR="00772A48" w:rsidRDefault="006646EE">
      <w:pPr>
        <w:numPr>
          <w:ilvl w:val="0"/>
          <w:numId w:val="2"/>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Los criterios de búsqueda utilizados, y </w:t>
      </w:r>
    </w:p>
    <w:p w:rsidR="00772A48" w:rsidRDefault="006646EE">
      <w:pPr>
        <w:numPr>
          <w:ilvl w:val="0"/>
          <w:numId w:val="2"/>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Las circunstancias que fueron tomadas en cuenta.</w:t>
      </w:r>
      <w:r>
        <w:rPr>
          <w:rFonts w:ascii="Palatino Linotype" w:eastAsia="Palatino Linotype" w:hAnsi="Palatino Linotype" w:cs="Palatino Linotype"/>
          <w:color w:val="000000"/>
          <w:sz w:val="22"/>
          <w:szCs w:val="22"/>
        </w:rPr>
        <w:tab/>
      </w: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vislumbrar que el Sujeto Obligado no acreditó que haya realizado una búsqueda exhaustiva y razonable en sus archivos; </w:t>
      </w:r>
      <w:proofErr w:type="gramStart"/>
      <w:r>
        <w:rPr>
          <w:rFonts w:ascii="Palatino Linotype" w:eastAsia="Palatino Linotype" w:hAnsi="Palatino Linotype" w:cs="Palatino Linotype"/>
          <w:sz w:val="22"/>
          <w:szCs w:val="22"/>
        </w:rPr>
        <w:t>aunado</w:t>
      </w:r>
      <w:proofErr w:type="gramEnd"/>
      <w:r>
        <w:rPr>
          <w:rFonts w:ascii="Palatino Linotype" w:eastAsia="Palatino Linotype" w:hAnsi="Palatino Linotype" w:cs="Palatino Linotype"/>
          <w:sz w:val="22"/>
          <w:szCs w:val="22"/>
        </w:rPr>
        <w:t xml:space="preserve"> a que la mayoría de las resoluciones, se localizan dentro del SAIMEX y SARCOEM que es el sistema de notificación principal de este Instituto.</w:t>
      </w:r>
    </w:p>
    <w:p w:rsidR="00772A48" w:rsidRDefault="00772A48">
      <w:pPr>
        <w:spacing w:line="360" w:lineRule="auto"/>
        <w:jc w:val="center"/>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 xml:space="preserve">Por lo que este Instituto considera que, para atender el requerimiento de información, el Sujeto Obligado deberá realizar una búsqueda exhaustiva y razonable en la Unidad de Transparencia, a efecto de que proporcione las resoluciones faltantes correspondientes a enero, marzo, mayo, junio y agosto de dos mil veinte; </w:t>
      </w:r>
      <w:r>
        <w:rPr>
          <w:rFonts w:ascii="Palatino Linotype" w:eastAsia="Palatino Linotype" w:hAnsi="Palatino Linotype" w:cs="Palatino Linotype"/>
          <w:sz w:val="22"/>
          <w:szCs w:val="22"/>
        </w:rPr>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De esta manera, el derecho de acceso a la información pública se satisface en aquellos casos en que se entregue el soporte documental en el que conste la información solicitada, sin necesidad de elaborar documentos </w:t>
      </w:r>
      <w:r>
        <w:rPr>
          <w:rFonts w:ascii="Palatino Linotype" w:eastAsia="Palatino Linotype" w:hAnsi="Palatino Linotype" w:cs="Palatino Linotype"/>
          <w:i/>
          <w:sz w:val="22"/>
          <w:szCs w:val="22"/>
        </w:rPr>
        <w:t>ad hoc</w:t>
      </w:r>
      <w:r>
        <w:rPr>
          <w:rFonts w:ascii="Palatino Linotype" w:eastAsia="Palatino Linotype" w:hAnsi="Palatino Linotype" w:cs="Palatino Linotype"/>
          <w:sz w:val="22"/>
          <w:szCs w:val="22"/>
        </w:rPr>
        <w:t>; lo cual, de conformidad con en el artículo 160 de la Ley de Transparencia y Acceso a la Información Pública del Estado de México y Municipios, el cual refiere que los sujetos obligados deberán entregar la información que obre en sus archivos.</w:t>
      </w:r>
    </w:p>
    <w:p w:rsidR="00772A48" w:rsidRDefault="00772A48">
      <w:pPr>
        <w:spacing w:line="360" w:lineRule="auto"/>
        <w:jc w:val="both"/>
        <w:rPr>
          <w:rFonts w:ascii="Palatino Linotype" w:eastAsia="Palatino Linotype" w:hAnsi="Palatino Linotype" w:cs="Palatino Linotype"/>
          <w:b/>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 requerido.</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6646EE">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Ahora bien, no pasa desapercibido para este Instituto que el Sujeto Obligado proporcionó diversas resoluciones en versión pública, en donde clasificó el nombre de las personas Recurrentes, por lo que, resulta necesario analizar si procede o no su clasificación.</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6646EE">
      <w:p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El artículo 143, fracción I, de la Ley previamente citada, establece que la información privada y los datos personales, concernientes a una persona física o jurídica colectiva identificada o identificable son confidenciales.</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6646EE">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w:t>
      </w:r>
      <w:r>
        <w:rPr>
          <w:rFonts w:ascii="Palatino Linotype" w:eastAsia="Palatino Linotype" w:hAnsi="Palatino Linotype" w:cs="Palatino Linotype"/>
          <w:color w:val="000000"/>
          <w:sz w:val="22"/>
          <w:szCs w:val="22"/>
        </w:rPr>
        <w:lastRenderedPageBreak/>
        <w:t>para proteger los derechos de terceros o cuando se transmita entre sujetos obligados en términos de los tratados y los acuerdos interinstitucionales.</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6646EE">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términos de lo expuesto, la documentación y aquellos datos que se consideren confidenciales, serán una limitante del derecho de acceso a la información, siempre y cuando:</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6646EE">
      <w:pPr>
        <w:numPr>
          <w:ilvl w:val="0"/>
          <w:numId w:val="3"/>
        </w:numPr>
        <w:spacing w:after="16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trate de datos personales o información privada; esto es, información concerniente a una persona física o jurídico colectiva y que esta sea identificada o identificable. </w:t>
      </w:r>
    </w:p>
    <w:p w:rsidR="00772A48" w:rsidRDefault="006646EE">
      <w:pPr>
        <w:numPr>
          <w:ilvl w:val="0"/>
          <w:numId w:val="3"/>
        </w:numPr>
        <w:spacing w:after="16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Para la difusión de los datos, se requiera el consentimiento del titular. </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6646EE">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6646EE">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Además, en el artículo 5° de dicho ordenamiento jurídico, establece que es la Ley aplicable para todo tratamiento de datos personales.</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6646EE">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6646EE">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este sentido, un dato personal es cualquier información que pueda hacer a una persona física o jurídica colectiva identificada e identificable; por lo que, bajo dicha circunstancia, se analizarán si el dato mencionado, debe ser considerado confidencial, en términos del artículo 143, fracción I, de la Ley de Transparencia y Acceso a la Información Pública del Estado de México y Municipios, o públicos.</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6646EE">
      <w:p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Al respecto, se considera que 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w:t>
      </w:r>
      <w:r>
        <w:rPr>
          <w:rFonts w:ascii="Palatino Linotype" w:eastAsia="Palatino Linotype" w:hAnsi="Palatino Linotype" w:cs="Palatino Linotype"/>
          <w:i/>
          <w:color w:val="000000"/>
          <w:sz w:val="22"/>
          <w:szCs w:val="22"/>
        </w:rPr>
        <w:t>per se</w:t>
      </w:r>
      <w:r>
        <w:rPr>
          <w:rFonts w:ascii="Palatino Linotype" w:eastAsia="Palatino Linotype" w:hAnsi="Palatino Linotype" w:cs="Palatino Linotype"/>
          <w:color w:val="000000"/>
          <w:sz w:val="22"/>
          <w:szCs w:val="22"/>
        </w:rPr>
        <w:t xml:space="preserve"> es un elemento que hace a una persona física identificada o identificable, por lo que, </w:t>
      </w:r>
      <w:r>
        <w:rPr>
          <w:rFonts w:ascii="Palatino Linotype" w:eastAsia="Palatino Linotype" w:hAnsi="Palatino Linotype" w:cs="Palatino Linotype"/>
          <w:b/>
          <w:color w:val="000000"/>
          <w:sz w:val="22"/>
          <w:szCs w:val="22"/>
        </w:rPr>
        <w:t>se considera un dato personal.</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w:t>
      </w:r>
      <w:r>
        <w:rPr>
          <w:rFonts w:ascii="Palatino Linotype" w:eastAsia="Palatino Linotype" w:hAnsi="Palatino Linotype" w:cs="Palatino Linotype"/>
          <w:sz w:val="22"/>
          <w:szCs w:val="22"/>
        </w:rPr>
        <w:lastRenderedPageBreak/>
        <w:t>se es un elemento que hace a una persona física identificada o identificable, por lo que, se considera un dato personal.</w:t>
      </w: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contexto,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“DERECHO A LA VIDA PRIVADA. SU CONTENIDO GENERAL Y LA IMPORTANCIA DE NO DESCONTEXTUALIZAR LAS REFERENCIAS A LA MISMA.</w:t>
      </w:r>
      <w:r>
        <w:rPr>
          <w:rFonts w:ascii="Palatino Linotype" w:eastAsia="Palatino Linotype" w:hAnsi="Palatino Linotype" w:cs="Palatino Linotype"/>
          <w:i/>
          <w:color w:val="000000"/>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w:t>
      </w:r>
      <w:r>
        <w:rPr>
          <w:rFonts w:ascii="Palatino Linotype" w:eastAsia="Palatino Linotype" w:hAnsi="Palatino Linotype" w:cs="Palatino Linotype"/>
          <w:i/>
          <w:color w:val="000000"/>
        </w:rPr>
        <w:lastRenderedPageBreak/>
        <w:t xml:space="preserve">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Pr>
          <w:rFonts w:ascii="Palatino Linotype" w:eastAsia="Palatino Linotype" w:hAnsi="Palatino Linotype" w:cs="Palatino Linotype"/>
          <w:b/>
          <w:i/>
          <w:color w:val="000000"/>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w:t>
      </w:r>
      <w:r>
        <w:rPr>
          <w:rFonts w:ascii="Palatino Linotype" w:eastAsia="Palatino Linotype" w:hAnsi="Palatino Linotype" w:cs="Palatino Linotype"/>
          <w:i/>
          <w:color w:val="000000"/>
        </w:rPr>
        <w:t xml:space="preserve">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Pr>
          <w:rFonts w:ascii="Palatino Linotype" w:eastAsia="Palatino Linotype" w:hAnsi="Palatino Linotype" w:cs="Palatino Linotype"/>
          <w:b/>
          <w:i/>
          <w:color w:val="000000"/>
        </w:rPr>
        <w:t>En un sentido amplio, entonces, la protección constitucional de la vida privada implica poder conducir parte de la vida de uno protegido de la mirada y las injerencias de los demás</w:t>
      </w:r>
      <w:r>
        <w:rPr>
          <w:rFonts w:ascii="Palatino Linotype" w:eastAsia="Palatino Linotype" w:hAnsi="Palatino Linotype" w:cs="Palatino Linotype"/>
          <w:i/>
          <w:color w:val="000000"/>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rsidR="00772A48" w:rsidRDefault="00772A48">
      <w:pPr>
        <w:spacing w:line="360" w:lineRule="auto"/>
        <w:jc w:val="both"/>
        <w:rPr>
          <w:rFonts w:ascii="Palatino Linotype" w:eastAsia="Palatino Linotype" w:hAnsi="Palatino Linotype" w:cs="Palatino Linotype"/>
          <w:color w:val="FF0000"/>
          <w:sz w:val="22"/>
          <w:szCs w:val="22"/>
        </w:rPr>
      </w:pPr>
    </w:p>
    <w:p w:rsidR="00772A48" w:rsidRDefault="006646EE">
      <w:pPr>
        <w:spacing w:line="360" w:lineRule="auto"/>
        <w:jc w:val="both"/>
        <w:rPr>
          <w:rFonts w:ascii="Palatino Linotype" w:eastAsia="Palatino Linotype" w:hAnsi="Palatino Linotype" w:cs="Palatino Linotype"/>
          <w:b/>
          <w:sz w:val="22"/>
          <w:szCs w:val="22"/>
          <w:u w:val="single"/>
        </w:rPr>
      </w:pPr>
      <w:r>
        <w:rPr>
          <w:rFonts w:ascii="Palatino Linotype" w:eastAsia="Palatino Linotype" w:hAnsi="Palatino Linotype" w:cs="Palatino Linotype"/>
          <w:sz w:val="22"/>
          <w:szCs w:val="22"/>
        </w:rPr>
        <w:t xml:space="preserve">De conformidad con lo señalado, se colige que </w:t>
      </w:r>
      <w:r>
        <w:rPr>
          <w:rFonts w:ascii="Palatino Linotype" w:eastAsia="Palatino Linotype" w:hAnsi="Palatino Linotype" w:cs="Palatino Linotype"/>
          <w:b/>
          <w:sz w:val="22"/>
          <w:szCs w:val="22"/>
          <w:u w:val="single"/>
        </w:rPr>
        <w:t xml:space="preserve">las actividades que realicen los particulares, dentro del ámbito privado, o dentro de la esfera particular, es información que debe protegerse. </w:t>
      </w: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spacing w:line="360" w:lineRule="auto"/>
        <w:jc w:val="both"/>
        <w:rPr>
          <w:rFonts w:ascii="Palatino Linotype" w:eastAsia="Palatino Linotype" w:hAnsi="Palatino Linotype" w:cs="Palatino Linotype"/>
          <w:color w:val="FF0000"/>
          <w:sz w:val="22"/>
          <w:szCs w:val="22"/>
        </w:rPr>
      </w:pPr>
      <w:r>
        <w:rPr>
          <w:rFonts w:ascii="Palatino Linotype" w:eastAsia="Palatino Linotype" w:hAnsi="Palatino Linotype" w:cs="Palatino Linotype"/>
          <w:sz w:val="22"/>
          <w:szCs w:val="22"/>
        </w:rPr>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 pues en el presente caso da cuenta de su acción voluntaria de ejercer su derecho de acceso a la información pública o prerrogativas ARCO.</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6646EE">
      <w:pPr>
        <w:tabs>
          <w:tab w:val="left" w:pos="3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Ahora bien, toda vez que fue procedente la versión pública, el artículo 168 de la Ley de Transparencia y Acceso a la Información Pública del Estado de México y Municipios, que precisa que</w:t>
      </w:r>
      <w:r>
        <w:rPr>
          <w:rFonts w:ascii="Arial" w:eastAsia="Arial" w:hAnsi="Arial" w:cs="Arial"/>
          <w:color w:val="000000"/>
          <w:sz w:val="24"/>
          <w:szCs w:val="24"/>
        </w:rPr>
        <w:t xml:space="preserve"> </w:t>
      </w:r>
      <w:r>
        <w:rPr>
          <w:rFonts w:ascii="Palatino Linotype" w:eastAsia="Palatino Linotype" w:hAnsi="Palatino Linotype" w:cs="Palatino Linotype"/>
          <w:color w:val="000000"/>
          <w:sz w:val="22"/>
          <w:szCs w:val="22"/>
        </w:rPr>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rsidR="00772A48" w:rsidRDefault="00772A48">
      <w:pPr>
        <w:tabs>
          <w:tab w:val="left" w:pos="3962"/>
        </w:tabs>
        <w:spacing w:line="360" w:lineRule="auto"/>
        <w:jc w:val="both"/>
        <w:rPr>
          <w:rFonts w:ascii="Palatino Linotype" w:eastAsia="Palatino Linotype" w:hAnsi="Palatino Linotype" w:cs="Palatino Linotype"/>
          <w:color w:val="000000"/>
          <w:sz w:val="22"/>
          <w:szCs w:val="22"/>
        </w:rPr>
      </w:pPr>
    </w:p>
    <w:p w:rsidR="00772A48" w:rsidRDefault="006646EE">
      <w:pPr>
        <w:numPr>
          <w:ilvl w:val="0"/>
          <w:numId w:val="4"/>
        </w:numPr>
        <w:tabs>
          <w:tab w:val="left" w:pos="3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Confirmar la clasificación;</w:t>
      </w:r>
    </w:p>
    <w:p w:rsidR="00772A48" w:rsidRDefault="006646EE">
      <w:pPr>
        <w:numPr>
          <w:ilvl w:val="0"/>
          <w:numId w:val="4"/>
        </w:numPr>
        <w:tabs>
          <w:tab w:val="left" w:pos="3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Modificar la clasificación y, otorgar total o parcialmente el acceso a la información, o</w:t>
      </w:r>
    </w:p>
    <w:p w:rsidR="00772A48" w:rsidRDefault="006646EE">
      <w:pPr>
        <w:numPr>
          <w:ilvl w:val="0"/>
          <w:numId w:val="4"/>
        </w:numPr>
        <w:tabs>
          <w:tab w:val="left" w:pos="3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Revocar la clasificación y conceder el acceso a la información.</w:t>
      </w:r>
    </w:p>
    <w:p w:rsidR="00772A48" w:rsidRDefault="00772A48">
      <w:pPr>
        <w:tabs>
          <w:tab w:val="left" w:pos="3962"/>
        </w:tabs>
        <w:spacing w:line="360" w:lineRule="auto"/>
        <w:jc w:val="both"/>
        <w:rPr>
          <w:rFonts w:ascii="Palatino Linotype" w:eastAsia="Palatino Linotype" w:hAnsi="Palatino Linotype" w:cs="Palatino Linotype"/>
          <w:color w:val="000000"/>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cual no aconteció pues el Sujeto Obligado no remitió el Acuerdo de Clasificación de los datos testados en las Resoluciones; por lo cual, para atender el requerimiento de información, deberá proporcionar la determinación del Comité de Transparencia.</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Finalmente, no pasa desapercibido para este Instituto que las resoluciones pudieran contener datos como el nombre de particulares;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pStyle w:val="Ttulo2"/>
        <w:spacing w:before="0" w:after="0" w:line="360" w:lineRule="auto"/>
        <w:jc w:val="both"/>
        <w:rPr>
          <w:rFonts w:ascii="Palatino Linotype" w:eastAsia="Palatino Linotype" w:hAnsi="Palatino Linotype" w:cs="Palatino Linotype"/>
          <w:b/>
          <w:color w:val="000000"/>
          <w:sz w:val="22"/>
          <w:szCs w:val="22"/>
        </w:rPr>
      </w:pPr>
      <w:bookmarkStart w:id="24" w:name="_heading=h.3e5jxb2kvrj6" w:colFirst="0" w:colLast="0"/>
      <w:bookmarkStart w:id="25" w:name="_Toc210314565"/>
      <w:bookmarkEnd w:id="24"/>
      <w:r>
        <w:rPr>
          <w:rFonts w:ascii="Palatino Linotype" w:eastAsia="Palatino Linotype" w:hAnsi="Palatino Linotype" w:cs="Palatino Linotype"/>
          <w:b/>
          <w:color w:val="000000"/>
          <w:sz w:val="22"/>
          <w:szCs w:val="22"/>
        </w:rPr>
        <w:t>SEXTO. Decisión</w:t>
      </w:r>
      <w:bookmarkEnd w:id="25"/>
    </w:p>
    <w:p w:rsidR="00772A48" w:rsidRDefault="00772A48">
      <w:pPr>
        <w:spacing w:line="360" w:lineRule="auto"/>
        <w:jc w:val="both"/>
        <w:rPr>
          <w:rFonts w:ascii="Palatino Linotype" w:eastAsia="Palatino Linotype" w:hAnsi="Palatino Linotype" w:cs="Palatino Linotype"/>
          <w:b/>
          <w:sz w:val="22"/>
          <w:szCs w:val="22"/>
        </w:rPr>
      </w:pPr>
    </w:p>
    <w:p w:rsidR="00772A48" w:rsidRDefault="006646EE">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fundamento en el artículo 186, fracción III, de la Ley de Transparencia y Acceso a la Información Pública del Estado de México y Municipios, este Instituto considera procedente:</w:t>
      </w: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REVOCAR </w:t>
      </w:r>
      <w:r>
        <w:rPr>
          <w:rFonts w:ascii="Palatino Linotype" w:eastAsia="Palatino Linotype" w:hAnsi="Palatino Linotype" w:cs="Palatino Linotype"/>
          <w:color w:val="000000"/>
          <w:sz w:val="22"/>
          <w:szCs w:val="22"/>
        </w:rPr>
        <w:t xml:space="preserve">las respuestas otorgadas por el Sujeto Obligado a las solicitudes de información 00880/TOLUCA/IP/2025 y 00885/TOLUCA/IP/2025, </w:t>
      </w:r>
      <w:r>
        <w:rPr>
          <w:rFonts w:ascii="Palatino Linotype" w:eastAsia="Palatino Linotype" w:hAnsi="Palatino Linotype" w:cs="Palatino Linotype"/>
          <w:sz w:val="22"/>
          <w:szCs w:val="22"/>
        </w:rPr>
        <w:t>a efecto</w:t>
      </w:r>
      <w:r>
        <w:rPr>
          <w:rFonts w:ascii="Palatino Linotype" w:eastAsia="Palatino Linotype" w:hAnsi="Palatino Linotype" w:cs="Palatino Linotype"/>
          <w:color w:val="000000"/>
          <w:sz w:val="22"/>
          <w:szCs w:val="22"/>
        </w:rPr>
        <w:t xml:space="preserve"> de que entregue la información solicitada faltante.</w:t>
      </w:r>
    </w:p>
    <w:p w:rsidR="00772A48" w:rsidRDefault="00772A48">
      <w:pPr>
        <w:pBdr>
          <w:top w:val="nil"/>
          <w:left w:val="nil"/>
          <w:bottom w:val="nil"/>
          <w:right w:val="nil"/>
          <w:between w:val="nil"/>
        </w:pBdr>
        <w:spacing w:line="360" w:lineRule="auto"/>
        <w:ind w:left="776"/>
        <w:jc w:val="both"/>
        <w:rPr>
          <w:rFonts w:ascii="Palatino Linotype" w:eastAsia="Palatino Linotype" w:hAnsi="Palatino Linotype" w:cs="Palatino Linotype"/>
          <w:color w:val="000000"/>
          <w:sz w:val="22"/>
          <w:szCs w:val="22"/>
        </w:rPr>
      </w:pPr>
    </w:p>
    <w:p w:rsidR="00772A48" w:rsidRDefault="006646EE">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MODIFICA </w:t>
      </w:r>
      <w:r>
        <w:rPr>
          <w:rFonts w:ascii="Palatino Linotype" w:eastAsia="Palatino Linotype" w:hAnsi="Palatino Linotype" w:cs="Palatino Linotype"/>
          <w:color w:val="000000"/>
          <w:sz w:val="22"/>
          <w:szCs w:val="22"/>
        </w:rPr>
        <w:t>la respuesta entregada por el Ayuntamiento de Toluca, a las solicitudes de información</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color w:val="000000"/>
          <w:sz w:val="22"/>
          <w:szCs w:val="22"/>
        </w:rPr>
        <w:t>00881/TOLUCA/IP/2025, 00883/TOLUCA/IP/2025 y 00886/TOLUCA/IP/2025,</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color w:val="000000"/>
          <w:sz w:val="22"/>
          <w:szCs w:val="22"/>
        </w:rPr>
        <w:t>efecto de que entregue la información solicitada faltante.</w:t>
      </w:r>
    </w:p>
    <w:p w:rsidR="00772A48" w:rsidRDefault="00772A48">
      <w:pPr>
        <w:spacing w:line="360" w:lineRule="auto"/>
        <w:jc w:val="both"/>
        <w:rPr>
          <w:rFonts w:ascii="Palatino Linotype" w:eastAsia="Palatino Linotype" w:hAnsi="Palatino Linotype" w:cs="Palatino Linotype"/>
          <w:b/>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Términos de la Resolución para conocimiento del Particular</w:t>
      </w:r>
    </w:p>
    <w:p w:rsidR="00772A48" w:rsidRDefault="00772A48">
      <w:pPr>
        <w:spacing w:line="360" w:lineRule="auto"/>
        <w:jc w:val="both"/>
        <w:rPr>
          <w:rFonts w:ascii="Palatino Linotype" w:eastAsia="Palatino Linotype" w:hAnsi="Palatino Linotype" w:cs="Palatino Linotype"/>
          <w:b/>
          <w:sz w:val="22"/>
          <w:szCs w:val="22"/>
        </w:rPr>
      </w:pPr>
    </w:p>
    <w:p w:rsidR="00772A48" w:rsidRDefault="006646EE">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le hace del conocimiento a la persona Recurrente que, en el presente asunto, se le da la razón, pues el Sujeto Obligado omitió entregar la </w:t>
      </w:r>
      <w:r>
        <w:rPr>
          <w:rFonts w:ascii="Palatino Linotype" w:eastAsia="Palatino Linotype" w:hAnsi="Palatino Linotype" w:cs="Palatino Linotype"/>
          <w:sz w:val="22"/>
          <w:szCs w:val="22"/>
        </w:rPr>
        <w:t>totalidad de la información</w:t>
      </w:r>
      <w:r>
        <w:rPr>
          <w:rFonts w:ascii="Palatino Linotype" w:eastAsia="Palatino Linotype" w:hAnsi="Palatino Linotype" w:cs="Palatino Linotype"/>
          <w:color w:val="000000"/>
          <w:sz w:val="22"/>
          <w:szCs w:val="22"/>
        </w:rPr>
        <w:t xml:space="preserve"> solicitada, por lo que, deberá hacer la entrega de manera completa y en versión pública.</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6646EE">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labor del Instituto es apoyar a la población a acceder a la información pública y garantizar la protección de sus datos personales.</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6646EE">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rsidR="00772A48" w:rsidRDefault="00772A48">
      <w:pPr>
        <w:spacing w:line="360" w:lineRule="auto"/>
        <w:jc w:val="both"/>
        <w:rPr>
          <w:rFonts w:ascii="Palatino Linotype" w:eastAsia="Palatino Linotype" w:hAnsi="Palatino Linotype" w:cs="Palatino Linotype"/>
          <w:sz w:val="22"/>
          <w:szCs w:val="22"/>
        </w:rPr>
      </w:pPr>
    </w:p>
    <w:p w:rsidR="00772A48" w:rsidRDefault="006646EE">
      <w:pPr>
        <w:pStyle w:val="Ttulo1"/>
        <w:spacing w:before="0" w:after="0" w:line="360" w:lineRule="auto"/>
        <w:jc w:val="center"/>
        <w:rPr>
          <w:rFonts w:ascii="Palatino Linotype" w:eastAsia="Palatino Linotype" w:hAnsi="Palatino Linotype" w:cs="Palatino Linotype"/>
          <w:b/>
          <w:color w:val="000000"/>
          <w:sz w:val="22"/>
          <w:szCs w:val="22"/>
        </w:rPr>
      </w:pPr>
      <w:bookmarkStart w:id="26" w:name="_heading=h.xugdm8awkg16" w:colFirst="0" w:colLast="0"/>
      <w:bookmarkStart w:id="27" w:name="_Toc210314566"/>
      <w:bookmarkEnd w:id="26"/>
      <w:r>
        <w:rPr>
          <w:rFonts w:ascii="Palatino Linotype" w:eastAsia="Palatino Linotype" w:hAnsi="Palatino Linotype" w:cs="Palatino Linotype"/>
          <w:b/>
          <w:color w:val="000000"/>
          <w:sz w:val="22"/>
          <w:szCs w:val="22"/>
        </w:rPr>
        <w:t>R E S U E L V E</w:t>
      </w:r>
      <w:bookmarkEnd w:id="27"/>
    </w:p>
    <w:p w:rsidR="00772A48" w:rsidRDefault="00772A48">
      <w:pPr>
        <w:spacing w:line="360" w:lineRule="auto"/>
        <w:ind w:right="-91"/>
        <w:jc w:val="both"/>
        <w:rPr>
          <w:rFonts w:ascii="Palatino Linotype" w:eastAsia="Palatino Linotype" w:hAnsi="Palatino Linotype" w:cs="Palatino Linotype"/>
          <w:b/>
          <w:sz w:val="22"/>
          <w:szCs w:val="22"/>
        </w:rPr>
      </w:pPr>
    </w:p>
    <w:p w:rsidR="00772A48" w:rsidRDefault="006646EE">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PRIMERO. Se REVOCA </w:t>
      </w:r>
      <w:r>
        <w:rPr>
          <w:rFonts w:ascii="Palatino Linotype" w:eastAsia="Palatino Linotype" w:hAnsi="Palatino Linotype" w:cs="Palatino Linotype"/>
          <w:color w:val="000000"/>
          <w:sz w:val="22"/>
          <w:szCs w:val="22"/>
        </w:rPr>
        <w:t xml:space="preserve">la respuesta otorgada por el Sujeto Obligado a las solicitudes de información </w:t>
      </w:r>
      <w:r>
        <w:rPr>
          <w:rFonts w:ascii="Palatino Linotype" w:eastAsia="Palatino Linotype" w:hAnsi="Palatino Linotype" w:cs="Palatino Linotype"/>
          <w:sz w:val="22"/>
          <w:szCs w:val="22"/>
        </w:rPr>
        <w:t xml:space="preserve">00880/TOLUCA/IP/2025 y 00885/TOLUCA/IP/2025, </w:t>
      </w:r>
      <w:r>
        <w:rPr>
          <w:rFonts w:ascii="Palatino Linotype" w:eastAsia="Palatino Linotype" w:hAnsi="Palatino Linotype" w:cs="Palatino Linotype"/>
          <w:color w:val="000000"/>
          <w:sz w:val="22"/>
          <w:szCs w:val="22"/>
        </w:rPr>
        <w:t xml:space="preserve">por resultar </w:t>
      </w:r>
      <w:r>
        <w:rPr>
          <w:rFonts w:ascii="Palatino Linotype" w:eastAsia="Palatino Linotype" w:hAnsi="Palatino Linotype" w:cs="Palatino Linotype"/>
          <w:b/>
          <w:color w:val="000000"/>
          <w:sz w:val="22"/>
          <w:szCs w:val="22"/>
        </w:rPr>
        <w:t>FUNDADAS</w:t>
      </w:r>
      <w:r>
        <w:rPr>
          <w:rFonts w:ascii="Palatino Linotype" w:eastAsia="Palatino Linotype" w:hAnsi="Palatino Linotype" w:cs="Palatino Linotype"/>
          <w:color w:val="000000"/>
          <w:sz w:val="22"/>
          <w:szCs w:val="22"/>
        </w:rPr>
        <w:t xml:space="preserve"> las razones o motivos de inconformidad hechos valer por la persona Recurrente, en términos de los considerandos </w:t>
      </w:r>
      <w:r>
        <w:rPr>
          <w:rFonts w:ascii="Palatino Linotype" w:eastAsia="Palatino Linotype" w:hAnsi="Palatino Linotype" w:cs="Palatino Linotype"/>
          <w:b/>
          <w:color w:val="000000"/>
          <w:sz w:val="22"/>
          <w:szCs w:val="22"/>
        </w:rPr>
        <w:t>QUINTO y SEXTO</w:t>
      </w:r>
      <w:r>
        <w:rPr>
          <w:rFonts w:ascii="Palatino Linotype" w:eastAsia="Palatino Linotype" w:hAnsi="Palatino Linotype" w:cs="Palatino Linotype"/>
          <w:color w:val="000000"/>
          <w:sz w:val="22"/>
          <w:szCs w:val="22"/>
        </w:rPr>
        <w:t xml:space="preserve"> de la presente Resolución.</w:t>
      </w:r>
    </w:p>
    <w:p w:rsidR="00772A48" w:rsidRDefault="00772A48">
      <w:pPr>
        <w:spacing w:line="360" w:lineRule="auto"/>
        <w:jc w:val="both"/>
        <w:rPr>
          <w:rFonts w:ascii="Palatino Linotype" w:eastAsia="Palatino Linotype" w:hAnsi="Palatino Linotype" w:cs="Palatino Linotype"/>
          <w:b/>
          <w:color w:val="000000"/>
          <w:sz w:val="22"/>
          <w:szCs w:val="22"/>
          <w:highlight w:val="yellow"/>
        </w:rPr>
      </w:pPr>
    </w:p>
    <w:p w:rsidR="00772A48" w:rsidRDefault="006646EE">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SEGUNDO. Se MODIFICA </w:t>
      </w:r>
      <w:r>
        <w:rPr>
          <w:rFonts w:ascii="Palatino Linotype" w:eastAsia="Palatino Linotype" w:hAnsi="Palatino Linotype" w:cs="Palatino Linotype"/>
          <w:color w:val="000000"/>
          <w:sz w:val="22"/>
          <w:szCs w:val="22"/>
        </w:rPr>
        <w:t>la respuesta entregada por el Ayuntamiento de Toluca, a las solicitudes de información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00881/TOLUCA/IP/2025, 00883/TOLUCA/IP/2025 y 00886/TOLUCA/IP/2025</w:t>
      </w:r>
      <w:r>
        <w:rPr>
          <w:rFonts w:ascii="Palatino Linotype" w:eastAsia="Palatino Linotype" w:hAnsi="Palatino Linotype" w:cs="Palatino Linotype"/>
          <w:color w:val="000000"/>
          <w:sz w:val="22"/>
          <w:szCs w:val="22"/>
        </w:rPr>
        <w:t xml:space="preserve">, por resultar </w:t>
      </w:r>
      <w:r>
        <w:rPr>
          <w:rFonts w:ascii="Palatino Linotype" w:eastAsia="Palatino Linotype" w:hAnsi="Palatino Linotype" w:cs="Palatino Linotype"/>
          <w:b/>
          <w:color w:val="000000"/>
          <w:sz w:val="22"/>
          <w:szCs w:val="22"/>
        </w:rPr>
        <w:t>FUNDADAS</w:t>
      </w:r>
      <w:r>
        <w:rPr>
          <w:rFonts w:ascii="Palatino Linotype" w:eastAsia="Palatino Linotype" w:hAnsi="Palatino Linotype" w:cs="Palatino Linotype"/>
          <w:color w:val="000000"/>
          <w:sz w:val="22"/>
          <w:szCs w:val="22"/>
        </w:rPr>
        <w:t xml:space="preserve"> las razones o motivos de inconformidad hechos valer por la persona Recurrente, en términos de los considerandos </w:t>
      </w:r>
      <w:r>
        <w:rPr>
          <w:rFonts w:ascii="Palatino Linotype" w:eastAsia="Palatino Linotype" w:hAnsi="Palatino Linotype" w:cs="Palatino Linotype"/>
          <w:b/>
          <w:color w:val="000000"/>
          <w:sz w:val="22"/>
          <w:szCs w:val="22"/>
        </w:rPr>
        <w:t>QUINTO y SEXTO</w:t>
      </w:r>
      <w:r>
        <w:rPr>
          <w:rFonts w:ascii="Palatino Linotype" w:eastAsia="Palatino Linotype" w:hAnsi="Palatino Linotype" w:cs="Palatino Linotype"/>
          <w:color w:val="000000"/>
          <w:sz w:val="22"/>
          <w:szCs w:val="22"/>
        </w:rPr>
        <w:t xml:space="preserve"> de la presente Resolución.</w:t>
      </w:r>
    </w:p>
    <w:p w:rsidR="00772A48" w:rsidRDefault="00772A48">
      <w:pPr>
        <w:spacing w:line="360" w:lineRule="auto"/>
        <w:jc w:val="both"/>
        <w:rPr>
          <w:rFonts w:ascii="Palatino Linotype" w:eastAsia="Palatino Linotype" w:hAnsi="Palatino Linotype" w:cs="Palatino Linotype"/>
          <w:color w:val="000000"/>
          <w:sz w:val="22"/>
          <w:szCs w:val="22"/>
        </w:rPr>
      </w:pPr>
    </w:p>
    <w:p w:rsidR="00772A48" w:rsidRDefault="006646EE">
      <w:p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 xml:space="preserve">TERCERO. Se ORDENA </w:t>
      </w:r>
      <w:r>
        <w:rPr>
          <w:rFonts w:ascii="Palatino Linotype" w:eastAsia="Palatino Linotype" w:hAnsi="Palatino Linotype" w:cs="Palatino Linotype"/>
          <w:color w:val="000000"/>
          <w:sz w:val="22"/>
          <w:szCs w:val="22"/>
        </w:rPr>
        <w:t>al Sujeto Obligado, a efecto de que previa búsqueda exhaustiva y razonable en los archivos de las unidades administrativas competentes, entregue a través del Sistema de Acceso a la Información Mexiquense (SAIMEX), lo siguiente</w:t>
      </w:r>
      <w:r>
        <w:rPr>
          <w:rFonts w:ascii="Palatino Linotype" w:eastAsia="Palatino Linotype" w:hAnsi="Palatino Linotype" w:cs="Palatino Linotype"/>
          <w:b/>
          <w:color w:val="000000"/>
          <w:sz w:val="22"/>
          <w:szCs w:val="22"/>
        </w:rPr>
        <w:t>:</w:t>
      </w:r>
    </w:p>
    <w:p w:rsidR="00772A48" w:rsidRDefault="006646EE">
      <w:p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b/>
      </w:r>
    </w:p>
    <w:p w:rsidR="00772A48" w:rsidRDefault="006646EE">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En su caso, en versión pública, las Resoluciones faltantes a Recursos de Revisión, notificadas a la Unidad de Transparencia en enero, junio, marzo, mayo y agosto de dos mil veinte.</w:t>
      </w:r>
    </w:p>
    <w:p w:rsidR="00772A48" w:rsidRDefault="00772A48">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2"/>
          <w:szCs w:val="22"/>
        </w:rPr>
      </w:pPr>
    </w:p>
    <w:p w:rsidR="00772A48" w:rsidRDefault="006646EE">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El Acuerdo donde el Comité de Transparencia, confirme la eliminación de los datos confidenciales de las resoluciones entregadas en respuesta, así como, de aquellas que den cuenta del numeral 1, de acuerdo con los artículos 49, fracciones II y VIII, 132, fracción II, 143, fracción I y 149 de la Ley de Transparencia y Acceso a la Información Pública del Estado de México y Municipios.</w:t>
      </w:r>
    </w:p>
    <w:p w:rsidR="00772A48" w:rsidRDefault="00772A48">
      <w:pPr>
        <w:spacing w:line="360" w:lineRule="auto"/>
        <w:jc w:val="both"/>
        <w:rPr>
          <w:rFonts w:ascii="Palatino Linotype" w:eastAsia="Palatino Linotype" w:hAnsi="Palatino Linotype" w:cs="Palatino Linotype"/>
          <w:b/>
          <w:color w:val="000000"/>
          <w:sz w:val="22"/>
          <w:szCs w:val="22"/>
        </w:rPr>
      </w:pPr>
    </w:p>
    <w:p w:rsidR="00772A48" w:rsidRDefault="006646EE">
      <w:pPr>
        <w:spacing w:line="360" w:lineRule="auto"/>
        <w:ind w:right="-28"/>
        <w:rPr>
          <w:rFonts w:ascii="Palatino Linotype" w:eastAsia="Palatino Linotype" w:hAnsi="Palatino Linotype" w:cs="Palatino Linotype"/>
          <w:sz w:val="22"/>
          <w:szCs w:val="22"/>
        </w:rPr>
      </w:pPr>
      <w:r>
        <w:rPr>
          <w:rFonts w:ascii="Palatino Linotype" w:eastAsia="Palatino Linotype" w:hAnsi="Palatino Linotype" w:cs="Palatino Linotype"/>
          <w:b/>
          <w:color w:val="000000"/>
          <w:sz w:val="22"/>
          <w:szCs w:val="22"/>
        </w:rPr>
        <w:t xml:space="preserve">CUARTO. </w:t>
      </w:r>
      <w:r>
        <w:rPr>
          <w:rFonts w:ascii="Palatino Linotype" w:eastAsia="Palatino Linotype" w:hAnsi="Palatino Linotype" w:cs="Palatino Linotype"/>
          <w:b/>
          <w:sz w:val="22"/>
          <w:szCs w:val="22"/>
        </w:rPr>
        <w:t xml:space="preserve">NOTIFÍQUESE POR SAIMEX </w:t>
      </w:r>
      <w:r>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rsidR="00772A48" w:rsidRDefault="00772A48">
      <w:pPr>
        <w:spacing w:line="360" w:lineRule="auto"/>
        <w:ind w:right="-28"/>
        <w:jc w:val="both"/>
        <w:rPr>
          <w:rFonts w:ascii="Palatino Linotype" w:eastAsia="Palatino Linotype" w:hAnsi="Palatino Linotype" w:cs="Palatino Linotype"/>
          <w:sz w:val="22"/>
          <w:szCs w:val="22"/>
        </w:rPr>
      </w:pPr>
    </w:p>
    <w:p w:rsidR="00772A48" w:rsidRDefault="006646EE">
      <w:pPr>
        <w:spacing w:line="360" w:lineRule="auto"/>
        <w:ind w:righ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De conformidad con el artículo 198 de la Ley de la materia, de considerarlo procedente, el Sujeto Obligado de manera fundada y motivada, podrá solicitar una ampliación de plazo para el cumplimiento de la presente resolución.</w:t>
      </w:r>
    </w:p>
    <w:p w:rsidR="00772A48" w:rsidRDefault="00772A48">
      <w:pPr>
        <w:spacing w:line="360" w:lineRule="auto"/>
        <w:jc w:val="both"/>
        <w:rPr>
          <w:rFonts w:ascii="Palatino Linotype" w:eastAsia="Palatino Linotype" w:hAnsi="Palatino Linotype" w:cs="Palatino Linotype"/>
          <w:b/>
          <w:color w:val="000000"/>
          <w:sz w:val="22"/>
          <w:szCs w:val="22"/>
        </w:rPr>
      </w:pPr>
    </w:p>
    <w:p w:rsidR="00772A48" w:rsidRDefault="006646EE">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QUINTO. NOTIFÍQUESE POR SAIMEX </w:t>
      </w:r>
      <w:r>
        <w:rPr>
          <w:rFonts w:ascii="Palatino Linotype" w:eastAsia="Palatino Linotype" w:hAnsi="Palatino Linotype" w:cs="Palatino Linotype"/>
          <w:color w:val="000000"/>
          <w:sz w:val="22"/>
          <w:szCs w:val="22"/>
        </w:rPr>
        <w:t xml:space="preserve">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rsidR="00772A48" w:rsidRDefault="00772A48">
      <w:pPr>
        <w:spacing w:line="360" w:lineRule="auto"/>
        <w:jc w:val="both"/>
        <w:rPr>
          <w:rFonts w:ascii="Palatino Linotype" w:eastAsia="Palatino Linotype" w:hAnsi="Palatino Linotype" w:cs="Palatino Linotype"/>
          <w:b/>
          <w:color w:val="000000"/>
          <w:sz w:val="22"/>
          <w:szCs w:val="22"/>
        </w:rPr>
      </w:pPr>
    </w:p>
    <w:p w:rsidR="00772A48" w:rsidRDefault="006646E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ASÍ LO RESUELVE, POR </w:t>
      </w:r>
      <w:r>
        <w:rPr>
          <w:rFonts w:ascii="Palatino Linotype" w:eastAsia="Palatino Linotype" w:hAnsi="Palatino Linotype" w:cs="Palatino Linotype"/>
          <w:b/>
          <w:color w:val="000000"/>
          <w:sz w:val="22"/>
          <w:szCs w:val="22"/>
        </w:rPr>
        <w:t>UNANIMIDAD</w:t>
      </w:r>
      <w:r>
        <w:rPr>
          <w:rFonts w:ascii="Palatino Linotype" w:eastAsia="Palatino Linotype" w:hAnsi="Palatino Linotype" w:cs="Palatino Linotype"/>
          <w:color w:val="000000"/>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2"/>
          <w:szCs w:val="22"/>
        </w:rPr>
        <w:t>TRIGÉSIMA</w:t>
      </w:r>
      <w:r>
        <w:rPr>
          <w:rFonts w:ascii="Palatino Linotype" w:eastAsia="Palatino Linotype" w:hAnsi="Palatino Linotype" w:cs="Palatino Linotype"/>
          <w:color w:val="000000"/>
          <w:sz w:val="22"/>
          <w:szCs w:val="22"/>
        </w:rPr>
        <w:t xml:space="preserve"> QUINTA SESIÓN ORDINARIA, CELEBRADA EL PRIMERO DE OCTUBRE DE DOS MIL VEINTICINCO, ANTE EL SECRETARIO TÉCNICO DEL PLENO, ALEXIS TAPIA RAMÍREZ.</w:t>
      </w:r>
    </w:p>
    <w:p w:rsidR="00772A48" w:rsidRDefault="00772A48">
      <w:pPr>
        <w:spacing w:line="360" w:lineRule="auto"/>
        <w:rPr>
          <w:rFonts w:ascii="Palatino Linotype" w:eastAsia="Palatino Linotype" w:hAnsi="Palatino Linotype" w:cs="Palatino Linotype"/>
        </w:rPr>
      </w:pPr>
    </w:p>
    <w:p w:rsidR="00772A48" w:rsidRDefault="00772A48">
      <w:pPr>
        <w:spacing w:line="360" w:lineRule="auto"/>
        <w:rPr>
          <w:rFonts w:ascii="Palatino Linotype" w:eastAsia="Palatino Linotype" w:hAnsi="Palatino Linotype" w:cs="Palatino Linotype"/>
        </w:rPr>
      </w:pPr>
    </w:p>
    <w:p w:rsidR="00772A48" w:rsidRDefault="00772A48">
      <w:pPr>
        <w:spacing w:line="360" w:lineRule="auto"/>
        <w:rPr>
          <w:rFonts w:ascii="Palatino Linotype" w:eastAsia="Palatino Linotype" w:hAnsi="Palatino Linotype" w:cs="Palatino Linotype"/>
        </w:rPr>
      </w:pPr>
    </w:p>
    <w:p w:rsidR="00772A48" w:rsidRDefault="00772A48">
      <w:pPr>
        <w:spacing w:line="360" w:lineRule="auto"/>
        <w:rPr>
          <w:rFonts w:ascii="Palatino Linotype" w:eastAsia="Palatino Linotype" w:hAnsi="Palatino Linotype" w:cs="Palatino Linotype"/>
        </w:rPr>
      </w:pPr>
    </w:p>
    <w:p w:rsidR="00772A48" w:rsidRDefault="00772A48">
      <w:pPr>
        <w:spacing w:line="360" w:lineRule="auto"/>
        <w:rPr>
          <w:rFonts w:ascii="Palatino Linotype" w:eastAsia="Palatino Linotype" w:hAnsi="Palatino Linotype" w:cs="Palatino Linotype"/>
        </w:rPr>
      </w:pPr>
    </w:p>
    <w:p w:rsidR="00772A48" w:rsidRDefault="00772A48">
      <w:pPr>
        <w:spacing w:line="360" w:lineRule="auto"/>
        <w:rPr>
          <w:rFonts w:ascii="Palatino Linotype" w:eastAsia="Palatino Linotype" w:hAnsi="Palatino Linotype" w:cs="Palatino Linotype"/>
        </w:rPr>
      </w:pPr>
    </w:p>
    <w:p w:rsidR="00772A48" w:rsidRDefault="00772A48">
      <w:pPr>
        <w:spacing w:line="360" w:lineRule="auto"/>
        <w:rPr>
          <w:rFonts w:ascii="Palatino Linotype" w:eastAsia="Palatino Linotype" w:hAnsi="Palatino Linotype" w:cs="Palatino Linotype"/>
        </w:rPr>
      </w:pPr>
    </w:p>
    <w:p w:rsidR="00772A48" w:rsidRDefault="00772A48">
      <w:pPr>
        <w:spacing w:line="360" w:lineRule="auto"/>
        <w:rPr>
          <w:rFonts w:ascii="Palatino Linotype" w:eastAsia="Palatino Linotype" w:hAnsi="Palatino Linotype" w:cs="Palatino Linotype"/>
        </w:rPr>
      </w:pPr>
    </w:p>
    <w:p w:rsidR="00772A48" w:rsidRDefault="00772A48">
      <w:pPr>
        <w:spacing w:line="360" w:lineRule="auto"/>
        <w:rPr>
          <w:rFonts w:ascii="Palatino Linotype" w:eastAsia="Palatino Linotype" w:hAnsi="Palatino Linotype" w:cs="Palatino Linotype"/>
        </w:rPr>
      </w:pPr>
    </w:p>
    <w:p w:rsidR="00772A48" w:rsidRDefault="00772A48">
      <w:pPr>
        <w:spacing w:line="360" w:lineRule="auto"/>
        <w:rPr>
          <w:rFonts w:ascii="Palatino Linotype" w:eastAsia="Palatino Linotype" w:hAnsi="Palatino Linotype" w:cs="Palatino Linotype"/>
        </w:rPr>
      </w:pPr>
    </w:p>
    <w:p w:rsidR="00772A48" w:rsidRDefault="00772A48">
      <w:pPr>
        <w:spacing w:line="360" w:lineRule="auto"/>
        <w:rPr>
          <w:rFonts w:ascii="Palatino Linotype" w:eastAsia="Palatino Linotype" w:hAnsi="Palatino Linotype" w:cs="Palatino Linotype"/>
        </w:rPr>
      </w:pPr>
    </w:p>
    <w:p w:rsidR="00772A48" w:rsidRDefault="00772A48">
      <w:pPr>
        <w:spacing w:line="360" w:lineRule="auto"/>
        <w:rPr>
          <w:rFonts w:ascii="Palatino Linotype" w:eastAsia="Palatino Linotype" w:hAnsi="Palatino Linotype" w:cs="Palatino Linotype"/>
        </w:rPr>
      </w:pPr>
    </w:p>
    <w:p w:rsidR="00772A48" w:rsidRDefault="00772A48">
      <w:pPr>
        <w:spacing w:line="360" w:lineRule="auto"/>
        <w:rPr>
          <w:rFonts w:ascii="Palatino Linotype" w:eastAsia="Palatino Linotype" w:hAnsi="Palatino Linotype" w:cs="Palatino Linotype"/>
        </w:rPr>
      </w:pPr>
    </w:p>
    <w:p w:rsidR="00772A48" w:rsidRDefault="00772A48">
      <w:pPr>
        <w:spacing w:line="360" w:lineRule="auto"/>
        <w:rPr>
          <w:rFonts w:ascii="Palatino Linotype" w:eastAsia="Palatino Linotype" w:hAnsi="Palatino Linotype" w:cs="Palatino Linotype"/>
        </w:rPr>
      </w:pPr>
    </w:p>
    <w:p w:rsidR="00772A48" w:rsidRDefault="00772A48">
      <w:pPr>
        <w:spacing w:line="360" w:lineRule="auto"/>
        <w:rPr>
          <w:rFonts w:ascii="Palatino Linotype" w:eastAsia="Palatino Linotype" w:hAnsi="Palatino Linotype" w:cs="Palatino Linotype"/>
        </w:rPr>
      </w:pPr>
    </w:p>
    <w:p w:rsidR="00772A48" w:rsidRDefault="00772A48">
      <w:pPr>
        <w:spacing w:line="360" w:lineRule="auto"/>
        <w:rPr>
          <w:rFonts w:ascii="Palatino Linotype" w:eastAsia="Palatino Linotype" w:hAnsi="Palatino Linotype" w:cs="Palatino Linotype"/>
        </w:rPr>
      </w:pPr>
    </w:p>
    <w:p w:rsidR="00772A48" w:rsidRDefault="00772A48">
      <w:pPr>
        <w:spacing w:line="360" w:lineRule="auto"/>
        <w:rPr>
          <w:rFonts w:ascii="Palatino Linotype" w:eastAsia="Palatino Linotype" w:hAnsi="Palatino Linotype" w:cs="Palatino Linotype"/>
        </w:rPr>
      </w:pPr>
    </w:p>
    <w:p w:rsidR="00772A48" w:rsidRDefault="00772A48">
      <w:pPr>
        <w:spacing w:line="360" w:lineRule="auto"/>
        <w:rPr>
          <w:rFonts w:ascii="Palatino Linotype" w:eastAsia="Palatino Linotype" w:hAnsi="Palatino Linotype" w:cs="Palatino Linotype"/>
        </w:rPr>
      </w:pPr>
    </w:p>
    <w:p w:rsidR="00772A48" w:rsidRDefault="00772A48">
      <w:pPr>
        <w:spacing w:line="360" w:lineRule="auto"/>
        <w:rPr>
          <w:rFonts w:ascii="Palatino Linotype" w:eastAsia="Palatino Linotype" w:hAnsi="Palatino Linotype" w:cs="Palatino Linotype"/>
        </w:rPr>
      </w:pPr>
    </w:p>
    <w:p w:rsidR="00772A48" w:rsidRDefault="00772A48">
      <w:pPr>
        <w:spacing w:line="360" w:lineRule="auto"/>
        <w:rPr>
          <w:rFonts w:ascii="Palatino Linotype" w:eastAsia="Palatino Linotype" w:hAnsi="Palatino Linotype" w:cs="Palatino Linotype"/>
        </w:rPr>
      </w:pPr>
    </w:p>
    <w:p w:rsidR="00772A48" w:rsidRDefault="00772A48">
      <w:pPr>
        <w:spacing w:line="360" w:lineRule="auto"/>
        <w:rPr>
          <w:rFonts w:ascii="Palatino Linotype" w:eastAsia="Palatino Linotype" w:hAnsi="Palatino Linotype" w:cs="Palatino Linotype"/>
        </w:rPr>
      </w:pPr>
    </w:p>
    <w:p w:rsidR="00772A48" w:rsidRDefault="00772A48">
      <w:pPr>
        <w:spacing w:line="360" w:lineRule="auto"/>
      </w:pPr>
    </w:p>
    <w:p w:rsidR="00772A48" w:rsidRDefault="00772A48">
      <w:pPr>
        <w:spacing w:line="360" w:lineRule="auto"/>
      </w:pPr>
    </w:p>
    <w:p w:rsidR="00772A48" w:rsidRDefault="00772A48">
      <w:pPr>
        <w:spacing w:line="360" w:lineRule="auto"/>
      </w:pPr>
    </w:p>
    <w:p w:rsidR="00772A48" w:rsidRDefault="00772A48">
      <w:pPr>
        <w:spacing w:line="360" w:lineRule="auto"/>
      </w:pPr>
    </w:p>
    <w:p w:rsidR="00772A48" w:rsidRDefault="00772A48">
      <w:pPr>
        <w:spacing w:line="360" w:lineRule="auto"/>
      </w:pPr>
    </w:p>
    <w:p w:rsidR="00772A48" w:rsidRDefault="00772A48">
      <w:pPr>
        <w:spacing w:line="360" w:lineRule="auto"/>
      </w:pPr>
    </w:p>
    <w:p w:rsidR="00772A48" w:rsidRDefault="00772A48">
      <w:pPr>
        <w:spacing w:line="360" w:lineRule="auto"/>
      </w:pPr>
    </w:p>
    <w:p w:rsidR="00772A48" w:rsidRDefault="00772A48"/>
    <w:p w:rsidR="00772A48" w:rsidRDefault="00772A48"/>
    <w:sectPr w:rsidR="00772A48">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860" w:rsidRDefault="00F15860">
      <w:r>
        <w:separator/>
      </w:r>
    </w:p>
  </w:endnote>
  <w:endnote w:type="continuationSeparator" w:id="0">
    <w:p w:rsidR="00F15860" w:rsidRDefault="00F1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48" w:rsidRDefault="006646EE">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sidR="0027324F">
      <w:rPr>
        <w:rFonts w:ascii="Palatino Linotype" w:eastAsia="Palatino Linotype" w:hAnsi="Palatino Linotype" w:cs="Palatino Linotype"/>
        <w:b/>
        <w:color w:val="000000"/>
        <w:sz w:val="22"/>
        <w:szCs w:val="22"/>
      </w:rPr>
      <w:fldChar w:fldCharType="separate"/>
    </w:r>
    <w:r w:rsidR="0027324F">
      <w:rPr>
        <w:rFonts w:ascii="Palatino Linotype" w:eastAsia="Palatino Linotype" w:hAnsi="Palatino Linotype" w:cs="Palatino Linotype"/>
        <w:b/>
        <w:noProof/>
        <w:color w:val="000000"/>
        <w:sz w:val="22"/>
        <w:szCs w:val="22"/>
      </w:rPr>
      <w:t>27</w:t>
    </w:r>
    <w:r>
      <w:rPr>
        <w:rFonts w:ascii="Palatino Linotype" w:eastAsia="Palatino Linotype" w:hAnsi="Palatino Linotype" w:cs="Palatino Linotype"/>
        <w:b/>
        <w:color w:val="000000"/>
        <w:sz w:val="22"/>
        <w:szCs w:val="22"/>
      </w:rPr>
      <w:fldChar w:fldCharType="end"/>
    </w:r>
  </w:p>
  <w:p w:rsidR="00772A48" w:rsidRDefault="00772A4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48" w:rsidRDefault="006646EE">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27324F">
      <w:rPr>
        <w:rFonts w:ascii="Palatino Linotype" w:eastAsia="Palatino Linotype" w:hAnsi="Palatino Linotype" w:cs="Palatino Linotype"/>
        <w:b/>
        <w:noProof/>
        <w:color w:val="000000"/>
        <w:sz w:val="22"/>
        <w:szCs w:val="22"/>
      </w:rPr>
      <w:t>26</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27324F">
      <w:rPr>
        <w:rFonts w:ascii="Palatino Linotype" w:eastAsia="Palatino Linotype" w:hAnsi="Palatino Linotype" w:cs="Palatino Linotype"/>
        <w:b/>
        <w:noProof/>
        <w:color w:val="000000"/>
        <w:sz w:val="22"/>
        <w:szCs w:val="22"/>
      </w:rPr>
      <w:t>27</w:t>
    </w:r>
    <w:r>
      <w:rPr>
        <w:rFonts w:ascii="Palatino Linotype" w:eastAsia="Palatino Linotype" w:hAnsi="Palatino Linotype" w:cs="Palatino Linotype"/>
        <w:b/>
        <w:color w:val="000000"/>
        <w:sz w:val="22"/>
        <w:szCs w:val="22"/>
      </w:rPr>
      <w:fldChar w:fldCharType="end"/>
    </w:r>
  </w:p>
  <w:p w:rsidR="00772A48" w:rsidRDefault="00772A48">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48" w:rsidRDefault="006646E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27324F">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27324F">
      <w:rPr>
        <w:rFonts w:ascii="Palatino Linotype" w:eastAsia="Palatino Linotype" w:hAnsi="Palatino Linotype" w:cs="Palatino Linotype"/>
        <w:b/>
        <w:noProof/>
        <w:color w:val="000000"/>
        <w:sz w:val="22"/>
        <w:szCs w:val="22"/>
      </w:rPr>
      <w:t>27</w:t>
    </w:r>
    <w:r>
      <w:rPr>
        <w:rFonts w:ascii="Palatino Linotype" w:eastAsia="Palatino Linotype" w:hAnsi="Palatino Linotype" w:cs="Palatino Linotype"/>
        <w:b/>
        <w:color w:val="000000"/>
        <w:sz w:val="22"/>
        <w:szCs w:val="22"/>
      </w:rPr>
      <w:fldChar w:fldCharType="end"/>
    </w:r>
  </w:p>
  <w:p w:rsidR="00772A48" w:rsidRDefault="00772A4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860" w:rsidRDefault="00F15860">
      <w:r>
        <w:separator/>
      </w:r>
    </w:p>
  </w:footnote>
  <w:footnote w:type="continuationSeparator" w:id="0">
    <w:p w:rsidR="00F15860" w:rsidRDefault="00F15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48" w:rsidRDefault="00772A48">
    <w:pPr>
      <w:widowControl w:val="0"/>
      <w:pBdr>
        <w:top w:val="nil"/>
        <w:left w:val="nil"/>
        <w:bottom w:val="nil"/>
        <w:right w:val="nil"/>
        <w:between w:val="nil"/>
      </w:pBdr>
      <w:spacing w:line="276" w:lineRule="auto"/>
    </w:pPr>
  </w:p>
  <w:tbl>
    <w:tblPr>
      <w:tblStyle w:val="a1"/>
      <w:tblW w:w="9705" w:type="dxa"/>
      <w:tblInd w:w="0" w:type="dxa"/>
      <w:tblLayout w:type="fixed"/>
      <w:tblLook w:val="0400" w:firstRow="0" w:lastRow="0" w:firstColumn="0" w:lastColumn="0" w:noHBand="0" w:noVBand="1"/>
    </w:tblPr>
    <w:tblGrid>
      <w:gridCol w:w="2972"/>
      <w:gridCol w:w="6733"/>
    </w:tblGrid>
    <w:tr w:rsidR="00772A48">
      <w:trPr>
        <w:trHeight w:val="1435"/>
      </w:trPr>
      <w:tc>
        <w:tcPr>
          <w:tcW w:w="0" w:type="auto"/>
        </w:tcPr>
        <w:p w:rsidR="00772A48" w:rsidRDefault="00772A48">
          <w:pPr>
            <w:tabs>
              <w:tab w:val="right" w:pos="4273"/>
            </w:tabs>
            <w:spacing w:line="256" w:lineRule="auto"/>
            <w:rPr>
              <w:rFonts w:ascii="Garamond" w:eastAsia="Garamond" w:hAnsi="Garamond" w:cs="Garamond"/>
              <w:sz w:val="22"/>
              <w:szCs w:val="22"/>
            </w:rPr>
          </w:pPr>
        </w:p>
      </w:tc>
      <w:tc>
        <w:tcPr>
          <w:tcW w:w="0" w:type="auto"/>
        </w:tcPr>
        <w:p w:rsidR="00772A48" w:rsidRDefault="00772A48">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2"/>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772A48">
            <w:trPr>
              <w:trHeight w:val="144"/>
            </w:trPr>
            <w:tc>
              <w:tcPr>
                <w:tcW w:w="0" w:type="auto"/>
              </w:tcPr>
              <w:p w:rsidR="00772A48" w:rsidRDefault="006646EE">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0" w:type="auto"/>
              </w:tcPr>
              <w:p w:rsidR="00772A48" w:rsidRDefault="006646EE">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772A48">
            <w:trPr>
              <w:trHeight w:val="283"/>
            </w:trPr>
            <w:tc>
              <w:tcPr>
                <w:tcW w:w="0" w:type="auto"/>
              </w:tcPr>
              <w:p w:rsidR="00772A48" w:rsidRDefault="006646E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0" w:type="auto"/>
              </w:tcPr>
              <w:p w:rsidR="00772A48" w:rsidRDefault="006646EE">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772A48">
            <w:trPr>
              <w:trHeight w:val="283"/>
            </w:trPr>
            <w:tc>
              <w:tcPr>
                <w:tcW w:w="0" w:type="auto"/>
              </w:tcPr>
              <w:p w:rsidR="00772A48" w:rsidRDefault="006646E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0" w:type="auto"/>
              </w:tcPr>
              <w:p w:rsidR="00772A48" w:rsidRDefault="006646EE">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rsidR="00772A48" w:rsidRDefault="00772A48">
                <w:pPr>
                  <w:tabs>
                    <w:tab w:val="right" w:pos="8838"/>
                  </w:tabs>
                  <w:ind w:left="-74" w:right="-105"/>
                  <w:jc w:val="both"/>
                  <w:rPr>
                    <w:rFonts w:ascii="Palatino Linotype" w:eastAsia="Palatino Linotype" w:hAnsi="Palatino Linotype" w:cs="Palatino Linotype"/>
                    <w:b/>
                    <w:sz w:val="22"/>
                    <w:szCs w:val="22"/>
                  </w:rPr>
                </w:pPr>
              </w:p>
            </w:tc>
          </w:tr>
        </w:tbl>
        <w:p w:rsidR="00772A48" w:rsidRDefault="00772A48">
          <w:pPr>
            <w:tabs>
              <w:tab w:val="right" w:pos="8838"/>
            </w:tabs>
            <w:spacing w:line="256" w:lineRule="auto"/>
            <w:ind w:left="-28"/>
            <w:jc w:val="both"/>
            <w:rPr>
              <w:rFonts w:ascii="Arial" w:eastAsia="Arial" w:hAnsi="Arial" w:cs="Arial"/>
              <w:b/>
              <w:sz w:val="22"/>
              <w:szCs w:val="22"/>
            </w:rPr>
          </w:pPr>
        </w:p>
      </w:tc>
    </w:tr>
  </w:tbl>
  <w:p w:rsidR="00772A48" w:rsidRDefault="006646EE">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simplePos x="0" y="0"/>
          <wp:positionH relativeFrom="margin">
            <wp:posOffset>-1381124</wp:posOffset>
          </wp:positionH>
          <wp:positionV relativeFrom="margin">
            <wp:posOffset>-1611629</wp:posOffset>
          </wp:positionV>
          <wp:extent cx="5612130" cy="7308215"/>
          <wp:effectExtent l="0" t="0" r="0" b="0"/>
          <wp:wrapNone/>
          <wp:docPr id="6213084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48" w:rsidRDefault="00772A48">
    <w:pPr>
      <w:widowControl w:val="0"/>
      <w:pBdr>
        <w:top w:val="nil"/>
        <w:left w:val="nil"/>
        <w:bottom w:val="nil"/>
        <w:right w:val="nil"/>
        <w:between w:val="nil"/>
      </w:pBdr>
      <w:spacing w:line="276" w:lineRule="auto"/>
      <w:rPr>
        <w:color w:val="000000"/>
      </w:rPr>
    </w:pPr>
  </w:p>
  <w:tbl>
    <w:tblPr>
      <w:tblStyle w:val="a3"/>
      <w:tblW w:w="9356" w:type="dxa"/>
      <w:tblInd w:w="0" w:type="dxa"/>
      <w:tblLayout w:type="fixed"/>
      <w:tblLook w:val="0400" w:firstRow="0" w:lastRow="0" w:firstColumn="0" w:lastColumn="0" w:noHBand="0" w:noVBand="1"/>
    </w:tblPr>
    <w:tblGrid>
      <w:gridCol w:w="1985"/>
      <w:gridCol w:w="7371"/>
    </w:tblGrid>
    <w:tr w:rsidR="00772A48">
      <w:trPr>
        <w:trHeight w:val="1435"/>
      </w:trPr>
      <w:tc>
        <w:tcPr>
          <w:tcW w:w="1985" w:type="dxa"/>
        </w:tcPr>
        <w:p w:rsidR="00772A48" w:rsidRDefault="00772A48">
          <w:pPr>
            <w:tabs>
              <w:tab w:val="right" w:pos="4273"/>
            </w:tabs>
            <w:spacing w:line="256" w:lineRule="auto"/>
            <w:rPr>
              <w:rFonts w:ascii="Garamond" w:eastAsia="Garamond" w:hAnsi="Garamond" w:cs="Garamond"/>
              <w:sz w:val="22"/>
              <w:szCs w:val="22"/>
            </w:rPr>
          </w:pPr>
        </w:p>
      </w:tc>
      <w:tc>
        <w:tcPr>
          <w:tcW w:w="7371" w:type="dxa"/>
        </w:tcPr>
        <w:p w:rsidR="00772A48" w:rsidRDefault="00772A48">
          <w:pPr>
            <w:rPr>
              <w:sz w:val="28"/>
              <w:szCs w:val="28"/>
            </w:rPr>
          </w:pPr>
        </w:p>
        <w:tbl>
          <w:tblPr>
            <w:tblStyle w:val="a4"/>
            <w:tblW w:w="8071"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840"/>
            <w:gridCol w:w="2977"/>
            <w:gridCol w:w="2254"/>
          </w:tblGrid>
          <w:tr w:rsidR="00772A48">
            <w:trPr>
              <w:trHeight w:val="194"/>
            </w:trPr>
            <w:tc>
              <w:tcPr>
                <w:tcW w:w="2841" w:type="dxa"/>
              </w:tcPr>
              <w:p w:rsidR="00772A48" w:rsidRDefault="006646EE">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977" w:type="dxa"/>
              </w:tcPr>
              <w:p w:rsidR="00772A48" w:rsidRDefault="006646EE">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03706/INFOEM/IP/RR/2025 y acumulados</w:t>
                </w:r>
              </w:p>
            </w:tc>
            <w:tc>
              <w:tcPr>
                <w:tcW w:w="2254" w:type="dxa"/>
              </w:tcPr>
              <w:p w:rsidR="00772A48" w:rsidRDefault="00772A48">
                <w:pPr>
                  <w:tabs>
                    <w:tab w:val="right" w:pos="8838"/>
                  </w:tabs>
                  <w:ind w:left="-114" w:right="-105"/>
                  <w:jc w:val="both"/>
                  <w:rPr>
                    <w:rFonts w:ascii="Palatino Linotype" w:eastAsia="Palatino Linotype" w:hAnsi="Palatino Linotype" w:cs="Palatino Linotype"/>
                    <w:sz w:val="22"/>
                    <w:szCs w:val="22"/>
                  </w:rPr>
                </w:pPr>
              </w:p>
            </w:tc>
          </w:tr>
          <w:tr w:rsidR="00772A48">
            <w:trPr>
              <w:trHeight w:val="88"/>
            </w:trPr>
            <w:tc>
              <w:tcPr>
                <w:tcW w:w="2841" w:type="dxa"/>
              </w:tcPr>
              <w:p w:rsidR="00772A48" w:rsidRDefault="006646EE">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977" w:type="dxa"/>
              </w:tcPr>
              <w:p w:rsidR="00772A48" w:rsidRDefault="006646EE">
                <w:pPr>
                  <w:tabs>
                    <w:tab w:val="left" w:pos="2834"/>
                    <w:tab w:val="right" w:pos="8838"/>
                  </w:tabs>
                  <w:ind w:left="-114"/>
                  <w:jc w:val="both"/>
                  <w:rPr>
                    <w:rFonts w:ascii="Palatino Linotype" w:eastAsia="Palatino Linotype" w:hAnsi="Palatino Linotype" w:cs="Palatino Linotype"/>
                    <w:b/>
                    <w:sz w:val="32"/>
                    <w:szCs w:val="32"/>
                  </w:rPr>
                </w:pPr>
                <w:r>
                  <w:rPr>
                    <w:rFonts w:ascii="Palatino Linotype" w:eastAsia="Palatino Linotype" w:hAnsi="Palatino Linotype" w:cs="Palatino Linotype"/>
                    <w:sz w:val="22"/>
                    <w:szCs w:val="22"/>
                  </w:rPr>
                  <w:t>Ayuntamiento de Toluca</w:t>
                </w:r>
              </w:p>
            </w:tc>
            <w:tc>
              <w:tcPr>
                <w:tcW w:w="2254" w:type="dxa"/>
              </w:tcPr>
              <w:p w:rsidR="00772A48" w:rsidRDefault="00772A48">
                <w:pPr>
                  <w:tabs>
                    <w:tab w:val="left" w:pos="2834"/>
                    <w:tab w:val="right" w:pos="8838"/>
                  </w:tabs>
                  <w:ind w:left="-114"/>
                  <w:jc w:val="both"/>
                  <w:rPr>
                    <w:rFonts w:ascii="Palatino Linotype" w:eastAsia="Palatino Linotype" w:hAnsi="Palatino Linotype" w:cs="Palatino Linotype"/>
                    <w:sz w:val="22"/>
                    <w:szCs w:val="22"/>
                  </w:rPr>
                </w:pPr>
              </w:p>
            </w:tc>
          </w:tr>
          <w:tr w:rsidR="00772A48">
            <w:trPr>
              <w:trHeight w:val="383"/>
            </w:trPr>
            <w:tc>
              <w:tcPr>
                <w:tcW w:w="2841" w:type="dxa"/>
              </w:tcPr>
              <w:p w:rsidR="00772A48" w:rsidRDefault="006646EE">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977" w:type="dxa"/>
              </w:tcPr>
              <w:p w:rsidR="00772A48" w:rsidRDefault="006646EE">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254" w:type="dxa"/>
              </w:tcPr>
              <w:p w:rsidR="00772A48" w:rsidRDefault="00772A48">
                <w:pPr>
                  <w:tabs>
                    <w:tab w:val="right" w:pos="8838"/>
                  </w:tabs>
                  <w:ind w:left="-114" w:right="-105"/>
                  <w:jc w:val="both"/>
                  <w:rPr>
                    <w:rFonts w:ascii="Palatino Linotype" w:eastAsia="Palatino Linotype" w:hAnsi="Palatino Linotype" w:cs="Palatino Linotype"/>
                    <w:sz w:val="22"/>
                    <w:szCs w:val="22"/>
                  </w:rPr>
                </w:pPr>
              </w:p>
            </w:tc>
          </w:tr>
        </w:tbl>
        <w:p w:rsidR="00772A48" w:rsidRDefault="00772A48">
          <w:pPr>
            <w:tabs>
              <w:tab w:val="right" w:pos="8838"/>
            </w:tabs>
            <w:spacing w:line="256" w:lineRule="auto"/>
            <w:ind w:left="-28"/>
            <w:jc w:val="both"/>
            <w:rPr>
              <w:rFonts w:ascii="Arial" w:eastAsia="Arial" w:hAnsi="Arial" w:cs="Arial"/>
              <w:b/>
              <w:sz w:val="22"/>
              <w:szCs w:val="22"/>
            </w:rPr>
          </w:pPr>
        </w:p>
      </w:tc>
    </w:tr>
  </w:tbl>
  <w:p w:rsidR="00772A48" w:rsidRDefault="006646EE">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simplePos x="0" y="0"/>
          <wp:positionH relativeFrom="margin">
            <wp:posOffset>-1153159</wp:posOffset>
          </wp:positionH>
          <wp:positionV relativeFrom="margin">
            <wp:posOffset>-1539239</wp:posOffset>
          </wp:positionV>
          <wp:extent cx="7835900" cy="10203815"/>
          <wp:effectExtent l="0" t="0" r="0" b="0"/>
          <wp:wrapNone/>
          <wp:docPr id="6213084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48" w:rsidRDefault="00772A48">
    <w:pPr>
      <w:widowControl w:val="0"/>
      <w:pBdr>
        <w:top w:val="nil"/>
        <w:left w:val="nil"/>
        <w:bottom w:val="nil"/>
        <w:right w:val="nil"/>
        <w:between w:val="nil"/>
      </w:pBdr>
      <w:spacing w:line="276" w:lineRule="auto"/>
      <w:rPr>
        <w:color w:val="000000"/>
      </w:rPr>
    </w:pPr>
  </w:p>
  <w:tbl>
    <w:tblPr>
      <w:tblStyle w:val="a5"/>
      <w:tblW w:w="9214" w:type="dxa"/>
      <w:tblInd w:w="0" w:type="dxa"/>
      <w:tblLayout w:type="fixed"/>
      <w:tblLook w:val="0400" w:firstRow="0" w:lastRow="0" w:firstColumn="0" w:lastColumn="0" w:noHBand="0" w:noVBand="1"/>
    </w:tblPr>
    <w:tblGrid>
      <w:gridCol w:w="1560"/>
      <w:gridCol w:w="7654"/>
    </w:tblGrid>
    <w:tr w:rsidR="00772A48">
      <w:trPr>
        <w:trHeight w:val="1435"/>
      </w:trPr>
      <w:tc>
        <w:tcPr>
          <w:tcW w:w="1560" w:type="dxa"/>
        </w:tcPr>
        <w:p w:rsidR="00772A48" w:rsidRDefault="00772A48">
          <w:pPr>
            <w:tabs>
              <w:tab w:val="right" w:pos="4273"/>
            </w:tabs>
            <w:spacing w:line="256" w:lineRule="auto"/>
            <w:rPr>
              <w:rFonts w:ascii="Garamond" w:eastAsia="Garamond" w:hAnsi="Garamond" w:cs="Garamond"/>
              <w:sz w:val="22"/>
              <w:szCs w:val="22"/>
            </w:rPr>
          </w:pPr>
        </w:p>
      </w:tc>
      <w:tc>
        <w:tcPr>
          <w:tcW w:w="7654" w:type="dxa"/>
        </w:tcPr>
        <w:p w:rsidR="00772A48" w:rsidRDefault="00772A48">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6"/>
            <w:tblW w:w="7111"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817"/>
            <w:gridCol w:w="2835"/>
            <w:gridCol w:w="459"/>
          </w:tblGrid>
          <w:tr w:rsidR="00772A48">
            <w:trPr>
              <w:gridAfter w:val="1"/>
              <w:wAfter w:w="459" w:type="dxa"/>
              <w:trHeight w:val="132"/>
            </w:trPr>
            <w:tc>
              <w:tcPr>
                <w:tcW w:w="3818" w:type="dxa"/>
              </w:tcPr>
              <w:p w:rsidR="00772A48" w:rsidRDefault="006646EE">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rsidR="00772A48" w:rsidRDefault="006646EE">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03706/INFOEM/IP/RR/2025 y acumulados </w:t>
                </w:r>
              </w:p>
            </w:tc>
          </w:tr>
          <w:tr w:rsidR="00772A48">
            <w:trPr>
              <w:gridAfter w:val="1"/>
              <w:wAfter w:w="459" w:type="dxa"/>
              <w:trHeight w:val="132"/>
            </w:trPr>
            <w:tc>
              <w:tcPr>
                <w:tcW w:w="3818" w:type="dxa"/>
              </w:tcPr>
              <w:p w:rsidR="00772A48" w:rsidRDefault="006646E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2835" w:type="dxa"/>
              </w:tcPr>
              <w:p w:rsidR="00772A48" w:rsidRDefault="00772A48">
                <w:pPr>
                  <w:tabs>
                    <w:tab w:val="left" w:pos="3122"/>
                    <w:tab w:val="right" w:pos="8838"/>
                  </w:tabs>
                  <w:ind w:left="-74" w:right="-105"/>
                  <w:jc w:val="both"/>
                  <w:rPr>
                    <w:rFonts w:ascii="Palatino Linotype" w:eastAsia="Palatino Linotype" w:hAnsi="Palatino Linotype" w:cs="Palatino Linotype"/>
                    <w:sz w:val="22"/>
                    <w:szCs w:val="22"/>
                  </w:rPr>
                </w:pPr>
              </w:p>
            </w:tc>
          </w:tr>
          <w:tr w:rsidR="00772A48">
            <w:trPr>
              <w:gridAfter w:val="1"/>
              <w:wAfter w:w="459" w:type="dxa"/>
              <w:trHeight w:val="261"/>
            </w:trPr>
            <w:tc>
              <w:tcPr>
                <w:tcW w:w="3818" w:type="dxa"/>
              </w:tcPr>
              <w:p w:rsidR="00772A48" w:rsidRDefault="006646E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rsidR="00772A48" w:rsidRDefault="006646EE">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Ayuntamiento de Toluca </w:t>
                </w:r>
              </w:p>
            </w:tc>
          </w:tr>
          <w:tr w:rsidR="00772A48">
            <w:trPr>
              <w:trHeight w:val="261"/>
            </w:trPr>
            <w:tc>
              <w:tcPr>
                <w:tcW w:w="3818" w:type="dxa"/>
              </w:tcPr>
              <w:p w:rsidR="00772A48" w:rsidRDefault="006646E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294" w:type="dxa"/>
                <w:gridSpan w:val="2"/>
              </w:tcPr>
              <w:p w:rsidR="00772A48" w:rsidRDefault="006646EE">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rsidR="00772A48" w:rsidRDefault="00772A48">
          <w:pPr>
            <w:tabs>
              <w:tab w:val="right" w:pos="8838"/>
            </w:tabs>
            <w:spacing w:line="256" w:lineRule="auto"/>
            <w:ind w:left="-28"/>
            <w:jc w:val="both"/>
            <w:rPr>
              <w:rFonts w:ascii="Arial" w:eastAsia="Arial" w:hAnsi="Arial" w:cs="Arial"/>
              <w:b/>
              <w:sz w:val="22"/>
              <w:szCs w:val="22"/>
            </w:rPr>
          </w:pPr>
        </w:p>
      </w:tc>
    </w:tr>
  </w:tbl>
  <w:p w:rsidR="00772A48" w:rsidRDefault="00F15860">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05pt;margin-top:-121.35pt;width:663.5pt;height:12in;z-index:-251657728;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51B26"/>
    <w:multiLevelType w:val="multilevel"/>
    <w:tmpl w:val="8C2286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B520EE"/>
    <w:multiLevelType w:val="multilevel"/>
    <w:tmpl w:val="2480B972"/>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2" w15:restartNumberingAfterBreak="0">
    <w:nsid w:val="39302C13"/>
    <w:multiLevelType w:val="multilevel"/>
    <w:tmpl w:val="22BA9A8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DD6D0E"/>
    <w:multiLevelType w:val="multilevel"/>
    <w:tmpl w:val="203293D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BC089D"/>
    <w:multiLevelType w:val="multilevel"/>
    <w:tmpl w:val="53BA6C8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667DBB"/>
    <w:multiLevelType w:val="multilevel"/>
    <w:tmpl w:val="9DF8C3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A48"/>
    <w:rsid w:val="00240393"/>
    <w:rsid w:val="0027324F"/>
    <w:rsid w:val="006646EE"/>
    <w:rsid w:val="00685EAD"/>
    <w:rsid w:val="00772A48"/>
    <w:rsid w:val="00B8058B"/>
    <w:rsid w:val="00C65B41"/>
    <w:rsid w:val="00F158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DFA7C10-8E71-4896-AE77-67A85E64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rFonts w:ascii="Calibri" w:eastAsia="Calibri" w:hAnsi="Calibri" w:cs="Calibri"/>
      <w:color w:val="2E75B5"/>
      <w:sz w:val="40"/>
      <w:szCs w:val="40"/>
    </w:rPr>
  </w:style>
  <w:style w:type="paragraph" w:styleId="Ttulo2">
    <w:name w:val="heading 2"/>
    <w:basedOn w:val="Normal"/>
    <w:next w:val="Normal"/>
    <w:pPr>
      <w:keepNext/>
      <w:keepLines/>
      <w:spacing w:before="160" w:after="80"/>
      <w:outlineLvl w:val="1"/>
    </w:pPr>
    <w:rPr>
      <w:rFonts w:ascii="Calibri" w:eastAsia="Calibri" w:hAnsi="Calibri" w:cs="Calibri"/>
      <w:color w:val="2E75B5"/>
      <w:sz w:val="32"/>
      <w:szCs w:val="3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473E86"/>
    <w:rPr>
      <w:rFonts w:asciiTheme="majorHAnsi" w:eastAsiaTheme="majorEastAsia" w:hAnsiTheme="majorHAnsi" w:cstheme="majorBidi"/>
      <w:color w:val="2E74B5" w:themeColor="accent1" w:themeShade="BF"/>
      <w:sz w:val="40"/>
      <w:szCs w:val="40"/>
      <w:lang w:eastAsia="es-ES"/>
    </w:rPr>
  </w:style>
  <w:style w:type="character" w:customStyle="1" w:styleId="Ttulo2Car">
    <w:name w:val="Título 2 Car"/>
    <w:basedOn w:val="Fuentedeprrafopredeter"/>
    <w:uiPriority w:val="9"/>
    <w:rsid w:val="00473E86"/>
    <w:rPr>
      <w:rFonts w:asciiTheme="majorHAnsi" w:eastAsiaTheme="majorEastAsia" w:hAnsiTheme="majorHAnsi" w:cstheme="majorBidi"/>
      <w:color w:val="2E74B5" w:themeColor="accent1" w:themeShade="BF"/>
      <w:sz w:val="32"/>
      <w:szCs w:val="32"/>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73E8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73E86"/>
    <w:rPr>
      <w:rFonts w:ascii="Times New Roman" w:eastAsia="Times New Roman" w:hAnsi="Times New Roman" w:cs="Times New Roman"/>
      <w:sz w:val="20"/>
      <w:szCs w:val="20"/>
      <w:lang w:eastAsia="es-ES"/>
    </w:rPr>
  </w:style>
  <w:style w:type="table" w:styleId="Tablaconcuadrcula">
    <w:name w:val="Table Grid"/>
    <w:basedOn w:val="Tablanormal"/>
    <w:uiPriority w:val="39"/>
    <w:rsid w:val="00473E86"/>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73E86"/>
    <w:pPr>
      <w:tabs>
        <w:tab w:val="center" w:pos="4419"/>
        <w:tab w:val="right" w:pos="8838"/>
      </w:tabs>
    </w:pPr>
  </w:style>
  <w:style w:type="character" w:customStyle="1" w:styleId="EncabezadoCar">
    <w:name w:val="Encabezado Car"/>
    <w:basedOn w:val="Fuentedeprrafopredeter"/>
    <w:link w:val="Encabezado"/>
    <w:uiPriority w:val="99"/>
    <w:rsid w:val="00473E86"/>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473E86"/>
    <w:pPr>
      <w:tabs>
        <w:tab w:val="center" w:pos="4419"/>
        <w:tab w:val="right" w:pos="8838"/>
      </w:tabs>
    </w:pPr>
  </w:style>
  <w:style w:type="character" w:customStyle="1" w:styleId="PiedepginaCar">
    <w:name w:val="Pie de página Car"/>
    <w:basedOn w:val="Fuentedeprrafopredeter"/>
    <w:link w:val="Piedepgina"/>
    <w:uiPriority w:val="99"/>
    <w:rsid w:val="00473E86"/>
    <w:rPr>
      <w:rFonts w:ascii="Times New Roman" w:eastAsia="Times New Roman" w:hAnsi="Times New Roman" w:cs="Times New Roman"/>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473E86"/>
    <w:rPr>
      <w:color w:val="0563C1" w:themeColor="hyperlink"/>
      <w:u w:val="single"/>
    </w:rPr>
  </w:style>
  <w:style w:type="paragraph" w:styleId="TtulodeTDC">
    <w:name w:val="TOC Heading"/>
    <w:next w:val="Normal"/>
    <w:uiPriority w:val="39"/>
    <w:unhideWhenUsed/>
    <w:qFormat/>
    <w:rsid w:val="00473E86"/>
    <w:pPr>
      <w:spacing w:before="240"/>
    </w:pPr>
    <w:rPr>
      <w:sz w:val="32"/>
      <w:szCs w:val="32"/>
    </w:rPr>
  </w:style>
  <w:style w:type="paragraph" w:styleId="TDC2">
    <w:name w:val="toc 2"/>
    <w:basedOn w:val="Normal"/>
    <w:next w:val="Normal"/>
    <w:autoRedefine/>
    <w:uiPriority w:val="39"/>
    <w:unhideWhenUsed/>
    <w:rsid w:val="00473E86"/>
    <w:pPr>
      <w:spacing w:after="100" w:line="259" w:lineRule="auto"/>
      <w:ind w:left="220"/>
    </w:pPr>
    <w:rPr>
      <w:rFonts w:asciiTheme="minorHAnsi" w:eastAsiaTheme="minorEastAsia" w:hAnsiTheme="minorHAnsi"/>
      <w:sz w:val="22"/>
      <w:szCs w:val="22"/>
    </w:rPr>
  </w:style>
  <w:style w:type="paragraph" w:styleId="TDC1">
    <w:name w:val="toc 1"/>
    <w:basedOn w:val="Normal"/>
    <w:next w:val="Normal"/>
    <w:autoRedefine/>
    <w:uiPriority w:val="39"/>
    <w:unhideWhenUsed/>
    <w:rsid w:val="00473E86"/>
    <w:pPr>
      <w:spacing w:after="100" w:line="259" w:lineRule="auto"/>
    </w:pPr>
    <w:rPr>
      <w:rFonts w:asciiTheme="minorHAnsi" w:eastAsiaTheme="minorEastAsia" w:hAnsiTheme="minorHAnsi"/>
      <w:sz w:val="22"/>
      <w:szCs w:val="2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cEnWWrJmgAzQikDgCLDNV7OjLQ==">CgMxLjAyDmguc2NhNTFlaWppZGx3Mg5oLjNwY3d5N3g1d3o1cjIOaC45MWN3MGkzcWhoaTEyDmgubjVjdmNtZnoyeWduMg5oLmJ6ZnZmaThrZGJsczIOaC55amF4NGE0NHF1aHYyDmgucGxiZ3Z1MWd3NXV4Mg5oLjQyaDVoamwzN29vYzINaC5ybnlra3Y5cHE3MDIOaC4xNGs5amRxYXd1NHgyDmgubnF0dTBqaXI2bmVhMg5oLmhwaWZtc3A3YWgxeTIOaC5nZ21xYnNheGU0aHEyDmguM2U1anhiMmt2cmo2Mg5oLnh1Z2RtOGF3a2cxNjgAciExbFdsZVdPNm1qY3lFT3IyZVRfQmRPUEVGSGZHeHlGe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9AA3C4-849F-4061-B0DD-D14C89B6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6263</Words>
  <Characters>34447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INFOEM500</dc:creator>
  <cp:lastModifiedBy>USUARIO</cp:lastModifiedBy>
  <cp:revision>3</cp:revision>
  <cp:lastPrinted>2025-10-03T14:27:00Z</cp:lastPrinted>
  <dcterms:created xsi:type="dcterms:W3CDTF">2025-10-03T14:27:00Z</dcterms:created>
  <dcterms:modified xsi:type="dcterms:W3CDTF">2025-10-03T14:27:00Z</dcterms:modified>
</cp:coreProperties>
</file>