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B2B0D" w14:textId="77777777" w:rsidR="009302CD" w:rsidRDefault="009302CD" w:rsidP="00B44317">
      <w:pPr>
        <w:widowControl w:val="0"/>
        <w:pBdr>
          <w:top w:val="nil"/>
          <w:left w:val="nil"/>
          <w:bottom w:val="nil"/>
          <w:right w:val="nil"/>
          <w:between w:val="nil"/>
        </w:pBdr>
        <w:spacing w:after="0" w:line="360" w:lineRule="auto"/>
        <w:jc w:val="left"/>
      </w:pPr>
    </w:p>
    <w:p w14:paraId="4E2B2B0E" w14:textId="77777777" w:rsidR="009302CD" w:rsidRPr="00425A23" w:rsidRDefault="006E571C" w:rsidP="00B44317">
      <w:pPr>
        <w:keepNext/>
        <w:keepLines/>
        <w:pBdr>
          <w:top w:val="nil"/>
          <w:left w:val="nil"/>
          <w:bottom w:val="nil"/>
          <w:right w:val="nil"/>
          <w:between w:val="nil"/>
        </w:pBdr>
        <w:spacing w:after="0" w:line="360" w:lineRule="auto"/>
        <w:jc w:val="left"/>
        <w:rPr>
          <w:b/>
          <w:color w:val="000000"/>
          <w:sz w:val="24"/>
          <w:szCs w:val="24"/>
        </w:rPr>
      </w:pPr>
      <w:r w:rsidRPr="00425A23">
        <w:rPr>
          <w:bCs/>
          <w:color w:val="000000"/>
          <w:sz w:val="24"/>
          <w:szCs w:val="24"/>
        </w:rPr>
        <w:t>Contenido</w:t>
      </w:r>
    </w:p>
    <w:sdt>
      <w:sdtPr>
        <w:rPr>
          <w:rFonts w:eastAsia="Palatino Linotype" w:cs="Palatino Linotype"/>
          <w:b w:val="0"/>
          <w:color w:val="000000" w:themeColor="text1"/>
          <w:szCs w:val="22"/>
          <w:lang w:val="es-ES"/>
        </w:rPr>
        <w:id w:val="-734163581"/>
        <w:docPartObj>
          <w:docPartGallery w:val="Table of Contents"/>
          <w:docPartUnique/>
        </w:docPartObj>
      </w:sdtPr>
      <w:sdtEndPr>
        <w:rPr>
          <w:bCs/>
        </w:rPr>
      </w:sdtEndPr>
      <w:sdtContent>
        <w:p w14:paraId="1601CCA4" w14:textId="0E9E4DE6" w:rsidR="00A67F67" w:rsidRPr="00425A23" w:rsidRDefault="00A67F67" w:rsidP="00B44317">
          <w:pPr>
            <w:pStyle w:val="TtulodeTDC"/>
            <w:spacing w:before="0" w:line="360" w:lineRule="auto"/>
          </w:pPr>
          <w:r w:rsidRPr="00425A23">
            <w:rPr>
              <w:lang w:val="es-ES"/>
            </w:rPr>
            <w:t>Contenido</w:t>
          </w:r>
        </w:p>
        <w:p w14:paraId="4E8787B3" w14:textId="05E7FF49" w:rsidR="007B1CD3" w:rsidRDefault="00A67F67">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r w:rsidRPr="00425A23">
            <w:fldChar w:fldCharType="begin"/>
          </w:r>
          <w:r w:rsidRPr="00425A23">
            <w:instrText xml:space="preserve"> TOC \o "1-3" \h \z \u </w:instrText>
          </w:r>
          <w:r w:rsidRPr="00425A23">
            <w:fldChar w:fldCharType="separate"/>
          </w:r>
          <w:hyperlink w:anchor="_Toc210917088" w:history="1">
            <w:r w:rsidR="007B1CD3" w:rsidRPr="000A3895">
              <w:rPr>
                <w:rStyle w:val="Hipervnculo"/>
                <w:noProof/>
              </w:rPr>
              <w:t>A N T E C E D E N T E S</w:t>
            </w:r>
            <w:r w:rsidR="007B1CD3">
              <w:rPr>
                <w:noProof/>
                <w:webHidden/>
              </w:rPr>
              <w:tab/>
            </w:r>
            <w:r w:rsidR="007B1CD3">
              <w:rPr>
                <w:noProof/>
                <w:webHidden/>
              </w:rPr>
              <w:fldChar w:fldCharType="begin"/>
            </w:r>
            <w:r w:rsidR="007B1CD3">
              <w:rPr>
                <w:noProof/>
                <w:webHidden/>
              </w:rPr>
              <w:instrText xml:space="preserve"> PAGEREF _Toc210917088 \h </w:instrText>
            </w:r>
            <w:r w:rsidR="007B1CD3">
              <w:rPr>
                <w:noProof/>
                <w:webHidden/>
              </w:rPr>
            </w:r>
            <w:r w:rsidR="007B1CD3">
              <w:rPr>
                <w:noProof/>
                <w:webHidden/>
              </w:rPr>
              <w:fldChar w:fldCharType="separate"/>
            </w:r>
            <w:r w:rsidR="00CB6501">
              <w:rPr>
                <w:noProof/>
                <w:webHidden/>
              </w:rPr>
              <w:t>2</w:t>
            </w:r>
            <w:r w:rsidR="007B1CD3">
              <w:rPr>
                <w:noProof/>
                <w:webHidden/>
              </w:rPr>
              <w:fldChar w:fldCharType="end"/>
            </w:r>
          </w:hyperlink>
        </w:p>
        <w:p w14:paraId="406DB28C" w14:textId="1E09D178"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89" w:history="1">
            <w:r w:rsidR="007B1CD3" w:rsidRPr="000A3895">
              <w:rPr>
                <w:rStyle w:val="Hipervnculo"/>
                <w:noProof/>
              </w:rPr>
              <w:t>I. Presentación de la solicitud de información</w:t>
            </w:r>
            <w:r w:rsidR="007B1CD3">
              <w:rPr>
                <w:noProof/>
                <w:webHidden/>
              </w:rPr>
              <w:tab/>
            </w:r>
            <w:r w:rsidR="007B1CD3">
              <w:rPr>
                <w:noProof/>
                <w:webHidden/>
              </w:rPr>
              <w:fldChar w:fldCharType="begin"/>
            </w:r>
            <w:r w:rsidR="007B1CD3">
              <w:rPr>
                <w:noProof/>
                <w:webHidden/>
              </w:rPr>
              <w:instrText xml:space="preserve"> PAGEREF _Toc210917089 \h </w:instrText>
            </w:r>
            <w:r w:rsidR="007B1CD3">
              <w:rPr>
                <w:noProof/>
                <w:webHidden/>
              </w:rPr>
            </w:r>
            <w:r w:rsidR="007B1CD3">
              <w:rPr>
                <w:noProof/>
                <w:webHidden/>
              </w:rPr>
              <w:fldChar w:fldCharType="separate"/>
            </w:r>
            <w:r w:rsidR="00CB6501">
              <w:rPr>
                <w:noProof/>
                <w:webHidden/>
              </w:rPr>
              <w:t>2</w:t>
            </w:r>
            <w:r w:rsidR="007B1CD3">
              <w:rPr>
                <w:noProof/>
                <w:webHidden/>
              </w:rPr>
              <w:fldChar w:fldCharType="end"/>
            </w:r>
          </w:hyperlink>
        </w:p>
        <w:p w14:paraId="4B677A81" w14:textId="4A560C00"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0" w:history="1">
            <w:r w:rsidR="007B1CD3" w:rsidRPr="000A3895">
              <w:rPr>
                <w:rStyle w:val="Hipervnculo"/>
                <w:noProof/>
              </w:rPr>
              <w:t>II. Prórroga</w:t>
            </w:r>
            <w:r w:rsidR="007B1CD3">
              <w:rPr>
                <w:noProof/>
                <w:webHidden/>
              </w:rPr>
              <w:tab/>
            </w:r>
            <w:r w:rsidR="007B1CD3">
              <w:rPr>
                <w:noProof/>
                <w:webHidden/>
              </w:rPr>
              <w:fldChar w:fldCharType="begin"/>
            </w:r>
            <w:r w:rsidR="007B1CD3">
              <w:rPr>
                <w:noProof/>
                <w:webHidden/>
              </w:rPr>
              <w:instrText xml:space="preserve"> PAGEREF _Toc210917090 \h </w:instrText>
            </w:r>
            <w:r w:rsidR="007B1CD3">
              <w:rPr>
                <w:noProof/>
                <w:webHidden/>
              </w:rPr>
            </w:r>
            <w:r w:rsidR="007B1CD3">
              <w:rPr>
                <w:noProof/>
                <w:webHidden/>
              </w:rPr>
              <w:fldChar w:fldCharType="separate"/>
            </w:r>
            <w:r w:rsidR="00CB6501">
              <w:rPr>
                <w:noProof/>
                <w:webHidden/>
              </w:rPr>
              <w:t>3</w:t>
            </w:r>
            <w:r w:rsidR="007B1CD3">
              <w:rPr>
                <w:noProof/>
                <w:webHidden/>
              </w:rPr>
              <w:fldChar w:fldCharType="end"/>
            </w:r>
          </w:hyperlink>
        </w:p>
        <w:p w14:paraId="5BD371F1" w14:textId="2EFAD078"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1" w:history="1">
            <w:r w:rsidR="007B1CD3" w:rsidRPr="000A3895">
              <w:rPr>
                <w:rStyle w:val="Hipervnculo"/>
                <w:noProof/>
              </w:rPr>
              <w:t>III. Respuesta del Sujeto Obligado</w:t>
            </w:r>
            <w:r w:rsidR="007B1CD3">
              <w:rPr>
                <w:noProof/>
                <w:webHidden/>
              </w:rPr>
              <w:tab/>
            </w:r>
            <w:r w:rsidR="007B1CD3">
              <w:rPr>
                <w:noProof/>
                <w:webHidden/>
              </w:rPr>
              <w:fldChar w:fldCharType="begin"/>
            </w:r>
            <w:r w:rsidR="007B1CD3">
              <w:rPr>
                <w:noProof/>
                <w:webHidden/>
              </w:rPr>
              <w:instrText xml:space="preserve"> PAGEREF _Toc210917091 \h </w:instrText>
            </w:r>
            <w:r w:rsidR="007B1CD3">
              <w:rPr>
                <w:noProof/>
                <w:webHidden/>
              </w:rPr>
            </w:r>
            <w:r w:rsidR="007B1CD3">
              <w:rPr>
                <w:noProof/>
                <w:webHidden/>
              </w:rPr>
              <w:fldChar w:fldCharType="separate"/>
            </w:r>
            <w:r w:rsidR="00CB6501">
              <w:rPr>
                <w:noProof/>
                <w:webHidden/>
              </w:rPr>
              <w:t>3</w:t>
            </w:r>
            <w:r w:rsidR="007B1CD3">
              <w:rPr>
                <w:noProof/>
                <w:webHidden/>
              </w:rPr>
              <w:fldChar w:fldCharType="end"/>
            </w:r>
          </w:hyperlink>
        </w:p>
        <w:p w14:paraId="59C7048A" w14:textId="45C877E1"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2" w:history="1">
            <w:r w:rsidR="007B1CD3" w:rsidRPr="000A3895">
              <w:rPr>
                <w:rStyle w:val="Hipervnculo"/>
                <w:noProof/>
              </w:rPr>
              <w:t>IV. Interposición del Recurso de Revisión</w:t>
            </w:r>
            <w:r w:rsidR="007B1CD3">
              <w:rPr>
                <w:noProof/>
                <w:webHidden/>
              </w:rPr>
              <w:tab/>
            </w:r>
            <w:r w:rsidR="007B1CD3">
              <w:rPr>
                <w:noProof/>
                <w:webHidden/>
              </w:rPr>
              <w:fldChar w:fldCharType="begin"/>
            </w:r>
            <w:r w:rsidR="007B1CD3">
              <w:rPr>
                <w:noProof/>
                <w:webHidden/>
              </w:rPr>
              <w:instrText xml:space="preserve"> PAGEREF _Toc210917092 \h </w:instrText>
            </w:r>
            <w:r w:rsidR="007B1CD3">
              <w:rPr>
                <w:noProof/>
                <w:webHidden/>
              </w:rPr>
            </w:r>
            <w:r w:rsidR="007B1CD3">
              <w:rPr>
                <w:noProof/>
                <w:webHidden/>
              </w:rPr>
              <w:fldChar w:fldCharType="separate"/>
            </w:r>
            <w:r w:rsidR="00CB6501">
              <w:rPr>
                <w:noProof/>
                <w:webHidden/>
              </w:rPr>
              <w:t>7</w:t>
            </w:r>
            <w:r w:rsidR="007B1CD3">
              <w:rPr>
                <w:noProof/>
                <w:webHidden/>
              </w:rPr>
              <w:fldChar w:fldCharType="end"/>
            </w:r>
          </w:hyperlink>
        </w:p>
        <w:p w14:paraId="430601BE" w14:textId="75F13129"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3" w:history="1">
            <w:r w:rsidR="007B1CD3" w:rsidRPr="000A3895">
              <w:rPr>
                <w:rStyle w:val="Hipervnculo"/>
                <w:noProof/>
              </w:rPr>
              <w:t>V. Trámite del Recurso de Revisión ante este Instituto</w:t>
            </w:r>
            <w:r w:rsidR="007B1CD3">
              <w:rPr>
                <w:noProof/>
                <w:webHidden/>
              </w:rPr>
              <w:tab/>
            </w:r>
            <w:r w:rsidR="007B1CD3">
              <w:rPr>
                <w:noProof/>
                <w:webHidden/>
              </w:rPr>
              <w:fldChar w:fldCharType="begin"/>
            </w:r>
            <w:r w:rsidR="007B1CD3">
              <w:rPr>
                <w:noProof/>
                <w:webHidden/>
              </w:rPr>
              <w:instrText xml:space="preserve"> PAGEREF _Toc210917093 \h </w:instrText>
            </w:r>
            <w:r w:rsidR="007B1CD3">
              <w:rPr>
                <w:noProof/>
                <w:webHidden/>
              </w:rPr>
            </w:r>
            <w:r w:rsidR="007B1CD3">
              <w:rPr>
                <w:noProof/>
                <w:webHidden/>
              </w:rPr>
              <w:fldChar w:fldCharType="separate"/>
            </w:r>
            <w:r w:rsidR="00CB6501">
              <w:rPr>
                <w:noProof/>
                <w:webHidden/>
              </w:rPr>
              <w:t>8</w:t>
            </w:r>
            <w:r w:rsidR="007B1CD3">
              <w:rPr>
                <w:noProof/>
                <w:webHidden/>
              </w:rPr>
              <w:fldChar w:fldCharType="end"/>
            </w:r>
          </w:hyperlink>
        </w:p>
        <w:p w14:paraId="587DA72B" w14:textId="03433881"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4" w:history="1">
            <w:r w:rsidR="007B1CD3" w:rsidRPr="000A3895">
              <w:rPr>
                <w:rStyle w:val="Hipervnculo"/>
                <w:noProof/>
              </w:rPr>
              <w:t>a) Turno del Medio de Impugnación</w:t>
            </w:r>
            <w:r w:rsidR="007B1CD3">
              <w:rPr>
                <w:noProof/>
                <w:webHidden/>
              </w:rPr>
              <w:tab/>
            </w:r>
            <w:r w:rsidR="007B1CD3">
              <w:rPr>
                <w:noProof/>
                <w:webHidden/>
              </w:rPr>
              <w:fldChar w:fldCharType="begin"/>
            </w:r>
            <w:r w:rsidR="007B1CD3">
              <w:rPr>
                <w:noProof/>
                <w:webHidden/>
              </w:rPr>
              <w:instrText xml:space="preserve"> PAGEREF _Toc210917094 \h </w:instrText>
            </w:r>
            <w:r w:rsidR="007B1CD3">
              <w:rPr>
                <w:noProof/>
                <w:webHidden/>
              </w:rPr>
            </w:r>
            <w:r w:rsidR="007B1CD3">
              <w:rPr>
                <w:noProof/>
                <w:webHidden/>
              </w:rPr>
              <w:fldChar w:fldCharType="separate"/>
            </w:r>
            <w:r w:rsidR="00CB6501">
              <w:rPr>
                <w:noProof/>
                <w:webHidden/>
              </w:rPr>
              <w:t>8</w:t>
            </w:r>
            <w:r w:rsidR="007B1CD3">
              <w:rPr>
                <w:noProof/>
                <w:webHidden/>
              </w:rPr>
              <w:fldChar w:fldCharType="end"/>
            </w:r>
          </w:hyperlink>
        </w:p>
        <w:p w14:paraId="678311F5" w14:textId="30678BA2"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5" w:history="1">
            <w:r w:rsidR="007B1CD3" w:rsidRPr="000A3895">
              <w:rPr>
                <w:rStyle w:val="Hipervnculo"/>
                <w:noProof/>
              </w:rPr>
              <w:t>b) Admisión del Recurso de Revisión</w:t>
            </w:r>
            <w:r w:rsidR="007B1CD3">
              <w:rPr>
                <w:noProof/>
                <w:webHidden/>
              </w:rPr>
              <w:tab/>
            </w:r>
            <w:r w:rsidR="007B1CD3">
              <w:rPr>
                <w:noProof/>
                <w:webHidden/>
              </w:rPr>
              <w:fldChar w:fldCharType="begin"/>
            </w:r>
            <w:r w:rsidR="007B1CD3">
              <w:rPr>
                <w:noProof/>
                <w:webHidden/>
              </w:rPr>
              <w:instrText xml:space="preserve"> PAGEREF _Toc210917095 \h </w:instrText>
            </w:r>
            <w:r w:rsidR="007B1CD3">
              <w:rPr>
                <w:noProof/>
                <w:webHidden/>
              </w:rPr>
            </w:r>
            <w:r w:rsidR="007B1CD3">
              <w:rPr>
                <w:noProof/>
                <w:webHidden/>
              </w:rPr>
              <w:fldChar w:fldCharType="separate"/>
            </w:r>
            <w:r w:rsidR="00CB6501">
              <w:rPr>
                <w:noProof/>
                <w:webHidden/>
              </w:rPr>
              <w:t>8</w:t>
            </w:r>
            <w:r w:rsidR="007B1CD3">
              <w:rPr>
                <w:noProof/>
                <w:webHidden/>
              </w:rPr>
              <w:fldChar w:fldCharType="end"/>
            </w:r>
          </w:hyperlink>
        </w:p>
        <w:p w14:paraId="2A54CF14" w14:textId="1FF37622"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6" w:history="1">
            <w:r w:rsidR="007B1CD3" w:rsidRPr="000A3895">
              <w:rPr>
                <w:rStyle w:val="Hipervnculo"/>
                <w:noProof/>
              </w:rPr>
              <w:t>c) Informe Justificado</w:t>
            </w:r>
            <w:r w:rsidR="007B1CD3">
              <w:rPr>
                <w:noProof/>
                <w:webHidden/>
              </w:rPr>
              <w:tab/>
            </w:r>
            <w:r w:rsidR="007B1CD3">
              <w:rPr>
                <w:noProof/>
                <w:webHidden/>
              </w:rPr>
              <w:fldChar w:fldCharType="begin"/>
            </w:r>
            <w:r w:rsidR="007B1CD3">
              <w:rPr>
                <w:noProof/>
                <w:webHidden/>
              </w:rPr>
              <w:instrText xml:space="preserve"> PAGEREF _Toc210917096 \h </w:instrText>
            </w:r>
            <w:r w:rsidR="007B1CD3">
              <w:rPr>
                <w:noProof/>
                <w:webHidden/>
              </w:rPr>
            </w:r>
            <w:r w:rsidR="007B1CD3">
              <w:rPr>
                <w:noProof/>
                <w:webHidden/>
              </w:rPr>
              <w:fldChar w:fldCharType="separate"/>
            </w:r>
            <w:r w:rsidR="00CB6501">
              <w:rPr>
                <w:noProof/>
                <w:webHidden/>
              </w:rPr>
              <w:t>8</w:t>
            </w:r>
            <w:r w:rsidR="007B1CD3">
              <w:rPr>
                <w:noProof/>
                <w:webHidden/>
              </w:rPr>
              <w:fldChar w:fldCharType="end"/>
            </w:r>
          </w:hyperlink>
        </w:p>
        <w:p w14:paraId="1298FB66" w14:textId="762FD779"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7" w:history="1">
            <w:r w:rsidR="007B1CD3" w:rsidRPr="000A3895">
              <w:rPr>
                <w:rStyle w:val="Hipervnculo"/>
                <w:noProof/>
              </w:rPr>
              <w:t>d) Manifestaciones</w:t>
            </w:r>
            <w:r w:rsidR="007B1CD3">
              <w:rPr>
                <w:noProof/>
                <w:webHidden/>
              </w:rPr>
              <w:tab/>
            </w:r>
            <w:r w:rsidR="007B1CD3">
              <w:rPr>
                <w:noProof/>
                <w:webHidden/>
              </w:rPr>
              <w:fldChar w:fldCharType="begin"/>
            </w:r>
            <w:r w:rsidR="007B1CD3">
              <w:rPr>
                <w:noProof/>
                <w:webHidden/>
              </w:rPr>
              <w:instrText xml:space="preserve"> PAGEREF _Toc210917097 \h </w:instrText>
            </w:r>
            <w:r w:rsidR="007B1CD3">
              <w:rPr>
                <w:noProof/>
                <w:webHidden/>
              </w:rPr>
            </w:r>
            <w:r w:rsidR="007B1CD3">
              <w:rPr>
                <w:noProof/>
                <w:webHidden/>
              </w:rPr>
              <w:fldChar w:fldCharType="separate"/>
            </w:r>
            <w:r w:rsidR="00CB6501">
              <w:rPr>
                <w:noProof/>
                <w:webHidden/>
              </w:rPr>
              <w:t>9</w:t>
            </w:r>
            <w:r w:rsidR="007B1CD3">
              <w:rPr>
                <w:noProof/>
                <w:webHidden/>
              </w:rPr>
              <w:fldChar w:fldCharType="end"/>
            </w:r>
          </w:hyperlink>
        </w:p>
        <w:p w14:paraId="11F13653" w14:textId="1A34E598"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8" w:history="1">
            <w:r w:rsidR="007B1CD3" w:rsidRPr="000A3895">
              <w:rPr>
                <w:rStyle w:val="Hipervnculo"/>
                <w:noProof/>
              </w:rPr>
              <w:t>e) Ampliación de plazo</w:t>
            </w:r>
            <w:r w:rsidR="007B1CD3">
              <w:rPr>
                <w:noProof/>
                <w:webHidden/>
              </w:rPr>
              <w:tab/>
            </w:r>
            <w:r w:rsidR="007B1CD3">
              <w:rPr>
                <w:noProof/>
                <w:webHidden/>
              </w:rPr>
              <w:fldChar w:fldCharType="begin"/>
            </w:r>
            <w:r w:rsidR="007B1CD3">
              <w:rPr>
                <w:noProof/>
                <w:webHidden/>
              </w:rPr>
              <w:instrText xml:space="preserve"> PAGEREF _Toc210917098 \h </w:instrText>
            </w:r>
            <w:r w:rsidR="007B1CD3">
              <w:rPr>
                <w:noProof/>
                <w:webHidden/>
              </w:rPr>
            </w:r>
            <w:r w:rsidR="007B1CD3">
              <w:rPr>
                <w:noProof/>
                <w:webHidden/>
              </w:rPr>
              <w:fldChar w:fldCharType="separate"/>
            </w:r>
            <w:r w:rsidR="00CB6501">
              <w:rPr>
                <w:noProof/>
                <w:webHidden/>
              </w:rPr>
              <w:t>9</w:t>
            </w:r>
            <w:r w:rsidR="007B1CD3">
              <w:rPr>
                <w:noProof/>
                <w:webHidden/>
              </w:rPr>
              <w:fldChar w:fldCharType="end"/>
            </w:r>
          </w:hyperlink>
        </w:p>
        <w:p w14:paraId="6DBDBF74" w14:textId="376375F7"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099" w:history="1">
            <w:r w:rsidR="007B1CD3" w:rsidRPr="000A3895">
              <w:rPr>
                <w:rStyle w:val="Hipervnculo"/>
                <w:noProof/>
              </w:rPr>
              <w:t>f) Cierre de instrucción</w:t>
            </w:r>
            <w:r w:rsidR="007B1CD3">
              <w:rPr>
                <w:noProof/>
                <w:webHidden/>
              </w:rPr>
              <w:tab/>
            </w:r>
            <w:r w:rsidR="007B1CD3">
              <w:rPr>
                <w:noProof/>
                <w:webHidden/>
              </w:rPr>
              <w:fldChar w:fldCharType="begin"/>
            </w:r>
            <w:r w:rsidR="007B1CD3">
              <w:rPr>
                <w:noProof/>
                <w:webHidden/>
              </w:rPr>
              <w:instrText xml:space="preserve"> PAGEREF _Toc210917099 \h </w:instrText>
            </w:r>
            <w:r w:rsidR="007B1CD3">
              <w:rPr>
                <w:noProof/>
                <w:webHidden/>
              </w:rPr>
            </w:r>
            <w:r w:rsidR="007B1CD3">
              <w:rPr>
                <w:noProof/>
                <w:webHidden/>
              </w:rPr>
              <w:fldChar w:fldCharType="separate"/>
            </w:r>
            <w:r w:rsidR="00CB6501">
              <w:rPr>
                <w:noProof/>
                <w:webHidden/>
              </w:rPr>
              <w:t>9</w:t>
            </w:r>
            <w:r w:rsidR="007B1CD3">
              <w:rPr>
                <w:noProof/>
                <w:webHidden/>
              </w:rPr>
              <w:fldChar w:fldCharType="end"/>
            </w:r>
          </w:hyperlink>
        </w:p>
        <w:p w14:paraId="2366B2EA" w14:textId="17C26182" w:rsidR="007B1CD3" w:rsidRDefault="00CE757C">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0" w:history="1">
            <w:r w:rsidR="007B1CD3" w:rsidRPr="000A3895">
              <w:rPr>
                <w:rStyle w:val="Hipervnculo"/>
                <w:noProof/>
              </w:rPr>
              <w:t>CONSIDERANDOS</w:t>
            </w:r>
            <w:r w:rsidR="007B1CD3">
              <w:rPr>
                <w:noProof/>
                <w:webHidden/>
              </w:rPr>
              <w:tab/>
            </w:r>
            <w:r w:rsidR="007B1CD3">
              <w:rPr>
                <w:noProof/>
                <w:webHidden/>
              </w:rPr>
              <w:fldChar w:fldCharType="begin"/>
            </w:r>
            <w:r w:rsidR="007B1CD3">
              <w:rPr>
                <w:noProof/>
                <w:webHidden/>
              </w:rPr>
              <w:instrText xml:space="preserve"> PAGEREF _Toc210917100 \h </w:instrText>
            </w:r>
            <w:r w:rsidR="007B1CD3">
              <w:rPr>
                <w:noProof/>
                <w:webHidden/>
              </w:rPr>
            </w:r>
            <w:r w:rsidR="007B1CD3">
              <w:rPr>
                <w:noProof/>
                <w:webHidden/>
              </w:rPr>
              <w:fldChar w:fldCharType="separate"/>
            </w:r>
            <w:r w:rsidR="00CB6501">
              <w:rPr>
                <w:noProof/>
                <w:webHidden/>
              </w:rPr>
              <w:t>10</w:t>
            </w:r>
            <w:r w:rsidR="007B1CD3">
              <w:rPr>
                <w:noProof/>
                <w:webHidden/>
              </w:rPr>
              <w:fldChar w:fldCharType="end"/>
            </w:r>
          </w:hyperlink>
        </w:p>
        <w:p w14:paraId="35EA7288" w14:textId="469C9668"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1" w:history="1">
            <w:r w:rsidR="007B1CD3" w:rsidRPr="000A3895">
              <w:rPr>
                <w:rStyle w:val="Hipervnculo"/>
                <w:rFonts w:eastAsia="Calibri"/>
                <w:noProof/>
                <w:lang w:val="es-ES"/>
              </w:rPr>
              <w:t xml:space="preserve">PRIMERO. </w:t>
            </w:r>
            <w:r w:rsidR="007B1CD3" w:rsidRPr="000A3895">
              <w:rPr>
                <w:rStyle w:val="Hipervnculo"/>
                <w:noProof/>
                <w:lang w:val="es-ES"/>
              </w:rPr>
              <w:t>Competencia</w:t>
            </w:r>
            <w:r w:rsidR="007B1CD3">
              <w:rPr>
                <w:noProof/>
                <w:webHidden/>
              </w:rPr>
              <w:tab/>
            </w:r>
            <w:r w:rsidR="007B1CD3">
              <w:rPr>
                <w:noProof/>
                <w:webHidden/>
              </w:rPr>
              <w:fldChar w:fldCharType="begin"/>
            </w:r>
            <w:r w:rsidR="007B1CD3">
              <w:rPr>
                <w:noProof/>
                <w:webHidden/>
              </w:rPr>
              <w:instrText xml:space="preserve"> PAGEREF _Toc210917101 \h </w:instrText>
            </w:r>
            <w:r w:rsidR="007B1CD3">
              <w:rPr>
                <w:noProof/>
                <w:webHidden/>
              </w:rPr>
            </w:r>
            <w:r w:rsidR="007B1CD3">
              <w:rPr>
                <w:noProof/>
                <w:webHidden/>
              </w:rPr>
              <w:fldChar w:fldCharType="separate"/>
            </w:r>
            <w:r w:rsidR="00CB6501">
              <w:rPr>
                <w:noProof/>
                <w:webHidden/>
              </w:rPr>
              <w:t>10</w:t>
            </w:r>
            <w:r w:rsidR="007B1CD3">
              <w:rPr>
                <w:noProof/>
                <w:webHidden/>
              </w:rPr>
              <w:fldChar w:fldCharType="end"/>
            </w:r>
          </w:hyperlink>
        </w:p>
        <w:p w14:paraId="7E3895BB" w14:textId="20AE94F0"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2" w:history="1">
            <w:r w:rsidR="007B1CD3" w:rsidRPr="000A3895">
              <w:rPr>
                <w:rStyle w:val="Hipervnculo"/>
                <w:rFonts w:eastAsia="Calibri"/>
                <w:noProof/>
                <w:lang w:val="es-ES"/>
              </w:rPr>
              <w:t>SEGUNDO. Causales de improcedencia y sobreseimiento</w:t>
            </w:r>
            <w:r w:rsidR="007B1CD3">
              <w:rPr>
                <w:noProof/>
                <w:webHidden/>
              </w:rPr>
              <w:tab/>
            </w:r>
            <w:r w:rsidR="007B1CD3">
              <w:rPr>
                <w:noProof/>
                <w:webHidden/>
              </w:rPr>
              <w:fldChar w:fldCharType="begin"/>
            </w:r>
            <w:r w:rsidR="007B1CD3">
              <w:rPr>
                <w:noProof/>
                <w:webHidden/>
              </w:rPr>
              <w:instrText xml:space="preserve"> PAGEREF _Toc210917102 \h </w:instrText>
            </w:r>
            <w:r w:rsidR="007B1CD3">
              <w:rPr>
                <w:noProof/>
                <w:webHidden/>
              </w:rPr>
            </w:r>
            <w:r w:rsidR="007B1CD3">
              <w:rPr>
                <w:noProof/>
                <w:webHidden/>
              </w:rPr>
              <w:fldChar w:fldCharType="separate"/>
            </w:r>
            <w:r w:rsidR="00CB6501">
              <w:rPr>
                <w:noProof/>
                <w:webHidden/>
              </w:rPr>
              <w:t>10</w:t>
            </w:r>
            <w:r w:rsidR="007B1CD3">
              <w:rPr>
                <w:noProof/>
                <w:webHidden/>
              </w:rPr>
              <w:fldChar w:fldCharType="end"/>
            </w:r>
          </w:hyperlink>
        </w:p>
        <w:p w14:paraId="5BD52E54" w14:textId="314EA2D0"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3" w:history="1">
            <w:r w:rsidR="007B1CD3" w:rsidRPr="000A3895">
              <w:rPr>
                <w:rStyle w:val="Hipervnculo"/>
                <w:rFonts w:eastAsia="Calibri"/>
                <w:noProof/>
                <w:lang w:val="es-ES"/>
              </w:rPr>
              <w:t>TERCERO. Determinación de la Controversia</w:t>
            </w:r>
            <w:r w:rsidR="007B1CD3">
              <w:rPr>
                <w:noProof/>
                <w:webHidden/>
              </w:rPr>
              <w:tab/>
            </w:r>
            <w:r w:rsidR="007B1CD3">
              <w:rPr>
                <w:noProof/>
                <w:webHidden/>
              </w:rPr>
              <w:fldChar w:fldCharType="begin"/>
            </w:r>
            <w:r w:rsidR="007B1CD3">
              <w:rPr>
                <w:noProof/>
                <w:webHidden/>
              </w:rPr>
              <w:instrText xml:space="preserve"> PAGEREF _Toc210917103 \h </w:instrText>
            </w:r>
            <w:r w:rsidR="007B1CD3">
              <w:rPr>
                <w:noProof/>
                <w:webHidden/>
              </w:rPr>
            </w:r>
            <w:r w:rsidR="007B1CD3">
              <w:rPr>
                <w:noProof/>
                <w:webHidden/>
              </w:rPr>
              <w:fldChar w:fldCharType="separate"/>
            </w:r>
            <w:r w:rsidR="00CB6501">
              <w:rPr>
                <w:noProof/>
                <w:webHidden/>
              </w:rPr>
              <w:t>12</w:t>
            </w:r>
            <w:r w:rsidR="007B1CD3">
              <w:rPr>
                <w:noProof/>
                <w:webHidden/>
              </w:rPr>
              <w:fldChar w:fldCharType="end"/>
            </w:r>
          </w:hyperlink>
        </w:p>
        <w:p w14:paraId="1C5F2F0D" w14:textId="2232A67E"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4" w:history="1">
            <w:r w:rsidR="007B1CD3" w:rsidRPr="000A3895">
              <w:rPr>
                <w:rStyle w:val="Hipervnculo"/>
                <w:rFonts w:eastAsia="Calibri"/>
                <w:noProof/>
                <w:lang w:val="es-ES"/>
              </w:rPr>
              <w:t>CUARTO. Marco normativo aplicable en materia de transparencia y acceso a la información pública</w:t>
            </w:r>
            <w:r w:rsidR="007B1CD3">
              <w:rPr>
                <w:noProof/>
                <w:webHidden/>
              </w:rPr>
              <w:tab/>
            </w:r>
            <w:r w:rsidR="007B1CD3">
              <w:rPr>
                <w:noProof/>
                <w:webHidden/>
              </w:rPr>
              <w:fldChar w:fldCharType="begin"/>
            </w:r>
            <w:r w:rsidR="007B1CD3">
              <w:rPr>
                <w:noProof/>
                <w:webHidden/>
              </w:rPr>
              <w:instrText xml:space="preserve"> PAGEREF _Toc210917104 \h </w:instrText>
            </w:r>
            <w:r w:rsidR="007B1CD3">
              <w:rPr>
                <w:noProof/>
                <w:webHidden/>
              </w:rPr>
            </w:r>
            <w:r w:rsidR="007B1CD3">
              <w:rPr>
                <w:noProof/>
                <w:webHidden/>
              </w:rPr>
              <w:fldChar w:fldCharType="separate"/>
            </w:r>
            <w:r w:rsidR="00CB6501">
              <w:rPr>
                <w:noProof/>
                <w:webHidden/>
              </w:rPr>
              <w:t>13</w:t>
            </w:r>
            <w:r w:rsidR="007B1CD3">
              <w:rPr>
                <w:noProof/>
                <w:webHidden/>
              </w:rPr>
              <w:fldChar w:fldCharType="end"/>
            </w:r>
          </w:hyperlink>
        </w:p>
        <w:p w14:paraId="0A9CB3BB" w14:textId="413BBAAD"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5" w:history="1">
            <w:r w:rsidR="007B1CD3" w:rsidRPr="000A3895">
              <w:rPr>
                <w:rStyle w:val="Hipervnculo"/>
                <w:rFonts w:eastAsia="Calibri"/>
                <w:noProof/>
                <w:lang w:val="es-ES"/>
              </w:rPr>
              <w:t>QUINTO. Estudio de Fondo</w:t>
            </w:r>
            <w:r w:rsidR="007B1CD3">
              <w:rPr>
                <w:noProof/>
                <w:webHidden/>
              </w:rPr>
              <w:tab/>
            </w:r>
            <w:r w:rsidR="007B1CD3">
              <w:rPr>
                <w:noProof/>
                <w:webHidden/>
              </w:rPr>
              <w:fldChar w:fldCharType="begin"/>
            </w:r>
            <w:r w:rsidR="007B1CD3">
              <w:rPr>
                <w:noProof/>
                <w:webHidden/>
              </w:rPr>
              <w:instrText xml:space="preserve"> PAGEREF _Toc210917105 \h </w:instrText>
            </w:r>
            <w:r w:rsidR="007B1CD3">
              <w:rPr>
                <w:noProof/>
                <w:webHidden/>
              </w:rPr>
            </w:r>
            <w:r w:rsidR="007B1CD3">
              <w:rPr>
                <w:noProof/>
                <w:webHidden/>
              </w:rPr>
              <w:fldChar w:fldCharType="separate"/>
            </w:r>
            <w:r w:rsidR="00CB6501">
              <w:rPr>
                <w:noProof/>
                <w:webHidden/>
              </w:rPr>
              <w:t>14</w:t>
            </w:r>
            <w:r w:rsidR="007B1CD3">
              <w:rPr>
                <w:noProof/>
                <w:webHidden/>
              </w:rPr>
              <w:fldChar w:fldCharType="end"/>
            </w:r>
          </w:hyperlink>
        </w:p>
        <w:p w14:paraId="38A7D4A4" w14:textId="5022E63F" w:rsidR="007B1CD3" w:rsidRDefault="00CE757C">
          <w:pPr>
            <w:pStyle w:val="TDC2"/>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6" w:history="1">
            <w:r w:rsidR="007B1CD3" w:rsidRPr="000A3895">
              <w:rPr>
                <w:rStyle w:val="Hipervnculo"/>
                <w:rFonts w:eastAsia="Calibri"/>
                <w:noProof/>
                <w:lang w:val="es-ES"/>
              </w:rPr>
              <w:t>SEXTO. Decisión</w:t>
            </w:r>
            <w:r w:rsidR="007B1CD3">
              <w:rPr>
                <w:noProof/>
                <w:webHidden/>
              </w:rPr>
              <w:tab/>
            </w:r>
            <w:r w:rsidR="007B1CD3">
              <w:rPr>
                <w:noProof/>
                <w:webHidden/>
              </w:rPr>
              <w:fldChar w:fldCharType="begin"/>
            </w:r>
            <w:r w:rsidR="007B1CD3">
              <w:rPr>
                <w:noProof/>
                <w:webHidden/>
              </w:rPr>
              <w:instrText xml:space="preserve"> PAGEREF _Toc210917106 \h </w:instrText>
            </w:r>
            <w:r w:rsidR="007B1CD3">
              <w:rPr>
                <w:noProof/>
                <w:webHidden/>
              </w:rPr>
            </w:r>
            <w:r w:rsidR="007B1CD3">
              <w:rPr>
                <w:noProof/>
                <w:webHidden/>
              </w:rPr>
              <w:fldChar w:fldCharType="separate"/>
            </w:r>
            <w:r w:rsidR="00CB6501">
              <w:rPr>
                <w:noProof/>
                <w:webHidden/>
              </w:rPr>
              <w:t>19</w:t>
            </w:r>
            <w:r w:rsidR="007B1CD3">
              <w:rPr>
                <w:noProof/>
                <w:webHidden/>
              </w:rPr>
              <w:fldChar w:fldCharType="end"/>
            </w:r>
          </w:hyperlink>
        </w:p>
        <w:p w14:paraId="19956AE7" w14:textId="0B919C50" w:rsidR="007B1CD3" w:rsidRDefault="00CE757C">
          <w:pPr>
            <w:pStyle w:val="TDC1"/>
            <w:tabs>
              <w:tab w:val="right" w:leader="dot" w:pos="9062"/>
            </w:tabs>
            <w:rPr>
              <w:rFonts w:asciiTheme="minorHAnsi" w:eastAsiaTheme="minorEastAsia" w:hAnsiTheme="minorHAnsi" w:cstheme="minorBidi"/>
              <w:noProof/>
              <w:color w:val="auto"/>
              <w:kern w:val="2"/>
              <w:sz w:val="24"/>
              <w:szCs w:val="24"/>
              <w14:ligatures w14:val="standardContextual"/>
            </w:rPr>
          </w:pPr>
          <w:hyperlink w:anchor="_Toc210917107" w:history="1">
            <w:r w:rsidR="007B1CD3" w:rsidRPr="000A3895">
              <w:rPr>
                <w:rStyle w:val="Hipervnculo"/>
                <w:noProof/>
              </w:rPr>
              <w:t>R E S U E L V E:</w:t>
            </w:r>
            <w:r w:rsidR="007B1CD3">
              <w:rPr>
                <w:noProof/>
                <w:webHidden/>
              </w:rPr>
              <w:tab/>
            </w:r>
            <w:r w:rsidR="007B1CD3">
              <w:rPr>
                <w:noProof/>
                <w:webHidden/>
              </w:rPr>
              <w:fldChar w:fldCharType="begin"/>
            </w:r>
            <w:r w:rsidR="007B1CD3">
              <w:rPr>
                <w:noProof/>
                <w:webHidden/>
              </w:rPr>
              <w:instrText xml:space="preserve"> PAGEREF _Toc210917107 \h </w:instrText>
            </w:r>
            <w:r w:rsidR="007B1CD3">
              <w:rPr>
                <w:noProof/>
                <w:webHidden/>
              </w:rPr>
            </w:r>
            <w:r w:rsidR="007B1CD3">
              <w:rPr>
                <w:noProof/>
                <w:webHidden/>
              </w:rPr>
              <w:fldChar w:fldCharType="separate"/>
            </w:r>
            <w:r w:rsidR="00CB6501">
              <w:rPr>
                <w:noProof/>
                <w:webHidden/>
              </w:rPr>
              <w:t>20</w:t>
            </w:r>
            <w:r w:rsidR="007B1CD3">
              <w:rPr>
                <w:noProof/>
                <w:webHidden/>
              </w:rPr>
              <w:fldChar w:fldCharType="end"/>
            </w:r>
          </w:hyperlink>
        </w:p>
        <w:p w14:paraId="5E147722" w14:textId="1432D2CC" w:rsidR="00A67F67" w:rsidRPr="00425A23" w:rsidRDefault="00A67F67" w:rsidP="00B44317">
          <w:pPr>
            <w:spacing w:after="0" w:line="360" w:lineRule="auto"/>
          </w:pPr>
          <w:r w:rsidRPr="00425A23">
            <w:rPr>
              <w:b/>
              <w:bCs/>
              <w:lang w:val="es-ES"/>
            </w:rPr>
            <w:fldChar w:fldCharType="end"/>
          </w:r>
        </w:p>
      </w:sdtContent>
    </w:sdt>
    <w:p w14:paraId="4E2B2B1E" w14:textId="77777777" w:rsidR="009302CD" w:rsidRPr="00425A23" w:rsidRDefault="009302CD" w:rsidP="00B44317">
      <w:pPr>
        <w:tabs>
          <w:tab w:val="left" w:pos="8931"/>
        </w:tabs>
        <w:spacing w:after="0" w:line="360" w:lineRule="auto"/>
      </w:pPr>
    </w:p>
    <w:p w14:paraId="4E2B2B1F" w14:textId="77777777" w:rsidR="009302CD" w:rsidRPr="00425A23" w:rsidRDefault="009302CD" w:rsidP="00B44317">
      <w:pPr>
        <w:tabs>
          <w:tab w:val="left" w:pos="8931"/>
        </w:tabs>
        <w:spacing w:after="0" w:line="360" w:lineRule="auto"/>
      </w:pPr>
    </w:p>
    <w:p w14:paraId="4E2B2B27" w14:textId="6A8ECD70" w:rsidR="009302CD" w:rsidRPr="00425A23" w:rsidRDefault="006E571C" w:rsidP="00B44317">
      <w:pPr>
        <w:tabs>
          <w:tab w:val="left" w:pos="8931"/>
        </w:tabs>
        <w:spacing w:after="0" w:line="360" w:lineRule="auto"/>
      </w:pPr>
      <w:r w:rsidRPr="00425A23">
        <w:lastRenderedPageBreak/>
        <w:t xml:space="preserve">Resolución del Pleno del Instituto de Transparencia, Acceso a la Información Pública y Protección de Datos Personales del Estado de México y Municipios, con domicilio en Metepec, Estado de México, de fecha </w:t>
      </w:r>
      <w:r w:rsidR="00012EA8" w:rsidRPr="00425A23">
        <w:t>ocho</w:t>
      </w:r>
      <w:r w:rsidRPr="00425A23">
        <w:t xml:space="preserve"> de </w:t>
      </w:r>
      <w:r w:rsidR="00012EA8" w:rsidRPr="00425A23">
        <w:t>octubre</w:t>
      </w:r>
      <w:r w:rsidRPr="00425A23">
        <w:t xml:space="preserve"> de dos mil </w:t>
      </w:r>
      <w:r w:rsidR="00012EA8" w:rsidRPr="00425A23">
        <w:t>veinticinco</w:t>
      </w:r>
      <w:r w:rsidRPr="00425A23">
        <w:t xml:space="preserve">. </w:t>
      </w:r>
    </w:p>
    <w:p w14:paraId="4E2B2B28" w14:textId="77777777" w:rsidR="009302CD" w:rsidRPr="00425A23" w:rsidRDefault="009302CD" w:rsidP="00B44317">
      <w:pPr>
        <w:spacing w:after="0" w:line="360" w:lineRule="auto"/>
        <w:rPr>
          <w:b/>
        </w:rPr>
      </w:pPr>
    </w:p>
    <w:p w14:paraId="4E2B2B29" w14:textId="54B2E1E7" w:rsidR="009302CD" w:rsidRPr="00425A23" w:rsidRDefault="006E571C" w:rsidP="00B44317">
      <w:pPr>
        <w:spacing w:after="0" w:line="360" w:lineRule="auto"/>
        <w:rPr>
          <w:color w:val="0D0D0D"/>
        </w:rPr>
      </w:pPr>
      <w:r w:rsidRPr="00425A23">
        <w:rPr>
          <w:b/>
        </w:rPr>
        <w:t xml:space="preserve">VISTO </w:t>
      </w:r>
      <w:r w:rsidRPr="00425A23">
        <w:t>el expediente electrónico conformado con motivo de</w:t>
      </w:r>
      <w:r w:rsidR="00C57AC7" w:rsidRPr="00425A23">
        <w:t xml:space="preserve"> </w:t>
      </w:r>
      <w:r w:rsidRPr="00425A23">
        <w:t>l</w:t>
      </w:r>
      <w:r w:rsidR="00C57AC7" w:rsidRPr="00425A23">
        <w:t>os</w:t>
      </w:r>
      <w:r w:rsidRPr="00425A23">
        <w:t xml:space="preserve"> Recurso</w:t>
      </w:r>
      <w:r w:rsidR="00C57AC7" w:rsidRPr="00425A23">
        <w:t>s</w:t>
      </w:r>
      <w:r w:rsidRPr="00425A23">
        <w:t xml:space="preserve"> de Revisión </w:t>
      </w:r>
      <w:r w:rsidR="00C61435" w:rsidRPr="00425A23">
        <w:rPr>
          <w:b/>
          <w:bCs/>
        </w:rPr>
        <w:t>05266/INFOEM/IP/RR/2025</w:t>
      </w:r>
      <w:r w:rsidRPr="00425A23">
        <w:rPr>
          <w:bCs/>
        </w:rPr>
        <w:t>, interpuesto por</w:t>
      </w:r>
      <w:r w:rsidR="00B44317" w:rsidRPr="00425A23">
        <w:rPr>
          <w:bCs/>
        </w:rPr>
        <w:t xml:space="preserve"> </w:t>
      </w:r>
      <w:r w:rsidR="00736B96" w:rsidRPr="00736B96">
        <w:rPr>
          <w:b/>
          <w:highlight w:val="black"/>
        </w:rPr>
        <w:t>XXXXXXXXXXX</w:t>
      </w:r>
      <w:bookmarkStart w:id="0" w:name="_GoBack"/>
      <w:bookmarkEnd w:id="0"/>
      <w:r w:rsidR="00B44317" w:rsidRPr="00425A23">
        <w:t>, en lo sucesivo</w:t>
      </w:r>
      <w:r w:rsidRPr="00425A23">
        <w:rPr>
          <w:bCs/>
        </w:rPr>
        <w:t xml:space="preserve"> la persona Recurrente o Particular,</w:t>
      </w:r>
      <w:r w:rsidRPr="00425A23">
        <w:rPr>
          <w:bCs/>
          <w:color w:val="0D0D0D"/>
        </w:rPr>
        <w:t xml:space="preserve"> en contra de la respuesta del Sujeto Obligado, </w:t>
      </w:r>
      <w:r w:rsidR="00F76C0E" w:rsidRPr="00E13A85">
        <w:rPr>
          <w:b/>
          <w:bCs/>
          <w:color w:val="000000"/>
        </w:rPr>
        <w:t>Instituto Electoral del Estado de México</w:t>
      </w:r>
      <w:r w:rsidRPr="00E13A85">
        <w:rPr>
          <w:b/>
          <w:bCs/>
          <w:color w:val="0D0D0D"/>
        </w:rPr>
        <w:t>,</w:t>
      </w:r>
      <w:r w:rsidRPr="00425A23">
        <w:rPr>
          <w:bCs/>
          <w:color w:val="0D0D0D"/>
        </w:rPr>
        <w:t xml:space="preserve"> a la solicitud de acceso a la información pública </w:t>
      </w:r>
      <w:r w:rsidR="00C61435" w:rsidRPr="00425A23">
        <w:rPr>
          <w:bCs/>
          <w:color w:val="0D0D0D"/>
        </w:rPr>
        <w:t>00348/IEEM/IP/2025</w:t>
      </w:r>
      <w:r w:rsidRPr="00425A23">
        <w:rPr>
          <w:bCs/>
          <w:color w:val="000000"/>
        </w:rPr>
        <w:t xml:space="preserve">, </w:t>
      </w:r>
      <w:r w:rsidRPr="00425A23">
        <w:rPr>
          <w:bCs/>
          <w:color w:val="0D0D0D"/>
        </w:rPr>
        <w:t>se e</w:t>
      </w:r>
      <w:r w:rsidRPr="00425A23">
        <w:rPr>
          <w:color w:val="0D0D0D"/>
        </w:rPr>
        <w:t>mite la presente Resolución, con base en los Antecedentes y Considerandos que se exponen a continuación:</w:t>
      </w:r>
    </w:p>
    <w:p w14:paraId="32FD045C" w14:textId="77777777" w:rsidR="00B44317" w:rsidRPr="00425A23" w:rsidRDefault="00B44317" w:rsidP="00B44317">
      <w:pPr>
        <w:spacing w:after="0" w:line="360" w:lineRule="auto"/>
        <w:rPr>
          <w:color w:val="0D0D0D"/>
        </w:rPr>
      </w:pPr>
    </w:p>
    <w:p w14:paraId="4E2B2B2B" w14:textId="77777777" w:rsidR="009302CD" w:rsidRPr="00425A23" w:rsidRDefault="006E571C" w:rsidP="00B44317">
      <w:pPr>
        <w:pStyle w:val="Ttulo1"/>
        <w:spacing w:before="0" w:line="360" w:lineRule="auto"/>
        <w:rPr>
          <w:b w:val="0"/>
        </w:rPr>
      </w:pPr>
      <w:bookmarkStart w:id="1" w:name="_Toc210917088"/>
      <w:r w:rsidRPr="00425A23">
        <w:t>A N T E C E D E N T E S</w:t>
      </w:r>
      <w:bookmarkEnd w:id="1"/>
    </w:p>
    <w:p w14:paraId="4E2B2B2C" w14:textId="77777777" w:rsidR="009302CD" w:rsidRPr="00425A23" w:rsidRDefault="009302CD" w:rsidP="00B44317">
      <w:pPr>
        <w:spacing w:after="0" w:line="360" w:lineRule="auto"/>
        <w:jc w:val="center"/>
        <w:rPr>
          <w:b/>
        </w:rPr>
      </w:pPr>
    </w:p>
    <w:p w14:paraId="4E2B2B2D" w14:textId="0A8330A4" w:rsidR="009302CD" w:rsidRPr="00425A23" w:rsidRDefault="006E571C" w:rsidP="00B44317">
      <w:pPr>
        <w:pStyle w:val="Ttulo2"/>
        <w:spacing w:before="0" w:line="360" w:lineRule="auto"/>
        <w:rPr>
          <w:b w:val="0"/>
        </w:rPr>
      </w:pPr>
      <w:bookmarkStart w:id="2" w:name="_Toc210917089"/>
      <w:r w:rsidRPr="00425A23">
        <w:t>I. Presentación de la solicitud de información</w:t>
      </w:r>
      <w:bookmarkEnd w:id="2"/>
    </w:p>
    <w:p w14:paraId="4E2B2B2E" w14:textId="77777777" w:rsidR="009302CD" w:rsidRPr="00425A23" w:rsidRDefault="009302CD" w:rsidP="00B44317">
      <w:pPr>
        <w:tabs>
          <w:tab w:val="left" w:pos="567"/>
        </w:tabs>
        <w:spacing w:after="0" w:line="360" w:lineRule="auto"/>
      </w:pPr>
    </w:p>
    <w:p w14:paraId="4E2B2B2F" w14:textId="371B0126" w:rsidR="009302CD" w:rsidRPr="00425A23" w:rsidRDefault="006E571C" w:rsidP="00B44317">
      <w:pPr>
        <w:spacing w:after="0" w:line="360" w:lineRule="auto"/>
        <w:rPr>
          <w:bCs/>
        </w:rPr>
      </w:pPr>
      <w:r w:rsidRPr="00425A23">
        <w:t xml:space="preserve">El </w:t>
      </w:r>
      <w:r w:rsidR="00C61435" w:rsidRPr="00425A23">
        <w:t>veintisiete</w:t>
      </w:r>
      <w:r w:rsidRPr="00425A23">
        <w:t xml:space="preserve"> de </w:t>
      </w:r>
      <w:r w:rsidR="00C61435" w:rsidRPr="00425A23">
        <w:t>marzo</w:t>
      </w:r>
      <w:r w:rsidRPr="00425A23">
        <w:t xml:space="preserve"> de dos mil </w:t>
      </w:r>
      <w:r w:rsidR="00012EA8" w:rsidRPr="00425A23">
        <w:t>veinticinco</w:t>
      </w:r>
      <w:r w:rsidRPr="00425A23">
        <w:t xml:space="preserve">, el Particular presentó </w:t>
      </w:r>
      <w:r w:rsidR="00D80AB7" w:rsidRPr="00425A23">
        <w:t xml:space="preserve">una </w:t>
      </w:r>
      <w:r w:rsidRPr="00425A23">
        <w:t>solicitud de acceso a la información pública con número</w:t>
      </w:r>
      <w:r w:rsidR="00AF3EBD" w:rsidRPr="00425A23">
        <w:t>s</w:t>
      </w:r>
      <w:r w:rsidRPr="00425A23">
        <w:t xml:space="preserve"> de folio </w:t>
      </w:r>
      <w:r w:rsidR="00C61435" w:rsidRPr="00425A23">
        <w:rPr>
          <w:bCs/>
          <w:color w:val="0D0D0D"/>
        </w:rPr>
        <w:t>00348/IEEM/IP/2025</w:t>
      </w:r>
      <w:r w:rsidRPr="00425A23">
        <w:rPr>
          <w:bCs/>
        </w:rPr>
        <w:t xml:space="preserve">, a través del Sistema de Acceso a la Información Mexiquense, en lo sucesivo, el SAIMEX, ante </w:t>
      </w:r>
      <w:r w:rsidR="00C539AD" w:rsidRPr="00425A23">
        <w:rPr>
          <w:bCs/>
        </w:rPr>
        <w:t>el Instituto Electoral del Estado de México</w:t>
      </w:r>
      <w:r w:rsidRPr="00425A23">
        <w:rPr>
          <w:bCs/>
        </w:rPr>
        <w:t xml:space="preserve">, en los siguientes términos: </w:t>
      </w:r>
    </w:p>
    <w:p w14:paraId="4E2B2B30" w14:textId="77777777" w:rsidR="009302CD" w:rsidRPr="00425A23" w:rsidRDefault="009302CD" w:rsidP="00B44317">
      <w:pPr>
        <w:spacing w:after="0" w:line="360" w:lineRule="auto"/>
      </w:pPr>
    </w:p>
    <w:p w14:paraId="4E2B2B31" w14:textId="742A015D" w:rsidR="009302CD" w:rsidRPr="00425A23" w:rsidRDefault="006E571C" w:rsidP="00B44317">
      <w:pPr>
        <w:tabs>
          <w:tab w:val="left" w:pos="4667"/>
        </w:tabs>
        <w:spacing w:after="0" w:line="360" w:lineRule="auto"/>
        <w:ind w:left="567" w:right="567"/>
        <w:rPr>
          <w:b/>
          <w:i/>
          <w:sz w:val="20"/>
          <w:szCs w:val="20"/>
        </w:rPr>
      </w:pPr>
      <w:r w:rsidRPr="00425A23">
        <w:rPr>
          <w:b/>
          <w:i/>
          <w:sz w:val="20"/>
          <w:szCs w:val="20"/>
        </w:rPr>
        <w:t>DESCRIPCIÓN CLARA Y PRECISA DE LA INFORMACIÓN SOLICITADA.</w:t>
      </w:r>
    </w:p>
    <w:p w14:paraId="639C52B6" w14:textId="2BD6141A" w:rsidR="009D0CD7" w:rsidRPr="00425A23" w:rsidRDefault="00C61435" w:rsidP="00B44317">
      <w:pPr>
        <w:tabs>
          <w:tab w:val="left" w:pos="4667"/>
        </w:tabs>
        <w:spacing w:after="0" w:line="360" w:lineRule="auto"/>
        <w:ind w:left="567" w:right="567"/>
        <w:rPr>
          <w:sz w:val="20"/>
          <w:szCs w:val="20"/>
        </w:rPr>
      </w:pPr>
      <w:r w:rsidRPr="00425A23">
        <w:rPr>
          <w:i/>
          <w:color w:val="000000"/>
          <w:sz w:val="20"/>
          <w:szCs w:val="20"/>
        </w:rPr>
        <w:t xml:space="preserve">Solicito el número de electores por cada distrito judicial, la cantidad de casillas que se instalarán en cada distrito judicial, el número de personal de cada órgano desconcentrado por cada tipo de plaza, los municipios que integran cada distrito judicial y los sueldos que serán pagados atendiendo la máxima legal de que "a trabajo igual, salario igual", debido a que se detectan distritos en los que humanamente será imposible cumplir con las exigencias de esta elección, a menos que trabajen más </w:t>
      </w:r>
      <w:r w:rsidRPr="00425A23">
        <w:rPr>
          <w:i/>
          <w:color w:val="000000"/>
          <w:sz w:val="20"/>
          <w:szCs w:val="20"/>
        </w:rPr>
        <w:lastRenderedPageBreak/>
        <w:t xml:space="preserve">de 12 horas diarias como lo </w:t>
      </w:r>
      <w:proofErr w:type="spellStart"/>
      <w:r w:rsidRPr="00425A23">
        <w:rPr>
          <w:i/>
          <w:color w:val="000000"/>
          <w:sz w:val="20"/>
          <w:szCs w:val="20"/>
        </w:rPr>
        <w:t>preven</w:t>
      </w:r>
      <w:proofErr w:type="spellEnd"/>
      <w:r w:rsidRPr="00425A23">
        <w:rPr>
          <w:i/>
          <w:color w:val="000000"/>
          <w:sz w:val="20"/>
          <w:szCs w:val="20"/>
        </w:rPr>
        <w:t xml:space="preserve"> en los Cómputos, todo por la </w:t>
      </w:r>
      <w:proofErr w:type="spellStart"/>
      <w:r w:rsidRPr="00425A23">
        <w:rPr>
          <w:i/>
          <w:color w:val="000000"/>
          <w:sz w:val="20"/>
          <w:szCs w:val="20"/>
        </w:rPr>
        <w:t>erratica</w:t>
      </w:r>
      <w:proofErr w:type="spellEnd"/>
      <w:r w:rsidRPr="00425A23">
        <w:rPr>
          <w:i/>
          <w:color w:val="000000"/>
          <w:sz w:val="20"/>
          <w:szCs w:val="20"/>
        </w:rPr>
        <w:t xml:space="preserve"> determinación del Consejo General de llevar a una expresión mínima la instalación de órganos desconcentrados, ni el INE que es permanente se atrevió a tanto.</w:t>
      </w:r>
    </w:p>
    <w:p w14:paraId="670C4C6D" w14:textId="77777777" w:rsidR="00A40F7E" w:rsidRPr="00425A23" w:rsidRDefault="00A40F7E" w:rsidP="00B44317">
      <w:pPr>
        <w:tabs>
          <w:tab w:val="left" w:pos="4667"/>
        </w:tabs>
        <w:spacing w:after="0" w:line="360" w:lineRule="auto"/>
        <w:ind w:left="567" w:right="567"/>
        <w:rPr>
          <w:b/>
          <w:i/>
          <w:sz w:val="20"/>
          <w:szCs w:val="20"/>
        </w:rPr>
      </w:pPr>
    </w:p>
    <w:p w14:paraId="4E2B2B34" w14:textId="605CE6BA" w:rsidR="009302CD" w:rsidRPr="00425A23" w:rsidRDefault="006E571C" w:rsidP="00B44317">
      <w:pPr>
        <w:tabs>
          <w:tab w:val="left" w:pos="4667"/>
        </w:tabs>
        <w:spacing w:after="0" w:line="360" w:lineRule="auto"/>
        <w:ind w:left="567" w:right="567"/>
        <w:rPr>
          <w:i/>
          <w:color w:val="000000"/>
          <w:sz w:val="20"/>
          <w:szCs w:val="20"/>
        </w:rPr>
      </w:pPr>
      <w:r w:rsidRPr="00425A23">
        <w:rPr>
          <w:b/>
          <w:i/>
          <w:sz w:val="20"/>
          <w:szCs w:val="20"/>
        </w:rPr>
        <w:t xml:space="preserve">MODALIDAD DE ENTREGA </w:t>
      </w:r>
      <w:r w:rsidR="00A81745" w:rsidRPr="00425A23">
        <w:rPr>
          <w:b/>
          <w:i/>
          <w:sz w:val="20"/>
          <w:szCs w:val="20"/>
        </w:rPr>
        <w:t xml:space="preserve"> “</w:t>
      </w:r>
      <w:r w:rsidRPr="00425A23">
        <w:rPr>
          <w:i/>
          <w:color w:val="000000"/>
          <w:sz w:val="20"/>
          <w:szCs w:val="20"/>
        </w:rPr>
        <w:t>A través del SAIMEX”</w:t>
      </w:r>
    </w:p>
    <w:p w14:paraId="4E2B2B35" w14:textId="77777777" w:rsidR="009302CD" w:rsidRPr="00425A23" w:rsidRDefault="009302CD" w:rsidP="00B44317">
      <w:pPr>
        <w:tabs>
          <w:tab w:val="left" w:pos="4667"/>
        </w:tabs>
        <w:spacing w:after="0" w:line="360" w:lineRule="auto"/>
        <w:ind w:right="567"/>
        <w:rPr>
          <w:i/>
          <w:color w:val="000000"/>
          <w:sz w:val="20"/>
          <w:szCs w:val="20"/>
        </w:rPr>
      </w:pPr>
    </w:p>
    <w:p w14:paraId="3DCD759E" w14:textId="304FAC7E" w:rsidR="001854AC" w:rsidRPr="00425A23" w:rsidRDefault="001854AC" w:rsidP="00B44317">
      <w:pPr>
        <w:pStyle w:val="Ttulo2"/>
        <w:spacing w:before="0" w:line="360" w:lineRule="auto"/>
      </w:pPr>
      <w:bookmarkStart w:id="3" w:name="_Toc210917090"/>
      <w:r w:rsidRPr="00425A23">
        <w:t>II. Prórroga</w:t>
      </w:r>
      <w:bookmarkEnd w:id="3"/>
    </w:p>
    <w:p w14:paraId="64DA5509" w14:textId="77777777" w:rsidR="001854AC" w:rsidRPr="00425A23" w:rsidRDefault="001854AC" w:rsidP="00B44317">
      <w:pPr>
        <w:tabs>
          <w:tab w:val="left" w:pos="4667"/>
        </w:tabs>
        <w:spacing w:after="0" w:line="360" w:lineRule="auto"/>
        <w:ind w:right="567"/>
        <w:rPr>
          <w:i/>
          <w:color w:val="000000"/>
          <w:sz w:val="20"/>
          <w:szCs w:val="20"/>
        </w:rPr>
      </w:pPr>
    </w:p>
    <w:p w14:paraId="740988B3" w14:textId="36D1EE10" w:rsidR="0042749C" w:rsidRPr="00425A23" w:rsidRDefault="00431978" w:rsidP="00B44317">
      <w:pPr>
        <w:spacing w:after="0" w:line="360" w:lineRule="auto"/>
        <w:rPr>
          <w:b/>
          <w:color w:val="0D0D0D"/>
        </w:rPr>
      </w:pPr>
      <w:r w:rsidRPr="00425A23">
        <w:t xml:space="preserve">El </w:t>
      </w:r>
      <w:r w:rsidR="004B3780" w:rsidRPr="00425A23">
        <w:t>veintitrés</w:t>
      </w:r>
      <w:r w:rsidRPr="00425A23">
        <w:t xml:space="preserve"> de </w:t>
      </w:r>
      <w:r w:rsidR="004B3780" w:rsidRPr="00425A23">
        <w:t>abril</w:t>
      </w:r>
      <w:r w:rsidRPr="00425A23">
        <w:t xml:space="preserve"> de dos mil </w:t>
      </w:r>
      <w:r w:rsidR="00012EA8" w:rsidRPr="00425A23">
        <w:t>veinticinco</w:t>
      </w:r>
      <w:r w:rsidRPr="00425A23">
        <w:t xml:space="preserve">, </w:t>
      </w:r>
      <w:r w:rsidR="005B03BF" w:rsidRPr="00425A23">
        <w:t xml:space="preserve">se notificó el acuerdo de ampliación de plazo para dar atención a la solicitud de acceso a la información pública, para lo que aportó </w:t>
      </w:r>
      <w:r w:rsidR="006D201C" w:rsidRPr="00425A23">
        <w:t xml:space="preserve">el </w:t>
      </w:r>
      <w:r w:rsidR="004B3780" w:rsidRPr="00425A23">
        <w:rPr>
          <w:b/>
        </w:rPr>
        <w:t>Acuerdo IEEM-CT-78-2025.pdf</w:t>
      </w:r>
      <w:r w:rsidR="006D201C" w:rsidRPr="00425A23">
        <w:t>,</w:t>
      </w:r>
      <w:r w:rsidR="007236CC" w:rsidRPr="00425A23">
        <w:t xml:space="preserve"> en donde, </w:t>
      </w:r>
      <w:r w:rsidR="0042749C" w:rsidRPr="00425A23">
        <w:t>se aprobó</w:t>
      </w:r>
      <w:r w:rsidR="008C30BF" w:rsidRPr="00425A23">
        <w:t xml:space="preserve"> la ampliación de plazo </w:t>
      </w:r>
      <w:r w:rsidR="00A40F7E" w:rsidRPr="00425A23">
        <w:t xml:space="preserve">por siente días </w:t>
      </w:r>
      <w:r w:rsidR="008C30BF" w:rsidRPr="00425A23">
        <w:t xml:space="preserve">para atender a la solicitud </w:t>
      </w:r>
      <w:r w:rsidR="00C61435" w:rsidRPr="00425A23">
        <w:rPr>
          <w:b/>
          <w:color w:val="0D0D0D"/>
        </w:rPr>
        <w:t>00348/IEEM/IP/2025</w:t>
      </w:r>
      <w:r w:rsidR="00D13031" w:rsidRPr="00425A23">
        <w:rPr>
          <w:b/>
          <w:color w:val="0D0D0D"/>
        </w:rPr>
        <w:t xml:space="preserve">, </w:t>
      </w:r>
      <w:r w:rsidR="00BE2C71" w:rsidRPr="00425A23">
        <w:rPr>
          <w:color w:val="0D0D0D"/>
        </w:rPr>
        <w:t>que es la que nos ocupa.</w:t>
      </w:r>
    </w:p>
    <w:p w14:paraId="6E369213" w14:textId="77777777" w:rsidR="001854AC" w:rsidRPr="00425A23" w:rsidRDefault="001854AC" w:rsidP="00B44317">
      <w:pPr>
        <w:tabs>
          <w:tab w:val="left" w:pos="4667"/>
        </w:tabs>
        <w:spacing w:after="0" w:line="360" w:lineRule="auto"/>
        <w:ind w:right="567"/>
        <w:rPr>
          <w:i/>
          <w:color w:val="000000"/>
          <w:sz w:val="20"/>
          <w:szCs w:val="20"/>
        </w:rPr>
      </w:pPr>
    </w:p>
    <w:p w14:paraId="4E2B2B36" w14:textId="091F1F85" w:rsidR="009302CD" w:rsidRPr="00425A23" w:rsidRDefault="00EC2741" w:rsidP="00B44317">
      <w:pPr>
        <w:pStyle w:val="Ttulo2"/>
        <w:spacing w:before="0" w:line="360" w:lineRule="auto"/>
      </w:pPr>
      <w:bookmarkStart w:id="4" w:name="_Toc210917091"/>
      <w:r w:rsidRPr="00425A23">
        <w:t>III</w:t>
      </w:r>
      <w:r w:rsidR="006E571C" w:rsidRPr="00425A23">
        <w:t>. Respuesta del Sujeto Obligado</w:t>
      </w:r>
      <w:bookmarkEnd w:id="4"/>
    </w:p>
    <w:p w14:paraId="4E2B2B37" w14:textId="77777777" w:rsidR="009302CD" w:rsidRPr="00425A23" w:rsidRDefault="009302CD" w:rsidP="00B44317">
      <w:pPr>
        <w:spacing w:after="0" w:line="360" w:lineRule="auto"/>
      </w:pPr>
    </w:p>
    <w:p w14:paraId="4E2B2B38" w14:textId="35C8633B" w:rsidR="009302CD" w:rsidRPr="00425A23" w:rsidRDefault="00F82E40" w:rsidP="00B44317">
      <w:pPr>
        <w:spacing w:after="0" w:line="360" w:lineRule="auto"/>
      </w:pPr>
      <w:r w:rsidRPr="00425A23">
        <w:t xml:space="preserve">El </w:t>
      </w:r>
      <w:r w:rsidR="004B3780" w:rsidRPr="00425A23">
        <w:t>siete</w:t>
      </w:r>
      <w:r w:rsidR="00952E0A" w:rsidRPr="00425A23">
        <w:t xml:space="preserve"> </w:t>
      </w:r>
      <w:r w:rsidR="006E571C" w:rsidRPr="00425A23">
        <w:t xml:space="preserve">de </w:t>
      </w:r>
      <w:r w:rsidR="004B3780" w:rsidRPr="00425A23">
        <w:t>mayo</w:t>
      </w:r>
      <w:r w:rsidR="006E571C" w:rsidRPr="00425A23">
        <w:t xml:space="preserve"> de dos mil </w:t>
      </w:r>
      <w:r w:rsidR="00012EA8" w:rsidRPr="00425A23">
        <w:t>veinticinco</w:t>
      </w:r>
      <w:r w:rsidR="006E571C" w:rsidRPr="00425A23">
        <w:t>, el</w:t>
      </w:r>
      <w:r w:rsidR="006E571C" w:rsidRPr="00425A23">
        <w:rPr>
          <w:b/>
        </w:rPr>
        <w:t xml:space="preserve"> </w:t>
      </w:r>
      <w:r w:rsidR="006E571C" w:rsidRPr="00425A23">
        <w:t xml:space="preserve">Sujeto Obligado, a través del SAIMEX </w:t>
      </w:r>
      <w:r w:rsidR="00252B51" w:rsidRPr="00425A23">
        <w:t xml:space="preserve">respondió a </w:t>
      </w:r>
      <w:r w:rsidR="00E24AEC" w:rsidRPr="00425A23">
        <w:t>la solicitud en los siguientes términos</w:t>
      </w:r>
      <w:r w:rsidR="00252B51" w:rsidRPr="00425A23">
        <w:t>:</w:t>
      </w:r>
    </w:p>
    <w:p w14:paraId="46990A17" w14:textId="77777777" w:rsidR="00F82E40" w:rsidRPr="00425A23" w:rsidRDefault="00F82E40" w:rsidP="00B44317">
      <w:pPr>
        <w:spacing w:after="0" w:line="360" w:lineRule="auto"/>
      </w:pPr>
    </w:p>
    <w:p w14:paraId="7554D6CB" w14:textId="70E25D4A" w:rsidR="00F82E40" w:rsidRPr="00425A23" w:rsidRDefault="004B3780" w:rsidP="00B44317">
      <w:pPr>
        <w:tabs>
          <w:tab w:val="left" w:pos="4667"/>
        </w:tabs>
        <w:spacing w:after="0" w:line="360" w:lineRule="auto"/>
        <w:ind w:left="567" w:right="567"/>
        <w:rPr>
          <w:i/>
          <w:color w:val="000000"/>
          <w:sz w:val="20"/>
          <w:szCs w:val="20"/>
        </w:rPr>
      </w:pPr>
      <w:r w:rsidRPr="00425A23">
        <w:rPr>
          <w:i/>
          <w:color w:val="000000"/>
          <w:sz w:val="20"/>
          <w:szCs w:val="20"/>
        </w:rPr>
        <w:t>Se adjunta respuesta a su solicitud de información.</w:t>
      </w:r>
    </w:p>
    <w:p w14:paraId="53C44B71" w14:textId="77777777" w:rsidR="00F82E40" w:rsidRPr="00425A23" w:rsidRDefault="00F82E40" w:rsidP="00B44317">
      <w:pPr>
        <w:spacing w:after="0" w:line="360" w:lineRule="auto"/>
      </w:pPr>
    </w:p>
    <w:p w14:paraId="6BB98FAE" w14:textId="4E43845F" w:rsidR="004B3780" w:rsidRPr="00425A23" w:rsidRDefault="004B3780" w:rsidP="00B44317">
      <w:pPr>
        <w:spacing w:after="0" w:line="360" w:lineRule="auto"/>
      </w:pPr>
      <w:r w:rsidRPr="00425A23">
        <w:t>A esta respuesta adjuntó los siguientes documentos:</w:t>
      </w:r>
    </w:p>
    <w:p w14:paraId="0F3A17B1" w14:textId="77777777" w:rsidR="004B3780" w:rsidRPr="00425A23" w:rsidRDefault="004B3780" w:rsidP="00B44317">
      <w:pPr>
        <w:spacing w:after="0" w:line="360" w:lineRule="auto"/>
      </w:pPr>
    </w:p>
    <w:p w14:paraId="131C8633" w14:textId="3D8AB79A" w:rsidR="004B3780" w:rsidRPr="00425A23" w:rsidRDefault="004B3780" w:rsidP="00B44317">
      <w:pPr>
        <w:spacing w:after="0" w:line="360" w:lineRule="auto"/>
      </w:pPr>
      <w:r w:rsidRPr="00425A23">
        <w:rPr>
          <w:b/>
        </w:rPr>
        <w:t>00348_2025.rar</w:t>
      </w:r>
      <w:r w:rsidRPr="00425A23">
        <w:t xml:space="preserve">. Archivo comprimido que a su vez, contiene 6 archivos de nombre 00348_2025_Casillas por Distrito Judicial Electoral.csv, 00348_2025_Casillas por Distrito Judicial Electoral.xlsx, 00348_2025_DISTRITOS_JUDICIALES_ELECTORALES_LOCALES_MUNICIPIOS.csv, </w:t>
      </w:r>
      <w:r w:rsidRPr="00425A23">
        <w:lastRenderedPageBreak/>
        <w:t>00348_2025_DISTRITOS_JUDICIALES_ELECTORALES_LOCALES_MUNICIPIOS.xlsx, 00348_2025_pdln15_Corte al 31032025.csv y 00348_2025_pdln15_Corte al 31032025.xlsx, que contiene tablas de Excel, por las cuales, se advierte la relación de distritos judiciales y casillas.</w:t>
      </w:r>
    </w:p>
    <w:p w14:paraId="0DB26378" w14:textId="77777777" w:rsidR="004B3780" w:rsidRPr="00425A23" w:rsidRDefault="004B3780" w:rsidP="00B44317">
      <w:pPr>
        <w:spacing w:after="0" w:line="360" w:lineRule="auto"/>
      </w:pPr>
    </w:p>
    <w:p w14:paraId="4855028E" w14:textId="294A2A27" w:rsidR="004B3780" w:rsidRPr="00425A23" w:rsidRDefault="004B3780" w:rsidP="00B44317">
      <w:pPr>
        <w:spacing w:after="0" w:line="360" w:lineRule="auto"/>
      </w:pPr>
      <w:r w:rsidRPr="00425A23">
        <w:rPr>
          <w:b/>
        </w:rPr>
        <w:t xml:space="preserve">IEEM-DO-961-2025.pdf. </w:t>
      </w:r>
      <w:r w:rsidRPr="00425A23">
        <w:t>Documento de cuatro fojas, firmado por el Director de Organización y dirigido a la Titular de la Unidad de Transparencia del Sujeto Obligado, en donde respondió:</w:t>
      </w:r>
    </w:p>
    <w:p w14:paraId="76F01DB1" w14:textId="77777777" w:rsidR="004B3780" w:rsidRPr="00425A23" w:rsidRDefault="004B3780" w:rsidP="00B44317">
      <w:pPr>
        <w:spacing w:after="0" w:line="360" w:lineRule="auto"/>
      </w:pPr>
    </w:p>
    <w:p w14:paraId="74B016D8" w14:textId="116BC069" w:rsidR="004B3780" w:rsidRPr="00425A23" w:rsidRDefault="004B3780" w:rsidP="00B44317">
      <w:pPr>
        <w:tabs>
          <w:tab w:val="left" w:pos="4667"/>
        </w:tabs>
        <w:spacing w:after="0" w:line="360" w:lineRule="auto"/>
        <w:ind w:left="567" w:right="567"/>
        <w:rPr>
          <w:i/>
          <w:color w:val="000000"/>
          <w:sz w:val="20"/>
          <w:szCs w:val="20"/>
        </w:rPr>
      </w:pPr>
      <w:r w:rsidRPr="00425A23">
        <w:rPr>
          <w:i/>
          <w:color w:val="000000"/>
          <w:sz w:val="20"/>
          <w:szCs w:val="20"/>
        </w:rPr>
        <w:t>“… el Instituto Nacional Electoral (INE) es el organismo electoral facultado para determinar el Marco Geográfico Electoral para cada Proceso Electoral…</w:t>
      </w:r>
    </w:p>
    <w:p w14:paraId="67E53CE6" w14:textId="1901762E" w:rsidR="004B3780" w:rsidRPr="00425A23" w:rsidRDefault="004B3780" w:rsidP="00B44317">
      <w:pPr>
        <w:tabs>
          <w:tab w:val="left" w:pos="4667"/>
        </w:tabs>
        <w:spacing w:after="0" w:line="360" w:lineRule="auto"/>
        <w:ind w:left="567" w:right="567"/>
        <w:rPr>
          <w:i/>
          <w:color w:val="000000"/>
          <w:sz w:val="20"/>
          <w:szCs w:val="20"/>
        </w:rPr>
      </w:pPr>
      <w:r w:rsidRPr="00425A23">
        <w:rPr>
          <w:i/>
          <w:color w:val="000000"/>
          <w:sz w:val="20"/>
          <w:szCs w:val="20"/>
        </w:rPr>
        <w:t>…</w:t>
      </w:r>
    </w:p>
    <w:p w14:paraId="681F870B" w14:textId="18C0904A" w:rsidR="004B3780" w:rsidRPr="00425A23" w:rsidRDefault="004B3780" w:rsidP="00B44317">
      <w:pPr>
        <w:tabs>
          <w:tab w:val="left" w:pos="4667"/>
        </w:tabs>
        <w:spacing w:after="0" w:line="360" w:lineRule="auto"/>
        <w:ind w:left="567" w:right="567"/>
        <w:rPr>
          <w:i/>
          <w:color w:val="000000"/>
          <w:sz w:val="20"/>
          <w:szCs w:val="20"/>
        </w:rPr>
      </w:pPr>
      <w:r w:rsidRPr="00425A23">
        <w:rPr>
          <w:i/>
          <w:color w:val="000000"/>
          <w:sz w:val="20"/>
          <w:szCs w:val="20"/>
        </w:rPr>
        <w:t>No obstante, el INE y el IEEM… celebran para cada Proceso Electoral Ordinario o Extraordinario, un Convenio General de Coordinación y Colaboración y sus respectivos Anexos Técnicos y Financiero, en los que, entre otros temas, se establece que el INE proporcionará al IEEM, para fines electorales, diversa información entre la que se encuentra el Marco Geográfico Electoral, el número de casillas por sección electoral y su ubicación, así como cortes periódicos del padrón electoral y lista nominal.</w:t>
      </w:r>
    </w:p>
    <w:p w14:paraId="46EBAB1B" w14:textId="77777777" w:rsidR="004B3780" w:rsidRPr="00425A23" w:rsidRDefault="004B3780" w:rsidP="00B44317">
      <w:pPr>
        <w:tabs>
          <w:tab w:val="left" w:pos="4667"/>
        </w:tabs>
        <w:spacing w:after="0" w:line="360" w:lineRule="auto"/>
        <w:ind w:left="567" w:right="567"/>
        <w:rPr>
          <w:i/>
          <w:color w:val="000000"/>
          <w:sz w:val="20"/>
          <w:szCs w:val="20"/>
        </w:rPr>
      </w:pPr>
    </w:p>
    <w:p w14:paraId="5A100F10" w14:textId="5E3F723D" w:rsidR="004B3780" w:rsidRPr="00425A23" w:rsidRDefault="004B3780" w:rsidP="00B44317">
      <w:pPr>
        <w:tabs>
          <w:tab w:val="left" w:pos="4667"/>
        </w:tabs>
        <w:spacing w:after="0" w:line="360" w:lineRule="auto"/>
        <w:ind w:left="567" w:right="567"/>
        <w:rPr>
          <w:i/>
          <w:color w:val="000000"/>
          <w:sz w:val="20"/>
          <w:szCs w:val="20"/>
        </w:rPr>
      </w:pPr>
      <w:r w:rsidRPr="00425A23">
        <w:rPr>
          <w:i/>
          <w:color w:val="000000"/>
          <w:sz w:val="20"/>
          <w:szCs w:val="20"/>
        </w:rPr>
        <w:t xml:space="preserve">Derivado de lo anterior, hago de conocimiento que esta Dirección de Organización recibió por parte del INE, el Marco Geográfico Electoral para el </w:t>
      </w:r>
      <w:r w:rsidR="006258BE" w:rsidRPr="00425A23">
        <w:rPr>
          <w:i/>
          <w:color w:val="000000"/>
          <w:sz w:val="20"/>
          <w:szCs w:val="20"/>
        </w:rPr>
        <w:t>Proceso Electoral Judicial Extraordinario 2025 del Estado de México, aprobado por el Consejo General del INE mediante Acuerdo INE/CG205/2025; la información de las casillas básicas, contiguas y especiales aprobadas por los 40 Consejos Distritales del INE en la entidad los días 15 y 25 de marzo; así como el corte de padrón electoral y lista nominal del electoral al 31 de marzo, todas las fechas del presente año.</w:t>
      </w:r>
    </w:p>
    <w:p w14:paraId="430E8692" w14:textId="77777777" w:rsidR="006258BE" w:rsidRPr="00425A23" w:rsidRDefault="006258BE" w:rsidP="00B44317">
      <w:pPr>
        <w:tabs>
          <w:tab w:val="left" w:pos="4667"/>
        </w:tabs>
        <w:spacing w:after="0" w:line="360" w:lineRule="auto"/>
        <w:ind w:left="567" w:right="567"/>
        <w:rPr>
          <w:i/>
          <w:color w:val="000000"/>
          <w:sz w:val="20"/>
          <w:szCs w:val="20"/>
        </w:rPr>
      </w:pPr>
    </w:p>
    <w:p w14:paraId="1F4D64E9" w14:textId="10236325" w:rsidR="006258BE" w:rsidRPr="00425A23" w:rsidRDefault="006258BE" w:rsidP="00B44317">
      <w:pPr>
        <w:tabs>
          <w:tab w:val="left" w:pos="4667"/>
        </w:tabs>
        <w:spacing w:after="0" w:line="360" w:lineRule="auto"/>
        <w:ind w:left="567" w:right="567"/>
        <w:rPr>
          <w:i/>
          <w:color w:val="000000"/>
          <w:sz w:val="20"/>
          <w:szCs w:val="20"/>
        </w:rPr>
      </w:pPr>
      <w:r w:rsidRPr="00425A23">
        <w:rPr>
          <w:i/>
          <w:color w:val="000000"/>
          <w:sz w:val="20"/>
          <w:szCs w:val="20"/>
        </w:rPr>
        <w:t xml:space="preserve">Con respecto a: </w:t>
      </w:r>
      <w:r w:rsidRPr="00425A23">
        <w:rPr>
          <w:b/>
          <w:i/>
          <w:color w:val="000000"/>
          <w:sz w:val="20"/>
          <w:szCs w:val="20"/>
        </w:rPr>
        <w:t>“Solicito el número de electores por cada distrito judicial</w:t>
      </w:r>
      <w:r w:rsidR="005E0598" w:rsidRPr="00425A23">
        <w:rPr>
          <w:b/>
          <w:i/>
          <w:color w:val="000000"/>
          <w:sz w:val="20"/>
          <w:szCs w:val="20"/>
        </w:rPr>
        <w:t xml:space="preserve">, la cantidad de casillas que se instalarán en cada distrito judicial,… los municipios que integran cada distrito judicial…”(Sic) </w:t>
      </w:r>
      <w:r w:rsidR="005E0598" w:rsidRPr="00425A23">
        <w:rPr>
          <w:i/>
          <w:color w:val="000000"/>
          <w:sz w:val="20"/>
          <w:szCs w:val="20"/>
        </w:rPr>
        <w:t xml:space="preserve">Se remiten vía SAIMEX, 3 archivos en formato Excel y 3 archivos en </w:t>
      </w:r>
      <w:r w:rsidR="005E0598" w:rsidRPr="00425A23">
        <w:rPr>
          <w:i/>
          <w:color w:val="000000"/>
          <w:sz w:val="20"/>
          <w:szCs w:val="20"/>
        </w:rPr>
        <w:lastRenderedPageBreak/>
        <w:t>formato .CSV, que contienen el número de personas en lista nominal del electorado por Distrito Judicial Electoral, con corte al 31 de marzo de 2025; el número de casillas básicas, contiguas y, en su caso, especiales, en cada Distrito Judicial Electoral, y, los Municipios que integran cada Distrito Judicial Electoral, no tienen el carácter de definitivos debido a que aún pueden sufrir ajustes derivados del corte definitivo de lista nominal del electorado que determine el INE</w:t>
      </w:r>
    </w:p>
    <w:p w14:paraId="389F3B3D" w14:textId="77777777" w:rsidR="005E0598" w:rsidRPr="00425A23" w:rsidRDefault="005E0598" w:rsidP="00B44317">
      <w:pPr>
        <w:tabs>
          <w:tab w:val="left" w:pos="4667"/>
        </w:tabs>
        <w:spacing w:after="0" w:line="360" w:lineRule="auto"/>
        <w:ind w:left="567" w:right="567"/>
        <w:rPr>
          <w:b/>
          <w:i/>
          <w:color w:val="000000"/>
          <w:sz w:val="20"/>
          <w:szCs w:val="20"/>
        </w:rPr>
      </w:pPr>
    </w:p>
    <w:p w14:paraId="4FB060DC" w14:textId="559EA54B" w:rsidR="005E0598" w:rsidRPr="00425A23" w:rsidRDefault="005E0598" w:rsidP="00B44317">
      <w:pPr>
        <w:tabs>
          <w:tab w:val="left" w:pos="4667"/>
        </w:tabs>
        <w:spacing w:after="0" w:line="360" w:lineRule="auto"/>
        <w:ind w:left="567" w:right="567"/>
        <w:rPr>
          <w:i/>
          <w:color w:val="000000"/>
          <w:sz w:val="20"/>
          <w:szCs w:val="20"/>
        </w:rPr>
      </w:pPr>
      <w:r w:rsidRPr="00425A23">
        <w:rPr>
          <w:b/>
          <w:i/>
          <w:color w:val="000000"/>
          <w:sz w:val="20"/>
          <w:szCs w:val="20"/>
        </w:rPr>
        <w:t>Con referencia a: “… el número de personal de cada órgano desconcentrado por cada tipo de plaza</w:t>
      </w:r>
      <w:r w:rsidR="00D53F9E" w:rsidRPr="00425A23">
        <w:rPr>
          <w:b/>
          <w:i/>
          <w:color w:val="000000"/>
          <w:sz w:val="20"/>
          <w:szCs w:val="20"/>
        </w:rPr>
        <w:t>,…</w:t>
      </w:r>
      <w:r w:rsidRPr="00425A23">
        <w:rPr>
          <w:b/>
          <w:i/>
          <w:color w:val="000000"/>
          <w:sz w:val="20"/>
          <w:szCs w:val="20"/>
        </w:rPr>
        <w:t xml:space="preserve"> y los sueldos que serán pagados…” (Sic)</w:t>
      </w:r>
      <w:r w:rsidRPr="00425A23">
        <w:rPr>
          <w:i/>
          <w:color w:val="000000"/>
          <w:sz w:val="20"/>
          <w:szCs w:val="20"/>
        </w:rPr>
        <w:t>; hago de su conocimiento que, con base en sus atribuciones y funciones, esta Dirección de Organización no posee información sobre el particular.</w:t>
      </w:r>
    </w:p>
    <w:p w14:paraId="062C8657" w14:textId="77777777" w:rsidR="005E0598" w:rsidRPr="00425A23" w:rsidRDefault="005E0598" w:rsidP="00B44317">
      <w:pPr>
        <w:tabs>
          <w:tab w:val="left" w:pos="4667"/>
        </w:tabs>
        <w:spacing w:after="0" w:line="360" w:lineRule="auto"/>
        <w:ind w:left="567" w:right="567"/>
        <w:rPr>
          <w:i/>
          <w:color w:val="000000"/>
          <w:sz w:val="20"/>
          <w:szCs w:val="20"/>
        </w:rPr>
      </w:pPr>
    </w:p>
    <w:p w14:paraId="06AEB0E8" w14:textId="5E58F828" w:rsidR="004B3780" w:rsidRPr="00425A23" w:rsidRDefault="005E0598" w:rsidP="00B44317">
      <w:pPr>
        <w:tabs>
          <w:tab w:val="left" w:pos="4667"/>
        </w:tabs>
        <w:spacing w:after="0" w:line="360" w:lineRule="auto"/>
        <w:ind w:left="567" w:right="567"/>
        <w:rPr>
          <w:i/>
          <w:color w:val="000000"/>
          <w:sz w:val="20"/>
          <w:szCs w:val="20"/>
        </w:rPr>
      </w:pPr>
      <w:r w:rsidRPr="00425A23">
        <w:rPr>
          <w:i/>
          <w:color w:val="000000"/>
          <w:sz w:val="20"/>
          <w:szCs w:val="20"/>
        </w:rPr>
        <w:t xml:space="preserve">Finalmente, con relación a: </w:t>
      </w:r>
      <w:r w:rsidRPr="00425A23">
        <w:rPr>
          <w:b/>
          <w:i/>
          <w:color w:val="000000"/>
          <w:sz w:val="20"/>
          <w:szCs w:val="20"/>
        </w:rPr>
        <w:t xml:space="preserve">“…atendiendo la máxima legal de que “a trabajo igual, salario igual”, debido </w:t>
      </w:r>
      <w:r w:rsidR="00D53F9E" w:rsidRPr="00425A23">
        <w:rPr>
          <w:b/>
          <w:i/>
          <w:color w:val="000000"/>
          <w:sz w:val="20"/>
          <w:szCs w:val="20"/>
        </w:rPr>
        <w:t>a que se detectan distritos en los que humanamente será imposible cumplir con las exigencias de esta elección, a menos que trabajen más de 12 horas diarias como lo prevén en los Cómputos, todo por la errática determinación del Consejo General de llevar a cabo una expresión mínima la instalación de órganos desconcentrados, ni el INE que es permanente se atrevió a tanto.”(Sic).</w:t>
      </w:r>
      <w:r w:rsidR="00D53F9E" w:rsidRPr="00425A23">
        <w:rPr>
          <w:i/>
          <w:color w:val="000000"/>
          <w:sz w:val="20"/>
          <w:szCs w:val="20"/>
        </w:rPr>
        <w:t xml:space="preserve"> </w:t>
      </w:r>
      <w:proofErr w:type="gramStart"/>
      <w:r w:rsidR="00D53F9E" w:rsidRPr="00425A23">
        <w:rPr>
          <w:i/>
          <w:color w:val="000000"/>
          <w:sz w:val="20"/>
          <w:szCs w:val="20"/>
        </w:rPr>
        <w:t>hago</w:t>
      </w:r>
      <w:proofErr w:type="gramEnd"/>
      <w:r w:rsidR="00D53F9E" w:rsidRPr="00425A23">
        <w:rPr>
          <w:i/>
          <w:color w:val="000000"/>
          <w:sz w:val="20"/>
          <w:szCs w:val="20"/>
        </w:rPr>
        <w:t xml:space="preserve"> de conocimiento que lo anterior corresponde a manifestaciones u opiniones de la persona solicitante…”</w:t>
      </w:r>
    </w:p>
    <w:p w14:paraId="3578D0D4" w14:textId="77777777" w:rsidR="004B3780" w:rsidRPr="00425A23" w:rsidRDefault="004B3780" w:rsidP="00B44317">
      <w:pPr>
        <w:spacing w:after="0" w:line="360" w:lineRule="auto"/>
        <w:rPr>
          <w:b/>
        </w:rPr>
      </w:pPr>
    </w:p>
    <w:p w14:paraId="004FEBFD" w14:textId="0FD3E3AE" w:rsidR="004B3780" w:rsidRPr="00425A23" w:rsidRDefault="004B3780" w:rsidP="00B44317">
      <w:pPr>
        <w:spacing w:after="0" w:line="360" w:lineRule="auto"/>
        <w:rPr>
          <w:b/>
        </w:rPr>
      </w:pPr>
      <w:r w:rsidRPr="00425A23">
        <w:rPr>
          <w:b/>
        </w:rPr>
        <w:t>IEEM-DA-2762-2025.pdf</w:t>
      </w:r>
      <w:r w:rsidR="00D53F9E" w:rsidRPr="00425A23">
        <w:rPr>
          <w:b/>
        </w:rPr>
        <w:t xml:space="preserve">. </w:t>
      </w:r>
      <w:r w:rsidR="00D53F9E" w:rsidRPr="00425A23">
        <w:t xml:space="preserve">Documento de dos fojas, </w:t>
      </w:r>
      <w:r w:rsidR="00D92B00" w:rsidRPr="00425A23">
        <w:t xml:space="preserve">a través del cual, el Director de Administración, </w:t>
      </w:r>
      <w:r w:rsidR="00D755D1" w:rsidRPr="00425A23">
        <w:t>respondió en lo central, lo siguiente:</w:t>
      </w:r>
      <w:r w:rsidR="00D755D1" w:rsidRPr="00425A23">
        <w:rPr>
          <w:b/>
        </w:rPr>
        <w:t xml:space="preserve"> </w:t>
      </w:r>
    </w:p>
    <w:p w14:paraId="774862F1" w14:textId="77777777" w:rsidR="00D755D1" w:rsidRPr="00425A23" w:rsidRDefault="00D755D1" w:rsidP="00B44317">
      <w:pPr>
        <w:spacing w:after="0" w:line="360" w:lineRule="auto"/>
        <w:rPr>
          <w:b/>
        </w:rPr>
      </w:pPr>
    </w:p>
    <w:p w14:paraId="1A4A104A" w14:textId="5DFD8C16" w:rsidR="00E06FF5" w:rsidRPr="00425A23" w:rsidRDefault="00E06FF5" w:rsidP="00B44317">
      <w:pPr>
        <w:tabs>
          <w:tab w:val="left" w:pos="4667"/>
        </w:tabs>
        <w:spacing w:after="0" w:line="360" w:lineRule="auto"/>
        <w:ind w:left="567" w:right="567"/>
        <w:rPr>
          <w:i/>
          <w:color w:val="000000"/>
          <w:sz w:val="20"/>
          <w:szCs w:val="20"/>
        </w:rPr>
      </w:pPr>
      <w:r w:rsidRPr="00425A23">
        <w:rPr>
          <w:i/>
          <w:color w:val="000000"/>
          <w:sz w:val="20"/>
          <w:szCs w:val="20"/>
        </w:rPr>
        <w:t>“...</w:t>
      </w:r>
    </w:p>
    <w:p w14:paraId="45EB9A91" w14:textId="0112DA11" w:rsidR="00E06FF5" w:rsidRPr="00425A23" w:rsidRDefault="00E06FF5" w:rsidP="00B44317">
      <w:pPr>
        <w:tabs>
          <w:tab w:val="left" w:pos="4667"/>
        </w:tabs>
        <w:spacing w:after="0" w:line="360" w:lineRule="auto"/>
        <w:ind w:left="567" w:right="567"/>
        <w:rPr>
          <w:i/>
          <w:color w:val="000000"/>
          <w:sz w:val="20"/>
          <w:szCs w:val="20"/>
        </w:rPr>
      </w:pPr>
      <w:r w:rsidRPr="00425A23">
        <w:rPr>
          <w:i/>
          <w:color w:val="000000"/>
          <w:sz w:val="20"/>
          <w:szCs w:val="20"/>
        </w:rPr>
        <w:t xml:space="preserve">Por lo que corresponde a esta Dirección conforme a las funciones y atribuciones que se tienen, en relación a </w:t>
      </w:r>
      <w:r w:rsidRPr="00425A23">
        <w:rPr>
          <w:b/>
          <w:bCs/>
          <w:i/>
          <w:color w:val="000000"/>
          <w:sz w:val="20"/>
          <w:szCs w:val="20"/>
        </w:rPr>
        <w:t xml:space="preserve">“…el número de personal de cada órgano desconcentrado por cada tipo de </w:t>
      </w:r>
      <w:r w:rsidR="00D46AC1" w:rsidRPr="00425A23">
        <w:rPr>
          <w:b/>
          <w:bCs/>
          <w:i/>
          <w:color w:val="000000"/>
          <w:sz w:val="20"/>
          <w:szCs w:val="20"/>
        </w:rPr>
        <w:t>plaza,…y los sueldos…”</w:t>
      </w:r>
      <w:r w:rsidR="00BD1FCA" w:rsidRPr="00425A23">
        <w:rPr>
          <w:b/>
          <w:bCs/>
          <w:i/>
          <w:color w:val="000000"/>
          <w:sz w:val="20"/>
          <w:szCs w:val="20"/>
        </w:rPr>
        <w:t xml:space="preserve"> </w:t>
      </w:r>
      <w:r w:rsidR="00D46AC1" w:rsidRPr="00425A23">
        <w:rPr>
          <w:b/>
          <w:bCs/>
          <w:i/>
          <w:color w:val="000000"/>
          <w:sz w:val="20"/>
          <w:szCs w:val="20"/>
        </w:rPr>
        <w:t>(</w:t>
      </w:r>
      <w:r w:rsidR="00BD1FCA" w:rsidRPr="00425A23">
        <w:rPr>
          <w:b/>
          <w:bCs/>
          <w:i/>
          <w:color w:val="000000"/>
          <w:sz w:val="20"/>
          <w:szCs w:val="20"/>
        </w:rPr>
        <w:t>s</w:t>
      </w:r>
      <w:r w:rsidR="00D46AC1" w:rsidRPr="00425A23">
        <w:rPr>
          <w:b/>
          <w:bCs/>
          <w:i/>
          <w:color w:val="000000"/>
          <w:sz w:val="20"/>
          <w:szCs w:val="20"/>
        </w:rPr>
        <w:t>ic)</w:t>
      </w:r>
      <w:r w:rsidR="00D46AC1" w:rsidRPr="00425A23">
        <w:rPr>
          <w:i/>
          <w:color w:val="000000"/>
          <w:sz w:val="20"/>
          <w:szCs w:val="20"/>
        </w:rPr>
        <w:t xml:space="preserve"> al respecto como resultado de la búsqueda razonable y exhaustiva </w:t>
      </w:r>
      <w:r w:rsidR="00BD1FCA" w:rsidRPr="00425A23">
        <w:rPr>
          <w:i/>
          <w:color w:val="000000"/>
          <w:sz w:val="20"/>
          <w:szCs w:val="20"/>
        </w:rPr>
        <w:t xml:space="preserve">en los archivos </w:t>
      </w:r>
      <w:r w:rsidR="00912AC8" w:rsidRPr="00425A23">
        <w:rPr>
          <w:i/>
          <w:color w:val="000000"/>
          <w:sz w:val="20"/>
          <w:szCs w:val="20"/>
        </w:rPr>
        <w:t xml:space="preserve">que </w:t>
      </w:r>
      <w:r w:rsidR="002E515D" w:rsidRPr="00425A23">
        <w:rPr>
          <w:i/>
          <w:color w:val="000000"/>
          <w:sz w:val="20"/>
          <w:szCs w:val="20"/>
        </w:rPr>
        <w:t>obran</w:t>
      </w:r>
      <w:r w:rsidR="00912AC8" w:rsidRPr="00425A23">
        <w:rPr>
          <w:i/>
          <w:color w:val="000000"/>
          <w:sz w:val="20"/>
          <w:szCs w:val="20"/>
        </w:rPr>
        <w:t xml:space="preserve"> en el Departamento de Personal, a través de la tarjeta número </w:t>
      </w:r>
      <w:proofErr w:type="spellStart"/>
      <w:r w:rsidR="00912AC8" w:rsidRPr="00425A23">
        <w:rPr>
          <w:i/>
          <w:color w:val="000000"/>
          <w:sz w:val="20"/>
          <w:szCs w:val="20"/>
        </w:rPr>
        <w:t>SRHySG</w:t>
      </w:r>
      <w:proofErr w:type="spellEnd"/>
      <w:r w:rsidR="00912AC8" w:rsidRPr="00425A23">
        <w:rPr>
          <w:i/>
          <w:color w:val="000000"/>
          <w:sz w:val="20"/>
          <w:szCs w:val="20"/>
        </w:rPr>
        <w:t xml:space="preserve">/T/93/2025, la Titular </w:t>
      </w:r>
      <w:r w:rsidR="00E130EA" w:rsidRPr="00425A23">
        <w:rPr>
          <w:i/>
          <w:color w:val="000000"/>
          <w:sz w:val="20"/>
          <w:szCs w:val="20"/>
        </w:rPr>
        <w:t xml:space="preserve">de la Subdirección de Recursos Humanos y Servicios Generales </w:t>
      </w:r>
      <w:r w:rsidR="00E130EA" w:rsidRPr="00425A23">
        <w:rPr>
          <w:i/>
          <w:color w:val="000000"/>
          <w:sz w:val="20"/>
          <w:szCs w:val="20"/>
        </w:rPr>
        <w:lastRenderedPageBreak/>
        <w:t xml:space="preserve">remitió archivos que contienen </w:t>
      </w:r>
      <w:r w:rsidR="00F245E8" w:rsidRPr="00425A23">
        <w:rPr>
          <w:i/>
          <w:color w:val="000000"/>
          <w:sz w:val="20"/>
          <w:szCs w:val="20"/>
        </w:rPr>
        <w:t>la Plantilla</w:t>
      </w:r>
      <w:r w:rsidR="00206591" w:rsidRPr="00425A23">
        <w:rPr>
          <w:i/>
          <w:color w:val="000000"/>
          <w:sz w:val="20"/>
          <w:szCs w:val="20"/>
        </w:rPr>
        <w:t xml:space="preserve"> de Personal Eventual de los Órganos Desconcentrados, en la que se advierte, puesto, nivel y rango, cantidad de plazas y el periodo de contratación, así como el Tabulador de personal 2025, en el que se observa las percepciones salariales del personal eventual de los Órganos Desconcentrados, conforme a su puesto nivel y rango, documentales que se envían a través del SAIMEX, y que por su contenido no se advierte datos personales susceptibles de clasificar.</w:t>
      </w:r>
    </w:p>
    <w:p w14:paraId="286CCBA2" w14:textId="77777777" w:rsidR="00206591" w:rsidRPr="00425A23" w:rsidRDefault="00206591" w:rsidP="00B44317">
      <w:pPr>
        <w:tabs>
          <w:tab w:val="left" w:pos="4667"/>
        </w:tabs>
        <w:spacing w:after="0" w:line="360" w:lineRule="auto"/>
        <w:ind w:left="567" w:right="567"/>
        <w:rPr>
          <w:i/>
          <w:color w:val="000000"/>
          <w:sz w:val="20"/>
          <w:szCs w:val="20"/>
        </w:rPr>
      </w:pPr>
    </w:p>
    <w:p w14:paraId="79FA55D3" w14:textId="35CF7C4A" w:rsidR="00D755D1" w:rsidRPr="00425A23" w:rsidRDefault="00206591" w:rsidP="00B44317">
      <w:pPr>
        <w:tabs>
          <w:tab w:val="left" w:pos="4667"/>
        </w:tabs>
        <w:spacing w:after="0" w:line="360" w:lineRule="auto"/>
        <w:ind w:left="567" w:right="567"/>
        <w:rPr>
          <w:b/>
        </w:rPr>
      </w:pPr>
      <w:r w:rsidRPr="00425A23">
        <w:rPr>
          <w:i/>
          <w:color w:val="000000"/>
          <w:sz w:val="20"/>
          <w:szCs w:val="20"/>
        </w:rPr>
        <w:t>Ahora bien, en relación a los últimos argumentos vertidos en la solicitud de mérito, se advierte que estos son de carácter subjetivo, al ser las percepc</w:t>
      </w:r>
      <w:r w:rsidR="000F4F3F" w:rsidRPr="00425A23">
        <w:rPr>
          <w:i/>
          <w:color w:val="000000"/>
          <w:sz w:val="20"/>
          <w:szCs w:val="20"/>
        </w:rPr>
        <w:t>iones y opiniones personales del particular que</w:t>
      </w:r>
      <w:r w:rsidR="00335233" w:rsidRPr="00425A23">
        <w:rPr>
          <w:i/>
          <w:color w:val="000000"/>
          <w:sz w:val="20"/>
          <w:szCs w:val="20"/>
        </w:rPr>
        <w:t>, no se adminiculan con ninguna documentación de carácter público que contenga sus manifestaciones…”</w:t>
      </w:r>
    </w:p>
    <w:p w14:paraId="59175189" w14:textId="77777777" w:rsidR="00D92B00" w:rsidRPr="00425A23" w:rsidRDefault="00D92B00" w:rsidP="00B44317">
      <w:pPr>
        <w:spacing w:after="0" w:line="360" w:lineRule="auto"/>
        <w:rPr>
          <w:b/>
        </w:rPr>
      </w:pPr>
    </w:p>
    <w:p w14:paraId="151CF9B1" w14:textId="67F4B953" w:rsidR="004B3780" w:rsidRPr="00425A23" w:rsidRDefault="004B3780" w:rsidP="00B44317">
      <w:pPr>
        <w:spacing w:after="0" w:line="360" w:lineRule="auto"/>
      </w:pPr>
      <w:r w:rsidRPr="00425A23">
        <w:rPr>
          <w:b/>
          <w:bCs/>
        </w:rPr>
        <w:t>PLANTILLA OD 2025.pdf</w:t>
      </w:r>
      <w:r w:rsidR="004A624D" w:rsidRPr="00425A23">
        <w:rPr>
          <w:b/>
          <w:bCs/>
        </w:rPr>
        <w:t>.</w:t>
      </w:r>
      <w:r w:rsidR="004A624D" w:rsidRPr="00425A23">
        <w:t xml:space="preserve"> Documento de una foja que contiene el siguiente cuadro:</w:t>
      </w:r>
    </w:p>
    <w:p w14:paraId="27086D67" w14:textId="77777777" w:rsidR="002C4E37" w:rsidRPr="00425A23" w:rsidRDefault="002C4E37" w:rsidP="00B44317">
      <w:pPr>
        <w:spacing w:after="0" w:line="360" w:lineRule="auto"/>
      </w:pPr>
    </w:p>
    <w:p w14:paraId="55F10AAD" w14:textId="733D0F8A" w:rsidR="002C4E37" w:rsidRPr="00425A23" w:rsidRDefault="002C4E37" w:rsidP="00B44317">
      <w:pPr>
        <w:spacing w:after="0" w:line="360" w:lineRule="auto"/>
      </w:pPr>
      <w:r w:rsidRPr="00425A23">
        <w:rPr>
          <w:noProof/>
        </w:rPr>
        <w:drawing>
          <wp:inline distT="0" distB="0" distL="0" distR="0" wp14:anchorId="088A13A0" wp14:editId="731225BE">
            <wp:extent cx="5760720" cy="3470910"/>
            <wp:effectExtent l="0" t="0" r="0" b="0"/>
            <wp:docPr id="38519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9633" name=""/>
                    <pic:cNvPicPr/>
                  </pic:nvPicPr>
                  <pic:blipFill>
                    <a:blip r:embed="rId9"/>
                    <a:stretch>
                      <a:fillRect/>
                    </a:stretch>
                  </pic:blipFill>
                  <pic:spPr>
                    <a:xfrm>
                      <a:off x="0" y="0"/>
                      <a:ext cx="5760720" cy="3470910"/>
                    </a:xfrm>
                    <a:prstGeom prst="rect">
                      <a:avLst/>
                    </a:prstGeom>
                  </pic:spPr>
                </pic:pic>
              </a:graphicData>
            </a:graphic>
          </wp:inline>
        </w:drawing>
      </w:r>
    </w:p>
    <w:p w14:paraId="7659D6AE" w14:textId="77777777" w:rsidR="002C4E37" w:rsidRPr="00425A23" w:rsidRDefault="002C4E37" w:rsidP="00B44317">
      <w:pPr>
        <w:spacing w:after="0" w:line="360" w:lineRule="auto"/>
      </w:pPr>
    </w:p>
    <w:p w14:paraId="13A3B84C" w14:textId="3FA0F86D" w:rsidR="004B3780" w:rsidRPr="00425A23" w:rsidRDefault="004B3780" w:rsidP="00B44317">
      <w:pPr>
        <w:spacing w:after="0" w:line="360" w:lineRule="auto"/>
      </w:pPr>
      <w:r w:rsidRPr="00425A23">
        <w:rPr>
          <w:b/>
          <w:bCs/>
        </w:rPr>
        <w:lastRenderedPageBreak/>
        <w:t>IEEM-DA-2762-2025.docx VF.docx</w:t>
      </w:r>
      <w:r w:rsidR="002E515D" w:rsidRPr="00425A23">
        <w:rPr>
          <w:b/>
          <w:bCs/>
        </w:rPr>
        <w:t>.</w:t>
      </w:r>
      <w:r w:rsidR="002E515D" w:rsidRPr="00425A23">
        <w:t xml:space="preserve"> Documento de dos fojas, en formato Word, que contiene la información </w:t>
      </w:r>
      <w:r w:rsidR="000C10D9" w:rsidRPr="00425A23">
        <w:t xml:space="preserve">descrita en el documento de nombre </w:t>
      </w:r>
      <w:r w:rsidR="000C10D9" w:rsidRPr="00425A23">
        <w:rPr>
          <w:bCs/>
        </w:rPr>
        <w:t>IEEM-DA-2762-2025.pdf.</w:t>
      </w:r>
    </w:p>
    <w:p w14:paraId="5494154B" w14:textId="77777777" w:rsidR="002E515D" w:rsidRPr="00425A23" w:rsidRDefault="002E515D" w:rsidP="00B44317">
      <w:pPr>
        <w:spacing w:after="0" w:line="360" w:lineRule="auto"/>
      </w:pPr>
    </w:p>
    <w:p w14:paraId="0AE1F7E9" w14:textId="147F7B1B" w:rsidR="004B3780" w:rsidRPr="00425A23" w:rsidRDefault="004B3780" w:rsidP="00B44317">
      <w:pPr>
        <w:spacing w:after="0" w:line="360" w:lineRule="auto"/>
        <w:rPr>
          <w:b/>
          <w:bCs/>
        </w:rPr>
      </w:pPr>
      <w:r w:rsidRPr="00425A23">
        <w:rPr>
          <w:b/>
          <w:bCs/>
        </w:rPr>
        <w:t>TABULADOR 2025.pdf</w:t>
      </w:r>
      <w:r w:rsidR="00EF15D7" w:rsidRPr="00425A23">
        <w:rPr>
          <w:b/>
          <w:bCs/>
        </w:rPr>
        <w:t>.</w:t>
      </w:r>
      <w:r w:rsidR="00AE2295" w:rsidRPr="00425A23">
        <w:rPr>
          <w:b/>
          <w:bCs/>
        </w:rPr>
        <w:t xml:space="preserve"> </w:t>
      </w:r>
      <w:r w:rsidR="00AE2295" w:rsidRPr="00425A23">
        <w:t xml:space="preserve">Documento de ocho fojas, que contiene el tabulador del personal </w:t>
      </w:r>
      <w:r w:rsidR="00AD1861" w:rsidRPr="00425A23">
        <w:t xml:space="preserve">permanente y del </w:t>
      </w:r>
      <w:r w:rsidR="00AE2295" w:rsidRPr="00425A23">
        <w:t>eventual del IEEM 2025.</w:t>
      </w:r>
    </w:p>
    <w:p w14:paraId="0937D66E" w14:textId="77777777" w:rsidR="00EF15D7" w:rsidRPr="00425A23" w:rsidRDefault="00EF15D7" w:rsidP="00B44317">
      <w:pPr>
        <w:spacing w:after="0" w:line="360" w:lineRule="auto"/>
      </w:pPr>
    </w:p>
    <w:p w14:paraId="42AB9959" w14:textId="360A8689" w:rsidR="004B3780" w:rsidRPr="00425A23" w:rsidRDefault="004B3780" w:rsidP="00B44317">
      <w:pPr>
        <w:spacing w:after="0" w:line="360" w:lineRule="auto"/>
        <w:rPr>
          <w:b/>
          <w:bCs/>
        </w:rPr>
      </w:pPr>
      <w:r w:rsidRPr="00425A23">
        <w:rPr>
          <w:b/>
          <w:bCs/>
        </w:rPr>
        <w:t>OFICIO RESPUESTA 348-2025 UT.pdf</w:t>
      </w:r>
      <w:r w:rsidR="00191850" w:rsidRPr="00425A23">
        <w:rPr>
          <w:b/>
          <w:bCs/>
        </w:rPr>
        <w:t xml:space="preserve">. </w:t>
      </w:r>
      <w:r w:rsidR="00191850" w:rsidRPr="00425A23">
        <w:t xml:space="preserve">Documento de una foja, que contiene la respuesta aportada por la Jefa de la Unidad de Transparencia, en donde se </w:t>
      </w:r>
      <w:r w:rsidR="002F706E" w:rsidRPr="00425A23">
        <w:t>refiere que se remitió respuesta de las áreas.</w:t>
      </w:r>
    </w:p>
    <w:p w14:paraId="48CA0510" w14:textId="77777777" w:rsidR="004B3780" w:rsidRPr="00425A23" w:rsidRDefault="004B3780" w:rsidP="00B44317">
      <w:pPr>
        <w:spacing w:after="0" w:line="360" w:lineRule="auto"/>
      </w:pPr>
    </w:p>
    <w:p w14:paraId="4E2B2B4B" w14:textId="20EC76C2" w:rsidR="009302CD" w:rsidRPr="00425A23" w:rsidRDefault="00EC2741" w:rsidP="00B44317">
      <w:pPr>
        <w:pStyle w:val="Ttulo2"/>
        <w:spacing w:before="0" w:line="360" w:lineRule="auto"/>
      </w:pPr>
      <w:bookmarkStart w:id="5" w:name="_Toc210917092"/>
      <w:r w:rsidRPr="00425A23">
        <w:t>IV</w:t>
      </w:r>
      <w:r w:rsidR="006E571C" w:rsidRPr="00425A23">
        <w:t>. Interposición del Recurso de Revisión</w:t>
      </w:r>
      <w:bookmarkEnd w:id="5"/>
    </w:p>
    <w:p w14:paraId="4E2B2B4C" w14:textId="77777777" w:rsidR="009302CD" w:rsidRPr="00425A23" w:rsidRDefault="009302CD" w:rsidP="00B44317">
      <w:pPr>
        <w:spacing w:after="0" w:line="360" w:lineRule="auto"/>
        <w:rPr>
          <w:b/>
        </w:rPr>
      </w:pPr>
    </w:p>
    <w:p w14:paraId="4E2B2B4D" w14:textId="42CED41A" w:rsidR="009302CD" w:rsidRPr="00425A23" w:rsidRDefault="006E571C" w:rsidP="00B44317">
      <w:pPr>
        <w:spacing w:after="0" w:line="360" w:lineRule="auto"/>
      </w:pPr>
      <w:r w:rsidRPr="00425A23">
        <w:t xml:space="preserve">El </w:t>
      </w:r>
      <w:r w:rsidR="00EC2741" w:rsidRPr="00425A23">
        <w:t>ocho</w:t>
      </w:r>
      <w:r w:rsidRPr="00425A23">
        <w:t xml:space="preserve"> de </w:t>
      </w:r>
      <w:r w:rsidR="00CD6EA0" w:rsidRPr="00425A23">
        <w:t>mayo</w:t>
      </w:r>
      <w:r w:rsidR="00F82E40" w:rsidRPr="00425A23">
        <w:t xml:space="preserve"> </w:t>
      </w:r>
      <w:r w:rsidRPr="00425A23">
        <w:t xml:space="preserve">de dos mil </w:t>
      </w:r>
      <w:r w:rsidR="00012EA8" w:rsidRPr="00425A23">
        <w:t>veinticinco</w:t>
      </w:r>
      <w:r w:rsidRPr="00425A23">
        <w:t>, se recibió en este Instituto, a través del SAIMEX, Recurso de Revisión interpuesto por la persona Recurrente, en contra de la respuesta por el Sujeto Obligado, en los siguientes términos:</w:t>
      </w:r>
    </w:p>
    <w:p w14:paraId="4E2B2B4E" w14:textId="77777777" w:rsidR="009302CD" w:rsidRPr="00425A23" w:rsidRDefault="009302CD" w:rsidP="00B44317">
      <w:pPr>
        <w:spacing w:after="0" w:line="360" w:lineRule="auto"/>
      </w:pPr>
    </w:p>
    <w:p w14:paraId="1F21EC98" w14:textId="77777777" w:rsidR="00187572" w:rsidRPr="00425A23" w:rsidRDefault="00187572" w:rsidP="00B44317">
      <w:pPr>
        <w:spacing w:after="0" w:line="360" w:lineRule="auto"/>
        <w:ind w:left="567" w:right="567"/>
        <w:rPr>
          <w:i/>
          <w:sz w:val="20"/>
          <w:szCs w:val="20"/>
        </w:rPr>
      </w:pPr>
      <w:r w:rsidRPr="00425A23">
        <w:rPr>
          <w:b/>
          <w:i/>
          <w:sz w:val="20"/>
          <w:szCs w:val="20"/>
        </w:rPr>
        <w:t>ACTO IMPUGNADO</w:t>
      </w:r>
    </w:p>
    <w:p w14:paraId="7DDCF527" w14:textId="1E81C7D0" w:rsidR="007924DC" w:rsidRPr="00425A23" w:rsidRDefault="00A61E8D" w:rsidP="00B44317">
      <w:pPr>
        <w:spacing w:after="0" w:line="360" w:lineRule="auto"/>
        <w:ind w:left="567" w:right="567"/>
        <w:rPr>
          <w:i/>
          <w:color w:val="000000"/>
          <w:sz w:val="20"/>
          <w:szCs w:val="20"/>
        </w:rPr>
      </w:pPr>
      <w:r w:rsidRPr="00425A23">
        <w:rPr>
          <w:i/>
          <w:color w:val="000000"/>
          <w:sz w:val="20"/>
          <w:szCs w:val="20"/>
        </w:rPr>
        <w:t>Entrega incompleta de la información</w:t>
      </w:r>
    </w:p>
    <w:p w14:paraId="437EDCF4" w14:textId="77777777" w:rsidR="00A61E8D" w:rsidRPr="00425A23" w:rsidRDefault="00A61E8D" w:rsidP="00B44317">
      <w:pPr>
        <w:spacing w:after="0" w:line="360" w:lineRule="auto"/>
        <w:ind w:left="567" w:right="567"/>
        <w:rPr>
          <w:b/>
          <w:i/>
          <w:sz w:val="20"/>
          <w:szCs w:val="20"/>
        </w:rPr>
      </w:pPr>
    </w:p>
    <w:p w14:paraId="6F371BF8" w14:textId="44153D49" w:rsidR="00187572" w:rsidRPr="00425A23" w:rsidRDefault="00187572" w:rsidP="00B44317">
      <w:pPr>
        <w:spacing w:after="0" w:line="360" w:lineRule="auto"/>
        <w:ind w:left="567" w:right="567"/>
        <w:rPr>
          <w:b/>
          <w:i/>
          <w:sz w:val="20"/>
          <w:szCs w:val="20"/>
        </w:rPr>
      </w:pPr>
      <w:r w:rsidRPr="00425A23">
        <w:rPr>
          <w:b/>
          <w:i/>
          <w:sz w:val="20"/>
          <w:szCs w:val="20"/>
        </w:rPr>
        <w:t>RAZONES O MOTIVOS DE LA INCONFORMIDAD</w:t>
      </w:r>
    </w:p>
    <w:p w14:paraId="172C54C7" w14:textId="632808E1" w:rsidR="00F82E40" w:rsidRPr="00425A23" w:rsidRDefault="0080041B" w:rsidP="00B44317">
      <w:pPr>
        <w:tabs>
          <w:tab w:val="left" w:pos="4667"/>
        </w:tabs>
        <w:spacing w:after="0" w:line="360" w:lineRule="auto"/>
        <w:ind w:left="567" w:right="567"/>
        <w:rPr>
          <w:i/>
          <w:color w:val="000000"/>
          <w:sz w:val="20"/>
          <w:szCs w:val="20"/>
        </w:rPr>
      </w:pPr>
      <w:r w:rsidRPr="00425A23">
        <w:rPr>
          <w:i/>
          <w:color w:val="000000"/>
          <w:sz w:val="20"/>
          <w:szCs w:val="20"/>
        </w:rPr>
        <w:t>No se entrega la siguiente información: - el número de personal de cada órgano desconcentrado por cada tipo de plaza - los sueldos que serán pagados atendiendo la máxima legal de que "a trabajo igual, salario igual", debido a que se detectan distritos en los que humanamente será imposible cumplir con las exigencias de esta elección...</w:t>
      </w:r>
    </w:p>
    <w:p w14:paraId="115CBB76" w14:textId="77777777" w:rsidR="0080041B" w:rsidRPr="00425A23" w:rsidRDefault="0080041B" w:rsidP="00B44317">
      <w:pPr>
        <w:spacing w:after="0" w:line="360" w:lineRule="auto"/>
      </w:pPr>
    </w:p>
    <w:p w14:paraId="35D4D691" w14:textId="77777777" w:rsidR="00B44317" w:rsidRPr="00425A23" w:rsidRDefault="00B44317" w:rsidP="00B44317">
      <w:pPr>
        <w:spacing w:after="0" w:line="360" w:lineRule="auto"/>
      </w:pPr>
    </w:p>
    <w:p w14:paraId="4E2B2B55" w14:textId="41C63FD5" w:rsidR="009302CD" w:rsidRPr="00425A23" w:rsidRDefault="0080041B" w:rsidP="00B44317">
      <w:pPr>
        <w:pStyle w:val="Ttulo2"/>
        <w:spacing w:before="0" w:line="360" w:lineRule="auto"/>
      </w:pPr>
      <w:bookmarkStart w:id="6" w:name="_Toc210917093"/>
      <w:r w:rsidRPr="00425A23">
        <w:lastRenderedPageBreak/>
        <w:t>V</w:t>
      </w:r>
      <w:r w:rsidR="006E571C" w:rsidRPr="00425A23">
        <w:t>. Trámite del Recurso de Revisión ante este Instituto</w:t>
      </w:r>
      <w:bookmarkEnd w:id="6"/>
    </w:p>
    <w:p w14:paraId="4E2B2B56" w14:textId="77777777" w:rsidR="009302CD" w:rsidRPr="00425A23" w:rsidRDefault="009302CD" w:rsidP="00B44317">
      <w:pPr>
        <w:spacing w:after="0" w:line="360" w:lineRule="auto"/>
        <w:rPr>
          <w:b/>
        </w:rPr>
      </w:pPr>
    </w:p>
    <w:p w14:paraId="761C6BFE" w14:textId="33F77C33" w:rsidR="008619FE" w:rsidRPr="00425A23" w:rsidRDefault="006E571C" w:rsidP="00B44317">
      <w:pPr>
        <w:spacing w:after="0" w:line="360" w:lineRule="auto"/>
      </w:pPr>
      <w:bookmarkStart w:id="7" w:name="_Toc210917094"/>
      <w:r w:rsidRPr="00425A23">
        <w:rPr>
          <w:rStyle w:val="Ttulo2Car"/>
        </w:rPr>
        <w:t>a) Turno del Medio de Impugnación</w:t>
      </w:r>
      <w:bookmarkEnd w:id="7"/>
    </w:p>
    <w:p w14:paraId="19BA76C4" w14:textId="77777777" w:rsidR="008619FE" w:rsidRPr="00425A23" w:rsidRDefault="008619FE" w:rsidP="00B44317">
      <w:pPr>
        <w:spacing w:after="0" w:line="360" w:lineRule="auto"/>
      </w:pPr>
    </w:p>
    <w:p w14:paraId="4E2B2B58" w14:textId="2B783E70" w:rsidR="009302CD" w:rsidRPr="00425A23" w:rsidRDefault="003E63A0" w:rsidP="00B44317">
      <w:pPr>
        <w:spacing w:after="0" w:line="360" w:lineRule="auto"/>
        <w:rPr>
          <w:rFonts w:eastAsia="Batang" w:cs="Tahoma"/>
          <w:bCs/>
        </w:rPr>
      </w:pPr>
      <w:r w:rsidRPr="00425A23">
        <w:rPr>
          <w:rFonts w:eastAsia="Batang" w:cs="Tahoma"/>
          <w:bCs/>
        </w:rPr>
        <w:t xml:space="preserve">El </w:t>
      </w:r>
      <w:r w:rsidR="0031022E" w:rsidRPr="00425A23">
        <w:rPr>
          <w:rFonts w:cs="Tahoma"/>
        </w:rPr>
        <w:t>ocho</w:t>
      </w:r>
      <w:r w:rsidRPr="00425A23">
        <w:rPr>
          <w:rFonts w:cs="Tahoma"/>
        </w:rPr>
        <w:t xml:space="preserve"> de </w:t>
      </w:r>
      <w:r w:rsidR="0031022E" w:rsidRPr="00425A23">
        <w:rPr>
          <w:rFonts w:cs="Tahoma"/>
        </w:rPr>
        <w:t>mayo</w:t>
      </w:r>
      <w:r w:rsidRPr="00425A23">
        <w:rPr>
          <w:rFonts w:cs="Tahoma"/>
        </w:rPr>
        <w:t xml:space="preserve"> de dos mil </w:t>
      </w:r>
      <w:r w:rsidR="00012EA8" w:rsidRPr="00425A23">
        <w:rPr>
          <w:rFonts w:cs="Tahoma"/>
        </w:rPr>
        <w:t>veinticinco</w:t>
      </w:r>
      <w:r w:rsidRPr="00425A23">
        <w:rPr>
          <w:rFonts w:eastAsia="Batang" w:cs="Tahoma"/>
          <w:bCs/>
        </w:rPr>
        <w:t>, el SAIMEX, asignó el número de expediente</w:t>
      </w:r>
      <w:r w:rsidR="00F903A0" w:rsidRPr="00425A23">
        <w:rPr>
          <w:rFonts w:eastAsia="Batang" w:cs="Tahoma"/>
          <w:bCs/>
        </w:rPr>
        <w:t xml:space="preserve"> </w:t>
      </w:r>
      <w:r w:rsidR="00C61435" w:rsidRPr="00425A23">
        <w:rPr>
          <w:rFonts w:eastAsia="Batang" w:cs="Tahoma"/>
          <w:b/>
          <w:bCs/>
        </w:rPr>
        <w:t>05266/INFOEM/IP/RR/2025</w:t>
      </w:r>
      <w:r w:rsidRPr="00425A23">
        <w:rPr>
          <w:rFonts w:eastAsia="Batang" w:cs="Tahoma"/>
          <w:bCs/>
        </w:rPr>
        <w:t xml:space="preserve">, al medio de impugnación que nos ocupa, con base en el sistema aprobado por el Pleno de este </w:t>
      </w:r>
      <w:r w:rsidR="00F903A0" w:rsidRPr="00425A23">
        <w:rPr>
          <w:rFonts w:eastAsia="Batang" w:cs="Tahoma"/>
          <w:bCs/>
        </w:rPr>
        <w:t>Organismo</w:t>
      </w:r>
      <w:r w:rsidRPr="00425A23">
        <w:rPr>
          <w:rFonts w:eastAsia="Batang" w:cs="Tahoma"/>
          <w:bCs/>
        </w:rPr>
        <w:t xml:space="preserve"> Garante y lo turnó al </w:t>
      </w:r>
      <w:r w:rsidRPr="00425A23">
        <w:rPr>
          <w:rFonts w:eastAsia="Batang" w:cs="Tahoma"/>
          <w:b/>
          <w:bCs/>
        </w:rPr>
        <w:t>Comisionado Ponente Luis Gustavo Parra Noriega</w:t>
      </w:r>
      <w:r w:rsidRPr="00425A23">
        <w:rPr>
          <w:rFonts w:eastAsia="Batang" w:cs="Tahoma"/>
          <w:bCs/>
        </w:rPr>
        <w:t>, para los efectos del artículo 185, fracción I, de la Ley de Transparencia y Acceso a la Información Pública del Estado de México y Municipios.</w:t>
      </w:r>
    </w:p>
    <w:p w14:paraId="09854974" w14:textId="77777777" w:rsidR="009615B6" w:rsidRPr="00425A23" w:rsidRDefault="009615B6" w:rsidP="00B44317">
      <w:pPr>
        <w:spacing w:after="0" w:line="360" w:lineRule="auto"/>
      </w:pPr>
    </w:p>
    <w:p w14:paraId="2291077E" w14:textId="004BB5CC" w:rsidR="008619FE" w:rsidRPr="00425A23" w:rsidRDefault="006E571C" w:rsidP="00B44317">
      <w:pPr>
        <w:spacing w:after="0" w:line="360" w:lineRule="auto"/>
        <w:rPr>
          <w:b/>
        </w:rPr>
      </w:pPr>
      <w:bookmarkStart w:id="8" w:name="_Toc210917095"/>
      <w:r w:rsidRPr="00425A23">
        <w:rPr>
          <w:rStyle w:val="Ttulo2Car"/>
        </w:rPr>
        <w:t>b) Admisión del Recurso de Revisión</w:t>
      </w:r>
      <w:bookmarkEnd w:id="8"/>
    </w:p>
    <w:p w14:paraId="1657D62C" w14:textId="77777777" w:rsidR="008619FE" w:rsidRPr="00425A23" w:rsidRDefault="008619FE" w:rsidP="00B44317">
      <w:pPr>
        <w:spacing w:after="0" w:line="360" w:lineRule="auto"/>
        <w:rPr>
          <w:b/>
        </w:rPr>
      </w:pPr>
    </w:p>
    <w:p w14:paraId="4E2B2B59" w14:textId="4783A12A" w:rsidR="009302CD" w:rsidRPr="00425A23" w:rsidRDefault="003F21E0" w:rsidP="00B44317">
      <w:pPr>
        <w:spacing w:after="0" w:line="360" w:lineRule="auto"/>
      </w:pPr>
      <w:r w:rsidRPr="00425A23">
        <w:rPr>
          <w:bCs/>
        </w:rPr>
        <w:t xml:space="preserve">Por acuerdo </w:t>
      </w:r>
      <w:r w:rsidR="009615B6" w:rsidRPr="00425A23">
        <w:rPr>
          <w:bCs/>
        </w:rPr>
        <w:t>de</w:t>
      </w:r>
      <w:r w:rsidR="00F903A0" w:rsidRPr="00425A23">
        <w:rPr>
          <w:bCs/>
        </w:rPr>
        <w:t xml:space="preserve">l </w:t>
      </w:r>
      <w:r w:rsidR="0031022E" w:rsidRPr="00425A23">
        <w:rPr>
          <w:bCs/>
        </w:rPr>
        <w:t>trece</w:t>
      </w:r>
      <w:r w:rsidR="00F903A0" w:rsidRPr="00425A23">
        <w:rPr>
          <w:bCs/>
        </w:rPr>
        <w:t xml:space="preserve"> </w:t>
      </w:r>
      <w:r w:rsidR="008261C7" w:rsidRPr="00425A23">
        <w:rPr>
          <w:bCs/>
        </w:rPr>
        <w:t xml:space="preserve">de </w:t>
      </w:r>
      <w:r w:rsidR="0031022E" w:rsidRPr="00425A23">
        <w:rPr>
          <w:bCs/>
        </w:rPr>
        <w:t>mayo</w:t>
      </w:r>
      <w:r w:rsidR="008261C7" w:rsidRPr="00425A23">
        <w:rPr>
          <w:bCs/>
        </w:rPr>
        <w:t xml:space="preserve"> de dos mil </w:t>
      </w:r>
      <w:r w:rsidR="00012EA8" w:rsidRPr="00425A23">
        <w:rPr>
          <w:bCs/>
        </w:rPr>
        <w:t>veinticinco</w:t>
      </w:r>
      <w:r w:rsidR="008261C7" w:rsidRPr="00425A23">
        <w:rPr>
          <w:bCs/>
        </w:rPr>
        <w:t>, se acordó la</w:t>
      </w:r>
      <w:r w:rsidR="006E571C" w:rsidRPr="00425A23">
        <w:t xml:space="preserve"> admisión del Recurso de Revisión interpuesto por la persona Recurrente en contra del Sujeto Obligado, en términos del artículo 185, fracciones I y II de la Ley de Transparencia y Acceso a la Información Pública del Estado de México y Municipios,</w:t>
      </w:r>
      <w:r w:rsidR="008261C7" w:rsidRPr="00425A23">
        <w:t xml:space="preserve"> acto notificado en la misma fecha,</w:t>
      </w:r>
      <w:r w:rsidR="006E571C" w:rsidRPr="00425A23">
        <w:t xml:space="preserve"> en el que se les otorgó un plazo de siete días hábiles posteriores a la misma, para que manifestaran lo que a su derecho conviniera y formularan alegatos.</w:t>
      </w:r>
    </w:p>
    <w:p w14:paraId="4E2B2B5A" w14:textId="77777777" w:rsidR="009302CD" w:rsidRPr="00425A23" w:rsidRDefault="009302CD" w:rsidP="00B44317">
      <w:pPr>
        <w:spacing w:after="0" w:line="360" w:lineRule="auto"/>
      </w:pPr>
    </w:p>
    <w:p w14:paraId="5E964A40" w14:textId="40948482" w:rsidR="008619FE" w:rsidRPr="00425A23" w:rsidRDefault="006E571C" w:rsidP="00B44317">
      <w:pPr>
        <w:widowControl w:val="0"/>
        <w:spacing w:after="0" w:line="360" w:lineRule="auto"/>
        <w:rPr>
          <w:b/>
        </w:rPr>
      </w:pPr>
      <w:bookmarkStart w:id="9" w:name="_Toc210917096"/>
      <w:r w:rsidRPr="00425A23">
        <w:rPr>
          <w:rStyle w:val="Ttulo2Car"/>
        </w:rPr>
        <w:t>c) Informe Justificado</w:t>
      </w:r>
      <w:bookmarkEnd w:id="9"/>
    </w:p>
    <w:p w14:paraId="3779B5B0" w14:textId="77777777" w:rsidR="008619FE" w:rsidRPr="00425A23" w:rsidRDefault="008619FE" w:rsidP="00B44317">
      <w:pPr>
        <w:widowControl w:val="0"/>
        <w:spacing w:after="0" w:line="360" w:lineRule="auto"/>
        <w:rPr>
          <w:b/>
        </w:rPr>
      </w:pPr>
    </w:p>
    <w:p w14:paraId="47D1F00D" w14:textId="12E493AC" w:rsidR="0035508A" w:rsidRPr="00425A23" w:rsidRDefault="006E571C" w:rsidP="00B44317">
      <w:pPr>
        <w:widowControl w:val="0"/>
        <w:spacing w:after="0" w:line="360" w:lineRule="auto"/>
      </w:pPr>
      <w:r w:rsidRPr="00425A23">
        <w:t xml:space="preserve">El Sujeto Obligado, </w:t>
      </w:r>
      <w:r w:rsidR="00DB1AAD" w:rsidRPr="00425A23">
        <w:t xml:space="preserve">el dieciséis de mayo de dos mil veinticinco, remitió cinco documentos, de nombres </w:t>
      </w:r>
      <w:r w:rsidR="00E76DB0" w:rsidRPr="00425A23">
        <w:t>TABULADOR 2025.pdf, INFORME JUSTIFICADO RR 5266-2025 UT.docx, IEEM-DA-3046-2025 INFORME JUSTIFICADO RR 5266-2025 DA.pdf</w:t>
      </w:r>
      <w:r w:rsidR="007E2BE1" w:rsidRPr="00425A23">
        <w:t xml:space="preserve">, OFICIOS TIPO DE PLAZA 18 OD.pdf </w:t>
      </w:r>
      <w:r w:rsidR="00851E1F" w:rsidRPr="00425A23">
        <w:t xml:space="preserve">e </w:t>
      </w:r>
      <w:r w:rsidR="007E2BE1" w:rsidRPr="00425A23">
        <w:t>INFORME JUSTIFICADO RR 5266-2025 UT.pdf</w:t>
      </w:r>
      <w:r w:rsidR="00AF27DD" w:rsidRPr="00425A23">
        <w:t xml:space="preserve">, a través de los cuales, ratificó la </w:t>
      </w:r>
      <w:r w:rsidR="00AF27DD" w:rsidRPr="00425A23">
        <w:lastRenderedPageBreak/>
        <w:t>respuesta.</w:t>
      </w:r>
    </w:p>
    <w:p w14:paraId="2F76321A" w14:textId="77777777" w:rsidR="0035508A" w:rsidRPr="00425A23" w:rsidRDefault="0035508A" w:rsidP="00B44317">
      <w:pPr>
        <w:widowControl w:val="0"/>
        <w:spacing w:after="0" w:line="360" w:lineRule="auto"/>
      </w:pPr>
    </w:p>
    <w:p w14:paraId="0803595A" w14:textId="77777777" w:rsidR="008619FE" w:rsidRPr="00425A23" w:rsidRDefault="006E571C" w:rsidP="00B44317">
      <w:pPr>
        <w:widowControl w:val="0"/>
        <w:spacing w:after="0" w:line="360" w:lineRule="auto"/>
        <w:rPr>
          <w:rStyle w:val="Ttulo2Car"/>
        </w:rPr>
      </w:pPr>
      <w:bookmarkStart w:id="10" w:name="_Toc210917097"/>
      <w:r w:rsidRPr="00425A23">
        <w:rPr>
          <w:rStyle w:val="Ttulo2Car"/>
        </w:rPr>
        <w:t>d) Manifestaciones</w:t>
      </w:r>
      <w:bookmarkEnd w:id="10"/>
    </w:p>
    <w:p w14:paraId="0303C407" w14:textId="77777777" w:rsidR="008619FE" w:rsidRPr="00425A23" w:rsidRDefault="008619FE" w:rsidP="00B44317">
      <w:pPr>
        <w:widowControl w:val="0"/>
        <w:spacing w:after="0" w:line="360" w:lineRule="auto"/>
        <w:rPr>
          <w:rStyle w:val="Ttulo2Car"/>
        </w:rPr>
      </w:pPr>
    </w:p>
    <w:p w14:paraId="4E2B2B82" w14:textId="0387924A" w:rsidR="009302CD" w:rsidRPr="00425A23" w:rsidRDefault="006E571C" w:rsidP="00B44317">
      <w:pPr>
        <w:widowControl w:val="0"/>
        <w:spacing w:after="0" w:line="360" w:lineRule="auto"/>
      </w:pPr>
      <w:r w:rsidRPr="00425A23">
        <w:t>El Particular, durante el plazo de ley para emitir expresión alguna que a su derecho convenga, fue omiso en realizar pronunciamiento alguno.</w:t>
      </w:r>
    </w:p>
    <w:p w14:paraId="3DBA394D" w14:textId="77777777" w:rsidR="000C4623" w:rsidRPr="00425A23" w:rsidRDefault="000C4623" w:rsidP="00B44317">
      <w:pPr>
        <w:widowControl w:val="0"/>
        <w:spacing w:after="0" w:line="360" w:lineRule="auto"/>
      </w:pPr>
    </w:p>
    <w:p w14:paraId="057135FC" w14:textId="1327EFF4" w:rsidR="008619FE" w:rsidRPr="00425A23" w:rsidRDefault="000C4623" w:rsidP="00B44317">
      <w:pPr>
        <w:pStyle w:val="Ttulo2"/>
        <w:spacing w:before="0" w:line="360" w:lineRule="auto"/>
      </w:pPr>
      <w:bookmarkStart w:id="11" w:name="_Toc210917098"/>
      <w:r w:rsidRPr="00425A23">
        <w:rPr>
          <w:color w:val="000000"/>
        </w:rPr>
        <w:t>e</w:t>
      </w:r>
      <w:r w:rsidR="006E571C" w:rsidRPr="00425A23">
        <w:rPr>
          <w:color w:val="000000"/>
        </w:rPr>
        <w:t xml:space="preserve">) </w:t>
      </w:r>
      <w:r w:rsidR="006E571C" w:rsidRPr="00425A23">
        <w:t>Ampliación de plazo</w:t>
      </w:r>
      <w:bookmarkEnd w:id="11"/>
    </w:p>
    <w:p w14:paraId="447A340F" w14:textId="77777777" w:rsidR="008619FE" w:rsidRPr="00425A23" w:rsidRDefault="008619FE" w:rsidP="00B44317">
      <w:pPr>
        <w:spacing w:after="0" w:line="360" w:lineRule="auto"/>
      </w:pPr>
    </w:p>
    <w:p w14:paraId="4E2B2B86" w14:textId="6AC41299" w:rsidR="009302CD" w:rsidRPr="00425A23" w:rsidRDefault="006E571C" w:rsidP="00B44317">
      <w:pPr>
        <w:spacing w:after="0" w:line="360" w:lineRule="auto"/>
      </w:pPr>
      <w:r w:rsidRPr="00425A23">
        <w:t xml:space="preserve">El </w:t>
      </w:r>
      <w:r w:rsidR="001F73BB" w:rsidRPr="00425A23">
        <w:t>dos</w:t>
      </w:r>
      <w:r w:rsidRPr="00425A23">
        <w:t xml:space="preserve"> de </w:t>
      </w:r>
      <w:r w:rsidR="001F73BB" w:rsidRPr="00425A23">
        <w:t>agosto</w:t>
      </w:r>
      <w:r w:rsidRPr="00425A23">
        <w:t xml:space="preserve"> de dos mil </w:t>
      </w:r>
      <w:r w:rsidR="00012EA8" w:rsidRPr="00425A23">
        <w:t>veinticinco</w:t>
      </w:r>
      <w:r w:rsidRPr="00425A23">
        <w:t xml:space="preserve">, el Comisionado Ponente, con fundamento en lo dispuesto por el artículo 181, párrafo tercero, de la Ley de Transparencia y Acceso a la Información Pública del Estado de México y Municipios, acordó ampliar por un plazo razonable, para resolver el Recurso de Revisión que nos ocupa; acto que fue notificado a las partes en </w:t>
      </w:r>
      <w:r w:rsidR="001F73BB" w:rsidRPr="00425A23">
        <w:t>la misma fecha</w:t>
      </w:r>
      <w:r w:rsidRPr="00425A23">
        <w:t>, mediante el SAIMEX.</w:t>
      </w:r>
    </w:p>
    <w:p w14:paraId="4E2B2B87" w14:textId="77777777" w:rsidR="009302CD" w:rsidRPr="00425A23" w:rsidRDefault="009302CD" w:rsidP="00B44317">
      <w:pPr>
        <w:spacing w:after="0" w:line="360" w:lineRule="auto"/>
      </w:pPr>
    </w:p>
    <w:p w14:paraId="3DEEFA05" w14:textId="6F7D4248" w:rsidR="0004148C" w:rsidRPr="00425A23" w:rsidRDefault="0004148C" w:rsidP="00B44317">
      <w:pPr>
        <w:pStyle w:val="Ttulo2"/>
        <w:spacing w:before="0" w:line="360" w:lineRule="auto"/>
      </w:pPr>
      <w:bookmarkStart w:id="12" w:name="_Toc210917099"/>
      <w:r w:rsidRPr="00425A23">
        <w:rPr>
          <w:color w:val="000000"/>
        </w:rPr>
        <w:t>f</w:t>
      </w:r>
      <w:r w:rsidR="006E571C" w:rsidRPr="00425A23">
        <w:rPr>
          <w:color w:val="000000"/>
        </w:rPr>
        <w:t xml:space="preserve">) </w:t>
      </w:r>
      <w:r w:rsidR="006E571C" w:rsidRPr="00425A23">
        <w:t>Cierre de instrucción</w:t>
      </w:r>
      <w:bookmarkEnd w:id="12"/>
    </w:p>
    <w:p w14:paraId="083A86A1" w14:textId="77777777" w:rsidR="0004148C" w:rsidRPr="00425A23" w:rsidRDefault="0004148C" w:rsidP="00B44317">
      <w:pPr>
        <w:spacing w:after="0" w:line="360" w:lineRule="auto"/>
      </w:pPr>
    </w:p>
    <w:p w14:paraId="4E2B2BA4" w14:textId="69F0ECB4" w:rsidR="009302CD" w:rsidRPr="00425A23" w:rsidRDefault="006E571C" w:rsidP="00B44317">
      <w:pPr>
        <w:spacing w:after="0" w:line="360" w:lineRule="auto"/>
      </w:pPr>
      <w:r w:rsidRPr="00425A23">
        <w:t xml:space="preserve">El </w:t>
      </w:r>
      <w:r w:rsidR="008907E4">
        <w:t>siete</w:t>
      </w:r>
      <w:r w:rsidRPr="00425A23">
        <w:t xml:space="preserve"> de </w:t>
      </w:r>
      <w:r w:rsidR="001F73BB" w:rsidRPr="00425A23">
        <w:t>octubre</w:t>
      </w:r>
      <w:r w:rsidRPr="00425A23">
        <w:t xml:space="preserve"> de dos mil </w:t>
      </w:r>
      <w:r w:rsidR="00012EA8" w:rsidRPr="00425A23">
        <w:t>veinticinco</w:t>
      </w:r>
      <w:r w:rsidRPr="00425A23">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w:t>
      </w:r>
      <w:r w:rsidR="008907E4">
        <w:t>el nueve de octubre de dos mil veinticinco</w:t>
      </w:r>
      <w:r w:rsidRPr="00425A23">
        <w:t>.</w:t>
      </w:r>
    </w:p>
    <w:p w14:paraId="4E2B2BA5" w14:textId="77777777" w:rsidR="009302CD" w:rsidRPr="00425A23" w:rsidRDefault="009302CD" w:rsidP="00B44317">
      <w:pPr>
        <w:spacing w:after="0" w:line="360" w:lineRule="auto"/>
        <w:ind w:right="-28"/>
      </w:pPr>
    </w:p>
    <w:p w14:paraId="77C6A388" w14:textId="77777777" w:rsidR="004107F0" w:rsidRPr="00425A23" w:rsidRDefault="006E571C" w:rsidP="00B44317">
      <w:pPr>
        <w:spacing w:after="0" w:line="360" w:lineRule="auto"/>
        <w:rPr>
          <w:color w:val="000000"/>
        </w:rPr>
      </w:pPr>
      <w:r w:rsidRPr="00425A23">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9E8DF8E" w14:textId="77777777" w:rsidR="004107F0" w:rsidRPr="00425A23" w:rsidRDefault="004107F0" w:rsidP="00B44317">
      <w:pPr>
        <w:spacing w:after="0" w:line="360" w:lineRule="auto"/>
        <w:rPr>
          <w:color w:val="000000"/>
        </w:rPr>
      </w:pPr>
    </w:p>
    <w:p w14:paraId="7A71382D" w14:textId="1A7C9EE8" w:rsidR="00B171A6" w:rsidRPr="00425A23" w:rsidRDefault="00B171A6" w:rsidP="00B44317">
      <w:pPr>
        <w:pStyle w:val="Ttulo1"/>
        <w:spacing w:before="0" w:line="360" w:lineRule="auto"/>
      </w:pPr>
      <w:bookmarkStart w:id="13" w:name="_Toc210917100"/>
      <w:r w:rsidRPr="00425A23">
        <w:t>CONSIDERANDOS</w:t>
      </w:r>
      <w:bookmarkEnd w:id="13"/>
    </w:p>
    <w:p w14:paraId="64851FB0" w14:textId="77777777" w:rsidR="00B171A6" w:rsidRPr="00425A23" w:rsidRDefault="00B171A6" w:rsidP="00B44317">
      <w:pPr>
        <w:spacing w:after="0" w:line="360" w:lineRule="auto"/>
        <w:jc w:val="center"/>
        <w:rPr>
          <w:rFonts w:cs="Tahoma"/>
          <w:b/>
          <w:lang w:val="es-ES"/>
        </w:rPr>
      </w:pPr>
    </w:p>
    <w:p w14:paraId="621DA131" w14:textId="77777777" w:rsidR="00B171A6" w:rsidRPr="00425A23" w:rsidRDefault="00B171A6" w:rsidP="00B44317">
      <w:pPr>
        <w:pStyle w:val="Ttulo2"/>
        <w:spacing w:before="0" w:line="360" w:lineRule="auto"/>
        <w:rPr>
          <w:lang w:val="es-ES"/>
        </w:rPr>
      </w:pPr>
      <w:bookmarkStart w:id="14" w:name="_Toc210917101"/>
      <w:r w:rsidRPr="00425A23">
        <w:rPr>
          <w:rFonts w:eastAsia="Calibri"/>
          <w:lang w:val="es-ES"/>
        </w:rPr>
        <w:t xml:space="preserve">PRIMERO. </w:t>
      </w:r>
      <w:r w:rsidRPr="00425A23">
        <w:rPr>
          <w:lang w:val="es-ES"/>
        </w:rPr>
        <w:t>Competencia</w:t>
      </w:r>
      <w:bookmarkEnd w:id="14"/>
    </w:p>
    <w:p w14:paraId="25BDB11D" w14:textId="77777777" w:rsidR="00B171A6" w:rsidRPr="00425A23" w:rsidRDefault="00B171A6" w:rsidP="00B44317">
      <w:pPr>
        <w:autoSpaceDE w:val="0"/>
        <w:autoSpaceDN w:val="0"/>
        <w:adjustRightInd w:val="0"/>
        <w:spacing w:after="0" w:line="360" w:lineRule="auto"/>
        <w:rPr>
          <w:rFonts w:cs="Tahoma"/>
          <w:b/>
          <w:szCs w:val="24"/>
          <w:lang w:val="es-ES"/>
        </w:rPr>
      </w:pPr>
    </w:p>
    <w:p w14:paraId="794076FB" w14:textId="048C60EF" w:rsidR="00B171A6" w:rsidRPr="00425A23" w:rsidRDefault="00B171A6" w:rsidP="00B44317">
      <w:pPr>
        <w:spacing w:after="0" w:line="360" w:lineRule="auto"/>
        <w:rPr>
          <w:rFonts w:cs="Tahoma"/>
          <w:bCs/>
        </w:rPr>
      </w:pPr>
      <w:r w:rsidRPr="00425A23">
        <w:rPr>
          <w:rFonts w:cs="Tahoma"/>
          <w:b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3D7ACA" w:rsidRPr="00425A23">
        <w:rPr>
          <w:rFonts w:cs="Tahoma"/>
          <w:bCs/>
        </w:rPr>
        <w:t>noveno</w:t>
      </w:r>
      <w:r w:rsidRPr="00425A23">
        <w:rPr>
          <w:rFonts w:cs="Tahoma"/>
          <w:bCs/>
        </w:rPr>
        <w:t xml:space="preserve">, </w:t>
      </w:r>
      <w:r w:rsidR="003D7ACA" w:rsidRPr="00425A23">
        <w:rPr>
          <w:rFonts w:cs="Tahoma"/>
          <w:bCs/>
        </w:rPr>
        <w:t>cuadragésimo y cuadragésimo primero</w:t>
      </w:r>
      <w:r w:rsidRPr="00425A23">
        <w:rPr>
          <w:rFonts w:cs="Tahoma"/>
          <w:bC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25A23">
        <w:rPr>
          <w:bCs/>
        </w:rPr>
        <w:t xml:space="preserve"> 7°, </w:t>
      </w:r>
      <w:r w:rsidRPr="00425A23">
        <w:rPr>
          <w:rFonts w:cs="Tahoma"/>
          <w:bCs/>
        </w:rPr>
        <w:t>9°, fracciones I y XXIII y 11 del Reglamento Interior del Instituto de Transparencia, Acceso a la Información Pública y Protección de Datos Personales del Estado de México y Municipios.</w:t>
      </w:r>
    </w:p>
    <w:p w14:paraId="39216608" w14:textId="77777777" w:rsidR="00B171A6" w:rsidRPr="00425A23" w:rsidRDefault="00B171A6" w:rsidP="00B44317">
      <w:pPr>
        <w:spacing w:after="0" w:line="360" w:lineRule="auto"/>
        <w:rPr>
          <w:rFonts w:cs="Tahoma"/>
          <w:bCs/>
        </w:rPr>
      </w:pPr>
    </w:p>
    <w:p w14:paraId="304402A1" w14:textId="77777777" w:rsidR="007071CA" w:rsidRPr="00425A23" w:rsidRDefault="007071CA" w:rsidP="00B44317">
      <w:pPr>
        <w:pStyle w:val="Ttulo2"/>
        <w:spacing w:before="0" w:line="360" w:lineRule="auto"/>
        <w:rPr>
          <w:rFonts w:eastAsia="Calibri"/>
          <w:lang w:val="es-ES"/>
        </w:rPr>
      </w:pPr>
      <w:bookmarkStart w:id="15" w:name="_Toc210917102"/>
      <w:r w:rsidRPr="00425A23">
        <w:rPr>
          <w:rFonts w:eastAsia="Calibri"/>
          <w:lang w:val="es-ES"/>
        </w:rPr>
        <w:t>SEGUNDO. Causales de improcedencia y sobreseimiento</w:t>
      </w:r>
      <w:bookmarkEnd w:id="15"/>
    </w:p>
    <w:p w14:paraId="3C25A438" w14:textId="77777777" w:rsidR="007071CA" w:rsidRPr="00425A23" w:rsidRDefault="007071CA" w:rsidP="00B44317">
      <w:pPr>
        <w:spacing w:after="0" w:line="360" w:lineRule="auto"/>
        <w:rPr>
          <w:rFonts w:eastAsia="Times New Roman" w:cs="Tahoma"/>
          <w:color w:val="auto"/>
          <w:shd w:val="clear" w:color="auto" w:fill="FFFFFF"/>
          <w:lang w:val="es-ES" w:eastAsia="es-ES"/>
        </w:rPr>
      </w:pPr>
    </w:p>
    <w:p w14:paraId="0B19C7FF"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 xml:space="preserve">Este Instituto realiza el estudio oficioso de las causales de improcedencia, por tratarse de una cuestión de orden público y de estudio preferente (acorde con el Criterio orientador en la Tesis </w:t>
      </w:r>
      <w:r w:rsidRPr="00425A23">
        <w:rPr>
          <w:rFonts w:eastAsia="Times New Roman" w:cs="Times New Roman"/>
          <w:color w:val="auto"/>
          <w:szCs w:val="20"/>
          <w:lang w:eastAsia="es-ES"/>
        </w:rPr>
        <w:lastRenderedPageBreak/>
        <w:t>de Jurisprudencia “</w:t>
      </w:r>
      <w:r w:rsidRPr="00425A23">
        <w:rPr>
          <w:rFonts w:eastAsia="Times New Roman" w:cs="Times New Roman"/>
          <w:b/>
          <w:color w:val="auto"/>
          <w:szCs w:val="20"/>
          <w:lang w:eastAsia="es-ES"/>
        </w:rPr>
        <w:t>IMPROCEDENCIA</w:t>
      </w:r>
      <w:r w:rsidRPr="00425A23">
        <w:rPr>
          <w:rFonts w:eastAsia="Times New Roman" w:cs="Times New Roman"/>
          <w:color w:val="auto"/>
          <w:szCs w:val="20"/>
          <w:lang w:eastAsia="es-ES"/>
        </w:rPr>
        <w:t xml:space="preserve">.” </w:t>
      </w:r>
      <w:r w:rsidRPr="00425A23">
        <w:rPr>
          <w:rFonts w:eastAsia="Times New Roman" w:cs="Times New Roman"/>
          <w:b/>
          <w:color w:val="auto"/>
          <w:szCs w:val="20"/>
          <w:lang w:eastAsia="es-ES"/>
        </w:rPr>
        <w:t>(Semanario Judicial de la Federación, Quinta Época, 1985, pág. 262),</w:t>
      </w:r>
      <w:r w:rsidRPr="00425A23">
        <w:rPr>
          <w:rFonts w:eastAsia="Times New Roman" w:cs="Times New Roman"/>
          <w:color w:val="auto"/>
          <w:szCs w:val="20"/>
          <w:lang w:eastAsia="es-ES"/>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71A3855" w14:textId="77777777" w:rsidR="007071CA" w:rsidRPr="00425A23" w:rsidRDefault="007071CA" w:rsidP="00B44317">
      <w:pPr>
        <w:spacing w:after="0" w:line="360" w:lineRule="auto"/>
        <w:rPr>
          <w:rFonts w:eastAsia="Times New Roman" w:cs="Times New Roman"/>
          <w:color w:val="auto"/>
          <w:szCs w:val="20"/>
          <w:lang w:eastAsia="es-ES"/>
        </w:rPr>
      </w:pPr>
    </w:p>
    <w:p w14:paraId="43F005A5"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A157304" w14:textId="77777777" w:rsidR="007071CA" w:rsidRPr="00425A23" w:rsidRDefault="007071CA" w:rsidP="00B44317">
      <w:pPr>
        <w:spacing w:after="0" w:line="360" w:lineRule="auto"/>
        <w:rPr>
          <w:rFonts w:eastAsia="Times New Roman" w:cs="Times New Roman"/>
          <w:color w:val="auto"/>
          <w:szCs w:val="20"/>
          <w:lang w:eastAsia="es-ES"/>
        </w:rPr>
      </w:pPr>
    </w:p>
    <w:p w14:paraId="53EA45C1" w14:textId="77777777" w:rsidR="007071CA" w:rsidRPr="00425A23" w:rsidRDefault="007071CA" w:rsidP="00B44317">
      <w:pPr>
        <w:spacing w:after="0" w:line="360" w:lineRule="auto"/>
        <w:rPr>
          <w:rFonts w:eastAsia="Times New Roman" w:cs="Times New Roman"/>
          <w:b/>
          <w:color w:val="auto"/>
          <w:szCs w:val="20"/>
          <w:lang w:eastAsia="es-ES"/>
        </w:rPr>
      </w:pPr>
      <w:r w:rsidRPr="00425A23">
        <w:rPr>
          <w:rFonts w:eastAsia="Times New Roman" w:cs="Times New Roman"/>
          <w:b/>
          <w:color w:val="auto"/>
          <w:szCs w:val="20"/>
          <w:lang w:eastAsia="es-ES"/>
        </w:rPr>
        <w:t>Causales de sobreseimiento</w:t>
      </w:r>
    </w:p>
    <w:p w14:paraId="5D82ED21" w14:textId="77777777" w:rsidR="007071CA" w:rsidRPr="00425A23" w:rsidRDefault="007071CA" w:rsidP="00B44317">
      <w:pPr>
        <w:spacing w:after="0" w:line="360" w:lineRule="auto"/>
        <w:rPr>
          <w:rFonts w:eastAsia="Times New Roman" w:cs="Times New Roman"/>
          <w:color w:val="auto"/>
          <w:szCs w:val="20"/>
          <w:lang w:eastAsia="es-ES"/>
        </w:rPr>
      </w:pPr>
    </w:p>
    <w:p w14:paraId="02CFFA09"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Por ser de previo y especial pronunciamiento, este Instituto analiza si se actualiza alguna causal de sobreseimiento.</w:t>
      </w:r>
    </w:p>
    <w:p w14:paraId="7FB7E616" w14:textId="77777777" w:rsidR="007071CA" w:rsidRPr="00425A23" w:rsidRDefault="007071CA" w:rsidP="00B44317">
      <w:pPr>
        <w:spacing w:after="0" w:line="360" w:lineRule="auto"/>
        <w:rPr>
          <w:rFonts w:eastAsia="Times New Roman" w:cs="Times New Roman"/>
          <w:color w:val="auto"/>
          <w:szCs w:val="20"/>
          <w:lang w:eastAsia="es-ES"/>
        </w:rPr>
      </w:pPr>
    </w:p>
    <w:p w14:paraId="4D02CA63"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425A23">
        <w:rPr>
          <w:rFonts w:eastAsia="Times New Roman" w:cs="Times New Roman"/>
          <w:color w:val="auto"/>
          <w:szCs w:val="20"/>
          <w:lang w:eastAsia="es-ES"/>
        </w:rPr>
        <w:lastRenderedPageBreak/>
        <w:t>fallecido, sobreviniera alguna causal de improcedencia, que el Sujeto Obligado hubiese modificado o revocado el acto impugnado o bien, haya quedado sin materia.</w:t>
      </w:r>
    </w:p>
    <w:p w14:paraId="7F1B1433" w14:textId="77777777" w:rsidR="007071CA" w:rsidRPr="00425A23" w:rsidRDefault="007071CA" w:rsidP="00B44317">
      <w:pPr>
        <w:spacing w:after="0" w:line="360" w:lineRule="auto"/>
        <w:rPr>
          <w:rFonts w:eastAsia="Times New Roman" w:cs="Times New Roman"/>
          <w:color w:val="auto"/>
          <w:szCs w:val="20"/>
          <w:lang w:eastAsia="es-ES"/>
        </w:rPr>
      </w:pPr>
    </w:p>
    <w:p w14:paraId="4CE2D95E"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En ese orden de ideas, toda vez que no ha quedado sin materia el Recurso de Revisión al rubro, se considera procedente entrar al fondo del presente asunto.</w:t>
      </w:r>
    </w:p>
    <w:p w14:paraId="35B9DA45" w14:textId="77777777" w:rsidR="007071CA" w:rsidRPr="00425A23" w:rsidRDefault="007071CA" w:rsidP="00B44317">
      <w:pPr>
        <w:spacing w:after="0" w:line="360" w:lineRule="auto"/>
        <w:rPr>
          <w:rFonts w:eastAsia="Times New Roman" w:cs="Tahoma"/>
          <w:color w:val="auto"/>
          <w:shd w:val="clear" w:color="auto" w:fill="FFFFFF"/>
          <w:lang w:eastAsia="es-ES"/>
        </w:rPr>
      </w:pPr>
    </w:p>
    <w:p w14:paraId="35F74ADB" w14:textId="77777777" w:rsidR="007071CA" w:rsidRPr="00425A23" w:rsidRDefault="007071CA" w:rsidP="00B44317">
      <w:pPr>
        <w:pStyle w:val="Ttulo2"/>
        <w:spacing w:before="0" w:line="360" w:lineRule="auto"/>
        <w:rPr>
          <w:rFonts w:eastAsia="Calibri"/>
          <w:lang w:val="es-ES"/>
        </w:rPr>
      </w:pPr>
      <w:bookmarkStart w:id="16" w:name="_Toc210917103"/>
      <w:r w:rsidRPr="00425A23">
        <w:rPr>
          <w:rFonts w:eastAsia="Calibri"/>
          <w:lang w:val="es-ES"/>
        </w:rPr>
        <w:t>TERCERO. Determinación de la Controversia</w:t>
      </w:r>
      <w:bookmarkEnd w:id="16"/>
    </w:p>
    <w:p w14:paraId="6AFF7977" w14:textId="77777777" w:rsidR="007071CA" w:rsidRPr="00425A23" w:rsidRDefault="007071CA" w:rsidP="00B44317">
      <w:pPr>
        <w:spacing w:after="0" w:line="360" w:lineRule="auto"/>
        <w:rPr>
          <w:rFonts w:eastAsia="Times New Roman" w:cs="Tahoma"/>
          <w:b/>
          <w:iCs/>
          <w:color w:val="auto"/>
          <w:shd w:val="clear" w:color="auto" w:fill="FFFFFF"/>
          <w:lang w:val="es-ES" w:eastAsia="es-ES"/>
        </w:rPr>
      </w:pPr>
    </w:p>
    <w:p w14:paraId="6BCED90B" w14:textId="2AFB7402" w:rsidR="007071CA" w:rsidRPr="00425A23" w:rsidRDefault="007071CA" w:rsidP="00B44317">
      <w:pPr>
        <w:spacing w:after="0" w:line="360" w:lineRule="auto"/>
        <w:rPr>
          <w:rFonts w:eastAsia="Times New Roman" w:cs="Tahoma"/>
          <w:i/>
          <w:iCs/>
          <w:color w:val="auto"/>
          <w:lang w:eastAsia="es-ES"/>
        </w:rPr>
      </w:pPr>
      <w:r w:rsidRPr="00425A23">
        <w:rPr>
          <w:rFonts w:eastAsia="Times New Roman" w:cs="Times New Roman"/>
          <w:color w:val="auto"/>
          <w:szCs w:val="20"/>
          <w:lang w:eastAsia="es-ES"/>
        </w:rPr>
        <w:t xml:space="preserve">Una vez realizado el estudio de las constancias que integran el expediente en </w:t>
      </w:r>
      <w:r w:rsidRPr="00425A23">
        <w:rPr>
          <w:rFonts w:eastAsia="Times New Roman" w:cs="Times New Roman"/>
          <w:color w:val="auto"/>
          <w:lang w:eastAsia="es-ES"/>
        </w:rPr>
        <w:t xml:space="preserve">que se actúa, se desprende que el Particular solicitó al Instituto Electoral del Estado de México </w:t>
      </w:r>
      <w:r w:rsidR="00C9456F" w:rsidRPr="00425A23">
        <w:rPr>
          <w:rFonts w:eastAsia="Times New Roman" w:cs="Times New Roman"/>
          <w:color w:val="auto"/>
          <w:lang w:eastAsia="es-ES"/>
        </w:rPr>
        <w:t>los siguientes puntos de información:</w:t>
      </w:r>
    </w:p>
    <w:p w14:paraId="3306AE5B" w14:textId="77777777" w:rsidR="00C9456F" w:rsidRPr="00425A23" w:rsidRDefault="00C9456F" w:rsidP="00B44317">
      <w:pPr>
        <w:tabs>
          <w:tab w:val="left" w:pos="4667"/>
        </w:tabs>
        <w:spacing w:after="0" w:line="360" w:lineRule="auto"/>
        <w:ind w:left="567" w:right="567"/>
        <w:rPr>
          <w:i/>
          <w:color w:val="000000"/>
          <w:sz w:val="20"/>
          <w:szCs w:val="20"/>
        </w:rPr>
      </w:pPr>
    </w:p>
    <w:p w14:paraId="1D7C3284" w14:textId="77777777" w:rsidR="00C9456F" w:rsidRPr="00425A23" w:rsidRDefault="00C9456F" w:rsidP="00B44317">
      <w:pPr>
        <w:tabs>
          <w:tab w:val="left" w:pos="4667"/>
        </w:tabs>
        <w:spacing w:after="0" w:line="360" w:lineRule="auto"/>
        <w:ind w:left="567" w:right="567"/>
        <w:rPr>
          <w:iCs/>
          <w:color w:val="000000"/>
        </w:rPr>
      </w:pPr>
      <w:r w:rsidRPr="00425A23">
        <w:rPr>
          <w:iCs/>
          <w:color w:val="000000"/>
        </w:rPr>
        <w:t xml:space="preserve">1. El número de electores por cada distrito judicial, </w:t>
      </w:r>
    </w:p>
    <w:p w14:paraId="42E91E9A" w14:textId="246ABF4D" w:rsidR="007511AC" w:rsidRPr="00425A23" w:rsidRDefault="007511AC" w:rsidP="00B44317">
      <w:pPr>
        <w:tabs>
          <w:tab w:val="left" w:pos="4667"/>
        </w:tabs>
        <w:spacing w:after="0" w:line="360" w:lineRule="auto"/>
        <w:ind w:left="567" w:right="567"/>
        <w:rPr>
          <w:iCs/>
          <w:color w:val="000000"/>
        </w:rPr>
      </w:pPr>
      <w:r w:rsidRPr="00425A23">
        <w:rPr>
          <w:iCs/>
          <w:color w:val="000000"/>
        </w:rPr>
        <w:t>2. La</w:t>
      </w:r>
      <w:r w:rsidR="00C9456F" w:rsidRPr="00425A23">
        <w:rPr>
          <w:iCs/>
          <w:color w:val="000000"/>
        </w:rPr>
        <w:t xml:space="preserve"> cantidad de casillas que se instalarán en cada distrito judicial</w:t>
      </w:r>
      <w:r w:rsidRPr="00425A23">
        <w:rPr>
          <w:iCs/>
          <w:color w:val="000000"/>
        </w:rPr>
        <w:t>.</w:t>
      </w:r>
    </w:p>
    <w:p w14:paraId="520E9E09" w14:textId="77777777" w:rsidR="007511AC" w:rsidRPr="00425A23" w:rsidRDefault="007511AC" w:rsidP="00B44317">
      <w:pPr>
        <w:tabs>
          <w:tab w:val="left" w:pos="4667"/>
        </w:tabs>
        <w:spacing w:after="0" w:line="360" w:lineRule="auto"/>
        <w:ind w:left="567" w:right="567"/>
        <w:rPr>
          <w:iCs/>
          <w:color w:val="000000"/>
        </w:rPr>
      </w:pPr>
      <w:r w:rsidRPr="00425A23">
        <w:rPr>
          <w:iCs/>
          <w:color w:val="000000"/>
        </w:rPr>
        <w:t>3. E</w:t>
      </w:r>
      <w:r w:rsidR="00C9456F" w:rsidRPr="00425A23">
        <w:rPr>
          <w:iCs/>
          <w:color w:val="000000"/>
        </w:rPr>
        <w:t>l número de personal de cada órgano desconcentrado por cada tipo de plaza</w:t>
      </w:r>
    </w:p>
    <w:p w14:paraId="3160B529" w14:textId="77A028FC" w:rsidR="007511AC" w:rsidRPr="00425A23" w:rsidRDefault="007511AC" w:rsidP="00B44317">
      <w:pPr>
        <w:tabs>
          <w:tab w:val="left" w:pos="4667"/>
        </w:tabs>
        <w:spacing w:after="0" w:line="360" w:lineRule="auto"/>
        <w:ind w:left="567" w:right="567"/>
        <w:rPr>
          <w:iCs/>
          <w:color w:val="000000"/>
        </w:rPr>
      </w:pPr>
      <w:r w:rsidRPr="00425A23">
        <w:rPr>
          <w:iCs/>
          <w:color w:val="000000"/>
        </w:rPr>
        <w:t>4. L</w:t>
      </w:r>
      <w:r w:rsidR="00C9456F" w:rsidRPr="00425A23">
        <w:rPr>
          <w:iCs/>
          <w:color w:val="000000"/>
        </w:rPr>
        <w:t xml:space="preserve">os municipios que integran cada distrito </w:t>
      </w:r>
      <w:r w:rsidRPr="00425A23">
        <w:rPr>
          <w:iCs/>
          <w:color w:val="000000"/>
        </w:rPr>
        <w:t>judicial</w:t>
      </w:r>
    </w:p>
    <w:p w14:paraId="7D8CF204" w14:textId="24B02F7C" w:rsidR="00C9456F" w:rsidRPr="00425A23" w:rsidRDefault="007511AC" w:rsidP="00B44317">
      <w:pPr>
        <w:tabs>
          <w:tab w:val="left" w:pos="4667"/>
        </w:tabs>
        <w:spacing w:after="0" w:line="360" w:lineRule="auto"/>
        <w:ind w:left="567" w:right="567"/>
        <w:rPr>
          <w:iCs/>
        </w:rPr>
      </w:pPr>
      <w:r w:rsidRPr="00425A23">
        <w:rPr>
          <w:iCs/>
          <w:color w:val="000000"/>
        </w:rPr>
        <w:t xml:space="preserve">5. </w:t>
      </w:r>
      <w:r w:rsidR="007B6FE1" w:rsidRPr="00425A23">
        <w:rPr>
          <w:iCs/>
          <w:color w:val="000000"/>
        </w:rPr>
        <w:t>Los</w:t>
      </w:r>
      <w:r w:rsidR="00C9456F" w:rsidRPr="00425A23">
        <w:rPr>
          <w:iCs/>
          <w:color w:val="000000"/>
        </w:rPr>
        <w:t xml:space="preserve"> sueldos que serán pagados atendiendo la máxima legal de que "a trabajo igual, salario igual"</w:t>
      </w:r>
    </w:p>
    <w:p w14:paraId="2597EAC4" w14:textId="43F9DABB" w:rsidR="007B6FE1" w:rsidRPr="00425A23" w:rsidRDefault="007B6FE1" w:rsidP="00B44317">
      <w:pPr>
        <w:spacing w:after="0" w:line="360" w:lineRule="auto"/>
        <w:rPr>
          <w:rFonts w:eastAsia="Times New Roman" w:cs="Times New Roman"/>
          <w:bCs/>
          <w:color w:val="auto"/>
        </w:rPr>
      </w:pPr>
    </w:p>
    <w:p w14:paraId="796958A7" w14:textId="059E1178" w:rsidR="007071CA" w:rsidRPr="00425A23" w:rsidRDefault="007071CA" w:rsidP="00B44317">
      <w:pPr>
        <w:spacing w:after="0" w:line="360" w:lineRule="auto"/>
        <w:rPr>
          <w:rFonts w:eastAsia="Times New Roman" w:cs="Times New Roman"/>
          <w:b/>
          <w:color w:val="auto"/>
        </w:rPr>
      </w:pPr>
      <w:r w:rsidRPr="00425A23">
        <w:rPr>
          <w:rFonts w:eastAsia="Times New Roman" w:cs="Times New Roman"/>
          <w:bCs/>
          <w:color w:val="auto"/>
        </w:rPr>
        <w:t>En respuesta el Sujeto Obligado, remitió información</w:t>
      </w:r>
      <w:r w:rsidR="00AF18C3" w:rsidRPr="00425A23">
        <w:rPr>
          <w:rFonts w:eastAsia="Times New Roman" w:cs="Times New Roman"/>
          <w:bCs/>
          <w:color w:val="auto"/>
        </w:rPr>
        <w:t xml:space="preserve"> la cual, el Particular señaló que se entregó incompleta, por lo cual se actualiza</w:t>
      </w:r>
      <w:r w:rsidRPr="00425A23">
        <w:rPr>
          <w:rFonts w:eastAsia="Times New Roman" w:cs="Times New Roman"/>
          <w:bCs/>
          <w:color w:val="auto"/>
        </w:rPr>
        <w:t xml:space="preserve"> la causal de procedencia contemplada en el artículo 179, </w:t>
      </w:r>
      <w:r w:rsidR="00AF18C3" w:rsidRPr="00425A23">
        <w:rPr>
          <w:rFonts w:eastAsia="Times New Roman" w:cs="Times New Roman"/>
          <w:bCs/>
          <w:color w:val="auto"/>
        </w:rPr>
        <w:t>fracción</w:t>
      </w:r>
      <w:r w:rsidRPr="00425A23">
        <w:rPr>
          <w:rFonts w:eastAsia="Times New Roman" w:cs="Times New Roman"/>
          <w:bCs/>
          <w:color w:val="auto"/>
        </w:rPr>
        <w:t xml:space="preserve"> V de la Ley de Transparencia y Acceso a la Información Pública del Estado de México y Municipios, que contempla que el recurso de revisión es un medio de protección que la Ley otorga a los particulares, para hacer valer su derecho de acceso a la información pública, y procederá en contra de </w:t>
      </w:r>
      <w:r w:rsidRPr="00425A23">
        <w:rPr>
          <w:rFonts w:eastAsia="Times New Roman" w:cs="Times New Roman"/>
          <w:b/>
          <w:color w:val="auto"/>
        </w:rPr>
        <w:t>-</w:t>
      </w:r>
      <w:r w:rsidRPr="00425A23">
        <w:rPr>
          <w:b/>
        </w:rPr>
        <w:t>la entrega de información incompleta</w:t>
      </w:r>
      <w:r w:rsidRPr="00425A23">
        <w:rPr>
          <w:rFonts w:eastAsia="Times New Roman" w:cs="Times New Roman"/>
          <w:b/>
          <w:color w:val="auto"/>
        </w:rPr>
        <w:t>-</w:t>
      </w:r>
      <w:r w:rsidR="00AF18C3" w:rsidRPr="00425A23">
        <w:rPr>
          <w:rFonts w:eastAsia="Times New Roman" w:cs="Times New Roman"/>
          <w:b/>
          <w:color w:val="auto"/>
        </w:rPr>
        <w:t>.</w:t>
      </w:r>
    </w:p>
    <w:p w14:paraId="597B00F8" w14:textId="77777777" w:rsidR="007071CA" w:rsidRPr="00425A23" w:rsidRDefault="007071CA" w:rsidP="00B44317">
      <w:pPr>
        <w:spacing w:after="0" w:line="360" w:lineRule="auto"/>
        <w:rPr>
          <w:rFonts w:eastAsia="Times New Roman" w:cs="Times New Roman"/>
          <w:bCs/>
          <w:color w:val="auto"/>
        </w:rPr>
      </w:pPr>
    </w:p>
    <w:p w14:paraId="5EE0FF23" w14:textId="77777777" w:rsidR="007071CA" w:rsidRPr="00425A23" w:rsidRDefault="007071CA" w:rsidP="00B44317">
      <w:pPr>
        <w:pStyle w:val="Ttulo2"/>
        <w:spacing w:before="0" w:line="360" w:lineRule="auto"/>
        <w:rPr>
          <w:rFonts w:eastAsia="Calibri"/>
          <w:lang w:val="es-ES"/>
        </w:rPr>
      </w:pPr>
      <w:bookmarkStart w:id="17" w:name="_Toc210917104"/>
      <w:r w:rsidRPr="00425A23">
        <w:rPr>
          <w:rFonts w:eastAsia="Calibri"/>
          <w:lang w:val="es-ES"/>
        </w:rPr>
        <w:lastRenderedPageBreak/>
        <w:t>CUARTO. Marco normativo aplicable en materia de transparencia y acceso a la información pública</w:t>
      </w:r>
      <w:bookmarkEnd w:id="17"/>
    </w:p>
    <w:p w14:paraId="78A8C1C5" w14:textId="77777777" w:rsidR="007071CA" w:rsidRPr="00425A23" w:rsidRDefault="007071CA" w:rsidP="00B44317">
      <w:pPr>
        <w:spacing w:after="0" w:line="360" w:lineRule="auto"/>
        <w:rPr>
          <w:rFonts w:eastAsia="Times New Roman" w:cs="Times New Roman"/>
          <w:b/>
          <w:color w:val="auto"/>
          <w:szCs w:val="20"/>
          <w:lang w:eastAsia="es-ES"/>
        </w:rPr>
      </w:pPr>
    </w:p>
    <w:p w14:paraId="7D1E9D85"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71E2D82" w14:textId="77777777" w:rsidR="007071CA" w:rsidRPr="00425A23" w:rsidRDefault="007071CA" w:rsidP="00B44317">
      <w:pPr>
        <w:spacing w:after="0" w:line="360" w:lineRule="auto"/>
        <w:rPr>
          <w:rFonts w:eastAsia="Times New Roman" w:cs="Times New Roman"/>
          <w:color w:val="auto"/>
          <w:szCs w:val="20"/>
          <w:lang w:eastAsia="es-ES"/>
        </w:rPr>
      </w:pPr>
    </w:p>
    <w:p w14:paraId="7BC48D18"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65CCC0" w14:textId="77777777" w:rsidR="007071CA" w:rsidRPr="00425A23" w:rsidRDefault="007071CA" w:rsidP="00B44317">
      <w:pPr>
        <w:spacing w:after="0" w:line="360" w:lineRule="auto"/>
        <w:rPr>
          <w:rFonts w:eastAsia="Times New Roman" w:cs="Times New Roman"/>
          <w:color w:val="auto"/>
          <w:szCs w:val="20"/>
          <w:lang w:eastAsia="es-ES"/>
        </w:rPr>
      </w:pPr>
    </w:p>
    <w:p w14:paraId="626CC57A"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Por su parte, la Ley de Transparencia y Acceso a la Información Pública del Estado de México y Municipios (Reglamentaria del artículo 5° de la Constitución Local), establece lo siguiente:</w:t>
      </w:r>
    </w:p>
    <w:p w14:paraId="01E0D076"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El artículo 12, que, quienes generen, recopilen, administren, manejen, procesen, archiven o conserven información pública serán responsables de la misma.</w:t>
      </w:r>
    </w:p>
    <w:p w14:paraId="28A9EB00" w14:textId="77777777" w:rsidR="007071CA" w:rsidRPr="00425A23" w:rsidRDefault="007071CA" w:rsidP="00B44317">
      <w:pPr>
        <w:spacing w:after="0" w:line="360" w:lineRule="auto"/>
        <w:rPr>
          <w:rFonts w:eastAsia="Times New Roman" w:cs="Times New Roman"/>
          <w:color w:val="auto"/>
          <w:szCs w:val="20"/>
          <w:lang w:eastAsia="es-ES"/>
        </w:rPr>
      </w:pPr>
    </w:p>
    <w:p w14:paraId="19A93852"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BE259B0" w14:textId="77777777" w:rsidR="007071CA" w:rsidRPr="00425A23" w:rsidRDefault="007071CA" w:rsidP="00B44317">
      <w:pPr>
        <w:spacing w:after="0" w:line="360" w:lineRule="auto"/>
        <w:rPr>
          <w:rFonts w:eastAsia="Times New Roman" w:cs="Times New Roman"/>
          <w:color w:val="auto"/>
          <w:szCs w:val="20"/>
          <w:lang w:eastAsia="es-ES"/>
        </w:rPr>
      </w:pPr>
    </w:p>
    <w:p w14:paraId="05977BC0" w14:textId="77777777" w:rsidR="007071CA" w:rsidRPr="00425A23" w:rsidRDefault="007071CA" w:rsidP="00B44317">
      <w:pPr>
        <w:spacing w:after="0" w:line="360" w:lineRule="auto"/>
        <w:rPr>
          <w:rFonts w:eastAsia="Times New Roman" w:cs="Times New Roman"/>
          <w:color w:val="auto"/>
          <w:szCs w:val="20"/>
          <w:lang w:eastAsia="es-ES"/>
        </w:rPr>
      </w:pPr>
      <w:r w:rsidRPr="00425A23">
        <w:rPr>
          <w:rFonts w:eastAsia="Times New Roman" w:cs="Times New Roman"/>
          <w:color w:val="auto"/>
          <w:szCs w:val="20"/>
          <w:lang w:eastAsia="es-ES"/>
        </w:rPr>
        <w:t xml:space="preserve">El artículo 19, que, se presume que la información debe existir si se refiere a las facultades, competencias y funciones que los ordenamientos jurídicos aplicables otorgan a los sujetos </w:t>
      </w:r>
      <w:r w:rsidRPr="00425A23">
        <w:rPr>
          <w:rFonts w:eastAsia="Times New Roman" w:cs="Times New Roman"/>
          <w:color w:val="auto"/>
          <w:szCs w:val="20"/>
          <w:lang w:eastAsia="es-ES"/>
        </w:rPr>
        <w:lastRenderedPageBreak/>
        <w:t>obligados y en caso de que dichas facultades no se hayan ejercido, se deberá motivar la respuesta en función de las causas que motivaron tal circunstancia.</w:t>
      </w:r>
    </w:p>
    <w:p w14:paraId="1F731AD1" w14:textId="77777777" w:rsidR="007071CA" w:rsidRPr="00425A23" w:rsidRDefault="007071CA" w:rsidP="00B44317">
      <w:pPr>
        <w:spacing w:after="0" w:line="360" w:lineRule="auto"/>
        <w:rPr>
          <w:rFonts w:eastAsia="Times New Roman" w:cs="Times New Roman"/>
          <w:color w:val="auto"/>
          <w:szCs w:val="20"/>
          <w:lang w:eastAsia="es-ES"/>
        </w:rPr>
      </w:pPr>
    </w:p>
    <w:p w14:paraId="1DD881E5" w14:textId="77777777" w:rsidR="007071CA" w:rsidRPr="00425A23" w:rsidRDefault="007071CA" w:rsidP="00B44317">
      <w:pPr>
        <w:pStyle w:val="Ttulo2"/>
        <w:spacing w:before="0" w:line="360" w:lineRule="auto"/>
        <w:rPr>
          <w:rFonts w:eastAsia="Calibri"/>
          <w:lang w:val="es-ES"/>
        </w:rPr>
      </w:pPr>
      <w:bookmarkStart w:id="18" w:name="_Toc210917105"/>
      <w:r w:rsidRPr="00425A23">
        <w:rPr>
          <w:rFonts w:eastAsia="Calibri"/>
          <w:lang w:val="es-ES"/>
        </w:rPr>
        <w:t>QUINTO. Estudio de Fondo</w:t>
      </w:r>
      <w:bookmarkEnd w:id="18"/>
    </w:p>
    <w:p w14:paraId="15FBE9FD" w14:textId="77777777" w:rsidR="007071CA" w:rsidRPr="00425A23" w:rsidRDefault="007071CA" w:rsidP="00B44317">
      <w:pPr>
        <w:spacing w:after="0" w:line="360" w:lineRule="auto"/>
        <w:rPr>
          <w:rFonts w:eastAsia="Times New Roman" w:cs="Times New Roman"/>
          <w:b/>
          <w:bCs/>
          <w:color w:val="auto"/>
          <w:lang w:eastAsia="es-ES"/>
        </w:rPr>
      </w:pPr>
    </w:p>
    <w:p w14:paraId="7E6E0272" w14:textId="6A0BD702" w:rsidR="007071CA" w:rsidRPr="00425A23" w:rsidRDefault="007071CA" w:rsidP="00B44317">
      <w:pPr>
        <w:spacing w:after="0" w:line="360" w:lineRule="auto"/>
        <w:rPr>
          <w:rFonts w:eastAsia="Times New Roman" w:cs="Times New Roman"/>
          <w:bCs/>
          <w:color w:val="auto"/>
          <w:lang w:eastAsia="es-ES"/>
        </w:rPr>
      </w:pPr>
      <w:r w:rsidRPr="00425A23">
        <w:rPr>
          <w:rFonts w:eastAsia="Times New Roman" w:cs="Times New Roman"/>
          <w:bCs/>
          <w:color w:val="auto"/>
          <w:lang w:eastAsia="es-ES"/>
        </w:rPr>
        <w:t xml:space="preserve">Una vez planteadas las actuaciones realizadas por las Partes, se debe precisar que la información solicitada por el </w:t>
      </w:r>
      <w:r w:rsidR="00AF18C3" w:rsidRPr="00425A23">
        <w:rPr>
          <w:rFonts w:eastAsia="Times New Roman" w:cs="Times New Roman"/>
          <w:bCs/>
          <w:color w:val="auto"/>
          <w:lang w:eastAsia="es-ES"/>
        </w:rPr>
        <w:t>Particular</w:t>
      </w:r>
      <w:r w:rsidRPr="00425A23">
        <w:rPr>
          <w:rFonts w:eastAsia="Times New Roman" w:cs="Times New Roman"/>
          <w:bCs/>
          <w:color w:val="auto"/>
          <w:lang w:eastAsia="es-ES"/>
        </w:rPr>
        <w:t xml:space="preserve"> </w:t>
      </w:r>
      <w:r w:rsidR="00AF18C3" w:rsidRPr="00425A23">
        <w:rPr>
          <w:rFonts w:eastAsia="Times New Roman" w:cs="Times New Roman"/>
          <w:bCs/>
          <w:color w:val="auto"/>
          <w:lang w:eastAsia="es-ES"/>
        </w:rPr>
        <w:t xml:space="preserve">se puede </w:t>
      </w:r>
      <w:r w:rsidR="005D6C11" w:rsidRPr="00425A23">
        <w:rPr>
          <w:rFonts w:eastAsia="Times New Roman" w:cs="Times New Roman"/>
          <w:bCs/>
          <w:color w:val="auto"/>
          <w:lang w:eastAsia="es-ES"/>
        </w:rPr>
        <w:t xml:space="preserve">relacionar a cinco puntos de información, sin embargo, la inconformidad, versó exclusivamente respecto a </w:t>
      </w:r>
      <w:r w:rsidR="00B213FA" w:rsidRPr="00425A23">
        <w:rPr>
          <w:rFonts w:eastAsia="Times New Roman" w:cs="Times New Roman"/>
          <w:bCs/>
          <w:color w:val="auto"/>
          <w:lang w:eastAsia="es-ES"/>
        </w:rPr>
        <w:t>dos puntos:</w:t>
      </w:r>
    </w:p>
    <w:p w14:paraId="4EC1D042" w14:textId="77777777" w:rsidR="00B213FA" w:rsidRPr="00425A23" w:rsidRDefault="00B213FA" w:rsidP="00B44317">
      <w:pPr>
        <w:spacing w:after="0" w:line="360" w:lineRule="auto"/>
        <w:rPr>
          <w:rFonts w:eastAsia="Times New Roman" w:cs="Times New Roman"/>
          <w:bCs/>
          <w:color w:val="auto"/>
          <w:lang w:eastAsia="es-ES"/>
        </w:rPr>
      </w:pPr>
    </w:p>
    <w:p w14:paraId="0E69D507" w14:textId="77777777" w:rsidR="00B44317" w:rsidRPr="00425A23" w:rsidRDefault="00B44317" w:rsidP="00B44317">
      <w:pPr>
        <w:pStyle w:val="Prrafodelista"/>
        <w:numPr>
          <w:ilvl w:val="0"/>
          <w:numId w:val="24"/>
        </w:numPr>
        <w:tabs>
          <w:tab w:val="left" w:pos="4667"/>
        </w:tabs>
        <w:spacing w:after="0" w:line="360" w:lineRule="auto"/>
        <w:ind w:left="360"/>
        <w:rPr>
          <w:iCs/>
          <w:color w:val="000000"/>
        </w:rPr>
      </w:pPr>
      <w:r w:rsidRPr="00425A23">
        <w:rPr>
          <w:iCs/>
          <w:color w:val="000000"/>
        </w:rPr>
        <w:t>E</w:t>
      </w:r>
      <w:r w:rsidR="00B213FA" w:rsidRPr="00425A23">
        <w:rPr>
          <w:iCs/>
          <w:color w:val="000000"/>
        </w:rPr>
        <w:t>l número de personal de cada órgano desconcentrado por cada tipo de plaza</w:t>
      </w:r>
      <w:r w:rsidRPr="00425A23">
        <w:rPr>
          <w:iCs/>
          <w:color w:val="000000"/>
        </w:rPr>
        <w:t>;</w:t>
      </w:r>
    </w:p>
    <w:p w14:paraId="4EDEEF22" w14:textId="71A97E94" w:rsidR="00F94DE0" w:rsidRPr="00425A23" w:rsidRDefault="00B213FA" w:rsidP="00B44317">
      <w:pPr>
        <w:pStyle w:val="Prrafodelista"/>
        <w:tabs>
          <w:tab w:val="left" w:pos="4667"/>
        </w:tabs>
        <w:spacing w:after="0" w:line="360" w:lineRule="auto"/>
        <w:ind w:left="360"/>
        <w:rPr>
          <w:iCs/>
          <w:color w:val="000000"/>
        </w:rPr>
      </w:pPr>
      <w:r w:rsidRPr="00425A23">
        <w:rPr>
          <w:iCs/>
          <w:color w:val="000000"/>
        </w:rPr>
        <w:t xml:space="preserve"> </w:t>
      </w:r>
    </w:p>
    <w:p w14:paraId="39F262D0" w14:textId="7F4EF621" w:rsidR="00B213FA" w:rsidRPr="00425A23" w:rsidRDefault="00B213FA" w:rsidP="00B44317">
      <w:pPr>
        <w:pStyle w:val="Prrafodelista"/>
        <w:numPr>
          <w:ilvl w:val="0"/>
          <w:numId w:val="24"/>
        </w:numPr>
        <w:tabs>
          <w:tab w:val="left" w:pos="4667"/>
        </w:tabs>
        <w:spacing w:after="0" w:line="360" w:lineRule="auto"/>
        <w:ind w:left="360"/>
        <w:rPr>
          <w:iCs/>
          <w:color w:val="000000"/>
        </w:rPr>
      </w:pPr>
      <w:r w:rsidRPr="00425A23">
        <w:rPr>
          <w:iCs/>
          <w:color w:val="000000"/>
        </w:rPr>
        <w:t>los sueldos que serán pagados atendiendo la máxima legal de que "a trabajo igual, salario igual", debido a que se detectan distritos en los que humanamente será imposible cumplir con las exigencias de esta elección...</w:t>
      </w:r>
    </w:p>
    <w:p w14:paraId="701392C4" w14:textId="77777777" w:rsidR="00B213FA" w:rsidRPr="00425A23" w:rsidRDefault="00B213FA" w:rsidP="00B44317">
      <w:pPr>
        <w:spacing w:after="0" w:line="360" w:lineRule="auto"/>
        <w:rPr>
          <w:rFonts w:eastAsia="Times New Roman" w:cs="Tahoma"/>
          <w:i/>
          <w:iCs/>
          <w:color w:val="auto"/>
          <w:lang w:eastAsia="es-ES"/>
        </w:rPr>
      </w:pPr>
    </w:p>
    <w:p w14:paraId="0A04CF28" w14:textId="4472C761" w:rsidR="00DE1620" w:rsidRPr="00425A23" w:rsidRDefault="00580476" w:rsidP="00B44317">
      <w:pPr>
        <w:spacing w:after="0" w:line="360" w:lineRule="auto"/>
        <w:contextualSpacing/>
        <w:rPr>
          <w:rFonts w:eastAsia="Calibri" w:cs="Tahoma"/>
          <w:iCs/>
          <w:lang w:val="es-ES" w:eastAsia="es-ES_tradnl"/>
        </w:rPr>
      </w:pPr>
      <w:r w:rsidRPr="00425A23">
        <w:t>Previo al estudio de estos puntos, debemos señalar que</w:t>
      </w:r>
      <w:r w:rsidR="00DE1620" w:rsidRPr="00425A23">
        <w:t xml:space="preserve"> no es dable, entrar al estudio de aquellos puntos que no fueron objeto de inconformidad</w:t>
      </w:r>
      <w:r w:rsidR="00B44317" w:rsidRPr="00425A23">
        <w:t>, en específico del 1, 2 y 4</w:t>
      </w:r>
      <w:r w:rsidR="00DE1620" w:rsidRPr="00425A23">
        <w:t>, esto,</w:t>
      </w:r>
      <w:r w:rsidRPr="00425A23">
        <w:t xml:space="preserve"> </w:t>
      </w:r>
      <w:r w:rsidR="00DE1620" w:rsidRPr="00425A23">
        <w:t>conforme al</w:t>
      </w:r>
      <w:r w:rsidR="00DE1620" w:rsidRPr="00425A23">
        <w:rPr>
          <w:rFonts w:eastAsia="Calibri" w:cs="Tahoma"/>
          <w:iCs/>
          <w:lang w:val="es-ES" w:eastAsia="es-ES_tradnl"/>
        </w:rPr>
        <w:t xml:space="preserve"> criterio de interpretación con clave de control SO/001/2020, emitido por el otrora Instituto Nacional de Transparencia, Acceso a la Información Pública y Protección de Datos Personales (INAI), aplicable al presente asunto, que contempla:</w:t>
      </w:r>
    </w:p>
    <w:p w14:paraId="758BF171" w14:textId="77777777" w:rsidR="00DE1620" w:rsidRPr="00425A23" w:rsidRDefault="00DE1620" w:rsidP="00B44317">
      <w:pPr>
        <w:spacing w:after="0" w:line="360" w:lineRule="auto"/>
        <w:contextualSpacing/>
        <w:rPr>
          <w:rFonts w:eastAsia="Calibri" w:cs="Tahoma"/>
          <w:iCs/>
          <w:lang w:val="es-ES" w:eastAsia="es-ES_tradnl"/>
        </w:rPr>
      </w:pPr>
    </w:p>
    <w:p w14:paraId="14BA79EF" w14:textId="77777777" w:rsidR="00DE1620" w:rsidRPr="00425A23" w:rsidRDefault="00DE1620" w:rsidP="00B44317">
      <w:pPr>
        <w:spacing w:after="0" w:line="360" w:lineRule="auto"/>
        <w:ind w:left="567" w:right="567"/>
        <w:contextualSpacing/>
        <w:rPr>
          <w:rFonts w:eastAsia="Calibri" w:cs="Tahoma"/>
          <w:i/>
          <w:iCs/>
          <w:sz w:val="20"/>
          <w:szCs w:val="20"/>
          <w:lang w:val="es-ES" w:eastAsia="es-ES_tradnl"/>
        </w:rPr>
      </w:pPr>
      <w:r w:rsidRPr="00425A23">
        <w:rPr>
          <w:b/>
          <w:i/>
          <w:sz w:val="20"/>
          <w:szCs w:val="20"/>
        </w:rPr>
        <w:t>Actos consentidos tácitamente. Improcedencia de su análisis</w:t>
      </w:r>
      <w:r w:rsidRPr="00425A23">
        <w:rPr>
          <w:i/>
          <w:sz w:val="20"/>
          <w:szCs w:val="20"/>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E47F4B" w14:textId="77777777" w:rsidR="00DE1620" w:rsidRPr="00425A23" w:rsidRDefault="00DE1620" w:rsidP="00B44317">
      <w:pPr>
        <w:spacing w:after="0" w:line="360" w:lineRule="auto"/>
        <w:contextualSpacing/>
        <w:rPr>
          <w:rFonts w:eastAsia="Calibri" w:cs="Tahoma"/>
          <w:iCs/>
          <w:lang w:val="es-ES" w:eastAsia="es-ES_tradnl"/>
        </w:rPr>
      </w:pPr>
    </w:p>
    <w:p w14:paraId="68F4464C" w14:textId="77777777" w:rsidR="00DE1620" w:rsidRPr="00425A23" w:rsidRDefault="00DE1620" w:rsidP="00B44317">
      <w:pPr>
        <w:spacing w:after="0" w:line="360" w:lineRule="auto"/>
        <w:contextualSpacing/>
        <w:rPr>
          <w:rFonts w:eastAsia="Calibri" w:cs="Tahoma"/>
          <w:iCs/>
          <w:lang w:val="es-ES" w:eastAsia="es-ES_tradnl"/>
        </w:rPr>
      </w:pPr>
      <w:r w:rsidRPr="00425A23">
        <w:rPr>
          <w:rFonts w:eastAsia="Calibri" w:cs="Tahoma"/>
          <w:iCs/>
          <w:lang w:val="es-ES" w:eastAsia="es-ES_tradnl"/>
        </w:rPr>
        <w:lastRenderedPageBreak/>
        <w:t>Esto implica que toda vez que el Particular, no se inconformó del total de la información, únicamente es procedente entrar al estudio de los puntos controvertidos.</w:t>
      </w:r>
    </w:p>
    <w:p w14:paraId="5D60BA43" w14:textId="7E39BA95" w:rsidR="007071CA" w:rsidRPr="00425A23" w:rsidRDefault="007071CA" w:rsidP="00B44317">
      <w:pPr>
        <w:spacing w:after="0" w:line="360" w:lineRule="auto"/>
        <w:ind w:right="-93"/>
      </w:pPr>
    </w:p>
    <w:p w14:paraId="5B68B67D" w14:textId="437A6201" w:rsidR="009348AA" w:rsidRPr="00425A23" w:rsidRDefault="009348AA" w:rsidP="00B44317">
      <w:pPr>
        <w:spacing w:after="0" w:line="360" w:lineRule="auto"/>
        <w:ind w:right="-93"/>
      </w:pPr>
      <w:r w:rsidRPr="00425A23">
        <w:t>Entonces</w:t>
      </w:r>
      <w:r w:rsidR="000741C0" w:rsidRPr="00425A23">
        <w:t>, previo al estudio de las constancias digitales, resulta necesario entrar al estudio competencial y a la naturaleza jurídica de los puntos de la solicitud que fueron controvertidos.</w:t>
      </w:r>
    </w:p>
    <w:p w14:paraId="4FF6B1CC" w14:textId="77777777" w:rsidR="000741C0" w:rsidRPr="00425A23" w:rsidRDefault="000741C0" w:rsidP="00B44317">
      <w:pPr>
        <w:spacing w:after="0" w:line="360" w:lineRule="auto"/>
        <w:ind w:right="-93"/>
      </w:pPr>
    </w:p>
    <w:p w14:paraId="3A18C903" w14:textId="454F1DD0" w:rsidR="00F30582" w:rsidRPr="00425A23" w:rsidRDefault="00F30582" w:rsidP="00B44317">
      <w:pPr>
        <w:tabs>
          <w:tab w:val="left" w:pos="4667"/>
        </w:tabs>
        <w:spacing w:after="0" w:line="360" w:lineRule="auto"/>
        <w:ind w:left="567" w:right="567"/>
        <w:rPr>
          <w:b/>
          <w:bCs/>
          <w:iCs/>
          <w:color w:val="000000"/>
        </w:rPr>
      </w:pPr>
      <w:r w:rsidRPr="00425A23">
        <w:rPr>
          <w:b/>
          <w:bCs/>
          <w:iCs/>
          <w:color w:val="000000"/>
        </w:rPr>
        <w:t>- El número de personal de cada órgano desconcentrado por cada tipo de plaza.</w:t>
      </w:r>
    </w:p>
    <w:p w14:paraId="5942C3BF" w14:textId="77777777" w:rsidR="00F30582" w:rsidRPr="00425A23" w:rsidRDefault="00F30582" w:rsidP="00B44317">
      <w:pPr>
        <w:tabs>
          <w:tab w:val="left" w:pos="4667"/>
        </w:tabs>
        <w:spacing w:after="0" w:line="360" w:lineRule="auto"/>
        <w:ind w:right="567"/>
        <w:rPr>
          <w:b/>
          <w:bCs/>
          <w:iCs/>
          <w:color w:val="000000"/>
        </w:rPr>
      </w:pPr>
    </w:p>
    <w:p w14:paraId="0A8D7F87" w14:textId="590D70ED" w:rsidR="00F30582" w:rsidRPr="00425A23" w:rsidRDefault="000D20DF" w:rsidP="00B44317">
      <w:pPr>
        <w:spacing w:after="0" w:line="360" w:lineRule="auto"/>
        <w:ind w:right="-93"/>
      </w:pPr>
      <w:r w:rsidRPr="00425A23">
        <w:t>El Instituto Electoral del Estado de México</w:t>
      </w:r>
      <w:r w:rsidR="00346C42" w:rsidRPr="00425A23">
        <w:t xml:space="preserve">, es </w:t>
      </w:r>
      <w:r w:rsidR="00EF141D" w:rsidRPr="00425A23">
        <w:t>un ente autónomo</w:t>
      </w:r>
      <w:r w:rsidR="00346C42" w:rsidRPr="00425A23">
        <w:t xml:space="preserve">, lo que implica, que cuenta con capacidad jurídica y presupuestal propia, </w:t>
      </w:r>
      <w:r w:rsidR="00904DBC" w:rsidRPr="00425A23">
        <w:t>que cuenta con funciones concretas dentro de las cuales, está la organización de los procesos electorales, conforme a la Legislación Electoral</w:t>
      </w:r>
      <w:r w:rsidR="008A7486" w:rsidRPr="00425A23">
        <w:t>, esto en adecuación o coaptación a las atribuciones y facultades del Instituto Nacional Electoral.</w:t>
      </w:r>
    </w:p>
    <w:p w14:paraId="1442DA08" w14:textId="77777777" w:rsidR="008A7486" w:rsidRPr="00425A23" w:rsidRDefault="008A7486" w:rsidP="00B44317">
      <w:pPr>
        <w:spacing w:after="0" w:line="360" w:lineRule="auto"/>
        <w:ind w:right="-93"/>
      </w:pPr>
    </w:p>
    <w:p w14:paraId="1646C35E" w14:textId="6285C0A3" w:rsidR="00737CA1" w:rsidRPr="00425A23" w:rsidRDefault="000A04AD" w:rsidP="00B44317">
      <w:pPr>
        <w:spacing w:after="0" w:line="360" w:lineRule="auto"/>
        <w:ind w:right="-93"/>
      </w:pPr>
      <w:r w:rsidRPr="00425A23">
        <w:t>Durante</w:t>
      </w:r>
      <w:r w:rsidR="00737CA1" w:rsidRPr="00425A23">
        <w:t xml:space="preserve"> el desarrollo de la preparación de los procesos electorales, el IEEM, </w:t>
      </w:r>
      <w:r w:rsidR="006B2348" w:rsidRPr="00425A23">
        <w:t xml:space="preserve">realiza contratación de personal eventual, para poder cumplir con sus fines y crea los </w:t>
      </w:r>
      <w:r w:rsidR="00821E73" w:rsidRPr="00425A23">
        <w:t>órganos desconcentrados, dependiendo de la elección, serán juntas municipales o distritales</w:t>
      </w:r>
      <w:r w:rsidR="002971D8" w:rsidRPr="00425A23">
        <w:t>, que, en el momento de la jornada electoral, se convierten en consejos.</w:t>
      </w:r>
    </w:p>
    <w:p w14:paraId="732283E9" w14:textId="77777777" w:rsidR="002971D8" w:rsidRPr="00425A23" w:rsidRDefault="002971D8" w:rsidP="00B44317">
      <w:pPr>
        <w:spacing w:after="0" w:line="360" w:lineRule="auto"/>
        <w:ind w:right="-93"/>
      </w:pPr>
    </w:p>
    <w:p w14:paraId="3344347C" w14:textId="4D3BC5C3" w:rsidR="002971D8" w:rsidRPr="00425A23" w:rsidRDefault="002971D8" w:rsidP="00B44317">
      <w:pPr>
        <w:spacing w:after="0" w:line="360" w:lineRule="auto"/>
        <w:ind w:right="-93"/>
      </w:pPr>
      <w:r w:rsidRPr="00425A23">
        <w:t>Entonces, el personal adscrito a estos</w:t>
      </w:r>
      <w:r w:rsidR="00144DE2" w:rsidRPr="00425A23">
        <w:t xml:space="preserve"> órganos </w:t>
      </w:r>
      <w:r w:rsidR="003A0845" w:rsidRPr="00425A23">
        <w:t>desconcentrados se contrata con el carácter de eventual, exclusivamente para la atención del proceso electoral, una vez terminado, las juntas y consejos se disuelven.</w:t>
      </w:r>
    </w:p>
    <w:p w14:paraId="22233C18" w14:textId="77777777" w:rsidR="001E3ACC" w:rsidRPr="00425A23" w:rsidRDefault="001E3ACC" w:rsidP="00B44317">
      <w:pPr>
        <w:spacing w:after="0" w:line="360" w:lineRule="auto"/>
        <w:ind w:right="-93"/>
      </w:pPr>
    </w:p>
    <w:p w14:paraId="405AD17A" w14:textId="64B5FA4D" w:rsidR="000A04AD" w:rsidRPr="00425A23" w:rsidRDefault="001E3ACC" w:rsidP="00B44317">
      <w:pPr>
        <w:spacing w:after="0" w:line="360" w:lineRule="auto"/>
        <w:ind w:right="-93"/>
      </w:pPr>
      <w:r w:rsidRPr="00425A23">
        <w:t xml:space="preserve">Como se identifica en el numeral 15 del Manual </w:t>
      </w:r>
      <w:r w:rsidR="00A237ED" w:rsidRPr="00425A23">
        <w:t xml:space="preserve">de Organización del Instituto Electoral del Estado de México, corresponde a la Dirección de Administración, </w:t>
      </w:r>
      <w:r w:rsidR="00492EA3" w:rsidRPr="00425A23">
        <w:t xml:space="preserve">la administración de los recursos humanos del IEEM, incluyendo salarios, </w:t>
      </w:r>
      <w:r w:rsidR="000A04AD" w:rsidRPr="00425A23">
        <w:t>plantilla</w:t>
      </w:r>
      <w:r w:rsidR="00492EA3" w:rsidRPr="00425A23">
        <w:t xml:space="preserve"> de </w:t>
      </w:r>
      <w:r w:rsidR="000A04AD" w:rsidRPr="00425A23">
        <w:t xml:space="preserve">personal, </w:t>
      </w:r>
      <w:r w:rsidR="00C71192" w:rsidRPr="00425A23">
        <w:t>catálogo</w:t>
      </w:r>
      <w:r w:rsidR="000A04AD" w:rsidRPr="00425A23">
        <w:t xml:space="preserve"> de cargos, </w:t>
      </w:r>
      <w:r w:rsidR="000A04AD" w:rsidRPr="00425A23">
        <w:lastRenderedPageBreak/>
        <w:t>atribuciones, que se relacionan con lo solicitado</w:t>
      </w:r>
      <w:r w:rsidR="00B44317" w:rsidRPr="00425A23">
        <w:t>; p</w:t>
      </w:r>
      <w:r w:rsidR="000A04AD" w:rsidRPr="00425A23">
        <w:t>or lo que el Sujeto Obligado, es competente para poseer la información.</w:t>
      </w:r>
    </w:p>
    <w:p w14:paraId="4CFE92AA" w14:textId="77777777" w:rsidR="003A0845" w:rsidRPr="00425A23" w:rsidRDefault="003A0845" w:rsidP="00B44317">
      <w:pPr>
        <w:spacing w:after="0" w:line="360" w:lineRule="auto"/>
        <w:ind w:right="-93"/>
      </w:pPr>
    </w:p>
    <w:p w14:paraId="63E45513" w14:textId="5D18486C" w:rsidR="00F30582" w:rsidRPr="00425A23" w:rsidRDefault="00F30582" w:rsidP="00B44317">
      <w:pPr>
        <w:tabs>
          <w:tab w:val="left" w:pos="4667"/>
        </w:tabs>
        <w:spacing w:after="0" w:line="360" w:lineRule="auto"/>
        <w:ind w:left="567" w:right="567"/>
        <w:rPr>
          <w:b/>
          <w:bCs/>
          <w:iCs/>
          <w:color w:val="000000"/>
        </w:rPr>
      </w:pPr>
      <w:r w:rsidRPr="00425A23">
        <w:rPr>
          <w:b/>
          <w:bCs/>
          <w:iCs/>
          <w:color w:val="000000"/>
        </w:rPr>
        <w:t xml:space="preserve">- los sueldos que serán pagados </w:t>
      </w:r>
    </w:p>
    <w:p w14:paraId="6257098B" w14:textId="77777777" w:rsidR="000741C0" w:rsidRPr="00425A23" w:rsidRDefault="000741C0" w:rsidP="00B44317">
      <w:pPr>
        <w:spacing w:after="0" w:line="360" w:lineRule="auto"/>
        <w:ind w:right="-93"/>
      </w:pPr>
    </w:p>
    <w:p w14:paraId="7D8FACDE" w14:textId="25C68C13" w:rsidR="000A04AD" w:rsidRPr="00425A23" w:rsidRDefault="000A04AD" w:rsidP="00B44317">
      <w:pPr>
        <w:spacing w:after="0" w:line="360" w:lineRule="auto"/>
        <w:ind w:right="-93"/>
      </w:pPr>
      <w:r w:rsidRPr="00425A23">
        <w:t xml:space="preserve">Este punto, como se </w:t>
      </w:r>
      <w:r w:rsidR="00C71192" w:rsidRPr="00425A23">
        <w:t xml:space="preserve">analiza, que consiste en una manifestación del Particular en donde requiere conocer, como se da atención a un principio legal, en consideración a los salarios pagados por el IEEM, </w:t>
      </w:r>
      <w:r w:rsidR="00C5070D" w:rsidRPr="00425A23">
        <w:t>en virtud de</w:t>
      </w:r>
      <w:r w:rsidR="00C71192" w:rsidRPr="00425A23">
        <w:t xml:space="preserve"> que considera que </w:t>
      </w:r>
      <w:r w:rsidR="00454656" w:rsidRPr="00425A23">
        <w:t>el solicitante, considera que los mismos cargos, dependiendo de cada distrito tienen una diferente carga laboral.</w:t>
      </w:r>
    </w:p>
    <w:p w14:paraId="2BC7751F" w14:textId="77777777" w:rsidR="00454656" w:rsidRPr="00425A23" w:rsidRDefault="00454656" w:rsidP="00B44317">
      <w:pPr>
        <w:spacing w:after="0" w:line="360" w:lineRule="auto"/>
        <w:ind w:right="-93"/>
      </w:pPr>
    </w:p>
    <w:p w14:paraId="75C8D109" w14:textId="0205C268" w:rsidR="00454656" w:rsidRPr="00425A23" w:rsidRDefault="00454656" w:rsidP="00B44317">
      <w:pPr>
        <w:spacing w:after="0" w:line="360" w:lineRule="auto"/>
        <w:ind w:right="-93"/>
      </w:pPr>
      <w:r w:rsidRPr="00425A23">
        <w:t xml:space="preserve">Al respecto, debemos señalar que, </w:t>
      </w:r>
      <w:r w:rsidR="00C5070D" w:rsidRPr="00425A23">
        <w:t xml:space="preserve">el Particular en este punto, requiere una justificación, de las medidas adoptadas por el IEEM, para dar atención a un principio legal, lo que excede al derecho de acceso a la información pública, la cual, se encamina a la entrega de documentos que obran en los archivos de los sujetos obligados y no así a que exista un cumplimiento </w:t>
      </w:r>
      <w:r w:rsidR="002D47E5" w:rsidRPr="00425A23">
        <w:t>a las leyes laborales.</w:t>
      </w:r>
    </w:p>
    <w:p w14:paraId="3D42DD85" w14:textId="77777777" w:rsidR="002D47E5" w:rsidRPr="00425A23" w:rsidRDefault="002D47E5" w:rsidP="00B44317">
      <w:pPr>
        <w:spacing w:after="0" w:line="360" w:lineRule="auto"/>
        <w:ind w:right="-93"/>
      </w:pPr>
    </w:p>
    <w:p w14:paraId="5B15EEEE" w14:textId="3B370E5F" w:rsidR="00221974" w:rsidRPr="00425A23" w:rsidRDefault="002D47E5" w:rsidP="00B44317">
      <w:pPr>
        <w:spacing w:after="0" w:line="360" w:lineRule="auto"/>
        <w:ind w:right="-93"/>
      </w:pPr>
      <w:r w:rsidRPr="00425A23">
        <w:t xml:space="preserve">Ahora bien, una vez que se analizaron las naturalezas jurídicas de ambos puntos, por cuanto refiere al </w:t>
      </w:r>
      <w:proofErr w:type="spellStart"/>
      <w:r w:rsidRPr="00425A23">
        <w:t>numero</w:t>
      </w:r>
      <w:proofErr w:type="spellEnd"/>
      <w:r w:rsidRPr="00425A23">
        <w:t xml:space="preserve"> de personal en cada órgano desconcentrado, al revisar la respuesta, </w:t>
      </w:r>
      <w:r w:rsidR="00A40203" w:rsidRPr="00425A23">
        <w:t xml:space="preserve">se </w:t>
      </w:r>
      <w:r w:rsidR="00221974" w:rsidRPr="00425A23">
        <w:t>advierte</w:t>
      </w:r>
      <w:r w:rsidR="00A40203" w:rsidRPr="00425A23">
        <w:t xml:space="preserve"> que los vocales ejecutivos, remitieron respuesta, en donde entregan </w:t>
      </w:r>
      <w:r w:rsidR="00221974" w:rsidRPr="00425A23">
        <w:t>la plantilla de personal eventual de Órganos Desconcentrados 2025, del cual se logra vislumbrar que cada uno tendrá un vocal ejecutivo, un vocal de organización electoral, un vocal de capacitación y un Coordinador del Secretariado</w:t>
      </w:r>
      <w:r w:rsidR="002773C7" w:rsidRPr="00425A23">
        <w:t>:</w:t>
      </w:r>
    </w:p>
    <w:p w14:paraId="1026DA77" w14:textId="77777777" w:rsidR="002773C7" w:rsidRPr="00425A23" w:rsidRDefault="002773C7" w:rsidP="00B44317">
      <w:pPr>
        <w:spacing w:after="0" w:line="360" w:lineRule="auto"/>
        <w:ind w:right="-93"/>
      </w:pPr>
    </w:p>
    <w:p w14:paraId="7F97F24B" w14:textId="09F932A5" w:rsidR="002773C7" w:rsidRPr="00425A23" w:rsidRDefault="002773C7" w:rsidP="002773C7">
      <w:pPr>
        <w:spacing w:after="0" w:line="360" w:lineRule="auto"/>
        <w:ind w:right="-93"/>
        <w:jc w:val="center"/>
      </w:pPr>
      <w:r w:rsidRPr="00425A23">
        <w:rPr>
          <w:noProof/>
        </w:rPr>
        <w:lastRenderedPageBreak/>
        <w:drawing>
          <wp:inline distT="0" distB="0" distL="0" distR="0" wp14:anchorId="381887D5" wp14:editId="201FD072">
            <wp:extent cx="5039428" cy="2676899"/>
            <wp:effectExtent l="0" t="0" r="0" b="9525"/>
            <wp:docPr id="1235699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99238" name=""/>
                    <pic:cNvPicPr/>
                  </pic:nvPicPr>
                  <pic:blipFill>
                    <a:blip r:embed="rId10"/>
                    <a:stretch>
                      <a:fillRect/>
                    </a:stretch>
                  </pic:blipFill>
                  <pic:spPr>
                    <a:xfrm>
                      <a:off x="0" y="0"/>
                      <a:ext cx="5039428" cy="2676899"/>
                    </a:xfrm>
                    <a:prstGeom prst="rect">
                      <a:avLst/>
                    </a:prstGeom>
                  </pic:spPr>
                </pic:pic>
              </a:graphicData>
            </a:graphic>
          </wp:inline>
        </w:drawing>
      </w:r>
    </w:p>
    <w:p w14:paraId="78E1AF40" w14:textId="77777777" w:rsidR="00221974" w:rsidRPr="00425A23" w:rsidRDefault="00221974" w:rsidP="00B44317">
      <w:pPr>
        <w:spacing w:after="0" w:line="360" w:lineRule="auto"/>
        <w:ind w:right="-93"/>
      </w:pPr>
    </w:p>
    <w:p w14:paraId="14BB2997" w14:textId="130351F3" w:rsidR="002D47E5" w:rsidRPr="00425A23" w:rsidRDefault="00221974" w:rsidP="00B44317">
      <w:pPr>
        <w:spacing w:after="0" w:line="360" w:lineRule="auto"/>
        <w:ind w:right="-93"/>
      </w:pPr>
      <w:r w:rsidRPr="00425A23">
        <w:t xml:space="preserve">Además, que proporcionó el número de servidores públicos que tendrá </w:t>
      </w:r>
      <w:r w:rsidR="008413C2" w:rsidRPr="00425A23">
        <w:t>para las juntas distritales, conformado de la siguiente manera.</w:t>
      </w:r>
    </w:p>
    <w:p w14:paraId="48239E84" w14:textId="77777777" w:rsidR="002773C7" w:rsidRPr="00425A23" w:rsidRDefault="002773C7" w:rsidP="00B44317">
      <w:pPr>
        <w:spacing w:after="0" w:line="360" w:lineRule="auto"/>
        <w:ind w:right="-93"/>
      </w:pPr>
    </w:p>
    <w:p w14:paraId="4A3FF4CC" w14:textId="310E81F1" w:rsidR="00FC41C8" w:rsidRPr="00425A23" w:rsidRDefault="00FC41C8" w:rsidP="00B44317">
      <w:pPr>
        <w:spacing w:after="0" w:line="360" w:lineRule="auto"/>
        <w:ind w:right="-93"/>
        <w:jc w:val="center"/>
      </w:pPr>
      <w:r w:rsidRPr="00425A23">
        <w:rPr>
          <w:noProof/>
        </w:rPr>
        <w:drawing>
          <wp:inline distT="0" distB="0" distL="0" distR="0" wp14:anchorId="149BBA78" wp14:editId="7B8A248A">
            <wp:extent cx="5522475" cy="942975"/>
            <wp:effectExtent l="0" t="0" r="2540" b="0"/>
            <wp:docPr id="392253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53530" name=""/>
                    <pic:cNvPicPr/>
                  </pic:nvPicPr>
                  <pic:blipFill rotWithShape="1">
                    <a:blip r:embed="rId11"/>
                    <a:srcRect t="64182" b="17745"/>
                    <a:stretch/>
                  </pic:blipFill>
                  <pic:spPr bwMode="auto">
                    <a:xfrm>
                      <a:off x="0" y="0"/>
                      <a:ext cx="5531365" cy="944493"/>
                    </a:xfrm>
                    <a:prstGeom prst="rect">
                      <a:avLst/>
                    </a:prstGeom>
                    <a:ln>
                      <a:noFill/>
                    </a:ln>
                    <a:extLst>
                      <a:ext uri="{53640926-AAD7-44D8-BBD7-CCE9431645EC}">
                        <a14:shadowObscured xmlns:a14="http://schemas.microsoft.com/office/drawing/2010/main"/>
                      </a:ext>
                    </a:extLst>
                  </pic:spPr>
                </pic:pic>
              </a:graphicData>
            </a:graphic>
          </wp:inline>
        </w:drawing>
      </w:r>
    </w:p>
    <w:p w14:paraId="1754CD2A" w14:textId="77777777" w:rsidR="008413C2" w:rsidRPr="00425A23" w:rsidRDefault="008413C2" w:rsidP="00B44317">
      <w:pPr>
        <w:spacing w:after="0" w:line="360" w:lineRule="auto"/>
        <w:ind w:right="-28"/>
        <w:rPr>
          <w:rFonts w:eastAsia="Times New Roman" w:cs="Tahoma"/>
          <w:iCs/>
          <w:color w:val="auto"/>
          <w:lang w:eastAsia="es-ES"/>
        </w:rPr>
      </w:pPr>
    </w:p>
    <w:p w14:paraId="376D688A" w14:textId="016B958C" w:rsidR="007071CA" w:rsidRPr="00425A23" w:rsidRDefault="00FC41C8" w:rsidP="00B44317">
      <w:pPr>
        <w:spacing w:after="0" w:line="360" w:lineRule="auto"/>
        <w:ind w:right="-28"/>
        <w:rPr>
          <w:rFonts w:eastAsia="Times New Roman" w:cs="Tahoma"/>
          <w:iCs/>
          <w:color w:val="auto"/>
          <w:lang w:eastAsia="es-ES"/>
        </w:rPr>
      </w:pPr>
      <w:r w:rsidRPr="00425A23">
        <w:rPr>
          <w:rFonts w:eastAsia="Times New Roman" w:cs="Tahoma"/>
          <w:iCs/>
          <w:color w:val="auto"/>
          <w:lang w:eastAsia="es-ES"/>
        </w:rPr>
        <w:t>Entonces, lo afirmado por el Particular, es contrario a las constancias digitales, pues la información fue entregada desde respuesta</w:t>
      </w:r>
      <w:r w:rsidR="00872F23" w:rsidRPr="00425A23">
        <w:rPr>
          <w:rFonts w:eastAsia="Times New Roman" w:cs="Tahoma"/>
          <w:iCs/>
          <w:color w:val="auto"/>
          <w:lang w:eastAsia="es-ES"/>
        </w:rPr>
        <w:t>, por lo que por cuanto refiere al número de personal de los órganos desconcentrados, la info</w:t>
      </w:r>
      <w:r w:rsidR="00C45B9C" w:rsidRPr="00425A23">
        <w:rPr>
          <w:rFonts w:eastAsia="Times New Roman" w:cs="Tahoma"/>
          <w:iCs/>
          <w:color w:val="auto"/>
          <w:lang w:eastAsia="es-ES"/>
        </w:rPr>
        <w:t>rmación ya se entregó al Particular desde respuesta.</w:t>
      </w:r>
    </w:p>
    <w:p w14:paraId="79B94649" w14:textId="77777777" w:rsidR="00FC41C8" w:rsidRPr="00425A23" w:rsidRDefault="00FC41C8" w:rsidP="00B44317">
      <w:pPr>
        <w:spacing w:after="0" w:line="360" w:lineRule="auto"/>
        <w:ind w:right="-28"/>
        <w:rPr>
          <w:rFonts w:eastAsia="Times New Roman" w:cs="Tahoma"/>
          <w:iCs/>
          <w:color w:val="auto"/>
          <w:lang w:eastAsia="es-ES"/>
        </w:rPr>
      </w:pPr>
    </w:p>
    <w:p w14:paraId="513D217D" w14:textId="35F66DF0" w:rsidR="00221974" w:rsidRPr="00425A23" w:rsidRDefault="00C45B9C" w:rsidP="00B44317">
      <w:pPr>
        <w:spacing w:after="0" w:line="360" w:lineRule="auto"/>
        <w:ind w:right="-28"/>
        <w:rPr>
          <w:rFonts w:eastAsia="Times New Roman" w:cs="Tahoma"/>
          <w:iCs/>
          <w:color w:val="auto"/>
          <w:lang w:eastAsia="es-ES"/>
        </w:rPr>
      </w:pPr>
      <w:r w:rsidRPr="00425A23">
        <w:rPr>
          <w:rFonts w:eastAsia="Times New Roman" w:cs="Tahoma"/>
          <w:iCs/>
          <w:color w:val="auto"/>
          <w:lang w:eastAsia="es-ES"/>
        </w:rPr>
        <w:t xml:space="preserve">Ahora bien, sobre el segundo punto, </w:t>
      </w:r>
      <w:r w:rsidR="00221974" w:rsidRPr="00425A23">
        <w:rPr>
          <w:rFonts w:eastAsia="Times New Roman" w:cs="Tahoma"/>
          <w:iCs/>
          <w:color w:val="auto"/>
          <w:lang w:eastAsia="es-ES"/>
        </w:rPr>
        <w:t xml:space="preserve">respecto al sueldo que percibirá el personal eventual para los Órganos Desconcentrados, el Sujeto Obligado proporcionó el Tabulador de Persona </w:t>
      </w:r>
      <w:r w:rsidR="00221974" w:rsidRPr="00425A23">
        <w:rPr>
          <w:rFonts w:eastAsia="Times New Roman" w:cs="Tahoma"/>
          <w:iCs/>
          <w:color w:val="auto"/>
          <w:lang w:eastAsia="es-ES"/>
        </w:rPr>
        <w:lastRenderedPageBreak/>
        <w:t>Eventual de Órganos Desconcentrados 2025, que contiene el sueldo bruto mensual (sueldo base, gratificación y despensa) y el neto mensual, de las áreas autorizadas, tal como se muestra a continuación:</w:t>
      </w:r>
    </w:p>
    <w:p w14:paraId="58D5F675" w14:textId="77777777" w:rsidR="00221974" w:rsidRPr="00425A23" w:rsidRDefault="00221974" w:rsidP="00B44317">
      <w:pPr>
        <w:spacing w:after="0" w:line="360" w:lineRule="auto"/>
        <w:ind w:right="-28"/>
        <w:rPr>
          <w:rFonts w:eastAsia="Times New Roman" w:cs="Tahoma"/>
          <w:iCs/>
          <w:color w:val="auto"/>
          <w:lang w:eastAsia="es-ES"/>
        </w:rPr>
      </w:pPr>
    </w:p>
    <w:p w14:paraId="3AF7E2DD" w14:textId="5B9ECCBB" w:rsidR="00221974" w:rsidRPr="00425A23" w:rsidRDefault="00221974" w:rsidP="00B44317">
      <w:pPr>
        <w:spacing w:after="0" w:line="360" w:lineRule="auto"/>
        <w:ind w:right="-28"/>
        <w:rPr>
          <w:rFonts w:eastAsia="Times New Roman" w:cs="Tahoma"/>
          <w:iCs/>
          <w:color w:val="auto"/>
          <w:lang w:eastAsia="es-ES"/>
        </w:rPr>
      </w:pPr>
      <w:r w:rsidRPr="00425A23">
        <w:rPr>
          <w:rFonts w:eastAsia="Times New Roman" w:cs="Tahoma"/>
          <w:iCs/>
          <w:noProof/>
          <w:color w:val="auto"/>
        </w:rPr>
        <w:drawing>
          <wp:inline distT="0" distB="0" distL="0" distR="0" wp14:anchorId="7620F6F9" wp14:editId="76A58182">
            <wp:extent cx="5760720" cy="2103755"/>
            <wp:effectExtent l="0" t="0" r="0" b="0"/>
            <wp:docPr id="604787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87355" name=""/>
                    <pic:cNvPicPr/>
                  </pic:nvPicPr>
                  <pic:blipFill>
                    <a:blip r:embed="rId12"/>
                    <a:stretch>
                      <a:fillRect/>
                    </a:stretch>
                  </pic:blipFill>
                  <pic:spPr>
                    <a:xfrm>
                      <a:off x="0" y="0"/>
                      <a:ext cx="5760720" cy="2103755"/>
                    </a:xfrm>
                    <a:prstGeom prst="rect">
                      <a:avLst/>
                    </a:prstGeom>
                  </pic:spPr>
                </pic:pic>
              </a:graphicData>
            </a:graphic>
          </wp:inline>
        </w:drawing>
      </w:r>
    </w:p>
    <w:p w14:paraId="3128BA7B" w14:textId="77777777" w:rsidR="00221974" w:rsidRPr="00425A23" w:rsidRDefault="00221974" w:rsidP="00B44317">
      <w:pPr>
        <w:spacing w:after="0" w:line="360" w:lineRule="auto"/>
        <w:ind w:right="-28"/>
        <w:rPr>
          <w:rFonts w:eastAsia="Times New Roman" w:cs="Tahoma"/>
          <w:iCs/>
          <w:color w:val="auto"/>
          <w:lang w:eastAsia="es-ES"/>
        </w:rPr>
      </w:pPr>
    </w:p>
    <w:p w14:paraId="5F8C236F" w14:textId="54F67223" w:rsidR="00221974" w:rsidRPr="00425A23" w:rsidRDefault="00221974" w:rsidP="00B44317">
      <w:pPr>
        <w:spacing w:after="0" w:line="360" w:lineRule="auto"/>
        <w:ind w:right="-28"/>
        <w:rPr>
          <w:rFonts w:eastAsia="Times New Roman" w:cs="Tahoma"/>
          <w:iCs/>
          <w:color w:val="auto"/>
          <w:lang w:eastAsia="es-ES"/>
        </w:rPr>
      </w:pPr>
      <w:r w:rsidRPr="00425A23">
        <w:rPr>
          <w:rFonts w:eastAsia="Times New Roman" w:cs="Tahoma"/>
          <w:iCs/>
          <w:color w:val="auto"/>
          <w:lang w:eastAsia="es-ES"/>
        </w:rPr>
        <w:t>Conforme a lo anterior, se logra vislumbrar que el Sujeto Obligado proporcionó el documento que obraba en sus archivos y daba cuenta de lo peticionado, pues da a conocer el sueldo mensual bruto y neto que será pagado al personal eventual de los Órganos Desconcentrados del ejercicio fiscal dos mil veinticinco.</w:t>
      </w:r>
    </w:p>
    <w:p w14:paraId="6DFE3931" w14:textId="77777777" w:rsidR="00221974" w:rsidRPr="00425A23" w:rsidRDefault="00221974" w:rsidP="00B44317">
      <w:pPr>
        <w:spacing w:after="0" w:line="360" w:lineRule="auto"/>
        <w:ind w:right="-28"/>
        <w:rPr>
          <w:rFonts w:eastAsia="Times New Roman" w:cs="Tahoma"/>
          <w:iCs/>
          <w:color w:val="auto"/>
          <w:lang w:eastAsia="es-ES"/>
        </w:rPr>
      </w:pPr>
    </w:p>
    <w:p w14:paraId="13508B99" w14:textId="1E5AB878" w:rsidR="00FC41C8" w:rsidRPr="00425A23" w:rsidRDefault="00221974" w:rsidP="00B44317">
      <w:pPr>
        <w:spacing w:after="0" w:line="360" w:lineRule="auto"/>
        <w:ind w:right="-28"/>
        <w:rPr>
          <w:rFonts w:eastAsia="Times New Roman" w:cs="Tahoma"/>
          <w:iCs/>
          <w:color w:val="auto"/>
          <w:lang w:eastAsia="es-ES"/>
        </w:rPr>
      </w:pPr>
      <w:r w:rsidRPr="00425A23">
        <w:rPr>
          <w:rFonts w:eastAsia="Times New Roman" w:cs="Tahoma"/>
          <w:iCs/>
          <w:color w:val="auto"/>
          <w:lang w:eastAsia="es-ES"/>
        </w:rPr>
        <w:t>Ahora bien, sobre las manifestaciones d</w:t>
      </w:r>
      <w:r w:rsidR="00C45B9C" w:rsidRPr="00425A23">
        <w:rPr>
          <w:rFonts w:eastAsia="Times New Roman" w:cs="Tahoma"/>
          <w:iCs/>
          <w:color w:val="auto"/>
          <w:lang w:eastAsia="es-ES"/>
        </w:rPr>
        <w:t>el salario igual a trabajo igual, como se expuso en la naturaleza de la información, no se advierte la existencia de un documento soporte, pues el requerimiento, intrínsecamente, radica en una apreciación subjetiva, por lo que no es dable ordenar la información en dichos términos</w:t>
      </w:r>
      <w:r w:rsidRPr="00425A23">
        <w:rPr>
          <w:rFonts w:eastAsia="Times New Roman" w:cs="Tahoma"/>
          <w:iCs/>
          <w:color w:val="auto"/>
          <w:lang w:eastAsia="es-ES"/>
        </w:rPr>
        <w:t>; sin embargo, del Tabulador de Sueldos se aprecia que en atención al cargo ocupado será la remuneración a recibir, en atención a las actividades que estén establecidas en el puesto.</w:t>
      </w:r>
    </w:p>
    <w:p w14:paraId="1D244DFA" w14:textId="77777777" w:rsidR="00221974" w:rsidRPr="00425A23" w:rsidRDefault="00221974" w:rsidP="00B44317">
      <w:pPr>
        <w:spacing w:after="0" w:line="360" w:lineRule="auto"/>
        <w:ind w:right="-28"/>
        <w:rPr>
          <w:rFonts w:eastAsia="Times New Roman" w:cs="Tahoma"/>
          <w:iCs/>
          <w:color w:val="auto"/>
          <w:lang w:eastAsia="es-ES"/>
        </w:rPr>
      </w:pPr>
    </w:p>
    <w:p w14:paraId="12177311" w14:textId="27CF9CE9" w:rsidR="00221974" w:rsidRPr="00425A23" w:rsidRDefault="00221974" w:rsidP="00B44317">
      <w:pPr>
        <w:spacing w:after="0" w:line="360" w:lineRule="auto"/>
        <w:ind w:right="-28"/>
        <w:rPr>
          <w:rFonts w:eastAsia="Times New Roman" w:cs="Tahoma"/>
          <w:b/>
          <w:bCs/>
          <w:iCs/>
          <w:color w:val="auto"/>
          <w:lang w:eastAsia="es-ES"/>
        </w:rPr>
      </w:pPr>
      <w:r w:rsidRPr="00425A23">
        <w:rPr>
          <w:rFonts w:eastAsia="Times New Roman" w:cs="Tahoma"/>
          <w:iCs/>
          <w:color w:val="auto"/>
          <w:lang w:eastAsia="es-ES"/>
        </w:rPr>
        <w:lastRenderedPageBreak/>
        <w:t xml:space="preserve">Por lo que, se logra vislumbrar que contrario a lo referido por la persona Recurrente, el Sujeto Obligado proporcionó la información que obraba en sus archivos y daba cuenta de la información peticionada, con lo cual se da por atendido el requerimiento de información y el agravio resulta </w:t>
      </w:r>
      <w:r w:rsidRPr="00425A23">
        <w:rPr>
          <w:rFonts w:eastAsia="Times New Roman" w:cs="Tahoma"/>
          <w:b/>
          <w:bCs/>
          <w:iCs/>
          <w:color w:val="auto"/>
          <w:lang w:eastAsia="es-ES"/>
        </w:rPr>
        <w:t>INFUNDADO.</w:t>
      </w:r>
    </w:p>
    <w:p w14:paraId="40844A6C" w14:textId="77777777" w:rsidR="00580476" w:rsidRPr="00425A23" w:rsidRDefault="00580476" w:rsidP="00B44317">
      <w:pPr>
        <w:spacing w:after="0" w:line="360" w:lineRule="auto"/>
        <w:ind w:right="-28"/>
        <w:rPr>
          <w:rFonts w:eastAsia="Times New Roman" w:cs="Tahoma"/>
          <w:iCs/>
          <w:color w:val="auto"/>
          <w:lang w:eastAsia="es-ES"/>
        </w:rPr>
      </w:pPr>
    </w:p>
    <w:p w14:paraId="7B503E23" w14:textId="77777777" w:rsidR="007071CA" w:rsidRPr="00425A23" w:rsidRDefault="007071CA" w:rsidP="00B44317">
      <w:pPr>
        <w:pStyle w:val="Ttulo2"/>
        <w:spacing w:before="0" w:line="360" w:lineRule="auto"/>
        <w:rPr>
          <w:rFonts w:eastAsia="Calibri"/>
          <w:lang w:val="es-ES"/>
        </w:rPr>
      </w:pPr>
      <w:bookmarkStart w:id="19" w:name="_Toc210917106"/>
      <w:r w:rsidRPr="00425A23">
        <w:rPr>
          <w:rFonts w:eastAsia="Calibri"/>
          <w:lang w:val="es-ES"/>
        </w:rPr>
        <w:t>SEXTO. Decisión</w:t>
      </w:r>
      <w:bookmarkEnd w:id="19"/>
    </w:p>
    <w:p w14:paraId="506CB3E8" w14:textId="77777777" w:rsidR="007071CA" w:rsidRPr="00425A23" w:rsidRDefault="007071CA" w:rsidP="00B44317">
      <w:pPr>
        <w:spacing w:after="0" w:line="360" w:lineRule="auto"/>
        <w:ind w:right="-93"/>
        <w:rPr>
          <w:b/>
        </w:rPr>
      </w:pPr>
    </w:p>
    <w:p w14:paraId="753EBA66" w14:textId="77777777" w:rsidR="007071CA" w:rsidRPr="00425A23" w:rsidRDefault="007071CA" w:rsidP="00B44317">
      <w:pPr>
        <w:spacing w:after="0" w:line="360" w:lineRule="auto"/>
        <w:ind w:right="-93"/>
        <w:rPr>
          <w:rFonts w:eastAsia="Calibri" w:cs="Tahoma"/>
        </w:rPr>
      </w:pPr>
      <w:r w:rsidRPr="00425A23">
        <w:t xml:space="preserve">Con fundamento en el artículo 186, fracción II, de la Ley de Transparencia y Acceso a la Información Pública del Estado de México y Municipios, este Instituto considera procedente </w:t>
      </w:r>
      <w:r w:rsidRPr="00425A23">
        <w:rPr>
          <w:b/>
        </w:rPr>
        <w:t xml:space="preserve">CONFIRMAR </w:t>
      </w:r>
      <w:r w:rsidRPr="00425A23">
        <w:t>la respuesta otorgada por el Instituto Electoral del Estado de México</w:t>
      </w:r>
      <w:r w:rsidRPr="00425A23">
        <w:rPr>
          <w:rFonts w:eastAsia="Calibri" w:cs="Tahoma"/>
        </w:rPr>
        <w:t xml:space="preserve">, pues el Sujeto Obligado, hizo entrega de la información desde respuesta. </w:t>
      </w:r>
    </w:p>
    <w:p w14:paraId="0281C336" w14:textId="77777777" w:rsidR="007071CA" w:rsidRPr="00425A23" w:rsidRDefault="007071CA" w:rsidP="00B44317">
      <w:pPr>
        <w:spacing w:after="0" w:line="360" w:lineRule="auto"/>
        <w:ind w:right="-93"/>
      </w:pPr>
    </w:p>
    <w:p w14:paraId="472A8E50" w14:textId="1E2A0A0C" w:rsidR="007071CA" w:rsidRPr="00425A23" w:rsidRDefault="007071CA" w:rsidP="00B44317">
      <w:pPr>
        <w:autoSpaceDE w:val="0"/>
        <w:autoSpaceDN w:val="0"/>
        <w:adjustRightInd w:val="0"/>
        <w:spacing w:after="0" w:line="360" w:lineRule="auto"/>
        <w:contextualSpacing/>
        <w:rPr>
          <w:rFonts w:eastAsia="Calibri" w:cs="Tahoma"/>
          <w:b/>
          <w:bCs/>
          <w:iCs/>
          <w:u w:val="single"/>
          <w:lang w:val="es-ES" w:eastAsia="es-ES_tradnl"/>
        </w:rPr>
      </w:pPr>
      <w:r w:rsidRPr="00425A23">
        <w:rPr>
          <w:rFonts w:eastAsia="Calibri" w:cs="Tahoma"/>
          <w:b/>
          <w:bCs/>
          <w:iCs/>
          <w:u w:val="single"/>
          <w:lang w:val="es-ES" w:eastAsia="es-ES_tradnl"/>
        </w:rPr>
        <w:t>Términos de l</w:t>
      </w:r>
      <w:r w:rsidR="002D2839">
        <w:rPr>
          <w:rFonts w:eastAsia="Calibri" w:cs="Tahoma"/>
          <w:b/>
          <w:bCs/>
          <w:iCs/>
          <w:u w:val="single"/>
          <w:lang w:val="es-ES" w:eastAsia="es-ES_tradnl"/>
        </w:rPr>
        <w:t>a Resolución para el Recurrente</w:t>
      </w:r>
    </w:p>
    <w:p w14:paraId="5F446D95" w14:textId="632698B8" w:rsidR="007071CA" w:rsidRPr="00425A23" w:rsidRDefault="007071CA" w:rsidP="00B44317">
      <w:pPr>
        <w:autoSpaceDE w:val="0"/>
        <w:autoSpaceDN w:val="0"/>
        <w:adjustRightInd w:val="0"/>
        <w:spacing w:after="0" w:line="360" w:lineRule="auto"/>
        <w:contextualSpacing/>
        <w:rPr>
          <w:rFonts w:cs="Tahoma"/>
        </w:rPr>
      </w:pPr>
      <w:r w:rsidRPr="00425A23">
        <w:rPr>
          <w:rFonts w:cs="Tahoma"/>
        </w:rPr>
        <w:t xml:space="preserve">Este Instituto Garante, considera que en este asunto al Recurrente no le asiste la razón, toda vez que el Sujeto Obligado, </w:t>
      </w:r>
      <w:r w:rsidR="00FC5AA5" w:rsidRPr="00425A23">
        <w:rPr>
          <w:rFonts w:cs="Tahoma"/>
        </w:rPr>
        <w:t>entregó desde respuesta la información requerida</w:t>
      </w:r>
      <w:r w:rsidR="00B97ABE" w:rsidRPr="00425A23">
        <w:rPr>
          <w:rFonts w:cs="Tahoma"/>
        </w:rPr>
        <w:t xml:space="preserve"> a través de los oficios que respondieron los Vocales Ejecutivos de los Órganos Desconcentrados. Además, el otro de los puntos de inconformidad, se identifica que contiene apreciaciones subjetivas desde su planteamiento, por lo que se considera inatendible a través del derecho de acceso a la información pública.</w:t>
      </w:r>
    </w:p>
    <w:p w14:paraId="5F2CE8D5" w14:textId="77777777" w:rsidR="007071CA" w:rsidRPr="00425A23" w:rsidRDefault="007071CA" w:rsidP="00B44317">
      <w:pPr>
        <w:autoSpaceDE w:val="0"/>
        <w:autoSpaceDN w:val="0"/>
        <w:adjustRightInd w:val="0"/>
        <w:spacing w:after="0" w:line="360" w:lineRule="auto"/>
        <w:contextualSpacing/>
        <w:rPr>
          <w:rFonts w:cs="Tahoma"/>
        </w:rPr>
      </w:pPr>
    </w:p>
    <w:p w14:paraId="58ED2F4F" w14:textId="77777777" w:rsidR="007071CA" w:rsidRPr="00425A23" w:rsidRDefault="007071CA" w:rsidP="00B44317">
      <w:pPr>
        <w:spacing w:after="0" w:line="360" w:lineRule="auto"/>
        <w:contextualSpacing/>
        <w:rPr>
          <w:rFonts w:eastAsia="Calibri" w:cs="Tahoma"/>
          <w:iCs/>
          <w:color w:val="000000"/>
          <w:u w:val="single"/>
          <w:lang w:val="es-ES" w:eastAsia="es-ES_tradnl"/>
        </w:rPr>
      </w:pPr>
      <w:r w:rsidRPr="00425A23">
        <w:rPr>
          <w:rFonts w:eastAsia="Calibri" w:cs="Tahoma"/>
          <w:iCs/>
          <w:color w:val="000000"/>
          <w:u w:val="single"/>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1E3CD42D" w14:textId="77777777" w:rsidR="007071CA" w:rsidRPr="00425A23" w:rsidRDefault="007071CA" w:rsidP="00B44317">
      <w:pPr>
        <w:spacing w:after="0" w:line="360" w:lineRule="auto"/>
        <w:contextualSpacing/>
        <w:rPr>
          <w:rFonts w:eastAsia="Calibri" w:cs="Tahoma"/>
          <w:iCs/>
          <w:color w:val="000000"/>
          <w:lang w:val="es-ES" w:eastAsia="es-ES_tradnl"/>
        </w:rPr>
      </w:pPr>
    </w:p>
    <w:p w14:paraId="1EA47A19" w14:textId="77777777" w:rsidR="007071CA" w:rsidRPr="00425A23" w:rsidRDefault="007071CA" w:rsidP="00B44317">
      <w:pPr>
        <w:spacing w:after="0" w:line="360" w:lineRule="auto"/>
        <w:contextualSpacing/>
        <w:rPr>
          <w:rFonts w:eastAsia="Calibri" w:cs="Tahoma"/>
          <w:iCs/>
          <w:color w:val="000000"/>
          <w:lang w:val="es-ES" w:eastAsia="es-ES_tradnl"/>
        </w:rPr>
      </w:pPr>
      <w:r w:rsidRPr="00425A23">
        <w:rPr>
          <w:rFonts w:eastAsia="Calibri" w:cs="Tahoma"/>
          <w:iCs/>
          <w:color w:val="000000"/>
          <w:lang w:val="es-ES" w:eastAsia="es-ES_tradnl"/>
        </w:rPr>
        <w:t>Por lo expuesto y fundado, el Pleno de este Instituto:</w:t>
      </w:r>
    </w:p>
    <w:p w14:paraId="650C6A4F" w14:textId="4DD0335E" w:rsidR="007071CA" w:rsidRPr="00425A23" w:rsidRDefault="007071CA" w:rsidP="00B44317">
      <w:pPr>
        <w:pStyle w:val="Ttulo1"/>
        <w:spacing w:before="0" w:line="360" w:lineRule="auto"/>
      </w:pPr>
      <w:bookmarkStart w:id="20" w:name="_Toc210917107"/>
      <w:r w:rsidRPr="00425A23">
        <w:lastRenderedPageBreak/>
        <w:t>R E S U E L V E</w:t>
      </w:r>
      <w:bookmarkEnd w:id="20"/>
    </w:p>
    <w:p w14:paraId="28573C48" w14:textId="77777777" w:rsidR="007071CA" w:rsidRPr="00425A23" w:rsidRDefault="007071CA" w:rsidP="00B44317">
      <w:pPr>
        <w:spacing w:after="0" w:line="360" w:lineRule="auto"/>
        <w:ind w:right="-93"/>
        <w:rPr>
          <w:rFonts w:eastAsia="Calibri" w:cs="Tahoma"/>
          <w:b/>
          <w:bCs/>
          <w:color w:val="000000"/>
        </w:rPr>
      </w:pPr>
    </w:p>
    <w:p w14:paraId="35B058FE" w14:textId="72CD1580" w:rsidR="007071CA" w:rsidRPr="00425A23" w:rsidRDefault="007071CA" w:rsidP="00B44317">
      <w:pPr>
        <w:spacing w:after="0" w:line="360" w:lineRule="auto"/>
        <w:ind w:right="-93"/>
        <w:rPr>
          <w:rFonts w:eastAsia="Calibri" w:cs="Tahoma"/>
          <w:color w:val="000000"/>
        </w:rPr>
      </w:pPr>
      <w:r w:rsidRPr="00425A23">
        <w:rPr>
          <w:rFonts w:eastAsia="Calibri" w:cs="Tahoma"/>
          <w:b/>
          <w:bCs/>
          <w:color w:val="000000"/>
        </w:rPr>
        <w:t xml:space="preserve">PRIMERO. </w:t>
      </w:r>
      <w:r w:rsidRPr="00425A23">
        <w:rPr>
          <w:rFonts w:eastAsia="Calibri" w:cs="Tahoma"/>
          <w:color w:val="000000"/>
        </w:rPr>
        <w:t xml:space="preserve">Se </w:t>
      </w:r>
      <w:r w:rsidRPr="00425A23">
        <w:rPr>
          <w:rFonts w:eastAsia="Calibri" w:cs="Tahoma"/>
          <w:b/>
          <w:bCs/>
          <w:color w:val="000000"/>
        </w:rPr>
        <w:t>CONFIRMA</w:t>
      </w:r>
      <w:r w:rsidRPr="00425A23">
        <w:rPr>
          <w:rFonts w:eastAsia="Calibri" w:cs="Tahoma"/>
          <w:color w:val="000000"/>
        </w:rPr>
        <w:t xml:space="preserve"> la respuesta entregada por el Sujeto Obligado a la solicitud de acceso a la información </w:t>
      </w:r>
      <w:r w:rsidR="00B97ABE" w:rsidRPr="00425A23">
        <w:rPr>
          <w:b/>
          <w:color w:val="0D0D0D"/>
        </w:rPr>
        <w:t>00348/IEEM/IP/2025</w:t>
      </w:r>
      <w:r w:rsidRPr="00425A23">
        <w:rPr>
          <w:rFonts w:eastAsia="Calibri" w:cs="Tahoma"/>
          <w:color w:val="000000"/>
        </w:rPr>
        <w:t>, por resultar INFUNDADAS las razones o motivos de inconformidad hechos valer por el Recurrente, en términos de los Considerandos QUINTO y SEXTO de esta Resolución.</w:t>
      </w:r>
    </w:p>
    <w:p w14:paraId="4952E303" w14:textId="77777777" w:rsidR="007071CA" w:rsidRPr="00425A23" w:rsidRDefault="007071CA" w:rsidP="00B44317">
      <w:pPr>
        <w:spacing w:after="0" w:line="360" w:lineRule="auto"/>
        <w:ind w:right="-93"/>
        <w:rPr>
          <w:rFonts w:eastAsia="Calibri" w:cs="Tahoma"/>
          <w:b/>
          <w:bCs/>
          <w:color w:val="000000"/>
        </w:rPr>
      </w:pPr>
    </w:p>
    <w:p w14:paraId="0BDBC2A9" w14:textId="4E363785" w:rsidR="007071CA" w:rsidRPr="00425A23" w:rsidRDefault="007071CA" w:rsidP="00B44317">
      <w:pPr>
        <w:spacing w:after="0" w:line="360" w:lineRule="auto"/>
        <w:ind w:right="-93"/>
        <w:rPr>
          <w:rFonts w:eastAsia="Calibri" w:cs="Tahoma"/>
          <w:b/>
          <w:bCs/>
          <w:color w:val="000000"/>
        </w:rPr>
      </w:pPr>
      <w:r w:rsidRPr="00425A23">
        <w:rPr>
          <w:rFonts w:eastAsia="Calibri" w:cs="Tahoma"/>
          <w:b/>
          <w:bCs/>
          <w:color w:val="000000"/>
        </w:rPr>
        <w:t xml:space="preserve">SEGUNDO. NOTIFÍQUESE </w:t>
      </w:r>
      <w:r w:rsidR="00B97ABE" w:rsidRPr="00425A23">
        <w:rPr>
          <w:rFonts w:eastAsia="Calibri" w:cs="Tahoma"/>
          <w:b/>
          <w:bCs/>
          <w:color w:val="000000"/>
        </w:rPr>
        <w:t>POR SAIMEX</w:t>
      </w:r>
      <w:r w:rsidR="00B97ABE" w:rsidRPr="00425A23">
        <w:rPr>
          <w:rFonts w:eastAsia="Calibri" w:cs="Tahoma"/>
          <w:color w:val="000000"/>
        </w:rPr>
        <w:t xml:space="preserve"> </w:t>
      </w:r>
      <w:r w:rsidRPr="00425A23">
        <w:rPr>
          <w:rFonts w:eastAsia="Calibri" w:cs="Tahoma"/>
          <w:color w:val="000000"/>
        </w:rPr>
        <w:t>la presente resolución al Titular de la Unidad de Transparencia del Sujeto Obligado.</w:t>
      </w:r>
    </w:p>
    <w:p w14:paraId="08C77556" w14:textId="77777777" w:rsidR="007071CA" w:rsidRPr="00425A23" w:rsidRDefault="007071CA" w:rsidP="00B44317">
      <w:pPr>
        <w:spacing w:after="0" w:line="360" w:lineRule="auto"/>
        <w:ind w:right="-93"/>
        <w:rPr>
          <w:rFonts w:eastAsia="Calibri" w:cs="Tahoma"/>
          <w:b/>
          <w:bCs/>
          <w:color w:val="000000"/>
        </w:rPr>
      </w:pPr>
    </w:p>
    <w:p w14:paraId="66ED1099" w14:textId="01CC3223" w:rsidR="007071CA" w:rsidRPr="00425A23" w:rsidRDefault="007071CA" w:rsidP="00B44317">
      <w:pPr>
        <w:spacing w:after="0" w:line="360" w:lineRule="auto"/>
        <w:ind w:right="-93"/>
        <w:rPr>
          <w:rFonts w:eastAsia="Calibri" w:cs="Tahoma"/>
          <w:b/>
          <w:bCs/>
          <w:color w:val="000000"/>
        </w:rPr>
      </w:pPr>
      <w:r w:rsidRPr="00425A23">
        <w:rPr>
          <w:rFonts w:eastAsia="Calibri" w:cs="Tahoma"/>
          <w:b/>
          <w:bCs/>
          <w:color w:val="000000"/>
        </w:rPr>
        <w:t>TERCERO. NOTIFÍQUESE</w:t>
      </w:r>
      <w:r w:rsidR="00B97ABE" w:rsidRPr="00425A23">
        <w:rPr>
          <w:rFonts w:eastAsia="Calibri" w:cs="Tahoma"/>
          <w:b/>
          <w:bCs/>
          <w:color w:val="000000"/>
        </w:rPr>
        <w:t xml:space="preserve"> POR SAIMEX</w:t>
      </w:r>
      <w:r w:rsidRPr="00425A23">
        <w:rPr>
          <w:rFonts w:eastAsia="Calibri" w:cs="Tahoma"/>
          <w:b/>
          <w:bCs/>
          <w:color w:val="000000"/>
        </w:rPr>
        <w:t xml:space="preserve"> </w:t>
      </w:r>
      <w:r w:rsidRPr="00425A23">
        <w:rPr>
          <w:rFonts w:eastAsia="Calibri" w:cs="Tahoma"/>
          <w:color w:val="000000"/>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425A23">
        <w:rPr>
          <w:rFonts w:eastAsia="Calibri" w:cs="Tahoma"/>
          <w:b/>
          <w:bCs/>
          <w:color w:val="000000"/>
        </w:rPr>
        <w:t>.</w:t>
      </w:r>
    </w:p>
    <w:p w14:paraId="789FF4D5" w14:textId="342CA85F" w:rsidR="00B171A6" w:rsidRPr="00425A23" w:rsidRDefault="00B171A6" w:rsidP="00B44317">
      <w:pPr>
        <w:spacing w:after="0" w:line="360" w:lineRule="auto"/>
        <w:ind w:right="-93"/>
        <w:rPr>
          <w:rFonts w:eastAsia="Calibri" w:cs="Tahoma"/>
          <w:bCs/>
          <w:lang w:val="es-ES_tradnl" w:eastAsia="en-US"/>
        </w:rPr>
      </w:pPr>
    </w:p>
    <w:p w14:paraId="4E2B2D59" w14:textId="4050A0F5" w:rsidR="009302CD" w:rsidRDefault="005B655F" w:rsidP="00B44317">
      <w:pPr>
        <w:spacing w:after="0" w:line="360" w:lineRule="auto"/>
        <w:ind w:right="-93"/>
        <w:rPr>
          <w:color w:val="000000"/>
        </w:rPr>
      </w:pPr>
      <w:r w:rsidRPr="005B655F">
        <w:rPr>
          <w:rFonts w:eastAsiaTheme="minorHAnsi" w:cstheme="minorBidi"/>
          <w:lang w:eastAsia="en-US"/>
        </w:rPr>
        <w:t xml:space="preserve">ASÍ LO RESUELVE, POR </w:t>
      </w:r>
      <w:r w:rsidRPr="005B655F">
        <w:rPr>
          <w:rFonts w:eastAsiaTheme="minorHAnsi" w:cstheme="minorBidi"/>
          <w:b/>
          <w:bCs/>
          <w:lang w:eastAsia="en-US"/>
        </w:rPr>
        <w:t>UNANIMIDAD</w:t>
      </w:r>
      <w:r w:rsidRPr="005B655F">
        <w:rPr>
          <w:rFonts w:eastAsiaTheme="minorHAnsi" w:cstheme="minorBidi"/>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E13A85">
        <w:rPr>
          <w:rFonts w:eastAsiaTheme="minorHAnsi" w:cstheme="minorBidi"/>
          <w:lang w:eastAsia="en-US"/>
        </w:rPr>
        <w:t>,</w:t>
      </w:r>
      <w:r w:rsidRPr="005B655F">
        <w:rPr>
          <w:rFonts w:eastAsiaTheme="minorHAnsi" w:cstheme="minorBidi"/>
          <w:lang w:eastAsia="en-US"/>
        </w:rPr>
        <w:t xml:space="preserve"> EN SUPLENCIA DEL SECRETARIO TÉCNICO DEL PLENO ALEXIS TAPIA RAMÍREZ.</w:t>
      </w:r>
    </w:p>
    <w:p w14:paraId="4E2B2D5B" w14:textId="1984FD4E" w:rsidR="009302CD" w:rsidRDefault="006E571C" w:rsidP="002773C7">
      <w:pPr>
        <w:spacing w:after="0" w:line="360" w:lineRule="auto"/>
        <w:jc w:val="left"/>
      </w:pPr>
      <w:r>
        <w:br w:type="page"/>
      </w:r>
    </w:p>
    <w:sectPr w:rsidR="009302CD">
      <w:headerReference w:type="even" r:id="rId13"/>
      <w:headerReference w:type="default" r:id="rId14"/>
      <w:footerReference w:type="even" r:id="rId15"/>
      <w:footerReference w:type="default" r:id="rId16"/>
      <w:headerReference w:type="first" r:id="rId17"/>
      <w:footerReference w:type="first" r:id="rId18"/>
      <w:pgSz w:w="12240" w:h="15840"/>
      <w:pgMar w:top="1418" w:right="1467" w:bottom="1134"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BE6FB" w14:textId="77777777" w:rsidR="00CE757C" w:rsidRDefault="00CE757C">
      <w:pPr>
        <w:spacing w:after="0" w:line="240" w:lineRule="auto"/>
      </w:pPr>
      <w:r>
        <w:separator/>
      </w:r>
    </w:p>
  </w:endnote>
  <w:endnote w:type="continuationSeparator" w:id="0">
    <w:p w14:paraId="75F56478" w14:textId="77777777" w:rsidR="00CE757C" w:rsidRDefault="00CE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7D" w14:textId="77777777" w:rsidR="005E0598" w:rsidRDefault="005E05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501">
      <w:rPr>
        <w:b/>
        <w:noProof/>
        <w:color w:val="000000"/>
        <w:sz w:val="24"/>
        <w:szCs w:val="24"/>
      </w:rPr>
      <w:t>21</w:t>
    </w:r>
    <w:r>
      <w:rPr>
        <w:b/>
        <w:color w:val="000000"/>
        <w:sz w:val="24"/>
        <w:szCs w:val="24"/>
      </w:rPr>
      <w:fldChar w:fldCharType="end"/>
    </w:r>
  </w:p>
  <w:p w14:paraId="4E2B2D7E" w14:textId="77777777" w:rsidR="005E0598" w:rsidRDefault="005E059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7F" w14:textId="77777777" w:rsidR="005E0598" w:rsidRDefault="005E05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6B96">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6B96">
      <w:rPr>
        <w:b/>
        <w:noProof/>
        <w:color w:val="000000"/>
        <w:sz w:val="24"/>
        <w:szCs w:val="24"/>
      </w:rPr>
      <w:t>21</w:t>
    </w:r>
    <w:r>
      <w:rPr>
        <w:b/>
        <w:color w:val="000000"/>
        <w:sz w:val="24"/>
        <w:szCs w:val="24"/>
      </w:rPr>
      <w:fldChar w:fldCharType="end"/>
    </w:r>
  </w:p>
  <w:p w14:paraId="4E2B2D80" w14:textId="77777777" w:rsidR="005E0598" w:rsidRDefault="005E059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8F" w14:textId="77777777" w:rsidR="005E0598" w:rsidRDefault="005E05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6B9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6B96">
      <w:rPr>
        <w:b/>
        <w:noProof/>
        <w:color w:val="000000"/>
        <w:sz w:val="24"/>
        <w:szCs w:val="24"/>
      </w:rPr>
      <w:t>21</w:t>
    </w:r>
    <w:r>
      <w:rPr>
        <w:b/>
        <w:color w:val="000000"/>
        <w:sz w:val="24"/>
        <w:szCs w:val="24"/>
      </w:rPr>
      <w:fldChar w:fldCharType="end"/>
    </w:r>
  </w:p>
  <w:p w14:paraId="4E2B2D90" w14:textId="77777777" w:rsidR="005E0598" w:rsidRDefault="005E059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53314" w14:textId="77777777" w:rsidR="00CE757C" w:rsidRDefault="00CE757C">
      <w:pPr>
        <w:spacing w:after="0" w:line="240" w:lineRule="auto"/>
      </w:pPr>
      <w:r>
        <w:separator/>
      </w:r>
    </w:p>
  </w:footnote>
  <w:footnote w:type="continuationSeparator" w:id="0">
    <w:p w14:paraId="69E9636E" w14:textId="77777777" w:rsidR="00CE757C" w:rsidRDefault="00CE7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66" w14:textId="77777777" w:rsidR="005E0598" w:rsidRDefault="005E0598">
    <w:pPr>
      <w:widowControl w:val="0"/>
      <w:pBdr>
        <w:top w:val="nil"/>
        <w:left w:val="nil"/>
        <w:bottom w:val="nil"/>
        <w:right w:val="nil"/>
        <w:between w:val="nil"/>
      </w:pBdr>
      <w:spacing w:after="0" w:line="276" w:lineRule="auto"/>
      <w:jc w:val="left"/>
    </w:pPr>
  </w:p>
  <w:tbl>
    <w:tblPr>
      <w:tblStyle w:val="a0"/>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E0598" w14:paraId="4E2B2D69" w14:textId="77777777">
      <w:trPr>
        <w:trHeight w:val="132"/>
      </w:trPr>
      <w:tc>
        <w:tcPr>
          <w:tcW w:w="2691" w:type="dxa"/>
        </w:tcPr>
        <w:p w14:paraId="4E2B2D67" w14:textId="77777777" w:rsidR="005E0598" w:rsidRDefault="005E0598">
          <w:pPr>
            <w:tabs>
              <w:tab w:val="right" w:pos="8838"/>
            </w:tabs>
            <w:ind w:right="-105"/>
            <w:rPr>
              <w:b/>
            </w:rPr>
          </w:pPr>
          <w:r>
            <w:rPr>
              <w:b/>
            </w:rPr>
            <w:t>Recurso de Revisión:</w:t>
          </w:r>
        </w:p>
      </w:tc>
      <w:tc>
        <w:tcPr>
          <w:tcW w:w="3405" w:type="dxa"/>
        </w:tcPr>
        <w:p w14:paraId="4E2B2D68" w14:textId="77777777" w:rsidR="005E0598" w:rsidRDefault="005E0598">
          <w:pPr>
            <w:tabs>
              <w:tab w:val="right" w:pos="8838"/>
            </w:tabs>
            <w:ind w:left="-28" w:right="-32"/>
          </w:pPr>
          <w:r>
            <w:t>03846/INFOEM/IP/RR/2020</w:t>
          </w:r>
        </w:p>
      </w:tc>
    </w:tr>
    <w:tr w:rsidR="005E0598" w14:paraId="4E2B2D6C" w14:textId="77777777">
      <w:trPr>
        <w:trHeight w:val="261"/>
      </w:trPr>
      <w:tc>
        <w:tcPr>
          <w:tcW w:w="2691" w:type="dxa"/>
        </w:tcPr>
        <w:p w14:paraId="4E2B2D6A" w14:textId="77777777" w:rsidR="005E0598" w:rsidRDefault="005E0598">
          <w:pPr>
            <w:tabs>
              <w:tab w:val="right" w:pos="8838"/>
            </w:tabs>
            <w:ind w:right="-105"/>
            <w:rPr>
              <w:b/>
            </w:rPr>
          </w:pPr>
          <w:r>
            <w:rPr>
              <w:b/>
            </w:rPr>
            <w:t>Sujeto Obligado:</w:t>
          </w:r>
        </w:p>
      </w:tc>
      <w:tc>
        <w:tcPr>
          <w:tcW w:w="3405" w:type="dxa"/>
        </w:tcPr>
        <w:p w14:paraId="4E2B2D6B" w14:textId="77777777" w:rsidR="005E0598" w:rsidRDefault="005E0598">
          <w:pPr>
            <w:tabs>
              <w:tab w:val="right" w:pos="8838"/>
            </w:tabs>
            <w:ind w:right="-32"/>
          </w:pPr>
          <w:r>
            <w:t xml:space="preserve">Ayuntamiento de </w:t>
          </w:r>
          <w:proofErr w:type="spellStart"/>
          <w:r>
            <w:t>Temascalcingo</w:t>
          </w:r>
          <w:proofErr w:type="spellEnd"/>
        </w:p>
      </w:tc>
    </w:tr>
    <w:tr w:rsidR="005E0598" w14:paraId="4E2B2D6F" w14:textId="77777777">
      <w:trPr>
        <w:trHeight w:val="261"/>
      </w:trPr>
      <w:tc>
        <w:tcPr>
          <w:tcW w:w="2691" w:type="dxa"/>
        </w:tcPr>
        <w:p w14:paraId="4E2B2D6D" w14:textId="77777777" w:rsidR="005E0598" w:rsidRDefault="005E0598">
          <w:pPr>
            <w:tabs>
              <w:tab w:val="right" w:pos="8838"/>
            </w:tabs>
            <w:ind w:right="-105"/>
            <w:rPr>
              <w:b/>
            </w:rPr>
          </w:pPr>
          <w:r>
            <w:rPr>
              <w:b/>
            </w:rPr>
            <w:t>Comisionado Ponente:</w:t>
          </w:r>
        </w:p>
      </w:tc>
      <w:tc>
        <w:tcPr>
          <w:tcW w:w="3405" w:type="dxa"/>
        </w:tcPr>
        <w:p w14:paraId="4E2B2D6E" w14:textId="77777777" w:rsidR="005E0598" w:rsidRDefault="005E0598">
          <w:pPr>
            <w:tabs>
              <w:tab w:val="right" w:pos="8838"/>
            </w:tabs>
            <w:ind w:right="-32"/>
            <w:rPr>
              <w:b/>
            </w:rPr>
          </w:pPr>
          <w:r>
            <w:t>Luis Gustavo Parra Noriega</w:t>
          </w:r>
        </w:p>
      </w:tc>
    </w:tr>
  </w:tbl>
  <w:p w14:paraId="4E2B2D70" w14:textId="77777777" w:rsidR="005E0598" w:rsidRDefault="00CE757C">
    <w:pPr>
      <w:pBdr>
        <w:top w:val="nil"/>
        <w:left w:val="nil"/>
        <w:bottom w:val="nil"/>
        <w:right w:val="nil"/>
        <w:between w:val="nil"/>
      </w:pBdr>
      <w:tabs>
        <w:tab w:val="center" w:pos="4419"/>
        <w:tab w:val="right" w:pos="8838"/>
      </w:tabs>
      <w:spacing w:after="0" w:line="240" w:lineRule="auto"/>
      <w:rPr>
        <w:color w:val="000000"/>
      </w:rPr>
    </w:pPr>
    <w:r>
      <w:rPr>
        <w:color w:val="000000"/>
      </w:rPr>
      <w:pict w14:anchorId="4E2B2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71" w14:textId="55F78CFA" w:rsidR="005E0598" w:rsidRDefault="00CE757C">
    <w:pPr>
      <w:widowControl w:val="0"/>
      <w:pBdr>
        <w:top w:val="nil"/>
        <w:left w:val="nil"/>
        <w:bottom w:val="nil"/>
        <w:right w:val="nil"/>
        <w:between w:val="nil"/>
      </w:pBdr>
      <w:spacing w:after="0" w:line="276" w:lineRule="auto"/>
      <w:jc w:val="left"/>
      <w:rPr>
        <w:color w:val="000000"/>
      </w:rPr>
    </w:pPr>
    <w:r>
      <w:rPr>
        <w:color w:val="000000"/>
      </w:rPr>
      <w:pict w14:anchorId="4E2B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5.1pt;margin-top:-154.25pt;width:663.5pt;height:12in;z-index:-251659776;mso-position-horizontal-relative:margin;mso-position-vertical-relative:margin">
          <v:imagedata r:id="rId1" o:title="image2"/>
          <w10:wrap anchorx="margin" anchory="margin"/>
        </v:shape>
      </w:pict>
    </w:r>
  </w:p>
  <w:tbl>
    <w:tblPr>
      <w:tblStyle w:val="a1"/>
      <w:tblW w:w="6303"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612"/>
    </w:tblGrid>
    <w:tr w:rsidR="005E0598" w14:paraId="4E2B2D74" w14:textId="77777777">
      <w:trPr>
        <w:trHeight w:val="132"/>
      </w:trPr>
      <w:tc>
        <w:tcPr>
          <w:tcW w:w="2691" w:type="dxa"/>
        </w:tcPr>
        <w:p w14:paraId="4E2B2D72" w14:textId="77777777" w:rsidR="005E0598" w:rsidRDefault="005E0598">
          <w:pPr>
            <w:tabs>
              <w:tab w:val="right" w:pos="8838"/>
            </w:tabs>
            <w:ind w:right="-105"/>
            <w:rPr>
              <w:b/>
            </w:rPr>
          </w:pPr>
          <w:r>
            <w:rPr>
              <w:b/>
            </w:rPr>
            <w:t>Recurso de Revisión:</w:t>
          </w:r>
        </w:p>
      </w:tc>
      <w:tc>
        <w:tcPr>
          <w:tcW w:w="3612" w:type="dxa"/>
        </w:tcPr>
        <w:p w14:paraId="4E2B2D73" w14:textId="1B264B27" w:rsidR="005E0598" w:rsidRDefault="005E0598" w:rsidP="00012EA8">
          <w:pPr>
            <w:tabs>
              <w:tab w:val="right" w:pos="8838"/>
            </w:tabs>
            <w:ind w:left="-28" w:right="-32"/>
          </w:pPr>
          <w:r>
            <w:t>05266</w:t>
          </w:r>
          <w:r w:rsidRPr="008839E3">
            <w:t>/INFOEM/IP/RR/</w:t>
          </w:r>
          <w:r>
            <w:t>2025</w:t>
          </w:r>
        </w:p>
      </w:tc>
    </w:tr>
    <w:tr w:rsidR="005E0598" w14:paraId="4E2B2D77" w14:textId="77777777">
      <w:trPr>
        <w:trHeight w:val="261"/>
      </w:trPr>
      <w:tc>
        <w:tcPr>
          <w:tcW w:w="2691" w:type="dxa"/>
        </w:tcPr>
        <w:p w14:paraId="4E2B2D75" w14:textId="77777777" w:rsidR="005E0598" w:rsidRDefault="005E0598">
          <w:pPr>
            <w:tabs>
              <w:tab w:val="right" w:pos="8838"/>
            </w:tabs>
            <w:ind w:right="-105"/>
            <w:rPr>
              <w:b/>
            </w:rPr>
          </w:pPr>
          <w:r>
            <w:rPr>
              <w:b/>
            </w:rPr>
            <w:t>Sujeto Obligado:</w:t>
          </w:r>
        </w:p>
      </w:tc>
      <w:tc>
        <w:tcPr>
          <w:tcW w:w="3612" w:type="dxa"/>
        </w:tcPr>
        <w:p w14:paraId="4E2B2D76" w14:textId="45E3E3FD" w:rsidR="005E0598" w:rsidRDefault="005E0598">
          <w:pPr>
            <w:tabs>
              <w:tab w:val="right" w:pos="8838"/>
            </w:tabs>
            <w:ind w:right="-32"/>
          </w:pPr>
          <w:r>
            <w:t>Instituto Electoral del Estado de México</w:t>
          </w:r>
        </w:p>
      </w:tc>
    </w:tr>
    <w:tr w:rsidR="005E0598" w14:paraId="4E2B2D7B" w14:textId="77777777">
      <w:trPr>
        <w:trHeight w:val="261"/>
      </w:trPr>
      <w:tc>
        <w:tcPr>
          <w:tcW w:w="2691" w:type="dxa"/>
        </w:tcPr>
        <w:p w14:paraId="4E2B2D78" w14:textId="77777777" w:rsidR="005E0598" w:rsidRDefault="005E0598">
          <w:pPr>
            <w:tabs>
              <w:tab w:val="right" w:pos="8838"/>
            </w:tabs>
            <w:ind w:right="-105"/>
            <w:rPr>
              <w:b/>
            </w:rPr>
          </w:pPr>
          <w:r>
            <w:rPr>
              <w:b/>
            </w:rPr>
            <w:t>Comisionado Ponente:</w:t>
          </w:r>
        </w:p>
      </w:tc>
      <w:tc>
        <w:tcPr>
          <w:tcW w:w="3612" w:type="dxa"/>
        </w:tcPr>
        <w:p w14:paraId="4E2B2D79" w14:textId="77777777" w:rsidR="005E0598" w:rsidRDefault="005E0598">
          <w:pPr>
            <w:tabs>
              <w:tab w:val="right" w:pos="8838"/>
            </w:tabs>
            <w:ind w:right="-32"/>
          </w:pPr>
          <w:r>
            <w:t>Luis Gustavo Parra Noriega</w:t>
          </w:r>
        </w:p>
        <w:p w14:paraId="4E2B2D7A" w14:textId="77777777" w:rsidR="005E0598" w:rsidRDefault="005E0598">
          <w:pPr>
            <w:tabs>
              <w:tab w:val="right" w:pos="8838"/>
            </w:tabs>
            <w:ind w:right="-32"/>
            <w:rPr>
              <w:b/>
            </w:rPr>
          </w:pPr>
        </w:p>
      </w:tc>
    </w:tr>
  </w:tbl>
  <w:p w14:paraId="4E2B2D7C" w14:textId="3D17D29C" w:rsidR="005E0598" w:rsidRDefault="005E059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B2D81" w14:textId="77777777" w:rsidR="005E0598" w:rsidRDefault="005E0598">
    <w:pPr>
      <w:widowControl w:val="0"/>
      <w:pBdr>
        <w:top w:val="nil"/>
        <w:left w:val="nil"/>
        <w:bottom w:val="nil"/>
        <w:right w:val="nil"/>
        <w:between w:val="nil"/>
      </w:pBdr>
      <w:spacing w:after="0" w:line="276" w:lineRule="auto"/>
      <w:jc w:val="left"/>
      <w:rPr>
        <w:color w:val="000000"/>
      </w:rPr>
    </w:pPr>
  </w:p>
  <w:tbl>
    <w:tblPr>
      <w:tblStyle w:val="a2"/>
      <w:tblW w:w="6303"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691"/>
      <w:gridCol w:w="3612"/>
    </w:tblGrid>
    <w:tr w:rsidR="005E0598" w14:paraId="4E2B2D84" w14:textId="77777777">
      <w:trPr>
        <w:trHeight w:val="132"/>
        <w:jc w:val="right"/>
      </w:trPr>
      <w:tc>
        <w:tcPr>
          <w:tcW w:w="2691" w:type="dxa"/>
        </w:tcPr>
        <w:p w14:paraId="4E2B2D82" w14:textId="77777777" w:rsidR="005E0598" w:rsidRDefault="005E0598">
          <w:pPr>
            <w:tabs>
              <w:tab w:val="right" w:pos="8838"/>
            </w:tabs>
            <w:ind w:right="-105"/>
            <w:rPr>
              <w:b/>
            </w:rPr>
          </w:pPr>
          <w:r>
            <w:rPr>
              <w:b/>
            </w:rPr>
            <w:t>Recurso de Revisión:</w:t>
          </w:r>
        </w:p>
      </w:tc>
      <w:tc>
        <w:tcPr>
          <w:tcW w:w="3612" w:type="dxa"/>
        </w:tcPr>
        <w:p w14:paraId="4E2B2D83" w14:textId="4C5A932D" w:rsidR="005E0598" w:rsidRDefault="005E0598" w:rsidP="00012EA8">
          <w:pPr>
            <w:tabs>
              <w:tab w:val="right" w:pos="8838"/>
            </w:tabs>
            <w:ind w:left="-28" w:right="-32"/>
          </w:pPr>
          <w:r>
            <w:t>05266</w:t>
          </w:r>
          <w:r w:rsidRPr="000120EC">
            <w:t>/INFOEM/IP/RR/</w:t>
          </w:r>
          <w:r>
            <w:t>2025</w:t>
          </w:r>
        </w:p>
      </w:tc>
    </w:tr>
    <w:tr w:rsidR="005E0598" w14:paraId="4E2B2D87" w14:textId="77777777">
      <w:trPr>
        <w:trHeight w:val="132"/>
        <w:jc w:val="right"/>
      </w:trPr>
      <w:tc>
        <w:tcPr>
          <w:tcW w:w="2691" w:type="dxa"/>
        </w:tcPr>
        <w:p w14:paraId="4E2B2D85" w14:textId="77777777" w:rsidR="005E0598" w:rsidRDefault="005E0598">
          <w:pPr>
            <w:tabs>
              <w:tab w:val="right" w:pos="8838"/>
            </w:tabs>
            <w:ind w:right="-105"/>
            <w:rPr>
              <w:b/>
            </w:rPr>
          </w:pPr>
          <w:r>
            <w:rPr>
              <w:b/>
            </w:rPr>
            <w:t>Recurrente:</w:t>
          </w:r>
        </w:p>
      </w:tc>
      <w:tc>
        <w:tcPr>
          <w:tcW w:w="3612" w:type="dxa"/>
        </w:tcPr>
        <w:p w14:paraId="4E2B2D86" w14:textId="05F182A3" w:rsidR="005E0598" w:rsidRDefault="00736B96">
          <w:r w:rsidRPr="00736B96">
            <w:rPr>
              <w:highlight w:val="black"/>
            </w:rPr>
            <w:t>XXXXXXXXXX</w:t>
          </w:r>
        </w:p>
      </w:tc>
    </w:tr>
    <w:tr w:rsidR="005E0598" w14:paraId="4E2B2D8A" w14:textId="77777777">
      <w:trPr>
        <w:trHeight w:val="261"/>
        <w:jc w:val="right"/>
      </w:trPr>
      <w:tc>
        <w:tcPr>
          <w:tcW w:w="2691" w:type="dxa"/>
        </w:tcPr>
        <w:p w14:paraId="4E2B2D88" w14:textId="77777777" w:rsidR="005E0598" w:rsidRDefault="005E0598">
          <w:pPr>
            <w:tabs>
              <w:tab w:val="right" w:pos="8838"/>
            </w:tabs>
            <w:ind w:right="-105"/>
            <w:rPr>
              <w:b/>
            </w:rPr>
          </w:pPr>
          <w:r>
            <w:rPr>
              <w:b/>
            </w:rPr>
            <w:t>Sujeto Obligado:</w:t>
          </w:r>
        </w:p>
      </w:tc>
      <w:tc>
        <w:tcPr>
          <w:tcW w:w="3612" w:type="dxa"/>
        </w:tcPr>
        <w:p w14:paraId="4E2B2D89" w14:textId="1E10891E" w:rsidR="005E0598" w:rsidRDefault="005E0598">
          <w:r>
            <w:t>Instituto Electoral del Estado de México</w:t>
          </w:r>
        </w:p>
      </w:tc>
    </w:tr>
    <w:tr w:rsidR="005E0598" w14:paraId="4E2B2D8D" w14:textId="77777777">
      <w:trPr>
        <w:trHeight w:val="261"/>
        <w:jc w:val="right"/>
      </w:trPr>
      <w:tc>
        <w:tcPr>
          <w:tcW w:w="2691" w:type="dxa"/>
        </w:tcPr>
        <w:p w14:paraId="4E2B2D8B" w14:textId="77777777" w:rsidR="005E0598" w:rsidRDefault="005E0598">
          <w:pPr>
            <w:tabs>
              <w:tab w:val="right" w:pos="8838"/>
            </w:tabs>
            <w:ind w:right="-105"/>
            <w:rPr>
              <w:b/>
            </w:rPr>
          </w:pPr>
          <w:r>
            <w:rPr>
              <w:b/>
            </w:rPr>
            <w:t>Comisionado Ponente:</w:t>
          </w:r>
        </w:p>
      </w:tc>
      <w:tc>
        <w:tcPr>
          <w:tcW w:w="3612" w:type="dxa"/>
        </w:tcPr>
        <w:p w14:paraId="4E2B2D8C" w14:textId="77777777" w:rsidR="005E0598" w:rsidRDefault="005E0598">
          <w:pPr>
            <w:tabs>
              <w:tab w:val="right" w:pos="8838"/>
            </w:tabs>
            <w:ind w:right="-32"/>
            <w:rPr>
              <w:b/>
            </w:rPr>
          </w:pPr>
          <w:r>
            <w:t>Luis Gustavo Parra Noriega</w:t>
          </w:r>
        </w:p>
      </w:tc>
    </w:tr>
  </w:tbl>
  <w:p w14:paraId="4E2B2D8E" w14:textId="77777777" w:rsidR="005E0598" w:rsidRDefault="00CE757C">
    <w:pPr>
      <w:pBdr>
        <w:top w:val="nil"/>
        <w:left w:val="nil"/>
        <w:bottom w:val="nil"/>
        <w:right w:val="nil"/>
        <w:between w:val="nil"/>
      </w:pBdr>
      <w:tabs>
        <w:tab w:val="center" w:pos="4419"/>
        <w:tab w:val="right" w:pos="8838"/>
      </w:tabs>
      <w:spacing w:after="0" w:line="240" w:lineRule="auto"/>
      <w:rPr>
        <w:color w:val="000000"/>
      </w:rPr>
    </w:pPr>
    <w:r>
      <w:rPr>
        <w:color w:val="000000"/>
      </w:rPr>
      <w:pict w14:anchorId="4E2B2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663.5pt;height:12in;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181"/>
    <w:multiLevelType w:val="multilevel"/>
    <w:tmpl w:val="DB0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4D2E6E"/>
    <w:multiLevelType w:val="hybridMultilevel"/>
    <w:tmpl w:val="04FA3700"/>
    <w:lvl w:ilvl="0" w:tplc="841E15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CB244BF"/>
    <w:multiLevelType w:val="hybridMultilevel"/>
    <w:tmpl w:val="233CF5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E051B2D"/>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E5046"/>
    <w:multiLevelType w:val="multilevel"/>
    <w:tmpl w:val="B67A19DC"/>
    <w:lvl w:ilvl="0">
      <w:start w:val="1"/>
      <w:numFmt w:val="decimal"/>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1E4185"/>
    <w:multiLevelType w:val="hybridMultilevel"/>
    <w:tmpl w:val="AC70D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028F0"/>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C46E5"/>
    <w:multiLevelType w:val="multilevel"/>
    <w:tmpl w:val="1D466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B661AE"/>
    <w:multiLevelType w:val="hybridMultilevel"/>
    <w:tmpl w:val="D35E7032"/>
    <w:lvl w:ilvl="0" w:tplc="200825BA">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312C1D00"/>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2618E8"/>
    <w:multiLevelType w:val="hybridMultilevel"/>
    <w:tmpl w:val="F92A4DC6"/>
    <w:lvl w:ilvl="0" w:tplc="30AEDDC2">
      <w:start w:val="12"/>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DD59E6"/>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4425CB"/>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8679F"/>
    <w:multiLevelType w:val="hybridMultilevel"/>
    <w:tmpl w:val="31E0E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51156F"/>
    <w:multiLevelType w:val="hybridMultilevel"/>
    <w:tmpl w:val="E87A10A0"/>
    <w:lvl w:ilvl="0" w:tplc="0AE6556A">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A919D2"/>
    <w:multiLevelType w:val="multilevel"/>
    <w:tmpl w:val="94D2CB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EF4F02"/>
    <w:multiLevelType w:val="hybridMultilevel"/>
    <w:tmpl w:val="688A0E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EA66341"/>
    <w:multiLevelType w:val="hybridMultilevel"/>
    <w:tmpl w:val="569E81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C269AC"/>
    <w:multiLevelType w:val="multilevel"/>
    <w:tmpl w:val="97563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505AD"/>
    <w:multiLevelType w:val="multilevel"/>
    <w:tmpl w:val="FE4E8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DD2F68"/>
    <w:multiLevelType w:val="multilevel"/>
    <w:tmpl w:val="B734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A81A3C"/>
    <w:multiLevelType w:val="hybridMultilevel"/>
    <w:tmpl w:val="51F0F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8B0CB8"/>
    <w:multiLevelType w:val="hybridMultilevel"/>
    <w:tmpl w:val="4F2C9E32"/>
    <w:lvl w:ilvl="0" w:tplc="0AE6556A">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9"/>
  </w:num>
  <w:num w:numId="4">
    <w:abstractNumId w:val="0"/>
  </w:num>
  <w:num w:numId="5">
    <w:abstractNumId w:val="20"/>
  </w:num>
  <w:num w:numId="6">
    <w:abstractNumId w:val="21"/>
  </w:num>
  <w:num w:numId="7">
    <w:abstractNumId w:val="6"/>
  </w:num>
  <w:num w:numId="8">
    <w:abstractNumId w:val="13"/>
  </w:num>
  <w:num w:numId="9">
    <w:abstractNumId w:val="3"/>
  </w:num>
  <w:num w:numId="10">
    <w:abstractNumId w:val="16"/>
  </w:num>
  <w:num w:numId="11">
    <w:abstractNumId w:val="7"/>
  </w:num>
  <w:num w:numId="12">
    <w:abstractNumId w:val="12"/>
  </w:num>
  <w:num w:numId="13">
    <w:abstractNumId w:val="5"/>
  </w:num>
  <w:num w:numId="14">
    <w:abstractNumId w:val="10"/>
  </w:num>
  <w:num w:numId="15">
    <w:abstractNumId w:val="23"/>
  </w:num>
  <w:num w:numId="16">
    <w:abstractNumId w:val="15"/>
  </w:num>
  <w:num w:numId="17">
    <w:abstractNumId w:val="14"/>
  </w:num>
  <w:num w:numId="18">
    <w:abstractNumId w:val="18"/>
  </w:num>
  <w:num w:numId="19">
    <w:abstractNumId w:val="1"/>
  </w:num>
  <w:num w:numId="20">
    <w:abstractNumId w:val="22"/>
  </w:num>
  <w:num w:numId="21">
    <w:abstractNumId w:val="17"/>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CD"/>
    <w:rsid w:val="000030E6"/>
    <w:rsid w:val="000120EC"/>
    <w:rsid w:val="00012518"/>
    <w:rsid w:val="00012EA8"/>
    <w:rsid w:val="0002015A"/>
    <w:rsid w:val="00030C99"/>
    <w:rsid w:val="0004148C"/>
    <w:rsid w:val="00052578"/>
    <w:rsid w:val="00052AD3"/>
    <w:rsid w:val="00056009"/>
    <w:rsid w:val="00056F2C"/>
    <w:rsid w:val="00061380"/>
    <w:rsid w:val="0006297B"/>
    <w:rsid w:val="00066A8C"/>
    <w:rsid w:val="0007083B"/>
    <w:rsid w:val="000741C0"/>
    <w:rsid w:val="00081431"/>
    <w:rsid w:val="00082DB7"/>
    <w:rsid w:val="00082E5D"/>
    <w:rsid w:val="0008658C"/>
    <w:rsid w:val="00086AF2"/>
    <w:rsid w:val="00092E25"/>
    <w:rsid w:val="000A04AD"/>
    <w:rsid w:val="000A322E"/>
    <w:rsid w:val="000B4B40"/>
    <w:rsid w:val="000C10D9"/>
    <w:rsid w:val="000C2E58"/>
    <w:rsid w:val="000C4623"/>
    <w:rsid w:val="000D20DF"/>
    <w:rsid w:val="000D39BB"/>
    <w:rsid w:val="000E0A9B"/>
    <w:rsid w:val="000E199E"/>
    <w:rsid w:val="000F1267"/>
    <w:rsid w:val="000F2472"/>
    <w:rsid w:val="000F4F3F"/>
    <w:rsid w:val="000F51D8"/>
    <w:rsid w:val="001006EE"/>
    <w:rsid w:val="0010335A"/>
    <w:rsid w:val="00105757"/>
    <w:rsid w:val="00114BBB"/>
    <w:rsid w:val="0011639D"/>
    <w:rsid w:val="0012370C"/>
    <w:rsid w:val="00144DE2"/>
    <w:rsid w:val="001465EC"/>
    <w:rsid w:val="00150876"/>
    <w:rsid w:val="001529C4"/>
    <w:rsid w:val="00155A63"/>
    <w:rsid w:val="00156EE2"/>
    <w:rsid w:val="001772DA"/>
    <w:rsid w:val="00184633"/>
    <w:rsid w:val="001854AC"/>
    <w:rsid w:val="00187572"/>
    <w:rsid w:val="00191850"/>
    <w:rsid w:val="001950A3"/>
    <w:rsid w:val="001976EB"/>
    <w:rsid w:val="001A17D4"/>
    <w:rsid w:val="001A77CD"/>
    <w:rsid w:val="001B413C"/>
    <w:rsid w:val="001B6EF4"/>
    <w:rsid w:val="001C72FE"/>
    <w:rsid w:val="001D1FEC"/>
    <w:rsid w:val="001D3E7B"/>
    <w:rsid w:val="001E3ACC"/>
    <w:rsid w:val="001F73BB"/>
    <w:rsid w:val="00201B7E"/>
    <w:rsid w:val="00205646"/>
    <w:rsid w:val="002061A3"/>
    <w:rsid w:val="00206591"/>
    <w:rsid w:val="00221469"/>
    <w:rsid w:val="00221974"/>
    <w:rsid w:val="002325CA"/>
    <w:rsid w:val="00240754"/>
    <w:rsid w:val="00243793"/>
    <w:rsid w:val="002458F7"/>
    <w:rsid w:val="002469AC"/>
    <w:rsid w:val="00252B51"/>
    <w:rsid w:val="00262719"/>
    <w:rsid w:val="00273F1D"/>
    <w:rsid w:val="002773C7"/>
    <w:rsid w:val="0029103D"/>
    <w:rsid w:val="00295217"/>
    <w:rsid w:val="002971D8"/>
    <w:rsid w:val="002B6101"/>
    <w:rsid w:val="002C4E37"/>
    <w:rsid w:val="002D0B77"/>
    <w:rsid w:val="002D2839"/>
    <w:rsid w:val="002D3FD2"/>
    <w:rsid w:val="002D47E5"/>
    <w:rsid w:val="002E515D"/>
    <w:rsid w:val="002F22BA"/>
    <w:rsid w:val="002F2780"/>
    <w:rsid w:val="002F2848"/>
    <w:rsid w:val="002F706E"/>
    <w:rsid w:val="003068DD"/>
    <w:rsid w:val="0031022E"/>
    <w:rsid w:val="00314FEA"/>
    <w:rsid w:val="003168A8"/>
    <w:rsid w:val="00316B7F"/>
    <w:rsid w:val="003261A0"/>
    <w:rsid w:val="003351AF"/>
    <w:rsid w:val="00335233"/>
    <w:rsid w:val="0033552E"/>
    <w:rsid w:val="00346C42"/>
    <w:rsid w:val="0035508A"/>
    <w:rsid w:val="0036227C"/>
    <w:rsid w:val="00380F9A"/>
    <w:rsid w:val="00380FC6"/>
    <w:rsid w:val="00390A10"/>
    <w:rsid w:val="003A0845"/>
    <w:rsid w:val="003D5A84"/>
    <w:rsid w:val="003D7ACA"/>
    <w:rsid w:val="003E39C9"/>
    <w:rsid w:val="003E63A0"/>
    <w:rsid w:val="003E750B"/>
    <w:rsid w:val="003F21E0"/>
    <w:rsid w:val="003F48F9"/>
    <w:rsid w:val="003F5D8C"/>
    <w:rsid w:val="004107F0"/>
    <w:rsid w:val="00414D4F"/>
    <w:rsid w:val="004167CD"/>
    <w:rsid w:val="004179B1"/>
    <w:rsid w:val="0042303B"/>
    <w:rsid w:val="00425779"/>
    <w:rsid w:val="00425A23"/>
    <w:rsid w:val="0042749C"/>
    <w:rsid w:val="00431978"/>
    <w:rsid w:val="0043346E"/>
    <w:rsid w:val="004410EB"/>
    <w:rsid w:val="00454656"/>
    <w:rsid w:val="00456EBD"/>
    <w:rsid w:val="004570F4"/>
    <w:rsid w:val="004611D7"/>
    <w:rsid w:val="004708D7"/>
    <w:rsid w:val="00490F6E"/>
    <w:rsid w:val="00492EA3"/>
    <w:rsid w:val="004942EB"/>
    <w:rsid w:val="00496C0A"/>
    <w:rsid w:val="004A483D"/>
    <w:rsid w:val="004A624D"/>
    <w:rsid w:val="004B2C3D"/>
    <w:rsid w:val="004B3780"/>
    <w:rsid w:val="004B688B"/>
    <w:rsid w:val="004C2C51"/>
    <w:rsid w:val="004C456A"/>
    <w:rsid w:val="004E0D0B"/>
    <w:rsid w:val="004E3FA2"/>
    <w:rsid w:val="004E7005"/>
    <w:rsid w:val="004E7602"/>
    <w:rsid w:val="004F1C14"/>
    <w:rsid w:val="004F2BD6"/>
    <w:rsid w:val="005017B1"/>
    <w:rsid w:val="0051691B"/>
    <w:rsid w:val="00525A8F"/>
    <w:rsid w:val="00527116"/>
    <w:rsid w:val="005321B0"/>
    <w:rsid w:val="00545F97"/>
    <w:rsid w:val="00562F18"/>
    <w:rsid w:val="00580476"/>
    <w:rsid w:val="00582DEF"/>
    <w:rsid w:val="00585324"/>
    <w:rsid w:val="00593278"/>
    <w:rsid w:val="00596D4C"/>
    <w:rsid w:val="005A1567"/>
    <w:rsid w:val="005A45DD"/>
    <w:rsid w:val="005B03BF"/>
    <w:rsid w:val="005B04A8"/>
    <w:rsid w:val="005B655F"/>
    <w:rsid w:val="005C12CD"/>
    <w:rsid w:val="005C24B2"/>
    <w:rsid w:val="005C449B"/>
    <w:rsid w:val="005D323C"/>
    <w:rsid w:val="005D6C11"/>
    <w:rsid w:val="005E0598"/>
    <w:rsid w:val="005E445B"/>
    <w:rsid w:val="005E6546"/>
    <w:rsid w:val="00610F0F"/>
    <w:rsid w:val="00611A35"/>
    <w:rsid w:val="006258BE"/>
    <w:rsid w:val="00630AA2"/>
    <w:rsid w:val="00635496"/>
    <w:rsid w:val="0065752C"/>
    <w:rsid w:val="006655A7"/>
    <w:rsid w:val="00680DE4"/>
    <w:rsid w:val="0069033A"/>
    <w:rsid w:val="00692343"/>
    <w:rsid w:val="006944A7"/>
    <w:rsid w:val="0069784D"/>
    <w:rsid w:val="006A6AAC"/>
    <w:rsid w:val="006A798E"/>
    <w:rsid w:val="006B2348"/>
    <w:rsid w:val="006B470E"/>
    <w:rsid w:val="006C60AB"/>
    <w:rsid w:val="006C6FB2"/>
    <w:rsid w:val="006D0AB0"/>
    <w:rsid w:val="006D201C"/>
    <w:rsid w:val="006D3BC5"/>
    <w:rsid w:val="006E0EF5"/>
    <w:rsid w:val="006E1D38"/>
    <w:rsid w:val="006E571C"/>
    <w:rsid w:val="006F196A"/>
    <w:rsid w:val="006F6F48"/>
    <w:rsid w:val="007000BE"/>
    <w:rsid w:val="00700DF3"/>
    <w:rsid w:val="007071CA"/>
    <w:rsid w:val="007127CC"/>
    <w:rsid w:val="007236CC"/>
    <w:rsid w:val="0073085F"/>
    <w:rsid w:val="00736B96"/>
    <w:rsid w:val="00737CA1"/>
    <w:rsid w:val="0074357E"/>
    <w:rsid w:val="007511AC"/>
    <w:rsid w:val="00751569"/>
    <w:rsid w:val="00754C62"/>
    <w:rsid w:val="0076477B"/>
    <w:rsid w:val="007659BD"/>
    <w:rsid w:val="00771D21"/>
    <w:rsid w:val="00773E59"/>
    <w:rsid w:val="00774242"/>
    <w:rsid w:val="007751A3"/>
    <w:rsid w:val="00790CF1"/>
    <w:rsid w:val="00790F4B"/>
    <w:rsid w:val="007924DC"/>
    <w:rsid w:val="007926F2"/>
    <w:rsid w:val="007B1CD3"/>
    <w:rsid w:val="007B3BF0"/>
    <w:rsid w:val="007B6FE1"/>
    <w:rsid w:val="007E2BE1"/>
    <w:rsid w:val="007F2EFA"/>
    <w:rsid w:val="0080041B"/>
    <w:rsid w:val="00811A4F"/>
    <w:rsid w:val="00814150"/>
    <w:rsid w:val="008177A3"/>
    <w:rsid w:val="00821E73"/>
    <w:rsid w:val="0082542D"/>
    <w:rsid w:val="008261C7"/>
    <w:rsid w:val="00837442"/>
    <w:rsid w:val="008413C2"/>
    <w:rsid w:val="00851E1F"/>
    <w:rsid w:val="00857C63"/>
    <w:rsid w:val="00861164"/>
    <w:rsid w:val="008619FE"/>
    <w:rsid w:val="00865C4B"/>
    <w:rsid w:val="00872736"/>
    <w:rsid w:val="00872F23"/>
    <w:rsid w:val="00876FDD"/>
    <w:rsid w:val="008839E3"/>
    <w:rsid w:val="00883FE9"/>
    <w:rsid w:val="0088729C"/>
    <w:rsid w:val="0089059B"/>
    <w:rsid w:val="008907E4"/>
    <w:rsid w:val="008A1283"/>
    <w:rsid w:val="008A29B9"/>
    <w:rsid w:val="008A33F9"/>
    <w:rsid w:val="008A65DA"/>
    <w:rsid w:val="008A7486"/>
    <w:rsid w:val="008B7BC6"/>
    <w:rsid w:val="008C30BF"/>
    <w:rsid w:val="008D7B3B"/>
    <w:rsid w:val="008D7D11"/>
    <w:rsid w:val="008E3448"/>
    <w:rsid w:val="008E6F77"/>
    <w:rsid w:val="00902358"/>
    <w:rsid w:val="00904DBC"/>
    <w:rsid w:val="00912AC8"/>
    <w:rsid w:val="00921459"/>
    <w:rsid w:val="00923EC9"/>
    <w:rsid w:val="009302CD"/>
    <w:rsid w:val="009348AA"/>
    <w:rsid w:val="00937E20"/>
    <w:rsid w:val="00940C97"/>
    <w:rsid w:val="00943C8F"/>
    <w:rsid w:val="00945290"/>
    <w:rsid w:val="0094670D"/>
    <w:rsid w:val="00952E0A"/>
    <w:rsid w:val="009615B6"/>
    <w:rsid w:val="00990F09"/>
    <w:rsid w:val="009928BA"/>
    <w:rsid w:val="00993DD0"/>
    <w:rsid w:val="009A47A7"/>
    <w:rsid w:val="009D0CD7"/>
    <w:rsid w:val="009D7C4A"/>
    <w:rsid w:val="009E4FCF"/>
    <w:rsid w:val="009E7440"/>
    <w:rsid w:val="00A00569"/>
    <w:rsid w:val="00A05301"/>
    <w:rsid w:val="00A13325"/>
    <w:rsid w:val="00A237ED"/>
    <w:rsid w:val="00A25F84"/>
    <w:rsid w:val="00A40203"/>
    <w:rsid w:val="00A40F7E"/>
    <w:rsid w:val="00A465E3"/>
    <w:rsid w:val="00A534EB"/>
    <w:rsid w:val="00A61E8D"/>
    <w:rsid w:val="00A67F67"/>
    <w:rsid w:val="00A80004"/>
    <w:rsid w:val="00A81745"/>
    <w:rsid w:val="00A81939"/>
    <w:rsid w:val="00A81D63"/>
    <w:rsid w:val="00A97B86"/>
    <w:rsid w:val="00AD1861"/>
    <w:rsid w:val="00AD2A47"/>
    <w:rsid w:val="00AD7C9D"/>
    <w:rsid w:val="00AE2295"/>
    <w:rsid w:val="00AF18C3"/>
    <w:rsid w:val="00AF206D"/>
    <w:rsid w:val="00AF27DD"/>
    <w:rsid w:val="00AF3EBD"/>
    <w:rsid w:val="00B12E24"/>
    <w:rsid w:val="00B141B0"/>
    <w:rsid w:val="00B171A6"/>
    <w:rsid w:val="00B213FA"/>
    <w:rsid w:val="00B229EB"/>
    <w:rsid w:val="00B2762D"/>
    <w:rsid w:val="00B320F8"/>
    <w:rsid w:val="00B43133"/>
    <w:rsid w:val="00B44317"/>
    <w:rsid w:val="00B52822"/>
    <w:rsid w:val="00B52EF1"/>
    <w:rsid w:val="00B667E4"/>
    <w:rsid w:val="00B74F84"/>
    <w:rsid w:val="00B96324"/>
    <w:rsid w:val="00B972B1"/>
    <w:rsid w:val="00B97ABE"/>
    <w:rsid w:val="00BA1228"/>
    <w:rsid w:val="00BA157F"/>
    <w:rsid w:val="00BA5E37"/>
    <w:rsid w:val="00BB0CAF"/>
    <w:rsid w:val="00BB1EE2"/>
    <w:rsid w:val="00BB2198"/>
    <w:rsid w:val="00BD1FCA"/>
    <w:rsid w:val="00BD64DB"/>
    <w:rsid w:val="00BE0A58"/>
    <w:rsid w:val="00BE2C71"/>
    <w:rsid w:val="00C01774"/>
    <w:rsid w:val="00C1686E"/>
    <w:rsid w:val="00C258FD"/>
    <w:rsid w:val="00C27C93"/>
    <w:rsid w:val="00C319F9"/>
    <w:rsid w:val="00C3649B"/>
    <w:rsid w:val="00C374DA"/>
    <w:rsid w:val="00C45B9C"/>
    <w:rsid w:val="00C5058F"/>
    <w:rsid w:val="00C5070D"/>
    <w:rsid w:val="00C534C9"/>
    <w:rsid w:val="00C539AD"/>
    <w:rsid w:val="00C54E5A"/>
    <w:rsid w:val="00C57AC7"/>
    <w:rsid w:val="00C61435"/>
    <w:rsid w:val="00C672B8"/>
    <w:rsid w:val="00C71192"/>
    <w:rsid w:val="00C72426"/>
    <w:rsid w:val="00C7421B"/>
    <w:rsid w:val="00C76A18"/>
    <w:rsid w:val="00C77DFD"/>
    <w:rsid w:val="00C87378"/>
    <w:rsid w:val="00C9456F"/>
    <w:rsid w:val="00CA279B"/>
    <w:rsid w:val="00CB26B9"/>
    <w:rsid w:val="00CB6501"/>
    <w:rsid w:val="00CC5C1D"/>
    <w:rsid w:val="00CD6EA0"/>
    <w:rsid w:val="00CE757C"/>
    <w:rsid w:val="00CF035A"/>
    <w:rsid w:val="00D13031"/>
    <w:rsid w:val="00D13AE8"/>
    <w:rsid w:val="00D14AF1"/>
    <w:rsid w:val="00D164EA"/>
    <w:rsid w:val="00D17DC8"/>
    <w:rsid w:val="00D35A09"/>
    <w:rsid w:val="00D45CA3"/>
    <w:rsid w:val="00D46AC1"/>
    <w:rsid w:val="00D53F9E"/>
    <w:rsid w:val="00D755D1"/>
    <w:rsid w:val="00D76D71"/>
    <w:rsid w:val="00D80AB7"/>
    <w:rsid w:val="00D81185"/>
    <w:rsid w:val="00D843CA"/>
    <w:rsid w:val="00D86832"/>
    <w:rsid w:val="00D91638"/>
    <w:rsid w:val="00D92B00"/>
    <w:rsid w:val="00DB1AAD"/>
    <w:rsid w:val="00DB239F"/>
    <w:rsid w:val="00DB353B"/>
    <w:rsid w:val="00DD6D36"/>
    <w:rsid w:val="00DE1620"/>
    <w:rsid w:val="00DF62E8"/>
    <w:rsid w:val="00E06FF5"/>
    <w:rsid w:val="00E07D49"/>
    <w:rsid w:val="00E11D1A"/>
    <w:rsid w:val="00E130EA"/>
    <w:rsid w:val="00E13A85"/>
    <w:rsid w:val="00E245B3"/>
    <w:rsid w:val="00E24AEC"/>
    <w:rsid w:val="00E25C67"/>
    <w:rsid w:val="00E311C2"/>
    <w:rsid w:val="00E31745"/>
    <w:rsid w:val="00E3495C"/>
    <w:rsid w:val="00E40A27"/>
    <w:rsid w:val="00E423BE"/>
    <w:rsid w:val="00E50C83"/>
    <w:rsid w:val="00E51687"/>
    <w:rsid w:val="00E5215F"/>
    <w:rsid w:val="00E53550"/>
    <w:rsid w:val="00E6167B"/>
    <w:rsid w:val="00E72B8A"/>
    <w:rsid w:val="00E76DB0"/>
    <w:rsid w:val="00E814DE"/>
    <w:rsid w:val="00E84C68"/>
    <w:rsid w:val="00E84D43"/>
    <w:rsid w:val="00E92D88"/>
    <w:rsid w:val="00E962C7"/>
    <w:rsid w:val="00EB66BE"/>
    <w:rsid w:val="00EC2741"/>
    <w:rsid w:val="00EC2B6B"/>
    <w:rsid w:val="00EC2E20"/>
    <w:rsid w:val="00EC5C49"/>
    <w:rsid w:val="00ED1FBE"/>
    <w:rsid w:val="00ED55F8"/>
    <w:rsid w:val="00EE5D5C"/>
    <w:rsid w:val="00EF141D"/>
    <w:rsid w:val="00EF15D7"/>
    <w:rsid w:val="00F03F3A"/>
    <w:rsid w:val="00F11F2F"/>
    <w:rsid w:val="00F20DA8"/>
    <w:rsid w:val="00F245E8"/>
    <w:rsid w:val="00F30582"/>
    <w:rsid w:val="00F45566"/>
    <w:rsid w:val="00F507B9"/>
    <w:rsid w:val="00F57896"/>
    <w:rsid w:val="00F70B3E"/>
    <w:rsid w:val="00F756F1"/>
    <w:rsid w:val="00F762C3"/>
    <w:rsid w:val="00F76C0E"/>
    <w:rsid w:val="00F82E40"/>
    <w:rsid w:val="00F85CE8"/>
    <w:rsid w:val="00F903A0"/>
    <w:rsid w:val="00F94DE0"/>
    <w:rsid w:val="00F95701"/>
    <w:rsid w:val="00F974EF"/>
    <w:rsid w:val="00FA08EA"/>
    <w:rsid w:val="00FA2149"/>
    <w:rsid w:val="00FC1C03"/>
    <w:rsid w:val="00FC27C6"/>
    <w:rsid w:val="00FC41C8"/>
    <w:rsid w:val="00FC5AA5"/>
    <w:rsid w:val="00FC7C65"/>
    <w:rsid w:val="00FD1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B2B0D"/>
  <w15:docId w15:val="{6583DFA2-A44B-4675-8858-9CB1BE2C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82"/>
    <w:rPr>
      <w:color w:val="000000" w:themeColor="text1"/>
    </w:rPr>
  </w:style>
  <w:style w:type="paragraph" w:styleId="Ttulo1">
    <w:name w:val="heading 1"/>
    <w:basedOn w:val="Normal"/>
    <w:next w:val="Normal"/>
    <w:link w:val="Ttulo1Car"/>
    <w:uiPriority w:val="9"/>
    <w:qFormat/>
    <w:rsid w:val="004107F0"/>
    <w:pPr>
      <w:keepNext/>
      <w:keepLines/>
      <w:spacing w:before="240" w:after="0" w:line="240" w:lineRule="auto"/>
      <w:jc w:val="center"/>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076BF9"/>
    <w:pPr>
      <w:keepNext/>
      <w:keepLines/>
      <w:spacing w:before="40" w:after="0"/>
      <w:outlineLvl w:val="1"/>
    </w:pPr>
    <w:rPr>
      <w:rFonts w:eastAsiaTheme="majorEastAsia" w:cstheme="majorBidi"/>
      <w:b/>
      <w:color w:val="auto"/>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59"/>
    <w:rsid w:val="001B2D8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637689"/>
    <w:rPr>
      <w:color w:val="0563C1" w:themeColor="hyperlink"/>
      <w:u w:val="single"/>
    </w:rPr>
  </w:style>
  <w:style w:type="character" w:customStyle="1" w:styleId="UnresolvedMention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customStyle="1" w:styleId="Mencinsinresolver1">
    <w:name w:val="Mención sin resolver1"/>
    <w:basedOn w:val="Fuentedeprrafopredeter"/>
    <w:uiPriority w:val="99"/>
    <w:semiHidden/>
    <w:unhideWhenUsed/>
    <w:rsid w:val="000F2BF0"/>
    <w:rPr>
      <w:color w:val="605E5C"/>
      <w:shd w:val="clear" w:color="auto" w:fill="E1DFDD"/>
    </w:rPr>
  </w:style>
  <w:style w:type="paragraph" w:customStyle="1" w:styleId="x-scope">
    <w:name w:val="x-scope"/>
    <w:basedOn w:val="Normal"/>
    <w:rsid w:val="00180994"/>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qowt-font6-palatinolinotype">
    <w:name w:val="qowt-font6-palatinolinotype"/>
    <w:basedOn w:val="Fuentedeprrafopredeter"/>
    <w:rsid w:val="00180994"/>
  </w:style>
  <w:style w:type="paragraph" w:customStyle="1" w:styleId="Default">
    <w:name w:val="Default"/>
    <w:rsid w:val="00180994"/>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120F5"/>
    <w:pPr>
      <w:spacing w:after="0" w:line="240" w:lineRule="auto"/>
    </w:pPr>
    <w:rPr>
      <w:color w:val="000000" w:themeColor="text1"/>
    </w:rPr>
  </w:style>
  <w:style w:type="character" w:customStyle="1" w:styleId="bold">
    <w:name w:val="bold"/>
    <w:basedOn w:val="Fuentedeprrafopredeter"/>
    <w:rsid w:val="00CD6EFD"/>
  </w:style>
  <w:style w:type="character" w:customStyle="1" w:styleId="ng-star-inserted">
    <w:name w:val="ng-star-inserted"/>
    <w:basedOn w:val="Fuentedeprrafopredeter"/>
    <w:rsid w:val="00CD6EFD"/>
  </w:style>
  <w:style w:type="character" w:customStyle="1" w:styleId="Ttulo1Car">
    <w:name w:val="Título 1 Car"/>
    <w:basedOn w:val="Fuentedeprrafopredeter"/>
    <w:link w:val="Ttulo1"/>
    <w:uiPriority w:val="9"/>
    <w:rsid w:val="004107F0"/>
    <w:rPr>
      <w:rFonts w:eastAsiaTheme="majorEastAsia" w:cstheme="majorBidi"/>
      <w:b/>
      <w:szCs w:val="32"/>
    </w:rPr>
  </w:style>
  <w:style w:type="paragraph" w:styleId="TtulodeTDC">
    <w:name w:val="TOC Heading"/>
    <w:basedOn w:val="Ttulo1"/>
    <w:next w:val="Normal"/>
    <w:uiPriority w:val="39"/>
    <w:unhideWhenUsed/>
    <w:qFormat/>
    <w:rsid w:val="00296C40"/>
    <w:pPr>
      <w:jc w:val="left"/>
      <w:outlineLvl w:val="9"/>
    </w:pPr>
  </w:style>
  <w:style w:type="paragraph" w:styleId="TDC1">
    <w:name w:val="toc 1"/>
    <w:basedOn w:val="Normal"/>
    <w:next w:val="Normal"/>
    <w:autoRedefine/>
    <w:uiPriority w:val="39"/>
    <w:unhideWhenUsed/>
    <w:rsid w:val="00296C40"/>
    <w:pPr>
      <w:spacing w:after="100"/>
    </w:pPr>
  </w:style>
  <w:style w:type="paragraph" w:styleId="TDC2">
    <w:name w:val="toc 2"/>
    <w:basedOn w:val="Normal"/>
    <w:next w:val="Normal"/>
    <w:autoRedefine/>
    <w:uiPriority w:val="39"/>
    <w:unhideWhenUsed/>
    <w:rsid w:val="00296C40"/>
    <w:pPr>
      <w:spacing w:after="100"/>
      <w:ind w:left="220"/>
    </w:pPr>
  </w:style>
  <w:style w:type="character" w:customStyle="1" w:styleId="Ttulo2Car">
    <w:name w:val="Título 2 Car"/>
    <w:basedOn w:val="Fuentedeprrafopredeter"/>
    <w:link w:val="Ttulo2"/>
    <w:uiPriority w:val="9"/>
    <w:rsid w:val="00076BF9"/>
    <w:rPr>
      <w:rFonts w:ascii="Palatino Linotype" w:eastAsiaTheme="majorEastAsia" w:hAnsi="Palatino Linotype" w:cstheme="majorBidi"/>
      <w:b/>
      <w:szCs w:val="26"/>
    </w:rPr>
  </w:style>
  <w:style w:type="character" w:customStyle="1" w:styleId="Mencinsinresolver2">
    <w:name w:val="Mención sin resolver2"/>
    <w:basedOn w:val="Fuentedeprrafopredeter"/>
    <w:uiPriority w:val="99"/>
    <w:semiHidden/>
    <w:unhideWhenUsed/>
    <w:rsid w:val="00C93D2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69033A"/>
    <w:pPr>
      <w:spacing w:after="0" w:line="240" w:lineRule="auto"/>
      <w:jc w:val="center"/>
    </w:pPr>
    <w:rPr>
      <w:b/>
      <w:color w:val="000000" w:themeColor="text1"/>
    </w:rPr>
  </w:style>
  <w:style w:type="character" w:customStyle="1" w:styleId="Mencinsinresolver3">
    <w:name w:val="Mención sin resolver3"/>
    <w:basedOn w:val="Fuentedeprrafopredeter"/>
    <w:uiPriority w:val="99"/>
    <w:semiHidden/>
    <w:unhideWhenUsed/>
    <w:rsid w:val="00790F4B"/>
    <w:rPr>
      <w:color w:val="605E5C"/>
      <w:shd w:val="clear" w:color="auto" w:fill="E1DFDD"/>
    </w:rPr>
  </w:style>
  <w:style w:type="character" w:customStyle="1" w:styleId="Mencinsinresolver4">
    <w:name w:val="Mención sin resolver4"/>
    <w:basedOn w:val="Fuentedeprrafopredeter"/>
    <w:uiPriority w:val="99"/>
    <w:semiHidden/>
    <w:unhideWhenUsed/>
    <w:rsid w:val="00E81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059227">
      <w:bodyDiv w:val="1"/>
      <w:marLeft w:val="0"/>
      <w:marRight w:val="0"/>
      <w:marTop w:val="0"/>
      <w:marBottom w:val="0"/>
      <w:divBdr>
        <w:top w:val="none" w:sz="0" w:space="0" w:color="auto"/>
        <w:left w:val="none" w:sz="0" w:space="0" w:color="auto"/>
        <w:bottom w:val="none" w:sz="0" w:space="0" w:color="auto"/>
        <w:right w:val="none" w:sz="0" w:space="0" w:color="auto"/>
      </w:divBdr>
    </w:div>
    <w:div w:id="760301235">
      <w:bodyDiv w:val="1"/>
      <w:marLeft w:val="0"/>
      <w:marRight w:val="0"/>
      <w:marTop w:val="0"/>
      <w:marBottom w:val="0"/>
      <w:divBdr>
        <w:top w:val="none" w:sz="0" w:space="0" w:color="auto"/>
        <w:left w:val="none" w:sz="0" w:space="0" w:color="auto"/>
        <w:bottom w:val="none" w:sz="0" w:space="0" w:color="auto"/>
        <w:right w:val="none" w:sz="0" w:space="0" w:color="auto"/>
      </w:divBdr>
    </w:div>
    <w:div w:id="943806692">
      <w:bodyDiv w:val="1"/>
      <w:marLeft w:val="0"/>
      <w:marRight w:val="0"/>
      <w:marTop w:val="0"/>
      <w:marBottom w:val="0"/>
      <w:divBdr>
        <w:top w:val="none" w:sz="0" w:space="0" w:color="auto"/>
        <w:left w:val="none" w:sz="0" w:space="0" w:color="auto"/>
        <w:bottom w:val="none" w:sz="0" w:space="0" w:color="auto"/>
        <w:right w:val="none" w:sz="0" w:space="0" w:color="auto"/>
      </w:divBdr>
    </w:div>
    <w:div w:id="1587761993">
      <w:bodyDiv w:val="1"/>
      <w:marLeft w:val="0"/>
      <w:marRight w:val="0"/>
      <w:marTop w:val="0"/>
      <w:marBottom w:val="0"/>
      <w:divBdr>
        <w:top w:val="none" w:sz="0" w:space="0" w:color="auto"/>
        <w:left w:val="none" w:sz="0" w:space="0" w:color="auto"/>
        <w:bottom w:val="none" w:sz="0" w:space="0" w:color="auto"/>
        <w:right w:val="none" w:sz="0" w:space="0" w:color="auto"/>
      </w:divBdr>
    </w:div>
    <w:div w:id="1873418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JCtmVn2ZF+OrRnYAPeD2nYGsg==">CgMxLjAyCGguZ2pkZ3hzMgloLjMwajB6bGwyCWguMWZvYjl0ZTIJaC4zem55c2g3MgloLjJldDkycDAyCGgudHlqY3d0MgloLjNkeTZ2a20yCWguMXQzaDVzZjIJaC40ZDM0b2c4MgloLjJzOGV5bzEyCWguMTdkcDh2dTIJaC4zcmRjcmpuMgloLjI2aW4xcmcyCGgubG54Yno5MgloLjM1bmt1bjIyCWguMWtzdjR1djgAciExRkJnUXl6ZDZ0QU9JRVFxRlVxTzR1bFZjVFlqR1laT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FF7B8B-9511-4CBE-A859-6393CAF5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4402</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5</cp:revision>
  <cp:lastPrinted>2025-10-10T00:29:00Z</cp:lastPrinted>
  <dcterms:created xsi:type="dcterms:W3CDTF">2025-10-10T00:29:00Z</dcterms:created>
  <dcterms:modified xsi:type="dcterms:W3CDTF">2025-10-31T00:23:00Z</dcterms:modified>
</cp:coreProperties>
</file>