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32E0A" w14:textId="77777777" w:rsidR="005942A4" w:rsidRDefault="005942A4" w:rsidP="005942A4">
      <w:pPr>
        <w:spacing w:line="360" w:lineRule="auto"/>
        <w:ind w:right="-28"/>
        <w:contextualSpacing/>
        <w:jc w:val="both"/>
        <w:rPr>
          <w:rFonts w:ascii="Palatino Linotype" w:hAnsi="Palatino Linotype" w:cs="Tahoma"/>
          <w:bCs/>
          <w:sz w:val="22"/>
          <w:szCs w:val="22"/>
        </w:rPr>
      </w:pPr>
    </w:p>
    <w:sdt>
      <w:sdtPr>
        <w:rPr>
          <w:rFonts w:ascii="Times New Roman" w:eastAsia="Times New Roman" w:hAnsi="Times New Roman" w:cs="Times New Roman"/>
          <w:color w:val="auto"/>
          <w:sz w:val="20"/>
          <w:szCs w:val="20"/>
          <w:lang w:val="es-ES" w:eastAsia="es-ES"/>
        </w:rPr>
        <w:id w:val="923763784"/>
        <w:docPartObj>
          <w:docPartGallery w:val="Table of Contents"/>
          <w:docPartUnique/>
        </w:docPartObj>
      </w:sdtPr>
      <w:sdtEndPr>
        <w:rPr>
          <w:b/>
          <w:bCs/>
        </w:rPr>
      </w:sdtEndPr>
      <w:sdtContent>
        <w:p w14:paraId="7209F95E" w14:textId="4DBAE796" w:rsidR="005942A4" w:rsidRPr="00000FAF" w:rsidRDefault="005942A4" w:rsidP="005942A4">
          <w:pPr>
            <w:pStyle w:val="TtulodeTDC"/>
            <w:spacing w:before="0" w:line="360" w:lineRule="auto"/>
            <w:contextualSpacing/>
            <w:jc w:val="center"/>
            <w:rPr>
              <w:rFonts w:ascii="Palatino Linotype" w:hAnsi="Palatino Linotype"/>
              <w:color w:val="000000" w:themeColor="text1"/>
              <w:sz w:val="22"/>
              <w:szCs w:val="22"/>
            </w:rPr>
          </w:pPr>
          <w:r w:rsidRPr="00000FAF">
            <w:rPr>
              <w:rFonts w:ascii="Palatino Linotype" w:hAnsi="Palatino Linotype"/>
              <w:color w:val="000000" w:themeColor="text1"/>
              <w:sz w:val="22"/>
              <w:szCs w:val="22"/>
              <w:lang w:val="es-ES"/>
            </w:rPr>
            <w:t xml:space="preserve">RESOLUCIÓN DEL RECURSO DE REVISIÓN </w:t>
          </w:r>
          <w:r>
            <w:rPr>
              <w:rFonts w:ascii="Palatino Linotype" w:hAnsi="Palatino Linotype"/>
              <w:color w:val="000000" w:themeColor="text1"/>
              <w:sz w:val="22"/>
              <w:szCs w:val="22"/>
              <w:lang w:val="es-ES"/>
            </w:rPr>
            <w:t>01</w:t>
          </w:r>
          <w:r w:rsidRPr="00000FAF">
            <w:rPr>
              <w:rFonts w:ascii="Palatino Linotype" w:hAnsi="Palatino Linotype"/>
              <w:color w:val="000000" w:themeColor="text1"/>
              <w:sz w:val="22"/>
              <w:szCs w:val="22"/>
              <w:lang w:val="es-ES"/>
            </w:rPr>
            <w:t>6</w:t>
          </w:r>
          <w:r>
            <w:rPr>
              <w:rFonts w:ascii="Palatino Linotype" w:hAnsi="Palatino Linotype"/>
              <w:color w:val="000000" w:themeColor="text1"/>
              <w:sz w:val="22"/>
              <w:szCs w:val="22"/>
              <w:lang w:val="es-ES"/>
            </w:rPr>
            <w:t>06</w:t>
          </w:r>
          <w:r w:rsidRPr="00000FAF">
            <w:rPr>
              <w:rFonts w:ascii="Palatino Linotype" w:hAnsi="Palatino Linotype"/>
              <w:color w:val="000000" w:themeColor="text1"/>
              <w:sz w:val="22"/>
              <w:szCs w:val="22"/>
              <w:lang w:val="es-ES"/>
            </w:rPr>
            <w:t>/INFOEM/IP/RR/2025</w:t>
          </w:r>
          <w:r>
            <w:rPr>
              <w:rFonts w:ascii="Palatino Linotype" w:hAnsi="Palatino Linotype"/>
              <w:color w:val="000000" w:themeColor="text1"/>
              <w:sz w:val="22"/>
              <w:szCs w:val="22"/>
              <w:lang w:val="es-ES"/>
            </w:rPr>
            <w:t xml:space="preserve"> Y ACUMULADO</w:t>
          </w:r>
        </w:p>
        <w:p w14:paraId="03B06CC9" w14:textId="77777777" w:rsidR="005942A4" w:rsidRPr="00000FAF" w:rsidRDefault="005942A4" w:rsidP="005942A4">
          <w:pPr>
            <w:pStyle w:val="TDC1"/>
            <w:tabs>
              <w:tab w:val="right" w:leader="dot" w:pos="9034"/>
            </w:tabs>
            <w:spacing w:after="0" w:line="360" w:lineRule="auto"/>
            <w:contextualSpacing/>
            <w:rPr>
              <w:rFonts w:ascii="Palatino Linotype" w:eastAsiaTheme="minorEastAsia" w:hAnsi="Palatino Linotype" w:cstheme="minorBidi"/>
              <w:noProof/>
              <w:color w:val="000000" w:themeColor="text1"/>
              <w:kern w:val="2"/>
              <w:sz w:val="22"/>
              <w:szCs w:val="22"/>
              <w:lang w:eastAsia="es-MX"/>
              <w14:ligatures w14:val="standardContextual"/>
            </w:rPr>
          </w:pPr>
          <w:r w:rsidRPr="00000FAF">
            <w:rPr>
              <w:rFonts w:ascii="Palatino Linotype" w:hAnsi="Palatino Linotype"/>
              <w:color w:val="000000" w:themeColor="text1"/>
              <w:sz w:val="22"/>
              <w:szCs w:val="22"/>
            </w:rPr>
            <w:fldChar w:fldCharType="begin"/>
          </w:r>
          <w:r w:rsidRPr="00000FAF">
            <w:rPr>
              <w:rFonts w:ascii="Palatino Linotype" w:hAnsi="Palatino Linotype"/>
              <w:color w:val="000000" w:themeColor="text1"/>
              <w:sz w:val="22"/>
              <w:szCs w:val="22"/>
            </w:rPr>
            <w:instrText xml:space="preserve"> TOC \o "1-3" \h \z \u </w:instrText>
          </w:r>
          <w:r w:rsidRPr="00000FAF">
            <w:rPr>
              <w:rFonts w:ascii="Palatino Linotype" w:hAnsi="Palatino Linotype"/>
              <w:color w:val="000000" w:themeColor="text1"/>
              <w:sz w:val="22"/>
              <w:szCs w:val="22"/>
            </w:rPr>
            <w:fldChar w:fldCharType="separate"/>
          </w:r>
          <w:hyperlink w:anchor="_Toc190350679" w:history="1">
            <w:r w:rsidRPr="00000FAF">
              <w:rPr>
                <w:rStyle w:val="Hipervnculo"/>
                <w:rFonts w:ascii="Palatino Linotype" w:hAnsi="Palatino Linotype"/>
                <w:noProof/>
                <w:color w:val="000000" w:themeColor="text1"/>
                <w:sz w:val="22"/>
                <w:szCs w:val="22"/>
              </w:rPr>
              <w:t>A N T E C E D E N T E S</w:t>
            </w:r>
            <w:r w:rsidRPr="00000FAF">
              <w:rPr>
                <w:rFonts w:ascii="Palatino Linotype" w:hAnsi="Palatino Linotype"/>
                <w:noProof/>
                <w:webHidden/>
                <w:color w:val="000000" w:themeColor="text1"/>
                <w:sz w:val="22"/>
                <w:szCs w:val="22"/>
              </w:rPr>
              <w:tab/>
            </w:r>
            <w:r w:rsidRPr="00000FAF">
              <w:rPr>
                <w:rFonts w:ascii="Palatino Linotype" w:hAnsi="Palatino Linotype"/>
                <w:noProof/>
                <w:webHidden/>
                <w:color w:val="000000" w:themeColor="text1"/>
                <w:sz w:val="22"/>
                <w:szCs w:val="22"/>
              </w:rPr>
              <w:fldChar w:fldCharType="begin"/>
            </w:r>
            <w:r w:rsidRPr="00000FAF">
              <w:rPr>
                <w:rFonts w:ascii="Palatino Linotype" w:hAnsi="Palatino Linotype"/>
                <w:noProof/>
                <w:webHidden/>
                <w:color w:val="000000" w:themeColor="text1"/>
                <w:sz w:val="22"/>
                <w:szCs w:val="22"/>
              </w:rPr>
              <w:instrText xml:space="preserve"> PAGEREF _Toc190350679 \h </w:instrText>
            </w:r>
            <w:r w:rsidRPr="00000FAF">
              <w:rPr>
                <w:rFonts w:ascii="Palatino Linotype" w:hAnsi="Palatino Linotype"/>
                <w:noProof/>
                <w:webHidden/>
                <w:color w:val="000000" w:themeColor="text1"/>
                <w:sz w:val="22"/>
                <w:szCs w:val="22"/>
              </w:rPr>
              <w:fldChar w:fldCharType="separate"/>
            </w:r>
            <w:r w:rsidR="006E7CF3">
              <w:rPr>
                <w:rFonts w:ascii="Palatino Linotype" w:hAnsi="Palatino Linotype"/>
                <w:b/>
                <w:bCs/>
                <w:noProof/>
                <w:webHidden/>
                <w:color w:val="000000" w:themeColor="text1"/>
                <w:sz w:val="22"/>
                <w:szCs w:val="22"/>
                <w:lang w:val="es-ES"/>
              </w:rPr>
              <w:t>¡Error! Marcador no definido.</w:t>
            </w:r>
            <w:r w:rsidRPr="00000FAF">
              <w:rPr>
                <w:rFonts w:ascii="Palatino Linotype" w:hAnsi="Palatino Linotype"/>
                <w:noProof/>
                <w:webHidden/>
                <w:color w:val="000000" w:themeColor="text1"/>
                <w:sz w:val="22"/>
                <w:szCs w:val="22"/>
              </w:rPr>
              <w:fldChar w:fldCharType="end"/>
            </w:r>
          </w:hyperlink>
        </w:p>
        <w:p w14:paraId="224A0DC0" w14:textId="7B01970F" w:rsidR="005942A4" w:rsidRPr="00000FAF" w:rsidRDefault="00220105" w:rsidP="005942A4">
          <w:pPr>
            <w:pStyle w:val="TDC2"/>
            <w:rPr>
              <w:noProof/>
            </w:rPr>
          </w:pPr>
          <w:hyperlink w:anchor="_Toc190350680" w:history="1">
            <w:r w:rsidR="005942A4" w:rsidRPr="00000FAF">
              <w:rPr>
                <w:rStyle w:val="Hipervnculo"/>
                <w:rFonts w:ascii="Palatino Linotype" w:hAnsi="Palatino Linotype"/>
                <w:noProof/>
                <w:color w:val="000000" w:themeColor="text1"/>
                <w:sz w:val="22"/>
                <w:szCs w:val="22"/>
              </w:rPr>
              <w:t>I. Presentación de la</w:t>
            </w:r>
            <w:r w:rsidR="005942A4">
              <w:rPr>
                <w:rStyle w:val="Hipervnculo"/>
                <w:rFonts w:ascii="Palatino Linotype" w:hAnsi="Palatino Linotype"/>
                <w:noProof/>
                <w:color w:val="000000" w:themeColor="text1"/>
                <w:sz w:val="22"/>
                <w:szCs w:val="22"/>
              </w:rPr>
              <w:t>s</w:t>
            </w:r>
            <w:r w:rsidR="005942A4" w:rsidRPr="00000FAF">
              <w:rPr>
                <w:rStyle w:val="Hipervnculo"/>
                <w:rFonts w:ascii="Palatino Linotype" w:hAnsi="Palatino Linotype"/>
                <w:noProof/>
                <w:color w:val="000000" w:themeColor="text1"/>
                <w:sz w:val="22"/>
                <w:szCs w:val="22"/>
              </w:rPr>
              <w:t xml:space="preserve"> solicitud</w:t>
            </w:r>
            <w:r w:rsidR="005942A4">
              <w:rPr>
                <w:rStyle w:val="Hipervnculo"/>
                <w:rFonts w:ascii="Palatino Linotype" w:hAnsi="Palatino Linotype"/>
                <w:noProof/>
                <w:color w:val="000000" w:themeColor="text1"/>
                <w:sz w:val="22"/>
                <w:szCs w:val="22"/>
              </w:rPr>
              <w:t>es</w:t>
            </w:r>
            <w:r w:rsidR="005942A4" w:rsidRPr="00000FAF">
              <w:rPr>
                <w:rStyle w:val="Hipervnculo"/>
                <w:rFonts w:ascii="Palatino Linotype" w:hAnsi="Palatino Linotype"/>
                <w:noProof/>
                <w:color w:val="000000" w:themeColor="text1"/>
                <w:sz w:val="22"/>
                <w:szCs w:val="22"/>
              </w:rPr>
              <w:t xml:space="preserve"> de información</w:t>
            </w:r>
            <w:r w:rsidR="005942A4" w:rsidRPr="00000FAF">
              <w:rPr>
                <w:noProof/>
                <w:webHidden/>
              </w:rPr>
              <w:tab/>
            </w:r>
            <w:r w:rsidR="005942A4" w:rsidRPr="00000FAF">
              <w:rPr>
                <w:noProof/>
                <w:webHidden/>
              </w:rPr>
              <w:fldChar w:fldCharType="begin"/>
            </w:r>
            <w:r w:rsidR="005942A4" w:rsidRPr="00000FAF">
              <w:rPr>
                <w:noProof/>
                <w:webHidden/>
              </w:rPr>
              <w:instrText xml:space="preserve"> PAGEREF _Toc190350680 \h </w:instrText>
            </w:r>
            <w:r w:rsidR="005942A4" w:rsidRPr="00000FAF">
              <w:rPr>
                <w:noProof/>
                <w:webHidden/>
              </w:rPr>
              <w:fldChar w:fldCharType="separate"/>
            </w:r>
            <w:r w:rsidR="006E7CF3">
              <w:rPr>
                <w:b/>
                <w:bCs/>
                <w:noProof/>
                <w:webHidden/>
                <w:lang w:val="es-ES"/>
              </w:rPr>
              <w:t>¡Error! Marcador no definido.</w:t>
            </w:r>
            <w:r w:rsidR="005942A4" w:rsidRPr="00000FAF">
              <w:rPr>
                <w:noProof/>
                <w:webHidden/>
              </w:rPr>
              <w:fldChar w:fldCharType="end"/>
            </w:r>
          </w:hyperlink>
        </w:p>
        <w:p w14:paraId="0DFE311B" w14:textId="070D248C" w:rsidR="005942A4" w:rsidRPr="00000FAF" w:rsidRDefault="00220105" w:rsidP="005942A4">
          <w:pPr>
            <w:pStyle w:val="TDC2"/>
            <w:rPr>
              <w:noProof/>
            </w:rPr>
          </w:pPr>
          <w:hyperlink w:anchor="_Toc190350681" w:history="1">
            <w:r w:rsidR="005942A4" w:rsidRPr="00000FAF">
              <w:rPr>
                <w:rStyle w:val="Hipervnculo"/>
                <w:rFonts w:ascii="Palatino Linotype" w:hAnsi="Palatino Linotype"/>
                <w:noProof/>
                <w:color w:val="000000" w:themeColor="text1"/>
                <w:sz w:val="22"/>
                <w:szCs w:val="22"/>
              </w:rPr>
              <w:t>II. Respuesta</w:t>
            </w:r>
            <w:r w:rsidR="005942A4">
              <w:rPr>
                <w:rStyle w:val="Hipervnculo"/>
                <w:rFonts w:ascii="Palatino Linotype" w:hAnsi="Palatino Linotype"/>
                <w:noProof/>
                <w:color w:val="000000" w:themeColor="text1"/>
                <w:sz w:val="22"/>
                <w:szCs w:val="22"/>
              </w:rPr>
              <w:t>s</w:t>
            </w:r>
            <w:r w:rsidR="005942A4" w:rsidRPr="00000FAF">
              <w:rPr>
                <w:rStyle w:val="Hipervnculo"/>
                <w:rFonts w:ascii="Palatino Linotype" w:hAnsi="Palatino Linotype"/>
                <w:noProof/>
                <w:color w:val="000000" w:themeColor="text1"/>
                <w:sz w:val="22"/>
                <w:szCs w:val="22"/>
              </w:rPr>
              <w:t xml:space="preserve"> del Sujeto Obligado</w:t>
            </w:r>
            <w:r w:rsidR="005942A4" w:rsidRPr="00000FAF">
              <w:rPr>
                <w:noProof/>
                <w:webHidden/>
              </w:rPr>
              <w:tab/>
            </w:r>
            <w:r w:rsidR="005942A4" w:rsidRPr="00000FAF">
              <w:rPr>
                <w:noProof/>
                <w:webHidden/>
              </w:rPr>
              <w:fldChar w:fldCharType="begin"/>
            </w:r>
            <w:r w:rsidR="005942A4" w:rsidRPr="00000FAF">
              <w:rPr>
                <w:noProof/>
                <w:webHidden/>
              </w:rPr>
              <w:instrText xml:space="preserve"> PAGEREF _Toc190350681 \h </w:instrText>
            </w:r>
            <w:r w:rsidR="005942A4" w:rsidRPr="00000FAF">
              <w:rPr>
                <w:noProof/>
                <w:webHidden/>
              </w:rPr>
              <w:fldChar w:fldCharType="separate"/>
            </w:r>
            <w:r w:rsidR="006E7CF3">
              <w:rPr>
                <w:b/>
                <w:bCs/>
                <w:noProof/>
                <w:webHidden/>
                <w:lang w:val="es-ES"/>
              </w:rPr>
              <w:t>¡Error! Marcador no definido.</w:t>
            </w:r>
            <w:r w:rsidR="005942A4" w:rsidRPr="00000FAF">
              <w:rPr>
                <w:noProof/>
                <w:webHidden/>
              </w:rPr>
              <w:fldChar w:fldCharType="end"/>
            </w:r>
          </w:hyperlink>
        </w:p>
        <w:p w14:paraId="6BAE8EAE" w14:textId="71D14040" w:rsidR="005942A4" w:rsidRPr="00000FAF" w:rsidRDefault="00220105" w:rsidP="005942A4">
          <w:pPr>
            <w:pStyle w:val="TDC2"/>
            <w:rPr>
              <w:noProof/>
            </w:rPr>
          </w:pPr>
          <w:hyperlink w:anchor="_Toc190350682" w:history="1">
            <w:r w:rsidR="005942A4" w:rsidRPr="00000FAF">
              <w:rPr>
                <w:rStyle w:val="Hipervnculo"/>
                <w:rFonts w:ascii="Palatino Linotype" w:hAnsi="Palatino Linotype"/>
                <w:noProof/>
                <w:color w:val="000000" w:themeColor="text1"/>
                <w:sz w:val="22"/>
                <w:szCs w:val="22"/>
              </w:rPr>
              <w:t>III. Interposición de</w:t>
            </w:r>
            <w:r w:rsidR="005942A4">
              <w:rPr>
                <w:rStyle w:val="Hipervnculo"/>
                <w:rFonts w:ascii="Palatino Linotype" w:hAnsi="Palatino Linotype"/>
                <w:noProof/>
                <w:color w:val="000000" w:themeColor="text1"/>
                <w:sz w:val="22"/>
                <w:szCs w:val="22"/>
              </w:rPr>
              <w:t xml:space="preserve"> </w:t>
            </w:r>
            <w:r w:rsidR="005942A4" w:rsidRPr="00000FAF">
              <w:rPr>
                <w:rStyle w:val="Hipervnculo"/>
                <w:rFonts w:ascii="Palatino Linotype" w:hAnsi="Palatino Linotype"/>
                <w:noProof/>
                <w:color w:val="000000" w:themeColor="text1"/>
                <w:sz w:val="22"/>
                <w:szCs w:val="22"/>
              </w:rPr>
              <w:t>l</w:t>
            </w:r>
            <w:r w:rsidR="005942A4">
              <w:rPr>
                <w:rStyle w:val="Hipervnculo"/>
                <w:rFonts w:ascii="Palatino Linotype" w:hAnsi="Palatino Linotype"/>
                <w:noProof/>
                <w:color w:val="000000" w:themeColor="text1"/>
                <w:sz w:val="22"/>
                <w:szCs w:val="22"/>
              </w:rPr>
              <w:t>os</w:t>
            </w:r>
            <w:r w:rsidR="005942A4" w:rsidRPr="00000FAF">
              <w:rPr>
                <w:rStyle w:val="Hipervnculo"/>
                <w:rFonts w:ascii="Palatino Linotype" w:hAnsi="Palatino Linotype"/>
                <w:noProof/>
                <w:color w:val="000000" w:themeColor="text1"/>
                <w:sz w:val="22"/>
                <w:szCs w:val="22"/>
              </w:rPr>
              <w:t xml:space="preserve"> Recurso</w:t>
            </w:r>
            <w:r w:rsidR="005942A4">
              <w:rPr>
                <w:rStyle w:val="Hipervnculo"/>
                <w:rFonts w:ascii="Palatino Linotype" w:hAnsi="Palatino Linotype"/>
                <w:noProof/>
                <w:color w:val="000000" w:themeColor="text1"/>
                <w:sz w:val="22"/>
                <w:szCs w:val="22"/>
              </w:rPr>
              <w:t>s</w:t>
            </w:r>
            <w:r w:rsidR="005942A4" w:rsidRPr="00000FAF">
              <w:rPr>
                <w:rStyle w:val="Hipervnculo"/>
                <w:rFonts w:ascii="Palatino Linotype" w:hAnsi="Palatino Linotype"/>
                <w:noProof/>
                <w:color w:val="000000" w:themeColor="text1"/>
                <w:sz w:val="22"/>
                <w:szCs w:val="22"/>
              </w:rPr>
              <w:t xml:space="preserve"> de Revisión</w:t>
            </w:r>
            <w:r w:rsidR="005942A4" w:rsidRPr="00000FAF">
              <w:rPr>
                <w:noProof/>
                <w:webHidden/>
              </w:rPr>
              <w:tab/>
            </w:r>
            <w:r w:rsidR="005942A4">
              <w:rPr>
                <w:noProof/>
                <w:webHidden/>
              </w:rPr>
              <w:t>5</w:t>
            </w:r>
          </w:hyperlink>
        </w:p>
        <w:p w14:paraId="22A49A0E" w14:textId="62D2F6B8" w:rsidR="005942A4" w:rsidRPr="00000FAF" w:rsidRDefault="00220105" w:rsidP="005942A4">
          <w:pPr>
            <w:pStyle w:val="TDC2"/>
            <w:rPr>
              <w:noProof/>
            </w:rPr>
          </w:pPr>
          <w:hyperlink w:anchor="_Toc190350683" w:history="1">
            <w:r w:rsidR="005942A4" w:rsidRPr="00000FAF">
              <w:rPr>
                <w:rStyle w:val="Hipervnculo"/>
                <w:rFonts w:ascii="Palatino Linotype" w:hAnsi="Palatino Linotype"/>
                <w:noProof/>
                <w:color w:val="000000" w:themeColor="text1"/>
                <w:sz w:val="22"/>
                <w:szCs w:val="22"/>
              </w:rPr>
              <w:t xml:space="preserve">IV. </w:t>
            </w:r>
            <w:r w:rsidR="005942A4" w:rsidRPr="00000FAF">
              <w:rPr>
                <w:rStyle w:val="Hipervnculo"/>
                <w:rFonts w:ascii="Palatino Linotype" w:eastAsia="Batang" w:hAnsi="Palatino Linotype"/>
                <w:noProof/>
                <w:color w:val="000000" w:themeColor="text1"/>
                <w:sz w:val="22"/>
                <w:szCs w:val="22"/>
              </w:rPr>
              <w:t xml:space="preserve">Trámite del </w:t>
            </w:r>
            <w:r w:rsidR="005942A4" w:rsidRPr="00000FAF">
              <w:rPr>
                <w:rStyle w:val="Hipervnculo"/>
                <w:rFonts w:ascii="Palatino Linotype" w:hAnsi="Palatino Linotype"/>
                <w:noProof/>
                <w:color w:val="000000" w:themeColor="text1"/>
                <w:sz w:val="22"/>
                <w:szCs w:val="22"/>
              </w:rPr>
              <w:t xml:space="preserve">Recurso de Revisión </w:t>
            </w:r>
            <w:r w:rsidR="005942A4" w:rsidRPr="00000FAF">
              <w:rPr>
                <w:rStyle w:val="Hipervnculo"/>
                <w:rFonts w:ascii="Palatino Linotype" w:eastAsia="Batang" w:hAnsi="Palatino Linotype"/>
                <w:noProof/>
                <w:color w:val="000000" w:themeColor="text1"/>
                <w:sz w:val="22"/>
                <w:szCs w:val="22"/>
              </w:rPr>
              <w:t>ante el Instituto</w:t>
            </w:r>
            <w:r w:rsidR="005942A4" w:rsidRPr="00000FAF">
              <w:rPr>
                <w:noProof/>
                <w:webHidden/>
              </w:rPr>
              <w:tab/>
            </w:r>
            <w:r w:rsidR="005942A4">
              <w:rPr>
                <w:noProof/>
                <w:webHidden/>
              </w:rPr>
              <w:t>5</w:t>
            </w:r>
          </w:hyperlink>
        </w:p>
        <w:p w14:paraId="1FB6D3D8" w14:textId="77777777" w:rsidR="005942A4" w:rsidRPr="00000FAF" w:rsidRDefault="00220105" w:rsidP="005942A4">
          <w:pPr>
            <w:pStyle w:val="TDC1"/>
            <w:tabs>
              <w:tab w:val="right" w:leader="dot" w:pos="9034"/>
            </w:tabs>
            <w:spacing w:after="0" w:line="360" w:lineRule="auto"/>
            <w:contextualSpacing/>
            <w:rPr>
              <w:rFonts w:ascii="Palatino Linotype" w:eastAsiaTheme="minorEastAsia" w:hAnsi="Palatino Linotype" w:cstheme="minorBidi"/>
              <w:noProof/>
              <w:color w:val="000000" w:themeColor="text1"/>
              <w:kern w:val="2"/>
              <w:sz w:val="22"/>
              <w:szCs w:val="22"/>
              <w:lang w:eastAsia="es-MX"/>
              <w14:ligatures w14:val="standardContextual"/>
            </w:rPr>
          </w:pPr>
          <w:hyperlink w:anchor="_Toc190350684" w:history="1">
            <w:r w:rsidR="005942A4" w:rsidRPr="00000FAF">
              <w:rPr>
                <w:rStyle w:val="Hipervnculo"/>
                <w:rFonts w:ascii="Palatino Linotype" w:hAnsi="Palatino Linotype"/>
                <w:noProof/>
                <w:color w:val="000000" w:themeColor="text1"/>
                <w:sz w:val="22"/>
                <w:szCs w:val="22"/>
                <w:lang w:val="es-ES"/>
              </w:rPr>
              <w:t>C O N S I D E R A N D O S</w:t>
            </w:r>
            <w:r w:rsidR="005942A4" w:rsidRPr="00000FAF">
              <w:rPr>
                <w:rFonts w:ascii="Palatino Linotype" w:hAnsi="Palatino Linotype"/>
                <w:noProof/>
                <w:webHidden/>
                <w:color w:val="000000" w:themeColor="text1"/>
                <w:sz w:val="22"/>
                <w:szCs w:val="22"/>
              </w:rPr>
              <w:tab/>
              <w:t>7</w:t>
            </w:r>
          </w:hyperlink>
        </w:p>
        <w:p w14:paraId="43E9C742" w14:textId="77777777" w:rsidR="005942A4" w:rsidRPr="00000FAF" w:rsidRDefault="00220105" w:rsidP="005942A4">
          <w:pPr>
            <w:pStyle w:val="TDC2"/>
            <w:rPr>
              <w:rFonts w:ascii="Palatino Linotype" w:hAnsi="Palatino Linotype"/>
              <w:noProof/>
              <w:color w:val="000000" w:themeColor="text1"/>
              <w:sz w:val="22"/>
              <w:szCs w:val="22"/>
            </w:rPr>
          </w:pPr>
          <w:hyperlink w:anchor="_Toc190350685" w:history="1">
            <w:r w:rsidR="005942A4" w:rsidRPr="00000FAF">
              <w:rPr>
                <w:rStyle w:val="Hipervnculo"/>
                <w:rFonts w:ascii="Palatino Linotype" w:eastAsia="Calibri" w:hAnsi="Palatino Linotype"/>
                <w:noProof/>
                <w:color w:val="000000" w:themeColor="text1"/>
                <w:sz w:val="22"/>
                <w:szCs w:val="22"/>
                <w:lang w:val="es-ES" w:eastAsia="es-MX"/>
              </w:rPr>
              <w:t xml:space="preserve">PRIMERO. </w:t>
            </w:r>
            <w:r w:rsidR="005942A4" w:rsidRPr="00000FAF">
              <w:rPr>
                <w:rStyle w:val="Hipervnculo"/>
                <w:rFonts w:ascii="Palatino Linotype" w:hAnsi="Palatino Linotype"/>
                <w:noProof/>
                <w:color w:val="000000" w:themeColor="text1"/>
                <w:sz w:val="22"/>
                <w:szCs w:val="22"/>
                <w:lang w:val="es-ES"/>
              </w:rPr>
              <w:t>Competencia</w:t>
            </w:r>
            <w:r w:rsidR="005942A4" w:rsidRPr="00000FAF">
              <w:rPr>
                <w:rFonts w:ascii="Palatino Linotype" w:hAnsi="Palatino Linotype"/>
                <w:noProof/>
                <w:webHidden/>
                <w:color w:val="000000" w:themeColor="text1"/>
                <w:sz w:val="22"/>
                <w:szCs w:val="22"/>
              </w:rPr>
              <w:tab/>
              <w:t>7</w:t>
            </w:r>
          </w:hyperlink>
        </w:p>
        <w:p w14:paraId="7A8DF4E2" w14:textId="77777777" w:rsidR="005942A4" w:rsidRPr="00000FAF" w:rsidRDefault="00220105" w:rsidP="005942A4">
          <w:pPr>
            <w:pStyle w:val="TDC2"/>
            <w:rPr>
              <w:noProof/>
            </w:rPr>
          </w:pPr>
          <w:hyperlink w:anchor="_Toc190350686" w:history="1">
            <w:r w:rsidR="005942A4" w:rsidRPr="00000FAF">
              <w:rPr>
                <w:rStyle w:val="Hipervnculo"/>
                <w:rFonts w:ascii="Palatino Linotype" w:eastAsia="Calibri" w:hAnsi="Palatino Linotype"/>
                <w:noProof/>
                <w:color w:val="000000" w:themeColor="text1"/>
                <w:sz w:val="22"/>
                <w:szCs w:val="22"/>
                <w:lang w:val="es-ES" w:eastAsia="es-MX"/>
              </w:rPr>
              <w:t>SEGUNDO. Causales de improcedencia y sobreseimiento</w:t>
            </w:r>
            <w:r w:rsidR="005942A4" w:rsidRPr="00000FAF">
              <w:rPr>
                <w:noProof/>
                <w:webHidden/>
              </w:rPr>
              <w:tab/>
              <w:t>8</w:t>
            </w:r>
          </w:hyperlink>
        </w:p>
        <w:p w14:paraId="32F86E00" w14:textId="77777777" w:rsidR="005942A4" w:rsidRPr="00000FAF" w:rsidRDefault="00220105" w:rsidP="005942A4">
          <w:pPr>
            <w:pStyle w:val="TDC2"/>
            <w:rPr>
              <w:noProof/>
            </w:rPr>
          </w:pPr>
          <w:hyperlink w:anchor="_Toc190350687" w:history="1">
            <w:r w:rsidR="005942A4" w:rsidRPr="00000FAF">
              <w:rPr>
                <w:rStyle w:val="Hipervnculo"/>
                <w:rFonts w:ascii="Palatino Linotype" w:hAnsi="Palatino Linotype"/>
                <w:noProof/>
                <w:color w:val="000000" w:themeColor="text1"/>
                <w:sz w:val="22"/>
                <w:szCs w:val="22"/>
                <w:lang w:val="es-ES" w:eastAsia="es-ES_tradnl"/>
              </w:rPr>
              <w:t>TERCERO. Determinación de la Controversia</w:t>
            </w:r>
            <w:r w:rsidR="005942A4" w:rsidRPr="00000FAF">
              <w:rPr>
                <w:noProof/>
                <w:webHidden/>
              </w:rPr>
              <w:tab/>
              <w:t>9</w:t>
            </w:r>
          </w:hyperlink>
        </w:p>
        <w:p w14:paraId="7FA0BF0D" w14:textId="77777777" w:rsidR="005942A4" w:rsidRPr="00000FAF" w:rsidRDefault="00220105" w:rsidP="005942A4">
          <w:pPr>
            <w:pStyle w:val="TDC2"/>
            <w:rPr>
              <w:noProof/>
            </w:rPr>
          </w:pPr>
          <w:hyperlink w:anchor="_Toc190350688" w:history="1">
            <w:r w:rsidR="005942A4" w:rsidRPr="00000FAF">
              <w:rPr>
                <w:rStyle w:val="Hipervnculo"/>
                <w:rFonts w:ascii="Palatino Linotype" w:hAnsi="Palatino Linotype"/>
                <w:noProof/>
                <w:color w:val="000000" w:themeColor="text1"/>
                <w:sz w:val="22"/>
                <w:szCs w:val="22"/>
                <w:lang w:val="es-ES"/>
              </w:rPr>
              <w:t xml:space="preserve">CUARTO. </w:t>
            </w:r>
            <w:r w:rsidR="005942A4" w:rsidRPr="00000FAF">
              <w:rPr>
                <w:rStyle w:val="Hipervnculo"/>
                <w:rFonts w:ascii="Palatino Linotype" w:hAnsi="Palatino Linotype"/>
                <w:noProof/>
                <w:color w:val="000000" w:themeColor="text1"/>
                <w:sz w:val="22"/>
                <w:szCs w:val="22"/>
              </w:rPr>
              <w:t>Marco normativo aplicable en materia de transparencia y acceso a la información pública</w:t>
            </w:r>
            <w:r w:rsidR="005942A4" w:rsidRPr="00000FAF">
              <w:rPr>
                <w:noProof/>
                <w:webHidden/>
              </w:rPr>
              <w:tab/>
            </w:r>
            <w:r w:rsidR="005942A4" w:rsidRPr="00000FAF">
              <w:rPr>
                <w:noProof/>
                <w:webHidden/>
              </w:rPr>
              <w:fldChar w:fldCharType="begin"/>
            </w:r>
            <w:r w:rsidR="005942A4" w:rsidRPr="00000FAF">
              <w:rPr>
                <w:noProof/>
                <w:webHidden/>
              </w:rPr>
              <w:instrText xml:space="preserve"> PAGEREF _Toc190350688 \h </w:instrText>
            </w:r>
            <w:r w:rsidR="005942A4" w:rsidRPr="00000FAF">
              <w:rPr>
                <w:noProof/>
                <w:webHidden/>
              </w:rPr>
              <w:fldChar w:fldCharType="separate"/>
            </w:r>
            <w:r w:rsidR="006E7CF3">
              <w:rPr>
                <w:b/>
                <w:bCs/>
                <w:noProof/>
                <w:webHidden/>
                <w:lang w:val="es-ES"/>
              </w:rPr>
              <w:t>¡Error! Marcador no definido.</w:t>
            </w:r>
            <w:r w:rsidR="005942A4" w:rsidRPr="00000FAF">
              <w:rPr>
                <w:noProof/>
                <w:webHidden/>
              </w:rPr>
              <w:fldChar w:fldCharType="end"/>
            </w:r>
          </w:hyperlink>
        </w:p>
        <w:p w14:paraId="54CE59BF" w14:textId="77777777" w:rsidR="005942A4" w:rsidRPr="00000FAF" w:rsidRDefault="00220105" w:rsidP="005942A4">
          <w:pPr>
            <w:pStyle w:val="TDC2"/>
            <w:rPr>
              <w:rFonts w:ascii="Palatino Linotype" w:hAnsi="Palatino Linotype"/>
              <w:noProof/>
              <w:color w:val="000000" w:themeColor="text1"/>
              <w:sz w:val="22"/>
              <w:szCs w:val="22"/>
            </w:rPr>
          </w:pPr>
          <w:hyperlink w:anchor="_Toc190350689" w:history="1">
            <w:r w:rsidR="005942A4" w:rsidRPr="00000FAF">
              <w:rPr>
                <w:rStyle w:val="Hipervnculo"/>
                <w:rFonts w:ascii="Palatino Linotype" w:hAnsi="Palatino Linotype"/>
                <w:noProof/>
                <w:color w:val="000000" w:themeColor="text1"/>
                <w:sz w:val="22"/>
                <w:szCs w:val="22"/>
                <w:lang w:val="es-ES"/>
              </w:rPr>
              <w:t>QUINTO. Estudio de Fondo</w:t>
            </w:r>
            <w:r w:rsidR="005942A4" w:rsidRPr="00000FAF">
              <w:rPr>
                <w:rFonts w:ascii="Palatino Linotype" w:hAnsi="Palatino Linotype"/>
                <w:noProof/>
                <w:webHidden/>
                <w:color w:val="000000" w:themeColor="text1"/>
                <w:sz w:val="22"/>
                <w:szCs w:val="22"/>
              </w:rPr>
              <w:tab/>
              <w:t>12</w:t>
            </w:r>
          </w:hyperlink>
        </w:p>
        <w:p w14:paraId="0B55D054" w14:textId="67B365FB" w:rsidR="005942A4" w:rsidRPr="00000FAF" w:rsidRDefault="00220105" w:rsidP="005942A4">
          <w:pPr>
            <w:pStyle w:val="TDC2"/>
          </w:pPr>
          <w:hyperlink w:anchor="_Toc190350690" w:history="1">
            <w:r w:rsidR="005942A4" w:rsidRPr="00000FAF">
              <w:rPr>
                <w:rStyle w:val="Hipervnculo"/>
                <w:rFonts w:ascii="Palatino Linotype" w:hAnsi="Palatino Linotype"/>
                <w:noProof/>
                <w:color w:val="000000" w:themeColor="text1"/>
                <w:sz w:val="22"/>
                <w:szCs w:val="22"/>
              </w:rPr>
              <w:t>SEXTO. Decisión</w:t>
            </w:r>
            <w:r w:rsidR="005942A4" w:rsidRPr="00000FAF">
              <w:rPr>
                <w:rFonts w:ascii="Palatino Linotype" w:hAnsi="Palatino Linotype"/>
                <w:noProof/>
                <w:webHidden/>
                <w:color w:val="000000" w:themeColor="text1"/>
                <w:sz w:val="22"/>
                <w:szCs w:val="22"/>
              </w:rPr>
              <w:tab/>
            </w:r>
            <w:r w:rsidR="005942A4">
              <w:rPr>
                <w:rFonts w:ascii="Palatino Linotype" w:hAnsi="Palatino Linotype"/>
                <w:noProof/>
                <w:webHidden/>
                <w:color w:val="000000" w:themeColor="text1"/>
                <w:sz w:val="22"/>
                <w:szCs w:val="22"/>
              </w:rPr>
              <w:t>28</w:t>
            </w:r>
          </w:hyperlink>
        </w:p>
        <w:p w14:paraId="7625D51E" w14:textId="04D99BE5" w:rsidR="005942A4" w:rsidRPr="00000FAF" w:rsidRDefault="00220105" w:rsidP="005942A4">
          <w:pPr>
            <w:ind w:firstLine="200"/>
            <w:rPr>
              <w:rFonts w:ascii="Palatino Linotype" w:hAnsi="Palatino Linotype"/>
              <w:sz w:val="22"/>
              <w:szCs w:val="22"/>
            </w:rPr>
          </w:pPr>
          <w:hyperlink r:id="rId7" w:anchor="_Toc188481302" w:history="1">
            <w:r w:rsidR="005942A4" w:rsidRPr="00000FAF">
              <w:rPr>
                <w:rStyle w:val="Hipervnculo"/>
                <w:rFonts w:ascii="Palatino Linotype" w:hAnsi="Palatino Linotype"/>
                <w:sz w:val="22"/>
                <w:szCs w:val="22"/>
              </w:rPr>
              <w:t>SÉPTIMO. Vista a la Dirección Gene</w:t>
            </w:r>
            <w:r w:rsidR="005942A4">
              <w:rPr>
                <w:rStyle w:val="Hipervnculo"/>
                <w:rFonts w:ascii="Palatino Linotype" w:hAnsi="Palatino Linotype"/>
                <w:sz w:val="22"/>
                <w:szCs w:val="22"/>
              </w:rPr>
              <w:t xml:space="preserve">ral de Datos Personales de este </w:t>
            </w:r>
            <w:r w:rsidR="005942A4" w:rsidRPr="00000FAF">
              <w:rPr>
                <w:rStyle w:val="Hipervnculo"/>
                <w:rFonts w:ascii="Palatino Linotype" w:hAnsi="Palatino Linotype"/>
                <w:sz w:val="22"/>
                <w:szCs w:val="22"/>
              </w:rPr>
              <w:t>Instituto……</w:t>
            </w:r>
            <w:r w:rsidR="005942A4">
              <w:rPr>
                <w:rStyle w:val="Hipervnculo"/>
                <w:rFonts w:ascii="Palatino Linotype" w:hAnsi="Palatino Linotype"/>
                <w:sz w:val="22"/>
                <w:szCs w:val="22"/>
              </w:rPr>
              <w:t>……..29</w:t>
            </w:r>
          </w:hyperlink>
        </w:p>
        <w:p w14:paraId="246DDF5A" w14:textId="77777777" w:rsidR="005942A4" w:rsidRPr="00000FAF" w:rsidRDefault="005942A4" w:rsidP="005942A4"/>
        <w:p w14:paraId="261E587D" w14:textId="11111950" w:rsidR="005942A4" w:rsidRPr="00000FAF" w:rsidRDefault="00220105" w:rsidP="005942A4">
          <w:pPr>
            <w:pStyle w:val="TDC1"/>
            <w:tabs>
              <w:tab w:val="right" w:leader="dot" w:pos="9034"/>
            </w:tabs>
            <w:spacing w:after="0" w:line="360" w:lineRule="auto"/>
            <w:contextualSpacing/>
            <w:rPr>
              <w:rFonts w:ascii="Palatino Linotype" w:eastAsiaTheme="minorEastAsia" w:hAnsi="Palatino Linotype" w:cstheme="minorBidi"/>
              <w:noProof/>
              <w:color w:val="000000" w:themeColor="text1"/>
              <w:kern w:val="2"/>
              <w:sz w:val="22"/>
              <w:szCs w:val="22"/>
              <w:lang w:eastAsia="es-MX"/>
              <w14:ligatures w14:val="standardContextual"/>
            </w:rPr>
          </w:pPr>
          <w:hyperlink w:anchor="_Toc190350691" w:history="1">
            <w:r w:rsidR="005942A4" w:rsidRPr="00000FAF">
              <w:rPr>
                <w:rStyle w:val="Hipervnculo"/>
                <w:rFonts w:ascii="Palatino Linotype" w:eastAsia="Calibri" w:hAnsi="Palatino Linotype"/>
                <w:noProof/>
                <w:color w:val="000000" w:themeColor="text1"/>
                <w:sz w:val="22"/>
                <w:szCs w:val="22"/>
              </w:rPr>
              <w:t>R E S U E L V E</w:t>
            </w:r>
            <w:r w:rsidR="005942A4" w:rsidRPr="00000FAF">
              <w:rPr>
                <w:rFonts w:ascii="Palatino Linotype" w:hAnsi="Palatino Linotype"/>
                <w:noProof/>
                <w:webHidden/>
                <w:color w:val="000000" w:themeColor="text1"/>
                <w:sz w:val="22"/>
                <w:szCs w:val="22"/>
              </w:rPr>
              <w:tab/>
              <w:t>3</w:t>
            </w:r>
            <w:r w:rsidR="005942A4">
              <w:rPr>
                <w:rFonts w:ascii="Palatino Linotype" w:hAnsi="Palatino Linotype"/>
                <w:noProof/>
                <w:webHidden/>
                <w:color w:val="000000" w:themeColor="text1"/>
                <w:sz w:val="22"/>
                <w:szCs w:val="22"/>
              </w:rPr>
              <w:t>0</w:t>
            </w:r>
          </w:hyperlink>
        </w:p>
        <w:p w14:paraId="38C88E2D" w14:textId="75357040" w:rsidR="005942A4" w:rsidRDefault="005942A4" w:rsidP="005942A4">
          <w:pPr>
            <w:spacing w:line="360" w:lineRule="auto"/>
            <w:contextualSpacing/>
            <w:jc w:val="both"/>
            <w:rPr>
              <w:b/>
              <w:bCs/>
              <w:lang w:val="es-ES"/>
            </w:rPr>
          </w:pPr>
          <w:r w:rsidRPr="00000FAF">
            <w:rPr>
              <w:rFonts w:ascii="Palatino Linotype" w:hAnsi="Palatino Linotype"/>
              <w:b/>
              <w:bCs/>
              <w:color w:val="000000" w:themeColor="text1"/>
              <w:sz w:val="22"/>
              <w:szCs w:val="22"/>
              <w:lang w:val="es-ES"/>
            </w:rPr>
            <w:fldChar w:fldCharType="end"/>
          </w:r>
        </w:p>
      </w:sdtContent>
    </w:sdt>
    <w:p w14:paraId="05DFE4AB" w14:textId="77777777" w:rsidR="005942A4" w:rsidRDefault="005942A4" w:rsidP="005942A4">
      <w:pPr>
        <w:spacing w:line="360" w:lineRule="auto"/>
        <w:contextualSpacing/>
        <w:jc w:val="both"/>
        <w:rPr>
          <w:b/>
          <w:bCs/>
          <w:lang w:val="es-ES"/>
        </w:rPr>
      </w:pPr>
    </w:p>
    <w:p w14:paraId="585F9DFD" w14:textId="77777777" w:rsidR="005942A4" w:rsidRDefault="005942A4" w:rsidP="005942A4">
      <w:pPr>
        <w:spacing w:line="360" w:lineRule="auto"/>
        <w:contextualSpacing/>
        <w:jc w:val="both"/>
        <w:rPr>
          <w:b/>
          <w:bCs/>
          <w:lang w:val="es-ES"/>
        </w:rPr>
      </w:pPr>
    </w:p>
    <w:p w14:paraId="673CE09A" w14:textId="77777777" w:rsidR="005942A4" w:rsidRDefault="005942A4" w:rsidP="005942A4">
      <w:pPr>
        <w:spacing w:line="360" w:lineRule="auto"/>
        <w:contextualSpacing/>
        <w:jc w:val="both"/>
        <w:rPr>
          <w:b/>
          <w:bCs/>
          <w:lang w:val="es-ES"/>
        </w:rPr>
      </w:pPr>
    </w:p>
    <w:p w14:paraId="25817127" w14:textId="77777777" w:rsidR="005942A4" w:rsidRDefault="005942A4" w:rsidP="005942A4">
      <w:pPr>
        <w:spacing w:line="360" w:lineRule="auto"/>
        <w:contextualSpacing/>
        <w:jc w:val="both"/>
        <w:rPr>
          <w:b/>
          <w:bCs/>
          <w:lang w:val="es-ES"/>
        </w:rPr>
      </w:pPr>
    </w:p>
    <w:p w14:paraId="3645890B" w14:textId="77777777" w:rsidR="005942A4" w:rsidRDefault="005942A4" w:rsidP="005942A4">
      <w:pPr>
        <w:spacing w:line="360" w:lineRule="auto"/>
        <w:contextualSpacing/>
        <w:jc w:val="both"/>
        <w:rPr>
          <w:b/>
          <w:bCs/>
          <w:lang w:val="es-ES"/>
        </w:rPr>
      </w:pPr>
    </w:p>
    <w:p w14:paraId="24A7467C" w14:textId="77777777" w:rsidR="005942A4" w:rsidRDefault="005942A4" w:rsidP="005942A4">
      <w:pPr>
        <w:spacing w:line="360" w:lineRule="auto"/>
        <w:contextualSpacing/>
        <w:jc w:val="both"/>
        <w:rPr>
          <w:b/>
          <w:bCs/>
          <w:lang w:val="es-ES"/>
        </w:rPr>
      </w:pPr>
    </w:p>
    <w:p w14:paraId="71DEACA6" w14:textId="77777777" w:rsidR="005942A4" w:rsidRDefault="005942A4" w:rsidP="005942A4">
      <w:pPr>
        <w:spacing w:line="360" w:lineRule="auto"/>
        <w:contextualSpacing/>
        <w:jc w:val="both"/>
        <w:rPr>
          <w:b/>
          <w:bCs/>
          <w:lang w:val="es-ES"/>
        </w:rPr>
      </w:pPr>
    </w:p>
    <w:p w14:paraId="06924116" w14:textId="77777777" w:rsidR="005942A4" w:rsidRDefault="005942A4" w:rsidP="005942A4">
      <w:pPr>
        <w:spacing w:line="360" w:lineRule="auto"/>
        <w:contextualSpacing/>
        <w:jc w:val="both"/>
        <w:rPr>
          <w:rFonts w:ascii="Palatino Linotype" w:hAnsi="Palatino Linotype" w:cs="Tahoma"/>
          <w:bCs/>
          <w:sz w:val="22"/>
          <w:szCs w:val="22"/>
        </w:rPr>
      </w:pPr>
    </w:p>
    <w:p w14:paraId="0E82C240" w14:textId="64049A23" w:rsidR="00FD7991" w:rsidRPr="00B71E3E" w:rsidRDefault="00FD7991" w:rsidP="00FD7991">
      <w:pPr>
        <w:spacing w:line="360" w:lineRule="auto"/>
        <w:contextualSpacing/>
        <w:jc w:val="both"/>
        <w:rPr>
          <w:rFonts w:ascii="Palatino Linotype" w:hAnsi="Palatino Linotype" w:cs="Tahoma"/>
          <w:sz w:val="22"/>
          <w:szCs w:val="22"/>
        </w:rPr>
      </w:pPr>
      <w:r w:rsidRPr="00B71E3E">
        <w:rPr>
          <w:rFonts w:ascii="Palatino Linotype" w:hAnsi="Palatino Linotype" w:cs="Tahoma"/>
          <w:bCs/>
          <w:sz w:val="22"/>
          <w:szCs w:val="22"/>
        </w:rPr>
        <w:lastRenderedPageBreak/>
        <w:t xml:space="preserve">Resolución del Pleno del Instituto de Transparencia, Acceso a la Información Pública y Protección de Datos Personales del Estado de México y Municipios, con domicilio en Metepec, Estado de México, de fecha </w:t>
      </w:r>
      <w:r w:rsidR="005B0C13" w:rsidRPr="00B71E3E">
        <w:rPr>
          <w:rFonts w:ascii="Palatino Linotype" w:hAnsi="Palatino Linotype" w:cs="Tahoma"/>
          <w:bCs/>
          <w:sz w:val="22"/>
          <w:szCs w:val="22"/>
        </w:rPr>
        <w:t xml:space="preserve">dos de abril </w:t>
      </w:r>
      <w:r w:rsidRPr="00B71E3E">
        <w:rPr>
          <w:rFonts w:ascii="Palatino Linotype" w:hAnsi="Palatino Linotype" w:cs="Tahoma"/>
          <w:bCs/>
          <w:sz w:val="22"/>
          <w:szCs w:val="22"/>
        </w:rPr>
        <w:t>de dos mil veinticinco.</w:t>
      </w:r>
    </w:p>
    <w:p w14:paraId="4962CF71" w14:textId="77777777" w:rsidR="00FD7991" w:rsidRPr="00B71E3E" w:rsidRDefault="00FD7991" w:rsidP="00FD7991">
      <w:pPr>
        <w:spacing w:line="360" w:lineRule="auto"/>
        <w:contextualSpacing/>
        <w:rPr>
          <w:rFonts w:ascii="Palatino Linotype" w:hAnsi="Palatino Linotype" w:cs="Tahoma"/>
          <w:bCs/>
          <w:sz w:val="22"/>
          <w:szCs w:val="22"/>
        </w:rPr>
      </w:pPr>
    </w:p>
    <w:p w14:paraId="6EBCF2BF" w14:textId="77777777" w:rsidR="00FD7991" w:rsidRPr="00B71E3E" w:rsidRDefault="00FD7991" w:rsidP="00FD7991">
      <w:pPr>
        <w:spacing w:line="360" w:lineRule="auto"/>
        <w:contextualSpacing/>
        <w:jc w:val="both"/>
        <w:rPr>
          <w:rFonts w:ascii="Palatino Linotype" w:hAnsi="Palatino Linotype"/>
          <w:color w:val="000000" w:themeColor="text1"/>
          <w:sz w:val="22"/>
          <w:szCs w:val="22"/>
        </w:rPr>
      </w:pPr>
      <w:r w:rsidRPr="00B71E3E">
        <w:rPr>
          <w:rFonts w:ascii="Palatino Linotype" w:hAnsi="Palatino Linotype" w:cs="Tahoma"/>
          <w:b/>
          <w:bCs/>
          <w:color w:val="0D0D0D" w:themeColor="text1" w:themeTint="F2"/>
          <w:sz w:val="22"/>
          <w:szCs w:val="22"/>
        </w:rPr>
        <w:t xml:space="preserve">VISTO </w:t>
      </w:r>
      <w:r w:rsidRPr="00B71E3E">
        <w:rPr>
          <w:rFonts w:ascii="Palatino Linotype" w:hAnsi="Palatino Linotype" w:cs="Tahoma"/>
          <w:bCs/>
          <w:color w:val="0D0D0D" w:themeColor="text1" w:themeTint="F2"/>
          <w:sz w:val="22"/>
          <w:szCs w:val="22"/>
        </w:rPr>
        <w:t xml:space="preserve">el expediente conformado con motivo de los Recursos de Revisión </w:t>
      </w:r>
      <w:r w:rsidRPr="00B71E3E">
        <w:rPr>
          <w:rFonts w:ascii="Palatino Linotype" w:eastAsia="Batang" w:hAnsi="Palatino Linotype" w:cs="Tahoma"/>
          <w:b/>
          <w:sz w:val="22"/>
          <w:szCs w:val="22"/>
          <w:lang w:val="es-ES_tradnl"/>
        </w:rPr>
        <w:t>01606/INFOEM/IP/RR/2025 y 01611/INFOEM/IP/RR/2025</w:t>
      </w:r>
      <w:r w:rsidRPr="00B71E3E">
        <w:rPr>
          <w:rFonts w:ascii="Palatino Linotype" w:eastAsia="Batang" w:hAnsi="Palatino Linotype" w:cs="Tahoma"/>
          <w:bCs/>
          <w:sz w:val="22"/>
          <w:szCs w:val="22"/>
          <w:lang w:val="es-ES_tradnl"/>
        </w:rPr>
        <w:t xml:space="preserve">, </w:t>
      </w:r>
      <w:r w:rsidRPr="00B71E3E">
        <w:rPr>
          <w:rFonts w:ascii="Palatino Linotype" w:hAnsi="Palatino Linotype" w:cs="Tahoma"/>
          <w:bCs/>
          <w:color w:val="0D0D0D" w:themeColor="text1" w:themeTint="F2"/>
          <w:sz w:val="22"/>
          <w:szCs w:val="22"/>
        </w:rPr>
        <w:t xml:space="preserve">interpuestos por el Recurrente o Particular, en contra de las respuestas del Sujeto Obligado, </w:t>
      </w:r>
      <w:bookmarkStart w:id="0" w:name="_GoBack"/>
      <w:r w:rsidRPr="00B226CD">
        <w:rPr>
          <w:rFonts w:ascii="Palatino Linotype" w:hAnsi="Palatino Linotype" w:cs="Tahoma"/>
          <w:b/>
          <w:color w:val="0D0D0D" w:themeColor="text1" w:themeTint="F2"/>
          <w:sz w:val="22"/>
          <w:szCs w:val="22"/>
        </w:rPr>
        <w:t>Ayuntamiento de Toluca</w:t>
      </w:r>
      <w:bookmarkEnd w:id="0"/>
      <w:r w:rsidRPr="00B71E3E">
        <w:rPr>
          <w:rFonts w:ascii="Palatino Linotype" w:hAnsi="Palatino Linotype" w:cs="Tahoma"/>
          <w:bCs/>
          <w:color w:val="0D0D0D" w:themeColor="text1" w:themeTint="F2"/>
          <w:sz w:val="22"/>
          <w:szCs w:val="22"/>
        </w:rPr>
        <w:t xml:space="preserve">, a las solicitudes de acceso a la información pública </w:t>
      </w:r>
      <w:r w:rsidRPr="00B71E3E">
        <w:rPr>
          <w:rFonts w:ascii="Palatino Linotype" w:hAnsi="Palatino Linotype"/>
          <w:bCs/>
          <w:sz w:val="22"/>
          <w:szCs w:val="22"/>
        </w:rPr>
        <w:t>03475/TOLUCA/IP/2024</w:t>
      </w:r>
      <w:r w:rsidRPr="00B71E3E">
        <w:rPr>
          <w:rFonts w:ascii="Palatino Linotype" w:hAnsi="Palatino Linotype"/>
          <w:sz w:val="22"/>
          <w:szCs w:val="22"/>
        </w:rPr>
        <w:t xml:space="preserve">, y </w:t>
      </w:r>
      <w:r w:rsidRPr="00B71E3E">
        <w:rPr>
          <w:rFonts w:ascii="Palatino Linotype" w:hAnsi="Palatino Linotype"/>
          <w:bCs/>
          <w:sz w:val="22"/>
          <w:szCs w:val="22"/>
        </w:rPr>
        <w:t>03479/TOLUCA/IP/2024</w:t>
      </w:r>
      <w:r w:rsidRPr="00B71E3E">
        <w:rPr>
          <w:rFonts w:ascii="Verdana" w:hAnsi="Verdana"/>
          <w:b/>
          <w:bCs/>
          <w:color w:val="FF0000"/>
        </w:rPr>
        <w:t xml:space="preserve"> </w:t>
      </w:r>
      <w:r w:rsidRPr="00B71E3E">
        <w:rPr>
          <w:rFonts w:ascii="Palatino Linotype" w:hAnsi="Palatino Linotype" w:cs="Tahoma"/>
          <w:bCs/>
          <w:color w:val="0D0D0D" w:themeColor="text1" w:themeTint="F2"/>
          <w:sz w:val="22"/>
          <w:szCs w:val="22"/>
        </w:rPr>
        <w:t>se emite la presente Resolución, con base en los Antecedentes y C</w:t>
      </w:r>
      <w:r w:rsidRPr="00B71E3E">
        <w:rPr>
          <w:rFonts w:ascii="Palatino Linotype" w:hAnsi="Palatino Linotype" w:cs="Tahoma"/>
          <w:bCs/>
          <w:sz w:val="22"/>
          <w:szCs w:val="22"/>
        </w:rPr>
        <w:t>onsiderandos que a continuación se exponen:</w:t>
      </w:r>
    </w:p>
    <w:p w14:paraId="61B97B47" w14:textId="77777777" w:rsidR="00FD7991" w:rsidRPr="00B71E3E" w:rsidRDefault="00FD7991" w:rsidP="00FD7991">
      <w:pPr>
        <w:tabs>
          <w:tab w:val="center" w:pos="4522"/>
          <w:tab w:val="left" w:pos="7245"/>
        </w:tabs>
        <w:spacing w:line="360" w:lineRule="auto"/>
        <w:contextualSpacing/>
        <w:jc w:val="center"/>
        <w:rPr>
          <w:rFonts w:ascii="Palatino Linotype" w:hAnsi="Palatino Linotype" w:cs="Tahoma"/>
          <w:b/>
          <w:sz w:val="22"/>
          <w:szCs w:val="22"/>
        </w:rPr>
      </w:pPr>
    </w:p>
    <w:p w14:paraId="23BB303B" w14:textId="4EF868EE" w:rsidR="00FD7991" w:rsidRPr="00B71E3E" w:rsidRDefault="00FD7991" w:rsidP="00FD7991">
      <w:pPr>
        <w:tabs>
          <w:tab w:val="center" w:pos="4522"/>
          <w:tab w:val="left" w:pos="7245"/>
        </w:tabs>
        <w:spacing w:line="360" w:lineRule="auto"/>
        <w:contextualSpacing/>
        <w:jc w:val="center"/>
        <w:rPr>
          <w:rFonts w:ascii="Palatino Linotype" w:hAnsi="Palatino Linotype" w:cs="Tahoma"/>
          <w:b/>
          <w:sz w:val="22"/>
          <w:szCs w:val="22"/>
        </w:rPr>
      </w:pPr>
      <w:r w:rsidRPr="00B71E3E">
        <w:rPr>
          <w:rFonts w:ascii="Palatino Linotype" w:hAnsi="Palatino Linotype" w:cs="Tahoma"/>
          <w:b/>
          <w:sz w:val="22"/>
          <w:szCs w:val="22"/>
        </w:rPr>
        <w:t>A N T E C E D E N T E S</w:t>
      </w:r>
    </w:p>
    <w:p w14:paraId="5F360E50" w14:textId="77777777" w:rsidR="00FD7991" w:rsidRPr="00B71E3E" w:rsidRDefault="00FD7991" w:rsidP="00FD7991">
      <w:pPr>
        <w:pStyle w:val="Prrafodelista"/>
        <w:tabs>
          <w:tab w:val="left" w:pos="567"/>
        </w:tabs>
        <w:spacing w:line="360" w:lineRule="auto"/>
        <w:ind w:left="567"/>
        <w:jc w:val="both"/>
        <w:rPr>
          <w:rFonts w:ascii="Palatino Linotype" w:hAnsi="Palatino Linotype" w:cs="Tahoma"/>
          <w:szCs w:val="22"/>
        </w:rPr>
      </w:pPr>
    </w:p>
    <w:p w14:paraId="37D00CD2" w14:textId="2ADE4CD3" w:rsidR="00FD7991" w:rsidRPr="00B71E3E" w:rsidRDefault="00FD7991" w:rsidP="00FD7991">
      <w:pPr>
        <w:pStyle w:val="Prrafodelista"/>
        <w:tabs>
          <w:tab w:val="left" w:pos="567"/>
        </w:tabs>
        <w:spacing w:line="360" w:lineRule="auto"/>
        <w:ind w:left="0"/>
        <w:jc w:val="both"/>
        <w:rPr>
          <w:rFonts w:ascii="Palatino Linotype" w:hAnsi="Palatino Linotype" w:cs="Tahoma"/>
          <w:b/>
          <w:szCs w:val="22"/>
        </w:rPr>
      </w:pPr>
      <w:r w:rsidRPr="00B71E3E">
        <w:rPr>
          <w:rFonts w:ascii="Palatino Linotype" w:hAnsi="Palatino Linotype" w:cs="Tahoma"/>
          <w:b/>
          <w:szCs w:val="22"/>
        </w:rPr>
        <w:t>I. Presentación de las solicitudes de información</w:t>
      </w:r>
    </w:p>
    <w:p w14:paraId="4388B47F" w14:textId="77777777" w:rsidR="00FD7991" w:rsidRPr="00B71E3E" w:rsidRDefault="00FD7991" w:rsidP="00FD7991">
      <w:pPr>
        <w:pStyle w:val="Prrafodelista"/>
        <w:tabs>
          <w:tab w:val="left" w:pos="567"/>
        </w:tabs>
        <w:spacing w:line="360" w:lineRule="auto"/>
        <w:ind w:left="0"/>
        <w:jc w:val="both"/>
        <w:rPr>
          <w:rFonts w:ascii="Palatino Linotype" w:hAnsi="Palatino Linotype" w:cs="Tahoma"/>
          <w:szCs w:val="22"/>
        </w:rPr>
      </w:pPr>
    </w:p>
    <w:p w14:paraId="6E814EAA" w14:textId="6EAE1285" w:rsidR="00FD7991" w:rsidRPr="00B71E3E" w:rsidRDefault="00FD7991" w:rsidP="00FD7991">
      <w:pPr>
        <w:pStyle w:val="Prrafodelista"/>
        <w:tabs>
          <w:tab w:val="left" w:pos="567"/>
        </w:tabs>
        <w:spacing w:line="360" w:lineRule="auto"/>
        <w:ind w:left="0"/>
        <w:jc w:val="both"/>
        <w:rPr>
          <w:rFonts w:ascii="Palatino Linotype" w:hAnsi="Palatino Linotype" w:cs="Tahoma"/>
          <w:szCs w:val="22"/>
        </w:rPr>
      </w:pPr>
      <w:r w:rsidRPr="00B71E3E">
        <w:rPr>
          <w:rFonts w:ascii="Palatino Linotype" w:hAnsi="Palatino Linotype" w:cs="Tahoma"/>
          <w:szCs w:val="22"/>
        </w:rPr>
        <w:t>Con fecha dieciséis de diciembre dos mil veinticuatro, el Particular presentó dos solicitudes de acceso a la información pública, a través del Sistema de Acceso a la Información Mexiquense</w:t>
      </w:r>
      <w:r w:rsidR="00D2410F" w:rsidRPr="00B71E3E">
        <w:rPr>
          <w:rFonts w:ascii="Palatino Linotype" w:hAnsi="Palatino Linotype" w:cs="Tahoma"/>
          <w:szCs w:val="22"/>
        </w:rPr>
        <w:t xml:space="preserve">, en lo sucesivo </w:t>
      </w:r>
      <w:r w:rsidR="00D2410F" w:rsidRPr="00B71E3E">
        <w:rPr>
          <w:rFonts w:ascii="Palatino Linotype" w:hAnsi="Palatino Linotype" w:cs="Tahoma"/>
          <w:szCs w:val="22"/>
          <w:lang w:val="es-ES"/>
        </w:rPr>
        <w:t xml:space="preserve">el </w:t>
      </w:r>
      <w:r w:rsidRPr="00B71E3E">
        <w:rPr>
          <w:rFonts w:ascii="Palatino Linotype" w:hAnsi="Palatino Linotype" w:cs="Tahoma"/>
          <w:szCs w:val="22"/>
          <w:lang w:val="es-ES"/>
        </w:rPr>
        <w:t>SAIME)</w:t>
      </w:r>
      <w:r w:rsidRPr="00B71E3E">
        <w:rPr>
          <w:rFonts w:ascii="Palatino Linotype" w:hAnsi="Palatino Linotype" w:cs="Tahoma"/>
          <w:szCs w:val="22"/>
        </w:rPr>
        <w:t>, ante el Ayuntamiento de Toluca,</w:t>
      </w:r>
      <w:r w:rsidRPr="00B71E3E">
        <w:rPr>
          <w:rFonts w:ascii="Palatino Linotype" w:hAnsi="Palatino Linotype" w:cs="Tahoma"/>
          <w:szCs w:val="22"/>
          <w:lang w:val="es-ES"/>
        </w:rPr>
        <w:t xml:space="preserve"> </w:t>
      </w:r>
      <w:r w:rsidRPr="00B71E3E">
        <w:rPr>
          <w:rFonts w:ascii="Palatino Linotype" w:hAnsi="Palatino Linotype" w:cs="Tahoma"/>
          <w:szCs w:val="22"/>
        </w:rPr>
        <w:t>mediante las cuales requirió lo siguiente:</w:t>
      </w:r>
    </w:p>
    <w:p w14:paraId="71B3CA7D" w14:textId="77777777" w:rsidR="00FD7991" w:rsidRPr="00B71E3E" w:rsidRDefault="00FD7991" w:rsidP="00FD7991">
      <w:pPr>
        <w:pStyle w:val="Prrafodelista"/>
        <w:tabs>
          <w:tab w:val="left" w:pos="567"/>
        </w:tabs>
        <w:spacing w:line="360" w:lineRule="auto"/>
        <w:ind w:left="0"/>
        <w:jc w:val="both"/>
        <w:rPr>
          <w:rFonts w:ascii="Palatino Linotype" w:hAnsi="Palatino Linotype" w:cs="Tahoma"/>
          <w:b/>
          <w:szCs w:val="22"/>
        </w:rPr>
      </w:pPr>
    </w:p>
    <w:p w14:paraId="196C0BA2" w14:textId="77777777" w:rsidR="00FD7991" w:rsidRPr="00B71E3E" w:rsidRDefault="00FD7991" w:rsidP="00FD7991">
      <w:pPr>
        <w:pStyle w:val="Prrafodelista"/>
        <w:tabs>
          <w:tab w:val="left" w:pos="567"/>
        </w:tabs>
        <w:spacing w:line="360" w:lineRule="auto"/>
        <w:ind w:left="567" w:right="567"/>
        <w:jc w:val="both"/>
        <w:rPr>
          <w:rFonts w:ascii="Palatino Linotype" w:hAnsi="Palatino Linotype" w:cs="Tahoma"/>
          <w:b/>
          <w:bCs/>
          <w:i/>
          <w:iCs/>
          <w:sz w:val="20"/>
          <w:szCs w:val="20"/>
        </w:rPr>
      </w:pPr>
      <w:r w:rsidRPr="00B71E3E">
        <w:rPr>
          <w:rFonts w:ascii="Palatino Linotype" w:hAnsi="Palatino Linotype"/>
          <w:b/>
          <w:bCs/>
          <w:i/>
          <w:iCs/>
          <w:color w:val="000000" w:themeColor="text1"/>
          <w:sz w:val="20"/>
          <w:szCs w:val="20"/>
        </w:rPr>
        <w:t>Solicitud de Información 03475/TOLUCA/IP/2024</w:t>
      </w:r>
    </w:p>
    <w:p w14:paraId="610700D2" w14:textId="77777777" w:rsidR="00FD7991" w:rsidRPr="00B71E3E" w:rsidRDefault="00FD7991" w:rsidP="00FD7991">
      <w:pPr>
        <w:tabs>
          <w:tab w:val="left" w:pos="4667"/>
        </w:tabs>
        <w:spacing w:line="360" w:lineRule="auto"/>
        <w:ind w:left="567" w:right="567"/>
        <w:contextualSpacing/>
        <w:jc w:val="both"/>
        <w:rPr>
          <w:rFonts w:ascii="Palatino Linotype" w:hAnsi="Palatino Linotype" w:cs="Tahoma"/>
          <w:b/>
          <w:bCs/>
          <w:i/>
        </w:rPr>
      </w:pPr>
      <w:r w:rsidRPr="00B71E3E">
        <w:rPr>
          <w:rFonts w:ascii="Palatino Linotype" w:hAnsi="Palatino Linotype" w:cs="Tahoma"/>
          <w:b/>
          <w:bCs/>
          <w:i/>
        </w:rPr>
        <w:t>“DESCRIPCIÓN CLARA Y PRECISA DE LA INFORMACIÓN SOLICITADA</w:t>
      </w:r>
    </w:p>
    <w:p w14:paraId="678EB0E4" w14:textId="410639AA" w:rsidR="00FD7991" w:rsidRPr="00B71E3E" w:rsidRDefault="00FD7991" w:rsidP="00FD7991">
      <w:pPr>
        <w:ind w:right="567" w:firstLine="567"/>
        <w:jc w:val="both"/>
        <w:rPr>
          <w:rFonts w:ascii="Palatino Linotype" w:hAnsi="Palatino Linotype"/>
          <w:i/>
          <w:lang w:eastAsia="es-MX"/>
        </w:rPr>
      </w:pPr>
      <w:r w:rsidRPr="00B71E3E">
        <w:rPr>
          <w:rFonts w:ascii="Palatino Linotype" w:hAnsi="Palatino Linotype"/>
          <w:i/>
          <w:lang w:eastAsia="es-MX"/>
        </w:rPr>
        <w:t>Solicito los oficios firmados por la segunda síndico en mayo 2023.</w:t>
      </w:r>
      <w:r w:rsidRPr="00B71E3E">
        <w:rPr>
          <w:rFonts w:ascii="Palatino Linotype" w:hAnsi="Palatino Linotype" w:cs="Tahoma"/>
          <w:bCs/>
          <w:i/>
        </w:rPr>
        <w:t xml:space="preserve">” </w:t>
      </w:r>
      <w:r w:rsidR="00D2410F" w:rsidRPr="00B71E3E">
        <w:rPr>
          <w:rFonts w:ascii="Palatino Linotype" w:hAnsi="Palatino Linotype" w:cs="Tahoma"/>
          <w:bCs/>
          <w:i/>
        </w:rPr>
        <w:t xml:space="preserve"> </w:t>
      </w:r>
      <w:r w:rsidRPr="00B71E3E">
        <w:rPr>
          <w:rFonts w:ascii="Palatino Linotype" w:hAnsi="Palatino Linotype" w:cs="Tahoma"/>
          <w:bCs/>
          <w:i/>
        </w:rPr>
        <w:t>(Sic)</w:t>
      </w:r>
      <w:r w:rsidR="00810AFF" w:rsidRPr="00B71E3E">
        <w:rPr>
          <w:rFonts w:ascii="Palatino Linotype" w:hAnsi="Palatino Linotype" w:cs="Tahoma"/>
          <w:bCs/>
          <w:i/>
        </w:rPr>
        <w:t>.</w:t>
      </w:r>
    </w:p>
    <w:p w14:paraId="68250E84" w14:textId="77777777" w:rsidR="00FD7991" w:rsidRPr="00B71E3E" w:rsidRDefault="00FD7991" w:rsidP="00FD7991">
      <w:pPr>
        <w:pStyle w:val="Prrafodelista"/>
        <w:tabs>
          <w:tab w:val="left" w:pos="567"/>
        </w:tabs>
        <w:spacing w:line="360" w:lineRule="auto"/>
        <w:ind w:left="567" w:right="567"/>
        <w:jc w:val="both"/>
        <w:rPr>
          <w:rFonts w:ascii="Palatino Linotype" w:hAnsi="Palatino Linotype"/>
          <w:b/>
          <w:bCs/>
          <w:i/>
          <w:iCs/>
          <w:color w:val="000000" w:themeColor="text1"/>
          <w:sz w:val="20"/>
          <w:szCs w:val="20"/>
        </w:rPr>
      </w:pPr>
      <w:r w:rsidRPr="00B71E3E">
        <w:rPr>
          <w:rFonts w:ascii="Palatino Linotype" w:hAnsi="Palatino Linotype"/>
          <w:b/>
          <w:bCs/>
          <w:i/>
          <w:iCs/>
          <w:color w:val="000000" w:themeColor="text1"/>
          <w:sz w:val="20"/>
          <w:szCs w:val="20"/>
        </w:rPr>
        <w:tab/>
      </w:r>
    </w:p>
    <w:p w14:paraId="70AAC92C" w14:textId="77777777" w:rsidR="00FD7991" w:rsidRPr="00B71E3E" w:rsidRDefault="00FD7991" w:rsidP="00FD7991">
      <w:pPr>
        <w:pStyle w:val="Prrafodelista"/>
        <w:tabs>
          <w:tab w:val="left" w:pos="567"/>
        </w:tabs>
        <w:spacing w:line="360" w:lineRule="auto"/>
        <w:ind w:left="567" w:right="567"/>
        <w:jc w:val="both"/>
        <w:rPr>
          <w:rFonts w:ascii="Palatino Linotype" w:hAnsi="Palatino Linotype" w:cs="Tahoma"/>
          <w:b/>
          <w:bCs/>
          <w:i/>
          <w:iCs/>
          <w:sz w:val="20"/>
          <w:szCs w:val="20"/>
        </w:rPr>
      </w:pPr>
      <w:r w:rsidRPr="00B71E3E">
        <w:rPr>
          <w:rFonts w:ascii="Palatino Linotype" w:hAnsi="Palatino Linotype"/>
          <w:b/>
          <w:bCs/>
          <w:i/>
          <w:iCs/>
          <w:color w:val="000000" w:themeColor="text1"/>
          <w:sz w:val="20"/>
          <w:szCs w:val="20"/>
        </w:rPr>
        <w:t>Solicitud de Información 03479/TOLUCA/IP/2024</w:t>
      </w:r>
    </w:p>
    <w:p w14:paraId="62F49A6A" w14:textId="77777777" w:rsidR="00FD7991" w:rsidRPr="00B71E3E" w:rsidRDefault="00FD7991" w:rsidP="00FD7991">
      <w:pPr>
        <w:tabs>
          <w:tab w:val="left" w:pos="4667"/>
        </w:tabs>
        <w:spacing w:line="360" w:lineRule="auto"/>
        <w:ind w:left="567" w:right="567"/>
        <w:contextualSpacing/>
        <w:jc w:val="both"/>
        <w:rPr>
          <w:rFonts w:ascii="Palatino Linotype" w:hAnsi="Palatino Linotype" w:cs="Tahoma"/>
          <w:b/>
          <w:bCs/>
          <w:i/>
          <w:iCs/>
        </w:rPr>
      </w:pPr>
      <w:r w:rsidRPr="00B71E3E">
        <w:rPr>
          <w:rFonts w:ascii="Palatino Linotype" w:hAnsi="Palatino Linotype" w:cs="Tahoma"/>
          <w:b/>
          <w:bCs/>
          <w:i/>
          <w:iCs/>
        </w:rPr>
        <w:t>“DESCRIPCIÓN CLARA Y PRECISA DE LA INFORMACIÓN SOLICITADA</w:t>
      </w:r>
    </w:p>
    <w:p w14:paraId="5CD4B10B" w14:textId="26DEFE69" w:rsidR="00FD7991" w:rsidRPr="00B71E3E" w:rsidRDefault="00FD7991" w:rsidP="00FD7991">
      <w:pPr>
        <w:ind w:right="567" w:firstLine="567"/>
        <w:jc w:val="both"/>
        <w:rPr>
          <w:rFonts w:ascii="Palatino Linotype" w:hAnsi="Palatino Linotype"/>
          <w:i/>
          <w:lang w:eastAsia="es-MX"/>
        </w:rPr>
      </w:pPr>
      <w:r w:rsidRPr="00B71E3E">
        <w:rPr>
          <w:rFonts w:ascii="Palatino Linotype" w:hAnsi="Palatino Linotype"/>
          <w:i/>
          <w:lang w:eastAsia="es-MX"/>
        </w:rPr>
        <w:t>Solicito los oficios firmados por la segunda síndico en marzo 2023</w:t>
      </w:r>
      <w:r w:rsidRPr="00B71E3E">
        <w:rPr>
          <w:rFonts w:ascii="Palatino Linotype" w:hAnsi="Palatino Linotype"/>
          <w:i/>
          <w:iCs/>
          <w:lang w:eastAsia="es-MX"/>
        </w:rPr>
        <w:t>.</w:t>
      </w:r>
      <w:r w:rsidRPr="00B71E3E">
        <w:rPr>
          <w:rFonts w:ascii="Palatino Linotype" w:hAnsi="Palatino Linotype" w:cs="Tahoma"/>
          <w:bCs/>
          <w:i/>
          <w:iCs/>
        </w:rPr>
        <w:t>” (Sic)</w:t>
      </w:r>
      <w:r w:rsidR="00810AFF" w:rsidRPr="00B71E3E">
        <w:rPr>
          <w:rFonts w:ascii="Palatino Linotype" w:hAnsi="Palatino Linotype" w:cs="Tahoma"/>
          <w:bCs/>
          <w:i/>
          <w:iCs/>
        </w:rPr>
        <w:t>.</w:t>
      </w:r>
    </w:p>
    <w:p w14:paraId="6698D959" w14:textId="77777777" w:rsidR="00FD7991" w:rsidRPr="00B71E3E" w:rsidRDefault="00FD7991" w:rsidP="00FD7991">
      <w:pPr>
        <w:tabs>
          <w:tab w:val="left" w:pos="4667"/>
        </w:tabs>
        <w:spacing w:line="360" w:lineRule="auto"/>
        <w:ind w:left="567" w:right="567"/>
        <w:contextualSpacing/>
        <w:jc w:val="both"/>
        <w:rPr>
          <w:rFonts w:ascii="Palatino Linotype" w:hAnsi="Palatino Linotype" w:cs="Tahoma"/>
          <w:bCs/>
          <w:i/>
        </w:rPr>
      </w:pPr>
    </w:p>
    <w:p w14:paraId="24A072A4" w14:textId="5D32C0F7" w:rsidR="00FD7991" w:rsidRPr="00B71E3E" w:rsidRDefault="00FD7991" w:rsidP="00810AFF">
      <w:pPr>
        <w:tabs>
          <w:tab w:val="left" w:pos="4667"/>
        </w:tabs>
        <w:spacing w:line="360" w:lineRule="auto"/>
        <w:ind w:left="567" w:right="567"/>
        <w:contextualSpacing/>
        <w:jc w:val="both"/>
        <w:rPr>
          <w:rFonts w:ascii="Palatino Linotype" w:hAnsi="Palatino Linotype" w:cs="Tahoma"/>
          <w:bCs/>
          <w:i/>
        </w:rPr>
      </w:pPr>
      <w:r w:rsidRPr="00B71E3E">
        <w:rPr>
          <w:rFonts w:ascii="Palatino Linotype" w:hAnsi="Palatino Linotype" w:cs="Tahoma"/>
          <w:b/>
          <w:bCs/>
          <w:i/>
        </w:rPr>
        <w:lastRenderedPageBreak/>
        <w:t>Modalidad de Entrega</w:t>
      </w:r>
      <w:proofErr w:type="gramStart"/>
      <w:r w:rsidRPr="00B71E3E">
        <w:rPr>
          <w:rFonts w:ascii="Palatino Linotype" w:hAnsi="Palatino Linotype" w:cs="Tahoma"/>
          <w:b/>
          <w:bCs/>
          <w:i/>
        </w:rPr>
        <w:t xml:space="preserve">:  </w:t>
      </w:r>
      <w:r w:rsidRPr="00B71E3E">
        <w:rPr>
          <w:rFonts w:ascii="Palatino Linotype" w:hAnsi="Palatino Linotype" w:cs="Tahoma"/>
          <w:bCs/>
          <w:i/>
        </w:rPr>
        <w:t>A</w:t>
      </w:r>
      <w:proofErr w:type="gramEnd"/>
      <w:r w:rsidRPr="00B71E3E">
        <w:rPr>
          <w:rFonts w:ascii="Palatino Linotype" w:hAnsi="Palatino Linotype" w:cs="Tahoma"/>
          <w:bCs/>
          <w:i/>
        </w:rPr>
        <w:t xml:space="preserve"> través de SAIMEX.</w:t>
      </w:r>
    </w:p>
    <w:p w14:paraId="3A5ABDA4" w14:textId="77777777" w:rsidR="00FD7991" w:rsidRPr="00B71E3E" w:rsidRDefault="00FD7991" w:rsidP="00FD7991">
      <w:pPr>
        <w:tabs>
          <w:tab w:val="left" w:pos="4667"/>
        </w:tabs>
        <w:spacing w:line="360" w:lineRule="auto"/>
        <w:ind w:right="567"/>
        <w:contextualSpacing/>
        <w:jc w:val="both"/>
        <w:rPr>
          <w:rFonts w:ascii="Palatino Linotype" w:hAnsi="Palatino Linotype" w:cs="Tahoma"/>
          <w:sz w:val="22"/>
          <w:szCs w:val="22"/>
        </w:rPr>
      </w:pPr>
    </w:p>
    <w:p w14:paraId="462A2208" w14:textId="7F21A1D6" w:rsidR="00FD7991" w:rsidRPr="00B71E3E" w:rsidRDefault="00FD7991" w:rsidP="00FD7991">
      <w:pPr>
        <w:tabs>
          <w:tab w:val="left" w:pos="4667"/>
        </w:tabs>
        <w:spacing w:line="360" w:lineRule="auto"/>
        <w:contextualSpacing/>
        <w:jc w:val="both"/>
        <w:rPr>
          <w:rFonts w:ascii="Palatino Linotype" w:hAnsi="Palatino Linotype" w:cs="Tahoma"/>
          <w:b/>
          <w:sz w:val="22"/>
          <w:szCs w:val="22"/>
        </w:rPr>
      </w:pPr>
      <w:r w:rsidRPr="00B71E3E">
        <w:rPr>
          <w:rFonts w:ascii="Palatino Linotype" w:hAnsi="Palatino Linotype" w:cs="Tahoma"/>
          <w:b/>
          <w:bCs/>
          <w:sz w:val="22"/>
          <w:szCs w:val="24"/>
        </w:rPr>
        <w:t xml:space="preserve">II. </w:t>
      </w:r>
      <w:r w:rsidRPr="00B71E3E">
        <w:rPr>
          <w:rFonts w:ascii="Palatino Linotype" w:hAnsi="Palatino Linotype" w:cs="Tahoma"/>
          <w:b/>
          <w:sz w:val="22"/>
          <w:szCs w:val="22"/>
        </w:rPr>
        <w:t>Respuestas</w:t>
      </w:r>
      <w:r w:rsidRPr="00B71E3E">
        <w:rPr>
          <w:rFonts w:ascii="Palatino Linotype" w:hAnsi="Palatino Linotype" w:cs="Tahoma"/>
          <w:b/>
          <w:bCs/>
          <w:sz w:val="22"/>
          <w:szCs w:val="22"/>
        </w:rPr>
        <w:t xml:space="preserve"> del Sujeto Obligado</w:t>
      </w:r>
    </w:p>
    <w:p w14:paraId="5968647F" w14:textId="77777777" w:rsidR="00FD7991" w:rsidRPr="00B71E3E" w:rsidRDefault="00FD7991" w:rsidP="00FD7991">
      <w:pPr>
        <w:tabs>
          <w:tab w:val="left" w:pos="4667"/>
        </w:tabs>
        <w:spacing w:line="360" w:lineRule="auto"/>
        <w:ind w:right="567"/>
        <w:contextualSpacing/>
        <w:jc w:val="both"/>
        <w:rPr>
          <w:rFonts w:ascii="Palatino Linotype" w:hAnsi="Palatino Linotype" w:cs="Tahoma"/>
          <w:b/>
          <w:bCs/>
          <w:sz w:val="22"/>
          <w:szCs w:val="22"/>
        </w:rPr>
      </w:pPr>
    </w:p>
    <w:p w14:paraId="14E442F1" w14:textId="484A9457" w:rsidR="00FD7991" w:rsidRPr="00B71E3E" w:rsidRDefault="00FD7991" w:rsidP="00FD7991">
      <w:pPr>
        <w:autoSpaceDE w:val="0"/>
        <w:autoSpaceDN w:val="0"/>
        <w:adjustRightInd w:val="0"/>
        <w:spacing w:line="360" w:lineRule="auto"/>
        <w:contextualSpacing/>
        <w:jc w:val="both"/>
        <w:rPr>
          <w:rFonts w:ascii="Palatino Linotype" w:hAnsi="Palatino Linotype" w:cs="Tahoma"/>
          <w:sz w:val="22"/>
          <w:szCs w:val="22"/>
        </w:rPr>
      </w:pPr>
      <w:r w:rsidRPr="00B71E3E">
        <w:rPr>
          <w:rFonts w:ascii="Palatino Linotype" w:hAnsi="Palatino Linotype" w:cs="Tahoma"/>
          <w:bCs/>
          <w:sz w:val="22"/>
          <w:szCs w:val="22"/>
        </w:rPr>
        <w:t>Con fecha veintisiete de enero de dos mil veinticinco, el</w:t>
      </w:r>
      <w:r w:rsidRPr="00B71E3E">
        <w:rPr>
          <w:rFonts w:ascii="Palatino Linotype" w:hAnsi="Palatino Linotype" w:cs="Tahoma"/>
          <w:b/>
          <w:sz w:val="22"/>
          <w:szCs w:val="22"/>
        </w:rPr>
        <w:t xml:space="preserve"> </w:t>
      </w:r>
      <w:r w:rsidRPr="00B71E3E">
        <w:rPr>
          <w:rFonts w:ascii="Palatino Linotype" w:hAnsi="Palatino Linotype" w:cs="Tahoma"/>
          <w:sz w:val="22"/>
          <w:szCs w:val="22"/>
        </w:rPr>
        <w:t xml:space="preserve">Sujeto Obligado dio respuesta a las solicitudes de acceso a la información a través del </w:t>
      </w:r>
      <w:r w:rsidR="00D2410F" w:rsidRPr="00B71E3E">
        <w:rPr>
          <w:rFonts w:ascii="Palatino Linotype" w:hAnsi="Palatino Linotype" w:cs="Tahoma"/>
          <w:sz w:val="22"/>
          <w:szCs w:val="22"/>
        </w:rPr>
        <w:t>SAIMEX</w:t>
      </w:r>
      <w:r w:rsidRPr="00B71E3E">
        <w:rPr>
          <w:rFonts w:ascii="Palatino Linotype" w:hAnsi="Palatino Linotype" w:cs="Tahoma"/>
          <w:sz w:val="22"/>
          <w:szCs w:val="22"/>
        </w:rPr>
        <w:t>, mediante la digitalización de los siguientes documentos:</w:t>
      </w:r>
    </w:p>
    <w:p w14:paraId="13E8D31F" w14:textId="77777777" w:rsidR="00FD7991" w:rsidRPr="00B71E3E" w:rsidRDefault="00FD7991" w:rsidP="00FD7991">
      <w:pPr>
        <w:autoSpaceDE w:val="0"/>
        <w:autoSpaceDN w:val="0"/>
        <w:adjustRightInd w:val="0"/>
        <w:spacing w:line="360" w:lineRule="auto"/>
        <w:contextualSpacing/>
        <w:jc w:val="both"/>
        <w:rPr>
          <w:rFonts w:ascii="Palatino Linotype" w:hAnsi="Palatino Linotype" w:cs="Tahoma"/>
          <w:sz w:val="22"/>
          <w:szCs w:val="22"/>
        </w:rPr>
      </w:pPr>
    </w:p>
    <w:p w14:paraId="65F80F3F" w14:textId="77777777" w:rsidR="00FD7991" w:rsidRPr="00B71E3E" w:rsidRDefault="00FD7991" w:rsidP="00FD7991">
      <w:pPr>
        <w:autoSpaceDE w:val="0"/>
        <w:autoSpaceDN w:val="0"/>
        <w:adjustRightInd w:val="0"/>
        <w:spacing w:line="360" w:lineRule="auto"/>
        <w:contextualSpacing/>
        <w:jc w:val="both"/>
        <w:rPr>
          <w:rFonts w:ascii="Palatino Linotype" w:hAnsi="Palatino Linotype"/>
          <w:b/>
          <w:bCs/>
          <w:color w:val="000000" w:themeColor="text1"/>
          <w:sz w:val="22"/>
          <w:szCs w:val="22"/>
        </w:rPr>
      </w:pPr>
      <w:r w:rsidRPr="00B71E3E">
        <w:rPr>
          <w:rFonts w:ascii="Palatino Linotype" w:hAnsi="Palatino Linotype"/>
          <w:b/>
          <w:bCs/>
          <w:color w:val="000000" w:themeColor="text1"/>
          <w:sz w:val="22"/>
          <w:szCs w:val="22"/>
        </w:rPr>
        <w:t>Solicitud de Información 03475/TOLUCA/IP/2024</w:t>
      </w:r>
    </w:p>
    <w:p w14:paraId="786DCC8F" w14:textId="77777777" w:rsidR="00FD7991" w:rsidRPr="00B71E3E" w:rsidRDefault="00FD7991" w:rsidP="00FD7991">
      <w:pPr>
        <w:autoSpaceDE w:val="0"/>
        <w:autoSpaceDN w:val="0"/>
        <w:adjustRightInd w:val="0"/>
        <w:spacing w:line="360" w:lineRule="auto"/>
        <w:contextualSpacing/>
        <w:jc w:val="both"/>
        <w:rPr>
          <w:rFonts w:ascii="Palatino Linotype" w:hAnsi="Palatino Linotype" w:cs="Tahoma"/>
          <w:sz w:val="22"/>
          <w:szCs w:val="22"/>
        </w:rPr>
      </w:pPr>
    </w:p>
    <w:p w14:paraId="274D80A3" w14:textId="7029A259" w:rsidR="00FD7991" w:rsidRPr="00B71E3E" w:rsidRDefault="00FD7991" w:rsidP="00FD7991">
      <w:pPr>
        <w:autoSpaceDE w:val="0"/>
        <w:autoSpaceDN w:val="0"/>
        <w:adjustRightInd w:val="0"/>
        <w:spacing w:line="360" w:lineRule="auto"/>
        <w:contextualSpacing/>
        <w:jc w:val="both"/>
        <w:rPr>
          <w:rFonts w:ascii="Palatino Linotype" w:hAnsi="Palatino Linotype" w:cs="Tahoma"/>
          <w:sz w:val="22"/>
          <w:szCs w:val="22"/>
        </w:rPr>
      </w:pPr>
      <w:r w:rsidRPr="00B71E3E">
        <w:rPr>
          <w:rFonts w:ascii="Palatino Linotype" w:hAnsi="Palatino Linotype" w:cs="Tahoma"/>
          <w:sz w:val="22"/>
          <w:szCs w:val="22"/>
        </w:rPr>
        <w:t xml:space="preserve">i) Oficio sin número, de la fecha de su recepción, suscrito por el Titular de la Unidad de Transparencia, dirigido a la solicitante, a través del cual manifiesta y expone esencialmente lo siguiente: </w:t>
      </w:r>
    </w:p>
    <w:p w14:paraId="634CBC43" w14:textId="77777777" w:rsidR="00FD7991" w:rsidRPr="00B71E3E" w:rsidRDefault="00FD7991" w:rsidP="00FD7991">
      <w:pPr>
        <w:tabs>
          <w:tab w:val="left" w:pos="4667"/>
        </w:tabs>
        <w:spacing w:line="360" w:lineRule="auto"/>
        <w:ind w:left="567"/>
        <w:contextualSpacing/>
        <w:jc w:val="both"/>
        <w:rPr>
          <w:rFonts w:ascii="Palatino Linotype" w:hAnsi="Palatino Linotype" w:cs="Tahoma"/>
          <w:bCs/>
          <w:i/>
          <w:sz w:val="22"/>
          <w:szCs w:val="22"/>
        </w:rPr>
      </w:pPr>
    </w:p>
    <w:p w14:paraId="11DF4862" w14:textId="1175C19B" w:rsidR="00FD7991" w:rsidRPr="00B71E3E" w:rsidRDefault="00FD7991" w:rsidP="00FD7991">
      <w:pPr>
        <w:tabs>
          <w:tab w:val="left" w:pos="4667"/>
        </w:tabs>
        <w:spacing w:line="360" w:lineRule="auto"/>
        <w:ind w:left="567" w:right="567"/>
        <w:contextualSpacing/>
        <w:jc w:val="both"/>
        <w:rPr>
          <w:rFonts w:ascii="Palatino Linotype" w:hAnsi="Palatino Linotype" w:cs="Tahoma"/>
          <w:bCs/>
          <w:i/>
        </w:rPr>
      </w:pPr>
      <w:r w:rsidRPr="00B71E3E">
        <w:rPr>
          <w:rFonts w:ascii="Palatino Linotype" w:hAnsi="Palatino Linotype" w:cs="Tahoma"/>
          <w:bCs/>
          <w:i/>
        </w:rPr>
        <w:t>“</w:t>
      </w:r>
      <w:r w:rsidRPr="00B71E3E">
        <w:rPr>
          <w:rFonts w:ascii="Palatino Linotype" w:hAnsi="Palatino Linotype" w:cs="Tahoma"/>
          <w:bCs/>
          <w:i/>
          <w:lang w:val="es-ES"/>
        </w:rPr>
        <w:t xml:space="preserve">… </w:t>
      </w:r>
      <w:r w:rsidRPr="00B71E3E">
        <w:rPr>
          <w:rFonts w:ascii="Palatino Linotype" w:hAnsi="Palatino Linotype" w:cs="Tahoma"/>
          <w:bCs/>
          <w:i/>
        </w:rPr>
        <w:t xml:space="preserve">hago de su conocimiento que la Segunda Sindicatura y Servidora Pública Habilitada, informó que </w:t>
      </w:r>
      <w:r w:rsidRPr="00B71E3E">
        <w:rPr>
          <w:rFonts w:ascii="Palatino Linotype" w:hAnsi="Palatino Linotype" w:cs="Tahoma"/>
          <w:b/>
          <w:i/>
        </w:rPr>
        <w:t>una vez realizada la búsqueda exhaustiva y razonable en los archivos que obran en esta Unidad Administrativa, y con la finalidad de dar atención a lo solicitado, sirva encontrar la evidencia del soporte documental de la información requerida, en formato PDF como Anexo 1</w:t>
      </w:r>
      <w:r w:rsidRPr="00B71E3E">
        <w:rPr>
          <w:rFonts w:ascii="Palatino Linotype" w:hAnsi="Palatino Linotype" w:cs="Tahoma"/>
          <w:bCs/>
          <w:i/>
        </w:rPr>
        <w:t xml:space="preserve"> </w:t>
      </w:r>
      <w:r w:rsidRPr="00B71E3E">
        <w:rPr>
          <w:rFonts w:ascii="Palatino Linotype" w:hAnsi="Palatino Linotype" w:cs="Tahoma"/>
          <w:b/>
          <w:bCs/>
          <w:i/>
        </w:rPr>
        <w:t>“Oficios mayo 2023”</w:t>
      </w:r>
      <w:r w:rsidRPr="00B71E3E">
        <w:rPr>
          <w:rFonts w:ascii="Palatino Linotype" w:hAnsi="Palatino Linotype" w:cs="Tahoma"/>
          <w:bCs/>
          <w:i/>
        </w:rPr>
        <w:t xml:space="preserve"> en versión Pública, para su debida consulta, está aprobada en el Acta de la Séptima Sesión Extraordinaria 2025 por el Comité de Transparencia del Municipio de Toluca, Administración 2025-2027, de fecha 13 de enero de 2025 con acuerdo número CT/SE/07/01/2025.</w:t>
      </w:r>
      <w:r w:rsidR="00D2410F" w:rsidRPr="00B71E3E">
        <w:rPr>
          <w:rFonts w:ascii="Palatino Linotype" w:hAnsi="Palatino Linotype" w:cs="Tahoma"/>
          <w:bCs/>
          <w:i/>
        </w:rPr>
        <w:t>”</w:t>
      </w:r>
    </w:p>
    <w:p w14:paraId="2B51BDB2" w14:textId="0CC8DB07" w:rsidR="00D2410F" w:rsidRPr="00B71E3E" w:rsidRDefault="00D2410F" w:rsidP="00FD7991">
      <w:pPr>
        <w:tabs>
          <w:tab w:val="left" w:pos="4667"/>
        </w:tabs>
        <w:spacing w:line="360" w:lineRule="auto"/>
        <w:ind w:left="567" w:right="567"/>
        <w:contextualSpacing/>
        <w:jc w:val="both"/>
        <w:rPr>
          <w:rFonts w:ascii="Palatino Linotype" w:hAnsi="Palatino Linotype" w:cs="Tahoma"/>
          <w:bCs/>
          <w:i/>
        </w:rPr>
      </w:pPr>
      <w:r w:rsidRPr="00B71E3E">
        <w:rPr>
          <w:rFonts w:ascii="Palatino Linotype" w:hAnsi="Palatino Linotype" w:cs="Tahoma"/>
          <w:bCs/>
          <w:i/>
        </w:rPr>
        <w:t>(</w:t>
      </w:r>
      <w:r w:rsidRPr="00B71E3E">
        <w:rPr>
          <w:rFonts w:ascii="Palatino Linotype" w:hAnsi="Palatino Linotype" w:cs="Tahoma"/>
          <w:bCs/>
          <w:i/>
          <w:caps/>
        </w:rPr>
        <w:t>é</w:t>
      </w:r>
      <w:r w:rsidRPr="00B71E3E">
        <w:rPr>
          <w:rFonts w:ascii="Palatino Linotype" w:hAnsi="Palatino Linotype" w:cs="Tahoma"/>
          <w:bCs/>
          <w:i/>
        </w:rPr>
        <w:t>nfasis añadido).</w:t>
      </w:r>
    </w:p>
    <w:p w14:paraId="3DE89C9C" w14:textId="77777777" w:rsidR="00FD7991" w:rsidRPr="00B71E3E" w:rsidRDefault="00FD7991" w:rsidP="00FD7991">
      <w:pPr>
        <w:tabs>
          <w:tab w:val="left" w:pos="4667"/>
        </w:tabs>
        <w:spacing w:line="360" w:lineRule="auto"/>
        <w:ind w:left="567" w:right="567"/>
        <w:contextualSpacing/>
        <w:jc w:val="both"/>
        <w:rPr>
          <w:rFonts w:ascii="Palatino Linotype" w:hAnsi="Palatino Linotype" w:cs="Tahoma"/>
          <w:bCs/>
          <w:i/>
        </w:rPr>
      </w:pPr>
    </w:p>
    <w:p w14:paraId="1FCCF1AD" w14:textId="56247172" w:rsidR="00FD7991" w:rsidRPr="00B71E3E" w:rsidRDefault="00FD7991" w:rsidP="00FD7991">
      <w:pPr>
        <w:tabs>
          <w:tab w:val="left" w:pos="4667"/>
        </w:tabs>
        <w:spacing w:line="360" w:lineRule="auto"/>
        <w:contextualSpacing/>
        <w:jc w:val="both"/>
        <w:rPr>
          <w:rFonts w:ascii="Palatino Linotype" w:hAnsi="Palatino Linotype" w:cs="Tahoma"/>
          <w:bCs/>
          <w:sz w:val="22"/>
          <w:szCs w:val="22"/>
        </w:rPr>
      </w:pPr>
      <w:r w:rsidRPr="00B71E3E">
        <w:rPr>
          <w:rFonts w:ascii="Palatino Linotype" w:hAnsi="Palatino Linotype" w:cs="Tahoma"/>
          <w:bCs/>
          <w:sz w:val="22"/>
          <w:szCs w:val="22"/>
        </w:rPr>
        <w:t>ii) Cincuenta y dos oficios firmados por la Segunda Síndico, del</w:t>
      </w:r>
      <w:r w:rsidR="00B7271F" w:rsidRPr="00B71E3E">
        <w:rPr>
          <w:rFonts w:ascii="Palatino Linotype" w:hAnsi="Palatino Linotype" w:cs="Tahoma"/>
          <w:bCs/>
          <w:sz w:val="22"/>
          <w:szCs w:val="22"/>
        </w:rPr>
        <w:t xml:space="preserve"> primero al treinta y uno</w:t>
      </w:r>
      <w:r w:rsidRPr="00B71E3E">
        <w:rPr>
          <w:rFonts w:ascii="Palatino Linotype" w:hAnsi="Palatino Linotype" w:cs="Tahoma"/>
          <w:bCs/>
          <w:sz w:val="22"/>
          <w:szCs w:val="22"/>
        </w:rPr>
        <w:t xml:space="preserve"> de mayo de dos mil veintitrés.</w:t>
      </w:r>
    </w:p>
    <w:p w14:paraId="14604DFF" w14:textId="77777777" w:rsidR="00FD7991" w:rsidRPr="00B71E3E" w:rsidRDefault="00FD7991" w:rsidP="00FD7991">
      <w:pPr>
        <w:tabs>
          <w:tab w:val="left" w:pos="4667"/>
        </w:tabs>
        <w:spacing w:line="360" w:lineRule="auto"/>
        <w:contextualSpacing/>
        <w:jc w:val="both"/>
        <w:rPr>
          <w:rFonts w:ascii="Palatino Linotype" w:hAnsi="Palatino Linotype" w:cs="Tahoma"/>
          <w:sz w:val="22"/>
          <w:szCs w:val="22"/>
          <w:lang w:val="es-ES"/>
        </w:rPr>
      </w:pPr>
    </w:p>
    <w:p w14:paraId="4D9CE270" w14:textId="240B6C4E" w:rsidR="00FD7991" w:rsidRPr="00B71E3E" w:rsidRDefault="00FD7991" w:rsidP="00FD7991">
      <w:pPr>
        <w:tabs>
          <w:tab w:val="left" w:pos="4667"/>
        </w:tabs>
        <w:spacing w:line="360" w:lineRule="auto"/>
        <w:contextualSpacing/>
        <w:jc w:val="both"/>
        <w:rPr>
          <w:rFonts w:ascii="Palatino Linotype" w:hAnsi="Palatino Linotype" w:cs="Tahoma"/>
          <w:sz w:val="22"/>
          <w:szCs w:val="22"/>
          <w:lang w:val="es-ES"/>
        </w:rPr>
      </w:pPr>
      <w:r w:rsidRPr="00B71E3E">
        <w:rPr>
          <w:rFonts w:ascii="Palatino Linotype" w:hAnsi="Palatino Linotype" w:cs="Tahoma"/>
          <w:sz w:val="22"/>
          <w:szCs w:val="22"/>
          <w:lang w:val="es-ES"/>
        </w:rPr>
        <w:lastRenderedPageBreak/>
        <w:t xml:space="preserve">iii) </w:t>
      </w:r>
      <w:r w:rsidRPr="00B71E3E">
        <w:rPr>
          <w:rFonts w:ascii="Palatino Linotype" w:hAnsi="Palatino Linotype" w:cs="Tahoma"/>
          <w:bCs/>
          <w:sz w:val="22"/>
          <w:szCs w:val="22"/>
        </w:rPr>
        <w:t>Acta de la Séptima Sesión Extraordinaria del Comité de Transparencia del Municipio de Toluca, por medio de la cual aprueba la clasificación de información contenida en los oficios de mayo remitidos, de</w:t>
      </w:r>
      <w:r w:rsidR="00117C3E" w:rsidRPr="00B71E3E">
        <w:rPr>
          <w:rFonts w:ascii="Palatino Linotype" w:hAnsi="Palatino Linotype" w:cs="Tahoma"/>
          <w:bCs/>
          <w:sz w:val="22"/>
          <w:szCs w:val="22"/>
        </w:rPr>
        <w:t>l</w:t>
      </w:r>
      <w:r w:rsidRPr="00B71E3E">
        <w:rPr>
          <w:rFonts w:ascii="Palatino Linotype" w:hAnsi="Palatino Linotype" w:cs="Tahoma"/>
          <w:bCs/>
          <w:sz w:val="22"/>
          <w:szCs w:val="22"/>
        </w:rPr>
        <w:t xml:space="preserve"> trece de enero de dos mil veinticinco.</w:t>
      </w:r>
    </w:p>
    <w:p w14:paraId="16A7C260" w14:textId="77777777" w:rsidR="00FD7991" w:rsidRPr="00B71E3E" w:rsidRDefault="00FD7991" w:rsidP="00FD7991">
      <w:pPr>
        <w:autoSpaceDE w:val="0"/>
        <w:autoSpaceDN w:val="0"/>
        <w:adjustRightInd w:val="0"/>
        <w:spacing w:line="360" w:lineRule="auto"/>
        <w:contextualSpacing/>
        <w:jc w:val="both"/>
        <w:rPr>
          <w:rFonts w:ascii="Palatino Linotype" w:hAnsi="Palatino Linotype"/>
          <w:b/>
          <w:bCs/>
          <w:color w:val="000000" w:themeColor="text1"/>
          <w:sz w:val="22"/>
          <w:szCs w:val="22"/>
        </w:rPr>
      </w:pPr>
    </w:p>
    <w:p w14:paraId="3CD88EA1" w14:textId="77777777" w:rsidR="00FD7991" w:rsidRPr="00B71E3E" w:rsidRDefault="00FD7991" w:rsidP="00FD7991">
      <w:pPr>
        <w:autoSpaceDE w:val="0"/>
        <w:autoSpaceDN w:val="0"/>
        <w:adjustRightInd w:val="0"/>
        <w:spacing w:line="360" w:lineRule="auto"/>
        <w:contextualSpacing/>
        <w:jc w:val="both"/>
        <w:rPr>
          <w:rFonts w:ascii="Palatino Linotype" w:hAnsi="Palatino Linotype"/>
          <w:b/>
          <w:bCs/>
          <w:color w:val="000000" w:themeColor="text1"/>
          <w:sz w:val="22"/>
          <w:szCs w:val="22"/>
        </w:rPr>
      </w:pPr>
      <w:r w:rsidRPr="00B71E3E">
        <w:rPr>
          <w:rFonts w:ascii="Palatino Linotype" w:hAnsi="Palatino Linotype"/>
          <w:b/>
          <w:bCs/>
          <w:color w:val="000000" w:themeColor="text1"/>
          <w:sz w:val="22"/>
          <w:szCs w:val="22"/>
        </w:rPr>
        <w:t>Solicitud de Información 03479/TOLUCA/IP/2024</w:t>
      </w:r>
    </w:p>
    <w:p w14:paraId="5AE48157" w14:textId="77777777" w:rsidR="00FD7991" w:rsidRPr="00B71E3E" w:rsidRDefault="00FD7991" w:rsidP="00FD7991">
      <w:pPr>
        <w:autoSpaceDE w:val="0"/>
        <w:autoSpaceDN w:val="0"/>
        <w:adjustRightInd w:val="0"/>
        <w:spacing w:line="360" w:lineRule="auto"/>
        <w:contextualSpacing/>
        <w:jc w:val="both"/>
        <w:rPr>
          <w:rFonts w:ascii="Palatino Linotype" w:hAnsi="Palatino Linotype" w:cs="Tahoma"/>
          <w:sz w:val="22"/>
          <w:szCs w:val="22"/>
        </w:rPr>
      </w:pPr>
    </w:p>
    <w:p w14:paraId="0B42D20E" w14:textId="77777777" w:rsidR="00FD7991" w:rsidRPr="00B71E3E" w:rsidRDefault="00FD7991" w:rsidP="00FD7991">
      <w:pPr>
        <w:autoSpaceDE w:val="0"/>
        <w:autoSpaceDN w:val="0"/>
        <w:adjustRightInd w:val="0"/>
        <w:spacing w:line="360" w:lineRule="auto"/>
        <w:contextualSpacing/>
        <w:jc w:val="both"/>
        <w:rPr>
          <w:rFonts w:ascii="Palatino Linotype" w:hAnsi="Palatino Linotype" w:cs="Tahoma"/>
          <w:sz w:val="22"/>
          <w:szCs w:val="22"/>
        </w:rPr>
      </w:pPr>
      <w:r w:rsidRPr="00B71E3E">
        <w:rPr>
          <w:rFonts w:ascii="Palatino Linotype" w:hAnsi="Palatino Linotype" w:cs="Tahoma"/>
          <w:sz w:val="22"/>
          <w:szCs w:val="22"/>
        </w:rPr>
        <w:t xml:space="preserve">i) Oficio sin número, de la fecha de su recepción, suscrito por el Titular de la Unidad de Transparencia, y dirigido a la solicitante, a través del cual manifiesta y expone esencialmente lo siguiente: </w:t>
      </w:r>
    </w:p>
    <w:p w14:paraId="1D8128B2" w14:textId="77777777" w:rsidR="00FD7991" w:rsidRPr="00B71E3E" w:rsidRDefault="00FD7991" w:rsidP="00FD7991">
      <w:pPr>
        <w:tabs>
          <w:tab w:val="left" w:pos="4667"/>
        </w:tabs>
        <w:spacing w:line="360" w:lineRule="auto"/>
        <w:ind w:left="567"/>
        <w:contextualSpacing/>
        <w:jc w:val="both"/>
        <w:rPr>
          <w:rFonts w:ascii="Palatino Linotype" w:hAnsi="Palatino Linotype" w:cs="Tahoma"/>
          <w:bCs/>
          <w:i/>
          <w:sz w:val="22"/>
          <w:szCs w:val="22"/>
        </w:rPr>
      </w:pPr>
    </w:p>
    <w:p w14:paraId="7F0304AF" w14:textId="77777777" w:rsidR="00FD7991" w:rsidRPr="00B71E3E" w:rsidRDefault="00FD7991" w:rsidP="00FD7991">
      <w:pPr>
        <w:tabs>
          <w:tab w:val="left" w:pos="4667"/>
        </w:tabs>
        <w:spacing w:line="360" w:lineRule="auto"/>
        <w:ind w:left="567" w:right="567"/>
        <w:contextualSpacing/>
        <w:jc w:val="both"/>
        <w:rPr>
          <w:rFonts w:ascii="Palatino Linotype" w:hAnsi="Palatino Linotype" w:cs="Tahoma"/>
          <w:bCs/>
          <w:i/>
        </w:rPr>
      </w:pPr>
      <w:r w:rsidRPr="00B71E3E">
        <w:rPr>
          <w:rFonts w:ascii="Palatino Linotype" w:hAnsi="Palatino Linotype" w:cs="Tahoma"/>
          <w:bCs/>
          <w:i/>
        </w:rPr>
        <w:t>“</w:t>
      </w:r>
      <w:r w:rsidRPr="00B71E3E">
        <w:rPr>
          <w:rFonts w:ascii="Palatino Linotype" w:hAnsi="Palatino Linotype" w:cs="Tahoma"/>
          <w:bCs/>
          <w:i/>
          <w:lang w:val="es-ES"/>
        </w:rPr>
        <w:t xml:space="preserve">… </w:t>
      </w:r>
      <w:r w:rsidRPr="00B71E3E">
        <w:rPr>
          <w:rFonts w:ascii="Palatino Linotype" w:hAnsi="Palatino Linotype" w:cs="Tahoma"/>
          <w:bCs/>
          <w:i/>
        </w:rPr>
        <w:t xml:space="preserve">hago de su conocimiento que la Segunda Sindicatura y Servidora Pública Habilitada, informó que una vez realizada la búsqueda exhaustiva y razonable </w:t>
      </w:r>
      <w:r w:rsidRPr="00B71E3E">
        <w:rPr>
          <w:rFonts w:ascii="Palatino Linotype" w:hAnsi="Palatino Linotype" w:cs="Tahoma"/>
          <w:b/>
          <w:i/>
        </w:rPr>
        <w:t>en los archivos que obran en esta Unidad Administrativa, y con la finalidad de dar atención a lo solicitado, sirva encontrar la evidencia del soporte documental de la información requerida, en formato PDF como Anexo 1 “Oficios marzo 2023”</w:t>
      </w:r>
      <w:r w:rsidRPr="00B71E3E">
        <w:rPr>
          <w:rFonts w:ascii="Palatino Linotype" w:hAnsi="Palatino Linotype" w:cs="Tahoma"/>
          <w:bCs/>
          <w:i/>
        </w:rPr>
        <w:t xml:space="preserve"> en versión Pública, para su debida consulta, está aprobada en el Acta de la Séptima Sesión Extraordinaria 2025 por el Comité de Transparencia del Municipio de Toluca, Administración 2025-2027, de fecha 13 de enero de 2025 con acuerdo número CT/SE/07/01/2025.</w:t>
      </w:r>
    </w:p>
    <w:p w14:paraId="31D7AD7A" w14:textId="77777777" w:rsidR="00FD7991" w:rsidRPr="00B71E3E" w:rsidRDefault="00FD7991" w:rsidP="00FD7991">
      <w:pPr>
        <w:tabs>
          <w:tab w:val="left" w:pos="4667"/>
        </w:tabs>
        <w:spacing w:line="360" w:lineRule="auto"/>
        <w:ind w:left="567" w:right="567"/>
        <w:contextualSpacing/>
        <w:jc w:val="both"/>
        <w:rPr>
          <w:rFonts w:ascii="Palatino Linotype" w:hAnsi="Palatino Linotype" w:cs="Tahoma"/>
          <w:bCs/>
          <w:i/>
        </w:rPr>
      </w:pPr>
      <w:r w:rsidRPr="00B71E3E">
        <w:rPr>
          <w:rFonts w:ascii="Palatino Linotype" w:hAnsi="Palatino Linotype" w:cs="Tahoma"/>
          <w:bCs/>
          <w:i/>
        </w:rPr>
        <w:t>…”</w:t>
      </w:r>
    </w:p>
    <w:p w14:paraId="085C7480" w14:textId="65251461" w:rsidR="00D2410F" w:rsidRPr="00B71E3E" w:rsidRDefault="00D2410F" w:rsidP="00D2410F">
      <w:pPr>
        <w:tabs>
          <w:tab w:val="left" w:pos="4667"/>
        </w:tabs>
        <w:spacing w:line="360" w:lineRule="auto"/>
        <w:ind w:left="567" w:right="567"/>
        <w:contextualSpacing/>
        <w:jc w:val="both"/>
        <w:rPr>
          <w:rFonts w:ascii="Palatino Linotype" w:hAnsi="Palatino Linotype" w:cs="Tahoma"/>
          <w:bCs/>
          <w:i/>
        </w:rPr>
      </w:pPr>
      <w:r w:rsidRPr="00B71E3E">
        <w:rPr>
          <w:rFonts w:ascii="Palatino Linotype" w:hAnsi="Palatino Linotype" w:cs="Tahoma"/>
          <w:bCs/>
          <w:i/>
        </w:rPr>
        <w:t>(</w:t>
      </w:r>
      <w:r w:rsidRPr="00B71E3E">
        <w:rPr>
          <w:rFonts w:ascii="Palatino Linotype" w:hAnsi="Palatino Linotype" w:cs="Tahoma"/>
          <w:bCs/>
          <w:i/>
          <w:caps/>
        </w:rPr>
        <w:t>é</w:t>
      </w:r>
      <w:r w:rsidRPr="00B71E3E">
        <w:rPr>
          <w:rFonts w:ascii="Palatino Linotype" w:hAnsi="Palatino Linotype" w:cs="Tahoma"/>
          <w:bCs/>
          <w:i/>
        </w:rPr>
        <w:t>nfasis añadido).</w:t>
      </w:r>
    </w:p>
    <w:p w14:paraId="3A26FD8F" w14:textId="77777777" w:rsidR="00FD7991" w:rsidRPr="00B71E3E" w:rsidRDefault="00FD7991" w:rsidP="00FD7991">
      <w:pPr>
        <w:tabs>
          <w:tab w:val="left" w:pos="4667"/>
        </w:tabs>
        <w:spacing w:line="360" w:lineRule="auto"/>
        <w:ind w:left="567" w:right="567"/>
        <w:contextualSpacing/>
        <w:jc w:val="both"/>
        <w:rPr>
          <w:rFonts w:ascii="Palatino Linotype" w:hAnsi="Palatino Linotype" w:cs="Tahoma"/>
          <w:bCs/>
          <w:i/>
        </w:rPr>
      </w:pPr>
    </w:p>
    <w:p w14:paraId="04DA216F" w14:textId="5AA8EBAA" w:rsidR="00FD7991" w:rsidRPr="00B71E3E" w:rsidRDefault="00FD7991" w:rsidP="00FD7991">
      <w:pPr>
        <w:tabs>
          <w:tab w:val="left" w:pos="4667"/>
        </w:tabs>
        <w:spacing w:line="360" w:lineRule="auto"/>
        <w:contextualSpacing/>
        <w:jc w:val="both"/>
        <w:rPr>
          <w:rFonts w:ascii="Palatino Linotype" w:hAnsi="Palatino Linotype" w:cs="Tahoma"/>
          <w:bCs/>
          <w:sz w:val="22"/>
          <w:szCs w:val="22"/>
        </w:rPr>
      </w:pPr>
      <w:r w:rsidRPr="00B71E3E">
        <w:rPr>
          <w:rFonts w:ascii="Palatino Linotype" w:hAnsi="Palatino Linotype" w:cs="Tahoma"/>
          <w:bCs/>
          <w:sz w:val="22"/>
          <w:szCs w:val="22"/>
        </w:rPr>
        <w:t xml:space="preserve">ii) </w:t>
      </w:r>
      <w:r w:rsidRPr="005942A4">
        <w:rPr>
          <w:rFonts w:ascii="Palatino Linotype" w:hAnsi="Palatino Linotype" w:cs="Tahoma"/>
          <w:bCs/>
          <w:sz w:val="22"/>
          <w:szCs w:val="22"/>
        </w:rPr>
        <w:t xml:space="preserve">Treinta y </w:t>
      </w:r>
      <w:r w:rsidR="003C0873" w:rsidRPr="005942A4">
        <w:rPr>
          <w:rFonts w:ascii="Palatino Linotype" w:hAnsi="Palatino Linotype" w:cs="Tahoma"/>
          <w:bCs/>
          <w:sz w:val="22"/>
          <w:szCs w:val="22"/>
        </w:rPr>
        <w:t>cinco</w:t>
      </w:r>
      <w:r w:rsidR="003C0873">
        <w:rPr>
          <w:rFonts w:ascii="Palatino Linotype" w:hAnsi="Palatino Linotype" w:cs="Tahoma"/>
          <w:bCs/>
          <w:sz w:val="22"/>
          <w:szCs w:val="22"/>
        </w:rPr>
        <w:t xml:space="preserve"> </w:t>
      </w:r>
      <w:r w:rsidRPr="00B71E3E">
        <w:rPr>
          <w:rFonts w:ascii="Palatino Linotype" w:hAnsi="Palatino Linotype" w:cs="Tahoma"/>
          <w:bCs/>
          <w:sz w:val="22"/>
          <w:szCs w:val="22"/>
        </w:rPr>
        <w:t xml:space="preserve">oficios firmados por la Segunda Síndico, del </w:t>
      </w:r>
      <w:r w:rsidR="00B7271F" w:rsidRPr="00B71E3E">
        <w:rPr>
          <w:rFonts w:ascii="Palatino Linotype" w:hAnsi="Palatino Linotype" w:cs="Tahoma"/>
          <w:bCs/>
          <w:sz w:val="22"/>
          <w:szCs w:val="22"/>
        </w:rPr>
        <w:t xml:space="preserve">primero al treinta y uno </w:t>
      </w:r>
      <w:r w:rsidRPr="00B71E3E">
        <w:rPr>
          <w:rFonts w:ascii="Palatino Linotype" w:hAnsi="Palatino Linotype" w:cs="Tahoma"/>
          <w:bCs/>
          <w:sz w:val="22"/>
          <w:szCs w:val="22"/>
        </w:rPr>
        <w:t>de marzo de dos mil veintitrés.</w:t>
      </w:r>
    </w:p>
    <w:p w14:paraId="3F414191" w14:textId="77777777" w:rsidR="00FD7991" w:rsidRPr="00B71E3E" w:rsidRDefault="00FD7991" w:rsidP="00FD7991">
      <w:pPr>
        <w:tabs>
          <w:tab w:val="left" w:pos="4667"/>
        </w:tabs>
        <w:spacing w:line="360" w:lineRule="auto"/>
        <w:contextualSpacing/>
        <w:jc w:val="both"/>
        <w:rPr>
          <w:rFonts w:ascii="Palatino Linotype" w:hAnsi="Palatino Linotype" w:cs="Tahoma"/>
          <w:sz w:val="22"/>
          <w:szCs w:val="22"/>
          <w:lang w:val="es-ES"/>
        </w:rPr>
      </w:pPr>
    </w:p>
    <w:p w14:paraId="457D31E4" w14:textId="2A862A41" w:rsidR="00FD7991" w:rsidRPr="00B71E3E" w:rsidRDefault="00FD7991" w:rsidP="00FD7991">
      <w:pPr>
        <w:tabs>
          <w:tab w:val="left" w:pos="4667"/>
        </w:tabs>
        <w:spacing w:line="360" w:lineRule="auto"/>
        <w:contextualSpacing/>
        <w:jc w:val="both"/>
        <w:rPr>
          <w:rFonts w:ascii="Palatino Linotype" w:hAnsi="Palatino Linotype" w:cs="Tahoma"/>
          <w:sz w:val="22"/>
          <w:szCs w:val="22"/>
          <w:lang w:val="es-ES"/>
        </w:rPr>
      </w:pPr>
      <w:r w:rsidRPr="00B71E3E">
        <w:rPr>
          <w:rFonts w:ascii="Palatino Linotype" w:hAnsi="Palatino Linotype" w:cs="Tahoma"/>
          <w:sz w:val="22"/>
          <w:szCs w:val="22"/>
          <w:lang w:val="es-ES"/>
        </w:rPr>
        <w:t xml:space="preserve">iii) </w:t>
      </w:r>
      <w:r w:rsidRPr="00B71E3E">
        <w:rPr>
          <w:rFonts w:ascii="Palatino Linotype" w:hAnsi="Palatino Linotype" w:cs="Tahoma"/>
          <w:bCs/>
          <w:sz w:val="22"/>
          <w:szCs w:val="22"/>
        </w:rPr>
        <w:t>Acta de la Séptima Sesión Extraordinaria del Comité de Transparencia del Municipio de Toluca, por medio de la cual aprueba la clasificación de información contenida en los oficios de marzo remitidos, de</w:t>
      </w:r>
      <w:r w:rsidR="00A209EF" w:rsidRPr="00B71E3E">
        <w:rPr>
          <w:rFonts w:ascii="Palatino Linotype" w:hAnsi="Palatino Linotype" w:cs="Tahoma"/>
          <w:bCs/>
          <w:sz w:val="22"/>
          <w:szCs w:val="22"/>
        </w:rPr>
        <w:t>l</w:t>
      </w:r>
      <w:r w:rsidRPr="00B71E3E">
        <w:rPr>
          <w:rFonts w:ascii="Palatino Linotype" w:hAnsi="Palatino Linotype" w:cs="Tahoma"/>
          <w:bCs/>
          <w:sz w:val="22"/>
          <w:szCs w:val="22"/>
        </w:rPr>
        <w:t xml:space="preserve"> trece de enero de dos mil veinticinco.</w:t>
      </w:r>
    </w:p>
    <w:p w14:paraId="6EEFC5FA" w14:textId="77777777" w:rsidR="00FD7991" w:rsidRPr="00B71E3E" w:rsidRDefault="00FD7991" w:rsidP="00FD7991">
      <w:pPr>
        <w:tabs>
          <w:tab w:val="left" w:pos="4667"/>
        </w:tabs>
        <w:spacing w:line="360" w:lineRule="auto"/>
        <w:contextualSpacing/>
        <w:jc w:val="both"/>
        <w:rPr>
          <w:rFonts w:ascii="Palatino Linotype" w:hAnsi="Palatino Linotype" w:cs="Tahoma"/>
          <w:bCs/>
          <w:iCs/>
          <w:sz w:val="22"/>
          <w:szCs w:val="22"/>
        </w:rPr>
      </w:pPr>
    </w:p>
    <w:p w14:paraId="7F8AF2F7" w14:textId="08461AE2" w:rsidR="00FD7991" w:rsidRPr="00B71E3E" w:rsidRDefault="00FD7991" w:rsidP="00FD7991">
      <w:pPr>
        <w:autoSpaceDE w:val="0"/>
        <w:autoSpaceDN w:val="0"/>
        <w:adjustRightInd w:val="0"/>
        <w:spacing w:line="360" w:lineRule="auto"/>
        <w:contextualSpacing/>
        <w:jc w:val="both"/>
        <w:rPr>
          <w:rFonts w:ascii="Palatino Linotype" w:hAnsi="Palatino Linotype" w:cs="Tahoma"/>
          <w:b/>
          <w:sz w:val="22"/>
          <w:szCs w:val="22"/>
        </w:rPr>
      </w:pPr>
      <w:r w:rsidRPr="00B71E3E">
        <w:rPr>
          <w:rFonts w:ascii="Palatino Linotype" w:hAnsi="Palatino Linotype" w:cs="Tahoma"/>
          <w:b/>
          <w:sz w:val="22"/>
          <w:szCs w:val="22"/>
        </w:rPr>
        <w:lastRenderedPageBreak/>
        <w:t>III. Interposición de los Recursos de Revisión</w:t>
      </w:r>
    </w:p>
    <w:p w14:paraId="1097E458" w14:textId="77777777" w:rsidR="00FD7991" w:rsidRPr="00B71E3E" w:rsidRDefault="00FD7991" w:rsidP="00FD7991">
      <w:pPr>
        <w:autoSpaceDE w:val="0"/>
        <w:autoSpaceDN w:val="0"/>
        <w:adjustRightInd w:val="0"/>
        <w:spacing w:line="360" w:lineRule="auto"/>
        <w:contextualSpacing/>
        <w:jc w:val="both"/>
        <w:rPr>
          <w:rFonts w:ascii="Palatino Linotype" w:hAnsi="Palatino Linotype" w:cs="Tahoma"/>
          <w:sz w:val="22"/>
          <w:szCs w:val="22"/>
        </w:rPr>
      </w:pPr>
    </w:p>
    <w:p w14:paraId="2E1FCC20" w14:textId="04820EF8" w:rsidR="00FD7991" w:rsidRPr="00B71E3E" w:rsidRDefault="00FD7991" w:rsidP="00FD7991">
      <w:pPr>
        <w:autoSpaceDE w:val="0"/>
        <w:autoSpaceDN w:val="0"/>
        <w:adjustRightInd w:val="0"/>
        <w:spacing w:line="360" w:lineRule="auto"/>
        <w:contextualSpacing/>
        <w:jc w:val="both"/>
        <w:rPr>
          <w:rFonts w:ascii="Palatino Linotype" w:hAnsi="Palatino Linotype" w:cs="Tahoma"/>
          <w:b/>
          <w:bCs/>
          <w:sz w:val="22"/>
          <w:szCs w:val="22"/>
          <w:lang w:val="es-ES"/>
        </w:rPr>
      </w:pPr>
      <w:r w:rsidRPr="00B71E3E">
        <w:rPr>
          <w:rFonts w:ascii="Palatino Linotype" w:hAnsi="Palatino Linotype" w:cs="Tahoma"/>
          <w:sz w:val="22"/>
          <w:szCs w:val="22"/>
        </w:rPr>
        <w:t xml:space="preserve">Con fecha dieciocho de febrero de dos mil veinticinco, se recibieron en este </w:t>
      </w:r>
      <w:r w:rsidRPr="00B71E3E">
        <w:rPr>
          <w:rFonts w:ascii="Palatino Linotype" w:eastAsia="Calibri" w:hAnsi="Palatino Linotype" w:cs="Tahoma"/>
          <w:sz w:val="22"/>
          <w:szCs w:val="22"/>
          <w:lang w:eastAsia="en-US"/>
        </w:rPr>
        <w:t xml:space="preserve">Instituto, a través del </w:t>
      </w:r>
      <w:r w:rsidR="00D2410F" w:rsidRPr="00B71E3E">
        <w:rPr>
          <w:rFonts w:ascii="Palatino Linotype" w:hAnsi="Palatino Linotype" w:cs="Tahoma"/>
          <w:sz w:val="22"/>
          <w:szCs w:val="22"/>
          <w:lang w:val="es-ES"/>
        </w:rPr>
        <w:t>SAIMEX</w:t>
      </w:r>
      <w:r w:rsidRPr="00B71E3E">
        <w:rPr>
          <w:rFonts w:ascii="Palatino Linotype" w:hAnsi="Palatino Linotype" w:cs="Tahoma"/>
          <w:sz w:val="22"/>
          <w:szCs w:val="22"/>
        </w:rPr>
        <w:t>, los Recursos de Revisión interpuestos por la parte Recurrente, en contra de las respuestas del Ayuntamiento de Toluca, en los siguientes términos</w:t>
      </w:r>
      <w:r w:rsidRPr="00B71E3E">
        <w:rPr>
          <w:rFonts w:ascii="Palatino Linotype" w:hAnsi="Palatino Linotype" w:cs="Tahoma"/>
          <w:sz w:val="22"/>
          <w:szCs w:val="22"/>
          <w:lang w:val="es-ES"/>
        </w:rPr>
        <w:t>:</w:t>
      </w:r>
    </w:p>
    <w:p w14:paraId="14E6BE65" w14:textId="77777777" w:rsidR="00FD7991" w:rsidRPr="00B71E3E" w:rsidRDefault="00FD7991" w:rsidP="00FD7991">
      <w:pPr>
        <w:autoSpaceDE w:val="0"/>
        <w:autoSpaceDN w:val="0"/>
        <w:adjustRightInd w:val="0"/>
        <w:spacing w:line="360" w:lineRule="auto"/>
        <w:contextualSpacing/>
        <w:jc w:val="both"/>
        <w:rPr>
          <w:rFonts w:ascii="Palatino Linotype" w:hAnsi="Palatino Linotype" w:cs="Tahoma"/>
          <w:sz w:val="22"/>
          <w:szCs w:val="22"/>
        </w:rPr>
      </w:pPr>
    </w:p>
    <w:p w14:paraId="7322E934" w14:textId="77777777" w:rsidR="00FD7991" w:rsidRPr="00B71E3E" w:rsidRDefault="00FD7991" w:rsidP="00FD7991">
      <w:pPr>
        <w:autoSpaceDE w:val="0"/>
        <w:autoSpaceDN w:val="0"/>
        <w:adjustRightInd w:val="0"/>
        <w:spacing w:line="360" w:lineRule="auto"/>
        <w:ind w:left="567" w:right="567"/>
        <w:contextualSpacing/>
        <w:jc w:val="both"/>
        <w:rPr>
          <w:rFonts w:ascii="Palatino Linotype" w:hAnsi="Palatino Linotype" w:cs="Tahoma"/>
          <w:b/>
          <w:bCs/>
          <w:i/>
          <w:iCs/>
        </w:rPr>
      </w:pPr>
      <w:r w:rsidRPr="00B71E3E">
        <w:rPr>
          <w:rFonts w:ascii="Palatino Linotype" w:hAnsi="Palatino Linotype" w:cs="Tahoma"/>
          <w:b/>
          <w:bCs/>
          <w:i/>
          <w:iCs/>
        </w:rPr>
        <w:t xml:space="preserve">Recurso de Revisión </w:t>
      </w:r>
      <w:r w:rsidRPr="00B71E3E">
        <w:rPr>
          <w:rFonts w:ascii="Palatino Linotype" w:eastAsia="Batang" w:hAnsi="Palatino Linotype" w:cs="Tahoma"/>
          <w:b/>
          <w:bCs/>
          <w:i/>
          <w:iCs/>
          <w:lang w:val="es-ES_tradnl"/>
        </w:rPr>
        <w:t>01606/INFOEM/IP/RR/2025</w:t>
      </w:r>
    </w:p>
    <w:p w14:paraId="1D5958CB" w14:textId="0C8502C9" w:rsidR="00FD7991" w:rsidRPr="00B71E3E" w:rsidRDefault="00FD7991" w:rsidP="00FD7991">
      <w:pPr>
        <w:autoSpaceDE w:val="0"/>
        <w:autoSpaceDN w:val="0"/>
        <w:adjustRightInd w:val="0"/>
        <w:spacing w:line="360" w:lineRule="auto"/>
        <w:ind w:left="567" w:right="567"/>
        <w:contextualSpacing/>
        <w:jc w:val="both"/>
        <w:rPr>
          <w:rFonts w:ascii="Palatino Linotype" w:hAnsi="Palatino Linotype" w:cs="Tahoma"/>
          <w:bCs/>
          <w:i/>
        </w:rPr>
      </w:pPr>
      <w:r w:rsidRPr="00B71E3E">
        <w:rPr>
          <w:rFonts w:ascii="Palatino Linotype" w:hAnsi="Palatino Linotype" w:cs="Tahoma"/>
          <w:b/>
          <w:bCs/>
          <w:i/>
        </w:rPr>
        <w:t>ACTO IMPUGNADO</w:t>
      </w:r>
    </w:p>
    <w:p w14:paraId="0B2CA3BA" w14:textId="57CE8C4F" w:rsidR="00FD7991" w:rsidRPr="00B71E3E" w:rsidRDefault="00D2410F" w:rsidP="00FD7991">
      <w:pPr>
        <w:ind w:firstLine="567"/>
        <w:jc w:val="both"/>
        <w:rPr>
          <w:rFonts w:ascii="Palatino Linotype" w:hAnsi="Palatino Linotype"/>
          <w:i/>
          <w:lang w:eastAsia="es-MX"/>
        </w:rPr>
      </w:pPr>
      <w:r w:rsidRPr="00B71E3E">
        <w:rPr>
          <w:rFonts w:ascii="Palatino Linotype" w:hAnsi="Palatino Linotype"/>
          <w:i/>
          <w:lang w:eastAsia="es-MX"/>
        </w:rPr>
        <w:t>“</w:t>
      </w:r>
      <w:proofErr w:type="spellStart"/>
      <w:r w:rsidR="00FD7991" w:rsidRPr="00B71E3E">
        <w:rPr>
          <w:rFonts w:ascii="Palatino Linotype" w:hAnsi="Palatino Linotype"/>
          <w:i/>
          <w:lang w:eastAsia="es-MX"/>
        </w:rPr>
        <w:t>esta</w:t>
      </w:r>
      <w:proofErr w:type="spellEnd"/>
      <w:r w:rsidR="00FD7991" w:rsidRPr="00B71E3E">
        <w:rPr>
          <w:rFonts w:ascii="Palatino Linotype" w:hAnsi="Palatino Linotype"/>
          <w:i/>
          <w:lang w:eastAsia="es-MX"/>
        </w:rPr>
        <w:t xml:space="preserve"> incompleta la respuesta</w:t>
      </w:r>
      <w:r w:rsidR="00FD7991" w:rsidRPr="00B71E3E">
        <w:rPr>
          <w:rFonts w:ascii="Palatino Linotype" w:hAnsi="Palatino Linotype"/>
          <w:i/>
          <w:color w:val="000000"/>
        </w:rPr>
        <w:t>.</w:t>
      </w:r>
      <w:r w:rsidR="00FD7991" w:rsidRPr="00B71E3E">
        <w:rPr>
          <w:rFonts w:ascii="Palatino Linotype" w:hAnsi="Palatino Linotype" w:cs="Tahoma"/>
          <w:i/>
        </w:rPr>
        <w:t xml:space="preserve">” </w:t>
      </w:r>
      <w:r w:rsidRPr="00B71E3E">
        <w:rPr>
          <w:rFonts w:ascii="Palatino Linotype" w:hAnsi="Palatino Linotype" w:cs="Tahoma"/>
          <w:i/>
        </w:rPr>
        <w:t xml:space="preserve"> </w:t>
      </w:r>
      <w:r w:rsidR="00FD7991" w:rsidRPr="00B71E3E">
        <w:rPr>
          <w:rFonts w:ascii="Palatino Linotype" w:hAnsi="Palatino Linotype" w:cs="Tahoma"/>
          <w:i/>
        </w:rPr>
        <w:t>(Sic)</w:t>
      </w:r>
      <w:r w:rsidRPr="00B71E3E">
        <w:rPr>
          <w:rFonts w:ascii="Palatino Linotype" w:hAnsi="Palatino Linotype" w:cs="Tahoma"/>
          <w:i/>
        </w:rPr>
        <w:t>.</w:t>
      </w:r>
    </w:p>
    <w:p w14:paraId="4A91BD02" w14:textId="77777777" w:rsidR="00FD7991" w:rsidRPr="00B71E3E" w:rsidRDefault="00FD7991" w:rsidP="00FD7991">
      <w:pPr>
        <w:autoSpaceDE w:val="0"/>
        <w:autoSpaceDN w:val="0"/>
        <w:adjustRightInd w:val="0"/>
        <w:spacing w:line="360" w:lineRule="auto"/>
        <w:ind w:left="567" w:right="567"/>
        <w:contextualSpacing/>
        <w:jc w:val="both"/>
        <w:rPr>
          <w:rFonts w:ascii="Palatino Linotype" w:hAnsi="Palatino Linotype" w:cs="Tahoma"/>
          <w:i/>
        </w:rPr>
      </w:pPr>
    </w:p>
    <w:p w14:paraId="540CD688" w14:textId="29E9A69D" w:rsidR="00FD7991" w:rsidRPr="00B71E3E" w:rsidRDefault="00FD7991" w:rsidP="00FD7991">
      <w:pPr>
        <w:autoSpaceDE w:val="0"/>
        <w:autoSpaceDN w:val="0"/>
        <w:adjustRightInd w:val="0"/>
        <w:spacing w:line="360" w:lineRule="auto"/>
        <w:ind w:left="567" w:right="567"/>
        <w:contextualSpacing/>
        <w:jc w:val="both"/>
        <w:rPr>
          <w:rFonts w:ascii="Palatino Linotype" w:hAnsi="Palatino Linotype" w:cs="Tahoma"/>
          <w:b/>
          <w:i/>
        </w:rPr>
      </w:pPr>
      <w:r w:rsidRPr="00B71E3E">
        <w:rPr>
          <w:rFonts w:ascii="Palatino Linotype" w:hAnsi="Palatino Linotype" w:cs="Tahoma"/>
          <w:b/>
          <w:i/>
        </w:rPr>
        <w:t>RAZONES O MOTIVOS DE LA INCONFORMIDAD</w:t>
      </w:r>
    </w:p>
    <w:p w14:paraId="0AE50A8F" w14:textId="1FA3B92E" w:rsidR="00FD7991" w:rsidRPr="00B71E3E" w:rsidRDefault="00D2410F" w:rsidP="00FD7991">
      <w:pPr>
        <w:spacing w:line="360" w:lineRule="auto"/>
        <w:ind w:left="567" w:right="567"/>
        <w:contextualSpacing/>
        <w:jc w:val="both"/>
        <w:rPr>
          <w:rFonts w:ascii="Palatino Linotype" w:hAnsi="Palatino Linotype"/>
          <w:i/>
          <w:lang w:eastAsia="es-MX"/>
        </w:rPr>
      </w:pPr>
      <w:r w:rsidRPr="00B71E3E">
        <w:rPr>
          <w:rFonts w:ascii="Palatino Linotype" w:hAnsi="Palatino Linotype"/>
          <w:i/>
          <w:color w:val="000000"/>
        </w:rPr>
        <w:t>“</w:t>
      </w:r>
      <w:proofErr w:type="spellStart"/>
      <w:r w:rsidR="00FD7991" w:rsidRPr="00B71E3E">
        <w:rPr>
          <w:rFonts w:ascii="Palatino Linotype" w:hAnsi="Palatino Linotype"/>
          <w:i/>
          <w:color w:val="000000"/>
        </w:rPr>
        <w:t>esta</w:t>
      </w:r>
      <w:proofErr w:type="spellEnd"/>
      <w:r w:rsidR="00FD7991" w:rsidRPr="00B71E3E">
        <w:rPr>
          <w:rFonts w:ascii="Palatino Linotype" w:hAnsi="Palatino Linotype"/>
          <w:i/>
          <w:color w:val="000000"/>
        </w:rPr>
        <w:t xml:space="preserve"> incompleta la respuesta</w:t>
      </w:r>
      <w:r w:rsidR="00FD7991" w:rsidRPr="00B71E3E">
        <w:rPr>
          <w:rFonts w:ascii="Palatino Linotype" w:hAnsi="Palatino Linotype"/>
          <w:i/>
          <w:lang w:eastAsia="es-MX"/>
        </w:rPr>
        <w:t>.</w:t>
      </w:r>
      <w:r w:rsidR="00FD7991" w:rsidRPr="00B71E3E">
        <w:rPr>
          <w:rFonts w:ascii="Palatino Linotype" w:hAnsi="Palatino Linotype" w:cs="Tahoma"/>
          <w:i/>
        </w:rPr>
        <w:t xml:space="preserve">” </w:t>
      </w:r>
      <w:r w:rsidRPr="00B71E3E">
        <w:rPr>
          <w:rFonts w:ascii="Palatino Linotype" w:hAnsi="Palatino Linotype" w:cs="Tahoma"/>
          <w:i/>
        </w:rPr>
        <w:t xml:space="preserve"> </w:t>
      </w:r>
      <w:r w:rsidR="00FD7991" w:rsidRPr="00B71E3E">
        <w:rPr>
          <w:rFonts w:ascii="Palatino Linotype" w:hAnsi="Palatino Linotype" w:cs="Tahoma"/>
          <w:i/>
        </w:rPr>
        <w:t>(Sic)</w:t>
      </w:r>
      <w:r w:rsidRPr="00B71E3E">
        <w:rPr>
          <w:rFonts w:ascii="Palatino Linotype" w:hAnsi="Palatino Linotype" w:cs="Tahoma"/>
          <w:i/>
        </w:rPr>
        <w:t>.</w:t>
      </w:r>
    </w:p>
    <w:p w14:paraId="0FD2B44B" w14:textId="77777777" w:rsidR="00FD7991" w:rsidRPr="00B71E3E" w:rsidRDefault="00FD7991" w:rsidP="00FD7991">
      <w:pPr>
        <w:spacing w:line="360" w:lineRule="auto"/>
        <w:contextualSpacing/>
        <w:jc w:val="both"/>
        <w:rPr>
          <w:rFonts w:ascii="Palatino Linotype" w:hAnsi="Palatino Linotype" w:cs="Tahoma"/>
          <w:b/>
          <w:i/>
        </w:rPr>
      </w:pPr>
    </w:p>
    <w:p w14:paraId="215B5865" w14:textId="77777777" w:rsidR="00FD7991" w:rsidRPr="00B71E3E" w:rsidRDefault="00FD7991" w:rsidP="00FD7991">
      <w:pPr>
        <w:autoSpaceDE w:val="0"/>
        <w:autoSpaceDN w:val="0"/>
        <w:adjustRightInd w:val="0"/>
        <w:spacing w:line="360" w:lineRule="auto"/>
        <w:ind w:left="567" w:right="567"/>
        <w:contextualSpacing/>
        <w:jc w:val="both"/>
        <w:rPr>
          <w:rFonts w:ascii="Palatino Linotype" w:hAnsi="Palatino Linotype" w:cs="Tahoma"/>
          <w:b/>
          <w:bCs/>
          <w:i/>
          <w:iCs/>
        </w:rPr>
      </w:pPr>
      <w:r w:rsidRPr="00B71E3E">
        <w:rPr>
          <w:rFonts w:ascii="Palatino Linotype" w:hAnsi="Palatino Linotype" w:cs="Tahoma"/>
          <w:b/>
          <w:bCs/>
          <w:i/>
          <w:iCs/>
        </w:rPr>
        <w:t xml:space="preserve">Recurso de Revisión </w:t>
      </w:r>
      <w:r w:rsidRPr="00B71E3E">
        <w:rPr>
          <w:rFonts w:ascii="Palatino Linotype" w:eastAsia="Batang" w:hAnsi="Palatino Linotype" w:cs="Tahoma"/>
          <w:b/>
          <w:bCs/>
          <w:i/>
          <w:iCs/>
          <w:lang w:val="es-ES_tradnl"/>
        </w:rPr>
        <w:t>01611/INFOEM/IP/RR/2025</w:t>
      </w:r>
    </w:p>
    <w:p w14:paraId="485AE88B" w14:textId="6703D0DB" w:rsidR="00FD7991" w:rsidRPr="00B71E3E" w:rsidRDefault="00FD7991" w:rsidP="00FD7991">
      <w:pPr>
        <w:autoSpaceDE w:val="0"/>
        <w:autoSpaceDN w:val="0"/>
        <w:adjustRightInd w:val="0"/>
        <w:spacing w:line="360" w:lineRule="auto"/>
        <w:ind w:left="567" w:right="567"/>
        <w:contextualSpacing/>
        <w:jc w:val="both"/>
        <w:rPr>
          <w:rFonts w:ascii="Palatino Linotype" w:hAnsi="Palatino Linotype" w:cs="Tahoma"/>
          <w:bCs/>
          <w:i/>
        </w:rPr>
      </w:pPr>
      <w:r w:rsidRPr="00B71E3E">
        <w:rPr>
          <w:rFonts w:ascii="Palatino Linotype" w:hAnsi="Palatino Linotype" w:cs="Tahoma"/>
          <w:b/>
          <w:bCs/>
          <w:i/>
        </w:rPr>
        <w:t>ACTO IMPUGNADO</w:t>
      </w:r>
      <w:r w:rsidR="00D2410F" w:rsidRPr="00B71E3E">
        <w:rPr>
          <w:rFonts w:ascii="Palatino Linotype" w:hAnsi="Palatino Linotype" w:cs="Tahoma"/>
          <w:b/>
          <w:bCs/>
          <w:i/>
        </w:rPr>
        <w:t xml:space="preserve"> </w:t>
      </w:r>
    </w:p>
    <w:p w14:paraId="793CC525" w14:textId="28975C35" w:rsidR="00FD7991" w:rsidRPr="00B71E3E" w:rsidRDefault="00D2410F" w:rsidP="00FD7991">
      <w:pPr>
        <w:ind w:firstLine="567"/>
        <w:jc w:val="both"/>
        <w:rPr>
          <w:rFonts w:ascii="Palatino Linotype" w:hAnsi="Palatino Linotype"/>
          <w:i/>
          <w:lang w:eastAsia="es-MX"/>
        </w:rPr>
      </w:pPr>
      <w:r w:rsidRPr="00B71E3E">
        <w:rPr>
          <w:rFonts w:ascii="Palatino Linotype" w:hAnsi="Palatino Linotype"/>
          <w:i/>
          <w:lang w:eastAsia="es-MX"/>
        </w:rPr>
        <w:t>“</w:t>
      </w:r>
      <w:proofErr w:type="spellStart"/>
      <w:r w:rsidR="00FD7991" w:rsidRPr="00B71E3E">
        <w:rPr>
          <w:rFonts w:ascii="Palatino Linotype" w:hAnsi="Palatino Linotype"/>
          <w:i/>
          <w:lang w:eastAsia="es-MX"/>
        </w:rPr>
        <w:t>esta</w:t>
      </w:r>
      <w:proofErr w:type="spellEnd"/>
      <w:r w:rsidR="00FD7991" w:rsidRPr="00B71E3E">
        <w:rPr>
          <w:rFonts w:ascii="Palatino Linotype" w:hAnsi="Palatino Linotype"/>
          <w:i/>
          <w:lang w:eastAsia="es-MX"/>
        </w:rPr>
        <w:t xml:space="preserve"> incompleta la respuesta</w:t>
      </w:r>
      <w:r w:rsidR="00FD7991" w:rsidRPr="00B71E3E">
        <w:rPr>
          <w:rFonts w:ascii="Palatino Linotype" w:hAnsi="Palatino Linotype"/>
          <w:i/>
          <w:color w:val="000000"/>
        </w:rPr>
        <w:t>.</w:t>
      </w:r>
      <w:r w:rsidR="00FD7991" w:rsidRPr="00B71E3E">
        <w:rPr>
          <w:rFonts w:ascii="Palatino Linotype" w:hAnsi="Palatino Linotype" w:cs="Tahoma"/>
          <w:i/>
        </w:rPr>
        <w:t>” (Sic)</w:t>
      </w:r>
      <w:r w:rsidRPr="00B71E3E">
        <w:rPr>
          <w:rFonts w:ascii="Palatino Linotype" w:hAnsi="Palatino Linotype" w:cs="Tahoma"/>
          <w:i/>
        </w:rPr>
        <w:t>.</w:t>
      </w:r>
    </w:p>
    <w:p w14:paraId="2B6421D1" w14:textId="77777777" w:rsidR="00FD7991" w:rsidRPr="00B71E3E" w:rsidRDefault="00FD7991" w:rsidP="00FD7991">
      <w:pPr>
        <w:autoSpaceDE w:val="0"/>
        <w:autoSpaceDN w:val="0"/>
        <w:adjustRightInd w:val="0"/>
        <w:spacing w:line="360" w:lineRule="auto"/>
        <w:ind w:left="567" w:right="567"/>
        <w:contextualSpacing/>
        <w:jc w:val="both"/>
        <w:rPr>
          <w:rFonts w:ascii="Palatino Linotype" w:hAnsi="Palatino Linotype" w:cs="Tahoma"/>
          <w:i/>
        </w:rPr>
      </w:pPr>
    </w:p>
    <w:p w14:paraId="3B720EB1" w14:textId="51B91779" w:rsidR="00FD7991" w:rsidRPr="00B71E3E" w:rsidRDefault="00FD7991" w:rsidP="00FD7991">
      <w:pPr>
        <w:autoSpaceDE w:val="0"/>
        <w:autoSpaceDN w:val="0"/>
        <w:adjustRightInd w:val="0"/>
        <w:spacing w:line="360" w:lineRule="auto"/>
        <w:ind w:left="567" w:right="567"/>
        <w:contextualSpacing/>
        <w:jc w:val="both"/>
        <w:rPr>
          <w:rFonts w:ascii="Palatino Linotype" w:hAnsi="Palatino Linotype" w:cs="Tahoma"/>
          <w:b/>
          <w:i/>
        </w:rPr>
      </w:pPr>
      <w:r w:rsidRPr="00B71E3E">
        <w:rPr>
          <w:rFonts w:ascii="Palatino Linotype" w:hAnsi="Palatino Linotype" w:cs="Tahoma"/>
          <w:b/>
          <w:i/>
        </w:rPr>
        <w:t>RAZONES O MOTIVOS DE LA INCONFORMIDAD</w:t>
      </w:r>
    </w:p>
    <w:p w14:paraId="211350D1" w14:textId="44C65BF7" w:rsidR="00FD7991" w:rsidRPr="00B71E3E" w:rsidRDefault="00D2410F" w:rsidP="00FD7991">
      <w:pPr>
        <w:spacing w:line="360" w:lineRule="auto"/>
        <w:ind w:left="567" w:right="567"/>
        <w:contextualSpacing/>
        <w:jc w:val="both"/>
        <w:rPr>
          <w:rFonts w:ascii="Palatino Linotype" w:hAnsi="Palatino Linotype"/>
          <w:i/>
          <w:lang w:eastAsia="es-MX"/>
        </w:rPr>
      </w:pPr>
      <w:r w:rsidRPr="00B71E3E">
        <w:rPr>
          <w:rFonts w:ascii="Palatino Linotype" w:hAnsi="Palatino Linotype"/>
          <w:i/>
          <w:color w:val="000000"/>
        </w:rPr>
        <w:t>“</w:t>
      </w:r>
      <w:proofErr w:type="spellStart"/>
      <w:r w:rsidR="00FD7991" w:rsidRPr="00B71E3E">
        <w:rPr>
          <w:rFonts w:ascii="Palatino Linotype" w:hAnsi="Palatino Linotype"/>
          <w:i/>
          <w:color w:val="000000"/>
        </w:rPr>
        <w:t>esta</w:t>
      </w:r>
      <w:proofErr w:type="spellEnd"/>
      <w:r w:rsidR="00FD7991" w:rsidRPr="00B71E3E">
        <w:rPr>
          <w:rFonts w:ascii="Palatino Linotype" w:hAnsi="Palatino Linotype"/>
          <w:i/>
          <w:color w:val="000000"/>
        </w:rPr>
        <w:t xml:space="preserve"> incompleta la respuesta</w:t>
      </w:r>
      <w:r w:rsidR="00FD7991" w:rsidRPr="00B71E3E">
        <w:rPr>
          <w:rFonts w:ascii="Palatino Linotype" w:hAnsi="Palatino Linotype"/>
          <w:i/>
          <w:lang w:eastAsia="es-MX"/>
        </w:rPr>
        <w:t>.</w:t>
      </w:r>
      <w:r w:rsidR="00FD7991" w:rsidRPr="00B71E3E">
        <w:rPr>
          <w:rFonts w:ascii="Palatino Linotype" w:hAnsi="Palatino Linotype" w:cs="Tahoma"/>
          <w:i/>
        </w:rPr>
        <w:t>” (Sic)</w:t>
      </w:r>
      <w:r w:rsidRPr="00B71E3E">
        <w:rPr>
          <w:rFonts w:ascii="Palatino Linotype" w:hAnsi="Palatino Linotype" w:cs="Tahoma"/>
          <w:i/>
        </w:rPr>
        <w:t>.</w:t>
      </w:r>
      <w:r w:rsidR="00FD7991" w:rsidRPr="00B71E3E">
        <w:rPr>
          <w:rFonts w:ascii="Palatino Linotype" w:hAnsi="Palatino Linotype" w:cs="Tahoma"/>
          <w:i/>
        </w:rPr>
        <w:t xml:space="preserve"> </w:t>
      </w:r>
    </w:p>
    <w:p w14:paraId="7D1020DD" w14:textId="77777777" w:rsidR="00FD7991" w:rsidRPr="00B71E3E" w:rsidRDefault="00FD7991" w:rsidP="00FD7991">
      <w:pPr>
        <w:spacing w:line="360" w:lineRule="auto"/>
        <w:contextualSpacing/>
        <w:jc w:val="both"/>
        <w:rPr>
          <w:rFonts w:ascii="Palatino Linotype" w:hAnsi="Palatino Linotype" w:cs="Tahoma"/>
          <w:b/>
          <w:sz w:val="22"/>
          <w:szCs w:val="22"/>
        </w:rPr>
      </w:pPr>
    </w:p>
    <w:p w14:paraId="6EC9AE4D" w14:textId="08C2F8DD" w:rsidR="00FD7991" w:rsidRPr="00B71E3E" w:rsidRDefault="00FD7991" w:rsidP="00FD7991">
      <w:pPr>
        <w:spacing w:line="360" w:lineRule="auto"/>
        <w:contextualSpacing/>
        <w:jc w:val="both"/>
        <w:rPr>
          <w:rFonts w:ascii="Palatino Linotype" w:eastAsia="Batang" w:hAnsi="Palatino Linotype" w:cs="Tahoma"/>
          <w:b/>
          <w:bCs/>
          <w:sz w:val="22"/>
          <w:szCs w:val="22"/>
        </w:rPr>
      </w:pPr>
      <w:r w:rsidRPr="00B71E3E">
        <w:rPr>
          <w:rFonts w:ascii="Palatino Linotype" w:hAnsi="Palatino Linotype" w:cs="Tahoma"/>
          <w:b/>
          <w:sz w:val="22"/>
          <w:szCs w:val="22"/>
        </w:rPr>
        <w:t xml:space="preserve">IV. </w:t>
      </w:r>
      <w:r w:rsidRPr="00B71E3E">
        <w:rPr>
          <w:rFonts w:ascii="Palatino Linotype" w:eastAsia="Batang" w:hAnsi="Palatino Linotype" w:cs="Tahoma"/>
          <w:b/>
          <w:bCs/>
          <w:sz w:val="22"/>
          <w:szCs w:val="22"/>
        </w:rPr>
        <w:t xml:space="preserve">Trámite del </w:t>
      </w:r>
      <w:r w:rsidRPr="00B71E3E">
        <w:rPr>
          <w:rFonts w:ascii="Palatino Linotype" w:hAnsi="Palatino Linotype" w:cs="Tahoma"/>
          <w:b/>
          <w:sz w:val="22"/>
          <w:szCs w:val="22"/>
        </w:rPr>
        <w:t xml:space="preserve">Recurso de Revisión </w:t>
      </w:r>
      <w:r w:rsidRPr="00B71E3E">
        <w:rPr>
          <w:rFonts w:ascii="Palatino Linotype" w:eastAsia="Batang" w:hAnsi="Palatino Linotype" w:cs="Tahoma"/>
          <w:b/>
          <w:bCs/>
          <w:sz w:val="22"/>
          <w:szCs w:val="22"/>
        </w:rPr>
        <w:t>ante este Instituto</w:t>
      </w:r>
    </w:p>
    <w:p w14:paraId="4A30AF17" w14:textId="77777777" w:rsidR="00FD7991" w:rsidRPr="00B71E3E" w:rsidRDefault="00FD7991" w:rsidP="00FD7991">
      <w:pPr>
        <w:spacing w:line="360" w:lineRule="auto"/>
        <w:contextualSpacing/>
        <w:jc w:val="both"/>
        <w:rPr>
          <w:rFonts w:ascii="Palatino Linotype" w:eastAsia="Batang" w:hAnsi="Palatino Linotype" w:cs="Tahoma"/>
          <w:b/>
          <w:bCs/>
          <w:sz w:val="22"/>
          <w:szCs w:val="22"/>
        </w:rPr>
      </w:pPr>
    </w:p>
    <w:p w14:paraId="48B9ED95" w14:textId="1F91EB94" w:rsidR="00FD7991" w:rsidRPr="00B71E3E" w:rsidRDefault="00FD7991" w:rsidP="00FD7991">
      <w:pPr>
        <w:spacing w:line="360" w:lineRule="auto"/>
        <w:contextualSpacing/>
        <w:jc w:val="both"/>
        <w:rPr>
          <w:rFonts w:ascii="Palatino Linotype" w:eastAsia="Batang" w:hAnsi="Palatino Linotype" w:cs="Tahoma"/>
          <w:bCs/>
          <w:sz w:val="22"/>
          <w:szCs w:val="22"/>
        </w:rPr>
      </w:pPr>
      <w:r w:rsidRPr="00B71E3E">
        <w:rPr>
          <w:rFonts w:ascii="Palatino Linotype" w:hAnsi="Palatino Linotype"/>
          <w:b/>
          <w:bCs/>
          <w:sz w:val="22"/>
          <w:szCs w:val="22"/>
        </w:rPr>
        <w:t xml:space="preserve">a) Turno del Recurso de Revisión. </w:t>
      </w:r>
      <w:r w:rsidRPr="00B71E3E">
        <w:rPr>
          <w:rFonts w:ascii="Palatino Linotype" w:eastAsia="Batang" w:hAnsi="Palatino Linotype" w:cs="Tahoma"/>
          <w:bCs/>
          <w:sz w:val="22"/>
          <w:szCs w:val="22"/>
          <w:lang w:val="es-ES_tradnl"/>
        </w:rPr>
        <w:t xml:space="preserve">El </w:t>
      </w:r>
      <w:r w:rsidRPr="00B71E3E">
        <w:rPr>
          <w:rFonts w:ascii="Palatino Linotype" w:hAnsi="Palatino Linotype" w:cs="Tahoma"/>
          <w:sz w:val="22"/>
          <w:szCs w:val="22"/>
        </w:rPr>
        <w:t>dieciocho de febrero de dos mil veinticinco</w:t>
      </w:r>
      <w:r w:rsidRPr="00B71E3E">
        <w:rPr>
          <w:rFonts w:ascii="Palatino Linotype" w:eastAsia="Batang" w:hAnsi="Palatino Linotype" w:cs="Tahoma"/>
          <w:bCs/>
          <w:sz w:val="22"/>
          <w:szCs w:val="22"/>
          <w:lang w:val="es-ES_tradnl"/>
        </w:rPr>
        <w:t xml:space="preserve">, el </w:t>
      </w:r>
      <w:r w:rsidR="00D2410F" w:rsidRPr="00B71E3E">
        <w:rPr>
          <w:rFonts w:ascii="Palatino Linotype" w:eastAsia="Batang" w:hAnsi="Palatino Linotype" w:cs="Tahoma"/>
          <w:bCs/>
          <w:sz w:val="22"/>
          <w:szCs w:val="22"/>
          <w:lang w:val="es-ES_tradnl"/>
        </w:rPr>
        <w:t>SAIMEX</w:t>
      </w:r>
      <w:r w:rsidRPr="00B71E3E">
        <w:rPr>
          <w:rFonts w:ascii="Palatino Linotype" w:eastAsia="Batang" w:hAnsi="Palatino Linotype" w:cs="Tahoma"/>
          <w:bCs/>
          <w:sz w:val="22"/>
          <w:szCs w:val="22"/>
          <w:lang w:val="es-ES_tradnl"/>
        </w:rPr>
        <w:t xml:space="preserve">, asignó los números de expediente 01606/INFOEM/IP/RR/2025 y 01611/INFOEM/IP/RR/2025 a los medios de impugnación que nos ocupa, con base en el sistema aprobado por el Pleno de este </w:t>
      </w:r>
      <w:r w:rsidR="00D2410F" w:rsidRPr="00B71E3E">
        <w:rPr>
          <w:rFonts w:ascii="Palatino Linotype" w:eastAsia="Batang" w:hAnsi="Palatino Linotype" w:cs="Tahoma"/>
          <w:bCs/>
          <w:sz w:val="22"/>
          <w:szCs w:val="22"/>
          <w:lang w:val="es-ES_tradnl"/>
        </w:rPr>
        <w:t xml:space="preserve">Organismo </w:t>
      </w:r>
      <w:r w:rsidRPr="00B71E3E">
        <w:rPr>
          <w:rFonts w:ascii="Palatino Linotype" w:eastAsia="Batang" w:hAnsi="Palatino Linotype" w:cs="Tahoma"/>
          <w:bCs/>
          <w:sz w:val="22"/>
          <w:szCs w:val="22"/>
          <w:lang w:val="es-ES_tradnl"/>
        </w:rPr>
        <w:t xml:space="preserve">Garante y los turnó al Comisionado </w:t>
      </w:r>
      <w:r w:rsidRPr="00B71E3E">
        <w:rPr>
          <w:rFonts w:ascii="Palatino Linotype" w:eastAsia="Batang" w:hAnsi="Palatino Linotype" w:cs="Tahoma"/>
          <w:b/>
          <w:sz w:val="22"/>
          <w:szCs w:val="22"/>
          <w:lang w:val="es-ES_tradnl"/>
        </w:rPr>
        <w:t>Luis Gustavo Parra Noriega</w:t>
      </w:r>
      <w:r w:rsidRPr="00B71E3E">
        <w:rPr>
          <w:rFonts w:ascii="Palatino Linotype" w:eastAsia="Batang" w:hAnsi="Palatino Linotype" w:cs="Tahoma"/>
          <w:bCs/>
          <w:sz w:val="22"/>
          <w:szCs w:val="22"/>
          <w:lang w:val="es-ES_tradnl"/>
        </w:rPr>
        <w:t>, para los efectos del artículo 185, fracción I</w:t>
      </w:r>
      <w:r w:rsidR="00D2410F" w:rsidRPr="00B71E3E">
        <w:rPr>
          <w:rFonts w:ascii="Palatino Linotype" w:eastAsia="Batang" w:hAnsi="Palatino Linotype" w:cs="Tahoma"/>
          <w:bCs/>
          <w:sz w:val="22"/>
          <w:szCs w:val="22"/>
          <w:lang w:val="es-ES_tradnl"/>
        </w:rPr>
        <w:t>,</w:t>
      </w:r>
      <w:r w:rsidRPr="00B71E3E">
        <w:rPr>
          <w:rFonts w:ascii="Palatino Linotype" w:eastAsia="Batang" w:hAnsi="Palatino Linotype" w:cs="Tahoma"/>
          <w:bCs/>
          <w:sz w:val="22"/>
          <w:szCs w:val="22"/>
          <w:lang w:val="es-ES_tradnl"/>
        </w:rPr>
        <w:t xml:space="preserve"> de la Ley de Transparencia y Acceso a la Información Pública del Estado de México y Municipios.</w:t>
      </w:r>
    </w:p>
    <w:p w14:paraId="5EAA2023" w14:textId="3C074BB5" w:rsidR="00FD7991" w:rsidRPr="00B71E3E" w:rsidRDefault="00FD7991" w:rsidP="00FD7991">
      <w:pPr>
        <w:spacing w:line="360" w:lineRule="auto"/>
        <w:contextualSpacing/>
        <w:jc w:val="both"/>
        <w:rPr>
          <w:rFonts w:ascii="Palatino Linotype" w:eastAsia="Batang" w:hAnsi="Palatino Linotype" w:cs="Tahoma"/>
          <w:bCs/>
          <w:sz w:val="22"/>
          <w:szCs w:val="22"/>
          <w:lang w:val="es-ES_tradnl"/>
        </w:rPr>
      </w:pPr>
      <w:r w:rsidRPr="00B71E3E">
        <w:rPr>
          <w:rFonts w:ascii="Palatino Linotype" w:eastAsia="Batang" w:hAnsi="Palatino Linotype" w:cs="Tahoma"/>
          <w:b/>
          <w:bCs/>
          <w:sz w:val="22"/>
          <w:szCs w:val="22"/>
        </w:rPr>
        <w:lastRenderedPageBreak/>
        <w:t xml:space="preserve">b) Admisión de los </w:t>
      </w:r>
      <w:r w:rsidRPr="00B71E3E">
        <w:rPr>
          <w:rFonts w:ascii="Palatino Linotype" w:hAnsi="Palatino Linotype" w:cs="Tahoma"/>
          <w:b/>
          <w:sz w:val="22"/>
          <w:szCs w:val="22"/>
        </w:rPr>
        <w:t>Recursos de Revisión</w:t>
      </w:r>
      <w:r w:rsidRPr="00B71E3E">
        <w:rPr>
          <w:rFonts w:ascii="Palatino Linotype" w:eastAsia="Batang" w:hAnsi="Palatino Linotype" w:cs="Tahoma"/>
          <w:b/>
          <w:bCs/>
          <w:sz w:val="22"/>
          <w:szCs w:val="22"/>
          <w:lang w:val="es-ES_tradnl"/>
        </w:rPr>
        <w:t xml:space="preserve">. </w:t>
      </w:r>
      <w:r w:rsidRPr="00B71E3E">
        <w:rPr>
          <w:rFonts w:ascii="Palatino Linotype" w:eastAsia="Batang" w:hAnsi="Palatino Linotype" w:cs="Tahoma"/>
          <w:bCs/>
          <w:sz w:val="22"/>
          <w:szCs w:val="22"/>
          <w:lang w:val="es-ES_tradnl"/>
        </w:rPr>
        <w:t>El veintiuno de febrero de dos mil veinticinco, se acordó la admisión de los Recursos de Revisión, interpuestos por el Recurrente, en contra del Sujeto Obligado, en términos del artículo 185, fracciones I y II</w:t>
      </w:r>
      <w:r w:rsidR="00B168F4" w:rsidRPr="00B71E3E">
        <w:rPr>
          <w:rFonts w:ascii="Palatino Linotype" w:eastAsia="Batang" w:hAnsi="Palatino Linotype" w:cs="Tahoma"/>
          <w:bCs/>
          <w:sz w:val="22"/>
          <w:szCs w:val="22"/>
          <w:lang w:val="es-ES_tradnl"/>
        </w:rPr>
        <w:t>,</w:t>
      </w:r>
      <w:r w:rsidRPr="00B71E3E">
        <w:rPr>
          <w:rFonts w:ascii="Palatino Linotype" w:eastAsia="Batang" w:hAnsi="Palatino Linotype" w:cs="Tahoma"/>
          <w:bCs/>
          <w:sz w:val="22"/>
          <w:szCs w:val="22"/>
          <w:lang w:val="es-ES_tradnl"/>
        </w:rPr>
        <w:t xml:space="preserve"> de la Ley de Transparencia y Acceso a la Información Pública del Estado de México y Municipios, los cual fueron notificados a las partes, a través del </w:t>
      </w:r>
      <w:r w:rsidR="00D2410F" w:rsidRPr="00B71E3E">
        <w:rPr>
          <w:rFonts w:ascii="Palatino Linotype" w:eastAsia="Batang" w:hAnsi="Palatino Linotype" w:cs="Tahoma"/>
          <w:bCs/>
          <w:sz w:val="22"/>
          <w:szCs w:val="22"/>
          <w:lang w:val="es-ES_tradnl"/>
        </w:rPr>
        <w:t>SAIMEX</w:t>
      </w:r>
      <w:r w:rsidRPr="00B71E3E">
        <w:rPr>
          <w:rFonts w:ascii="Palatino Linotype" w:eastAsia="Batang" w:hAnsi="Palatino Linotype" w:cs="Tahoma"/>
          <w:bCs/>
          <w:sz w:val="22"/>
          <w:szCs w:val="22"/>
          <w:lang w:val="es-ES_tradnl"/>
        </w:rPr>
        <w:t>, en el que se les otorgó un plazo de siete días hábiles posteriores a la misma, para que manifestaran lo que a su derecho conviniera y formularan alegatos.</w:t>
      </w:r>
    </w:p>
    <w:p w14:paraId="3F9FCE82" w14:textId="77777777" w:rsidR="00FD7991" w:rsidRPr="00B71E3E" w:rsidRDefault="00FD7991" w:rsidP="00FD7991">
      <w:pPr>
        <w:spacing w:line="360" w:lineRule="auto"/>
        <w:contextualSpacing/>
        <w:jc w:val="both"/>
        <w:rPr>
          <w:rFonts w:ascii="Palatino Linotype" w:eastAsia="Batang" w:hAnsi="Palatino Linotype" w:cs="Tahoma"/>
          <w:bCs/>
          <w:sz w:val="22"/>
          <w:szCs w:val="22"/>
          <w:lang w:val="es-ES_tradnl"/>
        </w:rPr>
      </w:pPr>
    </w:p>
    <w:p w14:paraId="70C22B5D" w14:textId="7EF02868" w:rsidR="00FD7991" w:rsidRPr="00B71E3E" w:rsidRDefault="00FD7991" w:rsidP="00FD7991">
      <w:pPr>
        <w:autoSpaceDE w:val="0"/>
        <w:autoSpaceDN w:val="0"/>
        <w:adjustRightInd w:val="0"/>
        <w:spacing w:line="360" w:lineRule="auto"/>
        <w:contextualSpacing/>
        <w:jc w:val="both"/>
        <w:rPr>
          <w:rFonts w:ascii="Palatino Linotype" w:hAnsi="Palatino Linotype" w:cs="Tahoma"/>
          <w:sz w:val="22"/>
          <w:szCs w:val="22"/>
        </w:rPr>
      </w:pPr>
      <w:r w:rsidRPr="00B71E3E">
        <w:rPr>
          <w:rFonts w:ascii="Palatino Linotype" w:hAnsi="Palatino Linotype" w:cs="Tahoma"/>
          <w:b/>
          <w:sz w:val="22"/>
          <w:szCs w:val="22"/>
        </w:rPr>
        <w:t xml:space="preserve">c) Informe Justificado. </w:t>
      </w:r>
      <w:r w:rsidRPr="00B71E3E">
        <w:rPr>
          <w:rFonts w:ascii="Palatino Linotype" w:hAnsi="Palatino Linotype" w:cs="Tahoma"/>
          <w:sz w:val="22"/>
          <w:szCs w:val="22"/>
        </w:rPr>
        <w:t xml:space="preserve">El cinco de marzo de dos mil veinticinco, se recibió, a través del </w:t>
      </w:r>
      <w:r w:rsidR="00D2410F" w:rsidRPr="00B71E3E">
        <w:rPr>
          <w:rFonts w:ascii="Palatino Linotype" w:hAnsi="Palatino Linotype" w:cs="Tahoma"/>
          <w:sz w:val="22"/>
          <w:szCs w:val="22"/>
        </w:rPr>
        <w:t>SAIMEX</w:t>
      </w:r>
      <w:r w:rsidRPr="00B71E3E">
        <w:rPr>
          <w:rFonts w:ascii="Palatino Linotype" w:hAnsi="Palatino Linotype" w:cs="Tahoma"/>
          <w:sz w:val="22"/>
          <w:szCs w:val="22"/>
        </w:rPr>
        <w:t xml:space="preserve">, el Informe Justificado únicamente en el recurso de revisión </w:t>
      </w:r>
      <w:r w:rsidRPr="00B71E3E">
        <w:rPr>
          <w:rFonts w:ascii="Palatino Linotype" w:eastAsia="Batang" w:hAnsi="Palatino Linotype" w:cs="Tahoma"/>
          <w:bCs/>
          <w:sz w:val="22"/>
          <w:szCs w:val="22"/>
          <w:lang w:val="es-ES_tradnl"/>
        </w:rPr>
        <w:t>01611/INFOEM/IP/RR/2025</w:t>
      </w:r>
      <w:r w:rsidRPr="00B71E3E">
        <w:rPr>
          <w:rFonts w:ascii="Palatino Linotype" w:hAnsi="Palatino Linotype" w:cs="Tahoma"/>
          <w:bCs/>
          <w:color w:val="0D0D0D" w:themeColor="text1" w:themeTint="F2"/>
          <w:sz w:val="22"/>
          <w:szCs w:val="22"/>
        </w:rPr>
        <w:t xml:space="preserve">; </w:t>
      </w:r>
      <w:r w:rsidRPr="00B71E3E">
        <w:rPr>
          <w:rFonts w:ascii="Palatino Linotype" w:hAnsi="Palatino Linotype" w:cs="Tahoma"/>
          <w:sz w:val="22"/>
          <w:szCs w:val="22"/>
        </w:rPr>
        <w:t>a través del oficio</w:t>
      </w:r>
      <w:r w:rsidR="0026369A" w:rsidRPr="00B71E3E">
        <w:rPr>
          <w:rFonts w:ascii="Palatino Linotype" w:hAnsi="Palatino Linotype" w:cs="Tahoma"/>
          <w:sz w:val="22"/>
          <w:szCs w:val="22"/>
        </w:rPr>
        <w:t xml:space="preserve"> sin número, </w:t>
      </w:r>
      <w:r w:rsidRPr="00B71E3E">
        <w:rPr>
          <w:rFonts w:ascii="Palatino Linotype" w:hAnsi="Palatino Linotype" w:cs="Tahoma"/>
          <w:sz w:val="22"/>
          <w:szCs w:val="22"/>
        </w:rPr>
        <w:t xml:space="preserve">de la fecha de recepción, </w:t>
      </w:r>
      <w:r w:rsidR="0026369A" w:rsidRPr="00B71E3E">
        <w:rPr>
          <w:rFonts w:ascii="Palatino Linotype" w:hAnsi="Palatino Linotype" w:cs="Tahoma"/>
          <w:bCs/>
          <w:sz w:val="22"/>
          <w:szCs w:val="22"/>
        </w:rPr>
        <w:t>suscrito por el</w:t>
      </w:r>
      <w:r w:rsidRPr="00B71E3E">
        <w:rPr>
          <w:rFonts w:ascii="Palatino Linotype" w:hAnsi="Palatino Linotype" w:cs="Tahoma"/>
          <w:bCs/>
          <w:sz w:val="22"/>
          <w:szCs w:val="22"/>
        </w:rPr>
        <w:t xml:space="preserve"> Titular de la Unidad de Transparencia, y dirigido al Comisionado Ponente,</w:t>
      </w:r>
      <w:r w:rsidRPr="00B71E3E">
        <w:rPr>
          <w:rFonts w:ascii="Palatino Linotype" w:hAnsi="Palatino Linotype" w:cs="Tahoma"/>
          <w:sz w:val="22"/>
          <w:szCs w:val="22"/>
        </w:rPr>
        <w:t xml:space="preserve"> por medio del cual esencialmente ratificó sus respuestas iniciales.</w:t>
      </w:r>
    </w:p>
    <w:p w14:paraId="64067C54" w14:textId="77777777" w:rsidR="00FD7991" w:rsidRPr="00B71E3E" w:rsidRDefault="00FD7991" w:rsidP="00FD7991">
      <w:pPr>
        <w:autoSpaceDE w:val="0"/>
        <w:autoSpaceDN w:val="0"/>
        <w:adjustRightInd w:val="0"/>
        <w:spacing w:line="360" w:lineRule="auto"/>
        <w:contextualSpacing/>
        <w:jc w:val="both"/>
        <w:rPr>
          <w:rFonts w:ascii="Palatino Linotype" w:hAnsi="Palatino Linotype" w:cs="Tahoma"/>
          <w:sz w:val="22"/>
          <w:szCs w:val="22"/>
        </w:rPr>
      </w:pPr>
    </w:p>
    <w:p w14:paraId="67DC91EF" w14:textId="77777777" w:rsidR="00FD7991" w:rsidRPr="00B71E3E" w:rsidRDefault="00FD7991" w:rsidP="00FD7991">
      <w:pPr>
        <w:spacing w:line="360" w:lineRule="auto"/>
        <w:contextualSpacing/>
        <w:jc w:val="both"/>
        <w:rPr>
          <w:rFonts w:ascii="Palatino Linotype" w:eastAsia="Batang" w:hAnsi="Palatino Linotype" w:cs="Tahoma"/>
          <w:b/>
          <w:bCs/>
          <w:color w:val="000000"/>
          <w:sz w:val="22"/>
          <w:szCs w:val="22"/>
          <w:lang w:eastAsia="en-US"/>
        </w:rPr>
      </w:pPr>
      <w:r w:rsidRPr="00B71E3E">
        <w:rPr>
          <w:rFonts w:ascii="Palatino Linotype" w:hAnsi="Palatino Linotype" w:cs="Tahoma"/>
          <w:b/>
          <w:sz w:val="22"/>
          <w:szCs w:val="22"/>
        </w:rPr>
        <w:t xml:space="preserve">d) </w:t>
      </w:r>
      <w:r w:rsidRPr="00B71E3E">
        <w:rPr>
          <w:rFonts w:ascii="Palatino Linotype" w:hAnsi="Palatino Linotype" w:cs="Tahoma"/>
          <w:b/>
          <w:iCs/>
          <w:sz w:val="22"/>
          <w:szCs w:val="22"/>
          <w:lang w:val="es-ES"/>
        </w:rPr>
        <w:t>Acumulación de los asuntos.</w:t>
      </w:r>
      <w:r w:rsidRPr="00B71E3E">
        <w:rPr>
          <w:rFonts w:ascii="Palatino Linotype" w:hAnsi="Palatino Linotype" w:cs="Tahoma"/>
          <w:bCs/>
          <w:iCs/>
          <w:sz w:val="22"/>
          <w:szCs w:val="22"/>
          <w:lang w:val="es-ES"/>
        </w:rPr>
        <w:t xml:space="preserve"> El </w:t>
      </w:r>
      <w:r w:rsidR="0026369A" w:rsidRPr="00B71E3E">
        <w:rPr>
          <w:rFonts w:ascii="Palatino Linotype" w:hAnsi="Palatino Linotype" w:cs="Tahoma"/>
          <w:bCs/>
          <w:iCs/>
          <w:sz w:val="22"/>
          <w:szCs w:val="22"/>
          <w:lang w:val="es-ES"/>
        </w:rPr>
        <w:t>diecinueve de marzo de dos  mil veinticinco</w:t>
      </w:r>
      <w:r w:rsidRPr="00B71E3E">
        <w:rPr>
          <w:rFonts w:ascii="Palatino Linotype" w:hAnsi="Palatino Linotype" w:cs="Tahoma"/>
          <w:bCs/>
          <w:iCs/>
          <w:sz w:val="22"/>
          <w:szCs w:val="22"/>
          <w:lang w:val="es-ES"/>
        </w:rPr>
        <w:t>,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w:t>
      </w:r>
      <w:r w:rsidR="0026369A" w:rsidRPr="00B71E3E">
        <w:rPr>
          <w:rFonts w:ascii="Palatino Linotype" w:hAnsi="Palatino Linotype" w:cs="Tahoma"/>
          <w:bCs/>
          <w:iCs/>
          <w:sz w:val="22"/>
          <w:szCs w:val="22"/>
          <w:lang w:val="es-ES"/>
        </w:rPr>
        <w:t xml:space="preserve"> se acordó la acumulación del Recurso</w:t>
      </w:r>
      <w:r w:rsidRPr="00B71E3E">
        <w:rPr>
          <w:rFonts w:ascii="Palatino Linotype" w:hAnsi="Palatino Linotype" w:cs="Tahoma"/>
          <w:bCs/>
          <w:iCs/>
          <w:sz w:val="22"/>
          <w:szCs w:val="22"/>
          <w:lang w:val="es-ES"/>
        </w:rPr>
        <w:t xml:space="preserve"> de Revisión </w:t>
      </w:r>
      <w:r w:rsidR="0026369A" w:rsidRPr="00B71E3E">
        <w:rPr>
          <w:rFonts w:ascii="Palatino Linotype" w:eastAsia="Batang" w:hAnsi="Palatino Linotype" w:cs="Tahoma"/>
          <w:bCs/>
          <w:sz w:val="22"/>
          <w:szCs w:val="22"/>
          <w:lang w:val="es-ES_tradnl"/>
        </w:rPr>
        <w:t>01611/INFOEM/IP/RR/2025 al 01606/INFOEM/IP/RR/2025</w:t>
      </w:r>
      <w:r w:rsidRPr="00B71E3E">
        <w:rPr>
          <w:rFonts w:ascii="Palatino Linotype" w:eastAsia="Batang" w:hAnsi="Palatino Linotype" w:cs="Tahoma"/>
          <w:b/>
          <w:bCs/>
          <w:color w:val="000000"/>
          <w:sz w:val="22"/>
          <w:szCs w:val="22"/>
          <w:lang w:eastAsia="en-US"/>
        </w:rPr>
        <w:t xml:space="preserve">, </w:t>
      </w:r>
      <w:r w:rsidRPr="00B71E3E">
        <w:rPr>
          <w:rFonts w:ascii="Palatino Linotype" w:eastAsia="Batang" w:hAnsi="Palatino Linotype" w:cs="Tahoma"/>
          <w:color w:val="000000"/>
          <w:sz w:val="22"/>
          <w:szCs w:val="22"/>
          <w:lang w:eastAsia="en-US"/>
        </w:rPr>
        <w:t xml:space="preserve">por ser este último el más antiguo, sustanciado bajo el índice de esta Ponencia, al advertir conexidad entre estos, ya que fueron promovidos por la misma persona, en los que señaló como Sujeto Obligado al </w:t>
      </w:r>
      <w:r w:rsidRPr="00B71E3E">
        <w:rPr>
          <w:rFonts w:ascii="Palatino Linotype" w:eastAsia="Batang" w:hAnsi="Palatino Linotype" w:cs="Tahoma"/>
          <w:b/>
          <w:color w:val="000000"/>
          <w:sz w:val="22"/>
          <w:szCs w:val="22"/>
          <w:lang w:eastAsia="en-US"/>
        </w:rPr>
        <w:t>Ayuntamiento de Toluca</w:t>
      </w:r>
      <w:r w:rsidRPr="00B71E3E">
        <w:rPr>
          <w:rFonts w:ascii="Palatino Linotype" w:eastAsia="Batang" w:hAnsi="Palatino Linotype" w:cs="Tahoma"/>
          <w:color w:val="000000"/>
          <w:sz w:val="22"/>
          <w:szCs w:val="22"/>
          <w:lang w:eastAsia="en-US"/>
        </w:rPr>
        <w:t xml:space="preserve">. </w:t>
      </w:r>
    </w:p>
    <w:p w14:paraId="13D75B7D" w14:textId="77777777" w:rsidR="00FD7991" w:rsidRPr="00B71E3E" w:rsidRDefault="00FD7991" w:rsidP="00FD7991">
      <w:pPr>
        <w:spacing w:line="360" w:lineRule="auto"/>
        <w:contextualSpacing/>
        <w:jc w:val="both"/>
        <w:rPr>
          <w:rFonts w:ascii="Palatino Linotype" w:hAnsi="Palatino Linotype" w:cs="Tahoma"/>
          <w:b/>
          <w:sz w:val="22"/>
          <w:szCs w:val="22"/>
        </w:rPr>
      </w:pPr>
    </w:p>
    <w:p w14:paraId="47DD7FD5" w14:textId="5E4B0CD3" w:rsidR="00FD7991" w:rsidRPr="00B71E3E" w:rsidRDefault="00FD7991" w:rsidP="00FD7991">
      <w:pPr>
        <w:spacing w:line="360" w:lineRule="auto"/>
        <w:contextualSpacing/>
        <w:jc w:val="both"/>
        <w:rPr>
          <w:rFonts w:ascii="Palatino Linotype" w:hAnsi="Palatino Linotype" w:cs="Tahoma"/>
          <w:bCs/>
          <w:sz w:val="22"/>
          <w:szCs w:val="22"/>
        </w:rPr>
      </w:pPr>
      <w:r w:rsidRPr="00B71E3E">
        <w:rPr>
          <w:rFonts w:ascii="Palatino Linotype" w:hAnsi="Palatino Linotype" w:cs="Tahoma"/>
          <w:b/>
          <w:bCs/>
          <w:sz w:val="22"/>
          <w:szCs w:val="22"/>
        </w:rPr>
        <w:t xml:space="preserve">e) Vista del informe justificado. </w:t>
      </w:r>
      <w:r w:rsidRPr="00B71E3E">
        <w:rPr>
          <w:rFonts w:ascii="Palatino Linotype" w:hAnsi="Palatino Linotype" w:cs="Tahoma"/>
          <w:sz w:val="22"/>
          <w:szCs w:val="22"/>
        </w:rPr>
        <w:t xml:space="preserve">El </w:t>
      </w:r>
      <w:r w:rsidR="0026369A" w:rsidRPr="00B71E3E">
        <w:rPr>
          <w:rFonts w:ascii="Palatino Linotype" w:hAnsi="Palatino Linotype" w:cs="Tahoma"/>
          <w:sz w:val="22"/>
          <w:szCs w:val="22"/>
        </w:rPr>
        <w:t>diecinueve</w:t>
      </w:r>
      <w:r w:rsidRPr="00B71E3E">
        <w:rPr>
          <w:rFonts w:ascii="Palatino Linotype" w:hAnsi="Palatino Linotype" w:cs="Tahoma"/>
          <w:sz w:val="22"/>
          <w:szCs w:val="22"/>
        </w:rPr>
        <w:t xml:space="preserve"> </w:t>
      </w:r>
      <w:r w:rsidR="0026369A" w:rsidRPr="00B71E3E">
        <w:rPr>
          <w:rFonts w:ascii="Palatino Linotype" w:hAnsi="Palatino Linotype" w:cs="Tahoma"/>
          <w:sz w:val="22"/>
          <w:szCs w:val="22"/>
        </w:rPr>
        <w:t xml:space="preserve">de marzo </w:t>
      </w:r>
      <w:r w:rsidRPr="00B71E3E">
        <w:rPr>
          <w:rFonts w:ascii="Palatino Linotype" w:hAnsi="Palatino Linotype" w:cs="Tahoma"/>
          <w:sz w:val="22"/>
          <w:szCs w:val="22"/>
        </w:rPr>
        <w:t xml:space="preserve">de dos mil veinticuatro, se dictó acuerdo mediante el cual </w:t>
      </w:r>
      <w:r w:rsidRPr="00B71E3E">
        <w:rPr>
          <w:rFonts w:ascii="Palatino Linotype" w:hAnsi="Palatino Linotype" w:cs="Tahoma"/>
          <w:bCs/>
          <w:sz w:val="22"/>
          <w:szCs w:val="22"/>
        </w:rPr>
        <w:t xml:space="preserve">se puso a la vista del Particular </w:t>
      </w:r>
      <w:r w:rsidR="0026369A" w:rsidRPr="00B71E3E">
        <w:rPr>
          <w:rFonts w:ascii="Palatino Linotype" w:hAnsi="Palatino Linotype" w:cs="Tahoma"/>
          <w:bCs/>
          <w:sz w:val="22"/>
          <w:szCs w:val="22"/>
        </w:rPr>
        <w:t>el Informe Justificado</w:t>
      </w:r>
      <w:r w:rsidRPr="00B71E3E">
        <w:rPr>
          <w:rFonts w:ascii="Palatino Linotype" w:hAnsi="Palatino Linotype" w:cs="Tahoma"/>
          <w:sz w:val="22"/>
          <w:szCs w:val="22"/>
        </w:rPr>
        <w:t xml:space="preserve"> entregados por el Sujeto Obligado</w:t>
      </w:r>
      <w:r w:rsidR="0026369A" w:rsidRPr="00B71E3E">
        <w:rPr>
          <w:rFonts w:ascii="Palatino Linotype" w:hAnsi="Palatino Linotype" w:cs="Tahoma"/>
          <w:sz w:val="22"/>
          <w:szCs w:val="22"/>
        </w:rPr>
        <w:t xml:space="preserve"> en el recurso de revisión </w:t>
      </w:r>
      <w:r w:rsidR="0026369A" w:rsidRPr="00B71E3E">
        <w:rPr>
          <w:rFonts w:ascii="Palatino Linotype" w:eastAsia="Batang" w:hAnsi="Palatino Linotype" w:cs="Tahoma"/>
          <w:bCs/>
          <w:sz w:val="22"/>
          <w:szCs w:val="22"/>
          <w:lang w:val="es-ES_tradnl"/>
        </w:rPr>
        <w:t>01611/INFOEM/IP/RR/2025</w:t>
      </w:r>
      <w:r w:rsidRPr="00B71E3E">
        <w:rPr>
          <w:rFonts w:ascii="Palatino Linotype" w:hAnsi="Palatino Linotype" w:cs="Tahoma"/>
          <w:sz w:val="22"/>
          <w:szCs w:val="22"/>
        </w:rPr>
        <w:t xml:space="preserve">, el cual fue </w:t>
      </w:r>
      <w:r w:rsidRPr="00B71E3E">
        <w:rPr>
          <w:rFonts w:ascii="Palatino Linotype" w:hAnsi="Palatino Linotype" w:cs="Tahoma"/>
          <w:sz w:val="22"/>
          <w:szCs w:val="22"/>
        </w:rPr>
        <w:lastRenderedPageBreak/>
        <w:t xml:space="preserve">notificado, a través del </w:t>
      </w:r>
      <w:r w:rsidR="00D2410F" w:rsidRPr="00B71E3E">
        <w:rPr>
          <w:rFonts w:ascii="Palatino Linotype" w:hAnsi="Palatino Linotype" w:cs="Tahoma"/>
          <w:sz w:val="22"/>
          <w:szCs w:val="22"/>
        </w:rPr>
        <w:t>SAIMEX</w:t>
      </w:r>
      <w:r w:rsidRPr="00B71E3E">
        <w:rPr>
          <w:rFonts w:ascii="Palatino Linotype" w:hAnsi="Palatino Linotype" w:cs="Tahoma"/>
          <w:sz w:val="22"/>
          <w:szCs w:val="22"/>
        </w:rPr>
        <w:t xml:space="preserve">. </w:t>
      </w:r>
      <w:r w:rsidR="0026369A" w:rsidRPr="00B71E3E">
        <w:rPr>
          <w:rFonts w:ascii="Palatino Linotype" w:hAnsi="Palatino Linotype" w:cs="Tahoma"/>
          <w:sz w:val="22"/>
          <w:szCs w:val="22"/>
        </w:rPr>
        <w:t xml:space="preserve">El mismo día. </w:t>
      </w:r>
      <w:r w:rsidRPr="00B71E3E">
        <w:rPr>
          <w:rFonts w:ascii="Palatino Linotype" w:hAnsi="Palatino Linotype" w:cs="Tahoma"/>
          <w:b/>
          <w:bCs/>
          <w:color w:val="000000"/>
          <w:sz w:val="22"/>
          <w:szCs w:val="22"/>
        </w:rPr>
        <w:t>Cabe señalar que la parte Recurrente fue omisa en emitir manifestaciones.</w:t>
      </w:r>
    </w:p>
    <w:p w14:paraId="177DFBC7" w14:textId="77777777" w:rsidR="00FD7991" w:rsidRPr="00B71E3E" w:rsidRDefault="00FD7991" w:rsidP="00FD7991">
      <w:pPr>
        <w:autoSpaceDE w:val="0"/>
        <w:autoSpaceDN w:val="0"/>
        <w:adjustRightInd w:val="0"/>
        <w:spacing w:line="360" w:lineRule="auto"/>
        <w:contextualSpacing/>
        <w:jc w:val="both"/>
        <w:rPr>
          <w:rFonts w:ascii="Palatino Linotype" w:hAnsi="Palatino Linotype" w:cs="Tahoma"/>
          <w:b/>
          <w:sz w:val="22"/>
          <w:szCs w:val="22"/>
        </w:rPr>
      </w:pPr>
    </w:p>
    <w:p w14:paraId="5730BC43" w14:textId="37AE377E" w:rsidR="00FD7991" w:rsidRPr="00B71E3E" w:rsidRDefault="0026369A" w:rsidP="00FD7991">
      <w:pPr>
        <w:spacing w:line="360" w:lineRule="auto"/>
        <w:contextualSpacing/>
        <w:jc w:val="both"/>
        <w:rPr>
          <w:rFonts w:ascii="Palatino Linotype" w:hAnsi="Palatino Linotype" w:cs="Tahoma"/>
          <w:bCs/>
          <w:sz w:val="22"/>
          <w:szCs w:val="22"/>
        </w:rPr>
      </w:pPr>
      <w:bookmarkStart w:id="1" w:name="_Hlk145410441"/>
      <w:r w:rsidRPr="00B71E3E">
        <w:rPr>
          <w:rFonts w:ascii="Palatino Linotype" w:hAnsi="Palatino Linotype" w:cs="Tahoma"/>
          <w:b/>
          <w:bCs/>
          <w:sz w:val="22"/>
          <w:szCs w:val="22"/>
        </w:rPr>
        <w:t>f</w:t>
      </w:r>
      <w:r w:rsidR="00FD7991" w:rsidRPr="00B71E3E">
        <w:rPr>
          <w:rFonts w:ascii="Palatino Linotype" w:hAnsi="Palatino Linotype" w:cs="Tahoma"/>
          <w:b/>
          <w:bCs/>
          <w:sz w:val="22"/>
          <w:szCs w:val="22"/>
        </w:rPr>
        <w:t>) Cierre de instrucción.</w:t>
      </w:r>
      <w:r w:rsidR="00FD7991" w:rsidRPr="00B71E3E">
        <w:rPr>
          <w:rFonts w:ascii="Palatino Linotype" w:hAnsi="Palatino Linotype" w:cs="Tahoma"/>
          <w:bCs/>
          <w:sz w:val="22"/>
          <w:szCs w:val="22"/>
        </w:rPr>
        <w:t xml:space="preserve"> El </w:t>
      </w:r>
      <w:r w:rsidR="005942A4">
        <w:rPr>
          <w:rFonts w:ascii="Palatino Linotype" w:hAnsi="Palatino Linotype" w:cs="Tahoma"/>
          <w:bCs/>
          <w:sz w:val="22"/>
          <w:szCs w:val="22"/>
        </w:rPr>
        <w:t>primero de abril</w:t>
      </w:r>
      <w:r w:rsidRPr="00B71E3E">
        <w:rPr>
          <w:rFonts w:ascii="Palatino Linotype" w:hAnsi="Palatino Linotype" w:cs="Tahoma"/>
          <w:bCs/>
          <w:sz w:val="22"/>
          <w:szCs w:val="22"/>
        </w:rPr>
        <w:t xml:space="preserve"> de dos mil veinticinco</w:t>
      </w:r>
      <w:r w:rsidR="00FD7991" w:rsidRPr="00B71E3E">
        <w:rPr>
          <w:rFonts w:ascii="Palatino Linotype" w:hAnsi="Palatino Linotype" w:cs="Tahoma"/>
          <w:bCs/>
          <w:sz w:val="22"/>
          <w:szCs w:val="22"/>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FD7991" w:rsidRPr="00B71E3E">
        <w:rPr>
          <w:rFonts w:ascii="Palatino Linotype" w:hAnsi="Palatino Linotype" w:cs="Tahoma"/>
          <w:bCs/>
          <w:sz w:val="22"/>
          <w:szCs w:val="22"/>
          <w:lang w:val="es-ES"/>
        </w:rPr>
        <w:t xml:space="preserve">acto que fue notificado a las partes, mediante el </w:t>
      </w:r>
      <w:r w:rsidR="00D2410F" w:rsidRPr="00B71E3E">
        <w:rPr>
          <w:rFonts w:ascii="Palatino Linotype" w:hAnsi="Palatino Linotype" w:cs="Tahoma"/>
          <w:bCs/>
          <w:sz w:val="22"/>
          <w:szCs w:val="22"/>
          <w:lang w:val="es-ES"/>
        </w:rPr>
        <w:t>SAIMEX</w:t>
      </w:r>
      <w:r w:rsidR="00FD7991" w:rsidRPr="00B71E3E">
        <w:rPr>
          <w:rFonts w:ascii="Palatino Linotype" w:hAnsi="Palatino Linotype" w:cs="Tahoma"/>
          <w:bCs/>
          <w:sz w:val="22"/>
          <w:szCs w:val="22"/>
          <w:lang w:val="es-ES"/>
        </w:rPr>
        <w:t xml:space="preserve">, el </w:t>
      </w:r>
      <w:r w:rsidR="005942A4">
        <w:rPr>
          <w:rFonts w:ascii="Palatino Linotype" w:hAnsi="Palatino Linotype" w:cs="Tahoma"/>
          <w:bCs/>
          <w:sz w:val="22"/>
          <w:szCs w:val="22"/>
          <w:lang w:val="es-ES"/>
        </w:rPr>
        <w:t>dos de dicho mes y año</w:t>
      </w:r>
      <w:r w:rsidR="00FD7991" w:rsidRPr="00B71E3E">
        <w:rPr>
          <w:rFonts w:ascii="Palatino Linotype" w:hAnsi="Palatino Linotype" w:cs="Tahoma"/>
          <w:bCs/>
          <w:sz w:val="22"/>
          <w:szCs w:val="22"/>
          <w:lang w:val="es-ES"/>
        </w:rPr>
        <w:t>.</w:t>
      </w:r>
    </w:p>
    <w:bookmarkEnd w:id="1"/>
    <w:p w14:paraId="03B32E4F" w14:textId="77777777" w:rsidR="00FD7991" w:rsidRPr="00B71E3E" w:rsidRDefault="00FD7991" w:rsidP="00FD7991">
      <w:pPr>
        <w:autoSpaceDE w:val="0"/>
        <w:autoSpaceDN w:val="0"/>
        <w:adjustRightInd w:val="0"/>
        <w:spacing w:line="360" w:lineRule="auto"/>
        <w:contextualSpacing/>
        <w:jc w:val="both"/>
        <w:rPr>
          <w:rFonts w:ascii="Palatino Linotype" w:hAnsi="Palatino Linotype" w:cs="Tahoma"/>
          <w:b/>
          <w:sz w:val="22"/>
          <w:szCs w:val="22"/>
          <w:lang w:val="es-ES"/>
        </w:rPr>
      </w:pPr>
    </w:p>
    <w:p w14:paraId="0C04499F" w14:textId="77777777" w:rsidR="00FD7991" w:rsidRPr="00B71E3E" w:rsidRDefault="00FD7991" w:rsidP="00FD7991">
      <w:pPr>
        <w:spacing w:line="360" w:lineRule="auto"/>
        <w:contextualSpacing/>
        <w:jc w:val="both"/>
        <w:rPr>
          <w:rFonts w:ascii="Palatino Linotype" w:hAnsi="Palatino Linotype" w:cs="Tahoma"/>
          <w:color w:val="000000"/>
          <w:sz w:val="22"/>
          <w:szCs w:val="22"/>
        </w:rPr>
      </w:pPr>
      <w:r w:rsidRPr="00B71E3E">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14:paraId="1B88FFBA" w14:textId="77777777" w:rsidR="00FD7991" w:rsidRPr="00B71E3E" w:rsidRDefault="00FD7991" w:rsidP="00FD7991">
      <w:pPr>
        <w:spacing w:line="360" w:lineRule="auto"/>
        <w:contextualSpacing/>
        <w:jc w:val="center"/>
        <w:rPr>
          <w:rFonts w:ascii="Palatino Linotype" w:hAnsi="Palatino Linotype" w:cs="Tahoma"/>
          <w:b/>
          <w:sz w:val="22"/>
          <w:szCs w:val="22"/>
        </w:rPr>
      </w:pPr>
    </w:p>
    <w:p w14:paraId="71C7476D" w14:textId="77777777" w:rsidR="00FD7991" w:rsidRPr="00B71E3E" w:rsidRDefault="00FD7991" w:rsidP="00FD7991">
      <w:pPr>
        <w:spacing w:line="360" w:lineRule="auto"/>
        <w:contextualSpacing/>
        <w:jc w:val="center"/>
        <w:rPr>
          <w:rFonts w:ascii="Palatino Linotype" w:hAnsi="Palatino Linotype" w:cs="Tahoma"/>
          <w:b/>
          <w:sz w:val="22"/>
          <w:szCs w:val="22"/>
        </w:rPr>
      </w:pPr>
      <w:r w:rsidRPr="00B71E3E">
        <w:rPr>
          <w:rFonts w:ascii="Palatino Linotype" w:hAnsi="Palatino Linotype" w:cs="Tahoma"/>
          <w:b/>
          <w:sz w:val="22"/>
          <w:szCs w:val="22"/>
        </w:rPr>
        <w:t>C O N S I D E R A N D O S</w:t>
      </w:r>
    </w:p>
    <w:p w14:paraId="050C1E08" w14:textId="77777777" w:rsidR="00FD7991" w:rsidRPr="00B71E3E" w:rsidRDefault="00FD7991" w:rsidP="00FD7991">
      <w:pPr>
        <w:spacing w:line="360" w:lineRule="auto"/>
        <w:contextualSpacing/>
        <w:rPr>
          <w:rFonts w:ascii="Palatino Linotype" w:hAnsi="Palatino Linotype" w:cs="Tahoma"/>
          <w:b/>
          <w:sz w:val="22"/>
          <w:szCs w:val="22"/>
        </w:rPr>
      </w:pPr>
    </w:p>
    <w:p w14:paraId="3CE8CF14" w14:textId="67C42D31" w:rsidR="00FD7991" w:rsidRPr="00B71E3E" w:rsidRDefault="00FD7991" w:rsidP="00FD7991">
      <w:pPr>
        <w:spacing w:line="360" w:lineRule="auto"/>
        <w:contextualSpacing/>
        <w:jc w:val="both"/>
        <w:rPr>
          <w:rFonts w:ascii="Palatino Linotype" w:eastAsia="Batang" w:hAnsi="Palatino Linotype" w:cs="Tahoma"/>
          <w:b/>
          <w:bCs/>
          <w:sz w:val="22"/>
          <w:szCs w:val="22"/>
        </w:rPr>
      </w:pPr>
      <w:r w:rsidRPr="00B71E3E">
        <w:rPr>
          <w:rFonts w:ascii="Palatino Linotype" w:eastAsia="Batang" w:hAnsi="Palatino Linotype" w:cs="Tahoma"/>
          <w:b/>
          <w:bCs/>
          <w:sz w:val="22"/>
          <w:szCs w:val="22"/>
        </w:rPr>
        <w:t>PRIMERO. Competencia</w:t>
      </w:r>
    </w:p>
    <w:p w14:paraId="4A5D189E" w14:textId="77777777" w:rsidR="00FD7991" w:rsidRPr="00B71E3E" w:rsidRDefault="00FD7991" w:rsidP="00FD7991">
      <w:pPr>
        <w:spacing w:line="360" w:lineRule="auto"/>
        <w:contextualSpacing/>
        <w:jc w:val="both"/>
        <w:rPr>
          <w:rFonts w:ascii="Palatino Linotype" w:eastAsia="Batang" w:hAnsi="Palatino Linotype" w:cs="Tahoma"/>
          <w:b/>
          <w:bCs/>
          <w:sz w:val="22"/>
          <w:szCs w:val="22"/>
        </w:rPr>
      </w:pPr>
    </w:p>
    <w:p w14:paraId="1FE0EBB5" w14:textId="6C1267E4" w:rsidR="00680255" w:rsidRPr="00B71E3E" w:rsidRDefault="00680255" w:rsidP="00680255">
      <w:pPr>
        <w:spacing w:line="360" w:lineRule="auto"/>
        <w:contextualSpacing/>
        <w:jc w:val="both"/>
        <w:rPr>
          <w:rFonts w:ascii="Palatino Linotype" w:hAnsi="Palatino Linotype" w:cs="Tahoma"/>
          <w:bCs/>
          <w:sz w:val="22"/>
          <w:szCs w:val="22"/>
        </w:rPr>
      </w:pPr>
      <w:r w:rsidRPr="00B71E3E">
        <w:rPr>
          <w:rFonts w:ascii="Palatino Linotype" w:hAnsi="Palatino Linotype" w:cs="Tahoma"/>
          <w:bCs/>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 trigésimo séptimo, trigésimo octavo y trigésimo noveno, fracciones I, II, III, IV y V de la Constitución Política del Estado Libre y Soberano de México;</w:t>
      </w:r>
    </w:p>
    <w:p w14:paraId="69E710D0" w14:textId="12BF34A1" w:rsidR="00FD7991" w:rsidRPr="00B71E3E" w:rsidRDefault="00680255" w:rsidP="00680255">
      <w:pPr>
        <w:spacing w:line="360" w:lineRule="auto"/>
        <w:contextualSpacing/>
        <w:jc w:val="both"/>
        <w:rPr>
          <w:rFonts w:ascii="Palatino Linotype" w:hAnsi="Palatino Linotype" w:cs="Tahoma"/>
          <w:bCs/>
          <w:sz w:val="22"/>
          <w:szCs w:val="22"/>
        </w:rPr>
      </w:pPr>
      <w:r w:rsidRPr="00B71E3E">
        <w:rPr>
          <w:rFonts w:ascii="Palatino Linotype" w:hAnsi="Palatino Linotype" w:cs="Tahoma"/>
          <w:bCs/>
          <w:sz w:val="22"/>
          <w:szCs w:val="22"/>
        </w:rPr>
        <w:t xml:space="preserve">1°, 2°, fracciones II y IV; 13, 29. 36, fracciones I y II; 176, 178, 179, 181 párrafo tercero, 185, 188 y 189 de la Ley Transparencia y Acceso a la Información Pública del Estado de México y Municipios: 7°, 9°, fracciones I y XXIII y 11 del Reglamento Interior del Instituto de </w:t>
      </w:r>
      <w:r w:rsidRPr="00B71E3E">
        <w:rPr>
          <w:rFonts w:ascii="Palatino Linotype" w:hAnsi="Palatino Linotype" w:cs="Tahoma"/>
          <w:bCs/>
          <w:sz w:val="22"/>
          <w:szCs w:val="22"/>
        </w:rPr>
        <w:lastRenderedPageBreak/>
        <w:t>Transparencia, Acceso a la Información Pública y Protección de Datos Personales del Estado de México y Municipios.</w:t>
      </w:r>
    </w:p>
    <w:p w14:paraId="588DE4F3" w14:textId="77777777" w:rsidR="00680255" w:rsidRPr="00B71E3E" w:rsidRDefault="00680255" w:rsidP="00680255">
      <w:pPr>
        <w:spacing w:line="360" w:lineRule="auto"/>
        <w:contextualSpacing/>
        <w:jc w:val="both"/>
        <w:rPr>
          <w:rFonts w:ascii="Palatino Linotype" w:eastAsia="Calibri" w:hAnsi="Palatino Linotype" w:cs="Tahoma"/>
          <w:bCs/>
          <w:color w:val="000000"/>
          <w:sz w:val="22"/>
          <w:szCs w:val="22"/>
          <w:lang w:eastAsia="es-ES_tradnl"/>
        </w:rPr>
      </w:pPr>
    </w:p>
    <w:p w14:paraId="607CE1FD" w14:textId="6C06AF34" w:rsidR="00FD7991" w:rsidRPr="00B71E3E" w:rsidRDefault="00FD7991" w:rsidP="00FD7991">
      <w:pPr>
        <w:autoSpaceDE w:val="0"/>
        <w:autoSpaceDN w:val="0"/>
        <w:adjustRightInd w:val="0"/>
        <w:spacing w:line="360" w:lineRule="auto"/>
        <w:contextualSpacing/>
        <w:jc w:val="both"/>
        <w:rPr>
          <w:rFonts w:ascii="Palatino Linotype" w:hAnsi="Palatino Linotype" w:cs="Tahoma"/>
          <w:b/>
          <w:sz w:val="22"/>
          <w:szCs w:val="22"/>
          <w:lang w:val="es-ES"/>
        </w:rPr>
      </w:pPr>
      <w:r w:rsidRPr="00B71E3E">
        <w:rPr>
          <w:rFonts w:ascii="Palatino Linotype" w:eastAsia="Calibri" w:hAnsi="Palatino Linotype" w:cs="Tahoma"/>
          <w:b/>
          <w:sz w:val="22"/>
          <w:szCs w:val="22"/>
          <w:lang w:val="es-ES" w:eastAsia="es-MX"/>
        </w:rPr>
        <w:t>SEGUNDO</w:t>
      </w:r>
      <w:r w:rsidRPr="00B71E3E">
        <w:rPr>
          <w:rFonts w:ascii="Palatino Linotype" w:eastAsia="Calibri" w:hAnsi="Palatino Linotype" w:cs="Tahoma"/>
          <w:sz w:val="22"/>
          <w:szCs w:val="22"/>
          <w:lang w:val="es-ES" w:eastAsia="es-MX"/>
        </w:rPr>
        <w:t xml:space="preserve">. </w:t>
      </w:r>
      <w:r w:rsidRPr="00B71E3E">
        <w:rPr>
          <w:rFonts w:ascii="Palatino Linotype" w:hAnsi="Palatino Linotype" w:cs="Tahoma"/>
          <w:b/>
          <w:sz w:val="22"/>
          <w:szCs w:val="22"/>
          <w:lang w:val="es-ES"/>
        </w:rPr>
        <w:t>Causales de improcedencia y sobreseimiento</w:t>
      </w:r>
    </w:p>
    <w:p w14:paraId="31F68C5D" w14:textId="77777777" w:rsidR="00FD7991" w:rsidRPr="00B71E3E" w:rsidRDefault="00FD7991" w:rsidP="00FD7991">
      <w:pPr>
        <w:autoSpaceDE w:val="0"/>
        <w:autoSpaceDN w:val="0"/>
        <w:adjustRightInd w:val="0"/>
        <w:spacing w:line="360" w:lineRule="auto"/>
        <w:contextualSpacing/>
        <w:jc w:val="both"/>
        <w:rPr>
          <w:rFonts w:ascii="Palatino Linotype" w:hAnsi="Palatino Linotype" w:cs="Tahoma"/>
          <w:b/>
          <w:sz w:val="22"/>
          <w:szCs w:val="22"/>
          <w:lang w:val="es-ES"/>
        </w:rPr>
      </w:pPr>
    </w:p>
    <w:p w14:paraId="5A73A360" w14:textId="77777777" w:rsidR="00FD7991" w:rsidRPr="00B71E3E" w:rsidRDefault="00FD7991" w:rsidP="00FD7991">
      <w:pPr>
        <w:autoSpaceDE w:val="0"/>
        <w:autoSpaceDN w:val="0"/>
        <w:adjustRightInd w:val="0"/>
        <w:spacing w:line="360" w:lineRule="auto"/>
        <w:contextualSpacing/>
        <w:jc w:val="both"/>
        <w:rPr>
          <w:rFonts w:ascii="Palatino Linotype" w:hAnsi="Palatino Linotype" w:cs="Tahoma"/>
          <w:sz w:val="22"/>
          <w:szCs w:val="22"/>
          <w:lang w:val="es-ES"/>
        </w:rPr>
      </w:pPr>
      <w:r w:rsidRPr="00B71E3E">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B71E3E">
        <w:rPr>
          <w:rFonts w:ascii="Palatino Linotype" w:hAnsi="Palatino Linotype" w:cs="Tahoma"/>
          <w:i/>
          <w:sz w:val="22"/>
          <w:szCs w:val="22"/>
          <w:lang w:val="es-ES"/>
        </w:rPr>
        <w:t>litis</w:t>
      </w:r>
      <w:proofErr w:type="spellEnd"/>
      <w:r w:rsidRPr="00B71E3E">
        <w:rPr>
          <w:rFonts w:ascii="Palatino Linotype" w:hAnsi="Palatino Linotype" w:cs="Tahoma"/>
          <w:sz w:val="22"/>
          <w:szCs w:val="22"/>
          <w:lang w:val="es-ES"/>
        </w:rPr>
        <w:t>, es necesario estudiar las causales de improcedencia y sobreseimiento que se adviertan, para determinar lo que en Derecho proceda.</w:t>
      </w:r>
    </w:p>
    <w:p w14:paraId="214F80AE" w14:textId="77777777" w:rsidR="00FD7991" w:rsidRPr="00B71E3E" w:rsidRDefault="00FD7991" w:rsidP="00FD7991">
      <w:pPr>
        <w:spacing w:line="360" w:lineRule="auto"/>
        <w:contextualSpacing/>
        <w:jc w:val="both"/>
        <w:rPr>
          <w:rFonts w:ascii="Palatino Linotype" w:eastAsia="Calibri" w:hAnsi="Palatino Linotype" w:cs="Tahoma"/>
          <w:b/>
          <w:color w:val="000000"/>
          <w:sz w:val="22"/>
          <w:szCs w:val="22"/>
          <w:lang w:val="es-ES" w:eastAsia="es-MX"/>
        </w:rPr>
      </w:pPr>
    </w:p>
    <w:p w14:paraId="02084EC8" w14:textId="577C4823" w:rsidR="00FD7991" w:rsidRPr="00B71E3E" w:rsidRDefault="00FD7991" w:rsidP="00FD7991">
      <w:pPr>
        <w:spacing w:line="360" w:lineRule="auto"/>
        <w:contextualSpacing/>
        <w:jc w:val="both"/>
        <w:rPr>
          <w:rFonts w:ascii="Palatino Linotype" w:hAnsi="Palatino Linotype" w:cs="Tahoma"/>
          <w:b/>
          <w:bCs/>
          <w:sz w:val="22"/>
          <w:szCs w:val="22"/>
          <w:lang w:val="es-ES"/>
        </w:rPr>
      </w:pPr>
      <w:r w:rsidRPr="00B71E3E">
        <w:rPr>
          <w:rFonts w:ascii="Palatino Linotype" w:hAnsi="Palatino Linotype" w:cs="Tahoma"/>
          <w:b/>
          <w:bCs/>
          <w:sz w:val="22"/>
          <w:szCs w:val="22"/>
          <w:lang w:val="es-ES"/>
        </w:rPr>
        <w:t>Causales de improcedencia</w:t>
      </w:r>
    </w:p>
    <w:p w14:paraId="13C311A5" w14:textId="77777777" w:rsidR="00FD7991" w:rsidRPr="00B71E3E" w:rsidRDefault="00FD7991" w:rsidP="00FD7991">
      <w:pPr>
        <w:spacing w:line="360" w:lineRule="auto"/>
        <w:contextualSpacing/>
        <w:jc w:val="both"/>
        <w:rPr>
          <w:rFonts w:ascii="Palatino Linotype" w:hAnsi="Palatino Linotype" w:cs="Tahoma"/>
          <w:sz w:val="22"/>
          <w:szCs w:val="22"/>
          <w:lang w:val="es-ES"/>
        </w:rPr>
      </w:pPr>
    </w:p>
    <w:p w14:paraId="3D88A941" w14:textId="77777777" w:rsidR="00FD7991" w:rsidRPr="00B71E3E" w:rsidRDefault="00FD7991" w:rsidP="00FD7991">
      <w:pPr>
        <w:spacing w:line="360" w:lineRule="auto"/>
        <w:contextualSpacing/>
        <w:jc w:val="both"/>
        <w:rPr>
          <w:rFonts w:ascii="Palatino Linotype" w:hAnsi="Palatino Linotype" w:cs="Tahoma"/>
          <w:sz w:val="22"/>
          <w:szCs w:val="22"/>
          <w:lang w:val="es-ES"/>
        </w:rPr>
      </w:pPr>
      <w:r w:rsidRPr="00B71E3E">
        <w:rPr>
          <w:rFonts w:ascii="Palatino Linotype" w:hAnsi="Palatino Linotype" w:cs="Tahoma"/>
          <w:sz w:val="22"/>
          <w:szCs w:val="22"/>
          <w:lang w:val="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ED209F1" w14:textId="77777777" w:rsidR="00FD7991" w:rsidRPr="00B71E3E" w:rsidRDefault="00FD7991" w:rsidP="00FD7991">
      <w:pPr>
        <w:spacing w:line="360" w:lineRule="auto"/>
        <w:contextualSpacing/>
        <w:jc w:val="both"/>
        <w:rPr>
          <w:rFonts w:ascii="Palatino Linotype" w:hAnsi="Palatino Linotype" w:cs="Tahoma"/>
          <w:sz w:val="22"/>
          <w:szCs w:val="22"/>
          <w:lang w:val="es-ES"/>
        </w:rPr>
      </w:pPr>
    </w:p>
    <w:p w14:paraId="1AD42889" w14:textId="77777777" w:rsidR="00FD7991" w:rsidRPr="00B71E3E" w:rsidRDefault="00FD7991" w:rsidP="00FD7991">
      <w:pPr>
        <w:spacing w:line="360" w:lineRule="auto"/>
        <w:contextualSpacing/>
        <w:jc w:val="both"/>
        <w:rPr>
          <w:rFonts w:ascii="Palatino Linotype" w:hAnsi="Palatino Linotype" w:cs="Tahoma"/>
          <w:sz w:val="22"/>
          <w:szCs w:val="22"/>
          <w:lang w:val="es-ES"/>
        </w:rPr>
      </w:pPr>
      <w:r w:rsidRPr="00B71E3E">
        <w:rPr>
          <w:rFonts w:ascii="Palatino Linotype" w:hAnsi="Palatino Linotype" w:cs="Tahoma"/>
          <w:sz w:val="22"/>
          <w:szCs w:val="22"/>
          <w:lang w:val="es-ES"/>
        </w:rP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5823DC45" w14:textId="77777777" w:rsidR="00FD7991" w:rsidRPr="00B71E3E" w:rsidRDefault="00FD7991" w:rsidP="00FD7991">
      <w:pPr>
        <w:spacing w:line="360" w:lineRule="auto"/>
        <w:contextualSpacing/>
        <w:jc w:val="both"/>
        <w:rPr>
          <w:rFonts w:ascii="Palatino Linotype" w:hAnsi="Palatino Linotype" w:cs="Tahoma"/>
          <w:sz w:val="22"/>
          <w:szCs w:val="22"/>
          <w:lang w:val="es-ES"/>
        </w:rPr>
      </w:pPr>
    </w:p>
    <w:p w14:paraId="72C62E5C" w14:textId="77777777" w:rsidR="00FD7991" w:rsidRPr="00B71E3E" w:rsidRDefault="0026369A" w:rsidP="00FD7991">
      <w:pPr>
        <w:spacing w:line="360" w:lineRule="auto"/>
        <w:contextualSpacing/>
        <w:jc w:val="both"/>
        <w:rPr>
          <w:rFonts w:ascii="Palatino Linotype" w:hAnsi="Palatino Linotype" w:cs="Tahoma"/>
          <w:sz w:val="22"/>
          <w:szCs w:val="22"/>
          <w:lang w:val="es-ES"/>
        </w:rPr>
      </w:pPr>
      <w:r w:rsidRPr="00B71E3E">
        <w:rPr>
          <w:rFonts w:ascii="Palatino Linotype" w:hAnsi="Palatino Linotype" w:cs="Tahoma"/>
          <w:sz w:val="22"/>
          <w:szCs w:val="22"/>
          <w:lang w:val="es-ES"/>
        </w:rPr>
        <w:t>Asimismo, se actualiza la causal</w:t>
      </w:r>
      <w:r w:rsidR="00FD7991" w:rsidRPr="00B71E3E">
        <w:rPr>
          <w:rFonts w:ascii="Palatino Linotype" w:hAnsi="Palatino Linotype" w:cs="Tahoma"/>
          <w:sz w:val="22"/>
          <w:szCs w:val="22"/>
          <w:lang w:val="es-ES"/>
        </w:rPr>
        <w:t xml:space="preserve"> de procedencia del Recurso de Revisi</w:t>
      </w:r>
      <w:r w:rsidRPr="00B71E3E">
        <w:rPr>
          <w:rFonts w:ascii="Palatino Linotype" w:hAnsi="Palatino Linotype" w:cs="Tahoma"/>
          <w:sz w:val="22"/>
          <w:szCs w:val="22"/>
          <w:lang w:val="es-ES"/>
        </w:rPr>
        <w:t>ón establecida en el artículo 179, fracción V</w:t>
      </w:r>
      <w:r w:rsidR="00FD7991" w:rsidRPr="00B71E3E">
        <w:rPr>
          <w:rFonts w:ascii="Palatino Linotype" w:hAnsi="Palatino Linotype" w:cs="Tahoma"/>
          <w:sz w:val="22"/>
          <w:szCs w:val="22"/>
          <w:lang w:val="es-ES"/>
        </w:rPr>
        <w:t xml:space="preserve">, de la Ley de Transparencia y Acceso a la Información Pública del Estado de México y Municipios, referente a la entrega de información </w:t>
      </w:r>
      <w:r w:rsidRPr="00B71E3E">
        <w:rPr>
          <w:rFonts w:ascii="Palatino Linotype" w:hAnsi="Palatino Linotype" w:cs="Tahoma"/>
          <w:sz w:val="22"/>
          <w:szCs w:val="22"/>
          <w:lang w:val="es-ES"/>
        </w:rPr>
        <w:t>incompleta</w:t>
      </w:r>
      <w:r w:rsidR="00FD7991" w:rsidRPr="00B71E3E">
        <w:rPr>
          <w:rFonts w:ascii="Palatino Linotype" w:hAnsi="Palatino Linotype" w:cs="Tahoma"/>
          <w:sz w:val="22"/>
          <w:szCs w:val="22"/>
          <w:lang w:val="es-ES"/>
        </w:rPr>
        <w:t>.</w:t>
      </w:r>
    </w:p>
    <w:p w14:paraId="37ED83D2" w14:textId="77777777" w:rsidR="00FD7991" w:rsidRPr="00B71E3E" w:rsidRDefault="00FD7991" w:rsidP="00FD7991">
      <w:pPr>
        <w:spacing w:line="360" w:lineRule="auto"/>
        <w:contextualSpacing/>
        <w:jc w:val="both"/>
        <w:rPr>
          <w:rFonts w:ascii="Palatino Linotype" w:hAnsi="Palatino Linotype" w:cs="Tahoma"/>
          <w:sz w:val="22"/>
          <w:szCs w:val="22"/>
          <w:lang w:val="es-ES"/>
        </w:rPr>
      </w:pPr>
    </w:p>
    <w:p w14:paraId="2DE6E7A2" w14:textId="55E8566F" w:rsidR="00FD7991" w:rsidRPr="00B71E3E" w:rsidRDefault="00FD7991" w:rsidP="00FD7991">
      <w:pPr>
        <w:spacing w:line="360" w:lineRule="auto"/>
        <w:contextualSpacing/>
        <w:jc w:val="both"/>
        <w:rPr>
          <w:rFonts w:ascii="Palatino Linotype" w:hAnsi="Palatino Linotype" w:cs="Tahoma"/>
          <w:sz w:val="22"/>
          <w:szCs w:val="22"/>
        </w:rPr>
      </w:pPr>
      <w:r w:rsidRPr="00B71E3E">
        <w:rPr>
          <w:rFonts w:ascii="Palatino Linotype" w:hAnsi="Palatino Linotype" w:cs="Tahoma"/>
          <w:b/>
          <w:bCs/>
          <w:sz w:val="22"/>
          <w:szCs w:val="22"/>
        </w:rPr>
        <w:t>Causales de sobreseimiento</w:t>
      </w:r>
    </w:p>
    <w:p w14:paraId="0E50EB40" w14:textId="77777777" w:rsidR="00FD7991" w:rsidRPr="00B71E3E" w:rsidRDefault="00FD7991" w:rsidP="00FD7991">
      <w:pPr>
        <w:spacing w:line="360" w:lineRule="auto"/>
        <w:contextualSpacing/>
        <w:jc w:val="both"/>
        <w:rPr>
          <w:rFonts w:ascii="Palatino Linotype" w:hAnsi="Palatino Linotype" w:cs="Tahoma"/>
          <w:sz w:val="22"/>
          <w:szCs w:val="22"/>
        </w:rPr>
      </w:pPr>
    </w:p>
    <w:p w14:paraId="515DAEF8" w14:textId="77777777" w:rsidR="00FD7991" w:rsidRPr="00B71E3E" w:rsidRDefault="00FD7991" w:rsidP="00FD7991">
      <w:pPr>
        <w:spacing w:line="360" w:lineRule="auto"/>
        <w:contextualSpacing/>
        <w:jc w:val="both"/>
        <w:rPr>
          <w:rFonts w:ascii="Palatino Linotype" w:hAnsi="Palatino Linotype" w:cs="Tahoma"/>
          <w:sz w:val="22"/>
          <w:szCs w:val="22"/>
        </w:rPr>
      </w:pPr>
      <w:r w:rsidRPr="00B71E3E">
        <w:rPr>
          <w:rFonts w:ascii="Palatino Linotype" w:hAnsi="Palatino Linotype" w:cs="Tahoma"/>
          <w:sz w:val="22"/>
          <w:szCs w:val="22"/>
        </w:rPr>
        <w:t>Por ser de previo y especial pronunciamiento, este Instituto analiza si se actualiza alguna causal de sobreseimiento.</w:t>
      </w:r>
    </w:p>
    <w:p w14:paraId="120E4D31" w14:textId="77777777" w:rsidR="00FD7991" w:rsidRPr="00B71E3E" w:rsidRDefault="00FD7991" w:rsidP="00FD7991">
      <w:pPr>
        <w:spacing w:line="360" w:lineRule="auto"/>
        <w:contextualSpacing/>
        <w:jc w:val="both"/>
        <w:rPr>
          <w:rFonts w:ascii="Palatino Linotype" w:hAnsi="Palatino Linotype" w:cs="Tahoma"/>
          <w:sz w:val="22"/>
          <w:szCs w:val="22"/>
        </w:rPr>
      </w:pPr>
    </w:p>
    <w:p w14:paraId="49B41642" w14:textId="77777777" w:rsidR="00FD7991" w:rsidRPr="00B71E3E" w:rsidRDefault="00FD7991" w:rsidP="00FD7991">
      <w:pPr>
        <w:spacing w:line="360" w:lineRule="auto"/>
        <w:contextualSpacing/>
        <w:jc w:val="both"/>
        <w:rPr>
          <w:rFonts w:ascii="Palatino Linotype" w:hAnsi="Palatino Linotype" w:cs="Tahoma"/>
          <w:sz w:val="22"/>
          <w:szCs w:val="22"/>
        </w:rPr>
      </w:pPr>
      <w:r w:rsidRPr="00B71E3E">
        <w:rPr>
          <w:rFonts w:ascii="Palatino Linotype" w:hAnsi="Palatino Linotype" w:cs="Tahoma"/>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1CC6CA6E" w14:textId="77777777" w:rsidR="00FD7991" w:rsidRPr="00B71E3E" w:rsidRDefault="00FD7991" w:rsidP="00FD7991">
      <w:pPr>
        <w:spacing w:line="360" w:lineRule="auto"/>
        <w:contextualSpacing/>
        <w:jc w:val="both"/>
        <w:rPr>
          <w:rFonts w:ascii="Palatino Linotype" w:hAnsi="Palatino Linotype" w:cs="Tahoma"/>
          <w:sz w:val="22"/>
          <w:szCs w:val="22"/>
        </w:rPr>
      </w:pPr>
    </w:p>
    <w:p w14:paraId="11509962" w14:textId="77777777" w:rsidR="00FD7991" w:rsidRPr="00B71E3E" w:rsidRDefault="00FD7991" w:rsidP="00FD7991">
      <w:pPr>
        <w:tabs>
          <w:tab w:val="left" w:pos="4962"/>
        </w:tabs>
        <w:spacing w:line="360" w:lineRule="auto"/>
        <w:contextualSpacing/>
        <w:jc w:val="both"/>
        <w:rPr>
          <w:rFonts w:ascii="Palatino Linotype" w:hAnsi="Palatino Linotype" w:cs="Tahoma"/>
          <w:sz w:val="22"/>
          <w:szCs w:val="22"/>
          <w:lang w:val="es-ES"/>
        </w:rPr>
      </w:pPr>
      <w:r w:rsidRPr="00B71E3E">
        <w:rPr>
          <w:rFonts w:ascii="Palatino Linotype" w:hAnsi="Palatino Linotype" w:cs="Tahoma"/>
          <w:bCs/>
          <w:sz w:val="22"/>
          <w:szCs w:val="22"/>
          <w:lang w:val="es-ES"/>
        </w:rPr>
        <w:t xml:space="preserve">Por tales motivos, </w:t>
      </w:r>
      <w:r w:rsidRPr="00B71E3E">
        <w:rPr>
          <w:rFonts w:ascii="Palatino Linotype" w:hAnsi="Palatino Linotype" w:cs="Tahoma"/>
          <w:sz w:val="22"/>
          <w:szCs w:val="22"/>
          <w:lang w:val="es-ES"/>
        </w:rPr>
        <w:t xml:space="preserve">se considera procedente entrar al fondo del presente asunto. </w:t>
      </w:r>
    </w:p>
    <w:p w14:paraId="5C18F9A6" w14:textId="77777777" w:rsidR="00FD7991" w:rsidRPr="00B71E3E" w:rsidRDefault="00FD7991" w:rsidP="00FD7991">
      <w:pPr>
        <w:tabs>
          <w:tab w:val="left" w:pos="4962"/>
        </w:tabs>
        <w:spacing w:line="360" w:lineRule="auto"/>
        <w:contextualSpacing/>
        <w:rPr>
          <w:rFonts w:ascii="Palatino Linotype" w:eastAsia="Calibri" w:hAnsi="Palatino Linotype" w:cs="Tahoma"/>
          <w:b/>
          <w:iCs/>
          <w:sz w:val="22"/>
          <w:szCs w:val="22"/>
          <w:lang w:val="es-ES" w:eastAsia="es-ES_tradnl"/>
        </w:rPr>
      </w:pPr>
    </w:p>
    <w:p w14:paraId="452E4639" w14:textId="4D48B37E" w:rsidR="00FD7991" w:rsidRPr="00B71E3E" w:rsidRDefault="00FD7991" w:rsidP="00FD7991">
      <w:pPr>
        <w:tabs>
          <w:tab w:val="left" w:pos="4962"/>
        </w:tabs>
        <w:spacing w:line="360" w:lineRule="auto"/>
        <w:contextualSpacing/>
        <w:jc w:val="both"/>
        <w:rPr>
          <w:rFonts w:ascii="Palatino Linotype" w:eastAsia="Calibri" w:hAnsi="Palatino Linotype" w:cs="Tahoma"/>
          <w:b/>
          <w:iCs/>
          <w:sz w:val="22"/>
          <w:szCs w:val="22"/>
          <w:lang w:val="es-ES" w:eastAsia="es-ES_tradnl"/>
        </w:rPr>
      </w:pPr>
      <w:r w:rsidRPr="00B71E3E">
        <w:rPr>
          <w:rFonts w:ascii="Palatino Linotype" w:eastAsia="Calibri" w:hAnsi="Palatino Linotype" w:cs="Tahoma"/>
          <w:b/>
          <w:iCs/>
          <w:sz w:val="22"/>
          <w:szCs w:val="22"/>
          <w:lang w:val="es-ES" w:eastAsia="es-ES_tradnl"/>
        </w:rPr>
        <w:t>TERCERO. Determinación de la Controversia</w:t>
      </w:r>
    </w:p>
    <w:p w14:paraId="52384840" w14:textId="77777777" w:rsidR="00FD7991" w:rsidRPr="00B71E3E" w:rsidRDefault="00FD7991" w:rsidP="00FD7991">
      <w:pPr>
        <w:tabs>
          <w:tab w:val="left" w:pos="4962"/>
        </w:tabs>
        <w:spacing w:line="360" w:lineRule="auto"/>
        <w:contextualSpacing/>
        <w:jc w:val="both"/>
        <w:rPr>
          <w:rFonts w:ascii="Palatino Linotype" w:eastAsia="Calibri" w:hAnsi="Palatino Linotype" w:cs="Tahoma"/>
          <w:iCs/>
          <w:sz w:val="22"/>
          <w:szCs w:val="22"/>
          <w:lang w:val="es-ES" w:eastAsia="es-ES_tradnl"/>
        </w:rPr>
      </w:pPr>
    </w:p>
    <w:p w14:paraId="54388DC6" w14:textId="77777777" w:rsidR="00FD7991" w:rsidRPr="00B71E3E" w:rsidRDefault="00FD7991" w:rsidP="00FD7991">
      <w:pPr>
        <w:widowControl w:val="0"/>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B71E3E">
        <w:rPr>
          <w:rFonts w:ascii="Palatino Linotype" w:eastAsia="Calibri" w:hAnsi="Palatino Linotype" w:cs="Tahoma"/>
          <w:color w:val="000000"/>
          <w:sz w:val="22"/>
          <w:szCs w:val="22"/>
          <w:lang w:val="es-ES" w:eastAsia="es-MX"/>
        </w:rPr>
        <w:t xml:space="preserve">Con el objeto de ilustrar la controversia planteada, resulta conveniente realizar un cuadro, con la solicitud de información, la respuesta y el agravio en los términos siguientes: </w:t>
      </w:r>
    </w:p>
    <w:p w14:paraId="18A3CC8F" w14:textId="77777777" w:rsidR="00FD7991" w:rsidRPr="00B71E3E" w:rsidRDefault="00FD7991" w:rsidP="00FD7991">
      <w:pPr>
        <w:tabs>
          <w:tab w:val="left" w:pos="4962"/>
        </w:tabs>
        <w:spacing w:line="360" w:lineRule="auto"/>
        <w:contextualSpacing/>
        <w:jc w:val="both"/>
        <w:rPr>
          <w:rFonts w:ascii="Palatino Linotype" w:hAnsi="Palatino Linotype"/>
          <w:color w:val="000000"/>
          <w:sz w:val="22"/>
          <w:szCs w:val="22"/>
        </w:rPr>
      </w:pPr>
    </w:p>
    <w:tbl>
      <w:tblPr>
        <w:tblStyle w:val="Tablaconcuadrcula"/>
        <w:tblW w:w="0" w:type="auto"/>
        <w:tblLook w:val="04A0" w:firstRow="1" w:lastRow="0" w:firstColumn="1" w:lastColumn="0" w:noHBand="0" w:noVBand="1"/>
      </w:tblPr>
      <w:tblGrid>
        <w:gridCol w:w="2349"/>
        <w:gridCol w:w="2304"/>
        <w:gridCol w:w="2325"/>
        <w:gridCol w:w="1850"/>
      </w:tblGrid>
      <w:tr w:rsidR="0026369A" w:rsidRPr="00B71E3E" w14:paraId="25726B2C" w14:textId="77777777" w:rsidTr="0026369A">
        <w:tc>
          <w:tcPr>
            <w:tcW w:w="2349" w:type="dxa"/>
            <w:shd w:val="clear" w:color="auto" w:fill="D9D9D9" w:themeFill="background1" w:themeFillShade="D9"/>
          </w:tcPr>
          <w:p w14:paraId="5EEB4571" w14:textId="77777777" w:rsidR="0026369A" w:rsidRPr="00B71E3E" w:rsidRDefault="0026369A" w:rsidP="00FD7991">
            <w:pPr>
              <w:tabs>
                <w:tab w:val="left" w:pos="4962"/>
              </w:tabs>
              <w:spacing w:line="360" w:lineRule="auto"/>
              <w:contextualSpacing/>
              <w:jc w:val="center"/>
              <w:rPr>
                <w:rFonts w:ascii="Palatino Linotype" w:hAnsi="Palatino Linotype"/>
                <w:b/>
                <w:bCs/>
                <w:i/>
                <w:color w:val="000000"/>
                <w:sz w:val="18"/>
                <w:szCs w:val="18"/>
              </w:rPr>
            </w:pPr>
            <w:r w:rsidRPr="00B71E3E">
              <w:rPr>
                <w:rFonts w:ascii="Palatino Linotype" w:hAnsi="Palatino Linotype"/>
                <w:b/>
                <w:bCs/>
                <w:i/>
                <w:color w:val="000000"/>
                <w:sz w:val="18"/>
                <w:szCs w:val="18"/>
              </w:rPr>
              <w:lastRenderedPageBreak/>
              <w:t>Solicitud</w:t>
            </w:r>
          </w:p>
        </w:tc>
        <w:tc>
          <w:tcPr>
            <w:tcW w:w="2304" w:type="dxa"/>
            <w:shd w:val="clear" w:color="auto" w:fill="D9D9D9" w:themeFill="background1" w:themeFillShade="D9"/>
          </w:tcPr>
          <w:p w14:paraId="02D3E270" w14:textId="77777777" w:rsidR="0026369A" w:rsidRPr="00B71E3E" w:rsidRDefault="0026369A" w:rsidP="00FD7991">
            <w:pPr>
              <w:tabs>
                <w:tab w:val="left" w:pos="4962"/>
              </w:tabs>
              <w:spacing w:line="360" w:lineRule="auto"/>
              <w:contextualSpacing/>
              <w:jc w:val="center"/>
              <w:rPr>
                <w:rFonts w:ascii="Palatino Linotype" w:hAnsi="Palatino Linotype"/>
                <w:b/>
                <w:bCs/>
                <w:i/>
                <w:color w:val="000000"/>
                <w:sz w:val="18"/>
                <w:szCs w:val="18"/>
              </w:rPr>
            </w:pPr>
            <w:r w:rsidRPr="00B71E3E">
              <w:rPr>
                <w:rFonts w:ascii="Palatino Linotype" w:hAnsi="Palatino Linotype"/>
                <w:b/>
                <w:bCs/>
                <w:i/>
                <w:color w:val="000000"/>
                <w:sz w:val="18"/>
                <w:szCs w:val="18"/>
              </w:rPr>
              <w:t>Respuesta</w:t>
            </w:r>
          </w:p>
        </w:tc>
        <w:tc>
          <w:tcPr>
            <w:tcW w:w="2325" w:type="dxa"/>
            <w:shd w:val="clear" w:color="auto" w:fill="D9D9D9" w:themeFill="background1" w:themeFillShade="D9"/>
          </w:tcPr>
          <w:p w14:paraId="15A282C2" w14:textId="77777777" w:rsidR="0026369A" w:rsidRPr="00B71E3E" w:rsidRDefault="0026369A" w:rsidP="00FD7991">
            <w:pPr>
              <w:tabs>
                <w:tab w:val="left" w:pos="4962"/>
              </w:tabs>
              <w:spacing w:line="360" w:lineRule="auto"/>
              <w:contextualSpacing/>
              <w:jc w:val="center"/>
              <w:rPr>
                <w:rFonts w:ascii="Palatino Linotype" w:hAnsi="Palatino Linotype"/>
                <w:b/>
                <w:bCs/>
                <w:i/>
                <w:color w:val="000000"/>
                <w:sz w:val="18"/>
                <w:szCs w:val="18"/>
              </w:rPr>
            </w:pPr>
            <w:r w:rsidRPr="00B71E3E">
              <w:rPr>
                <w:rFonts w:ascii="Palatino Linotype" w:hAnsi="Palatino Linotype"/>
                <w:b/>
                <w:bCs/>
                <w:i/>
                <w:color w:val="000000"/>
                <w:sz w:val="18"/>
                <w:szCs w:val="18"/>
              </w:rPr>
              <w:t xml:space="preserve">Agravio </w:t>
            </w:r>
          </w:p>
        </w:tc>
        <w:tc>
          <w:tcPr>
            <w:tcW w:w="1850" w:type="dxa"/>
            <w:shd w:val="clear" w:color="auto" w:fill="D9D9D9" w:themeFill="background1" w:themeFillShade="D9"/>
          </w:tcPr>
          <w:p w14:paraId="167F1C6E" w14:textId="77777777" w:rsidR="0026369A" w:rsidRPr="00B71E3E" w:rsidRDefault="00D33B29" w:rsidP="00FD7991">
            <w:pPr>
              <w:tabs>
                <w:tab w:val="left" w:pos="4962"/>
              </w:tabs>
              <w:spacing w:line="360" w:lineRule="auto"/>
              <w:contextualSpacing/>
              <w:jc w:val="center"/>
              <w:rPr>
                <w:rFonts w:ascii="Palatino Linotype" w:hAnsi="Palatino Linotype"/>
                <w:b/>
                <w:bCs/>
                <w:i/>
                <w:color w:val="000000"/>
                <w:sz w:val="18"/>
                <w:szCs w:val="18"/>
              </w:rPr>
            </w:pPr>
            <w:r w:rsidRPr="00B71E3E">
              <w:rPr>
                <w:rFonts w:ascii="Palatino Linotype" w:hAnsi="Palatino Linotype"/>
                <w:b/>
                <w:bCs/>
                <w:i/>
                <w:color w:val="000000"/>
                <w:sz w:val="18"/>
                <w:szCs w:val="18"/>
              </w:rPr>
              <w:t xml:space="preserve">Informe </w:t>
            </w:r>
          </w:p>
        </w:tc>
      </w:tr>
      <w:tr w:rsidR="0026369A" w:rsidRPr="00B71E3E" w14:paraId="7D63BE0B" w14:textId="77777777" w:rsidTr="0026369A">
        <w:tc>
          <w:tcPr>
            <w:tcW w:w="2349" w:type="dxa"/>
          </w:tcPr>
          <w:p w14:paraId="31864E34" w14:textId="77777777" w:rsidR="0026369A" w:rsidRPr="009B5ACB" w:rsidRDefault="0026369A" w:rsidP="00D33B29">
            <w:pPr>
              <w:tabs>
                <w:tab w:val="left" w:pos="4962"/>
              </w:tabs>
              <w:spacing w:line="360" w:lineRule="auto"/>
              <w:contextualSpacing/>
              <w:jc w:val="both"/>
              <w:rPr>
                <w:rFonts w:ascii="Palatino Linotype" w:hAnsi="Palatino Linotype"/>
                <w:bCs/>
                <w:color w:val="000000"/>
                <w:sz w:val="18"/>
                <w:szCs w:val="18"/>
              </w:rPr>
            </w:pPr>
            <w:r w:rsidRPr="009B5ACB">
              <w:rPr>
                <w:rFonts w:ascii="Palatino Linotype" w:hAnsi="Palatino Linotype"/>
                <w:bCs/>
                <w:color w:val="000000"/>
                <w:sz w:val="18"/>
                <w:szCs w:val="18"/>
              </w:rPr>
              <w:t xml:space="preserve">1. Todos los oficios firmados por la </w:t>
            </w:r>
            <w:r w:rsidR="00D33B29" w:rsidRPr="009B5ACB">
              <w:rPr>
                <w:rFonts w:ascii="Palatino Linotype" w:hAnsi="Palatino Linotype"/>
                <w:bCs/>
                <w:color w:val="000000"/>
                <w:sz w:val="18"/>
                <w:szCs w:val="18"/>
              </w:rPr>
              <w:t>Segunda</w:t>
            </w:r>
            <w:r w:rsidRPr="009B5ACB">
              <w:rPr>
                <w:rFonts w:ascii="Palatino Linotype" w:hAnsi="Palatino Linotype"/>
                <w:bCs/>
                <w:color w:val="000000"/>
                <w:sz w:val="18"/>
                <w:szCs w:val="18"/>
              </w:rPr>
              <w:t xml:space="preserve"> Síndico Municipal, del primero al treinta y uno de marzo de dos mil veintitrés.</w:t>
            </w:r>
          </w:p>
        </w:tc>
        <w:tc>
          <w:tcPr>
            <w:tcW w:w="2304" w:type="dxa"/>
          </w:tcPr>
          <w:p w14:paraId="0872E4DB" w14:textId="74B8F835" w:rsidR="0026369A" w:rsidRPr="009B5ACB" w:rsidRDefault="0026369A" w:rsidP="00D33B29">
            <w:pPr>
              <w:tabs>
                <w:tab w:val="left" w:pos="4962"/>
              </w:tabs>
              <w:spacing w:line="360" w:lineRule="auto"/>
              <w:contextualSpacing/>
              <w:jc w:val="both"/>
              <w:rPr>
                <w:rFonts w:ascii="Palatino Linotype" w:hAnsi="Palatino Linotype"/>
                <w:bCs/>
                <w:color w:val="000000"/>
                <w:sz w:val="18"/>
                <w:szCs w:val="18"/>
              </w:rPr>
            </w:pPr>
            <w:r w:rsidRPr="009B5ACB">
              <w:rPr>
                <w:rFonts w:ascii="Palatino Linotype" w:hAnsi="Palatino Linotype"/>
                <w:bCs/>
                <w:color w:val="000000"/>
                <w:sz w:val="18"/>
                <w:szCs w:val="18"/>
              </w:rPr>
              <w:t>La</w:t>
            </w:r>
            <w:r w:rsidR="00D33B29" w:rsidRPr="009B5ACB">
              <w:rPr>
                <w:rFonts w:ascii="Palatino Linotype" w:hAnsi="Palatino Linotype"/>
                <w:bCs/>
                <w:color w:val="000000"/>
                <w:sz w:val="18"/>
                <w:szCs w:val="18"/>
              </w:rPr>
              <w:t xml:space="preserve"> Segunda Sindicatura entregó </w:t>
            </w:r>
            <w:r w:rsidR="00D33B29" w:rsidRPr="005942A4">
              <w:rPr>
                <w:rFonts w:ascii="Palatino Linotype" w:hAnsi="Palatino Linotype" w:cs="Tahoma"/>
                <w:bCs/>
                <w:sz w:val="18"/>
                <w:szCs w:val="18"/>
              </w:rPr>
              <w:t xml:space="preserve">treinta y </w:t>
            </w:r>
            <w:r w:rsidR="003C0873" w:rsidRPr="005942A4">
              <w:rPr>
                <w:rFonts w:ascii="Palatino Linotype" w:hAnsi="Palatino Linotype" w:cs="Tahoma"/>
                <w:bCs/>
                <w:sz w:val="18"/>
                <w:szCs w:val="18"/>
              </w:rPr>
              <w:t>cinco</w:t>
            </w:r>
            <w:r w:rsidR="003C0873">
              <w:rPr>
                <w:rFonts w:ascii="Palatino Linotype" w:hAnsi="Palatino Linotype" w:cs="Tahoma"/>
                <w:bCs/>
                <w:sz w:val="18"/>
                <w:szCs w:val="18"/>
              </w:rPr>
              <w:t xml:space="preserve"> </w:t>
            </w:r>
            <w:r w:rsidR="00D33B29" w:rsidRPr="009B5ACB">
              <w:rPr>
                <w:rFonts w:ascii="Palatino Linotype" w:hAnsi="Palatino Linotype" w:cs="Tahoma"/>
                <w:bCs/>
                <w:sz w:val="18"/>
                <w:szCs w:val="18"/>
              </w:rPr>
              <w:t>oficios firmados por la Segunda Síndico, del mes de marzo de dos mil veintitrés.</w:t>
            </w:r>
          </w:p>
        </w:tc>
        <w:tc>
          <w:tcPr>
            <w:tcW w:w="2325" w:type="dxa"/>
          </w:tcPr>
          <w:p w14:paraId="3AC24F5F" w14:textId="77777777" w:rsidR="0026369A" w:rsidRPr="009B5ACB" w:rsidRDefault="0026369A" w:rsidP="00D33B29">
            <w:pPr>
              <w:tabs>
                <w:tab w:val="left" w:pos="4962"/>
              </w:tabs>
              <w:spacing w:line="360" w:lineRule="auto"/>
              <w:contextualSpacing/>
              <w:jc w:val="both"/>
              <w:rPr>
                <w:rFonts w:ascii="Palatino Linotype" w:hAnsi="Palatino Linotype"/>
                <w:bCs/>
                <w:color w:val="000000"/>
                <w:sz w:val="18"/>
                <w:szCs w:val="18"/>
              </w:rPr>
            </w:pPr>
            <w:r w:rsidRPr="009B5ACB">
              <w:rPr>
                <w:rFonts w:ascii="Palatino Linotype" w:hAnsi="Palatino Linotype"/>
                <w:bCs/>
                <w:color w:val="000000"/>
                <w:sz w:val="18"/>
                <w:szCs w:val="18"/>
              </w:rPr>
              <w:t xml:space="preserve">Se agravió de la entrega de información </w:t>
            </w:r>
            <w:r w:rsidR="00D33B29" w:rsidRPr="009B5ACB">
              <w:rPr>
                <w:rFonts w:ascii="Palatino Linotype" w:hAnsi="Palatino Linotype"/>
                <w:bCs/>
                <w:color w:val="000000"/>
                <w:sz w:val="18"/>
                <w:szCs w:val="18"/>
              </w:rPr>
              <w:t>incompleta</w:t>
            </w:r>
            <w:r w:rsidRPr="009B5ACB">
              <w:rPr>
                <w:rFonts w:ascii="Palatino Linotype" w:hAnsi="Palatino Linotype"/>
                <w:bCs/>
                <w:color w:val="000000"/>
                <w:sz w:val="18"/>
                <w:szCs w:val="18"/>
              </w:rPr>
              <w:t>, lo cual actualiza la causal de procedencia establecida</w:t>
            </w:r>
            <w:r w:rsidR="00D33B29" w:rsidRPr="009B5ACB">
              <w:rPr>
                <w:rFonts w:ascii="Palatino Linotype" w:hAnsi="Palatino Linotype"/>
                <w:bCs/>
                <w:color w:val="000000"/>
                <w:sz w:val="18"/>
                <w:szCs w:val="18"/>
              </w:rPr>
              <w:t xml:space="preserve"> en el artículo 179, fracción V</w:t>
            </w:r>
            <w:r w:rsidRPr="009B5ACB">
              <w:rPr>
                <w:rFonts w:ascii="Palatino Linotype" w:hAnsi="Palatino Linotype"/>
                <w:bCs/>
                <w:color w:val="000000"/>
                <w:sz w:val="18"/>
                <w:szCs w:val="18"/>
              </w:rPr>
              <w:t>, de la Ley de la Materia.</w:t>
            </w:r>
          </w:p>
        </w:tc>
        <w:tc>
          <w:tcPr>
            <w:tcW w:w="1850" w:type="dxa"/>
          </w:tcPr>
          <w:p w14:paraId="4B6BB0A0" w14:textId="77777777" w:rsidR="0026369A" w:rsidRPr="009B5ACB" w:rsidRDefault="00D33B29" w:rsidP="00FD7991">
            <w:pPr>
              <w:tabs>
                <w:tab w:val="left" w:pos="4962"/>
              </w:tabs>
              <w:spacing w:line="360" w:lineRule="auto"/>
              <w:contextualSpacing/>
              <w:jc w:val="both"/>
              <w:rPr>
                <w:rFonts w:ascii="Palatino Linotype" w:hAnsi="Palatino Linotype"/>
                <w:bCs/>
                <w:color w:val="000000"/>
                <w:sz w:val="18"/>
                <w:szCs w:val="18"/>
              </w:rPr>
            </w:pPr>
            <w:r w:rsidRPr="009B5ACB">
              <w:rPr>
                <w:rFonts w:ascii="Palatino Linotype" w:hAnsi="Palatino Linotype"/>
                <w:bCs/>
                <w:color w:val="000000"/>
                <w:sz w:val="18"/>
                <w:szCs w:val="18"/>
              </w:rPr>
              <w:t>Ratifica.</w:t>
            </w:r>
          </w:p>
        </w:tc>
      </w:tr>
      <w:tr w:rsidR="0026369A" w:rsidRPr="00B71E3E" w14:paraId="398AB907" w14:textId="77777777" w:rsidTr="0026369A">
        <w:tc>
          <w:tcPr>
            <w:tcW w:w="2349" w:type="dxa"/>
          </w:tcPr>
          <w:p w14:paraId="767E969E" w14:textId="77777777" w:rsidR="0026369A" w:rsidRPr="009B5ACB" w:rsidRDefault="0026369A" w:rsidP="00D33B29">
            <w:pPr>
              <w:tabs>
                <w:tab w:val="left" w:pos="4962"/>
              </w:tabs>
              <w:spacing w:line="360" w:lineRule="auto"/>
              <w:contextualSpacing/>
              <w:jc w:val="both"/>
              <w:rPr>
                <w:rFonts w:ascii="Palatino Linotype" w:hAnsi="Palatino Linotype"/>
                <w:bCs/>
                <w:color w:val="000000"/>
                <w:sz w:val="18"/>
                <w:szCs w:val="18"/>
              </w:rPr>
            </w:pPr>
            <w:r w:rsidRPr="009B5ACB">
              <w:rPr>
                <w:rFonts w:ascii="Palatino Linotype" w:hAnsi="Palatino Linotype"/>
                <w:bCs/>
                <w:color w:val="000000"/>
                <w:sz w:val="18"/>
                <w:szCs w:val="18"/>
              </w:rPr>
              <w:t xml:space="preserve">2. </w:t>
            </w:r>
            <w:r w:rsidR="00D33B29" w:rsidRPr="009B5ACB">
              <w:rPr>
                <w:rFonts w:ascii="Palatino Linotype" w:hAnsi="Palatino Linotype"/>
                <w:bCs/>
                <w:color w:val="000000"/>
                <w:sz w:val="18"/>
                <w:szCs w:val="18"/>
              </w:rPr>
              <w:t>Todos los oficios firmados por la Segunda Síndico Municipal, del primero al treinta y uno de mayo de dos mil veintitrés.</w:t>
            </w:r>
          </w:p>
        </w:tc>
        <w:tc>
          <w:tcPr>
            <w:tcW w:w="2304" w:type="dxa"/>
          </w:tcPr>
          <w:p w14:paraId="71651784" w14:textId="19978E3E" w:rsidR="0026369A" w:rsidRPr="009B5ACB" w:rsidRDefault="00D33B29" w:rsidP="00D33B29">
            <w:pPr>
              <w:tabs>
                <w:tab w:val="left" w:pos="4962"/>
              </w:tabs>
              <w:spacing w:line="360" w:lineRule="auto"/>
              <w:contextualSpacing/>
              <w:jc w:val="both"/>
              <w:rPr>
                <w:rFonts w:ascii="Palatino Linotype" w:hAnsi="Palatino Linotype"/>
                <w:bCs/>
                <w:color w:val="000000"/>
                <w:sz w:val="18"/>
                <w:szCs w:val="18"/>
              </w:rPr>
            </w:pPr>
            <w:r w:rsidRPr="009B5ACB">
              <w:rPr>
                <w:rFonts w:ascii="Palatino Linotype" w:hAnsi="Palatino Linotype"/>
                <w:bCs/>
                <w:color w:val="000000"/>
                <w:sz w:val="18"/>
                <w:szCs w:val="18"/>
              </w:rPr>
              <w:t xml:space="preserve">La Segunda Sindicatura entregó </w:t>
            </w:r>
            <w:r w:rsidR="003C0873" w:rsidRPr="005942A4">
              <w:rPr>
                <w:rFonts w:ascii="Palatino Linotype" w:hAnsi="Palatino Linotype" w:cs="Tahoma"/>
                <w:bCs/>
                <w:sz w:val="18"/>
                <w:szCs w:val="18"/>
              </w:rPr>
              <w:t>cincuenta</w:t>
            </w:r>
            <w:r w:rsidRPr="005942A4">
              <w:rPr>
                <w:rFonts w:ascii="Palatino Linotype" w:hAnsi="Palatino Linotype" w:cs="Tahoma"/>
                <w:bCs/>
                <w:sz w:val="18"/>
                <w:szCs w:val="18"/>
              </w:rPr>
              <w:t xml:space="preserve"> y dos oficios</w:t>
            </w:r>
            <w:r w:rsidRPr="009B5ACB">
              <w:rPr>
                <w:rFonts w:ascii="Palatino Linotype" w:hAnsi="Palatino Linotype" w:cs="Tahoma"/>
                <w:bCs/>
                <w:sz w:val="18"/>
                <w:szCs w:val="18"/>
              </w:rPr>
              <w:t xml:space="preserve"> firmados por la Segunda Síndico, del mes de mayo de dos mil veintitrés.</w:t>
            </w:r>
          </w:p>
        </w:tc>
        <w:tc>
          <w:tcPr>
            <w:tcW w:w="2325" w:type="dxa"/>
          </w:tcPr>
          <w:p w14:paraId="4E44275A" w14:textId="77777777" w:rsidR="0026369A" w:rsidRPr="009B5ACB" w:rsidRDefault="00D33B29" w:rsidP="00FD7991">
            <w:pPr>
              <w:tabs>
                <w:tab w:val="left" w:pos="4962"/>
              </w:tabs>
              <w:spacing w:line="360" w:lineRule="auto"/>
              <w:contextualSpacing/>
              <w:jc w:val="both"/>
              <w:rPr>
                <w:rFonts w:ascii="Palatino Linotype" w:hAnsi="Palatino Linotype"/>
                <w:bCs/>
                <w:color w:val="000000"/>
                <w:sz w:val="18"/>
                <w:szCs w:val="18"/>
              </w:rPr>
            </w:pPr>
            <w:r w:rsidRPr="009B5ACB">
              <w:rPr>
                <w:rFonts w:ascii="Palatino Linotype" w:hAnsi="Palatino Linotype"/>
                <w:bCs/>
                <w:color w:val="000000"/>
                <w:sz w:val="18"/>
                <w:szCs w:val="18"/>
              </w:rPr>
              <w:t>Se agravió de la entrega de información incompleta, lo cual actualiza la causal de procedencia establecida en el artículo 179, fracción V, de la Ley de la Materia.</w:t>
            </w:r>
          </w:p>
        </w:tc>
        <w:tc>
          <w:tcPr>
            <w:tcW w:w="1850" w:type="dxa"/>
          </w:tcPr>
          <w:p w14:paraId="27A6800A" w14:textId="77777777" w:rsidR="0026369A" w:rsidRPr="009B5ACB" w:rsidRDefault="00D33B29" w:rsidP="00FD7991">
            <w:pPr>
              <w:tabs>
                <w:tab w:val="left" w:pos="4962"/>
              </w:tabs>
              <w:spacing w:line="360" w:lineRule="auto"/>
              <w:contextualSpacing/>
              <w:jc w:val="both"/>
              <w:rPr>
                <w:rFonts w:ascii="Palatino Linotype" w:hAnsi="Palatino Linotype"/>
                <w:bCs/>
                <w:color w:val="000000"/>
                <w:sz w:val="18"/>
                <w:szCs w:val="18"/>
              </w:rPr>
            </w:pPr>
            <w:r w:rsidRPr="009B5ACB">
              <w:rPr>
                <w:rFonts w:ascii="Palatino Linotype" w:hAnsi="Palatino Linotype"/>
                <w:bCs/>
                <w:color w:val="000000"/>
                <w:sz w:val="18"/>
                <w:szCs w:val="18"/>
              </w:rPr>
              <w:t>No se pronunció.</w:t>
            </w:r>
          </w:p>
        </w:tc>
      </w:tr>
    </w:tbl>
    <w:p w14:paraId="19E920A1" w14:textId="77777777" w:rsidR="00FD7991" w:rsidRPr="00B71E3E" w:rsidRDefault="00FD7991" w:rsidP="00FD7991">
      <w:pPr>
        <w:spacing w:line="360" w:lineRule="auto"/>
        <w:contextualSpacing/>
        <w:jc w:val="both"/>
        <w:rPr>
          <w:rFonts w:ascii="Palatino Linotype" w:hAnsi="Palatino Linotype"/>
          <w:color w:val="000000"/>
          <w:sz w:val="22"/>
          <w:szCs w:val="22"/>
          <w:lang w:eastAsia="es-ES_tradnl"/>
        </w:rPr>
      </w:pPr>
    </w:p>
    <w:p w14:paraId="1F958739" w14:textId="1905E454" w:rsidR="00FD7991" w:rsidRPr="00B71E3E" w:rsidRDefault="00FD7991" w:rsidP="00FD7991">
      <w:pPr>
        <w:spacing w:line="360" w:lineRule="auto"/>
        <w:contextualSpacing/>
        <w:jc w:val="both"/>
        <w:rPr>
          <w:rFonts w:ascii="Palatino Linotype" w:hAnsi="Palatino Linotype"/>
          <w:color w:val="000000"/>
          <w:sz w:val="22"/>
          <w:szCs w:val="22"/>
          <w:lang w:eastAsia="es-ES_tradnl"/>
        </w:rPr>
      </w:pPr>
      <w:r w:rsidRPr="00B71E3E">
        <w:rPr>
          <w:rFonts w:ascii="Palatino Linotype" w:eastAsia="Calibri" w:hAnsi="Palatino Linotype" w:cs="Tahoma"/>
          <w:iCs/>
          <w:sz w:val="22"/>
          <w:szCs w:val="22"/>
          <w:lang w:val="es-ES" w:eastAsia="es-ES_tradnl"/>
        </w:rPr>
        <w:t>Lo anterior, se desprende de las documentales que obran en el expediente de referencia, materia de la presente resolución, consistente</w:t>
      </w:r>
      <w:r w:rsidR="00D33B29" w:rsidRPr="00B71E3E">
        <w:rPr>
          <w:rFonts w:ascii="Palatino Linotype" w:eastAsia="Calibri" w:hAnsi="Palatino Linotype" w:cs="Tahoma"/>
          <w:iCs/>
          <w:sz w:val="22"/>
          <w:szCs w:val="22"/>
          <w:lang w:val="es-ES" w:eastAsia="es-ES_tradnl"/>
        </w:rPr>
        <w:t>s</w:t>
      </w:r>
      <w:r w:rsidRPr="00B71E3E">
        <w:rPr>
          <w:rFonts w:ascii="Palatino Linotype" w:eastAsia="Calibri" w:hAnsi="Palatino Linotype" w:cs="Tahoma"/>
          <w:iCs/>
          <w:sz w:val="22"/>
          <w:szCs w:val="22"/>
          <w:lang w:val="es-ES" w:eastAsia="es-ES_tradnl"/>
        </w:rPr>
        <w:t xml:space="preserve"> en las solicitudes de acceso a la información, las respuestas,</w:t>
      </w:r>
      <w:r w:rsidRPr="00B71E3E">
        <w:rPr>
          <w:rFonts w:ascii="Palatino Linotype" w:eastAsia="Calibri" w:hAnsi="Palatino Linotype" w:cs="Tahoma"/>
          <w:iCs/>
          <w:sz w:val="22"/>
          <w:szCs w:val="22"/>
          <w:lang w:eastAsia="es-ES_tradnl"/>
        </w:rPr>
        <w:t xml:space="preserve"> los escritos </w:t>
      </w:r>
      <w:proofErr w:type="spellStart"/>
      <w:r w:rsidRPr="00B71E3E">
        <w:rPr>
          <w:rFonts w:ascii="Palatino Linotype" w:eastAsia="Calibri" w:hAnsi="Palatino Linotype" w:cs="Tahoma"/>
          <w:iCs/>
          <w:sz w:val="22"/>
          <w:szCs w:val="22"/>
          <w:lang w:eastAsia="es-ES_tradnl"/>
        </w:rPr>
        <w:t>recursales</w:t>
      </w:r>
      <w:proofErr w:type="spellEnd"/>
      <w:r w:rsidRPr="00B71E3E">
        <w:rPr>
          <w:rFonts w:ascii="Palatino Linotype" w:eastAsia="Calibri" w:hAnsi="Palatino Linotype" w:cs="Tahoma"/>
          <w:iCs/>
          <w:sz w:val="22"/>
          <w:szCs w:val="22"/>
          <w:lang w:eastAsia="es-ES_tradnl"/>
        </w:rPr>
        <w:t xml:space="preserve"> y </w:t>
      </w:r>
      <w:r w:rsidR="00D33B29" w:rsidRPr="00B71E3E">
        <w:rPr>
          <w:rFonts w:ascii="Palatino Linotype" w:eastAsia="Calibri" w:hAnsi="Palatino Linotype" w:cs="Tahoma"/>
          <w:iCs/>
          <w:sz w:val="22"/>
          <w:szCs w:val="22"/>
          <w:lang w:eastAsia="es-ES_tradnl"/>
        </w:rPr>
        <w:t>el informe</w:t>
      </w:r>
      <w:r w:rsidRPr="00B71E3E">
        <w:rPr>
          <w:rFonts w:ascii="Palatino Linotype" w:eastAsia="Calibri" w:hAnsi="Palatino Linotype" w:cs="Tahoma"/>
          <w:iCs/>
          <w:sz w:val="22"/>
          <w:szCs w:val="22"/>
          <w:lang w:eastAsia="es-ES_tradnl"/>
        </w:rPr>
        <w:t xml:space="preserve"> justificado; </w:t>
      </w:r>
      <w:r w:rsidRPr="00B71E3E">
        <w:rPr>
          <w:rFonts w:ascii="Palatino Linotype" w:eastAsia="Calibri" w:hAnsi="Palatino Linotype" w:cs="Tahoma"/>
          <w:bCs/>
          <w:sz w:val="22"/>
          <w:szCs w:val="22"/>
        </w:rPr>
        <w:t xml:space="preserve">instrumentales que se toman en cuenta a efecto de resolver el presente medio de impugnación, conforme a lo dispuesto por el artículo 185, fracción IV, de la Ley de Transparencia y Acceso a la Información Pública del Estado de México y Municipios. </w:t>
      </w:r>
      <w:r w:rsidRPr="00B71E3E">
        <w:rPr>
          <w:rFonts w:ascii="Palatino Linotype" w:eastAsiaTheme="minorHAnsi" w:hAnsi="Palatino Linotype" w:cs="Tahoma"/>
          <w:color w:val="000000" w:themeColor="text1"/>
          <w:sz w:val="22"/>
          <w:szCs w:val="22"/>
          <w:lang w:val="es-ES" w:eastAsia="en-US"/>
        </w:rPr>
        <w:t xml:space="preserve">Así las cosas, una vez admitidos y notificados los Recursos de Revisión a las partes, el Sujeto </w:t>
      </w:r>
      <w:r w:rsidR="00D33B29" w:rsidRPr="00B71E3E">
        <w:rPr>
          <w:rFonts w:ascii="Palatino Linotype" w:eastAsiaTheme="minorHAnsi" w:hAnsi="Palatino Linotype" w:cs="Tahoma"/>
          <w:color w:val="000000" w:themeColor="text1"/>
          <w:sz w:val="22"/>
          <w:szCs w:val="22"/>
          <w:lang w:val="es-ES" w:eastAsia="en-US"/>
        </w:rPr>
        <w:t xml:space="preserve">Obligado ratificó su respuesta inicial </w:t>
      </w:r>
      <w:r w:rsidR="00D33B29" w:rsidRPr="00B71E3E">
        <w:rPr>
          <w:rFonts w:ascii="Palatino Linotype" w:hAnsi="Palatino Linotype" w:cs="Tahoma"/>
          <w:sz w:val="22"/>
          <w:szCs w:val="22"/>
        </w:rPr>
        <w:t xml:space="preserve">en el recurso de revisión </w:t>
      </w:r>
      <w:r w:rsidR="00D33B29" w:rsidRPr="00B71E3E">
        <w:rPr>
          <w:rFonts w:ascii="Palatino Linotype" w:eastAsia="Batang" w:hAnsi="Palatino Linotype" w:cs="Tahoma"/>
          <w:bCs/>
          <w:sz w:val="22"/>
          <w:szCs w:val="22"/>
          <w:lang w:val="es-ES_tradnl"/>
        </w:rPr>
        <w:t>01611/INFOEM/IP/RR/2025</w:t>
      </w:r>
      <w:r w:rsidRPr="00B71E3E">
        <w:rPr>
          <w:rFonts w:ascii="Palatino Linotype" w:eastAsiaTheme="minorHAnsi" w:hAnsi="Palatino Linotype" w:cs="Tahoma"/>
          <w:color w:val="000000" w:themeColor="text1"/>
          <w:sz w:val="22"/>
          <w:szCs w:val="22"/>
          <w:lang w:val="es-ES" w:eastAsia="en-US"/>
        </w:rPr>
        <w:t>.</w:t>
      </w:r>
      <w:r w:rsidRPr="00B71E3E">
        <w:rPr>
          <w:rFonts w:ascii="Palatino Linotype" w:hAnsi="Palatino Linotype"/>
          <w:color w:val="000000"/>
          <w:sz w:val="22"/>
          <w:szCs w:val="22"/>
          <w:lang w:eastAsia="es-ES_tradnl"/>
        </w:rPr>
        <w:t xml:space="preserve"> </w:t>
      </w:r>
      <w:r w:rsidRPr="00B71E3E">
        <w:rPr>
          <w:rFonts w:ascii="Palatino Linotype" w:eastAsia="Calibri" w:hAnsi="Palatino Linotype" w:cs="Tahoma"/>
          <w:b/>
          <w:sz w:val="22"/>
          <w:szCs w:val="22"/>
        </w:rPr>
        <w:t>Cabe señalar que el particular fue omiso en realizar manifestación alguna, que conforme a derecho le asistiera.</w:t>
      </w:r>
    </w:p>
    <w:p w14:paraId="46715B2A" w14:textId="77777777" w:rsidR="00FD7991" w:rsidRPr="00B71E3E" w:rsidRDefault="00FD7991" w:rsidP="00FD7991">
      <w:pPr>
        <w:tabs>
          <w:tab w:val="left" w:pos="4962"/>
        </w:tabs>
        <w:spacing w:line="360" w:lineRule="auto"/>
        <w:contextualSpacing/>
        <w:jc w:val="both"/>
        <w:rPr>
          <w:rFonts w:ascii="Palatino Linotype" w:eastAsia="Calibri" w:hAnsi="Palatino Linotype" w:cs="Tahoma"/>
          <w:iCs/>
          <w:sz w:val="22"/>
          <w:szCs w:val="22"/>
          <w:lang w:val="es-ES" w:eastAsia="es-ES_tradnl"/>
        </w:rPr>
      </w:pPr>
    </w:p>
    <w:p w14:paraId="05C342B6" w14:textId="791ADA70" w:rsidR="00FD7991" w:rsidRPr="00B71E3E" w:rsidRDefault="00FD7991" w:rsidP="00FD7991">
      <w:pPr>
        <w:spacing w:line="360" w:lineRule="auto"/>
        <w:contextualSpacing/>
        <w:jc w:val="both"/>
        <w:rPr>
          <w:rFonts w:ascii="Palatino Linotype" w:hAnsi="Palatino Linotype" w:cs="Tahoma"/>
          <w:b/>
          <w:sz w:val="22"/>
          <w:szCs w:val="22"/>
        </w:rPr>
      </w:pPr>
      <w:r w:rsidRPr="00B71E3E">
        <w:rPr>
          <w:rFonts w:ascii="Palatino Linotype" w:hAnsi="Palatino Linotype" w:cs="Tahoma"/>
          <w:b/>
          <w:sz w:val="22"/>
          <w:szCs w:val="22"/>
          <w:lang w:val="es-ES"/>
        </w:rPr>
        <w:t xml:space="preserve">CUARTO. </w:t>
      </w:r>
      <w:r w:rsidRPr="00B71E3E">
        <w:rPr>
          <w:rFonts w:ascii="Palatino Linotype" w:hAnsi="Palatino Linotype" w:cs="Tahoma"/>
          <w:b/>
          <w:sz w:val="22"/>
          <w:szCs w:val="22"/>
        </w:rPr>
        <w:t>Marco normativo aplicable en materia de transparencia y acceso a la información pública</w:t>
      </w:r>
    </w:p>
    <w:p w14:paraId="2EE2FB89" w14:textId="77777777" w:rsidR="00FD7991" w:rsidRPr="00B71E3E" w:rsidRDefault="00FD7991" w:rsidP="00FD7991">
      <w:pPr>
        <w:widowControl w:val="0"/>
        <w:spacing w:line="360" w:lineRule="auto"/>
        <w:contextualSpacing/>
        <w:jc w:val="both"/>
        <w:rPr>
          <w:rFonts w:ascii="Palatino Linotype" w:hAnsi="Palatino Linotype" w:cs="Tahoma"/>
          <w:sz w:val="22"/>
          <w:szCs w:val="22"/>
          <w:lang w:eastAsia="es-MX"/>
        </w:rPr>
      </w:pPr>
    </w:p>
    <w:p w14:paraId="54D8922E" w14:textId="77777777" w:rsidR="00FD7991" w:rsidRPr="00B71E3E" w:rsidRDefault="00FD7991" w:rsidP="00FD7991">
      <w:pPr>
        <w:widowControl w:val="0"/>
        <w:spacing w:line="360" w:lineRule="auto"/>
        <w:contextualSpacing/>
        <w:jc w:val="both"/>
        <w:rPr>
          <w:rFonts w:ascii="Palatino Linotype" w:hAnsi="Palatino Linotype" w:cs="Tahoma"/>
          <w:sz w:val="22"/>
          <w:szCs w:val="22"/>
          <w:lang w:eastAsia="es-MX"/>
        </w:rPr>
      </w:pPr>
      <w:r w:rsidRPr="00B71E3E">
        <w:rPr>
          <w:rFonts w:ascii="Palatino Linotype" w:hAnsi="Palatino Linotype" w:cs="Tahoma"/>
          <w:sz w:val="22"/>
          <w:szCs w:val="22"/>
          <w:lang w:eastAsia="es-MX"/>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53882E7" w14:textId="77777777" w:rsidR="00FD7991" w:rsidRPr="00B71E3E" w:rsidRDefault="00FD7991" w:rsidP="00FD7991">
      <w:pPr>
        <w:widowControl w:val="0"/>
        <w:spacing w:line="360" w:lineRule="auto"/>
        <w:contextualSpacing/>
        <w:jc w:val="both"/>
        <w:rPr>
          <w:rFonts w:ascii="Palatino Linotype" w:hAnsi="Palatino Linotype" w:cs="Tahoma"/>
          <w:sz w:val="22"/>
          <w:szCs w:val="22"/>
          <w:lang w:eastAsia="es-MX"/>
        </w:rPr>
      </w:pPr>
    </w:p>
    <w:p w14:paraId="1402CCCF" w14:textId="77777777" w:rsidR="00FD7991" w:rsidRPr="00B71E3E" w:rsidRDefault="00FD7991" w:rsidP="00FD7991">
      <w:pPr>
        <w:spacing w:line="360" w:lineRule="auto"/>
        <w:contextualSpacing/>
        <w:jc w:val="both"/>
        <w:rPr>
          <w:rFonts w:ascii="Palatino Linotype" w:hAnsi="Palatino Linotype" w:cs="Tahoma"/>
          <w:sz w:val="22"/>
          <w:szCs w:val="22"/>
          <w:lang w:eastAsia="es-MX"/>
        </w:rPr>
      </w:pPr>
      <w:r w:rsidRPr="00B71E3E">
        <w:rPr>
          <w:rFonts w:ascii="Palatino Linotype" w:hAnsi="Palatino Linotype" w:cs="Tahoma"/>
          <w:sz w:val="22"/>
          <w:szCs w:val="22"/>
          <w:lang w:eastAsia="es-MX"/>
        </w:rPr>
        <w:t>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A77E276" w14:textId="77777777" w:rsidR="00FD7991" w:rsidRPr="00B71E3E" w:rsidRDefault="00FD7991" w:rsidP="00FD7991">
      <w:pPr>
        <w:widowControl w:val="0"/>
        <w:spacing w:line="360" w:lineRule="auto"/>
        <w:contextualSpacing/>
        <w:jc w:val="both"/>
        <w:rPr>
          <w:rFonts w:ascii="Palatino Linotype" w:hAnsi="Palatino Linotype" w:cs="Tahoma"/>
          <w:sz w:val="22"/>
          <w:szCs w:val="22"/>
          <w:lang w:eastAsia="es-MX"/>
        </w:rPr>
      </w:pPr>
    </w:p>
    <w:p w14:paraId="7437AAB8" w14:textId="77777777" w:rsidR="00FD7991" w:rsidRPr="00B71E3E" w:rsidRDefault="00FD7991" w:rsidP="00FD7991">
      <w:pPr>
        <w:widowControl w:val="0"/>
        <w:spacing w:line="360" w:lineRule="auto"/>
        <w:contextualSpacing/>
        <w:jc w:val="both"/>
        <w:rPr>
          <w:rFonts w:ascii="Palatino Linotype" w:hAnsi="Palatino Linotype" w:cs="Tahoma"/>
          <w:sz w:val="22"/>
          <w:szCs w:val="22"/>
          <w:lang w:eastAsia="es-MX"/>
        </w:rPr>
      </w:pPr>
      <w:r w:rsidRPr="00B71E3E">
        <w:rPr>
          <w:rFonts w:ascii="Palatino Linotype" w:hAnsi="Palatino Linotype" w:cs="Tahoma"/>
          <w:sz w:val="22"/>
          <w:szCs w:val="22"/>
          <w:lang w:eastAsia="es-MX"/>
        </w:rPr>
        <w:t>Por su parte, la Ley de Transparencia y Acceso a la Información Pública del Estado de México y Municipios (Reglamentaria del artículo 5° de la Constitución Local), establece lo siguiente:</w:t>
      </w:r>
    </w:p>
    <w:p w14:paraId="169D5D97" w14:textId="77777777" w:rsidR="00FD7991" w:rsidRPr="00B71E3E" w:rsidRDefault="00FD7991" w:rsidP="00FD7991">
      <w:pPr>
        <w:widowControl w:val="0"/>
        <w:spacing w:line="360" w:lineRule="auto"/>
        <w:contextualSpacing/>
        <w:jc w:val="both"/>
        <w:rPr>
          <w:rFonts w:ascii="Palatino Linotype" w:hAnsi="Palatino Linotype" w:cs="Tahoma"/>
          <w:sz w:val="22"/>
          <w:szCs w:val="22"/>
          <w:lang w:eastAsia="es-MX"/>
        </w:rPr>
      </w:pPr>
    </w:p>
    <w:p w14:paraId="2E1C305D" w14:textId="77777777" w:rsidR="00FD7991" w:rsidRPr="00B71E3E" w:rsidRDefault="00FD7991" w:rsidP="00FD7991">
      <w:pPr>
        <w:widowControl w:val="0"/>
        <w:spacing w:line="360" w:lineRule="auto"/>
        <w:contextualSpacing/>
        <w:jc w:val="both"/>
        <w:rPr>
          <w:rFonts w:ascii="Palatino Linotype" w:hAnsi="Palatino Linotype" w:cs="Tahoma"/>
          <w:sz w:val="22"/>
          <w:szCs w:val="22"/>
          <w:lang w:eastAsia="es-MX"/>
        </w:rPr>
      </w:pPr>
      <w:r w:rsidRPr="00B71E3E">
        <w:rPr>
          <w:rFonts w:ascii="Palatino Linotype" w:hAnsi="Palatino Linotype" w:cs="Tahoma"/>
          <w:sz w:val="22"/>
          <w:szCs w:val="22"/>
          <w:lang w:eastAsia="es-MX"/>
        </w:rPr>
        <w:t>El artículo 12, que, quienes generen, recopilen, administren, manejen, procesen, archiven o conserven información pública serán responsables de la misma.</w:t>
      </w:r>
    </w:p>
    <w:p w14:paraId="0A7836B5" w14:textId="77777777" w:rsidR="00FD7991" w:rsidRPr="00B71E3E" w:rsidRDefault="00FD7991" w:rsidP="00FD7991">
      <w:pPr>
        <w:widowControl w:val="0"/>
        <w:spacing w:line="360" w:lineRule="auto"/>
        <w:contextualSpacing/>
        <w:jc w:val="both"/>
        <w:rPr>
          <w:rFonts w:ascii="Palatino Linotype" w:hAnsi="Palatino Linotype" w:cs="Tahoma"/>
          <w:sz w:val="22"/>
          <w:szCs w:val="22"/>
          <w:lang w:eastAsia="es-MX"/>
        </w:rPr>
      </w:pPr>
    </w:p>
    <w:p w14:paraId="40D765D7" w14:textId="77777777" w:rsidR="00FD7991" w:rsidRPr="00B71E3E" w:rsidRDefault="00FD7991" w:rsidP="00FD7991">
      <w:pPr>
        <w:widowControl w:val="0"/>
        <w:spacing w:line="360" w:lineRule="auto"/>
        <w:contextualSpacing/>
        <w:jc w:val="both"/>
        <w:rPr>
          <w:rFonts w:ascii="Palatino Linotype" w:hAnsi="Palatino Linotype" w:cs="Tahoma"/>
          <w:sz w:val="22"/>
          <w:szCs w:val="22"/>
          <w:lang w:eastAsia="es-MX"/>
        </w:rPr>
      </w:pPr>
      <w:r w:rsidRPr="00B71E3E">
        <w:rPr>
          <w:rFonts w:ascii="Palatino Linotype" w:hAnsi="Palatino Linotype" w:cs="Tahoma"/>
          <w:sz w:val="22"/>
          <w:szCs w:val="22"/>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226AC9C4" w14:textId="77777777" w:rsidR="00FD7991" w:rsidRPr="00B71E3E" w:rsidRDefault="00FD7991" w:rsidP="00FD7991">
      <w:pPr>
        <w:widowControl w:val="0"/>
        <w:spacing w:line="360" w:lineRule="auto"/>
        <w:contextualSpacing/>
        <w:jc w:val="both"/>
        <w:rPr>
          <w:rFonts w:ascii="Palatino Linotype" w:hAnsi="Palatino Linotype" w:cs="Tahoma"/>
          <w:sz w:val="22"/>
          <w:szCs w:val="22"/>
          <w:lang w:eastAsia="es-MX"/>
        </w:rPr>
      </w:pPr>
    </w:p>
    <w:p w14:paraId="75CB23D0" w14:textId="77777777" w:rsidR="00FD7991" w:rsidRPr="00B71E3E" w:rsidRDefault="00FD7991" w:rsidP="00FD7991">
      <w:pPr>
        <w:widowControl w:val="0"/>
        <w:spacing w:line="360" w:lineRule="auto"/>
        <w:contextualSpacing/>
        <w:jc w:val="both"/>
        <w:rPr>
          <w:rFonts w:ascii="Palatino Linotype" w:hAnsi="Palatino Linotype" w:cs="Tahoma"/>
          <w:sz w:val="22"/>
          <w:szCs w:val="22"/>
          <w:lang w:eastAsia="es-MX"/>
        </w:rPr>
      </w:pPr>
      <w:r w:rsidRPr="00B71E3E">
        <w:rPr>
          <w:rFonts w:ascii="Palatino Linotype" w:hAnsi="Palatino Linotype" w:cs="Tahoma"/>
          <w:sz w:val="22"/>
          <w:szCs w:val="22"/>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D29EAEF" w14:textId="77777777" w:rsidR="00FD7991" w:rsidRPr="00B71E3E" w:rsidRDefault="00FD7991" w:rsidP="00FD7991">
      <w:pPr>
        <w:tabs>
          <w:tab w:val="left" w:pos="4962"/>
        </w:tabs>
        <w:spacing w:line="360" w:lineRule="auto"/>
        <w:contextualSpacing/>
        <w:jc w:val="both"/>
        <w:rPr>
          <w:rFonts w:ascii="Palatino Linotype" w:eastAsia="Calibri" w:hAnsi="Palatino Linotype" w:cs="Tahoma"/>
          <w:iCs/>
          <w:sz w:val="22"/>
          <w:szCs w:val="22"/>
          <w:lang w:val="es-ES" w:eastAsia="es-ES_tradnl"/>
        </w:rPr>
      </w:pPr>
    </w:p>
    <w:p w14:paraId="1C269CC8" w14:textId="77777777" w:rsidR="00FD7991" w:rsidRPr="00B71E3E" w:rsidRDefault="00FD7991" w:rsidP="00FD7991">
      <w:pPr>
        <w:spacing w:line="360" w:lineRule="auto"/>
        <w:contextualSpacing/>
        <w:jc w:val="both"/>
        <w:rPr>
          <w:rFonts w:ascii="Palatino Linotype" w:hAnsi="Palatino Linotype" w:cs="Tahoma"/>
          <w:b/>
          <w:sz w:val="22"/>
          <w:szCs w:val="22"/>
          <w:lang w:val="es-ES"/>
        </w:rPr>
      </w:pPr>
      <w:r w:rsidRPr="00B71E3E">
        <w:rPr>
          <w:rFonts w:ascii="Palatino Linotype" w:hAnsi="Palatino Linotype" w:cs="Tahoma"/>
          <w:b/>
          <w:sz w:val="22"/>
          <w:szCs w:val="22"/>
          <w:lang w:val="es-ES"/>
        </w:rPr>
        <w:lastRenderedPageBreak/>
        <w:t>QUINTO. Estudio de Fondo.</w:t>
      </w:r>
    </w:p>
    <w:p w14:paraId="105962DA" w14:textId="77777777" w:rsidR="00FD7991" w:rsidRPr="00B71E3E" w:rsidRDefault="00FD7991" w:rsidP="00FD7991">
      <w:pPr>
        <w:spacing w:line="360" w:lineRule="auto"/>
        <w:contextualSpacing/>
        <w:jc w:val="both"/>
        <w:rPr>
          <w:rFonts w:ascii="Palatino Linotype" w:hAnsi="Palatino Linotype" w:cs="Tahoma"/>
          <w:b/>
          <w:sz w:val="22"/>
          <w:szCs w:val="22"/>
          <w:lang w:val="es-ES"/>
        </w:rPr>
      </w:pPr>
    </w:p>
    <w:p w14:paraId="5031EF87" w14:textId="2C440EBA" w:rsidR="00FD7991" w:rsidRPr="00B71E3E" w:rsidRDefault="00FD7991" w:rsidP="00FD7991">
      <w:pPr>
        <w:tabs>
          <w:tab w:val="left" w:pos="4962"/>
        </w:tabs>
        <w:spacing w:line="360" w:lineRule="auto"/>
        <w:contextualSpacing/>
        <w:jc w:val="both"/>
        <w:rPr>
          <w:rFonts w:ascii="Palatino Linotype" w:hAnsi="Palatino Linotype" w:cs="Tahoma"/>
          <w:bCs/>
          <w:iCs/>
          <w:sz w:val="22"/>
          <w:szCs w:val="22"/>
        </w:rPr>
      </w:pPr>
      <w:r w:rsidRPr="00B71E3E">
        <w:rPr>
          <w:rFonts w:ascii="Palatino Linotype" w:hAnsi="Palatino Linotype" w:cs="Tahoma"/>
          <w:bCs/>
          <w:iCs/>
          <w:sz w:val="22"/>
          <w:szCs w:val="22"/>
        </w:rPr>
        <w:t>Expuestas las posturas de las partes, se procede a realizar el análisis del agravio hecho valer por la ahora Recurrente, concernie</w:t>
      </w:r>
      <w:r w:rsidR="00D33B29" w:rsidRPr="00B71E3E">
        <w:rPr>
          <w:rFonts w:ascii="Palatino Linotype" w:hAnsi="Palatino Linotype" w:cs="Tahoma"/>
          <w:bCs/>
          <w:iCs/>
          <w:sz w:val="22"/>
          <w:szCs w:val="22"/>
        </w:rPr>
        <w:t>nte a la entrega de información incompleta</w:t>
      </w:r>
      <w:r w:rsidRPr="00B71E3E">
        <w:rPr>
          <w:rFonts w:ascii="Palatino Linotype" w:hAnsi="Palatino Linotype" w:cs="Tahoma"/>
          <w:bCs/>
          <w:iCs/>
          <w:sz w:val="22"/>
          <w:szCs w:val="22"/>
        </w:rPr>
        <w:t>, por lo que, en principio es necesario contextualizar las solicitudes de información</w:t>
      </w:r>
      <w:r w:rsidR="00D371B8" w:rsidRPr="00B71E3E">
        <w:rPr>
          <w:rFonts w:ascii="Palatino Linotype" w:hAnsi="Palatino Linotype" w:cs="Tahoma"/>
          <w:bCs/>
          <w:iCs/>
          <w:sz w:val="22"/>
          <w:szCs w:val="22"/>
        </w:rPr>
        <w:t>, referentes a los oficios generados por la Síndico Municipal de los meses de marzo y mayo de dos mil veintitrés.</w:t>
      </w:r>
    </w:p>
    <w:p w14:paraId="26BEFFF0" w14:textId="77777777" w:rsidR="00FD7991" w:rsidRPr="00B71E3E" w:rsidRDefault="00FD7991" w:rsidP="00FD7991">
      <w:pPr>
        <w:tabs>
          <w:tab w:val="left" w:pos="4962"/>
        </w:tabs>
        <w:spacing w:line="360" w:lineRule="auto"/>
        <w:contextualSpacing/>
        <w:jc w:val="both"/>
        <w:rPr>
          <w:rFonts w:ascii="Palatino Linotype" w:hAnsi="Palatino Linotype" w:cs="Tahoma"/>
          <w:bCs/>
          <w:iCs/>
          <w:sz w:val="22"/>
          <w:szCs w:val="22"/>
        </w:rPr>
      </w:pPr>
    </w:p>
    <w:p w14:paraId="086D5143" w14:textId="61180121" w:rsidR="00FD7991" w:rsidRPr="00B71E3E" w:rsidRDefault="00FD7991" w:rsidP="00FD7991">
      <w:pPr>
        <w:spacing w:line="360" w:lineRule="auto"/>
        <w:contextualSpacing/>
        <w:jc w:val="both"/>
        <w:rPr>
          <w:rFonts w:ascii="Palatino Linotype" w:hAnsi="Palatino Linotype" w:cs="Tahoma"/>
          <w:b/>
          <w:sz w:val="22"/>
          <w:szCs w:val="22"/>
        </w:rPr>
      </w:pPr>
      <w:r w:rsidRPr="00B71E3E">
        <w:rPr>
          <w:rFonts w:ascii="Palatino Linotype" w:eastAsia="Calibri" w:hAnsi="Palatino Linotype" w:cs="Tahoma"/>
          <w:bCs/>
          <w:sz w:val="22"/>
          <w:szCs w:val="22"/>
          <w:lang w:val="es-ES"/>
        </w:rPr>
        <w:t xml:space="preserve">Sobre el tema, cabe precisar que de conformidad con los artículos 6°, apartado A, de la Constitución Política de los Estados Unidos Mexicanos, 5° de la Constitución Política del Estado Libre y Soberano de México, </w:t>
      </w:r>
      <w:r w:rsidRPr="00B71E3E">
        <w:rPr>
          <w:rFonts w:ascii="Palatino Linotype" w:hAnsi="Palatino Linotype" w:cs="Tahoma"/>
          <w:bCs/>
          <w:sz w:val="22"/>
          <w:szCs w:val="22"/>
        </w:rPr>
        <w:t>4° de la Ley General de Transparencia y Acceso a la Información Pública</w:t>
      </w:r>
      <w:r w:rsidR="00F92C42">
        <w:rPr>
          <w:rFonts w:ascii="Palatino Linotype" w:hAnsi="Palatino Linotype" w:cs="Tahoma"/>
          <w:bCs/>
          <w:sz w:val="22"/>
          <w:szCs w:val="22"/>
        </w:rPr>
        <w:t xml:space="preserve"> </w:t>
      </w:r>
      <w:r w:rsidR="00F92C42" w:rsidRPr="005942A4">
        <w:rPr>
          <w:rFonts w:ascii="Palatino Linotype" w:hAnsi="Palatino Linotype" w:cs="Tahoma"/>
          <w:bCs/>
          <w:sz w:val="22"/>
          <w:szCs w:val="22"/>
        </w:rPr>
        <w:t>vigente a la fecha de la solicitud</w:t>
      </w:r>
      <w:r w:rsidRPr="00B71E3E">
        <w:rPr>
          <w:rFonts w:ascii="Palatino Linotype" w:hAnsi="Palatino Linotype" w:cs="Tahoma"/>
          <w:bCs/>
          <w:sz w:val="22"/>
          <w:szCs w:val="22"/>
        </w:rPr>
        <w:t xml:space="preserve"> y 4° de la </w:t>
      </w:r>
      <w:r w:rsidRPr="00B71E3E">
        <w:rPr>
          <w:rFonts w:ascii="Palatino Linotype" w:hAnsi="Palatino Linotype" w:cs="Tahoma"/>
          <w:sz w:val="22"/>
          <w:szCs w:val="22"/>
        </w:rPr>
        <w:t xml:space="preserve">Ley </w:t>
      </w:r>
      <w:r w:rsidRPr="00B71E3E">
        <w:rPr>
          <w:rFonts w:ascii="Palatino Linotype" w:hAnsi="Palatino Linotype" w:cs="Tahoma"/>
          <w:bCs/>
          <w:sz w:val="22"/>
          <w:szCs w:val="22"/>
        </w:rPr>
        <w:t xml:space="preserve">de Transparencia y Acceso a la Información Pública del Estado de México y Municipios, </w:t>
      </w:r>
      <w:r w:rsidRPr="00B71E3E">
        <w:rPr>
          <w:rFonts w:ascii="Palatino Linotype" w:hAnsi="Palatino Linotype" w:cs="Tahoma"/>
          <w:b/>
          <w:sz w:val="22"/>
          <w:szCs w:val="22"/>
        </w:rPr>
        <w:t>toda la información generada, obtenida, adquirida, transformada o en posesión de los sujetos obligados es pública y accesible a cualquier persona.</w:t>
      </w:r>
    </w:p>
    <w:p w14:paraId="64D33E38" w14:textId="77777777" w:rsidR="00FD7991" w:rsidRPr="00B71E3E" w:rsidRDefault="00FD7991" w:rsidP="00FD7991">
      <w:pPr>
        <w:tabs>
          <w:tab w:val="left" w:pos="4962"/>
        </w:tabs>
        <w:spacing w:line="360" w:lineRule="auto"/>
        <w:contextualSpacing/>
        <w:jc w:val="both"/>
        <w:rPr>
          <w:rFonts w:ascii="Palatino Linotype" w:hAnsi="Palatino Linotype" w:cs="Tahoma"/>
          <w:bCs/>
          <w:sz w:val="22"/>
          <w:szCs w:val="22"/>
        </w:rPr>
      </w:pPr>
    </w:p>
    <w:p w14:paraId="1706E41B" w14:textId="77777777" w:rsidR="00FD7991" w:rsidRPr="00B71E3E" w:rsidRDefault="00FD7991" w:rsidP="00FD7991">
      <w:pPr>
        <w:spacing w:line="360" w:lineRule="auto"/>
        <w:contextualSpacing/>
        <w:jc w:val="both"/>
        <w:rPr>
          <w:rFonts w:ascii="Palatino Linotype" w:hAnsi="Palatino Linotype" w:cs="Tahoma"/>
          <w:sz w:val="22"/>
          <w:szCs w:val="22"/>
          <w:lang w:val="es-ES" w:eastAsia="es-MX"/>
        </w:rPr>
      </w:pPr>
      <w:r w:rsidRPr="00B71E3E">
        <w:rPr>
          <w:rStyle w:val="normaltextrun"/>
          <w:rFonts w:ascii="Palatino Linotype" w:hAnsi="Palatino Linotype" w:cs="Segoe UI"/>
          <w:sz w:val="22"/>
          <w:szCs w:val="22"/>
        </w:rPr>
        <w:t xml:space="preserve">En ese contexto, </w:t>
      </w:r>
      <w:r w:rsidRPr="00B71E3E">
        <w:rPr>
          <w:rFonts w:ascii="Palatino Linotype" w:hAnsi="Palatino Linotype" w:cs="Tahoma"/>
          <w:sz w:val="22"/>
          <w:szCs w:val="22"/>
          <w:lang w:val="es-ES" w:eastAsia="es-MX"/>
        </w:rPr>
        <w:t>el artículo 18 de la Ley de Transparencia y Acceso a la Información Pública del Estado de México y Municipios, contempla que los sujetos obligados deberán documentar todo acto que derive del ejercicio de sus facultades, competencias o funciones.</w:t>
      </w:r>
    </w:p>
    <w:p w14:paraId="7E6999A6" w14:textId="77777777" w:rsidR="00FD7991" w:rsidRPr="00B71E3E" w:rsidRDefault="00FD7991" w:rsidP="00FD7991">
      <w:pPr>
        <w:spacing w:line="360" w:lineRule="auto"/>
        <w:contextualSpacing/>
        <w:jc w:val="both"/>
        <w:rPr>
          <w:rFonts w:ascii="Palatino Linotype" w:hAnsi="Palatino Linotype" w:cs="Tahoma"/>
          <w:sz w:val="22"/>
          <w:szCs w:val="22"/>
          <w:lang w:val="es-ES" w:eastAsia="es-MX"/>
        </w:rPr>
      </w:pPr>
    </w:p>
    <w:p w14:paraId="34387E33" w14:textId="77777777" w:rsidR="00FD7991" w:rsidRPr="00B71E3E" w:rsidRDefault="00FD7991" w:rsidP="00FD7991">
      <w:pPr>
        <w:spacing w:line="360" w:lineRule="auto"/>
        <w:contextualSpacing/>
        <w:jc w:val="both"/>
        <w:rPr>
          <w:rFonts w:ascii="Palatino Linotype" w:eastAsia="Calibri" w:hAnsi="Palatino Linotype" w:cs="Arial"/>
          <w:bCs/>
          <w:color w:val="0D0D0D" w:themeColor="text1" w:themeTint="F2"/>
          <w:sz w:val="22"/>
          <w:szCs w:val="22"/>
          <w:lang w:val="es-ES"/>
        </w:rPr>
      </w:pPr>
      <w:r w:rsidRPr="00B71E3E">
        <w:rPr>
          <w:rFonts w:ascii="Palatino Linotype" w:eastAsia="Calibri" w:hAnsi="Palatino Linotype" w:cs="Arial"/>
          <w:bCs/>
          <w:color w:val="0D0D0D" w:themeColor="text1" w:themeTint="F2"/>
          <w:sz w:val="22"/>
          <w:szCs w:val="22"/>
          <w:lang w:val="es-ES"/>
        </w:rPr>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764E3EF8" w14:textId="77777777" w:rsidR="00FD7991" w:rsidRPr="00B71E3E" w:rsidRDefault="00FD7991" w:rsidP="00FD7991">
      <w:pPr>
        <w:spacing w:line="360" w:lineRule="auto"/>
        <w:contextualSpacing/>
        <w:jc w:val="both"/>
        <w:rPr>
          <w:rFonts w:ascii="Palatino Linotype" w:eastAsia="Calibri" w:hAnsi="Palatino Linotype" w:cs="Arial"/>
          <w:bCs/>
          <w:color w:val="0D0D0D" w:themeColor="text1" w:themeTint="F2"/>
          <w:sz w:val="22"/>
          <w:szCs w:val="22"/>
          <w:lang w:val="es-ES"/>
        </w:rPr>
      </w:pPr>
    </w:p>
    <w:p w14:paraId="32D2A522" w14:textId="77777777" w:rsidR="00FD7991" w:rsidRPr="00B71E3E" w:rsidRDefault="00FD7991" w:rsidP="00FD7991">
      <w:pPr>
        <w:spacing w:line="360" w:lineRule="auto"/>
        <w:contextualSpacing/>
        <w:jc w:val="both"/>
        <w:rPr>
          <w:rFonts w:ascii="Palatino Linotype" w:eastAsia="Calibri" w:hAnsi="Palatino Linotype" w:cs="Arial"/>
          <w:bCs/>
          <w:color w:val="0D0D0D" w:themeColor="text1" w:themeTint="F2"/>
          <w:sz w:val="22"/>
          <w:szCs w:val="22"/>
          <w:lang w:val="es-ES"/>
        </w:rPr>
      </w:pPr>
      <w:r w:rsidRPr="00B71E3E">
        <w:rPr>
          <w:rFonts w:ascii="Palatino Linotype" w:eastAsia="Calibri" w:hAnsi="Palatino Linotype" w:cs="Arial"/>
          <w:bCs/>
          <w:color w:val="0D0D0D" w:themeColor="text1" w:themeTint="F2"/>
          <w:sz w:val="22"/>
          <w:szCs w:val="22"/>
          <w:lang w:val="es-ES"/>
        </w:rPr>
        <w:lastRenderedPageBreak/>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5615D8B3" w14:textId="77777777" w:rsidR="00692F91" w:rsidRPr="00B71E3E" w:rsidRDefault="00692F91" w:rsidP="00FD7991">
      <w:pPr>
        <w:spacing w:line="360" w:lineRule="auto"/>
        <w:contextualSpacing/>
        <w:jc w:val="both"/>
        <w:rPr>
          <w:rFonts w:ascii="Palatino Linotype" w:hAnsi="Palatino Linotype"/>
          <w:bCs/>
          <w:sz w:val="22"/>
          <w:szCs w:val="22"/>
        </w:rPr>
      </w:pPr>
    </w:p>
    <w:p w14:paraId="1F273295" w14:textId="77777777" w:rsidR="00FD7991" w:rsidRPr="00B71E3E" w:rsidRDefault="00FD7991" w:rsidP="00FD7991">
      <w:pPr>
        <w:spacing w:line="360" w:lineRule="auto"/>
        <w:contextualSpacing/>
        <w:jc w:val="both"/>
        <w:rPr>
          <w:rFonts w:ascii="Palatino Linotype" w:hAnsi="Palatino Linotype"/>
          <w:bCs/>
          <w:sz w:val="22"/>
          <w:szCs w:val="22"/>
        </w:rPr>
      </w:pPr>
      <w:r w:rsidRPr="00B71E3E">
        <w:rPr>
          <w:rFonts w:ascii="Palatino Linotype" w:hAnsi="Palatino Linotype"/>
          <w:bCs/>
          <w:sz w:val="22"/>
          <w:szCs w:val="22"/>
        </w:rPr>
        <w:t xml:space="preserve">En ese contexto, los diversos 12 y 24 de dicho ordenamiento jurídico, prevén que, </w:t>
      </w:r>
      <w:r w:rsidRPr="00B71E3E">
        <w:rPr>
          <w:rFonts w:ascii="Palatino Linotype" w:hAnsi="Palatino Linotype" w:cs="Tahoma"/>
          <w:sz w:val="22"/>
          <w:szCs w:val="22"/>
        </w:rPr>
        <w:t>es deber de los Sujetos Obligados proporcionar la información pública que se les requiera siempre y cuando obre en sus archivos; lo cual no implica que tengan que procesar, generar, resumir, efectuar cálculos o practicar investigaciones a fin de satisfacer la pretensión de los solicitantes</w:t>
      </w:r>
      <w:r w:rsidRPr="00B71E3E">
        <w:rPr>
          <w:rFonts w:ascii="Palatino Linotype" w:hAnsi="Palatino Linotype"/>
          <w:bCs/>
          <w:sz w:val="22"/>
          <w:szCs w:val="22"/>
        </w:rPr>
        <w:t>.</w:t>
      </w:r>
    </w:p>
    <w:p w14:paraId="3DCC32A7" w14:textId="77777777" w:rsidR="00FD7991" w:rsidRPr="00B71E3E" w:rsidRDefault="00FD7991" w:rsidP="00FD7991">
      <w:pPr>
        <w:spacing w:line="360" w:lineRule="auto"/>
        <w:contextualSpacing/>
        <w:jc w:val="both"/>
        <w:rPr>
          <w:rFonts w:ascii="Palatino Linotype" w:hAnsi="Palatino Linotype"/>
          <w:bCs/>
          <w:sz w:val="22"/>
          <w:szCs w:val="22"/>
        </w:rPr>
      </w:pPr>
    </w:p>
    <w:p w14:paraId="5DC0172B" w14:textId="77777777" w:rsidR="00FD7991" w:rsidRPr="00B71E3E" w:rsidRDefault="00FD7991" w:rsidP="00FD7991">
      <w:pPr>
        <w:spacing w:line="360" w:lineRule="auto"/>
        <w:contextualSpacing/>
        <w:jc w:val="both"/>
        <w:rPr>
          <w:rFonts w:ascii="Palatino Linotype" w:hAnsi="Palatino Linotype"/>
          <w:sz w:val="22"/>
          <w:szCs w:val="22"/>
        </w:rPr>
      </w:pPr>
      <w:r w:rsidRPr="00B71E3E">
        <w:rPr>
          <w:rFonts w:ascii="Palatino Linotype" w:hAnsi="Palatino Linotype"/>
          <w:sz w:val="22"/>
          <w:szCs w:val="22"/>
        </w:rPr>
        <w:t xml:space="preserve">Ahora bien, este Instituto realizó una búsqueda de información, en el Portal de Información Pública de Oficio Mexiquense, en específico, en la fracción VII “El directorio de todos los servidores públicos” </w:t>
      </w:r>
      <w:r w:rsidR="00692F91" w:rsidRPr="00B71E3E">
        <w:rPr>
          <w:rFonts w:ascii="Palatino Linotype" w:hAnsi="Palatino Linotype"/>
          <w:sz w:val="22"/>
          <w:szCs w:val="22"/>
        </w:rPr>
        <w:t>para el ejercicio fiscal dos mil veintitrés</w:t>
      </w:r>
      <w:r w:rsidRPr="00B71E3E">
        <w:rPr>
          <w:rFonts w:ascii="Palatino Linotype" w:hAnsi="Palatino Linotype"/>
          <w:sz w:val="22"/>
          <w:szCs w:val="22"/>
        </w:rPr>
        <w:t xml:space="preserve">, </w:t>
      </w:r>
      <w:r w:rsidR="00692F91" w:rsidRPr="00B71E3E">
        <w:rPr>
          <w:rFonts w:ascii="Palatino Linotype" w:hAnsi="Palatino Linotype"/>
          <w:sz w:val="22"/>
          <w:szCs w:val="22"/>
        </w:rPr>
        <w:t xml:space="preserve">visible </w:t>
      </w:r>
      <w:r w:rsidRPr="00B71E3E">
        <w:rPr>
          <w:rFonts w:ascii="Palatino Linotype" w:hAnsi="Palatino Linotype"/>
          <w:sz w:val="22"/>
          <w:szCs w:val="22"/>
        </w:rPr>
        <w:t xml:space="preserve">en </w:t>
      </w:r>
      <w:hyperlink r:id="rId8" w:history="1">
        <w:r w:rsidR="00692F91" w:rsidRPr="00B71E3E">
          <w:rPr>
            <w:rStyle w:val="Hipervnculo"/>
            <w:rFonts w:ascii="Palatino Linotype" w:hAnsi="Palatino Linotype"/>
            <w:sz w:val="22"/>
            <w:szCs w:val="22"/>
          </w:rPr>
          <w:t>https://ipomex3.ipomex.org.mx/ipo3/lgt/indice/TOLUCA/art_92_vii.web?token</w:t>
        </w:r>
      </w:hyperlink>
      <w:r w:rsidR="00692F91" w:rsidRPr="00B71E3E">
        <w:rPr>
          <w:rStyle w:val="Hipervnculo"/>
          <w:rFonts w:ascii="Palatino Linotype" w:hAnsi="Palatino Linotype"/>
          <w:sz w:val="22"/>
          <w:szCs w:val="22"/>
        </w:rPr>
        <w:t>=</w:t>
      </w:r>
      <w:r w:rsidR="00692F91" w:rsidRPr="00B71E3E">
        <w:rPr>
          <w:rFonts w:ascii="Palatino Linotype" w:hAnsi="Palatino Linotype"/>
          <w:sz w:val="22"/>
          <w:szCs w:val="22"/>
        </w:rPr>
        <w:t xml:space="preserve">, </w:t>
      </w:r>
      <w:r w:rsidRPr="00B71E3E">
        <w:rPr>
          <w:rFonts w:ascii="Palatino Linotype" w:hAnsi="Palatino Linotype"/>
          <w:sz w:val="22"/>
          <w:szCs w:val="22"/>
        </w:rPr>
        <w:t xml:space="preserve">del cual se localizó que el Ayuntamiento de Toluca cuenta con la </w:t>
      </w:r>
      <w:r w:rsidR="00692F91" w:rsidRPr="00B71E3E">
        <w:rPr>
          <w:rFonts w:ascii="Palatino Linotype" w:hAnsi="Palatino Linotype"/>
          <w:sz w:val="22"/>
          <w:szCs w:val="22"/>
        </w:rPr>
        <w:t>Segunda Sindicatura</w:t>
      </w:r>
      <w:r w:rsidRPr="00B71E3E">
        <w:rPr>
          <w:rFonts w:ascii="Palatino Linotype" w:hAnsi="Palatino Linotype"/>
          <w:sz w:val="22"/>
          <w:szCs w:val="22"/>
        </w:rPr>
        <w:t xml:space="preserve"> y como titular de dicha </w:t>
      </w:r>
      <w:r w:rsidR="00692F91" w:rsidRPr="00B71E3E">
        <w:rPr>
          <w:rFonts w:ascii="Palatino Linotype" w:hAnsi="Palatino Linotype"/>
          <w:sz w:val="22"/>
          <w:szCs w:val="22"/>
        </w:rPr>
        <w:t xml:space="preserve">área era Alma América Rivera </w:t>
      </w:r>
      <w:proofErr w:type="spellStart"/>
      <w:r w:rsidR="00692F91" w:rsidRPr="00B71E3E">
        <w:rPr>
          <w:rFonts w:ascii="Palatino Linotype" w:hAnsi="Palatino Linotype"/>
          <w:sz w:val="22"/>
          <w:szCs w:val="22"/>
        </w:rPr>
        <w:t>Tavizón</w:t>
      </w:r>
      <w:proofErr w:type="spellEnd"/>
      <w:r w:rsidRPr="00B71E3E">
        <w:rPr>
          <w:rFonts w:ascii="Palatino Linotype" w:hAnsi="Palatino Linotype"/>
          <w:sz w:val="22"/>
          <w:szCs w:val="22"/>
        </w:rPr>
        <w:t>, tal como se muestra a continuación:</w:t>
      </w:r>
    </w:p>
    <w:p w14:paraId="2D45B90B" w14:textId="77777777" w:rsidR="00692F91" w:rsidRPr="00B71E3E" w:rsidRDefault="00692F91" w:rsidP="00FD7991">
      <w:pPr>
        <w:spacing w:line="360" w:lineRule="auto"/>
        <w:contextualSpacing/>
        <w:jc w:val="both"/>
        <w:rPr>
          <w:rFonts w:ascii="Palatino Linotype" w:hAnsi="Palatino Linotype"/>
          <w:sz w:val="22"/>
          <w:szCs w:val="22"/>
        </w:rPr>
      </w:pPr>
    </w:p>
    <w:p w14:paraId="66D8AE77" w14:textId="77777777" w:rsidR="00FD7991" w:rsidRPr="00B71E3E" w:rsidRDefault="00692F91" w:rsidP="00603F40">
      <w:pPr>
        <w:spacing w:line="360" w:lineRule="auto"/>
        <w:contextualSpacing/>
        <w:jc w:val="center"/>
        <w:rPr>
          <w:rFonts w:ascii="Palatino Linotype" w:hAnsi="Palatino Linotype"/>
          <w:sz w:val="22"/>
          <w:szCs w:val="22"/>
        </w:rPr>
      </w:pPr>
      <w:r w:rsidRPr="00B71E3E">
        <w:rPr>
          <w:rFonts w:ascii="Palatino Linotype" w:hAnsi="Palatino Linotype"/>
          <w:noProof/>
          <w:sz w:val="22"/>
          <w:szCs w:val="22"/>
          <w:lang w:eastAsia="es-MX"/>
        </w:rPr>
        <w:drawing>
          <wp:inline distT="0" distB="0" distL="0" distR="0" wp14:anchorId="402E3970" wp14:editId="485E5581">
            <wp:extent cx="5370830" cy="70739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0830" cy="707390"/>
                    </a:xfrm>
                    <a:prstGeom prst="rect">
                      <a:avLst/>
                    </a:prstGeom>
                    <a:noFill/>
                  </pic:spPr>
                </pic:pic>
              </a:graphicData>
            </a:graphic>
          </wp:inline>
        </w:drawing>
      </w:r>
    </w:p>
    <w:p w14:paraId="21A9F269" w14:textId="77777777" w:rsidR="00FD7991" w:rsidRPr="00B71E3E" w:rsidRDefault="00FD7991" w:rsidP="00FD7991">
      <w:pPr>
        <w:spacing w:line="360" w:lineRule="auto"/>
        <w:contextualSpacing/>
        <w:rPr>
          <w:rFonts w:ascii="Palatino Linotype" w:hAnsi="Palatino Linotype" w:cs="Tahoma"/>
          <w:iCs/>
          <w:lang w:val="es-ES"/>
        </w:rPr>
      </w:pPr>
    </w:p>
    <w:p w14:paraId="0FC55E32" w14:textId="36EE7003" w:rsidR="00FD7991" w:rsidRPr="00B71E3E" w:rsidRDefault="00FD7991" w:rsidP="00FD7991">
      <w:pPr>
        <w:spacing w:line="360" w:lineRule="auto"/>
        <w:contextualSpacing/>
        <w:jc w:val="both"/>
        <w:rPr>
          <w:rFonts w:ascii="Palatino Linotype" w:hAnsi="Palatino Linotype" w:cs="Tahoma"/>
          <w:iCs/>
          <w:sz w:val="22"/>
          <w:szCs w:val="22"/>
        </w:rPr>
      </w:pPr>
      <w:r w:rsidRPr="00B71E3E">
        <w:rPr>
          <w:rFonts w:ascii="Palatino Linotype" w:hAnsi="Palatino Linotype" w:cs="Tahoma"/>
          <w:iCs/>
          <w:sz w:val="22"/>
          <w:szCs w:val="22"/>
          <w:lang w:val="es-ES"/>
        </w:rPr>
        <w:t xml:space="preserve">Conforme a lo anterior, se logra vislumbrar que la pretensión del Recurrente, es obtener </w:t>
      </w:r>
      <w:r w:rsidR="00603F40" w:rsidRPr="00B71E3E">
        <w:rPr>
          <w:rFonts w:ascii="Palatino Linotype" w:hAnsi="Palatino Linotype" w:cs="Tahoma"/>
          <w:iCs/>
          <w:sz w:val="22"/>
          <w:szCs w:val="22"/>
          <w:lang w:val="es-ES"/>
        </w:rPr>
        <w:t>lo</w:t>
      </w:r>
      <w:r w:rsidRPr="00B71E3E">
        <w:rPr>
          <w:rFonts w:ascii="Palatino Linotype" w:hAnsi="Palatino Linotype" w:cs="Tahoma"/>
          <w:iCs/>
          <w:sz w:val="22"/>
          <w:szCs w:val="22"/>
          <w:lang w:val="es-ES"/>
        </w:rPr>
        <w:t xml:space="preserve">s </w:t>
      </w:r>
      <w:r w:rsidRPr="00B71E3E">
        <w:rPr>
          <w:rFonts w:ascii="Palatino Linotype" w:hAnsi="Palatino Linotype" w:cs="Tahoma"/>
          <w:iCs/>
          <w:sz w:val="22"/>
          <w:szCs w:val="22"/>
        </w:rPr>
        <w:t xml:space="preserve">oficios firmados por la </w:t>
      </w:r>
      <w:r w:rsidR="00603F40" w:rsidRPr="00B71E3E">
        <w:rPr>
          <w:rFonts w:ascii="Palatino Linotype" w:hAnsi="Palatino Linotype" w:cs="Tahoma"/>
          <w:iCs/>
          <w:sz w:val="22"/>
          <w:szCs w:val="22"/>
        </w:rPr>
        <w:t xml:space="preserve">Segunda Síndico Municipal (Alma América Rivera </w:t>
      </w:r>
      <w:proofErr w:type="spellStart"/>
      <w:r w:rsidR="00603F40" w:rsidRPr="00B71E3E">
        <w:rPr>
          <w:rFonts w:ascii="Palatino Linotype" w:hAnsi="Palatino Linotype" w:cs="Tahoma"/>
          <w:iCs/>
          <w:sz w:val="22"/>
          <w:szCs w:val="22"/>
        </w:rPr>
        <w:t>Tavizón</w:t>
      </w:r>
      <w:proofErr w:type="spellEnd"/>
      <w:r w:rsidR="00603F40" w:rsidRPr="00B71E3E">
        <w:rPr>
          <w:rFonts w:ascii="Palatino Linotype" w:hAnsi="Palatino Linotype" w:cs="Tahoma"/>
          <w:iCs/>
          <w:sz w:val="22"/>
          <w:szCs w:val="22"/>
        </w:rPr>
        <w:t>)</w:t>
      </w:r>
      <w:r w:rsidRPr="00B71E3E">
        <w:rPr>
          <w:rFonts w:ascii="Palatino Linotype" w:hAnsi="Palatino Linotype" w:cs="Tahoma"/>
          <w:iCs/>
          <w:sz w:val="22"/>
          <w:szCs w:val="22"/>
        </w:rPr>
        <w:t xml:space="preserve">, </w:t>
      </w:r>
      <w:r w:rsidR="00603F40" w:rsidRPr="00B71E3E">
        <w:rPr>
          <w:rFonts w:ascii="Palatino Linotype" w:hAnsi="Palatino Linotype" w:cs="Tahoma"/>
          <w:iCs/>
          <w:sz w:val="22"/>
          <w:szCs w:val="22"/>
        </w:rPr>
        <w:t>del primero al treinta y uno de</w:t>
      </w:r>
      <w:r w:rsidR="00D371B8" w:rsidRPr="00B71E3E">
        <w:rPr>
          <w:rFonts w:ascii="Palatino Linotype" w:hAnsi="Palatino Linotype" w:cs="Tahoma"/>
          <w:iCs/>
          <w:sz w:val="22"/>
          <w:szCs w:val="22"/>
        </w:rPr>
        <w:t xml:space="preserve"> </w:t>
      </w:r>
      <w:r w:rsidR="00603F40" w:rsidRPr="00B71E3E">
        <w:rPr>
          <w:rFonts w:ascii="Palatino Linotype" w:hAnsi="Palatino Linotype" w:cs="Tahoma"/>
          <w:iCs/>
          <w:sz w:val="22"/>
          <w:szCs w:val="22"/>
        </w:rPr>
        <w:t>l</w:t>
      </w:r>
      <w:r w:rsidR="00D371B8" w:rsidRPr="00B71E3E">
        <w:rPr>
          <w:rFonts w:ascii="Palatino Linotype" w:hAnsi="Palatino Linotype" w:cs="Tahoma"/>
          <w:iCs/>
          <w:sz w:val="22"/>
          <w:szCs w:val="22"/>
        </w:rPr>
        <w:t>os</w:t>
      </w:r>
      <w:r w:rsidR="00603F40" w:rsidRPr="00B71E3E">
        <w:rPr>
          <w:rFonts w:ascii="Palatino Linotype" w:hAnsi="Palatino Linotype" w:cs="Tahoma"/>
          <w:iCs/>
          <w:sz w:val="22"/>
          <w:szCs w:val="22"/>
        </w:rPr>
        <w:t xml:space="preserve"> mes</w:t>
      </w:r>
      <w:r w:rsidR="00D371B8" w:rsidRPr="00B71E3E">
        <w:rPr>
          <w:rFonts w:ascii="Palatino Linotype" w:hAnsi="Palatino Linotype" w:cs="Tahoma"/>
          <w:iCs/>
          <w:sz w:val="22"/>
          <w:szCs w:val="22"/>
        </w:rPr>
        <w:t>es</w:t>
      </w:r>
      <w:r w:rsidR="00603F40" w:rsidRPr="00B71E3E">
        <w:rPr>
          <w:rFonts w:ascii="Palatino Linotype" w:hAnsi="Palatino Linotype" w:cs="Tahoma"/>
          <w:iCs/>
          <w:sz w:val="22"/>
          <w:szCs w:val="22"/>
        </w:rPr>
        <w:t xml:space="preserve"> de marzo y mayo de dos mil veintitrés.</w:t>
      </w:r>
    </w:p>
    <w:p w14:paraId="21BB528C" w14:textId="77777777" w:rsidR="00603F40" w:rsidRPr="00B71E3E" w:rsidRDefault="00603F40" w:rsidP="00FD7991">
      <w:pPr>
        <w:spacing w:line="360" w:lineRule="auto"/>
        <w:contextualSpacing/>
        <w:jc w:val="both"/>
        <w:rPr>
          <w:rFonts w:ascii="Palatino Linotype" w:hAnsi="Palatino Linotype" w:cs="Tahoma"/>
          <w:iCs/>
          <w:sz w:val="22"/>
          <w:szCs w:val="22"/>
        </w:rPr>
      </w:pPr>
    </w:p>
    <w:p w14:paraId="2A5A890C" w14:textId="744C0146" w:rsidR="00FD7991" w:rsidRPr="00B71E3E" w:rsidRDefault="00603F40" w:rsidP="00FD7991">
      <w:pPr>
        <w:spacing w:line="360" w:lineRule="auto"/>
        <w:contextualSpacing/>
        <w:jc w:val="both"/>
        <w:rPr>
          <w:rFonts w:ascii="Palatino Linotype" w:hAnsi="Palatino Linotype"/>
          <w:sz w:val="22"/>
          <w:szCs w:val="22"/>
          <w:lang w:val="es-ES"/>
        </w:rPr>
      </w:pPr>
      <w:r w:rsidRPr="00B71E3E">
        <w:rPr>
          <w:rFonts w:ascii="Palatino Linotype" w:hAnsi="Palatino Linotype"/>
          <w:sz w:val="22"/>
          <w:szCs w:val="22"/>
        </w:rPr>
        <w:lastRenderedPageBreak/>
        <w:t>Establecida dicha circunstancia</w:t>
      </w:r>
      <w:r w:rsidR="00FD7991" w:rsidRPr="00B71E3E">
        <w:rPr>
          <w:rFonts w:ascii="Palatino Linotype" w:hAnsi="Palatino Linotype"/>
          <w:sz w:val="22"/>
          <w:szCs w:val="22"/>
        </w:rPr>
        <w:t>,</w:t>
      </w:r>
      <w:r w:rsidR="00FD7991" w:rsidRPr="00B71E3E">
        <w:rPr>
          <w:rFonts w:ascii="Palatino Linotype" w:hAnsi="Palatino Linotype"/>
          <w:sz w:val="22"/>
          <w:szCs w:val="22"/>
          <w:lang w:val="es-ES"/>
        </w:rPr>
        <w:t xml:space="preserve"> el Sujeto Obligado turno las solicitudes de información, a la </w:t>
      </w:r>
      <w:r w:rsidRPr="00B71E3E">
        <w:rPr>
          <w:rFonts w:ascii="Palatino Linotype" w:hAnsi="Palatino Linotype"/>
          <w:sz w:val="22"/>
          <w:szCs w:val="22"/>
          <w:lang w:val="es-ES"/>
        </w:rPr>
        <w:t>Segunda Sindicatura</w:t>
      </w:r>
      <w:r w:rsidR="00FD7991" w:rsidRPr="00B71E3E">
        <w:rPr>
          <w:rFonts w:ascii="Palatino Linotype" w:hAnsi="Palatino Linotype"/>
          <w:sz w:val="22"/>
          <w:szCs w:val="22"/>
          <w:lang w:val="es-ES"/>
        </w:rPr>
        <w:t xml:space="preserve">; por lo que, resulta necesario hacer </w:t>
      </w:r>
      <w:r w:rsidR="00FD7991" w:rsidRPr="00B71E3E">
        <w:rPr>
          <w:rFonts w:ascii="Palatino Linotype" w:eastAsiaTheme="minorHAnsi" w:hAnsi="Palatino Linotype" w:cstheme="minorBidi"/>
          <w:bCs/>
          <w:color w:val="000000" w:themeColor="text1"/>
          <w:sz w:val="22"/>
          <w:szCs w:val="22"/>
          <w:lang w:eastAsia="en-US"/>
        </w:rPr>
        <w:t xml:space="preserve">hacer referencia al </w:t>
      </w:r>
      <w:r w:rsidR="00FD7991" w:rsidRPr="00B71E3E">
        <w:rPr>
          <w:rFonts w:ascii="Palatino Linotype" w:eastAsiaTheme="minorHAnsi" w:hAnsi="Palatino Linotype" w:cstheme="minorBidi"/>
          <w:b/>
          <w:bCs/>
          <w:color w:val="000000" w:themeColor="text1"/>
          <w:sz w:val="22"/>
          <w:szCs w:val="22"/>
          <w:lang w:eastAsia="en-US"/>
        </w:rPr>
        <w:t>procedimiento de búsqueda que deben de seguir los Sujetos Obligados para localizar la información</w:t>
      </w:r>
      <w:r w:rsidR="00FD7991" w:rsidRPr="00B71E3E">
        <w:rPr>
          <w:rFonts w:ascii="Palatino Linotype" w:eastAsiaTheme="minorHAnsi" w:hAnsi="Palatino Linotype" w:cstheme="minorBidi"/>
          <w:bCs/>
          <w:color w:val="000000" w:themeColor="text1"/>
          <w:sz w:val="22"/>
          <w:szCs w:val="22"/>
          <w:lang w:eastAsia="en-US"/>
        </w:rPr>
        <w:t xml:space="preserve">, el cual se encuentra previsto en los artículos 160 y 162 de la Ley de Transparencia y Acceso a la Información Pública del Estado de México y Municipios, mismo que es el </w:t>
      </w:r>
      <w:r w:rsidR="00FD7991" w:rsidRPr="00B71E3E">
        <w:rPr>
          <w:rFonts w:ascii="Palatino Linotype" w:eastAsia="Calibri" w:hAnsi="Palatino Linotype" w:cs="Tahoma"/>
          <w:bCs/>
          <w:color w:val="000000"/>
          <w:sz w:val="22"/>
          <w:szCs w:val="22"/>
          <w:lang w:eastAsia="en-US"/>
        </w:rPr>
        <w:t>siguiente:</w:t>
      </w:r>
    </w:p>
    <w:p w14:paraId="6E485012" w14:textId="77777777" w:rsidR="00FD7991" w:rsidRPr="00B71E3E" w:rsidRDefault="00FD7991" w:rsidP="00FD7991">
      <w:pPr>
        <w:spacing w:line="360" w:lineRule="auto"/>
        <w:contextualSpacing/>
        <w:jc w:val="both"/>
        <w:rPr>
          <w:rFonts w:ascii="Palatino Linotype" w:eastAsia="Calibri" w:hAnsi="Palatino Linotype" w:cs="Tahoma"/>
          <w:bCs/>
          <w:color w:val="000000"/>
          <w:sz w:val="22"/>
          <w:szCs w:val="22"/>
          <w:lang w:eastAsia="en-US"/>
        </w:rPr>
      </w:pPr>
    </w:p>
    <w:p w14:paraId="6734C403" w14:textId="77777777" w:rsidR="00FD7991" w:rsidRPr="00B71E3E" w:rsidRDefault="00FD7991" w:rsidP="00FD7991">
      <w:pPr>
        <w:numPr>
          <w:ilvl w:val="0"/>
          <w:numId w:val="1"/>
        </w:numPr>
        <w:spacing w:line="360" w:lineRule="auto"/>
        <w:contextualSpacing/>
        <w:jc w:val="both"/>
        <w:rPr>
          <w:rFonts w:ascii="Palatino Linotype" w:eastAsiaTheme="minorHAnsi" w:hAnsi="Palatino Linotype" w:cstheme="minorBidi"/>
          <w:bCs/>
          <w:color w:val="000000" w:themeColor="text1"/>
          <w:sz w:val="22"/>
          <w:szCs w:val="22"/>
          <w:lang w:val="es-ES" w:eastAsia="en-US"/>
        </w:rPr>
      </w:pPr>
      <w:r w:rsidRPr="00B71E3E">
        <w:rPr>
          <w:rFonts w:ascii="Palatino Linotype" w:eastAsiaTheme="minorHAnsi" w:hAnsi="Palatino Linotype" w:cstheme="minorBidi"/>
          <w:bCs/>
          <w:color w:val="000000" w:themeColor="text1"/>
          <w:sz w:val="22"/>
          <w:szCs w:val="22"/>
          <w:lang w:val="es-ES" w:eastAsia="en-U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E50A27F" w14:textId="77777777" w:rsidR="00FD7991" w:rsidRPr="00B71E3E" w:rsidRDefault="00FD7991" w:rsidP="00FD7991">
      <w:pPr>
        <w:spacing w:line="360" w:lineRule="auto"/>
        <w:contextualSpacing/>
        <w:jc w:val="both"/>
        <w:rPr>
          <w:rFonts w:ascii="Palatino Linotype" w:eastAsiaTheme="minorHAnsi" w:hAnsi="Palatino Linotype" w:cstheme="minorBidi"/>
          <w:bCs/>
          <w:color w:val="000000" w:themeColor="text1"/>
          <w:sz w:val="22"/>
          <w:szCs w:val="22"/>
          <w:lang w:val="es-ES" w:eastAsia="en-US"/>
        </w:rPr>
      </w:pPr>
    </w:p>
    <w:p w14:paraId="2676C232" w14:textId="77777777" w:rsidR="00FD7991" w:rsidRPr="00B71E3E" w:rsidRDefault="00FD7991" w:rsidP="00FD7991">
      <w:pPr>
        <w:numPr>
          <w:ilvl w:val="0"/>
          <w:numId w:val="1"/>
        </w:numPr>
        <w:spacing w:line="360" w:lineRule="auto"/>
        <w:contextualSpacing/>
        <w:jc w:val="both"/>
        <w:rPr>
          <w:rFonts w:ascii="Palatino Linotype" w:eastAsiaTheme="minorHAnsi" w:hAnsi="Palatino Linotype" w:cstheme="minorBidi"/>
          <w:bCs/>
          <w:color w:val="000000" w:themeColor="text1"/>
          <w:sz w:val="22"/>
          <w:szCs w:val="22"/>
          <w:lang w:val="es-ES" w:eastAsia="en-US"/>
        </w:rPr>
      </w:pPr>
      <w:r w:rsidRPr="00B71E3E">
        <w:rPr>
          <w:rFonts w:ascii="Palatino Linotype" w:eastAsiaTheme="minorHAnsi" w:hAnsi="Palatino Linotype" w:cstheme="minorBidi"/>
          <w:bCs/>
          <w:color w:val="000000" w:themeColor="text1"/>
          <w:sz w:val="22"/>
          <w:szCs w:val="22"/>
          <w:lang w:val="es-ES" w:eastAsia="en-U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3504CCE9" w14:textId="77777777" w:rsidR="00FD7991" w:rsidRPr="00B71E3E" w:rsidRDefault="00FD7991" w:rsidP="00FD7991">
      <w:pPr>
        <w:autoSpaceDE w:val="0"/>
        <w:autoSpaceDN w:val="0"/>
        <w:adjustRightInd w:val="0"/>
        <w:spacing w:line="360" w:lineRule="auto"/>
        <w:contextualSpacing/>
        <w:jc w:val="both"/>
        <w:rPr>
          <w:rFonts w:ascii="Palatino Linotype" w:hAnsi="Palatino Linotype"/>
          <w:bCs/>
          <w:sz w:val="22"/>
          <w:szCs w:val="22"/>
          <w:lang w:val="es-ES"/>
        </w:rPr>
      </w:pPr>
    </w:p>
    <w:p w14:paraId="1435CAD5" w14:textId="77777777" w:rsidR="00FD7991" w:rsidRPr="00B71E3E" w:rsidRDefault="00FD7991" w:rsidP="00011126">
      <w:pPr>
        <w:spacing w:line="360" w:lineRule="auto"/>
        <w:ind w:right="-28"/>
        <w:contextualSpacing/>
        <w:jc w:val="both"/>
        <w:rPr>
          <w:rFonts w:ascii="Palatino Linotype" w:hAnsi="Palatino Linotype" w:cs="Tahoma"/>
          <w:bCs/>
          <w:iCs/>
          <w:szCs w:val="22"/>
        </w:rPr>
      </w:pPr>
      <w:r w:rsidRPr="00B71E3E">
        <w:rPr>
          <w:rFonts w:ascii="Palatino Linotype" w:eastAsia="Calibri" w:hAnsi="Palatino Linotype" w:cs="Tahoma"/>
          <w:bCs/>
          <w:color w:val="000000"/>
          <w:sz w:val="22"/>
          <w:szCs w:val="22"/>
        </w:rPr>
        <w:t xml:space="preserve">Así, a efecto de determinar si el Sujeto Obligado cumplió con el procedimiento de búsqueda, resulta necesario citar el artículo </w:t>
      </w:r>
      <w:r w:rsidR="00011126" w:rsidRPr="00B71E3E">
        <w:rPr>
          <w:rFonts w:ascii="Palatino Linotype" w:eastAsia="Calibri" w:hAnsi="Palatino Linotype" w:cs="Tahoma"/>
          <w:bCs/>
          <w:color w:val="000000"/>
          <w:sz w:val="22"/>
          <w:szCs w:val="22"/>
        </w:rPr>
        <w:t xml:space="preserve">89 del Bando </w:t>
      </w:r>
      <w:r w:rsidRPr="00B71E3E">
        <w:rPr>
          <w:rFonts w:ascii="Palatino Linotype" w:hAnsi="Palatino Linotype"/>
          <w:iCs/>
          <w:sz w:val="22"/>
          <w:szCs w:val="22"/>
        </w:rPr>
        <w:t>Municipal de Toluca,</w:t>
      </w:r>
      <w:r w:rsidR="00011126" w:rsidRPr="00B71E3E">
        <w:rPr>
          <w:rFonts w:ascii="Palatino Linotype" w:hAnsi="Palatino Linotype"/>
          <w:iCs/>
          <w:sz w:val="22"/>
          <w:szCs w:val="22"/>
        </w:rPr>
        <w:t xml:space="preserve"> dos mil veinticinco</w:t>
      </w:r>
      <w:r w:rsidRPr="00B71E3E">
        <w:rPr>
          <w:rFonts w:ascii="Palatino Linotype" w:hAnsi="Palatino Linotype"/>
          <w:iCs/>
          <w:sz w:val="22"/>
          <w:szCs w:val="22"/>
        </w:rPr>
        <w:t xml:space="preserve"> en </w:t>
      </w:r>
      <w:r w:rsidR="00011126" w:rsidRPr="00B71E3E">
        <w:rPr>
          <w:rFonts w:ascii="Palatino Linotype" w:hAnsi="Palatino Linotype"/>
          <w:iCs/>
          <w:sz w:val="22"/>
          <w:szCs w:val="22"/>
        </w:rPr>
        <w:t>el</w:t>
      </w:r>
      <w:r w:rsidRPr="00B71E3E">
        <w:rPr>
          <w:rFonts w:ascii="Palatino Linotype" w:hAnsi="Palatino Linotype"/>
          <w:iCs/>
          <w:sz w:val="22"/>
          <w:szCs w:val="22"/>
        </w:rPr>
        <w:t xml:space="preserve"> </w:t>
      </w:r>
      <w:r w:rsidR="00011126" w:rsidRPr="00B71E3E">
        <w:rPr>
          <w:rFonts w:ascii="Palatino Linotype" w:hAnsi="Palatino Linotype"/>
          <w:iCs/>
          <w:sz w:val="22"/>
          <w:szCs w:val="22"/>
        </w:rPr>
        <w:t xml:space="preserve">cual </w:t>
      </w:r>
      <w:r w:rsidRPr="00B71E3E">
        <w:rPr>
          <w:rFonts w:ascii="Palatino Linotype" w:hAnsi="Palatino Linotype"/>
          <w:iCs/>
          <w:sz w:val="22"/>
          <w:szCs w:val="22"/>
        </w:rPr>
        <w:t xml:space="preserve">se establece que, el </w:t>
      </w:r>
      <w:r w:rsidR="00011126" w:rsidRPr="00B71E3E">
        <w:rPr>
          <w:rFonts w:ascii="Palatino Linotype" w:hAnsi="Palatino Linotype"/>
          <w:iCs/>
          <w:sz w:val="22"/>
          <w:szCs w:val="22"/>
        </w:rPr>
        <w:t xml:space="preserve">Gobierno Municipal se deposita en un cuerpo colegiado denominado Ayuntamiento, integrado por el Presidente Municipal, la primera y segunda sindicaturas, y doce regidoras y regidores. </w:t>
      </w:r>
    </w:p>
    <w:p w14:paraId="6EB30C17" w14:textId="77777777" w:rsidR="00FD7991" w:rsidRPr="00B71E3E" w:rsidRDefault="00FD7991" w:rsidP="00FD7991">
      <w:pPr>
        <w:pStyle w:val="Prrafodelista"/>
        <w:spacing w:line="360" w:lineRule="auto"/>
        <w:jc w:val="both"/>
        <w:rPr>
          <w:rFonts w:ascii="Palatino Linotype" w:hAnsi="Palatino Linotype" w:cs="Tahoma"/>
          <w:bCs/>
          <w:iCs/>
          <w:szCs w:val="22"/>
        </w:rPr>
      </w:pPr>
    </w:p>
    <w:p w14:paraId="3AD0456C" w14:textId="40807C1A" w:rsidR="00B4759B" w:rsidRPr="00B71E3E" w:rsidRDefault="00FD7991" w:rsidP="00FD7991">
      <w:pPr>
        <w:spacing w:line="360" w:lineRule="auto"/>
        <w:contextualSpacing/>
        <w:jc w:val="both"/>
        <w:rPr>
          <w:rFonts w:ascii="Palatino Linotype" w:hAnsi="Palatino Linotype" w:cs="Tahoma"/>
          <w:bCs/>
          <w:iCs/>
          <w:sz w:val="22"/>
          <w:szCs w:val="22"/>
        </w:rPr>
      </w:pPr>
      <w:r w:rsidRPr="00B71E3E">
        <w:rPr>
          <w:rFonts w:ascii="Palatino Linotype" w:hAnsi="Palatino Linotype" w:cs="Tahoma"/>
          <w:bCs/>
          <w:iCs/>
          <w:sz w:val="22"/>
          <w:szCs w:val="22"/>
        </w:rPr>
        <w:t xml:space="preserve">Conforme a lo anterior se logra observar que el Ayuntamiento de Toluca, gestionó la solicitud de información a la </w:t>
      </w:r>
      <w:r w:rsidR="00011126" w:rsidRPr="00B71E3E">
        <w:rPr>
          <w:rFonts w:ascii="Palatino Linotype" w:hAnsi="Palatino Linotype" w:cs="Tahoma"/>
          <w:bCs/>
          <w:iCs/>
          <w:sz w:val="22"/>
          <w:szCs w:val="22"/>
        </w:rPr>
        <w:t>Segunda Sindicatura</w:t>
      </w:r>
      <w:r w:rsidR="005B3FE7" w:rsidRPr="00B71E3E">
        <w:rPr>
          <w:rFonts w:ascii="Palatino Linotype" w:hAnsi="Palatino Linotype" w:cs="Tahoma"/>
          <w:bCs/>
          <w:iCs/>
          <w:sz w:val="22"/>
          <w:szCs w:val="22"/>
        </w:rPr>
        <w:t>,</w:t>
      </w:r>
      <w:r w:rsidR="00011126" w:rsidRPr="00B71E3E">
        <w:rPr>
          <w:rFonts w:ascii="Palatino Linotype" w:hAnsi="Palatino Linotype" w:cs="Tahoma"/>
          <w:bCs/>
          <w:iCs/>
          <w:sz w:val="22"/>
          <w:szCs w:val="22"/>
        </w:rPr>
        <w:t xml:space="preserve"> área</w:t>
      </w:r>
      <w:r w:rsidRPr="00B71E3E">
        <w:rPr>
          <w:rFonts w:ascii="Palatino Linotype" w:hAnsi="Palatino Linotype" w:cs="Tahoma"/>
          <w:bCs/>
          <w:iCs/>
          <w:sz w:val="22"/>
          <w:szCs w:val="22"/>
        </w:rPr>
        <w:t xml:space="preserve"> competente para conocer de lo </w:t>
      </w:r>
      <w:r w:rsidRPr="00B71E3E">
        <w:rPr>
          <w:rFonts w:ascii="Palatino Linotype" w:hAnsi="Palatino Linotype" w:cs="Tahoma"/>
          <w:bCs/>
          <w:iCs/>
          <w:sz w:val="22"/>
          <w:szCs w:val="22"/>
        </w:rPr>
        <w:lastRenderedPageBreak/>
        <w:t>requerido, por lo que, cumplió con el procedimiento de búsqueda establecido en el artículo 162 de la Ley de la materia.</w:t>
      </w:r>
    </w:p>
    <w:p w14:paraId="41B449B9" w14:textId="77777777" w:rsidR="00C90DB1" w:rsidRPr="00B71E3E" w:rsidRDefault="00C90DB1" w:rsidP="00FD7991">
      <w:pPr>
        <w:spacing w:line="360" w:lineRule="auto"/>
        <w:contextualSpacing/>
        <w:jc w:val="both"/>
        <w:rPr>
          <w:rFonts w:ascii="Palatino Linotype" w:hAnsi="Palatino Linotype" w:cs="Tahoma"/>
          <w:bCs/>
          <w:iCs/>
          <w:sz w:val="22"/>
          <w:szCs w:val="22"/>
        </w:rPr>
      </w:pPr>
    </w:p>
    <w:p w14:paraId="23FC8DF5" w14:textId="4D28CC26" w:rsidR="00C90DB1" w:rsidRPr="00B71E3E" w:rsidRDefault="00C90DB1" w:rsidP="00FD7991">
      <w:pPr>
        <w:spacing w:line="360" w:lineRule="auto"/>
        <w:contextualSpacing/>
        <w:jc w:val="both"/>
        <w:rPr>
          <w:rFonts w:ascii="Palatino Linotype" w:hAnsi="Palatino Linotype" w:cs="Tahoma"/>
          <w:b/>
          <w:iCs/>
          <w:sz w:val="22"/>
          <w:szCs w:val="22"/>
        </w:rPr>
      </w:pPr>
      <w:r w:rsidRPr="00B71E3E">
        <w:rPr>
          <w:rFonts w:ascii="Palatino Linotype" w:hAnsi="Palatino Linotype" w:cs="Tahoma"/>
          <w:b/>
          <w:iCs/>
          <w:sz w:val="22"/>
          <w:szCs w:val="22"/>
        </w:rPr>
        <w:t xml:space="preserve">Oficios del primero al treinta y uno de marzo de dos mil veintitrés, relacionados con el Recurso de Revisión </w:t>
      </w:r>
      <w:r w:rsidRPr="00B71E3E">
        <w:rPr>
          <w:rFonts w:ascii="Palatino Linotype" w:eastAsia="Batang" w:hAnsi="Palatino Linotype" w:cs="Tahoma"/>
          <w:b/>
          <w:sz w:val="22"/>
          <w:szCs w:val="22"/>
          <w:lang w:val="es-ES_tradnl"/>
        </w:rPr>
        <w:t>01611/INFOEM/IP/RR/2025</w:t>
      </w:r>
      <w:r w:rsidR="005236AE" w:rsidRPr="00B71E3E">
        <w:rPr>
          <w:rFonts w:ascii="Palatino Linotype" w:eastAsia="Batang" w:hAnsi="Palatino Linotype" w:cs="Tahoma"/>
          <w:b/>
          <w:sz w:val="22"/>
          <w:szCs w:val="22"/>
          <w:lang w:val="es-ES_tradnl"/>
        </w:rPr>
        <w:t xml:space="preserve"> solicitud 03479/TOLUCA/IP/2024.</w:t>
      </w:r>
    </w:p>
    <w:p w14:paraId="6FA8F36C" w14:textId="77777777" w:rsidR="00FD7991" w:rsidRPr="00B71E3E" w:rsidRDefault="00FD7991" w:rsidP="00FD7991">
      <w:pPr>
        <w:spacing w:line="360" w:lineRule="auto"/>
        <w:contextualSpacing/>
        <w:jc w:val="both"/>
        <w:rPr>
          <w:rFonts w:ascii="Palatino Linotype" w:hAnsi="Palatino Linotype" w:cs="Tahoma"/>
          <w:bCs/>
          <w:color w:val="0D0D0D" w:themeColor="text1" w:themeTint="F2"/>
          <w:sz w:val="22"/>
          <w:szCs w:val="22"/>
          <w:lang w:val="es-ES"/>
        </w:rPr>
      </w:pPr>
    </w:p>
    <w:p w14:paraId="4C16D71F" w14:textId="5FFFAEDA" w:rsidR="00225712" w:rsidRPr="00B71E3E" w:rsidRDefault="00C90DB1" w:rsidP="00484DBB">
      <w:pPr>
        <w:spacing w:line="360" w:lineRule="auto"/>
        <w:contextualSpacing/>
        <w:jc w:val="both"/>
        <w:rPr>
          <w:rFonts w:ascii="Palatino Linotype" w:hAnsi="Palatino Linotype" w:cs="Tahoma"/>
          <w:bCs/>
          <w:color w:val="0D0D0D" w:themeColor="text1" w:themeTint="F2"/>
          <w:sz w:val="22"/>
          <w:szCs w:val="22"/>
          <w:lang w:val="es-ES"/>
        </w:rPr>
      </w:pPr>
      <w:r w:rsidRPr="00B71E3E">
        <w:rPr>
          <w:rFonts w:ascii="Palatino Linotype" w:hAnsi="Palatino Linotype" w:cs="Tahoma"/>
          <w:bCs/>
          <w:color w:val="0D0D0D" w:themeColor="text1" w:themeTint="F2"/>
          <w:sz w:val="22"/>
          <w:szCs w:val="22"/>
          <w:lang w:val="es-ES"/>
        </w:rPr>
        <w:t>Al respecto</w:t>
      </w:r>
      <w:r w:rsidR="00FD7991" w:rsidRPr="00B71E3E">
        <w:rPr>
          <w:rFonts w:ascii="Palatino Linotype" w:hAnsi="Palatino Linotype" w:cs="Tahoma"/>
          <w:bCs/>
          <w:color w:val="0D0D0D" w:themeColor="text1" w:themeTint="F2"/>
          <w:sz w:val="22"/>
          <w:szCs w:val="22"/>
          <w:lang w:val="es-ES"/>
        </w:rPr>
        <w:t xml:space="preserve">, </w:t>
      </w:r>
      <w:r w:rsidR="00DA7807" w:rsidRPr="00B71E3E">
        <w:rPr>
          <w:rFonts w:ascii="Palatino Linotype" w:hAnsi="Palatino Linotype" w:cs="Tahoma"/>
          <w:bCs/>
          <w:color w:val="0D0D0D" w:themeColor="text1" w:themeTint="F2"/>
          <w:sz w:val="22"/>
          <w:szCs w:val="22"/>
          <w:lang w:val="es-ES"/>
        </w:rPr>
        <w:t>el titular de la</w:t>
      </w:r>
      <w:r w:rsidRPr="00B71E3E">
        <w:rPr>
          <w:rFonts w:ascii="Palatino Linotype" w:hAnsi="Palatino Linotype" w:cs="Tahoma"/>
          <w:bCs/>
          <w:color w:val="0D0D0D" w:themeColor="text1" w:themeTint="F2"/>
          <w:sz w:val="22"/>
          <w:szCs w:val="22"/>
          <w:lang w:val="es-ES"/>
        </w:rPr>
        <w:t xml:space="preserve"> Segunda Sindicatura</w:t>
      </w:r>
      <w:r w:rsidR="00FD7991" w:rsidRPr="00B71E3E">
        <w:rPr>
          <w:rFonts w:ascii="Palatino Linotype" w:hAnsi="Palatino Linotype" w:cs="Tahoma"/>
          <w:bCs/>
          <w:color w:val="0D0D0D" w:themeColor="text1" w:themeTint="F2"/>
          <w:sz w:val="22"/>
          <w:szCs w:val="22"/>
          <w:lang w:val="es-ES"/>
        </w:rPr>
        <w:t xml:space="preserve">, </w:t>
      </w:r>
      <w:r w:rsidRPr="00B71E3E">
        <w:rPr>
          <w:rFonts w:ascii="Palatino Linotype" w:hAnsi="Palatino Linotype" w:cs="Tahoma"/>
          <w:bCs/>
          <w:color w:val="0D0D0D" w:themeColor="text1" w:themeTint="F2"/>
          <w:sz w:val="22"/>
          <w:szCs w:val="22"/>
          <w:lang w:val="es-ES"/>
        </w:rPr>
        <w:t xml:space="preserve">proporcionó </w:t>
      </w:r>
      <w:r w:rsidR="005F0910" w:rsidRPr="005942A4">
        <w:rPr>
          <w:rFonts w:ascii="Palatino Linotype" w:hAnsi="Palatino Linotype" w:cs="Tahoma"/>
          <w:bCs/>
          <w:color w:val="0D0D0D" w:themeColor="text1" w:themeTint="F2"/>
          <w:sz w:val="22"/>
          <w:szCs w:val="22"/>
          <w:lang w:val="es-ES"/>
        </w:rPr>
        <w:t xml:space="preserve">treinta y </w:t>
      </w:r>
      <w:r w:rsidR="003C0873" w:rsidRPr="005942A4">
        <w:rPr>
          <w:rFonts w:ascii="Palatino Linotype" w:hAnsi="Palatino Linotype" w:cs="Tahoma"/>
          <w:bCs/>
          <w:color w:val="0D0D0D" w:themeColor="text1" w:themeTint="F2"/>
          <w:sz w:val="22"/>
          <w:szCs w:val="22"/>
          <w:lang w:val="es-ES"/>
        </w:rPr>
        <w:t>cinco</w:t>
      </w:r>
      <w:r w:rsidR="003C0873">
        <w:rPr>
          <w:rFonts w:ascii="Palatino Linotype" w:hAnsi="Palatino Linotype" w:cs="Tahoma"/>
          <w:bCs/>
          <w:color w:val="0D0D0D" w:themeColor="text1" w:themeTint="F2"/>
          <w:sz w:val="22"/>
          <w:szCs w:val="22"/>
          <w:lang w:val="es-ES"/>
        </w:rPr>
        <w:t xml:space="preserve"> </w:t>
      </w:r>
      <w:r w:rsidR="00B7271F" w:rsidRPr="00B71E3E">
        <w:rPr>
          <w:rFonts w:ascii="Palatino Linotype" w:hAnsi="Palatino Linotype" w:cs="Tahoma"/>
          <w:bCs/>
          <w:color w:val="0D0D0D" w:themeColor="text1" w:themeTint="F2"/>
          <w:sz w:val="22"/>
          <w:szCs w:val="22"/>
          <w:lang w:val="es-ES"/>
        </w:rPr>
        <w:t>oficios</w:t>
      </w:r>
      <w:r w:rsidR="00DA7807" w:rsidRPr="00B71E3E">
        <w:rPr>
          <w:rFonts w:ascii="Palatino Linotype" w:hAnsi="Palatino Linotype" w:cs="Tahoma"/>
          <w:bCs/>
          <w:color w:val="0D0D0D" w:themeColor="text1" w:themeTint="F2"/>
          <w:sz w:val="22"/>
          <w:szCs w:val="22"/>
          <w:lang w:val="es-ES"/>
        </w:rPr>
        <w:t xml:space="preserve"> </w:t>
      </w:r>
      <w:r w:rsidR="00225712" w:rsidRPr="00B71E3E">
        <w:rPr>
          <w:rFonts w:ascii="Palatino Linotype" w:hAnsi="Palatino Linotype" w:cs="Tahoma"/>
          <w:bCs/>
          <w:color w:val="0D0D0D" w:themeColor="text1" w:themeTint="F2"/>
          <w:sz w:val="22"/>
          <w:szCs w:val="22"/>
          <w:lang w:val="es-ES"/>
        </w:rPr>
        <w:t>en versión pública</w:t>
      </w:r>
      <w:r w:rsidR="007347A0" w:rsidRPr="00B71E3E">
        <w:rPr>
          <w:rFonts w:ascii="Palatino Linotype" w:hAnsi="Palatino Linotype" w:cs="Tahoma"/>
          <w:bCs/>
          <w:color w:val="0D0D0D" w:themeColor="text1" w:themeTint="F2"/>
          <w:sz w:val="22"/>
          <w:szCs w:val="22"/>
          <w:lang w:val="es-ES"/>
        </w:rPr>
        <w:t>,</w:t>
      </w:r>
      <w:r w:rsidR="00225712" w:rsidRPr="00B71E3E">
        <w:rPr>
          <w:rFonts w:ascii="Palatino Linotype" w:hAnsi="Palatino Linotype" w:cs="Tahoma"/>
          <w:bCs/>
          <w:color w:val="0D0D0D" w:themeColor="text1" w:themeTint="F2"/>
          <w:sz w:val="22"/>
          <w:szCs w:val="22"/>
          <w:lang w:val="es-ES"/>
        </w:rPr>
        <w:t xml:space="preserve"> </w:t>
      </w:r>
      <w:r w:rsidR="00DA7807" w:rsidRPr="00B71E3E">
        <w:rPr>
          <w:rFonts w:ascii="Palatino Linotype" w:hAnsi="Palatino Linotype" w:cs="Tahoma"/>
          <w:bCs/>
          <w:color w:val="0D0D0D" w:themeColor="text1" w:themeTint="F2"/>
          <w:sz w:val="22"/>
          <w:szCs w:val="22"/>
          <w:lang w:val="es-ES"/>
        </w:rPr>
        <w:t>firmados por quien fungiera como Segunda Síndico (</w:t>
      </w:r>
      <w:r w:rsidR="00DA7807" w:rsidRPr="00B71E3E">
        <w:rPr>
          <w:rFonts w:ascii="Palatino Linotype" w:hAnsi="Palatino Linotype"/>
          <w:sz w:val="22"/>
          <w:szCs w:val="22"/>
        </w:rPr>
        <w:t xml:space="preserve">Alma América Rivera </w:t>
      </w:r>
      <w:proofErr w:type="spellStart"/>
      <w:r w:rsidR="00DA7807" w:rsidRPr="00B71E3E">
        <w:rPr>
          <w:rFonts w:ascii="Palatino Linotype" w:hAnsi="Palatino Linotype"/>
          <w:sz w:val="22"/>
          <w:szCs w:val="22"/>
        </w:rPr>
        <w:t>Tavizón</w:t>
      </w:r>
      <w:proofErr w:type="spellEnd"/>
      <w:r w:rsidR="00DA7807" w:rsidRPr="00B71E3E">
        <w:rPr>
          <w:rFonts w:ascii="Palatino Linotype" w:hAnsi="Palatino Linotype"/>
          <w:sz w:val="22"/>
          <w:szCs w:val="22"/>
        </w:rPr>
        <w:t>)</w:t>
      </w:r>
      <w:r w:rsidR="00DA7807" w:rsidRPr="00B71E3E">
        <w:rPr>
          <w:rFonts w:ascii="Palatino Linotype" w:hAnsi="Palatino Linotype" w:cs="Tahoma"/>
          <w:bCs/>
          <w:color w:val="0D0D0D" w:themeColor="text1" w:themeTint="F2"/>
          <w:sz w:val="22"/>
          <w:szCs w:val="22"/>
          <w:lang w:val="es-ES"/>
        </w:rPr>
        <w:t xml:space="preserve">, </w:t>
      </w:r>
      <w:r w:rsidR="00225712" w:rsidRPr="00B71E3E">
        <w:rPr>
          <w:rFonts w:ascii="Palatino Linotype" w:hAnsi="Palatino Linotype" w:cs="Tahoma"/>
          <w:bCs/>
          <w:color w:val="0D0D0D" w:themeColor="text1" w:themeTint="F2"/>
          <w:sz w:val="22"/>
          <w:szCs w:val="22"/>
          <w:lang w:val="es-ES"/>
        </w:rPr>
        <w:t xml:space="preserve">para la administración 2022-2024, </w:t>
      </w:r>
      <w:r w:rsidR="00DA7807" w:rsidRPr="00B71E3E">
        <w:rPr>
          <w:rFonts w:ascii="Palatino Linotype" w:hAnsi="Palatino Linotype" w:cs="Tahoma"/>
          <w:bCs/>
          <w:color w:val="0D0D0D" w:themeColor="text1" w:themeTint="F2"/>
          <w:sz w:val="22"/>
          <w:szCs w:val="22"/>
          <w:lang w:val="es-ES"/>
        </w:rPr>
        <w:t xml:space="preserve">generados del primero al treinta y uno de </w:t>
      </w:r>
      <w:r w:rsidR="007347A0" w:rsidRPr="00B71E3E">
        <w:rPr>
          <w:rFonts w:ascii="Palatino Linotype" w:hAnsi="Palatino Linotype" w:cs="Tahoma"/>
          <w:bCs/>
          <w:color w:val="0D0D0D" w:themeColor="text1" w:themeTint="F2"/>
          <w:sz w:val="22"/>
          <w:szCs w:val="22"/>
          <w:lang w:val="es-ES"/>
        </w:rPr>
        <w:t xml:space="preserve">mayo </w:t>
      </w:r>
      <w:r w:rsidR="00DA7807" w:rsidRPr="00B71E3E">
        <w:rPr>
          <w:rFonts w:ascii="Palatino Linotype" w:hAnsi="Palatino Linotype" w:cs="Tahoma"/>
          <w:bCs/>
          <w:color w:val="0D0D0D" w:themeColor="text1" w:themeTint="F2"/>
          <w:sz w:val="22"/>
          <w:szCs w:val="22"/>
          <w:lang w:val="es-ES"/>
        </w:rPr>
        <w:t xml:space="preserve">de dos mil veintitrés, </w:t>
      </w:r>
      <w:r w:rsidR="00484DBB" w:rsidRPr="00B71E3E">
        <w:rPr>
          <w:rFonts w:ascii="Palatino Linotype" w:hAnsi="Palatino Linotype" w:cs="Tahoma"/>
          <w:bCs/>
          <w:color w:val="0D0D0D" w:themeColor="text1" w:themeTint="F2"/>
          <w:sz w:val="22"/>
          <w:szCs w:val="22"/>
          <w:lang w:val="es-ES"/>
        </w:rPr>
        <w:t>situación que fue ratificada durante la sustanciación del Medio de Impugnación.</w:t>
      </w:r>
    </w:p>
    <w:p w14:paraId="250D9C7D" w14:textId="77777777" w:rsidR="00225712" w:rsidRPr="00B71E3E" w:rsidRDefault="00225712" w:rsidP="00DA7807">
      <w:pPr>
        <w:spacing w:line="360" w:lineRule="auto"/>
        <w:contextualSpacing/>
        <w:jc w:val="center"/>
        <w:rPr>
          <w:rFonts w:ascii="Palatino Linotype" w:hAnsi="Palatino Linotype" w:cs="Tahoma"/>
          <w:bCs/>
          <w:color w:val="0D0D0D" w:themeColor="text1" w:themeTint="F2"/>
          <w:sz w:val="22"/>
          <w:szCs w:val="22"/>
          <w:lang w:val="es-ES"/>
        </w:rPr>
      </w:pPr>
    </w:p>
    <w:p w14:paraId="5C7F7F3B" w14:textId="79B2742B" w:rsidR="00225712" w:rsidRPr="00B71E3E" w:rsidRDefault="00225712" w:rsidP="00FD7991">
      <w:pPr>
        <w:spacing w:line="360" w:lineRule="auto"/>
        <w:ind w:right="-93"/>
        <w:contextualSpacing/>
        <w:jc w:val="both"/>
        <w:rPr>
          <w:rFonts w:ascii="Palatino Linotype" w:hAnsi="Palatino Linotype" w:cs="Tahoma"/>
          <w:sz w:val="22"/>
          <w:szCs w:val="22"/>
        </w:rPr>
      </w:pPr>
      <w:r w:rsidRPr="00B71E3E">
        <w:rPr>
          <w:rFonts w:ascii="Palatino Linotype" w:hAnsi="Palatino Linotype" w:cs="Tahoma"/>
          <w:sz w:val="22"/>
          <w:szCs w:val="22"/>
        </w:rPr>
        <w:t xml:space="preserve">Así, de la revisión de los oficios </w:t>
      </w:r>
      <w:r w:rsidR="00484DBB" w:rsidRPr="00B71E3E">
        <w:rPr>
          <w:rFonts w:ascii="Palatino Linotype" w:hAnsi="Palatino Linotype" w:cs="Tahoma"/>
          <w:sz w:val="22"/>
          <w:szCs w:val="22"/>
        </w:rPr>
        <w:t>entregados</w:t>
      </w:r>
      <w:r w:rsidRPr="00B71E3E">
        <w:rPr>
          <w:rFonts w:ascii="Palatino Linotype" w:hAnsi="Palatino Linotype" w:cs="Tahoma"/>
          <w:sz w:val="22"/>
          <w:szCs w:val="22"/>
        </w:rPr>
        <w:t xml:space="preserve">, se logró advertir que se proporcionaron los oficios solicitados en la temporalidad requerida, </w:t>
      </w:r>
      <w:r w:rsidR="00E77B44" w:rsidRPr="00B71E3E">
        <w:rPr>
          <w:rFonts w:ascii="Palatino Linotype" w:hAnsi="Palatino Linotype" w:cs="Tahoma"/>
          <w:sz w:val="22"/>
          <w:szCs w:val="22"/>
        </w:rPr>
        <w:t xml:space="preserve">además se verificó que el número consecutivo de los oficios está completo, </w:t>
      </w:r>
      <w:r w:rsidRPr="00B71E3E">
        <w:rPr>
          <w:rFonts w:ascii="Palatino Linotype" w:hAnsi="Palatino Linotype" w:cs="Tahoma"/>
          <w:sz w:val="22"/>
          <w:szCs w:val="22"/>
        </w:rPr>
        <w:t xml:space="preserve">con lo cual se daba cumplimiento a los artículos 12 y 160 de la Ley de la materia. </w:t>
      </w:r>
    </w:p>
    <w:p w14:paraId="2BFCB487" w14:textId="77777777" w:rsidR="00225712" w:rsidRPr="00B71E3E" w:rsidRDefault="00225712" w:rsidP="00FD7991">
      <w:pPr>
        <w:spacing w:line="360" w:lineRule="auto"/>
        <w:ind w:right="-93"/>
        <w:contextualSpacing/>
        <w:jc w:val="both"/>
        <w:rPr>
          <w:rFonts w:ascii="Palatino Linotype" w:hAnsi="Palatino Linotype" w:cs="Tahoma"/>
          <w:sz w:val="22"/>
          <w:szCs w:val="22"/>
        </w:rPr>
      </w:pPr>
    </w:p>
    <w:p w14:paraId="104D5E6F" w14:textId="163AE996" w:rsidR="00225712" w:rsidRPr="00B71E3E" w:rsidRDefault="00225712" w:rsidP="00FD7991">
      <w:pPr>
        <w:spacing w:line="360" w:lineRule="auto"/>
        <w:ind w:right="-93"/>
        <w:contextualSpacing/>
        <w:jc w:val="both"/>
        <w:rPr>
          <w:rFonts w:ascii="Palatino Linotype" w:hAnsi="Palatino Linotype" w:cs="Tahoma"/>
          <w:bCs/>
          <w:color w:val="0D0D0D" w:themeColor="text1" w:themeTint="F2"/>
          <w:sz w:val="22"/>
          <w:szCs w:val="22"/>
          <w:lang w:val="es-ES"/>
        </w:rPr>
      </w:pPr>
      <w:r w:rsidRPr="00B71E3E">
        <w:rPr>
          <w:rFonts w:ascii="Palatino Linotype" w:hAnsi="Palatino Linotype" w:cs="Tahoma"/>
          <w:sz w:val="22"/>
          <w:szCs w:val="22"/>
        </w:rPr>
        <w:t xml:space="preserve">No obstante, </w:t>
      </w:r>
      <w:r w:rsidR="00586F3D" w:rsidRPr="00B71E3E">
        <w:rPr>
          <w:rFonts w:ascii="Palatino Linotype" w:hAnsi="Palatino Linotype" w:cs="Tahoma"/>
          <w:sz w:val="22"/>
          <w:szCs w:val="22"/>
        </w:rPr>
        <w:t xml:space="preserve">de su análisis </w:t>
      </w:r>
      <w:r w:rsidRPr="00B71E3E">
        <w:rPr>
          <w:rFonts w:ascii="Palatino Linotype" w:hAnsi="Palatino Linotype" w:cs="Tahoma"/>
          <w:sz w:val="22"/>
          <w:szCs w:val="22"/>
        </w:rPr>
        <w:t xml:space="preserve">se </w:t>
      </w:r>
      <w:r w:rsidR="00B168F4" w:rsidRPr="00B71E3E">
        <w:rPr>
          <w:rFonts w:ascii="Palatino Linotype" w:hAnsi="Palatino Linotype" w:cs="Tahoma"/>
          <w:sz w:val="22"/>
          <w:szCs w:val="22"/>
        </w:rPr>
        <w:t>encontró</w:t>
      </w:r>
      <w:r w:rsidRPr="00B71E3E">
        <w:rPr>
          <w:rFonts w:ascii="Palatino Linotype" w:hAnsi="Palatino Linotype" w:cs="Tahoma"/>
          <w:sz w:val="22"/>
          <w:szCs w:val="22"/>
        </w:rPr>
        <w:t xml:space="preserve"> </w:t>
      </w:r>
      <w:r w:rsidR="00484DBB" w:rsidRPr="00B71E3E">
        <w:rPr>
          <w:rFonts w:ascii="Palatino Linotype" w:hAnsi="Palatino Linotype" w:cs="Tahoma"/>
          <w:sz w:val="22"/>
          <w:szCs w:val="22"/>
        </w:rPr>
        <w:t xml:space="preserve">en los oficios con números </w:t>
      </w:r>
      <w:r w:rsidR="00484DBB" w:rsidRPr="00B71E3E">
        <w:rPr>
          <w:rFonts w:ascii="Palatino Linotype" w:hAnsi="Palatino Linotype" w:cs="Tahoma"/>
          <w:bCs/>
          <w:color w:val="0D0D0D" w:themeColor="text1" w:themeTint="F2"/>
          <w:sz w:val="22"/>
          <w:szCs w:val="22"/>
          <w:lang w:val="es-ES"/>
        </w:rPr>
        <w:t>302/</w:t>
      </w:r>
      <w:r w:rsidR="00484DBB" w:rsidRPr="00B71E3E">
        <w:rPr>
          <w:rFonts w:ascii="Palatino Linotype" w:hAnsi="Palatino Linotype" w:cs="Tahoma"/>
          <w:b/>
          <w:color w:val="0D0D0D" w:themeColor="text1" w:themeTint="F2"/>
          <w:sz w:val="22"/>
          <w:szCs w:val="22"/>
          <w:lang w:val="es-ES"/>
        </w:rPr>
        <w:t>139</w:t>
      </w:r>
      <w:r w:rsidR="00484DBB" w:rsidRPr="00B71E3E">
        <w:rPr>
          <w:rFonts w:ascii="Palatino Linotype" w:hAnsi="Palatino Linotype" w:cs="Tahoma"/>
          <w:bCs/>
          <w:color w:val="0D0D0D" w:themeColor="text1" w:themeTint="F2"/>
          <w:sz w:val="22"/>
          <w:szCs w:val="22"/>
          <w:lang w:val="es-ES"/>
        </w:rPr>
        <w:t>/2023 y 302/</w:t>
      </w:r>
      <w:r w:rsidR="00484DBB" w:rsidRPr="00B71E3E">
        <w:rPr>
          <w:rFonts w:ascii="Palatino Linotype" w:hAnsi="Palatino Linotype" w:cs="Tahoma"/>
          <w:b/>
          <w:color w:val="0D0D0D" w:themeColor="text1" w:themeTint="F2"/>
          <w:sz w:val="22"/>
          <w:szCs w:val="22"/>
          <w:lang w:val="es-ES"/>
        </w:rPr>
        <w:t>140</w:t>
      </w:r>
      <w:r w:rsidR="00484DBB" w:rsidRPr="00B71E3E">
        <w:rPr>
          <w:rFonts w:ascii="Palatino Linotype" w:hAnsi="Palatino Linotype" w:cs="Tahoma"/>
          <w:bCs/>
          <w:color w:val="0D0D0D" w:themeColor="text1" w:themeTint="F2"/>
          <w:sz w:val="22"/>
          <w:szCs w:val="22"/>
          <w:lang w:val="es-ES"/>
        </w:rPr>
        <w:t xml:space="preserve">/2023, </w:t>
      </w:r>
      <w:r w:rsidRPr="00B71E3E">
        <w:rPr>
          <w:rFonts w:ascii="Palatino Linotype" w:hAnsi="Palatino Linotype" w:cs="Tahoma"/>
          <w:sz w:val="22"/>
          <w:szCs w:val="22"/>
        </w:rPr>
        <w:t xml:space="preserve">los entregó en versión pública en </w:t>
      </w:r>
      <w:r w:rsidR="00586F3D" w:rsidRPr="00B71E3E">
        <w:rPr>
          <w:rFonts w:ascii="Palatino Linotype" w:hAnsi="Palatino Linotype" w:cs="Tahoma"/>
          <w:sz w:val="22"/>
          <w:szCs w:val="22"/>
        </w:rPr>
        <w:t xml:space="preserve">donde se </w:t>
      </w:r>
      <w:r w:rsidRPr="00B71E3E">
        <w:rPr>
          <w:rFonts w:ascii="Palatino Linotype" w:hAnsi="Palatino Linotype" w:cs="Tahoma"/>
          <w:sz w:val="22"/>
          <w:szCs w:val="22"/>
        </w:rPr>
        <w:t xml:space="preserve">testó </w:t>
      </w:r>
      <w:r w:rsidR="00586F3D" w:rsidRPr="00B71E3E">
        <w:rPr>
          <w:rFonts w:ascii="Palatino Linotype" w:hAnsi="Palatino Linotype" w:cs="Tahoma"/>
          <w:sz w:val="22"/>
          <w:szCs w:val="22"/>
        </w:rPr>
        <w:t xml:space="preserve">el </w:t>
      </w:r>
      <w:r w:rsidRPr="00B71E3E">
        <w:rPr>
          <w:rFonts w:ascii="Palatino Linotype" w:hAnsi="Palatino Linotype" w:cs="Tahoma"/>
          <w:sz w:val="22"/>
          <w:szCs w:val="22"/>
        </w:rPr>
        <w:t>nombre de particulares</w:t>
      </w:r>
      <w:r w:rsidR="00484DBB" w:rsidRPr="00B71E3E">
        <w:rPr>
          <w:rFonts w:ascii="Palatino Linotype" w:hAnsi="Palatino Linotype" w:cs="Tahoma"/>
          <w:sz w:val="22"/>
          <w:szCs w:val="22"/>
        </w:rPr>
        <w:t xml:space="preserve">, que </w:t>
      </w:r>
      <w:r w:rsidR="0053549E" w:rsidRPr="00B71E3E">
        <w:rPr>
          <w:rFonts w:ascii="Palatino Linotype" w:hAnsi="Palatino Linotype" w:cs="Tahoma"/>
          <w:sz w:val="22"/>
          <w:szCs w:val="22"/>
        </w:rPr>
        <w:t>obtuvieron resolución favorable en materia laboral</w:t>
      </w:r>
      <w:r w:rsidR="007347A0" w:rsidRPr="00B71E3E">
        <w:rPr>
          <w:rFonts w:ascii="Palatino Linotype" w:hAnsi="Palatino Linotype" w:cs="Tahoma"/>
          <w:bCs/>
          <w:color w:val="0D0D0D" w:themeColor="text1" w:themeTint="F2"/>
          <w:sz w:val="22"/>
          <w:szCs w:val="22"/>
          <w:lang w:val="es-ES"/>
        </w:rPr>
        <w:t xml:space="preserve">, situación por la que no procede validar la respuesta en su totalidad, </w:t>
      </w:r>
      <w:r w:rsidR="00484DBB" w:rsidRPr="00B71E3E">
        <w:rPr>
          <w:rFonts w:ascii="Palatino Linotype" w:hAnsi="Palatino Linotype" w:cs="Tahoma"/>
          <w:bCs/>
          <w:color w:val="0D0D0D" w:themeColor="text1" w:themeTint="F2"/>
          <w:sz w:val="22"/>
          <w:szCs w:val="22"/>
          <w:lang w:val="es-ES"/>
        </w:rPr>
        <w:t xml:space="preserve">por lo que </w:t>
      </w:r>
      <w:r w:rsidR="007347A0" w:rsidRPr="00B71E3E">
        <w:rPr>
          <w:rFonts w:ascii="Palatino Linotype" w:hAnsi="Palatino Linotype" w:cs="Tahoma"/>
          <w:bCs/>
          <w:color w:val="0D0D0D" w:themeColor="text1" w:themeTint="F2"/>
          <w:sz w:val="22"/>
          <w:szCs w:val="22"/>
          <w:lang w:val="es-ES"/>
        </w:rPr>
        <w:t>se realizará e</w:t>
      </w:r>
      <w:r w:rsidR="00484DBB" w:rsidRPr="00B71E3E">
        <w:rPr>
          <w:rFonts w:ascii="Palatino Linotype" w:hAnsi="Palatino Linotype" w:cs="Tahoma"/>
          <w:bCs/>
          <w:color w:val="0D0D0D" w:themeColor="text1" w:themeTint="F2"/>
          <w:sz w:val="22"/>
          <w:szCs w:val="22"/>
          <w:lang w:val="es-ES"/>
        </w:rPr>
        <w:t>l</w:t>
      </w:r>
      <w:r w:rsidR="007347A0" w:rsidRPr="00B71E3E">
        <w:rPr>
          <w:rFonts w:ascii="Palatino Linotype" w:hAnsi="Palatino Linotype" w:cs="Tahoma"/>
          <w:bCs/>
          <w:color w:val="0D0D0D" w:themeColor="text1" w:themeTint="F2"/>
          <w:sz w:val="22"/>
          <w:szCs w:val="22"/>
          <w:lang w:val="es-ES"/>
        </w:rPr>
        <w:t xml:space="preserve"> análisis del dato previamente referido</w:t>
      </w:r>
      <w:r w:rsidR="00AC4F54" w:rsidRPr="00B71E3E">
        <w:rPr>
          <w:rFonts w:ascii="Palatino Linotype" w:hAnsi="Palatino Linotype" w:cs="Tahoma"/>
          <w:bCs/>
          <w:color w:val="0D0D0D" w:themeColor="text1" w:themeTint="F2"/>
          <w:sz w:val="22"/>
          <w:szCs w:val="22"/>
          <w:lang w:val="es-ES"/>
        </w:rPr>
        <w:t>,</w:t>
      </w:r>
      <w:r w:rsidR="007347A0" w:rsidRPr="00B71E3E">
        <w:rPr>
          <w:rFonts w:ascii="Palatino Linotype" w:hAnsi="Palatino Linotype" w:cs="Tahoma"/>
          <w:bCs/>
          <w:color w:val="0D0D0D" w:themeColor="text1" w:themeTint="F2"/>
          <w:sz w:val="22"/>
          <w:szCs w:val="22"/>
          <w:lang w:val="es-ES"/>
        </w:rPr>
        <w:t xml:space="preserve"> a efecto de terminar si actualiza alguna causal de clasificación.</w:t>
      </w:r>
    </w:p>
    <w:p w14:paraId="60C69347" w14:textId="77777777" w:rsidR="007347A0" w:rsidRPr="00B71E3E" w:rsidRDefault="007347A0" w:rsidP="00FD7991">
      <w:pPr>
        <w:spacing w:line="360" w:lineRule="auto"/>
        <w:ind w:right="-93"/>
        <w:contextualSpacing/>
        <w:jc w:val="both"/>
        <w:rPr>
          <w:rFonts w:ascii="Palatino Linotype" w:hAnsi="Palatino Linotype" w:cs="Tahoma"/>
          <w:sz w:val="22"/>
          <w:szCs w:val="22"/>
        </w:rPr>
      </w:pPr>
    </w:p>
    <w:p w14:paraId="220DCA3A" w14:textId="6B958656" w:rsidR="00484DBB" w:rsidRPr="00B71E3E" w:rsidRDefault="00484DBB" w:rsidP="00484DBB">
      <w:pPr>
        <w:spacing w:line="360" w:lineRule="auto"/>
        <w:contextualSpacing/>
        <w:jc w:val="both"/>
        <w:rPr>
          <w:rFonts w:ascii="Palatino Linotype" w:eastAsia="Batang" w:hAnsi="Palatino Linotype" w:cs="Tahoma"/>
          <w:b/>
          <w:sz w:val="22"/>
          <w:szCs w:val="22"/>
          <w:lang w:val="es-ES_tradnl"/>
        </w:rPr>
      </w:pPr>
      <w:r w:rsidRPr="00B71E3E">
        <w:rPr>
          <w:rFonts w:ascii="Palatino Linotype" w:hAnsi="Palatino Linotype" w:cs="Tahoma"/>
          <w:b/>
          <w:iCs/>
          <w:sz w:val="22"/>
          <w:szCs w:val="22"/>
        </w:rPr>
        <w:t xml:space="preserve">Oficios del primero al treinta y uno de mayo de dos mil veintitrés, relacionados con el Recurso de Revisión </w:t>
      </w:r>
      <w:r w:rsidRPr="00B71E3E">
        <w:rPr>
          <w:rFonts w:ascii="Palatino Linotype" w:eastAsia="Batang" w:hAnsi="Palatino Linotype" w:cs="Tahoma"/>
          <w:b/>
          <w:sz w:val="22"/>
          <w:szCs w:val="22"/>
          <w:lang w:val="es-ES_tradnl"/>
        </w:rPr>
        <w:t>01606/INFOEM/IP/RR/2025</w:t>
      </w:r>
      <w:r w:rsidR="005236AE" w:rsidRPr="00B71E3E">
        <w:rPr>
          <w:rFonts w:ascii="Palatino Linotype" w:eastAsia="Batang" w:hAnsi="Palatino Linotype" w:cs="Tahoma"/>
          <w:b/>
          <w:sz w:val="22"/>
          <w:szCs w:val="22"/>
          <w:lang w:val="es-ES_tradnl"/>
        </w:rPr>
        <w:t>, solicitud 03475/TOLUCA/IP/2024</w:t>
      </w:r>
    </w:p>
    <w:p w14:paraId="4EEA0548" w14:textId="77777777" w:rsidR="00E77B44" w:rsidRPr="00B71E3E" w:rsidRDefault="00E77B44" w:rsidP="00484DBB">
      <w:pPr>
        <w:spacing w:line="360" w:lineRule="auto"/>
        <w:contextualSpacing/>
        <w:jc w:val="both"/>
        <w:rPr>
          <w:rFonts w:ascii="Palatino Linotype" w:hAnsi="Palatino Linotype" w:cs="Tahoma"/>
          <w:b/>
          <w:iCs/>
          <w:sz w:val="22"/>
          <w:szCs w:val="22"/>
        </w:rPr>
      </w:pPr>
    </w:p>
    <w:p w14:paraId="4147286D" w14:textId="0032B4F9" w:rsidR="00484DBB" w:rsidRPr="00B71E3E" w:rsidRDefault="00E77B44" w:rsidP="00484DBB">
      <w:pPr>
        <w:spacing w:line="360" w:lineRule="auto"/>
        <w:contextualSpacing/>
        <w:jc w:val="both"/>
        <w:rPr>
          <w:rFonts w:ascii="Palatino Linotype" w:hAnsi="Palatino Linotype" w:cs="Tahoma"/>
          <w:bCs/>
          <w:color w:val="0D0D0D" w:themeColor="text1" w:themeTint="F2"/>
          <w:sz w:val="22"/>
          <w:szCs w:val="22"/>
          <w:lang w:val="es-ES"/>
        </w:rPr>
      </w:pPr>
      <w:r w:rsidRPr="00B71E3E">
        <w:rPr>
          <w:rFonts w:ascii="Palatino Linotype" w:hAnsi="Palatino Linotype" w:cs="Tahoma"/>
          <w:bCs/>
          <w:color w:val="0D0D0D" w:themeColor="text1" w:themeTint="F2"/>
          <w:sz w:val="22"/>
          <w:szCs w:val="22"/>
          <w:lang w:val="es-ES"/>
        </w:rPr>
        <w:lastRenderedPageBreak/>
        <w:t xml:space="preserve"> </w:t>
      </w:r>
      <w:r w:rsidR="00484DBB" w:rsidRPr="00B71E3E">
        <w:rPr>
          <w:rFonts w:ascii="Palatino Linotype" w:hAnsi="Palatino Linotype" w:cs="Tahoma"/>
          <w:bCs/>
          <w:color w:val="0D0D0D" w:themeColor="text1" w:themeTint="F2"/>
          <w:sz w:val="22"/>
          <w:szCs w:val="22"/>
          <w:lang w:val="es-ES"/>
        </w:rPr>
        <w:t>En respuesta, el área competente, proporcionó cincuenta y dos oficios en versión pública, firmados por la Segunda Síndico (</w:t>
      </w:r>
      <w:r w:rsidR="00484DBB" w:rsidRPr="00B71E3E">
        <w:rPr>
          <w:rFonts w:ascii="Palatino Linotype" w:hAnsi="Palatino Linotype"/>
          <w:sz w:val="22"/>
          <w:szCs w:val="22"/>
        </w:rPr>
        <w:t xml:space="preserve">Alma América Rivera </w:t>
      </w:r>
      <w:proofErr w:type="spellStart"/>
      <w:r w:rsidR="00484DBB" w:rsidRPr="00B71E3E">
        <w:rPr>
          <w:rFonts w:ascii="Palatino Linotype" w:hAnsi="Palatino Linotype"/>
          <w:sz w:val="22"/>
          <w:szCs w:val="22"/>
        </w:rPr>
        <w:t>Tavizón</w:t>
      </w:r>
      <w:proofErr w:type="spellEnd"/>
      <w:r w:rsidR="00484DBB" w:rsidRPr="00B71E3E">
        <w:rPr>
          <w:rFonts w:ascii="Palatino Linotype" w:hAnsi="Palatino Linotype"/>
          <w:sz w:val="22"/>
          <w:szCs w:val="22"/>
        </w:rPr>
        <w:t>)</w:t>
      </w:r>
      <w:r w:rsidR="00484DBB" w:rsidRPr="00B71E3E">
        <w:rPr>
          <w:rFonts w:ascii="Palatino Linotype" w:hAnsi="Palatino Linotype" w:cs="Tahoma"/>
          <w:bCs/>
          <w:color w:val="0D0D0D" w:themeColor="text1" w:themeTint="F2"/>
          <w:sz w:val="22"/>
          <w:szCs w:val="22"/>
          <w:lang w:val="es-ES"/>
        </w:rPr>
        <w:t>, para la administración 2022-2024, generados del primero al treinta y uno de mayo de dos mil veintitrés.</w:t>
      </w:r>
    </w:p>
    <w:p w14:paraId="61E6B57D" w14:textId="77777777" w:rsidR="00484DBB" w:rsidRPr="00B71E3E" w:rsidRDefault="00484DBB" w:rsidP="00484DBB">
      <w:pPr>
        <w:spacing w:line="360" w:lineRule="auto"/>
        <w:contextualSpacing/>
        <w:jc w:val="both"/>
        <w:rPr>
          <w:rFonts w:ascii="Palatino Linotype" w:hAnsi="Palatino Linotype" w:cs="Tahoma"/>
          <w:bCs/>
          <w:color w:val="0D0D0D" w:themeColor="text1" w:themeTint="F2"/>
          <w:sz w:val="22"/>
          <w:szCs w:val="22"/>
          <w:lang w:val="es-ES"/>
        </w:rPr>
      </w:pPr>
    </w:p>
    <w:p w14:paraId="370589DA" w14:textId="6C60237D" w:rsidR="005B3FE7" w:rsidRPr="00B71E3E" w:rsidRDefault="005B3FE7" w:rsidP="00484DBB">
      <w:pPr>
        <w:spacing w:line="360" w:lineRule="auto"/>
        <w:contextualSpacing/>
        <w:jc w:val="both"/>
        <w:rPr>
          <w:rFonts w:ascii="Palatino Linotype" w:hAnsi="Palatino Linotype" w:cs="Tahoma"/>
          <w:bCs/>
          <w:color w:val="0D0D0D" w:themeColor="text1" w:themeTint="F2"/>
          <w:sz w:val="22"/>
          <w:szCs w:val="22"/>
          <w:lang w:val="es-ES"/>
        </w:rPr>
      </w:pPr>
      <w:r w:rsidRPr="00B71E3E">
        <w:rPr>
          <w:rFonts w:ascii="Palatino Linotype" w:hAnsi="Palatino Linotype" w:cs="Tahoma"/>
          <w:bCs/>
          <w:color w:val="0D0D0D" w:themeColor="text1" w:themeTint="F2"/>
          <w:sz w:val="22"/>
          <w:szCs w:val="22"/>
          <w:lang w:val="es-ES"/>
        </w:rPr>
        <w:t>Así</w:t>
      </w:r>
      <w:r w:rsidR="00484DBB" w:rsidRPr="00B71E3E">
        <w:rPr>
          <w:rFonts w:ascii="Palatino Linotype" w:hAnsi="Palatino Linotype" w:cs="Tahoma"/>
          <w:bCs/>
          <w:color w:val="0D0D0D" w:themeColor="text1" w:themeTint="F2"/>
          <w:sz w:val="22"/>
          <w:szCs w:val="22"/>
          <w:lang w:val="es-ES"/>
        </w:rPr>
        <w:t xml:space="preserve">, </w:t>
      </w:r>
      <w:r w:rsidR="00FA44E1" w:rsidRPr="00B71E3E">
        <w:rPr>
          <w:rFonts w:ascii="Palatino Linotype" w:hAnsi="Palatino Linotype" w:cs="Tahoma"/>
          <w:bCs/>
          <w:color w:val="0D0D0D" w:themeColor="text1" w:themeTint="F2"/>
          <w:sz w:val="22"/>
          <w:szCs w:val="22"/>
          <w:lang w:val="es-ES"/>
        </w:rPr>
        <w:t xml:space="preserve">del análisis de los </w:t>
      </w:r>
      <w:r w:rsidRPr="00B71E3E">
        <w:rPr>
          <w:rFonts w:ascii="Palatino Linotype" w:hAnsi="Palatino Linotype" w:cs="Tahoma"/>
          <w:bCs/>
          <w:color w:val="0D0D0D" w:themeColor="text1" w:themeTint="F2"/>
          <w:sz w:val="22"/>
          <w:szCs w:val="22"/>
          <w:lang w:val="es-ES"/>
        </w:rPr>
        <w:t xml:space="preserve">oficios </w:t>
      </w:r>
      <w:r w:rsidR="00FA44E1" w:rsidRPr="00B71E3E">
        <w:rPr>
          <w:rFonts w:ascii="Palatino Linotype" w:hAnsi="Palatino Linotype" w:cs="Tahoma"/>
          <w:bCs/>
          <w:color w:val="0D0D0D" w:themeColor="text1" w:themeTint="F2"/>
          <w:sz w:val="22"/>
          <w:szCs w:val="22"/>
          <w:lang w:val="es-ES"/>
        </w:rPr>
        <w:t>remitidos en respuesta, se logró advertir que</w:t>
      </w:r>
      <w:r w:rsidR="00EA61A4" w:rsidRPr="00B71E3E">
        <w:rPr>
          <w:rFonts w:ascii="Palatino Linotype" w:hAnsi="Palatino Linotype" w:cs="Tahoma"/>
          <w:bCs/>
          <w:color w:val="0D0D0D" w:themeColor="text1" w:themeTint="F2"/>
          <w:sz w:val="22"/>
          <w:szCs w:val="22"/>
          <w:lang w:val="es-ES"/>
        </w:rPr>
        <w:t xml:space="preserve"> en </w:t>
      </w:r>
      <w:r w:rsidR="00382BE3" w:rsidRPr="00B71E3E">
        <w:rPr>
          <w:rFonts w:ascii="Palatino Linotype" w:hAnsi="Palatino Linotype" w:cs="Tahoma"/>
          <w:bCs/>
          <w:color w:val="0D0D0D" w:themeColor="text1" w:themeTint="F2"/>
          <w:sz w:val="22"/>
          <w:szCs w:val="22"/>
          <w:lang w:val="es-ES"/>
        </w:rPr>
        <w:t>los oficios 302/</w:t>
      </w:r>
      <w:r w:rsidR="00382BE3" w:rsidRPr="00B71E3E">
        <w:rPr>
          <w:rFonts w:ascii="Palatino Linotype" w:hAnsi="Palatino Linotype" w:cs="Tahoma"/>
          <w:b/>
          <w:color w:val="0D0D0D" w:themeColor="text1" w:themeTint="F2"/>
          <w:sz w:val="22"/>
          <w:szCs w:val="22"/>
          <w:lang w:val="es-ES"/>
        </w:rPr>
        <w:t>231</w:t>
      </w:r>
      <w:r w:rsidR="00382BE3" w:rsidRPr="00B71E3E">
        <w:rPr>
          <w:rFonts w:ascii="Palatino Linotype" w:hAnsi="Palatino Linotype" w:cs="Tahoma"/>
          <w:bCs/>
          <w:color w:val="0D0D0D" w:themeColor="text1" w:themeTint="F2"/>
          <w:sz w:val="22"/>
          <w:szCs w:val="22"/>
          <w:lang w:val="es-ES"/>
        </w:rPr>
        <w:t>/2023, 302/</w:t>
      </w:r>
      <w:r w:rsidR="00382BE3" w:rsidRPr="00B71E3E">
        <w:rPr>
          <w:rFonts w:ascii="Palatino Linotype" w:hAnsi="Palatino Linotype" w:cs="Tahoma"/>
          <w:b/>
          <w:color w:val="0D0D0D" w:themeColor="text1" w:themeTint="F2"/>
          <w:sz w:val="22"/>
          <w:szCs w:val="22"/>
          <w:lang w:val="es-ES"/>
        </w:rPr>
        <w:t>232</w:t>
      </w:r>
      <w:r w:rsidR="00382BE3" w:rsidRPr="00B71E3E">
        <w:rPr>
          <w:rFonts w:ascii="Palatino Linotype" w:hAnsi="Palatino Linotype" w:cs="Tahoma"/>
          <w:bCs/>
          <w:color w:val="0D0D0D" w:themeColor="text1" w:themeTint="F2"/>
          <w:sz w:val="22"/>
          <w:szCs w:val="22"/>
          <w:lang w:val="es-ES"/>
        </w:rPr>
        <w:t>/2023, 302/</w:t>
      </w:r>
      <w:r w:rsidR="00382BE3" w:rsidRPr="00B71E3E">
        <w:rPr>
          <w:rFonts w:ascii="Palatino Linotype" w:hAnsi="Palatino Linotype" w:cs="Tahoma"/>
          <w:b/>
          <w:color w:val="0D0D0D" w:themeColor="text1" w:themeTint="F2"/>
          <w:sz w:val="22"/>
          <w:szCs w:val="22"/>
          <w:lang w:val="es-ES"/>
        </w:rPr>
        <w:t>238</w:t>
      </w:r>
      <w:r w:rsidR="00382BE3" w:rsidRPr="00B71E3E">
        <w:rPr>
          <w:rFonts w:ascii="Palatino Linotype" w:hAnsi="Palatino Linotype" w:cs="Tahoma"/>
          <w:bCs/>
          <w:color w:val="0D0D0D" w:themeColor="text1" w:themeTint="F2"/>
          <w:sz w:val="22"/>
          <w:szCs w:val="22"/>
          <w:lang w:val="es-ES"/>
        </w:rPr>
        <w:t>/2023, 302/</w:t>
      </w:r>
      <w:r w:rsidR="00382BE3" w:rsidRPr="00B71E3E">
        <w:rPr>
          <w:rFonts w:ascii="Palatino Linotype" w:hAnsi="Palatino Linotype" w:cs="Tahoma"/>
          <w:b/>
          <w:color w:val="0D0D0D" w:themeColor="text1" w:themeTint="F2"/>
          <w:sz w:val="22"/>
          <w:szCs w:val="22"/>
          <w:lang w:val="es-ES"/>
        </w:rPr>
        <w:t>245</w:t>
      </w:r>
      <w:r w:rsidR="00382BE3" w:rsidRPr="00B71E3E">
        <w:rPr>
          <w:rFonts w:ascii="Palatino Linotype" w:hAnsi="Palatino Linotype" w:cs="Tahoma"/>
          <w:bCs/>
          <w:color w:val="0D0D0D" w:themeColor="text1" w:themeTint="F2"/>
          <w:sz w:val="22"/>
          <w:szCs w:val="22"/>
          <w:lang w:val="es-ES"/>
        </w:rPr>
        <w:t>/2023,</w:t>
      </w:r>
      <w:r w:rsidR="00680255" w:rsidRPr="00B71E3E">
        <w:rPr>
          <w:rFonts w:ascii="Palatino Linotype" w:hAnsi="Palatino Linotype" w:cs="Tahoma"/>
          <w:bCs/>
          <w:color w:val="0D0D0D" w:themeColor="text1" w:themeTint="F2"/>
          <w:sz w:val="22"/>
          <w:szCs w:val="22"/>
          <w:lang w:val="es-ES"/>
        </w:rPr>
        <w:t xml:space="preserve"> y 302/</w:t>
      </w:r>
      <w:r w:rsidR="00680255" w:rsidRPr="00B71E3E">
        <w:rPr>
          <w:rFonts w:ascii="Palatino Linotype" w:hAnsi="Palatino Linotype" w:cs="Tahoma"/>
          <w:b/>
          <w:color w:val="0D0D0D" w:themeColor="text1" w:themeTint="F2"/>
          <w:sz w:val="22"/>
          <w:szCs w:val="22"/>
          <w:lang w:val="es-ES"/>
        </w:rPr>
        <w:t>284</w:t>
      </w:r>
      <w:r w:rsidR="00680255" w:rsidRPr="00B71E3E">
        <w:rPr>
          <w:rFonts w:ascii="Palatino Linotype" w:hAnsi="Palatino Linotype" w:cs="Tahoma"/>
          <w:bCs/>
          <w:color w:val="0D0D0D" w:themeColor="text1" w:themeTint="F2"/>
          <w:sz w:val="22"/>
          <w:szCs w:val="22"/>
          <w:lang w:val="es-ES"/>
        </w:rPr>
        <w:t>/2023</w:t>
      </w:r>
      <w:r w:rsidR="00382BE3" w:rsidRPr="00B71E3E">
        <w:rPr>
          <w:rFonts w:ascii="Palatino Linotype" w:hAnsi="Palatino Linotype" w:cs="Tahoma"/>
          <w:bCs/>
          <w:color w:val="0D0D0D" w:themeColor="text1" w:themeTint="F2"/>
          <w:sz w:val="22"/>
          <w:szCs w:val="22"/>
          <w:lang w:val="es-ES"/>
        </w:rPr>
        <w:t xml:space="preserve">  c</w:t>
      </w:r>
      <w:r w:rsidR="00FA44E1" w:rsidRPr="00B71E3E">
        <w:rPr>
          <w:rFonts w:ascii="Palatino Linotype" w:hAnsi="Palatino Linotype" w:cs="Tahoma"/>
          <w:bCs/>
          <w:color w:val="0D0D0D" w:themeColor="text1" w:themeTint="F2"/>
          <w:sz w:val="22"/>
          <w:szCs w:val="22"/>
          <w:lang w:val="es-ES"/>
        </w:rPr>
        <w:t>lasificó</w:t>
      </w:r>
      <w:r w:rsidRPr="00B71E3E">
        <w:rPr>
          <w:rFonts w:ascii="Palatino Linotype" w:hAnsi="Palatino Linotype" w:cs="Tahoma"/>
          <w:bCs/>
          <w:color w:val="0D0D0D" w:themeColor="text1" w:themeTint="F2"/>
          <w:sz w:val="22"/>
          <w:szCs w:val="22"/>
          <w:lang w:val="es-ES"/>
        </w:rPr>
        <w:t xml:space="preserve"> </w:t>
      </w:r>
      <w:r w:rsidR="00382BE3" w:rsidRPr="00B71E3E">
        <w:rPr>
          <w:rFonts w:ascii="Palatino Linotype" w:hAnsi="Palatino Linotype" w:cs="Tahoma"/>
          <w:bCs/>
          <w:color w:val="0D0D0D" w:themeColor="text1" w:themeTint="F2"/>
          <w:sz w:val="22"/>
          <w:szCs w:val="22"/>
          <w:lang w:val="es-ES"/>
        </w:rPr>
        <w:t>el nombre servidores públicos, nombre de instituciones educativas y sus directivos</w:t>
      </w:r>
      <w:r w:rsidRPr="00B71E3E">
        <w:rPr>
          <w:rFonts w:ascii="Palatino Linotype" w:hAnsi="Palatino Linotype" w:cs="Tahoma"/>
          <w:bCs/>
          <w:color w:val="0D0D0D" w:themeColor="text1" w:themeTint="F2"/>
          <w:sz w:val="22"/>
          <w:szCs w:val="22"/>
          <w:lang w:val="es-ES"/>
        </w:rPr>
        <w:t>,</w:t>
      </w:r>
      <w:r w:rsidR="00382BE3" w:rsidRPr="00B71E3E">
        <w:rPr>
          <w:rFonts w:ascii="Palatino Linotype" w:hAnsi="Palatino Linotype" w:cs="Tahoma"/>
          <w:bCs/>
          <w:color w:val="0D0D0D" w:themeColor="text1" w:themeTint="F2"/>
          <w:sz w:val="22"/>
          <w:szCs w:val="22"/>
          <w:lang w:val="es-ES"/>
        </w:rPr>
        <w:t xml:space="preserve"> nombre de particulares en su calidad de </w:t>
      </w:r>
      <w:proofErr w:type="spellStart"/>
      <w:r w:rsidR="00382BE3" w:rsidRPr="00B71E3E">
        <w:rPr>
          <w:rFonts w:ascii="Palatino Linotype" w:hAnsi="Palatino Linotype" w:cs="Tahoma"/>
          <w:bCs/>
          <w:color w:val="0D0D0D" w:themeColor="text1" w:themeTint="F2"/>
          <w:sz w:val="22"/>
          <w:szCs w:val="22"/>
          <w:lang w:val="es-ES"/>
        </w:rPr>
        <w:t>exservidores</w:t>
      </w:r>
      <w:proofErr w:type="spellEnd"/>
      <w:r w:rsidR="00382BE3" w:rsidRPr="00B71E3E">
        <w:rPr>
          <w:rFonts w:ascii="Palatino Linotype" w:hAnsi="Palatino Linotype" w:cs="Tahoma"/>
          <w:bCs/>
          <w:color w:val="0D0D0D" w:themeColor="text1" w:themeTint="F2"/>
          <w:sz w:val="22"/>
          <w:szCs w:val="22"/>
          <w:lang w:val="es-ES"/>
        </w:rPr>
        <w:t xml:space="preserve"> públicos, nombre de </w:t>
      </w:r>
      <w:proofErr w:type="spellStart"/>
      <w:r w:rsidR="00382BE3" w:rsidRPr="00B71E3E">
        <w:rPr>
          <w:rFonts w:ascii="Palatino Linotype" w:hAnsi="Palatino Linotype" w:cs="Tahoma"/>
          <w:bCs/>
          <w:color w:val="0D0D0D" w:themeColor="text1" w:themeTint="F2"/>
          <w:sz w:val="22"/>
          <w:szCs w:val="22"/>
          <w:lang w:val="es-ES"/>
        </w:rPr>
        <w:t>exservidores</w:t>
      </w:r>
      <w:proofErr w:type="spellEnd"/>
      <w:r w:rsidR="00382BE3" w:rsidRPr="00B71E3E">
        <w:rPr>
          <w:rFonts w:ascii="Palatino Linotype" w:hAnsi="Palatino Linotype" w:cs="Tahoma"/>
          <w:bCs/>
          <w:color w:val="0D0D0D" w:themeColor="text1" w:themeTint="F2"/>
          <w:sz w:val="22"/>
          <w:szCs w:val="22"/>
          <w:lang w:val="es-ES"/>
        </w:rPr>
        <w:t xml:space="preserve"> públicos que obtuvieron resolución favorable </w:t>
      </w:r>
      <w:r w:rsidR="00680255" w:rsidRPr="00B71E3E">
        <w:rPr>
          <w:rFonts w:ascii="Palatino Linotype" w:hAnsi="Palatino Linotype" w:cs="Tahoma"/>
          <w:bCs/>
          <w:color w:val="0D0D0D" w:themeColor="text1" w:themeTint="F2"/>
          <w:sz w:val="22"/>
          <w:szCs w:val="22"/>
          <w:lang w:val="es-ES"/>
        </w:rPr>
        <w:t xml:space="preserve">y </w:t>
      </w:r>
      <w:r w:rsidR="00382BE3" w:rsidRPr="00B71E3E">
        <w:rPr>
          <w:rFonts w:ascii="Palatino Linotype" w:hAnsi="Palatino Linotype" w:cs="Tahoma"/>
          <w:bCs/>
          <w:color w:val="0D0D0D" w:themeColor="text1" w:themeTint="F2"/>
          <w:sz w:val="22"/>
          <w:szCs w:val="22"/>
          <w:lang w:val="es-ES"/>
        </w:rPr>
        <w:t xml:space="preserve">nombre de representante legal o proveedor,  </w:t>
      </w:r>
      <w:r w:rsidRPr="00B71E3E">
        <w:rPr>
          <w:rFonts w:ascii="Palatino Linotype" w:hAnsi="Palatino Linotype" w:cs="Tahoma"/>
          <w:bCs/>
          <w:color w:val="0D0D0D" w:themeColor="text1" w:themeTint="F2"/>
          <w:sz w:val="22"/>
          <w:szCs w:val="22"/>
          <w:lang w:val="es-ES"/>
        </w:rPr>
        <w:t xml:space="preserve"> los cuales se </w:t>
      </w:r>
      <w:r w:rsidR="00EA61A4" w:rsidRPr="00B71E3E">
        <w:rPr>
          <w:rFonts w:ascii="Palatino Linotype" w:hAnsi="Palatino Linotype" w:cs="Tahoma"/>
          <w:bCs/>
          <w:color w:val="0D0D0D" w:themeColor="text1" w:themeTint="F2"/>
          <w:sz w:val="22"/>
          <w:szCs w:val="22"/>
          <w:lang w:val="es-ES"/>
        </w:rPr>
        <w:t>analizarán en el apartado de versión Pública para determinar la procedencia de su clasificación.</w:t>
      </w:r>
    </w:p>
    <w:p w14:paraId="6685034B" w14:textId="77777777" w:rsidR="00680255" w:rsidRPr="00B71E3E" w:rsidRDefault="00680255" w:rsidP="00484DBB">
      <w:pPr>
        <w:spacing w:line="360" w:lineRule="auto"/>
        <w:contextualSpacing/>
        <w:jc w:val="both"/>
        <w:rPr>
          <w:rFonts w:ascii="Palatino Linotype" w:hAnsi="Palatino Linotype" w:cs="Tahoma"/>
          <w:bCs/>
          <w:color w:val="0D0D0D" w:themeColor="text1" w:themeTint="F2"/>
          <w:sz w:val="22"/>
          <w:szCs w:val="22"/>
          <w:lang w:val="es-ES"/>
        </w:rPr>
      </w:pPr>
    </w:p>
    <w:p w14:paraId="6F3AC76D" w14:textId="00F03C54" w:rsidR="00680255" w:rsidRPr="00B71E3E" w:rsidRDefault="00680255" w:rsidP="00680255">
      <w:pPr>
        <w:spacing w:line="360" w:lineRule="auto"/>
        <w:ind w:right="-93"/>
        <w:contextualSpacing/>
        <w:jc w:val="both"/>
        <w:rPr>
          <w:rFonts w:ascii="Palatino Linotype" w:hAnsi="Palatino Linotype" w:cs="Tahoma"/>
          <w:sz w:val="22"/>
          <w:szCs w:val="22"/>
        </w:rPr>
      </w:pPr>
      <w:r w:rsidRPr="00B71E3E">
        <w:rPr>
          <w:rFonts w:ascii="Palatino Linotype" w:hAnsi="Palatino Linotype" w:cs="Tahoma"/>
          <w:bCs/>
          <w:color w:val="0D0D0D" w:themeColor="text1" w:themeTint="F2"/>
          <w:sz w:val="22"/>
          <w:szCs w:val="22"/>
          <w:lang w:val="es-ES"/>
        </w:rPr>
        <w:t>Además, se logró vislumbrar que, si bien los oficios proporcionados corresponden al mes y año requerido, lo cierto es que se encuentran incompletos, pues de su análisis se logró advertir, que los números de oficio no se encuentran de manera consecutiva, por lo que se observó la falta de entrega de los siguientes oficios con números: 302/</w:t>
      </w:r>
      <w:r w:rsidRPr="00B71E3E">
        <w:rPr>
          <w:rFonts w:ascii="Palatino Linotype" w:hAnsi="Palatino Linotype" w:cs="Tahoma"/>
          <w:b/>
          <w:color w:val="0D0D0D" w:themeColor="text1" w:themeTint="F2"/>
          <w:sz w:val="22"/>
          <w:szCs w:val="22"/>
          <w:lang w:val="es-ES"/>
        </w:rPr>
        <w:t>248</w:t>
      </w:r>
      <w:r w:rsidRPr="00B71E3E">
        <w:rPr>
          <w:rFonts w:ascii="Palatino Linotype" w:hAnsi="Palatino Linotype" w:cs="Tahoma"/>
          <w:bCs/>
          <w:color w:val="0D0D0D" w:themeColor="text1" w:themeTint="F2"/>
          <w:sz w:val="22"/>
          <w:szCs w:val="22"/>
          <w:lang w:val="es-ES"/>
        </w:rPr>
        <w:t>/2023, 302/</w:t>
      </w:r>
      <w:r w:rsidRPr="00B71E3E">
        <w:rPr>
          <w:rFonts w:ascii="Palatino Linotype" w:hAnsi="Palatino Linotype" w:cs="Tahoma"/>
          <w:b/>
          <w:color w:val="0D0D0D" w:themeColor="text1" w:themeTint="F2"/>
          <w:sz w:val="22"/>
          <w:szCs w:val="22"/>
          <w:lang w:val="es-ES"/>
        </w:rPr>
        <w:t>159</w:t>
      </w:r>
      <w:r w:rsidRPr="00B71E3E">
        <w:rPr>
          <w:rFonts w:ascii="Palatino Linotype" w:hAnsi="Palatino Linotype" w:cs="Tahoma"/>
          <w:bCs/>
          <w:color w:val="0D0D0D" w:themeColor="text1" w:themeTint="F2"/>
          <w:sz w:val="22"/>
          <w:szCs w:val="22"/>
          <w:lang w:val="es-ES"/>
        </w:rPr>
        <w:t>/2023, 302/</w:t>
      </w:r>
      <w:r w:rsidRPr="00B71E3E">
        <w:rPr>
          <w:rFonts w:ascii="Palatino Linotype" w:hAnsi="Palatino Linotype" w:cs="Tahoma"/>
          <w:b/>
          <w:color w:val="0D0D0D" w:themeColor="text1" w:themeTint="F2"/>
          <w:sz w:val="22"/>
          <w:szCs w:val="22"/>
          <w:lang w:val="es-ES"/>
        </w:rPr>
        <w:t>272</w:t>
      </w:r>
      <w:r w:rsidRPr="00B71E3E">
        <w:rPr>
          <w:rFonts w:ascii="Palatino Linotype" w:hAnsi="Palatino Linotype" w:cs="Tahoma"/>
          <w:bCs/>
          <w:color w:val="0D0D0D" w:themeColor="text1" w:themeTint="F2"/>
          <w:sz w:val="22"/>
          <w:szCs w:val="22"/>
          <w:lang w:val="es-ES"/>
        </w:rPr>
        <w:t>/2023, 302/</w:t>
      </w:r>
      <w:r w:rsidRPr="00B71E3E">
        <w:rPr>
          <w:rFonts w:ascii="Palatino Linotype" w:hAnsi="Palatino Linotype" w:cs="Tahoma"/>
          <w:b/>
          <w:color w:val="0D0D0D" w:themeColor="text1" w:themeTint="F2"/>
          <w:sz w:val="22"/>
          <w:szCs w:val="22"/>
          <w:lang w:val="es-ES"/>
        </w:rPr>
        <w:t>273</w:t>
      </w:r>
      <w:r w:rsidRPr="00B71E3E">
        <w:rPr>
          <w:rFonts w:ascii="Palatino Linotype" w:hAnsi="Palatino Linotype" w:cs="Tahoma"/>
          <w:bCs/>
          <w:color w:val="0D0D0D" w:themeColor="text1" w:themeTint="F2"/>
          <w:sz w:val="22"/>
          <w:szCs w:val="22"/>
          <w:lang w:val="es-ES"/>
        </w:rPr>
        <w:t>/2023, 302/</w:t>
      </w:r>
      <w:r w:rsidRPr="00B71E3E">
        <w:rPr>
          <w:rFonts w:ascii="Palatino Linotype" w:hAnsi="Palatino Linotype" w:cs="Tahoma"/>
          <w:b/>
          <w:color w:val="0D0D0D" w:themeColor="text1" w:themeTint="F2"/>
          <w:sz w:val="22"/>
          <w:szCs w:val="22"/>
          <w:lang w:val="es-ES"/>
        </w:rPr>
        <w:t>274</w:t>
      </w:r>
      <w:r w:rsidRPr="00B71E3E">
        <w:rPr>
          <w:rFonts w:ascii="Palatino Linotype" w:hAnsi="Palatino Linotype" w:cs="Tahoma"/>
          <w:bCs/>
          <w:color w:val="0D0D0D" w:themeColor="text1" w:themeTint="F2"/>
          <w:sz w:val="22"/>
          <w:szCs w:val="22"/>
          <w:lang w:val="es-ES"/>
        </w:rPr>
        <w:t>/2023, 302/</w:t>
      </w:r>
      <w:r w:rsidRPr="00B71E3E">
        <w:rPr>
          <w:rFonts w:ascii="Palatino Linotype" w:hAnsi="Palatino Linotype" w:cs="Tahoma"/>
          <w:b/>
          <w:color w:val="0D0D0D" w:themeColor="text1" w:themeTint="F2"/>
          <w:sz w:val="22"/>
          <w:szCs w:val="22"/>
          <w:lang w:val="es-ES"/>
        </w:rPr>
        <w:t>275</w:t>
      </w:r>
      <w:r w:rsidRPr="00B71E3E">
        <w:rPr>
          <w:rFonts w:ascii="Palatino Linotype" w:hAnsi="Palatino Linotype" w:cs="Tahoma"/>
          <w:bCs/>
          <w:color w:val="0D0D0D" w:themeColor="text1" w:themeTint="F2"/>
          <w:sz w:val="22"/>
          <w:szCs w:val="22"/>
          <w:lang w:val="es-ES"/>
        </w:rPr>
        <w:t>/2023, 302/</w:t>
      </w:r>
      <w:r w:rsidRPr="00B71E3E">
        <w:rPr>
          <w:rFonts w:ascii="Palatino Linotype" w:hAnsi="Palatino Linotype" w:cs="Tahoma"/>
          <w:b/>
          <w:color w:val="0D0D0D" w:themeColor="text1" w:themeTint="F2"/>
          <w:sz w:val="22"/>
          <w:szCs w:val="22"/>
          <w:lang w:val="es-ES"/>
        </w:rPr>
        <w:t>276</w:t>
      </w:r>
      <w:r w:rsidRPr="00B71E3E">
        <w:rPr>
          <w:rFonts w:ascii="Palatino Linotype" w:hAnsi="Palatino Linotype" w:cs="Tahoma"/>
          <w:bCs/>
          <w:color w:val="0D0D0D" w:themeColor="text1" w:themeTint="F2"/>
          <w:sz w:val="22"/>
          <w:szCs w:val="22"/>
          <w:lang w:val="es-ES"/>
        </w:rPr>
        <w:t>/2023, 302/</w:t>
      </w:r>
      <w:r w:rsidRPr="00B71E3E">
        <w:rPr>
          <w:rFonts w:ascii="Palatino Linotype" w:hAnsi="Palatino Linotype" w:cs="Tahoma"/>
          <w:b/>
          <w:color w:val="0D0D0D" w:themeColor="text1" w:themeTint="F2"/>
          <w:sz w:val="22"/>
          <w:szCs w:val="22"/>
          <w:lang w:val="es-ES"/>
        </w:rPr>
        <w:t>277</w:t>
      </w:r>
      <w:r w:rsidRPr="00B71E3E">
        <w:rPr>
          <w:rFonts w:ascii="Palatino Linotype" w:hAnsi="Palatino Linotype" w:cs="Tahoma"/>
          <w:bCs/>
          <w:color w:val="0D0D0D" w:themeColor="text1" w:themeTint="F2"/>
          <w:sz w:val="22"/>
          <w:szCs w:val="22"/>
          <w:lang w:val="es-ES"/>
        </w:rPr>
        <w:t xml:space="preserve">/2023, por lo que deberá proporcionarlos a efecto de dar </w:t>
      </w:r>
      <w:r w:rsidRPr="00B71E3E">
        <w:rPr>
          <w:rFonts w:ascii="Palatino Linotype" w:hAnsi="Palatino Linotype" w:cs="Tahoma"/>
          <w:sz w:val="22"/>
          <w:szCs w:val="22"/>
        </w:rPr>
        <w:t xml:space="preserve">cumplimiento a los artículos 12 y 160 de la Ley de la materia. </w:t>
      </w:r>
    </w:p>
    <w:p w14:paraId="45AE1B59" w14:textId="77777777" w:rsidR="00EA61A4" w:rsidRPr="00B71E3E" w:rsidRDefault="00EA61A4" w:rsidP="00484DBB">
      <w:pPr>
        <w:spacing w:line="360" w:lineRule="auto"/>
        <w:contextualSpacing/>
        <w:jc w:val="both"/>
        <w:rPr>
          <w:rFonts w:ascii="Palatino Linotype" w:hAnsi="Palatino Linotype" w:cs="Tahoma"/>
          <w:bCs/>
          <w:color w:val="0D0D0D" w:themeColor="text1" w:themeTint="F2"/>
          <w:sz w:val="22"/>
          <w:szCs w:val="22"/>
          <w:lang w:val="es-ES"/>
        </w:rPr>
      </w:pPr>
    </w:p>
    <w:p w14:paraId="3A731701" w14:textId="7D49F762" w:rsidR="00EA61A4" w:rsidRPr="00B71E3E" w:rsidRDefault="00EA61A4" w:rsidP="00484DBB">
      <w:pPr>
        <w:spacing w:line="360" w:lineRule="auto"/>
        <w:contextualSpacing/>
        <w:jc w:val="both"/>
        <w:rPr>
          <w:rFonts w:ascii="Palatino Linotype" w:hAnsi="Palatino Linotype" w:cs="Tahoma"/>
          <w:bCs/>
          <w:color w:val="0D0D0D" w:themeColor="text1" w:themeTint="F2"/>
          <w:sz w:val="22"/>
          <w:szCs w:val="22"/>
          <w:lang w:val="es-ES"/>
        </w:rPr>
      </w:pPr>
      <w:r w:rsidRPr="00B71E3E">
        <w:rPr>
          <w:rFonts w:ascii="Palatino Linotype" w:hAnsi="Palatino Linotype" w:cs="Tahoma"/>
          <w:bCs/>
          <w:color w:val="0D0D0D" w:themeColor="text1" w:themeTint="F2"/>
          <w:sz w:val="22"/>
          <w:szCs w:val="22"/>
          <w:lang w:val="es-ES"/>
        </w:rPr>
        <w:t>Por lo anteriormente expuesto, se advierte que si bien el área competente, realizó la entrega de los oficios en las temporalidades requeridas, lo cierto es que clasificó diversa información en las versiones públicas, las cuales se sustentaron a través del acuerdo de clasificación, sin embargo, se considera que se clasificó información de carácter pública, por lo que se procede al análisis de dichos datos.</w:t>
      </w:r>
    </w:p>
    <w:p w14:paraId="62D182A7" w14:textId="77777777" w:rsidR="00484DBB" w:rsidRPr="00B71E3E" w:rsidRDefault="00484DBB" w:rsidP="00484DBB">
      <w:pPr>
        <w:spacing w:line="360" w:lineRule="auto"/>
        <w:contextualSpacing/>
        <w:jc w:val="both"/>
        <w:rPr>
          <w:rFonts w:ascii="Palatino Linotype" w:hAnsi="Palatino Linotype" w:cs="Tahoma"/>
          <w:bCs/>
          <w:color w:val="0D0D0D" w:themeColor="text1" w:themeTint="F2"/>
          <w:sz w:val="22"/>
          <w:szCs w:val="22"/>
          <w:lang w:val="es-ES"/>
        </w:rPr>
      </w:pPr>
    </w:p>
    <w:p w14:paraId="3FA303A7" w14:textId="06E078CB" w:rsidR="001A7428" w:rsidRPr="00B71E3E" w:rsidRDefault="001A7428" w:rsidP="001A7428">
      <w:pPr>
        <w:tabs>
          <w:tab w:val="left" w:pos="4962"/>
        </w:tabs>
        <w:spacing w:line="360" w:lineRule="auto"/>
        <w:contextualSpacing/>
        <w:jc w:val="both"/>
        <w:rPr>
          <w:rFonts w:ascii="Palatino Linotype" w:eastAsia="Calibri" w:hAnsi="Palatino Linotype" w:cs="Tahoma"/>
          <w:b/>
          <w:color w:val="000000" w:themeColor="text1"/>
          <w:sz w:val="22"/>
          <w:szCs w:val="22"/>
          <w:lang w:val="es-ES" w:eastAsia="en-US"/>
        </w:rPr>
      </w:pPr>
      <w:r w:rsidRPr="00B71E3E">
        <w:rPr>
          <w:rFonts w:ascii="Palatino Linotype" w:eastAsia="Calibri" w:hAnsi="Palatino Linotype" w:cs="Tahoma"/>
          <w:b/>
          <w:color w:val="000000" w:themeColor="text1"/>
          <w:sz w:val="22"/>
          <w:szCs w:val="22"/>
          <w:lang w:val="es-ES" w:eastAsia="en-US"/>
        </w:rPr>
        <w:t xml:space="preserve">Versión Pública </w:t>
      </w:r>
    </w:p>
    <w:p w14:paraId="0649E1BB" w14:textId="77777777" w:rsidR="001A7428" w:rsidRPr="00B71E3E" w:rsidRDefault="001A7428" w:rsidP="001A7428">
      <w:pPr>
        <w:tabs>
          <w:tab w:val="left" w:pos="4962"/>
        </w:tabs>
        <w:spacing w:line="360" w:lineRule="auto"/>
        <w:contextualSpacing/>
        <w:jc w:val="both"/>
        <w:rPr>
          <w:rFonts w:ascii="Palatino Linotype" w:eastAsia="Calibri" w:hAnsi="Palatino Linotype" w:cs="Tahoma"/>
          <w:bCs/>
          <w:color w:val="000000" w:themeColor="text1"/>
          <w:sz w:val="22"/>
          <w:szCs w:val="22"/>
          <w:lang w:val="es-ES" w:eastAsia="en-US"/>
        </w:rPr>
      </w:pPr>
    </w:p>
    <w:p w14:paraId="6E285DD3" w14:textId="1DB0EFB3" w:rsidR="001A7428" w:rsidRPr="00B71E3E" w:rsidRDefault="00E77B44" w:rsidP="001A7428">
      <w:pPr>
        <w:tabs>
          <w:tab w:val="left" w:pos="4962"/>
        </w:tabs>
        <w:spacing w:line="360" w:lineRule="auto"/>
        <w:contextualSpacing/>
        <w:jc w:val="both"/>
        <w:rPr>
          <w:rFonts w:ascii="Palatino Linotype" w:eastAsia="Calibri" w:hAnsi="Palatino Linotype" w:cs="Tahoma"/>
          <w:bCs/>
          <w:color w:val="000000" w:themeColor="text1"/>
          <w:sz w:val="22"/>
          <w:szCs w:val="22"/>
          <w:lang w:val="es-ES" w:eastAsia="en-US"/>
        </w:rPr>
      </w:pPr>
      <w:r w:rsidRPr="00B71E3E">
        <w:rPr>
          <w:rFonts w:ascii="Palatino Linotype" w:eastAsia="Calibri" w:hAnsi="Palatino Linotype" w:cs="Tahoma"/>
          <w:bCs/>
          <w:color w:val="000000" w:themeColor="text1"/>
          <w:sz w:val="22"/>
          <w:szCs w:val="22"/>
          <w:lang w:val="es-ES" w:eastAsia="en-US"/>
        </w:rPr>
        <w:t>Por lo que hace a las</w:t>
      </w:r>
      <w:r w:rsidR="001A7428" w:rsidRPr="00B71E3E">
        <w:rPr>
          <w:rFonts w:ascii="Palatino Linotype" w:eastAsia="Calibri" w:hAnsi="Palatino Linotype" w:cs="Tahoma"/>
          <w:bCs/>
          <w:color w:val="000000" w:themeColor="text1"/>
          <w:sz w:val="22"/>
          <w:szCs w:val="22"/>
          <w:lang w:val="es-ES" w:eastAsia="en-US"/>
        </w:rPr>
        <w:t xml:space="preserve"> </w:t>
      </w:r>
      <w:r w:rsidRPr="00B71E3E">
        <w:rPr>
          <w:rFonts w:ascii="Palatino Linotype" w:eastAsia="Calibri" w:hAnsi="Palatino Linotype" w:cs="Tahoma"/>
          <w:bCs/>
          <w:color w:val="000000" w:themeColor="text1"/>
          <w:sz w:val="22"/>
          <w:szCs w:val="22"/>
          <w:lang w:val="es-ES" w:eastAsia="en-US"/>
        </w:rPr>
        <w:t xml:space="preserve">versiones </w:t>
      </w:r>
      <w:r w:rsidR="001A7428" w:rsidRPr="00B71E3E">
        <w:rPr>
          <w:rFonts w:ascii="Palatino Linotype" w:eastAsia="Calibri" w:hAnsi="Palatino Linotype" w:cs="Tahoma"/>
          <w:bCs/>
          <w:color w:val="000000" w:themeColor="text1"/>
          <w:sz w:val="22"/>
          <w:szCs w:val="22"/>
          <w:lang w:val="es-ES" w:eastAsia="en-US"/>
        </w:rPr>
        <w:t>pública</w:t>
      </w:r>
      <w:r w:rsidRPr="00B71E3E">
        <w:rPr>
          <w:rFonts w:ascii="Palatino Linotype" w:eastAsia="Calibri" w:hAnsi="Palatino Linotype" w:cs="Tahoma"/>
          <w:bCs/>
          <w:color w:val="000000" w:themeColor="text1"/>
          <w:sz w:val="22"/>
          <w:szCs w:val="22"/>
          <w:lang w:val="es-ES" w:eastAsia="en-US"/>
        </w:rPr>
        <w:t xml:space="preserve">s entregadas, </w:t>
      </w:r>
      <w:r w:rsidR="001A7428" w:rsidRPr="00B71E3E">
        <w:rPr>
          <w:rFonts w:ascii="Palatino Linotype" w:eastAsia="Calibri" w:hAnsi="Palatino Linotype" w:cs="Tahoma"/>
          <w:bCs/>
          <w:color w:val="000000" w:themeColor="text1"/>
          <w:sz w:val="22"/>
          <w:szCs w:val="22"/>
          <w:lang w:val="es-ES" w:eastAsia="en-US"/>
        </w:rPr>
        <w:t xml:space="preserve">se procede analizar si actualizan alguna de </w:t>
      </w:r>
      <w:proofErr w:type="gramStart"/>
      <w:r w:rsidR="001A7428" w:rsidRPr="00B71E3E">
        <w:rPr>
          <w:rFonts w:ascii="Palatino Linotype" w:eastAsia="Calibri" w:hAnsi="Palatino Linotype" w:cs="Tahoma"/>
          <w:bCs/>
          <w:color w:val="000000" w:themeColor="text1"/>
          <w:sz w:val="22"/>
          <w:szCs w:val="22"/>
          <w:lang w:val="es-ES" w:eastAsia="en-US"/>
        </w:rPr>
        <w:t>las causales clasificación</w:t>
      </w:r>
      <w:proofErr w:type="gramEnd"/>
      <w:r w:rsidR="001A7428" w:rsidRPr="00B71E3E">
        <w:rPr>
          <w:rFonts w:ascii="Palatino Linotype" w:eastAsia="Calibri" w:hAnsi="Palatino Linotype" w:cs="Tahoma"/>
          <w:bCs/>
          <w:color w:val="000000" w:themeColor="text1"/>
          <w:sz w:val="22"/>
          <w:szCs w:val="22"/>
          <w:lang w:val="es-ES" w:eastAsia="en-US"/>
        </w:rPr>
        <w:t xml:space="preserve"> </w:t>
      </w:r>
      <w:r w:rsidRPr="00B71E3E">
        <w:rPr>
          <w:rFonts w:ascii="Palatino Linotype" w:eastAsia="Calibri" w:hAnsi="Palatino Linotype" w:cs="Tahoma"/>
          <w:bCs/>
          <w:color w:val="000000" w:themeColor="text1"/>
          <w:sz w:val="22"/>
          <w:szCs w:val="22"/>
          <w:lang w:val="es-ES" w:eastAsia="en-US"/>
        </w:rPr>
        <w:t>en los datos</w:t>
      </w:r>
      <w:r w:rsidR="001A7428" w:rsidRPr="00B71E3E">
        <w:rPr>
          <w:rFonts w:ascii="Palatino Linotype" w:eastAsia="Calibri" w:hAnsi="Palatino Linotype" w:cs="Tahoma"/>
          <w:bCs/>
          <w:color w:val="000000" w:themeColor="text1"/>
          <w:sz w:val="22"/>
          <w:szCs w:val="22"/>
          <w:lang w:val="es-ES" w:eastAsia="en-US"/>
        </w:rPr>
        <w:t xml:space="preserve"> siguientes:</w:t>
      </w:r>
    </w:p>
    <w:p w14:paraId="13F1597F" w14:textId="77777777" w:rsidR="001A7428" w:rsidRPr="00B71E3E" w:rsidRDefault="001A7428" w:rsidP="001A7428">
      <w:pPr>
        <w:tabs>
          <w:tab w:val="left" w:pos="4962"/>
        </w:tabs>
        <w:spacing w:line="360" w:lineRule="auto"/>
        <w:contextualSpacing/>
        <w:jc w:val="both"/>
        <w:rPr>
          <w:rFonts w:ascii="Palatino Linotype" w:eastAsia="Calibri" w:hAnsi="Palatino Linotype" w:cs="Tahoma"/>
          <w:bCs/>
          <w:color w:val="000000" w:themeColor="text1"/>
          <w:sz w:val="22"/>
          <w:szCs w:val="22"/>
          <w:lang w:val="es-ES" w:eastAsia="en-US"/>
        </w:rPr>
      </w:pPr>
    </w:p>
    <w:p w14:paraId="3C0C83EC" w14:textId="702D67D1" w:rsidR="00165D5D" w:rsidRPr="00B71E3E" w:rsidRDefault="00165D5D" w:rsidP="00672E1F">
      <w:pPr>
        <w:pStyle w:val="Prrafodelista"/>
        <w:numPr>
          <w:ilvl w:val="0"/>
          <w:numId w:val="6"/>
        </w:numPr>
        <w:autoSpaceDE w:val="0"/>
        <w:autoSpaceDN w:val="0"/>
        <w:adjustRightInd w:val="0"/>
        <w:spacing w:line="360" w:lineRule="auto"/>
        <w:jc w:val="both"/>
        <w:rPr>
          <w:rFonts w:ascii="Palatino Linotype" w:eastAsia="Calibri" w:hAnsi="Palatino Linotype" w:cs="Tahoma"/>
          <w:bCs/>
          <w:color w:val="000000" w:themeColor="text1"/>
          <w:szCs w:val="22"/>
          <w:lang w:val="es-ES" w:eastAsia="en-US"/>
        </w:rPr>
      </w:pPr>
      <w:r w:rsidRPr="00B71E3E">
        <w:rPr>
          <w:rFonts w:ascii="Palatino Linotype" w:eastAsia="Calibri" w:hAnsi="Palatino Linotype" w:cs="Tahoma"/>
          <w:bCs/>
          <w:color w:val="000000" w:themeColor="text1"/>
          <w:szCs w:val="22"/>
          <w:lang w:val="es-ES" w:eastAsia="en-US"/>
        </w:rPr>
        <w:t>Nombre de Servidores Públicos;</w:t>
      </w:r>
    </w:p>
    <w:p w14:paraId="7539CB5F" w14:textId="27E87767" w:rsidR="001A7428" w:rsidRPr="00B71E3E" w:rsidRDefault="001A7428" w:rsidP="00672E1F">
      <w:pPr>
        <w:pStyle w:val="Prrafodelista"/>
        <w:numPr>
          <w:ilvl w:val="0"/>
          <w:numId w:val="6"/>
        </w:numPr>
        <w:autoSpaceDE w:val="0"/>
        <w:autoSpaceDN w:val="0"/>
        <w:adjustRightInd w:val="0"/>
        <w:spacing w:line="360" w:lineRule="auto"/>
        <w:jc w:val="both"/>
        <w:rPr>
          <w:rFonts w:ascii="Palatino Linotype" w:eastAsia="Calibri" w:hAnsi="Palatino Linotype" w:cs="Tahoma"/>
          <w:bCs/>
          <w:color w:val="000000" w:themeColor="text1"/>
          <w:szCs w:val="22"/>
          <w:lang w:val="es-ES" w:eastAsia="en-US"/>
        </w:rPr>
      </w:pPr>
      <w:r w:rsidRPr="00B71E3E">
        <w:rPr>
          <w:rFonts w:ascii="Palatino Linotype" w:eastAsia="Calibri" w:hAnsi="Palatino Linotype" w:cs="Tahoma"/>
          <w:bCs/>
          <w:color w:val="000000" w:themeColor="text1"/>
          <w:szCs w:val="22"/>
          <w:lang w:val="es-ES" w:eastAsia="en-US"/>
        </w:rPr>
        <w:t>Nombre de personas físicas (representante legal</w:t>
      </w:r>
      <w:r w:rsidR="00404ED0" w:rsidRPr="00B71E3E">
        <w:rPr>
          <w:rFonts w:ascii="Palatino Linotype" w:eastAsia="Calibri" w:hAnsi="Palatino Linotype" w:cs="Tahoma"/>
          <w:bCs/>
          <w:color w:val="000000" w:themeColor="text1"/>
          <w:szCs w:val="22"/>
          <w:lang w:val="es-ES" w:eastAsia="en-US"/>
        </w:rPr>
        <w:t xml:space="preserve"> y delegados</w:t>
      </w:r>
      <w:r w:rsidRPr="00B71E3E">
        <w:rPr>
          <w:rFonts w:ascii="Palatino Linotype" w:eastAsia="Calibri" w:hAnsi="Palatino Linotype" w:cs="Tahoma"/>
          <w:bCs/>
          <w:color w:val="000000" w:themeColor="text1"/>
          <w:szCs w:val="22"/>
          <w:lang w:val="es-ES" w:eastAsia="en-US"/>
        </w:rPr>
        <w:t>);</w:t>
      </w:r>
    </w:p>
    <w:p w14:paraId="5057F88D" w14:textId="3BAF7508" w:rsidR="00EA61A4" w:rsidRPr="00B71E3E" w:rsidRDefault="00EA61A4" w:rsidP="00672E1F">
      <w:pPr>
        <w:pStyle w:val="Prrafodelista"/>
        <w:numPr>
          <w:ilvl w:val="0"/>
          <w:numId w:val="6"/>
        </w:numPr>
        <w:autoSpaceDE w:val="0"/>
        <w:autoSpaceDN w:val="0"/>
        <w:adjustRightInd w:val="0"/>
        <w:spacing w:line="360" w:lineRule="auto"/>
        <w:jc w:val="both"/>
        <w:rPr>
          <w:rFonts w:ascii="Palatino Linotype" w:eastAsia="Calibri" w:hAnsi="Palatino Linotype" w:cs="Tahoma"/>
          <w:bCs/>
          <w:color w:val="000000" w:themeColor="text1"/>
          <w:szCs w:val="22"/>
          <w:lang w:val="es-ES" w:eastAsia="en-US"/>
        </w:rPr>
      </w:pPr>
      <w:r w:rsidRPr="00B71E3E">
        <w:rPr>
          <w:rFonts w:ascii="Palatino Linotype" w:eastAsia="Calibri" w:hAnsi="Palatino Linotype" w:cs="Tahoma"/>
          <w:bCs/>
          <w:color w:val="000000" w:themeColor="text1"/>
          <w:szCs w:val="22"/>
          <w:lang w:val="es-ES" w:eastAsia="en-US"/>
        </w:rPr>
        <w:t>Nombre de actores en juicios laborales; y</w:t>
      </w:r>
    </w:p>
    <w:p w14:paraId="05E42D02" w14:textId="1C3967F0" w:rsidR="00FA3C73" w:rsidRPr="00B71E3E" w:rsidRDefault="00FA3C73" w:rsidP="00672E1F">
      <w:pPr>
        <w:pStyle w:val="Prrafodelista1"/>
        <w:numPr>
          <w:ilvl w:val="0"/>
          <w:numId w:val="6"/>
        </w:numPr>
        <w:autoSpaceDE w:val="0"/>
        <w:autoSpaceDN w:val="0"/>
        <w:adjustRightInd w:val="0"/>
        <w:spacing w:after="0" w:line="360" w:lineRule="auto"/>
        <w:rPr>
          <w:rFonts w:cs="Tahoma"/>
          <w:bCs/>
        </w:rPr>
      </w:pPr>
      <w:r w:rsidRPr="00B71E3E">
        <w:rPr>
          <w:rFonts w:cs="Tahoma"/>
          <w:bCs/>
        </w:rPr>
        <w:t>Domicilio de personas físicas o jurídico colectivas</w:t>
      </w:r>
      <w:r w:rsidR="00404ED0" w:rsidRPr="00B71E3E">
        <w:rPr>
          <w:rFonts w:cs="Tahoma"/>
          <w:bCs/>
        </w:rPr>
        <w:t>.</w:t>
      </w:r>
    </w:p>
    <w:p w14:paraId="32E30496" w14:textId="77777777" w:rsidR="00297C3B" w:rsidRPr="00B71E3E" w:rsidRDefault="00297C3B" w:rsidP="00297C3B">
      <w:pPr>
        <w:tabs>
          <w:tab w:val="left" w:pos="4962"/>
        </w:tabs>
        <w:spacing w:line="360" w:lineRule="auto"/>
        <w:jc w:val="both"/>
        <w:rPr>
          <w:rFonts w:ascii="Palatino Linotype" w:eastAsia="Calibri" w:hAnsi="Palatino Linotype" w:cs="Tahoma"/>
          <w:bCs/>
          <w:color w:val="000000" w:themeColor="text1"/>
          <w:szCs w:val="22"/>
          <w:lang w:val="es-ES" w:eastAsia="en-US"/>
        </w:rPr>
      </w:pPr>
    </w:p>
    <w:p w14:paraId="23AB1675"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Al respecto,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758944B1"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 </w:t>
      </w:r>
    </w:p>
    <w:p w14:paraId="3CAC225F"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2AF5946"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 </w:t>
      </w:r>
    </w:p>
    <w:p w14:paraId="0C00A634"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0FF4CF38"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 </w:t>
      </w:r>
    </w:p>
    <w:p w14:paraId="3DBE3EE8"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46802086"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 </w:t>
      </w:r>
    </w:p>
    <w:p w14:paraId="3C6C9124"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C08F177"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 </w:t>
      </w:r>
    </w:p>
    <w:p w14:paraId="6E241E78"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En términos de lo expuesto, la documentación y aquellos datos que se consideren confidenciales, serán una limitante del derecho de acceso a la información, siempre y cuando:</w:t>
      </w:r>
    </w:p>
    <w:p w14:paraId="7AB1E34B"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 </w:t>
      </w:r>
    </w:p>
    <w:p w14:paraId="15699E46" w14:textId="77777777" w:rsidR="00FA3C73" w:rsidRPr="00B71E3E" w:rsidRDefault="00FA3C73" w:rsidP="00672E1F">
      <w:pPr>
        <w:numPr>
          <w:ilvl w:val="0"/>
          <w:numId w:val="4"/>
        </w:num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Se trate de datos personales o información privada; esto es, información concerniente a una persona física o jurídico colectiva y que esta sea identificada o identificable. </w:t>
      </w:r>
    </w:p>
    <w:p w14:paraId="0FE997CF"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 </w:t>
      </w:r>
    </w:p>
    <w:p w14:paraId="0F719268" w14:textId="77777777" w:rsidR="00FA3C73" w:rsidRPr="00B71E3E" w:rsidRDefault="00FA3C73" w:rsidP="00672E1F">
      <w:pPr>
        <w:numPr>
          <w:ilvl w:val="0"/>
          <w:numId w:val="4"/>
        </w:num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Para la difusión de los datos, se requiera el consentimiento del titular. </w:t>
      </w:r>
    </w:p>
    <w:p w14:paraId="130A47B9"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lastRenderedPageBreak/>
        <w:t xml:space="preserve"> </w:t>
      </w:r>
    </w:p>
    <w:p w14:paraId="0C6E3091"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7A49F287"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 </w:t>
      </w:r>
    </w:p>
    <w:p w14:paraId="01EA2CAB"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Además, en el artículo 5° de dicho ordenamiento jurídico, establece que es la Ley aplicable para todo tratamiento de datos personales.</w:t>
      </w:r>
    </w:p>
    <w:p w14:paraId="0FC046E9"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 </w:t>
      </w:r>
    </w:p>
    <w:p w14:paraId="5E6D0142"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16D61CB1"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 </w:t>
      </w:r>
    </w:p>
    <w:p w14:paraId="2F17725E"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318B3F3D"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lastRenderedPageBreak/>
        <w:t xml:space="preserve"> </w:t>
      </w:r>
    </w:p>
    <w:p w14:paraId="4605DEC0"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6A3F528D"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 </w:t>
      </w:r>
    </w:p>
    <w:p w14:paraId="1A4ECD28"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De tal suerte, las instituciones públicas tienen la doble responsabilidad, por un lado, de proteger los datos personales y por otro, darles publicidad cuando la relevancia de esos datos sea de interés público.</w:t>
      </w:r>
    </w:p>
    <w:p w14:paraId="5C213A84"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 </w:t>
      </w:r>
    </w:p>
    <w:p w14:paraId="01CEC2A2" w14:textId="77777777" w:rsidR="00FA3C73"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5A895EB9" w14:textId="77777777" w:rsidR="00540EAC" w:rsidRPr="00B71E3E" w:rsidRDefault="00540EAC"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p>
    <w:p w14:paraId="41C77C9D"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w:t>
      </w:r>
      <w:r w:rsidRPr="00B71E3E">
        <w:rPr>
          <w:rFonts w:ascii="Palatino Linotype" w:eastAsia="Calibri" w:hAnsi="Palatino Linotype" w:cs="Tahoma"/>
          <w:bCs/>
          <w:iCs/>
          <w:color w:val="000000" w:themeColor="text1"/>
          <w:sz w:val="22"/>
          <w:szCs w:val="22"/>
          <w:lang w:eastAsia="en-US"/>
        </w:rPr>
        <w:lastRenderedPageBreak/>
        <w:t>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1D0475B8" w14:textId="77777777" w:rsidR="00FA3C73"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 </w:t>
      </w:r>
    </w:p>
    <w:p w14:paraId="498C8256" w14:textId="2E70E95F" w:rsidR="00EA61A4" w:rsidRPr="00B71E3E" w:rsidRDefault="00FA3C73"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 manera enunciativa, son confidenciales o públicos.</w:t>
      </w:r>
    </w:p>
    <w:p w14:paraId="7E0E837E" w14:textId="77777777" w:rsidR="00165D5D" w:rsidRPr="00B71E3E" w:rsidRDefault="00165D5D" w:rsidP="00FA3C73">
      <w:pPr>
        <w:tabs>
          <w:tab w:val="left" w:pos="4962"/>
        </w:tabs>
        <w:spacing w:line="360" w:lineRule="auto"/>
        <w:jc w:val="both"/>
        <w:rPr>
          <w:rFonts w:ascii="Palatino Linotype" w:eastAsia="Calibri" w:hAnsi="Palatino Linotype" w:cs="Tahoma"/>
          <w:bCs/>
          <w:iCs/>
          <w:color w:val="000000" w:themeColor="text1"/>
          <w:sz w:val="22"/>
          <w:szCs w:val="22"/>
          <w:lang w:eastAsia="en-US"/>
        </w:rPr>
      </w:pPr>
    </w:p>
    <w:p w14:paraId="1C341DBE" w14:textId="5F41D519" w:rsidR="00165D5D" w:rsidRPr="00B71E3E" w:rsidRDefault="00165D5D" w:rsidP="00672E1F">
      <w:pPr>
        <w:numPr>
          <w:ilvl w:val="0"/>
          <w:numId w:val="5"/>
        </w:numPr>
        <w:tabs>
          <w:tab w:val="left" w:pos="4962"/>
        </w:tabs>
        <w:spacing w:line="360" w:lineRule="auto"/>
        <w:jc w:val="both"/>
        <w:rPr>
          <w:rFonts w:ascii="Palatino Linotype" w:eastAsia="Calibri" w:hAnsi="Palatino Linotype" w:cs="Tahoma"/>
          <w:b/>
          <w:bCs/>
          <w:iCs/>
          <w:color w:val="000000" w:themeColor="text1"/>
          <w:sz w:val="22"/>
          <w:szCs w:val="22"/>
          <w:lang w:eastAsia="en-US"/>
        </w:rPr>
      </w:pPr>
      <w:r w:rsidRPr="00B71E3E">
        <w:rPr>
          <w:rFonts w:ascii="Palatino Linotype" w:eastAsia="Calibri" w:hAnsi="Palatino Linotype" w:cs="Tahoma"/>
          <w:b/>
          <w:bCs/>
          <w:iCs/>
          <w:color w:val="000000" w:themeColor="text1"/>
          <w:sz w:val="22"/>
          <w:szCs w:val="22"/>
          <w:lang w:eastAsia="en-US"/>
        </w:rPr>
        <w:t>Nombre de Servidor</w:t>
      </w:r>
      <w:r w:rsidR="00EA61A4" w:rsidRPr="00B71E3E">
        <w:rPr>
          <w:rFonts w:ascii="Palatino Linotype" w:eastAsia="Calibri" w:hAnsi="Palatino Linotype" w:cs="Tahoma"/>
          <w:b/>
          <w:bCs/>
          <w:iCs/>
          <w:color w:val="000000" w:themeColor="text1"/>
          <w:sz w:val="22"/>
          <w:szCs w:val="22"/>
          <w:lang w:eastAsia="en-US"/>
        </w:rPr>
        <w:t>es</w:t>
      </w:r>
      <w:r w:rsidRPr="00B71E3E">
        <w:rPr>
          <w:rFonts w:ascii="Palatino Linotype" w:eastAsia="Calibri" w:hAnsi="Palatino Linotype" w:cs="Tahoma"/>
          <w:b/>
          <w:bCs/>
          <w:iCs/>
          <w:color w:val="000000" w:themeColor="text1"/>
          <w:sz w:val="22"/>
          <w:szCs w:val="22"/>
          <w:lang w:eastAsia="en-US"/>
        </w:rPr>
        <w:t xml:space="preserve"> Público</w:t>
      </w:r>
      <w:r w:rsidR="00EA61A4" w:rsidRPr="00B71E3E">
        <w:rPr>
          <w:rFonts w:ascii="Palatino Linotype" w:eastAsia="Calibri" w:hAnsi="Palatino Linotype" w:cs="Tahoma"/>
          <w:b/>
          <w:bCs/>
          <w:iCs/>
          <w:color w:val="000000" w:themeColor="text1"/>
          <w:sz w:val="22"/>
          <w:szCs w:val="22"/>
          <w:lang w:eastAsia="en-US"/>
        </w:rPr>
        <w:t>s</w:t>
      </w:r>
    </w:p>
    <w:p w14:paraId="1665C17E" w14:textId="77777777" w:rsidR="00165D5D" w:rsidRPr="00B71E3E" w:rsidRDefault="00165D5D" w:rsidP="00165D5D">
      <w:pPr>
        <w:tabs>
          <w:tab w:val="left" w:pos="4962"/>
        </w:tabs>
        <w:spacing w:line="360" w:lineRule="auto"/>
        <w:jc w:val="both"/>
        <w:rPr>
          <w:rFonts w:ascii="Palatino Linotype" w:eastAsia="Calibri" w:hAnsi="Palatino Linotype" w:cs="Tahoma"/>
          <w:b/>
          <w:bCs/>
          <w:iCs/>
          <w:color w:val="000000" w:themeColor="text1"/>
          <w:sz w:val="22"/>
          <w:szCs w:val="22"/>
          <w:lang w:eastAsia="en-US"/>
        </w:rPr>
      </w:pPr>
      <w:r w:rsidRPr="00B71E3E">
        <w:rPr>
          <w:rFonts w:ascii="Palatino Linotype" w:eastAsia="Calibri" w:hAnsi="Palatino Linotype" w:cs="Tahoma"/>
          <w:b/>
          <w:bCs/>
          <w:iCs/>
          <w:color w:val="000000" w:themeColor="text1"/>
          <w:sz w:val="22"/>
          <w:szCs w:val="22"/>
          <w:lang w:eastAsia="en-US"/>
        </w:rPr>
        <w:t xml:space="preserve"> </w:t>
      </w:r>
    </w:p>
    <w:p w14:paraId="58BCAC7B" w14:textId="2C3A2E1D" w:rsidR="00165D5D" w:rsidRPr="00B71E3E" w:rsidRDefault="00165D5D" w:rsidP="00165D5D">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Respecto al nombre, cabe precisar que este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w:t>
      </w:r>
    </w:p>
    <w:p w14:paraId="5931BCE1" w14:textId="77777777" w:rsidR="00165D5D" w:rsidRPr="00B71E3E" w:rsidRDefault="00165D5D" w:rsidP="00165D5D">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 </w:t>
      </w:r>
    </w:p>
    <w:p w14:paraId="6427E78A" w14:textId="77777777" w:rsidR="00165D5D" w:rsidRPr="00B71E3E" w:rsidRDefault="00165D5D" w:rsidP="00165D5D">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Además, la Ley de Transparencia y Acceso a la Información Pública del Estado de México y Municipios ha establecido que el</w:t>
      </w:r>
      <w:r w:rsidRPr="00B71E3E">
        <w:rPr>
          <w:rFonts w:ascii="Palatino Linotype" w:eastAsia="Calibri" w:hAnsi="Palatino Linotype" w:cs="Tahoma"/>
          <w:b/>
          <w:bCs/>
          <w:iCs/>
          <w:color w:val="000000" w:themeColor="text1"/>
          <w:sz w:val="22"/>
          <w:szCs w:val="22"/>
          <w:lang w:eastAsia="en-US"/>
        </w:rPr>
        <w:t xml:space="preserve"> nombre completo de servidores públicos, </w:t>
      </w:r>
      <w:r w:rsidRPr="00B71E3E">
        <w:rPr>
          <w:rFonts w:ascii="Palatino Linotype" w:eastAsia="Calibri" w:hAnsi="Palatino Linotype" w:cs="Tahoma"/>
          <w:bCs/>
          <w:iCs/>
          <w:color w:val="000000" w:themeColor="text1"/>
          <w:sz w:val="22"/>
          <w:szCs w:val="22"/>
          <w:lang w:eastAsia="en-US"/>
        </w:rPr>
        <w:t>constituye una obligación de transparencia por parte de los sujetos obligados.</w:t>
      </w:r>
    </w:p>
    <w:p w14:paraId="69EA973C" w14:textId="77777777" w:rsidR="00165D5D" w:rsidRPr="00B71E3E" w:rsidRDefault="00165D5D" w:rsidP="00165D5D">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 </w:t>
      </w:r>
    </w:p>
    <w:p w14:paraId="67B8CD88" w14:textId="77777777" w:rsidR="00165D5D" w:rsidRPr="00B71E3E" w:rsidRDefault="00165D5D" w:rsidP="00165D5D">
      <w:pPr>
        <w:tabs>
          <w:tab w:val="left" w:pos="4962"/>
        </w:tabs>
        <w:spacing w:line="360" w:lineRule="auto"/>
        <w:jc w:val="both"/>
        <w:rPr>
          <w:rFonts w:ascii="Palatino Linotype" w:eastAsia="Calibri" w:hAnsi="Palatino Linotype" w:cs="Tahoma"/>
          <w:b/>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lastRenderedPageBreak/>
        <w:t xml:space="preserve">Toma sustento con el artículo 92, fracción VII y VIII, de la Ley de la materia, el cual establece que los sujetos obligados tienen la obligación de poner a disposición del público y mantener actualizada de acuerdo con sus facultades, atribuciones, funciones u objeto social, según corresponda el directorio, que deberá incluir al menos, entre otros datos, </w:t>
      </w:r>
      <w:r w:rsidRPr="00B71E3E">
        <w:rPr>
          <w:rFonts w:ascii="Palatino Linotype" w:eastAsia="Calibri" w:hAnsi="Palatino Linotype" w:cs="Tahoma"/>
          <w:b/>
          <w:bCs/>
          <w:iCs/>
          <w:color w:val="000000" w:themeColor="text1"/>
          <w:sz w:val="22"/>
          <w:szCs w:val="22"/>
          <w:lang w:eastAsia="en-US"/>
        </w:rPr>
        <w:t>el nombre del servidor público.</w:t>
      </w:r>
    </w:p>
    <w:p w14:paraId="37B1DA76" w14:textId="77777777" w:rsidR="00165D5D" w:rsidRPr="00B71E3E" w:rsidRDefault="00165D5D" w:rsidP="00165D5D">
      <w:pPr>
        <w:tabs>
          <w:tab w:val="left" w:pos="4962"/>
        </w:tabs>
        <w:spacing w:line="360" w:lineRule="auto"/>
        <w:jc w:val="both"/>
        <w:rPr>
          <w:rFonts w:ascii="Palatino Linotype" w:eastAsia="Calibri" w:hAnsi="Palatino Linotype" w:cs="Tahoma"/>
          <w:b/>
          <w:bCs/>
          <w:iCs/>
          <w:color w:val="000000" w:themeColor="text1"/>
          <w:sz w:val="22"/>
          <w:szCs w:val="22"/>
          <w:lang w:eastAsia="en-US"/>
        </w:rPr>
      </w:pPr>
      <w:r w:rsidRPr="00B71E3E">
        <w:rPr>
          <w:rFonts w:ascii="Palatino Linotype" w:eastAsia="Calibri" w:hAnsi="Palatino Linotype" w:cs="Tahoma"/>
          <w:b/>
          <w:bCs/>
          <w:iCs/>
          <w:color w:val="000000" w:themeColor="text1"/>
          <w:sz w:val="22"/>
          <w:szCs w:val="22"/>
          <w:lang w:eastAsia="en-US"/>
        </w:rPr>
        <w:t xml:space="preserve"> </w:t>
      </w:r>
    </w:p>
    <w:p w14:paraId="3D16A49A" w14:textId="5B08BC22" w:rsidR="00165D5D" w:rsidRPr="00B71E3E" w:rsidRDefault="00165D5D" w:rsidP="00165D5D">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Además, se robustece con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00F92C42">
        <w:rPr>
          <w:rFonts w:ascii="Palatino Linotype" w:eastAsia="Calibri" w:hAnsi="Palatino Linotype" w:cs="Tahoma"/>
          <w:bCs/>
          <w:iCs/>
          <w:color w:val="000000" w:themeColor="text1"/>
          <w:sz w:val="22"/>
          <w:szCs w:val="22"/>
          <w:lang w:eastAsia="en-US"/>
        </w:rPr>
        <w:t xml:space="preserve"> </w:t>
      </w:r>
      <w:r w:rsidR="00F92C42" w:rsidRPr="005942A4">
        <w:rPr>
          <w:rFonts w:ascii="Palatino Linotype" w:eastAsia="Calibri" w:hAnsi="Palatino Linotype" w:cs="Tahoma"/>
          <w:bCs/>
          <w:iCs/>
          <w:color w:val="000000" w:themeColor="text1"/>
          <w:sz w:val="22"/>
          <w:szCs w:val="22"/>
          <w:lang w:eastAsia="en-US"/>
        </w:rPr>
        <w:t>vigente a la fecha de la solicitud</w:t>
      </w:r>
      <w:r w:rsidRPr="00B71E3E">
        <w:rPr>
          <w:rFonts w:ascii="Palatino Linotype" w:eastAsia="Calibri" w:hAnsi="Palatino Linotype" w:cs="Tahoma"/>
          <w:bCs/>
          <w:iCs/>
          <w:color w:val="000000" w:themeColor="text1"/>
          <w:sz w:val="22"/>
          <w:szCs w:val="22"/>
          <w:lang w:eastAsia="en-US"/>
        </w:rPr>
        <w:t>, que deben de difundir los sujetos obligados en los portales de Internet y en la Plataforma Nacional de Transparencia, tal como se muestran a continuación:</w:t>
      </w:r>
    </w:p>
    <w:p w14:paraId="28B58994" w14:textId="77777777" w:rsidR="00165D5D" w:rsidRPr="00B71E3E" w:rsidRDefault="00165D5D" w:rsidP="00165D5D">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 </w:t>
      </w:r>
    </w:p>
    <w:p w14:paraId="576BC03E" w14:textId="52C56ACF" w:rsidR="00165D5D" w:rsidRPr="00B71E3E" w:rsidRDefault="00165D5D" w:rsidP="00810AFF">
      <w:pPr>
        <w:tabs>
          <w:tab w:val="left" w:pos="4962"/>
        </w:tabs>
        <w:spacing w:line="360" w:lineRule="auto"/>
        <w:jc w:val="center"/>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noProof/>
          <w:color w:val="000000" w:themeColor="text1"/>
          <w:sz w:val="22"/>
          <w:szCs w:val="22"/>
          <w:lang w:eastAsia="es-MX"/>
        </w:rPr>
        <w:drawing>
          <wp:inline distT="0" distB="0" distL="0" distR="0" wp14:anchorId="6C15D25D" wp14:editId="50FCC65D">
            <wp:extent cx="5307546" cy="1117600"/>
            <wp:effectExtent l="0" t="0" r="7620" b="6350"/>
            <wp:docPr id="162678704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0528" cy="1118228"/>
                    </a:xfrm>
                    <a:prstGeom prst="rect">
                      <a:avLst/>
                    </a:prstGeom>
                    <a:noFill/>
                    <a:ln>
                      <a:noFill/>
                    </a:ln>
                  </pic:spPr>
                </pic:pic>
              </a:graphicData>
            </a:graphic>
          </wp:inline>
        </w:drawing>
      </w:r>
    </w:p>
    <w:p w14:paraId="5BBADD51" w14:textId="77777777" w:rsidR="00165D5D" w:rsidRPr="00B71E3E" w:rsidRDefault="00165D5D" w:rsidP="00165D5D">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 </w:t>
      </w:r>
    </w:p>
    <w:p w14:paraId="2AC9619E" w14:textId="77777777" w:rsidR="00165D5D" w:rsidRPr="00B71E3E" w:rsidRDefault="00165D5D" w:rsidP="00165D5D">
      <w:pPr>
        <w:tabs>
          <w:tab w:val="left" w:pos="4962"/>
        </w:tabs>
        <w:spacing w:line="360" w:lineRule="auto"/>
        <w:jc w:val="both"/>
        <w:rPr>
          <w:rFonts w:ascii="Palatino Linotype" w:eastAsia="Calibri" w:hAnsi="Palatino Linotype" w:cs="Tahoma"/>
          <w:b/>
          <w:bCs/>
          <w:iCs/>
          <w:color w:val="000000" w:themeColor="text1"/>
          <w:sz w:val="22"/>
          <w:szCs w:val="22"/>
          <w:lang w:eastAsia="en-US"/>
        </w:rPr>
      </w:pPr>
      <w:r w:rsidRPr="00B71E3E">
        <w:rPr>
          <w:rFonts w:ascii="Palatino Linotype" w:eastAsia="Calibri" w:hAnsi="Palatino Linotype" w:cs="Tahoma"/>
          <w:bCs/>
          <w:iCs/>
          <w:color w:val="000000" w:themeColor="text1"/>
          <w:sz w:val="22"/>
          <w:szCs w:val="22"/>
          <w:lang w:eastAsia="en-US"/>
        </w:rPr>
        <w:t xml:space="preserve">Conforme a lo anterior, el Sujeto Obligado tiene la obligación de publicar y hacer del conocimiento de la ciudadanía, el nombre completo de todos sus servidores públicos, por lo que, se logra vislumbrar que el dato es público; así, se considera que Ente Recurrido </w:t>
      </w:r>
      <w:r w:rsidRPr="00B71E3E">
        <w:rPr>
          <w:rFonts w:ascii="Palatino Linotype" w:eastAsia="Calibri" w:hAnsi="Palatino Linotype" w:cs="Tahoma"/>
          <w:b/>
          <w:bCs/>
          <w:iCs/>
          <w:color w:val="000000" w:themeColor="text1"/>
          <w:sz w:val="22"/>
          <w:szCs w:val="22"/>
          <w:lang w:eastAsia="en-US"/>
        </w:rPr>
        <w:t xml:space="preserve">deberá proporcionar dicho dato. </w:t>
      </w:r>
    </w:p>
    <w:p w14:paraId="0A65D8E7" w14:textId="77777777" w:rsidR="00482924" w:rsidRPr="00B71E3E" w:rsidRDefault="00482924" w:rsidP="00165D5D">
      <w:pPr>
        <w:tabs>
          <w:tab w:val="left" w:pos="4962"/>
        </w:tabs>
        <w:spacing w:line="360" w:lineRule="auto"/>
        <w:jc w:val="both"/>
        <w:rPr>
          <w:rFonts w:ascii="Palatino Linotype" w:eastAsia="Calibri" w:hAnsi="Palatino Linotype" w:cs="Tahoma"/>
          <w:b/>
          <w:bCs/>
          <w:iCs/>
          <w:color w:val="000000" w:themeColor="text1"/>
          <w:sz w:val="22"/>
          <w:szCs w:val="22"/>
          <w:lang w:eastAsia="en-US"/>
        </w:rPr>
      </w:pPr>
    </w:p>
    <w:p w14:paraId="04A9CEE4" w14:textId="3A8CD84F" w:rsidR="00482924" w:rsidRPr="00B71E3E" w:rsidRDefault="00482924" w:rsidP="00165D5D">
      <w:pPr>
        <w:tabs>
          <w:tab w:val="left" w:pos="4962"/>
        </w:tabs>
        <w:spacing w:line="360" w:lineRule="auto"/>
        <w:jc w:val="both"/>
        <w:rPr>
          <w:rFonts w:ascii="Palatino Linotype" w:eastAsia="Calibri" w:hAnsi="Palatino Linotype" w:cs="Tahoma"/>
          <w:bCs/>
          <w:iCs/>
          <w:color w:val="000000" w:themeColor="text1"/>
          <w:sz w:val="22"/>
          <w:szCs w:val="22"/>
          <w:lang w:eastAsia="en-US"/>
        </w:rPr>
      </w:pPr>
      <w:r w:rsidRPr="00B71E3E">
        <w:rPr>
          <w:rFonts w:ascii="Palatino Linotype" w:eastAsia="Calibri" w:hAnsi="Palatino Linotype" w:cs="Tahoma"/>
          <w:b/>
          <w:bCs/>
          <w:iCs/>
          <w:color w:val="000000" w:themeColor="text1"/>
          <w:sz w:val="22"/>
          <w:szCs w:val="22"/>
          <w:lang w:eastAsia="en-US"/>
        </w:rPr>
        <w:t xml:space="preserve">Lo mismo sucede para el caso del nombre de delegados, ya que si bien, estos </w:t>
      </w:r>
      <w:r w:rsidR="00404ED0" w:rsidRPr="00B71E3E">
        <w:rPr>
          <w:rFonts w:ascii="Palatino Linotype" w:eastAsia="Calibri" w:hAnsi="Palatino Linotype" w:cs="Tahoma"/>
          <w:b/>
          <w:bCs/>
          <w:iCs/>
          <w:color w:val="000000" w:themeColor="text1"/>
          <w:sz w:val="22"/>
          <w:szCs w:val="22"/>
          <w:lang w:eastAsia="en-US"/>
        </w:rPr>
        <w:t>no son servidores públicos</w:t>
      </w:r>
      <w:r w:rsidRPr="00B71E3E">
        <w:rPr>
          <w:rFonts w:ascii="Palatino Linotype" w:eastAsia="Calibri" w:hAnsi="Palatino Linotype" w:cs="Tahoma"/>
          <w:b/>
          <w:bCs/>
          <w:iCs/>
          <w:color w:val="000000" w:themeColor="text1"/>
          <w:sz w:val="22"/>
          <w:szCs w:val="22"/>
          <w:lang w:eastAsia="en-US"/>
        </w:rPr>
        <w:t xml:space="preserve">, al realizar funciones de autoridad y representantes de las </w:t>
      </w:r>
      <w:r w:rsidRPr="00B71E3E">
        <w:rPr>
          <w:rFonts w:ascii="Palatino Linotype" w:eastAsia="Calibri" w:hAnsi="Palatino Linotype" w:cs="Tahoma"/>
          <w:b/>
          <w:bCs/>
          <w:iCs/>
          <w:color w:val="000000" w:themeColor="text1"/>
          <w:sz w:val="22"/>
          <w:szCs w:val="22"/>
          <w:lang w:eastAsia="en-US"/>
        </w:rPr>
        <w:lastRenderedPageBreak/>
        <w:t>comunidades estos no actualizan alguna causal de clasificación por lo que procede su entrega.</w:t>
      </w:r>
    </w:p>
    <w:p w14:paraId="37045D9E" w14:textId="0B527AF2" w:rsidR="00FA3C73" w:rsidRPr="00B71E3E" w:rsidRDefault="00FA3C73" w:rsidP="00FA3C73">
      <w:pPr>
        <w:tabs>
          <w:tab w:val="left" w:pos="4962"/>
        </w:tabs>
        <w:spacing w:line="360" w:lineRule="auto"/>
        <w:jc w:val="both"/>
        <w:rPr>
          <w:rFonts w:ascii="Palatino Linotype" w:eastAsia="Calibri" w:hAnsi="Palatino Linotype" w:cs="Tahoma"/>
          <w:b/>
          <w:bCs/>
          <w:iCs/>
          <w:color w:val="000000" w:themeColor="text1"/>
          <w:sz w:val="22"/>
          <w:szCs w:val="22"/>
          <w:lang w:eastAsia="en-US"/>
        </w:rPr>
      </w:pPr>
    </w:p>
    <w:p w14:paraId="5D5502B9" w14:textId="043F3844" w:rsidR="00937CA6" w:rsidRPr="00B71E3E" w:rsidRDefault="000D6EF2" w:rsidP="00672E1F">
      <w:pPr>
        <w:numPr>
          <w:ilvl w:val="0"/>
          <w:numId w:val="2"/>
        </w:numPr>
        <w:spacing w:line="360" w:lineRule="auto"/>
        <w:contextualSpacing/>
        <w:jc w:val="both"/>
        <w:rPr>
          <w:rFonts w:ascii="Palatino Linotype" w:eastAsiaTheme="minorHAnsi" w:hAnsi="Palatino Linotype" w:cstheme="minorBidi"/>
          <w:b/>
          <w:bCs/>
          <w:iCs/>
          <w:color w:val="000000" w:themeColor="text1"/>
          <w:sz w:val="22"/>
          <w:szCs w:val="22"/>
          <w:lang w:val="es-ES_tradnl" w:eastAsia="en-US"/>
        </w:rPr>
      </w:pPr>
      <w:r>
        <w:rPr>
          <w:rFonts w:ascii="Palatino Linotype" w:eastAsiaTheme="minorHAnsi" w:hAnsi="Palatino Linotype" w:cstheme="minorBidi"/>
          <w:b/>
          <w:bCs/>
          <w:iCs/>
          <w:color w:val="000000" w:themeColor="text1"/>
          <w:sz w:val="22"/>
          <w:szCs w:val="22"/>
          <w:lang w:val="es-ES_tradnl" w:eastAsia="en-US"/>
        </w:rPr>
        <w:t>Nombre de particulares</w:t>
      </w:r>
    </w:p>
    <w:p w14:paraId="21565836" w14:textId="77777777" w:rsidR="00937CA6" w:rsidRPr="00B71E3E" w:rsidRDefault="00937CA6" w:rsidP="00937CA6">
      <w:pPr>
        <w:spacing w:line="360" w:lineRule="auto"/>
        <w:ind w:left="720"/>
        <w:contextualSpacing/>
        <w:jc w:val="both"/>
        <w:rPr>
          <w:rFonts w:ascii="Palatino Linotype" w:eastAsiaTheme="minorHAnsi" w:hAnsi="Palatino Linotype" w:cstheme="minorBidi"/>
          <w:b/>
          <w:bCs/>
          <w:iCs/>
          <w:color w:val="000000" w:themeColor="text1"/>
          <w:sz w:val="22"/>
          <w:szCs w:val="22"/>
          <w:lang w:val="es-ES_tradnl" w:eastAsia="en-US"/>
        </w:rPr>
      </w:pPr>
    </w:p>
    <w:p w14:paraId="0882E3C4" w14:textId="77777777" w:rsidR="00937CA6" w:rsidRPr="00B71E3E" w:rsidRDefault="00937CA6" w:rsidP="00937CA6">
      <w:pPr>
        <w:spacing w:line="360" w:lineRule="auto"/>
        <w:contextualSpacing/>
        <w:jc w:val="both"/>
        <w:rPr>
          <w:rFonts w:ascii="Palatino Linotype" w:eastAsia="Calibri" w:hAnsi="Palatino Linotype" w:cs="Tahoma"/>
          <w:b/>
          <w:bCs/>
          <w:sz w:val="22"/>
          <w:szCs w:val="22"/>
          <w:lang w:val="es-ES_tradnl" w:eastAsia="en-US"/>
        </w:rPr>
      </w:pPr>
      <w:r w:rsidRPr="00B71E3E">
        <w:rPr>
          <w:rFonts w:ascii="Palatino Linotype" w:eastAsia="Calibri" w:hAnsi="Palatino Linotype" w:cs="Tahoma"/>
          <w:bCs/>
          <w:sz w:val="22"/>
          <w:szCs w:val="22"/>
          <w:lang w:eastAsia="en-US"/>
        </w:rPr>
        <w:t xml:space="preserve">Al respecto, se considera que el nombre se integra </w:t>
      </w:r>
      <w:r w:rsidRPr="00B71E3E">
        <w:rPr>
          <w:rFonts w:ascii="Palatino Linotype" w:eastAsia="Calibri" w:hAnsi="Palatino Linotype" w:cs="Tahoma"/>
          <w:bCs/>
          <w:sz w:val="22"/>
          <w:szCs w:val="22"/>
          <w:lang w:val="es-ES_tradnl" w:eastAsia="en-US"/>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B71E3E">
        <w:rPr>
          <w:rFonts w:ascii="Palatino Linotype" w:eastAsia="Calibri" w:hAnsi="Palatino Linotype" w:cs="Tahoma"/>
          <w:bCs/>
          <w:i/>
          <w:sz w:val="22"/>
          <w:szCs w:val="22"/>
          <w:lang w:val="es-ES_tradnl" w:eastAsia="en-US"/>
        </w:rPr>
        <w:t>per se</w:t>
      </w:r>
      <w:r w:rsidRPr="00B71E3E">
        <w:rPr>
          <w:rFonts w:ascii="Palatino Linotype" w:eastAsia="Calibri" w:hAnsi="Palatino Linotype" w:cs="Tahoma"/>
          <w:bCs/>
          <w:sz w:val="22"/>
          <w:szCs w:val="22"/>
          <w:lang w:val="es-ES_tradnl" w:eastAsia="en-US"/>
        </w:rPr>
        <w:t xml:space="preserve"> es un elemento que hace a una persona física identificada o identificable, por lo que, </w:t>
      </w:r>
      <w:r w:rsidRPr="00B71E3E">
        <w:rPr>
          <w:rFonts w:ascii="Palatino Linotype" w:eastAsia="Calibri" w:hAnsi="Palatino Linotype" w:cs="Tahoma"/>
          <w:b/>
          <w:bCs/>
          <w:sz w:val="22"/>
          <w:szCs w:val="22"/>
          <w:lang w:val="es-ES_tradnl" w:eastAsia="en-US"/>
        </w:rPr>
        <w:t>se considera un dato personal.</w:t>
      </w:r>
    </w:p>
    <w:p w14:paraId="20688902" w14:textId="77777777" w:rsidR="00937CA6" w:rsidRPr="00B71E3E" w:rsidRDefault="00937CA6" w:rsidP="00937CA6">
      <w:pPr>
        <w:spacing w:line="360" w:lineRule="auto"/>
        <w:contextualSpacing/>
        <w:jc w:val="both"/>
        <w:rPr>
          <w:rFonts w:ascii="Palatino Linotype" w:eastAsia="Calibri" w:hAnsi="Palatino Linotype" w:cs="Tahoma"/>
          <w:b/>
          <w:bCs/>
          <w:sz w:val="22"/>
          <w:szCs w:val="22"/>
          <w:lang w:eastAsia="en-US"/>
        </w:rPr>
      </w:pPr>
    </w:p>
    <w:p w14:paraId="655CCB0B" w14:textId="77777777" w:rsidR="00937CA6" w:rsidRPr="00B71E3E" w:rsidRDefault="00937CA6" w:rsidP="00937CA6">
      <w:pPr>
        <w:spacing w:line="360" w:lineRule="auto"/>
        <w:ind w:right="-93"/>
        <w:contextualSpacing/>
        <w:jc w:val="both"/>
        <w:rPr>
          <w:rFonts w:ascii="Palatino Linotype" w:eastAsia="Calibri" w:hAnsi="Palatino Linotype" w:cs="Tahoma"/>
          <w:bCs/>
          <w:sz w:val="22"/>
          <w:szCs w:val="22"/>
          <w:lang w:val="es-ES" w:eastAsia="en-US"/>
        </w:rPr>
      </w:pPr>
      <w:r w:rsidRPr="00B71E3E">
        <w:rPr>
          <w:rFonts w:ascii="Palatino Linotype" w:eastAsia="Calibri" w:hAnsi="Palatino Linotype" w:cs="Tahoma"/>
          <w:bCs/>
          <w:sz w:val="22"/>
          <w:szCs w:val="22"/>
          <w:lang w:eastAsia="en-US"/>
        </w:rPr>
        <w:t xml:space="preserve">Al respecto </w:t>
      </w:r>
      <w:r w:rsidRPr="00B71E3E">
        <w:rPr>
          <w:rFonts w:ascii="Palatino Linotype" w:eastAsia="Calibri" w:hAnsi="Palatino Linotype" w:cs="Tahoma"/>
          <w:bCs/>
          <w:sz w:val="22"/>
          <w:szCs w:val="22"/>
          <w:lang w:val="es-ES" w:eastAsia="en-US"/>
        </w:rPr>
        <w:t xml:space="preserve">cabe señalar lo previsto en la tesis aislada número 1a. CCXIV/2009, emitida por la Primera Sala de la Suprema Corte de Justicia de la Nación, publicada </w:t>
      </w:r>
      <w:r w:rsidRPr="00B71E3E">
        <w:rPr>
          <w:rFonts w:ascii="Palatino Linotype" w:eastAsia="Calibri" w:hAnsi="Palatino Linotype" w:cs="Tahoma"/>
          <w:bCs/>
          <w:iCs/>
          <w:sz w:val="22"/>
          <w:szCs w:val="22"/>
          <w:lang w:val="es-ES" w:eastAsia="en-US"/>
        </w:rPr>
        <w:t>en la Gaceta del Semanario Judicial de la Federación, Tomo XXX, de diciembre de 2009, página 277, de la Novena Época, materia constitucional,</w:t>
      </w:r>
      <w:r w:rsidRPr="00B71E3E">
        <w:rPr>
          <w:rFonts w:ascii="Palatino Linotype" w:eastAsia="Calibri" w:hAnsi="Palatino Linotype" w:cs="Tahoma"/>
          <w:bCs/>
          <w:sz w:val="22"/>
          <w:szCs w:val="22"/>
          <w:lang w:val="es-ES" w:eastAsia="en-US"/>
        </w:rPr>
        <w:t xml:space="preserve"> que establece lo siguiente:</w:t>
      </w:r>
    </w:p>
    <w:p w14:paraId="33E6637A" w14:textId="77777777" w:rsidR="00937CA6" w:rsidRPr="00B71E3E" w:rsidRDefault="00937CA6" w:rsidP="00937CA6">
      <w:pPr>
        <w:spacing w:line="360" w:lineRule="auto"/>
        <w:ind w:right="-93"/>
        <w:contextualSpacing/>
        <w:jc w:val="both"/>
        <w:rPr>
          <w:rFonts w:ascii="Palatino Linotype" w:eastAsia="Calibri" w:hAnsi="Palatino Linotype" w:cs="Tahoma"/>
          <w:bCs/>
          <w:sz w:val="22"/>
          <w:szCs w:val="22"/>
          <w:lang w:val="es-ES" w:eastAsia="en-US"/>
        </w:rPr>
      </w:pPr>
    </w:p>
    <w:p w14:paraId="28830A2D" w14:textId="77777777" w:rsidR="00937CA6" w:rsidRPr="00B71E3E" w:rsidRDefault="00937CA6" w:rsidP="00937CA6">
      <w:pPr>
        <w:spacing w:line="360" w:lineRule="auto"/>
        <w:ind w:left="567" w:right="567"/>
        <w:contextualSpacing/>
        <w:jc w:val="both"/>
        <w:rPr>
          <w:rFonts w:ascii="Palatino Linotype" w:eastAsia="Calibri" w:hAnsi="Palatino Linotype" w:cs="Tahoma"/>
          <w:bCs/>
          <w:i/>
          <w:lang w:val="es-ES" w:eastAsia="en-US"/>
        </w:rPr>
      </w:pPr>
      <w:r w:rsidRPr="00B71E3E">
        <w:rPr>
          <w:rFonts w:ascii="Palatino Linotype" w:eastAsia="Calibri" w:hAnsi="Palatino Linotype" w:cs="Tahoma"/>
          <w:bCs/>
          <w:i/>
          <w:lang w:val="es-ES" w:eastAsia="en-US"/>
        </w:rPr>
        <w:t>“</w:t>
      </w:r>
      <w:r w:rsidRPr="00B71E3E">
        <w:rPr>
          <w:rFonts w:ascii="Palatino Linotype" w:eastAsia="Calibri" w:hAnsi="Palatino Linotype" w:cs="Tahoma"/>
          <w:b/>
          <w:bCs/>
          <w:i/>
          <w:lang w:val="es-ES" w:eastAsia="en-US"/>
        </w:rPr>
        <w:t xml:space="preserve">DERECHO A LA VIDA PRIVADA. SU CONTENIDO GENERAL Y LA IMPORTANCIA DE NO DESCONTEXTUALIZAR LAS REFERENCIAS A LA MISMA. </w:t>
      </w:r>
      <w:r w:rsidRPr="00B71E3E">
        <w:rPr>
          <w:rFonts w:ascii="Palatino Linotype" w:eastAsia="Calibri" w:hAnsi="Palatino Linotype" w:cs="Tahoma"/>
          <w:bCs/>
          <w:i/>
          <w:lang w:val="es-ES" w:eastAsia="en-US"/>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w:t>
      </w:r>
      <w:r w:rsidRPr="00B71E3E">
        <w:rPr>
          <w:rFonts w:ascii="Palatino Linotype" w:eastAsia="Calibri" w:hAnsi="Palatino Linotype" w:cs="Tahoma"/>
          <w:bCs/>
          <w:i/>
          <w:lang w:val="es-ES" w:eastAsia="en-US"/>
        </w:rPr>
        <w:lastRenderedPageBreak/>
        <w:t xml:space="preserve">(artículo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B71E3E">
        <w:rPr>
          <w:rFonts w:ascii="Palatino Linotype" w:eastAsia="Calibri" w:hAnsi="Palatino Linotype" w:cs="Tahoma"/>
          <w:b/>
          <w:bCs/>
          <w:i/>
          <w:lang w:val="es-ES" w:eastAsia="en-U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B71E3E">
        <w:rPr>
          <w:rFonts w:ascii="Palatino Linotype" w:eastAsia="Calibri" w:hAnsi="Palatino Linotype" w:cs="Tahoma"/>
          <w:bCs/>
          <w:i/>
          <w:lang w:val="es-ES" w:eastAsia="en-U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B71E3E">
        <w:rPr>
          <w:rFonts w:ascii="Palatino Linotype" w:eastAsia="Calibri" w:hAnsi="Palatino Linotype" w:cs="Tahoma"/>
          <w:b/>
          <w:bCs/>
          <w:i/>
          <w:lang w:val="es-ES" w:eastAsia="en-US"/>
        </w:rPr>
        <w:t>En un sentido amplio, entonces, la protección constitucional de la vida privada implica poder conducir parte de la vida de uno protegido de la mirada y las injerencias de los demás</w:t>
      </w:r>
      <w:r w:rsidRPr="00B71E3E">
        <w:rPr>
          <w:rFonts w:ascii="Palatino Linotype" w:eastAsia="Calibri" w:hAnsi="Palatino Linotype" w:cs="Tahoma"/>
          <w:bCs/>
          <w:i/>
          <w:lang w:val="es-ES" w:eastAsia="en-US"/>
        </w:rPr>
        <w:t xml:space="preserve">,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w:t>
      </w:r>
      <w:r w:rsidRPr="00B71E3E">
        <w:rPr>
          <w:rFonts w:ascii="Palatino Linotype" w:eastAsia="Calibri" w:hAnsi="Palatino Linotype" w:cs="Tahoma"/>
          <w:bCs/>
          <w:i/>
          <w:lang w:val="es-ES" w:eastAsia="en-US"/>
        </w:rPr>
        <w:lastRenderedPageBreak/>
        <w:t>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462A256E" w14:textId="77777777" w:rsidR="00937CA6" w:rsidRPr="00B71E3E" w:rsidRDefault="00937CA6" w:rsidP="00937CA6">
      <w:pPr>
        <w:spacing w:line="360" w:lineRule="auto"/>
        <w:ind w:right="-93"/>
        <w:contextualSpacing/>
        <w:jc w:val="both"/>
        <w:rPr>
          <w:rFonts w:ascii="Palatino Linotype" w:eastAsia="Calibri" w:hAnsi="Palatino Linotype" w:cs="Tahoma"/>
          <w:bCs/>
          <w:sz w:val="22"/>
          <w:szCs w:val="22"/>
          <w:lang w:val="es-ES" w:eastAsia="en-US"/>
        </w:rPr>
      </w:pPr>
    </w:p>
    <w:p w14:paraId="59EAD8EE" w14:textId="77777777" w:rsidR="00937CA6" w:rsidRPr="00B71E3E" w:rsidRDefault="00937CA6" w:rsidP="00937CA6">
      <w:pPr>
        <w:spacing w:line="360" w:lineRule="auto"/>
        <w:ind w:right="-93"/>
        <w:contextualSpacing/>
        <w:jc w:val="both"/>
        <w:rPr>
          <w:rFonts w:ascii="Palatino Linotype" w:eastAsia="Calibri" w:hAnsi="Palatino Linotype" w:cs="Tahoma"/>
          <w:b/>
          <w:bCs/>
          <w:sz w:val="22"/>
          <w:szCs w:val="22"/>
          <w:lang w:val="es-ES" w:eastAsia="en-US"/>
        </w:rPr>
      </w:pPr>
      <w:r w:rsidRPr="00B71E3E">
        <w:rPr>
          <w:rFonts w:ascii="Palatino Linotype" w:eastAsia="Calibri" w:hAnsi="Palatino Linotype" w:cs="Tahoma"/>
          <w:bCs/>
          <w:sz w:val="22"/>
          <w:szCs w:val="22"/>
          <w:lang w:val="es-ES" w:eastAsia="en-US"/>
        </w:rPr>
        <w:t xml:space="preserve">De conformidad con lo señalado, se colige que </w:t>
      </w:r>
      <w:r w:rsidRPr="00B71E3E">
        <w:rPr>
          <w:rFonts w:ascii="Palatino Linotype" w:eastAsia="Calibri" w:hAnsi="Palatino Linotype" w:cs="Tahoma"/>
          <w:b/>
          <w:bCs/>
          <w:sz w:val="22"/>
          <w:szCs w:val="22"/>
          <w:lang w:val="es-ES" w:eastAsia="en-US"/>
        </w:rPr>
        <w:t>las actividades que realicen los particulares, dentro del ámbito privado, o dentro de la esfera particular, es información que debe protegerse.</w:t>
      </w:r>
    </w:p>
    <w:p w14:paraId="219118DA" w14:textId="77777777" w:rsidR="00937CA6" w:rsidRPr="00B71E3E" w:rsidRDefault="00937CA6" w:rsidP="00937CA6">
      <w:pPr>
        <w:spacing w:line="360" w:lineRule="auto"/>
        <w:ind w:right="-93"/>
        <w:contextualSpacing/>
        <w:jc w:val="both"/>
        <w:rPr>
          <w:rFonts w:ascii="Palatino Linotype" w:eastAsia="Calibri" w:hAnsi="Palatino Linotype" w:cs="Tahoma"/>
          <w:bCs/>
          <w:sz w:val="22"/>
          <w:szCs w:val="22"/>
          <w:lang w:eastAsia="en-US"/>
        </w:rPr>
      </w:pPr>
    </w:p>
    <w:p w14:paraId="182E16AD" w14:textId="48530FF6" w:rsidR="00937CA6" w:rsidRPr="00B71E3E" w:rsidRDefault="00937CA6" w:rsidP="00810AFF">
      <w:pPr>
        <w:spacing w:line="360" w:lineRule="auto"/>
        <w:ind w:right="-93"/>
        <w:contextualSpacing/>
        <w:jc w:val="both"/>
        <w:rPr>
          <w:rFonts w:ascii="Palatino Linotype" w:eastAsiaTheme="minorHAnsi" w:hAnsi="Palatino Linotype" w:cstheme="minorBidi"/>
          <w:b/>
          <w:bCs/>
          <w:iCs/>
          <w:color w:val="000000" w:themeColor="text1"/>
          <w:sz w:val="22"/>
          <w:szCs w:val="22"/>
          <w:lang w:val="es-ES_tradnl" w:eastAsia="en-US"/>
        </w:rPr>
      </w:pPr>
      <w:r w:rsidRPr="00B71E3E">
        <w:rPr>
          <w:rFonts w:ascii="Palatino Linotype" w:eastAsia="Calibri" w:hAnsi="Palatino Linotype" w:cs="Tahoma"/>
          <w:bCs/>
          <w:sz w:val="22"/>
          <w:szCs w:val="22"/>
          <w:lang w:eastAsia="en-US"/>
        </w:rPr>
        <w:t>En consecuencia, se estima que resulta procedente la clasificación del nombre de particulares en actuación dentro de su ámbito privado, en términos del artículo 143, fracción I</w:t>
      </w:r>
      <w:r w:rsidR="00404ED0" w:rsidRPr="00B71E3E">
        <w:rPr>
          <w:rFonts w:ascii="Palatino Linotype" w:eastAsia="Calibri" w:hAnsi="Palatino Linotype" w:cs="Tahoma"/>
          <w:bCs/>
          <w:sz w:val="22"/>
          <w:szCs w:val="22"/>
          <w:lang w:eastAsia="en-US"/>
        </w:rPr>
        <w:t>,</w:t>
      </w:r>
      <w:r w:rsidRPr="00B71E3E">
        <w:rPr>
          <w:rFonts w:ascii="Palatino Linotype" w:eastAsia="Calibri" w:hAnsi="Palatino Linotype" w:cs="Tahoma"/>
          <w:bCs/>
          <w:sz w:val="22"/>
          <w:szCs w:val="22"/>
          <w:lang w:eastAsia="en-US"/>
        </w:rPr>
        <w:t xml:space="preserve"> de la Ley de Transparencia y Acceso a la Información Pública del Estado de México y Municipios.</w:t>
      </w:r>
      <w:r w:rsidR="00404ED0" w:rsidRPr="00B71E3E">
        <w:rPr>
          <w:rFonts w:ascii="Palatino Linotype" w:eastAsia="Calibri" w:hAnsi="Palatino Linotype" w:cs="Tahoma"/>
          <w:bCs/>
          <w:sz w:val="22"/>
          <w:szCs w:val="22"/>
          <w:lang w:eastAsia="en-US"/>
        </w:rPr>
        <w:t xml:space="preserve"> Por lo que, los oficios en los que se hayan testados nombres de particulares es correcta la versión pública.</w:t>
      </w:r>
    </w:p>
    <w:p w14:paraId="1257151D" w14:textId="77777777" w:rsidR="00680255" w:rsidRPr="00B71E3E" w:rsidRDefault="00680255" w:rsidP="00937CA6">
      <w:pPr>
        <w:spacing w:line="360" w:lineRule="auto"/>
        <w:contextualSpacing/>
        <w:jc w:val="both"/>
        <w:rPr>
          <w:rFonts w:ascii="Palatino Linotype" w:eastAsiaTheme="minorHAnsi" w:hAnsi="Palatino Linotype" w:cstheme="minorBidi"/>
          <w:b/>
          <w:bCs/>
          <w:iCs/>
          <w:color w:val="000000" w:themeColor="text1"/>
          <w:sz w:val="22"/>
          <w:szCs w:val="22"/>
          <w:lang w:val="es-ES_tradnl" w:eastAsia="en-US"/>
        </w:rPr>
      </w:pPr>
    </w:p>
    <w:p w14:paraId="6FBAFCB6" w14:textId="4D604AB1" w:rsidR="00937CA6" w:rsidRPr="00B71E3E" w:rsidRDefault="00937CA6" w:rsidP="00672E1F">
      <w:pPr>
        <w:numPr>
          <w:ilvl w:val="0"/>
          <w:numId w:val="2"/>
        </w:numPr>
        <w:spacing w:line="360" w:lineRule="auto"/>
        <w:contextualSpacing/>
        <w:jc w:val="both"/>
        <w:rPr>
          <w:rFonts w:ascii="Palatino Linotype" w:hAnsi="Palatino Linotype" w:cs="Tahoma"/>
          <w:b/>
          <w:bCs/>
          <w:iCs/>
          <w:sz w:val="22"/>
          <w:szCs w:val="22"/>
        </w:rPr>
      </w:pPr>
      <w:r w:rsidRPr="00B71E3E">
        <w:rPr>
          <w:rFonts w:ascii="Palatino Linotype" w:hAnsi="Palatino Linotype" w:cs="Tahoma"/>
          <w:b/>
          <w:bCs/>
          <w:iCs/>
          <w:sz w:val="22"/>
          <w:szCs w:val="22"/>
        </w:rPr>
        <w:t>Nombre de Representante Legal</w:t>
      </w:r>
    </w:p>
    <w:p w14:paraId="737DD491" w14:textId="77777777" w:rsidR="00937CA6" w:rsidRPr="00B71E3E" w:rsidRDefault="00937CA6" w:rsidP="00937CA6">
      <w:pPr>
        <w:spacing w:line="360" w:lineRule="auto"/>
        <w:contextualSpacing/>
        <w:jc w:val="both"/>
        <w:rPr>
          <w:rFonts w:ascii="Palatino Linotype" w:hAnsi="Palatino Linotype" w:cs="Tahoma"/>
          <w:b/>
          <w:bCs/>
          <w:iCs/>
          <w:sz w:val="22"/>
          <w:szCs w:val="22"/>
        </w:rPr>
      </w:pPr>
    </w:p>
    <w:p w14:paraId="3D50A1A8" w14:textId="77777777" w:rsidR="00937CA6" w:rsidRPr="00B71E3E" w:rsidRDefault="00937CA6" w:rsidP="00937CA6">
      <w:pPr>
        <w:spacing w:line="360" w:lineRule="auto"/>
        <w:contextualSpacing/>
        <w:jc w:val="both"/>
        <w:rPr>
          <w:rFonts w:ascii="Palatino Linotype" w:hAnsi="Palatino Linotype" w:cs="Tahoma"/>
          <w:sz w:val="22"/>
          <w:szCs w:val="22"/>
          <w:lang w:val="es-ES"/>
        </w:rPr>
      </w:pPr>
      <w:r w:rsidRPr="00B71E3E">
        <w:rPr>
          <w:rFonts w:ascii="Palatino Linotype" w:hAnsi="Palatino Linotype" w:cs="Tahoma"/>
          <w:sz w:val="22"/>
          <w:szCs w:val="22"/>
          <w:lang w:val="es-ES"/>
        </w:rPr>
        <w:t>Al respecto, resulta necesario señalar que las personas morales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sobre un contrato de adquisición de bienes.</w:t>
      </w:r>
    </w:p>
    <w:p w14:paraId="595681EC" w14:textId="77777777" w:rsidR="00937CA6" w:rsidRPr="00B71E3E" w:rsidRDefault="00937CA6" w:rsidP="00937CA6">
      <w:pPr>
        <w:spacing w:line="360" w:lineRule="auto"/>
        <w:contextualSpacing/>
        <w:jc w:val="both"/>
        <w:rPr>
          <w:rFonts w:ascii="Palatino Linotype" w:hAnsi="Palatino Linotype" w:cs="Tahoma"/>
          <w:sz w:val="22"/>
          <w:szCs w:val="22"/>
          <w:lang w:val="es-ES"/>
        </w:rPr>
      </w:pPr>
    </w:p>
    <w:p w14:paraId="017B02F7" w14:textId="77777777" w:rsidR="00937CA6" w:rsidRPr="00B71E3E" w:rsidRDefault="00937CA6" w:rsidP="00937CA6">
      <w:pPr>
        <w:spacing w:line="360" w:lineRule="auto"/>
        <w:contextualSpacing/>
        <w:jc w:val="both"/>
        <w:rPr>
          <w:rFonts w:ascii="Palatino Linotype" w:hAnsi="Palatino Linotype" w:cs="Tahoma"/>
          <w:sz w:val="22"/>
          <w:szCs w:val="22"/>
          <w:lang w:val="es-ES"/>
        </w:rPr>
      </w:pPr>
      <w:r w:rsidRPr="00B71E3E">
        <w:rPr>
          <w:rFonts w:ascii="Palatino Linotype" w:hAnsi="Palatino Linotype" w:cs="Tahoma"/>
          <w:sz w:val="22"/>
          <w:szCs w:val="22"/>
          <w:lang w:val="es-ES"/>
        </w:rPr>
        <w:t>Ello, toda vez que la representación legal debe ser conocida para surtir efectos ante terceros; es decir, la publicidad de la misma tiene por objeto dar certeza a quienes se relacionan con la persona jurídico colectiva representada, que las actuaciones de su representante están previamente autorizadas y que surtirán efectos legales a que constriñe cada acto.</w:t>
      </w:r>
    </w:p>
    <w:p w14:paraId="672D74E0" w14:textId="77777777" w:rsidR="00937CA6" w:rsidRPr="00B71E3E" w:rsidRDefault="00937CA6" w:rsidP="00937CA6">
      <w:pPr>
        <w:spacing w:line="360" w:lineRule="auto"/>
        <w:contextualSpacing/>
        <w:jc w:val="both"/>
        <w:rPr>
          <w:rFonts w:ascii="Palatino Linotype" w:hAnsi="Palatino Linotype" w:cs="Tahoma"/>
          <w:sz w:val="22"/>
          <w:szCs w:val="22"/>
          <w:lang w:val="es-ES"/>
        </w:rPr>
      </w:pPr>
    </w:p>
    <w:p w14:paraId="4883FFC9" w14:textId="7E286788" w:rsidR="00937CA6" w:rsidRPr="00B71E3E" w:rsidRDefault="00937CA6" w:rsidP="00937CA6">
      <w:pPr>
        <w:spacing w:line="360" w:lineRule="auto"/>
        <w:contextualSpacing/>
        <w:jc w:val="both"/>
        <w:rPr>
          <w:rFonts w:ascii="Palatino Linotype" w:hAnsi="Palatino Linotype" w:cs="Tahoma"/>
          <w:color w:val="000000" w:themeColor="text1"/>
          <w:sz w:val="22"/>
          <w:szCs w:val="22"/>
          <w:lang w:val="es-ES"/>
        </w:rPr>
      </w:pPr>
      <w:r w:rsidRPr="00B71E3E">
        <w:rPr>
          <w:rFonts w:ascii="Palatino Linotype" w:hAnsi="Palatino Linotype" w:cs="Tahoma"/>
          <w:color w:val="000000" w:themeColor="text1"/>
          <w:sz w:val="22"/>
          <w:szCs w:val="22"/>
          <w:lang w:val="es-ES"/>
        </w:rPr>
        <w:t xml:space="preserve">Lo anterior, se robustece con el </w:t>
      </w:r>
      <w:r w:rsidRPr="00B71E3E">
        <w:rPr>
          <w:rFonts w:ascii="Palatino Linotype" w:eastAsia="Calibri" w:hAnsi="Palatino Linotype" w:cs="Tahoma"/>
          <w:bCs/>
          <w:iCs/>
          <w:color w:val="000000" w:themeColor="text1"/>
          <w:sz w:val="22"/>
          <w:szCs w:val="22"/>
          <w:lang w:val="es-ES" w:eastAsia="en-US"/>
        </w:rPr>
        <w:t xml:space="preserve">Criterio </w:t>
      </w:r>
      <w:r w:rsidR="00540EAC">
        <w:rPr>
          <w:rFonts w:ascii="Palatino Linotype" w:eastAsia="Calibri" w:hAnsi="Palatino Linotype" w:cs="Tahoma"/>
          <w:bCs/>
          <w:iCs/>
          <w:color w:val="000000" w:themeColor="text1"/>
          <w:sz w:val="22"/>
          <w:szCs w:val="22"/>
          <w:lang w:val="es-ES" w:eastAsia="en-US"/>
        </w:rPr>
        <w:t>Orientador</w:t>
      </w:r>
      <w:r w:rsidRPr="00B71E3E">
        <w:rPr>
          <w:rFonts w:ascii="Palatino Linotype" w:eastAsia="Calibri" w:hAnsi="Palatino Linotype" w:cs="Tahoma"/>
          <w:bCs/>
          <w:iCs/>
          <w:color w:val="000000" w:themeColor="text1"/>
          <w:sz w:val="22"/>
          <w:szCs w:val="22"/>
          <w:lang w:val="es-ES" w:eastAsia="en-US"/>
        </w:rPr>
        <w:t xml:space="preserve">, de la Segunda Época, con clave de control </w:t>
      </w:r>
      <w:r w:rsidRPr="00B71E3E">
        <w:rPr>
          <w:rFonts w:ascii="Palatino Linotype" w:eastAsia="Calibri" w:hAnsi="Palatino Linotype" w:cs="Tahoma"/>
          <w:bCs/>
          <w:iCs/>
          <w:color w:val="000000" w:themeColor="text1"/>
          <w:sz w:val="22"/>
          <w:szCs w:val="22"/>
          <w:lang w:eastAsia="en-US"/>
        </w:rPr>
        <w:t xml:space="preserve">SO/001/2019, </w:t>
      </w:r>
      <w:r w:rsidRPr="00B71E3E">
        <w:rPr>
          <w:rFonts w:ascii="Palatino Linotype" w:eastAsia="Calibri" w:hAnsi="Palatino Linotype" w:cs="Tahoma"/>
          <w:bCs/>
          <w:iCs/>
          <w:color w:val="000000" w:themeColor="text1"/>
          <w:sz w:val="22"/>
          <w:szCs w:val="22"/>
          <w:lang w:val="es-ES" w:eastAsia="en-US"/>
        </w:rPr>
        <w:t>emitido por el</w:t>
      </w:r>
      <w:r w:rsidR="00540EAC">
        <w:rPr>
          <w:rFonts w:ascii="Palatino Linotype" w:eastAsia="Calibri" w:hAnsi="Palatino Linotype" w:cs="Tahoma"/>
          <w:bCs/>
          <w:iCs/>
          <w:color w:val="000000" w:themeColor="text1"/>
          <w:sz w:val="22"/>
          <w:szCs w:val="22"/>
          <w:lang w:val="es-ES" w:eastAsia="en-US"/>
        </w:rPr>
        <w:t xml:space="preserve"> entonces</w:t>
      </w:r>
      <w:r w:rsidRPr="00B71E3E">
        <w:rPr>
          <w:rFonts w:ascii="Palatino Linotype" w:eastAsia="Calibri" w:hAnsi="Palatino Linotype" w:cs="Tahoma"/>
          <w:bCs/>
          <w:iCs/>
          <w:color w:val="000000" w:themeColor="text1"/>
          <w:sz w:val="22"/>
          <w:szCs w:val="22"/>
          <w:lang w:val="es-ES" w:eastAsia="en-US"/>
        </w:rPr>
        <w:t xml:space="preserve"> Instituto Nacional de Transparencia, Acceso a la Información y Protección de Datos Personales</w:t>
      </w:r>
      <w:r w:rsidR="00540EAC">
        <w:rPr>
          <w:rFonts w:ascii="Palatino Linotype" w:eastAsia="Calibri" w:hAnsi="Palatino Linotype" w:cs="Tahoma"/>
          <w:bCs/>
          <w:iCs/>
          <w:color w:val="000000" w:themeColor="text1"/>
          <w:sz w:val="22"/>
          <w:szCs w:val="22"/>
          <w:lang w:val="es-ES" w:eastAsia="en-US"/>
        </w:rPr>
        <w:t>, vigente a la fecha de la solicitud</w:t>
      </w:r>
      <w:r w:rsidRPr="00B71E3E">
        <w:rPr>
          <w:rFonts w:ascii="Palatino Linotype" w:hAnsi="Palatino Linotype" w:cs="Tahoma"/>
          <w:color w:val="000000" w:themeColor="text1"/>
          <w:sz w:val="22"/>
          <w:szCs w:val="22"/>
          <w:lang w:val="es-ES"/>
        </w:rPr>
        <w:t>, que establece lo siguiente:</w:t>
      </w:r>
    </w:p>
    <w:p w14:paraId="0AF89053" w14:textId="77777777" w:rsidR="00937CA6" w:rsidRPr="00B71E3E" w:rsidRDefault="00937CA6" w:rsidP="00937CA6">
      <w:pPr>
        <w:spacing w:line="360" w:lineRule="auto"/>
        <w:contextualSpacing/>
        <w:jc w:val="both"/>
        <w:rPr>
          <w:rFonts w:ascii="Palatino Linotype" w:hAnsi="Palatino Linotype" w:cs="Tahoma"/>
          <w:color w:val="000000" w:themeColor="text1"/>
          <w:sz w:val="22"/>
          <w:szCs w:val="22"/>
          <w:lang w:val="es-ES"/>
        </w:rPr>
      </w:pPr>
    </w:p>
    <w:p w14:paraId="7CC57AE5" w14:textId="77777777" w:rsidR="00937CA6" w:rsidRPr="00B71E3E" w:rsidRDefault="00937CA6" w:rsidP="00937CA6">
      <w:pPr>
        <w:spacing w:line="360" w:lineRule="auto"/>
        <w:ind w:left="567" w:right="567"/>
        <w:contextualSpacing/>
        <w:jc w:val="both"/>
        <w:rPr>
          <w:rFonts w:ascii="Palatino Linotype" w:hAnsi="Palatino Linotype" w:cs="Tahoma"/>
          <w:i/>
          <w:color w:val="000000" w:themeColor="text1"/>
          <w:lang w:val="es-ES"/>
        </w:rPr>
      </w:pPr>
      <w:r w:rsidRPr="00B71E3E">
        <w:rPr>
          <w:rFonts w:ascii="Palatino Linotype" w:hAnsi="Palatino Linotype" w:cs="Tahoma"/>
          <w:b/>
          <w:i/>
          <w:color w:val="000000" w:themeColor="text1"/>
        </w:rPr>
        <w:t>“Datos de identificación del representante o apoderado legal.</w:t>
      </w:r>
      <w:r w:rsidRPr="00B71E3E">
        <w:rPr>
          <w:rFonts w:ascii="Palatino Linotype" w:hAnsi="Palatino Linotype" w:cs="Tahoma"/>
          <w:i/>
          <w:color w:val="000000" w:themeColor="text1"/>
        </w:rPr>
        <w:t xml:space="preserve"> </w:t>
      </w:r>
      <w:r w:rsidRPr="00B71E3E">
        <w:rPr>
          <w:rFonts w:ascii="Palatino Linotype" w:hAnsi="Palatino Linotype" w:cs="Tahoma"/>
          <w:b/>
          <w:i/>
          <w:color w:val="000000" w:themeColor="text1"/>
        </w:rPr>
        <w:t xml:space="preserve">Naturaleza jurídica. </w:t>
      </w:r>
      <w:r w:rsidRPr="00B71E3E">
        <w:rPr>
          <w:rFonts w:ascii="Palatino Linotype" w:hAnsi="Palatino Linotype" w:cs="Tahoma"/>
          <w:i/>
          <w:color w:val="000000" w:themeColor="text1"/>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3F088C9E" w14:textId="77777777" w:rsidR="00937CA6" w:rsidRPr="00B71E3E" w:rsidRDefault="00937CA6" w:rsidP="00937CA6">
      <w:pPr>
        <w:spacing w:line="360" w:lineRule="auto"/>
        <w:contextualSpacing/>
        <w:jc w:val="both"/>
        <w:rPr>
          <w:rFonts w:ascii="Palatino Linotype" w:hAnsi="Palatino Linotype" w:cs="Tahoma"/>
          <w:sz w:val="22"/>
          <w:szCs w:val="22"/>
          <w:lang w:val="es-ES"/>
        </w:rPr>
      </w:pPr>
    </w:p>
    <w:p w14:paraId="460752C1" w14:textId="4A5A4D2B" w:rsidR="00937CA6" w:rsidRPr="00B71E3E" w:rsidRDefault="00937CA6" w:rsidP="00937CA6">
      <w:pPr>
        <w:spacing w:line="360" w:lineRule="auto"/>
        <w:contextualSpacing/>
        <w:jc w:val="both"/>
        <w:rPr>
          <w:rFonts w:ascii="Palatino Linotype" w:hAnsi="Palatino Linotype" w:cs="Tahoma"/>
          <w:sz w:val="22"/>
          <w:szCs w:val="22"/>
          <w:lang w:val="es-ES"/>
        </w:rPr>
      </w:pPr>
      <w:r w:rsidRPr="00B71E3E">
        <w:rPr>
          <w:rFonts w:ascii="Palatino Linotype" w:hAnsi="Palatino Linotype" w:cs="Tahoma"/>
          <w:sz w:val="22"/>
          <w:szCs w:val="22"/>
          <w:lang w:val="es-ES"/>
        </w:rPr>
        <w:t xml:space="preserve">Ante tales situaciones, el nombre del representante legal, de una persona jurídica colectiva, en primera instancia, no es susceptible de ser clasificado como confidencial, en términos del artículo 143, fracción I de la Ley </w:t>
      </w:r>
      <w:r w:rsidR="00540EAC">
        <w:rPr>
          <w:rFonts w:ascii="Palatino Linotype" w:hAnsi="Palatino Linotype" w:cs="Tahoma"/>
          <w:sz w:val="22"/>
          <w:szCs w:val="22"/>
          <w:lang w:val="es-ES"/>
        </w:rPr>
        <w:t>d</w:t>
      </w:r>
      <w:r w:rsidRPr="00B71E3E">
        <w:rPr>
          <w:rFonts w:ascii="Palatino Linotype" w:hAnsi="Palatino Linotype" w:cs="Tahoma"/>
          <w:sz w:val="22"/>
          <w:szCs w:val="22"/>
          <w:lang w:val="es-ES"/>
        </w:rPr>
        <w:t>e Transparencia y Acceso a la Información Pública</w:t>
      </w:r>
      <w:r w:rsidR="00540EAC">
        <w:rPr>
          <w:rFonts w:ascii="Palatino Linotype" w:hAnsi="Palatino Linotype" w:cs="Tahoma"/>
          <w:sz w:val="22"/>
          <w:szCs w:val="22"/>
          <w:lang w:val="es-ES"/>
        </w:rPr>
        <w:t xml:space="preserve"> del Estado de México y Municipios.</w:t>
      </w:r>
    </w:p>
    <w:p w14:paraId="21FE8949" w14:textId="77777777" w:rsidR="00937CA6" w:rsidRPr="00B71E3E" w:rsidRDefault="00937CA6" w:rsidP="00937CA6">
      <w:pPr>
        <w:spacing w:line="360" w:lineRule="auto"/>
        <w:contextualSpacing/>
        <w:jc w:val="both"/>
        <w:rPr>
          <w:rFonts w:ascii="Palatino Linotype" w:eastAsiaTheme="minorHAnsi" w:hAnsi="Palatino Linotype" w:cstheme="minorBidi"/>
          <w:b/>
          <w:bCs/>
          <w:iCs/>
          <w:color w:val="000000" w:themeColor="text1"/>
          <w:sz w:val="22"/>
          <w:szCs w:val="22"/>
          <w:lang w:val="es-ES_tradnl" w:eastAsia="en-US"/>
        </w:rPr>
      </w:pPr>
    </w:p>
    <w:p w14:paraId="4EEEE13B" w14:textId="0577973C" w:rsidR="00297C3B" w:rsidRPr="00B71E3E" w:rsidRDefault="00937CA6" w:rsidP="00F32C1E">
      <w:pPr>
        <w:spacing w:line="360" w:lineRule="auto"/>
        <w:contextualSpacing/>
        <w:jc w:val="both"/>
        <w:rPr>
          <w:rFonts w:ascii="Palatino Linotype" w:eastAsiaTheme="minorHAnsi" w:hAnsi="Palatino Linotype" w:cstheme="minorBidi"/>
          <w:bCs/>
          <w:iCs/>
          <w:color w:val="000000" w:themeColor="text1"/>
          <w:sz w:val="22"/>
          <w:szCs w:val="22"/>
          <w:lang w:val="es-ES_tradnl" w:eastAsia="en-US"/>
        </w:rPr>
      </w:pPr>
      <w:r w:rsidRPr="00B71E3E">
        <w:rPr>
          <w:rFonts w:ascii="Palatino Linotype" w:eastAsiaTheme="minorHAnsi" w:hAnsi="Palatino Linotype" w:cstheme="minorBidi"/>
          <w:bCs/>
          <w:iCs/>
          <w:color w:val="000000" w:themeColor="text1"/>
          <w:sz w:val="22"/>
          <w:szCs w:val="22"/>
          <w:lang w:val="es-ES_tradnl" w:eastAsia="en-US"/>
        </w:rPr>
        <w:t xml:space="preserve">No obstante, </w:t>
      </w:r>
      <w:r w:rsidR="00F32C1E" w:rsidRPr="00B71E3E">
        <w:rPr>
          <w:rFonts w:ascii="Palatino Linotype" w:eastAsiaTheme="minorHAnsi" w:hAnsi="Palatino Linotype" w:cstheme="minorBidi"/>
          <w:bCs/>
          <w:iCs/>
          <w:color w:val="000000" w:themeColor="text1"/>
          <w:sz w:val="22"/>
          <w:szCs w:val="22"/>
          <w:lang w:val="es-ES_tradnl" w:eastAsia="en-US"/>
        </w:rPr>
        <w:t xml:space="preserve">en el caso de las personas físicas o jurídico-colectivas que ejercen el derecho de petición consagrado en el artículo 8° de la Constitución Política de los Estados Unidos Mexicanos, al tratarse de un asunto personal o privado, este dato reviste la característica de confidencial, </w:t>
      </w:r>
      <w:r w:rsidRPr="00B71E3E">
        <w:rPr>
          <w:rFonts w:ascii="Palatino Linotype" w:eastAsiaTheme="minorHAnsi" w:hAnsi="Palatino Linotype" w:cstheme="minorBidi"/>
          <w:bCs/>
          <w:iCs/>
          <w:color w:val="000000" w:themeColor="text1"/>
          <w:sz w:val="22"/>
          <w:szCs w:val="22"/>
          <w:lang w:val="es-ES_tradnl" w:eastAsia="en-US"/>
        </w:rPr>
        <w:t xml:space="preserve">en términos del artículo </w:t>
      </w:r>
      <w:r w:rsidRPr="00B71E3E">
        <w:rPr>
          <w:rFonts w:ascii="Palatino Linotype" w:hAnsi="Palatino Linotype" w:cs="Tahoma"/>
          <w:sz w:val="22"/>
          <w:szCs w:val="22"/>
          <w:lang w:val="es-ES"/>
        </w:rPr>
        <w:t>143, fracción I de la Ley de Transparencia y Acceso a la Información Pública</w:t>
      </w:r>
      <w:r w:rsidR="00F32C1E" w:rsidRPr="00B71E3E">
        <w:rPr>
          <w:rFonts w:ascii="Palatino Linotype" w:hAnsi="Palatino Linotype" w:cs="Tahoma"/>
          <w:sz w:val="22"/>
          <w:szCs w:val="22"/>
          <w:lang w:val="es-ES"/>
        </w:rPr>
        <w:t xml:space="preserve"> del Estado de México y Municipios</w:t>
      </w:r>
      <w:r w:rsidRPr="00B71E3E">
        <w:rPr>
          <w:rFonts w:ascii="Palatino Linotype" w:hAnsi="Palatino Linotype" w:cs="Tahoma"/>
          <w:sz w:val="22"/>
          <w:szCs w:val="22"/>
          <w:lang w:val="es-ES"/>
        </w:rPr>
        <w:t xml:space="preserve">, pues daría a conocer </w:t>
      </w:r>
      <w:r w:rsidR="00F32C1E" w:rsidRPr="00B71E3E">
        <w:rPr>
          <w:rFonts w:ascii="Palatino Linotype" w:eastAsiaTheme="minorHAnsi" w:hAnsi="Palatino Linotype" w:cstheme="minorBidi"/>
          <w:bCs/>
          <w:iCs/>
          <w:color w:val="000000" w:themeColor="text1"/>
          <w:sz w:val="22"/>
          <w:szCs w:val="22"/>
          <w:lang w:val="es-ES_tradnl" w:eastAsia="en-US"/>
        </w:rPr>
        <w:t>información privada o datos personales confidenciales, según quien presente el escrito.</w:t>
      </w:r>
    </w:p>
    <w:p w14:paraId="12883F7D" w14:textId="77777777" w:rsidR="00F32C1E" w:rsidRPr="00B71E3E" w:rsidRDefault="00F32C1E" w:rsidP="00810AFF">
      <w:pPr>
        <w:spacing w:line="360" w:lineRule="auto"/>
        <w:contextualSpacing/>
        <w:jc w:val="both"/>
        <w:rPr>
          <w:rFonts w:ascii="Palatino Linotype" w:eastAsia="Calibri" w:hAnsi="Palatino Linotype" w:cs="Tahoma"/>
          <w:bCs/>
          <w:color w:val="000000" w:themeColor="text1"/>
          <w:szCs w:val="22"/>
          <w:lang w:val="es-ES" w:eastAsia="en-US"/>
        </w:rPr>
      </w:pPr>
    </w:p>
    <w:p w14:paraId="139A3EFB" w14:textId="29B0AC70" w:rsidR="00AC4F54" w:rsidRPr="00B71E3E" w:rsidRDefault="00937CA6" w:rsidP="00672E1F">
      <w:pPr>
        <w:pStyle w:val="Prrafodelista"/>
        <w:numPr>
          <w:ilvl w:val="0"/>
          <w:numId w:val="3"/>
        </w:numPr>
        <w:tabs>
          <w:tab w:val="left" w:pos="4962"/>
        </w:tabs>
        <w:spacing w:line="360" w:lineRule="auto"/>
        <w:jc w:val="both"/>
        <w:rPr>
          <w:rFonts w:ascii="Palatino Linotype" w:eastAsia="Calibri" w:hAnsi="Palatino Linotype" w:cs="Tahoma"/>
          <w:b/>
          <w:color w:val="000000" w:themeColor="text1"/>
          <w:szCs w:val="22"/>
          <w:lang w:eastAsia="en-US"/>
        </w:rPr>
      </w:pPr>
      <w:r w:rsidRPr="00B71E3E">
        <w:rPr>
          <w:rFonts w:ascii="Palatino Linotype" w:eastAsia="Calibri" w:hAnsi="Palatino Linotype" w:cs="Tahoma"/>
          <w:b/>
          <w:color w:val="000000" w:themeColor="text1"/>
          <w:szCs w:val="22"/>
          <w:lang w:val="es-ES" w:eastAsia="en-US"/>
        </w:rPr>
        <w:t>Nombre de actores en juicios laborales</w:t>
      </w:r>
    </w:p>
    <w:p w14:paraId="7CC8DC10" w14:textId="77777777" w:rsidR="00AC4F54" w:rsidRPr="00B71E3E" w:rsidRDefault="00AC4F54" w:rsidP="00297C3B">
      <w:pPr>
        <w:tabs>
          <w:tab w:val="left" w:pos="4962"/>
        </w:tabs>
        <w:spacing w:line="360" w:lineRule="auto"/>
        <w:jc w:val="both"/>
        <w:rPr>
          <w:rFonts w:ascii="Palatino Linotype" w:eastAsia="Calibri" w:hAnsi="Palatino Linotype" w:cs="Tahoma"/>
          <w:bCs/>
          <w:color w:val="000000" w:themeColor="text1"/>
          <w:szCs w:val="22"/>
          <w:lang w:eastAsia="en-US"/>
        </w:rPr>
      </w:pPr>
    </w:p>
    <w:p w14:paraId="3C151AF9" w14:textId="773CF08B" w:rsidR="00937CA6" w:rsidRPr="00B71E3E" w:rsidRDefault="00482924" w:rsidP="00937CA6">
      <w:pPr>
        <w:spacing w:line="360" w:lineRule="auto"/>
        <w:ind w:right="-93"/>
        <w:contextualSpacing/>
        <w:jc w:val="both"/>
        <w:rPr>
          <w:rFonts w:ascii="Palatino Linotype" w:hAnsi="Palatino Linotype" w:cs="Tahoma"/>
          <w:bCs/>
          <w:sz w:val="22"/>
          <w:szCs w:val="22"/>
        </w:rPr>
      </w:pPr>
      <w:r w:rsidRPr="00B71E3E">
        <w:rPr>
          <w:rFonts w:ascii="Palatino Linotype" w:hAnsi="Palatino Linotype" w:cs="Tahoma"/>
          <w:bCs/>
          <w:sz w:val="22"/>
          <w:szCs w:val="22"/>
        </w:rPr>
        <w:lastRenderedPageBreak/>
        <w:t>Al respecto,</w:t>
      </w:r>
      <w:r w:rsidR="00937CA6" w:rsidRPr="00B71E3E">
        <w:rPr>
          <w:rFonts w:ascii="Palatino Linotype" w:hAnsi="Palatino Linotype" w:cs="Tahoma"/>
          <w:bCs/>
          <w:sz w:val="22"/>
          <w:szCs w:val="22"/>
        </w:rPr>
        <w:t xml:space="preserve"> el Criterio </w:t>
      </w:r>
      <w:r w:rsidR="00540EAC">
        <w:rPr>
          <w:rFonts w:ascii="Palatino Linotype" w:hAnsi="Palatino Linotype" w:cs="Tahoma"/>
          <w:bCs/>
          <w:sz w:val="22"/>
          <w:szCs w:val="22"/>
        </w:rPr>
        <w:t>Orientador</w:t>
      </w:r>
      <w:r w:rsidR="00937CA6" w:rsidRPr="00B71E3E">
        <w:rPr>
          <w:rFonts w:ascii="Palatino Linotype" w:hAnsi="Palatino Linotype" w:cs="Tahoma"/>
          <w:bCs/>
          <w:sz w:val="22"/>
          <w:szCs w:val="22"/>
        </w:rPr>
        <w:t>, con clave de control SO/015/2023, de la Tercera Época, emitido por el</w:t>
      </w:r>
      <w:r w:rsidR="00540EAC">
        <w:rPr>
          <w:rFonts w:ascii="Palatino Linotype" w:hAnsi="Palatino Linotype" w:cs="Tahoma"/>
          <w:bCs/>
          <w:sz w:val="22"/>
          <w:szCs w:val="22"/>
        </w:rPr>
        <w:t xml:space="preserve"> entonces</w:t>
      </w:r>
      <w:r w:rsidR="00937CA6" w:rsidRPr="00B71E3E">
        <w:rPr>
          <w:rFonts w:ascii="Palatino Linotype" w:hAnsi="Palatino Linotype" w:cs="Tahoma"/>
          <w:bCs/>
          <w:sz w:val="22"/>
          <w:szCs w:val="22"/>
        </w:rPr>
        <w:t xml:space="preserve"> Instituto Nacional de Transparencia y Acceso a la Información y Protección de Datos Personales</w:t>
      </w:r>
      <w:r w:rsidR="00540EAC">
        <w:rPr>
          <w:rFonts w:ascii="Palatino Linotype" w:hAnsi="Palatino Linotype" w:cs="Tahoma"/>
          <w:bCs/>
          <w:sz w:val="22"/>
          <w:szCs w:val="22"/>
        </w:rPr>
        <w:t>, vigente a la fecha de la solicitud</w:t>
      </w:r>
      <w:r w:rsidR="00937CA6" w:rsidRPr="00B71E3E">
        <w:rPr>
          <w:rFonts w:ascii="Palatino Linotype" w:hAnsi="Palatino Linotype" w:cs="Tahoma"/>
          <w:bCs/>
          <w:sz w:val="22"/>
          <w:szCs w:val="22"/>
        </w:rPr>
        <w:t xml:space="preserve">, en el cual se precisa lo siguiente: </w:t>
      </w:r>
    </w:p>
    <w:p w14:paraId="10B89495" w14:textId="77777777" w:rsidR="00937CA6" w:rsidRPr="00B71E3E" w:rsidRDefault="00937CA6" w:rsidP="00937CA6">
      <w:pPr>
        <w:spacing w:line="360" w:lineRule="auto"/>
        <w:ind w:right="-93"/>
        <w:contextualSpacing/>
        <w:jc w:val="both"/>
        <w:rPr>
          <w:rFonts w:ascii="Palatino Linotype" w:hAnsi="Palatino Linotype" w:cs="Tahoma"/>
          <w:bCs/>
          <w:sz w:val="22"/>
          <w:szCs w:val="22"/>
        </w:rPr>
      </w:pPr>
      <w:r w:rsidRPr="00B71E3E">
        <w:rPr>
          <w:rFonts w:ascii="Palatino Linotype" w:hAnsi="Palatino Linotype" w:cs="Tahoma"/>
          <w:bCs/>
          <w:sz w:val="22"/>
          <w:szCs w:val="22"/>
        </w:rPr>
        <w:t xml:space="preserve"> </w:t>
      </w:r>
    </w:p>
    <w:p w14:paraId="1428CE9B" w14:textId="77777777" w:rsidR="00937CA6" w:rsidRPr="00B71E3E" w:rsidRDefault="00937CA6" w:rsidP="00937CA6">
      <w:pPr>
        <w:spacing w:line="360" w:lineRule="auto"/>
        <w:ind w:left="567" w:right="567"/>
        <w:contextualSpacing/>
        <w:jc w:val="both"/>
        <w:rPr>
          <w:rFonts w:ascii="Palatino Linotype" w:hAnsi="Palatino Linotype" w:cs="Tahoma"/>
          <w:bCs/>
          <w:i/>
        </w:rPr>
      </w:pPr>
      <w:r w:rsidRPr="00B71E3E">
        <w:rPr>
          <w:rFonts w:ascii="Palatino Linotype" w:hAnsi="Palatino Linotype" w:cs="Tahoma"/>
          <w:b/>
          <w:bCs/>
          <w:i/>
        </w:rPr>
        <w:t xml:space="preserve">“Nombre de actores en juicios laborales constituye, en principio, información confidencial. </w:t>
      </w:r>
      <w:r w:rsidRPr="00B71E3E">
        <w:rPr>
          <w:rFonts w:ascii="Palatino Linotype" w:hAnsi="Palatino Linotype" w:cs="Tahoma"/>
          <w:bCs/>
          <w:i/>
        </w:rPr>
        <w:t xml:space="preserve">El nombre es un atributo de la personalidad y la manifestación principal del derecho a la identidad, en razón de que por sí mismo permite identificar a una persona física. Por lo que respecta al nombre de las personas que han entablado un juicio laboral, éste permite identificar a los actores que presentaron una demanda laboral y participan en un juicio, lo cual </w:t>
      </w:r>
      <w:r w:rsidRPr="00B71E3E">
        <w:rPr>
          <w:rFonts w:ascii="Palatino Linotype" w:hAnsi="Palatino Linotype" w:cs="Tahoma"/>
          <w:b/>
          <w:bCs/>
          <w:i/>
        </w:rPr>
        <w:t xml:space="preserve">constituye una decisión personal que refleja un acto de voluntad de quien lo realiza. </w:t>
      </w:r>
      <w:r w:rsidRPr="00B71E3E">
        <w:rPr>
          <w:rFonts w:ascii="Palatino Linotype" w:hAnsi="Palatino Linotype" w:cs="Tahoma"/>
          <w:bCs/>
          <w:i/>
        </w:rPr>
        <w:t xml:space="preserve">En efecto, las acciones legales que emprenden los actores en el ejercicio de sus derechos laborales </w:t>
      </w:r>
      <w:r w:rsidRPr="00B71E3E">
        <w:rPr>
          <w:rFonts w:ascii="Palatino Linotype" w:hAnsi="Palatino Linotype" w:cs="Tahoma"/>
          <w:b/>
          <w:bCs/>
          <w:i/>
        </w:rPr>
        <w:t>hacen evidente la posición jurídica en la cual se han colocado por decisión propia,</w:t>
      </w:r>
      <w:r w:rsidRPr="00B71E3E">
        <w:rPr>
          <w:rFonts w:ascii="Palatino Linotype" w:hAnsi="Palatino Linotype" w:cs="Tahoma"/>
          <w:bCs/>
          <w:i/>
        </w:rPr>
        <w:t xml:space="preserve"> con relación a determinados órganos de gobierno, para la obtención de algunas prestaciones laborales o económicas, lo cual constituye cuestiones de carácter estrictamente privado. En este tenor, el nombre de los actores de los juicios laborales que se encuentran en trámite o que, en su defecto, concluyeron con la emisión de un laudo desfavorable a los intereses personales del actor constituye información confidencial, conforme a lo dispuesto en el artículo 18, fracción II de la </w:t>
      </w:r>
      <w:r w:rsidRPr="00B71E3E">
        <w:rPr>
          <w:rFonts w:ascii="Palatino Linotype" w:hAnsi="Palatino Linotype" w:cs="Tahoma"/>
          <w:bCs/>
          <w:i/>
          <w:iCs/>
        </w:rPr>
        <w:t>Ley Federal de Transparencia y Acceso a la Información Pública Gubernamental</w:t>
      </w:r>
      <w:r w:rsidRPr="00B71E3E">
        <w:rPr>
          <w:rFonts w:ascii="Palatino Linotype" w:hAnsi="Palatino Linotype" w:cs="Tahoma"/>
          <w:bCs/>
          <w:i/>
        </w:rPr>
        <w:t xml:space="preserve">. No obstante, </w:t>
      </w:r>
      <w:r w:rsidRPr="00B71E3E">
        <w:rPr>
          <w:rFonts w:ascii="Palatino Linotype" w:hAnsi="Palatino Linotype" w:cs="Tahoma"/>
          <w:b/>
          <w:bCs/>
          <w:i/>
        </w:rPr>
        <w:t>procede la entrega del nombre de los actores en juicios laborales cuando, en definitiva, se haya condenado a una dependencia o entidad al pago de las prestaciones económicas reclamadas o la reinstalación del servidor público, en virtud de que el cumplimiento de dicho fallo se realiza necesariamente con recursos públicos a cargo del presupuesto del sujeto obligado</w:t>
      </w:r>
      <w:r w:rsidRPr="00B71E3E">
        <w:rPr>
          <w:rFonts w:ascii="Palatino Linotype" w:hAnsi="Palatino Linotype" w:cs="Tahoma"/>
          <w:bCs/>
          <w:i/>
        </w:rPr>
        <w:t>, lo cual permite por una parte, dar cumplimiento a las obligaciones de transparencia contenidas en el artículo 7, fracciones III, IV, IX y XVII de la Ley y, por la otra, transparenta la gestión pública y favorece la rendición de cuentas a los ciudadanos, ya que se refiere al ejercicio de los recursos públicos y al cumplimiento que se da a las resoluciones emitidas por alguna autoridad jurisdiccional encargada de dirimir conflictos laborales.”</w:t>
      </w:r>
    </w:p>
    <w:p w14:paraId="7C8AC5CE" w14:textId="77777777" w:rsidR="00937CA6" w:rsidRPr="00B71E3E" w:rsidRDefault="00937CA6" w:rsidP="00937CA6">
      <w:pPr>
        <w:spacing w:line="360" w:lineRule="auto"/>
        <w:ind w:right="-93"/>
        <w:contextualSpacing/>
        <w:jc w:val="both"/>
        <w:rPr>
          <w:rFonts w:ascii="Palatino Linotype" w:hAnsi="Palatino Linotype" w:cs="Tahoma"/>
          <w:bCs/>
          <w:sz w:val="22"/>
          <w:szCs w:val="22"/>
        </w:rPr>
      </w:pPr>
      <w:r w:rsidRPr="00B71E3E">
        <w:rPr>
          <w:rFonts w:ascii="Palatino Linotype" w:hAnsi="Palatino Linotype" w:cs="Tahoma"/>
          <w:bCs/>
          <w:sz w:val="22"/>
          <w:szCs w:val="22"/>
        </w:rPr>
        <w:t xml:space="preserve"> </w:t>
      </w:r>
    </w:p>
    <w:p w14:paraId="72D36432" w14:textId="696EBAE2" w:rsidR="00937CA6" w:rsidRPr="00B71E3E" w:rsidRDefault="00937CA6" w:rsidP="00937CA6">
      <w:pPr>
        <w:spacing w:line="360" w:lineRule="auto"/>
        <w:ind w:right="-93"/>
        <w:contextualSpacing/>
        <w:jc w:val="both"/>
        <w:rPr>
          <w:rFonts w:ascii="Palatino Linotype" w:hAnsi="Palatino Linotype" w:cs="Tahoma"/>
          <w:bCs/>
          <w:sz w:val="22"/>
          <w:szCs w:val="22"/>
        </w:rPr>
      </w:pPr>
      <w:r w:rsidRPr="00B71E3E">
        <w:rPr>
          <w:rFonts w:ascii="Palatino Linotype" w:hAnsi="Palatino Linotype" w:cs="Tahoma"/>
          <w:bCs/>
          <w:sz w:val="22"/>
          <w:szCs w:val="22"/>
        </w:rPr>
        <w:lastRenderedPageBreak/>
        <w:t xml:space="preserve">Del citado criterio, se puede desprender que el nombre de los actores en conflictos laborales, evidencian un acto de voluntad de quien lo realiza y refleja la posición jurídica en la que se han colocado por decisión propia, con la finalidad de obtener sus pretensiones laborales, las cuales revisten de carácter estrictamente privado; por lo cual, el nombre de los actores de los juicios laborales que </w:t>
      </w:r>
      <w:r w:rsidR="00482924" w:rsidRPr="00B71E3E">
        <w:rPr>
          <w:rFonts w:ascii="Palatino Linotype" w:hAnsi="Palatino Linotype" w:cs="Tahoma"/>
          <w:bCs/>
          <w:sz w:val="22"/>
          <w:szCs w:val="22"/>
        </w:rPr>
        <w:t xml:space="preserve">obtuvieron resolución </w:t>
      </w:r>
      <w:r w:rsidR="00F32C1E" w:rsidRPr="00B71E3E">
        <w:rPr>
          <w:rFonts w:ascii="Palatino Linotype" w:hAnsi="Palatino Linotype" w:cs="Tahoma"/>
          <w:bCs/>
          <w:sz w:val="22"/>
          <w:szCs w:val="22"/>
        </w:rPr>
        <w:t>en trámite o concluidos en donde no se determinó el pago de recursos público o la reinstalación</w:t>
      </w:r>
      <w:r w:rsidRPr="00B71E3E">
        <w:rPr>
          <w:rFonts w:ascii="Palatino Linotype" w:hAnsi="Palatino Linotype" w:cs="Tahoma"/>
          <w:bCs/>
          <w:sz w:val="22"/>
          <w:szCs w:val="22"/>
        </w:rPr>
        <w:t>, se trata de información confidencial.</w:t>
      </w:r>
    </w:p>
    <w:p w14:paraId="34337FC3" w14:textId="77777777" w:rsidR="00482924" w:rsidRPr="00B71E3E" w:rsidRDefault="00482924" w:rsidP="00937CA6">
      <w:pPr>
        <w:spacing w:line="360" w:lineRule="auto"/>
        <w:ind w:right="-93"/>
        <w:contextualSpacing/>
        <w:jc w:val="both"/>
        <w:rPr>
          <w:rFonts w:ascii="Palatino Linotype" w:hAnsi="Palatino Linotype" w:cs="Tahoma"/>
          <w:bCs/>
          <w:sz w:val="22"/>
          <w:szCs w:val="22"/>
        </w:rPr>
      </w:pPr>
    </w:p>
    <w:p w14:paraId="3177970E" w14:textId="38FF95A9" w:rsidR="00482924" w:rsidRPr="00B71E3E" w:rsidRDefault="00482924" w:rsidP="00482924">
      <w:pPr>
        <w:spacing w:line="360" w:lineRule="auto"/>
        <w:ind w:right="-93"/>
        <w:contextualSpacing/>
        <w:jc w:val="both"/>
        <w:rPr>
          <w:rFonts w:ascii="Palatino Linotype" w:hAnsi="Palatino Linotype" w:cs="Tahoma"/>
          <w:bCs/>
          <w:sz w:val="22"/>
          <w:szCs w:val="22"/>
        </w:rPr>
      </w:pPr>
      <w:r w:rsidRPr="00B71E3E">
        <w:rPr>
          <w:rFonts w:ascii="Palatino Linotype" w:hAnsi="Palatino Linotype" w:cs="Tahoma"/>
          <w:bCs/>
          <w:sz w:val="22"/>
          <w:szCs w:val="22"/>
        </w:rPr>
        <w:t xml:space="preserve">No obstante, para el caso de que por el contrario el nombre de actores que hubieran obtenido resolución a su favor por parte de la autoridad competente, conforme al artículo 23, fracción X, de la Ley de Transparencia y Acceso a la Información Pública del Estado de México y Municipios, se advierte que el nombre de cualquier persona física que reciba recursos públicos en el ámbito Estatal o Municipal, es de naturaleza pública, lo cual toma relevancia pues en el presente caso, son </w:t>
      </w:r>
      <w:proofErr w:type="spellStart"/>
      <w:r w:rsidRPr="00B71E3E">
        <w:rPr>
          <w:rFonts w:ascii="Palatino Linotype" w:hAnsi="Palatino Linotype" w:cs="Tahoma"/>
          <w:bCs/>
          <w:sz w:val="22"/>
          <w:szCs w:val="22"/>
        </w:rPr>
        <w:t>exservidores</w:t>
      </w:r>
      <w:proofErr w:type="spellEnd"/>
      <w:r w:rsidRPr="00B71E3E">
        <w:rPr>
          <w:rFonts w:ascii="Palatino Linotype" w:hAnsi="Palatino Linotype" w:cs="Tahoma"/>
          <w:bCs/>
          <w:sz w:val="22"/>
          <w:szCs w:val="22"/>
        </w:rPr>
        <w:t xml:space="preserve"> públicos, por lo que, no podrá clasificar dicho dato.</w:t>
      </w:r>
    </w:p>
    <w:p w14:paraId="40B29EBD" w14:textId="77777777" w:rsidR="00225712" w:rsidRPr="00B71E3E" w:rsidRDefault="00225712" w:rsidP="00FD7991">
      <w:pPr>
        <w:spacing w:line="360" w:lineRule="auto"/>
        <w:ind w:right="-93"/>
        <w:contextualSpacing/>
        <w:jc w:val="both"/>
        <w:rPr>
          <w:rFonts w:ascii="Palatino Linotype" w:hAnsi="Palatino Linotype" w:cs="Tahoma"/>
          <w:sz w:val="22"/>
          <w:szCs w:val="22"/>
        </w:rPr>
      </w:pPr>
    </w:p>
    <w:p w14:paraId="427F6BEC" w14:textId="77777777" w:rsidR="00D505F1" w:rsidRDefault="00A00E08" w:rsidP="0053549E">
      <w:pPr>
        <w:spacing w:line="360" w:lineRule="auto"/>
        <w:contextualSpacing/>
        <w:jc w:val="both"/>
        <w:rPr>
          <w:rFonts w:ascii="Palatino Linotype" w:hAnsi="Palatino Linotype" w:cs="Tahoma"/>
          <w:bCs/>
          <w:sz w:val="22"/>
          <w:szCs w:val="22"/>
        </w:rPr>
      </w:pPr>
      <w:r w:rsidRPr="00B71E3E">
        <w:rPr>
          <w:rFonts w:ascii="Palatino Linotype" w:hAnsi="Palatino Linotype" w:cs="Tahoma"/>
          <w:bCs/>
          <w:sz w:val="22"/>
          <w:szCs w:val="22"/>
        </w:rPr>
        <w:t>Conforme</w:t>
      </w:r>
      <w:r w:rsidR="0053549E" w:rsidRPr="00B71E3E">
        <w:rPr>
          <w:rFonts w:ascii="Palatino Linotype" w:hAnsi="Palatino Linotype" w:cs="Tahoma"/>
          <w:bCs/>
          <w:sz w:val="22"/>
          <w:szCs w:val="22"/>
        </w:rPr>
        <w:t xml:space="preserve"> a lo anterior, se considera que el Sujeto Obligado deberá realizar la entrega de los oficios en una versión pública correcta, en donde no podrá clasificar el nombre de servidores públicos, nombre de representantes legales o proveedores de servicios, nombre de instituciones educativas y su domicilio, así como el nombre de </w:t>
      </w:r>
      <w:proofErr w:type="spellStart"/>
      <w:r w:rsidR="0053549E" w:rsidRPr="00B71E3E">
        <w:rPr>
          <w:rFonts w:ascii="Palatino Linotype" w:hAnsi="Palatino Linotype" w:cs="Tahoma"/>
          <w:bCs/>
          <w:sz w:val="22"/>
          <w:szCs w:val="22"/>
        </w:rPr>
        <w:t>exservidores</w:t>
      </w:r>
      <w:proofErr w:type="spellEnd"/>
      <w:r w:rsidR="0053549E" w:rsidRPr="00B71E3E">
        <w:rPr>
          <w:rFonts w:ascii="Palatino Linotype" w:hAnsi="Palatino Linotype" w:cs="Tahoma"/>
          <w:bCs/>
          <w:sz w:val="22"/>
          <w:szCs w:val="22"/>
        </w:rPr>
        <w:t xml:space="preserve"> públicos que hubieran obtenido resolución favorable en juicios laborales. </w:t>
      </w:r>
    </w:p>
    <w:p w14:paraId="3FBE43E1" w14:textId="77777777" w:rsidR="00D505F1" w:rsidRDefault="00D505F1" w:rsidP="0053549E">
      <w:pPr>
        <w:spacing w:line="360" w:lineRule="auto"/>
        <w:contextualSpacing/>
        <w:jc w:val="both"/>
        <w:rPr>
          <w:rFonts w:ascii="Palatino Linotype" w:hAnsi="Palatino Linotype" w:cs="Tahoma"/>
          <w:bCs/>
          <w:sz w:val="22"/>
          <w:szCs w:val="22"/>
        </w:rPr>
      </w:pPr>
    </w:p>
    <w:p w14:paraId="2C87AAA7" w14:textId="2D5C0F28" w:rsidR="0053549E" w:rsidRPr="00B71E3E" w:rsidRDefault="0053549E" w:rsidP="0053549E">
      <w:pPr>
        <w:spacing w:line="360" w:lineRule="auto"/>
        <w:contextualSpacing/>
        <w:jc w:val="both"/>
        <w:rPr>
          <w:rFonts w:ascii="Palatino Linotype" w:hAnsi="Palatino Linotype" w:cs="Tahoma"/>
          <w:bCs/>
          <w:sz w:val="22"/>
          <w:szCs w:val="22"/>
        </w:rPr>
      </w:pPr>
      <w:r w:rsidRPr="00B71E3E">
        <w:rPr>
          <w:rFonts w:ascii="Palatino Linotype" w:eastAsia="Calibri" w:hAnsi="Palatino Linotype" w:cs="Tahoma"/>
          <w:color w:val="000000"/>
          <w:sz w:val="22"/>
          <w:szCs w:val="22"/>
          <w:lang w:val="es-ES" w:eastAsia="es-MX"/>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63428065" w14:textId="77777777" w:rsidR="00D505F1" w:rsidRPr="00B71E3E" w:rsidRDefault="00D505F1" w:rsidP="00FD7991">
      <w:pPr>
        <w:spacing w:line="360" w:lineRule="auto"/>
        <w:contextualSpacing/>
        <w:rPr>
          <w:rFonts w:ascii="Palatino Linotype" w:hAnsi="Palatino Linotype" w:cs="Tahoma"/>
          <w:b/>
          <w:sz w:val="22"/>
          <w:szCs w:val="22"/>
        </w:rPr>
      </w:pPr>
    </w:p>
    <w:p w14:paraId="1B2315C3" w14:textId="580470D4" w:rsidR="00FD7991" w:rsidRPr="00B71E3E" w:rsidRDefault="00FD7991" w:rsidP="00FD7991">
      <w:pPr>
        <w:spacing w:line="360" w:lineRule="auto"/>
        <w:contextualSpacing/>
        <w:rPr>
          <w:rFonts w:ascii="Palatino Linotype" w:hAnsi="Palatino Linotype" w:cs="Tahoma"/>
          <w:b/>
          <w:sz w:val="22"/>
          <w:szCs w:val="22"/>
        </w:rPr>
      </w:pPr>
      <w:r w:rsidRPr="00B71E3E">
        <w:rPr>
          <w:rFonts w:ascii="Palatino Linotype" w:hAnsi="Palatino Linotype" w:cs="Tahoma"/>
          <w:b/>
          <w:sz w:val="22"/>
          <w:szCs w:val="22"/>
        </w:rPr>
        <w:t>SEXTO. Decisión</w:t>
      </w:r>
    </w:p>
    <w:p w14:paraId="2C06AA8A" w14:textId="77777777" w:rsidR="00FD7991" w:rsidRPr="00B71E3E" w:rsidRDefault="00FD7991" w:rsidP="00FD7991">
      <w:pPr>
        <w:spacing w:line="360" w:lineRule="auto"/>
        <w:contextualSpacing/>
        <w:rPr>
          <w:rFonts w:ascii="Palatino Linotype" w:hAnsi="Palatino Linotype" w:cs="Tahoma"/>
          <w:b/>
        </w:rPr>
      </w:pPr>
    </w:p>
    <w:p w14:paraId="411F9011" w14:textId="77777777" w:rsidR="00FC2A5A" w:rsidRDefault="00FD7991" w:rsidP="00FD7991">
      <w:pPr>
        <w:tabs>
          <w:tab w:val="left" w:pos="4962"/>
        </w:tabs>
        <w:spacing w:line="360" w:lineRule="auto"/>
        <w:contextualSpacing/>
        <w:jc w:val="both"/>
        <w:rPr>
          <w:rFonts w:ascii="Palatino Linotype" w:hAnsi="Palatino Linotype" w:cs="Tahoma"/>
          <w:sz w:val="22"/>
          <w:szCs w:val="22"/>
        </w:rPr>
      </w:pPr>
      <w:r w:rsidRPr="00B71E3E">
        <w:rPr>
          <w:rFonts w:ascii="Palatino Linotype" w:hAnsi="Palatino Linotype" w:cs="Arial"/>
          <w:sz w:val="22"/>
          <w:szCs w:val="22"/>
        </w:rPr>
        <w:lastRenderedPageBreak/>
        <w:t>C</w:t>
      </w:r>
      <w:r w:rsidRPr="00B71E3E">
        <w:rPr>
          <w:rFonts w:ascii="Palatino Linotype" w:hAnsi="Palatino Linotype" w:cs="Tahoma"/>
          <w:sz w:val="22"/>
          <w:szCs w:val="22"/>
        </w:rPr>
        <w:t xml:space="preserve">on fundamento en el artículo 186, fracción III, de la Ley de Transparencia y Acceso a la Información Pública del Estado de México y Municipios, este Instituto considera procedente </w:t>
      </w:r>
      <w:r w:rsidRPr="00B71E3E">
        <w:rPr>
          <w:rFonts w:ascii="Palatino Linotype" w:hAnsi="Palatino Linotype" w:cs="Tahoma"/>
          <w:b/>
          <w:sz w:val="22"/>
          <w:szCs w:val="22"/>
        </w:rPr>
        <w:t>MODIFICAR</w:t>
      </w:r>
      <w:r w:rsidRPr="00B71E3E">
        <w:rPr>
          <w:rFonts w:ascii="Palatino Linotype" w:hAnsi="Palatino Linotype" w:cs="Tahoma"/>
          <w:sz w:val="22"/>
          <w:szCs w:val="22"/>
        </w:rPr>
        <w:t xml:space="preserve"> las respuestas otorgadas a las solicitudes de información </w:t>
      </w:r>
      <w:r w:rsidR="0053549E" w:rsidRPr="00B71E3E">
        <w:rPr>
          <w:rFonts w:ascii="Palatino Linotype" w:hAnsi="Palatino Linotype"/>
          <w:bCs/>
          <w:sz w:val="22"/>
          <w:szCs w:val="22"/>
        </w:rPr>
        <w:t>03475/TOLUCA/IP/2024</w:t>
      </w:r>
      <w:r w:rsidR="0053549E" w:rsidRPr="00B71E3E">
        <w:rPr>
          <w:rFonts w:ascii="Palatino Linotype" w:hAnsi="Palatino Linotype"/>
          <w:sz w:val="22"/>
          <w:szCs w:val="22"/>
        </w:rPr>
        <w:t xml:space="preserve">, y </w:t>
      </w:r>
      <w:r w:rsidR="0053549E" w:rsidRPr="00B71E3E">
        <w:rPr>
          <w:rFonts w:ascii="Palatino Linotype" w:hAnsi="Palatino Linotype"/>
          <w:bCs/>
          <w:sz w:val="22"/>
          <w:szCs w:val="22"/>
        </w:rPr>
        <w:t>03479/TOLUCA/IP/2024</w:t>
      </w:r>
      <w:r w:rsidRPr="00B71E3E">
        <w:rPr>
          <w:rFonts w:ascii="Palatino Linotype" w:hAnsi="Palatino Linotype" w:cs="Tahoma"/>
          <w:bCs/>
          <w:sz w:val="22"/>
          <w:szCs w:val="22"/>
        </w:rPr>
        <w:t>, a efecto de que,</w:t>
      </w:r>
      <w:r w:rsidRPr="00B71E3E">
        <w:rPr>
          <w:rFonts w:ascii="Palatino Linotype" w:hAnsi="Palatino Linotype" w:cs="Tahoma"/>
          <w:sz w:val="22"/>
          <w:szCs w:val="22"/>
        </w:rPr>
        <w:t xml:space="preserve"> proporcione</w:t>
      </w:r>
      <w:r w:rsidR="0053549E" w:rsidRPr="00B71E3E">
        <w:rPr>
          <w:rFonts w:ascii="Palatino Linotype" w:hAnsi="Palatino Linotype" w:cs="Tahoma"/>
          <w:sz w:val="22"/>
          <w:szCs w:val="22"/>
        </w:rPr>
        <w:t xml:space="preserve"> </w:t>
      </w:r>
      <w:r w:rsidR="00FC2A5A" w:rsidRPr="00B71E3E">
        <w:rPr>
          <w:rFonts w:ascii="Palatino Linotype" w:hAnsi="Palatino Linotype" w:cs="Tahoma"/>
          <w:sz w:val="22"/>
          <w:szCs w:val="22"/>
        </w:rPr>
        <w:t>versión íntegra los oficios testados de manera excesiva y los oficios faltantes.</w:t>
      </w:r>
    </w:p>
    <w:p w14:paraId="797047A2" w14:textId="77777777" w:rsidR="00D505F1" w:rsidRDefault="00D505F1" w:rsidP="00FD7991">
      <w:pPr>
        <w:tabs>
          <w:tab w:val="left" w:pos="4962"/>
        </w:tabs>
        <w:spacing w:line="360" w:lineRule="auto"/>
        <w:contextualSpacing/>
        <w:jc w:val="both"/>
        <w:rPr>
          <w:rFonts w:ascii="Palatino Linotype" w:hAnsi="Palatino Linotype" w:cs="Tahoma"/>
          <w:sz w:val="22"/>
          <w:szCs w:val="22"/>
        </w:rPr>
      </w:pPr>
    </w:p>
    <w:p w14:paraId="528EF825" w14:textId="22AA7D36" w:rsidR="00D505F1" w:rsidRPr="005942A4" w:rsidRDefault="00D505F1" w:rsidP="00D505F1">
      <w:pPr>
        <w:tabs>
          <w:tab w:val="left" w:pos="4962"/>
        </w:tabs>
        <w:spacing w:line="360" w:lineRule="auto"/>
        <w:contextualSpacing/>
        <w:jc w:val="both"/>
        <w:rPr>
          <w:rFonts w:ascii="Palatino Linotype" w:hAnsi="Palatino Linotype" w:cs="Tahoma"/>
          <w:b/>
          <w:bCs/>
          <w:iCs/>
          <w:sz w:val="22"/>
          <w:szCs w:val="22"/>
        </w:rPr>
      </w:pPr>
      <w:r w:rsidRPr="005942A4">
        <w:rPr>
          <w:rFonts w:ascii="Palatino Linotype" w:hAnsi="Palatino Linotype" w:cs="Tahoma"/>
          <w:b/>
          <w:bCs/>
          <w:iCs/>
          <w:sz w:val="22"/>
          <w:szCs w:val="22"/>
        </w:rPr>
        <w:t>SÉPTIMO. Vista la Dirección General de</w:t>
      </w:r>
      <w:r w:rsidR="000D6EF2">
        <w:rPr>
          <w:rFonts w:ascii="Palatino Linotype" w:hAnsi="Palatino Linotype" w:cs="Tahoma"/>
          <w:b/>
          <w:bCs/>
          <w:iCs/>
          <w:sz w:val="22"/>
          <w:szCs w:val="22"/>
        </w:rPr>
        <w:t xml:space="preserve"> Protección de Datos Personales</w:t>
      </w:r>
    </w:p>
    <w:p w14:paraId="51D28812" w14:textId="77777777" w:rsidR="00D505F1" w:rsidRPr="005942A4" w:rsidRDefault="00D505F1" w:rsidP="00D505F1">
      <w:pPr>
        <w:tabs>
          <w:tab w:val="left" w:pos="4962"/>
        </w:tabs>
        <w:spacing w:line="360" w:lineRule="auto"/>
        <w:contextualSpacing/>
        <w:jc w:val="both"/>
        <w:rPr>
          <w:rFonts w:ascii="Palatino Linotype" w:hAnsi="Palatino Linotype" w:cs="Tahoma"/>
          <w:b/>
          <w:bCs/>
          <w:iCs/>
          <w:sz w:val="22"/>
          <w:szCs w:val="22"/>
        </w:rPr>
      </w:pPr>
      <w:r w:rsidRPr="005942A4">
        <w:rPr>
          <w:rFonts w:ascii="Palatino Linotype" w:hAnsi="Palatino Linotype" w:cs="Tahoma"/>
          <w:b/>
          <w:bCs/>
          <w:iCs/>
          <w:sz w:val="22"/>
          <w:szCs w:val="22"/>
        </w:rPr>
        <w:t xml:space="preserve"> </w:t>
      </w:r>
    </w:p>
    <w:p w14:paraId="14BAF235" w14:textId="278EFAD3" w:rsidR="00D505F1" w:rsidRPr="005942A4" w:rsidRDefault="00D505F1" w:rsidP="00D505F1">
      <w:pPr>
        <w:tabs>
          <w:tab w:val="left" w:pos="4962"/>
        </w:tabs>
        <w:spacing w:line="360" w:lineRule="auto"/>
        <w:contextualSpacing/>
        <w:jc w:val="both"/>
        <w:rPr>
          <w:rFonts w:ascii="Palatino Linotype" w:hAnsi="Palatino Linotype" w:cs="Tahoma"/>
          <w:bCs/>
          <w:iCs/>
          <w:sz w:val="22"/>
          <w:szCs w:val="22"/>
        </w:rPr>
      </w:pPr>
      <w:r w:rsidRPr="005942A4">
        <w:rPr>
          <w:rFonts w:ascii="Palatino Linotype" w:hAnsi="Palatino Linotype" w:cs="Tahoma"/>
          <w:bCs/>
          <w:iCs/>
          <w:sz w:val="22"/>
          <w:szCs w:val="22"/>
        </w:rPr>
        <w:t xml:space="preserve">Ahora bien, de la revisión de los oficios remitidos en respuesta se colige, que el </w:t>
      </w:r>
      <w:proofErr w:type="spellStart"/>
      <w:r w:rsidRPr="005942A4">
        <w:rPr>
          <w:rFonts w:ascii="Palatino Linotype" w:hAnsi="Palatino Linotype" w:cs="Tahoma"/>
          <w:bCs/>
          <w:iCs/>
          <w:sz w:val="22"/>
          <w:szCs w:val="22"/>
        </w:rPr>
        <w:t>testado</w:t>
      </w:r>
      <w:proofErr w:type="spellEnd"/>
      <w:r w:rsidRPr="005942A4">
        <w:rPr>
          <w:rFonts w:ascii="Palatino Linotype" w:hAnsi="Palatino Linotype" w:cs="Tahoma"/>
          <w:bCs/>
          <w:iCs/>
          <w:sz w:val="22"/>
          <w:szCs w:val="22"/>
        </w:rPr>
        <w:t xml:space="preserve"> puede ser manipulado, lo cual permite el acceso a los datos clasificados que daban cuenta del nombre de particulares, y nombre de representantes legales de asociaciones civiles para fines de petición y orientación, y domicilio de identificación de inmuebles, que son susceptibles de clasificarse como información confidencial</w:t>
      </w:r>
      <w:r w:rsidRPr="005942A4">
        <w:rPr>
          <w:rFonts w:ascii="Palatino Linotype" w:hAnsi="Palatino Linotype" w:cs="Tahoma"/>
          <w:sz w:val="22"/>
          <w:szCs w:val="22"/>
        </w:rPr>
        <w:t xml:space="preserve">, </w:t>
      </w:r>
      <w:r w:rsidRPr="005942A4">
        <w:rPr>
          <w:rFonts w:ascii="Palatino Linotype" w:hAnsi="Palatino Linotype" w:cs="Tahoma"/>
          <w:bCs/>
          <w:iCs/>
          <w:sz w:val="22"/>
          <w:szCs w:val="22"/>
        </w:rPr>
        <w:t>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62EAA2A9" w14:textId="77777777" w:rsidR="00D505F1" w:rsidRPr="005942A4" w:rsidRDefault="00D505F1" w:rsidP="00D505F1">
      <w:pPr>
        <w:tabs>
          <w:tab w:val="left" w:pos="4962"/>
        </w:tabs>
        <w:spacing w:line="360" w:lineRule="auto"/>
        <w:contextualSpacing/>
        <w:jc w:val="both"/>
        <w:rPr>
          <w:rFonts w:ascii="Palatino Linotype" w:hAnsi="Palatino Linotype" w:cs="Tahoma"/>
          <w:bCs/>
          <w:iCs/>
          <w:sz w:val="22"/>
          <w:szCs w:val="22"/>
        </w:rPr>
      </w:pPr>
      <w:r w:rsidRPr="005942A4">
        <w:rPr>
          <w:rFonts w:ascii="Palatino Linotype" w:hAnsi="Palatino Linotype" w:cs="Tahoma"/>
          <w:bCs/>
          <w:iCs/>
          <w:sz w:val="22"/>
          <w:szCs w:val="22"/>
        </w:rPr>
        <w:t xml:space="preserve"> </w:t>
      </w:r>
    </w:p>
    <w:p w14:paraId="340A539D" w14:textId="33616E89" w:rsidR="00D505F1" w:rsidRPr="00D505F1" w:rsidRDefault="00D505F1" w:rsidP="00FD7991">
      <w:pPr>
        <w:tabs>
          <w:tab w:val="left" w:pos="4962"/>
        </w:tabs>
        <w:spacing w:line="360" w:lineRule="auto"/>
        <w:contextualSpacing/>
        <w:jc w:val="both"/>
        <w:rPr>
          <w:rFonts w:ascii="Palatino Linotype" w:hAnsi="Palatino Linotype" w:cs="Tahoma"/>
          <w:bCs/>
          <w:iCs/>
          <w:sz w:val="22"/>
          <w:szCs w:val="22"/>
        </w:rPr>
      </w:pPr>
      <w:r w:rsidRPr="005942A4">
        <w:rPr>
          <w:rFonts w:ascii="Palatino Linotype" w:hAnsi="Palatino Linotype" w:cs="Tahoma"/>
          <w:bCs/>
          <w:iCs/>
          <w:sz w:val="22"/>
          <w:szCs w:val="22"/>
        </w:rPr>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41029FD5" w14:textId="3D69511A" w:rsidR="00FD7991" w:rsidRPr="00B71E3E" w:rsidRDefault="00FD7991" w:rsidP="00FD7991">
      <w:pPr>
        <w:autoSpaceDE w:val="0"/>
        <w:autoSpaceDN w:val="0"/>
        <w:adjustRightInd w:val="0"/>
        <w:spacing w:line="360" w:lineRule="auto"/>
        <w:contextualSpacing/>
        <w:jc w:val="both"/>
        <w:rPr>
          <w:rFonts w:ascii="Palatino Linotype" w:eastAsia="Calibri" w:hAnsi="Palatino Linotype" w:cs="Tahoma"/>
          <w:b/>
          <w:bCs/>
          <w:iCs/>
          <w:sz w:val="22"/>
          <w:szCs w:val="22"/>
          <w:lang w:val="es-ES" w:eastAsia="en-US"/>
        </w:rPr>
      </w:pPr>
      <w:r w:rsidRPr="00B71E3E">
        <w:rPr>
          <w:rFonts w:ascii="Palatino Linotype" w:eastAsia="Calibri" w:hAnsi="Palatino Linotype" w:cs="Tahoma"/>
          <w:b/>
          <w:bCs/>
          <w:iCs/>
          <w:sz w:val="22"/>
          <w:szCs w:val="22"/>
          <w:lang w:val="es-ES" w:eastAsia="en-US"/>
        </w:rPr>
        <w:lastRenderedPageBreak/>
        <w:t>Términos de la Resolución para conocimiento del Particular</w:t>
      </w:r>
    </w:p>
    <w:p w14:paraId="1CBA7543" w14:textId="77777777" w:rsidR="00FD7991" w:rsidRPr="00B71E3E" w:rsidRDefault="00FD7991" w:rsidP="00FD7991">
      <w:pPr>
        <w:spacing w:line="360" w:lineRule="auto"/>
        <w:contextualSpacing/>
        <w:jc w:val="both"/>
        <w:rPr>
          <w:rFonts w:ascii="Palatino Linotype" w:hAnsi="Palatino Linotype"/>
          <w:b/>
          <w:sz w:val="22"/>
          <w:szCs w:val="22"/>
        </w:rPr>
      </w:pPr>
    </w:p>
    <w:p w14:paraId="38315EBC" w14:textId="3453F567" w:rsidR="00FD7991" w:rsidRPr="00B71E3E" w:rsidRDefault="00FD7991" w:rsidP="00FD7991">
      <w:pPr>
        <w:spacing w:line="360" w:lineRule="auto"/>
        <w:contextualSpacing/>
        <w:jc w:val="both"/>
        <w:rPr>
          <w:rFonts w:ascii="Palatino Linotype" w:eastAsia="Calibri" w:hAnsi="Palatino Linotype" w:cs="Tahoma"/>
          <w:sz w:val="22"/>
          <w:szCs w:val="22"/>
        </w:rPr>
      </w:pPr>
      <w:bookmarkStart w:id="2" w:name="_heading=h.1fob9te"/>
      <w:bookmarkEnd w:id="2"/>
      <w:r w:rsidRPr="00B71E3E">
        <w:rPr>
          <w:rFonts w:ascii="Palatino Linotype" w:hAnsi="Palatino Linotype"/>
          <w:sz w:val="22"/>
          <w:szCs w:val="22"/>
        </w:rPr>
        <w:t xml:space="preserve">Se le hace del conocimiento al ahora Recurrente que, en el presente asunto, se le concede parcialmente la razón, pues si bien el Sujeto Obligado desde respuesta, </w:t>
      </w:r>
      <w:r w:rsidRPr="00B71E3E">
        <w:rPr>
          <w:rFonts w:ascii="Palatino Linotype" w:eastAsia="Calibri" w:hAnsi="Palatino Linotype" w:cs="Tahoma"/>
          <w:sz w:val="22"/>
          <w:szCs w:val="22"/>
        </w:rPr>
        <w:t xml:space="preserve">proporcionó </w:t>
      </w:r>
      <w:r w:rsidR="00B75A17" w:rsidRPr="00B71E3E">
        <w:rPr>
          <w:rFonts w:ascii="Palatino Linotype" w:eastAsia="Calibri" w:hAnsi="Palatino Linotype" w:cs="Tahoma"/>
          <w:sz w:val="22"/>
          <w:szCs w:val="22"/>
        </w:rPr>
        <w:t xml:space="preserve">diversos </w:t>
      </w:r>
      <w:r w:rsidRPr="00B71E3E">
        <w:rPr>
          <w:rFonts w:ascii="Palatino Linotype" w:eastAsia="Calibri" w:hAnsi="Palatino Linotype" w:cs="Tahoma"/>
          <w:sz w:val="22"/>
          <w:szCs w:val="22"/>
        </w:rPr>
        <w:t xml:space="preserve">oficios con los que contaba, en las temporalidades requeridas, lo cierto es que </w:t>
      </w:r>
      <w:r w:rsidR="00B75A17" w:rsidRPr="00B71E3E">
        <w:rPr>
          <w:rFonts w:ascii="Palatino Linotype" w:eastAsia="Calibri" w:hAnsi="Palatino Linotype" w:cs="Tahoma"/>
          <w:sz w:val="22"/>
          <w:szCs w:val="22"/>
        </w:rPr>
        <w:t>los estregó de manera incompleta</w:t>
      </w:r>
      <w:r w:rsidRPr="00B71E3E">
        <w:rPr>
          <w:rFonts w:ascii="Palatino Linotype" w:eastAsia="Calibri" w:hAnsi="Palatino Linotype" w:cs="Tahoma"/>
          <w:sz w:val="22"/>
          <w:szCs w:val="22"/>
        </w:rPr>
        <w:t>,</w:t>
      </w:r>
      <w:r w:rsidR="00B75A17" w:rsidRPr="00B71E3E">
        <w:rPr>
          <w:rFonts w:ascii="Palatino Linotype" w:eastAsia="Calibri" w:hAnsi="Palatino Linotype" w:cs="Tahoma"/>
          <w:sz w:val="22"/>
          <w:szCs w:val="22"/>
        </w:rPr>
        <w:t xml:space="preserve"> sumado a que clasificó información de carácter público,</w:t>
      </w:r>
      <w:r w:rsidRPr="00B71E3E">
        <w:rPr>
          <w:rFonts w:ascii="Palatino Linotype" w:eastAsia="Calibri" w:hAnsi="Palatino Linotype" w:cs="Tahoma"/>
          <w:sz w:val="22"/>
          <w:szCs w:val="22"/>
        </w:rPr>
        <w:t xml:space="preserve"> por lo que, deberá proporcionarlos en su caso, en versión pública</w:t>
      </w:r>
      <w:r w:rsidR="00B75A17" w:rsidRPr="00B71E3E">
        <w:rPr>
          <w:rFonts w:ascii="Palatino Linotype" w:eastAsia="Calibri" w:hAnsi="Palatino Linotype" w:cs="Tahoma"/>
          <w:sz w:val="22"/>
          <w:szCs w:val="22"/>
        </w:rPr>
        <w:t xml:space="preserve"> correcta</w:t>
      </w:r>
      <w:r w:rsidRPr="00B71E3E">
        <w:rPr>
          <w:rFonts w:ascii="Palatino Linotype" w:hAnsi="Palatino Linotype"/>
          <w:sz w:val="22"/>
          <w:szCs w:val="22"/>
        </w:rPr>
        <w:t xml:space="preserve">. </w:t>
      </w:r>
    </w:p>
    <w:p w14:paraId="590C3281" w14:textId="77777777" w:rsidR="00FD7991" w:rsidRPr="00B71E3E" w:rsidRDefault="00FD7991" w:rsidP="00FD7991">
      <w:pPr>
        <w:spacing w:line="360" w:lineRule="auto"/>
        <w:contextualSpacing/>
        <w:jc w:val="both"/>
        <w:rPr>
          <w:rFonts w:ascii="Palatino Linotype" w:hAnsi="Palatino Linotype"/>
          <w:sz w:val="22"/>
          <w:szCs w:val="22"/>
        </w:rPr>
      </w:pPr>
    </w:p>
    <w:p w14:paraId="43FA6165" w14:textId="7351329C" w:rsidR="00FD7991" w:rsidRPr="00B71E3E" w:rsidRDefault="00FD7991" w:rsidP="00FD7991">
      <w:pPr>
        <w:spacing w:line="360" w:lineRule="auto"/>
        <w:contextualSpacing/>
        <w:jc w:val="both"/>
        <w:rPr>
          <w:rFonts w:ascii="Palatino Linotype" w:hAnsi="Palatino Linotype"/>
          <w:sz w:val="22"/>
          <w:szCs w:val="22"/>
        </w:rPr>
      </w:pPr>
      <w:r w:rsidRPr="00B71E3E">
        <w:rPr>
          <w:rFonts w:ascii="Palatino Linotype" w:eastAsia="Calibri" w:hAnsi="Palatino Linotype" w:cs="Tahoma"/>
          <w:bCs/>
          <w:iCs/>
          <w:sz w:val="22"/>
          <w:szCs w:val="22"/>
        </w:rPr>
        <w:t xml:space="preserve">Finalmente, la labor de este </w:t>
      </w:r>
      <w:r w:rsidRPr="00B71E3E">
        <w:rPr>
          <w:rFonts w:ascii="Palatino Linotype" w:eastAsia="Calibri" w:hAnsi="Palatino Linotype" w:cs="Tahoma"/>
          <w:bCs/>
          <w:iCs/>
          <w:sz w:val="22"/>
          <w:szCs w:val="22"/>
          <w:lang w:val="es-ES_tradnl" w:eastAsia="en-US"/>
        </w:rPr>
        <w:t>Instituto de Transparencia, Acceso a la Información Pública y Protección de Datos Personales del Estado de México y Municipios, es apoyar a la población a acceder a la información pública y garantizar la protección de los datos personales.</w:t>
      </w:r>
    </w:p>
    <w:p w14:paraId="7777340F" w14:textId="77777777" w:rsidR="00FD7991" w:rsidRPr="00B71E3E" w:rsidRDefault="00FD7991" w:rsidP="00FD7991">
      <w:pPr>
        <w:spacing w:line="360" w:lineRule="auto"/>
        <w:contextualSpacing/>
        <w:jc w:val="both"/>
        <w:rPr>
          <w:rFonts w:ascii="Palatino Linotype" w:eastAsia="Calibri" w:hAnsi="Palatino Linotype"/>
          <w:sz w:val="22"/>
          <w:szCs w:val="22"/>
        </w:rPr>
      </w:pPr>
    </w:p>
    <w:p w14:paraId="33151185" w14:textId="77777777" w:rsidR="00FD7991" w:rsidRPr="00B71E3E" w:rsidRDefault="00FD7991" w:rsidP="00FD7991">
      <w:pPr>
        <w:spacing w:line="360" w:lineRule="auto"/>
        <w:contextualSpacing/>
        <w:jc w:val="both"/>
        <w:rPr>
          <w:rFonts w:ascii="Palatino Linotype" w:eastAsia="Calibri" w:hAnsi="Palatino Linotype"/>
          <w:sz w:val="22"/>
          <w:szCs w:val="22"/>
        </w:rPr>
      </w:pPr>
      <w:r w:rsidRPr="00B71E3E">
        <w:rPr>
          <w:rFonts w:ascii="Palatino Linotype" w:eastAsia="Calibri" w:hAnsi="Palatino Linotype"/>
          <w:sz w:val="22"/>
          <w:szCs w:val="22"/>
        </w:rPr>
        <w:t>Por lo expuesto y fundado, este Pleno:</w:t>
      </w:r>
    </w:p>
    <w:p w14:paraId="4A4DEEB6" w14:textId="77777777" w:rsidR="00FD7991" w:rsidRPr="00B71E3E" w:rsidRDefault="00FD7991" w:rsidP="00FD7991">
      <w:pPr>
        <w:spacing w:line="360" w:lineRule="auto"/>
        <w:contextualSpacing/>
        <w:jc w:val="both"/>
        <w:rPr>
          <w:rFonts w:ascii="Palatino Linotype" w:eastAsia="Calibri" w:hAnsi="Palatino Linotype"/>
          <w:b/>
          <w:bCs/>
          <w:sz w:val="22"/>
          <w:szCs w:val="22"/>
        </w:rPr>
      </w:pPr>
    </w:p>
    <w:p w14:paraId="2ACB9C54" w14:textId="77777777" w:rsidR="00FD7991" w:rsidRPr="00B71E3E" w:rsidRDefault="00FD7991" w:rsidP="00FD7991">
      <w:pPr>
        <w:spacing w:line="360" w:lineRule="auto"/>
        <w:contextualSpacing/>
        <w:jc w:val="center"/>
        <w:rPr>
          <w:rFonts w:ascii="Palatino Linotype" w:eastAsia="Calibri" w:hAnsi="Palatino Linotype"/>
          <w:b/>
          <w:bCs/>
          <w:sz w:val="22"/>
          <w:szCs w:val="22"/>
        </w:rPr>
      </w:pPr>
      <w:r w:rsidRPr="00B71E3E">
        <w:rPr>
          <w:rFonts w:ascii="Palatino Linotype" w:eastAsia="Calibri" w:hAnsi="Palatino Linotype"/>
          <w:b/>
          <w:bCs/>
          <w:sz w:val="22"/>
          <w:szCs w:val="22"/>
        </w:rPr>
        <w:t>R E S U E L V E</w:t>
      </w:r>
    </w:p>
    <w:p w14:paraId="6038FEAE" w14:textId="77777777" w:rsidR="00FD7991" w:rsidRPr="00B71E3E" w:rsidRDefault="00FD7991" w:rsidP="00FD7991">
      <w:pPr>
        <w:spacing w:line="360" w:lineRule="auto"/>
        <w:ind w:right="-28"/>
        <w:contextualSpacing/>
        <w:jc w:val="both"/>
        <w:rPr>
          <w:rFonts w:ascii="Palatino Linotype" w:hAnsi="Palatino Linotype" w:cs="Tahoma"/>
          <w:b/>
          <w:bCs/>
          <w:sz w:val="22"/>
          <w:szCs w:val="22"/>
        </w:rPr>
      </w:pPr>
    </w:p>
    <w:p w14:paraId="058F53F3" w14:textId="0EF191AE" w:rsidR="00FD7991" w:rsidRPr="00B71E3E" w:rsidRDefault="00FD7991" w:rsidP="00FD7991">
      <w:pPr>
        <w:widowControl w:val="0"/>
        <w:spacing w:line="360" w:lineRule="auto"/>
        <w:contextualSpacing/>
        <w:jc w:val="both"/>
        <w:rPr>
          <w:rFonts w:ascii="Palatino Linotype" w:eastAsia="Calibri" w:hAnsi="Palatino Linotype"/>
          <w:b/>
          <w:bCs/>
          <w:sz w:val="22"/>
          <w:szCs w:val="22"/>
        </w:rPr>
      </w:pPr>
      <w:r w:rsidRPr="00B71E3E">
        <w:rPr>
          <w:rFonts w:ascii="Palatino Linotype" w:eastAsia="Calibri" w:hAnsi="Palatino Linotype"/>
          <w:b/>
          <w:bCs/>
          <w:sz w:val="22"/>
          <w:szCs w:val="22"/>
        </w:rPr>
        <w:t xml:space="preserve">PRIMERO. </w:t>
      </w:r>
      <w:r w:rsidRPr="00B71E3E">
        <w:rPr>
          <w:rFonts w:ascii="Palatino Linotype" w:eastAsia="Calibri" w:hAnsi="Palatino Linotype"/>
          <w:sz w:val="22"/>
          <w:szCs w:val="22"/>
        </w:rPr>
        <w:t xml:space="preserve">Se </w:t>
      </w:r>
      <w:r w:rsidRPr="00B71E3E">
        <w:rPr>
          <w:rFonts w:ascii="Palatino Linotype" w:eastAsia="Calibri" w:hAnsi="Palatino Linotype"/>
          <w:b/>
          <w:bCs/>
          <w:sz w:val="22"/>
          <w:szCs w:val="22"/>
        </w:rPr>
        <w:t xml:space="preserve">MODIFICA </w:t>
      </w:r>
      <w:r w:rsidRPr="00B71E3E">
        <w:rPr>
          <w:rFonts w:ascii="Palatino Linotype" w:eastAsia="Calibri" w:hAnsi="Palatino Linotype"/>
          <w:sz w:val="22"/>
          <w:szCs w:val="22"/>
        </w:rPr>
        <w:t>la</w:t>
      </w:r>
      <w:r w:rsidRPr="00B71E3E">
        <w:rPr>
          <w:rFonts w:ascii="Palatino Linotype" w:eastAsia="Calibri" w:hAnsi="Palatino Linotype"/>
          <w:b/>
          <w:bCs/>
          <w:sz w:val="22"/>
          <w:szCs w:val="22"/>
        </w:rPr>
        <w:t xml:space="preserve"> </w:t>
      </w:r>
      <w:r w:rsidRPr="00B71E3E">
        <w:rPr>
          <w:rFonts w:ascii="Palatino Linotype" w:eastAsia="Calibri" w:hAnsi="Palatino Linotype"/>
          <w:sz w:val="22"/>
          <w:szCs w:val="22"/>
        </w:rPr>
        <w:t>respuesta entregada por el Ayuntamiento de Toluca a las solicitudes de información</w:t>
      </w:r>
      <w:r w:rsidRPr="00B71E3E">
        <w:rPr>
          <w:rFonts w:ascii="Palatino Linotype" w:eastAsia="Calibri" w:hAnsi="Palatino Linotype"/>
          <w:b/>
          <w:bCs/>
          <w:sz w:val="22"/>
          <w:szCs w:val="22"/>
        </w:rPr>
        <w:t xml:space="preserve"> </w:t>
      </w:r>
      <w:r w:rsidR="005236AE" w:rsidRPr="00B71E3E">
        <w:rPr>
          <w:rFonts w:ascii="Palatino Linotype" w:eastAsia="Calibri" w:hAnsi="Palatino Linotype"/>
          <w:sz w:val="22"/>
          <w:szCs w:val="22"/>
        </w:rPr>
        <w:t xml:space="preserve">por resultar </w:t>
      </w:r>
      <w:r w:rsidR="005236AE" w:rsidRPr="00B71E3E">
        <w:rPr>
          <w:rFonts w:ascii="Palatino Linotype" w:eastAsia="Calibri" w:hAnsi="Palatino Linotype"/>
          <w:b/>
          <w:bCs/>
          <w:caps/>
          <w:sz w:val="22"/>
          <w:szCs w:val="22"/>
        </w:rPr>
        <w:t>parcialmente fundadas</w:t>
      </w:r>
      <w:r w:rsidR="005236AE" w:rsidRPr="00B71E3E">
        <w:rPr>
          <w:rFonts w:ascii="Palatino Linotype" w:eastAsia="Calibri" w:hAnsi="Palatino Linotype"/>
          <w:sz w:val="22"/>
          <w:szCs w:val="22"/>
        </w:rPr>
        <w:t xml:space="preserve"> las razones o motivos de inconformidad hechos valer por el Recurrente en la solicitud </w:t>
      </w:r>
      <w:r w:rsidR="005236AE" w:rsidRPr="00B71E3E">
        <w:rPr>
          <w:rFonts w:ascii="Palatino Linotype" w:hAnsi="Palatino Linotype"/>
          <w:bCs/>
          <w:sz w:val="22"/>
          <w:szCs w:val="22"/>
        </w:rPr>
        <w:t xml:space="preserve">03479/TOLUCA/IP/2024 y </w:t>
      </w:r>
      <w:r w:rsidR="005236AE" w:rsidRPr="00B71E3E">
        <w:rPr>
          <w:rFonts w:ascii="Palatino Linotype" w:hAnsi="Palatino Linotype"/>
          <w:b/>
          <w:caps/>
          <w:sz w:val="22"/>
          <w:szCs w:val="22"/>
        </w:rPr>
        <w:t>fundadas</w:t>
      </w:r>
      <w:r w:rsidR="005236AE" w:rsidRPr="00B71E3E">
        <w:rPr>
          <w:rFonts w:ascii="Palatino Linotype" w:hAnsi="Palatino Linotype"/>
          <w:bCs/>
          <w:sz w:val="22"/>
          <w:szCs w:val="22"/>
        </w:rPr>
        <w:t xml:space="preserve"> en la solicitud 03475/TOLUCA/IP/2024</w:t>
      </w:r>
      <w:r w:rsidRPr="00B71E3E">
        <w:rPr>
          <w:rFonts w:ascii="Palatino Linotype" w:eastAsia="Calibri" w:hAnsi="Palatino Linotype"/>
          <w:sz w:val="22"/>
          <w:szCs w:val="22"/>
        </w:rPr>
        <w:t>, en términos de los considerandos QUINTO y SEXTO de la presente Resolución.</w:t>
      </w:r>
    </w:p>
    <w:p w14:paraId="6694329E" w14:textId="77777777" w:rsidR="00FD7991" w:rsidRPr="00B71E3E" w:rsidRDefault="00FD7991" w:rsidP="00FD7991">
      <w:pPr>
        <w:widowControl w:val="0"/>
        <w:spacing w:line="360" w:lineRule="auto"/>
        <w:contextualSpacing/>
        <w:jc w:val="both"/>
        <w:rPr>
          <w:rFonts w:ascii="Palatino Linotype" w:eastAsia="Calibri" w:hAnsi="Palatino Linotype"/>
          <w:sz w:val="22"/>
          <w:szCs w:val="22"/>
        </w:rPr>
      </w:pPr>
    </w:p>
    <w:p w14:paraId="5E66D115" w14:textId="355E8F57" w:rsidR="00FD7991" w:rsidRPr="00B71E3E" w:rsidRDefault="00FD7991" w:rsidP="00FD7991">
      <w:pPr>
        <w:spacing w:line="360" w:lineRule="auto"/>
        <w:contextualSpacing/>
        <w:jc w:val="both"/>
        <w:rPr>
          <w:rFonts w:ascii="Palatino Linotype" w:eastAsia="Calibri" w:hAnsi="Palatino Linotype" w:cs="Tahoma"/>
          <w:sz w:val="22"/>
          <w:szCs w:val="22"/>
        </w:rPr>
      </w:pPr>
      <w:r w:rsidRPr="00B71E3E">
        <w:rPr>
          <w:rFonts w:ascii="Palatino Linotype" w:hAnsi="Palatino Linotype"/>
          <w:b/>
          <w:sz w:val="22"/>
          <w:szCs w:val="22"/>
        </w:rPr>
        <w:t xml:space="preserve">SEGUNDO. </w:t>
      </w:r>
      <w:r w:rsidRPr="00B71E3E">
        <w:rPr>
          <w:rFonts w:ascii="Palatino Linotype" w:hAnsi="Palatino Linotype"/>
          <w:sz w:val="22"/>
          <w:szCs w:val="22"/>
        </w:rPr>
        <w:t xml:space="preserve">Se </w:t>
      </w:r>
      <w:r w:rsidRPr="00B71E3E">
        <w:rPr>
          <w:rFonts w:ascii="Palatino Linotype" w:hAnsi="Palatino Linotype"/>
          <w:b/>
          <w:sz w:val="22"/>
          <w:szCs w:val="22"/>
        </w:rPr>
        <w:t>ORDENA</w:t>
      </w:r>
      <w:r w:rsidRPr="00B71E3E">
        <w:rPr>
          <w:rFonts w:ascii="Palatino Linotype" w:hAnsi="Palatino Linotype"/>
          <w:sz w:val="22"/>
          <w:szCs w:val="22"/>
        </w:rPr>
        <w:t xml:space="preserve"> al Ente Recurrido</w:t>
      </w:r>
      <w:r w:rsidRPr="00B71E3E">
        <w:rPr>
          <w:rFonts w:ascii="Palatino Linotype" w:hAnsi="Palatino Linotype"/>
          <w:b/>
          <w:sz w:val="22"/>
          <w:szCs w:val="22"/>
        </w:rPr>
        <w:t xml:space="preserve">, </w:t>
      </w:r>
      <w:r w:rsidRPr="00B71E3E">
        <w:rPr>
          <w:rFonts w:ascii="Palatino Linotype" w:hAnsi="Palatino Linotype" w:cs="Tahoma"/>
          <w:sz w:val="22"/>
          <w:szCs w:val="22"/>
        </w:rPr>
        <w:t xml:space="preserve">a efecto de que </w:t>
      </w:r>
      <w:r w:rsidRPr="00B71E3E">
        <w:rPr>
          <w:rFonts w:ascii="Palatino Linotype" w:eastAsia="Calibri" w:hAnsi="Palatino Linotype" w:cs="Tahoma"/>
          <w:sz w:val="22"/>
          <w:szCs w:val="22"/>
          <w:lang w:eastAsia="es-MX"/>
        </w:rPr>
        <w:t>entregue</w:t>
      </w:r>
      <w:r w:rsidRPr="00B71E3E">
        <w:rPr>
          <w:rFonts w:ascii="Palatino Linotype" w:eastAsia="Calibri" w:hAnsi="Palatino Linotype" w:cs="Tahoma"/>
          <w:sz w:val="22"/>
          <w:szCs w:val="22"/>
        </w:rPr>
        <w:t xml:space="preserve">, a través del </w:t>
      </w:r>
      <w:r w:rsidR="00D2410F" w:rsidRPr="00B71E3E">
        <w:rPr>
          <w:rFonts w:ascii="Palatino Linotype" w:eastAsia="Calibri" w:hAnsi="Palatino Linotype" w:cs="Tahoma"/>
          <w:sz w:val="22"/>
          <w:szCs w:val="22"/>
        </w:rPr>
        <w:t>SAIMEX</w:t>
      </w:r>
      <w:r w:rsidRPr="00B71E3E">
        <w:rPr>
          <w:rFonts w:ascii="Palatino Linotype" w:eastAsia="Calibri" w:hAnsi="Palatino Linotype" w:cs="Tahoma"/>
          <w:sz w:val="22"/>
          <w:szCs w:val="22"/>
        </w:rPr>
        <w:t xml:space="preserve">, </w:t>
      </w:r>
      <w:r w:rsidR="005236AE" w:rsidRPr="00B71E3E">
        <w:rPr>
          <w:rFonts w:ascii="Palatino Linotype" w:eastAsia="Calibri" w:hAnsi="Palatino Linotype" w:cs="Tahoma"/>
          <w:sz w:val="22"/>
          <w:szCs w:val="22"/>
        </w:rPr>
        <w:t>previa búsqueda exhaustiva y razonable,</w:t>
      </w:r>
      <w:r w:rsidRPr="00B71E3E">
        <w:rPr>
          <w:rFonts w:ascii="Palatino Linotype" w:eastAsia="Calibri" w:hAnsi="Palatino Linotype" w:cs="Tahoma"/>
          <w:sz w:val="22"/>
          <w:szCs w:val="22"/>
        </w:rPr>
        <w:t xml:space="preserve"> lo siguiente:</w:t>
      </w:r>
    </w:p>
    <w:p w14:paraId="21378E76" w14:textId="77777777" w:rsidR="00B75A17" w:rsidRPr="00B71E3E" w:rsidRDefault="00B75A17" w:rsidP="00B75A17">
      <w:pPr>
        <w:tabs>
          <w:tab w:val="left" w:pos="4962"/>
        </w:tabs>
        <w:spacing w:line="360" w:lineRule="auto"/>
        <w:jc w:val="both"/>
        <w:rPr>
          <w:rFonts w:ascii="Palatino Linotype" w:hAnsi="Palatino Linotype" w:cs="Tahoma"/>
          <w:bCs/>
          <w:color w:val="0D0D0D" w:themeColor="text1" w:themeTint="F2"/>
          <w:szCs w:val="22"/>
          <w:lang w:val="es-ES"/>
        </w:rPr>
      </w:pPr>
    </w:p>
    <w:p w14:paraId="44BF6A8E" w14:textId="73EB2F95" w:rsidR="00B75A17" w:rsidRPr="00B71E3E" w:rsidRDefault="00810AFF" w:rsidP="00672E1F">
      <w:pPr>
        <w:pStyle w:val="Prrafodelista"/>
        <w:numPr>
          <w:ilvl w:val="3"/>
          <w:numId w:val="7"/>
        </w:numPr>
        <w:tabs>
          <w:tab w:val="left" w:pos="4962"/>
        </w:tabs>
        <w:spacing w:line="360" w:lineRule="auto"/>
        <w:ind w:left="927"/>
        <w:jc w:val="both"/>
        <w:rPr>
          <w:rFonts w:ascii="Palatino Linotype" w:hAnsi="Palatino Linotype" w:cs="Tahoma"/>
          <w:bCs/>
          <w:szCs w:val="22"/>
        </w:rPr>
      </w:pPr>
      <w:r w:rsidRPr="00B71E3E">
        <w:rPr>
          <w:rFonts w:ascii="Palatino Linotype" w:hAnsi="Palatino Linotype" w:cs="Tahoma"/>
          <w:bCs/>
          <w:color w:val="0D0D0D" w:themeColor="text1" w:themeTint="F2"/>
          <w:szCs w:val="22"/>
          <w:lang w:val="es-ES"/>
        </w:rPr>
        <w:lastRenderedPageBreak/>
        <w:t>De l</w:t>
      </w:r>
      <w:r w:rsidR="00B75A17" w:rsidRPr="00B71E3E">
        <w:rPr>
          <w:rFonts w:ascii="Palatino Linotype" w:hAnsi="Palatino Linotype" w:cs="Tahoma"/>
          <w:bCs/>
          <w:color w:val="0D0D0D" w:themeColor="text1" w:themeTint="F2"/>
          <w:szCs w:val="22"/>
          <w:lang w:val="es-ES"/>
        </w:rPr>
        <w:t>os oficios</w:t>
      </w:r>
      <w:r w:rsidR="005236AE" w:rsidRPr="00B71E3E">
        <w:rPr>
          <w:rFonts w:ascii="Palatino Linotype" w:hAnsi="Palatino Linotype" w:cs="Tahoma"/>
          <w:bCs/>
          <w:color w:val="0D0D0D" w:themeColor="text1" w:themeTint="F2"/>
          <w:szCs w:val="22"/>
          <w:lang w:val="es-ES"/>
        </w:rPr>
        <w:t xml:space="preserve"> </w:t>
      </w:r>
      <w:r w:rsidRPr="00B71E3E">
        <w:rPr>
          <w:rFonts w:ascii="Palatino Linotype" w:hAnsi="Palatino Linotype" w:cs="Tahoma"/>
          <w:bCs/>
          <w:color w:val="0D0D0D" w:themeColor="text1" w:themeTint="F2"/>
          <w:szCs w:val="22"/>
          <w:lang w:val="es-ES"/>
        </w:rPr>
        <w:t xml:space="preserve">remitidos en respuesta, </w:t>
      </w:r>
      <w:r w:rsidR="005236AE" w:rsidRPr="00B71E3E">
        <w:rPr>
          <w:rFonts w:ascii="Palatino Linotype" w:hAnsi="Palatino Linotype" w:cs="Tahoma"/>
          <w:bCs/>
          <w:color w:val="0D0D0D" w:themeColor="text1" w:themeTint="F2"/>
          <w:szCs w:val="22"/>
          <w:lang w:val="es-ES"/>
        </w:rPr>
        <w:t>del mes de marzo</w:t>
      </w:r>
      <w:r w:rsidRPr="00B71E3E">
        <w:rPr>
          <w:rFonts w:ascii="Palatino Linotype" w:hAnsi="Palatino Linotype" w:cs="Tahoma"/>
          <w:bCs/>
          <w:color w:val="0D0D0D" w:themeColor="text1" w:themeTint="F2"/>
          <w:szCs w:val="22"/>
          <w:lang w:val="es-ES"/>
        </w:rPr>
        <w:t>:</w:t>
      </w:r>
      <w:r w:rsidR="005236AE" w:rsidRPr="00B71E3E">
        <w:rPr>
          <w:rFonts w:ascii="Palatino Linotype" w:hAnsi="Palatino Linotype" w:cs="Tahoma"/>
          <w:bCs/>
          <w:color w:val="0D0D0D" w:themeColor="text1" w:themeTint="F2"/>
          <w:szCs w:val="22"/>
          <w:lang w:val="es-ES"/>
        </w:rPr>
        <w:t xml:space="preserve"> </w:t>
      </w:r>
      <w:r w:rsidR="00B75A17" w:rsidRPr="00B71E3E">
        <w:rPr>
          <w:rFonts w:ascii="Palatino Linotype" w:hAnsi="Palatino Linotype" w:cs="Tahoma"/>
          <w:bCs/>
          <w:color w:val="0D0D0D" w:themeColor="text1" w:themeTint="F2"/>
          <w:szCs w:val="22"/>
          <w:lang w:val="es-ES"/>
        </w:rPr>
        <w:t>302/139/2023 y 302/140/2023,</w:t>
      </w:r>
      <w:r w:rsidR="003C0873">
        <w:rPr>
          <w:rFonts w:ascii="Palatino Linotype" w:hAnsi="Palatino Linotype" w:cs="Tahoma"/>
          <w:bCs/>
          <w:color w:val="0D0D0D" w:themeColor="text1" w:themeTint="F2"/>
          <w:szCs w:val="22"/>
          <w:lang w:val="es-ES"/>
        </w:rPr>
        <w:t xml:space="preserve"> y </w:t>
      </w:r>
      <w:r w:rsidRPr="00B71E3E">
        <w:rPr>
          <w:rFonts w:ascii="Palatino Linotype" w:hAnsi="Palatino Linotype" w:cs="Tahoma"/>
          <w:bCs/>
          <w:color w:val="0D0D0D" w:themeColor="text1" w:themeTint="F2"/>
          <w:szCs w:val="22"/>
          <w:lang w:val="es-ES"/>
        </w:rPr>
        <w:t xml:space="preserve">del mes de mayo: </w:t>
      </w:r>
      <w:r w:rsidR="00B75A17" w:rsidRPr="00B71E3E">
        <w:rPr>
          <w:rFonts w:ascii="Palatino Linotype" w:hAnsi="Palatino Linotype" w:cs="Tahoma"/>
          <w:bCs/>
          <w:color w:val="0D0D0D" w:themeColor="text1" w:themeTint="F2"/>
          <w:szCs w:val="22"/>
          <w:lang w:val="es-ES"/>
        </w:rPr>
        <w:t>302/231/2023, 302/232/2023, 302/238/2023, 302/245/2023, y 302/284/2023,</w:t>
      </w:r>
      <w:r w:rsidRPr="00B71E3E">
        <w:rPr>
          <w:rFonts w:ascii="Palatino Linotype" w:hAnsi="Palatino Linotype" w:cs="Tahoma"/>
          <w:bCs/>
          <w:color w:val="0D0D0D" w:themeColor="text1" w:themeTint="F2"/>
          <w:szCs w:val="22"/>
          <w:lang w:val="es-ES"/>
        </w:rPr>
        <w:t xml:space="preserve"> todos en versión íntegra.</w:t>
      </w:r>
    </w:p>
    <w:p w14:paraId="7E67AA2A" w14:textId="60A0499B" w:rsidR="00B75A17" w:rsidRPr="00B71E3E" w:rsidRDefault="00B75A17" w:rsidP="00672E1F">
      <w:pPr>
        <w:pStyle w:val="Prrafodelista"/>
        <w:numPr>
          <w:ilvl w:val="3"/>
          <w:numId w:val="7"/>
        </w:numPr>
        <w:tabs>
          <w:tab w:val="left" w:pos="4962"/>
        </w:tabs>
        <w:spacing w:line="360" w:lineRule="auto"/>
        <w:ind w:left="927"/>
        <w:jc w:val="both"/>
        <w:rPr>
          <w:rFonts w:ascii="Palatino Linotype" w:hAnsi="Palatino Linotype" w:cs="Tahoma"/>
          <w:szCs w:val="22"/>
        </w:rPr>
      </w:pPr>
      <w:r w:rsidRPr="00B71E3E">
        <w:rPr>
          <w:rFonts w:ascii="Palatino Linotype" w:hAnsi="Palatino Linotype" w:cs="Tahoma"/>
          <w:bCs/>
          <w:color w:val="0D0D0D" w:themeColor="text1" w:themeTint="F2"/>
          <w:szCs w:val="22"/>
          <w:lang w:val="es-ES"/>
        </w:rPr>
        <w:t xml:space="preserve">Los oficios faltantes, generados del primero al treinta y uno </w:t>
      </w:r>
      <w:r w:rsidRPr="005942A4">
        <w:rPr>
          <w:rFonts w:ascii="Palatino Linotype" w:hAnsi="Palatino Linotype" w:cs="Tahoma"/>
          <w:bCs/>
          <w:color w:val="0D0D0D" w:themeColor="text1" w:themeTint="F2"/>
          <w:szCs w:val="22"/>
          <w:lang w:val="es-ES"/>
        </w:rPr>
        <w:t>de mayo</w:t>
      </w:r>
      <w:r w:rsidRPr="00B71E3E">
        <w:rPr>
          <w:rFonts w:ascii="Palatino Linotype" w:hAnsi="Palatino Linotype" w:cs="Tahoma"/>
          <w:bCs/>
          <w:color w:val="0D0D0D" w:themeColor="text1" w:themeTint="F2"/>
          <w:szCs w:val="22"/>
          <w:lang w:val="es-ES"/>
        </w:rPr>
        <w:t xml:space="preserve"> de dos mil veintitrés.</w:t>
      </w:r>
    </w:p>
    <w:p w14:paraId="263589F2" w14:textId="77777777" w:rsidR="00FD7991" w:rsidRPr="00B71E3E" w:rsidRDefault="00FD7991" w:rsidP="00FD7991">
      <w:pPr>
        <w:spacing w:line="360" w:lineRule="auto"/>
        <w:contextualSpacing/>
        <w:jc w:val="both"/>
        <w:rPr>
          <w:rFonts w:ascii="Palatino Linotype" w:hAnsi="Palatino Linotype" w:cs="Tahoma"/>
          <w:bCs/>
          <w:iCs/>
          <w:sz w:val="22"/>
          <w:szCs w:val="22"/>
        </w:rPr>
      </w:pPr>
    </w:p>
    <w:p w14:paraId="7D97E175" w14:textId="6F2F1C18" w:rsidR="001A2CA0" w:rsidRPr="00B71E3E" w:rsidRDefault="00810AFF" w:rsidP="00FD7991">
      <w:pPr>
        <w:spacing w:line="360" w:lineRule="auto"/>
        <w:contextualSpacing/>
        <w:jc w:val="both"/>
        <w:rPr>
          <w:rFonts w:ascii="Palatino Linotype" w:hAnsi="Palatino Linotype" w:cs="Tahoma"/>
          <w:bCs/>
          <w:iCs/>
          <w:sz w:val="22"/>
          <w:szCs w:val="22"/>
        </w:rPr>
      </w:pPr>
      <w:r w:rsidRPr="00B71E3E">
        <w:rPr>
          <w:rFonts w:ascii="Palatino Linotype" w:hAnsi="Palatino Linotype" w:cs="Tahoma"/>
          <w:bCs/>
          <w:iCs/>
          <w:sz w:val="22"/>
          <w:szCs w:val="22"/>
        </w:rPr>
        <w:t>P</w:t>
      </w:r>
      <w:r w:rsidR="00FD7991" w:rsidRPr="00B71E3E">
        <w:rPr>
          <w:rFonts w:ascii="Palatino Linotype" w:hAnsi="Palatino Linotype" w:cs="Tahoma"/>
          <w:bCs/>
          <w:iCs/>
          <w:sz w:val="22"/>
          <w:szCs w:val="22"/>
        </w:rPr>
        <w:t>ara l</w:t>
      </w:r>
      <w:r w:rsidRPr="00B71E3E">
        <w:rPr>
          <w:rFonts w:ascii="Palatino Linotype" w:hAnsi="Palatino Linotype" w:cs="Tahoma"/>
          <w:bCs/>
          <w:iCs/>
          <w:sz w:val="22"/>
          <w:szCs w:val="22"/>
        </w:rPr>
        <w:t>a</w:t>
      </w:r>
      <w:r w:rsidR="00FD7991" w:rsidRPr="00B71E3E">
        <w:rPr>
          <w:rFonts w:ascii="Palatino Linotype" w:hAnsi="Palatino Linotype" w:cs="Tahoma"/>
          <w:bCs/>
          <w:iCs/>
          <w:sz w:val="22"/>
          <w:szCs w:val="22"/>
        </w:rPr>
        <w:t xml:space="preserve"> </w:t>
      </w:r>
      <w:r w:rsidRPr="00B71E3E">
        <w:rPr>
          <w:rFonts w:ascii="Palatino Linotype" w:hAnsi="Palatino Linotype" w:cs="Tahoma"/>
          <w:bCs/>
          <w:iCs/>
          <w:sz w:val="22"/>
          <w:szCs w:val="22"/>
        </w:rPr>
        <w:t xml:space="preserve">información del </w:t>
      </w:r>
      <w:r w:rsidR="00FD7991" w:rsidRPr="00B71E3E">
        <w:rPr>
          <w:rFonts w:ascii="Palatino Linotype" w:hAnsi="Palatino Linotype" w:cs="Tahoma"/>
          <w:bCs/>
          <w:iCs/>
          <w:sz w:val="22"/>
          <w:szCs w:val="22"/>
        </w:rPr>
        <w:t xml:space="preserve">punto 2, </w:t>
      </w:r>
      <w:r w:rsidRPr="00B71E3E">
        <w:rPr>
          <w:rFonts w:ascii="Palatino Linotype" w:hAnsi="Palatino Linotype" w:cs="Tahoma"/>
          <w:bCs/>
          <w:iCs/>
          <w:sz w:val="22"/>
          <w:szCs w:val="22"/>
        </w:rPr>
        <w:t xml:space="preserve">de ser necesario </w:t>
      </w:r>
      <w:r w:rsidR="00FD7991" w:rsidRPr="00B71E3E">
        <w:rPr>
          <w:rFonts w:ascii="Palatino Linotype" w:hAnsi="Palatino Linotype" w:cs="Tahoma"/>
          <w:bCs/>
          <w:iCs/>
          <w:sz w:val="22"/>
          <w:szCs w:val="22"/>
        </w:rPr>
        <w:t>deberá proporcionar el Acuerdo de Clasificación donde el Comité de Transparencia, confirme la eliminación de los datos confidenciales de los documentos, en la versión pública, de conformidad con los artículos 49, fracciones II y VIII, 132, fracción II, 143, fracción I, y 149 de la Ley de Transparencia y Acceso a la Información Pública del Estado de México y Municipios.</w:t>
      </w:r>
      <w:r w:rsidRPr="00B71E3E">
        <w:rPr>
          <w:rFonts w:ascii="Palatino Linotype" w:hAnsi="Palatino Linotype" w:cs="Tahoma"/>
          <w:bCs/>
          <w:iCs/>
          <w:sz w:val="22"/>
          <w:szCs w:val="22"/>
        </w:rPr>
        <w:t xml:space="preserve"> P</w:t>
      </w:r>
      <w:r w:rsidR="005236AE" w:rsidRPr="00B71E3E">
        <w:rPr>
          <w:rFonts w:ascii="Palatino Linotype" w:hAnsi="Palatino Linotype" w:cs="Tahoma"/>
          <w:bCs/>
          <w:iCs/>
          <w:sz w:val="22"/>
          <w:szCs w:val="22"/>
        </w:rPr>
        <w:t xml:space="preserve">ara el caso de que los oficios faltantes </w:t>
      </w:r>
      <w:r w:rsidR="001A2CA0" w:rsidRPr="00B71E3E">
        <w:rPr>
          <w:rFonts w:ascii="Palatino Linotype" w:hAnsi="Palatino Linotype" w:cs="Tahoma"/>
          <w:bCs/>
          <w:iCs/>
          <w:sz w:val="22"/>
          <w:szCs w:val="22"/>
        </w:rPr>
        <w:t>hayan sido cancelado</w:t>
      </w:r>
      <w:r w:rsidR="005236AE" w:rsidRPr="00B71E3E">
        <w:rPr>
          <w:rFonts w:ascii="Palatino Linotype" w:hAnsi="Palatino Linotype" w:cs="Tahoma"/>
          <w:bCs/>
          <w:iCs/>
          <w:sz w:val="22"/>
          <w:szCs w:val="22"/>
        </w:rPr>
        <w:t>s</w:t>
      </w:r>
      <w:r w:rsidR="001A2CA0" w:rsidRPr="00B71E3E">
        <w:rPr>
          <w:rFonts w:ascii="Palatino Linotype" w:hAnsi="Palatino Linotype" w:cs="Tahoma"/>
          <w:bCs/>
          <w:iCs/>
          <w:sz w:val="22"/>
          <w:szCs w:val="22"/>
        </w:rPr>
        <w:t>, deberá hacerlo del conocimiento del ahora Recurrente, de manera precisa</w:t>
      </w:r>
      <w:r w:rsidR="005236AE" w:rsidRPr="00B71E3E">
        <w:rPr>
          <w:rFonts w:ascii="Palatino Linotype" w:hAnsi="Palatino Linotype" w:cs="Tahoma"/>
          <w:bCs/>
          <w:iCs/>
          <w:sz w:val="22"/>
          <w:szCs w:val="22"/>
        </w:rPr>
        <w:t xml:space="preserve"> y clara</w:t>
      </w:r>
      <w:r w:rsidR="001A2CA0" w:rsidRPr="00B71E3E">
        <w:rPr>
          <w:rFonts w:ascii="Palatino Linotype" w:hAnsi="Palatino Linotype" w:cs="Tahoma"/>
          <w:bCs/>
          <w:iCs/>
          <w:sz w:val="22"/>
          <w:szCs w:val="22"/>
        </w:rPr>
        <w:t>.</w:t>
      </w:r>
    </w:p>
    <w:p w14:paraId="0188AE4B" w14:textId="77777777" w:rsidR="00FD7991" w:rsidRPr="00B71E3E" w:rsidRDefault="00FD7991" w:rsidP="00FD7991">
      <w:pPr>
        <w:spacing w:line="360" w:lineRule="auto"/>
        <w:contextualSpacing/>
        <w:jc w:val="both"/>
        <w:rPr>
          <w:rFonts w:ascii="Palatino Linotype" w:hAnsi="Palatino Linotype" w:cs="Tahoma"/>
          <w:bCs/>
          <w:iCs/>
          <w:sz w:val="22"/>
          <w:szCs w:val="22"/>
        </w:rPr>
      </w:pPr>
    </w:p>
    <w:p w14:paraId="58FE4A9D" w14:textId="77777777" w:rsidR="001A2CA0" w:rsidRPr="00B71E3E" w:rsidRDefault="001A2CA0" w:rsidP="001A2CA0">
      <w:pPr>
        <w:spacing w:line="360" w:lineRule="auto"/>
        <w:contextualSpacing/>
        <w:jc w:val="both"/>
        <w:rPr>
          <w:rFonts w:ascii="Palatino Linotype" w:eastAsia="Calibri" w:hAnsi="Palatino Linotype" w:cs="Tahoma"/>
          <w:iCs/>
          <w:sz w:val="22"/>
          <w:szCs w:val="22"/>
        </w:rPr>
      </w:pPr>
      <w:r w:rsidRPr="00B71E3E">
        <w:rPr>
          <w:rFonts w:ascii="Palatino Linotype" w:eastAsia="Calibri" w:hAnsi="Palatino Linotype" w:cs="Tahoma"/>
          <w:b/>
          <w:bCs/>
          <w:iCs/>
          <w:sz w:val="22"/>
          <w:szCs w:val="22"/>
        </w:rPr>
        <w:t>TERCERO. NOTIFÍQUESE POR SAIMEX</w:t>
      </w:r>
      <w:r w:rsidRPr="00B71E3E">
        <w:rPr>
          <w:rFonts w:ascii="Palatino Linotype" w:eastAsia="Calibri" w:hAnsi="Palatino Linotype" w:cs="Tahoma"/>
          <w:iCs/>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2E81535C" w14:textId="77777777" w:rsidR="001A2CA0" w:rsidRPr="00B71E3E" w:rsidRDefault="001A2CA0" w:rsidP="001A2CA0">
      <w:pPr>
        <w:spacing w:line="360" w:lineRule="auto"/>
        <w:contextualSpacing/>
        <w:jc w:val="both"/>
        <w:rPr>
          <w:rFonts w:ascii="Palatino Linotype" w:eastAsia="Calibri" w:hAnsi="Palatino Linotype" w:cs="Tahoma"/>
          <w:iCs/>
          <w:sz w:val="22"/>
          <w:szCs w:val="22"/>
        </w:rPr>
      </w:pPr>
      <w:r w:rsidRPr="00B71E3E">
        <w:rPr>
          <w:rFonts w:ascii="Palatino Linotype" w:eastAsia="Calibri" w:hAnsi="Palatino Linotype" w:cs="Tahoma"/>
          <w:iCs/>
          <w:sz w:val="22"/>
          <w:szCs w:val="22"/>
        </w:rPr>
        <w:t xml:space="preserve"> </w:t>
      </w:r>
    </w:p>
    <w:p w14:paraId="3267C099" w14:textId="77777777" w:rsidR="001A2CA0" w:rsidRPr="00B71E3E" w:rsidRDefault="001A2CA0" w:rsidP="001A2CA0">
      <w:pPr>
        <w:spacing w:line="360" w:lineRule="auto"/>
        <w:contextualSpacing/>
        <w:jc w:val="both"/>
        <w:rPr>
          <w:rFonts w:ascii="Palatino Linotype" w:eastAsia="Calibri" w:hAnsi="Palatino Linotype" w:cs="Tahoma"/>
          <w:iCs/>
          <w:sz w:val="22"/>
          <w:szCs w:val="22"/>
        </w:rPr>
      </w:pPr>
      <w:r w:rsidRPr="00B71E3E">
        <w:rPr>
          <w:rFonts w:ascii="Palatino Linotype" w:eastAsia="Calibri" w:hAnsi="Palatino Linotype" w:cs="Tahoma"/>
          <w:iCs/>
          <w:sz w:val="22"/>
          <w:szCs w:val="22"/>
        </w:rPr>
        <w:t xml:space="preserve">De conformidad con el artículo 198 de la Ley de Transparencia y Acceso a la Información Pública del Estado de México y Municipios, de considerarlo procedente, el Sujeto Obligado </w:t>
      </w:r>
      <w:r w:rsidRPr="00B71E3E">
        <w:rPr>
          <w:rFonts w:ascii="Palatino Linotype" w:eastAsia="Calibri" w:hAnsi="Palatino Linotype" w:cs="Tahoma"/>
          <w:iCs/>
          <w:sz w:val="22"/>
          <w:szCs w:val="22"/>
        </w:rPr>
        <w:lastRenderedPageBreak/>
        <w:t>de manera fundada y motivada, podrá solicitar una ampliación de plazo para el cumplimiento de la presente Resolución.</w:t>
      </w:r>
    </w:p>
    <w:p w14:paraId="51546EB2" w14:textId="77777777" w:rsidR="001A2CA0" w:rsidRPr="00B71E3E" w:rsidRDefault="001A2CA0" w:rsidP="001A2CA0">
      <w:pPr>
        <w:spacing w:line="360" w:lineRule="auto"/>
        <w:contextualSpacing/>
        <w:jc w:val="both"/>
        <w:rPr>
          <w:rFonts w:ascii="Palatino Linotype" w:eastAsia="Calibri" w:hAnsi="Palatino Linotype" w:cs="Tahoma"/>
          <w:iCs/>
          <w:sz w:val="22"/>
          <w:szCs w:val="22"/>
        </w:rPr>
      </w:pPr>
      <w:r w:rsidRPr="00B71E3E">
        <w:rPr>
          <w:rFonts w:ascii="Palatino Linotype" w:eastAsia="Calibri" w:hAnsi="Palatino Linotype" w:cs="Tahoma"/>
          <w:iCs/>
          <w:sz w:val="22"/>
          <w:szCs w:val="22"/>
        </w:rPr>
        <w:t xml:space="preserve"> </w:t>
      </w:r>
    </w:p>
    <w:p w14:paraId="2F277696" w14:textId="77777777" w:rsidR="001A2CA0" w:rsidRDefault="001A2CA0" w:rsidP="001A2CA0">
      <w:pPr>
        <w:spacing w:line="360" w:lineRule="auto"/>
        <w:contextualSpacing/>
        <w:jc w:val="both"/>
        <w:rPr>
          <w:rFonts w:ascii="Palatino Linotype" w:eastAsia="Calibri" w:hAnsi="Palatino Linotype" w:cs="Tahoma"/>
          <w:iCs/>
          <w:sz w:val="22"/>
          <w:szCs w:val="22"/>
        </w:rPr>
      </w:pPr>
      <w:r w:rsidRPr="00B71E3E">
        <w:rPr>
          <w:rFonts w:ascii="Palatino Linotype" w:eastAsia="Calibri" w:hAnsi="Palatino Linotype" w:cs="Tahoma"/>
          <w:b/>
          <w:bCs/>
          <w:iCs/>
          <w:sz w:val="22"/>
          <w:szCs w:val="22"/>
        </w:rPr>
        <w:t>CUARTO. NOTIFÍQUESE POR SAIMEX</w:t>
      </w:r>
      <w:r w:rsidRPr="00B71E3E">
        <w:rPr>
          <w:rFonts w:ascii="Palatino Linotype" w:eastAsia="Calibri" w:hAnsi="Palatino Linotype" w:cs="Tahoma"/>
          <w:iCs/>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2E07A91" w14:textId="77777777" w:rsidR="00D505F1" w:rsidRDefault="00D505F1" w:rsidP="001A2CA0">
      <w:pPr>
        <w:spacing w:line="360" w:lineRule="auto"/>
        <w:contextualSpacing/>
        <w:jc w:val="both"/>
        <w:rPr>
          <w:rFonts w:ascii="Palatino Linotype" w:eastAsia="Calibri" w:hAnsi="Palatino Linotype" w:cs="Tahoma"/>
          <w:iCs/>
          <w:sz w:val="22"/>
          <w:szCs w:val="22"/>
        </w:rPr>
      </w:pPr>
    </w:p>
    <w:p w14:paraId="6B47C421" w14:textId="094E2CD6" w:rsidR="00D505F1" w:rsidRPr="00D505F1" w:rsidRDefault="00D505F1" w:rsidP="001A2CA0">
      <w:pPr>
        <w:spacing w:line="360" w:lineRule="auto"/>
        <w:contextualSpacing/>
        <w:jc w:val="both"/>
        <w:rPr>
          <w:rFonts w:ascii="Palatino Linotype" w:eastAsia="Calibri" w:hAnsi="Palatino Linotype" w:cs="Tahoma"/>
          <w:bCs/>
          <w:iCs/>
          <w:sz w:val="22"/>
          <w:szCs w:val="22"/>
        </w:rPr>
      </w:pPr>
      <w:r w:rsidRPr="005942A4">
        <w:rPr>
          <w:rFonts w:ascii="Palatino Linotype" w:eastAsia="Calibri" w:hAnsi="Palatino Linotype" w:cs="Tahoma"/>
          <w:b/>
          <w:bCs/>
          <w:iCs/>
          <w:sz w:val="22"/>
          <w:szCs w:val="22"/>
        </w:rPr>
        <w:t xml:space="preserve">QUINTO. </w:t>
      </w:r>
      <w:r w:rsidRPr="005942A4">
        <w:rPr>
          <w:rFonts w:ascii="Palatino Linotype" w:eastAsia="Calibri" w:hAnsi="Palatino Linotype" w:cs="Tahoma"/>
          <w:bCs/>
          <w:iCs/>
          <w:sz w:val="22"/>
          <w:szCs w:val="22"/>
        </w:rPr>
        <w:t>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QUINTO de la presente Resolución.</w:t>
      </w:r>
    </w:p>
    <w:p w14:paraId="17FD1CC1" w14:textId="77777777" w:rsidR="001A2CA0" w:rsidRPr="00B71E3E" w:rsidRDefault="001A2CA0" w:rsidP="001A2CA0">
      <w:pPr>
        <w:spacing w:line="360" w:lineRule="auto"/>
        <w:contextualSpacing/>
        <w:jc w:val="both"/>
        <w:rPr>
          <w:rFonts w:ascii="Palatino Linotype" w:eastAsia="Calibri" w:hAnsi="Palatino Linotype" w:cs="Tahoma"/>
          <w:iCs/>
          <w:sz w:val="22"/>
          <w:szCs w:val="22"/>
        </w:rPr>
      </w:pPr>
      <w:r w:rsidRPr="00B71E3E">
        <w:rPr>
          <w:rFonts w:ascii="Palatino Linotype" w:eastAsia="Calibri" w:hAnsi="Palatino Linotype" w:cs="Tahoma"/>
          <w:iCs/>
          <w:sz w:val="22"/>
          <w:szCs w:val="22"/>
        </w:rPr>
        <w:t xml:space="preserve"> </w:t>
      </w:r>
    </w:p>
    <w:p w14:paraId="6444DDCB" w14:textId="3131AE1B" w:rsidR="001A2CA0" w:rsidRPr="001A2CA0" w:rsidRDefault="001A2CA0" w:rsidP="001A2CA0">
      <w:pPr>
        <w:spacing w:line="360" w:lineRule="auto"/>
        <w:contextualSpacing/>
        <w:jc w:val="both"/>
        <w:rPr>
          <w:rFonts w:ascii="Palatino Linotype" w:eastAsia="Calibri" w:hAnsi="Palatino Linotype" w:cs="Tahoma"/>
          <w:iCs/>
          <w:sz w:val="22"/>
          <w:szCs w:val="22"/>
        </w:rPr>
      </w:pPr>
      <w:r w:rsidRPr="00B71E3E">
        <w:rPr>
          <w:rFonts w:ascii="Palatino Linotype" w:eastAsia="Calibri" w:hAnsi="Palatino Linotype" w:cs="Tahoma"/>
          <w:iCs/>
          <w:sz w:val="22"/>
          <w:szCs w:val="22"/>
        </w:rPr>
        <w:t xml:space="preserve">ASÍ LO RESUELVE, POR </w:t>
      </w:r>
      <w:r w:rsidRPr="00B71E3E">
        <w:rPr>
          <w:rFonts w:ascii="Palatino Linotype" w:eastAsia="Calibri" w:hAnsi="Palatino Linotype" w:cs="Tahoma"/>
          <w:b/>
          <w:bCs/>
          <w:iCs/>
          <w:sz w:val="22"/>
          <w:szCs w:val="22"/>
        </w:rPr>
        <w:t>UNANIMIDAD</w:t>
      </w:r>
      <w:r w:rsidRPr="00B71E3E">
        <w:rPr>
          <w:rFonts w:ascii="Palatino Linotype" w:eastAsia="Calibri" w:hAnsi="Palatino Linotype" w:cs="Tahoma"/>
          <w:iCs/>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SEGUNDA SESIÓN ORDINARIA, CELEBRADA EL DOS DE ABRIL DE DOS MIL VEINTICINCO, ANTE EL SECRETARIO TÉCNICO DEL PLENO, ALEXIS TAPIA RAMÍREZ.</w:t>
      </w:r>
    </w:p>
    <w:p w14:paraId="398FC127" w14:textId="77777777" w:rsidR="00FD7991" w:rsidRPr="00537F14" w:rsidRDefault="00FD7991" w:rsidP="00FD7991">
      <w:pPr>
        <w:spacing w:line="360" w:lineRule="auto"/>
        <w:contextualSpacing/>
        <w:jc w:val="both"/>
        <w:rPr>
          <w:rFonts w:ascii="Palatino Linotype" w:eastAsia="Calibri" w:hAnsi="Palatino Linotype" w:cs="Tahoma"/>
          <w:color w:val="000000"/>
          <w:sz w:val="22"/>
          <w:szCs w:val="22"/>
          <w:lang w:val="es-ES" w:eastAsia="es-MX"/>
        </w:rPr>
      </w:pPr>
    </w:p>
    <w:p w14:paraId="5AF1DA9F" w14:textId="77777777" w:rsidR="00FD7991" w:rsidRDefault="00FD7991" w:rsidP="00FD7991">
      <w:pPr>
        <w:spacing w:line="360" w:lineRule="auto"/>
        <w:contextualSpacing/>
        <w:rPr>
          <w:rFonts w:ascii="Palatino Linotype" w:hAnsi="Palatino Linotype"/>
        </w:rPr>
      </w:pPr>
    </w:p>
    <w:p w14:paraId="0B5CDD5B" w14:textId="77777777" w:rsidR="00FD7991" w:rsidRDefault="00FD7991" w:rsidP="00FD7991">
      <w:pPr>
        <w:spacing w:line="360" w:lineRule="auto"/>
        <w:contextualSpacing/>
        <w:rPr>
          <w:rFonts w:ascii="Palatino Linotype" w:hAnsi="Palatino Linotype"/>
        </w:rPr>
      </w:pPr>
    </w:p>
    <w:p w14:paraId="04A4AC80" w14:textId="77777777" w:rsidR="00FD7991" w:rsidRDefault="00FD7991" w:rsidP="00FD7991">
      <w:pPr>
        <w:spacing w:line="360" w:lineRule="auto"/>
        <w:contextualSpacing/>
        <w:rPr>
          <w:rFonts w:ascii="Palatino Linotype" w:hAnsi="Palatino Linotype"/>
        </w:rPr>
      </w:pPr>
    </w:p>
    <w:p w14:paraId="3C7A6612" w14:textId="77777777" w:rsidR="00FD7991" w:rsidRDefault="00FD7991" w:rsidP="00FD7991">
      <w:pPr>
        <w:spacing w:line="360" w:lineRule="auto"/>
        <w:contextualSpacing/>
        <w:rPr>
          <w:rFonts w:ascii="Palatino Linotype" w:hAnsi="Palatino Linotype"/>
        </w:rPr>
      </w:pPr>
    </w:p>
    <w:p w14:paraId="3EAA8386" w14:textId="77777777" w:rsidR="00FD7991" w:rsidRDefault="00FD7991" w:rsidP="00FD7991">
      <w:pPr>
        <w:spacing w:line="360" w:lineRule="auto"/>
        <w:contextualSpacing/>
        <w:rPr>
          <w:rFonts w:ascii="Palatino Linotype" w:hAnsi="Palatino Linotype"/>
        </w:rPr>
      </w:pPr>
    </w:p>
    <w:p w14:paraId="2E84945B" w14:textId="77777777" w:rsidR="00FD7991" w:rsidRDefault="00FD7991" w:rsidP="00FD7991">
      <w:pPr>
        <w:spacing w:line="360" w:lineRule="auto"/>
        <w:contextualSpacing/>
        <w:rPr>
          <w:rFonts w:ascii="Palatino Linotype" w:hAnsi="Palatino Linotype"/>
        </w:rPr>
      </w:pPr>
    </w:p>
    <w:p w14:paraId="2F3C3762" w14:textId="77777777" w:rsidR="00FD7991" w:rsidRDefault="00FD7991" w:rsidP="00FD7991">
      <w:pPr>
        <w:spacing w:line="360" w:lineRule="auto"/>
        <w:contextualSpacing/>
        <w:rPr>
          <w:rFonts w:ascii="Palatino Linotype" w:hAnsi="Palatino Linotype"/>
        </w:rPr>
      </w:pPr>
    </w:p>
    <w:p w14:paraId="342579A7" w14:textId="77777777" w:rsidR="00FD7991" w:rsidRDefault="00FD7991" w:rsidP="00FD7991">
      <w:pPr>
        <w:spacing w:line="360" w:lineRule="auto"/>
        <w:contextualSpacing/>
        <w:rPr>
          <w:rFonts w:ascii="Palatino Linotype" w:hAnsi="Palatino Linotype"/>
        </w:rPr>
      </w:pPr>
    </w:p>
    <w:p w14:paraId="1CB8C759" w14:textId="77777777" w:rsidR="00FD7991" w:rsidRDefault="00FD7991" w:rsidP="00FD7991">
      <w:pPr>
        <w:spacing w:line="360" w:lineRule="auto"/>
        <w:contextualSpacing/>
        <w:rPr>
          <w:rFonts w:ascii="Palatino Linotype" w:hAnsi="Palatino Linotype"/>
        </w:rPr>
      </w:pPr>
    </w:p>
    <w:p w14:paraId="77C46657" w14:textId="77777777" w:rsidR="00FD7991" w:rsidRDefault="00FD7991" w:rsidP="00FD7991">
      <w:pPr>
        <w:spacing w:line="360" w:lineRule="auto"/>
        <w:contextualSpacing/>
        <w:rPr>
          <w:rFonts w:ascii="Palatino Linotype" w:hAnsi="Palatino Linotype"/>
        </w:rPr>
      </w:pPr>
    </w:p>
    <w:p w14:paraId="4496FC9C" w14:textId="77777777" w:rsidR="00FD7991" w:rsidRDefault="00FD7991" w:rsidP="00FD7991">
      <w:pPr>
        <w:spacing w:line="360" w:lineRule="auto"/>
        <w:contextualSpacing/>
        <w:rPr>
          <w:rFonts w:ascii="Palatino Linotype" w:hAnsi="Palatino Linotype"/>
        </w:rPr>
      </w:pPr>
    </w:p>
    <w:p w14:paraId="6F65C0D0" w14:textId="77777777" w:rsidR="00FD7991" w:rsidRDefault="00FD7991" w:rsidP="00FD7991">
      <w:pPr>
        <w:spacing w:line="360" w:lineRule="auto"/>
        <w:contextualSpacing/>
        <w:rPr>
          <w:rFonts w:ascii="Palatino Linotype" w:hAnsi="Palatino Linotype"/>
        </w:rPr>
      </w:pPr>
    </w:p>
    <w:p w14:paraId="2DA2EB18" w14:textId="77777777" w:rsidR="00FD7991" w:rsidRDefault="00FD7991" w:rsidP="00FD7991">
      <w:pPr>
        <w:spacing w:line="360" w:lineRule="auto"/>
        <w:contextualSpacing/>
        <w:rPr>
          <w:rFonts w:ascii="Palatino Linotype" w:hAnsi="Palatino Linotype"/>
        </w:rPr>
      </w:pPr>
    </w:p>
    <w:p w14:paraId="5E21B130" w14:textId="77777777" w:rsidR="00FD7991" w:rsidRDefault="00FD7991" w:rsidP="00FD7991">
      <w:pPr>
        <w:spacing w:line="360" w:lineRule="auto"/>
        <w:contextualSpacing/>
        <w:rPr>
          <w:rFonts w:ascii="Palatino Linotype" w:hAnsi="Palatino Linotype"/>
        </w:rPr>
      </w:pPr>
    </w:p>
    <w:p w14:paraId="4D97647D" w14:textId="77777777" w:rsidR="00FD7991" w:rsidRDefault="00FD7991" w:rsidP="00FD7991">
      <w:pPr>
        <w:spacing w:line="360" w:lineRule="auto"/>
        <w:contextualSpacing/>
        <w:rPr>
          <w:rFonts w:ascii="Palatino Linotype" w:hAnsi="Palatino Linotype"/>
        </w:rPr>
      </w:pPr>
    </w:p>
    <w:p w14:paraId="43F6F863" w14:textId="77777777" w:rsidR="00FD7991" w:rsidRDefault="00FD7991" w:rsidP="00FD7991">
      <w:pPr>
        <w:spacing w:line="360" w:lineRule="auto"/>
        <w:contextualSpacing/>
        <w:rPr>
          <w:rFonts w:ascii="Palatino Linotype" w:hAnsi="Palatino Linotype"/>
        </w:rPr>
      </w:pPr>
    </w:p>
    <w:p w14:paraId="74A3B3CC" w14:textId="77777777" w:rsidR="00FD7991" w:rsidRDefault="00FD7991" w:rsidP="00FD7991">
      <w:pPr>
        <w:spacing w:line="360" w:lineRule="auto"/>
        <w:contextualSpacing/>
        <w:rPr>
          <w:rFonts w:ascii="Palatino Linotype" w:hAnsi="Palatino Linotype"/>
        </w:rPr>
      </w:pPr>
    </w:p>
    <w:p w14:paraId="47357E0A" w14:textId="77777777" w:rsidR="00FD7991" w:rsidRDefault="00FD7991" w:rsidP="00FD7991">
      <w:pPr>
        <w:spacing w:line="360" w:lineRule="auto"/>
        <w:contextualSpacing/>
        <w:rPr>
          <w:rFonts w:ascii="Palatino Linotype" w:hAnsi="Palatino Linotype"/>
        </w:rPr>
      </w:pPr>
    </w:p>
    <w:p w14:paraId="6A3112E2" w14:textId="77777777" w:rsidR="00FD7991" w:rsidRDefault="00FD7991" w:rsidP="00FD7991">
      <w:pPr>
        <w:spacing w:line="360" w:lineRule="auto"/>
        <w:contextualSpacing/>
        <w:rPr>
          <w:rFonts w:ascii="Palatino Linotype" w:hAnsi="Palatino Linotype"/>
        </w:rPr>
      </w:pPr>
    </w:p>
    <w:p w14:paraId="77AE4C5A" w14:textId="77777777" w:rsidR="00FD7991" w:rsidRDefault="00FD7991" w:rsidP="00FD7991">
      <w:pPr>
        <w:spacing w:line="360" w:lineRule="auto"/>
        <w:contextualSpacing/>
        <w:rPr>
          <w:rFonts w:ascii="Palatino Linotype" w:hAnsi="Palatino Linotype"/>
        </w:rPr>
      </w:pPr>
    </w:p>
    <w:p w14:paraId="74B41A3E" w14:textId="77777777" w:rsidR="00FD7991" w:rsidRPr="00537F14" w:rsidRDefault="00FD7991" w:rsidP="00FD7991">
      <w:pPr>
        <w:spacing w:line="360" w:lineRule="auto"/>
        <w:contextualSpacing/>
        <w:rPr>
          <w:rFonts w:ascii="Palatino Linotype" w:hAnsi="Palatino Linotype"/>
        </w:rPr>
      </w:pPr>
    </w:p>
    <w:p w14:paraId="3C5FBEF9" w14:textId="77777777" w:rsidR="00165E67" w:rsidRDefault="00165E67"/>
    <w:sectPr w:rsidR="00165E67" w:rsidSect="00FD799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C8946" w14:textId="77777777" w:rsidR="00220105" w:rsidRDefault="00220105">
      <w:r>
        <w:separator/>
      </w:r>
    </w:p>
  </w:endnote>
  <w:endnote w:type="continuationSeparator" w:id="0">
    <w:p w14:paraId="40EECCEC" w14:textId="77777777" w:rsidR="00220105" w:rsidRDefault="0022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965779"/>
      <w:docPartObj>
        <w:docPartGallery w:val="Page Numbers (Bottom of Page)"/>
        <w:docPartUnique/>
      </w:docPartObj>
    </w:sdtPr>
    <w:sdtEndPr/>
    <w:sdtContent>
      <w:sdt>
        <w:sdtPr>
          <w:id w:val="40187052"/>
          <w:docPartObj>
            <w:docPartGallery w:val="Page Numbers (Top of Page)"/>
            <w:docPartUnique/>
          </w:docPartObj>
        </w:sdtPr>
        <w:sdtEndPr/>
        <w:sdtContent>
          <w:p w14:paraId="490ECBA8" w14:textId="77777777" w:rsidR="00FD7991" w:rsidRDefault="00FD7991">
            <w:pPr>
              <w:pStyle w:val="Piedepgina"/>
              <w:jc w:val="right"/>
            </w:pPr>
            <w:r w:rsidRPr="00AA25BA">
              <w:rPr>
                <w:rFonts w:ascii="Palatino Linotype" w:hAnsi="Palatino Linotype"/>
                <w:sz w:val="22"/>
                <w:szCs w:val="22"/>
                <w:lang w:val="es-ES"/>
              </w:rPr>
              <w:t xml:space="preserve">Página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PAGE</w:instrText>
            </w:r>
            <w:r w:rsidRPr="00AA25BA">
              <w:rPr>
                <w:rFonts w:ascii="Palatino Linotype" w:hAnsi="Palatino Linotype"/>
                <w:b/>
                <w:bCs/>
                <w:sz w:val="22"/>
                <w:szCs w:val="22"/>
              </w:rPr>
              <w:fldChar w:fldCharType="separate"/>
            </w:r>
            <w:r w:rsidRPr="00AA25BA">
              <w:rPr>
                <w:rFonts w:ascii="Palatino Linotype" w:hAnsi="Palatino Linotype"/>
                <w:b/>
                <w:bCs/>
                <w:sz w:val="22"/>
                <w:szCs w:val="22"/>
                <w:lang w:val="es-ES"/>
              </w:rPr>
              <w:t>2</w:t>
            </w:r>
            <w:r w:rsidRPr="00AA25BA">
              <w:rPr>
                <w:rFonts w:ascii="Palatino Linotype" w:hAnsi="Palatino Linotype"/>
                <w:b/>
                <w:bCs/>
                <w:sz w:val="22"/>
                <w:szCs w:val="22"/>
              </w:rPr>
              <w:fldChar w:fldCharType="end"/>
            </w:r>
            <w:r w:rsidRPr="00AA25BA">
              <w:rPr>
                <w:rFonts w:ascii="Palatino Linotype" w:hAnsi="Palatino Linotype"/>
                <w:sz w:val="22"/>
                <w:szCs w:val="22"/>
                <w:lang w:val="es-ES"/>
              </w:rPr>
              <w:t xml:space="preserve"> de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NUMPAGES</w:instrText>
            </w:r>
            <w:r w:rsidRPr="00AA25BA">
              <w:rPr>
                <w:rFonts w:ascii="Palatino Linotype" w:hAnsi="Palatino Linotype"/>
                <w:b/>
                <w:bCs/>
                <w:sz w:val="22"/>
                <w:szCs w:val="22"/>
              </w:rPr>
              <w:fldChar w:fldCharType="separate"/>
            </w:r>
            <w:r w:rsidR="006E7CF3">
              <w:rPr>
                <w:rFonts w:ascii="Palatino Linotype" w:hAnsi="Palatino Linotype"/>
                <w:b/>
                <w:bCs/>
                <w:noProof/>
                <w:sz w:val="22"/>
                <w:szCs w:val="22"/>
              </w:rPr>
              <w:t>33</w:t>
            </w:r>
            <w:r w:rsidRPr="00AA25BA">
              <w:rPr>
                <w:rFonts w:ascii="Palatino Linotype" w:hAnsi="Palatino Linotype"/>
                <w:b/>
                <w:bCs/>
                <w:sz w:val="22"/>
                <w:szCs w:val="22"/>
              </w:rPr>
              <w:fldChar w:fldCharType="end"/>
            </w:r>
          </w:p>
        </w:sdtContent>
      </w:sdt>
    </w:sdtContent>
  </w:sdt>
  <w:p w14:paraId="57A7C32C" w14:textId="77777777" w:rsidR="00FD7991" w:rsidRDefault="00FD79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576908"/>
      <w:docPartObj>
        <w:docPartGallery w:val="Page Numbers (Bottom of Page)"/>
        <w:docPartUnique/>
      </w:docPartObj>
    </w:sdtPr>
    <w:sdtEndPr/>
    <w:sdtContent>
      <w:sdt>
        <w:sdtPr>
          <w:id w:val="736206068"/>
          <w:docPartObj>
            <w:docPartGallery w:val="Page Numbers (Top of Page)"/>
            <w:docPartUnique/>
          </w:docPartObj>
        </w:sdtPr>
        <w:sdtEndPr/>
        <w:sdtContent>
          <w:p w14:paraId="001EA7E7" w14:textId="77777777" w:rsidR="00FD7991" w:rsidRDefault="00FD7991">
            <w:pPr>
              <w:pStyle w:val="Piedepgina"/>
              <w:jc w:val="right"/>
            </w:pPr>
            <w:r w:rsidRPr="00AA25BA">
              <w:rPr>
                <w:rFonts w:ascii="Palatino Linotype" w:hAnsi="Palatino Linotype"/>
                <w:sz w:val="22"/>
                <w:szCs w:val="22"/>
                <w:lang w:val="es-ES"/>
              </w:rPr>
              <w:t xml:space="preserve">Página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PAGE</w:instrText>
            </w:r>
            <w:r w:rsidRPr="00AA25BA">
              <w:rPr>
                <w:rFonts w:ascii="Palatino Linotype" w:hAnsi="Palatino Linotype"/>
                <w:b/>
                <w:bCs/>
                <w:sz w:val="22"/>
                <w:szCs w:val="22"/>
              </w:rPr>
              <w:fldChar w:fldCharType="separate"/>
            </w:r>
            <w:r w:rsidR="006E7CF3">
              <w:rPr>
                <w:rFonts w:ascii="Palatino Linotype" w:hAnsi="Palatino Linotype"/>
                <w:b/>
                <w:bCs/>
                <w:noProof/>
                <w:sz w:val="22"/>
                <w:szCs w:val="22"/>
              </w:rPr>
              <w:t>32</w:t>
            </w:r>
            <w:r w:rsidRPr="00AA25BA">
              <w:rPr>
                <w:rFonts w:ascii="Palatino Linotype" w:hAnsi="Palatino Linotype"/>
                <w:b/>
                <w:bCs/>
                <w:sz w:val="22"/>
                <w:szCs w:val="22"/>
              </w:rPr>
              <w:fldChar w:fldCharType="end"/>
            </w:r>
            <w:r w:rsidRPr="00AA25BA">
              <w:rPr>
                <w:rFonts w:ascii="Palatino Linotype" w:hAnsi="Palatino Linotype"/>
                <w:sz w:val="22"/>
                <w:szCs w:val="22"/>
                <w:lang w:val="es-ES"/>
              </w:rPr>
              <w:t xml:space="preserve"> de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NUMPAGES</w:instrText>
            </w:r>
            <w:r w:rsidRPr="00AA25BA">
              <w:rPr>
                <w:rFonts w:ascii="Palatino Linotype" w:hAnsi="Palatino Linotype"/>
                <w:b/>
                <w:bCs/>
                <w:sz w:val="22"/>
                <w:szCs w:val="22"/>
              </w:rPr>
              <w:fldChar w:fldCharType="separate"/>
            </w:r>
            <w:r w:rsidR="006E7CF3">
              <w:rPr>
                <w:rFonts w:ascii="Palatino Linotype" w:hAnsi="Palatino Linotype"/>
                <w:b/>
                <w:bCs/>
                <w:noProof/>
                <w:sz w:val="22"/>
                <w:szCs w:val="22"/>
              </w:rPr>
              <w:t>33</w:t>
            </w:r>
            <w:r w:rsidRPr="00AA25BA">
              <w:rPr>
                <w:rFonts w:ascii="Palatino Linotype" w:hAnsi="Palatino Linotype"/>
                <w:b/>
                <w:bCs/>
                <w:sz w:val="22"/>
                <w:szCs w:val="22"/>
              </w:rPr>
              <w:fldChar w:fldCharType="end"/>
            </w:r>
          </w:p>
        </w:sdtContent>
      </w:sdt>
    </w:sdtContent>
  </w:sdt>
  <w:p w14:paraId="331C09A8" w14:textId="77777777" w:rsidR="00FD7991" w:rsidRDefault="00FD799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2"/>
        <w:szCs w:val="22"/>
      </w:rPr>
      <w:id w:val="-974364972"/>
      <w:docPartObj>
        <w:docPartGallery w:val="Page Numbers (Bottom of Page)"/>
        <w:docPartUnique/>
      </w:docPartObj>
    </w:sdtPr>
    <w:sdtEndPr/>
    <w:sdtContent>
      <w:sdt>
        <w:sdtPr>
          <w:rPr>
            <w:rFonts w:ascii="Palatino Linotype" w:hAnsi="Palatino Linotype"/>
            <w:sz w:val="22"/>
            <w:szCs w:val="22"/>
          </w:rPr>
          <w:id w:val="-1769616900"/>
          <w:docPartObj>
            <w:docPartGallery w:val="Page Numbers (Top of Page)"/>
            <w:docPartUnique/>
          </w:docPartObj>
        </w:sdtPr>
        <w:sdtEndPr/>
        <w:sdtContent>
          <w:p w14:paraId="7DC6502C" w14:textId="77777777" w:rsidR="00FD7991" w:rsidRPr="00AA25BA" w:rsidRDefault="00FD7991">
            <w:pPr>
              <w:pStyle w:val="Piedepgina"/>
              <w:jc w:val="right"/>
              <w:rPr>
                <w:rFonts w:ascii="Palatino Linotype" w:hAnsi="Palatino Linotype"/>
                <w:sz w:val="22"/>
                <w:szCs w:val="22"/>
              </w:rPr>
            </w:pPr>
            <w:r w:rsidRPr="00AA25BA">
              <w:rPr>
                <w:rFonts w:ascii="Palatino Linotype" w:hAnsi="Palatino Linotype"/>
                <w:sz w:val="22"/>
                <w:szCs w:val="22"/>
                <w:lang w:val="es-ES"/>
              </w:rPr>
              <w:t xml:space="preserve">Página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PAGE</w:instrText>
            </w:r>
            <w:r w:rsidRPr="00AA25BA">
              <w:rPr>
                <w:rFonts w:ascii="Palatino Linotype" w:hAnsi="Palatino Linotype"/>
                <w:b/>
                <w:bCs/>
                <w:sz w:val="22"/>
                <w:szCs w:val="22"/>
              </w:rPr>
              <w:fldChar w:fldCharType="separate"/>
            </w:r>
            <w:r w:rsidR="006E7CF3">
              <w:rPr>
                <w:rFonts w:ascii="Palatino Linotype" w:hAnsi="Palatino Linotype"/>
                <w:b/>
                <w:bCs/>
                <w:noProof/>
                <w:sz w:val="22"/>
                <w:szCs w:val="22"/>
              </w:rPr>
              <w:t>1</w:t>
            </w:r>
            <w:r w:rsidRPr="00AA25BA">
              <w:rPr>
                <w:rFonts w:ascii="Palatino Linotype" w:hAnsi="Palatino Linotype"/>
                <w:b/>
                <w:bCs/>
                <w:sz w:val="22"/>
                <w:szCs w:val="22"/>
              </w:rPr>
              <w:fldChar w:fldCharType="end"/>
            </w:r>
            <w:r w:rsidRPr="00AA25BA">
              <w:rPr>
                <w:rFonts w:ascii="Palatino Linotype" w:hAnsi="Palatino Linotype"/>
                <w:sz w:val="22"/>
                <w:szCs w:val="22"/>
                <w:lang w:val="es-ES"/>
              </w:rPr>
              <w:t xml:space="preserve"> de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NUMPAGES</w:instrText>
            </w:r>
            <w:r w:rsidRPr="00AA25BA">
              <w:rPr>
                <w:rFonts w:ascii="Palatino Linotype" w:hAnsi="Palatino Linotype"/>
                <w:b/>
                <w:bCs/>
                <w:sz w:val="22"/>
                <w:szCs w:val="22"/>
              </w:rPr>
              <w:fldChar w:fldCharType="separate"/>
            </w:r>
            <w:r w:rsidR="006E7CF3">
              <w:rPr>
                <w:rFonts w:ascii="Palatino Linotype" w:hAnsi="Palatino Linotype"/>
                <w:b/>
                <w:bCs/>
                <w:noProof/>
                <w:sz w:val="22"/>
                <w:szCs w:val="22"/>
              </w:rPr>
              <w:t>33</w:t>
            </w:r>
            <w:r w:rsidRPr="00AA25BA">
              <w:rPr>
                <w:rFonts w:ascii="Palatino Linotype" w:hAnsi="Palatino Linotype"/>
                <w:b/>
                <w:bCs/>
                <w:sz w:val="22"/>
                <w:szCs w:val="22"/>
              </w:rPr>
              <w:fldChar w:fldCharType="end"/>
            </w:r>
          </w:p>
        </w:sdtContent>
      </w:sdt>
    </w:sdtContent>
  </w:sdt>
  <w:p w14:paraId="3BFE9DFF" w14:textId="77777777" w:rsidR="00FD7991" w:rsidRDefault="00FD79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2B6FE" w14:textId="77777777" w:rsidR="00220105" w:rsidRDefault="00220105">
      <w:r>
        <w:separator/>
      </w:r>
    </w:p>
  </w:footnote>
  <w:footnote w:type="continuationSeparator" w:id="0">
    <w:p w14:paraId="439EA56E" w14:textId="77777777" w:rsidR="00220105" w:rsidRDefault="00220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05" w:type="dxa"/>
      <w:tblLayout w:type="fixed"/>
      <w:tblLook w:val="04A0" w:firstRow="1" w:lastRow="0" w:firstColumn="1" w:lastColumn="0" w:noHBand="0" w:noVBand="1"/>
    </w:tblPr>
    <w:tblGrid>
      <w:gridCol w:w="2972"/>
      <w:gridCol w:w="6733"/>
    </w:tblGrid>
    <w:tr w:rsidR="00FD7991" w14:paraId="488C5020" w14:textId="77777777" w:rsidTr="00FD7991">
      <w:trPr>
        <w:trHeight w:val="1435"/>
      </w:trPr>
      <w:tc>
        <w:tcPr>
          <w:tcW w:w="2972" w:type="dxa"/>
        </w:tcPr>
        <w:p w14:paraId="5D6E5CEE" w14:textId="77777777" w:rsidR="00FD7991" w:rsidRDefault="00FD7991" w:rsidP="00FD7991">
          <w:pPr>
            <w:tabs>
              <w:tab w:val="right" w:pos="4273"/>
            </w:tabs>
            <w:spacing w:line="256" w:lineRule="auto"/>
            <w:rPr>
              <w:rFonts w:ascii="Garamond" w:eastAsia="Calibri" w:hAnsi="Garamond"/>
              <w:sz w:val="22"/>
              <w:szCs w:val="22"/>
              <w:lang w:eastAsia="en-US"/>
            </w:rPr>
          </w:pPr>
        </w:p>
      </w:tc>
      <w:tc>
        <w:tcPr>
          <w:tcW w:w="6733" w:type="dxa"/>
          <w:hideMark/>
        </w:tcPr>
        <w:tbl>
          <w:tblPr>
            <w:tblStyle w:val="Tablaconcuadrcula"/>
            <w:tblW w:w="5535" w:type="dxa"/>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47"/>
            <w:gridCol w:w="3088"/>
          </w:tblGrid>
          <w:tr w:rsidR="00FD7991" w14:paraId="73EC38B7" w14:textId="77777777" w:rsidTr="00FD7991">
            <w:trPr>
              <w:trHeight w:val="144"/>
            </w:trPr>
            <w:tc>
              <w:tcPr>
                <w:tcW w:w="2447" w:type="dxa"/>
                <w:hideMark/>
              </w:tcPr>
              <w:p w14:paraId="6DF00B7F" w14:textId="77777777" w:rsidR="00FD7991" w:rsidRPr="008A245E" w:rsidRDefault="00FD7991" w:rsidP="00FD7991">
                <w:pPr>
                  <w:tabs>
                    <w:tab w:val="right" w:pos="8838"/>
                  </w:tabs>
                  <w:ind w:left="-69"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Recurso de Revisión:</w:t>
                </w:r>
              </w:p>
            </w:tc>
            <w:tc>
              <w:tcPr>
                <w:tcW w:w="3088" w:type="dxa"/>
                <w:hideMark/>
              </w:tcPr>
              <w:p w14:paraId="2CF5FCB3" w14:textId="77777777" w:rsidR="00FD7991" w:rsidRPr="008A245E" w:rsidRDefault="00FD7991" w:rsidP="00FD7991">
                <w:pPr>
                  <w:tabs>
                    <w:tab w:val="right" w:pos="8838"/>
                  </w:tabs>
                  <w:ind w:left="-74" w:right="-105"/>
                  <w:jc w:val="both"/>
                  <w:rPr>
                    <w:rFonts w:ascii="Palatino Linotype" w:eastAsia="Calibri" w:hAnsi="Palatino Linotype" w:cs="Tahoma"/>
                    <w:bCs/>
                    <w:sz w:val="22"/>
                    <w:szCs w:val="22"/>
                    <w:lang w:eastAsia="en-US"/>
                  </w:rPr>
                </w:pPr>
                <w:r w:rsidRPr="008A245E">
                  <w:rPr>
                    <w:rFonts w:ascii="Palatino Linotype" w:eastAsia="Calibri" w:hAnsi="Palatino Linotype" w:cs="Tahoma"/>
                    <w:bCs/>
                    <w:sz w:val="22"/>
                    <w:szCs w:val="22"/>
                    <w:lang w:val="es-MX" w:eastAsia="en-US"/>
                  </w:rPr>
                  <w:t>02946/INFOEM/IP/RR/2021</w:t>
                </w:r>
              </w:p>
            </w:tc>
          </w:tr>
          <w:tr w:rsidR="00FD7991" w14:paraId="66992787" w14:textId="77777777" w:rsidTr="00FD7991">
            <w:trPr>
              <w:trHeight w:val="283"/>
            </w:trPr>
            <w:tc>
              <w:tcPr>
                <w:tcW w:w="2447" w:type="dxa"/>
                <w:hideMark/>
              </w:tcPr>
              <w:p w14:paraId="4848AE94" w14:textId="77777777" w:rsidR="00FD7991" w:rsidRPr="008A245E" w:rsidRDefault="00FD7991" w:rsidP="00FD7991">
                <w:pPr>
                  <w:tabs>
                    <w:tab w:val="right" w:pos="8838"/>
                  </w:tabs>
                  <w:ind w:left="-7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Sujeto Obligado:</w:t>
                </w:r>
              </w:p>
            </w:tc>
            <w:tc>
              <w:tcPr>
                <w:tcW w:w="3088" w:type="dxa"/>
                <w:hideMark/>
              </w:tcPr>
              <w:p w14:paraId="275E4566" w14:textId="77777777" w:rsidR="00FD7991" w:rsidRPr="008A245E" w:rsidRDefault="00FD7991" w:rsidP="00FD7991">
                <w:pPr>
                  <w:tabs>
                    <w:tab w:val="left" w:pos="2834"/>
                    <w:tab w:val="right" w:pos="8838"/>
                  </w:tabs>
                  <w:ind w:left="-74" w:right="-105"/>
                  <w:jc w:val="both"/>
                  <w:rPr>
                    <w:rFonts w:ascii="Palatino Linotype" w:eastAsia="Calibri" w:hAnsi="Palatino Linotype" w:cs="Tahoma"/>
                    <w:b/>
                    <w:sz w:val="22"/>
                    <w:szCs w:val="22"/>
                    <w:lang w:eastAsia="en-US"/>
                  </w:rPr>
                </w:pPr>
                <w:r w:rsidRPr="008A245E">
                  <w:rPr>
                    <w:rFonts w:ascii="Palatino Linotype" w:eastAsia="Calibri" w:hAnsi="Palatino Linotype" w:cs="Tahoma"/>
                    <w:sz w:val="22"/>
                    <w:szCs w:val="22"/>
                    <w:lang w:val="es-MX" w:eastAsia="en-US"/>
                  </w:rPr>
                  <w:t>Ayuntamiento de San Antonio la Isla</w:t>
                </w:r>
              </w:p>
            </w:tc>
          </w:tr>
          <w:tr w:rsidR="00FD7991" w14:paraId="28BDFFC6" w14:textId="77777777" w:rsidTr="00FD7991">
            <w:trPr>
              <w:trHeight w:val="283"/>
            </w:trPr>
            <w:tc>
              <w:tcPr>
                <w:tcW w:w="2447" w:type="dxa"/>
                <w:hideMark/>
              </w:tcPr>
              <w:p w14:paraId="1C8E5F34" w14:textId="77777777" w:rsidR="00FD7991" w:rsidRPr="008A245E" w:rsidRDefault="00FD7991" w:rsidP="00FD7991">
                <w:pPr>
                  <w:tabs>
                    <w:tab w:val="right" w:pos="8838"/>
                  </w:tabs>
                  <w:ind w:left="-7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Comisionado Ponente:</w:t>
                </w:r>
              </w:p>
            </w:tc>
            <w:tc>
              <w:tcPr>
                <w:tcW w:w="3088" w:type="dxa"/>
              </w:tcPr>
              <w:p w14:paraId="1CE71CB8" w14:textId="77777777" w:rsidR="00FD7991" w:rsidRPr="008A245E" w:rsidRDefault="00FD7991" w:rsidP="00FD7991">
                <w:pPr>
                  <w:tabs>
                    <w:tab w:val="right" w:pos="8838"/>
                  </w:tabs>
                  <w:ind w:left="-74" w:right="-105"/>
                  <w:jc w:val="both"/>
                  <w:rPr>
                    <w:rFonts w:ascii="Palatino Linotype" w:eastAsia="Calibri" w:hAnsi="Palatino Linotype" w:cs="Tahoma"/>
                    <w:sz w:val="22"/>
                    <w:szCs w:val="22"/>
                    <w:lang w:eastAsia="en-US"/>
                  </w:rPr>
                </w:pPr>
                <w:r w:rsidRPr="008A245E">
                  <w:rPr>
                    <w:rFonts w:ascii="Palatino Linotype" w:eastAsia="Calibri" w:hAnsi="Palatino Linotype" w:cs="Tahoma"/>
                    <w:sz w:val="22"/>
                    <w:szCs w:val="22"/>
                    <w:lang w:eastAsia="en-US"/>
                  </w:rPr>
                  <w:t>Luis Gustavo Parra Noriega</w:t>
                </w:r>
              </w:p>
              <w:p w14:paraId="6945759D" w14:textId="77777777" w:rsidR="00FD7991" w:rsidRPr="008A245E" w:rsidRDefault="00FD7991" w:rsidP="00FD7991">
                <w:pPr>
                  <w:tabs>
                    <w:tab w:val="right" w:pos="8838"/>
                  </w:tabs>
                  <w:ind w:left="-74" w:right="-105"/>
                  <w:jc w:val="both"/>
                  <w:rPr>
                    <w:rFonts w:ascii="Palatino Linotype" w:eastAsia="Calibri" w:hAnsi="Palatino Linotype" w:cs="Tahoma"/>
                    <w:b/>
                    <w:sz w:val="22"/>
                    <w:szCs w:val="22"/>
                    <w:lang w:eastAsia="en-US"/>
                  </w:rPr>
                </w:pPr>
              </w:p>
            </w:tc>
          </w:tr>
        </w:tbl>
        <w:p w14:paraId="1C0A0C73" w14:textId="77777777" w:rsidR="00FD7991" w:rsidRDefault="00FD7991" w:rsidP="00FD7991">
          <w:pPr>
            <w:tabs>
              <w:tab w:val="right" w:pos="8838"/>
            </w:tabs>
            <w:spacing w:line="256" w:lineRule="auto"/>
            <w:ind w:left="-28"/>
            <w:jc w:val="both"/>
            <w:rPr>
              <w:rFonts w:ascii="Arial" w:eastAsia="Calibri" w:hAnsi="Arial" w:cs="Arial"/>
              <w:b/>
              <w:sz w:val="22"/>
              <w:szCs w:val="22"/>
              <w:lang w:eastAsia="en-US"/>
            </w:rPr>
          </w:pPr>
        </w:p>
      </w:tc>
    </w:tr>
  </w:tbl>
  <w:p w14:paraId="49EAA5E1" w14:textId="77777777" w:rsidR="00FD7991" w:rsidRDefault="00FD7991">
    <w:pPr>
      <w:pStyle w:val="Encabezado"/>
    </w:pPr>
    <w:r>
      <w:rPr>
        <w:rFonts w:ascii="Garamond" w:eastAsia="Calibri" w:hAnsi="Garamond"/>
        <w:noProof/>
        <w:sz w:val="22"/>
        <w:szCs w:val="22"/>
        <w:lang w:eastAsia="es-MX"/>
      </w:rPr>
      <w:drawing>
        <wp:anchor distT="0" distB="0" distL="114300" distR="114300" simplePos="0" relativeHeight="251656704" behindDoc="1" locked="0" layoutInCell="0" allowOverlap="1" wp14:anchorId="02D7D2DB" wp14:editId="2CC0D3E8">
          <wp:simplePos x="0" y="0"/>
          <wp:positionH relativeFrom="margin">
            <wp:posOffset>-1381125</wp:posOffset>
          </wp:positionH>
          <wp:positionV relativeFrom="margin">
            <wp:posOffset>-1611630</wp:posOffset>
          </wp:positionV>
          <wp:extent cx="5612130" cy="7308215"/>
          <wp:effectExtent l="0" t="0" r="7620"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3082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985"/>
      <w:gridCol w:w="7371"/>
    </w:tblGrid>
    <w:tr w:rsidR="00FD7991" w14:paraId="11DC99A3" w14:textId="77777777" w:rsidTr="00FD7991">
      <w:trPr>
        <w:trHeight w:val="1435"/>
      </w:trPr>
      <w:tc>
        <w:tcPr>
          <w:tcW w:w="1985" w:type="dxa"/>
        </w:tcPr>
        <w:p w14:paraId="44A8D90D" w14:textId="77777777" w:rsidR="00FD7991" w:rsidRDefault="00FD7991" w:rsidP="00FD7991">
          <w:pPr>
            <w:tabs>
              <w:tab w:val="right" w:pos="4273"/>
            </w:tabs>
            <w:spacing w:line="256" w:lineRule="auto"/>
            <w:rPr>
              <w:rFonts w:ascii="Garamond" w:eastAsia="Calibri" w:hAnsi="Garamond"/>
              <w:sz w:val="22"/>
              <w:szCs w:val="22"/>
              <w:lang w:eastAsia="en-US"/>
            </w:rPr>
          </w:pPr>
        </w:p>
      </w:tc>
      <w:tc>
        <w:tcPr>
          <w:tcW w:w="7371" w:type="dxa"/>
          <w:hideMark/>
        </w:tcPr>
        <w:p w14:paraId="1C9B94C0" w14:textId="77777777" w:rsidR="00FD7991" w:rsidRPr="007D2BD0" w:rsidRDefault="00FD7991">
          <w:pPr>
            <w:rPr>
              <w:sz w:val="28"/>
              <w:szCs w:val="28"/>
            </w:rPr>
          </w:pPr>
        </w:p>
        <w:tbl>
          <w:tblPr>
            <w:tblStyle w:val="Tablaconcuadrcula"/>
            <w:tblW w:w="8072" w:type="dxa"/>
            <w:tblInd w:w="1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2977"/>
            <w:gridCol w:w="2685"/>
          </w:tblGrid>
          <w:tr w:rsidR="00FD7991" w14:paraId="25F4492A" w14:textId="77777777" w:rsidTr="00FD7991">
            <w:trPr>
              <w:trHeight w:val="194"/>
            </w:trPr>
            <w:tc>
              <w:tcPr>
                <w:tcW w:w="2410" w:type="dxa"/>
                <w:hideMark/>
              </w:tcPr>
              <w:p w14:paraId="17A6591A" w14:textId="77777777" w:rsidR="00FD7991" w:rsidRPr="008A245E" w:rsidRDefault="00FD7991" w:rsidP="00FD7991">
                <w:pPr>
                  <w:tabs>
                    <w:tab w:val="right" w:pos="8838"/>
                  </w:tabs>
                  <w:ind w:left="-11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Recurso de Revisión:</w:t>
                </w:r>
              </w:p>
            </w:tc>
            <w:tc>
              <w:tcPr>
                <w:tcW w:w="2977" w:type="dxa"/>
                <w:hideMark/>
              </w:tcPr>
              <w:p w14:paraId="63B4FBA2" w14:textId="77777777" w:rsidR="00FD7991" w:rsidRPr="008A245E" w:rsidRDefault="00FD7991" w:rsidP="00FD7991">
                <w:pPr>
                  <w:tabs>
                    <w:tab w:val="right" w:pos="8838"/>
                  </w:tabs>
                  <w:ind w:left="-114"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01606</w:t>
                </w:r>
                <w:r w:rsidRPr="00326F31">
                  <w:rPr>
                    <w:rFonts w:ascii="Palatino Linotype" w:eastAsia="Calibri" w:hAnsi="Palatino Linotype" w:cs="Tahoma"/>
                    <w:bCs/>
                    <w:sz w:val="22"/>
                    <w:szCs w:val="22"/>
                    <w:lang w:val="es-MX" w:eastAsia="en-US"/>
                  </w:rPr>
                  <w:t>/INFOEM/IP/RR/202</w:t>
                </w:r>
                <w:r>
                  <w:rPr>
                    <w:rFonts w:ascii="Palatino Linotype" w:eastAsia="Calibri" w:hAnsi="Palatino Linotype" w:cs="Tahoma"/>
                    <w:bCs/>
                    <w:sz w:val="22"/>
                    <w:szCs w:val="22"/>
                    <w:lang w:val="es-MX" w:eastAsia="en-US"/>
                  </w:rPr>
                  <w:t>5 y acumulado</w:t>
                </w:r>
              </w:p>
            </w:tc>
            <w:tc>
              <w:tcPr>
                <w:tcW w:w="2685" w:type="dxa"/>
              </w:tcPr>
              <w:p w14:paraId="312650BE" w14:textId="77777777" w:rsidR="00FD7991" w:rsidRDefault="00FD7991" w:rsidP="00FD7991">
                <w:pPr>
                  <w:tabs>
                    <w:tab w:val="right" w:pos="8838"/>
                  </w:tabs>
                  <w:ind w:left="-114" w:right="-105"/>
                  <w:jc w:val="both"/>
                  <w:rPr>
                    <w:rFonts w:ascii="Palatino Linotype" w:eastAsia="Calibri" w:hAnsi="Palatino Linotype" w:cs="Tahoma"/>
                    <w:bCs/>
                    <w:sz w:val="22"/>
                    <w:szCs w:val="22"/>
                    <w:lang w:eastAsia="en-US"/>
                  </w:rPr>
                </w:pPr>
              </w:p>
            </w:tc>
          </w:tr>
          <w:tr w:rsidR="00FD7991" w14:paraId="113F6090" w14:textId="77777777" w:rsidTr="00FD7991">
            <w:trPr>
              <w:trHeight w:val="88"/>
            </w:trPr>
            <w:tc>
              <w:tcPr>
                <w:tcW w:w="2410" w:type="dxa"/>
                <w:hideMark/>
              </w:tcPr>
              <w:p w14:paraId="27A79651" w14:textId="77777777" w:rsidR="00FD7991" w:rsidRPr="008A245E" w:rsidRDefault="00FD7991" w:rsidP="00FD7991">
                <w:pPr>
                  <w:tabs>
                    <w:tab w:val="right" w:pos="8838"/>
                  </w:tabs>
                  <w:ind w:left="-11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Sujeto Obligado:</w:t>
                </w:r>
              </w:p>
            </w:tc>
            <w:tc>
              <w:tcPr>
                <w:tcW w:w="2977" w:type="dxa"/>
                <w:hideMark/>
              </w:tcPr>
              <w:p w14:paraId="633E74E5" w14:textId="77777777" w:rsidR="00FD7991" w:rsidRPr="008A245E" w:rsidRDefault="00FD7991" w:rsidP="00FD7991">
                <w:pPr>
                  <w:tabs>
                    <w:tab w:val="left" w:pos="2834"/>
                    <w:tab w:val="right" w:pos="8838"/>
                  </w:tabs>
                  <w:ind w:left="-114"/>
                  <w:jc w:val="both"/>
                  <w:rPr>
                    <w:rFonts w:ascii="Palatino Linotype" w:eastAsia="Calibri" w:hAnsi="Palatino Linotype" w:cs="Tahoma"/>
                    <w:b/>
                    <w:sz w:val="22"/>
                    <w:szCs w:val="22"/>
                    <w:lang w:eastAsia="en-US"/>
                  </w:rPr>
                </w:pPr>
                <w:r w:rsidRPr="00326F31">
                  <w:rPr>
                    <w:rFonts w:ascii="Palatino Linotype" w:eastAsia="Calibri" w:hAnsi="Palatino Linotype" w:cs="Tahoma"/>
                    <w:sz w:val="22"/>
                    <w:szCs w:val="22"/>
                    <w:lang w:val="es-MX" w:eastAsia="en-US"/>
                  </w:rPr>
                  <w:t xml:space="preserve">Ayuntamiento de </w:t>
                </w:r>
                <w:r>
                  <w:rPr>
                    <w:rFonts w:ascii="Palatino Linotype" w:eastAsia="Calibri" w:hAnsi="Palatino Linotype" w:cs="Tahoma"/>
                    <w:sz w:val="22"/>
                    <w:szCs w:val="22"/>
                    <w:lang w:val="es-MX" w:eastAsia="en-US"/>
                  </w:rPr>
                  <w:t>Toluca</w:t>
                </w:r>
              </w:p>
            </w:tc>
            <w:tc>
              <w:tcPr>
                <w:tcW w:w="2685" w:type="dxa"/>
              </w:tcPr>
              <w:p w14:paraId="6E175C5D" w14:textId="77777777" w:rsidR="00FD7991" w:rsidRPr="00326F31" w:rsidRDefault="00FD7991" w:rsidP="00FD7991">
                <w:pPr>
                  <w:tabs>
                    <w:tab w:val="left" w:pos="2834"/>
                    <w:tab w:val="right" w:pos="8838"/>
                  </w:tabs>
                  <w:ind w:left="-114"/>
                  <w:jc w:val="both"/>
                  <w:rPr>
                    <w:rFonts w:ascii="Palatino Linotype" w:eastAsia="Calibri" w:hAnsi="Palatino Linotype" w:cs="Tahoma"/>
                    <w:sz w:val="22"/>
                    <w:szCs w:val="22"/>
                    <w:lang w:eastAsia="en-US"/>
                  </w:rPr>
                </w:pPr>
              </w:p>
            </w:tc>
          </w:tr>
          <w:tr w:rsidR="00FD7991" w14:paraId="7D8484C1" w14:textId="77777777" w:rsidTr="00FD7991">
            <w:trPr>
              <w:trHeight w:val="383"/>
            </w:trPr>
            <w:tc>
              <w:tcPr>
                <w:tcW w:w="2410" w:type="dxa"/>
                <w:hideMark/>
              </w:tcPr>
              <w:p w14:paraId="476822B1" w14:textId="77777777" w:rsidR="00FD7991" w:rsidRPr="008A245E" w:rsidRDefault="00FD7991" w:rsidP="00FD7991">
                <w:pPr>
                  <w:tabs>
                    <w:tab w:val="right" w:pos="8838"/>
                  </w:tabs>
                  <w:ind w:left="-11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Comisionado Ponente:</w:t>
                </w:r>
              </w:p>
            </w:tc>
            <w:tc>
              <w:tcPr>
                <w:tcW w:w="2977" w:type="dxa"/>
              </w:tcPr>
              <w:p w14:paraId="0107CADA" w14:textId="77777777" w:rsidR="00FD7991" w:rsidRPr="007D2BD0" w:rsidRDefault="00FD7991" w:rsidP="00FD7991">
                <w:pPr>
                  <w:tabs>
                    <w:tab w:val="right" w:pos="8838"/>
                  </w:tabs>
                  <w:ind w:left="-114" w:right="-105"/>
                  <w:jc w:val="both"/>
                  <w:rPr>
                    <w:rFonts w:ascii="Palatino Linotype" w:eastAsia="Calibri" w:hAnsi="Palatino Linotype" w:cs="Tahoma"/>
                    <w:sz w:val="22"/>
                    <w:szCs w:val="22"/>
                    <w:lang w:eastAsia="en-US"/>
                  </w:rPr>
                </w:pPr>
                <w:r w:rsidRPr="008A245E">
                  <w:rPr>
                    <w:rFonts w:ascii="Palatino Linotype" w:eastAsia="Calibri" w:hAnsi="Palatino Linotype" w:cs="Tahoma"/>
                    <w:sz w:val="22"/>
                    <w:szCs w:val="22"/>
                    <w:lang w:eastAsia="en-US"/>
                  </w:rPr>
                  <w:t>Luis Gustavo Parra Noriega</w:t>
                </w:r>
              </w:p>
            </w:tc>
            <w:tc>
              <w:tcPr>
                <w:tcW w:w="2685" w:type="dxa"/>
              </w:tcPr>
              <w:p w14:paraId="22FDCBEA" w14:textId="77777777" w:rsidR="00FD7991" w:rsidRPr="008A245E" w:rsidRDefault="00FD7991" w:rsidP="00FD7991">
                <w:pPr>
                  <w:tabs>
                    <w:tab w:val="right" w:pos="8838"/>
                  </w:tabs>
                  <w:ind w:left="-114" w:right="-105"/>
                  <w:jc w:val="both"/>
                  <w:rPr>
                    <w:rFonts w:ascii="Palatino Linotype" w:eastAsia="Calibri" w:hAnsi="Palatino Linotype" w:cs="Tahoma"/>
                    <w:sz w:val="22"/>
                    <w:szCs w:val="22"/>
                    <w:lang w:eastAsia="en-US"/>
                  </w:rPr>
                </w:pPr>
              </w:p>
            </w:tc>
          </w:tr>
        </w:tbl>
        <w:p w14:paraId="5FE5E705" w14:textId="77777777" w:rsidR="00FD7991" w:rsidRDefault="00FD7991" w:rsidP="00FD7991">
          <w:pPr>
            <w:tabs>
              <w:tab w:val="right" w:pos="8838"/>
            </w:tabs>
            <w:spacing w:line="256" w:lineRule="auto"/>
            <w:ind w:left="-28"/>
            <w:jc w:val="both"/>
            <w:rPr>
              <w:rFonts w:ascii="Arial" w:eastAsia="Calibri" w:hAnsi="Arial" w:cs="Arial"/>
              <w:b/>
              <w:sz w:val="22"/>
              <w:szCs w:val="22"/>
              <w:lang w:eastAsia="en-US"/>
            </w:rPr>
          </w:pPr>
        </w:p>
      </w:tc>
    </w:tr>
  </w:tbl>
  <w:p w14:paraId="56FECE7E" w14:textId="77777777" w:rsidR="00FD7991" w:rsidRDefault="00FD7991">
    <w:pPr>
      <w:pStyle w:val="Encabezado"/>
    </w:pPr>
    <w:r>
      <w:rPr>
        <w:rFonts w:ascii="Garamond" w:eastAsia="Calibri" w:hAnsi="Garamond"/>
        <w:noProof/>
        <w:sz w:val="22"/>
        <w:szCs w:val="22"/>
        <w:lang w:eastAsia="es-MX"/>
      </w:rPr>
      <w:drawing>
        <wp:anchor distT="0" distB="0" distL="114300" distR="114300" simplePos="0" relativeHeight="251657728" behindDoc="1" locked="0" layoutInCell="0" allowOverlap="1" wp14:anchorId="7C8E3589" wp14:editId="76A8B9D5">
          <wp:simplePos x="0" y="0"/>
          <wp:positionH relativeFrom="margin">
            <wp:posOffset>-1153160</wp:posOffset>
          </wp:positionH>
          <wp:positionV relativeFrom="margin">
            <wp:posOffset>-1539240</wp:posOffset>
          </wp:positionV>
          <wp:extent cx="7835900" cy="10203815"/>
          <wp:effectExtent l="0" t="0" r="0" b="698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0" cy="102038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1560"/>
      <w:gridCol w:w="7654"/>
    </w:tblGrid>
    <w:tr w:rsidR="00FD7991" w14:paraId="06764434" w14:textId="77777777" w:rsidTr="00FD7991">
      <w:trPr>
        <w:trHeight w:val="1435"/>
      </w:trPr>
      <w:tc>
        <w:tcPr>
          <w:tcW w:w="1560" w:type="dxa"/>
        </w:tcPr>
        <w:p w14:paraId="272E8E36" w14:textId="77777777" w:rsidR="00FD7991" w:rsidRDefault="00FD7991" w:rsidP="00FD7991">
          <w:pPr>
            <w:tabs>
              <w:tab w:val="right" w:pos="4273"/>
            </w:tabs>
            <w:spacing w:line="256" w:lineRule="auto"/>
            <w:rPr>
              <w:rFonts w:ascii="Garamond" w:eastAsia="Calibri" w:hAnsi="Garamond"/>
              <w:sz w:val="22"/>
              <w:szCs w:val="22"/>
              <w:lang w:eastAsia="en-US"/>
            </w:rPr>
          </w:pPr>
        </w:p>
      </w:tc>
      <w:tc>
        <w:tcPr>
          <w:tcW w:w="7654" w:type="dxa"/>
          <w:hideMark/>
        </w:tcPr>
        <w:tbl>
          <w:tblPr>
            <w:tblStyle w:val="Tablaconcuadrcula"/>
            <w:tblW w:w="7112"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537"/>
            <w:gridCol w:w="2984"/>
            <w:gridCol w:w="591"/>
          </w:tblGrid>
          <w:tr w:rsidR="00FD7991" w:rsidRPr="0095634C" w14:paraId="753533E0" w14:textId="77777777" w:rsidTr="00FD7991">
            <w:trPr>
              <w:gridAfter w:val="1"/>
              <w:wAfter w:w="591" w:type="dxa"/>
              <w:trHeight w:val="132"/>
            </w:trPr>
            <w:tc>
              <w:tcPr>
                <w:tcW w:w="3537" w:type="dxa"/>
                <w:hideMark/>
              </w:tcPr>
              <w:p w14:paraId="40126CA2" w14:textId="77777777" w:rsidR="00FD7991" w:rsidRPr="0095634C" w:rsidRDefault="00FD7991" w:rsidP="00FD7991">
                <w:pPr>
                  <w:tabs>
                    <w:tab w:val="right" w:pos="8838"/>
                  </w:tabs>
                  <w:ind w:left="-69"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Recurso de Revisión:</w:t>
                </w:r>
              </w:p>
            </w:tc>
            <w:tc>
              <w:tcPr>
                <w:tcW w:w="2984" w:type="dxa"/>
                <w:hideMark/>
              </w:tcPr>
              <w:p w14:paraId="1DDE537A" w14:textId="77777777" w:rsidR="00FD7991" w:rsidRPr="0095634C" w:rsidRDefault="00FD7991" w:rsidP="00FD7991">
                <w:pPr>
                  <w:tabs>
                    <w:tab w:val="right" w:pos="8838"/>
                  </w:tabs>
                  <w:ind w:left="-74"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01606</w:t>
                </w:r>
                <w:r w:rsidRPr="00326F31">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5 y acumulado</w:t>
                </w:r>
              </w:p>
            </w:tc>
          </w:tr>
          <w:tr w:rsidR="00FD7991" w:rsidRPr="0095634C" w14:paraId="5187778E" w14:textId="77777777" w:rsidTr="00FD7991">
            <w:trPr>
              <w:gridAfter w:val="1"/>
              <w:wAfter w:w="591" w:type="dxa"/>
              <w:trHeight w:val="132"/>
            </w:trPr>
            <w:tc>
              <w:tcPr>
                <w:tcW w:w="3537" w:type="dxa"/>
                <w:hideMark/>
              </w:tcPr>
              <w:p w14:paraId="1514204C" w14:textId="77777777" w:rsidR="00FD7991" w:rsidRPr="0095634C" w:rsidRDefault="00FD7991" w:rsidP="00FD7991">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Recurrente:</w:t>
                </w:r>
              </w:p>
            </w:tc>
            <w:tc>
              <w:tcPr>
                <w:tcW w:w="2984" w:type="dxa"/>
              </w:tcPr>
              <w:p w14:paraId="4027CA44" w14:textId="77777777" w:rsidR="00FD7991" w:rsidRPr="0095634C" w:rsidRDefault="00FD7991" w:rsidP="00FD7991">
                <w:pPr>
                  <w:tabs>
                    <w:tab w:val="left" w:pos="3122"/>
                    <w:tab w:val="right" w:pos="8838"/>
                  </w:tabs>
                  <w:ind w:left="-74" w:right="-105"/>
                  <w:jc w:val="both"/>
                  <w:rPr>
                    <w:rFonts w:ascii="Palatino Linotype" w:eastAsia="Calibri" w:hAnsi="Palatino Linotype" w:cs="Tahoma"/>
                    <w:sz w:val="22"/>
                    <w:szCs w:val="22"/>
                    <w:lang w:eastAsia="en-US"/>
                  </w:rPr>
                </w:pPr>
              </w:p>
            </w:tc>
          </w:tr>
          <w:tr w:rsidR="00FD7991" w:rsidRPr="0095634C" w14:paraId="1A020020" w14:textId="77777777" w:rsidTr="00FD7991">
            <w:trPr>
              <w:gridAfter w:val="1"/>
              <w:wAfter w:w="591" w:type="dxa"/>
              <w:trHeight w:val="261"/>
            </w:trPr>
            <w:tc>
              <w:tcPr>
                <w:tcW w:w="3537" w:type="dxa"/>
                <w:hideMark/>
              </w:tcPr>
              <w:p w14:paraId="55026F28" w14:textId="77777777" w:rsidR="00FD7991" w:rsidRPr="0095634C" w:rsidRDefault="00FD7991" w:rsidP="00FD7991">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Sujeto Obligado:</w:t>
                </w:r>
              </w:p>
            </w:tc>
            <w:tc>
              <w:tcPr>
                <w:tcW w:w="2984" w:type="dxa"/>
                <w:hideMark/>
              </w:tcPr>
              <w:p w14:paraId="596F32F0" w14:textId="77777777" w:rsidR="00FD7991" w:rsidRPr="0095634C" w:rsidRDefault="00FD7991" w:rsidP="00FD7991">
                <w:pPr>
                  <w:tabs>
                    <w:tab w:val="left" w:pos="2834"/>
                    <w:tab w:val="right" w:pos="8838"/>
                  </w:tabs>
                  <w:ind w:left="-74"/>
                  <w:jc w:val="both"/>
                  <w:rPr>
                    <w:rFonts w:ascii="Palatino Linotype" w:eastAsia="Calibri" w:hAnsi="Palatino Linotype" w:cs="Tahoma"/>
                    <w:sz w:val="22"/>
                    <w:szCs w:val="22"/>
                    <w:lang w:eastAsia="en-US"/>
                  </w:rPr>
                </w:pPr>
                <w:r w:rsidRPr="00326F31">
                  <w:rPr>
                    <w:rFonts w:ascii="Palatino Linotype" w:eastAsia="Calibri" w:hAnsi="Palatino Linotype" w:cs="Tahoma"/>
                    <w:sz w:val="22"/>
                    <w:szCs w:val="22"/>
                    <w:lang w:val="es-MX" w:eastAsia="en-US"/>
                  </w:rPr>
                  <w:t xml:space="preserve">Ayuntamiento de </w:t>
                </w:r>
                <w:r>
                  <w:rPr>
                    <w:rFonts w:ascii="Palatino Linotype" w:eastAsia="Calibri" w:hAnsi="Palatino Linotype" w:cs="Tahoma"/>
                    <w:sz w:val="22"/>
                    <w:szCs w:val="22"/>
                    <w:lang w:val="es-MX" w:eastAsia="en-US"/>
                  </w:rPr>
                  <w:t>Toluca</w:t>
                </w:r>
              </w:p>
            </w:tc>
          </w:tr>
          <w:tr w:rsidR="00FD7991" w:rsidRPr="0095634C" w14:paraId="7F5EE885" w14:textId="77777777" w:rsidTr="00FD7991">
            <w:trPr>
              <w:trHeight w:val="261"/>
            </w:trPr>
            <w:tc>
              <w:tcPr>
                <w:tcW w:w="3537" w:type="dxa"/>
                <w:hideMark/>
              </w:tcPr>
              <w:p w14:paraId="59CB846B" w14:textId="77777777" w:rsidR="00FD7991" w:rsidRPr="0095634C" w:rsidRDefault="00FD7991" w:rsidP="00FD7991">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Comisionado Ponente:</w:t>
                </w:r>
              </w:p>
            </w:tc>
            <w:tc>
              <w:tcPr>
                <w:tcW w:w="3575" w:type="dxa"/>
                <w:gridSpan w:val="2"/>
              </w:tcPr>
              <w:p w14:paraId="6FA3F0EF" w14:textId="77777777" w:rsidR="00FD7991" w:rsidRPr="0057023C" w:rsidRDefault="00FD7991" w:rsidP="00FD7991">
                <w:pPr>
                  <w:tabs>
                    <w:tab w:val="right" w:pos="8838"/>
                  </w:tabs>
                  <w:ind w:left="-74" w:right="-105"/>
                  <w:jc w:val="both"/>
                  <w:rPr>
                    <w:rFonts w:ascii="Palatino Linotype" w:eastAsia="Calibri" w:hAnsi="Palatino Linotype" w:cs="Tahoma"/>
                    <w:sz w:val="22"/>
                    <w:szCs w:val="22"/>
                    <w:lang w:eastAsia="en-US"/>
                  </w:rPr>
                </w:pPr>
                <w:r w:rsidRPr="0095634C">
                  <w:rPr>
                    <w:rFonts w:ascii="Palatino Linotype" w:eastAsia="Calibri" w:hAnsi="Palatino Linotype" w:cs="Tahoma"/>
                    <w:sz w:val="22"/>
                    <w:szCs w:val="22"/>
                    <w:lang w:eastAsia="en-US"/>
                  </w:rPr>
                  <w:t>Luis Gustavo Parra Noriega</w:t>
                </w:r>
              </w:p>
            </w:tc>
          </w:tr>
        </w:tbl>
        <w:p w14:paraId="770B4580" w14:textId="77777777" w:rsidR="00FD7991" w:rsidRDefault="00FD7991" w:rsidP="00FD7991">
          <w:pPr>
            <w:tabs>
              <w:tab w:val="right" w:pos="8838"/>
            </w:tabs>
            <w:spacing w:line="256" w:lineRule="auto"/>
            <w:ind w:left="-28"/>
            <w:jc w:val="both"/>
            <w:rPr>
              <w:rFonts w:ascii="Arial" w:eastAsia="Calibri" w:hAnsi="Arial" w:cs="Arial"/>
              <w:b/>
              <w:sz w:val="22"/>
              <w:szCs w:val="22"/>
              <w:lang w:eastAsia="en-US"/>
            </w:rPr>
          </w:pPr>
        </w:p>
      </w:tc>
    </w:tr>
  </w:tbl>
  <w:p w14:paraId="02232662" w14:textId="77777777" w:rsidR="00FD7991" w:rsidRDefault="00220105" w:rsidP="00FD7991">
    <w:pPr>
      <w:pStyle w:val="Encabezado"/>
    </w:pPr>
    <w:r>
      <w:rPr>
        <w:rFonts w:ascii="Garamond" w:eastAsia="Calibri" w:hAnsi="Garamond"/>
        <w:noProof/>
        <w:sz w:val="22"/>
        <w:szCs w:val="22"/>
        <w:lang w:eastAsia="en-US"/>
      </w:rPr>
      <w:pict w14:anchorId="41EE2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margin-left:-85.8pt;margin-top:-134.85pt;width:663.5pt;height:12in;z-index:-251657728;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A35"/>
    <w:multiLevelType w:val="hybridMultilevel"/>
    <w:tmpl w:val="455AE9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0A591D"/>
    <w:multiLevelType w:val="multilevel"/>
    <w:tmpl w:val="04965C9C"/>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C317C7"/>
    <w:multiLevelType w:val="multilevel"/>
    <w:tmpl w:val="C7B0536E"/>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15:restartNumberingAfterBreak="0">
    <w:nsid w:val="1F20497D"/>
    <w:multiLevelType w:val="hybridMultilevel"/>
    <w:tmpl w:val="E0D6F06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70E4B40"/>
    <w:multiLevelType w:val="hybridMultilevel"/>
    <w:tmpl w:val="940ADFCC"/>
    <w:lvl w:ilvl="0" w:tplc="FAECF7D0">
      <w:start w:val="2"/>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91"/>
    <w:rsid w:val="00011126"/>
    <w:rsid w:val="00077431"/>
    <w:rsid w:val="000D6EF2"/>
    <w:rsid w:val="001157AB"/>
    <w:rsid w:val="00117C3E"/>
    <w:rsid w:val="00146EA0"/>
    <w:rsid w:val="00165D5D"/>
    <w:rsid w:val="00165E67"/>
    <w:rsid w:val="001A2CA0"/>
    <w:rsid w:val="001A7428"/>
    <w:rsid w:val="00220105"/>
    <w:rsid w:val="00225712"/>
    <w:rsid w:val="00240674"/>
    <w:rsid w:val="0026369A"/>
    <w:rsid w:val="002659F3"/>
    <w:rsid w:val="00291802"/>
    <w:rsid w:val="00297C3B"/>
    <w:rsid w:val="00346CE9"/>
    <w:rsid w:val="00357F1B"/>
    <w:rsid w:val="00382BE3"/>
    <w:rsid w:val="003C0873"/>
    <w:rsid w:val="00404ED0"/>
    <w:rsid w:val="00441F39"/>
    <w:rsid w:val="00482924"/>
    <w:rsid w:val="00484DBB"/>
    <w:rsid w:val="004F207A"/>
    <w:rsid w:val="005236AE"/>
    <w:rsid w:val="0053549E"/>
    <w:rsid w:val="00540EAC"/>
    <w:rsid w:val="00570A2D"/>
    <w:rsid w:val="00586F3D"/>
    <w:rsid w:val="005876CE"/>
    <w:rsid w:val="005942A4"/>
    <w:rsid w:val="005B0C13"/>
    <w:rsid w:val="005B30C4"/>
    <w:rsid w:val="005B3FE7"/>
    <w:rsid w:val="005D7A37"/>
    <w:rsid w:val="005F0910"/>
    <w:rsid w:val="00603F40"/>
    <w:rsid w:val="00672E1F"/>
    <w:rsid w:val="00680255"/>
    <w:rsid w:val="00692F91"/>
    <w:rsid w:val="006E7CF3"/>
    <w:rsid w:val="007347A0"/>
    <w:rsid w:val="00796A9C"/>
    <w:rsid w:val="007E678A"/>
    <w:rsid w:val="00810AFF"/>
    <w:rsid w:val="00873970"/>
    <w:rsid w:val="008B7C15"/>
    <w:rsid w:val="00937CA6"/>
    <w:rsid w:val="00982F73"/>
    <w:rsid w:val="009B5ACB"/>
    <w:rsid w:val="009D27FE"/>
    <w:rsid w:val="00A00E08"/>
    <w:rsid w:val="00A209EF"/>
    <w:rsid w:val="00AC4F54"/>
    <w:rsid w:val="00AC5E0E"/>
    <w:rsid w:val="00B168F4"/>
    <w:rsid w:val="00B226CD"/>
    <w:rsid w:val="00B231D7"/>
    <w:rsid w:val="00B4759B"/>
    <w:rsid w:val="00B71E3E"/>
    <w:rsid w:val="00B7271F"/>
    <w:rsid w:val="00B75A17"/>
    <w:rsid w:val="00C57A8B"/>
    <w:rsid w:val="00C735C5"/>
    <w:rsid w:val="00C90DB1"/>
    <w:rsid w:val="00D2410F"/>
    <w:rsid w:val="00D33B29"/>
    <w:rsid w:val="00D371B8"/>
    <w:rsid w:val="00D505F1"/>
    <w:rsid w:val="00DA7807"/>
    <w:rsid w:val="00E77B44"/>
    <w:rsid w:val="00EA36A0"/>
    <w:rsid w:val="00EA61A4"/>
    <w:rsid w:val="00F3268A"/>
    <w:rsid w:val="00F32C1E"/>
    <w:rsid w:val="00F43CE6"/>
    <w:rsid w:val="00F86406"/>
    <w:rsid w:val="00F92C42"/>
    <w:rsid w:val="00FA3C73"/>
    <w:rsid w:val="00FA44E1"/>
    <w:rsid w:val="00FB7ECD"/>
    <w:rsid w:val="00FC2A5A"/>
    <w:rsid w:val="00FD7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C8B145"/>
  <w15:chartTrackingRefBased/>
  <w15:docId w15:val="{E907815B-D4CF-4CFB-9454-56C0B09F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991"/>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5942A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FD7991"/>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7991"/>
    <w:pPr>
      <w:ind w:left="720"/>
      <w:contextualSpacing/>
    </w:pPr>
    <w:rPr>
      <w:rFonts w:ascii="Century Gothic" w:hAnsi="Century Gothic"/>
      <w:sz w:val="22"/>
      <w:szCs w:val="24"/>
    </w:rPr>
  </w:style>
  <w:style w:type="table" w:styleId="Tablaconcuadrcula">
    <w:name w:val="Table Grid"/>
    <w:basedOn w:val="Tablanormal"/>
    <w:uiPriority w:val="39"/>
    <w:rsid w:val="00FD799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D7991"/>
    <w:pPr>
      <w:tabs>
        <w:tab w:val="center" w:pos="4419"/>
        <w:tab w:val="right" w:pos="8838"/>
      </w:tabs>
    </w:pPr>
  </w:style>
  <w:style w:type="character" w:customStyle="1" w:styleId="EncabezadoCar">
    <w:name w:val="Encabezado Car"/>
    <w:basedOn w:val="Fuentedeprrafopredeter"/>
    <w:link w:val="Encabezado"/>
    <w:uiPriority w:val="99"/>
    <w:rsid w:val="00FD7991"/>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FD7991"/>
    <w:pPr>
      <w:tabs>
        <w:tab w:val="center" w:pos="4419"/>
        <w:tab w:val="right" w:pos="8838"/>
      </w:tabs>
    </w:pPr>
  </w:style>
  <w:style w:type="character" w:customStyle="1" w:styleId="PiedepginaCar">
    <w:name w:val="Pie de página Car"/>
    <w:basedOn w:val="Fuentedeprrafopredeter"/>
    <w:link w:val="Piedepgina"/>
    <w:uiPriority w:val="99"/>
    <w:rsid w:val="00FD7991"/>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FD7991"/>
    <w:rPr>
      <w:color w:val="0563C1" w:themeColor="hyperlink"/>
      <w:u w:val="single"/>
    </w:rPr>
  </w:style>
  <w:style w:type="character" w:customStyle="1" w:styleId="selectable-text">
    <w:name w:val="selectable-text"/>
    <w:basedOn w:val="Fuentedeprrafopredeter"/>
    <w:rsid w:val="00FD7991"/>
  </w:style>
  <w:style w:type="character" w:customStyle="1" w:styleId="normaltextrun">
    <w:name w:val="normaltextrun"/>
    <w:basedOn w:val="Fuentedeprrafopredeter"/>
    <w:rsid w:val="00FD7991"/>
  </w:style>
  <w:style w:type="paragraph" w:customStyle="1" w:styleId="Prrafodelista1">
    <w:name w:val="Párrafo de lista1"/>
    <w:basedOn w:val="Normal"/>
    <w:rsid w:val="00FA3C73"/>
    <w:pPr>
      <w:spacing w:before="100" w:beforeAutospacing="1" w:after="160" w:line="256" w:lineRule="auto"/>
      <w:ind w:left="720"/>
      <w:contextualSpacing/>
      <w:jc w:val="both"/>
    </w:pPr>
    <w:rPr>
      <w:rFonts w:ascii="Palatino Linotype" w:eastAsia="Calibri" w:hAnsi="Palatino Linotype"/>
      <w:color w:val="000000"/>
      <w:sz w:val="22"/>
      <w:szCs w:val="22"/>
      <w:lang w:eastAsia="es-MX"/>
    </w:rPr>
  </w:style>
  <w:style w:type="paragraph" w:styleId="Revisin">
    <w:name w:val="Revision"/>
    <w:hidden/>
    <w:uiPriority w:val="99"/>
    <w:semiHidden/>
    <w:rsid w:val="00D2410F"/>
    <w:pPr>
      <w:spacing w:after="0" w:line="240" w:lineRule="auto"/>
    </w:pPr>
    <w:rPr>
      <w:rFonts w:ascii="Times New Roman" w:eastAsia="Times New Roman" w:hAnsi="Times New Roman" w:cs="Times New Roman"/>
      <w:sz w:val="20"/>
      <w:szCs w:val="20"/>
      <w:lang w:eastAsia="es-ES"/>
    </w:rPr>
  </w:style>
  <w:style w:type="paragraph" w:styleId="TDC1">
    <w:name w:val="toc 1"/>
    <w:basedOn w:val="Normal"/>
    <w:next w:val="Normal"/>
    <w:autoRedefine/>
    <w:uiPriority w:val="39"/>
    <w:unhideWhenUsed/>
    <w:rsid w:val="005942A4"/>
    <w:pPr>
      <w:spacing w:after="100"/>
    </w:pPr>
  </w:style>
  <w:style w:type="character" w:customStyle="1" w:styleId="Ttulo1Car">
    <w:name w:val="Título 1 Car"/>
    <w:basedOn w:val="Fuentedeprrafopredeter"/>
    <w:link w:val="Ttulo1"/>
    <w:uiPriority w:val="9"/>
    <w:rsid w:val="005942A4"/>
    <w:rPr>
      <w:rFonts w:asciiTheme="majorHAnsi" w:eastAsiaTheme="majorEastAsia" w:hAnsiTheme="majorHAnsi" w:cstheme="majorBidi"/>
      <w:color w:val="2E74B5" w:themeColor="accent1" w:themeShade="BF"/>
      <w:sz w:val="32"/>
      <w:szCs w:val="32"/>
      <w:lang w:eastAsia="es-ES"/>
    </w:rPr>
  </w:style>
  <w:style w:type="paragraph" w:styleId="TtulodeTDC">
    <w:name w:val="TOC Heading"/>
    <w:basedOn w:val="Ttulo1"/>
    <w:next w:val="Normal"/>
    <w:uiPriority w:val="39"/>
    <w:unhideWhenUsed/>
    <w:qFormat/>
    <w:rsid w:val="005942A4"/>
    <w:pPr>
      <w:outlineLvl w:val="9"/>
    </w:pPr>
    <w:rPr>
      <w:lang w:eastAsia="es-MX"/>
    </w:rPr>
  </w:style>
  <w:style w:type="paragraph" w:styleId="TDC2">
    <w:name w:val="toc 2"/>
    <w:basedOn w:val="Normal"/>
    <w:next w:val="Normal"/>
    <w:autoRedefine/>
    <w:uiPriority w:val="39"/>
    <w:unhideWhenUsed/>
    <w:rsid w:val="005942A4"/>
    <w:pPr>
      <w:tabs>
        <w:tab w:val="right" w:leader="dot" w:pos="9034"/>
      </w:tabs>
      <w:spacing w:line="360" w:lineRule="auto"/>
      <w:ind w:left="20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4439">
      <w:bodyDiv w:val="1"/>
      <w:marLeft w:val="0"/>
      <w:marRight w:val="0"/>
      <w:marTop w:val="0"/>
      <w:marBottom w:val="0"/>
      <w:divBdr>
        <w:top w:val="none" w:sz="0" w:space="0" w:color="auto"/>
        <w:left w:val="none" w:sz="0" w:space="0" w:color="auto"/>
        <w:bottom w:val="none" w:sz="0" w:space="0" w:color="auto"/>
        <w:right w:val="none" w:sz="0" w:space="0" w:color="auto"/>
      </w:divBdr>
    </w:div>
    <w:div w:id="164169916">
      <w:bodyDiv w:val="1"/>
      <w:marLeft w:val="0"/>
      <w:marRight w:val="0"/>
      <w:marTop w:val="0"/>
      <w:marBottom w:val="0"/>
      <w:divBdr>
        <w:top w:val="none" w:sz="0" w:space="0" w:color="auto"/>
        <w:left w:val="none" w:sz="0" w:space="0" w:color="auto"/>
        <w:bottom w:val="none" w:sz="0" w:space="0" w:color="auto"/>
        <w:right w:val="none" w:sz="0" w:space="0" w:color="auto"/>
      </w:divBdr>
    </w:div>
    <w:div w:id="292561521">
      <w:bodyDiv w:val="1"/>
      <w:marLeft w:val="0"/>
      <w:marRight w:val="0"/>
      <w:marTop w:val="0"/>
      <w:marBottom w:val="0"/>
      <w:divBdr>
        <w:top w:val="none" w:sz="0" w:space="0" w:color="auto"/>
        <w:left w:val="none" w:sz="0" w:space="0" w:color="auto"/>
        <w:bottom w:val="none" w:sz="0" w:space="0" w:color="auto"/>
        <w:right w:val="none" w:sz="0" w:space="0" w:color="auto"/>
      </w:divBdr>
    </w:div>
    <w:div w:id="370233715">
      <w:bodyDiv w:val="1"/>
      <w:marLeft w:val="0"/>
      <w:marRight w:val="0"/>
      <w:marTop w:val="0"/>
      <w:marBottom w:val="0"/>
      <w:divBdr>
        <w:top w:val="none" w:sz="0" w:space="0" w:color="auto"/>
        <w:left w:val="none" w:sz="0" w:space="0" w:color="auto"/>
        <w:bottom w:val="none" w:sz="0" w:space="0" w:color="auto"/>
        <w:right w:val="none" w:sz="0" w:space="0" w:color="auto"/>
      </w:divBdr>
    </w:div>
    <w:div w:id="372266749">
      <w:bodyDiv w:val="1"/>
      <w:marLeft w:val="0"/>
      <w:marRight w:val="0"/>
      <w:marTop w:val="0"/>
      <w:marBottom w:val="0"/>
      <w:divBdr>
        <w:top w:val="none" w:sz="0" w:space="0" w:color="auto"/>
        <w:left w:val="none" w:sz="0" w:space="0" w:color="auto"/>
        <w:bottom w:val="none" w:sz="0" w:space="0" w:color="auto"/>
        <w:right w:val="none" w:sz="0" w:space="0" w:color="auto"/>
      </w:divBdr>
    </w:div>
    <w:div w:id="464391627">
      <w:bodyDiv w:val="1"/>
      <w:marLeft w:val="0"/>
      <w:marRight w:val="0"/>
      <w:marTop w:val="0"/>
      <w:marBottom w:val="0"/>
      <w:divBdr>
        <w:top w:val="none" w:sz="0" w:space="0" w:color="auto"/>
        <w:left w:val="none" w:sz="0" w:space="0" w:color="auto"/>
        <w:bottom w:val="none" w:sz="0" w:space="0" w:color="auto"/>
        <w:right w:val="none" w:sz="0" w:space="0" w:color="auto"/>
      </w:divBdr>
    </w:div>
    <w:div w:id="474297562">
      <w:bodyDiv w:val="1"/>
      <w:marLeft w:val="0"/>
      <w:marRight w:val="0"/>
      <w:marTop w:val="0"/>
      <w:marBottom w:val="0"/>
      <w:divBdr>
        <w:top w:val="none" w:sz="0" w:space="0" w:color="auto"/>
        <w:left w:val="none" w:sz="0" w:space="0" w:color="auto"/>
        <w:bottom w:val="none" w:sz="0" w:space="0" w:color="auto"/>
        <w:right w:val="none" w:sz="0" w:space="0" w:color="auto"/>
      </w:divBdr>
    </w:div>
    <w:div w:id="629557999">
      <w:bodyDiv w:val="1"/>
      <w:marLeft w:val="0"/>
      <w:marRight w:val="0"/>
      <w:marTop w:val="0"/>
      <w:marBottom w:val="0"/>
      <w:divBdr>
        <w:top w:val="none" w:sz="0" w:space="0" w:color="auto"/>
        <w:left w:val="none" w:sz="0" w:space="0" w:color="auto"/>
        <w:bottom w:val="none" w:sz="0" w:space="0" w:color="auto"/>
        <w:right w:val="none" w:sz="0" w:space="0" w:color="auto"/>
      </w:divBdr>
    </w:div>
    <w:div w:id="676541907">
      <w:bodyDiv w:val="1"/>
      <w:marLeft w:val="0"/>
      <w:marRight w:val="0"/>
      <w:marTop w:val="0"/>
      <w:marBottom w:val="0"/>
      <w:divBdr>
        <w:top w:val="none" w:sz="0" w:space="0" w:color="auto"/>
        <w:left w:val="none" w:sz="0" w:space="0" w:color="auto"/>
        <w:bottom w:val="none" w:sz="0" w:space="0" w:color="auto"/>
        <w:right w:val="none" w:sz="0" w:space="0" w:color="auto"/>
      </w:divBdr>
    </w:div>
    <w:div w:id="683556359">
      <w:bodyDiv w:val="1"/>
      <w:marLeft w:val="0"/>
      <w:marRight w:val="0"/>
      <w:marTop w:val="0"/>
      <w:marBottom w:val="0"/>
      <w:divBdr>
        <w:top w:val="none" w:sz="0" w:space="0" w:color="auto"/>
        <w:left w:val="none" w:sz="0" w:space="0" w:color="auto"/>
        <w:bottom w:val="none" w:sz="0" w:space="0" w:color="auto"/>
        <w:right w:val="none" w:sz="0" w:space="0" w:color="auto"/>
      </w:divBdr>
    </w:div>
    <w:div w:id="832529140">
      <w:bodyDiv w:val="1"/>
      <w:marLeft w:val="0"/>
      <w:marRight w:val="0"/>
      <w:marTop w:val="0"/>
      <w:marBottom w:val="0"/>
      <w:divBdr>
        <w:top w:val="none" w:sz="0" w:space="0" w:color="auto"/>
        <w:left w:val="none" w:sz="0" w:space="0" w:color="auto"/>
        <w:bottom w:val="none" w:sz="0" w:space="0" w:color="auto"/>
        <w:right w:val="none" w:sz="0" w:space="0" w:color="auto"/>
      </w:divBdr>
    </w:div>
    <w:div w:id="892154948">
      <w:bodyDiv w:val="1"/>
      <w:marLeft w:val="0"/>
      <w:marRight w:val="0"/>
      <w:marTop w:val="0"/>
      <w:marBottom w:val="0"/>
      <w:divBdr>
        <w:top w:val="none" w:sz="0" w:space="0" w:color="auto"/>
        <w:left w:val="none" w:sz="0" w:space="0" w:color="auto"/>
        <w:bottom w:val="none" w:sz="0" w:space="0" w:color="auto"/>
        <w:right w:val="none" w:sz="0" w:space="0" w:color="auto"/>
      </w:divBdr>
    </w:div>
    <w:div w:id="1016079989">
      <w:bodyDiv w:val="1"/>
      <w:marLeft w:val="0"/>
      <w:marRight w:val="0"/>
      <w:marTop w:val="0"/>
      <w:marBottom w:val="0"/>
      <w:divBdr>
        <w:top w:val="none" w:sz="0" w:space="0" w:color="auto"/>
        <w:left w:val="none" w:sz="0" w:space="0" w:color="auto"/>
        <w:bottom w:val="none" w:sz="0" w:space="0" w:color="auto"/>
        <w:right w:val="none" w:sz="0" w:space="0" w:color="auto"/>
      </w:divBdr>
    </w:div>
    <w:div w:id="1067342450">
      <w:bodyDiv w:val="1"/>
      <w:marLeft w:val="0"/>
      <w:marRight w:val="0"/>
      <w:marTop w:val="0"/>
      <w:marBottom w:val="0"/>
      <w:divBdr>
        <w:top w:val="none" w:sz="0" w:space="0" w:color="auto"/>
        <w:left w:val="none" w:sz="0" w:space="0" w:color="auto"/>
        <w:bottom w:val="none" w:sz="0" w:space="0" w:color="auto"/>
        <w:right w:val="none" w:sz="0" w:space="0" w:color="auto"/>
      </w:divBdr>
    </w:div>
    <w:div w:id="1204951043">
      <w:bodyDiv w:val="1"/>
      <w:marLeft w:val="0"/>
      <w:marRight w:val="0"/>
      <w:marTop w:val="0"/>
      <w:marBottom w:val="0"/>
      <w:divBdr>
        <w:top w:val="none" w:sz="0" w:space="0" w:color="auto"/>
        <w:left w:val="none" w:sz="0" w:space="0" w:color="auto"/>
        <w:bottom w:val="none" w:sz="0" w:space="0" w:color="auto"/>
        <w:right w:val="none" w:sz="0" w:space="0" w:color="auto"/>
      </w:divBdr>
    </w:div>
    <w:div w:id="1254818323">
      <w:bodyDiv w:val="1"/>
      <w:marLeft w:val="0"/>
      <w:marRight w:val="0"/>
      <w:marTop w:val="0"/>
      <w:marBottom w:val="0"/>
      <w:divBdr>
        <w:top w:val="none" w:sz="0" w:space="0" w:color="auto"/>
        <w:left w:val="none" w:sz="0" w:space="0" w:color="auto"/>
        <w:bottom w:val="none" w:sz="0" w:space="0" w:color="auto"/>
        <w:right w:val="none" w:sz="0" w:space="0" w:color="auto"/>
      </w:divBdr>
    </w:div>
    <w:div w:id="1260214696">
      <w:bodyDiv w:val="1"/>
      <w:marLeft w:val="0"/>
      <w:marRight w:val="0"/>
      <w:marTop w:val="0"/>
      <w:marBottom w:val="0"/>
      <w:divBdr>
        <w:top w:val="none" w:sz="0" w:space="0" w:color="auto"/>
        <w:left w:val="none" w:sz="0" w:space="0" w:color="auto"/>
        <w:bottom w:val="none" w:sz="0" w:space="0" w:color="auto"/>
        <w:right w:val="none" w:sz="0" w:space="0" w:color="auto"/>
      </w:divBdr>
    </w:div>
    <w:div w:id="1309289929">
      <w:bodyDiv w:val="1"/>
      <w:marLeft w:val="0"/>
      <w:marRight w:val="0"/>
      <w:marTop w:val="0"/>
      <w:marBottom w:val="0"/>
      <w:divBdr>
        <w:top w:val="none" w:sz="0" w:space="0" w:color="auto"/>
        <w:left w:val="none" w:sz="0" w:space="0" w:color="auto"/>
        <w:bottom w:val="none" w:sz="0" w:space="0" w:color="auto"/>
        <w:right w:val="none" w:sz="0" w:space="0" w:color="auto"/>
      </w:divBdr>
    </w:div>
    <w:div w:id="1401946823">
      <w:bodyDiv w:val="1"/>
      <w:marLeft w:val="0"/>
      <w:marRight w:val="0"/>
      <w:marTop w:val="0"/>
      <w:marBottom w:val="0"/>
      <w:divBdr>
        <w:top w:val="none" w:sz="0" w:space="0" w:color="auto"/>
        <w:left w:val="none" w:sz="0" w:space="0" w:color="auto"/>
        <w:bottom w:val="none" w:sz="0" w:space="0" w:color="auto"/>
        <w:right w:val="none" w:sz="0" w:space="0" w:color="auto"/>
      </w:divBdr>
    </w:div>
    <w:div w:id="1492868929">
      <w:bodyDiv w:val="1"/>
      <w:marLeft w:val="0"/>
      <w:marRight w:val="0"/>
      <w:marTop w:val="0"/>
      <w:marBottom w:val="0"/>
      <w:divBdr>
        <w:top w:val="none" w:sz="0" w:space="0" w:color="auto"/>
        <w:left w:val="none" w:sz="0" w:space="0" w:color="auto"/>
        <w:bottom w:val="none" w:sz="0" w:space="0" w:color="auto"/>
        <w:right w:val="none" w:sz="0" w:space="0" w:color="auto"/>
      </w:divBdr>
    </w:div>
    <w:div w:id="1565145357">
      <w:bodyDiv w:val="1"/>
      <w:marLeft w:val="0"/>
      <w:marRight w:val="0"/>
      <w:marTop w:val="0"/>
      <w:marBottom w:val="0"/>
      <w:divBdr>
        <w:top w:val="none" w:sz="0" w:space="0" w:color="auto"/>
        <w:left w:val="none" w:sz="0" w:space="0" w:color="auto"/>
        <w:bottom w:val="none" w:sz="0" w:space="0" w:color="auto"/>
        <w:right w:val="none" w:sz="0" w:space="0" w:color="auto"/>
      </w:divBdr>
    </w:div>
    <w:div w:id="1653410725">
      <w:bodyDiv w:val="1"/>
      <w:marLeft w:val="0"/>
      <w:marRight w:val="0"/>
      <w:marTop w:val="0"/>
      <w:marBottom w:val="0"/>
      <w:divBdr>
        <w:top w:val="none" w:sz="0" w:space="0" w:color="auto"/>
        <w:left w:val="none" w:sz="0" w:space="0" w:color="auto"/>
        <w:bottom w:val="none" w:sz="0" w:space="0" w:color="auto"/>
        <w:right w:val="none" w:sz="0" w:space="0" w:color="auto"/>
      </w:divBdr>
    </w:div>
    <w:div w:id="1853103593">
      <w:bodyDiv w:val="1"/>
      <w:marLeft w:val="0"/>
      <w:marRight w:val="0"/>
      <w:marTop w:val="0"/>
      <w:marBottom w:val="0"/>
      <w:divBdr>
        <w:top w:val="none" w:sz="0" w:space="0" w:color="auto"/>
        <w:left w:val="none" w:sz="0" w:space="0" w:color="auto"/>
        <w:bottom w:val="none" w:sz="0" w:space="0" w:color="auto"/>
        <w:right w:val="none" w:sz="0" w:space="0" w:color="auto"/>
      </w:divBdr>
    </w:div>
    <w:div w:id="1856921806">
      <w:bodyDiv w:val="1"/>
      <w:marLeft w:val="0"/>
      <w:marRight w:val="0"/>
      <w:marTop w:val="0"/>
      <w:marBottom w:val="0"/>
      <w:divBdr>
        <w:top w:val="none" w:sz="0" w:space="0" w:color="auto"/>
        <w:left w:val="none" w:sz="0" w:space="0" w:color="auto"/>
        <w:bottom w:val="none" w:sz="0" w:space="0" w:color="auto"/>
        <w:right w:val="none" w:sz="0" w:space="0" w:color="auto"/>
      </w:divBdr>
    </w:div>
    <w:div w:id="1877543029">
      <w:bodyDiv w:val="1"/>
      <w:marLeft w:val="0"/>
      <w:marRight w:val="0"/>
      <w:marTop w:val="0"/>
      <w:marBottom w:val="0"/>
      <w:divBdr>
        <w:top w:val="none" w:sz="0" w:space="0" w:color="auto"/>
        <w:left w:val="none" w:sz="0" w:space="0" w:color="auto"/>
        <w:bottom w:val="none" w:sz="0" w:space="0" w:color="auto"/>
        <w:right w:val="none" w:sz="0" w:space="0" w:color="auto"/>
      </w:divBdr>
    </w:div>
    <w:div w:id="2016957553">
      <w:bodyDiv w:val="1"/>
      <w:marLeft w:val="0"/>
      <w:marRight w:val="0"/>
      <w:marTop w:val="0"/>
      <w:marBottom w:val="0"/>
      <w:divBdr>
        <w:top w:val="none" w:sz="0" w:space="0" w:color="auto"/>
        <w:left w:val="none" w:sz="0" w:space="0" w:color="auto"/>
        <w:bottom w:val="none" w:sz="0" w:space="0" w:color="auto"/>
        <w:right w:val="none" w:sz="0" w:space="0" w:color="auto"/>
      </w:divBdr>
    </w:div>
    <w:div w:id="2107579250">
      <w:bodyDiv w:val="1"/>
      <w:marLeft w:val="0"/>
      <w:marRight w:val="0"/>
      <w:marTop w:val="0"/>
      <w:marBottom w:val="0"/>
      <w:divBdr>
        <w:top w:val="none" w:sz="0" w:space="0" w:color="auto"/>
        <w:left w:val="none" w:sz="0" w:space="0" w:color="auto"/>
        <w:bottom w:val="none" w:sz="0" w:space="0" w:color="auto"/>
        <w:right w:val="none" w:sz="0" w:space="0" w:color="auto"/>
      </w:divBdr>
    </w:div>
    <w:div w:id="21298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omex3.ipomex.org.mx/ipo3/lgt/indice/TOLUCA/art_92_vii.web?tok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IVAN%20PE&#209;A\Downloads\1606_A_LGPN_MODIFICA_OFICIOS_2ASINDICATURA_TOLUCA_IPV%20(1).doc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8377</Words>
  <Characters>46075</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USUARIO</cp:lastModifiedBy>
  <cp:revision>3</cp:revision>
  <cp:lastPrinted>2025-04-04T16:02:00Z</cp:lastPrinted>
  <dcterms:created xsi:type="dcterms:W3CDTF">2025-04-04T16:02:00Z</dcterms:created>
  <dcterms:modified xsi:type="dcterms:W3CDTF">2025-04-04T16:02:00Z</dcterms:modified>
</cp:coreProperties>
</file>