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FB337" w14:textId="77777777" w:rsidR="002E087A" w:rsidRPr="0024200F" w:rsidRDefault="002E087A" w:rsidP="002E087A">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dos de abril de dos mil veinticinco.</w:t>
      </w:r>
    </w:p>
    <w:p w14:paraId="3EEB1F6B" w14:textId="77777777" w:rsidR="002E087A" w:rsidRPr="0024200F" w:rsidRDefault="002E087A" w:rsidP="002E087A">
      <w:pPr>
        <w:spacing w:line="360" w:lineRule="auto"/>
        <w:jc w:val="both"/>
        <w:rPr>
          <w:rFonts w:ascii="Palatino Linotype" w:hAnsi="Palatino Linotype"/>
        </w:rPr>
      </w:pPr>
      <w:bookmarkStart w:id="0" w:name="_GoBack"/>
      <w:bookmarkEnd w:id="0"/>
    </w:p>
    <w:p w14:paraId="5D212EED" w14:textId="77777777" w:rsidR="002E087A" w:rsidRPr="002C3EC8" w:rsidRDefault="002E087A" w:rsidP="002E087A">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Pr>
          <w:rFonts w:ascii="Palatino Linotype" w:hAnsi="Palatino Linotype" w:cs="Arial"/>
          <w:b/>
          <w:bCs/>
          <w:lang w:eastAsia="es-MX"/>
        </w:rPr>
        <w:t>02165/INFOEM/IP/RR/2025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2E087A">
        <w:rPr>
          <w:rFonts w:ascii="Palatino Linotype" w:hAnsi="Palatino Linotype"/>
          <w:b/>
        </w:rPr>
        <w:t>Ayuntamiento de Atlacomulco</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5D1218E1" w14:textId="77777777" w:rsidR="002E087A" w:rsidRDefault="002E087A" w:rsidP="002E087A">
      <w:pPr>
        <w:pStyle w:val="infoemcitas"/>
        <w:jc w:val="center"/>
        <w:rPr>
          <w:b/>
          <w:bCs/>
          <w:i w:val="0"/>
          <w:iCs/>
          <w:sz w:val="28"/>
          <w:szCs w:val="28"/>
        </w:rPr>
      </w:pPr>
    </w:p>
    <w:p w14:paraId="1A516754" w14:textId="77777777" w:rsidR="002E087A" w:rsidRDefault="002E087A" w:rsidP="002E087A">
      <w:pPr>
        <w:pStyle w:val="infoemcitas"/>
        <w:jc w:val="center"/>
        <w:rPr>
          <w:b/>
          <w:bCs/>
          <w:i w:val="0"/>
          <w:iCs/>
          <w:sz w:val="28"/>
          <w:szCs w:val="28"/>
        </w:rPr>
      </w:pPr>
      <w:r w:rsidRPr="002C3EC8">
        <w:rPr>
          <w:b/>
          <w:bCs/>
          <w:i w:val="0"/>
          <w:iCs/>
          <w:sz w:val="28"/>
          <w:szCs w:val="28"/>
        </w:rPr>
        <w:t>A N T E C E D E N T E S   D E L   A S U N T O</w:t>
      </w:r>
    </w:p>
    <w:p w14:paraId="3FF5B118" w14:textId="77777777" w:rsidR="002E087A" w:rsidRPr="002C3EC8" w:rsidRDefault="002E087A" w:rsidP="002E087A">
      <w:pPr>
        <w:pStyle w:val="infoemcitas"/>
        <w:jc w:val="center"/>
        <w:rPr>
          <w:b/>
          <w:bCs/>
          <w:i w:val="0"/>
          <w:iCs/>
          <w:sz w:val="28"/>
          <w:szCs w:val="28"/>
        </w:rPr>
      </w:pPr>
    </w:p>
    <w:p w14:paraId="4F97CCAB" w14:textId="77777777" w:rsidR="002E087A" w:rsidRPr="002C3EC8" w:rsidRDefault="002E087A" w:rsidP="002E087A">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0D93ABFE" w14:textId="77777777" w:rsidR="002E087A" w:rsidRPr="00D705FF" w:rsidRDefault="002E087A" w:rsidP="002E087A">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b/>
        </w:rPr>
        <w:t>veintiuno de enero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00076/ATLACOM/IP/2025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7539EA04" w14:textId="77777777" w:rsidR="002E087A" w:rsidRPr="001C7F6F" w:rsidRDefault="002E087A" w:rsidP="002E087A">
      <w:pPr>
        <w:pStyle w:val="INFOEM"/>
        <w:rPr>
          <w:lang w:val="es-ES_tradnl" w:eastAsia="es-ES"/>
        </w:rPr>
      </w:pPr>
      <w:r w:rsidRPr="00D705FF">
        <w:rPr>
          <w:lang w:val="es-ES_tradnl" w:eastAsia="es-ES"/>
        </w:rPr>
        <w:t>“</w:t>
      </w:r>
      <w:r w:rsidRPr="002E087A">
        <w:rPr>
          <w:lang w:val="es-ES" w:eastAsia="es-ES"/>
        </w:rPr>
        <w:t>Estado de cuenta diciembre 2024</w:t>
      </w:r>
      <w:r w:rsidRPr="00D705FF">
        <w:rPr>
          <w:lang w:val="es-ES_tradnl" w:eastAsia="es-ES"/>
        </w:rPr>
        <w:t>” (Sic)</w:t>
      </w:r>
    </w:p>
    <w:p w14:paraId="49D384E1" w14:textId="77777777" w:rsidR="002E087A" w:rsidRPr="002C3EC8" w:rsidRDefault="002E087A" w:rsidP="002E087A">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529D7518" w14:textId="77777777" w:rsidR="002E087A" w:rsidRDefault="002E087A" w:rsidP="002E087A">
      <w:pPr>
        <w:spacing w:before="240" w:line="360" w:lineRule="auto"/>
        <w:jc w:val="both"/>
        <w:rPr>
          <w:rFonts w:ascii="Palatino Linotype" w:hAnsi="Palatino Linotype" w:cs="Arial"/>
          <w:b/>
          <w:sz w:val="28"/>
        </w:rPr>
      </w:pPr>
    </w:p>
    <w:p w14:paraId="7DA1ECE3" w14:textId="77777777" w:rsidR="002E087A" w:rsidRDefault="002E087A" w:rsidP="002E087A">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Pr="002E087A">
        <w:rPr>
          <w:rFonts w:ascii="Palatino Linotype" w:hAnsi="Palatino Linotype" w:cs="Arial"/>
          <w:b/>
          <w:sz w:val="28"/>
        </w:rPr>
        <w:t>Aclaración</w:t>
      </w:r>
      <w:r>
        <w:rPr>
          <w:rFonts w:ascii="Palatino Linotype" w:hAnsi="Palatino Linotype" w:cs="Arial"/>
          <w:b/>
          <w:sz w:val="28"/>
        </w:rPr>
        <w:t xml:space="preserve"> y </w:t>
      </w:r>
      <w:r w:rsidRPr="002E087A">
        <w:rPr>
          <w:rFonts w:ascii="Palatino Linotype" w:hAnsi="Palatino Linotype" w:cs="Arial"/>
          <w:b/>
          <w:sz w:val="28"/>
        </w:rPr>
        <w:t>Prórroga</w:t>
      </w:r>
    </w:p>
    <w:p w14:paraId="4809B222" w14:textId="77777777" w:rsidR="002E087A" w:rsidRDefault="00EE57BF" w:rsidP="002E087A">
      <w:pPr>
        <w:spacing w:before="240" w:line="360" w:lineRule="auto"/>
        <w:jc w:val="both"/>
        <w:rPr>
          <w:rFonts w:ascii="Palatino Linotype" w:hAnsi="Palatino Linotype" w:cs="Arial"/>
        </w:rPr>
      </w:pPr>
      <w:r>
        <w:rPr>
          <w:rFonts w:ascii="Palatino Linotype" w:hAnsi="Palatino Linotype" w:cs="Arial"/>
        </w:rPr>
        <w:t>En fecha veinticuatro de enero de dos mil veinticinco el Sujeto Obligado requirió al Solicitante una aclaración, tal como se transcribe:</w:t>
      </w:r>
    </w:p>
    <w:p w14:paraId="37038AF5" w14:textId="77777777" w:rsidR="00EE57BF" w:rsidRDefault="00EE57BF" w:rsidP="00EE57BF">
      <w:pPr>
        <w:pStyle w:val="Citas"/>
      </w:pPr>
      <w:r>
        <w:t>“Con fundamento en el artículo 159 de la Ley de Transparencia y Acceso a la Información Pública del Estado de México y Municipios, se le requiere para que dentro del plazo de diez días hábiles realice lo siguiente:</w:t>
      </w:r>
    </w:p>
    <w:p w14:paraId="1DF6B338" w14:textId="77777777" w:rsidR="00EE57BF" w:rsidRDefault="00EE57BF" w:rsidP="00EE57BF">
      <w:pPr>
        <w:pStyle w:val="Citas"/>
      </w:pPr>
      <w:r>
        <w:t>SE ANEXA OFICIO DEL AREA ADMINISTRATIVA, EN ARAS DE QUE EL SOLICITANTE ESTABLEZCA DE MANERA CLARA Y PRECISA LA INFORMACION QUE REQUIERE RESPECTO DE LOS ESTADOS DE CUENTA A LOS QUE HACE REFERENCIA.</w:t>
      </w:r>
    </w:p>
    <w:p w14:paraId="1C46397F" w14:textId="77777777" w:rsidR="00EE57BF" w:rsidRDefault="00EE57BF" w:rsidP="00EE57BF">
      <w:pPr>
        <w:pStyle w:val="Citas"/>
      </w:pPr>
      <w: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4D1881EC" w14:textId="77777777" w:rsidR="00EE57BF" w:rsidRPr="002E087A" w:rsidRDefault="00EE57BF" w:rsidP="002E087A">
      <w:pPr>
        <w:spacing w:before="240" w:line="360" w:lineRule="auto"/>
        <w:jc w:val="both"/>
        <w:rPr>
          <w:rFonts w:ascii="Palatino Linotype" w:hAnsi="Palatino Linotype" w:cs="Arial"/>
        </w:rPr>
      </w:pPr>
      <w:r>
        <w:rPr>
          <w:rFonts w:ascii="Palatino Linotype" w:hAnsi="Palatino Linotype" w:cs="Arial"/>
        </w:rPr>
        <w:t xml:space="preserve">Por lo que, </w:t>
      </w:r>
      <w:r w:rsidR="00D7587E">
        <w:rPr>
          <w:rFonts w:ascii="Palatino Linotype" w:hAnsi="Palatino Linotype" w:cs="Arial"/>
        </w:rPr>
        <w:t>en la misma fecha el Recurrente desahogo la solicitud de aclaración en los siguientes términos:</w:t>
      </w:r>
    </w:p>
    <w:p w14:paraId="403D0AD5" w14:textId="77777777" w:rsidR="002E087A" w:rsidRDefault="00D7587E" w:rsidP="00EE57BF">
      <w:pPr>
        <w:pStyle w:val="Citas"/>
      </w:pPr>
      <w:r>
        <w:t>“</w:t>
      </w:r>
      <w:r w:rsidR="00EE57BF" w:rsidRPr="00EE57BF">
        <w:t>No se visualiza ningún oficio y se le precisa que se requiere el Estado de cuenta bancario correspondiente al mes de diciembre del año 2024 por lo que se hace la petición clara y precisa</w:t>
      </w:r>
      <w:r>
        <w:t>” (Sic)</w:t>
      </w:r>
    </w:p>
    <w:p w14:paraId="00D56DE4" w14:textId="77777777" w:rsidR="002E087A" w:rsidRDefault="00D7587E" w:rsidP="002E087A">
      <w:pPr>
        <w:spacing w:before="240" w:line="360" w:lineRule="auto"/>
        <w:jc w:val="both"/>
        <w:rPr>
          <w:rFonts w:ascii="Palatino Linotype" w:hAnsi="Palatino Linotype" w:cs="Arial"/>
        </w:rPr>
      </w:pPr>
      <w:r>
        <w:rPr>
          <w:rFonts w:ascii="Palatino Linotype" w:hAnsi="Palatino Linotype" w:cs="Arial"/>
        </w:rPr>
        <w:t>De las constancias que obran en SAIMEX se observa que el Sujeto Obligado notificó al Recurrente una prórroga, en el tenor siguiente:</w:t>
      </w:r>
    </w:p>
    <w:p w14:paraId="16E57582" w14:textId="77777777" w:rsidR="00D7587E" w:rsidRDefault="00D7587E" w:rsidP="00D7587E">
      <w:pPr>
        <w:pStyle w:val="Citas"/>
      </w:pPr>
      <w: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BD9C01C" w14:textId="77777777" w:rsidR="00D7587E" w:rsidRDefault="00D7587E" w:rsidP="00D7587E">
      <w:pPr>
        <w:pStyle w:val="Citas"/>
      </w:pPr>
      <w:r>
        <w:t>Se aprueba prórroga en la Sexta Sesión Extraordinaria del Comité de Transparencia.” (Sic)</w:t>
      </w:r>
    </w:p>
    <w:p w14:paraId="6BABED3D" w14:textId="77777777" w:rsidR="00D7587E" w:rsidRPr="00D7587E" w:rsidRDefault="00D7587E" w:rsidP="002E087A">
      <w:pPr>
        <w:spacing w:before="240" w:line="360" w:lineRule="auto"/>
        <w:jc w:val="both"/>
        <w:rPr>
          <w:rFonts w:ascii="Palatino Linotype" w:hAnsi="Palatino Linotype" w:cs="Arial"/>
        </w:rPr>
      </w:pPr>
    </w:p>
    <w:p w14:paraId="3DB93785" w14:textId="77777777" w:rsidR="002E087A" w:rsidRDefault="00D7587E" w:rsidP="002E087A">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002E087A">
        <w:rPr>
          <w:rFonts w:ascii="Palatino Linotype" w:hAnsi="Palatino Linotype" w:cs="Arial"/>
          <w:b/>
          <w:sz w:val="28"/>
          <w:szCs w:val="20"/>
        </w:rPr>
        <w:t>De la respuesta o entrega de la información</w:t>
      </w:r>
      <w:r w:rsidR="002E087A" w:rsidRPr="00165D6E">
        <w:rPr>
          <w:rFonts w:ascii="Palatino Linotype" w:hAnsi="Palatino Linotype" w:cs="Arial"/>
          <w:b/>
          <w:sz w:val="28"/>
          <w:szCs w:val="20"/>
        </w:rPr>
        <w:t>.</w:t>
      </w:r>
    </w:p>
    <w:p w14:paraId="0593B4A0" w14:textId="77777777" w:rsidR="002E087A" w:rsidRPr="00C0731C" w:rsidRDefault="002E087A" w:rsidP="002E087A">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D7587E">
        <w:rPr>
          <w:rFonts w:ascii="Palatino Linotype" w:hAnsi="Palatino Linotype" w:cs="Arial"/>
          <w:b/>
          <w:sz w:val="24"/>
        </w:rPr>
        <w:t>veintiséis</w:t>
      </w:r>
      <w:r>
        <w:rPr>
          <w:rFonts w:ascii="Palatino Linotype" w:hAnsi="Palatino Linotype" w:cs="Arial"/>
          <w:b/>
          <w:sz w:val="24"/>
        </w:rPr>
        <w:t xml:space="preserve"> de febrero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0E85004C" w14:textId="77777777" w:rsidR="002E087A" w:rsidRPr="00E818A5" w:rsidRDefault="002E087A" w:rsidP="002E087A">
      <w:pPr>
        <w:spacing w:line="360" w:lineRule="auto"/>
        <w:jc w:val="both"/>
        <w:rPr>
          <w:rFonts w:ascii="Palatino Linotype" w:hAnsi="Palatino Linotype" w:cs="Arial"/>
        </w:rPr>
      </w:pPr>
    </w:p>
    <w:p w14:paraId="1F69107E" w14:textId="77777777" w:rsidR="00D7587E" w:rsidRPr="00D7587E" w:rsidRDefault="002E087A" w:rsidP="00D7587E">
      <w:pPr>
        <w:ind w:left="567" w:right="567"/>
        <w:jc w:val="both"/>
        <w:rPr>
          <w:rFonts w:ascii="Palatino Linotype" w:hAnsi="Palatino Linotype" w:cs="Arial"/>
          <w:i/>
        </w:rPr>
      </w:pPr>
      <w:r>
        <w:rPr>
          <w:rFonts w:ascii="Palatino Linotype" w:hAnsi="Palatino Linotype" w:cs="Arial"/>
          <w:i/>
        </w:rPr>
        <w:t>“</w:t>
      </w:r>
      <w:r w:rsidR="00D7587E" w:rsidRPr="00D7587E">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CAA840C" w14:textId="77777777" w:rsidR="002E087A" w:rsidRDefault="00D7587E" w:rsidP="00D7587E">
      <w:pPr>
        <w:ind w:left="567" w:right="567"/>
        <w:jc w:val="both"/>
        <w:rPr>
          <w:rFonts w:ascii="Palatino Linotype" w:hAnsi="Palatino Linotype" w:cs="Arial"/>
          <w:i/>
        </w:rPr>
      </w:pPr>
      <w:r w:rsidRPr="00D7587E">
        <w:rPr>
          <w:rFonts w:ascii="Palatino Linotype" w:hAnsi="Palatino Linotype" w:cs="Arial"/>
          <w:i/>
        </w:rPr>
        <w:t>SE EMITE RESPUESTA A SOLICITUD DE INFORMACIÓN</w:t>
      </w:r>
      <w:r w:rsidR="002E087A" w:rsidRPr="00667998">
        <w:rPr>
          <w:rFonts w:ascii="Palatino Linotype" w:hAnsi="Palatino Linotype" w:cs="Arial"/>
          <w:i/>
        </w:rPr>
        <w:t>“(Sic).</w:t>
      </w:r>
    </w:p>
    <w:p w14:paraId="549884C5" w14:textId="77777777" w:rsidR="002E087A" w:rsidRDefault="002E087A" w:rsidP="002E087A">
      <w:pPr>
        <w:spacing w:line="360" w:lineRule="auto"/>
        <w:ind w:right="567"/>
        <w:jc w:val="both"/>
        <w:rPr>
          <w:rFonts w:ascii="Palatino Linotype" w:hAnsi="Palatino Linotype" w:cs="Arial"/>
        </w:rPr>
      </w:pPr>
    </w:p>
    <w:p w14:paraId="7A2A4D2F" w14:textId="77777777" w:rsidR="002E087A" w:rsidRDefault="002E087A" w:rsidP="00D7587E">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el archivo electrónico denominado “</w:t>
      </w:r>
      <w:r w:rsidR="00D7587E" w:rsidRPr="00D7587E">
        <w:rPr>
          <w:rFonts w:ascii="Palatino Linotype" w:hAnsi="Palatino Linotype" w:cs="Arial"/>
          <w:b/>
          <w:i/>
        </w:rPr>
        <w:t>076_RSOL_TM_2025_EDOCTADIC.pdf</w:t>
      </w:r>
      <w:r w:rsidR="00D7587E">
        <w:rPr>
          <w:rFonts w:ascii="Palatino Linotype" w:hAnsi="Palatino Linotype" w:cs="Arial"/>
          <w:b/>
          <w:i/>
        </w:rPr>
        <w:t>” y “</w:t>
      </w:r>
      <w:r w:rsidR="00D7587E" w:rsidRPr="00D7587E">
        <w:rPr>
          <w:rFonts w:ascii="Palatino Linotype" w:hAnsi="Palatino Linotype" w:cs="Arial"/>
          <w:b/>
          <w:i/>
        </w:rPr>
        <w:t>076_RES_UT_2025.pdf</w:t>
      </w:r>
      <w:r>
        <w:rPr>
          <w:rFonts w:ascii="Palatino Linotype" w:hAnsi="Palatino Linotype" w:cs="Arial"/>
          <w:b/>
          <w:i/>
        </w:rPr>
        <w:t xml:space="preserve">”, </w:t>
      </w:r>
      <w:r>
        <w:rPr>
          <w:rFonts w:ascii="Palatino Linotype" w:hAnsi="Palatino Linotype" w:cs="Arial"/>
        </w:rPr>
        <w:t>mismos que no se reproduce</w:t>
      </w:r>
      <w:r w:rsidR="00D7587E">
        <w:rPr>
          <w:rFonts w:ascii="Palatino Linotype" w:hAnsi="Palatino Linotype" w:cs="Arial"/>
        </w:rPr>
        <w:t>n</w:t>
      </w:r>
      <w:r>
        <w:rPr>
          <w:rFonts w:ascii="Palatino Linotype" w:hAnsi="Palatino Linotype" w:cs="Arial"/>
        </w:rPr>
        <w:t xml:space="preserve"> por ser del conocimiento de las partes, sin embargo, será</w:t>
      </w:r>
      <w:r w:rsidR="00D7587E">
        <w:rPr>
          <w:rFonts w:ascii="Palatino Linotype" w:hAnsi="Palatino Linotype" w:cs="Arial"/>
        </w:rPr>
        <w:t>n</w:t>
      </w:r>
      <w:r>
        <w:rPr>
          <w:rFonts w:ascii="Palatino Linotype" w:hAnsi="Palatino Linotype" w:cs="Arial"/>
        </w:rPr>
        <w:t xml:space="preserve"> materia de estudio en el considerando respectivo. </w:t>
      </w:r>
    </w:p>
    <w:p w14:paraId="43DFF930" w14:textId="77777777" w:rsidR="002E087A" w:rsidRDefault="002E087A" w:rsidP="002E087A">
      <w:pPr>
        <w:spacing w:line="360" w:lineRule="auto"/>
        <w:jc w:val="both"/>
        <w:rPr>
          <w:rFonts w:ascii="Palatino Linotype" w:hAnsi="Palatino Linotype" w:cs="Arial"/>
        </w:rPr>
      </w:pPr>
    </w:p>
    <w:p w14:paraId="02677CAF" w14:textId="77777777" w:rsidR="002E087A" w:rsidRPr="002C3EC8" w:rsidRDefault="00D7587E" w:rsidP="002E087A">
      <w:pPr>
        <w:spacing w:before="240" w:line="360" w:lineRule="auto"/>
        <w:jc w:val="both"/>
        <w:rPr>
          <w:rFonts w:ascii="Palatino Linotype" w:hAnsi="Palatino Linotype" w:cs="Arial"/>
          <w:b/>
          <w:sz w:val="28"/>
        </w:rPr>
      </w:pPr>
      <w:r>
        <w:rPr>
          <w:rFonts w:ascii="Palatino Linotype" w:hAnsi="Palatino Linotype" w:cs="Arial"/>
          <w:b/>
          <w:sz w:val="28"/>
        </w:rPr>
        <w:t>CUARTO</w:t>
      </w:r>
      <w:r w:rsidRPr="002C3EC8">
        <w:rPr>
          <w:rFonts w:ascii="Palatino Linotype" w:hAnsi="Palatino Linotype" w:cs="Arial"/>
          <w:b/>
        </w:rPr>
        <w:t>.</w:t>
      </w:r>
      <w:r w:rsidR="002E087A" w:rsidRPr="002C3EC8">
        <w:rPr>
          <w:rFonts w:ascii="Palatino Linotype" w:hAnsi="Palatino Linotype" w:cs="Arial"/>
          <w:b/>
          <w:sz w:val="28"/>
        </w:rPr>
        <w:t xml:space="preserve"> </w:t>
      </w:r>
      <w:r w:rsidR="002E087A" w:rsidRPr="002C3EC8">
        <w:rPr>
          <w:rFonts w:ascii="Palatino Linotype" w:hAnsi="Palatino Linotype"/>
          <w:b/>
          <w:sz w:val="28"/>
        </w:rPr>
        <w:t>Del recurso de revisión.</w:t>
      </w:r>
    </w:p>
    <w:p w14:paraId="5726FBAC" w14:textId="77777777" w:rsidR="002E087A" w:rsidRDefault="002E087A" w:rsidP="002E087A">
      <w:pPr>
        <w:spacing w:before="240" w:line="360" w:lineRule="auto"/>
        <w:jc w:val="both"/>
        <w:rPr>
          <w:rFonts w:ascii="Palatino Linotype" w:hAnsi="Palatino Linotype" w:cs="Arial"/>
        </w:rPr>
      </w:pPr>
      <w:r>
        <w:rPr>
          <w:rFonts w:ascii="Palatino Linotype" w:hAnsi="Palatino Linotype" w:cs="Arial"/>
        </w:rPr>
        <w:lastRenderedPageBreak/>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D7587E" w:rsidRPr="00D7587E">
        <w:rPr>
          <w:rFonts w:ascii="Palatino Linotype" w:hAnsi="Palatino Linotype" w:cs="Arial"/>
          <w:b/>
        </w:rPr>
        <w:t>veintiséis</w:t>
      </w:r>
      <w:r>
        <w:rPr>
          <w:rFonts w:ascii="Palatino Linotype" w:hAnsi="Palatino Linotype" w:cs="Arial"/>
          <w:b/>
        </w:rPr>
        <w:t xml:space="preserve"> de febrero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02165/INFOEM/IP/RR/2025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0D91D4E0" w14:textId="77777777" w:rsidR="002E087A" w:rsidRDefault="002E087A" w:rsidP="002E087A">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2EA04242" w14:textId="77777777" w:rsidR="002E087A" w:rsidRPr="007E4713" w:rsidRDefault="002E087A" w:rsidP="002E087A">
      <w:pPr>
        <w:pStyle w:val="INFOEM"/>
        <w:ind w:left="720"/>
      </w:pPr>
      <w:r w:rsidRPr="007E4713">
        <w:t>“</w:t>
      </w:r>
      <w:r w:rsidR="00D7587E" w:rsidRPr="00D7587E">
        <w:t>Negativa para dar información</w:t>
      </w:r>
      <w:r>
        <w:t>” (sic)</w:t>
      </w:r>
    </w:p>
    <w:p w14:paraId="551AB03F" w14:textId="77777777" w:rsidR="002E087A" w:rsidRPr="0033050B" w:rsidRDefault="002E087A" w:rsidP="002E087A">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7BE84BA8" w14:textId="77777777" w:rsidR="002E087A" w:rsidRPr="007E4713" w:rsidRDefault="002E087A" w:rsidP="002E087A">
      <w:pPr>
        <w:pStyle w:val="INFOEM"/>
        <w:ind w:left="709"/>
      </w:pPr>
      <w:r w:rsidRPr="007E4713">
        <w:t>“</w:t>
      </w:r>
      <w:r w:rsidR="00D7587E" w:rsidRPr="00D7587E">
        <w:t>Negativa</w:t>
      </w:r>
      <w:r w:rsidRPr="00DD2EDF">
        <w:t>”</w:t>
      </w:r>
      <w:r>
        <w:t xml:space="preserve"> (sic)</w:t>
      </w:r>
    </w:p>
    <w:p w14:paraId="19AB6604" w14:textId="77777777" w:rsidR="002E087A" w:rsidRDefault="002E087A" w:rsidP="002E087A">
      <w:pPr>
        <w:spacing w:line="360" w:lineRule="auto"/>
        <w:jc w:val="both"/>
        <w:rPr>
          <w:rFonts w:ascii="Palatino Linotype" w:hAnsi="Palatino Linotype" w:cs="Arial"/>
        </w:rPr>
      </w:pPr>
      <w:r>
        <w:rPr>
          <w:rFonts w:ascii="Palatino Linotype" w:hAnsi="Palatino Linotype" w:cs="Arial"/>
        </w:rPr>
        <w:t xml:space="preserve"> </w:t>
      </w:r>
    </w:p>
    <w:p w14:paraId="5F757633" w14:textId="77777777" w:rsidR="002E087A" w:rsidRPr="002C3EC8" w:rsidRDefault="00D7587E" w:rsidP="002E087A">
      <w:pPr>
        <w:spacing w:before="240" w:line="360" w:lineRule="auto"/>
        <w:jc w:val="both"/>
        <w:rPr>
          <w:rFonts w:ascii="Palatino Linotype" w:hAnsi="Palatino Linotype" w:cs="Arial"/>
          <w:b/>
        </w:rPr>
      </w:pPr>
      <w:r>
        <w:rPr>
          <w:rFonts w:ascii="Palatino Linotype" w:hAnsi="Palatino Linotype" w:cs="Arial"/>
          <w:b/>
          <w:sz w:val="28"/>
        </w:rPr>
        <w:t>QUIN</w:t>
      </w:r>
      <w:r w:rsidRPr="002C3EC8">
        <w:rPr>
          <w:rFonts w:ascii="Palatino Linotype" w:hAnsi="Palatino Linotype" w:cs="Arial"/>
          <w:b/>
          <w:sz w:val="28"/>
        </w:rPr>
        <w:t>TO</w:t>
      </w:r>
      <w:r w:rsidR="002E087A" w:rsidRPr="002C3EC8">
        <w:rPr>
          <w:rFonts w:ascii="Palatino Linotype" w:hAnsi="Palatino Linotype" w:cs="Arial"/>
          <w:b/>
        </w:rPr>
        <w:t xml:space="preserve">. </w:t>
      </w:r>
      <w:r w:rsidR="002E087A" w:rsidRPr="002C3EC8">
        <w:rPr>
          <w:rFonts w:ascii="Palatino Linotype" w:hAnsi="Palatino Linotype" w:cs="Arial"/>
          <w:b/>
          <w:sz w:val="28"/>
          <w:szCs w:val="28"/>
        </w:rPr>
        <w:t>Del turno</w:t>
      </w:r>
      <w:r w:rsidR="002E087A">
        <w:rPr>
          <w:rFonts w:ascii="Palatino Linotype" w:hAnsi="Palatino Linotype" w:cs="Arial"/>
          <w:b/>
          <w:sz w:val="28"/>
          <w:szCs w:val="28"/>
        </w:rPr>
        <w:t xml:space="preserve"> y admisión</w:t>
      </w:r>
      <w:r w:rsidR="002E087A" w:rsidRPr="002C3EC8">
        <w:rPr>
          <w:rFonts w:ascii="Palatino Linotype" w:hAnsi="Palatino Linotype" w:cs="Arial"/>
          <w:b/>
          <w:sz w:val="28"/>
          <w:szCs w:val="28"/>
        </w:rPr>
        <w:t xml:space="preserve"> del recurso de revisión.</w:t>
      </w:r>
    </w:p>
    <w:p w14:paraId="38447F0F" w14:textId="77777777" w:rsidR="002E087A" w:rsidRDefault="002E087A" w:rsidP="002E087A">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D7587E">
        <w:rPr>
          <w:rFonts w:ascii="Palatino Linotype" w:hAnsi="Palatino Linotype"/>
          <w:b/>
        </w:rPr>
        <w:t>cinco de marzo</w:t>
      </w:r>
      <w:r>
        <w:rPr>
          <w:rFonts w:ascii="Palatino Linotype" w:hAnsi="Palatino Linotype"/>
          <w:b/>
        </w:rPr>
        <w:t xml:space="preserve">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36CB37F1" w14:textId="77777777" w:rsidR="002E087A" w:rsidRPr="004C20B7" w:rsidRDefault="002E087A" w:rsidP="002E087A">
      <w:pPr>
        <w:spacing w:before="240" w:line="360" w:lineRule="auto"/>
        <w:jc w:val="both"/>
        <w:rPr>
          <w:rFonts w:ascii="Palatino Linotype" w:hAnsi="Palatino Linotype" w:cs="Arial"/>
          <w:sz w:val="28"/>
        </w:rPr>
      </w:pPr>
    </w:p>
    <w:p w14:paraId="2D2DFC0F" w14:textId="77777777" w:rsidR="002E087A" w:rsidRPr="00E52C83" w:rsidRDefault="00D7587E" w:rsidP="002E087A">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t>SEXTO</w:t>
      </w:r>
      <w:r w:rsidR="002E087A" w:rsidRPr="002C3EC8">
        <w:rPr>
          <w:rFonts w:ascii="Palatino Linotype" w:hAnsi="Palatino Linotype" w:cs="Arial"/>
          <w:b/>
          <w:sz w:val="28"/>
          <w:szCs w:val="28"/>
        </w:rPr>
        <w:t>. De la etapa de instrucción.</w:t>
      </w:r>
    </w:p>
    <w:p w14:paraId="582B8751" w14:textId="77777777" w:rsidR="002E087A" w:rsidRPr="00590166" w:rsidRDefault="002E087A" w:rsidP="002E087A">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D7587E">
        <w:rPr>
          <w:rFonts w:ascii="Palatino Linotype" w:hAnsi="Palatino Linotype" w:cs="Arial"/>
        </w:rPr>
        <w:t xml:space="preserve">dieciocho </w:t>
      </w:r>
      <w:r>
        <w:rPr>
          <w:rFonts w:ascii="Palatino Linotype" w:hAnsi="Palatino Linotype" w:cs="Arial"/>
        </w:rPr>
        <w:t>de marzo de dos mil veinticinco</w:t>
      </w:r>
      <w:r w:rsidRPr="00D32665">
        <w:rPr>
          <w:rFonts w:ascii="Palatino Linotype" w:hAnsi="Palatino Linotype" w:cs="Arial"/>
        </w:rPr>
        <w:t>, por medio del archivo electrónico</w:t>
      </w:r>
      <w:r>
        <w:rPr>
          <w:rFonts w:ascii="Palatino Linotype" w:hAnsi="Palatino Linotype" w:cs="Arial"/>
        </w:rPr>
        <w:t xml:space="preserve"> “</w:t>
      </w:r>
      <w:r w:rsidR="00D7587E" w:rsidRPr="00D7587E">
        <w:rPr>
          <w:rFonts w:ascii="Palatino Linotype" w:hAnsi="Palatino Linotype" w:cs="Arial"/>
          <w:b/>
          <w:i/>
        </w:rPr>
        <w:t>02165_RR_IFJ_2025 (1).</w:t>
      </w:r>
      <w:proofErr w:type="spellStart"/>
      <w:r w:rsidR="00D7587E" w:rsidRPr="00D7587E">
        <w:rPr>
          <w:rFonts w:ascii="Palatino Linotype" w:hAnsi="Palatino Linotype" w:cs="Arial"/>
          <w:b/>
          <w:i/>
        </w:rPr>
        <w:t>pdf</w:t>
      </w:r>
      <w:proofErr w:type="spellEnd"/>
      <w:r>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lastRenderedPageBreak/>
        <w:t>mismos que fueron</w:t>
      </w:r>
      <w:r w:rsidRPr="00D32665">
        <w:rPr>
          <w:rFonts w:ascii="Palatino Linotype" w:hAnsi="Palatino Linotype" w:cs="Arial"/>
        </w:rPr>
        <w:t xml:space="preserve"> puesto</w:t>
      </w:r>
      <w:r>
        <w:rPr>
          <w:rFonts w:ascii="Palatino Linotype" w:hAnsi="Palatino Linotype" w:cs="Arial"/>
        </w:rPr>
        <w:t>s</w:t>
      </w:r>
      <w:r w:rsidRPr="00D32665">
        <w:rPr>
          <w:rFonts w:ascii="Palatino Linotype" w:hAnsi="Palatino Linotype" w:cs="Arial"/>
        </w:rPr>
        <w:t xml:space="preserve"> a la vista </w:t>
      </w:r>
      <w:r>
        <w:rPr>
          <w:rFonts w:ascii="Palatino Linotype" w:hAnsi="Palatino Linotype" w:cs="Arial"/>
        </w:rPr>
        <w:t xml:space="preserve">del Recurrente </w:t>
      </w:r>
      <w:r w:rsidRPr="00D32665">
        <w:rPr>
          <w:rFonts w:ascii="Palatino Linotype" w:hAnsi="Palatino Linotype" w:cs="Arial"/>
        </w:rPr>
        <w:t xml:space="preserve">en fecha </w:t>
      </w:r>
      <w:r w:rsidR="005C2301">
        <w:rPr>
          <w:rFonts w:ascii="Palatino Linotype" w:hAnsi="Palatino Linotype" w:cs="Arial"/>
        </w:rPr>
        <w:t>veinticuatro</w:t>
      </w:r>
      <w:r>
        <w:rPr>
          <w:rFonts w:ascii="Palatino Linotype" w:hAnsi="Palatino Linotype" w:cs="Arial"/>
        </w:rPr>
        <w:t xml:space="preserve"> de marzo de dos mil veinticinco</w:t>
      </w:r>
      <w:r w:rsidRPr="00D32665">
        <w:rPr>
          <w:rFonts w:ascii="Palatino Linotype" w:hAnsi="Palatino Linotype" w:cs="Arial"/>
          <w:b/>
          <w:i/>
        </w:rPr>
        <w:t>.</w:t>
      </w:r>
    </w:p>
    <w:p w14:paraId="18F30D4A" w14:textId="77777777" w:rsidR="002E087A" w:rsidRPr="00D32665" w:rsidRDefault="002E087A" w:rsidP="002E087A">
      <w:pPr>
        <w:spacing w:line="360" w:lineRule="auto"/>
        <w:jc w:val="both"/>
        <w:rPr>
          <w:rFonts w:ascii="Palatino Linotype" w:hAnsi="Palatino Linotype"/>
        </w:rPr>
      </w:pPr>
    </w:p>
    <w:p w14:paraId="3F5181B6" w14:textId="77777777" w:rsidR="002E087A" w:rsidRPr="00D32665" w:rsidRDefault="002E087A" w:rsidP="002E087A">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14:paraId="34E9F4F1" w14:textId="77777777" w:rsidR="002E087A" w:rsidRDefault="002E087A" w:rsidP="002E087A">
      <w:pPr>
        <w:spacing w:line="360" w:lineRule="auto"/>
        <w:jc w:val="both"/>
        <w:rPr>
          <w:rFonts w:ascii="Palatino Linotype" w:hAnsi="Palatino Linotype" w:cs="Arial"/>
          <w:b/>
          <w:sz w:val="28"/>
          <w:szCs w:val="28"/>
        </w:rPr>
      </w:pPr>
    </w:p>
    <w:p w14:paraId="0E668284" w14:textId="77777777" w:rsidR="002E087A" w:rsidRPr="002C3EC8" w:rsidRDefault="00D7587E" w:rsidP="002E087A">
      <w:pPr>
        <w:spacing w:line="360" w:lineRule="auto"/>
        <w:jc w:val="both"/>
        <w:rPr>
          <w:rFonts w:ascii="Palatino Linotype" w:hAnsi="Palatino Linotype" w:cs="Arial"/>
          <w:b/>
          <w:sz w:val="28"/>
          <w:szCs w:val="28"/>
        </w:rPr>
      </w:pPr>
      <w:r>
        <w:rPr>
          <w:rFonts w:ascii="Palatino Linotype" w:hAnsi="Palatino Linotype" w:cs="Arial"/>
          <w:b/>
          <w:sz w:val="28"/>
          <w:szCs w:val="28"/>
        </w:rPr>
        <w:t>SÉPTIMO</w:t>
      </w:r>
      <w:r w:rsidR="002E087A" w:rsidRPr="002C3EC8">
        <w:rPr>
          <w:rFonts w:ascii="Palatino Linotype" w:hAnsi="Palatino Linotype" w:cs="Arial"/>
          <w:b/>
          <w:sz w:val="28"/>
          <w:szCs w:val="28"/>
        </w:rPr>
        <w:t>. Del Cierre de Instrucción.</w:t>
      </w:r>
    </w:p>
    <w:p w14:paraId="0DA9C7F1" w14:textId="77777777" w:rsidR="002E087A" w:rsidRDefault="002E087A" w:rsidP="002E087A">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D7587E">
        <w:rPr>
          <w:rFonts w:ascii="Palatino Linotype" w:hAnsi="Palatino Linotype" w:cs="Arial"/>
          <w:b/>
        </w:rPr>
        <w:t>treinta y uno</w:t>
      </w:r>
      <w:r>
        <w:rPr>
          <w:rFonts w:ascii="Palatino Linotype" w:hAnsi="Palatino Linotype" w:cs="Arial"/>
          <w:b/>
        </w:rPr>
        <w:t xml:space="preserve"> de marzo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45680EB0" w14:textId="77777777" w:rsidR="002E087A" w:rsidRDefault="002E087A" w:rsidP="002E087A">
      <w:pPr>
        <w:spacing w:line="360" w:lineRule="auto"/>
        <w:jc w:val="both"/>
        <w:rPr>
          <w:rFonts w:ascii="Palatino Linotype" w:hAnsi="Palatino Linotype" w:cs="Arial"/>
          <w:b/>
          <w:sz w:val="28"/>
          <w:szCs w:val="28"/>
        </w:rPr>
      </w:pPr>
    </w:p>
    <w:p w14:paraId="4408613C" w14:textId="77777777" w:rsidR="002E087A" w:rsidRPr="0024200F" w:rsidRDefault="002E087A" w:rsidP="002E087A">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108718D6" w14:textId="77777777" w:rsidR="002E087A" w:rsidRPr="00825F67" w:rsidRDefault="002E087A" w:rsidP="002E087A">
      <w:pPr>
        <w:spacing w:line="360" w:lineRule="auto"/>
        <w:ind w:right="49"/>
        <w:jc w:val="both"/>
        <w:rPr>
          <w:rFonts w:ascii="Palatino Linotype" w:hAnsi="Palatino Linotype"/>
          <w:szCs w:val="28"/>
        </w:rPr>
      </w:pPr>
    </w:p>
    <w:p w14:paraId="29D07BA5" w14:textId="77777777" w:rsidR="002E087A" w:rsidRPr="002C3EC8" w:rsidRDefault="002E087A" w:rsidP="002E087A">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3E2441BB" w14:textId="77777777" w:rsidR="002E087A" w:rsidRPr="007C6AB6" w:rsidRDefault="00B90C88" w:rsidP="002E087A">
      <w:pPr>
        <w:tabs>
          <w:tab w:val="left" w:pos="3402"/>
        </w:tabs>
        <w:spacing w:line="360" w:lineRule="auto"/>
        <w:jc w:val="both"/>
        <w:rPr>
          <w:rFonts w:ascii="Palatino Linotype" w:hAnsi="Palatino Linotype"/>
        </w:rPr>
      </w:pPr>
      <w:r w:rsidRPr="00B90C88">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w:t>
      </w:r>
      <w:r w:rsidRPr="00B90C88">
        <w:rPr>
          <w:rFonts w:ascii="Palatino Linotype" w:hAnsi="Palatino Linotype"/>
        </w:rPr>
        <w:lastRenderedPageBreak/>
        <w:t>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2E087A" w:rsidRPr="007C6AB6">
        <w:rPr>
          <w:rFonts w:ascii="Palatino Linotype" w:hAnsi="Palatino Linotype"/>
        </w:rPr>
        <w:t>.</w:t>
      </w:r>
    </w:p>
    <w:p w14:paraId="0FFA8624" w14:textId="77777777" w:rsidR="002E087A" w:rsidRPr="002C3EC8" w:rsidRDefault="002E087A" w:rsidP="002E087A">
      <w:pPr>
        <w:spacing w:before="240" w:line="360" w:lineRule="auto"/>
        <w:jc w:val="both"/>
        <w:rPr>
          <w:rFonts w:ascii="Palatino Linotype" w:eastAsia="Calibri" w:hAnsi="Palatino Linotype"/>
          <w:b/>
          <w:color w:val="000000" w:themeColor="text1"/>
        </w:rPr>
      </w:pPr>
    </w:p>
    <w:p w14:paraId="18F8D970" w14:textId="77777777" w:rsidR="002E087A" w:rsidRPr="002C3EC8" w:rsidRDefault="002E087A" w:rsidP="002E087A">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1DBA66AC" w14:textId="77777777" w:rsidR="002E087A" w:rsidRDefault="002E087A" w:rsidP="002E087A">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30184D1" w14:textId="77777777" w:rsidR="006E00CA" w:rsidRPr="00821CCD" w:rsidRDefault="006E00CA" w:rsidP="006E00CA">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3C50FF79" w14:textId="77777777" w:rsidR="006E00CA" w:rsidRPr="00821CCD" w:rsidRDefault="006E00CA" w:rsidP="006E00CA">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0A658B9E" w14:textId="77777777" w:rsidR="006E00CA" w:rsidRPr="00821CCD" w:rsidRDefault="006E00CA" w:rsidP="006E00CA">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74A9EAE3" w14:textId="77777777" w:rsidR="006E00CA" w:rsidRPr="00821CCD" w:rsidRDefault="006E00CA" w:rsidP="006E00C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lastRenderedPageBreak/>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35A4F309" w14:textId="77777777" w:rsidR="006E00CA" w:rsidRPr="00821CCD" w:rsidRDefault="006E00CA" w:rsidP="006E00CA">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140C81C1" w14:textId="77777777" w:rsidR="006E00CA" w:rsidRPr="00821CCD" w:rsidRDefault="006E00CA" w:rsidP="006E00C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3EDA88A7" w14:textId="77777777" w:rsidR="006E00CA" w:rsidRPr="00821CCD" w:rsidRDefault="006E00CA" w:rsidP="006E00C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14:paraId="60B949B4" w14:textId="77777777" w:rsidR="006E00CA" w:rsidRPr="00821CCD" w:rsidRDefault="006E00CA" w:rsidP="006E00CA">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3F4D72D4" w14:textId="77777777" w:rsidR="006E00CA" w:rsidRPr="00821CCD" w:rsidRDefault="006E00CA" w:rsidP="006E00C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193B1333" w14:textId="77777777" w:rsidR="006E00CA" w:rsidRPr="00821CCD" w:rsidRDefault="006E00CA" w:rsidP="006E00C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0A5C3963" w14:textId="77777777" w:rsidR="006E00CA" w:rsidRPr="00821CCD" w:rsidRDefault="006E00CA" w:rsidP="006E00CA">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0F1244BD" w14:textId="77777777" w:rsidR="006E00CA" w:rsidRPr="00821CCD" w:rsidRDefault="006E00CA" w:rsidP="006E00CA">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14:paraId="4AE3BBDC" w14:textId="77777777" w:rsidR="006E00CA" w:rsidRPr="00821CCD" w:rsidRDefault="006E00CA" w:rsidP="006E00CA">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1DAABF6A" w14:textId="77777777" w:rsidR="006E00CA" w:rsidRPr="00821CCD" w:rsidRDefault="006E00CA" w:rsidP="006E00CA">
      <w:pPr>
        <w:autoSpaceDE w:val="0"/>
        <w:autoSpaceDN w:val="0"/>
        <w:adjustRightInd w:val="0"/>
        <w:spacing w:before="240" w:line="360" w:lineRule="auto"/>
        <w:jc w:val="both"/>
        <w:rPr>
          <w:rFonts w:ascii="Palatino Linotype" w:hAnsi="Palatino Linotype"/>
        </w:rPr>
      </w:pPr>
    </w:p>
    <w:p w14:paraId="3A7E0CD7" w14:textId="77777777" w:rsidR="006E00CA" w:rsidRPr="00821CCD" w:rsidRDefault="006E00CA" w:rsidP="006E00C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6E00CA" w:rsidRPr="00821CCD" w14:paraId="1A76B3C3" w14:textId="77777777" w:rsidTr="00F064B4">
        <w:trPr>
          <w:trHeight w:val="1360"/>
        </w:trPr>
        <w:tc>
          <w:tcPr>
            <w:tcW w:w="7982" w:type="dxa"/>
          </w:tcPr>
          <w:p w14:paraId="10BF6AF3" w14:textId="77777777" w:rsidR="006E00CA" w:rsidRPr="00821CCD" w:rsidRDefault="006E00CA" w:rsidP="00F064B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56DAFE41" w14:textId="77777777" w:rsidR="006E00CA" w:rsidRPr="00821CCD" w:rsidRDefault="006E00CA" w:rsidP="006E00C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6E00CA" w:rsidRPr="00821CCD" w14:paraId="57836A84" w14:textId="77777777" w:rsidTr="00F064B4">
        <w:trPr>
          <w:jc w:val="center"/>
        </w:trPr>
        <w:tc>
          <w:tcPr>
            <w:tcW w:w="8075" w:type="dxa"/>
          </w:tcPr>
          <w:p w14:paraId="2A58E938" w14:textId="77777777" w:rsidR="006E00CA" w:rsidRPr="00821CCD" w:rsidRDefault="006E00CA" w:rsidP="00F064B4">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2FF7C882" w14:textId="77777777" w:rsidR="006E00CA" w:rsidRPr="00821CCD" w:rsidRDefault="006E00CA" w:rsidP="00F064B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4FD401C9" w14:textId="77777777" w:rsidR="006E00CA" w:rsidRPr="00821CCD" w:rsidRDefault="006E00CA" w:rsidP="00F064B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13555EB4" w14:textId="77777777" w:rsidR="006E00CA" w:rsidRPr="00821CCD" w:rsidRDefault="006E00CA" w:rsidP="00F064B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4D1EDB55" w14:textId="77777777" w:rsidR="006E00CA" w:rsidRPr="00821CCD" w:rsidRDefault="006E00CA" w:rsidP="00F064B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33D131B5" w14:textId="77777777" w:rsidR="006E00CA" w:rsidRPr="00821CCD" w:rsidRDefault="006E00CA" w:rsidP="00F064B4">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w:t>
            </w:r>
          </w:p>
          <w:p w14:paraId="7B6CC0D2" w14:textId="77777777" w:rsidR="006E00CA" w:rsidRPr="00821CCD" w:rsidRDefault="006E00CA" w:rsidP="00F064B4">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 xml:space="preserve">IV. </w:t>
            </w:r>
            <w:r w:rsidRPr="00C90342">
              <w:rPr>
                <w:rFonts w:ascii="Palatino Linotype" w:hAnsi="Palatino Linotype" w:cs="Arial"/>
                <w:i/>
              </w:rPr>
              <w:t>Se establecerán mecanismos de acceso a la información pública y procedimientos de revisión expeditos que se sustanciarán ante las instancias competentes en los términos que fija esta Constitución y las leyes.</w:t>
            </w:r>
            <w:r w:rsidRPr="00821CCD">
              <w:rPr>
                <w:rFonts w:ascii="Palatino Linotype" w:hAnsi="Palatino Linotype" w:cs="Arial"/>
                <w:i/>
              </w:rPr>
              <w:t>”</w:t>
            </w:r>
          </w:p>
          <w:p w14:paraId="162E30DA" w14:textId="77777777" w:rsidR="006E00CA" w:rsidRPr="00821CCD" w:rsidRDefault="006E00CA" w:rsidP="00F064B4">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0514D8B7" w14:textId="77777777" w:rsidR="006E00CA" w:rsidRDefault="006E00CA" w:rsidP="00F064B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 xml:space="preserve">“Artículo 5.- </w:t>
            </w:r>
            <w:r w:rsidRPr="00C90342">
              <w:rPr>
                <w:rFonts w:ascii="Palatino Linotype" w:eastAsia="Calibri" w:hAnsi="Palatino Linotype" w:cs="Arial"/>
                <w:i/>
                <w:lang w:val="es-ES_tradnl" w:eastAsia="es-MX"/>
              </w:rPr>
              <w:t xml:space="preserve">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En el Estado de México la Naturaleza o biodiversidad, especies endémicas y nativas son sujetos de derecho, los cuales son otorgados, protegidos y promovidos por la constitución y las leyes del Estado. </w:t>
            </w:r>
          </w:p>
          <w:p w14:paraId="0BCA9CD4" w14:textId="77777777" w:rsidR="006E00CA" w:rsidRPr="00821CCD" w:rsidRDefault="006E00CA" w:rsidP="00F064B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76EF3B44" w14:textId="77777777" w:rsidR="006E00CA" w:rsidRPr="00821CCD" w:rsidRDefault="006E00CA" w:rsidP="00F064B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52C1A021" w14:textId="77777777" w:rsidR="006E00CA" w:rsidRPr="00821CCD" w:rsidRDefault="006E00CA" w:rsidP="00F064B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6928F8B6" w14:textId="77777777" w:rsidR="006E00CA" w:rsidRPr="00821CCD" w:rsidRDefault="006E00CA" w:rsidP="00F064B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El derecho a la información será garantizado por el Estado. La ley establecerá las previsiones que permitan asegurar la protección, el respeto y la difusión de este derecho.</w:t>
            </w:r>
          </w:p>
          <w:p w14:paraId="63DA5F71" w14:textId="77777777" w:rsidR="006E00CA" w:rsidRPr="00821CCD" w:rsidRDefault="006E00CA" w:rsidP="00F064B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B8C5F85" w14:textId="77777777" w:rsidR="006E00CA" w:rsidRPr="00821CCD" w:rsidRDefault="006E00CA" w:rsidP="00F064B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6339599D" w14:textId="77777777" w:rsidR="006E00CA" w:rsidRPr="00821CCD" w:rsidRDefault="006E00CA" w:rsidP="00F064B4">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2A2FD63F" w14:textId="77777777" w:rsidR="006E00CA" w:rsidRPr="00821CCD" w:rsidRDefault="006E00CA" w:rsidP="00F064B4">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14:paraId="083AEC2F" w14:textId="77777777" w:rsidR="006E00CA" w:rsidRPr="00821CCD" w:rsidRDefault="006E00CA" w:rsidP="00F064B4">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679A2091" w14:textId="77777777" w:rsidR="006E00CA" w:rsidRPr="00821CCD" w:rsidRDefault="006E00CA" w:rsidP="006E00C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1EE059FB" w14:textId="77777777" w:rsidR="006E00CA" w:rsidRPr="00821CCD" w:rsidRDefault="006E00CA" w:rsidP="006E00C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14:paraId="1FE8BCF7" w14:textId="77777777" w:rsidR="002E087A" w:rsidRPr="002C3EC8" w:rsidRDefault="002E087A" w:rsidP="002E087A">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3EA60DD9" w14:textId="77777777" w:rsidR="002E087A" w:rsidRPr="002C3EC8" w:rsidRDefault="002E087A" w:rsidP="002E087A">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36E0791" w14:textId="77777777" w:rsidR="002E087A" w:rsidRPr="002C3EC8" w:rsidRDefault="002E087A" w:rsidP="002E087A">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w:t>
      </w:r>
      <w:r w:rsidRPr="002C3EC8">
        <w:rPr>
          <w:rFonts w:ascii="Palatino Linotype" w:hAnsi="Palatino Linotype" w:cs="Arial"/>
        </w:rPr>
        <w:lastRenderedPageBreak/>
        <w:t>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2F24EEF6" w14:textId="77777777" w:rsidR="002E087A" w:rsidRDefault="002E087A" w:rsidP="002E087A">
      <w:pPr>
        <w:tabs>
          <w:tab w:val="left" w:pos="709"/>
        </w:tabs>
        <w:spacing w:before="240" w:line="360" w:lineRule="auto"/>
        <w:ind w:right="51"/>
        <w:jc w:val="both"/>
        <w:rPr>
          <w:rFonts w:ascii="Palatino Linotype" w:hAnsi="Palatino Linotype"/>
          <w:b/>
          <w:sz w:val="28"/>
          <w:szCs w:val="28"/>
        </w:rPr>
      </w:pPr>
    </w:p>
    <w:p w14:paraId="36F0306E" w14:textId="77777777" w:rsidR="002E087A" w:rsidRPr="002C3EC8" w:rsidRDefault="002E087A" w:rsidP="002E087A">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377EB65E" w14:textId="77777777" w:rsidR="002E087A" w:rsidRPr="007379EE" w:rsidRDefault="002E087A" w:rsidP="002E08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7379EE">
        <w:rPr>
          <w:rFonts w:ascii="Palatino Linotype" w:eastAsia="Palatino Linotype" w:hAnsi="Palatino Linotype" w:cs="Palatino Linotype"/>
          <w:color w:val="000000"/>
        </w:rPr>
        <w:lastRenderedPageBreak/>
        <w:t>que el Estado Mexicano sea parte, en concordancia con el párrafo tercero del artículo 1 de la Constitución Federal y el diverso 8 de la Ley de Transparencia local.</w:t>
      </w:r>
    </w:p>
    <w:p w14:paraId="1326F5CA" w14:textId="77777777" w:rsidR="002E087A" w:rsidRDefault="002E087A" w:rsidP="002E087A">
      <w:pPr>
        <w:autoSpaceDE w:val="0"/>
        <w:autoSpaceDN w:val="0"/>
        <w:adjustRightInd w:val="0"/>
        <w:ind w:right="567"/>
        <w:rPr>
          <w:rFonts w:ascii="Palatino Linotype" w:eastAsia="Calibri" w:hAnsi="Palatino Linotype" w:cs="Arial"/>
        </w:rPr>
      </w:pPr>
    </w:p>
    <w:p w14:paraId="58AFFE5A" w14:textId="77777777" w:rsidR="002E087A" w:rsidRDefault="002E087A" w:rsidP="002E08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72BDB6D5" w14:textId="77777777" w:rsidR="002E087A" w:rsidRDefault="002E087A" w:rsidP="002E087A">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14:paraId="731BF80C" w14:textId="77777777" w:rsidR="002E087A" w:rsidRPr="00E77CD6" w:rsidRDefault="002E087A" w:rsidP="002E087A">
      <w:pPr>
        <w:pStyle w:val="Citas"/>
        <w:numPr>
          <w:ilvl w:val="0"/>
          <w:numId w:val="3"/>
        </w:numPr>
        <w:spacing w:before="0" w:after="0" w:line="240" w:lineRule="auto"/>
        <w:rPr>
          <w:b/>
        </w:rPr>
      </w:pPr>
      <w:r w:rsidRPr="00E77CD6">
        <w:rPr>
          <w:b/>
        </w:rPr>
        <w:t xml:space="preserve">La negativa a la información solicitada; </w:t>
      </w:r>
    </w:p>
    <w:p w14:paraId="1307C924" w14:textId="77777777" w:rsidR="002E087A" w:rsidRDefault="002E087A" w:rsidP="002E087A">
      <w:pPr>
        <w:pStyle w:val="Citas"/>
        <w:numPr>
          <w:ilvl w:val="0"/>
          <w:numId w:val="3"/>
        </w:numPr>
        <w:spacing w:before="0" w:after="0" w:line="240" w:lineRule="auto"/>
      </w:pPr>
      <w:r w:rsidRPr="002E7A81">
        <w:t xml:space="preserve">La clasificación de la información; </w:t>
      </w:r>
    </w:p>
    <w:p w14:paraId="2CBC2965" w14:textId="77777777" w:rsidR="002E087A" w:rsidRDefault="002E087A" w:rsidP="002E087A">
      <w:pPr>
        <w:pStyle w:val="Citas"/>
        <w:numPr>
          <w:ilvl w:val="0"/>
          <w:numId w:val="3"/>
        </w:numPr>
        <w:spacing w:before="0" w:after="0" w:line="240" w:lineRule="auto"/>
      </w:pPr>
      <w:r w:rsidRPr="002E7A81">
        <w:t xml:space="preserve">La declaración de inexistencia de la información; </w:t>
      </w:r>
    </w:p>
    <w:p w14:paraId="498CCDD3" w14:textId="77777777" w:rsidR="002E087A" w:rsidRDefault="002E087A" w:rsidP="002E087A">
      <w:pPr>
        <w:pStyle w:val="Citas"/>
        <w:numPr>
          <w:ilvl w:val="0"/>
          <w:numId w:val="3"/>
        </w:numPr>
        <w:spacing w:before="0" w:after="0" w:line="240" w:lineRule="auto"/>
      </w:pPr>
      <w:r w:rsidRPr="002E7A81">
        <w:t xml:space="preserve">La declaración de incompetencia por el sujeto obligado; </w:t>
      </w:r>
    </w:p>
    <w:p w14:paraId="39C0F217" w14:textId="77777777" w:rsidR="002E087A" w:rsidRPr="00E77CD6" w:rsidRDefault="002E087A" w:rsidP="002E087A">
      <w:pPr>
        <w:pStyle w:val="Citas"/>
        <w:numPr>
          <w:ilvl w:val="0"/>
          <w:numId w:val="3"/>
        </w:numPr>
        <w:spacing w:before="0" w:after="0" w:line="240" w:lineRule="auto"/>
      </w:pPr>
      <w:r w:rsidRPr="00E77CD6">
        <w:t xml:space="preserve">La entrega de información incompleta; </w:t>
      </w:r>
    </w:p>
    <w:p w14:paraId="3A143F69" w14:textId="77777777" w:rsidR="002E087A" w:rsidRDefault="002E087A" w:rsidP="002E087A">
      <w:pPr>
        <w:pStyle w:val="Citas"/>
        <w:numPr>
          <w:ilvl w:val="0"/>
          <w:numId w:val="3"/>
        </w:numPr>
        <w:spacing w:before="0" w:after="0" w:line="240" w:lineRule="auto"/>
      </w:pPr>
      <w:r w:rsidRPr="002E7A81">
        <w:t xml:space="preserve">La entrega de información que no corresponda con lo solicitado; </w:t>
      </w:r>
    </w:p>
    <w:p w14:paraId="35D17DEE" w14:textId="77777777" w:rsidR="002E087A" w:rsidRDefault="002E087A" w:rsidP="002E087A">
      <w:pPr>
        <w:pStyle w:val="Citas"/>
        <w:numPr>
          <w:ilvl w:val="0"/>
          <w:numId w:val="3"/>
        </w:numPr>
        <w:spacing w:before="0" w:after="0" w:line="240" w:lineRule="auto"/>
      </w:pPr>
      <w:r w:rsidRPr="002E7A81">
        <w:t xml:space="preserve">La falta de respuesta a una solicitud de acceso a la información; </w:t>
      </w:r>
    </w:p>
    <w:p w14:paraId="40D8E4AF" w14:textId="77777777" w:rsidR="002E087A" w:rsidRDefault="002E087A" w:rsidP="002E087A">
      <w:pPr>
        <w:pStyle w:val="Citas"/>
        <w:numPr>
          <w:ilvl w:val="0"/>
          <w:numId w:val="3"/>
        </w:numPr>
        <w:spacing w:before="0" w:after="0" w:line="240" w:lineRule="auto"/>
      </w:pPr>
      <w:r w:rsidRPr="002E7A81">
        <w:t xml:space="preserve">La notificación, entrega o puesta a disposición de información en una modalidad o formato distinto al solicitado; </w:t>
      </w:r>
    </w:p>
    <w:p w14:paraId="5BC9E384" w14:textId="77777777" w:rsidR="002E087A" w:rsidRDefault="002E087A" w:rsidP="002E087A">
      <w:pPr>
        <w:pStyle w:val="Citas"/>
        <w:numPr>
          <w:ilvl w:val="0"/>
          <w:numId w:val="3"/>
        </w:numPr>
        <w:spacing w:before="0" w:after="0" w:line="240" w:lineRule="auto"/>
      </w:pPr>
      <w:r w:rsidRPr="002E7A81">
        <w:t xml:space="preserve">La entrega o puesta a disposición de información en un formato incomprensible y/o no accesible para el solicitante; </w:t>
      </w:r>
    </w:p>
    <w:p w14:paraId="6B2A25E7" w14:textId="77777777" w:rsidR="002E087A" w:rsidRDefault="002E087A" w:rsidP="002E087A">
      <w:pPr>
        <w:pStyle w:val="Citas"/>
        <w:numPr>
          <w:ilvl w:val="0"/>
          <w:numId w:val="3"/>
        </w:numPr>
        <w:spacing w:before="0" w:after="0" w:line="240" w:lineRule="auto"/>
      </w:pPr>
      <w:r w:rsidRPr="002E7A81">
        <w:t xml:space="preserve">Los costos o tiempos de entrega de la información; </w:t>
      </w:r>
    </w:p>
    <w:p w14:paraId="4AFCFEC9" w14:textId="77777777" w:rsidR="002E087A" w:rsidRDefault="002E087A" w:rsidP="002E087A">
      <w:pPr>
        <w:pStyle w:val="Citas"/>
        <w:numPr>
          <w:ilvl w:val="0"/>
          <w:numId w:val="3"/>
        </w:numPr>
        <w:spacing w:before="0" w:after="0" w:line="240" w:lineRule="auto"/>
      </w:pPr>
      <w:r w:rsidRPr="002E7A81">
        <w:t xml:space="preserve">La falta de trámite a una solicitud; </w:t>
      </w:r>
    </w:p>
    <w:p w14:paraId="66C74633" w14:textId="77777777" w:rsidR="002E087A" w:rsidRDefault="002E087A" w:rsidP="002E087A">
      <w:pPr>
        <w:pStyle w:val="Citas"/>
        <w:numPr>
          <w:ilvl w:val="0"/>
          <w:numId w:val="3"/>
        </w:numPr>
        <w:spacing w:before="0" w:after="0" w:line="240" w:lineRule="auto"/>
      </w:pPr>
      <w:r w:rsidRPr="002E7A81">
        <w:t xml:space="preserve">La negativa a permitir la consulta directa de la información; </w:t>
      </w:r>
    </w:p>
    <w:p w14:paraId="05DD02EC" w14:textId="77777777" w:rsidR="002E087A" w:rsidRDefault="002E087A" w:rsidP="002E087A">
      <w:pPr>
        <w:pStyle w:val="Citas"/>
        <w:numPr>
          <w:ilvl w:val="0"/>
          <w:numId w:val="3"/>
        </w:numPr>
        <w:spacing w:before="0" w:after="0" w:line="240" w:lineRule="auto"/>
      </w:pPr>
      <w:r w:rsidRPr="002E7A81">
        <w:t xml:space="preserve">La falta, deficiencia o insuficiencia de la fundamentación y/o motivación en la respuesta; y </w:t>
      </w:r>
    </w:p>
    <w:p w14:paraId="0AC5DCE6" w14:textId="77777777" w:rsidR="002E087A" w:rsidRDefault="002E087A" w:rsidP="002E087A">
      <w:pPr>
        <w:pStyle w:val="Citas"/>
        <w:numPr>
          <w:ilvl w:val="0"/>
          <w:numId w:val="3"/>
        </w:numPr>
        <w:spacing w:before="0" w:after="0" w:line="240" w:lineRule="auto"/>
      </w:pPr>
      <w:r w:rsidRPr="002E7A81">
        <w:t xml:space="preserve">La orientación a un trámite específico. </w:t>
      </w:r>
    </w:p>
    <w:p w14:paraId="63B809C4" w14:textId="77777777" w:rsidR="002E087A" w:rsidRPr="007379EE" w:rsidRDefault="002E087A" w:rsidP="002E087A">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265B9678" w14:textId="77777777" w:rsidR="002E087A" w:rsidRDefault="002E087A" w:rsidP="002E087A">
      <w:pPr>
        <w:autoSpaceDE w:val="0"/>
        <w:autoSpaceDN w:val="0"/>
        <w:adjustRightInd w:val="0"/>
        <w:ind w:right="567"/>
        <w:rPr>
          <w:rFonts w:ascii="Palatino Linotype" w:eastAsia="Calibri" w:hAnsi="Palatino Linotype" w:cs="Arial"/>
        </w:rPr>
      </w:pPr>
    </w:p>
    <w:p w14:paraId="22A85383" w14:textId="77777777" w:rsidR="002E087A" w:rsidRDefault="002E087A" w:rsidP="002E087A">
      <w:pPr>
        <w:autoSpaceDE w:val="0"/>
        <w:autoSpaceDN w:val="0"/>
        <w:adjustRightInd w:val="0"/>
        <w:ind w:right="567"/>
        <w:rPr>
          <w:rFonts w:ascii="Palatino Linotype" w:eastAsia="Calibri" w:hAnsi="Palatino Linotype" w:cs="Arial"/>
        </w:rPr>
      </w:pPr>
    </w:p>
    <w:p w14:paraId="2E987ADE" w14:textId="77777777" w:rsidR="002E087A" w:rsidRDefault="002E087A" w:rsidP="002E087A">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2AAE6BEB" w14:textId="77777777" w:rsidR="002E087A" w:rsidRDefault="002E087A" w:rsidP="002E087A">
      <w:pPr>
        <w:spacing w:line="360" w:lineRule="auto"/>
        <w:jc w:val="both"/>
        <w:rPr>
          <w:rFonts w:ascii="Palatino Linotype" w:hAnsi="Palatino Linotype" w:cs="Tahoma"/>
          <w:bCs/>
        </w:rPr>
      </w:pPr>
    </w:p>
    <w:p w14:paraId="006EE4FA" w14:textId="77777777" w:rsidR="002E087A" w:rsidRPr="00983697" w:rsidRDefault="003A192D" w:rsidP="003A192D">
      <w:pPr>
        <w:pStyle w:val="Prrafodelista"/>
        <w:numPr>
          <w:ilvl w:val="0"/>
          <w:numId w:val="4"/>
        </w:numPr>
        <w:spacing w:line="360" w:lineRule="auto"/>
        <w:jc w:val="both"/>
        <w:rPr>
          <w:rFonts w:ascii="Palatino Linotype" w:hAnsi="Palatino Linotype" w:cs="Arial"/>
        </w:rPr>
      </w:pPr>
      <w:r w:rsidRPr="003A192D">
        <w:rPr>
          <w:rFonts w:ascii="Palatino Linotype" w:hAnsi="Palatino Linotype" w:cs="Tahoma"/>
          <w:bCs/>
        </w:rPr>
        <w:t>Estado de cuenta diciembre 2024</w:t>
      </w:r>
      <w:r w:rsidR="002E087A">
        <w:rPr>
          <w:rFonts w:ascii="Palatino Linotype" w:hAnsi="Palatino Linotype" w:cs="Tahoma"/>
          <w:bCs/>
        </w:rPr>
        <w:t>.</w:t>
      </w:r>
    </w:p>
    <w:p w14:paraId="3952ECB0" w14:textId="77777777" w:rsidR="002E087A" w:rsidRDefault="002E087A" w:rsidP="002E087A">
      <w:pPr>
        <w:spacing w:before="240" w:line="360" w:lineRule="auto"/>
        <w:jc w:val="both"/>
        <w:rPr>
          <w:rFonts w:ascii="Palatino Linotype" w:hAnsi="Palatino Linotype" w:cs="Arial"/>
        </w:rPr>
      </w:pPr>
    </w:p>
    <w:p w14:paraId="3D4EF9AD" w14:textId="77777777" w:rsidR="002E087A" w:rsidRPr="001106D5" w:rsidRDefault="002E087A" w:rsidP="002E087A">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00076/ATLACOM/IP/2025</w:t>
      </w:r>
      <w:r w:rsidRPr="001106D5">
        <w:rPr>
          <w:rFonts w:ascii="Palatino Linotype" w:hAnsi="Palatino Linotype" w:cs="Arial"/>
          <w:b/>
        </w:rPr>
        <w:t xml:space="preserve">; </w:t>
      </w:r>
      <w:r>
        <w:rPr>
          <w:rFonts w:ascii="Palatino Linotype" w:hAnsi="Palatino Linotype" w:cs="Arial"/>
        </w:rPr>
        <w:t>a través del archivo electrónico</w:t>
      </w:r>
      <w:r w:rsidRPr="001106D5">
        <w:rPr>
          <w:rFonts w:ascii="Palatino Linotype" w:hAnsi="Palatino Linotype" w:cs="Arial"/>
          <w:b/>
        </w:rPr>
        <w:t>:</w:t>
      </w:r>
    </w:p>
    <w:p w14:paraId="19CD29B5" w14:textId="77777777" w:rsidR="002E087A" w:rsidRPr="003A192D" w:rsidRDefault="003A192D" w:rsidP="003A192D">
      <w:pPr>
        <w:pStyle w:val="Sinespaciado"/>
        <w:numPr>
          <w:ilvl w:val="0"/>
          <w:numId w:val="1"/>
        </w:numPr>
        <w:spacing w:before="240" w:line="360" w:lineRule="auto"/>
        <w:jc w:val="both"/>
        <w:rPr>
          <w:rFonts w:ascii="Palatino Linotype" w:hAnsi="Palatino Linotype" w:cs="Arial"/>
          <w:b/>
          <w:i/>
          <w:sz w:val="24"/>
        </w:rPr>
      </w:pPr>
      <w:r w:rsidRPr="003A192D">
        <w:rPr>
          <w:rFonts w:ascii="Palatino Linotype" w:hAnsi="Palatino Linotype" w:cs="Arial"/>
          <w:b/>
          <w:i/>
          <w:sz w:val="24"/>
        </w:rPr>
        <w:t>076_RSOL_TM_2025_EDOCTADIC.pdf</w:t>
      </w:r>
      <w:r w:rsidR="002E087A">
        <w:rPr>
          <w:rFonts w:ascii="Palatino Linotype" w:hAnsi="Palatino Linotype" w:cs="Arial"/>
          <w:b/>
          <w:i/>
          <w:sz w:val="24"/>
        </w:rPr>
        <w:t xml:space="preserve">: </w:t>
      </w:r>
      <w:r w:rsidR="002E087A">
        <w:rPr>
          <w:rFonts w:ascii="Palatino Linotype" w:hAnsi="Palatino Linotype" w:cs="Arial"/>
          <w:sz w:val="24"/>
        </w:rPr>
        <w:t>consta</w:t>
      </w:r>
      <w:r>
        <w:rPr>
          <w:rFonts w:ascii="Palatino Linotype" w:hAnsi="Palatino Linotype" w:cs="Arial"/>
          <w:sz w:val="24"/>
        </w:rPr>
        <w:t>nte de una</w:t>
      </w:r>
      <w:r w:rsidR="002E087A">
        <w:rPr>
          <w:rFonts w:ascii="Palatino Linotype" w:hAnsi="Palatino Linotype" w:cs="Arial"/>
          <w:sz w:val="24"/>
        </w:rPr>
        <w:t xml:space="preserve"> foja, en formato </w:t>
      </w:r>
      <w:proofErr w:type="spellStart"/>
      <w:r w:rsidR="002E087A">
        <w:rPr>
          <w:rFonts w:ascii="Palatino Linotype" w:hAnsi="Palatino Linotype" w:cs="Arial"/>
          <w:sz w:val="24"/>
        </w:rPr>
        <w:t>pdf</w:t>
      </w:r>
      <w:proofErr w:type="spellEnd"/>
      <w:r w:rsidR="002E087A">
        <w:rPr>
          <w:rFonts w:ascii="Palatino Linotype" w:hAnsi="Palatino Linotype" w:cs="Arial"/>
          <w:sz w:val="24"/>
        </w:rPr>
        <w:t xml:space="preserve">, contiene el oficio número </w:t>
      </w:r>
      <w:r w:rsidRPr="003A192D">
        <w:rPr>
          <w:rFonts w:ascii="Palatino Linotype" w:hAnsi="Palatino Linotype" w:cs="Arial"/>
          <w:sz w:val="24"/>
        </w:rPr>
        <w:t>076/ATLACOM/IP/2025</w:t>
      </w:r>
      <w:r w:rsidR="002E087A">
        <w:rPr>
          <w:rFonts w:ascii="Palatino Linotype" w:hAnsi="Palatino Linotype" w:cs="Arial"/>
          <w:sz w:val="24"/>
        </w:rPr>
        <w:t xml:space="preserve">, de fecha </w:t>
      </w:r>
      <w:r>
        <w:rPr>
          <w:rFonts w:ascii="Palatino Linotype" w:hAnsi="Palatino Linotype" w:cs="Arial"/>
          <w:sz w:val="24"/>
        </w:rPr>
        <w:t>veintiuno</w:t>
      </w:r>
      <w:r w:rsidR="002E087A">
        <w:rPr>
          <w:rFonts w:ascii="Palatino Linotype" w:hAnsi="Palatino Linotype" w:cs="Arial"/>
          <w:sz w:val="24"/>
        </w:rPr>
        <w:t xml:space="preserve"> de febrero de dos mil veinticinco, firmado por el </w:t>
      </w:r>
      <w:r>
        <w:rPr>
          <w:rFonts w:ascii="Palatino Linotype" w:hAnsi="Palatino Linotype" w:cs="Arial"/>
          <w:sz w:val="24"/>
        </w:rPr>
        <w:t>Tesorero Municipal</w:t>
      </w:r>
      <w:r w:rsidR="002E087A">
        <w:rPr>
          <w:rFonts w:ascii="Palatino Linotype" w:hAnsi="Palatino Linotype" w:cs="Arial"/>
          <w:sz w:val="24"/>
        </w:rPr>
        <w:t>, en el que refiere lo siguiente:</w:t>
      </w:r>
    </w:p>
    <w:p w14:paraId="6EC5BFA5" w14:textId="77777777" w:rsidR="003A192D" w:rsidRDefault="003A192D" w:rsidP="003A192D">
      <w:pPr>
        <w:pStyle w:val="Citas"/>
        <w:rPr>
          <w:lang w:val="es-ES"/>
        </w:rPr>
      </w:pPr>
      <w:r>
        <w:rPr>
          <w:lang w:val="es-ES"/>
        </w:rPr>
        <w:t>“…</w:t>
      </w:r>
    </w:p>
    <w:p w14:paraId="3356144E" w14:textId="77777777" w:rsidR="003A192D" w:rsidRPr="00454EF8" w:rsidRDefault="003A192D" w:rsidP="003A192D">
      <w:pPr>
        <w:pStyle w:val="Citas"/>
        <w:rPr>
          <w:b/>
          <w:lang w:val="es-ES"/>
        </w:rPr>
      </w:pPr>
      <w:r w:rsidRPr="003A192D">
        <w:rPr>
          <w:lang w:val="es-ES"/>
        </w:rPr>
        <w:t xml:space="preserve">Con fundamento en el artículo 12 de la Ley de Transparencia y Acceso a la Información Pública del Estado de México y Municipios, se informa que de acuerdo con la información que obra en los archivos de la Tesorería Municipal; </w:t>
      </w:r>
      <w:r w:rsidRPr="00454EF8">
        <w:rPr>
          <w:b/>
          <w:lang w:val="es-ES"/>
        </w:rPr>
        <w:t>esta unidad administrativa hace del conocimiento del ciudadano que la información que solicita no obra en los archivos de esta unidad administrativa, toda vez que a la fecha de la solicitud se está en espera de que sean remitidos por las instituciones bancarias.</w:t>
      </w:r>
    </w:p>
    <w:p w14:paraId="0855B574" w14:textId="77777777" w:rsidR="003A192D" w:rsidRPr="003A192D" w:rsidRDefault="003A192D" w:rsidP="003A192D">
      <w:pPr>
        <w:pStyle w:val="Citas"/>
      </w:pPr>
      <w:r>
        <w:rPr>
          <w:lang w:val="es-ES"/>
        </w:rPr>
        <w:t>…” (Sic)</w:t>
      </w:r>
    </w:p>
    <w:p w14:paraId="5B1ED0B2" w14:textId="77777777" w:rsidR="003A192D" w:rsidRPr="00CA694C" w:rsidRDefault="003A192D" w:rsidP="003A192D">
      <w:pPr>
        <w:pStyle w:val="Sinespaciado"/>
        <w:numPr>
          <w:ilvl w:val="0"/>
          <w:numId w:val="1"/>
        </w:numPr>
        <w:spacing w:before="240" w:line="360" w:lineRule="auto"/>
        <w:jc w:val="both"/>
        <w:rPr>
          <w:rFonts w:ascii="Palatino Linotype" w:hAnsi="Palatino Linotype" w:cs="Arial"/>
          <w:b/>
          <w:i/>
          <w:sz w:val="24"/>
        </w:rPr>
      </w:pPr>
      <w:r w:rsidRPr="003A192D">
        <w:rPr>
          <w:rFonts w:ascii="Palatino Linotype" w:hAnsi="Palatino Linotype" w:cs="Arial"/>
          <w:b/>
          <w:i/>
          <w:sz w:val="24"/>
        </w:rPr>
        <w:t>076_RES_UT_2025.pdf</w:t>
      </w:r>
      <w:r>
        <w:rPr>
          <w:rFonts w:ascii="Palatino Linotype" w:hAnsi="Palatino Linotype" w:cs="Arial"/>
          <w:b/>
          <w:i/>
          <w:sz w:val="24"/>
        </w:rPr>
        <w:t xml:space="preserve">: </w:t>
      </w:r>
      <w:r w:rsidR="009274EE">
        <w:rPr>
          <w:rFonts w:ascii="Palatino Linotype" w:hAnsi="Palatino Linotype" w:cs="Arial"/>
          <w:sz w:val="24"/>
        </w:rPr>
        <w:t xml:space="preserve">constante de una foja, en formato </w:t>
      </w:r>
      <w:proofErr w:type="spellStart"/>
      <w:r w:rsidR="009274EE">
        <w:rPr>
          <w:rFonts w:ascii="Palatino Linotype" w:hAnsi="Palatino Linotype" w:cs="Arial"/>
          <w:sz w:val="24"/>
        </w:rPr>
        <w:t>pdf</w:t>
      </w:r>
      <w:proofErr w:type="spellEnd"/>
      <w:r w:rsidR="009274EE">
        <w:rPr>
          <w:rFonts w:ascii="Palatino Linotype" w:hAnsi="Palatino Linotype" w:cs="Arial"/>
          <w:sz w:val="24"/>
        </w:rPr>
        <w:t xml:space="preserve">, contiene el oficio </w:t>
      </w:r>
      <w:r w:rsidR="009274EE">
        <w:rPr>
          <w:rFonts w:ascii="Palatino Linotype" w:hAnsi="Palatino Linotype" w:cs="Arial"/>
          <w:sz w:val="24"/>
          <w:lang w:val="es-ES"/>
        </w:rPr>
        <w:t xml:space="preserve">PM/UT/095/2025, de fecha veintiséis de febrero de dos mil veinticinco, </w:t>
      </w:r>
      <w:r w:rsidR="00454EF8">
        <w:rPr>
          <w:rFonts w:ascii="Palatino Linotype" w:hAnsi="Palatino Linotype" w:cs="Arial"/>
          <w:sz w:val="24"/>
          <w:lang w:val="es-ES"/>
        </w:rPr>
        <w:t>firmado por la Titular de la Unidad de Transparencia, en el que sustancialmente remite la repuesta.</w:t>
      </w:r>
    </w:p>
    <w:p w14:paraId="48392749" w14:textId="77777777" w:rsidR="002E087A" w:rsidRDefault="002E087A" w:rsidP="002E087A">
      <w:pPr>
        <w:spacing w:line="360" w:lineRule="auto"/>
        <w:jc w:val="both"/>
        <w:rPr>
          <w:rFonts w:ascii="Palatino Linotype" w:hAnsi="Palatino Linotype"/>
          <w:i/>
        </w:rPr>
      </w:pPr>
    </w:p>
    <w:p w14:paraId="53A50791" w14:textId="77777777" w:rsidR="002E087A" w:rsidRDefault="002E087A" w:rsidP="002E087A">
      <w:pPr>
        <w:spacing w:line="360" w:lineRule="auto"/>
        <w:jc w:val="both"/>
        <w:rPr>
          <w:rFonts w:ascii="Palatino Linotype" w:hAnsi="Palatino Linotype"/>
          <w:i/>
        </w:rPr>
      </w:pPr>
      <w:r w:rsidRPr="00124BFD">
        <w:rPr>
          <w:rFonts w:ascii="Palatino Linotype" w:hAnsi="Palatino Linotype" w:cs="Arial"/>
          <w:bCs/>
        </w:rPr>
        <w:lastRenderedPageBreak/>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454EF8" w:rsidRPr="00454EF8">
        <w:rPr>
          <w:rFonts w:ascii="Palatino Linotype" w:eastAsiaTheme="minorHAnsi" w:hAnsi="Palatino Linotype" w:cs="Arial"/>
          <w:bCs/>
          <w:i/>
          <w:lang w:val="es-MX" w:eastAsia="es-MX"/>
        </w:rPr>
        <w:t>Negativa</w:t>
      </w:r>
      <w:r w:rsidRPr="0076255E">
        <w:rPr>
          <w:rFonts w:ascii="Palatino Linotype" w:hAnsi="Palatino Linotype"/>
          <w:i/>
        </w:rPr>
        <w:t xml:space="preserve">” </w:t>
      </w:r>
      <w:r w:rsidRPr="00205720">
        <w:rPr>
          <w:rFonts w:ascii="Palatino Linotype" w:hAnsi="Palatino Linotype"/>
          <w:i/>
        </w:rPr>
        <w:t>(Sic).</w:t>
      </w:r>
    </w:p>
    <w:p w14:paraId="7D201CAA" w14:textId="77777777" w:rsidR="002E087A" w:rsidRDefault="002E087A" w:rsidP="002E087A">
      <w:pPr>
        <w:spacing w:line="360" w:lineRule="auto"/>
        <w:jc w:val="both"/>
        <w:rPr>
          <w:rFonts w:ascii="Palatino Linotype" w:hAnsi="Palatino Linotype"/>
          <w:i/>
        </w:rPr>
      </w:pPr>
    </w:p>
    <w:p w14:paraId="53F8A18A" w14:textId="77777777" w:rsidR="002E087A" w:rsidRDefault="002E087A" w:rsidP="002E087A">
      <w:pPr>
        <w:spacing w:line="360" w:lineRule="auto"/>
        <w:jc w:val="both"/>
        <w:rPr>
          <w:rFonts w:ascii="Palatino Linotype" w:hAnsi="Palatino Linotype" w:cs="Arial"/>
        </w:rPr>
      </w:pPr>
      <w:r w:rsidRPr="00590166">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w:t>
      </w:r>
      <w:r>
        <w:rPr>
          <w:rFonts w:ascii="Palatino Linotype" w:eastAsia="Calibri" w:hAnsi="Palatino Linotype" w:cs="Calibri"/>
          <w:lang w:val="es-ES_tradnl" w:eastAsia="es-MX"/>
        </w:rPr>
        <w:t xml:space="preserve"> denominado “</w:t>
      </w:r>
      <w:r w:rsidR="00454EF8" w:rsidRPr="00454EF8">
        <w:rPr>
          <w:rFonts w:ascii="Palatino Linotype" w:hAnsi="Palatino Linotype" w:cs="Arial"/>
          <w:b/>
          <w:i/>
        </w:rPr>
        <w:t>02165_RR_IFJ_2025 (1).</w:t>
      </w:r>
      <w:proofErr w:type="spellStart"/>
      <w:r w:rsidR="00454EF8" w:rsidRPr="00454EF8">
        <w:rPr>
          <w:rFonts w:ascii="Palatino Linotype" w:hAnsi="Palatino Linotype" w:cs="Arial"/>
          <w:b/>
          <w:i/>
        </w:rPr>
        <w:t>pdf</w:t>
      </w:r>
      <w:proofErr w:type="spellEnd"/>
      <w:r>
        <w:rPr>
          <w:rFonts w:ascii="Palatino Linotype" w:hAnsi="Palatino Linotype" w:cs="Arial"/>
        </w:rPr>
        <w:t>”, en el que se ratifica su respuesta.</w:t>
      </w:r>
    </w:p>
    <w:p w14:paraId="045A07AC" w14:textId="77777777" w:rsidR="002E087A" w:rsidRDefault="002E087A" w:rsidP="002E087A">
      <w:pPr>
        <w:spacing w:line="360" w:lineRule="auto"/>
        <w:jc w:val="both"/>
        <w:rPr>
          <w:rFonts w:ascii="Palatino Linotype" w:hAnsi="Palatino Linotype" w:cs="Tahoma"/>
        </w:rPr>
      </w:pPr>
    </w:p>
    <w:p w14:paraId="0CE5117A" w14:textId="77777777" w:rsidR="002E087A" w:rsidRPr="006F1142" w:rsidRDefault="002E087A" w:rsidP="002E087A">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14:paraId="4ADC2D71" w14:textId="77777777" w:rsidR="002E087A" w:rsidRPr="00177253" w:rsidRDefault="002E087A" w:rsidP="002E087A">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97"/>
        <w:gridCol w:w="4333"/>
        <w:gridCol w:w="1824"/>
      </w:tblGrid>
      <w:tr w:rsidR="002E087A" w14:paraId="0CF2B9FF" w14:textId="77777777" w:rsidTr="00D7587E">
        <w:trPr>
          <w:trHeight w:val="396"/>
        </w:trPr>
        <w:tc>
          <w:tcPr>
            <w:tcW w:w="2997" w:type="dxa"/>
            <w:shd w:val="clear" w:color="auto" w:fill="E7E6E6" w:themeFill="background2"/>
          </w:tcPr>
          <w:p w14:paraId="7BC823C2" w14:textId="77777777" w:rsidR="002E087A" w:rsidRPr="00E80E99" w:rsidRDefault="002E087A" w:rsidP="00D7587E">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333" w:type="dxa"/>
            <w:shd w:val="clear" w:color="auto" w:fill="E7E6E6" w:themeFill="background2"/>
          </w:tcPr>
          <w:p w14:paraId="4810D644" w14:textId="77777777" w:rsidR="002E087A" w:rsidRPr="00E80E99" w:rsidRDefault="002E087A" w:rsidP="00D7587E">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824" w:type="dxa"/>
            <w:shd w:val="clear" w:color="auto" w:fill="E7E6E6" w:themeFill="background2"/>
          </w:tcPr>
          <w:p w14:paraId="48F8D43B" w14:textId="77777777" w:rsidR="002E087A" w:rsidRPr="00E80E99" w:rsidRDefault="002E087A" w:rsidP="00D7587E">
            <w:pPr>
              <w:spacing w:line="360" w:lineRule="auto"/>
              <w:jc w:val="center"/>
              <w:rPr>
                <w:rFonts w:ascii="Palatino Linotype" w:hAnsi="Palatino Linotype"/>
                <w:b/>
                <w:i/>
                <w:color w:val="000000"/>
              </w:rPr>
            </w:pPr>
            <w:r>
              <w:rPr>
                <w:rFonts w:ascii="Palatino Linotype" w:hAnsi="Palatino Linotype"/>
                <w:b/>
                <w:i/>
                <w:color w:val="000000"/>
              </w:rPr>
              <w:t>Colma</w:t>
            </w:r>
          </w:p>
        </w:tc>
      </w:tr>
      <w:tr w:rsidR="002E087A" w14:paraId="56BE772B" w14:textId="77777777" w:rsidTr="00D7587E">
        <w:trPr>
          <w:trHeight w:val="1197"/>
        </w:trPr>
        <w:tc>
          <w:tcPr>
            <w:tcW w:w="2997" w:type="dxa"/>
          </w:tcPr>
          <w:p w14:paraId="56D627F4" w14:textId="77777777" w:rsidR="002E087A" w:rsidRPr="00375861" w:rsidRDefault="00AF1A1B" w:rsidP="00D7587E">
            <w:pPr>
              <w:tabs>
                <w:tab w:val="left" w:pos="1828"/>
              </w:tabs>
              <w:jc w:val="both"/>
              <w:rPr>
                <w:rFonts w:ascii="Palatino Linotype" w:hAnsi="Palatino Linotype" w:cs="Tahoma"/>
                <w:bCs/>
                <w:sz w:val="22"/>
              </w:rPr>
            </w:pPr>
            <w:r>
              <w:rPr>
                <w:rFonts w:ascii="Palatino Linotype" w:hAnsi="Palatino Linotype" w:cs="Tahoma"/>
                <w:bCs/>
                <w:sz w:val="22"/>
              </w:rPr>
              <w:t>Estados de cuenta de diciembre de 2024.</w:t>
            </w:r>
          </w:p>
        </w:tc>
        <w:tc>
          <w:tcPr>
            <w:tcW w:w="4333" w:type="dxa"/>
          </w:tcPr>
          <w:p w14:paraId="70C79DF2" w14:textId="77777777" w:rsidR="002E087A" w:rsidRPr="00265709" w:rsidRDefault="00AF1A1B" w:rsidP="00D7587E">
            <w:pPr>
              <w:jc w:val="both"/>
              <w:rPr>
                <w:rFonts w:ascii="Palatino Linotype" w:hAnsi="Palatino Linotype"/>
                <w:color w:val="000000"/>
              </w:rPr>
            </w:pPr>
            <w:r>
              <w:rPr>
                <w:rFonts w:ascii="Palatino Linotype" w:hAnsi="Palatino Linotype"/>
                <w:color w:val="000000"/>
              </w:rPr>
              <w:t xml:space="preserve">El Tesorero Municipal refirió que la información requerida no obra en sus archivos, ya que están en espera de que las instituciones bancarias envíen la documentación. </w:t>
            </w:r>
          </w:p>
        </w:tc>
        <w:tc>
          <w:tcPr>
            <w:tcW w:w="1824" w:type="dxa"/>
          </w:tcPr>
          <w:p w14:paraId="350332BE" w14:textId="77777777" w:rsidR="002E087A" w:rsidRPr="00AF1A1B" w:rsidRDefault="00AF1A1B" w:rsidP="00D7587E">
            <w:pPr>
              <w:jc w:val="center"/>
              <w:rPr>
                <w:rFonts w:ascii="Palatino Linotype" w:hAnsi="Palatino Linotype"/>
                <w:b/>
                <w:i/>
              </w:rPr>
            </w:pPr>
            <w:r w:rsidRPr="00AF1A1B">
              <w:rPr>
                <w:rFonts w:ascii="Palatino Linotype" w:hAnsi="Palatino Linotype"/>
                <w:b/>
                <w:i/>
              </w:rPr>
              <w:t>No</w:t>
            </w:r>
          </w:p>
        </w:tc>
      </w:tr>
    </w:tbl>
    <w:p w14:paraId="63EE85C9" w14:textId="77777777" w:rsidR="00AF1A1B" w:rsidRDefault="00AF1A1B" w:rsidP="00AF1A1B">
      <w:pPr>
        <w:spacing w:line="360" w:lineRule="auto"/>
        <w:jc w:val="both"/>
        <w:rPr>
          <w:rFonts w:ascii="Palatino Linotype" w:hAnsi="Palatino Linotype"/>
        </w:rPr>
      </w:pPr>
      <w:r>
        <w:rPr>
          <w:rFonts w:ascii="Palatino Linotype" w:hAnsi="Palatino Linotype"/>
        </w:rPr>
        <w:t>En primer término,</w:t>
      </w:r>
      <w:r w:rsidRPr="00870CBA">
        <w:rPr>
          <w:rFonts w:ascii="Palatino Linotype" w:hAnsi="Palatino Linotype"/>
        </w:rPr>
        <w:t xml:space="preserve"> la Ley de Transparencia y Acceso a la Información Pública del Estado de México y Municipio</w:t>
      </w:r>
      <w:r>
        <w:rPr>
          <w:rFonts w:ascii="Palatino Linotype" w:hAnsi="Palatino Linotype"/>
        </w:rPr>
        <w:t>s, prevé en su artículo 23 fracción IV,</w:t>
      </w:r>
      <w:r w:rsidRPr="002C5676">
        <w:t xml:space="preserve"> </w:t>
      </w:r>
      <w:r w:rsidRPr="002C5676">
        <w:rPr>
          <w:rFonts w:ascii="Palatino Linotype" w:hAnsi="Palatino Linotype"/>
        </w:rPr>
        <w:t>que los Ayuntamientos se encuentran obligados a transparentar y permitir el acceso a la información que generen, posean o administren; de ahí que la Ley de la materia delimita perfectamente los alcances de las obligaciones que corresponden a los Ayuntamientos</w:t>
      </w:r>
      <w:r>
        <w:rPr>
          <w:rFonts w:ascii="Palatino Linotype" w:hAnsi="Palatino Linotype"/>
        </w:rPr>
        <w:t>, como se advierte enseguida:</w:t>
      </w:r>
    </w:p>
    <w:p w14:paraId="508F4FB4" w14:textId="77777777" w:rsidR="00AF1A1B" w:rsidRPr="00870CBA" w:rsidRDefault="00AF1A1B" w:rsidP="00AF1A1B">
      <w:pPr>
        <w:spacing w:line="360" w:lineRule="auto"/>
        <w:jc w:val="both"/>
        <w:rPr>
          <w:rFonts w:ascii="Palatino Linotype" w:hAnsi="Palatino Linotype"/>
        </w:rPr>
      </w:pPr>
    </w:p>
    <w:p w14:paraId="24F18482" w14:textId="77777777" w:rsidR="00AF1A1B" w:rsidRPr="00870CBA" w:rsidRDefault="00AF1A1B" w:rsidP="00AF1A1B">
      <w:pPr>
        <w:ind w:left="567" w:right="567"/>
        <w:jc w:val="both"/>
        <w:rPr>
          <w:rFonts w:ascii="Palatino Linotype" w:hAnsi="Palatino Linotype" w:cs="Arial"/>
          <w:i/>
        </w:rPr>
      </w:pPr>
      <w:r w:rsidRPr="00870CBA">
        <w:rPr>
          <w:rFonts w:ascii="Palatino Linotype" w:hAnsi="Palatino Linotype" w:cs="Arial"/>
          <w:b/>
          <w:i/>
        </w:rPr>
        <w:lastRenderedPageBreak/>
        <w:t>“Artículo 23.</w:t>
      </w:r>
      <w:r w:rsidRPr="00870CBA">
        <w:rPr>
          <w:rFonts w:ascii="Palatino Linotype" w:hAnsi="Palatino Linotype" w:cs="Arial"/>
          <w:i/>
        </w:rPr>
        <w:t xml:space="preserve"> Son sujetos obligados a transparentar y permitir el acceso a su información y proteger los datos personales que obren en su poder:</w:t>
      </w:r>
    </w:p>
    <w:p w14:paraId="60753A14" w14:textId="77777777" w:rsidR="00AF1A1B" w:rsidRPr="00870CBA" w:rsidRDefault="00AF1A1B" w:rsidP="00AF1A1B">
      <w:pPr>
        <w:ind w:left="567" w:right="567"/>
        <w:jc w:val="both"/>
        <w:rPr>
          <w:rFonts w:ascii="Palatino Linotype" w:hAnsi="Palatino Linotype" w:cs="Arial"/>
          <w:i/>
        </w:rPr>
      </w:pPr>
      <w:r w:rsidRPr="00870CBA">
        <w:rPr>
          <w:rFonts w:ascii="Palatino Linotype" w:hAnsi="Palatino Linotype" w:cs="Arial"/>
          <w:b/>
          <w:i/>
        </w:rPr>
        <w:t>IV. Los ayuntamientos y las dependencias, organismos, órganos y entidades de la administración municipal</w:t>
      </w:r>
      <w:r w:rsidRPr="00870CBA">
        <w:rPr>
          <w:rFonts w:ascii="Palatino Linotype" w:hAnsi="Palatino Linotype" w:cs="Arial"/>
          <w:i/>
        </w:rPr>
        <w:t>;</w:t>
      </w:r>
      <w:r>
        <w:rPr>
          <w:rFonts w:ascii="Palatino Linotype" w:hAnsi="Palatino Linotype" w:cs="Arial"/>
          <w:i/>
        </w:rPr>
        <w:t>”</w:t>
      </w:r>
    </w:p>
    <w:p w14:paraId="0C41FCB7" w14:textId="77777777" w:rsidR="00AF1A1B" w:rsidRPr="00870CBA" w:rsidRDefault="00AF1A1B" w:rsidP="00AF1A1B">
      <w:pPr>
        <w:ind w:left="567" w:right="567"/>
        <w:jc w:val="right"/>
        <w:rPr>
          <w:rFonts w:ascii="Palatino Linotype" w:hAnsi="Palatino Linotype" w:cs="Arial"/>
          <w:i/>
        </w:rPr>
      </w:pPr>
      <w:r w:rsidRPr="00870CBA">
        <w:rPr>
          <w:rFonts w:ascii="Palatino Linotype" w:hAnsi="Palatino Linotype" w:cs="Arial"/>
          <w:i/>
        </w:rPr>
        <w:t xml:space="preserve"> (Énfasis añadido)</w:t>
      </w:r>
    </w:p>
    <w:p w14:paraId="5A88BE16" w14:textId="77777777" w:rsidR="00AF1A1B" w:rsidRPr="00DF4530" w:rsidRDefault="00AF1A1B" w:rsidP="00AF1A1B">
      <w:pPr>
        <w:autoSpaceDE w:val="0"/>
        <w:autoSpaceDN w:val="0"/>
        <w:adjustRightInd w:val="0"/>
        <w:spacing w:line="360" w:lineRule="auto"/>
        <w:jc w:val="both"/>
        <w:rPr>
          <w:rFonts w:ascii="Palatino Linotype" w:hAnsi="Palatino Linotype" w:cs="Arial"/>
        </w:rPr>
      </w:pPr>
    </w:p>
    <w:p w14:paraId="4AF14861" w14:textId="77777777" w:rsidR="00AF1A1B" w:rsidRDefault="00AF1A1B" w:rsidP="00AF1A1B">
      <w:pPr>
        <w:autoSpaceDE w:val="0"/>
        <w:autoSpaceDN w:val="0"/>
        <w:adjustRightInd w:val="0"/>
        <w:spacing w:line="360" w:lineRule="auto"/>
        <w:ind w:right="51"/>
        <w:jc w:val="both"/>
        <w:rPr>
          <w:rFonts w:ascii="Palatino Linotype" w:hAnsi="Palatino Linotype" w:cs="Arial"/>
        </w:rPr>
      </w:pPr>
    </w:p>
    <w:p w14:paraId="25728AC8" w14:textId="77777777" w:rsidR="00AF1A1B" w:rsidRPr="00DF4530" w:rsidRDefault="00AF1A1B" w:rsidP="00AF1A1B">
      <w:pPr>
        <w:autoSpaceDE w:val="0"/>
        <w:autoSpaceDN w:val="0"/>
        <w:adjustRightInd w:val="0"/>
        <w:spacing w:line="360" w:lineRule="auto"/>
        <w:ind w:right="51"/>
        <w:jc w:val="both"/>
        <w:rPr>
          <w:rFonts w:ascii="Palatino Linotype" w:hAnsi="Palatino Linotype" w:cs="Arial"/>
        </w:rPr>
      </w:pPr>
      <w:r w:rsidRPr="00DF4530">
        <w:rPr>
          <w:rFonts w:ascii="Palatino Linotype" w:hAnsi="Palatino Linotype" w:cs="Arial"/>
        </w:rPr>
        <w:t>Del precepto legal en cita se establece que los Ayuntamientos, y las dependencias, organismos, órganos y entidades de la administración municipal se encuentran obligados a transparentar y permitir el acceso a la información que generen, posean o administren; de ahí que la Ley de la materia delimita perfectamente los alcances de las obligaciones que corresponden a los Ayuntamientos y las dependencias, organismos, órganos y entidades de la administración municipal</w:t>
      </w:r>
      <w:r>
        <w:rPr>
          <w:rFonts w:ascii="Palatino Linotype" w:hAnsi="Palatino Linotype" w:cs="Arial"/>
        </w:rPr>
        <w:t>.</w:t>
      </w:r>
    </w:p>
    <w:p w14:paraId="3642D075" w14:textId="77777777" w:rsidR="002E087A" w:rsidRDefault="002E087A" w:rsidP="002E087A">
      <w:pPr>
        <w:spacing w:line="360" w:lineRule="auto"/>
        <w:jc w:val="both"/>
        <w:rPr>
          <w:rFonts w:ascii="Palatino Linotype" w:hAnsi="Palatino Linotype"/>
          <w:color w:val="000000"/>
        </w:rPr>
      </w:pPr>
    </w:p>
    <w:p w14:paraId="3C43DC04" w14:textId="77777777" w:rsidR="00AF1A1B" w:rsidRPr="00CA179E" w:rsidRDefault="007E0060" w:rsidP="00AF1A1B">
      <w:pPr>
        <w:spacing w:line="360" w:lineRule="auto"/>
        <w:jc w:val="both"/>
        <w:rPr>
          <w:rFonts w:ascii="Palatino Linotype" w:eastAsia="Calibri" w:hAnsi="Palatino Linotype" w:cs="Tahoma"/>
          <w:bCs/>
          <w:color w:val="000000"/>
        </w:rPr>
      </w:pPr>
      <w:r>
        <w:rPr>
          <w:rFonts w:ascii="Palatino Linotype" w:eastAsia="Calibri" w:hAnsi="Palatino Linotype" w:cs="Tahoma"/>
          <w:bCs/>
          <w:color w:val="000000"/>
        </w:rPr>
        <w:t>Ahora bien, l</w:t>
      </w:r>
      <w:r w:rsidR="00AF1A1B" w:rsidRPr="00CA179E">
        <w:rPr>
          <w:rFonts w:ascii="Palatino Linotype" w:eastAsia="Calibri" w:hAnsi="Palatino Linotype" w:cs="Tahoma"/>
          <w:bCs/>
          <w:color w:val="000000"/>
        </w:rPr>
        <w:t xml:space="preserve">os </w:t>
      </w:r>
      <w:r w:rsidR="00AF1A1B">
        <w:rPr>
          <w:rFonts w:ascii="Palatino Linotype" w:eastAsia="Calibri" w:hAnsi="Palatino Linotype" w:cs="Tahoma"/>
          <w:b/>
          <w:bCs/>
          <w:color w:val="000000"/>
          <w:u w:val="single"/>
        </w:rPr>
        <w:t>estados de cuenta bancario</w:t>
      </w:r>
      <w:r w:rsidR="00AF1A1B" w:rsidRPr="00CA179E">
        <w:rPr>
          <w:rFonts w:ascii="Palatino Linotype" w:eastAsia="Calibri" w:hAnsi="Palatino Linotype" w:cs="Tahoma"/>
          <w:b/>
          <w:bCs/>
          <w:color w:val="000000"/>
          <w:u w:val="single"/>
        </w:rPr>
        <w:t>s</w:t>
      </w:r>
      <w:r w:rsidR="00AF1A1B" w:rsidRPr="00CA179E">
        <w:rPr>
          <w:rFonts w:ascii="Palatino Linotype" w:eastAsia="Calibri" w:hAnsi="Palatino Linotype" w:cs="Tahoma"/>
          <w:bCs/>
          <w:color w:val="000000"/>
        </w:rPr>
        <w:t xml:space="preserve"> del </w:t>
      </w:r>
      <w:r w:rsidR="00AF1A1B" w:rsidRPr="00CA179E">
        <w:rPr>
          <w:rFonts w:ascii="Palatino Linotype" w:eastAsia="Calibri" w:hAnsi="Palatino Linotype" w:cs="Tahoma"/>
          <w:b/>
          <w:bCs/>
          <w:color w:val="000000"/>
        </w:rPr>
        <w:t>Sujeto Obligado</w:t>
      </w:r>
      <w:r w:rsidR="00AF1A1B" w:rsidRPr="00CA179E">
        <w:rPr>
          <w:rFonts w:ascii="Palatino Linotype" w:eastAsia="Calibri" w:hAnsi="Palatino Linotype" w:cs="Tahoma"/>
          <w:bCs/>
          <w:color w:val="000000"/>
        </w:rPr>
        <w:t xml:space="preserve">, esta Ponencia considera que para atender el requerimiento de información, el </w:t>
      </w:r>
      <w:r w:rsidR="00AF1A1B" w:rsidRPr="00CA179E">
        <w:rPr>
          <w:rFonts w:ascii="Palatino Linotype" w:eastAsia="Calibri" w:hAnsi="Palatino Linotype" w:cs="Tahoma"/>
          <w:b/>
          <w:bCs/>
          <w:color w:val="000000"/>
        </w:rPr>
        <w:t>Sujeto Obligado</w:t>
      </w:r>
      <w:r w:rsidR="00AF1A1B" w:rsidRPr="00CA179E">
        <w:rPr>
          <w:rFonts w:ascii="Palatino Linotype" w:eastAsia="Calibri" w:hAnsi="Palatino Linotype" w:cs="Tahoma"/>
          <w:bCs/>
          <w:color w:val="000000"/>
        </w:rPr>
        <w:t xml:space="preserve"> deberá proporcionar la información solicitada; ya que en </w:t>
      </w:r>
      <w:r w:rsidR="00AF1A1B" w:rsidRPr="00CA179E">
        <w:rPr>
          <w:rFonts w:ascii="Palatino Linotype" w:hAnsi="Palatino Linotype"/>
        </w:rPr>
        <w:t xml:space="preserve">donde se transfieren recursos públicos, </w:t>
      </w:r>
      <w:r w:rsidR="00AF1A1B" w:rsidRPr="00CA179E">
        <w:rPr>
          <w:rFonts w:ascii="Palatino Linotype" w:hAnsi="Palatino Linotype"/>
          <w:b/>
          <w:u w:val="single"/>
        </w:rPr>
        <w:t>son considerados como información pública</w:t>
      </w:r>
      <w:r w:rsidR="00AF1A1B" w:rsidRPr="00CA179E">
        <w:rPr>
          <w:rFonts w:ascii="Palatino Linotype" w:hAnsi="Palatino Linotype"/>
        </w:rPr>
        <w:t xml:space="preserve">, pues su difusión favorece la rendición de cuentas al transparentar la forma en que se administrar los recursos públicos; </w:t>
      </w:r>
      <w:r>
        <w:rPr>
          <w:rFonts w:ascii="Palatino Linotype" w:hAnsi="Palatino Linotype"/>
        </w:rPr>
        <w:t>a manera de orientación sirve</w:t>
      </w:r>
      <w:r w:rsidR="00AF1A1B" w:rsidRPr="00CA179E">
        <w:rPr>
          <w:rFonts w:ascii="Palatino Linotype" w:hAnsi="Palatino Linotype"/>
        </w:rPr>
        <w:t xml:space="preserve"> el Criterio 11/17, del Instituto Nacional de Transparencia, Acceso a la Información y Protección de Datos Personales, que a la letra precisa:</w:t>
      </w:r>
    </w:p>
    <w:p w14:paraId="125C522F" w14:textId="77777777" w:rsidR="00AF1A1B" w:rsidRPr="00CA179E" w:rsidRDefault="00AF1A1B" w:rsidP="00AF1A1B">
      <w:pPr>
        <w:spacing w:line="360" w:lineRule="auto"/>
        <w:jc w:val="both"/>
        <w:rPr>
          <w:rFonts w:ascii="Palatino Linotype" w:hAnsi="Palatino Linotype"/>
        </w:rPr>
      </w:pPr>
    </w:p>
    <w:p w14:paraId="7AC9888C" w14:textId="77777777" w:rsidR="00AF1A1B" w:rsidRPr="00271585" w:rsidRDefault="00AF1A1B" w:rsidP="00AF1A1B">
      <w:pPr>
        <w:tabs>
          <w:tab w:val="left" w:pos="7938"/>
        </w:tabs>
        <w:spacing w:line="360" w:lineRule="auto"/>
        <w:ind w:left="851" w:right="708"/>
        <w:jc w:val="both"/>
        <w:rPr>
          <w:rFonts w:ascii="Palatino Linotype" w:hAnsi="Palatino Linotype" w:cs="Arial"/>
          <w:i/>
        </w:rPr>
      </w:pPr>
      <w:r w:rsidRPr="00271585">
        <w:rPr>
          <w:rFonts w:ascii="Palatino Linotype" w:hAnsi="Palatino Linotype" w:cs="Arial"/>
          <w:i/>
        </w:rPr>
        <w:t>“</w:t>
      </w:r>
      <w:r w:rsidRPr="00271585">
        <w:rPr>
          <w:rFonts w:ascii="Palatino Linotype" w:hAnsi="Palatino Linotype" w:cs="Arial"/>
          <w:b/>
          <w:i/>
        </w:rPr>
        <w:t>Cuentas bancarias y/o CLABE interbancaria de sujetos obligados que reciben y/o transfieren recursos públicos, son información pública</w:t>
      </w:r>
      <w:r w:rsidRPr="00271585">
        <w:rPr>
          <w:rFonts w:ascii="Palatino Linotype" w:hAnsi="Palatino Linotype" w:cs="Arial"/>
          <w:i/>
        </w:rPr>
        <w:t xml:space="preserve">. La difusión de las cuentas bancarias y claves interbancarias pertenecientes a un sujeto obligado favorece la rendición de cuentas al transparentar la forma en </w:t>
      </w:r>
      <w:r w:rsidRPr="00271585">
        <w:rPr>
          <w:rFonts w:ascii="Palatino Linotype" w:hAnsi="Palatino Linotype" w:cs="Arial"/>
          <w:i/>
        </w:rPr>
        <w:lastRenderedPageBreak/>
        <w:t>que se administran los recursos públicos, razón por la cual no pueden considerarse como información clasificada.</w:t>
      </w:r>
    </w:p>
    <w:p w14:paraId="20885AE6" w14:textId="77777777" w:rsidR="00AF1A1B" w:rsidRPr="00271585" w:rsidRDefault="00AF1A1B" w:rsidP="00AF1A1B">
      <w:pPr>
        <w:tabs>
          <w:tab w:val="left" w:pos="7938"/>
        </w:tabs>
        <w:spacing w:line="360" w:lineRule="auto"/>
        <w:ind w:left="851" w:right="708"/>
        <w:jc w:val="both"/>
        <w:rPr>
          <w:rFonts w:ascii="Palatino Linotype" w:hAnsi="Palatino Linotype" w:cs="Arial"/>
          <w:i/>
        </w:rPr>
      </w:pPr>
    </w:p>
    <w:p w14:paraId="2A13DCBB" w14:textId="77777777" w:rsidR="00AF1A1B" w:rsidRPr="00271585" w:rsidRDefault="00AF1A1B" w:rsidP="00AF1A1B">
      <w:pPr>
        <w:tabs>
          <w:tab w:val="left" w:pos="7938"/>
        </w:tabs>
        <w:spacing w:line="360" w:lineRule="auto"/>
        <w:ind w:left="851" w:right="708"/>
        <w:jc w:val="both"/>
        <w:rPr>
          <w:rFonts w:ascii="Palatino Linotype" w:hAnsi="Palatino Linotype" w:cs="Arial"/>
          <w:i/>
        </w:rPr>
      </w:pPr>
      <w:r w:rsidRPr="00271585">
        <w:rPr>
          <w:rFonts w:ascii="Palatino Linotype" w:hAnsi="Palatino Linotype" w:cs="Arial"/>
          <w:i/>
        </w:rPr>
        <w:t xml:space="preserve">Resoluciones: </w:t>
      </w:r>
    </w:p>
    <w:p w14:paraId="5707CE18" w14:textId="77777777" w:rsidR="00AF1A1B" w:rsidRDefault="00AF1A1B" w:rsidP="00AF1A1B">
      <w:pPr>
        <w:tabs>
          <w:tab w:val="left" w:pos="7938"/>
        </w:tabs>
        <w:spacing w:line="360" w:lineRule="auto"/>
        <w:ind w:left="851" w:right="708"/>
        <w:jc w:val="both"/>
        <w:rPr>
          <w:rFonts w:ascii="Palatino Linotype" w:hAnsi="Palatino Linotype" w:cs="Arial"/>
          <w:i/>
        </w:rPr>
      </w:pPr>
      <w:r w:rsidRPr="00271585">
        <w:rPr>
          <w:rFonts w:ascii="Palatino Linotype" w:hAnsi="Palatino Linotype" w:cs="Arial"/>
          <w:i/>
        </w:rPr>
        <w:sym w:font="Symbol" w:char="F0B7"/>
      </w:r>
      <w:r w:rsidRPr="00271585">
        <w:rPr>
          <w:rFonts w:ascii="Palatino Linotype" w:hAnsi="Palatino Linotype" w:cs="Arial"/>
          <w:i/>
        </w:rPr>
        <w:t xml:space="preserve"> RRA 0448/16. NOTIMEX, Agencia de Noticias del Estado Mexicano. 24 de agosto de 2016. Por unanimidad. Comisionado Ponente Joel Salas Suárez. </w:t>
      </w:r>
    </w:p>
    <w:p w14:paraId="617A5897" w14:textId="77777777" w:rsidR="00AF1A1B" w:rsidRDefault="00AF1A1B" w:rsidP="00AF1A1B">
      <w:pPr>
        <w:tabs>
          <w:tab w:val="left" w:pos="7938"/>
        </w:tabs>
        <w:spacing w:line="360" w:lineRule="auto"/>
        <w:ind w:left="851" w:right="708"/>
        <w:jc w:val="both"/>
        <w:rPr>
          <w:rFonts w:ascii="Palatino Linotype" w:hAnsi="Palatino Linotype" w:cs="Arial"/>
          <w:i/>
        </w:rPr>
      </w:pPr>
      <w:r w:rsidRPr="00271585">
        <w:rPr>
          <w:rFonts w:ascii="Palatino Linotype" w:hAnsi="Palatino Linotype" w:cs="Arial"/>
          <w:i/>
        </w:rPr>
        <w:sym w:font="Symbol" w:char="F0B7"/>
      </w:r>
      <w:r w:rsidRPr="00271585">
        <w:rPr>
          <w:rFonts w:ascii="Palatino Linotype" w:hAnsi="Palatino Linotype" w:cs="Arial"/>
          <w:i/>
        </w:rPr>
        <w:t xml:space="preserve"> RRA 2787/16. Colegio de Postgraduados. 01 de noviembre de 2016. Por unanimidad. Comisionado Ponente Francisco Javier Acuña Llamas. </w:t>
      </w:r>
    </w:p>
    <w:p w14:paraId="2DA58BF2" w14:textId="77777777" w:rsidR="00AF1A1B" w:rsidRPr="00271585" w:rsidRDefault="00AF1A1B" w:rsidP="00AF1A1B">
      <w:pPr>
        <w:tabs>
          <w:tab w:val="left" w:pos="7938"/>
        </w:tabs>
        <w:spacing w:line="360" w:lineRule="auto"/>
        <w:ind w:left="851" w:right="708"/>
        <w:jc w:val="both"/>
        <w:rPr>
          <w:rFonts w:ascii="Palatino Linotype" w:hAnsi="Palatino Linotype" w:cs="Arial"/>
          <w:i/>
        </w:rPr>
      </w:pPr>
      <w:r w:rsidRPr="00271585">
        <w:rPr>
          <w:rFonts w:ascii="Palatino Linotype" w:hAnsi="Palatino Linotype" w:cs="Arial"/>
          <w:i/>
        </w:rPr>
        <w:sym w:font="Symbol" w:char="F0B7"/>
      </w:r>
      <w:r w:rsidRPr="00271585">
        <w:rPr>
          <w:rFonts w:ascii="Palatino Linotype" w:hAnsi="Palatino Linotype" w:cs="Arial"/>
          <w:i/>
        </w:rPr>
        <w:t xml:space="preserve"> RRA 4756/16. Instituto Mexicano del Seguro Social. 08 de febrero de 2017. Por unanimidad. Comisionado Ponente Oscar Mauricio Guerra Ford.</w:t>
      </w:r>
    </w:p>
    <w:p w14:paraId="42F69CC1" w14:textId="77777777" w:rsidR="00AF1A1B" w:rsidRDefault="00AF1A1B" w:rsidP="00AF1A1B">
      <w:pPr>
        <w:tabs>
          <w:tab w:val="left" w:pos="7938"/>
        </w:tabs>
        <w:spacing w:line="360" w:lineRule="auto"/>
        <w:ind w:left="851" w:right="708"/>
        <w:jc w:val="right"/>
        <w:rPr>
          <w:rFonts w:ascii="Palatino Linotype" w:hAnsi="Palatino Linotype" w:cs="Arial"/>
        </w:rPr>
      </w:pPr>
      <w:r w:rsidRPr="00271585">
        <w:rPr>
          <w:rFonts w:ascii="Palatino Linotype" w:hAnsi="Palatino Linotype" w:cs="Arial"/>
        </w:rPr>
        <w:t>Criterio 1</w:t>
      </w:r>
      <w:r>
        <w:rPr>
          <w:rFonts w:ascii="Palatino Linotype" w:hAnsi="Palatino Linotype" w:cs="Arial"/>
        </w:rPr>
        <w:t>1</w:t>
      </w:r>
      <w:r w:rsidRPr="00271585">
        <w:rPr>
          <w:rFonts w:ascii="Palatino Linotype" w:hAnsi="Palatino Linotype" w:cs="Arial"/>
        </w:rPr>
        <w:t>/17</w:t>
      </w:r>
      <w:r>
        <w:rPr>
          <w:rFonts w:ascii="Palatino Linotype" w:hAnsi="Palatino Linotype" w:cs="Arial"/>
        </w:rPr>
        <w:t>”</w:t>
      </w:r>
    </w:p>
    <w:p w14:paraId="09E869CA" w14:textId="77777777" w:rsidR="00AF1A1B" w:rsidRDefault="00AF1A1B" w:rsidP="00AF1A1B">
      <w:pPr>
        <w:spacing w:line="360" w:lineRule="auto"/>
        <w:jc w:val="both"/>
        <w:rPr>
          <w:rFonts w:ascii="Palatino Linotype" w:eastAsia="Calibri" w:hAnsi="Palatino Linotype"/>
          <w:color w:val="000000"/>
        </w:rPr>
      </w:pPr>
    </w:p>
    <w:p w14:paraId="342F1D69" w14:textId="77777777" w:rsidR="00AF1A1B" w:rsidRPr="00CA179E" w:rsidRDefault="00AF1A1B" w:rsidP="00AF1A1B">
      <w:pPr>
        <w:spacing w:line="360" w:lineRule="auto"/>
        <w:jc w:val="both"/>
        <w:rPr>
          <w:rFonts w:ascii="Palatino Linotype" w:eastAsia="Calibri" w:hAnsi="Palatino Linotype"/>
          <w:color w:val="000000"/>
        </w:rPr>
      </w:pPr>
      <w:r w:rsidRPr="00CA179E">
        <w:rPr>
          <w:rFonts w:ascii="Palatino Linotype" w:eastAsia="Calibri" w:hAnsi="Palatino Linotype"/>
          <w:color w:val="000000"/>
        </w:rPr>
        <w:t xml:space="preserve">Asimismo, el artículo 2°, fracción III, de la Ley General de Títulos y Operaciones de Crédito establece que los actos y las operaciones que regula esta Ley General, se regirán por los </w:t>
      </w:r>
      <w:r w:rsidRPr="00CA179E">
        <w:rPr>
          <w:rFonts w:ascii="Palatino Linotype" w:eastAsia="Calibri" w:hAnsi="Palatino Linotype"/>
          <w:b/>
          <w:bCs/>
          <w:color w:val="000000"/>
        </w:rPr>
        <w:t>usos bancarios y mercantiles</w:t>
      </w:r>
      <w:r w:rsidRPr="00CA179E">
        <w:rPr>
          <w:rFonts w:ascii="Palatino Linotype" w:eastAsia="Calibri" w:hAnsi="Palatino Linotype"/>
          <w:color w:val="000000"/>
        </w:rPr>
        <w:t xml:space="preserve">, es así que, a manera de contextualización la cuenta bancaria y estado de cuenta se definen como: </w:t>
      </w:r>
    </w:p>
    <w:p w14:paraId="0E88135F" w14:textId="77777777" w:rsidR="00AF1A1B" w:rsidRPr="00CA179E" w:rsidRDefault="00AF1A1B" w:rsidP="00AF1A1B">
      <w:pPr>
        <w:spacing w:line="360" w:lineRule="auto"/>
        <w:jc w:val="both"/>
        <w:rPr>
          <w:rFonts w:ascii="Palatino Linotype" w:eastAsia="Calibri" w:hAnsi="Palatino Linotype"/>
          <w:color w:val="000000"/>
        </w:rPr>
      </w:pPr>
    </w:p>
    <w:p w14:paraId="155BEF44" w14:textId="77777777" w:rsidR="00AF1A1B" w:rsidRPr="00CA179E" w:rsidRDefault="00AF1A1B" w:rsidP="00AF1A1B">
      <w:pPr>
        <w:numPr>
          <w:ilvl w:val="0"/>
          <w:numId w:val="8"/>
        </w:numPr>
        <w:spacing w:line="360" w:lineRule="auto"/>
        <w:contextualSpacing/>
        <w:jc w:val="both"/>
        <w:rPr>
          <w:rFonts w:ascii="Palatino Linotype" w:hAnsi="Palatino Linotype"/>
          <w:color w:val="000000"/>
        </w:rPr>
      </w:pPr>
      <w:r w:rsidRPr="00CA179E">
        <w:rPr>
          <w:rFonts w:ascii="Palatino Linotype" w:hAnsi="Palatino Linotype"/>
          <w:b/>
          <w:bCs/>
          <w:color w:val="000000"/>
        </w:rPr>
        <w:t>Cuenta bancaria:</w:t>
      </w:r>
      <w:r w:rsidRPr="00CA179E">
        <w:rPr>
          <w:rFonts w:ascii="Palatino Linotype" w:hAnsi="Palatino Linotype"/>
          <w:color w:val="000000"/>
        </w:rPr>
        <w:t xml:space="preserve"> </w:t>
      </w:r>
      <w:r w:rsidRPr="00335F8C">
        <w:rPr>
          <w:rFonts w:ascii="Palatino Linotype" w:hAnsi="Palatino Linotype"/>
          <w:color w:val="000000"/>
          <w:u w:val="single"/>
        </w:rPr>
        <w:t>Una cuenta bancaria es un registro que mantiene un banco, en el que guarda dinero y contabiliza todas las entradas y salidas de efectivo, así como los créditos en curso, inversiones y productos relacionados.</w:t>
      </w:r>
    </w:p>
    <w:p w14:paraId="02F6CFAF" w14:textId="77777777" w:rsidR="00AF1A1B" w:rsidRPr="00CA179E" w:rsidRDefault="00AF1A1B" w:rsidP="00AF1A1B">
      <w:pPr>
        <w:spacing w:line="360" w:lineRule="auto"/>
        <w:ind w:left="720"/>
        <w:contextualSpacing/>
        <w:jc w:val="both"/>
        <w:rPr>
          <w:rFonts w:ascii="Palatino Linotype" w:hAnsi="Palatino Linotype"/>
          <w:color w:val="000000"/>
        </w:rPr>
      </w:pPr>
    </w:p>
    <w:p w14:paraId="518A2718" w14:textId="77777777" w:rsidR="00AF1A1B" w:rsidRPr="00335F8C" w:rsidRDefault="00AF1A1B" w:rsidP="00AF1A1B">
      <w:pPr>
        <w:numPr>
          <w:ilvl w:val="0"/>
          <w:numId w:val="8"/>
        </w:numPr>
        <w:spacing w:line="360" w:lineRule="auto"/>
        <w:contextualSpacing/>
        <w:jc w:val="both"/>
        <w:rPr>
          <w:rFonts w:ascii="Palatino Linotype" w:hAnsi="Palatino Linotype"/>
          <w:color w:val="000000"/>
          <w:u w:val="single"/>
        </w:rPr>
      </w:pPr>
      <w:r w:rsidRPr="00CA179E">
        <w:rPr>
          <w:rFonts w:ascii="Palatino Linotype" w:hAnsi="Palatino Linotype"/>
          <w:b/>
          <w:bCs/>
          <w:color w:val="000000"/>
        </w:rPr>
        <w:t>Estado de cuenta:</w:t>
      </w:r>
      <w:r w:rsidRPr="00CA179E">
        <w:rPr>
          <w:rFonts w:ascii="Palatino Linotype" w:hAnsi="Palatino Linotype"/>
          <w:color w:val="000000"/>
        </w:rPr>
        <w:t xml:space="preserve"> </w:t>
      </w:r>
      <w:r w:rsidRPr="00335F8C">
        <w:rPr>
          <w:rFonts w:ascii="Palatino Linotype" w:hAnsi="Palatino Linotype"/>
          <w:color w:val="000000"/>
          <w:u w:val="single"/>
        </w:rPr>
        <w:t xml:space="preserve">Un estado de cuenta bancario es un documento oficial, generalmente mensual, emitido por la institución bancaria con la que tiene la cuenta. Este documento contiene todos los movimientos de la cuenta realizados en el mes, además de contener datos como número de cuenta, de tarjeta, saldo </w:t>
      </w:r>
      <w:r w:rsidRPr="00335F8C">
        <w:rPr>
          <w:rFonts w:ascii="Palatino Linotype" w:hAnsi="Palatino Linotype"/>
          <w:color w:val="000000"/>
          <w:u w:val="single"/>
        </w:rPr>
        <w:lastRenderedPageBreak/>
        <w:t>al corte, fecha de pago, monto mínimo a pagar, tasa de interés, en caso de ser tarjeta de crédito, entre otros datos relevantes y confidenciales para el usuario.</w:t>
      </w:r>
    </w:p>
    <w:p w14:paraId="3C0A983E" w14:textId="77777777" w:rsidR="00AF1A1B" w:rsidRDefault="00AF1A1B" w:rsidP="00AF1A1B">
      <w:pPr>
        <w:tabs>
          <w:tab w:val="left" w:pos="7938"/>
        </w:tabs>
        <w:spacing w:line="360" w:lineRule="auto"/>
        <w:jc w:val="both"/>
        <w:rPr>
          <w:rFonts w:ascii="Palatino Linotype" w:eastAsia="Arial Unicode MS" w:hAnsi="Palatino Linotype" w:cs="Arial"/>
        </w:rPr>
      </w:pPr>
    </w:p>
    <w:p w14:paraId="7D7F48CE" w14:textId="77777777" w:rsidR="00AF1A1B" w:rsidRDefault="00AF1A1B" w:rsidP="00AF1A1B">
      <w:pPr>
        <w:tabs>
          <w:tab w:val="left" w:pos="7938"/>
        </w:tabs>
        <w:spacing w:line="360" w:lineRule="auto"/>
        <w:jc w:val="both"/>
        <w:rPr>
          <w:rFonts w:ascii="Palatino Linotype" w:eastAsia="Arial Unicode MS" w:hAnsi="Palatino Linotype" w:cs="Arial"/>
        </w:rPr>
      </w:pPr>
      <w:r>
        <w:rPr>
          <w:rFonts w:ascii="Palatino Linotype" w:eastAsia="Arial Unicode MS" w:hAnsi="Palatino Linotype" w:cs="Arial"/>
        </w:rPr>
        <w:t>Ahora bien,</w:t>
      </w:r>
      <w:r w:rsidRPr="00AC7503">
        <w:rPr>
          <w:rFonts w:ascii="Palatino Linotype" w:eastAsia="Arial Unicode MS" w:hAnsi="Palatino Linotype" w:cs="Arial"/>
        </w:rPr>
        <w:t xml:space="preserve"> </w:t>
      </w:r>
      <w:r>
        <w:rPr>
          <w:rFonts w:ascii="Palatino Linotype" w:eastAsia="Arial Unicode MS" w:hAnsi="Palatino Linotype" w:cs="Arial"/>
        </w:rPr>
        <w:t>respecto d</w:t>
      </w:r>
      <w:r w:rsidRPr="00AC7503">
        <w:rPr>
          <w:rFonts w:ascii="Palatino Linotype" w:eastAsia="Arial Unicode MS" w:hAnsi="Palatino Linotype" w:cs="Arial"/>
        </w:rPr>
        <w:t>el número de cuenta es un conjunto de caracteres numéricos utilizado por los grupos financieros para identificar a los clientes. Dicho número es único e irrepetible, establecido a cada cuenta bancaria que avala que los recursos enviados a las órdenes de cargo, pago de nómina o a</w:t>
      </w:r>
      <w:r>
        <w:rPr>
          <w:rFonts w:ascii="Palatino Linotype" w:eastAsia="Arial Unicode MS" w:hAnsi="Palatino Linotype" w:cs="Arial"/>
        </w:rPr>
        <w:t xml:space="preserve"> l</w:t>
      </w:r>
      <w:r w:rsidRPr="00AC7503">
        <w:rPr>
          <w:rFonts w:ascii="Palatino Linotype" w:eastAsia="Arial Unicode MS" w:hAnsi="Palatino Linotype" w:cs="Arial"/>
        </w:rPr>
        <w:t xml:space="preserve">as transferencias electrónicas de fondos interbancarios se utilicen exclusivamente en la cuenta señalada por el cliente. </w:t>
      </w:r>
    </w:p>
    <w:p w14:paraId="1718EF37" w14:textId="77777777" w:rsidR="00AF1A1B" w:rsidRDefault="00AF1A1B" w:rsidP="00AF1A1B">
      <w:pPr>
        <w:tabs>
          <w:tab w:val="left" w:pos="7938"/>
        </w:tabs>
        <w:spacing w:line="360" w:lineRule="auto"/>
        <w:jc w:val="both"/>
        <w:rPr>
          <w:rFonts w:ascii="Palatino Linotype" w:eastAsia="Arial Unicode MS" w:hAnsi="Palatino Linotype" w:cs="Arial"/>
        </w:rPr>
      </w:pPr>
    </w:p>
    <w:p w14:paraId="329DC582" w14:textId="77777777" w:rsidR="00AF1A1B" w:rsidRDefault="00AF1A1B" w:rsidP="00AF1A1B">
      <w:pPr>
        <w:tabs>
          <w:tab w:val="left" w:pos="7938"/>
        </w:tabs>
        <w:spacing w:line="360" w:lineRule="auto"/>
        <w:jc w:val="both"/>
        <w:rPr>
          <w:rFonts w:ascii="Palatino Linotype" w:eastAsia="Arial Unicode MS" w:hAnsi="Palatino Linotype" w:cs="Arial"/>
        </w:rPr>
      </w:pPr>
      <w:r w:rsidRPr="00AC7503">
        <w:rPr>
          <w:rFonts w:ascii="Palatino Linotype" w:eastAsia="Arial Unicode MS" w:hAnsi="Palatino Linotype" w:cs="Arial"/>
        </w:rPr>
        <w:t xml:space="preserve">Por lo que respecta </w:t>
      </w:r>
      <w:r>
        <w:rPr>
          <w:rFonts w:ascii="Palatino Linotype" w:eastAsia="Arial Unicode MS" w:hAnsi="Palatino Linotype" w:cs="Arial"/>
        </w:rPr>
        <w:t>al número de cuenta</w:t>
      </w:r>
      <w:r w:rsidRPr="00AC7503">
        <w:rPr>
          <w:rFonts w:ascii="Palatino Linotype" w:eastAsia="Arial Unicode MS" w:hAnsi="Palatino Linotype" w:cs="Arial"/>
        </w:rPr>
        <w:t xml:space="preserve"> bancaria, es un número único e irrepetible asignado a cada cuenta bancaria, que garantiza que los recursos enviados a las órdenes de cargo (transferencias electrónicas de fondos interbancarios bancos) se apliquen exclusivamente a la cuenta señalada por el cliente, como destino u origen. Dicha clave se compone de 18 dígitos numéricos que corre</w:t>
      </w:r>
      <w:r>
        <w:rPr>
          <w:rFonts w:ascii="Palatino Linotype" w:eastAsia="Arial Unicode MS" w:hAnsi="Palatino Linotype" w:cs="Arial"/>
        </w:rPr>
        <w:t>sponden a los siguientes datos:</w:t>
      </w:r>
    </w:p>
    <w:p w14:paraId="69AECC5D" w14:textId="77777777" w:rsidR="00AF1A1B" w:rsidRPr="007E0060" w:rsidRDefault="00AF1A1B" w:rsidP="007E0060">
      <w:pPr>
        <w:pStyle w:val="Prrafodelista"/>
        <w:numPr>
          <w:ilvl w:val="0"/>
          <w:numId w:val="9"/>
        </w:numPr>
        <w:tabs>
          <w:tab w:val="left" w:pos="7938"/>
        </w:tabs>
        <w:spacing w:line="360" w:lineRule="auto"/>
        <w:jc w:val="both"/>
        <w:rPr>
          <w:rFonts w:ascii="Palatino Linotype" w:eastAsia="Arial Unicode MS" w:hAnsi="Palatino Linotype" w:cs="Arial"/>
        </w:rPr>
      </w:pPr>
      <w:r w:rsidRPr="007E0060">
        <w:rPr>
          <w:rFonts w:ascii="Palatino Linotype" w:eastAsia="Arial Unicode MS" w:hAnsi="Palatino Linotype" w:cs="Arial"/>
          <w:b/>
        </w:rPr>
        <w:t>CÓDIGO DE BANCO</w:t>
      </w:r>
      <w:r w:rsidRPr="007E0060">
        <w:rPr>
          <w:rFonts w:ascii="Palatino Linotype" w:eastAsia="Arial Unicode MS" w:hAnsi="Palatino Linotype" w:cs="Arial"/>
        </w:rPr>
        <w:t>: Donde radica la cuenta, de acuerdo con los números asignados a las Instituciones de Crédito Asociación de Bancos de México (tres dígitos).</w:t>
      </w:r>
    </w:p>
    <w:p w14:paraId="71E2F834" w14:textId="77777777" w:rsidR="00AF1A1B" w:rsidRPr="007E0060" w:rsidRDefault="00AF1A1B" w:rsidP="007E0060">
      <w:pPr>
        <w:pStyle w:val="Prrafodelista"/>
        <w:numPr>
          <w:ilvl w:val="0"/>
          <w:numId w:val="9"/>
        </w:numPr>
        <w:tabs>
          <w:tab w:val="left" w:pos="7938"/>
        </w:tabs>
        <w:spacing w:line="360" w:lineRule="auto"/>
        <w:jc w:val="both"/>
        <w:rPr>
          <w:rFonts w:ascii="Palatino Linotype" w:eastAsia="Arial Unicode MS" w:hAnsi="Palatino Linotype" w:cs="Arial"/>
        </w:rPr>
      </w:pPr>
      <w:r w:rsidRPr="007E0060">
        <w:rPr>
          <w:rFonts w:ascii="Palatino Linotype" w:eastAsia="Arial Unicode MS" w:hAnsi="Palatino Linotype" w:cs="Arial"/>
          <w:b/>
        </w:rPr>
        <w:t>CÓDIGO DE PLAZA</w:t>
      </w:r>
      <w:r w:rsidRPr="007E0060">
        <w:rPr>
          <w:rFonts w:ascii="Palatino Linotype" w:eastAsia="Arial Unicode MS" w:hAnsi="Palatino Linotype" w:cs="Arial"/>
        </w:rPr>
        <w:t xml:space="preserve">: Ciudad o región donde el cliente mantiene su cuenta, de acuerdo con la definición de claves de plaza definida para el servicio de cheques (tres dígitos). </w:t>
      </w:r>
    </w:p>
    <w:p w14:paraId="2B58DCBA" w14:textId="77777777" w:rsidR="00AF1A1B" w:rsidRPr="007E0060" w:rsidRDefault="00AF1A1B" w:rsidP="007E0060">
      <w:pPr>
        <w:pStyle w:val="Prrafodelista"/>
        <w:numPr>
          <w:ilvl w:val="0"/>
          <w:numId w:val="9"/>
        </w:numPr>
        <w:tabs>
          <w:tab w:val="left" w:pos="7938"/>
        </w:tabs>
        <w:spacing w:line="360" w:lineRule="auto"/>
        <w:jc w:val="both"/>
        <w:rPr>
          <w:rFonts w:ascii="Palatino Linotype" w:eastAsia="Arial Unicode MS" w:hAnsi="Palatino Linotype" w:cs="Arial"/>
        </w:rPr>
      </w:pPr>
      <w:r w:rsidRPr="007E0060">
        <w:rPr>
          <w:rFonts w:ascii="Palatino Linotype" w:eastAsia="Arial Unicode MS" w:hAnsi="Palatino Linotype" w:cs="Arial"/>
          <w:b/>
        </w:rPr>
        <w:t>NUMERO DE CUENTA</w:t>
      </w:r>
      <w:r w:rsidRPr="007E0060">
        <w:rPr>
          <w:rFonts w:ascii="Palatino Linotype" w:eastAsia="Arial Unicode MS" w:hAnsi="Palatino Linotype" w:cs="Arial"/>
        </w:rPr>
        <w:t xml:space="preserve">: Campo en donde se incluye la información que cada banco para individualizar la cuenta de sus clientes (once dígitos), y </w:t>
      </w:r>
    </w:p>
    <w:p w14:paraId="0B188C89" w14:textId="77777777" w:rsidR="00AF1A1B" w:rsidRPr="007E0060" w:rsidRDefault="00AF1A1B" w:rsidP="007E0060">
      <w:pPr>
        <w:pStyle w:val="Prrafodelista"/>
        <w:numPr>
          <w:ilvl w:val="0"/>
          <w:numId w:val="9"/>
        </w:numPr>
        <w:tabs>
          <w:tab w:val="left" w:pos="7938"/>
        </w:tabs>
        <w:spacing w:line="360" w:lineRule="auto"/>
        <w:jc w:val="both"/>
        <w:rPr>
          <w:rFonts w:ascii="Palatino Linotype" w:eastAsia="Arial Unicode MS" w:hAnsi="Palatino Linotype" w:cs="Arial"/>
        </w:rPr>
      </w:pPr>
      <w:r w:rsidRPr="007E0060">
        <w:rPr>
          <w:rFonts w:ascii="Palatino Linotype" w:eastAsia="Arial Unicode MS" w:hAnsi="Palatino Linotype" w:cs="Arial"/>
          <w:b/>
        </w:rPr>
        <w:t>DÍGITO DE CONTROL.</w:t>
      </w:r>
      <w:r w:rsidRPr="007E0060">
        <w:rPr>
          <w:rFonts w:ascii="Palatino Linotype" w:eastAsia="Arial Unicode MS" w:hAnsi="Palatino Linotype" w:cs="Arial"/>
        </w:rPr>
        <w:t xml:space="preserve"> Es un dígito que se obtiene a través de aplicar un algoritmo que permite validar que la estructura de los datos contenidos en la CLABE sean correctos (un dígito).</w:t>
      </w:r>
    </w:p>
    <w:p w14:paraId="47D429C1" w14:textId="77777777" w:rsidR="00AF1A1B" w:rsidRDefault="00AF1A1B" w:rsidP="00AF1A1B">
      <w:pPr>
        <w:tabs>
          <w:tab w:val="left" w:pos="7938"/>
        </w:tabs>
        <w:spacing w:line="360" w:lineRule="auto"/>
        <w:jc w:val="both"/>
        <w:rPr>
          <w:rFonts w:ascii="Palatino Linotype" w:eastAsia="Arial Unicode MS" w:hAnsi="Palatino Linotype" w:cs="Arial"/>
        </w:rPr>
      </w:pPr>
    </w:p>
    <w:p w14:paraId="31529D9E" w14:textId="77777777" w:rsidR="00AF1A1B" w:rsidRDefault="00AF1A1B" w:rsidP="00AF1A1B">
      <w:pPr>
        <w:tabs>
          <w:tab w:val="left" w:pos="7938"/>
        </w:tabs>
        <w:spacing w:line="360" w:lineRule="auto"/>
        <w:jc w:val="both"/>
        <w:rPr>
          <w:rFonts w:ascii="Palatino Linotype" w:eastAsia="Arial Unicode MS" w:hAnsi="Palatino Linotype" w:cs="Arial"/>
        </w:rPr>
      </w:pPr>
      <w:r w:rsidRPr="00AC7503">
        <w:rPr>
          <w:rFonts w:ascii="Palatino Linotype" w:eastAsia="Arial Unicode MS" w:hAnsi="Palatino Linotype" w:cs="Arial"/>
        </w:rPr>
        <w:t xml:space="preserve">Así </w:t>
      </w:r>
      <w:r>
        <w:rPr>
          <w:rFonts w:ascii="Palatino Linotype" w:eastAsia="Arial Unicode MS" w:hAnsi="Palatino Linotype" w:cs="Arial"/>
        </w:rPr>
        <w:t xml:space="preserve">las </w:t>
      </w:r>
      <w:r w:rsidRPr="00AC7503">
        <w:rPr>
          <w:rFonts w:ascii="Palatino Linotype" w:eastAsia="Arial Unicode MS" w:hAnsi="Palatino Linotype" w:cs="Arial"/>
        </w:rPr>
        <w:t>cuenta</w:t>
      </w:r>
      <w:r>
        <w:rPr>
          <w:rFonts w:ascii="Palatino Linotype" w:eastAsia="Arial Unicode MS" w:hAnsi="Palatino Linotype" w:cs="Arial"/>
        </w:rPr>
        <w:t>s bancarias</w:t>
      </w:r>
      <w:r w:rsidRPr="00AC7503">
        <w:rPr>
          <w:rFonts w:ascii="Palatino Linotype" w:eastAsia="Arial Unicode MS" w:hAnsi="Palatino Linotype" w:cs="Arial"/>
        </w:rPr>
        <w:t xml:space="preserve"> otorgada</w:t>
      </w:r>
      <w:r>
        <w:rPr>
          <w:rFonts w:ascii="Palatino Linotype" w:eastAsia="Arial Unicode MS" w:hAnsi="Palatino Linotype" w:cs="Arial"/>
        </w:rPr>
        <w:t>s</w:t>
      </w:r>
      <w:r w:rsidRPr="00AC7503">
        <w:rPr>
          <w:rFonts w:ascii="Palatino Linotype" w:eastAsia="Arial Unicode MS" w:hAnsi="Palatino Linotype" w:cs="Arial"/>
        </w:rPr>
        <w:t xml:space="preserve"> a</w:t>
      </w:r>
      <w:r>
        <w:rPr>
          <w:rFonts w:ascii="Palatino Linotype" w:eastAsia="Arial Unicode MS" w:hAnsi="Palatino Linotype" w:cs="Arial"/>
        </w:rPr>
        <w:t xml:space="preserve">l municipio </w:t>
      </w:r>
      <w:r w:rsidRPr="00AC7503">
        <w:rPr>
          <w:rFonts w:ascii="Palatino Linotype" w:eastAsia="Arial Unicode MS" w:hAnsi="Palatino Linotype" w:cs="Arial"/>
        </w:rPr>
        <w:t>y su CLA</w:t>
      </w:r>
      <w:r>
        <w:rPr>
          <w:rFonts w:ascii="Palatino Linotype" w:eastAsia="Arial Unicode MS" w:hAnsi="Palatino Linotype" w:cs="Arial"/>
        </w:rPr>
        <w:t>B</w:t>
      </w:r>
      <w:r w:rsidRPr="00AC7503">
        <w:rPr>
          <w:rFonts w:ascii="Palatino Linotype" w:eastAsia="Arial Unicode MS" w:hAnsi="Palatino Linotype" w:cs="Arial"/>
        </w:rPr>
        <w:t xml:space="preserve">E es única e irrepetible, estableciendo con ello una relación que avala que los cargos efectuados, las transferencias electrónicas realizadas o los abonos efectuados corresponden, exclusivamente a la cuenta proporcionada a su titular, creando con ello una relación entre </w:t>
      </w:r>
      <w:r>
        <w:rPr>
          <w:rFonts w:ascii="Palatino Linotype" w:eastAsia="Arial Unicode MS" w:hAnsi="Palatino Linotype" w:cs="Arial"/>
        </w:rPr>
        <w:t xml:space="preserve">el municipio </w:t>
      </w:r>
      <w:r w:rsidRPr="00AC7503">
        <w:rPr>
          <w:rFonts w:ascii="Palatino Linotype" w:eastAsia="Arial Unicode MS" w:hAnsi="Palatino Linotype" w:cs="Arial"/>
        </w:rPr>
        <w:t xml:space="preserve">y la institución encargada de prestar servicios de carácter financiero, mismo que se encuentra estrechamente relacionada con el patrimonio </w:t>
      </w:r>
      <w:r>
        <w:rPr>
          <w:rFonts w:ascii="Palatino Linotype" w:eastAsia="Arial Unicode MS" w:hAnsi="Palatino Linotype" w:cs="Arial"/>
        </w:rPr>
        <w:t>municipal</w:t>
      </w:r>
      <w:r w:rsidRPr="00AC7503">
        <w:rPr>
          <w:rFonts w:ascii="Palatino Linotype" w:eastAsia="Arial Unicode MS" w:hAnsi="Palatino Linotype" w:cs="Arial"/>
        </w:rPr>
        <w:t xml:space="preserve"> a la que se asignó el número. </w:t>
      </w:r>
    </w:p>
    <w:p w14:paraId="49757B55" w14:textId="77777777" w:rsidR="00AF1A1B" w:rsidRDefault="00AF1A1B" w:rsidP="00AF1A1B">
      <w:pPr>
        <w:tabs>
          <w:tab w:val="left" w:pos="7938"/>
        </w:tabs>
        <w:spacing w:line="360" w:lineRule="auto"/>
        <w:jc w:val="both"/>
        <w:rPr>
          <w:rFonts w:ascii="Palatino Linotype" w:eastAsia="Arial Unicode MS" w:hAnsi="Palatino Linotype" w:cs="Arial"/>
        </w:rPr>
      </w:pPr>
    </w:p>
    <w:p w14:paraId="3B0949EA" w14:textId="77777777" w:rsidR="00AF1A1B" w:rsidRDefault="00AF1A1B" w:rsidP="00AF1A1B">
      <w:pPr>
        <w:tabs>
          <w:tab w:val="left" w:pos="7938"/>
        </w:tabs>
        <w:spacing w:line="360" w:lineRule="auto"/>
        <w:jc w:val="both"/>
        <w:rPr>
          <w:rFonts w:ascii="Palatino Linotype" w:eastAsia="Arial Unicode MS" w:hAnsi="Palatino Linotype" w:cs="Arial"/>
        </w:rPr>
      </w:pPr>
      <w:r w:rsidRPr="00AC7503">
        <w:rPr>
          <w:rFonts w:ascii="Palatino Linotype" w:eastAsia="Arial Unicode MS" w:hAnsi="Palatino Linotype" w:cs="Arial"/>
        </w:rPr>
        <w:t>Derivado de lo anterior</w:t>
      </w:r>
      <w:r>
        <w:rPr>
          <w:rFonts w:ascii="Palatino Linotype" w:eastAsia="Arial Unicode MS" w:hAnsi="Palatino Linotype" w:cs="Arial"/>
        </w:rPr>
        <w:t>,</w:t>
      </w:r>
      <w:r w:rsidRPr="00AC7503">
        <w:rPr>
          <w:rFonts w:ascii="Palatino Linotype" w:eastAsia="Arial Unicode MS" w:hAnsi="Palatino Linotype" w:cs="Arial"/>
        </w:rPr>
        <w:t xml:space="preserve"> se considera que el </w:t>
      </w:r>
      <w:r>
        <w:rPr>
          <w:rFonts w:ascii="Palatino Linotype" w:eastAsia="Arial Unicode MS" w:hAnsi="Palatino Linotype" w:cs="Arial"/>
        </w:rPr>
        <w:t xml:space="preserve">estado de cuenta </w:t>
      </w:r>
      <w:r w:rsidRPr="00AC7503">
        <w:rPr>
          <w:rFonts w:ascii="Palatino Linotype" w:eastAsia="Arial Unicode MS" w:hAnsi="Palatino Linotype" w:cs="Arial"/>
        </w:rPr>
        <w:t>bancaria y la CLA</w:t>
      </w:r>
      <w:r>
        <w:rPr>
          <w:rFonts w:ascii="Palatino Linotype" w:eastAsia="Arial Unicode MS" w:hAnsi="Palatino Linotype" w:cs="Arial"/>
        </w:rPr>
        <w:t>B</w:t>
      </w:r>
      <w:r w:rsidRPr="00AC7503">
        <w:rPr>
          <w:rFonts w:ascii="Palatino Linotype" w:eastAsia="Arial Unicode MS" w:hAnsi="Palatino Linotype" w:cs="Arial"/>
        </w:rPr>
        <w:t xml:space="preserve">E interbancaria, </w:t>
      </w:r>
      <w:r>
        <w:rPr>
          <w:rFonts w:ascii="Palatino Linotype" w:eastAsia="Arial Unicode MS" w:hAnsi="Palatino Linotype" w:cs="Arial"/>
        </w:rPr>
        <w:t xml:space="preserve">del Municipio </w:t>
      </w:r>
      <w:r w:rsidRPr="00AC7503">
        <w:rPr>
          <w:rFonts w:ascii="Palatino Linotype" w:eastAsia="Arial Unicode MS" w:hAnsi="Palatino Linotype" w:cs="Arial"/>
        </w:rPr>
        <w:t>se encuentra asociado a su patrimonio, entendiendo éste como el conjunto de bienes,</w:t>
      </w:r>
      <w:r>
        <w:rPr>
          <w:rFonts w:ascii="Palatino Linotype" w:eastAsia="Arial Unicode MS" w:hAnsi="Palatino Linotype" w:cs="Arial"/>
        </w:rPr>
        <w:t xml:space="preserve"> fondos,</w:t>
      </w:r>
      <w:r w:rsidRPr="00AC7503">
        <w:rPr>
          <w:rFonts w:ascii="Palatino Linotype" w:eastAsia="Arial Unicode MS" w:hAnsi="Palatino Linotype" w:cs="Arial"/>
        </w:rPr>
        <w:t xml:space="preserve"> derechos</w:t>
      </w:r>
      <w:r>
        <w:rPr>
          <w:rFonts w:ascii="Palatino Linotype" w:eastAsia="Arial Unicode MS" w:hAnsi="Palatino Linotype" w:cs="Arial"/>
        </w:rPr>
        <w:t>,</w:t>
      </w:r>
      <w:r w:rsidRPr="00AC7503">
        <w:rPr>
          <w:rFonts w:ascii="Palatino Linotype" w:eastAsia="Arial Unicode MS" w:hAnsi="Palatino Linotype" w:cs="Arial"/>
        </w:rPr>
        <w:t xml:space="preserve"> obligaciones</w:t>
      </w:r>
      <w:r>
        <w:rPr>
          <w:rFonts w:ascii="Palatino Linotype" w:eastAsia="Arial Unicode MS" w:hAnsi="Palatino Linotype" w:cs="Arial"/>
        </w:rPr>
        <w:t>, etc.</w:t>
      </w:r>
      <w:r w:rsidRPr="00AC7503">
        <w:rPr>
          <w:rFonts w:ascii="Palatino Linotype" w:eastAsia="Arial Unicode MS" w:hAnsi="Palatino Linotype" w:cs="Arial"/>
        </w:rPr>
        <w:t xml:space="preserve"> por tanto, se trata de información de dominio público</w:t>
      </w:r>
      <w:r>
        <w:rPr>
          <w:rFonts w:ascii="Palatino Linotype" w:eastAsia="Arial Unicode MS" w:hAnsi="Palatino Linotype" w:cs="Arial"/>
        </w:rPr>
        <w:t xml:space="preserve">, además de que el </w:t>
      </w:r>
      <w:r w:rsidRPr="007E0060">
        <w:rPr>
          <w:rFonts w:ascii="Palatino Linotype" w:eastAsia="Arial Unicode MS" w:hAnsi="Palatino Linotype" w:cs="Arial"/>
          <w:b/>
        </w:rPr>
        <w:t xml:space="preserve">Municipio de </w:t>
      </w:r>
      <w:r w:rsidR="007E0060" w:rsidRPr="007E0060">
        <w:rPr>
          <w:rFonts w:ascii="Palatino Linotype" w:eastAsia="Arial Unicode MS" w:hAnsi="Palatino Linotype" w:cs="Arial"/>
          <w:b/>
        </w:rPr>
        <w:t>Atlacomulco</w:t>
      </w:r>
      <w:r>
        <w:rPr>
          <w:rFonts w:ascii="Palatino Linotype" w:eastAsia="Arial Unicode MS" w:hAnsi="Palatino Linotype" w:cs="Arial"/>
        </w:rPr>
        <w:t xml:space="preserve"> cuenta </w:t>
      </w:r>
      <w:r w:rsidRPr="00902888">
        <w:rPr>
          <w:rFonts w:ascii="Palatino Linotype" w:eastAsia="Arial Unicode MS" w:hAnsi="Palatino Linotype" w:cs="Arial"/>
        </w:rPr>
        <w:t xml:space="preserve">con personalidad jurídica y patrimonio propios, autonomía de decisión técnica, operativa y administrativa en términos de la Ley </w:t>
      </w:r>
      <w:r>
        <w:rPr>
          <w:rFonts w:ascii="Palatino Linotype" w:eastAsia="Arial Unicode MS" w:hAnsi="Palatino Linotype" w:cs="Arial"/>
        </w:rPr>
        <w:t>Orgánica Municipal.</w:t>
      </w:r>
    </w:p>
    <w:p w14:paraId="6E656E45" w14:textId="77777777" w:rsidR="009C61A3" w:rsidRDefault="009C61A3" w:rsidP="00AF1A1B">
      <w:pPr>
        <w:tabs>
          <w:tab w:val="left" w:pos="7938"/>
        </w:tabs>
        <w:spacing w:line="360" w:lineRule="auto"/>
        <w:jc w:val="both"/>
        <w:rPr>
          <w:rFonts w:ascii="Palatino Linotype" w:eastAsia="Arial Unicode MS" w:hAnsi="Palatino Linotype" w:cs="Arial"/>
        </w:rPr>
      </w:pPr>
    </w:p>
    <w:p w14:paraId="44444C38" w14:textId="77777777" w:rsidR="009C61A3" w:rsidRDefault="009C61A3" w:rsidP="00AF1A1B">
      <w:pPr>
        <w:tabs>
          <w:tab w:val="left" w:pos="7938"/>
        </w:tabs>
        <w:spacing w:line="360" w:lineRule="auto"/>
        <w:jc w:val="both"/>
        <w:rPr>
          <w:rFonts w:ascii="Palatino Linotype" w:eastAsia="Arial Unicode MS" w:hAnsi="Palatino Linotype" w:cs="Arial"/>
        </w:rPr>
      </w:pPr>
      <w:r>
        <w:rPr>
          <w:rFonts w:ascii="Palatino Linotype" w:eastAsia="Arial Unicode MS" w:hAnsi="Palatino Linotype" w:cs="Arial"/>
        </w:rPr>
        <w:t>Robustece lo anterior, el Instructivo del Módulo 1 correspondiente al Informe Trimestral Municipal Ejercicio Fiscal 2024, emitido por el Órgano Superior de Fiscalización del Estado de México,</w:t>
      </w:r>
      <w:r w:rsidR="0053583F">
        <w:rPr>
          <w:rFonts w:ascii="Palatino Linotype" w:eastAsia="Arial Unicode MS" w:hAnsi="Palatino Linotype" w:cs="Arial"/>
        </w:rPr>
        <w:t xml:space="preserve"> establece que para integrar la cuenta pública los entes fiscalizables deben entregar las “Conciliaciones Bancarias” con la finalidad de verificar que los saldos que presentan los estados de cuenta y los estados financieros referentes a las cuentas bancarias sean correctos, </w:t>
      </w:r>
      <w:r>
        <w:rPr>
          <w:rFonts w:ascii="Palatino Linotype" w:eastAsia="Arial Unicode MS" w:hAnsi="Palatino Linotype" w:cs="Arial"/>
        </w:rPr>
        <w:t>tal como se ilustra:</w:t>
      </w:r>
    </w:p>
    <w:p w14:paraId="0B2CE3A1" w14:textId="77777777" w:rsidR="009C61A3" w:rsidRDefault="0053583F" w:rsidP="0053583F">
      <w:pPr>
        <w:tabs>
          <w:tab w:val="left" w:pos="7938"/>
        </w:tabs>
        <w:spacing w:line="360" w:lineRule="auto"/>
        <w:jc w:val="center"/>
        <w:rPr>
          <w:rFonts w:ascii="Palatino Linotype" w:eastAsia="Arial Unicode MS" w:hAnsi="Palatino Linotype" w:cs="Arial"/>
        </w:rPr>
      </w:pPr>
      <w:r>
        <w:rPr>
          <w:rFonts w:ascii="Palatino Linotype" w:eastAsia="Arial Unicode MS" w:hAnsi="Palatino Linotype" w:cs="Arial"/>
          <w:noProof/>
          <w:lang w:val="es-MX" w:eastAsia="es-MX"/>
        </w:rPr>
        <w:lastRenderedPageBreak/>
        <w:drawing>
          <wp:inline distT="0" distB="0" distL="0" distR="0" wp14:anchorId="0F8CD066" wp14:editId="28239393">
            <wp:extent cx="4505325" cy="47503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486114.tmp"/>
                    <pic:cNvPicPr/>
                  </pic:nvPicPr>
                  <pic:blipFill>
                    <a:blip r:embed="rId7">
                      <a:extLst>
                        <a:ext uri="{28A0092B-C50C-407E-A947-70E740481C1C}">
                          <a14:useLocalDpi xmlns:a14="http://schemas.microsoft.com/office/drawing/2010/main" val="0"/>
                        </a:ext>
                      </a:extLst>
                    </a:blip>
                    <a:stretch>
                      <a:fillRect/>
                    </a:stretch>
                  </pic:blipFill>
                  <pic:spPr>
                    <a:xfrm>
                      <a:off x="0" y="0"/>
                      <a:ext cx="4519108" cy="4764885"/>
                    </a:xfrm>
                    <a:prstGeom prst="rect">
                      <a:avLst/>
                    </a:prstGeom>
                  </pic:spPr>
                </pic:pic>
              </a:graphicData>
            </a:graphic>
          </wp:inline>
        </w:drawing>
      </w:r>
    </w:p>
    <w:p w14:paraId="54253E73" w14:textId="77777777" w:rsidR="0053583F" w:rsidRDefault="0053583F" w:rsidP="0053583F">
      <w:pPr>
        <w:tabs>
          <w:tab w:val="left" w:pos="7938"/>
        </w:tabs>
        <w:spacing w:line="360" w:lineRule="auto"/>
        <w:jc w:val="center"/>
        <w:rPr>
          <w:rFonts w:ascii="Palatino Linotype" w:eastAsia="Arial Unicode MS" w:hAnsi="Palatino Linotype" w:cs="Arial"/>
        </w:rPr>
      </w:pPr>
      <w:r>
        <w:rPr>
          <w:rFonts w:ascii="Palatino Linotype" w:eastAsia="Arial Unicode MS" w:hAnsi="Palatino Linotype" w:cs="Arial"/>
          <w:noProof/>
          <w:lang w:val="es-MX" w:eastAsia="es-MX"/>
        </w:rPr>
        <w:lastRenderedPageBreak/>
        <w:drawing>
          <wp:inline distT="0" distB="0" distL="0" distR="0" wp14:anchorId="77E142EB" wp14:editId="17D12D61">
            <wp:extent cx="4352925" cy="4757472"/>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4842FB.tmp"/>
                    <pic:cNvPicPr/>
                  </pic:nvPicPr>
                  <pic:blipFill>
                    <a:blip r:embed="rId8">
                      <a:extLst>
                        <a:ext uri="{28A0092B-C50C-407E-A947-70E740481C1C}">
                          <a14:useLocalDpi xmlns:a14="http://schemas.microsoft.com/office/drawing/2010/main" val="0"/>
                        </a:ext>
                      </a:extLst>
                    </a:blip>
                    <a:stretch>
                      <a:fillRect/>
                    </a:stretch>
                  </pic:blipFill>
                  <pic:spPr>
                    <a:xfrm>
                      <a:off x="0" y="0"/>
                      <a:ext cx="4360075" cy="4765286"/>
                    </a:xfrm>
                    <a:prstGeom prst="rect">
                      <a:avLst/>
                    </a:prstGeom>
                  </pic:spPr>
                </pic:pic>
              </a:graphicData>
            </a:graphic>
          </wp:inline>
        </w:drawing>
      </w:r>
      <w:r>
        <w:rPr>
          <w:rFonts w:ascii="Palatino Linotype" w:eastAsia="Arial Unicode MS" w:hAnsi="Palatino Linotype" w:cs="Arial"/>
          <w:noProof/>
          <w:lang w:val="es-MX" w:eastAsia="es-MX"/>
        </w:rPr>
        <w:drawing>
          <wp:inline distT="0" distB="0" distL="0" distR="0" wp14:anchorId="4EC6AD64" wp14:editId="36F6B649">
            <wp:extent cx="4400550" cy="256766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488DA1.tmp"/>
                    <pic:cNvPicPr/>
                  </pic:nvPicPr>
                  <pic:blipFill>
                    <a:blip r:embed="rId9">
                      <a:extLst>
                        <a:ext uri="{28A0092B-C50C-407E-A947-70E740481C1C}">
                          <a14:useLocalDpi xmlns:a14="http://schemas.microsoft.com/office/drawing/2010/main" val="0"/>
                        </a:ext>
                      </a:extLst>
                    </a:blip>
                    <a:stretch>
                      <a:fillRect/>
                    </a:stretch>
                  </pic:blipFill>
                  <pic:spPr>
                    <a:xfrm>
                      <a:off x="0" y="0"/>
                      <a:ext cx="4427260" cy="2583245"/>
                    </a:xfrm>
                    <a:prstGeom prst="rect">
                      <a:avLst/>
                    </a:prstGeom>
                  </pic:spPr>
                </pic:pic>
              </a:graphicData>
            </a:graphic>
          </wp:inline>
        </w:drawing>
      </w:r>
    </w:p>
    <w:p w14:paraId="33D9AD00" w14:textId="77777777" w:rsidR="0053583F" w:rsidRDefault="0053583F" w:rsidP="0053583F">
      <w:pPr>
        <w:tabs>
          <w:tab w:val="left" w:pos="7938"/>
        </w:tabs>
        <w:spacing w:line="360" w:lineRule="auto"/>
        <w:jc w:val="center"/>
        <w:rPr>
          <w:rFonts w:ascii="Palatino Linotype" w:eastAsia="Arial Unicode MS" w:hAnsi="Palatino Linotype" w:cs="Arial"/>
        </w:rPr>
      </w:pPr>
    </w:p>
    <w:p w14:paraId="40CEB011" w14:textId="77777777" w:rsidR="00424BB7" w:rsidRPr="009E63DA" w:rsidRDefault="00424BB7" w:rsidP="00424BB7">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54455890" w14:textId="77777777" w:rsidR="00424BB7" w:rsidRPr="009E63DA" w:rsidRDefault="00424BB7" w:rsidP="00424BB7">
      <w:pPr>
        <w:ind w:left="567" w:right="567"/>
        <w:jc w:val="both"/>
        <w:rPr>
          <w:rFonts w:ascii="Palatino Linotype" w:hAnsi="Palatino Linotype"/>
        </w:rPr>
      </w:pPr>
    </w:p>
    <w:p w14:paraId="036364BB" w14:textId="77777777" w:rsidR="00424BB7" w:rsidRPr="009E63DA" w:rsidRDefault="00424BB7" w:rsidP="00424BB7">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171C1A4D" w14:textId="77777777" w:rsidR="00424BB7" w:rsidRPr="009E63DA" w:rsidRDefault="00424BB7" w:rsidP="00424BB7">
      <w:pPr>
        <w:ind w:left="851" w:right="851"/>
        <w:jc w:val="both"/>
        <w:rPr>
          <w:rFonts w:ascii="Palatino Linotype" w:hAnsi="Palatino Linotype"/>
          <w:i/>
        </w:rPr>
      </w:pPr>
      <w:r w:rsidRPr="009E63DA">
        <w:rPr>
          <w:rFonts w:ascii="Palatino Linotype" w:hAnsi="Palatino Linotype"/>
          <w:i/>
        </w:rPr>
        <w:t>…</w:t>
      </w:r>
    </w:p>
    <w:p w14:paraId="2C29B093" w14:textId="77777777" w:rsidR="00424BB7" w:rsidRPr="009E63DA" w:rsidRDefault="00424BB7" w:rsidP="00424BB7">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5667BE82" w14:textId="77777777" w:rsidR="00424BB7" w:rsidRPr="009E63DA" w:rsidRDefault="00424BB7" w:rsidP="00424BB7">
      <w:pPr>
        <w:ind w:left="851" w:right="851"/>
        <w:jc w:val="both"/>
        <w:rPr>
          <w:rFonts w:ascii="Palatino Linotype" w:hAnsi="Palatino Linotype"/>
          <w:i/>
        </w:rPr>
      </w:pPr>
    </w:p>
    <w:p w14:paraId="65046986" w14:textId="77777777" w:rsidR="00424BB7" w:rsidRPr="009E63DA" w:rsidRDefault="00424BB7" w:rsidP="00424BB7">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55133E3" w14:textId="77777777" w:rsidR="00424BB7" w:rsidRPr="009E63DA" w:rsidRDefault="00424BB7" w:rsidP="00424BB7">
      <w:pPr>
        <w:ind w:left="851" w:right="851"/>
        <w:jc w:val="both"/>
        <w:rPr>
          <w:rFonts w:ascii="Palatino Linotype" w:hAnsi="Palatino Linotype"/>
          <w:bCs/>
          <w:i/>
        </w:rPr>
      </w:pPr>
    </w:p>
    <w:p w14:paraId="47406F1F" w14:textId="77777777" w:rsidR="00424BB7" w:rsidRPr="009E63DA" w:rsidRDefault="00424BB7" w:rsidP="00424BB7">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DF3C238" w14:textId="77777777" w:rsidR="00424BB7" w:rsidRPr="009E63DA" w:rsidRDefault="00424BB7" w:rsidP="00424BB7">
      <w:pPr>
        <w:ind w:left="851" w:right="851"/>
        <w:jc w:val="both"/>
        <w:rPr>
          <w:rFonts w:ascii="Palatino Linotype" w:hAnsi="Palatino Linotype"/>
          <w:bCs/>
          <w:i/>
        </w:rPr>
      </w:pPr>
    </w:p>
    <w:p w14:paraId="5B6E9C88" w14:textId="77777777" w:rsidR="00424BB7" w:rsidRPr="009E63DA" w:rsidRDefault="00424BB7" w:rsidP="00424BB7">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3D780478" w14:textId="77777777" w:rsidR="00424BB7" w:rsidRPr="009E63DA" w:rsidRDefault="00424BB7" w:rsidP="00424BB7">
      <w:pPr>
        <w:ind w:left="851" w:right="851"/>
        <w:jc w:val="both"/>
        <w:rPr>
          <w:rFonts w:ascii="Palatino Linotype" w:hAnsi="Palatino Linotype"/>
          <w:i/>
        </w:rPr>
      </w:pPr>
    </w:p>
    <w:p w14:paraId="40503B1F" w14:textId="77777777" w:rsidR="00424BB7" w:rsidRPr="009E63DA" w:rsidRDefault="00424BB7" w:rsidP="00424BB7">
      <w:pPr>
        <w:ind w:left="851" w:right="851"/>
        <w:jc w:val="both"/>
        <w:rPr>
          <w:rFonts w:ascii="Palatino Linotype" w:hAnsi="Palatino Linotype"/>
          <w:i/>
        </w:rPr>
      </w:pPr>
      <w:r w:rsidRPr="009E63DA">
        <w:rPr>
          <w:rFonts w:ascii="Palatino Linotype" w:hAnsi="Palatino Linotype"/>
          <w:b/>
          <w:i/>
        </w:rPr>
        <w:lastRenderedPageBreak/>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60F8F1B2" w14:textId="77777777" w:rsidR="00424BB7" w:rsidRPr="009E63DA" w:rsidRDefault="00424BB7" w:rsidP="00424BB7">
      <w:pPr>
        <w:ind w:left="851" w:right="851"/>
        <w:jc w:val="both"/>
        <w:rPr>
          <w:rFonts w:ascii="Palatino Linotype" w:hAnsi="Palatino Linotype"/>
          <w:i/>
        </w:rPr>
      </w:pPr>
    </w:p>
    <w:p w14:paraId="495D26E9" w14:textId="77777777" w:rsidR="00424BB7" w:rsidRPr="009E63DA" w:rsidRDefault="00424BB7" w:rsidP="00424BB7">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15AA8C0B" w14:textId="77777777" w:rsidR="00424BB7" w:rsidRDefault="00424BB7" w:rsidP="00424BB7">
      <w:pPr>
        <w:spacing w:line="360" w:lineRule="auto"/>
        <w:jc w:val="both"/>
        <w:rPr>
          <w:rFonts w:ascii="Palatino Linotype" w:hAnsi="Palatino Linotype" w:cs="Arial"/>
          <w:noProof/>
          <w:color w:val="000000"/>
          <w:lang w:eastAsia="es-MX"/>
        </w:rPr>
      </w:pPr>
    </w:p>
    <w:p w14:paraId="4ACB3BD7" w14:textId="77777777" w:rsidR="00424BB7" w:rsidRPr="009E63DA" w:rsidRDefault="00424BB7" w:rsidP="00424BB7">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424BB7">
        <w:rPr>
          <w:rFonts w:ascii="Palatino Linotype" w:hAnsi="Palatino Linotype" w:cs="Arial"/>
          <w:noProof/>
          <w:color w:val="000000"/>
          <w:lang w:eastAsia="es-MX"/>
        </w:rPr>
        <w:t>no</w:t>
      </w:r>
      <w:r>
        <w:rPr>
          <w:rFonts w:ascii="Palatino Linotype" w:hAnsi="Palatino Linotype" w:cs="Arial"/>
          <w:b/>
          <w:noProof/>
          <w:color w:val="000000"/>
          <w:lang w:eastAsia="es-MX"/>
        </w:rPr>
        <w:t xml:space="preserve"> </w:t>
      </w:r>
      <w:r w:rsidRPr="009E63DA">
        <w:rPr>
          <w:rFonts w:ascii="Palatino Linotype" w:hAnsi="Palatino Linotype" w:cs="Arial"/>
          <w:noProof/>
          <w:color w:val="000000"/>
          <w:lang w:eastAsia="es-MX"/>
        </w:rPr>
        <w:t xml:space="preserve">colmó el derecho de acceso a la información ejercido por el particular. </w:t>
      </w:r>
    </w:p>
    <w:p w14:paraId="71C389A2" w14:textId="77777777" w:rsidR="00AF1A1B" w:rsidRDefault="00AF1A1B" w:rsidP="00AF1A1B">
      <w:pPr>
        <w:tabs>
          <w:tab w:val="left" w:pos="7938"/>
        </w:tabs>
        <w:spacing w:line="360" w:lineRule="auto"/>
        <w:jc w:val="both"/>
        <w:rPr>
          <w:rFonts w:ascii="Palatino Linotype" w:eastAsia="Arial Unicode MS" w:hAnsi="Palatino Linotype" w:cs="Arial"/>
        </w:rPr>
      </w:pPr>
    </w:p>
    <w:p w14:paraId="75840695" w14:textId="77777777" w:rsidR="00AF1A1B" w:rsidRDefault="00AF1A1B" w:rsidP="00AF1A1B">
      <w:pPr>
        <w:tabs>
          <w:tab w:val="left" w:pos="7938"/>
        </w:tabs>
        <w:spacing w:line="360" w:lineRule="auto"/>
        <w:jc w:val="both"/>
        <w:rPr>
          <w:rFonts w:ascii="Palatino Linotype" w:eastAsia="Arial Unicode MS" w:hAnsi="Palatino Linotype" w:cs="Arial"/>
        </w:rPr>
      </w:pPr>
    </w:p>
    <w:p w14:paraId="64FD7059" w14:textId="77777777" w:rsidR="002E087A" w:rsidRPr="002C3EC8" w:rsidRDefault="002E087A" w:rsidP="002E087A">
      <w:pPr>
        <w:autoSpaceDE w:val="0"/>
        <w:autoSpaceDN w:val="0"/>
        <w:adjustRightInd w:val="0"/>
        <w:spacing w:line="360" w:lineRule="auto"/>
        <w:contextualSpacing/>
        <w:jc w:val="both"/>
        <w:rPr>
          <w:rFonts w:ascii="Palatino Linotype" w:hAnsi="Palatino Linotype" w:cs="Arial"/>
          <w:b/>
          <w:i/>
          <w:sz w:val="28"/>
        </w:rPr>
      </w:pPr>
      <w:r w:rsidRPr="002C3EC8">
        <w:rPr>
          <w:rFonts w:ascii="Palatino Linotype" w:hAnsi="Palatino Linotype" w:cs="Arial"/>
          <w:b/>
          <w:i/>
          <w:sz w:val="28"/>
        </w:rPr>
        <w:t>De la versión pública</w:t>
      </w:r>
    </w:p>
    <w:p w14:paraId="69CBE7A9" w14:textId="77777777" w:rsidR="002E087A" w:rsidRDefault="002E087A" w:rsidP="002E087A">
      <w:pPr>
        <w:tabs>
          <w:tab w:val="left" w:pos="7938"/>
        </w:tabs>
        <w:spacing w:before="240" w:after="240" w:line="360" w:lineRule="auto"/>
        <w:jc w:val="both"/>
        <w:rPr>
          <w:rFonts w:ascii="Palatino Linotype" w:eastAsia="Arial Unicode MS" w:hAnsi="Palatino Linotype" w:cs="Arial"/>
        </w:rPr>
      </w:pPr>
      <w:r>
        <w:rPr>
          <w:rFonts w:ascii="Palatino Linotype" w:eastAsia="Arial Unicode MS" w:hAnsi="Palatino Linotype" w:cs="Arial"/>
        </w:rPr>
        <w:t>N</w:t>
      </w:r>
      <w:r w:rsidRPr="001571EB">
        <w:rPr>
          <w:rFonts w:ascii="Palatino Linotype" w:eastAsia="Arial Unicode MS" w:hAnsi="Palatino Linotype" w:cs="Arial"/>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4E833CB9" w14:textId="77777777" w:rsidR="002E087A" w:rsidRPr="00E60DEF" w:rsidRDefault="002E087A" w:rsidP="002E087A">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14:paraId="1BBD687D" w14:textId="77777777" w:rsidR="002E087A" w:rsidRPr="00E60DEF" w:rsidRDefault="002E087A" w:rsidP="002E087A">
      <w:pPr>
        <w:spacing w:before="240" w:line="360" w:lineRule="auto"/>
        <w:ind w:left="851" w:right="851"/>
        <w:jc w:val="both"/>
        <w:rPr>
          <w:rFonts w:ascii="Palatino Linotype" w:hAnsi="Palatino Linotype" w:cs="Arial"/>
          <w:i/>
        </w:rPr>
      </w:pPr>
      <w:r>
        <w:rPr>
          <w:rFonts w:ascii="Palatino Linotype" w:hAnsi="Palatino Linotype" w:cs="Arial"/>
          <w:i/>
        </w:rPr>
        <w:lastRenderedPageBreak/>
        <w:t>(</w:t>
      </w:r>
      <w:r w:rsidRPr="00E60DEF">
        <w:rPr>
          <w:rFonts w:ascii="Palatino Linotype" w:hAnsi="Palatino Linotype" w:cs="Arial"/>
          <w:i/>
        </w:rPr>
        <w:t>…</w:t>
      </w:r>
      <w:r>
        <w:rPr>
          <w:rFonts w:ascii="Palatino Linotype" w:hAnsi="Palatino Linotype" w:cs="Arial"/>
          <w:i/>
        </w:rPr>
        <w:t>)</w:t>
      </w:r>
    </w:p>
    <w:p w14:paraId="4C5E50BC" w14:textId="77777777" w:rsidR="002E087A" w:rsidRPr="001571EB" w:rsidRDefault="002E087A" w:rsidP="002E087A">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14:paraId="594C2785" w14:textId="77777777" w:rsidR="002E087A" w:rsidRPr="001571EB" w:rsidRDefault="002E087A" w:rsidP="002E087A">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14:paraId="5994F062" w14:textId="77777777" w:rsidR="002E087A" w:rsidRPr="001571EB" w:rsidRDefault="002E087A" w:rsidP="002E087A">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14:paraId="41D6BBFD" w14:textId="77777777" w:rsidR="002E087A" w:rsidRPr="001571EB" w:rsidRDefault="002E087A" w:rsidP="002E087A">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de reserva o confidencialidad, de conformidad con lo dispuesto en el presente título.</w:t>
      </w:r>
    </w:p>
    <w:p w14:paraId="65F6B153" w14:textId="77777777" w:rsidR="002E087A" w:rsidRPr="001571EB" w:rsidRDefault="002E087A" w:rsidP="002E087A">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43FDA3E1" w14:textId="77777777" w:rsidR="002E087A" w:rsidRPr="001571EB" w:rsidRDefault="002E087A" w:rsidP="002E087A">
      <w:pPr>
        <w:spacing w:before="240" w:line="360" w:lineRule="auto"/>
        <w:ind w:left="851" w:right="851"/>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14:paraId="7484C9B3" w14:textId="77777777" w:rsidR="002E087A" w:rsidRPr="001571EB" w:rsidRDefault="002E087A" w:rsidP="002E087A">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253AC580" w14:textId="77777777" w:rsidR="002E087A" w:rsidRPr="00E60DEF" w:rsidRDefault="002E087A" w:rsidP="002E087A">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14:paraId="5AB78183" w14:textId="77777777" w:rsidR="002E087A" w:rsidRPr="001571EB" w:rsidRDefault="002E087A" w:rsidP="002E087A">
      <w:pPr>
        <w:spacing w:before="240" w:line="360" w:lineRule="auto"/>
        <w:ind w:left="851" w:right="851"/>
        <w:jc w:val="both"/>
        <w:rPr>
          <w:rFonts w:ascii="Palatino Linotype" w:hAnsi="Palatino Linotype" w:cs="Arial"/>
          <w:b/>
          <w:i/>
        </w:rPr>
      </w:pPr>
      <w:r>
        <w:rPr>
          <w:rFonts w:ascii="Palatino Linotype" w:hAnsi="Palatino Linotype" w:cs="Arial"/>
          <w:b/>
          <w:i/>
        </w:rPr>
        <w:t>(…)</w:t>
      </w:r>
    </w:p>
    <w:p w14:paraId="4CF05967" w14:textId="77777777" w:rsidR="002E087A" w:rsidRDefault="002E087A" w:rsidP="002E087A">
      <w:pPr>
        <w:spacing w:before="240" w:line="360" w:lineRule="auto"/>
        <w:ind w:left="851" w:right="851"/>
        <w:jc w:val="both"/>
        <w:rPr>
          <w:rFonts w:ascii="Palatino Linotype" w:hAnsi="Palatino Linotype" w:cs="Arial"/>
          <w:b/>
          <w:i/>
        </w:rPr>
      </w:pPr>
      <w:r w:rsidRPr="00E60DEF">
        <w:rPr>
          <w:rFonts w:ascii="Palatino Linotype" w:hAnsi="Palatino Linotype" w:cs="Arial"/>
          <w:i/>
        </w:rPr>
        <w:t xml:space="preserve">Artículo 137. Cuando un mismo medio, impreso o electrónico, contenga información pública y reservada o confidencial, la Unidad de Transparencia para efectos de atender una solicitud de información, deberán elaborar una </w:t>
      </w:r>
      <w:r w:rsidRPr="00E60DEF">
        <w:rPr>
          <w:rFonts w:ascii="Palatino Linotype" w:hAnsi="Palatino Linotype" w:cs="Arial"/>
          <w:i/>
        </w:rPr>
        <w:lastRenderedPageBreak/>
        <w:t>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14:paraId="3BA2A3F4" w14:textId="77777777" w:rsidR="002E087A" w:rsidRPr="009E63DA" w:rsidRDefault="002E087A" w:rsidP="002E087A">
      <w:pPr>
        <w:spacing w:line="360" w:lineRule="auto"/>
        <w:jc w:val="both"/>
        <w:rPr>
          <w:rFonts w:ascii="Palatino Linotype" w:hAnsi="Palatino Linotype"/>
        </w:rPr>
      </w:pPr>
    </w:p>
    <w:p w14:paraId="697891D1" w14:textId="77777777" w:rsidR="002E087A" w:rsidRDefault="002E087A" w:rsidP="002E087A">
      <w:pPr>
        <w:spacing w:line="360" w:lineRule="auto"/>
        <w:ind w:right="51"/>
        <w:jc w:val="both"/>
        <w:rPr>
          <w:rFonts w:ascii="Palatino Linotype" w:eastAsia="Arial Unicode MS" w:hAnsi="Palatino Linotype" w:cs="Arial"/>
          <w:lang w:val="es-ES_tradnl" w:eastAsia="es-MX"/>
        </w:rPr>
      </w:pPr>
      <w:r w:rsidRPr="00F54FF7">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517EF862" w14:textId="77777777" w:rsidR="002E087A" w:rsidRDefault="002E087A" w:rsidP="002E087A">
      <w:pPr>
        <w:spacing w:line="360" w:lineRule="auto"/>
        <w:jc w:val="both"/>
        <w:rPr>
          <w:rFonts w:ascii="Palatino Linotype" w:eastAsiaTheme="minorHAnsi" w:hAnsi="Palatino Linotype" w:cstheme="minorBidi"/>
          <w:lang w:val="es-MX" w:eastAsia="en-US"/>
        </w:rPr>
      </w:pPr>
    </w:p>
    <w:p w14:paraId="0F0BB24E" w14:textId="77777777" w:rsidR="002E087A" w:rsidRPr="009A71E1" w:rsidRDefault="002E087A" w:rsidP="002E087A">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sidR="00242957">
        <w:rPr>
          <w:rFonts w:ascii="Palatino Linotype" w:eastAsiaTheme="minorHAnsi" w:hAnsi="Palatino Linotype" w:cstheme="minorBidi"/>
          <w:lang w:val="es-MX" w:eastAsia="en-US"/>
        </w:rPr>
        <w:t xml:space="preserve">primera </w:t>
      </w:r>
      <w:r w:rsidRPr="009A71E1">
        <w:rPr>
          <w:rFonts w:ascii="Palatino Linotype" w:eastAsiaTheme="minorHAnsi" w:hAnsi="Palatino Linotype" w:cstheme="minorBidi"/>
          <w:lang w:val="es-MX" w:eastAsia="en-US"/>
        </w:rPr>
        <w:t xml:space="preserve">hipótesis del artículo 186 fracción III de la Ley de Transparencia y Acceso a la Información Pública del Estado de México y Municipios, se </w:t>
      </w:r>
      <w:r w:rsidR="00242957">
        <w:rPr>
          <w:rFonts w:ascii="Palatino Linotype" w:eastAsiaTheme="minorHAnsi" w:hAnsi="Palatino Linotype" w:cstheme="minorBidi"/>
          <w:b/>
          <w:lang w:val="es-MX" w:eastAsia="en-US"/>
        </w:rPr>
        <w:t>REVO</w:t>
      </w:r>
      <w:r>
        <w:rPr>
          <w:rFonts w:ascii="Palatino Linotype" w:eastAsiaTheme="minorHAnsi" w:hAnsi="Palatino Linotype" w:cstheme="minorBidi"/>
          <w:b/>
          <w:lang w:val="es-MX" w:eastAsia="en-US"/>
        </w:rPr>
        <w:t>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Pr>
          <w:rFonts w:ascii="Palatino Linotype" w:hAnsi="Palatino Linotype"/>
          <w:b/>
          <w:bCs/>
        </w:rPr>
        <w:t>00076/ATLACOM/IP/2025</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14:paraId="4EC400A0" w14:textId="77777777" w:rsidR="002E087A" w:rsidRPr="009A71E1" w:rsidRDefault="002E087A" w:rsidP="002E087A">
      <w:pPr>
        <w:spacing w:line="360" w:lineRule="auto"/>
        <w:jc w:val="both"/>
        <w:rPr>
          <w:rFonts w:ascii="Palatino Linotype" w:eastAsiaTheme="minorHAnsi" w:hAnsi="Palatino Linotype" w:cstheme="minorBidi"/>
          <w:lang w:val="es-MX" w:eastAsia="en-US"/>
        </w:rPr>
      </w:pPr>
    </w:p>
    <w:p w14:paraId="5058CCFF" w14:textId="77777777" w:rsidR="002E087A" w:rsidRDefault="002E087A" w:rsidP="002E087A">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14:paraId="79BD286D" w14:textId="77777777" w:rsidR="002E087A" w:rsidRPr="009A71E1" w:rsidRDefault="002E087A" w:rsidP="002E087A">
      <w:pPr>
        <w:spacing w:line="360" w:lineRule="auto"/>
        <w:jc w:val="both"/>
        <w:rPr>
          <w:rFonts w:ascii="Palatino Linotype" w:hAnsi="Palatino Linotype"/>
          <w:lang w:val="es-MX"/>
        </w:rPr>
      </w:pPr>
    </w:p>
    <w:p w14:paraId="68C4DCF9" w14:textId="77777777" w:rsidR="002E087A" w:rsidRPr="009A71E1" w:rsidRDefault="002E087A" w:rsidP="002E087A">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lastRenderedPageBreak/>
        <w:t>SE    RESUELVE</w:t>
      </w:r>
    </w:p>
    <w:p w14:paraId="635E3491" w14:textId="77777777" w:rsidR="002E087A" w:rsidRPr="00165D42" w:rsidRDefault="002E087A" w:rsidP="002E087A">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sidR="00242957">
        <w:rPr>
          <w:rFonts w:ascii="Palatino Linotype" w:hAnsi="Palatino Linotype" w:cs="Arial"/>
          <w:b/>
        </w:rPr>
        <w:t>REVO</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00076/ATLACOM/IP/2025</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parcialmente 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30137F09" w14:textId="77777777" w:rsidR="002E087A" w:rsidRPr="00165D42" w:rsidRDefault="002E087A" w:rsidP="002E087A">
      <w:pPr>
        <w:spacing w:line="360" w:lineRule="auto"/>
        <w:jc w:val="both"/>
        <w:rPr>
          <w:rFonts w:ascii="Palatino Linotype" w:hAnsi="Palatino Linotype" w:cs="Arial"/>
        </w:rPr>
      </w:pPr>
    </w:p>
    <w:p w14:paraId="76FD465F" w14:textId="77777777" w:rsidR="002E087A" w:rsidRDefault="002E087A" w:rsidP="002E087A">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xml:space="preserve">, </w:t>
      </w:r>
      <w:r>
        <w:rPr>
          <w:rFonts w:ascii="Palatino Linotype" w:hAnsi="Palatino Linotype" w:cs="Tahoma"/>
        </w:rPr>
        <w:t xml:space="preserve">previa búsqueda exhaustiva y razonable, </w:t>
      </w:r>
      <w:r w:rsidRPr="00165D42">
        <w:rPr>
          <w:rFonts w:ascii="Palatino Linotype" w:hAnsi="Palatino Linotype" w:cs="Tahoma"/>
        </w:rPr>
        <w:t>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de </w:t>
      </w:r>
      <w:r w:rsidRPr="00165D42">
        <w:rPr>
          <w:rFonts w:ascii="Palatino Linotype" w:hAnsi="Palatino Linotype" w:cs="Tahoma"/>
        </w:rPr>
        <w:t>lo siguiente:</w:t>
      </w:r>
    </w:p>
    <w:p w14:paraId="6D819D00" w14:textId="77777777" w:rsidR="002E087A" w:rsidRPr="008735FA" w:rsidRDefault="002E087A" w:rsidP="002E087A">
      <w:pPr>
        <w:pStyle w:val="Prrafodelista"/>
        <w:tabs>
          <w:tab w:val="left" w:pos="1828"/>
        </w:tabs>
        <w:spacing w:line="360" w:lineRule="auto"/>
        <w:ind w:left="720"/>
        <w:jc w:val="both"/>
        <w:rPr>
          <w:rFonts w:ascii="Palatino Linotype" w:hAnsi="Palatino Linotype" w:cs="Tahoma"/>
          <w:bCs/>
        </w:rPr>
      </w:pPr>
    </w:p>
    <w:p w14:paraId="2070F7D2" w14:textId="77777777" w:rsidR="002E087A" w:rsidRPr="001D1808" w:rsidRDefault="007E0060" w:rsidP="002E087A">
      <w:pPr>
        <w:pStyle w:val="INFOEM"/>
        <w:numPr>
          <w:ilvl w:val="0"/>
          <w:numId w:val="6"/>
        </w:numPr>
        <w:spacing w:before="0" w:after="0"/>
        <w:ind w:left="709" w:right="567"/>
        <w:rPr>
          <w:i w:val="0"/>
          <w:sz w:val="28"/>
          <w:szCs w:val="24"/>
        </w:rPr>
      </w:pPr>
      <w:r>
        <w:rPr>
          <w:rFonts w:cs="Tahoma"/>
          <w:bCs/>
          <w:i w:val="0"/>
          <w:sz w:val="24"/>
          <w:lang w:val="es-ES"/>
        </w:rPr>
        <w:t>Estados de cuentas bancarias correspondientes a diciembre de 2024.</w:t>
      </w:r>
    </w:p>
    <w:p w14:paraId="28DFFFA5" w14:textId="77777777" w:rsidR="002E087A" w:rsidRDefault="002E087A" w:rsidP="002E087A">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45F13F1" w14:textId="77777777" w:rsidR="002E087A" w:rsidRDefault="002E087A" w:rsidP="002E087A">
      <w:pPr>
        <w:pStyle w:val="Citas"/>
        <w:ind w:left="0"/>
      </w:pPr>
    </w:p>
    <w:p w14:paraId="3E8CC477" w14:textId="77777777" w:rsidR="002E087A" w:rsidRPr="00DC5E29" w:rsidRDefault="002E087A" w:rsidP="002E087A">
      <w:pPr>
        <w:spacing w:line="360" w:lineRule="auto"/>
        <w:jc w:val="both"/>
        <w:rPr>
          <w:rFonts w:ascii="Palatino Linotype" w:hAnsi="Palatino Linotype" w:cs="Arial"/>
        </w:rPr>
      </w:pPr>
    </w:p>
    <w:p w14:paraId="3959E0BF" w14:textId="77777777" w:rsidR="002E087A" w:rsidRPr="00DC5E29" w:rsidRDefault="002E087A" w:rsidP="002E087A">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xml:space="preserve">, para que conforme al artículo 186 último párrafo, 189 segundo párrafo y 194 de la Ley de Transparencia y Acceso a la Información </w:t>
      </w:r>
      <w:r w:rsidRPr="00DC5E29">
        <w:rPr>
          <w:rFonts w:ascii="Palatino Linotype" w:hAnsi="Palatino Linotype" w:cs="Tahoma"/>
        </w:rPr>
        <w:lastRenderedPageBreak/>
        <w:t>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0FDF38" w14:textId="77777777" w:rsidR="002E087A" w:rsidRPr="00DC5E29" w:rsidRDefault="002E087A" w:rsidP="002E087A">
      <w:pPr>
        <w:spacing w:line="360" w:lineRule="auto"/>
        <w:ind w:right="-595"/>
        <w:jc w:val="both"/>
        <w:rPr>
          <w:rFonts w:ascii="Palatino Linotype" w:hAnsi="Palatino Linotype" w:cs="Tahoma"/>
          <w:bCs/>
        </w:rPr>
      </w:pPr>
    </w:p>
    <w:p w14:paraId="23F34D66" w14:textId="77777777" w:rsidR="002E087A" w:rsidRDefault="002E087A" w:rsidP="002E087A">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47ED04AA" w14:textId="77777777" w:rsidR="002E087A" w:rsidRPr="00DC5E29" w:rsidRDefault="002E087A" w:rsidP="002E087A">
      <w:pPr>
        <w:autoSpaceDE w:val="0"/>
        <w:autoSpaceDN w:val="0"/>
        <w:adjustRightInd w:val="0"/>
        <w:spacing w:line="360" w:lineRule="auto"/>
        <w:jc w:val="both"/>
        <w:rPr>
          <w:rFonts w:ascii="Palatino Linotype" w:hAnsi="Palatino Linotype" w:cs="Arial"/>
        </w:rPr>
      </w:pPr>
    </w:p>
    <w:p w14:paraId="6AD8D9F4" w14:textId="77777777" w:rsidR="002E087A" w:rsidRDefault="002E087A" w:rsidP="002E087A">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C2E4A92" w14:textId="77777777" w:rsidR="002E087A" w:rsidRDefault="002E087A" w:rsidP="002E087A">
      <w:pPr>
        <w:spacing w:line="360" w:lineRule="auto"/>
        <w:jc w:val="both"/>
        <w:rPr>
          <w:rFonts w:ascii="Palatino Linotype" w:hAnsi="Palatino Linotype" w:cs="Arial"/>
        </w:rPr>
      </w:pPr>
    </w:p>
    <w:p w14:paraId="36EF904A" w14:textId="20BB7F3F" w:rsidR="002E087A" w:rsidRPr="007C3942" w:rsidRDefault="002E087A" w:rsidP="002E087A">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w:t>
      </w:r>
      <w:r w:rsidRPr="007C3942">
        <w:rPr>
          <w:rFonts w:ascii="Palatino Linotype" w:hAnsi="Palatino Linotype" w:cs="Arial"/>
        </w:rPr>
        <w:lastRenderedPageBreak/>
        <w:t>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Pr>
          <w:rFonts w:ascii="Palatino Linotype" w:hAnsi="Palatino Linotype" w:cs="Arial"/>
        </w:rPr>
        <w:t xml:space="preserve">DÉCIMO SEGUNDA </w:t>
      </w:r>
      <w:r w:rsidRPr="007C3942">
        <w:rPr>
          <w:rFonts w:ascii="Palatino Linotype" w:hAnsi="Palatino Linotype" w:cs="Arial"/>
        </w:rPr>
        <w:t>SESIÓN ORDINARIA CELEBRADA EL</w:t>
      </w:r>
      <w:r>
        <w:rPr>
          <w:rFonts w:ascii="Palatino Linotype" w:hAnsi="Palatino Linotype" w:cs="Arial"/>
        </w:rPr>
        <w:t xml:space="preserve"> DOS DE ABRIL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8562EE" w:rsidRPr="008562EE">
        <w:rPr>
          <w:rFonts w:ascii="Palatino Linotype" w:hAnsi="Palatino Linotype" w:cs="Arial"/>
        </w:rPr>
        <w:t>------------------------------------------------------------------------------------------------------------------------------------------------------------------------------------------------------------------------------------------------------------------------------------------------------------------------------------------------------------------------------------------------------------------------------------------------------------------------------------------------------------------------------------------------------------------------------------------------------------------------------------------------------------------------------------------------------------------------------------------------------------------------------------------------------------------------------------------------------------------------------------------------------------------------------------------------------------------------------------------------------------------------------------------------------------------------------------------------------------------------------------------------------------------------------------------------------------------------------------------------------------------------------------------------------------------------------------------------------------------------------------------------------------------------------------------------------------------------------------------------------------------------------------------------------------------------------------------------------------------------------------------------------------</w:t>
      </w:r>
    </w:p>
    <w:p w14:paraId="1F7F4B24" w14:textId="77777777" w:rsidR="002E087A" w:rsidRDefault="002E087A" w:rsidP="002E087A">
      <w:pPr>
        <w:spacing w:line="360" w:lineRule="auto"/>
        <w:jc w:val="both"/>
        <w:rPr>
          <w:rFonts w:ascii="Palatino Linotype" w:hAnsi="Palatino Linotype" w:cs="Arial"/>
          <w:sz w:val="16"/>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Pr>
          <w:rFonts w:ascii="Palatino Linotype" w:hAnsi="Palatino Linotype" w:cs="Arial"/>
          <w:sz w:val="16"/>
        </w:rPr>
        <w:t>JMV/CCR</w:t>
      </w:r>
      <w:r w:rsidR="006E00CA">
        <w:rPr>
          <w:rFonts w:ascii="Palatino Linotype" w:hAnsi="Palatino Linotype" w:cs="Arial"/>
          <w:sz w:val="16"/>
        </w:rPr>
        <w:t>/LMST</w:t>
      </w:r>
    </w:p>
    <w:p w14:paraId="717258E6" w14:textId="77777777" w:rsidR="002E087A" w:rsidRDefault="002E087A" w:rsidP="002E087A"/>
    <w:p w14:paraId="4AC971EE" w14:textId="77777777" w:rsidR="002E087A" w:rsidRDefault="002E087A" w:rsidP="002E087A"/>
    <w:p w14:paraId="2D249366" w14:textId="77777777" w:rsidR="002E087A" w:rsidRDefault="002E087A" w:rsidP="002E087A"/>
    <w:p w14:paraId="6F378505" w14:textId="77777777" w:rsidR="002E087A" w:rsidRDefault="002E087A" w:rsidP="002E087A"/>
    <w:p w14:paraId="3FF71045" w14:textId="77777777" w:rsidR="002E087A" w:rsidRDefault="002E087A" w:rsidP="002E087A"/>
    <w:p w14:paraId="0437FFDC" w14:textId="77777777" w:rsidR="002E087A" w:rsidRDefault="002E087A" w:rsidP="002E087A"/>
    <w:p w14:paraId="735F57C3" w14:textId="77777777" w:rsidR="002E087A" w:rsidRDefault="002E087A" w:rsidP="002E087A"/>
    <w:p w14:paraId="2BB6C090" w14:textId="77777777" w:rsidR="002E087A" w:rsidRDefault="002E087A" w:rsidP="002E087A"/>
    <w:p w14:paraId="1D061D5F" w14:textId="77777777" w:rsidR="002E087A" w:rsidRDefault="002E087A" w:rsidP="002E087A"/>
    <w:p w14:paraId="0EA17CD0" w14:textId="77777777" w:rsidR="002E087A" w:rsidRDefault="002E087A" w:rsidP="002E087A"/>
    <w:p w14:paraId="643DECFC" w14:textId="77777777" w:rsidR="002E087A" w:rsidRDefault="002E087A" w:rsidP="002E087A"/>
    <w:p w14:paraId="36B96CF1" w14:textId="77777777" w:rsidR="002E087A" w:rsidRDefault="002E087A" w:rsidP="002E087A"/>
    <w:p w14:paraId="02953AE3" w14:textId="77777777" w:rsidR="002E087A" w:rsidRDefault="002E087A" w:rsidP="002E087A"/>
    <w:p w14:paraId="3200C812" w14:textId="77777777" w:rsidR="002E087A" w:rsidRDefault="002E087A" w:rsidP="002E087A"/>
    <w:p w14:paraId="63081775" w14:textId="77777777" w:rsidR="002E087A" w:rsidRDefault="002E087A" w:rsidP="002E087A"/>
    <w:p w14:paraId="4878C7D5" w14:textId="77777777" w:rsidR="002E087A" w:rsidRDefault="002E087A" w:rsidP="002E087A"/>
    <w:p w14:paraId="5C971889" w14:textId="77777777" w:rsidR="002E087A" w:rsidRDefault="002E087A" w:rsidP="002E087A"/>
    <w:p w14:paraId="2B9517A9" w14:textId="77777777" w:rsidR="002E087A" w:rsidRDefault="002E087A" w:rsidP="002E087A"/>
    <w:p w14:paraId="11B98AB6" w14:textId="77777777" w:rsidR="002E087A" w:rsidRDefault="002E087A" w:rsidP="002E087A"/>
    <w:p w14:paraId="160B1334" w14:textId="77777777" w:rsidR="002E087A" w:rsidRDefault="002E087A" w:rsidP="002E087A"/>
    <w:p w14:paraId="41EC7660" w14:textId="77777777" w:rsidR="002E087A" w:rsidRDefault="002E087A" w:rsidP="002E087A"/>
    <w:p w14:paraId="27861B77" w14:textId="77777777" w:rsidR="002E087A" w:rsidRDefault="002E087A" w:rsidP="002E087A"/>
    <w:p w14:paraId="5ED86EDC" w14:textId="77777777" w:rsidR="002E087A" w:rsidRDefault="002E087A" w:rsidP="002E087A"/>
    <w:p w14:paraId="3021C477" w14:textId="77777777" w:rsidR="002E087A" w:rsidRDefault="002E087A" w:rsidP="002E087A"/>
    <w:p w14:paraId="1A7ADB34" w14:textId="77777777" w:rsidR="002E087A" w:rsidRDefault="002E087A" w:rsidP="002E087A"/>
    <w:p w14:paraId="763828CA" w14:textId="77777777" w:rsidR="002E087A" w:rsidRDefault="002E087A" w:rsidP="002E087A"/>
    <w:p w14:paraId="6381B17C" w14:textId="77777777" w:rsidR="002E087A" w:rsidRDefault="002E087A" w:rsidP="002E087A"/>
    <w:p w14:paraId="0182D5AA" w14:textId="77777777" w:rsidR="002E087A" w:rsidRDefault="002E087A" w:rsidP="002E087A"/>
    <w:p w14:paraId="134B98A7" w14:textId="77777777" w:rsidR="002E087A" w:rsidRDefault="002E087A" w:rsidP="002E087A"/>
    <w:p w14:paraId="562BF37E" w14:textId="77777777" w:rsidR="002E087A" w:rsidRDefault="002E087A" w:rsidP="002E087A"/>
    <w:p w14:paraId="6F291049" w14:textId="77777777" w:rsidR="002E087A" w:rsidRDefault="002E087A" w:rsidP="002E087A"/>
    <w:p w14:paraId="1562AB12" w14:textId="77777777" w:rsidR="002E087A" w:rsidRDefault="002E087A" w:rsidP="002E087A"/>
    <w:p w14:paraId="05499068" w14:textId="77777777" w:rsidR="002E087A" w:rsidRDefault="002E087A" w:rsidP="002E087A"/>
    <w:p w14:paraId="7235A877" w14:textId="77777777" w:rsidR="00B57FC5" w:rsidRDefault="00B57FC5"/>
    <w:sectPr w:rsidR="00B57FC5" w:rsidSect="00D7587E">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7621E" w14:textId="77777777" w:rsidR="00D7587E" w:rsidRDefault="00D7587E" w:rsidP="002E087A">
      <w:r>
        <w:separator/>
      </w:r>
    </w:p>
  </w:endnote>
  <w:endnote w:type="continuationSeparator" w:id="0">
    <w:p w14:paraId="48677D43" w14:textId="77777777" w:rsidR="00D7587E" w:rsidRDefault="00D7587E" w:rsidP="002E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7CE5E" w14:textId="77777777" w:rsidR="00D7587E" w:rsidRPr="00A2780F" w:rsidRDefault="00D7587E" w:rsidP="00D7587E">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074C4">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074C4">
      <w:rPr>
        <w:rFonts w:ascii="Arial" w:hAnsi="Arial" w:cs="Arial"/>
        <w:b/>
        <w:bCs/>
        <w:noProof/>
        <w:sz w:val="20"/>
        <w:szCs w:val="20"/>
      </w:rPr>
      <w:t>29</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FDA1" w14:textId="77777777" w:rsidR="00D7587E" w:rsidRPr="00070856" w:rsidRDefault="00D7587E" w:rsidP="00D7587E">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074C4">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074C4">
      <w:rPr>
        <w:rFonts w:ascii="Arial" w:hAnsi="Arial" w:cs="Arial"/>
        <w:b/>
        <w:bCs/>
        <w:noProof/>
        <w:sz w:val="20"/>
        <w:szCs w:val="20"/>
      </w:rPr>
      <w:t>29</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D2040" w14:textId="77777777" w:rsidR="00D7587E" w:rsidRDefault="00D7587E" w:rsidP="002E087A">
      <w:r>
        <w:separator/>
      </w:r>
    </w:p>
  </w:footnote>
  <w:footnote w:type="continuationSeparator" w:id="0">
    <w:p w14:paraId="38C389DC" w14:textId="77777777" w:rsidR="00D7587E" w:rsidRDefault="00D7587E" w:rsidP="002E087A">
      <w:r>
        <w:continuationSeparator/>
      </w:r>
    </w:p>
  </w:footnote>
  <w:footnote w:id="1">
    <w:p w14:paraId="234E8C18" w14:textId="77777777" w:rsidR="00D7587E" w:rsidRPr="005552A8" w:rsidRDefault="00D7587E" w:rsidP="002E087A">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7612A38" w14:textId="77777777" w:rsidR="00D7587E" w:rsidRPr="005552A8" w:rsidRDefault="00D7587E" w:rsidP="002E087A">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D7587E" w:rsidRPr="008F2CCC" w14:paraId="165EF9A1" w14:textId="77777777" w:rsidTr="00D7587E">
      <w:tc>
        <w:tcPr>
          <w:tcW w:w="3620" w:type="dxa"/>
          <w:shd w:val="clear" w:color="auto" w:fill="auto"/>
        </w:tcPr>
        <w:p w14:paraId="5AACFC0E" w14:textId="77777777" w:rsidR="00D7587E" w:rsidRPr="007E5FC4" w:rsidRDefault="00D7587E" w:rsidP="00D7587E">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394E92B5" w14:textId="77777777" w:rsidR="00D7587E" w:rsidRPr="00664658" w:rsidRDefault="00D7587E" w:rsidP="002E087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02165/INFOEM/IP/RR/2025</w:t>
          </w:r>
        </w:p>
      </w:tc>
    </w:tr>
    <w:tr w:rsidR="00D7587E" w:rsidRPr="008F2CCC" w14:paraId="60796299" w14:textId="77777777" w:rsidTr="00D7587E">
      <w:tc>
        <w:tcPr>
          <w:tcW w:w="3620" w:type="dxa"/>
          <w:shd w:val="clear" w:color="auto" w:fill="auto"/>
        </w:tcPr>
        <w:p w14:paraId="549B6117" w14:textId="77777777" w:rsidR="00D7587E" w:rsidRPr="007E5FC4" w:rsidRDefault="00D7587E" w:rsidP="00D7587E">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7E893C2" w14:textId="77777777" w:rsidR="00D7587E" w:rsidRPr="00664658" w:rsidRDefault="00D7587E" w:rsidP="00D7587E">
          <w:pPr>
            <w:spacing w:line="276" w:lineRule="auto"/>
            <w:jc w:val="right"/>
            <w:rPr>
              <w:rFonts w:ascii="Palatino Linotype" w:hAnsi="Palatino Linotype"/>
              <w:b/>
              <w:sz w:val="22"/>
              <w:szCs w:val="22"/>
              <w:lang w:val="es-ES_tradnl"/>
            </w:rPr>
          </w:pPr>
          <w:r w:rsidRPr="002E087A">
            <w:rPr>
              <w:rFonts w:ascii="Palatino Linotype" w:hAnsi="Palatino Linotype"/>
              <w:b/>
              <w:sz w:val="22"/>
              <w:szCs w:val="22"/>
            </w:rPr>
            <w:t>Ayuntamiento de Atlacomulco</w:t>
          </w:r>
        </w:p>
      </w:tc>
    </w:tr>
    <w:tr w:rsidR="00D7587E" w:rsidRPr="008F2CCC" w14:paraId="1A360D8D" w14:textId="77777777" w:rsidTr="00D7587E">
      <w:trPr>
        <w:trHeight w:val="228"/>
      </w:trPr>
      <w:tc>
        <w:tcPr>
          <w:tcW w:w="3620" w:type="dxa"/>
          <w:shd w:val="clear" w:color="auto" w:fill="auto"/>
        </w:tcPr>
        <w:p w14:paraId="2BC881B7" w14:textId="77777777" w:rsidR="00D7587E" w:rsidRPr="007E5FC4" w:rsidRDefault="00D7587E" w:rsidP="00D7587E">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4625262B" w14:textId="77777777" w:rsidR="00D7587E" w:rsidRPr="00664658" w:rsidRDefault="00D7587E" w:rsidP="00D7587E">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26B28A1B" w14:textId="77777777" w:rsidR="00D7587E" w:rsidRDefault="00D7587E" w:rsidP="00D7587E">
    <w:pPr>
      <w:pStyle w:val="Encabezado"/>
      <w:tabs>
        <w:tab w:val="clear" w:pos="4252"/>
        <w:tab w:val="clear" w:pos="8504"/>
        <w:tab w:val="left" w:pos="2326"/>
      </w:tabs>
      <w:rPr>
        <w:rFonts w:ascii="Palatino Linotype" w:hAnsi="Palatino Linotype"/>
        <w:sz w:val="20"/>
      </w:rPr>
    </w:pPr>
  </w:p>
  <w:p w14:paraId="2A68E3E9" w14:textId="77777777" w:rsidR="00D7587E" w:rsidRPr="001779E0" w:rsidRDefault="00D7587E" w:rsidP="00D7587E">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7FBA2E0" wp14:editId="4BA438C7">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D7587E" w:rsidRPr="008F2CCC" w14:paraId="11DF9DC9" w14:textId="77777777" w:rsidTr="00D7587E">
      <w:tc>
        <w:tcPr>
          <w:tcW w:w="2977" w:type="dxa"/>
          <w:shd w:val="clear" w:color="auto" w:fill="auto"/>
        </w:tcPr>
        <w:p w14:paraId="00360C37" w14:textId="77777777" w:rsidR="00D7587E" w:rsidRPr="007E5FC4" w:rsidRDefault="00D7587E" w:rsidP="00D7587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347F4750" w14:textId="77777777" w:rsidR="00D7587E" w:rsidRPr="008F2CCC" w:rsidRDefault="00D7587E" w:rsidP="002E087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02165/INFOEM/IP/RR/2025</w:t>
          </w:r>
        </w:p>
      </w:tc>
    </w:tr>
    <w:tr w:rsidR="00D7587E" w:rsidRPr="008F2CCC" w14:paraId="2AD70CF8" w14:textId="77777777" w:rsidTr="00D7587E">
      <w:tc>
        <w:tcPr>
          <w:tcW w:w="2977" w:type="dxa"/>
          <w:shd w:val="clear" w:color="auto" w:fill="auto"/>
          <w:vAlign w:val="center"/>
        </w:tcPr>
        <w:p w14:paraId="4AB4E217" w14:textId="77777777" w:rsidR="00D7587E" w:rsidRPr="007E5FC4" w:rsidRDefault="00D7587E" w:rsidP="00D7587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18525D6E" w14:textId="1897B3A3" w:rsidR="00D7587E" w:rsidRPr="008F2CCC" w:rsidRDefault="005074C4" w:rsidP="00D7587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r w:rsidR="00D7587E">
            <w:rPr>
              <w:rFonts w:ascii="Palatino Linotype" w:hAnsi="Palatino Linotype"/>
              <w:b/>
              <w:sz w:val="22"/>
              <w:szCs w:val="22"/>
              <w:lang w:val="es-ES_tradnl"/>
            </w:rPr>
            <w:t xml:space="preserve"> </w:t>
          </w:r>
        </w:p>
      </w:tc>
    </w:tr>
    <w:tr w:rsidR="00D7587E" w:rsidRPr="008F2CCC" w14:paraId="2A756D59" w14:textId="77777777" w:rsidTr="00D7587E">
      <w:trPr>
        <w:trHeight w:val="228"/>
      </w:trPr>
      <w:tc>
        <w:tcPr>
          <w:tcW w:w="2977" w:type="dxa"/>
          <w:shd w:val="clear" w:color="auto" w:fill="auto"/>
        </w:tcPr>
        <w:p w14:paraId="17194EED" w14:textId="77777777" w:rsidR="00D7587E" w:rsidRPr="007E5FC4" w:rsidRDefault="00D7587E" w:rsidP="00D7587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40F5A2DA" w14:textId="77777777" w:rsidR="00D7587E" w:rsidRPr="00DC41C8" w:rsidRDefault="00D7587E" w:rsidP="00D7587E">
          <w:pPr>
            <w:spacing w:line="360" w:lineRule="auto"/>
            <w:jc w:val="right"/>
            <w:rPr>
              <w:rFonts w:ascii="Palatino Linotype" w:hAnsi="Palatino Linotype"/>
              <w:b/>
              <w:sz w:val="22"/>
              <w:szCs w:val="22"/>
            </w:rPr>
          </w:pPr>
          <w:r w:rsidRPr="002E087A">
            <w:rPr>
              <w:rFonts w:ascii="Palatino Linotype" w:hAnsi="Palatino Linotype"/>
              <w:b/>
              <w:sz w:val="22"/>
              <w:szCs w:val="22"/>
            </w:rPr>
            <w:t>Ayuntamiento de Atlacomulco</w:t>
          </w:r>
        </w:p>
      </w:tc>
    </w:tr>
    <w:tr w:rsidR="00D7587E" w:rsidRPr="008F2CCC" w14:paraId="1311F582" w14:textId="77777777" w:rsidTr="00D7587E">
      <w:tc>
        <w:tcPr>
          <w:tcW w:w="2977" w:type="dxa"/>
          <w:shd w:val="clear" w:color="auto" w:fill="auto"/>
        </w:tcPr>
        <w:p w14:paraId="75F0B53D" w14:textId="77777777" w:rsidR="00D7587E" w:rsidRPr="007E5FC4" w:rsidRDefault="00D7587E" w:rsidP="00D7587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E65D10F" w14:textId="77777777" w:rsidR="00D7587E" w:rsidRPr="008F2CCC" w:rsidRDefault="00D7587E" w:rsidP="00D7587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33043386" w14:textId="77777777" w:rsidR="00D7587E" w:rsidRPr="009F1AB6" w:rsidRDefault="00D7587E">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622F61E" wp14:editId="3648D635">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C2F523E"/>
    <w:multiLevelType w:val="hybridMultilevel"/>
    <w:tmpl w:val="C43A7F42"/>
    <w:lvl w:ilvl="0" w:tplc="9A2AE9B6">
      <w:start w:val="1"/>
      <w:numFmt w:val="decimal"/>
      <w:lvlText w:val="%1."/>
      <w:lvlJc w:val="left"/>
      <w:pPr>
        <w:ind w:left="720" w:hanging="360"/>
      </w:pPr>
      <w:rPr>
        <w:rFonts w:ascii="Palatino Linotype" w:hAnsi="Palatino Linotype"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514649"/>
    <w:multiLevelType w:val="hybridMultilevel"/>
    <w:tmpl w:val="59F6C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7A"/>
    <w:rsid w:val="00242957"/>
    <w:rsid w:val="002E087A"/>
    <w:rsid w:val="003A192D"/>
    <w:rsid w:val="00424BB7"/>
    <w:rsid w:val="00454EF8"/>
    <w:rsid w:val="005074C4"/>
    <w:rsid w:val="0053583F"/>
    <w:rsid w:val="005C2301"/>
    <w:rsid w:val="005F39E5"/>
    <w:rsid w:val="006E00CA"/>
    <w:rsid w:val="007E0060"/>
    <w:rsid w:val="008562EE"/>
    <w:rsid w:val="009274EE"/>
    <w:rsid w:val="00973012"/>
    <w:rsid w:val="009C61A3"/>
    <w:rsid w:val="00AF1A1B"/>
    <w:rsid w:val="00B57FC5"/>
    <w:rsid w:val="00B90C88"/>
    <w:rsid w:val="00D7587E"/>
    <w:rsid w:val="00EE5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8A0E"/>
  <w15:chartTrackingRefBased/>
  <w15:docId w15:val="{BFC19447-6B07-4C90-9850-E4F24FD6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8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87A"/>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2E087A"/>
    <w:rPr>
      <w:rFonts w:eastAsiaTheme="minorEastAsia"/>
      <w:sz w:val="24"/>
      <w:szCs w:val="24"/>
      <w:lang w:val="es-ES_tradnl" w:eastAsia="es-ES"/>
    </w:rPr>
  </w:style>
  <w:style w:type="paragraph" w:styleId="Piedepgina">
    <w:name w:val="footer"/>
    <w:basedOn w:val="Normal"/>
    <w:link w:val="PiedepginaCar"/>
    <w:uiPriority w:val="99"/>
    <w:unhideWhenUsed/>
    <w:rsid w:val="002E087A"/>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2E087A"/>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E087A"/>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E087A"/>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2E087A"/>
    <w:pPr>
      <w:spacing w:after="0" w:line="240" w:lineRule="auto"/>
    </w:pPr>
  </w:style>
  <w:style w:type="character" w:customStyle="1" w:styleId="SinespaciadoCar">
    <w:name w:val="Sin espaciado Car"/>
    <w:aliases w:val="Francesa Car,INAI Car"/>
    <w:link w:val="Sinespaciado"/>
    <w:uiPriority w:val="1"/>
    <w:locked/>
    <w:rsid w:val="002E087A"/>
  </w:style>
  <w:style w:type="character" w:styleId="Hipervnculo">
    <w:name w:val="Hyperlink"/>
    <w:aliases w:val="Hipervínculo1,Hipervínculo11,Hipervínculo12,Hipervínculo13,Hipervínculo14,Hipervínculo15"/>
    <w:basedOn w:val="Fuentedeprrafopredeter"/>
    <w:uiPriority w:val="99"/>
    <w:unhideWhenUsed/>
    <w:rsid w:val="002E087A"/>
    <w:rPr>
      <w:color w:val="0563C1" w:themeColor="hyperlink"/>
      <w:u w:val="single"/>
    </w:rPr>
  </w:style>
  <w:style w:type="paragraph" w:customStyle="1" w:styleId="INFOEM">
    <w:name w:val="INFOEM"/>
    <w:basedOn w:val="Normal"/>
    <w:qFormat/>
    <w:rsid w:val="002E087A"/>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2E087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E087A"/>
    <w:rPr>
      <w:vertAlign w:val="superscript"/>
    </w:rPr>
  </w:style>
  <w:style w:type="paragraph" w:customStyle="1" w:styleId="infoemcitas">
    <w:name w:val="infoem citas"/>
    <w:basedOn w:val="Normal"/>
    <w:qFormat/>
    <w:rsid w:val="002E087A"/>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2E0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E0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E087A"/>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8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29</Pages>
  <Words>5937</Words>
  <Characters>32657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11</cp:revision>
  <dcterms:created xsi:type="dcterms:W3CDTF">2025-03-24T21:25:00Z</dcterms:created>
  <dcterms:modified xsi:type="dcterms:W3CDTF">2025-04-29T18:13:00Z</dcterms:modified>
</cp:coreProperties>
</file>