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755DA"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CC09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veintiséis de marzo de dos mil veinticinco. </w:t>
      </w:r>
    </w:p>
    <w:p w14:paraId="1795819C" w14:textId="77777777" w:rsidR="00837AB2" w:rsidRPr="00CC09AA" w:rsidRDefault="007D07DF">
      <w:pPr>
        <w:tabs>
          <w:tab w:val="left" w:pos="5812"/>
        </w:tabs>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VISTO</w:t>
      </w:r>
      <w:r w:rsidRPr="00CC09AA">
        <w:rPr>
          <w:rFonts w:ascii="Palatino Linotype" w:eastAsia="Palatino Linotype" w:hAnsi="Palatino Linotype" w:cs="Palatino Linotype"/>
        </w:rPr>
        <w:t xml:space="preserve"> el expediente formado con motivo del recurso de revisión </w:t>
      </w:r>
      <w:r w:rsidRPr="00CC09AA">
        <w:rPr>
          <w:rFonts w:ascii="Palatino Linotype" w:eastAsia="Palatino Linotype" w:hAnsi="Palatino Linotype" w:cs="Palatino Linotype"/>
          <w:b/>
        </w:rPr>
        <w:t>01609/INFOEM/IP/RR/2025</w:t>
      </w:r>
      <w:r w:rsidRPr="00CC09AA">
        <w:rPr>
          <w:rFonts w:ascii="Palatino Linotype" w:eastAsia="Palatino Linotype" w:hAnsi="Palatino Linotype" w:cs="Palatino Linotype"/>
        </w:rPr>
        <w:t xml:space="preserve">, interpuesto por </w:t>
      </w:r>
      <w:r w:rsidRPr="00CC09AA">
        <w:rPr>
          <w:rFonts w:ascii="Palatino Linotype" w:eastAsia="Palatino Linotype" w:hAnsi="Palatino Linotype" w:cs="Palatino Linotype"/>
          <w:b/>
        </w:rPr>
        <w:t xml:space="preserve">una persona que no proporcionó nombre o seudónimo, </w:t>
      </w:r>
      <w:r w:rsidRPr="00CC09AA">
        <w:rPr>
          <w:rFonts w:ascii="Palatino Linotype" w:eastAsia="Palatino Linotype" w:hAnsi="Palatino Linotype" w:cs="Palatino Linotype"/>
        </w:rPr>
        <w:t>en lo sucesivo</w:t>
      </w:r>
      <w:r w:rsidRPr="00CC09AA">
        <w:rPr>
          <w:rFonts w:ascii="Palatino Linotype" w:eastAsia="Palatino Linotype" w:hAnsi="Palatino Linotype" w:cs="Palatino Linotype"/>
          <w:b/>
        </w:rPr>
        <w:t xml:space="preserve"> </w:t>
      </w:r>
      <w:r w:rsidRPr="00CC09AA">
        <w:rPr>
          <w:rFonts w:ascii="Palatino Linotype" w:eastAsia="Palatino Linotype" w:hAnsi="Palatino Linotype" w:cs="Palatino Linotype"/>
        </w:rPr>
        <w:t xml:space="preserve">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en contra de la respuesta a la solicitud de información con número de folio</w:t>
      </w:r>
      <w:r w:rsidRPr="00CC09AA">
        <w:rPr>
          <w:rFonts w:ascii="Palatino Linotype" w:eastAsia="Palatino Linotype" w:hAnsi="Palatino Linotype" w:cs="Palatino Linotype"/>
          <w:b/>
        </w:rPr>
        <w:t xml:space="preserve"> 03477/TOLUCA/IP/2024, </w:t>
      </w:r>
      <w:r w:rsidRPr="00CC09AA">
        <w:rPr>
          <w:rFonts w:ascii="Palatino Linotype" w:eastAsia="Palatino Linotype" w:hAnsi="Palatino Linotype" w:cs="Palatino Linotype"/>
        </w:rPr>
        <w:t xml:space="preserve">por parte del </w:t>
      </w:r>
      <w:r w:rsidRPr="00CC09AA">
        <w:rPr>
          <w:rFonts w:ascii="Palatino Linotype" w:eastAsia="Palatino Linotype" w:hAnsi="Palatino Linotype" w:cs="Palatino Linotype"/>
          <w:b/>
        </w:rPr>
        <w:t xml:space="preserve">Ayuntamiento de Toluca, </w:t>
      </w:r>
      <w:r w:rsidRPr="00CC09AA">
        <w:rPr>
          <w:rFonts w:ascii="Palatino Linotype" w:eastAsia="Palatino Linotype" w:hAnsi="Palatino Linotype" w:cs="Palatino Linotype"/>
        </w:rPr>
        <w:t xml:space="preserve">en lo sucesivo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se procede a dictar la presente resolución con base en los siguientes: </w:t>
      </w:r>
    </w:p>
    <w:p w14:paraId="5D9A096C" w14:textId="77777777" w:rsidR="00837AB2" w:rsidRPr="00CC09AA" w:rsidRDefault="007D07DF">
      <w:pPr>
        <w:spacing w:before="240" w:after="240" w:line="360" w:lineRule="auto"/>
        <w:jc w:val="center"/>
        <w:rPr>
          <w:rFonts w:ascii="Palatino Linotype" w:eastAsia="Palatino Linotype" w:hAnsi="Palatino Linotype" w:cs="Palatino Linotype"/>
          <w:b/>
        </w:rPr>
      </w:pPr>
      <w:r w:rsidRPr="00CC09AA">
        <w:rPr>
          <w:rFonts w:ascii="Palatino Linotype" w:eastAsia="Palatino Linotype" w:hAnsi="Palatino Linotype" w:cs="Palatino Linotype"/>
          <w:b/>
        </w:rPr>
        <w:t>I. A N T E C E D E N T E S</w:t>
      </w:r>
    </w:p>
    <w:p w14:paraId="79686692"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1" w:name="_heading=h.4d34og8" w:colFirst="0" w:colLast="0"/>
      <w:bookmarkEnd w:id="1"/>
      <w:r w:rsidRPr="00CC09AA">
        <w:rPr>
          <w:rFonts w:ascii="Palatino Linotype" w:eastAsia="Palatino Linotype" w:hAnsi="Palatino Linotype" w:cs="Palatino Linotype"/>
          <w:b/>
        </w:rPr>
        <w:t>1. Solicitud de acceso a la información.</w:t>
      </w:r>
      <w:r w:rsidRPr="00CC09AA">
        <w:rPr>
          <w:rFonts w:ascii="Palatino Linotype" w:eastAsia="Palatino Linotype" w:hAnsi="Palatino Linotype" w:cs="Palatino Linotype"/>
        </w:rPr>
        <w:t xml:space="preserve"> El </w:t>
      </w:r>
      <w:r w:rsidRPr="00CC09AA">
        <w:rPr>
          <w:rFonts w:ascii="Palatino Linotype" w:eastAsia="Palatino Linotype" w:hAnsi="Palatino Linotype" w:cs="Palatino Linotype"/>
          <w:b/>
        </w:rPr>
        <w:t>dieciséis</w:t>
      </w:r>
      <w:r w:rsidRPr="00CC09AA">
        <w:rPr>
          <w:rFonts w:ascii="Palatino Linotype" w:eastAsia="Palatino Linotype" w:hAnsi="Palatino Linotype" w:cs="Palatino Linotype"/>
        </w:rPr>
        <w:t xml:space="preserve"> </w:t>
      </w:r>
      <w:r w:rsidRPr="00CC09AA">
        <w:rPr>
          <w:rFonts w:ascii="Palatino Linotype" w:eastAsia="Palatino Linotype" w:hAnsi="Palatino Linotype" w:cs="Palatino Linotype"/>
          <w:b/>
        </w:rPr>
        <w:t>de diciembre de dos mil veinticuatro,</w:t>
      </w:r>
      <w:r w:rsidRPr="00CC09AA">
        <w:rPr>
          <w:rFonts w:ascii="Palatino Linotype" w:eastAsia="Palatino Linotype" w:hAnsi="Palatino Linotype" w:cs="Palatino Linotype"/>
        </w:rPr>
        <w:t xml:space="preserve">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 xml:space="preserve">presentó, a través del Sistema de Acceso a la Información Mexiquense, en lo subsecuente el </w:t>
      </w:r>
      <w:r w:rsidRPr="00CC09AA">
        <w:rPr>
          <w:rFonts w:ascii="Palatino Linotype" w:eastAsia="Palatino Linotype" w:hAnsi="Palatino Linotype" w:cs="Palatino Linotype"/>
          <w:b/>
        </w:rPr>
        <w:t>SAIMEX,</w:t>
      </w:r>
      <w:r w:rsidRPr="00CC09AA">
        <w:rPr>
          <w:rFonts w:ascii="Palatino Linotype" w:eastAsia="Palatino Linotype" w:hAnsi="Palatino Linotype" w:cs="Palatino Linotype"/>
        </w:rPr>
        <w:t xml:space="preserve"> ante 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la solicitud de acceso a la información pública, mediante la cual requirió la información siguiente: </w:t>
      </w:r>
    </w:p>
    <w:p w14:paraId="3533F649" w14:textId="77777777" w:rsidR="00837AB2" w:rsidRPr="00CC09AA" w:rsidRDefault="007D07DF">
      <w:pPr>
        <w:spacing w:before="120" w:after="120"/>
        <w:ind w:left="851" w:right="902"/>
        <w:jc w:val="both"/>
        <w:rPr>
          <w:rFonts w:ascii="Palatino Linotype" w:eastAsia="Palatino Linotype" w:hAnsi="Palatino Linotype" w:cs="Palatino Linotype"/>
          <w:b/>
          <w:i/>
          <w:sz w:val="22"/>
          <w:szCs w:val="22"/>
        </w:rPr>
      </w:pPr>
      <w:bookmarkStart w:id="2" w:name="_heading=h.gjdgxs" w:colFirst="0" w:colLast="0"/>
      <w:bookmarkEnd w:id="2"/>
      <w:r w:rsidRPr="00CC09AA">
        <w:rPr>
          <w:rFonts w:ascii="Palatino Linotype" w:eastAsia="Palatino Linotype" w:hAnsi="Palatino Linotype" w:cs="Palatino Linotype"/>
          <w:i/>
          <w:sz w:val="22"/>
          <w:szCs w:val="22"/>
        </w:rPr>
        <w:t>“Solicito los oficios firmados por el quinto Regidor en enero 2023</w:t>
      </w:r>
      <w:r w:rsidRPr="00CC09AA">
        <w:rPr>
          <w:rFonts w:ascii="Palatino Linotype" w:eastAsia="Palatino Linotype" w:hAnsi="Palatino Linotype" w:cs="Palatino Linotype"/>
          <w:b/>
          <w:i/>
          <w:sz w:val="22"/>
          <w:szCs w:val="22"/>
        </w:rPr>
        <w:t>”</w:t>
      </w:r>
      <w:r w:rsidRPr="00CC09AA">
        <w:rPr>
          <w:rFonts w:ascii="Palatino Linotype" w:eastAsia="Palatino Linotype" w:hAnsi="Palatino Linotype" w:cs="Palatino Linotype"/>
          <w:i/>
          <w:sz w:val="22"/>
          <w:szCs w:val="22"/>
        </w:rPr>
        <w:t xml:space="preserve"> (sic) </w:t>
      </w:r>
    </w:p>
    <w:p w14:paraId="257C231E"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CC09AA">
        <w:rPr>
          <w:rFonts w:ascii="Palatino Linotype" w:eastAsia="Palatino Linotype" w:hAnsi="Palatino Linotype" w:cs="Palatino Linotype"/>
          <w:b/>
        </w:rPr>
        <w:t>Modalidad de Entrega:</w:t>
      </w:r>
      <w:r w:rsidRPr="00CC09AA">
        <w:rPr>
          <w:rFonts w:ascii="Palatino Linotype" w:eastAsia="Palatino Linotype" w:hAnsi="Palatino Linotype" w:cs="Palatino Linotype"/>
        </w:rPr>
        <w:t xml:space="preserve"> a través del</w:t>
      </w:r>
      <w:r w:rsidRPr="00CC09AA">
        <w:rPr>
          <w:rFonts w:ascii="Palatino Linotype" w:eastAsia="Palatino Linotype" w:hAnsi="Palatino Linotype" w:cs="Palatino Linotype"/>
          <w:b/>
        </w:rPr>
        <w:t xml:space="preserve"> SAIMEX.</w:t>
      </w:r>
    </w:p>
    <w:p w14:paraId="265BEC26" w14:textId="77777777" w:rsidR="00837AB2" w:rsidRPr="00CC09AA" w:rsidRDefault="00837AB2">
      <w:pPr>
        <w:spacing w:before="240" w:after="240" w:line="360" w:lineRule="auto"/>
        <w:jc w:val="both"/>
        <w:rPr>
          <w:rFonts w:ascii="Palatino Linotype" w:eastAsia="Palatino Linotype" w:hAnsi="Palatino Linotype" w:cs="Palatino Linotype"/>
        </w:rPr>
      </w:pPr>
    </w:p>
    <w:p w14:paraId="2F7F34C3"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lastRenderedPageBreak/>
        <w:t xml:space="preserve">2. Respuesta. </w:t>
      </w:r>
      <w:r w:rsidRPr="00CC09AA">
        <w:rPr>
          <w:rFonts w:ascii="Palatino Linotype" w:eastAsia="Palatino Linotype" w:hAnsi="Palatino Linotype" w:cs="Palatino Linotype"/>
        </w:rPr>
        <w:t xml:space="preserve">El </w:t>
      </w:r>
      <w:r w:rsidRPr="00CC09AA">
        <w:rPr>
          <w:rFonts w:ascii="Palatino Linotype" w:eastAsia="Palatino Linotype" w:hAnsi="Palatino Linotype" w:cs="Palatino Linotype"/>
          <w:b/>
        </w:rPr>
        <w:t>veintisiete de enero de dos mil veinticinco,</w:t>
      </w:r>
      <w:r w:rsidRPr="00CC09AA">
        <w:rPr>
          <w:rFonts w:ascii="Palatino Linotype" w:eastAsia="Palatino Linotype" w:hAnsi="Palatino Linotype" w:cs="Palatino Linotype"/>
        </w:rPr>
        <w:t xml:space="preserve">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E17F734" w14:textId="77777777" w:rsidR="00837AB2" w:rsidRPr="00CC09AA" w:rsidRDefault="007D07DF">
      <w:pPr>
        <w:spacing w:before="240" w:after="24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“…En atención a la solicitud con folio 03477/TOLUCA/IP/2024, me permito adjuntar al presente la respuesta correspondiente. Sin más por el momento, reciba un saludo...” (sic)</w:t>
      </w:r>
    </w:p>
    <w:p w14:paraId="387361FA"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adjuntó lo siguiente: </w:t>
      </w:r>
    </w:p>
    <w:p w14:paraId="3D8296BA"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Escrito del veintisiete de enero de dos mil veinticinco, mediante el cual el titular de la Unidad de Transparencia hizo del conocimiento de la persona solicitante que el servidor público habilitado de la Quinta Regiduría, después de realizar una búsqueda exhaustiva y razonable en los archivos a su cargo, anexó la información solicitada.</w:t>
      </w:r>
    </w:p>
    <w:p w14:paraId="55DD2E6B"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- 91 oficios signados por el Quinto Regidor durante el mes de enero de 2023, íntegros.</w:t>
      </w:r>
    </w:p>
    <w:p w14:paraId="214A9856"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 Acta de la Séptima Sesión Extraordinaria 2025 del Comité de Transparencia del municipio de Toluca, administración 2025-2027, número CT/SE/07/2025, del trece de enero de dos mil veinticinco, mediante la cual se sometió a consideración de los integrantes a propuesta de clasificación como información confidencial de forma parcial, los datos personales contenidos en de oficios firmados por el segundo síndico de los meses de enero a junio 2023, para dar respuesta a la Solicitudes de Información número 03471/TOLUCA/IP/2024, 03472/TOLUCA/IP/2024, 03473/TOLUCA/IP/2024, 03474/TOLUCA/IP/2024, 03475/TOLUCA/IP/2024, 03476/TOLUCA/IP/2024, 03478/TOLUCA/IP/2024, 03479/TOLUCA/IP/2024, </w:t>
      </w:r>
      <w:r w:rsidRPr="00CC09AA">
        <w:rPr>
          <w:rFonts w:ascii="Palatino Linotype" w:eastAsia="Palatino Linotype" w:hAnsi="Palatino Linotype" w:cs="Palatino Linotype"/>
        </w:rPr>
        <w:lastRenderedPageBreak/>
        <w:t>03480/TOLUCA/IP/2024, 03481/TOLUCA/IP/2024 y 03482/TOLUCA/IP/2024, presentada por el Servidor Público Habilitado de la Segunda Sindicatura.</w:t>
      </w:r>
    </w:p>
    <w:p w14:paraId="45C2F070"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b/>
        </w:rPr>
        <w:t xml:space="preserve">3. Interposición del recurso de revisión. </w:t>
      </w:r>
      <w:r w:rsidRPr="00CC09AA">
        <w:rPr>
          <w:rFonts w:ascii="Palatino Linotype" w:eastAsia="Palatino Linotype" w:hAnsi="Palatino Linotype" w:cs="Palatino Linotype"/>
        </w:rPr>
        <w:t xml:space="preserve">Inconforme con los términos de la respuesta emitida por parte del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el </w:t>
      </w:r>
      <w:r w:rsidRPr="00CC09AA">
        <w:rPr>
          <w:rFonts w:ascii="Palatino Linotype" w:eastAsia="Palatino Linotype" w:hAnsi="Palatino Linotype" w:cs="Palatino Linotype"/>
          <w:b/>
        </w:rPr>
        <w:t xml:space="preserve">dieciocho de febrero de dos mil veinticinco, </w:t>
      </w:r>
      <w:r w:rsidRPr="00CC09AA">
        <w:rPr>
          <w:rFonts w:ascii="Palatino Linotype" w:eastAsia="Palatino Linotype" w:hAnsi="Palatino Linotype" w:cs="Palatino Linotype"/>
        </w:rPr>
        <w:t xml:space="preserve">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interpuso el recurso de revisión a través de </w:t>
      </w:r>
      <w:r w:rsidRPr="00CC09AA">
        <w:rPr>
          <w:rFonts w:ascii="Palatino Linotype" w:eastAsia="Palatino Linotype" w:hAnsi="Palatino Linotype" w:cs="Palatino Linotype"/>
          <w:b/>
        </w:rPr>
        <w:t xml:space="preserve">SAIMEX, </w:t>
      </w:r>
      <w:r w:rsidRPr="00CC09AA">
        <w:rPr>
          <w:rFonts w:ascii="Palatino Linotype" w:eastAsia="Palatino Linotype" w:hAnsi="Palatino Linotype" w:cs="Palatino Linotype"/>
        </w:rPr>
        <w:t>en donde se manifestó de la siguiente manera:</w:t>
      </w:r>
    </w:p>
    <w:p w14:paraId="628EC051" w14:textId="77777777" w:rsidR="00837AB2" w:rsidRPr="00CC09AA" w:rsidRDefault="007D07DF">
      <w:pPr>
        <w:tabs>
          <w:tab w:val="left" w:pos="2745"/>
        </w:tabs>
        <w:spacing w:before="240" w:after="240" w:line="360" w:lineRule="auto"/>
        <w:jc w:val="both"/>
        <w:rPr>
          <w:rFonts w:ascii="Palatino Linotype" w:eastAsia="Palatino Linotype" w:hAnsi="Palatino Linotype" w:cs="Palatino Linotype"/>
          <w:b/>
        </w:rPr>
      </w:pPr>
      <w:r w:rsidRPr="00CC09AA">
        <w:rPr>
          <w:rFonts w:ascii="Palatino Linotype" w:eastAsia="Palatino Linotype" w:hAnsi="Palatino Linotype" w:cs="Palatino Linotype"/>
          <w:b/>
        </w:rPr>
        <w:t xml:space="preserve">Acto impugnado: </w:t>
      </w:r>
    </w:p>
    <w:p w14:paraId="1974D625" w14:textId="77777777" w:rsidR="00837AB2" w:rsidRPr="00CC09AA" w:rsidRDefault="007D07DF">
      <w:pPr>
        <w:tabs>
          <w:tab w:val="left" w:pos="2745"/>
        </w:tabs>
        <w:spacing w:before="240" w:after="24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roofErr w:type="spellStart"/>
      <w:r w:rsidRPr="00CC09AA">
        <w:rPr>
          <w:rFonts w:ascii="Palatino Linotype" w:eastAsia="Palatino Linotype" w:hAnsi="Palatino Linotype" w:cs="Palatino Linotype"/>
          <w:i/>
          <w:sz w:val="22"/>
          <w:szCs w:val="22"/>
        </w:rPr>
        <w:t>esta</w:t>
      </w:r>
      <w:proofErr w:type="spellEnd"/>
      <w:r w:rsidRPr="00CC09AA">
        <w:rPr>
          <w:rFonts w:ascii="Palatino Linotype" w:eastAsia="Palatino Linotype" w:hAnsi="Palatino Linotype" w:cs="Palatino Linotype"/>
          <w:i/>
          <w:sz w:val="22"/>
          <w:szCs w:val="22"/>
        </w:rPr>
        <w:t xml:space="preserve"> incompleta la respuesta” (sic)</w:t>
      </w:r>
    </w:p>
    <w:p w14:paraId="32480071" w14:textId="77777777" w:rsidR="00837AB2" w:rsidRPr="00CC09AA" w:rsidRDefault="007D07DF">
      <w:pPr>
        <w:spacing w:line="360" w:lineRule="auto"/>
        <w:jc w:val="both"/>
        <w:rPr>
          <w:rFonts w:ascii="Palatino Linotype" w:eastAsia="Palatino Linotype" w:hAnsi="Palatino Linotype" w:cs="Palatino Linotype"/>
        </w:rPr>
      </w:pPr>
      <w:bookmarkStart w:id="4" w:name="_heading=h.30j0zll" w:colFirst="0" w:colLast="0"/>
      <w:bookmarkEnd w:id="4"/>
      <w:r w:rsidRPr="00CC09AA">
        <w:rPr>
          <w:rFonts w:ascii="Palatino Linotype" w:eastAsia="Palatino Linotype" w:hAnsi="Palatino Linotype" w:cs="Palatino Linotype"/>
          <w:b/>
        </w:rPr>
        <w:t>Y, Razones o motivos de inconformidad</w:t>
      </w:r>
      <w:r w:rsidRPr="00CC09AA">
        <w:rPr>
          <w:rFonts w:ascii="Palatino Linotype" w:eastAsia="Palatino Linotype" w:hAnsi="Palatino Linotype" w:cs="Palatino Linotype"/>
        </w:rPr>
        <w:t>:</w:t>
      </w:r>
    </w:p>
    <w:p w14:paraId="0F45AEF8" w14:textId="77777777" w:rsidR="00837AB2" w:rsidRPr="00CC09AA" w:rsidRDefault="007D07DF">
      <w:pPr>
        <w:tabs>
          <w:tab w:val="left" w:pos="2745"/>
        </w:tabs>
        <w:spacing w:before="240" w:after="24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roofErr w:type="spellStart"/>
      <w:r w:rsidRPr="00CC09AA">
        <w:rPr>
          <w:rFonts w:ascii="Palatino Linotype" w:eastAsia="Palatino Linotype" w:hAnsi="Palatino Linotype" w:cs="Palatino Linotype"/>
          <w:i/>
          <w:sz w:val="22"/>
          <w:szCs w:val="22"/>
        </w:rPr>
        <w:t>esta</w:t>
      </w:r>
      <w:proofErr w:type="spellEnd"/>
      <w:r w:rsidRPr="00CC09AA">
        <w:rPr>
          <w:rFonts w:ascii="Palatino Linotype" w:eastAsia="Palatino Linotype" w:hAnsi="Palatino Linotype" w:cs="Palatino Linotype"/>
          <w:i/>
          <w:sz w:val="22"/>
          <w:szCs w:val="22"/>
        </w:rPr>
        <w:t xml:space="preserve"> incompleta la respuesta” (sic)</w:t>
      </w:r>
    </w:p>
    <w:p w14:paraId="7F56113E" w14:textId="77777777" w:rsidR="00837AB2" w:rsidRPr="00CC09AA" w:rsidRDefault="007D07DF">
      <w:pPr>
        <w:spacing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 xml:space="preserve">4. Turno. </w:t>
      </w:r>
      <w:r w:rsidRPr="00CC09A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C09AA">
        <w:rPr>
          <w:rFonts w:ascii="Palatino Linotype" w:eastAsia="Palatino Linotype" w:hAnsi="Palatino Linotype" w:cs="Palatino Linotype"/>
          <w:b/>
        </w:rPr>
        <w:t xml:space="preserve">Guadalupe Ramírez Peña, </w:t>
      </w:r>
      <w:r w:rsidRPr="00CC09AA">
        <w:rPr>
          <w:rFonts w:ascii="Palatino Linotype" w:eastAsia="Palatino Linotype" w:hAnsi="Palatino Linotype" w:cs="Palatino Linotype"/>
        </w:rPr>
        <w:t xml:space="preserve">a efecto de que analizara sobre su admisión o su </w:t>
      </w:r>
      <w:proofErr w:type="spellStart"/>
      <w:r w:rsidRPr="00CC09AA">
        <w:rPr>
          <w:rFonts w:ascii="Palatino Linotype" w:eastAsia="Palatino Linotype" w:hAnsi="Palatino Linotype" w:cs="Palatino Linotype"/>
        </w:rPr>
        <w:t>desechamiento</w:t>
      </w:r>
      <w:proofErr w:type="spellEnd"/>
      <w:r w:rsidRPr="00CC09AA">
        <w:rPr>
          <w:rFonts w:ascii="Palatino Linotype" w:eastAsia="Palatino Linotype" w:hAnsi="Palatino Linotype" w:cs="Palatino Linotype"/>
        </w:rPr>
        <w:t>.</w:t>
      </w:r>
    </w:p>
    <w:p w14:paraId="23E07DB9"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5. Admisión del Recurso de revisión.</w:t>
      </w:r>
      <w:r w:rsidRPr="00CC09AA">
        <w:rPr>
          <w:rFonts w:ascii="Palatino Linotype" w:eastAsia="Palatino Linotype" w:hAnsi="Palatino Linotype" w:cs="Palatino Linotype"/>
        </w:rPr>
        <w:t xml:space="preserve"> El</w:t>
      </w:r>
      <w:r w:rsidRPr="00CC09AA">
        <w:rPr>
          <w:rFonts w:ascii="Palatino Linotype" w:eastAsia="Palatino Linotype" w:hAnsi="Palatino Linotype" w:cs="Palatino Linotype"/>
          <w:b/>
        </w:rPr>
        <w:t xml:space="preserve"> veintiuno de febrero de dos mil veinticinco, </w:t>
      </w:r>
      <w:r w:rsidRPr="00CC09A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CC09AA">
        <w:rPr>
          <w:rFonts w:ascii="Palatino Linotype" w:eastAsia="Palatino Linotype" w:hAnsi="Palatino Linotype" w:cs="Palatino Linotype"/>
        </w:rPr>
        <w:lastRenderedPageBreak/>
        <w:t xml:space="preserve">conveniente, ofrecieran pruebas, formularan alegatos y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presentara su informe justificado.</w:t>
      </w:r>
    </w:p>
    <w:p w14:paraId="7643E1F8"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CC09AA">
        <w:rPr>
          <w:rFonts w:ascii="Palatino Linotype" w:eastAsia="Palatino Linotype" w:hAnsi="Palatino Linotype" w:cs="Palatino Linotype"/>
          <w:b/>
        </w:rPr>
        <w:t>6. Manifestaciones</w:t>
      </w:r>
      <w:r w:rsidRPr="00CC09AA">
        <w:rPr>
          <w:rFonts w:ascii="Palatino Linotype" w:eastAsia="Palatino Linotype" w:hAnsi="Palatino Linotype" w:cs="Palatino Linotype"/>
        </w:rPr>
        <w:t xml:space="preserve">. El </w:t>
      </w:r>
      <w:r w:rsidRPr="00CC09AA">
        <w:rPr>
          <w:rFonts w:ascii="Palatino Linotype" w:eastAsia="Palatino Linotype" w:hAnsi="Palatino Linotype" w:cs="Palatino Linotype"/>
          <w:b/>
        </w:rPr>
        <w:t>cinco de marzo dos mil veinticinco</w:t>
      </w:r>
      <w:r w:rsidRPr="00CC09AA">
        <w:rPr>
          <w:rFonts w:ascii="Palatino Linotype" w:eastAsia="Palatino Linotype" w:hAnsi="Palatino Linotype" w:cs="Palatino Linotype"/>
        </w:rPr>
        <w:t xml:space="preserve">, 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remitió, a través de SAIMEX, su informe justificado, mediante el cual, por conducto del Titular de la Unidad de Transparencia, ratificó en lo sustancial la  respuesta emitida en primera instancia, manifestando que se entregó lo que obra de acuerdo a lo requerido en la solicitud de acceso a la información pública, en atención a lo manifestado por el Servidor Público Habilitado Competente, cumpliendo con el principio de legalidad y el derecho de acceso a la información pública.</w:t>
      </w:r>
    </w:p>
    <w:p w14:paraId="2540D70A" w14:textId="77777777" w:rsidR="00837AB2" w:rsidRPr="00CC09AA" w:rsidRDefault="007D07DF">
      <w:pPr>
        <w:spacing w:before="240" w:after="240" w:line="360" w:lineRule="auto"/>
        <w:jc w:val="both"/>
        <w:rPr>
          <w:rFonts w:ascii="Palatino Linotype" w:eastAsia="Palatino Linotype" w:hAnsi="Palatino Linotype" w:cs="Palatino Linotype"/>
          <w:b/>
        </w:rPr>
      </w:pPr>
      <w:r w:rsidRPr="00CC09AA">
        <w:rPr>
          <w:rFonts w:ascii="Palatino Linotype" w:eastAsia="Palatino Linotype" w:hAnsi="Palatino Linotype" w:cs="Palatino Linotype"/>
        </w:rPr>
        <w:t xml:space="preserve">Una vez analizada la información, se hizo del conocimiento de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con la finalidad de que manifestara lo que a su derecho estimara conveniente, sin embargo, fue omisa en ejercer dicha prerrogativa.</w:t>
      </w:r>
    </w:p>
    <w:p w14:paraId="43865C7F"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 xml:space="preserve">7. Cierre de instrucción. </w:t>
      </w:r>
      <w:r w:rsidRPr="00CC09AA">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C09AA">
        <w:rPr>
          <w:rFonts w:ascii="Palatino Linotype" w:eastAsia="Palatino Linotype" w:hAnsi="Palatino Linotype" w:cs="Palatino Linotype"/>
          <w:b/>
        </w:rPr>
        <w:t>trece de marzo de dos mil veinticinco</w:t>
      </w:r>
      <w:r w:rsidRPr="00CC09A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4974104"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A5F7DF" w14:textId="77777777" w:rsidR="00837AB2" w:rsidRPr="00CC09AA" w:rsidRDefault="00837AB2">
      <w:pPr>
        <w:spacing w:before="240" w:after="240" w:line="360" w:lineRule="auto"/>
        <w:jc w:val="both"/>
        <w:rPr>
          <w:rFonts w:ascii="Palatino Linotype" w:eastAsia="Palatino Linotype" w:hAnsi="Palatino Linotype" w:cs="Palatino Linotype"/>
        </w:rPr>
      </w:pPr>
    </w:p>
    <w:p w14:paraId="3F22C914" w14:textId="77777777" w:rsidR="00837AB2" w:rsidRPr="00CC09AA" w:rsidRDefault="00837AB2">
      <w:pPr>
        <w:spacing w:before="240" w:after="240" w:line="360" w:lineRule="auto"/>
        <w:jc w:val="both"/>
        <w:rPr>
          <w:rFonts w:ascii="Palatino Linotype" w:eastAsia="Palatino Linotype" w:hAnsi="Palatino Linotype" w:cs="Palatino Linotype"/>
        </w:rPr>
      </w:pPr>
    </w:p>
    <w:p w14:paraId="3488DE68" w14:textId="77777777" w:rsidR="00837AB2" w:rsidRPr="00CC09AA" w:rsidRDefault="007D07DF">
      <w:pPr>
        <w:widowControl w:val="0"/>
        <w:spacing w:before="240" w:after="240" w:line="360" w:lineRule="auto"/>
        <w:jc w:val="center"/>
        <w:rPr>
          <w:rFonts w:ascii="Palatino Linotype" w:eastAsia="Palatino Linotype" w:hAnsi="Palatino Linotype" w:cs="Palatino Linotype"/>
          <w:b/>
        </w:rPr>
      </w:pPr>
      <w:r w:rsidRPr="00CC09AA">
        <w:rPr>
          <w:rFonts w:ascii="Palatino Linotype" w:eastAsia="Palatino Linotype" w:hAnsi="Palatino Linotype" w:cs="Palatino Linotype"/>
          <w:b/>
        </w:rPr>
        <w:lastRenderedPageBreak/>
        <w:t>II. C O N S I D E R A N D O S</w:t>
      </w:r>
    </w:p>
    <w:p w14:paraId="01C902F8"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Primero. Competencia.</w:t>
      </w:r>
      <w:r w:rsidRPr="00CC09A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8386A3"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CC09AA">
        <w:rPr>
          <w:rFonts w:ascii="Palatino Linotype" w:eastAsia="Palatino Linotype" w:hAnsi="Palatino Linotype" w:cs="Palatino Linotype"/>
          <w:b/>
        </w:rPr>
        <w:t>Segundo. Oportunidad y Procedibilidad del Recurso de Revisión</w:t>
      </w:r>
      <w:r w:rsidRPr="00CC09A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D0EAF1"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remitió la respuesta a la solicitud de información el día </w:t>
      </w:r>
      <w:r w:rsidRPr="00CC09AA">
        <w:rPr>
          <w:rFonts w:ascii="Palatino Linotype" w:eastAsia="Palatino Linotype" w:hAnsi="Palatino Linotype" w:cs="Palatino Linotype"/>
          <w:b/>
        </w:rPr>
        <w:t xml:space="preserve">veintisiete de enero de dos mil veinticinco, </w:t>
      </w:r>
      <w:r w:rsidRPr="00CC09AA">
        <w:rPr>
          <w:rFonts w:ascii="Palatino Linotype" w:eastAsia="Palatino Linotype" w:hAnsi="Palatino Linotype" w:cs="Palatino Linotype"/>
        </w:rPr>
        <w:t xml:space="preserve">mientras que el recurso de revisión interpuesto por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se tuvo por presentado el día</w:t>
      </w:r>
      <w:r w:rsidRPr="00CC09AA">
        <w:rPr>
          <w:rFonts w:ascii="Palatino Linotype" w:eastAsia="Palatino Linotype" w:hAnsi="Palatino Linotype" w:cs="Palatino Linotype"/>
          <w:b/>
        </w:rPr>
        <w:t xml:space="preserve"> dieciocho de febrero de dos mil veinticinco, </w:t>
      </w:r>
      <w:r w:rsidRPr="00CC09AA">
        <w:rPr>
          <w:rFonts w:ascii="Palatino Linotype" w:eastAsia="Palatino Linotype" w:hAnsi="Palatino Linotype" w:cs="Palatino Linotype"/>
        </w:rPr>
        <w:t xml:space="preserve">esto es </w:t>
      </w:r>
      <w:r w:rsidRPr="00CC09AA">
        <w:rPr>
          <w:rFonts w:ascii="Palatino Linotype" w:eastAsia="Palatino Linotype" w:hAnsi="Palatino Linotype" w:cs="Palatino Linotype"/>
        </w:rPr>
        <w:lastRenderedPageBreak/>
        <w:t>al décimo quinto día hábil posterior a aquel en el que tuvo conocimiento de la respuesta impugnada. En este sentido, se concluye que el presente recurso de revisión se encuentra dentro de los márgenes temporales previstos en las disposiciones legales referidas.</w:t>
      </w:r>
    </w:p>
    <w:p w14:paraId="08D1F439"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CC09AA">
        <w:rPr>
          <w:rFonts w:ascii="Palatino Linotype" w:eastAsia="Palatino Linotype" w:hAnsi="Palatino Linotype" w:cs="Palatino Linotype"/>
        </w:rPr>
        <w:t>Además, por cuanto hace a la procedibilidad del recurso de revisión, es de suma importancia señalar que la parte</w:t>
      </w:r>
      <w:r w:rsidRPr="00CC09AA">
        <w:rPr>
          <w:rFonts w:ascii="Palatino Linotype" w:eastAsia="Palatino Linotype" w:hAnsi="Palatino Linotype" w:cs="Palatino Linotype"/>
          <w:b/>
        </w:rPr>
        <w:t xml:space="preserve"> Recurrente</w:t>
      </w:r>
      <w:r w:rsidRPr="00CC09AA">
        <w:rPr>
          <w:rFonts w:ascii="Palatino Linotype" w:eastAsia="Palatino Linotype" w:hAnsi="Palatino Linotype" w:cs="Palatino Linotype"/>
        </w:rPr>
        <w:t xml:space="preserve">, no señaló un </w:t>
      </w:r>
      <w:r w:rsidRPr="00CC09AA">
        <w:rPr>
          <w:rFonts w:ascii="Palatino Linotype" w:eastAsia="Palatino Linotype" w:hAnsi="Palatino Linotype" w:cs="Palatino Linotype"/>
          <w:b/>
        </w:rPr>
        <w:t>nombre</w:t>
      </w:r>
      <w:r w:rsidRPr="00CC09AA">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92EBEC" w14:textId="77777777" w:rsidR="00837AB2" w:rsidRPr="00CC09AA" w:rsidRDefault="007D07DF">
      <w:pPr>
        <w:spacing w:before="120" w:after="120"/>
        <w:ind w:left="851" w:right="758"/>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Las solicitudes anónimas</w:t>
      </w:r>
      <w:r w:rsidRPr="00CC09AA">
        <w:rPr>
          <w:rFonts w:ascii="Palatino Linotype" w:eastAsia="Palatino Linotype" w:hAnsi="Palatino Linotype" w:cs="Palatino Linotype"/>
          <w:i/>
          <w:sz w:val="22"/>
          <w:szCs w:val="22"/>
        </w:rPr>
        <w:t xml:space="preserve">, con nombre incompleto o </w:t>
      </w:r>
      <w:r w:rsidRPr="00CC09AA">
        <w:rPr>
          <w:rFonts w:ascii="Palatino Linotype" w:eastAsia="Palatino Linotype" w:hAnsi="Palatino Linotype" w:cs="Palatino Linotype"/>
          <w:b/>
          <w:i/>
          <w:sz w:val="22"/>
          <w:szCs w:val="22"/>
        </w:rPr>
        <w:t>seudónimo</w:t>
      </w:r>
      <w:r w:rsidRPr="00CC09AA">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1471A5F0" w14:textId="77777777" w:rsidR="00837AB2" w:rsidRPr="00CC09AA" w:rsidRDefault="007D07DF">
      <w:pPr>
        <w:spacing w:before="240" w:after="240" w:line="360" w:lineRule="auto"/>
        <w:jc w:val="both"/>
        <w:rPr>
          <w:rFonts w:ascii="Palatino Linotype" w:eastAsia="Palatino Linotype" w:hAnsi="Palatino Linotype" w:cs="Palatino Linotype"/>
          <w:b/>
        </w:rPr>
      </w:pPr>
      <w:r w:rsidRPr="00CC09AA">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CC09AA">
        <w:rPr>
          <w:rFonts w:ascii="Palatino Linotype" w:eastAsia="Palatino Linotype" w:hAnsi="Palatino Linotype" w:cs="Palatino Linotype"/>
          <w:b/>
        </w:rPr>
        <w:t xml:space="preserve"> SAIMEX.</w:t>
      </w:r>
    </w:p>
    <w:p w14:paraId="66F79C8F"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Finalmente, se advierte que resulta procedente la interposición del recurso, según lo manifestado por 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en sus motivos de inconformidad, de acuerdo al artículo 179, fracción V del ordenamiento legal citado, que a la letra dice: </w:t>
      </w:r>
    </w:p>
    <w:p w14:paraId="443E18E1" w14:textId="77777777" w:rsidR="00837AB2" w:rsidRPr="00CC09AA" w:rsidRDefault="007D07DF">
      <w:pPr>
        <w:tabs>
          <w:tab w:val="left" w:pos="7938"/>
        </w:tabs>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lastRenderedPageBreak/>
        <w:t>“</w:t>
      </w:r>
      <w:r w:rsidRPr="00CC09AA">
        <w:rPr>
          <w:rFonts w:ascii="Palatino Linotype" w:eastAsia="Palatino Linotype" w:hAnsi="Palatino Linotype" w:cs="Palatino Linotype"/>
          <w:b/>
          <w:i/>
          <w:sz w:val="22"/>
          <w:szCs w:val="22"/>
        </w:rPr>
        <w:t>Artículo 179.</w:t>
      </w:r>
      <w:r w:rsidRPr="00CC09A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D4D3E0A" w14:textId="77777777" w:rsidR="00837AB2" w:rsidRPr="00CC09AA" w:rsidRDefault="007D07DF">
      <w:pPr>
        <w:tabs>
          <w:tab w:val="left" w:pos="7938"/>
        </w:tabs>
        <w:spacing w:before="120" w:after="120"/>
        <w:ind w:left="1134" w:right="900"/>
        <w:jc w:val="both"/>
        <w:rPr>
          <w:rFonts w:ascii="Palatino Linotype" w:eastAsia="Palatino Linotype" w:hAnsi="Palatino Linotype" w:cs="Palatino Linotype"/>
          <w:b/>
          <w:i/>
          <w:sz w:val="22"/>
          <w:szCs w:val="22"/>
        </w:rPr>
      </w:pPr>
      <w:r w:rsidRPr="00CC09AA">
        <w:rPr>
          <w:rFonts w:ascii="Palatino Linotype" w:eastAsia="Palatino Linotype" w:hAnsi="Palatino Linotype" w:cs="Palatino Linotype"/>
          <w:b/>
          <w:i/>
          <w:sz w:val="22"/>
          <w:szCs w:val="22"/>
        </w:rPr>
        <w:t>…</w:t>
      </w:r>
    </w:p>
    <w:p w14:paraId="3751D85B" w14:textId="77777777" w:rsidR="00837AB2" w:rsidRPr="00CC09AA" w:rsidRDefault="007D07DF">
      <w:pPr>
        <w:tabs>
          <w:tab w:val="left" w:pos="7938"/>
        </w:tabs>
        <w:spacing w:before="120" w:after="120"/>
        <w:ind w:left="1134" w:right="900"/>
        <w:jc w:val="both"/>
        <w:rPr>
          <w:rFonts w:ascii="Palatino Linotype" w:eastAsia="Palatino Linotype" w:hAnsi="Palatino Linotype" w:cs="Palatino Linotype"/>
          <w:i/>
          <w:sz w:val="20"/>
          <w:szCs w:val="20"/>
        </w:rPr>
      </w:pPr>
      <w:r w:rsidRPr="00CC09AA">
        <w:rPr>
          <w:rFonts w:ascii="Palatino Linotype" w:eastAsia="Palatino Linotype" w:hAnsi="Palatino Linotype" w:cs="Palatino Linotype"/>
          <w:b/>
          <w:i/>
          <w:sz w:val="22"/>
          <w:szCs w:val="22"/>
        </w:rPr>
        <w:t>V.</w:t>
      </w:r>
      <w:r w:rsidRPr="00CC09AA">
        <w:rPr>
          <w:rFonts w:ascii="Palatino Linotype" w:eastAsia="Palatino Linotype" w:hAnsi="Palatino Linotype" w:cs="Palatino Linotype"/>
          <w:i/>
          <w:sz w:val="22"/>
          <w:szCs w:val="22"/>
        </w:rPr>
        <w:t xml:space="preserve"> La entrega de información incompleta</w:t>
      </w:r>
      <w:r w:rsidRPr="00CC09AA">
        <w:rPr>
          <w:rFonts w:ascii="Palatino Linotype" w:eastAsia="Palatino Linotype" w:hAnsi="Palatino Linotype" w:cs="Palatino Linotype"/>
          <w:sz w:val="22"/>
          <w:szCs w:val="22"/>
        </w:rPr>
        <w:t xml:space="preserve">; </w:t>
      </w:r>
      <w:r w:rsidRPr="00CC09AA">
        <w:rPr>
          <w:rFonts w:ascii="Palatino Linotype" w:eastAsia="Palatino Linotype" w:hAnsi="Palatino Linotype" w:cs="Palatino Linotype"/>
          <w:i/>
          <w:sz w:val="20"/>
          <w:szCs w:val="20"/>
        </w:rPr>
        <w:t xml:space="preserve"> </w:t>
      </w:r>
    </w:p>
    <w:p w14:paraId="59E5E2EA" w14:textId="77777777" w:rsidR="00837AB2" w:rsidRPr="00CC09AA" w:rsidRDefault="007D07DF">
      <w:pPr>
        <w:spacing w:before="240" w:after="240" w:line="360" w:lineRule="auto"/>
        <w:jc w:val="both"/>
        <w:rPr>
          <w:rFonts w:ascii="Palatino Linotype" w:eastAsia="Palatino Linotype" w:hAnsi="Palatino Linotype" w:cs="Palatino Linotype"/>
          <w:b/>
        </w:rPr>
      </w:pPr>
      <w:r w:rsidRPr="00CC09AA">
        <w:rPr>
          <w:rFonts w:ascii="Palatino Linotype" w:eastAsia="Palatino Linotype" w:hAnsi="Palatino Linotype" w:cs="Palatino Linotype"/>
          <w:b/>
        </w:rPr>
        <w:t xml:space="preserve">Tercero. Materia de la revisión. </w:t>
      </w:r>
      <w:r w:rsidRPr="00CC09A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C09AA">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C09AA">
        <w:rPr>
          <w:rFonts w:ascii="Palatino Linotype" w:eastAsia="Palatino Linotype" w:hAnsi="Palatino Linotype" w:cs="Palatino Linotype"/>
        </w:rPr>
        <w:t xml:space="preserve">de 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o en su defecto, en caso de ser procedente, ordenar la entrega de información.</w:t>
      </w:r>
    </w:p>
    <w:p w14:paraId="633F0C43"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CC09AA">
        <w:rPr>
          <w:rFonts w:ascii="Palatino Linotype" w:eastAsia="Palatino Linotype" w:hAnsi="Palatino Linotype" w:cs="Palatino Linotype"/>
          <w:b/>
        </w:rPr>
        <w:t xml:space="preserve">Cuarto. Estudio del asunto. </w:t>
      </w:r>
      <w:r w:rsidRPr="00CC09AA">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C65DB4"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Artículo 4</w:t>
      </w:r>
      <w:r w:rsidRPr="00CC09A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05836E"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C09AA">
        <w:rPr>
          <w:rFonts w:ascii="Palatino Linotype" w:eastAsia="Palatino Linotype" w:hAnsi="Palatino Linotype" w:cs="Palatino Linotype"/>
          <w:i/>
          <w:sz w:val="22"/>
          <w:szCs w:val="22"/>
        </w:rPr>
        <w:t xml:space="preserve">, en los términos y condiciones que se establezcan en los tratados internacionales de los que el Estado mexicano </w:t>
      </w:r>
      <w:r w:rsidRPr="00CC09AA">
        <w:rPr>
          <w:rFonts w:ascii="Palatino Linotype" w:eastAsia="Palatino Linotype" w:hAnsi="Palatino Linotype" w:cs="Palatino Linotype"/>
          <w:i/>
          <w:sz w:val="22"/>
          <w:szCs w:val="22"/>
        </w:rPr>
        <w:lastRenderedPageBreak/>
        <w:t>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38FDFE9"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C09AA">
        <w:rPr>
          <w:rFonts w:ascii="Palatino Linotype" w:eastAsia="Palatino Linotype" w:hAnsi="Palatino Linotype" w:cs="Palatino Linotype"/>
          <w:i/>
          <w:sz w:val="22"/>
          <w:szCs w:val="22"/>
        </w:rPr>
        <w:t>.”</w:t>
      </w:r>
    </w:p>
    <w:p w14:paraId="718DDC63"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A4CADC9"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“Artículo 12.-</w:t>
      </w:r>
      <w:r w:rsidRPr="00CC09A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AB3E08C"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C09AA">
        <w:rPr>
          <w:rFonts w:ascii="Palatino Linotype" w:eastAsia="Palatino Linotype" w:hAnsi="Palatino Linotype" w:cs="Palatino Linotype"/>
          <w:i/>
          <w:sz w:val="22"/>
          <w:szCs w:val="22"/>
        </w:rPr>
        <w:t xml:space="preserve">. </w:t>
      </w:r>
      <w:r w:rsidRPr="00CC09A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1BA1D40" w14:textId="77777777" w:rsidR="00837AB2" w:rsidRPr="00CC09AA" w:rsidRDefault="007D07DF">
      <w:pPr>
        <w:spacing w:before="240" w:after="240" w:line="360" w:lineRule="auto"/>
        <w:ind w:right="-93"/>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CC09AA">
        <w:rPr>
          <w:rFonts w:ascii="Palatino Linotype" w:eastAsia="Palatino Linotype" w:hAnsi="Palatino Linotype" w:cs="Palatino Linotype"/>
        </w:rPr>
        <w:lastRenderedPageBreak/>
        <w:t>que los Sujetos Obligados sólo se concretaran a proporcionar la información solicitada que tengan en su poder en el estado que se encuentran, sin necesidad de concretarse al interés o términos específicos del solicitante.</w:t>
      </w:r>
    </w:p>
    <w:p w14:paraId="5C00D12D" w14:textId="77777777" w:rsidR="00837AB2" w:rsidRPr="00CC09AA" w:rsidRDefault="00620583" w:rsidP="00620583">
      <w:pPr>
        <w:spacing w:before="240" w:after="240" w:line="360" w:lineRule="auto"/>
        <w:ind w:right="-93"/>
        <w:jc w:val="both"/>
        <w:rPr>
          <w:rFonts w:ascii="Palatino Linotype" w:eastAsia="Palatino Linotype" w:hAnsi="Palatino Linotype" w:cs="Palatino Linotype"/>
        </w:rPr>
      </w:pPr>
      <w:r w:rsidRPr="00CC09AA">
        <w:rPr>
          <w:rFonts w:ascii="Palatino Linotype" w:eastAsia="Palatino Linotype" w:hAnsi="Palatino Linotype" w:cs="Palatino Linotype"/>
        </w:rPr>
        <w:t>Sirve de apoyo a lo anterior, el criterio de interpretación con clave de control SO/003/2017, emitido por el entonces Instituto Nacional de Transparencia, Acceso a la Información y Protección de Datos Personales, que por rubro y texto, dispone lo siguiente:</w:t>
      </w:r>
      <w:r w:rsidR="007D07DF" w:rsidRPr="00CC09AA">
        <w:rPr>
          <w:rFonts w:ascii="Palatino Linotype" w:eastAsia="Palatino Linotype" w:hAnsi="Palatino Linotype" w:cs="Palatino Linotype"/>
          <w:b/>
        </w:rPr>
        <w:t xml:space="preserve"> </w:t>
      </w:r>
    </w:p>
    <w:p w14:paraId="26659CA5"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No existe obligación de elaborar documentos ad hoc para atender las solicitudes de acceso a la información.</w:t>
      </w:r>
      <w:r w:rsidRPr="00CC09A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233722A3" w14:textId="77777777" w:rsidR="00837AB2" w:rsidRPr="00CC09AA" w:rsidRDefault="007D07DF">
      <w:pPr>
        <w:spacing w:before="120" w:after="12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387FA4" w14:textId="77777777" w:rsidR="00837AB2" w:rsidRPr="00CC09AA" w:rsidRDefault="007D07DF">
      <w:pPr>
        <w:spacing w:before="120" w:after="12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CC09AA">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856170"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 xml:space="preserve">Artículo 3. </w:t>
      </w:r>
      <w:r w:rsidRPr="00CC09AA">
        <w:rPr>
          <w:rFonts w:ascii="Palatino Linotype" w:eastAsia="Palatino Linotype" w:hAnsi="Palatino Linotype" w:cs="Palatino Linotype"/>
          <w:i/>
          <w:sz w:val="22"/>
          <w:szCs w:val="22"/>
        </w:rPr>
        <w:t>Para los efectos de la presente Ley se entenderá por:</w:t>
      </w:r>
    </w:p>
    <w:p w14:paraId="1EF7DBA2"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
    <w:p w14:paraId="25B19671"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XI. Documento:</w:t>
      </w:r>
      <w:r w:rsidRPr="00CC09AA">
        <w:rPr>
          <w:rFonts w:ascii="Palatino Linotype" w:eastAsia="Palatino Linotype" w:hAnsi="Palatino Linotype" w:cs="Palatino Linotype"/>
          <w:i/>
          <w:sz w:val="22"/>
          <w:szCs w:val="22"/>
        </w:rPr>
        <w:t xml:space="preserve"> Los expedientes, reportes, estudios, actas</w:t>
      </w:r>
      <w:r w:rsidRPr="00CC09AA">
        <w:rPr>
          <w:rFonts w:ascii="Palatino Linotype" w:eastAsia="Palatino Linotype" w:hAnsi="Palatino Linotype" w:cs="Palatino Linotype"/>
          <w:b/>
          <w:i/>
          <w:sz w:val="22"/>
          <w:szCs w:val="22"/>
        </w:rPr>
        <w:t>,</w:t>
      </w:r>
      <w:r w:rsidRPr="00CC09A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8E5368F"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6AC6B1"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sz w:val="22"/>
          <w:szCs w:val="22"/>
        </w:rPr>
        <w:t>“</w:t>
      </w:r>
      <w:r w:rsidRPr="00CC09A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C09A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555DBA"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10F971EE"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C946445"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3D7765E"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BE4E30B" w14:textId="77777777" w:rsidR="00837AB2" w:rsidRPr="00CC09AA" w:rsidRDefault="007D07DF">
      <w:pPr>
        <w:spacing w:before="240" w:after="240" w:line="360" w:lineRule="auto"/>
        <w:ind w:right="51"/>
        <w:jc w:val="both"/>
        <w:rPr>
          <w:rFonts w:ascii="Palatino Linotype" w:eastAsia="Palatino Linotype" w:hAnsi="Palatino Linotype" w:cs="Palatino Linotype"/>
        </w:rPr>
      </w:pPr>
      <w:r w:rsidRPr="00CC09AA">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6E6F03F"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w:t>
      </w:r>
      <w:r w:rsidRPr="00CC09AA">
        <w:rPr>
          <w:rFonts w:ascii="Palatino Linotype" w:eastAsia="Palatino Linotype" w:hAnsi="Palatino Linotype" w:cs="Palatino Linotype"/>
        </w:rPr>
        <w:lastRenderedPageBreak/>
        <w:t>realice actos de autoridad en el ámbito estatal y municipal, es pública y sólo podrá ser reservada temporalmente por las razones previstas en la Constitución Federal por interés público y seguridad, en los términos que fijen las leyes de la materia.</w:t>
      </w:r>
    </w:p>
    <w:p w14:paraId="649B4CCB" w14:textId="77777777" w:rsidR="00837AB2" w:rsidRPr="00CC09AA" w:rsidRDefault="007D07DF">
      <w:pPr>
        <w:spacing w:before="240" w:after="240" w:line="360" w:lineRule="auto"/>
        <w:ind w:right="51"/>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requirió al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le proporcione, información consistente en lo siguiente:</w:t>
      </w:r>
    </w:p>
    <w:p w14:paraId="34DDF285" w14:textId="77777777" w:rsidR="00837AB2" w:rsidRPr="00CC09AA" w:rsidRDefault="007D07DF">
      <w:pPr>
        <w:spacing w:before="240" w:after="240" w:line="360" w:lineRule="auto"/>
        <w:ind w:left="284" w:right="51"/>
        <w:jc w:val="both"/>
        <w:rPr>
          <w:rFonts w:ascii="Palatino Linotype" w:eastAsia="Palatino Linotype" w:hAnsi="Palatino Linotype" w:cs="Palatino Linotype"/>
        </w:rPr>
      </w:pPr>
      <w:r w:rsidRPr="00CC09AA">
        <w:rPr>
          <w:rFonts w:ascii="Palatino Linotype" w:eastAsia="Palatino Linotype" w:hAnsi="Palatino Linotype" w:cs="Palatino Linotype"/>
        </w:rPr>
        <w:t>1. Oficios firmados por el Quinto Regidor en enero de 2023.</w:t>
      </w:r>
    </w:p>
    <w:p w14:paraId="41ADABF0"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por conducto de la Unidad de Transparencia hizo entrega de 91 oficios signados por el Quinto Regidor durante el mes de enero de dos mil veintitrés, de manera íntegra.</w:t>
      </w:r>
    </w:p>
    <w:p w14:paraId="3EA9E4F0"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Sin embargo, al no estar conforme con los términos de la respuesta proporcionada,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interpuso el recurso de revisión que nos ocupa, donde señaló como motivo de inconformidad que ésta estaba incompleta.</w:t>
      </w:r>
    </w:p>
    <w:p w14:paraId="16C0A15C" w14:textId="77777777" w:rsidR="00837AB2" w:rsidRPr="00CC09AA" w:rsidRDefault="007D07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Durante el periodo de manifestaciones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ratificó en lo sustancial la respuesta emitida en primera instancia, mientras que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76FAF58C" w14:textId="77777777" w:rsidR="00837AB2" w:rsidRPr="00CC09AA" w:rsidRDefault="007D07DF">
      <w:pPr>
        <w:spacing w:before="280" w:after="28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en contraposición con el motivo de inconformidad alegado por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 xml:space="preserve">con la finalidad de determinar si el Derecho de acceso de </w:t>
      </w:r>
      <w:r w:rsidRPr="00CC09AA">
        <w:rPr>
          <w:rFonts w:ascii="Palatino Linotype" w:eastAsia="Palatino Linotype" w:hAnsi="Palatino Linotype" w:cs="Palatino Linotype"/>
        </w:rPr>
        <w:lastRenderedPageBreak/>
        <w:t>esta se satisfizo, o en su defecto, señalar los documentos que en el ejercicio de sus atribuciones pudo haber generado, y que, de manera enunciativa más no limitativa, pudieran colmar dicho derecho, en caso de ser procedente.</w:t>
      </w:r>
    </w:p>
    <w:p w14:paraId="14AB05BB" w14:textId="77777777" w:rsidR="00837AB2" w:rsidRPr="00CC09AA" w:rsidRDefault="007D07DF">
      <w:pPr>
        <w:spacing w:before="280" w:after="28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En este tenor, es imprescindible mencionar, en primer lugar,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00792CE"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3D97A155" w14:textId="77777777" w:rsidR="00837AB2" w:rsidRPr="00CC09AA" w:rsidRDefault="007D07DF">
      <w:pPr>
        <w:spacing w:before="240" w:after="240" w:line="360" w:lineRule="auto"/>
        <w:ind w:right="51"/>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w:t>
      </w:r>
      <w:r w:rsidRPr="00CC09AA">
        <w:rPr>
          <w:rFonts w:ascii="Palatino Linotype" w:eastAsia="Palatino Linotype" w:hAnsi="Palatino Linotype" w:cs="Palatino Linotype"/>
        </w:rPr>
        <w:lastRenderedPageBreak/>
        <w:t>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7D151211"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C631C00" w14:textId="77777777" w:rsidR="00837AB2" w:rsidRPr="00CC09AA" w:rsidRDefault="007D07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del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turnó la solicitud al Quinto Regidor, como se ilustra a continuación para mejor referencia:</w:t>
      </w:r>
    </w:p>
    <w:p w14:paraId="7135EF5C" w14:textId="77777777" w:rsidR="00837AB2" w:rsidRPr="00CC09AA" w:rsidRDefault="007D07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noProof/>
        </w:rPr>
        <w:drawing>
          <wp:inline distT="0" distB="0" distL="0" distR="0" wp14:anchorId="230B9399" wp14:editId="0E2A18D8">
            <wp:extent cx="5612130" cy="1092200"/>
            <wp:effectExtent l="0" t="0" r="0" b="0"/>
            <wp:docPr id="20832964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092200"/>
                    </a:xfrm>
                    <a:prstGeom prst="rect">
                      <a:avLst/>
                    </a:prstGeom>
                    <a:ln/>
                  </pic:spPr>
                </pic:pic>
              </a:graphicData>
            </a:graphic>
          </wp:inline>
        </w:drawing>
      </w:r>
    </w:p>
    <w:p w14:paraId="3D2C8193" w14:textId="77777777" w:rsidR="00837AB2" w:rsidRPr="00CC09AA" w:rsidRDefault="007D07D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C09AA">
        <w:rPr>
          <w:rFonts w:ascii="Palatino Linotype" w:eastAsia="Palatino Linotype" w:hAnsi="Palatino Linotype" w:cs="Palatino Linotype"/>
          <w:noProof/>
        </w:rPr>
        <w:lastRenderedPageBreak/>
        <w:drawing>
          <wp:inline distT="0" distB="0" distL="0" distR="0" wp14:anchorId="0007DC28" wp14:editId="48959B29">
            <wp:extent cx="4860000" cy="4351344"/>
            <wp:effectExtent l="0" t="0" r="0" b="0"/>
            <wp:docPr id="2083296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60000" cy="4351344"/>
                    </a:xfrm>
                    <a:prstGeom prst="rect">
                      <a:avLst/>
                    </a:prstGeom>
                    <a:ln/>
                  </pic:spPr>
                </pic:pic>
              </a:graphicData>
            </a:graphic>
          </wp:inline>
        </w:drawing>
      </w:r>
    </w:p>
    <w:p w14:paraId="6F73C6A1"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En este sentido, se colige que la Unidad de Transparencia cumplió con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w:t>
      </w:r>
    </w:p>
    <w:p w14:paraId="479813B6"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Ahora bien, por lo que se refiere a la información proporcionada por el Quinto Regidor para atender la solicitud de información, como se mencionó en líneas anteriores, corresponde con 91 oficios signados por éste del cinco al treinta y uno de </w:t>
      </w:r>
      <w:r w:rsidRPr="00CC09AA">
        <w:rPr>
          <w:rFonts w:ascii="Palatino Linotype" w:eastAsia="Palatino Linotype" w:hAnsi="Palatino Linotype" w:cs="Palatino Linotype"/>
        </w:rPr>
        <w:lastRenderedPageBreak/>
        <w:t>enero de 2023, cuyo orden consecutivo va del número QR/01/2023 al QR/095/2023, como se ilustra a continuación para mejor referencia:</w:t>
      </w:r>
    </w:p>
    <w:p w14:paraId="30390575" w14:textId="77777777" w:rsidR="00837AB2" w:rsidRPr="00CC09AA" w:rsidRDefault="007D07DF">
      <w:pPr>
        <w:spacing w:before="240" w:after="240" w:line="360" w:lineRule="auto"/>
        <w:jc w:val="center"/>
      </w:pPr>
      <w:r w:rsidRPr="00CC09AA">
        <w:rPr>
          <w:noProof/>
        </w:rPr>
        <w:drawing>
          <wp:inline distT="0" distB="0" distL="0" distR="0" wp14:anchorId="2E6E4951" wp14:editId="57FF6C3C">
            <wp:extent cx="4860000" cy="6435458"/>
            <wp:effectExtent l="0" t="0" r="0" b="0"/>
            <wp:docPr id="20832964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60000" cy="6435458"/>
                    </a:xfrm>
                    <a:prstGeom prst="rect">
                      <a:avLst/>
                    </a:prstGeom>
                    <a:ln/>
                  </pic:spPr>
                </pic:pic>
              </a:graphicData>
            </a:graphic>
          </wp:inline>
        </w:drawing>
      </w:r>
    </w:p>
    <w:p w14:paraId="16933944" w14:textId="77777777" w:rsidR="00837AB2" w:rsidRPr="00CC09AA" w:rsidRDefault="007D07DF">
      <w:pPr>
        <w:spacing w:before="240" w:after="240" w:line="360" w:lineRule="auto"/>
        <w:jc w:val="center"/>
      </w:pPr>
      <w:r w:rsidRPr="00CC09AA">
        <w:rPr>
          <w:noProof/>
        </w:rPr>
        <w:lastRenderedPageBreak/>
        <w:drawing>
          <wp:inline distT="0" distB="0" distL="0" distR="0" wp14:anchorId="7CE82265" wp14:editId="707C6C68">
            <wp:extent cx="4860000" cy="6651018"/>
            <wp:effectExtent l="0" t="0" r="0" b="0"/>
            <wp:docPr id="20832964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60000" cy="6651018"/>
                    </a:xfrm>
                    <a:prstGeom prst="rect">
                      <a:avLst/>
                    </a:prstGeom>
                    <a:ln/>
                  </pic:spPr>
                </pic:pic>
              </a:graphicData>
            </a:graphic>
          </wp:inline>
        </w:drawing>
      </w:r>
    </w:p>
    <w:p w14:paraId="29089E6D"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este sentido, si bien la información proporcionada por el servidor público habilitado corresponde con lo solicitado, debe mencionarse que los motivos de </w:t>
      </w:r>
      <w:r w:rsidRPr="00CC09AA">
        <w:rPr>
          <w:rFonts w:ascii="Palatino Linotype" w:eastAsia="Palatino Linotype" w:hAnsi="Palatino Linotype" w:cs="Palatino Linotype"/>
        </w:rPr>
        <w:lastRenderedPageBreak/>
        <w:t xml:space="preserve">inconformidad alegados por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 xml:space="preserve">devienen fundados, en virtud de que, del número de oficios generados durante el periodo solicitado, se infiere que el Quinto Regidor debió emitir por lo menos 95 oficios, sin embargo, derivado del análisis realizado por este Organismo Garante, se advirtió que únicamente se remitieron 90 oficios, ya que </w:t>
      </w:r>
      <w:r w:rsidRPr="00CC09AA">
        <w:rPr>
          <w:rFonts w:ascii="Palatino Linotype" w:eastAsia="Palatino Linotype" w:hAnsi="Palatino Linotype" w:cs="Palatino Linotype"/>
          <w:b/>
          <w:u w:val="single"/>
        </w:rPr>
        <w:t>el oficio número QR/58/2023 se entregó por duplicado</w:t>
      </w:r>
      <w:r w:rsidRPr="00CC09AA">
        <w:rPr>
          <w:rFonts w:ascii="Palatino Linotype" w:eastAsia="Palatino Linotype" w:hAnsi="Palatino Linotype" w:cs="Palatino Linotype"/>
        </w:rPr>
        <w:t xml:space="preserve">, mientras que </w:t>
      </w:r>
      <w:r w:rsidRPr="00CC09AA">
        <w:rPr>
          <w:rFonts w:ascii="Palatino Linotype" w:eastAsia="Palatino Linotype" w:hAnsi="Palatino Linotype" w:cs="Palatino Linotype"/>
          <w:b/>
          <w:u w:val="single"/>
        </w:rPr>
        <w:t>los oficios con números QR/23/2023, QR/59/2023, QR/84/2023, QR/85/2023 y QR/88/2023, no fueron entregados</w:t>
      </w:r>
      <w:r w:rsidRPr="00CC09AA">
        <w:rPr>
          <w:rFonts w:ascii="Palatino Linotype" w:eastAsia="Palatino Linotype" w:hAnsi="Palatino Linotype" w:cs="Palatino Linotype"/>
          <w:b/>
        </w:rPr>
        <w:t xml:space="preserve">, </w:t>
      </w:r>
      <w:r w:rsidRPr="00CC09AA">
        <w:rPr>
          <w:rFonts w:ascii="Palatino Linotype" w:eastAsia="Palatino Linotype" w:hAnsi="Palatino Linotype" w:cs="Palatino Linotype"/>
        </w:rPr>
        <w:t>sin advertir este Organismo Garante las razones por las cuales se omitió la entrega de dicha información, pudiendo ser por ejemplo, la cancelación de los mismos, que no fueron emitidos, entre otros motivos.</w:t>
      </w:r>
    </w:p>
    <w:p w14:paraId="4AB28254"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Bajo esta línea de pensamiento es claro que no puede tenerse por satisfecho el Derecho de acceso de la persona solicitante, puesto que no se tiene certeza de que se hubieran remitido todos los oficios signados por el Quinto Regidor durante el periodo requerido, por consiguiente, se estima dable ordenar, que, previa búsqueda exhaustiva y razonable, se haga entrega de la información faltante, en versión pública de ser necesario, de conformidad con el considerando siguiente.</w:t>
      </w:r>
    </w:p>
    <w:p w14:paraId="3D3EBC57"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No obstante, toda vez que la normatividad aplicable al caso concreto no establece como una obligación forzosa por parte de los entes públicos la de generar oficios, sino que estos se elaboran cuando el desempeño de determinadas atribuciones así lo requieran, para el caso de que deri</w:t>
      </w:r>
      <w:r w:rsidR="0088085B" w:rsidRPr="00CC09AA">
        <w:rPr>
          <w:rFonts w:ascii="Palatino Linotype" w:eastAsia="Palatino Linotype" w:hAnsi="Palatino Linotype" w:cs="Palatino Linotype"/>
        </w:rPr>
        <w:t>vado de la búsqueda que se ordena</w:t>
      </w:r>
      <w:r w:rsidRPr="00CC09AA">
        <w:rPr>
          <w:rFonts w:ascii="Palatino Linotype" w:eastAsia="Palatino Linotype" w:hAnsi="Palatino Linotype" w:cs="Palatino Linotype"/>
        </w:rPr>
        <w:t xml:space="preserve">, no se llegara  a localizar información adicional a la entregada, ya sea porque no se hubieran emitido oficios o bien se hubieran cancelado oficios generados, bastará con que así se haga del conocimiento de la persona solicitante para tener por colmado su derecho de acceso a la información, en términos de lo dispuesto por el artículo </w:t>
      </w:r>
      <w:r w:rsidRPr="00CC09AA">
        <w:rPr>
          <w:rFonts w:ascii="Palatino Linotype" w:eastAsia="Palatino Linotype" w:hAnsi="Palatino Linotype" w:cs="Palatino Linotype"/>
        </w:rPr>
        <w:lastRenderedPageBreak/>
        <w:t>19, párrafo segundo de la Ley de Transparencia y Acceso a la Información Pública del Estado de México y Municipios, a saber:</w:t>
      </w:r>
    </w:p>
    <w:p w14:paraId="2ACC17B2"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Artículo 19</w:t>
      </w:r>
      <w:r w:rsidRPr="00CC09AA">
        <w:rPr>
          <w:rFonts w:ascii="Palatino Linotype" w:eastAsia="Palatino Linotype" w:hAnsi="Palatino Linotype" w:cs="Palatino Linotype"/>
          <w:i/>
          <w:sz w:val="22"/>
          <w:szCs w:val="22"/>
        </w:rPr>
        <w:t>…</w:t>
      </w:r>
    </w:p>
    <w:p w14:paraId="72B5C314"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209D80B"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Asimismo, no obsta mencionar que, como parte de la respuesta,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hizo entrega de Acta de la Séptima Sesión Extraordinaria 2025 del Comité de Transparencia del municipio de Toluca, administración 2025-2027, número CT/SE/07/2025, mediante la cual se aprobó la clasificación parcial de información, sin embargo, es de señalar que la misma no corresponde con el asunto que nos ocupa, dado que esta corresponde con las solicitudes 03471/TOLUCA/IP/2024, 03472/TOLUCA/IP/2024, 03473/TOLUCA/IP/2024, 03474/TOLUCA/IP/2024, 03475/TOLUCA/IP/2024, 03476/TOLUCA/IP/2024, 03478/TOLUCA/IP/2024, 03479/TOLUCA/IP/2024, 03480/TOLUCA/IP/2024, 03481/TOLUCA/IP/2024 y 03482/TOLUCA/IP/2024, mientras que la solicitud que dio origen al recurso de revisión que se resuelve corresponde con el número 03477/TOLUCA/IP/2024.</w:t>
      </w:r>
    </w:p>
    <w:p w14:paraId="0EB1E88E"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En segundo lugar, y no menos importante, como se ha mencionado anteriormente, los oficios entregados para atender la solicitud de mérito se remitieron de forma íntegra, sin que advierta este Organismo Garante la necesidad de testar información al no contener datos personales susceptibles de ser clasificados, sin embargo, de localizarse oficios adicionales a los entregados, y que estos contengan información que deba protegerse,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deberá entregar el acuerdo del Comité de Transparencia en los términos que se precisan en el considerando siguiente.</w:t>
      </w:r>
    </w:p>
    <w:p w14:paraId="5A3338CC" w14:textId="77777777" w:rsidR="00837AB2" w:rsidRPr="00CC09AA" w:rsidRDefault="007D07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lastRenderedPageBreak/>
        <w:t xml:space="preserve">De lo hasta aquí expuesto, se concluye que los motivos de inconformidad de la parte </w:t>
      </w:r>
      <w:r w:rsidRPr="00CC09AA">
        <w:rPr>
          <w:rFonts w:ascii="Palatino Linotype" w:eastAsia="Palatino Linotype" w:hAnsi="Palatino Linotype" w:cs="Palatino Linotype"/>
          <w:b/>
        </w:rPr>
        <w:t xml:space="preserve">Recurrente </w:t>
      </w:r>
      <w:r w:rsidRPr="00CC09AA">
        <w:rPr>
          <w:rFonts w:ascii="Palatino Linotype" w:eastAsia="Palatino Linotype" w:hAnsi="Palatino Linotype" w:cs="Palatino Linotype"/>
        </w:rPr>
        <w:t xml:space="preserve">devienen fundados, siendo procedente </w:t>
      </w:r>
      <w:r w:rsidRPr="00CC09AA">
        <w:rPr>
          <w:rFonts w:ascii="Palatino Linotype" w:eastAsia="Palatino Linotype" w:hAnsi="Palatino Linotype" w:cs="Palatino Linotype"/>
          <w:i/>
        </w:rPr>
        <w:t xml:space="preserve">Modificar </w:t>
      </w:r>
      <w:r w:rsidRPr="00CC09AA">
        <w:rPr>
          <w:rFonts w:ascii="Palatino Linotype" w:eastAsia="Palatino Linotype" w:hAnsi="Palatino Linotype" w:cs="Palatino Linotype"/>
        </w:rPr>
        <w:t xml:space="preserve">la respuesta proporcionada por el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A16C033"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Quinto. Versión Pública.</w:t>
      </w:r>
      <w:r w:rsidRPr="00CC09AA">
        <w:rPr>
          <w:rFonts w:ascii="Palatino Linotype" w:eastAsia="Palatino Linotype" w:hAnsi="Palatino Linotype" w:cs="Palatino Linotype"/>
          <w:sz w:val="28"/>
          <w:szCs w:val="28"/>
        </w:rPr>
        <w:t xml:space="preserve"> </w:t>
      </w:r>
      <w:r w:rsidRPr="00CC09AA">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55D8596A"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Lo anterior de conformidad con lo que señalan los artículos 3 fracciones IX, XX, XXI y XLV, 91, 132, 137 y 143, fracción I de la Ley de Transparencia y Acceso a la Información Pública del Estado de México y Municipios que establecen:</w:t>
      </w:r>
    </w:p>
    <w:p w14:paraId="67EB1F22"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Artículo 3</w:t>
      </w:r>
      <w:r w:rsidRPr="00CC09AA">
        <w:rPr>
          <w:rFonts w:ascii="Palatino Linotype" w:eastAsia="Palatino Linotype" w:hAnsi="Palatino Linotype" w:cs="Palatino Linotype"/>
          <w:i/>
          <w:sz w:val="22"/>
          <w:szCs w:val="22"/>
        </w:rPr>
        <w:t>. Para los efectos de la presente Ley se entenderá por:</w:t>
      </w:r>
    </w:p>
    <w:p w14:paraId="42163D35"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
    <w:p w14:paraId="6A36FCA2"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IX. Datos personales</w:t>
      </w:r>
      <w:r w:rsidRPr="00CC09A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86BFA5"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XX. Información clasificada</w:t>
      </w:r>
      <w:r w:rsidRPr="00CC09AA">
        <w:rPr>
          <w:rFonts w:ascii="Palatino Linotype" w:eastAsia="Palatino Linotype" w:hAnsi="Palatino Linotype" w:cs="Palatino Linotype"/>
          <w:i/>
          <w:sz w:val="22"/>
          <w:szCs w:val="22"/>
        </w:rPr>
        <w:t>: Aquella considerada por la presente Ley como reservada o confidencial;</w:t>
      </w:r>
    </w:p>
    <w:p w14:paraId="7E731340"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 xml:space="preserve">XXI. Información confidencial: </w:t>
      </w:r>
      <w:r w:rsidRPr="00CC09AA">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CC09AA">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1FB67730"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XLV. Versión pública:</w:t>
      </w:r>
      <w:r w:rsidRPr="00CC09A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6072682"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
    <w:p w14:paraId="4B5D1A4C"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Artículo 91.</w:t>
      </w:r>
      <w:r w:rsidRPr="00CC09A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DC6C3FA"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Artículo 132.</w:t>
      </w:r>
      <w:r w:rsidRPr="00CC09AA">
        <w:rPr>
          <w:rFonts w:ascii="Palatino Linotype" w:eastAsia="Palatino Linotype" w:hAnsi="Palatino Linotype" w:cs="Palatino Linotype"/>
          <w:i/>
          <w:sz w:val="22"/>
          <w:szCs w:val="22"/>
        </w:rPr>
        <w:t xml:space="preserve"> La clasificación de la información se llevará a cabo en el momento en que:</w:t>
      </w:r>
    </w:p>
    <w:p w14:paraId="5D593D03"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w:t>
      </w:r>
      <w:r w:rsidRPr="00CC09AA">
        <w:rPr>
          <w:rFonts w:ascii="Palatino Linotype" w:eastAsia="Palatino Linotype" w:hAnsi="Palatino Linotype" w:cs="Palatino Linotype"/>
          <w:i/>
          <w:sz w:val="22"/>
          <w:szCs w:val="22"/>
        </w:rPr>
        <w:t>. Se reciba una solicitud de acceso a la información;</w:t>
      </w:r>
    </w:p>
    <w:p w14:paraId="43868B35"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w:t>
      </w:r>
      <w:r w:rsidRPr="00CC09AA">
        <w:rPr>
          <w:rFonts w:ascii="Palatino Linotype" w:eastAsia="Palatino Linotype" w:hAnsi="Palatino Linotype" w:cs="Palatino Linotype"/>
          <w:i/>
          <w:sz w:val="22"/>
          <w:szCs w:val="22"/>
        </w:rPr>
        <w:t xml:space="preserve"> Se determine mediante resolución de autoridad competente; o</w:t>
      </w:r>
    </w:p>
    <w:p w14:paraId="1B975868"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III.</w:t>
      </w:r>
      <w:r w:rsidRPr="00CC09A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82753B1"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
    <w:p w14:paraId="37C272D6"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Artículo 137.</w:t>
      </w:r>
      <w:r w:rsidRPr="00CC09A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9BC44CC" w14:textId="77777777" w:rsidR="00837AB2" w:rsidRPr="00CC09AA" w:rsidRDefault="007D07DF">
      <w:pPr>
        <w:spacing w:before="120" w:after="120"/>
        <w:ind w:left="851" w:right="902"/>
        <w:jc w:val="both"/>
        <w:rPr>
          <w:rFonts w:ascii="Palatino Linotype" w:eastAsia="Palatino Linotype" w:hAnsi="Palatino Linotype" w:cs="Palatino Linotype"/>
          <w:b/>
          <w:i/>
          <w:sz w:val="22"/>
          <w:szCs w:val="22"/>
        </w:rPr>
      </w:pPr>
      <w:r w:rsidRPr="00CC09AA">
        <w:rPr>
          <w:rFonts w:ascii="Palatino Linotype" w:eastAsia="Palatino Linotype" w:hAnsi="Palatino Linotype" w:cs="Palatino Linotype"/>
          <w:b/>
          <w:i/>
          <w:sz w:val="22"/>
          <w:szCs w:val="22"/>
        </w:rPr>
        <w:t>…</w:t>
      </w:r>
    </w:p>
    <w:p w14:paraId="06A823C6"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Artículo 143</w:t>
      </w:r>
      <w:r w:rsidRPr="00CC09A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71185A"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w:t>
      </w:r>
      <w:r w:rsidRPr="00CC09A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CC02217"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w:t>
      </w:r>
      <w:r w:rsidRPr="00CC09AA">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31E8ADB0"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65C10E7" w14:textId="77777777" w:rsidR="00837AB2" w:rsidRPr="00CC09AA" w:rsidRDefault="007D07D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Respecto a las formalidades que deberá llevar el acuerdo de clasificación que deberá emitir 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5015132"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 xml:space="preserve"> “Quincuagésimo. </w:t>
      </w:r>
      <w:r w:rsidRPr="00CC09A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E94DEDB" w14:textId="77777777" w:rsidR="00837AB2" w:rsidRPr="00CC09AA" w:rsidRDefault="007D07D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 xml:space="preserve">Quincuagésimo primero. </w:t>
      </w:r>
      <w:r w:rsidRPr="00CC09AA">
        <w:rPr>
          <w:rFonts w:ascii="Palatino Linotype" w:eastAsia="Palatino Linotype" w:hAnsi="Palatino Linotype" w:cs="Palatino Linotype"/>
          <w:i/>
          <w:sz w:val="22"/>
          <w:szCs w:val="22"/>
        </w:rPr>
        <w:t xml:space="preserve">Toda acta del Comité de Transparencia deberá contener: </w:t>
      </w:r>
    </w:p>
    <w:p w14:paraId="20363C6C"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w:t>
      </w:r>
      <w:r w:rsidRPr="00CC09AA">
        <w:rPr>
          <w:rFonts w:ascii="Palatino Linotype" w:eastAsia="Palatino Linotype" w:hAnsi="Palatino Linotype" w:cs="Palatino Linotype"/>
          <w:i/>
          <w:sz w:val="22"/>
          <w:szCs w:val="22"/>
        </w:rPr>
        <w:t xml:space="preserve"> El número de sesión y fecha; </w:t>
      </w:r>
    </w:p>
    <w:p w14:paraId="5BB8ABF0"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w:t>
      </w:r>
      <w:r w:rsidRPr="00CC09AA">
        <w:rPr>
          <w:rFonts w:ascii="Palatino Linotype" w:eastAsia="Palatino Linotype" w:hAnsi="Palatino Linotype" w:cs="Palatino Linotype"/>
          <w:i/>
          <w:sz w:val="22"/>
          <w:szCs w:val="22"/>
        </w:rPr>
        <w:t xml:space="preserve">. El nombre del área que solicitó la clasificación de información; </w:t>
      </w:r>
    </w:p>
    <w:p w14:paraId="56A8F293"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lastRenderedPageBreak/>
        <w:t>III</w:t>
      </w:r>
      <w:r w:rsidRPr="00CC09AA">
        <w:rPr>
          <w:rFonts w:ascii="Palatino Linotype" w:eastAsia="Palatino Linotype" w:hAnsi="Palatino Linotype" w:cs="Palatino Linotype"/>
          <w:i/>
          <w:sz w:val="22"/>
          <w:szCs w:val="22"/>
        </w:rPr>
        <w:t xml:space="preserve">. La fundamentación legal y motivación correspondiente; </w:t>
      </w:r>
    </w:p>
    <w:p w14:paraId="2A6EC9D2"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IV</w:t>
      </w:r>
      <w:r w:rsidRPr="00CC09AA">
        <w:rPr>
          <w:rFonts w:ascii="Palatino Linotype" w:eastAsia="Palatino Linotype" w:hAnsi="Palatino Linotype" w:cs="Palatino Linotype"/>
          <w:i/>
          <w:sz w:val="22"/>
          <w:szCs w:val="22"/>
        </w:rPr>
        <w:t xml:space="preserve">. La resolución o resoluciones aprobadas; y </w:t>
      </w:r>
    </w:p>
    <w:p w14:paraId="77413DA6"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V</w:t>
      </w:r>
      <w:r w:rsidRPr="00CC09AA">
        <w:rPr>
          <w:rFonts w:ascii="Palatino Linotype" w:eastAsia="Palatino Linotype" w:hAnsi="Palatino Linotype" w:cs="Palatino Linotype"/>
          <w:i/>
          <w:sz w:val="22"/>
          <w:szCs w:val="22"/>
        </w:rPr>
        <w:t xml:space="preserve">. La rúbrica o firma digital de cada integrante del Comité de Transparencia. </w:t>
      </w:r>
    </w:p>
    <w:p w14:paraId="1CE70AA2" w14:textId="77777777" w:rsidR="00837AB2" w:rsidRPr="00CC09AA" w:rsidRDefault="007D07D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68FB01B"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w:t>
      </w:r>
      <w:r w:rsidRPr="00CC09AA">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163F20C"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CC09AA">
        <w:rPr>
          <w:rFonts w:ascii="Palatino Linotype" w:eastAsia="Palatino Linotype" w:hAnsi="Palatino Linotype" w:cs="Palatino Linotype"/>
          <w:b/>
          <w:i/>
          <w:sz w:val="22"/>
          <w:szCs w:val="22"/>
        </w:rPr>
        <w:t>II</w:t>
      </w:r>
      <w:r w:rsidRPr="00CC09AA">
        <w:rPr>
          <w:rFonts w:ascii="Palatino Linotype" w:eastAsia="Palatino Linotype" w:hAnsi="Palatino Linotype" w:cs="Palatino Linotype"/>
          <w:i/>
          <w:sz w:val="22"/>
          <w:szCs w:val="22"/>
        </w:rPr>
        <w:t>. Descripción de las partes o secciones reservadas, en caso de clasificación parcial</w:t>
      </w:r>
      <w:r w:rsidRPr="00CC09AA">
        <w:rPr>
          <w:rFonts w:ascii="Palatino Linotype" w:eastAsia="Palatino Linotype" w:hAnsi="Palatino Linotype" w:cs="Palatino Linotype"/>
          <w:b/>
          <w:i/>
          <w:sz w:val="22"/>
          <w:szCs w:val="22"/>
        </w:rPr>
        <w:t xml:space="preserve">; </w:t>
      </w:r>
    </w:p>
    <w:p w14:paraId="624981F6"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III.</w:t>
      </w:r>
      <w:r w:rsidRPr="00CC09AA">
        <w:rPr>
          <w:rFonts w:ascii="Palatino Linotype" w:eastAsia="Palatino Linotype" w:hAnsi="Palatino Linotype" w:cs="Palatino Linotype"/>
          <w:i/>
          <w:sz w:val="22"/>
          <w:szCs w:val="22"/>
        </w:rPr>
        <w:t xml:space="preserve"> El periodo por el que mantendrá su clasificación y fecha de expiración; y </w:t>
      </w:r>
    </w:p>
    <w:p w14:paraId="390B9EC6" w14:textId="77777777" w:rsidR="00837AB2" w:rsidRPr="00CC09AA" w:rsidRDefault="007D07D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IV.</w:t>
      </w:r>
      <w:r w:rsidRPr="00CC09AA">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DD6D4B2" w14:textId="77777777" w:rsidR="00837AB2" w:rsidRPr="00CC09AA" w:rsidRDefault="007D07D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5AA5E13" w14:textId="77777777" w:rsidR="00837AB2" w:rsidRPr="00CC09AA" w:rsidRDefault="007D07D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3E7B539"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1B204000" w14:textId="77777777" w:rsidR="00837AB2" w:rsidRPr="00CC09AA" w:rsidRDefault="007D07DF">
      <w:pPr>
        <w:spacing w:before="120" w:after="12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r w:rsidRPr="00CC09AA">
        <w:rPr>
          <w:rFonts w:ascii="Palatino Linotype" w:eastAsia="Palatino Linotype" w:hAnsi="Palatino Linotype" w:cs="Palatino Linotype"/>
          <w:b/>
          <w:i/>
          <w:sz w:val="22"/>
          <w:szCs w:val="22"/>
        </w:rPr>
        <w:t>Quincuagésimo segundo</w:t>
      </w:r>
      <w:r w:rsidRPr="00CC09A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F43EFE1" w14:textId="77777777" w:rsidR="00837AB2" w:rsidRPr="00CC09AA" w:rsidRDefault="007D07DF">
      <w:pPr>
        <w:spacing w:before="120" w:after="12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C566734" w14:textId="77777777" w:rsidR="00837AB2" w:rsidRPr="00CC09AA" w:rsidRDefault="007D07DF">
      <w:pPr>
        <w:spacing w:before="120" w:after="120"/>
        <w:ind w:left="1134"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lastRenderedPageBreak/>
        <w:t>I.</w:t>
      </w:r>
      <w:r w:rsidRPr="00CC09AA">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9C1EEEA" w14:textId="77777777" w:rsidR="00837AB2" w:rsidRPr="00CC09AA" w:rsidRDefault="007D07DF">
      <w:pPr>
        <w:spacing w:before="120" w:after="120"/>
        <w:ind w:left="1134"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w:t>
      </w:r>
      <w:r w:rsidRPr="00CC09AA">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FF7433F" w14:textId="77777777" w:rsidR="00837AB2" w:rsidRPr="00CC09AA" w:rsidRDefault="007D07DF">
      <w:pPr>
        <w:spacing w:before="120" w:after="120"/>
        <w:ind w:left="1134"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III.</w:t>
      </w:r>
      <w:r w:rsidRPr="00CC09AA">
        <w:rPr>
          <w:rFonts w:ascii="Palatino Linotype" w:eastAsia="Palatino Linotype" w:hAnsi="Palatino Linotype" w:cs="Palatino Linotype"/>
          <w:i/>
          <w:sz w:val="22"/>
          <w:szCs w:val="22"/>
        </w:rPr>
        <w:t xml:space="preserve"> Señalar las personas o instancias autorizadas a acceder a la información clasificada.</w:t>
      </w:r>
    </w:p>
    <w:p w14:paraId="7BDBC996" w14:textId="77777777" w:rsidR="00837AB2" w:rsidRPr="00CC09AA" w:rsidRDefault="007D07DF">
      <w:pPr>
        <w:spacing w:before="120" w:after="12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9D16984" w14:textId="77777777" w:rsidR="00837AB2" w:rsidRPr="00CC09AA" w:rsidRDefault="007D07D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t>…</w:t>
      </w:r>
    </w:p>
    <w:p w14:paraId="31C9C7B1" w14:textId="77777777" w:rsidR="00837AB2" w:rsidRPr="00CC09AA" w:rsidRDefault="007D07D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CC09AA">
        <w:rPr>
          <w:rFonts w:ascii="Palatino Linotype" w:eastAsia="Palatino Linotype" w:hAnsi="Palatino Linotype" w:cs="Palatino Linotype"/>
          <w:b/>
          <w:i/>
          <w:sz w:val="22"/>
          <w:szCs w:val="22"/>
        </w:rPr>
        <w:t xml:space="preserve">Quincuagésimo cuarto. </w:t>
      </w:r>
      <w:r w:rsidRPr="00CC09AA">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C09AA">
        <w:rPr>
          <w:rFonts w:ascii="Palatino Linotype" w:eastAsia="Palatino Linotype" w:hAnsi="Palatino Linotype" w:cs="Palatino Linotype"/>
          <w:b/>
          <w:i/>
          <w:sz w:val="22"/>
          <w:szCs w:val="22"/>
        </w:rPr>
        <w:t xml:space="preserve"> </w:t>
      </w:r>
    </w:p>
    <w:p w14:paraId="24FEA9DE"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 xml:space="preserve">Quincuagésimo quinto. </w:t>
      </w:r>
      <w:r w:rsidRPr="00CC09A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C09AA">
        <w:rPr>
          <w:rFonts w:ascii="Palatino Linotype" w:eastAsia="Palatino Linotype" w:hAnsi="Palatino Linotype" w:cs="Palatino Linotype"/>
          <w:i/>
          <w:sz w:val="22"/>
          <w:szCs w:val="22"/>
        </w:rPr>
        <w:t>testado</w:t>
      </w:r>
      <w:proofErr w:type="spellEnd"/>
      <w:r w:rsidRPr="00CC09A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8C777F3" w14:textId="77777777" w:rsidR="00837AB2" w:rsidRPr="00CC09AA" w:rsidRDefault="007D07DF">
      <w:pPr>
        <w:spacing w:before="120" w:after="120"/>
        <w:ind w:left="851" w:right="902"/>
        <w:jc w:val="both"/>
        <w:rPr>
          <w:rFonts w:ascii="Palatino Linotype" w:eastAsia="Palatino Linotype" w:hAnsi="Palatino Linotype" w:cs="Palatino Linotype"/>
          <w:b/>
          <w:i/>
          <w:sz w:val="22"/>
          <w:szCs w:val="22"/>
        </w:rPr>
      </w:pPr>
      <w:r w:rsidRPr="00CC09AA">
        <w:rPr>
          <w:rFonts w:ascii="Palatino Linotype" w:eastAsia="Palatino Linotype" w:hAnsi="Palatino Linotype" w:cs="Palatino Linotype"/>
          <w:b/>
          <w:i/>
          <w:sz w:val="22"/>
          <w:szCs w:val="22"/>
        </w:rPr>
        <w:t>...</w:t>
      </w:r>
    </w:p>
    <w:p w14:paraId="775177FF"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Quincuagésimo séptimo</w:t>
      </w:r>
      <w:r w:rsidRPr="00CC09A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B755FDC"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w:t>
      </w:r>
      <w:r w:rsidRPr="00CC09A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0EB35E4"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w:t>
      </w:r>
      <w:r w:rsidRPr="00CC09AA">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A7F43CB" w14:textId="77777777" w:rsidR="00837AB2" w:rsidRPr="00CC09AA" w:rsidRDefault="007D07DF">
      <w:pPr>
        <w:spacing w:before="120" w:after="120"/>
        <w:ind w:left="1134"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III</w:t>
      </w:r>
      <w:r w:rsidRPr="00CC09A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F58A608"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56E627DE" w14:textId="77777777" w:rsidR="00837AB2" w:rsidRPr="00CC09AA" w:rsidRDefault="007D07DF">
      <w:pPr>
        <w:spacing w:before="120" w:after="120"/>
        <w:ind w:left="851" w:right="902"/>
        <w:jc w:val="both"/>
        <w:rPr>
          <w:rFonts w:ascii="Palatino Linotype" w:eastAsia="Palatino Linotype" w:hAnsi="Palatino Linotype" w:cs="Palatino Linotype"/>
          <w:i/>
          <w:sz w:val="22"/>
          <w:szCs w:val="22"/>
        </w:rPr>
      </w:pPr>
      <w:r w:rsidRPr="00CC09AA">
        <w:rPr>
          <w:rFonts w:ascii="Palatino Linotype" w:eastAsia="Palatino Linotype" w:hAnsi="Palatino Linotype" w:cs="Palatino Linotype"/>
          <w:b/>
          <w:i/>
          <w:sz w:val="22"/>
          <w:szCs w:val="22"/>
        </w:rPr>
        <w:t>Quincuagésimo octavo</w:t>
      </w:r>
      <w:r w:rsidRPr="00CC09AA">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6945ADF"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146EF415" w14:textId="77777777" w:rsidR="00837AB2" w:rsidRPr="00CC09AA" w:rsidRDefault="007D07D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C09AA">
        <w:rPr>
          <w:rFonts w:ascii="Palatino Linotype" w:eastAsia="Palatino Linotype" w:hAnsi="Palatino Linotype" w:cs="Palatino Linotype"/>
          <w:b/>
        </w:rPr>
        <w:t>III. R E S U E L V E</w:t>
      </w:r>
    </w:p>
    <w:p w14:paraId="7F967FA6"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9" w:name="_heading=h.1t3h5sf" w:colFirst="0" w:colLast="0"/>
      <w:bookmarkEnd w:id="9"/>
      <w:r w:rsidRPr="00CC09AA">
        <w:rPr>
          <w:rFonts w:ascii="Palatino Linotype" w:eastAsia="Palatino Linotype" w:hAnsi="Palatino Linotype" w:cs="Palatino Linotype"/>
          <w:b/>
        </w:rPr>
        <w:t xml:space="preserve">Primero. </w:t>
      </w:r>
      <w:r w:rsidRPr="00CC09AA">
        <w:rPr>
          <w:rFonts w:ascii="Palatino Linotype" w:eastAsia="Palatino Linotype" w:hAnsi="Palatino Linotype" w:cs="Palatino Linotype"/>
        </w:rPr>
        <w:t>Resultan</w:t>
      </w:r>
      <w:r w:rsidRPr="00CC09AA">
        <w:rPr>
          <w:rFonts w:ascii="Palatino Linotype" w:eastAsia="Palatino Linotype" w:hAnsi="Palatino Linotype" w:cs="Palatino Linotype"/>
          <w:b/>
        </w:rPr>
        <w:t xml:space="preserve"> fundadas</w:t>
      </w:r>
      <w:r w:rsidRPr="00CC09AA">
        <w:rPr>
          <w:rFonts w:ascii="Palatino Linotype" w:eastAsia="Palatino Linotype" w:hAnsi="Palatino Linotype" w:cs="Palatino Linotype"/>
        </w:rPr>
        <w:t xml:space="preserve"> las razones o motivos de inconformidad hechos valer por la parte</w:t>
      </w:r>
      <w:r w:rsidRPr="00CC09AA">
        <w:rPr>
          <w:rFonts w:ascii="Palatino Linotype" w:eastAsia="Palatino Linotype" w:hAnsi="Palatino Linotype" w:cs="Palatino Linotype"/>
          <w:b/>
        </w:rPr>
        <w:t xml:space="preserve"> Recurrente</w:t>
      </w:r>
      <w:r w:rsidRPr="00CC09AA">
        <w:rPr>
          <w:rFonts w:ascii="Palatino Linotype" w:eastAsia="Palatino Linotype" w:hAnsi="Palatino Linotype" w:cs="Palatino Linotype"/>
        </w:rPr>
        <w:t xml:space="preserve"> en el recurso de revisión </w:t>
      </w:r>
      <w:r w:rsidRPr="00CC09AA">
        <w:rPr>
          <w:rFonts w:ascii="Palatino Linotype" w:eastAsia="Palatino Linotype" w:hAnsi="Palatino Linotype" w:cs="Palatino Linotype"/>
          <w:b/>
        </w:rPr>
        <w:t>01609/INFOEM/IP/RR/2025</w:t>
      </w:r>
      <w:r w:rsidRPr="00CC09AA">
        <w:rPr>
          <w:rFonts w:ascii="Palatino Linotype" w:eastAsia="Palatino Linotype" w:hAnsi="Palatino Linotype" w:cs="Palatino Linotype"/>
        </w:rPr>
        <w:t xml:space="preserve">; por lo que, en términos del </w:t>
      </w:r>
      <w:r w:rsidRPr="00CC09AA">
        <w:rPr>
          <w:rFonts w:ascii="Palatino Linotype" w:eastAsia="Palatino Linotype" w:hAnsi="Palatino Linotype" w:cs="Palatino Linotype"/>
          <w:b/>
        </w:rPr>
        <w:t>Considerando</w:t>
      </w:r>
      <w:r w:rsidRPr="00CC09AA">
        <w:rPr>
          <w:rFonts w:ascii="Palatino Linotype" w:eastAsia="Palatino Linotype" w:hAnsi="Palatino Linotype" w:cs="Palatino Linotype"/>
        </w:rPr>
        <w:t xml:space="preserve"> </w:t>
      </w:r>
      <w:r w:rsidRPr="00CC09AA">
        <w:rPr>
          <w:rFonts w:ascii="Palatino Linotype" w:eastAsia="Palatino Linotype" w:hAnsi="Palatino Linotype" w:cs="Palatino Linotype"/>
          <w:b/>
        </w:rPr>
        <w:t xml:space="preserve">Cuarto </w:t>
      </w:r>
      <w:r w:rsidRPr="00CC09AA">
        <w:rPr>
          <w:rFonts w:ascii="Palatino Linotype" w:eastAsia="Palatino Linotype" w:hAnsi="Palatino Linotype" w:cs="Palatino Linotype"/>
        </w:rPr>
        <w:t xml:space="preserve">de esta resolución, se </w:t>
      </w:r>
      <w:r w:rsidRPr="00CC09AA">
        <w:rPr>
          <w:rFonts w:ascii="Palatino Linotype" w:eastAsia="Palatino Linotype" w:hAnsi="Palatino Linotype" w:cs="Palatino Linotype"/>
          <w:b/>
        </w:rPr>
        <w:t>Modifica</w:t>
      </w:r>
      <w:r w:rsidRPr="00CC09AA">
        <w:rPr>
          <w:rFonts w:ascii="Palatino Linotype" w:eastAsia="Palatino Linotype" w:hAnsi="Palatino Linotype" w:cs="Palatino Linotype"/>
        </w:rPr>
        <w:t xml:space="preserve"> la respuesta emitida por el </w:t>
      </w:r>
      <w:r w:rsidRPr="00CC09AA">
        <w:rPr>
          <w:rFonts w:ascii="Palatino Linotype" w:eastAsia="Palatino Linotype" w:hAnsi="Palatino Linotype" w:cs="Palatino Linotype"/>
          <w:b/>
        </w:rPr>
        <w:t xml:space="preserve">Sujeto Obligado. </w:t>
      </w:r>
    </w:p>
    <w:p w14:paraId="4BAC0215" w14:textId="77777777" w:rsidR="00837AB2" w:rsidRPr="00CC09AA" w:rsidRDefault="007D07DF">
      <w:pPr>
        <w:spacing w:before="240" w:after="240" w:line="360" w:lineRule="auto"/>
        <w:ind w:right="49"/>
        <w:jc w:val="both"/>
        <w:rPr>
          <w:rFonts w:ascii="Palatino Linotype" w:eastAsia="Palatino Linotype" w:hAnsi="Palatino Linotype" w:cs="Palatino Linotype"/>
        </w:rPr>
      </w:pPr>
      <w:r w:rsidRPr="00CC09AA">
        <w:rPr>
          <w:rFonts w:ascii="Palatino Linotype" w:eastAsia="Palatino Linotype" w:hAnsi="Palatino Linotype" w:cs="Palatino Linotype"/>
          <w:b/>
        </w:rPr>
        <w:t xml:space="preserve">Segundo. </w:t>
      </w:r>
      <w:r w:rsidRPr="00CC09AA">
        <w:rPr>
          <w:rFonts w:ascii="Palatino Linotype" w:eastAsia="Palatino Linotype" w:hAnsi="Palatino Linotype" w:cs="Palatino Linotype"/>
        </w:rPr>
        <w:t xml:space="preserve">Se </w:t>
      </w:r>
      <w:r w:rsidRPr="00CC09AA">
        <w:rPr>
          <w:rFonts w:ascii="Palatino Linotype" w:eastAsia="Palatino Linotype" w:hAnsi="Palatino Linotype" w:cs="Palatino Linotype"/>
          <w:b/>
        </w:rPr>
        <w:t xml:space="preserve">Ordena </w:t>
      </w:r>
      <w:r w:rsidRPr="00CC09AA">
        <w:rPr>
          <w:rFonts w:ascii="Palatino Linotype" w:eastAsia="Palatino Linotype" w:hAnsi="Palatino Linotype" w:cs="Palatino Linotype"/>
        </w:rPr>
        <w:t xml:space="preserve">al </w:t>
      </w:r>
      <w:r w:rsidRPr="00CC09AA">
        <w:rPr>
          <w:rFonts w:ascii="Palatino Linotype" w:eastAsia="Palatino Linotype" w:hAnsi="Palatino Linotype" w:cs="Palatino Linotype"/>
          <w:b/>
        </w:rPr>
        <w:t xml:space="preserve">Sujeto Obligado, </w:t>
      </w:r>
      <w:r w:rsidRPr="00CC09AA">
        <w:rPr>
          <w:rFonts w:ascii="Palatino Linotype" w:eastAsia="Palatino Linotype" w:hAnsi="Palatino Linotype" w:cs="Palatino Linotype"/>
        </w:rPr>
        <w:t xml:space="preserve">en términos de los </w:t>
      </w:r>
      <w:r w:rsidRPr="00CC09AA">
        <w:rPr>
          <w:rFonts w:ascii="Palatino Linotype" w:eastAsia="Palatino Linotype" w:hAnsi="Palatino Linotype" w:cs="Palatino Linotype"/>
          <w:b/>
        </w:rPr>
        <w:t>Considerandos</w:t>
      </w:r>
      <w:r w:rsidRPr="00CC09AA">
        <w:rPr>
          <w:rFonts w:ascii="Palatino Linotype" w:eastAsia="Palatino Linotype" w:hAnsi="Palatino Linotype" w:cs="Palatino Linotype"/>
        </w:rPr>
        <w:t xml:space="preserve"> </w:t>
      </w:r>
      <w:r w:rsidRPr="00CC09AA">
        <w:rPr>
          <w:rFonts w:ascii="Palatino Linotype" w:eastAsia="Palatino Linotype" w:hAnsi="Palatino Linotype" w:cs="Palatino Linotype"/>
          <w:b/>
        </w:rPr>
        <w:t xml:space="preserve">Cuarto </w:t>
      </w:r>
      <w:r w:rsidRPr="00CC09AA">
        <w:rPr>
          <w:rFonts w:ascii="Palatino Linotype" w:eastAsia="Palatino Linotype" w:hAnsi="Palatino Linotype" w:cs="Palatino Linotype"/>
        </w:rPr>
        <w:t>y</w:t>
      </w:r>
      <w:r w:rsidRPr="00CC09AA">
        <w:rPr>
          <w:rFonts w:ascii="Palatino Linotype" w:eastAsia="Palatino Linotype" w:hAnsi="Palatino Linotype" w:cs="Palatino Linotype"/>
          <w:b/>
        </w:rPr>
        <w:t xml:space="preserve"> Quinto</w:t>
      </w:r>
      <w:r w:rsidRPr="00CC09AA">
        <w:rPr>
          <w:rFonts w:ascii="Palatino Linotype" w:eastAsia="Palatino Linotype" w:hAnsi="Palatino Linotype" w:cs="Palatino Linotype"/>
        </w:rPr>
        <w:t xml:space="preserve"> </w:t>
      </w:r>
      <w:r w:rsidRPr="00CC09AA">
        <w:rPr>
          <w:rFonts w:ascii="Palatino Linotype" w:eastAsia="Palatino Linotype" w:hAnsi="Palatino Linotype" w:cs="Palatino Linotype"/>
          <w:b/>
        </w:rPr>
        <w:t xml:space="preserve"> </w:t>
      </w:r>
      <w:r w:rsidRPr="00CC09AA">
        <w:rPr>
          <w:rFonts w:ascii="Palatino Linotype" w:eastAsia="Palatino Linotype" w:hAnsi="Palatino Linotype" w:cs="Palatino Linotype"/>
        </w:rPr>
        <w:t xml:space="preserve">de esta resolución, haga entrega, vía </w:t>
      </w:r>
      <w:r w:rsidRPr="00CC09AA">
        <w:rPr>
          <w:rFonts w:ascii="Palatino Linotype" w:eastAsia="Palatino Linotype" w:hAnsi="Palatino Linotype" w:cs="Palatino Linotype"/>
          <w:b/>
        </w:rPr>
        <w:t>SAIMEX</w:t>
      </w:r>
      <w:r w:rsidRPr="00CC09AA">
        <w:rPr>
          <w:rFonts w:ascii="Palatino Linotype" w:eastAsia="Palatino Linotype" w:hAnsi="Palatino Linotype" w:cs="Palatino Linotype"/>
        </w:rPr>
        <w:t>, previa búsqueda exhaustiva y razonable, de lo siguiente en versión pública de ser procedente:</w:t>
      </w:r>
    </w:p>
    <w:p w14:paraId="20D8C65C" w14:textId="77777777" w:rsidR="00837AB2" w:rsidRPr="00CC09AA" w:rsidRDefault="007D07DF">
      <w:pPr>
        <w:spacing w:before="240" w:after="240" w:line="360" w:lineRule="auto"/>
        <w:ind w:left="426" w:right="49"/>
        <w:jc w:val="both"/>
        <w:rPr>
          <w:rFonts w:ascii="Palatino Linotype" w:eastAsia="Palatino Linotype" w:hAnsi="Palatino Linotype" w:cs="Palatino Linotype"/>
        </w:rPr>
      </w:pPr>
      <w:r w:rsidRPr="00CC09AA">
        <w:rPr>
          <w:rFonts w:ascii="Palatino Linotype" w:eastAsia="Palatino Linotype" w:hAnsi="Palatino Linotype" w:cs="Palatino Linotype"/>
        </w:rPr>
        <w:t>1. Oficios signados por el Quinto Regidor del uno al treinta y uno de enero de dos mil veintitrés, faltantes.</w:t>
      </w:r>
    </w:p>
    <w:p w14:paraId="373E6C06" w14:textId="77777777" w:rsidR="00837AB2" w:rsidRPr="00CC09AA" w:rsidRDefault="007D07DF">
      <w:pPr>
        <w:spacing w:before="120" w:after="120"/>
        <w:ind w:left="426"/>
        <w:jc w:val="both"/>
        <w:rPr>
          <w:rFonts w:ascii="Palatino Linotype" w:eastAsia="Palatino Linotype" w:hAnsi="Palatino Linotype" w:cs="Palatino Linotype"/>
          <w:i/>
          <w:sz w:val="20"/>
          <w:szCs w:val="20"/>
        </w:rPr>
      </w:pPr>
      <w:r w:rsidRPr="00CC09AA">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w:t>
      </w:r>
      <w:r w:rsidRPr="00CC09AA">
        <w:rPr>
          <w:rFonts w:ascii="Palatino Linotype" w:eastAsia="Palatino Linotype" w:hAnsi="Palatino Linotype" w:cs="Palatino Linotype"/>
          <w:i/>
          <w:sz w:val="20"/>
          <w:szCs w:val="20"/>
        </w:rPr>
        <w:lastRenderedPageBreak/>
        <w:t xml:space="preserve">funde y motive las razones sobre los datos que se supriman o eliminen, y se ponga a disposición de la parte </w:t>
      </w:r>
      <w:r w:rsidRPr="00CC09AA">
        <w:rPr>
          <w:rFonts w:ascii="Palatino Linotype" w:eastAsia="Palatino Linotype" w:hAnsi="Palatino Linotype" w:cs="Palatino Linotype"/>
          <w:b/>
          <w:i/>
          <w:sz w:val="20"/>
          <w:szCs w:val="20"/>
        </w:rPr>
        <w:t>Recurrente</w:t>
      </w:r>
      <w:r w:rsidRPr="00CC09AA">
        <w:rPr>
          <w:rFonts w:ascii="Palatino Linotype" w:eastAsia="Palatino Linotype" w:hAnsi="Palatino Linotype" w:cs="Palatino Linotype"/>
          <w:i/>
          <w:sz w:val="20"/>
          <w:szCs w:val="20"/>
        </w:rPr>
        <w:t>.</w:t>
      </w:r>
    </w:p>
    <w:p w14:paraId="70C2E949" w14:textId="77777777" w:rsidR="00837AB2" w:rsidRPr="00CC09AA" w:rsidRDefault="007D07DF">
      <w:pPr>
        <w:spacing w:before="120" w:after="120"/>
        <w:ind w:left="425"/>
        <w:jc w:val="both"/>
        <w:rPr>
          <w:rFonts w:ascii="Palatino Linotype" w:eastAsia="Palatino Linotype" w:hAnsi="Palatino Linotype" w:cs="Palatino Linotype"/>
          <w:i/>
          <w:sz w:val="20"/>
          <w:szCs w:val="20"/>
        </w:rPr>
      </w:pPr>
      <w:r w:rsidRPr="00CC09AA">
        <w:rPr>
          <w:rFonts w:ascii="Palatino Linotype" w:eastAsia="Palatino Linotype" w:hAnsi="Palatino Linotype" w:cs="Palatino Linotype"/>
          <w:i/>
          <w:sz w:val="20"/>
          <w:szCs w:val="20"/>
        </w:rPr>
        <w:t xml:space="preserve">En el supuesto que alguno de los oficios se hubiera cancelado o no se hubieran emitido, bastará con que así lo haga del conocimiento de la parte </w:t>
      </w:r>
      <w:r w:rsidRPr="00CC09AA">
        <w:rPr>
          <w:rFonts w:ascii="Palatino Linotype" w:eastAsia="Palatino Linotype" w:hAnsi="Palatino Linotype" w:cs="Palatino Linotype"/>
          <w:b/>
          <w:i/>
          <w:sz w:val="20"/>
          <w:szCs w:val="20"/>
        </w:rPr>
        <w:t>Recurrente</w:t>
      </w:r>
      <w:r w:rsidRPr="00CC09AA">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007C7DD3"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b/>
        </w:rPr>
        <w:t xml:space="preserve">Tercero. Notifíquese, </w:t>
      </w:r>
      <w:r w:rsidRPr="00CC09AA">
        <w:rPr>
          <w:rFonts w:ascii="Palatino Linotype" w:eastAsia="Palatino Linotype" w:hAnsi="Palatino Linotype" w:cs="Palatino Linotype"/>
        </w:rPr>
        <w:t xml:space="preserve">vía </w:t>
      </w:r>
      <w:r w:rsidRPr="00CC09AA">
        <w:rPr>
          <w:rFonts w:ascii="Palatino Linotype" w:eastAsia="Palatino Linotype" w:hAnsi="Palatino Linotype" w:cs="Palatino Linotype"/>
          <w:b/>
        </w:rPr>
        <w:t>SAIMEX</w:t>
      </w:r>
      <w:r w:rsidRPr="00CC09AA">
        <w:rPr>
          <w:rFonts w:ascii="Palatino Linotype" w:eastAsia="Palatino Linotype" w:hAnsi="Palatino Linotype" w:cs="Palatino Linotype"/>
        </w:rPr>
        <w:t xml:space="preserve">, al Titular de la Unidad de Transparencia del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F3B522" w14:textId="77777777" w:rsidR="00837AB2" w:rsidRPr="00CC09AA" w:rsidRDefault="007D07DF">
      <w:pPr>
        <w:spacing w:before="240" w:after="240" w:line="360" w:lineRule="auto"/>
        <w:jc w:val="both"/>
        <w:rPr>
          <w:rFonts w:ascii="Palatino Linotype" w:eastAsia="Palatino Linotype" w:hAnsi="Palatino Linotype" w:cs="Palatino Linotype"/>
        </w:rPr>
      </w:pPr>
      <w:r w:rsidRPr="00CC09A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C09AA">
        <w:rPr>
          <w:rFonts w:ascii="Palatino Linotype" w:eastAsia="Palatino Linotype" w:hAnsi="Palatino Linotype" w:cs="Palatino Linotype"/>
          <w:b/>
        </w:rPr>
        <w:t>Sujeto Obligado</w:t>
      </w:r>
      <w:r w:rsidRPr="00CC09AA">
        <w:rPr>
          <w:rFonts w:ascii="Palatino Linotype" w:eastAsia="Palatino Linotype" w:hAnsi="Palatino Linotype" w:cs="Palatino Linotype"/>
        </w:rPr>
        <w:t xml:space="preserve"> de manera fundada y motivada, podrá solicitar una ampliación de plazo para el cumplimiento de la presente resolución.</w:t>
      </w:r>
    </w:p>
    <w:p w14:paraId="1A78BD03" w14:textId="77777777" w:rsidR="00837AB2" w:rsidRPr="00CC09AA" w:rsidRDefault="007D07DF">
      <w:pPr>
        <w:spacing w:before="240" w:after="240" w:line="360" w:lineRule="auto"/>
        <w:jc w:val="both"/>
        <w:rPr>
          <w:rFonts w:ascii="Palatino Linotype" w:eastAsia="Palatino Linotype" w:hAnsi="Palatino Linotype" w:cs="Palatino Linotype"/>
        </w:rPr>
      </w:pPr>
      <w:bookmarkStart w:id="10" w:name="_heading=h.ot3qq6vxa08f" w:colFirst="0" w:colLast="0"/>
      <w:bookmarkEnd w:id="10"/>
      <w:r w:rsidRPr="00CC09AA">
        <w:rPr>
          <w:rFonts w:ascii="Palatino Linotype" w:eastAsia="Palatino Linotype" w:hAnsi="Palatino Linotype" w:cs="Palatino Linotype"/>
          <w:b/>
        </w:rPr>
        <w:t xml:space="preserve">Cuarto.  Notifíquese, </w:t>
      </w:r>
      <w:r w:rsidRPr="00CC09AA">
        <w:rPr>
          <w:rFonts w:ascii="Palatino Linotype" w:eastAsia="Palatino Linotype" w:hAnsi="Palatino Linotype" w:cs="Palatino Linotype"/>
        </w:rPr>
        <w:t xml:space="preserve">vía </w:t>
      </w:r>
      <w:r w:rsidRPr="00CC09AA">
        <w:rPr>
          <w:rFonts w:ascii="Palatino Linotype" w:eastAsia="Palatino Linotype" w:hAnsi="Palatino Linotype" w:cs="Palatino Linotype"/>
          <w:b/>
        </w:rPr>
        <w:t>SAIMEX</w:t>
      </w:r>
      <w:r w:rsidRPr="00CC09AA">
        <w:rPr>
          <w:rFonts w:ascii="Palatino Linotype" w:eastAsia="Palatino Linotype" w:hAnsi="Palatino Linotype" w:cs="Palatino Linotype"/>
        </w:rPr>
        <w:t xml:space="preserve"> a la parte </w:t>
      </w:r>
      <w:r w:rsidRPr="00CC09AA">
        <w:rPr>
          <w:rFonts w:ascii="Palatino Linotype" w:eastAsia="Palatino Linotype" w:hAnsi="Palatino Linotype" w:cs="Palatino Linotype"/>
          <w:b/>
        </w:rPr>
        <w:t>Recurrente</w:t>
      </w:r>
      <w:r w:rsidRPr="00CC09A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4F7CAFF" w14:textId="4ED28E48" w:rsidR="00837AB2" w:rsidRPr="00AD37AF" w:rsidRDefault="007D07DF">
      <w:pPr>
        <w:tabs>
          <w:tab w:val="left" w:pos="8647"/>
        </w:tabs>
        <w:spacing w:before="240" w:after="240" w:line="360" w:lineRule="auto"/>
        <w:ind w:right="51"/>
        <w:jc w:val="both"/>
        <w:rPr>
          <w:rFonts w:ascii="Palatino Linotype" w:eastAsia="Palatino Linotype" w:hAnsi="Palatino Linotype" w:cs="Palatino Linotype"/>
        </w:rPr>
      </w:pPr>
      <w:bookmarkStart w:id="11" w:name="_heading=h.vutfqnv4axgi" w:colFirst="0" w:colLast="0"/>
      <w:bookmarkEnd w:id="11"/>
      <w:r w:rsidRPr="00CC09AA">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VEINTIS</w:t>
      </w:r>
      <w:r w:rsidR="00AD37AF" w:rsidRPr="00CC09AA">
        <w:rPr>
          <w:rFonts w:ascii="Palatino Linotype" w:eastAsia="Palatino Linotype" w:hAnsi="Palatino Linotype" w:cs="Palatino Linotype"/>
        </w:rPr>
        <w:t>É</w:t>
      </w:r>
      <w:r w:rsidRPr="00CC09AA">
        <w:rPr>
          <w:rFonts w:ascii="Palatino Linotype" w:eastAsia="Palatino Linotype" w:hAnsi="Palatino Linotype" w:cs="Palatino Linotype"/>
        </w:rPr>
        <w:t>IS DE MARZO DE DOS MIL VEINTICINCO, ANTE EL SECRETARIO TÉCNICO DEL PLENO ALEXIS TAPIA RAMÍREZ.</w:t>
      </w:r>
    </w:p>
    <w:p w14:paraId="5133673C" w14:textId="77777777" w:rsidR="00837AB2" w:rsidRPr="00AD37AF" w:rsidRDefault="00837AB2">
      <w:pPr>
        <w:spacing w:line="360" w:lineRule="auto"/>
        <w:jc w:val="both"/>
        <w:rPr>
          <w:rFonts w:ascii="Palatino Linotype" w:eastAsia="Palatino Linotype" w:hAnsi="Palatino Linotype" w:cs="Palatino Linotype"/>
        </w:rPr>
      </w:pPr>
    </w:p>
    <w:p w14:paraId="3C0C5764" w14:textId="77777777" w:rsidR="00837AB2" w:rsidRPr="00AD37AF" w:rsidRDefault="00837AB2">
      <w:pPr>
        <w:spacing w:line="360" w:lineRule="auto"/>
        <w:jc w:val="both"/>
        <w:rPr>
          <w:rFonts w:ascii="Palatino Linotype" w:eastAsia="Palatino Linotype" w:hAnsi="Palatino Linotype" w:cs="Palatino Linotype"/>
        </w:rPr>
      </w:pPr>
    </w:p>
    <w:p w14:paraId="40817510" w14:textId="77777777" w:rsidR="00837AB2" w:rsidRPr="00AD37AF" w:rsidRDefault="00837AB2">
      <w:pPr>
        <w:spacing w:line="360" w:lineRule="auto"/>
        <w:jc w:val="both"/>
        <w:rPr>
          <w:rFonts w:ascii="Palatino Linotype" w:eastAsia="Palatino Linotype" w:hAnsi="Palatino Linotype" w:cs="Palatino Linotype"/>
        </w:rPr>
      </w:pPr>
    </w:p>
    <w:p w14:paraId="4174C991" w14:textId="77777777" w:rsidR="00837AB2" w:rsidRPr="00AD37AF" w:rsidRDefault="00837AB2">
      <w:pPr>
        <w:spacing w:line="360" w:lineRule="auto"/>
        <w:jc w:val="both"/>
        <w:rPr>
          <w:rFonts w:ascii="Palatino Linotype" w:eastAsia="Palatino Linotype" w:hAnsi="Palatino Linotype" w:cs="Palatino Linotype"/>
        </w:rPr>
      </w:pPr>
    </w:p>
    <w:p w14:paraId="3865A8F3" w14:textId="77777777" w:rsidR="00837AB2" w:rsidRPr="00AD37AF" w:rsidRDefault="00837AB2">
      <w:pPr>
        <w:spacing w:line="360" w:lineRule="auto"/>
        <w:jc w:val="both"/>
        <w:rPr>
          <w:rFonts w:ascii="Palatino Linotype" w:eastAsia="Palatino Linotype" w:hAnsi="Palatino Linotype" w:cs="Palatino Linotype"/>
        </w:rPr>
      </w:pPr>
    </w:p>
    <w:p w14:paraId="2F0F53FC" w14:textId="77777777" w:rsidR="00837AB2" w:rsidRPr="00AD37AF" w:rsidRDefault="00837AB2">
      <w:pPr>
        <w:spacing w:line="360" w:lineRule="auto"/>
        <w:jc w:val="both"/>
        <w:rPr>
          <w:rFonts w:ascii="Palatino Linotype" w:eastAsia="Palatino Linotype" w:hAnsi="Palatino Linotype" w:cs="Palatino Linotype"/>
        </w:rPr>
      </w:pPr>
    </w:p>
    <w:p w14:paraId="7A15BEFD" w14:textId="77777777" w:rsidR="00837AB2" w:rsidRPr="00AD37AF" w:rsidRDefault="00837AB2">
      <w:pPr>
        <w:spacing w:line="360" w:lineRule="auto"/>
        <w:jc w:val="both"/>
        <w:rPr>
          <w:rFonts w:ascii="Palatino Linotype" w:eastAsia="Palatino Linotype" w:hAnsi="Palatino Linotype" w:cs="Palatino Linotype"/>
        </w:rPr>
      </w:pPr>
    </w:p>
    <w:p w14:paraId="2F4CE4F3" w14:textId="77777777" w:rsidR="00837AB2" w:rsidRPr="00AD37AF" w:rsidRDefault="00837AB2">
      <w:pPr>
        <w:spacing w:line="360" w:lineRule="auto"/>
        <w:jc w:val="both"/>
        <w:rPr>
          <w:rFonts w:ascii="Palatino Linotype" w:eastAsia="Palatino Linotype" w:hAnsi="Palatino Linotype" w:cs="Palatino Linotype"/>
        </w:rPr>
      </w:pPr>
    </w:p>
    <w:p w14:paraId="33F80DA1" w14:textId="77777777" w:rsidR="00837AB2" w:rsidRPr="00AD37AF" w:rsidRDefault="00837AB2">
      <w:pPr>
        <w:spacing w:line="360" w:lineRule="auto"/>
        <w:jc w:val="both"/>
        <w:rPr>
          <w:rFonts w:ascii="Palatino Linotype" w:eastAsia="Palatino Linotype" w:hAnsi="Palatino Linotype" w:cs="Palatino Linotype"/>
        </w:rPr>
      </w:pPr>
    </w:p>
    <w:p w14:paraId="4E2F9AAD" w14:textId="77777777" w:rsidR="00837AB2" w:rsidRPr="00AD37AF" w:rsidRDefault="00837AB2">
      <w:pPr>
        <w:spacing w:line="360" w:lineRule="auto"/>
        <w:jc w:val="both"/>
        <w:rPr>
          <w:rFonts w:ascii="Palatino Linotype" w:eastAsia="Palatino Linotype" w:hAnsi="Palatino Linotype" w:cs="Palatino Linotype"/>
        </w:rPr>
      </w:pPr>
    </w:p>
    <w:p w14:paraId="134DB9BD" w14:textId="77777777" w:rsidR="00837AB2" w:rsidRPr="00AD37AF" w:rsidRDefault="00837AB2">
      <w:pPr>
        <w:spacing w:line="360" w:lineRule="auto"/>
        <w:jc w:val="both"/>
        <w:rPr>
          <w:rFonts w:ascii="Palatino Linotype" w:eastAsia="Palatino Linotype" w:hAnsi="Palatino Linotype" w:cs="Palatino Linotype"/>
        </w:rPr>
      </w:pPr>
    </w:p>
    <w:p w14:paraId="27DB47CD" w14:textId="77777777" w:rsidR="00837AB2" w:rsidRPr="00AD37AF" w:rsidRDefault="00837AB2">
      <w:pPr>
        <w:spacing w:line="360" w:lineRule="auto"/>
        <w:jc w:val="both"/>
        <w:rPr>
          <w:rFonts w:ascii="Palatino Linotype" w:eastAsia="Palatino Linotype" w:hAnsi="Palatino Linotype" w:cs="Palatino Linotype"/>
        </w:rPr>
      </w:pPr>
    </w:p>
    <w:p w14:paraId="225E4988" w14:textId="77777777" w:rsidR="00837AB2" w:rsidRPr="00AD37AF" w:rsidRDefault="00837AB2">
      <w:pPr>
        <w:spacing w:line="360" w:lineRule="auto"/>
        <w:jc w:val="both"/>
        <w:rPr>
          <w:rFonts w:ascii="Palatino Linotype" w:eastAsia="Palatino Linotype" w:hAnsi="Palatino Linotype" w:cs="Palatino Linotype"/>
        </w:rPr>
      </w:pPr>
    </w:p>
    <w:p w14:paraId="1637B9E1" w14:textId="77777777" w:rsidR="00837AB2" w:rsidRPr="00AD37AF" w:rsidRDefault="00837AB2">
      <w:pPr>
        <w:spacing w:line="360" w:lineRule="auto"/>
        <w:jc w:val="both"/>
        <w:rPr>
          <w:rFonts w:ascii="Palatino Linotype" w:eastAsia="Palatino Linotype" w:hAnsi="Palatino Linotype" w:cs="Palatino Linotype"/>
        </w:rPr>
      </w:pPr>
    </w:p>
    <w:p w14:paraId="72E2AD8C" w14:textId="77777777" w:rsidR="00837AB2" w:rsidRPr="00AD37AF" w:rsidRDefault="00837AB2">
      <w:pPr>
        <w:spacing w:line="360" w:lineRule="auto"/>
        <w:jc w:val="both"/>
        <w:rPr>
          <w:rFonts w:ascii="Palatino Linotype" w:eastAsia="Palatino Linotype" w:hAnsi="Palatino Linotype" w:cs="Palatino Linotype"/>
        </w:rPr>
      </w:pPr>
    </w:p>
    <w:p w14:paraId="7D28D8A1" w14:textId="77777777" w:rsidR="00837AB2" w:rsidRPr="00AD37AF" w:rsidRDefault="00837AB2">
      <w:pPr>
        <w:spacing w:line="360" w:lineRule="auto"/>
        <w:jc w:val="both"/>
        <w:rPr>
          <w:rFonts w:ascii="Palatino Linotype" w:eastAsia="Palatino Linotype" w:hAnsi="Palatino Linotype" w:cs="Palatino Linotype"/>
        </w:rPr>
      </w:pPr>
    </w:p>
    <w:sectPr w:rsidR="00837AB2" w:rsidRPr="00AD37AF">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6481" w14:textId="77777777" w:rsidR="00216690" w:rsidRDefault="00216690">
      <w:r>
        <w:separator/>
      </w:r>
    </w:p>
  </w:endnote>
  <w:endnote w:type="continuationSeparator" w:id="0">
    <w:p w14:paraId="6D94F897" w14:textId="77777777" w:rsidR="00216690" w:rsidRDefault="00216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DA6F" w14:textId="77777777" w:rsidR="00837AB2" w:rsidRDefault="007D07D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09AA">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09AA">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6118A386" w14:textId="77777777" w:rsidR="00837AB2" w:rsidRDefault="00837AB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0576" w14:textId="77777777" w:rsidR="00837AB2" w:rsidRDefault="007D07D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09A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09AA">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09D1343F" w14:textId="77777777" w:rsidR="00837AB2" w:rsidRDefault="00837AB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FA1E2" w14:textId="77777777" w:rsidR="00216690" w:rsidRDefault="00216690">
      <w:r>
        <w:separator/>
      </w:r>
    </w:p>
  </w:footnote>
  <w:footnote w:type="continuationSeparator" w:id="0">
    <w:p w14:paraId="63618CF1" w14:textId="77777777" w:rsidR="00216690" w:rsidRDefault="00216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25AF" w14:textId="77777777" w:rsidR="00837AB2" w:rsidRDefault="007D07DF">
    <w:pPr>
      <w:rPr>
        <w:rFonts w:ascii="Cambria" w:eastAsia="Cambria" w:hAnsi="Cambria" w:cs="Cambria"/>
        <w:color w:val="000000"/>
      </w:rPr>
    </w:pPr>
    <w:r>
      <w:rPr>
        <w:noProof/>
      </w:rPr>
      <w:drawing>
        <wp:anchor distT="0" distB="0" distL="0" distR="0" simplePos="0" relativeHeight="251658240" behindDoc="1" locked="0" layoutInCell="1" hidden="0" allowOverlap="1" wp14:anchorId="1234FAF1" wp14:editId="158BA820">
          <wp:simplePos x="0" y="0"/>
          <wp:positionH relativeFrom="column">
            <wp:posOffset>-1080097</wp:posOffset>
          </wp:positionH>
          <wp:positionV relativeFrom="paragraph">
            <wp:posOffset>-488269</wp:posOffset>
          </wp:positionV>
          <wp:extent cx="7809865" cy="10165715"/>
          <wp:effectExtent l="0" t="0" r="0" b="0"/>
          <wp:wrapNone/>
          <wp:docPr id="20832964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953" w:type="dxa"/>
      <w:tblInd w:w="3261" w:type="dxa"/>
      <w:tblLayout w:type="fixed"/>
      <w:tblLook w:val="0400" w:firstRow="0" w:lastRow="0" w:firstColumn="0" w:lastColumn="0" w:noHBand="0" w:noVBand="1"/>
    </w:tblPr>
    <w:tblGrid>
      <w:gridCol w:w="2489"/>
      <w:gridCol w:w="3464"/>
    </w:tblGrid>
    <w:tr w:rsidR="00837AB2" w14:paraId="25D40459" w14:textId="77777777">
      <w:tc>
        <w:tcPr>
          <w:tcW w:w="2489" w:type="dxa"/>
          <w:shd w:val="clear" w:color="auto" w:fill="auto"/>
        </w:tcPr>
        <w:p w14:paraId="577485C3" w14:textId="77777777" w:rsidR="00837AB2" w:rsidRDefault="007D07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C3C7151" w14:textId="77777777" w:rsidR="00837AB2" w:rsidRDefault="007D07D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01609/INFOEM/IP/RR/2025</w:t>
          </w:r>
        </w:p>
      </w:tc>
    </w:tr>
    <w:tr w:rsidR="00837AB2" w14:paraId="5CD5CEE9" w14:textId="77777777">
      <w:trPr>
        <w:trHeight w:val="228"/>
      </w:trPr>
      <w:tc>
        <w:tcPr>
          <w:tcW w:w="2489" w:type="dxa"/>
          <w:shd w:val="clear" w:color="auto" w:fill="auto"/>
          <w:vAlign w:val="center"/>
        </w:tcPr>
        <w:p w14:paraId="51B78E97" w14:textId="77777777" w:rsidR="00837AB2" w:rsidRDefault="007D07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9E622E8" w14:textId="77777777" w:rsidR="00837AB2" w:rsidRDefault="007D07D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37AB2" w14:paraId="2FCBFCAF" w14:textId="77777777">
      <w:tc>
        <w:tcPr>
          <w:tcW w:w="2489" w:type="dxa"/>
          <w:shd w:val="clear" w:color="auto" w:fill="auto"/>
          <w:vAlign w:val="center"/>
        </w:tcPr>
        <w:p w14:paraId="116F9611" w14:textId="77777777" w:rsidR="00837AB2" w:rsidRDefault="007D07D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0DCC05A" w14:textId="77777777" w:rsidR="00837AB2" w:rsidRDefault="007D07D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A9A40F" w14:textId="77777777" w:rsidR="00837AB2" w:rsidRDefault="007D07D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9160" w14:textId="77777777" w:rsidR="00837AB2" w:rsidRDefault="007D07D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9BD8C6C" wp14:editId="67C0D8EF">
          <wp:simplePos x="0" y="0"/>
          <wp:positionH relativeFrom="column">
            <wp:posOffset>-1080122</wp:posOffset>
          </wp:positionH>
          <wp:positionV relativeFrom="paragraph">
            <wp:posOffset>-369898</wp:posOffset>
          </wp:positionV>
          <wp:extent cx="7809865" cy="10165715"/>
          <wp:effectExtent l="0" t="0" r="0" b="0"/>
          <wp:wrapNone/>
          <wp:docPr id="20832964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953" w:type="dxa"/>
      <w:tblInd w:w="3261" w:type="dxa"/>
      <w:tblLayout w:type="fixed"/>
      <w:tblLook w:val="0400" w:firstRow="0" w:lastRow="0" w:firstColumn="0" w:lastColumn="0" w:noHBand="0" w:noVBand="1"/>
    </w:tblPr>
    <w:tblGrid>
      <w:gridCol w:w="2489"/>
      <w:gridCol w:w="3464"/>
    </w:tblGrid>
    <w:tr w:rsidR="00837AB2" w14:paraId="42EEED2C" w14:textId="77777777">
      <w:tc>
        <w:tcPr>
          <w:tcW w:w="2489" w:type="dxa"/>
          <w:shd w:val="clear" w:color="auto" w:fill="auto"/>
        </w:tcPr>
        <w:p w14:paraId="3402F5A1" w14:textId="77777777" w:rsidR="00837AB2" w:rsidRDefault="007D07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095EE96" w14:textId="77777777" w:rsidR="00837AB2" w:rsidRDefault="007D07D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01609/INFOEM/IP/RR/2025</w:t>
          </w:r>
        </w:p>
      </w:tc>
    </w:tr>
    <w:tr w:rsidR="00837AB2" w14:paraId="7096458B" w14:textId="77777777">
      <w:tc>
        <w:tcPr>
          <w:tcW w:w="2489" w:type="dxa"/>
          <w:shd w:val="clear" w:color="auto" w:fill="auto"/>
        </w:tcPr>
        <w:p w14:paraId="630D946A" w14:textId="77777777" w:rsidR="00837AB2" w:rsidRDefault="007D07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B0381C6" w14:textId="77777777" w:rsidR="00837AB2" w:rsidRDefault="00837AB2">
          <w:pPr>
            <w:ind w:right="175"/>
            <w:jc w:val="both"/>
            <w:rPr>
              <w:rFonts w:ascii="Palatino Linotype" w:eastAsia="Palatino Linotype" w:hAnsi="Palatino Linotype" w:cs="Palatino Linotype"/>
              <w:b/>
              <w:sz w:val="22"/>
              <w:szCs w:val="22"/>
            </w:rPr>
          </w:pPr>
        </w:p>
      </w:tc>
    </w:tr>
    <w:tr w:rsidR="00837AB2" w14:paraId="2463E25F" w14:textId="77777777">
      <w:trPr>
        <w:trHeight w:val="228"/>
      </w:trPr>
      <w:tc>
        <w:tcPr>
          <w:tcW w:w="2489" w:type="dxa"/>
          <w:shd w:val="clear" w:color="auto" w:fill="auto"/>
          <w:vAlign w:val="center"/>
        </w:tcPr>
        <w:p w14:paraId="4FF6E3AD" w14:textId="77777777" w:rsidR="00837AB2" w:rsidRDefault="007D07D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D893931" w14:textId="77777777" w:rsidR="00837AB2" w:rsidRDefault="007D07D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37AB2" w14:paraId="257F013F" w14:textId="77777777">
      <w:tc>
        <w:tcPr>
          <w:tcW w:w="2489" w:type="dxa"/>
          <w:shd w:val="clear" w:color="auto" w:fill="auto"/>
          <w:vAlign w:val="center"/>
        </w:tcPr>
        <w:p w14:paraId="26F01AA0" w14:textId="77777777" w:rsidR="00837AB2" w:rsidRDefault="007D07D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43A23DF" w14:textId="77777777" w:rsidR="00837AB2" w:rsidRDefault="007D07D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5FA28F" w14:textId="77777777" w:rsidR="00837AB2" w:rsidRDefault="00837A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45537"/>
    <w:multiLevelType w:val="multilevel"/>
    <w:tmpl w:val="CC267EB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AB2"/>
    <w:rsid w:val="00216690"/>
    <w:rsid w:val="00620583"/>
    <w:rsid w:val="00655F38"/>
    <w:rsid w:val="007D07DF"/>
    <w:rsid w:val="00837AB2"/>
    <w:rsid w:val="0088085B"/>
    <w:rsid w:val="0098601A"/>
    <w:rsid w:val="00AD37AF"/>
    <w:rsid w:val="00CA60F3"/>
    <w:rsid w:val="00CC09AA"/>
    <w:rsid w:val="00CF4C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6D81"/>
  <w15:docId w15:val="{43E0B8D5-6C85-4FC9-9818-627EFB64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style>
  <w:style w:type="table" w:customStyle="1" w:styleId="a0">
    <w:basedOn w:val="TableNormalc"/>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c"/>
    <w:tblPr>
      <w:tblStyleRowBandSize w:val="1"/>
      <w:tblStyleColBandSize w:val="1"/>
      <w:tblCellMar>
        <w:left w:w="115" w:type="dxa"/>
        <w:right w:w="115" w:type="dxa"/>
      </w:tblCellMar>
    </w:tblPr>
  </w:style>
  <w:style w:type="table" w:customStyle="1" w:styleId="a2">
    <w:basedOn w:val="TableNormalc"/>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b"/>
    <w:tblPr>
      <w:tblStyleRowBandSize w:val="1"/>
      <w:tblStyleColBandSize w:val="1"/>
      <w:tblCellMar>
        <w:left w:w="115" w:type="dxa"/>
        <w:right w:w="115" w:type="dxa"/>
      </w:tblCellMar>
    </w:tblPr>
  </w:style>
  <w:style w:type="table" w:customStyle="1" w:styleId="a4">
    <w:basedOn w:val="TableNormalb"/>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a"/>
    <w:tblPr>
      <w:tblStyleRowBandSize w:val="1"/>
      <w:tblStyleColBandSize w:val="1"/>
      <w:tblCellMar>
        <w:left w:w="108" w:type="dxa"/>
        <w:right w:w="108" w:type="dxa"/>
      </w:tblCellMar>
    </w:tblPr>
  </w:style>
  <w:style w:type="table" w:customStyle="1" w:styleId="a6">
    <w:basedOn w:val="TableNormala"/>
    <w:tblPr>
      <w:tblStyleRowBandSize w:val="1"/>
      <w:tblStyleColBandSize w:val="1"/>
      <w:tblCellMar>
        <w:left w:w="108" w:type="dxa"/>
        <w:right w:w="108" w:type="dxa"/>
      </w:tblCellMar>
    </w:tblPr>
  </w:style>
  <w:style w:type="table" w:customStyle="1" w:styleId="a7">
    <w:basedOn w:val="TableNormala"/>
    <w:tblPr>
      <w:tblStyleRowBandSize w:val="1"/>
      <w:tblStyleColBandSize w:val="1"/>
      <w:tblCellMar>
        <w:left w:w="108" w:type="dxa"/>
        <w:right w:w="108" w:type="dxa"/>
      </w:tblCellMar>
    </w:tblPr>
  </w:style>
  <w:style w:type="table" w:customStyle="1" w:styleId="a8">
    <w:basedOn w:val="TableNormala"/>
    <w:tblPr>
      <w:tblStyleRowBandSize w:val="1"/>
      <w:tblStyleColBandSize w:val="1"/>
      <w:tblCellMar>
        <w:left w:w="108" w:type="dxa"/>
        <w:right w:w="108" w:type="dxa"/>
      </w:tblCellMar>
    </w:tblPr>
  </w:style>
  <w:style w:type="table" w:customStyle="1" w:styleId="a9">
    <w:basedOn w:val="TableNormala"/>
    <w:tblPr>
      <w:tblStyleRowBandSize w:val="1"/>
      <w:tblStyleColBandSize w:val="1"/>
      <w:tblCellMar>
        <w:left w:w="108" w:type="dxa"/>
        <w:right w:w="108" w:type="dxa"/>
      </w:tblCellMar>
    </w:tblPr>
  </w:style>
  <w:style w:type="table" w:customStyle="1" w:styleId="aa">
    <w:basedOn w:val="TableNormala"/>
    <w:tblPr>
      <w:tblStyleRowBandSize w:val="1"/>
      <w:tblStyleColBandSize w:val="1"/>
      <w:tblCellMar>
        <w:left w:w="115" w:type="dxa"/>
        <w:right w:w="115" w:type="dxa"/>
      </w:tblCellMar>
    </w:tblPr>
  </w:style>
  <w:style w:type="table" w:customStyle="1" w:styleId="ab">
    <w:basedOn w:val="TableNormala"/>
    <w:tblPr>
      <w:tblStyleRowBandSize w:val="1"/>
      <w:tblStyleColBandSize w:val="1"/>
      <w:tblCellMar>
        <w:left w:w="115" w:type="dxa"/>
        <w:right w:w="115" w:type="dxa"/>
      </w:tblCellMar>
    </w:tblPr>
  </w:style>
  <w:style w:type="table" w:customStyle="1" w:styleId="ac">
    <w:basedOn w:val="TableNormal9"/>
    <w:tblPr>
      <w:tblStyleRowBandSize w:val="1"/>
      <w:tblStyleColBandSize w:val="1"/>
      <w:tblCellMar>
        <w:left w:w="108" w:type="dxa"/>
        <w:right w:w="108" w:type="dxa"/>
      </w:tblCellMar>
    </w:tblPr>
  </w:style>
  <w:style w:type="table" w:customStyle="1" w:styleId="ad">
    <w:basedOn w:val="TableNormal9"/>
    <w:tblPr>
      <w:tblStyleRowBandSize w:val="1"/>
      <w:tblStyleColBandSize w:val="1"/>
      <w:tblCellMar>
        <w:left w:w="115" w:type="dxa"/>
        <w:right w:w="115" w:type="dxa"/>
      </w:tblCellMar>
    </w:tblPr>
  </w:style>
  <w:style w:type="table" w:customStyle="1" w:styleId="ae">
    <w:basedOn w:val="TableNormal9"/>
    <w:tblPr>
      <w:tblStyleRowBandSize w:val="1"/>
      <w:tblStyleColBandSize w:val="1"/>
      <w:tblCellMar>
        <w:left w:w="115" w:type="dxa"/>
        <w:right w:w="115"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7"/>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table" w:customStyle="1" w:styleId="af5">
    <w:basedOn w:val="TableNormal6"/>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OnmEX4+tnCq+qdd9F8yon8mLug==">CgMxLjAyCWguM3JkY3JqbjIJaC40ZDM0b2c4MghoLmdqZGd4czIJaC4zZHk2dmttMgloLjMwajB6bGwyCWguMnM4ZXlvMTIIaC50eWpjd3QyCWguM3pueXNoNzIJaC4yZXQ5MnAwMgloLjF0M2g1c2YyDmgub3QzcXE2dnhhMDhmMg5oLnZ1dGZxbnY0YXhnaTgAciExdE5RQklQbVBia1pkOURnQ3k5WTRha2tYMVhxSHREVnI=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6411</Words>
  <Characters>35262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2025-03-31T16:05:00Z</cp:lastPrinted>
  <dcterms:created xsi:type="dcterms:W3CDTF">2025-04-08T17:01:00Z</dcterms:created>
  <dcterms:modified xsi:type="dcterms:W3CDTF">2025-04-08T17:01:00Z</dcterms:modified>
</cp:coreProperties>
</file>