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F551E" w14:textId="77777777" w:rsidR="00D539EF" w:rsidRPr="009E67FF" w:rsidRDefault="00A22826"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GoBack"/>
      <w:bookmarkEnd w:id="0"/>
      <w:r w:rsidRPr="009E67FF">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w:t>
      </w:r>
      <w:r w:rsidRPr="00D2394D">
        <w:rPr>
          <w:rFonts w:ascii="Palatino Linotype" w:eastAsia="Palatino Linotype" w:hAnsi="Palatino Linotype" w:cs="Palatino Linotype"/>
          <w:b/>
          <w:color w:val="000000" w:themeColor="text1"/>
        </w:rPr>
        <w:t xml:space="preserve">; de fecha </w:t>
      </w:r>
      <w:r w:rsidR="00FA07EE" w:rsidRPr="00D2394D">
        <w:rPr>
          <w:rFonts w:ascii="Palatino Linotype" w:eastAsia="Palatino Linotype" w:hAnsi="Palatino Linotype" w:cs="Palatino Linotype"/>
          <w:b/>
          <w:color w:val="000000" w:themeColor="text1"/>
        </w:rPr>
        <w:t xml:space="preserve">tres </w:t>
      </w:r>
      <w:r w:rsidRPr="00D2394D">
        <w:rPr>
          <w:rFonts w:ascii="Palatino Linotype" w:eastAsia="Palatino Linotype" w:hAnsi="Palatino Linotype" w:cs="Palatino Linotype"/>
          <w:b/>
          <w:color w:val="000000" w:themeColor="text1"/>
        </w:rPr>
        <w:t>(</w:t>
      </w:r>
      <w:r w:rsidR="00FA07EE" w:rsidRPr="00D2394D">
        <w:rPr>
          <w:rFonts w:ascii="Palatino Linotype" w:eastAsia="Palatino Linotype" w:hAnsi="Palatino Linotype" w:cs="Palatino Linotype"/>
          <w:b/>
          <w:color w:val="000000" w:themeColor="text1"/>
        </w:rPr>
        <w:t>03</w:t>
      </w:r>
      <w:r w:rsidRPr="00D2394D">
        <w:rPr>
          <w:rFonts w:ascii="Palatino Linotype" w:eastAsia="Palatino Linotype" w:hAnsi="Palatino Linotype" w:cs="Palatino Linotype"/>
          <w:b/>
          <w:color w:val="000000" w:themeColor="text1"/>
        </w:rPr>
        <w:t xml:space="preserve">) de </w:t>
      </w:r>
      <w:r w:rsidR="00FA07EE" w:rsidRPr="00D2394D">
        <w:rPr>
          <w:rFonts w:ascii="Palatino Linotype" w:eastAsia="Palatino Linotype" w:hAnsi="Palatino Linotype" w:cs="Palatino Linotype"/>
          <w:b/>
          <w:color w:val="000000" w:themeColor="text1"/>
        </w:rPr>
        <w:t xml:space="preserve">diciembre </w:t>
      </w:r>
      <w:r w:rsidRPr="00D2394D">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w:t>
      </w:r>
    </w:p>
    <w:p w14:paraId="26014E7F"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B2D1583" w14:textId="00407908" w:rsidR="00D539EF" w:rsidRPr="009E67FF" w:rsidRDefault="00A22826" w:rsidP="009E67FF">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bookmarkStart w:id="1" w:name="_heading=h.lmruehhbzzt5" w:colFirst="0" w:colLast="0"/>
      <w:bookmarkEnd w:id="1"/>
      <w:r w:rsidRPr="009E67FF">
        <w:rPr>
          <w:rFonts w:ascii="Palatino Linotype" w:eastAsia="Palatino Linotype" w:hAnsi="Palatino Linotype" w:cs="Palatino Linotype"/>
          <w:b/>
          <w:color w:val="000000" w:themeColor="text1"/>
        </w:rPr>
        <w:t>VISTO</w:t>
      </w:r>
      <w:r w:rsidRPr="009E67FF">
        <w:rPr>
          <w:rFonts w:ascii="Palatino Linotype" w:eastAsia="Palatino Linotype" w:hAnsi="Palatino Linotype" w:cs="Palatino Linotype"/>
          <w:color w:val="000000" w:themeColor="text1"/>
        </w:rPr>
        <w:t xml:space="preserve"> en el expediente electrónico formado con motivo del recurso de revisión número </w:t>
      </w:r>
      <w:r w:rsidR="00FA07EE" w:rsidRPr="009E67FF">
        <w:rPr>
          <w:rFonts w:ascii="Palatino Linotype" w:eastAsia="Palatino Linotype" w:hAnsi="Palatino Linotype" w:cs="Palatino Linotype"/>
          <w:b/>
          <w:color w:val="000000" w:themeColor="text1"/>
        </w:rPr>
        <w:t>12083</w:t>
      </w:r>
      <w:r w:rsidRPr="009E67FF">
        <w:rPr>
          <w:rFonts w:ascii="Palatino Linotype" w:eastAsia="Palatino Linotype" w:hAnsi="Palatino Linotype" w:cs="Palatino Linotype"/>
          <w:b/>
          <w:color w:val="000000" w:themeColor="text1"/>
        </w:rPr>
        <w:t>/INFOEM/IP/RR/2025</w:t>
      </w:r>
      <w:r w:rsidRPr="009E67FF">
        <w:rPr>
          <w:rFonts w:ascii="Palatino Linotype" w:eastAsia="Palatino Linotype" w:hAnsi="Palatino Linotype" w:cs="Palatino Linotype"/>
          <w:color w:val="000000" w:themeColor="text1"/>
        </w:rPr>
        <w:t xml:space="preserve">, promovido por </w:t>
      </w:r>
      <w:r w:rsidRPr="009E67FF">
        <w:rPr>
          <w:rFonts w:ascii="Palatino Linotype" w:eastAsia="Palatino Linotype" w:hAnsi="Palatino Linotype" w:cs="Palatino Linotype"/>
          <w:b/>
          <w:color w:val="000000" w:themeColor="text1"/>
        </w:rPr>
        <w:t xml:space="preserve">una persona que no proporcionó datos, </w:t>
      </w:r>
      <w:r w:rsidRPr="009E67FF">
        <w:rPr>
          <w:rFonts w:ascii="Palatino Linotype" w:eastAsia="Palatino Linotype" w:hAnsi="Palatino Linotype" w:cs="Palatino Linotype"/>
          <w:color w:val="000000" w:themeColor="text1"/>
        </w:rPr>
        <w:t>a quien en lo sucesivo denominaremos</w:t>
      </w:r>
      <w:r w:rsidRPr="009E67FF">
        <w:rPr>
          <w:rFonts w:ascii="Palatino Linotype" w:eastAsia="Palatino Linotype" w:hAnsi="Palatino Linotype" w:cs="Palatino Linotype"/>
          <w:b/>
          <w:color w:val="000000" w:themeColor="text1"/>
        </w:rPr>
        <w:t xml:space="preserve"> </w:t>
      </w:r>
      <w:r w:rsidR="00D2394D">
        <w:rPr>
          <w:rFonts w:ascii="Palatino Linotype" w:eastAsia="Palatino Linotype" w:hAnsi="Palatino Linotype" w:cs="Palatino Linotype"/>
          <w:b/>
          <w:color w:val="000000" w:themeColor="text1"/>
        </w:rPr>
        <w:t xml:space="preserve">EL </w:t>
      </w:r>
      <w:r w:rsidRPr="009E67FF">
        <w:rPr>
          <w:rFonts w:ascii="Palatino Linotype" w:eastAsia="Palatino Linotype" w:hAnsi="Palatino Linotype" w:cs="Palatino Linotype"/>
          <w:b/>
          <w:color w:val="000000" w:themeColor="text1"/>
        </w:rPr>
        <w:t>RECURRENTE,</w:t>
      </w:r>
      <w:r w:rsidRPr="009E67FF">
        <w:rPr>
          <w:rFonts w:ascii="Palatino Linotype" w:eastAsia="Palatino Linotype" w:hAnsi="Palatino Linotype" w:cs="Palatino Linotype"/>
          <w:color w:val="000000" w:themeColor="text1"/>
        </w:rPr>
        <w:t xml:space="preserve"> en contra de la respuesta del </w:t>
      </w:r>
      <w:r w:rsidR="00FA07EE" w:rsidRPr="009E67FF">
        <w:rPr>
          <w:rFonts w:ascii="Palatino Linotype" w:eastAsia="Palatino Linotype" w:hAnsi="Palatino Linotype" w:cs="Palatino Linotype"/>
          <w:b/>
          <w:color w:val="000000" w:themeColor="text1"/>
        </w:rPr>
        <w:t>Organismo Público Descentralizado para la Prestación de los Servicios de Agua Potable, Alcantarillado y Saneamiento de Teoloyucan</w:t>
      </w:r>
      <w:r w:rsidRPr="009E67FF">
        <w:rPr>
          <w:rFonts w:ascii="Palatino Linotype" w:eastAsia="Palatino Linotype" w:hAnsi="Palatino Linotype" w:cs="Palatino Linotype"/>
          <w:color w:val="000000" w:themeColor="text1"/>
        </w:rPr>
        <w:t>, en adelante el</w:t>
      </w:r>
      <w:r w:rsidRPr="009E67FF">
        <w:rPr>
          <w:rFonts w:ascii="Palatino Linotype" w:eastAsia="Palatino Linotype" w:hAnsi="Palatino Linotype" w:cs="Palatino Linotype"/>
          <w:b/>
          <w:color w:val="000000" w:themeColor="text1"/>
        </w:rPr>
        <w:t xml:space="preserve"> SUJETO OBLIGADO, </w:t>
      </w:r>
      <w:r w:rsidRPr="009E67FF">
        <w:rPr>
          <w:rFonts w:ascii="Palatino Linotype" w:eastAsia="Palatino Linotype" w:hAnsi="Palatino Linotype" w:cs="Palatino Linotype"/>
          <w:color w:val="000000" w:themeColor="text1"/>
        </w:rPr>
        <w:t>se procede a dictar la presente resolución, con base en los siguientes:</w:t>
      </w:r>
    </w:p>
    <w:p w14:paraId="2B9EFEFC"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A8CC76" w14:textId="77777777" w:rsidR="00D539EF" w:rsidRPr="009E67FF" w:rsidRDefault="00A22826" w:rsidP="009E67F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b/>
          <w:color w:val="000000" w:themeColor="text1"/>
        </w:rPr>
        <w:t>A N T E C E D E N T E S</w:t>
      </w:r>
    </w:p>
    <w:p w14:paraId="1FB88636" w14:textId="77777777" w:rsidR="00D539EF" w:rsidRPr="009E67FF" w:rsidRDefault="00D539EF" w:rsidP="009E67FF">
      <w:pPr>
        <w:spacing w:line="360" w:lineRule="auto"/>
        <w:rPr>
          <w:rFonts w:ascii="Palatino Linotype" w:eastAsia="Palatino Linotype" w:hAnsi="Palatino Linotype" w:cs="Palatino Linotype"/>
          <w:color w:val="000000" w:themeColor="text1"/>
        </w:rPr>
      </w:pPr>
    </w:p>
    <w:p w14:paraId="05019A11" w14:textId="77777777" w:rsidR="00D539EF" w:rsidRPr="009E67FF" w:rsidRDefault="00A22826"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El </w:t>
      </w:r>
      <w:r w:rsidR="00FA07EE" w:rsidRPr="009E67FF">
        <w:rPr>
          <w:rFonts w:ascii="Palatino Linotype" w:eastAsia="Palatino Linotype" w:hAnsi="Palatino Linotype" w:cs="Palatino Linotype"/>
          <w:b/>
          <w:color w:val="000000" w:themeColor="text1"/>
        </w:rPr>
        <w:t xml:space="preserve">diecinueve de septiembre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se</w:t>
      </w:r>
      <w:r w:rsidRPr="009E67FF">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color w:val="000000" w:themeColor="text1"/>
        </w:rPr>
        <w:t>presentó</w:t>
      </w:r>
      <w:r w:rsidRPr="009E67FF">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color w:val="000000" w:themeColor="text1"/>
        </w:rPr>
        <w:t xml:space="preserve">vía Sistema de Acceso a la Información Mexiquense </w:t>
      </w:r>
      <w:r w:rsidRPr="009E67FF">
        <w:rPr>
          <w:rFonts w:ascii="Palatino Linotype" w:eastAsia="Palatino Linotype" w:hAnsi="Palatino Linotype" w:cs="Palatino Linotype"/>
          <w:b/>
          <w:color w:val="000000" w:themeColor="text1"/>
        </w:rPr>
        <w:t>(SAIMEX),</w:t>
      </w:r>
      <w:r w:rsidRPr="009E67FF">
        <w:rPr>
          <w:rFonts w:ascii="Palatino Linotype" w:eastAsia="Palatino Linotype" w:hAnsi="Palatino Linotype" w:cs="Palatino Linotype"/>
          <w:color w:val="000000" w:themeColor="text1"/>
        </w:rPr>
        <w:t xml:space="preserve"> la solicitud de información pública registrada con el número </w:t>
      </w:r>
      <w:r w:rsidR="00FA07EE" w:rsidRPr="009E67FF">
        <w:rPr>
          <w:rFonts w:ascii="Palatino Linotype" w:eastAsia="Palatino Linotype" w:hAnsi="Palatino Linotype" w:cs="Palatino Linotype"/>
          <w:b/>
          <w:color w:val="000000" w:themeColor="text1"/>
        </w:rPr>
        <w:t>00271</w:t>
      </w:r>
      <w:r w:rsidRPr="009E67FF">
        <w:rPr>
          <w:rFonts w:ascii="Palatino Linotype" w:eastAsia="Palatino Linotype" w:hAnsi="Palatino Linotype" w:cs="Palatino Linotype"/>
          <w:b/>
          <w:color w:val="000000" w:themeColor="text1"/>
        </w:rPr>
        <w:t>/</w:t>
      </w:r>
      <w:r w:rsidR="00FA07EE" w:rsidRPr="009E67FF">
        <w:rPr>
          <w:rFonts w:ascii="Palatino Linotype" w:eastAsia="Palatino Linotype" w:hAnsi="Palatino Linotype" w:cs="Palatino Linotype"/>
          <w:b/>
          <w:color w:val="000000" w:themeColor="text1"/>
        </w:rPr>
        <w:t>OPDTEOLOYUCAN/</w:t>
      </w:r>
      <w:r w:rsidRPr="009E67FF">
        <w:rPr>
          <w:rFonts w:ascii="Palatino Linotype" w:eastAsia="Palatino Linotype" w:hAnsi="Palatino Linotype" w:cs="Palatino Linotype"/>
          <w:b/>
          <w:color w:val="000000" w:themeColor="text1"/>
        </w:rPr>
        <w:t>IP/2025,</w:t>
      </w:r>
      <w:r w:rsidRPr="009E67FF">
        <w:rPr>
          <w:rFonts w:ascii="Palatino Linotype" w:eastAsia="Palatino Linotype" w:hAnsi="Palatino Linotype" w:cs="Palatino Linotype"/>
          <w:color w:val="000000" w:themeColor="text1"/>
        </w:rPr>
        <w:t xml:space="preserve"> en la que se requirió lo siguiente:</w:t>
      </w:r>
    </w:p>
    <w:p w14:paraId="2980267D" w14:textId="77777777" w:rsidR="00D539EF" w:rsidRPr="009E67FF" w:rsidRDefault="00D539EF" w:rsidP="009E67FF">
      <w:pPr>
        <w:pBdr>
          <w:top w:val="nil"/>
          <w:left w:val="nil"/>
          <w:bottom w:val="nil"/>
          <w:right w:val="nil"/>
          <w:between w:val="nil"/>
        </w:pBdr>
        <w:jc w:val="both"/>
        <w:rPr>
          <w:rFonts w:ascii="Palatino Linotype" w:eastAsia="Palatino Linotype" w:hAnsi="Palatino Linotype" w:cs="Palatino Linotype"/>
          <w:strike/>
          <w:color w:val="000000" w:themeColor="text1"/>
        </w:rPr>
      </w:pPr>
    </w:p>
    <w:p w14:paraId="3451589C"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00FA07EE" w:rsidRPr="009E67FF">
        <w:rPr>
          <w:rFonts w:ascii="Palatino Linotype" w:eastAsia="Palatino Linotype" w:hAnsi="Palatino Linotype" w:cs="Palatino Linotype"/>
          <w:i/>
          <w:color w:val="000000" w:themeColor="text1"/>
        </w:rPr>
        <w:t>solisito los bienes muebles del organismo de agua, desgolosado</w:t>
      </w:r>
      <w:r w:rsidRPr="009E67FF">
        <w:rPr>
          <w:rFonts w:ascii="Palatino Linotype" w:eastAsia="Palatino Linotype" w:hAnsi="Palatino Linotype" w:cs="Palatino Linotype"/>
          <w:i/>
          <w:color w:val="000000" w:themeColor="text1"/>
        </w:rPr>
        <w:t>.(Sic)</w:t>
      </w:r>
    </w:p>
    <w:p w14:paraId="2FC1324A" w14:textId="77777777" w:rsidR="00D539EF" w:rsidRDefault="00D539EF" w:rsidP="009E67FF">
      <w:pPr>
        <w:pBdr>
          <w:top w:val="nil"/>
          <w:left w:val="nil"/>
          <w:bottom w:val="nil"/>
          <w:right w:val="nil"/>
          <w:between w:val="nil"/>
        </w:pBdr>
        <w:jc w:val="both"/>
        <w:rPr>
          <w:rFonts w:ascii="Palatino Linotype" w:eastAsia="Palatino Linotype" w:hAnsi="Palatino Linotype" w:cs="Palatino Linotype"/>
          <w:i/>
          <w:color w:val="000000" w:themeColor="text1"/>
        </w:rPr>
      </w:pPr>
    </w:p>
    <w:p w14:paraId="47E148FB" w14:textId="77777777" w:rsidR="002A2695" w:rsidRPr="009E67FF" w:rsidRDefault="002A2695" w:rsidP="009E67FF">
      <w:pPr>
        <w:pBdr>
          <w:top w:val="nil"/>
          <w:left w:val="nil"/>
          <w:bottom w:val="nil"/>
          <w:right w:val="nil"/>
          <w:between w:val="nil"/>
        </w:pBdr>
        <w:jc w:val="both"/>
        <w:rPr>
          <w:rFonts w:ascii="Palatino Linotype" w:eastAsia="Palatino Linotype" w:hAnsi="Palatino Linotype" w:cs="Palatino Linotype"/>
          <w:i/>
          <w:color w:val="000000" w:themeColor="text1"/>
        </w:rPr>
      </w:pPr>
    </w:p>
    <w:p w14:paraId="21B2FDA7" w14:textId="77777777" w:rsidR="00D539EF" w:rsidRPr="009E67FF" w:rsidRDefault="00A22826" w:rsidP="009E67FF">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b/>
          <w:color w:val="000000" w:themeColor="text1"/>
        </w:rPr>
        <w:t>Modalidad de entrega</w:t>
      </w:r>
      <w:r w:rsidRPr="009E67FF">
        <w:rPr>
          <w:rFonts w:ascii="Palatino Linotype" w:eastAsia="Palatino Linotype" w:hAnsi="Palatino Linotype" w:cs="Palatino Linotype"/>
          <w:color w:val="000000" w:themeColor="text1"/>
        </w:rPr>
        <w:t>: Vía SAIMEX.</w:t>
      </w:r>
    </w:p>
    <w:p w14:paraId="6AB9AF0E"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07D9F8C" w14:textId="77777777" w:rsidR="00D539EF" w:rsidRDefault="00A22826"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lastRenderedPageBreak/>
        <w:t xml:space="preserve">El </w:t>
      </w:r>
      <w:r w:rsidR="00FA07EE" w:rsidRPr="009E67FF">
        <w:rPr>
          <w:rFonts w:ascii="Palatino Linotype" w:eastAsia="Palatino Linotype" w:hAnsi="Palatino Linotype" w:cs="Palatino Linotype"/>
          <w:b/>
          <w:color w:val="000000" w:themeColor="text1"/>
        </w:rPr>
        <w:t xml:space="preserve">siete de octubre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xml:space="preserve">,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emitió respuesta, en los siguientes términos:</w:t>
      </w:r>
    </w:p>
    <w:p w14:paraId="1E5EBA8B" w14:textId="77777777" w:rsidR="00D539EF" w:rsidRPr="009E67FF" w:rsidRDefault="00A22826" w:rsidP="009E67FF">
      <w:pP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009634E7" w:rsidRPr="009E67FF">
        <w:rPr>
          <w:rFonts w:ascii="Palatino Linotype" w:eastAsia="Palatino Linotype" w:hAnsi="Palatino Linotype" w:cs="Palatino Linotype"/>
          <w:i/>
          <w:color w:val="000000" w:themeColor="text1"/>
        </w:rPr>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w:t>
      </w:r>
      <w:r w:rsidRPr="009E67FF">
        <w:rPr>
          <w:rFonts w:ascii="Palatino Linotype" w:eastAsia="Palatino Linotype" w:hAnsi="Palatino Linotype" w:cs="Palatino Linotype"/>
          <w:i/>
          <w:color w:val="000000" w:themeColor="text1"/>
        </w:rPr>
        <w:t>…” (Sic)</w:t>
      </w:r>
    </w:p>
    <w:p w14:paraId="33272390" w14:textId="77777777" w:rsidR="00D539EF" w:rsidRPr="009E67FF" w:rsidRDefault="00D539EF" w:rsidP="009E67FF">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14:paraId="7F8C2692" w14:textId="77777777" w:rsidR="00D539EF" w:rsidRPr="009E67FF" w:rsidRDefault="00A22826" w:rsidP="009E67FF">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Se adjuntan los siguientes archivos electrónicos:</w:t>
      </w:r>
    </w:p>
    <w:p w14:paraId="1C9E5F7F" w14:textId="44E410E1" w:rsidR="009634E7" w:rsidRDefault="009634E7" w:rsidP="002A269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b/>
          <w:color w:val="000000" w:themeColor="text1"/>
        </w:rPr>
        <w:t>ACUERDO-01-ORD-BIENESMUEBLES</w:t>
      </w:r>
      <w:r w:rsidR="00A22826" w:rsidRPr="009E67FF">
        <w:rPr>
          <w:rFonts w:ascii="Palatino Linotype" w:eastAsia="Palatino Linotype" w:hAnsi="Palatino Linotype" w:cs="Palatino Linotype"/>
          <w:b/>
          <w:color w:val="000000" w:themeColor="text1"/>
        </w:rPr>
        <w:t>.pdf</w:t>
      </w:r>
      <w:r w:rsidRPr="009E67FF">
        <w:rPr>
          <w:rFonts w:ascii="Palatino Linotype" w:eastAsia="Palatino Linotype" w:hAnsi="Palatino Linotype" w:cs="Palatino Linotype"/>
          <w:color w:val="000000" w:themeColor="text1"/>
        </w:rPr>
        <w:t>:</w:t>
      </w:r>
      <w:r w:rsidR="002A2695">
        <w:rPr>
          <w:rFonts w:ascii="Palatino Linotype" w:eastAsia="Palatino Linotype" w:hAnsi="Palatino Linotype" w:cs="Palatino Linotype"/>
          <w:color w:val="000000" w:themeColor="text1"/>
        </w:rPr>
        <w:t xml:space="preserve">   </w:t>
      </w:r>
      <w:r w:rsidR="00771BE1" w:rsidRPr="009E67FF">
        <w:rPr>
          <w:rFonts w:ascii="Palatino Linotype" w:eastAsia="Palatino Linotype" w:hAnsi="Palatino Linotype" w:cs="Palatino Linotype"/>
          <w:color w:val="000000" w:themeColor="text1"/>
        </w:rPr>
        <w:t>Acuerdo O.P.D.A.S/CT/CUARTAORD/2025/01, por el que se aprueba la clasificación de</w:t>
      </w:r>
      <w:r w:rsidR="003F736A" w:rsidRPr="009E67FF">
        <w:rPr>
          <w:rFonts w:ascii="Palatino Linotype" w:eastAsia="Palatino Linotype" w:hAnsi="Palatino Linotype" w:cs="Palatino Linotype"/>
          <w:color w:val="000000" w:themeColor="text1"/>
        </w:rPr>
        <w:t xml:space="preserve"> </w:t>
      </w:r>
      <w:r w:rsidR="00771BE1" w:rsidRPr="009E67FF">
        <w:rPr>
          <w:rFonts w:ascii="Palatino Linotype" w:eastAsia="Palatino Linotype" w:hAnsi="Palatino Linotype" w:cs="Palatino Linotype"/>
          <w:color w:val="000000" w:themeColor="text1"/>
        </w:rPr>
        <w:t xml:space="preserve">la información como confidencial y versión pública parcial de la información contenida en el inventario de bienes muebles del Organismo Público </w:t>
      </w:r>
      <w:r w:rsidR="003F736A" w:rsidRPr="009E67FF">
        <w:rPr>
          <w:rFonts w:ascii="Palatino Linotype" w:eastAsia="Palatino Linotype" w:hAnsi="Palatino Linotype" w:cs="Palatino Linotype"/>
          <w:color w:val="000000" w:themeColor="text1"/>
        </w:rPr>
        <w:t xml:space="preserve">Descentralizado para la Prestación de los Servicios de Agua Potable, Alcantarillado y Saneamiento del Municipio de Teoloyucan; toda vez que contiene número de serie de los vehículos </w:t>
      </w:r>
    </w:p>
    <w:p w14:paraId="5D8C9EB1" w14:textId="77777777" w:rsidR="00884F49" w:rsidRPr="009E67FF" w:rsidRDefault="00884F49" w:rsidP="00884F49">
      <w:pPr>
        <w:pBdr>
          <w:top w:val="nil"/>
          <w:left w:val="nil"/>
          <w:bottom w:val="nil"/>
          <w:right w:val="nil"/>
          <w:between w:val="nil"/>
        </w:pBdr>
        <w:jc w:val="both"/>
        <w:rPr>
          <w:rFonts w:ascii="Palatino Linotype" w:eastAsia="Palatino Linotype" w:hAnsi="Palatino Linotype" w:cs="Palatino Linotype"/>
          <w:color w:val="000000" w:themeColor="text1"/>
        </w:rPr>
      </w:pPr>
    </w:p>
    <w:p w14:paraId="02C24117" w14:textId="77777777" w:rsidR="009634E7" w:rsidRPr="009E67FF" w:rsidRDefault="009634E7" w:rsidP="009E67FF">
      <w:pPr>
        <w:numPr>
          <w:ilvl w:val="0"/>
          <w:numId w:val="1"/>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b/>
          <w:color w:val="000000" w:themeColor="text1"/>
        </w:rPr>
        <w:t>RES</w:t>
      </w:r>
      <w:r w:rsidR="00BD5E4A" w:rsidRPr="009E67FF">
        <w:rPr>
          <w:rFonts w:ascii="Palatino Linotype" w:eastAsia="Palatino Linotype" w:hAnsi="Palatino Linotype" w:cs="Palatino Linotype"/>
          <w:b/>
          <w:color w:val="000000" w:themeColor="text1"/>
        </w:rPr>
        <w:t xml:space="preserve">P-OPD-00271.pdf: </w:t>
      </w:r>
      <w:r w:rsidR="00BD5E4A" w:rsidRPr="009E67FF">
        <w:rPr>
          <w:rFonts w:ascii="Palatino Linotype" w:eastAsia="Palatino Linotype" w:hAnsi="Palatino Linotype" w:cs="Palatino Linotype"/>
          <w:color w:val="000000" w:themeColor="text1"/>
        </w:rPr>
        <w:t xml:space="preserve">Oficio CP-TEO/OPDAPAS/G.A.C./047/2025,  de fecha dos de octubre de dos mil veinticinco, suscrito por la coordinadora de Patrimonio y Archivo del Organismo Público Descentralizado para la Prestación de los Servicios de Agua Potable, Alcantarillado y Saneamiento de Teoloyucan, mediante el cual remite la relación de bienes muebles y bienes muebles de bajo costo, </w:t>
      </w:r>
      <w:r w:rsidR="00DE5356" w:rsidRPr="009E67FF">
        <w:rPr>
          <w:rFonts w:ascii="Palatino Linotype" w:eastAsia="Palatino Linotype" w:hAnsi="Palatino Linotype" w:cs="Palatino Linotype"/>
          <w:color w:val="000000" w:themeColor="text1"/>
        </w:rPr>
        <w:t>documento</w:t>
      </w:r>
      <w:r w:rsidR="00BD5E4A" w:rsidRPr="009E67FF">
        <w:rPr>
          <w:rFonts w:ascii="Palatino Linotype" w:eastAsia="Palatino Linotype" w:hAnsi="Palatino Linotype" w:cs="Palatino Linotype"/>
          <w:color w:val="000000" w:themeColor="text1"/>
        </w:rPr>
        <w:t xml:space="preserve"> al que agrega el Inventario de Bienes Muebles, del que se desglosa el número de inventario, nombre del mueble, marca, modelo, número de serie y área responsable; cabe precisar que del listado de referencia se advierten 49 bines muebles; así mismo, adjuntan el Inventario de Bienes Muebles de Bajo Costo, en el que se advierten 28 bienes muebles de bajo costo, especificando el número de inventario, nombre del mueble, marca, modelo, número de serie y área </w:t>
      </w:r>
      <w:r w:rsidR="00DE5356" w:rsidRPr="009E67FF">
        <w:rPr>
          <w:rFonts w:ascii="Palatino Linotype" w:eastAsia="Palatino Linotype" w:hAnsi="Palatino Linotype" w:cs="Palatino Linotype"/>
          <w:color w:val="000000" w:themeColor="text1"/>
        </w:rPr>
        <w:t>responsable.</w:t>
      </w:r>
      <w:r w:rsidR="00BD5E4A" w:rsidRPr="009E67FF">
        <w:rPr>
          <w:rFonts w:ascii="Palatino Linotype" w:eastAsia="Palatino Linotype" w:hAnsi="Palatino Linotype" w:cs="Palatino Linotype"/>
          <w:color w:val="000000" w:themeColor="text1"/>
        </w:rPr>
        <w:t xml:space="preserve"> </w:t>
      </w:r>
    </w:p>
    <w:p w14:paraId="7147BA70" w14:textId="77777777" w:rsidR="00DE5356" w:rsidRPr="009E67FF" w:rsidRDefault="00DE5356"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7C84589" w14:textId="76B0E66E" w:rsidR="00D539E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lastRenderedPageBreak/>
        <w:t xml:space="preserve">El </w:t>
      </w:r>
      <w:r w:rsidR="00DE5356" w:rsidRPr="009E67FF">
        <w:rPr>
          <w:rFonts w:ascii="Palatino Linotype" w:eastAsia="Palatino Linotype" w:hAnsi="Palatino Linotype" w:cs="Palatino Linotype"/>
          <w:b/>
          <w:color w:val="000000" w:themeColor="text1"/>
        </w:rPr>
        <w:t xml:space="preserve">veinte de octubre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xml:space="preserve">, el solicitante interpuso </w:t>
      </w:r>
      <w:r w:rsidRPr="009E67FF">
        <w:rPr>
          <w:rFonts w:ascii="Palatino Linotype" w:eastAsia="Palatino Linotype" w:hAnsi="Palatino Linotype" w:cs="Palatino Linotype"/>
          <w:b/>
          <w:color w:val="000000" w:themeColor="text1"/>
        </w:rPr>
        <w:t xml:space="preserve">RECURSO DE REVISIÓN </w:t>
      </w:r>
      <w:r w:rsidR="00DE5356" w:rsidRPr="009E67FF">
        <w:rPr>
          <w:rFonts w:ascii="Palatino Linotype" w:eastAsia="Palatino Linotype" w:hAnsi="Palatino Linotype" w:cs="Palatino Linotype"/>
          <w:b/>
          <w:color w:val="000000" w:themeColor="text1"/>
        </w:rPr>
        <w:t>12083</w:t>
      </w:r>
      <w:r w:rsidRPr="009E67FF">
        <w:rPr>
          <w:rFonts w:ascii="Palatino Linotype" w:eastAsia="Palatino Linotype" w:hAnsi="Palatino Linotype" w:cs="Palatino Linotype"/>
          <w:b/>
          <w:color w:val="000000" w:themeColor="text1"/>
        </w:rPr>
        <w:t xml:space="preserve">/INFOEM/IP/RR/2025, </w:t>
      </w:r>
      <w:r w:rsidRPr="009E67FF">
        <w:rPr>
          <w:rFonts w:ascii="Palatino Linotype" w:eastAsia="Palatino Linotype" w:hAnsi="Palatino Linotype" w:cs="Palatino Linotype"/>
          <w:color w:val="000000" w:themeColor="text1"/>
        </w:rPr>
        <w:t xml:space="preserve">en contra de la respuesta emitida por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señalando las siguientes razones o motivos de inconformidad:</w:t>
      </w:r>
    </w:p>
    <w:p w14:paraId="7B850D02" w14:textId="77777777" w:rsidR="00884F49" w:rsidRPr="009E67FF" w:rsidRDefault="00884F49" w:rsidP="00884F4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9208A70" w14:textId="4AE762C6" w:rsidR="00D539EF" w:rsidRPr="002A2695" w:rsidRDefault="002A2695" w:rsidP="002A2695">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2A2695">
        <w:rPr>
          <w:rFonts w:ascii="Palatino Linotype" w:eastAsia="Palatino Linotype" w:hAnsi="Palatino Linotype" w:cs="Palatino Linotype"/>
          <w:b/>
          <w:color w:val="000000" w:themeColor="text1"/>
          <w:sz w:val="24"/>
        </w:rPr>
        <w:t>ACTO IMPUGNADO</w:t>
      </w:r>
    </w:p>
    <w:p w14:paraId="406BB338" w14:textId="77777777" w:rsidR="00D539EF" w:rsidRPr="009E67FF" w:rsidRDefault="00A22826" w:rsidP="002A2695">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00DE5356" w:rsidRPr="009E67FF">
        <w:rPr>
          <w:rFonts w:ascii="Palatino Linotype" w:eastAsia="Palatino Linotype" w:hAnsi="Palatino Linotype" w:cs="Palatino Linotype"/>
          <w:i/>
          <w:color w:val="000000" w:themeColor="text1"/>
        </w:rPr>
        <w:t>O DA CONTESTACION FALTA RESPUESTA CORRECTA</w:t>
      </w:r>
      <w:r w:rsidRPr="009E67FF">
        <w:rPr>
          <w:rFonts w:ascii="Palatino Linotype" w:eastAsia="Palatino Linotype" w:hAnsi="Palatino Linotype" w:cs="Palatino Linotype"/>
          <w:i/>
          <w:color w:val="000000" w:themeColor="text1"/>
        </w:rPr>
        <w:t>”</w:t>
      </w:r>
      <w:r w:rsidR="00DE5356" w:rsidRPr="009E67FF">
        <w:rPr>
          <w:rFonts w:ascii="Palatino Linotype" w:eastAsia="Palatino Linotype" w:hAnsi="Palatino Linotype" w:cs="Palatino Linotype"/>
          <w:i/>
          <w:color w:val="000000" w:themeColor="text1"/>
        </w:rPr>
        <w:t xml:space="preserve"> (Sic.)</w:t>
      </w:r>
    </w:p>
    <w:p w14:paraId="7EC73E96" w14:textId="77777777" w:rsidR="00D539EF" w:rsidRPr="009E67FF" w:rsidRDefault="00D539EF" w:rsidP="009E67FF">
      <w:pPr>
        <w:pBdr>
          <w:top w:val="nil"/>
          <w:left w:val="nil"/>
          <w:bottom w:val="nil"/>
          <w:right w:val="nil"/>
          <w:between w:val="nil"/>
        </w:pBdr>
        <w:jc w:val="both"/>
        <w:rPr>
          <w:rFonts w:ascii="Palatino Linotype" w:eastAsia="Palatino Linotype" w:hAnsi="Palatino Linotype" w:cs="Palatino Linotype"/>
          <w:i/>
          <w:color w:val="000000" w:themeColor="text1"/>
        </w:rPr>
      </w:pPr>
    </w:p>
    <w:p w14:paraId="3CB8F921" w14:textId="33B08470" w:rsidR="00D539EF" w:rsidRPr="002A2695" w:rsidRDefault="002A2695" w:rsidP="002A2695">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2A2695">
        <w:rPr>
          <w:rFonts w:ascii="Palatino Linotype" w:eastAsia="Palatino Linotype" w:hAnsi="Palatino Linotype" w:cs="Palatino Linotype"/>
          <w:b/>
          <w:color w:val="000000" w:themeColor="text1"/>
          <w:sz w:val="24"/>
        </w:rPr>
        <w:t>RAZONES O MOTIVOS DE LA INCONFORMIDAD</w:t>
      </w:r>
    </w:p>
    <w:p w14:paraId="1F3A2B8D" w14:textId="77777777" w:rsidR="00D539EF" w:rsidRPr="009E67FF" w:rsidRDefault="00A22826" w:rsidP="002A2695">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00DE5356" w:rsidRPr="009E67FF">
        <w:rPr>
          <w:rFonts w:ascii="Palatino Linotype" w:eastAsia="Palatino Linotype" w:hAnsi="Palatino Linotype" w:cs="Palatino Linotype"/>
          <w:i/>
          <w:color w:val="000000" w:themeColor="text1"/>
        </w:rPr>
        <w:t>INCOMPLETA LA RESPOUESTA</w:t>
      </w:r>
      <w:r w:rsidRPr="009E67FF">
        <w:rPr>
          <w:rFonts w:ascii="Palatino Linotype" w:eastAsia="Palatino Linotype" w:hAnsi="Palatino Linotype" w:cs="Palatino Linotype"/>
          <w:i/>
          <w:color w:val="000000" w:themeColor="text1"/>
        </w:rPr>
        <w:t>”</w:t>
      </w:r>
    </w:p>
    <w:p w14:paraId="15A57B6B" w14:textId="77777777" w:rsidR="00D539EF" w:rsidRPr="009E67FF" w:rsidRDefault="00D539EF" w:rsidP="009E67FF">
      <w:pPr>
        <w:pBdr>
          <w:top w:val="nil"/>
          <w:left w:val="nil"/>
          <w:bottom w:val="nil"/>
          <w:right w:val="nil"/>
          <w:between w:val="nil"/>
        </w:pBdr>
        <w:jc w:val="both"/>
        <w:rPr>
          <w:rFonts w:ascii="Palatino Linotype" w:eastAsia="Palatino Linotype" w:hAnsi="Palatino Linotype" w:cs="Palatino Linotype"/>
          <w:i/>
          <w:color w:val="000000" w:themeColor="text1"/>
        </w:rPr>
      </w:pPr>
    </w:p>
    <w:p w14:paraId="087C7E62"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Consecutivamente</w:t>
      </w:r>
      <w:r w:rsidRPr="009E67FF">
        <w:rPr>
          <w:rFonts w:ascii="Palatino Linotype" w:eastAsia="Palatino Linotype" w:hAnsi="Palatino Linotype" w:cs="Palatino Linotype"/>
          <w:i/>
          <w:color w:val="000000" w:themeColor="text1"/>
        </w:rPr>
        <w:t xml:space="preserve">, </w:t>
      </w:r>
      <w:r w:rsidRPr="009E67FF">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9E67FF">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color w:val="000000" w:themeColor="text1"/>
        </w:rPr>
        <w:t xml:space="preserve">a la Comisionada </w:t>
      </w:r>
      <w:r w:rsidRPr="009E67FF">
        <w:rPr>
          <w:rFonts w:ascii="Palatino Linotype" w:eastAsia="Palatino Linotype" w:hAnsi="Palatino Linotype" w:cs="Palatino Linotype"/>
          <w:b/>
          <w:color w:val="000000" w:themeColor="text1"/>
        </w:rPr>
        <w:t>María del Rosario Mejía Ayala,</w:t>
      </w:r>
      <w:r w:rsidRPr="009E67FF">
        <w:rPr>
          <w:rFonts w:ascii="Palatino Linotype" w:eastAsia="Palatino Linotype" w:hAnsi="Palatino Linotype" w:cs="Palatino Linotype"/>
          <w:color w:val="000000" w:themeColor="text1"/>
        </w:rPr>
        <w:t xml:space="preserve"> respectivamente,</w:t>
      </w:r>
      <w:r w:rsidRPr="009E67FF">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color w:val="000000" w:themeColor="text1"/>
        </w:rPr>
        <w:t>con el objeto de su análisis.</w:t>
      </w:r>
    </w:p>
    <w:p w14:paraId="2B092628"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9099AFC" w14:textId="71C8E1D2" w:rsidR="00D539EF" w:rsidRPr="009E67FF" w:rsidRDefault="002A2695"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A22826" w:rsidRPr="009E67FF">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A22826" w:rsidRPr="009E67FF">
        <w:rPr>
          <w:rFonts w:ascii="Palatino Linotype" w:eastAsia="Palatino Linotype" w:hAnsi="Palatino Linotype" w:cs="Palatino Linotype"/>
          <w:b/>
          <w:color w:val="000000" w:themeColor="text1"/>
        </w:rPr>
        <w:t xml:space="preserve">acuerdo de admisión </w:t>
      </w:r>
      <w:r w:rsidR="00A22826" w:rsidRPr="009E67FF">
        <w:rPr>
          <w:rFonts w:ascii="Palatino Linotype" w:eastAsia="Palatino Linotype" w:hAnsi="Palatino Linotype" w:cs="Palatino Linotype"/>
          <w:color w:val="000000" w:themeColor="text1"/>
        </w:rPr>
        <w:t xml:space="preserve">de fecha </w:t>
      </w:r>
      <w:r w:rsidR="00DE5356" w:rsidRPr="009E67FF">
        <w:rPr>
          <w:rFonts w:ascii="Palatino Linotype" w:eastAsia="Palatino Linotype" w:hAnsi="Palatino Linotype" w:cs="Palatino Linotype"/>
          <w:b/>
          <w:color w:val="000000" w:themeColor="text1"/>
        </w:rPr>
        <w:t xml:space="preserve">veinte de octubre </w:t>
      </w:r>
      <w:r w:rsidR="00A22826" w:rsidRPr="009E67FF">
        <w:rPr>
          <w:rFonts w:ascii="Palatino Linotype" w:eastAsia="Palatino Linotype" w:hAnsi="Palatino Linotype" w:cs="Palatino Linotype"/>
          <w:b/>
          <w:color w:val="000000" w:themeColor="text1"/>
        </w:rPr>
        <w:t>de dos mil veinticinco</w:t>
      </w:r>
      <w:r w:rsidR="00A22826" w:rsidRPr="009E67FF">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A22826" w:rsidRPr="009E67FF">
        <w:rPr>
          <w:rFonts w:ascii="Palatino Linotype" w:eastAsia="Palatino Linotype" w:hAnsi="Palatino Linotype" w:cs="Palatino Linotype"/>
          <w:b/>
          <w:color w:val="000000" w:themeColor="text1"/>
        </w:rPr>
        <w:t xml:space="preserve">SUJETO OBLIGADO </w:t>
      </w:r>
      <w:r w:rsidR="00A22826" w:rsidRPr="009E67FF">
        <w:rPr>
          <w:rFonts w:ascii="Palatino Linotype" w:eastAsia="Palatino Linotype" w:hAnsi="Palatino Linotype" w:cs="Palatino Linotype"/>
          <w:color w:val="000000" w:themeColor="text1"/>
        </w:rPr>
        <w:t>presentara el Informe Justificado procedente.</w:t>
      </w:r>
    </w:p>
    <w:p w14:paraId="208B6FD8" w14:textId="77777777" w:rsidR="00D539EF" w:rsidRPr="009E67FF" w:rsidRDefault="00D539EF" w:rsidP="009E67FF">
      <w:pPr>
        <w:pBdr>
          <w:top w:val="nil"/>
          <w:left w:val="nil"/>
          <w:bottom w:val="nil"/>
          <w:right w:val="nil"/>
          <w:between w:val="nil"/>
        </w:pBdr>
        <w:rPr>
          <w:rFonts w:ascii="Palatino Linotype" w:eastAsia="Palatino Linotype" w:hAnsi="Palatino Linotype" w:cs="Palatino Linotype"/>
          <w:color w:val="000000" w:themeColor="text1"/>
        </w:rPr>
      </w:pPr>
    </w:p>
    <w:p w14:paraId="204E7116"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El </w:t>
      </w:r>
      <w:r w:rsidRPr="009E67FF">
        <w:rPr>
          <w:rFonts w:ascii="Palatino Linotype" w:eastAsia="Palatino Linotype" w:hAnsi="Palatino Linotype" w:cs="Palatino Linotype"/>
          <w:b/>
          <w:color w:val="000000" w:themeColor="text1"/>
        </w:rPr>
        <w:t xml:space="preserve">SUJETO OBLIGADO </w:t>
      </w:r>
      <w:r w:rsidRPr="009E67FF">
        <w:rPr>
          <w:rFonts w:ascii="Palatino Linotype" w:eastAsia="Palatino Linotype" w:hAnsi="Palatino Linotype" w:cs="Palatino Linotype"/>
          <w:color w:val="000000" w:themeColor="text1"/>
        </w:rPr>
        <w:t>en fecha</w:t>
      </w:r>
      <w:r w:rsidR="00DE5356" w:rsidRPr="009E67FF">
        <w:rPr>
          <w:rFonts w:ascii="Palatino Linotype" w:eastAsia="Palatino Linotype" w:hAnsi="Palatino Linotype" w:cs="Palatino Linotype"/>
          <w:color w:val="000000" w:themeColor="text1"/>
        </w:rPr>
        <w:t>s</w:t>
      </w:r>
      <w:r w:rsidRPr="009E67FF">
        <w:rPr>
          <w:rFonts w:ascii="Palatino Linotype" w:eastAsia="Palatino Linotype" w:hAnsi="Palatino Linotype" w:cs="Palatino Linotype"/>
          <w:color w:val="000000" w:themeColor="text1"/>
        </w:rPr>
        <w:t xml:space="preserve"> </w:t>
      </w:r>
      <w:r w:rsidR="00DE5356" w:rsidRPr="009E67FF">
        <w:rPr>
          <w:rFonts w:ascii="Palatino Linotype" w:eastAsia="Palatino Linotype" w:hAnsi="Palatino Linotype" w:cs="Palatino Linotype"/>
          <w:b/>
          <w:color w:val="000000" w:themeColor="text1"/>
        </w:rPr>
        <w:t xml:space="preserve">veintiuno y veintidós de octubre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xml:space="preserve">, rindió el informe justificado correspondiente, por medio de </w:t>
      </w:r>
      <w:r w:rsidR="00DE5356" w:rsidRPr="009E67FF">
        <w:rPr>
          <w:rFonts w:ascii="Palatino Linotype" w:eastAsia="Palatino Linotype" w:hAnsi="Palatino Linotype" w:cs="Palatino Linotype"/>
          <w:color w:val="000000" w:themeColor="text1"/>
        </w:rPr>
        <w:t xml:space="preserve">los </w:t>
      </w:r>
      <w:r w:rsidRPr="009E67FF">
        <w:rPr>
          <w:rFonts w:ascii="Palatino Linotype" w:eastAsia="Palatino Linotype" w:hAnsi="Palatino Linotype" w:cs="Palatino Linotype"/>
          <w:color w:val="000000" w:themeColor="text1"/>
        </w:rPr>
        <w:t xml:space="preserve">archivos electrónicos en formato pdf, cuyo contenido es el siguiente: </w:t>
      </w:r>
    </w:p>
    <w:p w14:paraId="67057B2B" w14:textId="77777777" w:rsidR="00DE5356" w:rsidRPr="00884F49" w:rsidRDefault="00DE5356" w:rsidP="009E67FF">
      <w:pPr>
        <w:numPr>
          <w:ilvl w:val="0"/>
          <w:numId w:val="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b/>
          <w:color w:val="000000" w:themeColor="text1"/>
        </w:rPr>
        <w:lastRenderedPageBreak/>
        <w:t>Guía Consulta Patrimonial IPOMEX</w:t>
      </w:r>
      <w:r w:rsidR="00A22826" w:rsidRPr="009E67FF">
        <w:rPr>
          <w:rFonts w:ascii="Palatino Linotype" w:eastAsia="Palatino Linotype" w:hAnsi="Palatino Linotype" w:cs="Palatino Linotype"/>
          <w:b/>
          <w:color w:val="000000" w:themeColor="text1"/>
        </w:rPr>
        <w:t>.pdf</w:t>
      </w:r>
      <w:r w:rsidR="00A22826" w:rsidRPr="009E67FF">
        <w:rPr>
          <w:rFonts w:ascii="Palatino Linotype" w:eastAsia="Palatino Linotype" w:hAnsi="Palatino Linotype" w:cs="Palatino Linotype"/>
          <w:b/>
          <w:i/>
          <w:color w:val="000000" w:themeColor="text1"/>
        </w:rPr>
        <w:t xml:space="preserve">: </w:t>
      </w:r>
      <w:r w:rsidRPr="009E67FF">
        <w:rPr>
          <w:rFonts w:ascii="Palatino Linotype" w:eastAsia="Palatino Linotype" w:hAnsi="Palatino Linotype" w:cs="Palatino Linotype"/>
          <w:color w:val="000000" w:themeColor="text1"/>
        </w:rPr>
        <w:t>Documento mediante el cual remite ligas electrónicas en formato abierto que dirigen a la página de Información Pública de Oficio Mexiquense (IPOMEX), especificando el procedimiento a seguir a fin de tener a la vista la información que requiere el particular.</w:t>
      </w:r>
    </w:p>
    <w:p w14:paraId="58530540" w14:textId="77777777" w:rsidR="00DE5356" w:rsidRPr="00884F49" w:rsidRDefault="00DE5356" w:rsidP="009E67FF">
      <w:pPr>
        <w:numPr>
          <w:ilvl w:val="0"/>
          <w:numId w:val="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b/>
          <w:color w:val="000000" w:themeColor="text1"/>
        </w:rPr>
        <w:t xml:space="preserve">RESP-OPD-RR-12038-00271.páginas.pdf: </w:t>
      </w:r>
      <w:r w:rsidR="00EC2B61" w:rsidRPr="009E67FF">
        <w:rPr>
          <w:rFonts w:ascii="Palatino Linotype" w:eastAsia="Palatino Linotype" w:hAnsi="Palatino Linotype" w:cs="Palatino Linotype"/>
          <w:color w:val="000000" w:themeColor="text1"/>
        </w:rPr>
        <w:t xml:space="preserve">oficio CP-TEO/OPDAPAS/G.A.C/054/2025, Suscrito por la Coordinadora de Patrimonio y Archivo del Organismo Público Descentralizado para la Prestación de los Servicios de Agua Potable, Alcantarillado y Saneamiento Teoloyucan, mediante el cual ratifica su respuesta, que dicha información puede verificarse con lo publicado en el portal de Información Pública de Oficio Mexiquense IPOMEX, haciendo referencia al documento descrito en el punto que antecede a fin de realizar la consulta; no obstante indicó que el particular puede acudir al domicilio que ocupan sus oficinas a fin de corroborar que la información que se le esta proporcionado es con la que cuenta esa Coordinación. </w:t>
      </w:r>
    </w:p>
    <w:p w14:paraId="03FD3FEC" w14:textId="77777777" w:rsidR="00DE5356" w:rsidRPr="009E67FF" w:rsidRDefault="00EC2B61" w:rsidP="009E67FF">
      <w:pPr>
        <w:numPr>
          <w:ilvl w:val="0"/>
          <w:numId w:val="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b/>
          <w:color w:val="000000" w:themeColor="text1"/>
        </w:rPr>
        <w:t>AC</w:t>
      </w:r>
      <w:r w:rsidR="00F132C9" w:rsidRPr="009E67FF">
        <w:rPr>
          <w:rFonts w:ascii="Palatino Linotype" w:eastAsia="Palatino Linotype" w:hAnsi="Palatino Linotype" w:cs="Palatino Linotype"/>
          <w:b/>
          <w:color w:val="000000" w:themeColor="text1"/>
        </w:rPr>
        <w:t>UERDO-01-ORD-BIENESMUEBLES.pdf: A</w:t>
      </w:r>
      <w:r w:rsidR="00F132C9" w:rsidRPr="009E67FF">
        <w:rPr>
          <w:rFonts w:ascii="Palatino Linotype" w:eastAsia="Palatino Linotype" w:hAnsi="Palatino Linotype" w:cs="Palatino Linotype"/>
          <w:color w:val="000000" w:themeColor="text1"/>
        </w:rPr>
        <w:t>CUERDO/O.P.D.A.P.A.S/CT/CUARTAORD/2025/01, mediante el cual se aprueba a clasificación dela información y versión pública parcial de la información contenida en el inventario de Bienes Muebles, documento remitido en respuesta.</w:t>
      </w:r>
    </w:p>
    <w:p w14:paraId="2589E1C8" w14:textId="77777777" w:rsidR="00DE5356" w:rsidRPr="009E67FF" w:rsidRDefault="00DE535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p>
    <w:p w14:paraId="35A76D1B" w14:textId="77777777" w:rsidR="00D539EF" w:rsidRPr="009E67FF" w:rsidRDefault="00A22826" w:rsidP="009E67FF">
      <w:pPr>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9E67FF">
        <w:rPr>
          <w:rFonts w:ascii="Palatino Linotype" w:eastAsia="Palatino Linotype" w:hAnsi="Palatino Linotype" w:cs="Palatino Linotype"/>
          <w:color w:val="000000" w:themeColor="text1"/>
        </w:rPr>
        <w:t xml:space="preserve">Por su parte, el </w:t>
      </w:r>
      <w:r w:rsidRPr="009E67FF">
        <w:rPr>
          <w:rFonts w:ascii="Palatino Linotype" w:eastAsia="Palatino Linotype" w:hAnsi="Palatino Linotype" w:cs="Palatino Linotype"/>
          <w:b/>
          <w:color w:val="000000" w:themeColor="text1"/>
        </w:rPr>
        <w:t>RECURRENTE</w:t>
      </w:r>
      <w:r w:rsidRPr="009E67FF">
        <w:rPr>
          <w:rFonts w:ascii="Palatino Linotype" w:eastAsia="Palatino Linotype" w:hAnsi="Palatino Linotype" w:cs="Palatino Linotype"/>
          <w:color w:val="000000" w:themeColor="text1"/>
        </w:rPr>
        <w:t xml:space="preserve"> dejó de realizar manifestaciones que a su derecho conviniera y asistiera. </w:t>
      </w:r>
    </w:p>
    <w:p w14:paraId="7311682B"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DD61EC5" w14:textId="36D81DD7" w:rsidR="00D539EF" w:rsidRPr="002A2695"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f64s7azhi5nz" w:colFirst="0" w:colLast="0"/>
      <w:bookmarkEnd w:id="3"/>
      <w:r w:rsidRPr="009E67FF">
        <w:rPr>
          <w:rFonts w:ascii="Palatino Linotype" w:eastAsia="Palatino Linotype" w:hAnsi="Palatino Linotype" w:cs="Palatino Linotype"/>
          <w:color w:val="000000" w:themeColor="text1"/>
        </w:rPr>
        <w:t xml:space="preserve">La Comisionada Ponente mediante acuerdo del </w:t>
      </w:r>
      <w:r w:rsidR="00F132C9" w:rsidRPr="009E67FF">
        <w:rPr>
          <w:rFonts w:ascii="Palatino Linotype" w:eastAsia="Palatino Linotype" w:hAnsi="Palatino Linotype" w:cs="Palatino Linotype"/>
          <w:b/>
          <w:color w:val="000000" w:themeColor="text1"/>
        </w:rPr>
        <w:t xml:space="preserve">tres de diciembre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decretó el cierre de instrucción del expediente, por lo que no hab</w:t>
      </w:r>
      <w:r w:rsidR="00884F49">
        <w:rPr>
          <w:rFonts w:ascii="Palatino Linotype" w:eastAsia="Palatino Linotype" w:hAnsi="Palatino Linotype" w:cs="Palatino Linotype"/>
          <w:color w:val="000000" w:themeColor="text1"/>
        </w:rPr>
        <w:t xml:space="preserve">iendo más que hacer constar, y </w:t>
      </w:r>
      <w:r w:rsidR="002A2695">
        <w:rPr>
          <w:rFonts w:ascii="Palatino Linotype" w:eastAsia="Palatino Linotype" w:hAnsi="Palatino Linotype" w:cs="Palatino Linotype"/>
          <w:color w:val="000000" w:themeColor="text1"/>
        </w:rPr>
        <w:t>------------------------------------------------------------------------------------------------------</w:t>
      </w:r>
    </w:p>
    <w:p w14:paraId="69119FE6" w14:textId="77777777" w:rsidR="002A2695" w:rsidRDefault="002A2695" w:rsidP="002A2695">
      <w:pPr>
        <w:pStyle w:val="Prrafodelista"/>
        <w:rPr>
          <w:rFonts w:ascii="Palatino Linotype" w:eastAsia="Palatino Linotype" w:hAnsi="Palatino Linotype" w:cs="Palatino Linotype"/>
          <w:b/>
          <w:color w:val="000000" w:themeColor="text1"/>
        </w:rPr>
      </w:pPr>
    </w:p>
    <w:p w14:paraId="1BFD8CDC" w14:textId="77777777" w:rsidR="002A2695" w:rsidRDefault="002A2695" w:rsidP="002A269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4301B6F" w14:textId="77777777" w:rsidR="002A2695" w:rsidRDefault="002A2695" w:rsidP="002A269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4996C35" w14:textId="77777777" w:rsidR="002A2695" w:rsidRPr="009E67FF" w:rsidRDefault="002A2695" w:rsidP="002A269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A67742A" w14:textId="77777777" w:rsidR="00D539EF" w:rsidRPr="009E67FF" w:rsidRDefault="00D539EF" w:rsidP="009E67FF">
      <w:pPr>
        <w:spacing w:line="360" w:lineRule="auto"/>
        <w:rPr>
          <w:rFonts w:ascii="Palatino Linotype" w:eastAsia="Palatino Linotype" w:hAnsi="Palatino Linotype" w:cs="Palatino Linotype"/>
          <w:b/>
          <w:color w:val="000000" w:themeColor="text1"/>
        </w:rPr>
      </w:pPr>
    </w:p>
    <w:p w14:paraId="0DE027D5" w14:textId="0E6A6336" w:rsidR="00D539EF" w:rsidRPr="009E67FF" w:rsidRDefault="00A22826" w:rsidP="009E67F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b/>
          <w:color w:val="000000" w:themeColor="text1"/>
        </w:rPr>
        <w:lastRenderedPageBreak/>
        <w:t>C</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O</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N</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S</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I</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D</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E</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R</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A</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N</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D</w:t>
      </w:r>
      <w:r w:rsidR="002A2695">
        <w:rPr>
          <w:rFonts w:ascii="Palatino Linotype" w:eastAsia="Palatino Linotype" w:hAnsi="Palatino Linotype" w:cs="Palatino Linotype"/>
          <w:b/>
          <w:color w:val="000000" w:themeColor="text1"/>
        </w:rPr>
        <w:t xml:space="preserve"> </w:t>
      </w:r>
      <w:r w:rsidRPr="009E67FF">
        <w:rPr>
          <w:rFonts w:ascii="Palatino Linotype" w:eastAsia="Palatino Linotype" w:hAnsi="Palatino Linotype" w:cs="Palatino Linotype"/>
          <w:b/>
          <w:color w:val="000000" w:themeColor="text1"/>
        </w:rPr>
        <w:t>O</w:t>
      </w:r>
    </w:p>
    <w:p w14:paraId="2F1210E2" w14:textId="77777777" w:rsidR="00884F49" w:rsidRDefault="00884F49" w:rsidP="009E67FF">
      <w:pPr>
        <w:pStyle w:val="Ttulo2"/>
        <w:tabs>
          <w:tab w:val="left" w:pos="3930"/>
        </w:tabs>
        <w:spacing w:before="0" w:line="360" w:lineRule="auto"/>
        <w:rPr>
          <w:rFonts w:ascii="Palatino Linotype" w:eastAsia="Palatino Linotype" w:hAnsi="Palatino Linotype" w:cs="Palatino Linotype"/>
          <w:b/>
          <w:color w:val="000000" w:themeColor="text1"/>
          <w:sz w:val="24"/>
          <w:szCs w:val="24"/>
        </w:rPr>
      </w:pPr>
      <w:bookmarkStart w:id="4" w:name="_heading=h.kinlumvimtxw" w:colFirst="0" w:colLast="0"/>
      <w:bookmarkEnd w:id="4"/>
    </w:p>
    <w:p w14:paraId="6B64CF2C" w14:textId="77777777" w:rsidR="00D539EF" w:rsidRPr="009E67FF" w:rsidRDefault="00A22826" w:rsidP="009E67FF">
      <w:pPr>
        <w:pStyle w:val="Ttulo2"/>
        <w:tabs>
          <w:tab w:val="left" w:pos="3930"/>
        </w:tabs>
        <w:spacing w:before="0" w:line="360" w:lineRule="auto"/>
        <w:rPr>
          <w:rFonts w:ascii="Palatino Linotype" w:eastAsia="Palatino Linotype" w:hAnsi="Palatino Linotype" w:cs="Palatino Linotype"/>
          <w:b/>
          <w:color w:val="000000" w:themeColor="text1"/>
          <w:sz w:val="24"/>
          <w:szCs w:val="24"/>
        </w:rPr>
      </w:pPr>
      <w:r w:rsidRPr="009E67FF">
        <w:rPr>
          <w:rFonts w:ascii="Palatino Linotype" w:eastAsia="Palatino Linotype" w:hAnsi="Palatino Linotype" w:cs="Palatino Linotype"/>
          <w:b/>
          <w:color w:val="000000" w:themeColor="text1"/>
          <w:sz w:val="24"/>
          <w:szCs w:val="24"/>
        </w:rPr>
        <w:t>PRIMERO. De la competencia</w:t>
      </w:r>
    </w:p>
    <w:p w14:paraId="07EA1724"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 los presentes recursos,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866325" w14:textId="77777777" w:rsidR="00D539EF" w:rsidRPr="009E67FF" w:rsidRDefault="00D539EF" w:rsidP="009E67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jlnw17pdnjvi" w:colFirst="0" w:colLast="0"/>
      <w:bookmarkEnd w:id="5"/>
    </w:p>
    <w:p w14:paraId="50965C94" w14:textId="77777777" w:rsidR="00D539EF" w:rsidRPr="009E67FF" w:rsidRDefault="00A22826" w:rsidP="009E67F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v0c77b5pnlfs" w:colFirst="0" w:colLast="0"/>
      <w:bookmarkEnd w:id="6"/>
      <w:r w:rsidRPr="009E67FF">
        <w:rPr>
          <w:rFonts w:ascii="Palatino Linotype" w:eastAsia="Palatino Linotype" w:hAnsi="Palatino Linotype" w:cs="Palatino Linotype"/>
          <w:b/>
          <w:color w:val="000000" w:themeColor="text1"/>
        </w:rPr>
        <w:t>SEGUNDO. De la oportunidad y procedencia.</w:t>
      </w:r>
    </w:p>
    <w:p w14:paraId="18D5D0F8"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rtzpwqsln3xb" w:colFirst="0" w:colLast="0"/>
      <w:bookmarkEnd w:id="7"/>
      <w:r w:rsidRPr="009E67FF">
        <w:rPr>
          <w:rFonts w:ascii="Palatino Linotype" w:eastAsia="Palatino Linotype" w:hAnsi="Palatino Linotype" w:cs="Palatino Linotype"/>
          <w:color w:val="000000" w:themeColor="text1"/>
        </w:rPr>
        <w:t xml:space="preserve">Los medios de impugnación fueron presentados a través del </w:t>
      </w:r>
      <w:r w:rsidRPr="009E67FF">
        <w:rPr>
          <w:rFonts w:ascii="Palatino Linotype" w:eastAsia="Palatino Linotype" w:hAnsi="Palatino Linotype" w:cs="Palatino Linotype"/>
          <w:b/>
          <w:color w:val="000000" w:themeColor="text1"/>
        </w:rPr>
        <w:t>SAIMEX,</w:t>
      </w:r>
      <w:r w:rsidRPr="009E67F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entregó su respuesta el </w:t>
      </w:r>
      <w:r w:rsidR="009A15BC" w:rsidRPr="009E67FF">
        <w:rPr>
          <w:rFonts w:ascii="Palatino Linotype" w:eastAsia="Palatino Linotype" w:hAnsi="Palatino Linotype" w:cs="Palatino Linotype"/>
          <w:b/>
          <w:color w:val="000000" w:themeColor="text1"/>
        </w:rPr>
        <w:t xml:space="preserve">siete de octubre </w:t>
      </w:r>
      <w:r w:rsidRPr="009E67FF">
        <w:rPr>
          <w:rFonts w:ascii="Palatino Linotype" w:eastAsia="Palatino Linotype" w:hAnsi="Palatino Linotype" w:cs="Palatino Linotype"/>
          <w:b/>
          <w:color w:val="000000" w:themeColor="text1"/>
        </w:rPr>
        <w:t xml:space="preserve">de dos mil veinticinco </w:t>
      </w:r>
      <w:r w:rsidRPr="009E67FF">
        <w:rPr>
          <w:rFonts w:ascii="Palatino Linotype" w:eastAsia="Palatino Linotype" w:hAnsi="Palatino Linotype" w:cs="Palatino Linotype"/>
          <w:color w:val="000000" w:themeColor="text1"/>
        </w:rPr>
        <w:t xml:space="preserve">de tal forma que el plazo para interponer el recurso de revisión transcurrió del día </w:t>
      </w:r>
      <w:r w:rsidR="00AE17A8" w:rsidRPr="009E67FF">
        <w:rPr>
          <w:rFonts w:ascii="Palatino Linotype" w:eastAsia="Palatino Linotype" w:hAnsi="Palatino Linotype" w:cs="Palatino Linotype"/>
          <w:b/>
          <w:color w:val="000000" w:themeColor="text1"/>
        </w:rPr>
        <w:t xml:space="preserve">ocho al veintiocho de octubre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xml:space="preserve">; en consecuencia, el ahora </w:t>
      </w:r>
      <w:r w:rsidRPr="009E67FF">
        <w:rPr>
          <w:rFonts w:ascii="Palatino Linotype" w:eastAsia="Palatino Linotype" w:hAnsi="Palatino Linotype" w:cs="Palatino Linotype"/>
          <w:b/>
          <w:color w:val="000000" w:themeColor="text1"/>
        </w:rPr>
        <w:t>RECURRENTE</w:t>
      </w:r>
      <w:r w:rsidRPr="009E67FF">
        <w:rPr>
          <w:rFonts w:ascii="Palatino Linotype" w:eastAsia="Palatino Linotype" w:hAnsi="Palatino Linotype" w:cs="Palatino Linotype"/>
          <w:color w:val="000000" w:themeColor="text1"/>
        </w:rPr>
        <w:t xml:space="preserve"> presentó su inconformidad el </w:t>
      </w:r>
      <w:r w:rsidR="00AE17A8" w:rsidRPr="009E67FF">
        <w:rPr>
          <w:rFonts w:ascii="Palatino Linotype" w:eastAsia="Palatino Linotype" w:hAnsi="Palatino Linotype" w:cs="Palatino Linotype"/>
          <w:b/>
          <w:color w:val="000000" w:themeColor="text1"/>
        </w:rPr>
        <w:t xml:space="preserve">veinte de octubre </w:t>
      </w:r>
      <w:r w:rsidRPr="009E67FF">
        <w:rPr>
          <w:rFonts w:ascii="Palatino Linotype" w:eastAsia="Palatino Linotype" w:hAnsi="Palatino Linotype" w:cs="Palatino Linotype"/>
          <w:b/>
          <w:color w:val="000000" w:themeColor="text1"/>
        </w:rPr>
        <w:t>de dos mil veinticinco,</w:t>
      </w:r>
      <w:r w:rsidRPr="009E67FF">
        <w:rPr>
          <w:rFonts w:ascii="Palatino Linotype" w:eastAsia="Palatino Linotype" w:hAnsi="Palatino Linotype" w:cs="Palatino Linotype"/>
          <w:color w:val="000000" w:themeColor="text1"/>
        </w:rPr>
        <w:t xml:space="preserve"> es decir dentro del lapso legalmente establecido para tal efecto.</w:t>
      </w:r>
    </w:p>
    <w:p w14:paraId="71B9FAF4"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3378C0B" w14:textId="77777777" w:rsidR="00D539EF" w:rsidRPr="009E67FF" w:rsidRDefault="00A22826" w:rsidP="009E67FF">
      <w:pPr>
        <w:tabs>
          <w:tab w:val="left" w:pos="7655"/>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Pr="009E67FF">
        <w:rPr>
          <w:rFonts w:ascii="Palatino Linotype" w:eastAsia="Palatino Linotype" w:hAnsi="Palatino Linotype" w:cs="Palatino Linotype"/>
          <w:b/>
          <w:i/>
          <w:color w:val="000000" w:themeColor="text1"/>
        </w:rPr>
        <w:t>Las solicitudes anónimas</w:t>
      </w:r>
      <w:r w:rsidRPr="009E67FF">
        <w:rPr>
          <w:rFonts w:ascii="Palatino Linotype" w:eastAsia="Palatino Linotype" w:hAnsi="Palatino Linotype" w:cs="Palatino Linotype"/>
          <w:i/>
          <w:color w:val="000000" w:themeColor="text1"/>
        </w:rPr>
        <w:t xml:space="preserve">, con nombre incompleto o seudónimo </w:t>
      </w:r>
      <w:r w:rsidRPr="009E67FF">
        <w:rPr>
          <w:rFonts w:ascii="Palatino Linotype" w:eastAsia="Palatino Linotype" w:hAnsi="Palatino Linotype" w:cs="Palatino Linotype"/>
          <w:b/>
          <w:i/>
          <w:color w:val="000000" w:themeColor="text1"/>
        </w:rPr>
        <w:t>serán procedentes para su trámite por parte del sujeto obligado ante quien se presente</w:t>
      </w:r>
      <w:r w:rsidRPr="009E67FF">
        <w:rPr>
          <w:rFonts w:ascii="Palatino Linotype" w:eastAsia="Palatino Linotype" w:hAnsi="Palatino Linotype" w:cs="Palatino Linotype"/>
          <w:i/>
          <w:color w:val="000000" w:themeColor="text1"/>
        </w:rPr>
        <w:t>. No podrá requerirse información adicional con motivo del nombre proporcionado por el solicitante."</w:t>
      </w:r>
    </w:p>
    <w:p w14:paraId="35046ABF" w14:textId="77777777" w:rsidR="00D539EF" w:rsidRPr="009E67FF" w:rsidRDefault="00D539EF" w:rsidP="009E67FF">
      <w:pPr>
        <w:pBdr>
          <w:top w:val="nil"/>
          <w:left w:val="nil"/>
          <w:bottom w:val="nil"/>
          <w:right w:val="nil"/>
          <w:between w:val="nil"/>
        </w:pBdr>
        <w:rPr>
          <w:rFonts w:ascii="Palatino Linotype" w:eastAsia="Palatino Linotype" w:hAnsi="Palatino Linotype" w:cs="Palatino Linotype"/>
          <w:color w:val="000000" w:themeColor="text1"/>
        </w:rPr>
      </w:pPr>
    </w:p>
    <w:p w14:paraId="057FF8D5"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6D4362E9" w14:textId="77777777" w:rsidR="00D539EF" w:rsidRPr="009E67FF" w:rsidRDefault="00A22826" w:rsidP="009E67FF">
      <w:pP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Pr="009E67FF">
        <w:rPr>
          <w:rFonts w:ascii="Palatino Linotype" w:eastAsia="Palatino Linotype" w:hAnsi="Palatino Linotype" w:cs="Palatino Linotype"/>
          <w:b/>
          <w:i/>
          <w:color w:val="000000" w:themeColor="text1"/>
        </w:rPr>
        <w:t>Artículo 6.-</w:t>
      </w:r>
      <w:r w:rsidRPr="009E67F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D366D3E" w14:textId="77777777" w:rsidR="00D539EF" w:rsidRPr="009E67FF" w:rsidRDefault="00A22826" w:rsidP="009E67FF">
      <w:pP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Para efectos de lo dispuesto en el presente artículo se observará lo siguiente:</w:t>
      </w:r>
    </w:p>
    <w:p w14:paraId="3C09D33E" w14:textId="77777777" w:rsidR="00D539EF" w:rsidRPr="009E67FF" w:rsidRDefault="00A22826" w:rsidP="009E67FF">
      <w:pP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5FF9C4B1" w14:textId="77777777" w:rsidR="00D539EF" w:rsidRPr="009E67FF" w:rsidRDefault="00D539EF" w:rsidP="009E67FF">
      <w:pPr>
        <w:jc w:val="both"/>
        <w:rPr>
          <w:rFonts w:ascii="Palatino Linotype" w:eastAsia="Palatino Linotype" w:hAnsi="Palatino Linotype" w:cs="Palatino Linotype"/>
          <w:i/>
          <w:color w:val="000000" w:themeColor="text1"/>
        </w:rPr>
      </w:pPr>
    </w:p>
    <w:p w14:paraId="0BFBABF8" w14:textId="77777777" w:rsidR="00D539EF" w:rsidRPr="009E67FF" w:rsidRDefault="00A22826" w:rsidP="009E67FF">
      <w:pP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9E67FF">
        <w:rPr>
          <w:rFonts w:ascii="Palatino Linotype" w:eastAsia="Palatino Linotype" w:hAnsi="Palatino Linotype" w:cs="Palatino Linotype"/>
          <w:color w:val="000000" w:themeColor="text1"/>
        </w:rPr>
        <w:t>(Sic)</w:t>
      </w:r>
    </w:p>
    <w:p w14:paraId="510111A0" w14:textId="77777777" w:rsidR="00D539EF" w:rsidRPr="009E67FF" w:rsidRDefault="00D539EF" w:rsidP="009E67FF">
      <w:pPr>
        <w:spacing w:line="360" w:lineRule="auto"/>
        <w:jc w:val="both"/>
        <w:rPr>
          <w:rFonts w:ascii="Palatino Linotype" w:eastAsia="Palatino Linotype" w:hAnsi="Palatino Linotype" w:cs="Palatino Linotype"/>
          <w:color w:val="000000" w:themeColor="text1"/>
        </w:rPr>
      </w:pPr>
    </w:p>
    <w:p w14:paraId="310DFA5F"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004AE0CA"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39E436E"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lastRenderedPageBreak/>
        <w:t>"</w:t>
      </w:r>
      <w:r w:rsidRPr="009E67FF">
        <w:rPr>
          <w:rFonts w:ascii="Palatino Linotype" w:eastAsia="Palatino Linotype" w:hAnsi="Palatino Linotype" w:cs="Palatino Linotype"/>
          <w:b/>
          <w:i/>
          <w:color w:val="000000" w:themeColor="text1"/>
        </w:rPr>
        <w:t>Artículo 5.-</w:t>
      </w:r>
      <w:r w:rsidRPr="009E67F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98DA694"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p>
    <w:p w14:paraId="4A3C7F44"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0DEB2527"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p>
    <w:p w14:paraId="10FD0DA8"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57019A41"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387A09A"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352930DA"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p>
    <w:p w14:paraId="0843ED3F"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9E67FF">
        <w:rPr>
          <w:rFonts w:ascii="Palatino Linotype" w:eastAsia="Palatino Linotype" w:hAnsi="Palatino Linotype" w:cs="Palatino Linotype"/>
          <w:color w:val="000000" w:themeColor="text1"/>
        </w:rPr>
        <w:t>(Sic)</w:t>
      </w:r>
    </w:p>
    <w:p w14:paraId="30F13964"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1339150"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03AE7BAD"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w:t>
      </w:r>
      <w:r w:rsidRPr="009E67FF">
        <w:rPr>
          <w:rFonts w:ascii="Palatino Linotype" w:eastAsia="Palatino Linotype" w:hAnsi="Palatino Linotype" w:cs="Palatino Linotype"/>
          <w:b/>
          <w:i/>
          <w:color w:val="000000" w:themeColor="text1"/>
        </w:rPr>
        <w:t>Artículo 1</w:t>
      </w:r>
      <w:r w:rsidRPr="009E67F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7CB3C11"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2ACC3610" w14:textId="77777777" w:rsidR="00D539EF" w:rsidRPr="009E67FF" w:rsidRDefault="00A22826" w:rsidP="009E67FF">
      <w:pPr>
        <w:pBdr>
          <w:top w:val="nil"/>
          <w:left w:val="nil"/>
          <w:bottom w:val="nil"/>
          <w:right w:val="nil"/>
          <w:between w:val="nil"/>
        </w:pBdr>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742CE23" w14:textId="77777777" w:rsidR="00D539EF" w:rsidRPr="009E67FF" w:rsidRDefault="00D539EF" w:rsidP="009E67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8EB1C1C" w14:textId="77777777" w:rsidR="00D539EF" w:rsidRPr="009E67FF" w:rsidRDefault="00A22826"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9E67FF">
        <w:rPr>
          <w:rFonts w:ascii="Palatino Linotype" w:eastAsia="Palatino Linotype" w:hAnsi="Palatino Linotype" w:cs="Palatino Linotype"/>
          <w:i/>
          <w:color w:val="000000" w:themeColor="text1"/>
        </w:rPr>
        <w:t>derecho fundamental exime a quien lo ejerce</w:t>
      </w:r>
      <w:r w:rsidRPr="009E67FF">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EA240B4" w14:textId="77777777" w:rsidR="00D539EF" w:rsidRPr="009E67FF" w:rsidRDefault="00D539EF" w:rsidP="009E67FF">
      <w:pPr>
        <w:spacing w:line="360" w:lineRule="auto"/>
        <w:jc w:val="both"/>
        <w:rPr>
          <w:rFonts w:ascii="Palatino Linotype" w:eastAsia="Palatino Linotype" w:hAnsi="Palatino Linotype" w:cs="Palatino Linotype"/>
          <w:color w:val="000000" w:themeColor="text1"/>
        </w:rPr>
      </w:pPr>
    </w:p>
    <w:p w14:paraId="41990DC3" w14:textId="77777777" w:rsidR="00D539EF" w:rsidRPr="009E67FF" w:rsidRDefault="00A22826"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9E67FF">
        <w:rPr>
          <w:rFonts w:ascii="Palatino Linotype" w:eastAsia="Palatino Linotype" w:hAnsi="Palatino Linotype" w:cs="Palatino Linotype"/>
          <w:b/>
          <w:color w:val="000000" w:themeColor="text1"/>
        </w:rPr>
        <w:t>RECURRENTE</w:t>
      </w:r>
      <w:r w:rsidRPr="009E67FF">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w:t>
      </w:r>
      <w:r w:rsidRPr="009E67FF">
        <w:rPr>
          <w:rFonts w:ascii="Palatino Linotype" w:eastAsia="Palatino Linotype" w:hAnsi="Palatino Linotype" w:cs="Palatino Linotype"/>
          <w:color w:val="000000" w:themeColor="text1"/>
        </w:rPr>
        <w:lastRenderedPageBreak/>
        <w:t>electrónicas de los expedientes en revisión, de las que se desprende que la parte recurrente, es la misma que realizó la solicitud de acceso a la información pública que ahora se impugna.</w:t>
      </w:r>
    </w:p>
    <w:p w14:paraId="27B1B98C" w14:textId="77777777" w:rsidR="00D539EF" w:rsidRPr="009E67FF" w:rsidRDefault="00D539EF" w:rsidP="009E67FF">
      <w:pPr>
        <w:pBdr>
          <w:top w:val="nil"/>
          <w:left w:val="nil"/>
          <w:bottom w:val="nil"/>
          <w:right w:val="nil"/>
          <w:between w:val="nil"/>
        </w:pBdr>
        <w:rPr>
          <w:rFonts w:ascii="Palatino Linotype" w:eastAsia="Palatino Linotype" w:hAnsi="Palatino Linotype" w:cs="Palatino Linotype"/>
          <w:color w:val="000000" w:themeColor="text1"/>
        </w:rPr>
      </w:pPr>
    </w:p>
    <w:p w14:paraId="6828032D" w14:textId="77777777" w:rsidR="00D539EF" w:rsidRPr="009E67FF" w:rsidRDefault="00A22826"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20ED4F3" w14:textId="77777777" w:rsidR="00D539EF" w:rsidRPr="009E67FF" w:rsidRDefault="00D539EF" w:rsidP="009E67FF">
      <w:pPr>
        <w:pBdr>
          <w:top w:val="nil"/>
          <w:left w:val="nil"/>
          <w:bottom w:val="nil"/>
          <w:right w:val="nil"/>
          <w:between w:val="nil"/>
        </w:pBdr>
        <w:rPr>
          <w:rFonts w:ascii="Palatino Linotype" w:eastAsia="Palatino Linotype" w:hAnsi="Palatino Linotype" w:cs="Palatino Linotype"/>
          <w:color w:val="000000" w:themeColor="text1"/>
        </w:rPr>
      </w:pPr>
    </w:p>
    <w:p w14:paraId="6E0C54ED" w14:textId="77777777" w:rsidR="00D539EF" w:rsidRPr="009E67FF" w:rsidRDefault="00A22826" w:rsidP="009E67FF">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k05tgqxya84r" w:colFirst="0" w:colLast="0"/>
      <w:bookmarkEnd w:id="8"/>
      <w:r w:rsidRPr="009E67FF">
        <w:rPr>
          <w:rFonts w:ascii="Palatino Linotype" w:eastAsia="Palatino Linotype" w:hAnsi="Palatino Linotype" w:cs="Palatino Linotype"/>
          <w:b/>
          <w:color w:val="000000" w:themeColor="text1"/>
          <w:sz w:val="24"/>
          <w:szCs w:val="24"/>
        </w:rPr>
        <w:t xml:space="preserve">TERCERO. </w:t>
      </w:r>
      <w:r w:rsidR="00E76587" w:rsidRPr="009E67FF">
        <w:rPr>
          <w:rFonts w:ascii="Palatino Linotype" w:eastAsia="Palatino Linotype" w:hAnsi="Palatino Linotype" w:cs="Palatino Linotype"/>
          <w:b/>
          <w:color w:val="000000" w:themeColor="text1"/>
          <w:sz w:val="24"/>
          <w:szCs w:val="24"/>
        </w:rPr>
        <w:t>De las causales del sobreseimiento.</w:t>
      </w:r>
    </w:p>
    <w:p w14:paraId="5C220DCE" w14:textId="77777777" w:rsidR="00E76587" w:rsidRPr="009E67FF" w:rsidRDefault="00E76587"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9E67FF">
        <w:rPr>
          <w:rFonts w:ascii="Palatino Linotype" w:eastAsia="Palatino Linotype" w:hAnsi="Palatino Linotype" w:cs="Palatino Linotype"/>
          <w:b/>
          <w:color w:val="000000" w:themeColor="text1"/>
          <w:u w:val="single"/>
        </w:rPr>
        <w:t>sobreseimiento</w:t>
      </w:r>
      <w:r w:rsidRPr="009E67FF">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9E67FF">
        <w:rPr>
          <w:rFonts w:ascii="Palatino Linotype" w:eastAsia="Palatino Linotype" w:hAnsi="Palatino Linotype" w:cs="Palatino Linotype"/>
          <w:b/>
          <w:color w:val="000000" w:themeColor="text1"/>
        </w:rPr>
        <w:t>SUJETO</w:t>
      </w:r>
      <w:r w:rsidRPr="009E67FF">
        <w:rPr>
          <w:rFonts w:ascii="Palatino Linotype" w:eastAsia="Palatino Linotype" w:hAnsi="Palatino Linotype" w:cs="Palatino Linotype"/>
          <w:color w:val="000000" w:themeColor="text1"/>
        </w:rPr>
        <w:t xml:space="preserve"> </w:t>
      </w:r>
      <w:r w:rsidRPr="009E67FF">
        <w:rPr>
          <w:rFonts w:ascii="Palatino Linotype" w:eastAsia="Palatino Linotype" w:hAnsi="Palatino Linotype" w:cs="Palatino Linotype"/>
          <w:b/>
          <w:color w:val="000000" w:themeColor="text1"/>
        </w:rPr>
        <w:t>OBLIGADO</w:t>
      </w:r>
      <w:r w:rsidRPr="009E67FF">
        <w:rPr>
          <w:rFonts w:ascii="Palatino Linotype" w:eastAsia="Palatino Linotype" w:hAnsi="Palatino Linotype" w:cs="Palatino Linotype"/>
          <w:color w:val="000000" w:themeColor="text1"/>
        </w:rPr>
        <w:t>.</w:t>
      </w:r>
    </w:p>
    <w:p w14:paraId="217886BB" w14:textId="77777777" w:rsidR="00E76587" w:rsidRPr="009E67FF" w:rsidRDefault="00E76587" w:rsidP="009E67FF">
      <w:pPr>
        <w:spacing w:line="360" w:lineRule="auto"/>
        <w:jc w:val="both"/>
        <w:rPr>
          <w:rFonts w:ascii="Palatino Linotype" w:eastAsia="Palatino Linotype" w:hAnsi="Palatino Linotype" w:cs="Palatino Linotype"/>
          <w:b/>
          <w:color w:val="000000" w:themeColor="text1"/>
        </w:rPr>
      </w:pPr>
    </w:p>
    <w:p w14:paraId="27D5872E" w14:textId="77777777" w:rsidR="00E76587" w:rsidRPr="009E67FF" w:rsidRDefault="00E76587"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 xml:space="preserve">De acuerdo al precepto legal contenido en la fracción III del artículo 192 de la </w:t>
      </w:r>
      <w:r w:rsidRPr="009E67FF">
        <w:rPr>
          <w:rFonts w:ascii="Palatino Linotype" w:eastAsia="Palatino Linotype" w:hAnsi="Palatino Linotype" w:cs="Palatino Linotype"/>
          <w:b/>
          <w:color w:val="000000" w:themeColor="text1"/>
        </w:rPr>
        <w:t>Ley de Transparencia y Acceso a la Información Pública del Estado de México y Municipios</w:t>
      </w:r>
      <w:r w:rsidRPr="009E67FF">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02B1A4F6" w14:textId="77777777" w:rsidR="00E76587" w:rsidRPr="009E67FF" w:rsidRDefault="00E76587" w:rsidP="009E67FF">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sz w:val="24"/>
          <w:szCs w:val="24"/>
        </w:rPr>
      </w:pPr>
      <w:r w:rsidRPr="009E67FF">
        <w:rPr>
          <w:rFonts w:ascii="Palatino Linotype" w:eastAsia="Palatino Linotype" w:hAnsi="Palatino Linotype" w:cs="Palatino Linotype"/>
          <w:color w:val="000000" w:themeColor="text1"/>
          <w:sz w:val="24"/>
          <w:szCs w:val="24"/>
        </w:rPr>
        <w:lastRenderedPageBreak/>
        <w:t xml:space="preserve">Para los efectos de esta resolución, es oportuno precisar los alcances jurídicos de la fracción III de la disposición legal transcrita. Así, procede el sobreseimiento del recurso de revisión cuando el </w:t>
      </w:r>
      <w:r w:rsidRPr="009E67FF">
        <w:rPr>
          <w:rFonts w:ascii="Palatino Linotype" w:eastAsia="Palatino Linotype" w:hAnsi="Palatino Linotype" w:cs="Palatino Linotype"/>
          <w:b/>
          <w:color w:val="000000" w:themeColor="text1"/>
          <w:sz w:val="24"/>
          <w:szCs w:val="24"/>
        </w:rPr>
        <w:t>SUJETO OBLIGADO</w:t>
      </w:r>
      <w:r w:rsidRPr="009E67FF">
        <w:rPr>
          <w:rFonts w:ascii="Palatino Linotype" w:eastAsia="Palatino Linotype" w:hAnsi="Palatino Linotype" w:cs="Palatino Linotype"/>
          <w:color w:val="000000" w:themeColor="text1"/>
          <w:sz w:val="24"/>
          <w:szCs w:val="24"/>
        </w:rPr>
        <w:t>:</w:t>
      </w:r>
    </w:p>
    <w:p w14:paraId="762DAEE0" w14:textId="77777777" w:rsidR="00E76587" w:rsidRPr="009E67FF" w:rsidRDefault="00E76587" w:rsidP="009E67FF">
      <w:pPr>
        <w:numPr>
          <w:ilvl w:val="0"/>
          <w:numId w:val="15"/>
        </w:numP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b/>
          <w:color w:val="000000" w:themeColor="text1"/>
        </w:rPr>
        <w:t>Modifique el acto impugnado:</w:t>
      </w:r>
      <w:r w:rsidRPr="009E67FF">
        <w:rPr>
          <w:rFonts w:ascii="Palatino Linotype" w:eastAsia="Palatino Linotype" w:hAnsi="Palatino Linotype" w:cs="Palatino Linotype"/>
          <w:color w:val="000000" w:themeColor="text1"/>
        </w:rPr>
        <w:t xml:space="preserve"> Se actualiza cuando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14:paraId="519AB48B" w14:textId="77777777" w:rsidR="00E76587" w:rsidRPr="009E67FF" w:rsidRDefault="00E76587" w:rsidP="009E67FF">
      <w:pPr>
        <w:jc w:val="both"/>
        <w:rPr>
          <w:rFonts w:ascii="Palatino Linotype" w:eastAsia="Palatino Linotype" w:hAnsi="Palatino Linotype" w:cs="Palatino Linotype"/>
          <w:color w:val="000000" w:themeColor="text1"/>
        </w:rPr>
      </w:pPr>
    </w:p>
    <w:p w14:paraId="370D2B5D" w14:textId="77777777" w:rsidR="00E76587" w:rsidRPr="009E67FF" w:rsidRDefault="00E76587" w:rsidP="009E67FF">
      <w:pPr>
        <w:numPr>
          <w:ilvl w:val="0"/>
          <w:numId w:val="15"/>
        </w:numP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b/>
          <w:color w:val="000000" w:themeColor="text1"/>
        </w:rPr>
        <w:t>Revoque el acto impugnado:</w:t>
      </w:r>
      <w:r w:rsidRPr="009E67FF">
        <w:rPr>
          <w:rFonts w:ascii="Palatino Linotype" w:eastAsia="Palatino Linotype" w:hAnsi="Palatino Linotype" w:cs="Palatino Linotype"/>
          <w:color w:val="000000" w:themeColor="text1"/>
        </w:rPr>
        <w:t xml:space="preserve"> En este supuesto,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14:paraId="0F4553B9" w14:textId="77777777" w:rsidR="00E76587" w:rsidRPr="009E67FF" w:rsidRDefault="00E76587" w:rsidP="009E67FF">
      <w:pPr>
        <w:jc w:val="both"/>
        <w:rPr>
          <w:rFonts w:ascii="Palatino Linotype" w:eastAsia="Palatino Linotype" w:hAnsi="Palatino Linotype" w:cs="Palatino Linotype"/>
          <w:b/>
          <w:color w:val="000000" w:themeColor="text1"/>
        </w:rPr>
      </w:pPr>
    </w:p>
    <w:p w14:paraId="71A997E0" w14:textId="77777777" w:rsidR="00E76587" w:rsidRPr="009E67FF" w:rsidRDefault="00E76587"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12346B02" w14:textId="77777777" w:rsidR="00E76587" w:rsidRPr="009E67FF" w:rsidRDefault="00E76587" w:rsidP="009E67F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FF9DE4D" w14:textId="77777777" w:rsidR="00C42845" w:rsidRPr="009E67FF" w:rsidRDefault="00E76587"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 xml:space="preserve">En el presente caso, el </w:t>
      </w:r>
      <w:r w:rsidRPr="009E67FF">
        <w:rPr>
          <w:rFonts w:ascii="Palatino Linotype" w:eastAsia="Palatino Linotype" w:hAnsi="Palatino Linotype" w:cs="Palatino Linotype"/>
          <w:b/>
          <w:color w:val="000000" w:themeColor="text1"/>
        </w:rPr>
        <w:t xml:space="preserve">RECURRENTE </w:t>
      </w:r>
      <w:r w:rsidRPr="009E67FF">
        <w:rPr>
          <w:rFonts w:ascii="Palatino Linotype" w:eastAsia="Palatino Linotype" w:hAnsi="Palatino Linotype" w:cs="Palatino Linotype"/>
          <w:color w:val="000000" w:themeColor="text1"/>
        </w:rPr>
        <w:t xml:space="preserve">solicitó </w:t>
      </w:r>
      <w:r w:rsidR="00AE17A8" w:rsidRPr="009E67FF">
        <w:rPr>
          <w:rFonts w:ascii="Palatino Linotype" w:hAnsi="Palatino Linotype"/>
          <w:b/>
          <w:color w:val="000000" w:themeColor="text1"/>
        </w:rPr>
        <w:t>los bienes muebles del Organismo Público Descentralizado para la Prestación de los Servicios de Agua Potable, Alcantarillado y Saneamiento de Teoloyucan</w:t>
      </w:r>
      <w:r w:rsidR="00C42845" w:rsidRPr="009E67FF">
        <w:rPr>
          <w:rFonts w:ascii="Palatino Linotype" w:eastAsia="Palatino Linotype" w:hAnsi="Palatino Linotype" w:cs="Palatino Linotype"/>
          <w:b/>
          <w:color w:val="000000" w:themeColor="text1"/>
        </w:rPr>
        <w:t>.</w:t>
      </w:r>
    </w:p>
    <w:p w14:paraId="2FD2211E" w14:textId="77777777" w:rsidR="00C42845" w:rsidRPr="009E67FF" w:rsidRDefault="00C42845" w:rsidP="009E67FF">
      <w:pPr>
        <w:pStyle w:val="Prrafodelista"/>
        <w:ind w:left="0"/>
        <w:rPr>
          <w:rFonts w:ascii="Palatino Linotype" w:hAnsi="Palatino Linotype"/>
          <w:b/>
          <w:color w:val="000000" w:themeColor="text1"/>
          <w:sz w:val="24"/>
          <w:szCs w:val="24"/>
        </w:rPr>
      </w:pPr>
    </w:p>
    <w:p w14:paraId="2B4D3A2A" w14:textId="436C33CA" w:rsidR="00F14D88" w:rsidRPr="009E67FF" w:rsidRDefault="00C42845"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En respuesta, el </w:t>
      </w:r>
      <w:r w:rsidRPr="009E67FF">
        <w:rPr>
          <w:rFonts w:ascii="Palatino Linotype" w:eastAsia="Palatino Linotype" w:hAnsi="Palatino Linotype" w:cs="Palatino Linotype"/>
          <w:b/>
          <w:color w:val="000000" w:themeColor="text1"/>
        </w:rPr>
        <w:t xml:space="preserve">SUJETO OBLIGADO </w:t>
      </w:r>
      <w:r w:rsidRPr="009E67FF">
        <w:rPr>
          <w:rFonts w:ascii="Palatino Linotype" w:eastAsia="Palatino Linotype" w:hAnsi="Palatino Linotype" w:cs="Palatino Linotype"/>
          <w:color w:val="000000" w:themeColor="text1"/>
        </w:rPr>
        <w:t>a través de</w:t>
      </w:r>
      <w:r w:rsidR="00AE17A8" w:rsidRPr="009E67FF">
        <w:rPr>
          <w:rFonts w:ascii="Palatino Linotype" w:eastAsia="Palatino Linotype" w:hAnsi="Palatino Linotype" w:cs="Palatino Linotype"/>
          <w:color w:val="000000" w:themeColor="text1"/>
        </w:rPr>
        <w:t xml:space="preserve"> </w:t>
      </w:r>
      <w:r w:rsidRPr="009E67FF">
        <w:rPr>
          <w:rFonts w:ascii="Palatino Linotype" w:eastAsia="Palatino Linotype" w:hAnsi="Palatino Linotype" w:cs="Palatino Linotype"/>
          <w:color w:val="000000" w:themeColor="text1"/>
        </w:rPr>
        <w:t>l</w:t>
      </w:r>
      <w:r w:rsidR="00AE17A8" w:rsidRPr="009E67FF">
        <w:rPr>
          <w:rFonts w:ascii="Palatino Linotype" w:eastAsia="Palatino Linotype" w:hAnsi="Palatino Linotype" w:cs="Palatino Linotype"/>
          <w:color w:val="000000" w:themeColor="text1"/>
        </w:rPr>
        <w:t>a</w:t>
      </w:r>
      <w:r w:rsidRPr="009E67FF">
        <w:rPr>
          <w:rFonts w:ascii="Palatino Linotype" w:eastAsia="Palatino Linotype" w:hAnsi="Palatino Linotype" w:cs="Palatino Linotype"/>
          <w:color w:val="000000" w:themeColor="text1"/>
        </w:rPr>
        <w:t xml:space="preserve"> </w:t>
      </w:r>
      <w:r w:rsidR="00AE17A8" w:rsidRPr="009E67FF">
        <w:rPr>
          <w:rFonts w:ascii="Palatino Linotype" w:eastAsia="Palatino Linotype" w:hAnsi="Palatino Linotype" w:cs="Palatino Linotype"/>
          <w:color w:val="000000" w:themeColor="text1"/>
        </w:rPr>
        <w:t xml:space="preserve">Coordinadora de Patrimonio y Archivo, remite el inventario de bienes muebles y bienes muebles a bajo costo, del que se advierte que se pretendió testar, el </w:t>
      </w:r>
      <w:r w:rsidR="00884F49" w:rsidRPr="009E67FF">
        <w:rPr>
          <w:rFonts w:ascii="Palatino Linotype" w:eastAsia="Palatino Linotype" w:hAnsi="Palatino Linotype" w:cs="Palatino Linotype"/>
          <w:color w:val="000000" w:themeColor="text1"/>
        </w:rPr>
        <w:t>número</w:t>
      </w:r>
      <w:r w:rsidR="00AE17A8" w:rsidRPr="009E67FF">
        <w:rPr>
          <w:rFonts w:ascii="Palatino Linotype" w:eastAsia="Palatino Linotype" w:hAnsi="Palatino Linotype" w:cs="Palatino Linotype"/>
          <w:color w:val="000000" w:themeColor="text1"/>
        </w:rPr>
        <w:t xml:space="preserve"> de serie de un automóvil, una pipa, una camioneta y dos motocicletas, no obstante se precisa que </w:t>
      </w:r>
      <w:r w:rsidR="00F14D88" w:rsidRPr="009E67FF">
        <w:rPr>
          <w:rFonts w:ascii="Palatino Linotype" w:eastAsia="Palatino Linotype" w:hAnsi="Palatino Linotype" w:cs="Palatino Linotype"/>
          <w:color w:val="000000" w:themeColor="text1"/>
        </w:rPr>
        <w:t xml:space="preserve">la versión pública realizó </w:t>
      </w:r>
      <w:r w:rsidR="00AE17A8" w:rsidRPr="009E67FF">
        <w:rPr>
          <w:rFonts w:ascii="Palatino Linotype" w:eastAsia="Palatino Linotype" w:hAnsi="Palatino Linotype" w:cs="Palatino Linotype"/>
          <w:color w:val="000000" w:themeColor="text1"/>
        </w:rPr>
        <w:t xml:space="preserve">el </w:t>
      </w:r>
      <w:r w:rsidR="00AE17A8" w:rsidRPr="009E67FF">
        <w:rPr>
          <w:rFonts w:ascii="Palatino Linotype" w:eastAsia="Palatino Linotype" w:hAnsi="Palatino Linotype" w:cs="Palatino Linotype"/>
          <w:b/>
          <w:color w:val="000000" w:themeColor="text1"/>
        </w:rPr>
        <w:t xml:space="preserve">SUJETO </w:t>
      </w:r>
      <w:r w:rsidR="00AE17A8" w:rsidRPr="009E67FF">
        <w:rPr>
          <w:rFonts w:ascii="Palatino Linotype" w:eastAsia="Palatino Linotype" w:hAnsi="Palatino Linotype" w:cs="Palatino Linotype"/>
          <w:b/>
          <w:color w:val="000000" w:themeColor="text1"/>
        </w:rPr>
        <w:lastRenderedPageBreak/>
        <w:t xml:space="preserve">OBLIGADO, </w:t>
      </w:r>
      <w:r w:rsidR="00F14D88" w:rsidRPr="009E67FF">
        <w:rPr>
          <w:rFonts w:ascii="Palatino Linotype" w:eastAsia="Palatino Linotype" w:hAnsi="Palatino Linotype" w:cs="Palatino Linotype"/>
          <w:color w:val="000000" w:themeColor="text1"/>
        </w:rPr>
        <w:t>es incorrecta</w:t>
      </w:r>
      <w:r w:rsidR="00F14D88" w:rsidRPr="009E67FF">
        <w:rPr>
          <w:rFonts w:ascii="Palatino Linotype" w:eastAsia="Palatino Linotype" w:hAnsi="Palatino Linotype" w:cs="Palatino Linotype"/>
          <w:b/>
          <w:color w:val="000000" w:themeColor="text1"/>
        </w:rPr>
        <w:t xml:space="preserve">, </w:t>
      </w:r>
      <w:r w:rsidR="00F14D88" w:rsidRPr="009E67FF">
        <w:rPr>
          <w:rFonts w:ascii="Palatino Linotype" w:eastAsia="Palatino Linotype" w:hAnsi="Palatino Linotype" w:cs="Palatino Linotype"/>
          <w:color w:val="000000" w:themeColor="text1"/>
        </w:rPr>
        <w:t xml:space="preserve">toda vez que se puede modificar el documento y tener a la vista los datos testados, sin embargo se aclara, que dichos datos son públicos. </w:t>
      </w:r>
    </w:p>
    <w:p w14:paraId="4CBD34EC" w14:textId="77777777" w:rsidR="00F14D88" w:rsidRPr="009E67FF" w:rsidRDefault="00F14D88" w:rsidP="009E67FF">
      <w:pPr>
        <w:pStyle w:val="Prrafodelista"/>
        <w:ind w:left="0"/>
        <w:rPr>
          <w:rFonts w:ascii="Palatino Linotype" w:eastAsia="Palatino Linotype" w:hAnsi="Palatino Linotype" w:cs="Palatino Linotype"/>
          <w:color w:val="000000" w:themeColor="text1"/>
          <w:sz w:val="24"/>
          <w:szCs w:val="24"/>
        </w:rPr>
      </w:pPr>
    </w:p>
    <w:p w14:paraId="11A42F82" w14:textId="77777777" w:rsidR="00C42845" w:rsidRPr="009E67FF" w:rsidRDefault="00D03C5C" w:rsidP="009E67FF">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Posteriormente </w:t>
      </w:r>
      <w:r w:rsidR="00C42845" w:rsidRPr="009E67FF">
        <w:rPr>
          <w:rFonts w:ascii="Palatino Linotype" w:eastAsia="Palatino Linotype" w:hAnsi="Palatino Linotype" w:cs="Palatino Linotype"/>
          <w:color w:val="000000" w:themeColor="text1"/>
        </w:rPr>
        <w:t xml:space="preserve">el </w:t>
      </w:r>
      <w:r w:rsidR="00C42845" w:rsidRPr="009E67FF">
        <w:rPr>
          <w:rFonts w:ascii="Palatino Linotype" w:eastAsia="Palatino Linotype" w:hAnsi="Palatino Linotype" w:cs="Palatino Linotype"/>
          <w:b/>
          <w:color w:val="000000" w:themeColor="text1"/>
        </w:rPr>
        <w:t xml:space="preserve">RECURRENTE </w:t>
      </w:r>
      <w:r w:rsidR="00C42845" w:rsidRPr="009E67FF">
        <w:rPr>
          <w:rFonts w:ascii="Palatino Linotype" w:eastAsia="Palatino Linotype" w:hAnsi="Palatino Linotype" w:cs="Palatino Linotype"/>
          <w:color w:val="000000" w:themeColor="text1"/>
        </w:rPr>
        <w:t>interpuso el recurso de revisión en contra de la respuesta</w:t>
      </w:r>
      <w:r w:rsidRPr="009E67FF">
        <w:rPr>
          <w:rFonts w:ascii="Palatino Linotype" w:eastAsia="Palatino Linotype" w:hAnsi="Palatino Linotype" w:cs="Palatino Linotype"/>
          <w:color w:val="000000" w:themeColor="text1"/>
        </w:rPr>
        <w:t>.</w:t>
      </w:r>
    </w:p>
    <w:p w14:paraId="62BF45AC" w14:textId="77777777" w:rsidR="00C42845" w:rsidRPr="009E67FF" w:rsidRDefault="00C42845" w:rsidP="009E67FF">
      <w:pPr>
        <w:pStyle w:val="Prrafodelista"/>
        <w:ind w:left="0"/>
        <w:rPr>
          <w:rFonts w:ascii="Palatino Linotype" w:eastAsia="Palatino Linotype" w:hAnsi="Palatino Linotype" w:cs="Palatino Linotype"/>
          <w:b/>
          <w:color w:val="000000" w:themeColor="text1"/>
          <w:sz w:val="24"/>
          <w:szCs w:val="24"/>
        </w:rPr>
      </w:pPr>
    </w:p>
    <w:p w14:paraId="5EE0C135" w14:textId="77777777" w:rsidR="00F14D88" w:rsidRPr="009E67FF" w:rsidRDefault="00F14D88" w:rsidP="009E67FF">
      <w:pPr>
        <w:pStyle w:val="Prrafodelista"/>
        <w:numPr>
          <w:ilvl w:val="0"/>
          <w:numId w:val="6"/>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9E67FF">
        <w:rPr>
          <w:rStyle w:val="normaltextrun"/>
          <w:rFonts w:ascii="Palatino Linotype" w:eastAsiaTheme="majorEastAsia" w:hAnsi="Palatino Linotype"/>
          <w:color w:val="000000" w:themeColor="text1"/>
          <w:sz w:val="24"/>
          <w:szCs w:val="24"/>
          <w:shd w:val="clear" w:color="auto" w:fill="FFFFFF"/>
        </w:rPr>
        <w:t>En consecuencia</w:t>
      </w:r>
      <w:r w:rsidR="00FA1551" w:rsidRPr="009E67FF">
        <w:rPr>
          <w:rStyle w:val="normaltextrun"/>
          <w:rFonts w:ascii="Palatino Linotype" w:eastAsiaTheme="majorEastAsia" w:hAnsi="Palatino Linotype"/>
          <w:color w:val="000000" w:themeColor="text1"/>
          <w:sz w:val="24"/>
          <w:szCs w:val="24"/>
          <w:shd w:val="clear" w:color="auto" w:fill="FFFFFF"/>
        </w:rPr>
        <w:t xml:space="preserve">, y a efecto de garantizar el efectivo ejercicio del derecho de acceso a la información pública que asiste al </w:t>
      </w:r>
      <w:r w:rsidR="00FA1551" w:rsidRPr="009E67FF">
        <w:rPr>
          <w:rStyle w:val="normaltextrun"/>
          <w:rFonts w:ascii="Palatino Linotype" w:eastAsiaTheme="majorEastAsia" w:hAnsi="Palatino Linotype"/>
          <w:b/>
          <w:bCs/>
          <w:color w:val="000000" w:themeColor="text1"/>
          <w:sz w:val="24"/>
          <w:szCs w:val="24"/>
          <w:shd w:val="clear" w:color="auto" w:fill="FFFFFF"/>
        </w:rPr>
        <w:t>RECURRENTE</w:t>
      </w:r>
      <w:r w:rsidR="00FA1551" w:rsidRPr="009E67FF">
        <w:rPr>
          <w:rStyle w:val="normaltextrun"/>
          <w:rFonts w:ascii="Palatino Linotype" w:eastAsiaTheme="majorEastAsia" w:hAnsi="Palatino Linotype"/>
          <w:color w:val="000000" w:themeColor="text1"/>
          <w:sz w:val="24"/>
          <w:szCs w:val="24"/>
          <w:shd w:val="clear" w:color="auto" w:fill="FFFFFF"/>
        </w:rPr>
        <w:t xml:space="preserve">, resulta conveniente precisar que </w:t>
      </w:r>
      <w:r w:rsidR="00C42845" w:rsidRPr="009E67FF">
        <w:rPr>
          <w:rFonts w:ascii="Palatino Linotype" w:eastAsia="Palatino Linotype" w:hAnsi="Palatino Linotype" w:cs="Palatino Linotype"/>
          <w:color w:val="000000" w:themeColor="text1"/>
          <w:sz w:val="24"/>
          <w:szCs w:val="24"/>
        </w:rPr>
        <w:t xml:space="preserve">por medio de un acto jurídico posterior como lo es el informe justificado, el </w:t>
      </w:r>
      <w:r w:rsidR="00C42845" w:rsidRPr="009E67FF">
        <w:rPr>
          <w:rFonts w:ascii="Palatino Linotype" w:eastAsia="Palatino Linotype" w:hAnsi="Palatino Linotype" w:cs="Palatino Linotype"/>
          <w:b/>
          <w:color w:val="000000" w:themeColor="text1"/>
          <w:sz w:val="24"/>
          <w:szCs w:val="24"/>
        </w:rPr>
        <w:t>SUJETO OBLIGADO</w:t>
      </w:r>
      <w:r w:rsidR="00C42845" w:rsidRPr="009E67FF">
        <w:rPr>
          <w:rFonts w:ascii="Palatino Linotype" w:eastAsia="Palatino Linotype" w:hAnsi="Palatino Linotype" w:cs="Palatino Linotype"/>
          <w:color w:val="000000" w:themeColor="text1"/>
          <w:sz w:val="24"/>
          <w:szCs w:val="24"/>
        </w:rPr>
        <w:t xml:space="preserve"> a través de</w:t>
      </w:r>
      <w:r w:rsidRPr="009E67FF">
        <w:rPr>
          <w:rFonts w:ascii="Palatino Linotype" w:eastAsia="Palatino Linotype" w:hAnsi="Palatino Linotype" w:cs="Palatino Linotype"/>
          <w:color w:val="000000" w:themeColor="text1"/>
          <w:sz w:val="24"/>
          <w:szCs w:val="24"/>
        </w:rPr>
        <w:t xml:space="preserve"> </w:t>
      </w:r>
      <w:r w:rsidR="00C42845" w:rsidRPr="009E67FF">
        <w:rPr>
          <w:rFonts w:ascii="Palatino Linotype" w:eastAsia="Palatino Linotype" w:hAnsi="Palatino Linotype" w:cs="Palatino Linotype"/>
          <w:color w:val="000000" w:themeColor="text1"/>
          <w:sz w:val="24"/>
          <w:szCs w:val="24"/>
        </w:rPr>
        <w:t>l</w:t>
      </w:r>
      <w:r w:rsidRPr="009E67FF">
        <w:rPr>
          <w:rFonts w:ascii="Palatino Linotype" w:eastAsia="Palatino Linotype" w:hAnsi="Palatino Linotype" w:cs="Palatino Linotype"/>
          <w:color w:val="000000" w:themeColor="text1"/>
          <w:sz w:val="24"/>
          <w:szCs w:val="24"/>
        </w:rPr>
        <w:t>a Coordinadora de Patrimonio y Archivo</w:t>
      </w:r>
      <w:r w:rsidR="000A111E" w:rsidRPr="009E67FF">
        <w:rPr>
          <w:rFonts w:ascii="Palatino Linotype" w:eastAsia="Palatino Linotype" w:hAnsi="Palatino Linotype" w:cs="Palatino Linotype"/>
          <w:color w:val="000000" w:themeColor="text1"/>
          <w:sz w:val="24"/>
          <w:szCs w:val="24"/>
        </w:rPr>
        <w:t>, indicó que los inventarios de bienes muebles que se enviaron en respuesta son con los que cuenta ese Organismo, los cuales pueden ser consultados en la Plataforma de Información Pública de Oficio Mexiquense, por tanto proporciona las ligas de acceso; así como el procedimiento a seguir a fin de tener a la vista la información que se requiere.</w:t>
      </w:r>
    </w:p>
    <w:p w14:paraId="6F60F368" w14:textId="77777777" w:rsidR="00F14D88" w:rsidRPr="009E67FF" w:rsidRDefault="00F14D88" w:rsidP="009E67FF">
      <w:pPr>
        <w:pStyle w:val="Prrafodelista"/>
        <w:ind w:left="0"/>
        <w:rPr>
          <w:rFonts w:ascii="Palatino Linotype" w:eastAsia="Palatino Linotype" w:hAnsi="Palatino Linotype" w:cs="Palatino Linotype"/>
          <w:color w:val="000000" w:themeColor="text1"/>
          <w:sz w:val="24"/>
          <w:szCs w:val="24"/>
        </w:rPr>
      </w:pPr>
    </w:p>
    <w:p w14:paraId="7566BEDC"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1B4F549" w14:textId="77777777" w:rsidR="00E76587" w:rsidRPr="009E67FF" w:rsidRDefault="00E76587" w:rsidP="009E67F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632B2A3" w14:textId="77777777" w:rsidR="00C42845" w:rsidRPr="009E67FF" w:rsidRDefault="00C42845" w:rsidP="009E67FF">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sz w:val="24"/>
          <w:szCs w:val="24"/>
        </w:rPr>
      </w:pPr>
      <w:r w:rsidRPr="009E67FF">
        <w:rPr>
          <w:rFonts w:ascii="Palatino Linotype" w:eastAsia="Palatino Linotype" w:hAnsi="Palatino Linotype" w:cs="Palatino Linotype"/>
          <w:color w:val="000000" w:themeColor="text1"/>
          <w:sz w:val="24"/>
          <w:szCs w:val="24"/>
        </w:rPr>
        <w:lastRenderedPageBreak/>
        <w:t>En este sentido, para atender las solicitudes de información, los Sujetos Obligados contarán con un área denominada Unidad de Transparencia</w:t>
      </w:r>
      <w:r w:rsidRPr="009E67FF">
        <w:rPr>
          <w:rFonts w:ascii="Palatino Linotype" w:eastAsia="Palatino Linotype" w:hAnsi="Palatino Linotype"/>
          <w:color w:val="000000" w:themeColor="text1"/>
          <w:sz w:val="24"/>
          <w:szCs w:val="24"/>
          <w:vertAlign w:val="superscript"/>
        </w:rPr>
        <w:footnoteReference w:id="1"/>
      </w:r>
      <w:r w:rsidRPr="009E67FF">
        <w:rPr>
          <w:rFonts w:ascii="Palatino Linotype" w:eastAsia="Palatino Linotype" w:hAnsi="Palatino Linotype" w:cs="Palatino Linotype"/>
          <w:color w:val="000000" w:themeColor="text1"/>
          <w:sz w:val="24"/>
          <w:szCs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9E67FF">
        <w:rPr>
          <w:rFonts w:ascii="Palatino Linotype" w:eastAsia="Palatino Linotype" w:hAnsi="Palatino Linotype" w:cs="Palatino Linotype"/>
          <w:b/>
          <w:color w:val="000000" w:themeColor="text1"/>
          <w:sz w:val="24"/>
          <w:szCs w:val="24"/>
        </w:rPr>
        <w:t xml:space="preserve"> </w:t>
      </w:r>
      <w:r w:rsidRPr="009E67FF">
        <w:rPr>
          <w:rFonts w:ascii="Palatino Linotype" w:eastAsia="Palatino Linotype" w:hAnsi="Palatino Linotype" w:cs="Palatino Linotype"/>
          <w:color w:val="000000" w:themeColor="text1"/>
          <w:sz w:val="24"/>
          <w:szCs w:val="24"/>
        </w:rPr>
        <w:t>en los términos de la Ley General y la Ley de Transparencia y Acceso a la Información Pública del Estado de México y Municipios</w:t>
      </w:r>
      <w:r w:rsidRPr="009E67FF">
        <w:rPr>
          <w:rFonts w:ascii="Palatino Linotype" w:eastAsia="Palatino Linotype" w:hAnsi="Palatino Linotype"/>
          <w:color w:val="000000" w:themeColor="text1"/>
          <w:sz w:val="24"/>
          <w:szCs w:val="24"/>
          <w:vertAlign w:val="superscript"/>
        </w:rPr>
        <w:footnoteReference w:id="2"/>
      </w:r>
      <w:r w:rsidRPr="009E67FF">
        <w:rPr>
          <w:rFonts w:ascii="Palatino Linotype" w:eastAsia="Palatino Linotype" w:hAnsi="Palatino Linotype" w:cs="Palatino Linotype"/>
          <w:color w:val="000000" w:themeColor="text1"/>
          <w:sz w:val="24"/>
          <w:szCs w:val="24"/>
        </w:rPr>
        <w:t>.</w:t>
      </w:r>
    </w:p>
    <w:p w14:paraId="31FBC4C6" w14:textId="77777777" w:rsidR="00C42845" w:rsidRPr="009E67FF" w:rsidRDefault="00C42845" w:rsidP="009E67FF">
      <w:pPr>
        <w:rPr>
          <w:rFonts w:ascii="Palatino Linotype" w:eastAsia="Palatino Linotype" w:hAnsi="Palatino Linotype" w:cs="Palatino Linotype"/>
          <w:color w:val="000000" w:themeColor="text1"/>
        </w:rPr>
      </w:pPr>
    </w:p>
    <w:p w14:paraId="22B8BB32" w14:textId="77777777" w:rsidR="00C42845" w:rsidRPr="009E67FF" w:rsidRDefault="00C42845" w:rsidP="009E67FF">
      <w:pPr>
        <w:pStyle w:val="Prrafodelista"/>
        <w:numPr>
          <w:ilvl w:val="0"/>
          <w:numId w:val="6"/>
        </w:numPr>
        <w:pBdr>
          <w:top w:val="nil"/>
          <w:left w:val="nil"/>
          <w:bottom w:val="nil"/>
          <w:right w:val="nil"/>
          <w:between w:val="nil"/>
        </w:pBdr>
        <w:tabs>
          <w:tab w:val="left" w:pos="426"/>
          <w:tab w:val="left" w:pos="567"/>
        </w:tabs>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9E67FF">
        <w:rPr>
          <w:rFonts w:ascii="Palatino Linotype" w:eastAsia="Palatino Linotype" w:hAnsi="Palatino Linotype" w:cs="Palatino Linotype"/>
          <w:color w:val="000000" w:themeColor="text1"/>
          <w:sz w:val="24"/>
          <w:szCs w:val="24"/>
        </w:rPr>
        <w:t>De conformidad con lo dispuesto en la Ley de Transparencia y Acceso a la Información Pública del Estado de México y Municipios, las Unidades de Transparencia tendrán, entre sus atribuciones, las siguientes:</w:t>
      </w:r>
    </w:p>
    <w:p w14:paraId="23F229C8" w14:textId="77777777" w:rsidR="00C42845" w:rsidRPr="009E67FF" w:rsidRDefault="00C42845" w:rsidP="009E67FF">
      <w:pPr>
        <w:numPr>
          <w:ilvl w:val="1"/>
          <w:numId w:val="1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Recibir, tramitar y dar respuesta a las solicitudes de acceso a la información;</w:t>
      </w:r>
    </w:p>
    <w:p w14:paraId="1C39B57A" w14:textId="77777777" w:rsidR="00C42845" w:rsidRPr="009E67FF" w:rsidRDefault="00C42845" w:rsidP="009E67FF">
      <w:pPr>
        <w:numPr>
          <w:ilvl w:val="1"/>
          <w:numId w:val="1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6CF3B84C" w14:textId="77777777" w:rsidR="00C42845" w:rsidRPr="009E67FF" w:rsidRDefault="00C42845" w:rsidP="009E67FF">
      <w:pPr>
        <w:numPr>
          <w:ilvl w:val="1"/>
          <w:numId w:val="1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Entregar, en su caso, a los particulares la información solicitada; y </w:t>
      </w:r>
    </w:p>
    <w:p w14:paraId="5CF2378A" w14:textId="77777777" w:rsidR="00C42845" w:rsidRDefault="00C42845" w:rsidP="009E67FF">
      <w:pPr>
        <w:numPr>
          <w:ilvl w:val="1"/>
          <w:numId w:val="17"/>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Efectuar las notificaciones a los solicitantes.</w:t>
      </w:r>
    </w:p>
    <w:p w14:paraId="226CC1F2" w14:textId="77777777" w:rsidR="002A2695" w:rsidRPr="009E67FF" w:rsidRDefault="002A2695" w:rsidP="002A2695">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14:paraId="534993C1" w14:textId="77777777" w:rsidR="00C42845" w:rsidRPr="009E67FF" w:rsidRDefault="00C42845"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9E67FF">
        <w:rPr>
          <w:rFonts w:ascii="Palatino Linotype" w:eastAsia="Palatino Linotype" w:hAnsi="Palatino Linotype" w:cs="Palatino Linotype"/>
          <w:b/>
          <w:color w:val="000000" w:themeColor="text1"/>
        </w:rPr>
        <w:t xml:space="preserve">SUJETO OBLIGADO </w:t>
      </w:r>
      <w:r w:rsidRPr="009E67FF">
        <w:rPr>
          <w:rFonts w:ascii="Palatino Linotype" w:eastAsia="Palatino Linotype" w:hAnsi="Palatino Linotype" w:cs="Palatino Linotype"/>
          <w:color w:val="000000" w:themeColor="text1"/>
        </w:rPr>
        <w:t xml:space="preserve">a </w:t>
      </w:r>
      <w:r w:rsidRPr="009E67FF">
        <w:rPr>
          <w:rFonts w:ascii="Palatino Linotype" w:eastAsia="Palatino Linotype" w:hAnsi="Palatino Linotype" w:cs="Palatino Linotype"/>
          <w:color w:val="000000" w:themeColor="text1"/>
        </w:rPr>
        <w:lastRenderedPageBreak/>
        <w:t>propuesta del responsable de la Unidad de Transparencia</w:t>
      </w:r>
      <w:r w:rsidRPr="009E67FF">
        <w:rPr>
          <w:rFonts w:ascii="Palatino Linotype" w:eastAsia="Palatino Linotype" w:hAnsi="Palatino Linotype" w:cs="Palatino Linotype"/>
          <w:color w:val="000000" w:themeColor="text1"/>
          <w:vertAlign w:val="superscript"/>
        </w:rPr>
        <w:footnoteReference w:id="3"/>
      </w:r>
      <w:r w:rsidRPr="009E67FF">
        <w:rPr>
          <w:rFonts w:ascii="Palatino Linotype" w:eastAsia="Palatino Linotype" w:hAnsi="Palatino Linotype" w:cs="Palatino Linotype"/>
          <w:color w:val="000000" w:themeColor="text1"/>
        </w:rPr>
        <w:t xml:space="preserve"> y tendrán, entre sus atribuciones, las siguientes</w:t>
      </w:r>
      <w:r w:rsidRPr="009E67FF">
        <w:rPr>
          <w:rFonts w:ascii="Palatino Linotype" w:eastAsia="Palatino Linotype" w:hAnsi="Palatino Linotype" w:cs="Palatino Linotype"/>
          <w:color w:val="000000" w:themeColor="text1"/>
          <w:vertAlign w:val="superscript"/>
        </w:rPr>
        <w:footnoteReference w:id="4"/>
      </w:r>
      <w:r w:rsidRPr="009E67FF">
        <w:rPr>
          <w:rFonts w:ascii="Palatino Linotype" w:eastAsia="Palatino Linotype" w:hAnsi="Palatino Linotype" w:cs="Palatino Linotype"/>
          <w:color w:val="000000" w:themeColor="text1"/>
        </w:rPr>
        <w:t>:</w:t>
      </w:r>
    </w:p>
    <w:p w14:paraId="48B63F29" w14:textId="77777777" w:rsidR="00C42845" w:rsidRPr="009E67FF" w:rsidRDefault="00C42845" w:rsidP="009E67FF">
      <w:pPr>
        <w:numPr>
          <w:ilvl w:val="1"/>
          <w:numId w:val="18"/>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Localizar la información que le solicite la Unidad de Transparencia; y</w:t>
      </w:r>
    </w:p>
    <w:p w14:paraId="12A1DEE4" w14:textId="77777777" w:rsidR="00C42845" w:rsidRPr="009E67FF" w:rsidRDefault="00C42845" w:rsidP="009E67FF">
      <w:pPr>
        <w:numPr>
          <w:ilvl w:val="1"/>
          <w:numId w:val="18"/>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66F07FE2" w14:textId="77777777" w:rsidR="00C42845" w:rsidRPr="009E67FF" w:rsidRDefault="00C42845" w:rsidP="009E67FF">
      <w:pPr>
        <w:tabs>
          <w:tab w:val="left" w:pos="426"/>
          <w:tab w:val="left" w:pos="567"/>
        </w:tabs>
        <w:jc w:val="both"/>
        <w:rPr>
          <w:rFonts w:ascii="Palatino Linotype" w:eastAsia="Palatino Linotype" w:hAnsi="Palatino Linotype" w:cs="Palatino Linotype"/>
          <w:color w:val="000000" w:themeColor="text1"/>
        </w:rPr>
      </w:pPr>
    </w:p>
    <w:p w14:paraId="3366DDA4" w14:textId="77777777" w:rsidR="00C42845" w:rsidRPr="009E67FF" w:rsidRDefault="00C42845"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De tal manera que cada una de las áreas administrativas del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519C92" w14:textId="77777777" w:rsidR="00C42845" w:rsidRPr="009E67FF" w:rsidRDefault="00C42845" w:rsidP="009E67FF">
      <w:pPr>
        <w:rPr>
          <w:rFonts w:ascii="Palatino Linotype" w:eastAsia="Palatino Linotype" w:hAnsi="Palatino Linotype" w:cs="Palatino Linotype"/>
          <w:color w:val="000000" w:themeColor="text1"/>
        </w:rPr>
      </w:pPr>
    </w:p>
    <w:p w14:paraId="31F04529" w14:textId="77777777" w:rsidR="00C42845" w:rsidRPr="009E67FF" w:rsidRDefault="00C42845"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56A24DBC"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b/>
          <w:i/>
          <w:color w:val="000000" w:themeColor="text1"/>
        </w:rPr>
        <w:t>“Artículo 53</w:t>
      </w:r>
      <w:r w:rsidRPr="009E67FF">
        <w:rPr>
          <w:rFonts w:ascii="Palatino Linotype" w:eastAsia="Palatino Linotype" w:hAnsi="Palatino Linotype" w:cs="Palatino Linotype"/>
          <w:i/>
          <w:color w:val="000000" w:themeColor="text1"/>
        </w:rPr>
        <w:t xml:space="preserve">. Las Unidades de Transparencia tendrán las siguientes funciones: </w:t>
      </w:r>
    </w:p>
    <w:p w14:paraId="2B8D0AC0"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14:paraId="5CE23F57"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EA4D368"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9E67FF">
        <w:rPr>
          <w:rFonts w:ascii="Palatino Linotype" w:eastAsia="Palatino Linotype" w:hAnsi="Palatino Linotype" w:cs="Palatino Linotype"/>
          <w:b/>
          <w:i/>
          <w:color w:val="000000" w:themeColor="text1"/>
        </w:rPr>
        <w:t xml:space="preserve">II. Recibir, tramitar y dar respuesta a las solicitudes de acceso a la información; </w:t>
      </w:r>
    </w:p>
    <w:p w14:paraId="444F1EB6"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2A5A158B"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9E67FF">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5CF93EC6"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lastRenderedPageBreak/>
        <w:t xml:space="preserve">V. Entregar, en su caso, a los particulares la información solicitada; </w:t>
      </w:r>
    </w:p>
    <w:p w14:paraId="60EA247E"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VI. Efectuar las notificaciones a los solicitantes; </w:t>
      </w:r>
    </w:p>
    <w:p w14:paraId="1186EB90"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0007BB79"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43AFC15C"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9E67FF">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899CD4D"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X. Presentar ante el Comité, el proyecto de clasificación de información; </w:t>
      </w:r>
    </w:p>
    <w:p w14:paraId="4F65D325"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106219EC"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XII. Fomentar la transparencia y accesibilidad al interior del sujeto obligado; </w:t>
      </w:r>
    </w:p>
    <w:p w14:paraId="1E89204B"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0DA8A182" w14:textId="77777777" w:rsidR="00C42845" w:rsidRPr="009E67FF" w:rsidRDefault="00C42845" w:rsidP="009E67FF">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1948BDEA" w14:textId="77777777" w:rsidR="00C42845" w:rsidRPr="009E67FF" w:rsidRDefault="00C42845" w:rsidP="009E67FF">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9E67FF">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16AA6AA4" w14:textId="77777777" w:rsidR="00C42845" w:rsidRPr="009E67FF" w:rsidRDefault="00C42845"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14:paraId="22C9C4A3" w14:textId="77777777" w:rsidR="00C42845" w:rsidRPr="009E67FF" w:rsidRDefault="00C42845" w:rsidP="009E67F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1895764" w14:textId="77777777" w:rsidR="000A111E" w:rsidRPr="009E67FF" w:rsidRDefault="00C42845"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Ahora bien , resulta conveniente referir que</w:t>
      </w:r>
      <w:r w:rsidR="00995E77" w:rsidRPr="009E67FF">
        <w:rPr>
          <w:rFonts w:ascii="Palatino Linotype" w:eastAsia="Palatino Linotype" w:hAnsi="Palatino Linotype" w:cs="Palatino Linotype"/>
          <w:color w:val="000000" w:themeColor="text1"/>
        </w:rPr>
        <w:t xml:space="preserve"> el </w:t>
      </w:r>
      <w:r w:rsidR="000A111E" w:rsidRPr="009E67FF">
        <w:rPr>
          <w:rFonts w:ascii="Palatino Linotype" w:eastAsia="Palatino Linotype" w:hAnsi="Palatino Linotype" w:cs="Palatino Linotype"/>
          <w:color w:val="000000" w:themeColor="text1"/>
        </w:rPr>
        <w:t>Reglamento Interior del Organismo Descentralizado para la Prestación de los Servicios de Agua Potable, Alcantarillado y Saneamiento del Municipio de Teoloyucan</w:t>
      </w:r>
      <w:r w:rsidR="002533B5" w:rsidRPr="009E67FF">
        <w:rPr>
          <w:rFonts w:ascii="Palatino Linotype" w:eastAsia="Palatino Linotype" w:hAnsi="Palatino Linotype" w:cs="Palatino Linotype"/>
          <w:color w:val="000000" w:themeColor="text1"/>
        </w:rPr>
        <w:t>,</w:t>
      </w:r>
      <w:r w:rsidR="000A111E" w:rsidRPr="009E67FF">
        <w:rPr>
          <w:rFonts w:ascii="Palatino Linotype" w:eastAsia="Palatino Linotype" w:hAnsi="Palatino Linotype" w:cs="Palatino Linotype"/>
          <w:color w:val="000000" w:themeColor="text1"/>
        </w:rPr>
        <w:t xml:space="preserve"> en su artículo 39, nos establece que a fin de cumplir </w:t>
      </w:r>
      <w:r w:rsidR="000A111E" w:rsidRPr="009E67FF">
        <w:rPr>
          <w:rFonts w:ascii="Palatino Linotype" w:eastAsia="Palatino Linotype" w:hAnsi="Palatino Linotype" w:cs="Palatino Linotype"/>
          <w:color w:val="000000" w:themeColor="text1"/>
        </w:rPr>
        <w:lastRenderedPageBreak/>
        <w:t xml:space="preserve">con sus atribuciones y responsabilidades para el estudio, planeación y despacho de sus asuntos se auxiliara de diversas Unidades Administrativas, estableciendo lo siguiente: </w:t>
      </w:r>
    </w:p>
    <w:p w14:paraId="45249CE9" w14:textId="77777777" w:rsidR="000A111E" w:rsidRPr="009E67FF" w:rsidRDefault="000A111E" w:rsidP="009E67FF">
      <w:pPr>
        <w:jc w:val="both"/>
        <w:rPr>
          <w:rFonts w:ascii="Palatino Linotype" w:hAnsi="Palatino Linotype"/>
          <w:b/>
          <w:i/>
          <w:color w:val="000000" w:themeColor="text1"/>
        </w:rPr>
      </w:pPr>
      <w:r w:rsidRPr="009E67FF">
        <w:rPr>
          <w:rFonts w:ascii="Palatino Linotype" w:hAnsi="Palatino Linotype"/>
          <w:b/>
          <w:i/>
          <w:color w:val="000000" w:themeColor="text1"/>
        </w:rPr>
        <w:t xml:space="preserve">I.DIRECCIÓN GENERAL: </w:t>
      </w:r>
    </w:p>
    <w:p w14:paraId="28A4726F"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w:t>
      </w:r>
      <w:r w:rsidRPr="009E67FF">
        <w:rPr>
          <w:rFonts w:ascii="Palatino Linotype" w:hAnsi="Palatino Linotype"/>
          <w:i/>
          <w:color w:val="000000" w:themeColor="text1"/>
        </w:rPr>
        <w:t xml:space="preserve"> Jefatura de Asuntos Jurídicos </w:t>
      </w:r>
    </w:p>
    <w:p w14:paraId="47C6D35B"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I.II</w:t>
      </w:r>
      <w:r w:rsidRPr="009E67FF">
        <w:rPr>
          <w:rFonts w:ascii="Palatino Linotype" w:hAnsi="Palatino Linotype"/>
          <w:i/>
          <w:color w:val="000000" w:themeColor="text1"/>
        </w:rPr>
        <w:t xml:space="preserve"> Jefatura de Proyectos </w:t>
      </w:r>
    </w:p>
    <w:p w14:paraId="31A72B64"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I.III</w:t>
      </w:r>
      <w:r w:rsidRPr="009E67FF">
        <w:rPr>
          <w:rFonts w:ascii="Palatino Linotype" w:hAnsi="Palatino Linotype"/>
          <w:i/>
          <w:color w:val="000000" w:themeColor="text1"/>
        </w:rPr>
        <w:t xml:space="preserve"> Coordinación de Atención a la Ciudadanía </w:t>
      </w:r>
    </w:p>
    <w:p w14:paraId="7538734B"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I.IV</w:t>
      </w:r>
      <w:r w:rsidRPr="009E67FF">
        <w:rPr>
          <w:rFonts w:ascii="Palatino Linotype" w:hAnsi="Palatino Linotype"/>
          <w:i/>
          <w:color w:val="000000" w:themeColor="text1"/>
        </w:rPr>
        <w:t xml:space="preserve"> Coordinación de Unidad de Información, Planeación, Programación y Evaluación </w:t>
      </w:r>
    </w:p>
    <w:p w14:paraId="11ABE787"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I.V</w:t>
      </w:r>
      <w:r w:rsidRPr="009E67FF">
        <w:rPr>
          <w:rFonts w:ascii="Palatino Linotype" w:hAnsi="Palatino Linotype"/>
          <w:i/>
          <w:color w:val="000000" w:themeColor="text1"/>
        </w:rPr>
        <w:t xml:space="preserve"> Vinculo Operativo del Organismo con la Coordinación Municipal de Mejora Regulatoria </w:t>
      </w:r>
    </w:p>
    <w:p w14:paraId="0ADDF373" w14:textId="77777777" w:rsidR="000A111E" w:rsidRPr="009E67FF" w:rsidRDefault="000A111E" w:rsidP="009E67FF">
      <w:pPr>
        <w:jc w:val="both"/>
        <w:rPr>
          <w:rFonts w:ascii="Palatino Linotype" w:hAnsi="Palatino Linotype"/>
          <w:b/>
          <w:i/>
          <w:color w:val="000000" w:themeColor="text1"/>
        </w:rPr>
      </w:pPr>
      <w:r w:rsidRPr="009E67FF">
        <w:rPr>
          <w:rFonts w:ascii="Palatino Linotype" w:hAnsi="Palatino Linotype"/>
          <w:b/>
          <w:i/>
          <w:color w:val="000000" w:themeColor="text1"/>
        </w:rPr>
        <w:t>II. SUBDIRECCIÓN DE ADMINISTRACIÓN Y FINANZAS</w:t>
      </w:r>
    </w:p>
    <w:p w14:paraId="7FD1283D"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 xml:space="preserve">II.I </w:t>
      </w:r>
      <w:r w:rsidRPr="009E67FF">
        <w:rPr>
          <w:rFonts w:ascii="Palatino Linotype" w:hAnsi="Palatino Linotype"/>
          <w:i/>
          <w:color w:val="000000" w:themeColor="text1"/>
        </w:rPr>
        <w:t xml:space="preserve">Jefatura de Contabilidad </w:t>
      </w:r>
    </w:p>
    <w:p w14:paraId="1601A579"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II.II</w:t>
      </w:r>
      <w:r w:rsidRPr="009E67FF">
        <w:rPr>
          <w:rFonts w:ascii="Palatino Linotype" w:hAnsi="Palatino Linotype"/>
          <w:i/>
          <w:color w:val="000000" w:themeColor="text1"/>
        </w:rPr>
        <w:t xml:space="preserve"> Coordinación de Ingresos y Egresos </w:t>
      </w:r>
    </w:p>
    <w:p w14:paraId="5835C96E"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II.III</w:t>
      </w:r>
      <w:r w:rsidRPr="009E67FF">
        <w:rPr>
          <w:rFonts w:ascii="Palatino Linotype" w:hAnsi="Palatino Linotype"/>
          <w:i/>
          <w:color w:val="000000" w:themeColor="text1"/>
        </w:rPr>
        <w:t xml:space="preserve"> Coordinación de Adquisiciones y Recursos Materiales </w:t>
      </w:r>
    </w:p>
    <w:p w14:paraId="227D5CD3"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II.IV</w:t>
      </w:r>
      <w:r w:rsidRPr="009E67FF">
        <w:rPr>
          <w:rFonts w:ascii="Palatino Linotype" w:hAnsi="Palatino Linotype"/>
          <w:i/>
          <w:color w:val="000000" w:themeColor="text1"/>
        </w:rPr>
        <w:t xml:space="preserve"> Coordinación de Recursos Humanos </w:t>
      </w:r>
    </w:p>
    <w:p w14:paraId="3E5ED8A7" w14:textId="77777777" w:rsidR="000A111E" w:rsidRPr="009E67FF" w:rsidRDefault="000A111E" w:rsidP="009E67FF">
      <w:pPr>
        <w:jc w:val="both"/>
        <w:rPr>
          <w:rFonts w:ascii="Palatino Linotype" w:hAnsi="Palatino Linotype"/>
          <w:b/>
          <w:i/>
          <w:color w:val="000000" w:themeColor="text1"/>
          <w:u w:val="single"/>
        </w:rPr>
      </w:pPr>
      <w:r w:rsidRPr="009E67FF">
        <w:rPr>
          <w:rFonts w:ascii="Palatino Linotype" w:hAnsi="Palatino Linotype"/>
          <w:b/>
          <w:i/>
          <w:color w:val="000000" w:themeColor="text1"/>
          <w:u w:val="single"/>
        </w:rPr>
        <w:t xml:space="preserve">II.V Coordinación de Patrimonio y archivo </w:t>
      </w:r>
    </w:p>
    <w:p w14:paraId="57AA5BE1"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II.VI</w:t>
      </w:r>
      <w:r w:rsidRPr="009E67FF">
        <w:rPr>
          <w:rFonts w:ascii="Palatino Linotype" w:hAnsi="Palatino Linotype"/>
          <w:i/>
          <w:color w:val="000000" w:themeColor="text1"/>
        </w:rPr>
        <w:t xml:space="preserve"> Jefatura de Comercialización </w:t>
      </w:r>
    </w:p>
    <w:p w14:paraId="3D939F14" w14:textId="77777777" w:rsidR="000A111E" w:rsidRPr="009E67FF" w:rsidRDefault="000A111E" w:rsidP="009E67FF">
      <w:pPr>
        <w:jc w:val="both"/>
        <w:rPr>
          <w:rFonts w:ascii="Palatino Linotype" w:hAnsi="Palatino Linotype"/>
          <w:b/>
          <w:i/>
          <w:color w:val="000000" w:themeColor="text1"/>
        </w:rPr>
      </w:pPr>
      <w:r w:rsidRPr="009E67FF">
        <w:rPr>
          <w:rFonts w:ascii="Palatino Linotype" w:hAnsi="Palatino Linotype"/>
          <w:b/>
          <w:i/>
          <w:color w:val="000000" w:themeColor="text1"/>
        </w:rPr>
        <w:t xml:space="preserve">III. SUBDIRECCIÓN DE OPERACIÓN Y MANTENIMIENTO </w:t>
      </w:r>
    </w:p>
    <w:p w14:paraId="634AA206" w14:textId="77777777" w:rsidR="000A111E" w:rsidRPr="009E67FF" w:rsidRDefault="000A111E" w:rsidP="009E67FF">
      <w:pPr>
        <w:jc w:val="both"/>
        <w:rPr>
          <w:rFonts w:ascii="Palatino Linotype" w:eastAsia="Palatino Linotype" w:hAnsi="Palatino Linotype" w:cs="Palatino Linotype"/>
          <w:i/>
          <w:color w:val="000000" w:themeColor="text1"/>
        </w:rPr>
      </w:pPr>
      <w:r w:rsidRPr="009E67FF">
        <w:rPr>
          <w:rFonts w:ascii="Palatino Linotype" w:hAnsi="Palatino Linotype"/>
          <w:b/>
          <w:i/>
          <w:color w:val="000000" w:themeColor="text1"/>
        </w:rPr>
        <w:t>III.I</w:t>
      </w:r>
      <w:r w:rsidRPr="009E67FF">
        <w:rPr>
          <w:rFonts w:ascii="Palatino Linotype" w:hAnsi="Palatino Linotype"/>
          <w:i/>
          <w:color w:val="000000" w:themeColor="text1"/>
        </w:rPr>
        <w:t xml:space="preserve"> Jefatura de Operación para el Sistema de Agua, Drenaje y Alcantarillado</w:t>
      </w:r>
    </w:p>
    <w:p w14:paraId="41369F44" w14:textId="77777777" w:rsidR="000A111E" w:rsidRPr="009E67FF" w:rsidRDefault="000A111E" w:rsidP="009E67FF">
      <w:pPr>
        <w:rPr>
          <w:rFonts w:ascii="Palatino Linotype" w:hAnsi="Palatino Linotype"/>
          <w:i/>
          <w:color w:val="000000" w:themeColor="text1"/>
        </w:rPr>
      </w:pPr>
      <w:r w:rsidRPr="009E67FF">
        <w:rPr>
          <w:rFonts w:ascii="Palatino Linotype" w:hAnsi="Palatino Linotype"/>
          <w:b/>
          <w:i/>
          <w:color w:val="000000" w:themeColor="text1"/>
        </w:rPr>
        <w:t>III.II</w:t>
      </w:r>
      <w:r w:rsidRPr="009E67FF">
        <w:rPr>
          <w:rFonts w:ascii="Palatino Linotype" w:hAnsi="Palatino Linotype"/>
          <w:i/>
          <w:color w:val="000000" w:themeColor="text1"/>
        </w:rPr>
        <w:t xml:space="preserve"> Jefatura de mantenimiento de Redes Hidráulicas, Alcantarillado y Saneamiento </w:t>
      </w:r>
    </w:p>
    <w:p w14:paraId="6788BA6F" w14:textId="77777777" w:rsidR="000A111E" w:rsidRPr="009E67FF" w:rsidRDefault="000A111E" w:rsidP="009E67FF">
      <w:pPr>
        <w:rPr>
          <w:rFonts w:ascii="Palatino Linotype" w:hAnsi="Palatino Linotype"/>
          <w:i/>
          <w:color w:val="000000" w:themeColor="text1"/>
        </w:rPr>
      </w:pPr>
      <w:r w:rsidRPr="009E67FF">
        <w:rPr>
          <w:rFonts w:ascii="Palatino Linotype" w:hAnsi="Palatino Linotype"/>
          <w:b/>
          <w:i/>
          <w:color w:val="000000" w:themeColor="text1"/>
        </w:rPr>
        <w:t>III.III</w:t>
      </w:r>
      <w:r w:rsidRPr="009E67FF">
        <w:rPr>
          <w:rFonts w:ascii="Palatino Linotype" w:hAnsi="Palatino Linotype"/>
          <w:i/>
          <w:color w:val="000000" w:themeColor="text1"/>
        </w:rPr>
        <w:t xml:space="preserve"> Departamento de Electromecánico y Mantenimiento de Pozos y Cárcamos </w:t>
      </w:r>
    </w:p>
    <w:p w14:paraId="03652026" w14:textId="77777777" w:rsidR="000A111E" w:rsidRPr="009E67FF" w:rsidRDefault="000A111E" w:rsidP="009E67FF">
      <w:pPr>
        <w:rPr>
          <w:rFonts w:ascii="Palatino Linotype" w:hAnsi="Palatino Linotype"/>
          <w:b/>
          <w:i/>
          <w:color w:val="000000" w:themeColor="text1"/>
        </w:rPr>
      </w:pPr>
      <w:r w:rsidRPr="009E67FF">
        <w:rPr>
          <w:rFonts w:ascii="Palatino Linotype" w:hAnsi="Palatino Linotype"/>
          <w:b/>
          <w:i/>
          <w:color w:val="000000" w:themeColor="text1"/>
        </w:rPr>
        <w:t xml:space="preserve">IV. JEFATURA DE ASUNTOS JURIDICO </w:t>
      </w:r>
    </w:p>
    <w:p w14:paraId="598F13E4" w14:textId="77777777" w:rsidR="000A111E" w:rsidRPr="009E67FF" w:rsidRDefault="000A111E" w:rsidP="009E67FF">
      <w:pPr>
        <w:rPr>
          <w:rFonts w:ascii="Palatino Linotype" w:hAnsi="Palatino Linotype"/>
          <w:i/>
          <w:color w:val="000000" w:themeColor="text1"/>
        </w:rPr>
      </w:pPr>
      <w:r w:rsidRPr="009E67FF">
        <w:rPr>
          <w:rFonts w:ascii="Palatino Linotype" w:hAnsi="Palatino Linotype"/>
          <w:b/>
          <w:i/>
          <w:color w:val="000000" w:themeColor="text1"/>
        </w:rPr>
        <w:t>IV.I.</w:t>
      </w:r>
      <w:r w:rsidRPr="009E67FF">
        <w:rPr>
          <w:rFonts w:ascii="Palatino Linotype" w:hAnsi="Palatino Linotype"/>
          <w:i/>
          <w:color w:val="000000" w:themeColor="text1"/>
        </w:rPr>
        <w:t xml:space="preserve"> Oficialía de Partes </w:t>
      </w:r>
    </w:p>
    <w:p w14:paraId="60FAF39C" w14:textId="77777777" w:rsidR="000A111E" w:rsidRPr="009E67FF" w:rsidRDefault="000A111E" w:rsidP="009E67FF">
      <w:pPr>
        <w:rPr>
          <w:rFonts w:ascii="Palatino Linotype" w:hAnsi="Palatino Linotype"/>
          <w:b/>
          <w:i/>
          <w:color w:val="000000" w:themeColor="text1"/>
        </w:rPr>
      </w:pPr>
      <w:r w:rsidRPr="009E67FF">
        <w:rPr>
          <w:rFonts w:ascii="Palatino Linotype" w:hAnsi="Palatino Linotype"/>
          <w:b/>
          <w:i/>
          <w:color w:val="000000" w:themeColor="text1"/>
        </w:rPr>
        <w:t xml:space="preserve">VI. JEFATURA DE COMUNICACIÓN, CULTURA Y GÉNERO </w:t>
      </w:r>
    </w:p>
    <w:p w14:paraId="16608316" w14:textId="77777777" w:rsidR="000A111E" w:rsidRPr="009E67FF" w:rsidRDefault="000A111E" w:rsidP="009E67FF">
      <w:pPr>
        <w:rPr>
          <w:rFonts w:ascii="Palatino Linotype" w:hAnsi="Palatino Linotype"/>
          <w:i/>
          <w:color w:val="000000" w:themeColor="text1"/>
        </w:rPr>
      </w:pPr>
      <w:r w:rsidRPr="009E67FF">
        <w:rPr>
          <w:rFonts w:ascii="Palatino Linotype" w:hAnsi="Palatino Linotype"/>
          <w:b/>
          <w:i/>
          <w:color w:val="000000" w:themeColor="text1"/>
        </w:rPr>
        <w:t>VI.I</w:t>
      </w:r>
      <w:r w:rsidRPr="009E67FF">
        <w:rPr>
          <w:rFonts w:ascii="Palatino Linotype" w:hAnsi="Palatino Linotype"/>
          <w:i/>
          <w:color w:val="000000" w:themeColor="text1"/>
        </w:rPr>
        <w:t xml:space="preserve"> Coordinación de Comunicación. </w:t>
      </w:r>
    </w:p>
    <w:p w14:paraId="0F91AD8D" w14:textId="77777777" w:rsidR="000A111E" w:rsidRPr="009E67FF" w:rsidRDefault="000A111E" w:rsidP="009E67FF">
      <w:pPr>
        <w:rPr>
          <w:rFonts w:ascii="Palatino Linotype" w:hAnsi="Palatino Linotype"/>
          <w:i/>
          <w:color w:val="000000" w:themeColor="text1"/>
        </w:rPr>
      </w:pPr>
      <w:r w:rsidRPr="009E67FF">
        <w:rPr>
          <w:rFonts w:ascii="Palatino Linotype" w:hAnsi="Palatino Linotype"/>
          <w:b/>
          <w:i/>
          <w:color w:val="000000" w:themeColor="text1"/>
        </w:rPr>
        <w:t>VI</w:t>
      </w:r>
      <w:r w:rsidRPr="009E67FF">
        <w:rPr>
          <w:rFonts w:ascii="Palatino Linotype" w:hAnsi="Palatino Linotype"/>
          <w:i/>
          <w:color w:val="000000" w:themeColor="text1"/>
        </w:rPr>
        <w:t>.</w:t>
      </w:r>
      <w:r w:rsidRPr="009E67FF">
        <w:rPr>
          <w:rFonts w:ascii="Palatino Linotype" w:hAnsi="Palatino Linotype"/>
          <w:b/>
          <w:i/>
          <w:color w:val="000000" w:themeColor="text1"/>
        </w:rPr>
        <w:t>II</w:t>
      </w:r>
      <w:r w:rsidRPr="009E67FF">
        <w:rPr>
          <w:rFonts w:ascii="Palatino Linotype" w:hAnsi="Palatino Linotype"/>
          <w:i/>
          <w:color w:val="000000" w:themeColor="text1"/>
        </w:rPr>
        <w:t xml:space="preserve"> Coordinación de Cultura del Agua. </w:t>
      </w:r>
    </w:p>
    <w:p w14:paraId="62BBA36E" w14:textId="77777777" w:rsidR="000A111E" w:rsidRPr="009E67FF" w:rsidRDefault="000A111E" w:rsidP="009E67FF">
      <w:pPr>
        <w:rPr>
          <w:rFonts w:ascii="Palatino Linotype" w:hAnsi="Palatino Linotype"/>
          <w:i/>
          <w:color w:val="000000" w:themeColor="text1"/>
        </w:rPr>
      </w:pPr>
      <w:r w:rsidRPr="009E67FF">
        <w:rPr>
          <w:rFonts w:ascii="Palatino Linotype" w:hAnsi="Palatino Linotype"/>
          <w:b/>
          <w:i/>
          <w:color w:val="000000" w:themeColor="text1"/>
        </w:rPr>
        <w:t>VI.III</w:t>
      </w:r>
      <w:r w:rsidRPr="009E67FF">
        <w:rPr>
          <w:rFonts w:ascii="Palatino Linotype" w:hAnsi="Palatino Linotype"/>
          <w:i/>
          <w:color w:val="000000" w:themeColor="text1"/>
        </w:rPr>
        <w:t xml:space="preserve"> Coordinación de Igualdad de Género </w:t>
      </w:r>
    </w:p>
    <w:p w14:paraId="5379AF6A" w14:textId="77777777" w:rsidR="000A111E" w:rsidRPr="009E67FF" w:rsidRDefault="000A111E" w:rsidP="009E67FF">
      <w:pPr>
        <w:rPr>
          <w:rFonts w:ascii="Palatino Linotype" w:hAnsi="Palatino Linotype"/>
          <w:b/>
          <w:i/>
          <w:color w:val="000000" w:themeColor="text1"/>
        </w:rPr>
      </w:pPr>
      <w:r w:rsidRPr="009E67FF">
        <w:rPr>
          <w:rFonts w:ascii="Palatino Linotype" w:hAnsi="Palatino Linotype"/>
          <w:b/>
          <w:i/>
          <w:color w:val="000000" w:themeColor="text1"/>
        </w:rPr>
        <w:t xml:space="preserve">VII. CONTRALORIA </w:t>
      </w:r>
    </w:p>
    <w:p w14:paraId="7E4B6A64" w14:textId="77777777" w:rsidR="000A111E" w:rsidRPr="009E67FF" w:rsidRDefault="000A111E" w:rsidP="009E67FF">
      <w:pPr>
        <w:rPr>
          <w:rFonts w:ascii="Palatino Linotype" w:eastAsia="Palatino Linotype" w:hAnsi="Palatino Linotype" w:cs="Palatino Linotype"/>
          <w:b/>
          <w:i/>
          <w:color w:val="000000" w:themeColor="text1"/>
        </w:rPr>
      </w:pPr>
      <w:r w:rsidRPr="009E67FF">
        <w:rPr>
          <w:rFonts w:ascii="Palatino Linotype" w:hAnsi="Palatino Linotype"/>
          <w:b/>
          <w:i/>
          <w:color w:val="000000" w:themeColor="text1"/>
        </w:rPr>
        <w:t>VIII. TRANSPARENCIA</w:t>
      </w:r>
    </w:p>
    <w:p w14:paraId="2E3D8C52" w14:textId="77777777" w:rsidR="000A111E" w:rsidRPr="009E67FF" w:rsidRDefault="000A111E" w:rsidP="009E67FF">
      <w:pPr>
        <w:spacing w:line="360" w:lineRule="auto"/>
        <w:jc w:val="both"/>
        <w:rPr>
          <w:rFonts w:ascii="Palatino Linotype" w:eastAsia="Palatino Linotype" w:hAnsi="Palatino Linotype" w:cs="Palatino Linotype"/>
          <w:color w:val="000000" w:themeColor="text1"/>
        </w:rPr>
      </w:pPr>
    </w:p>
    <w:p w14:paraId="0A3CE15C" w14:textId="77777777" w:rsidR="000A111E" w:rsidRPr="009E67FF" w:rsidRDefault="000A111E"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En continuidad, el mismo ordenamiento legal refiere que para salvaguardar, controlar y mantener el inventario de bienes muebles e inmuebles; así como para elaborar y actualizar el inventario general de los bienes que integran el patrimonio del Organismo  contaran con el </w:t>
      </w:r>
      <w:r w:rsidRPr="009E67FF">
        <w:rPr>
          <w:rFonts w:ascii="Palatino Linotype" w:eastAsia="Palatino Linotype" w:hAnsi="Palatino Linotype" w:cs="Palatino Linotype"/>
          <w:color w:val="000000" w:themeColor="text1"/>
        </w:rPr>
        <w:lastRenderedPageBreak/>
        <w:t>área de Patrimonio y archivo, mismo que estará a cargo de un titular a quien se le denominara Coordinador de Patrimonio y Archivo, mismo que tendrá las siguientes atribuciones:</w:t>
      </w:r>
    </w:p>
    <w:p w14:paraId="3F730375" w14:textId="77777777" w:rsidR="000A111E" w:rsidRPr="009E67FF" w:rsidRDefault="000A111E" w:rsidP="009E67FF">
      <w:pPr>
        <w:spacing w:line="360" w:lineRule="auto"/>
        <w:jc w:val="both"/>
        <w:rPr>
          <w:rFonts w:ascii="Palatino Linotype" w:eastAsia="Palatino Linotype" w:hAnsi="Palatino Linotype" w:cs="Palatino Linotype"/>
          <w:color w:val="000000" w:themeColor="text1"/>
        </w:rPr>
      </w:pPr>
      <w:r w:rsidRPr="009E67FF">
        <w:rPr>
          <w:rFonts w:ascii="Palatino Linotype" w:hAnsi="Palatino Linotype"/>
          <w:b/>
          <w:color w:val="000000" w:themeColor="text1"/>
        </w:rPr>
        <w:t>Artículo 51.-</w:t>
      </w:r>
      <w:r w:rsidRPr="009E67FF">
        <w:rPr>
          <w:rFonts w:ascii="Palatino Linotype" w:hAnsi="Palatino Linotype"/>
          <w:color w:val="000000" w:themeColor="text1"/>
        </w:rPr>
        <w:t xml:space="preserve"> El Área de Patrimonio y Archivo estará a cargo de un titular a quien se le denominará “Coordinador o Coordinadora de Patrimonio y Archivo”, quien responderá directamente del desempeño de sus funciones a la Subdirección de Administración y Finanzas, la cual tendrá las siguientes atribuciones y facultades:</w:t>
      </w:r>
    </w:p>
    <w:p w14:paraId="3A586FD4" w14:textId="77777777" w:rsidR="000A111E" w:rsidRPr="009E67FF" w:rsidRDefault="000A111E" w:rsidP="009E67FF">
      <w:pPr>
        <w:spacing w:line="360" w:lineRule="auto"/>
        <w:jc w:val="both"/>
        <w:rPr>
          <w:rFonts w:ascii="Palatino Linotype" w:eastAsia="Palatino Linotype" w:hAnsi="Palatino Linotype" w:cs="Palatino Linotype"/>
          <w:color w:val="000000" w:themeColor="text1"/>
        </w:rPr>
      </w:pPr>
    </w:p>
    <w:p w14:paraId="6DC6E710" w14:textId="77777777" w:rsidR="000A111E" w:rsidRPr="009E67FF" w:rsidRDefault="000A111E" w:rsidP="009E67FF">
      <w:pPr>
        <w:jc w:val="both"/>
        <w:rPr>
          <w:rFonts w:ascii="Palatino Linotype" w:hAnsi="Palatino Linotype"/>
          <w:b/>
          <w:i/>
          <w:color w:val="000000" w:themeColor="text1"/>
          <w:u w:val="single"/>
        </w:rPr>
      </w:pPr>
      <w:r w:rsidRPr="009E67FF">
        <w:rPr>
          <w:rFonts w:ascii="Palatino Linotype" w:hAnsi="Palatino Linotype"/>
          <w:b/>
          <w:i/>
          <w:color w:val="000000" w:themeColor="text1"/>
          <w:u w:val="single"/>
        </w:rPr>
        <w:t>I. Salvaguardar, controlar y mantener inventariados los bienes muebles e inmuebles del Organismo.</w:t>
      </w:r>
    </w:p>
    <w:p w14:paraId="029B42DC" w14:textId="77777777" w:rsidR="000A111E" w:rsidRPr="009E67FF" w:rsidRDefault="000A111E" w:rsidP="009E67FF">
      <w:pPr>
        <w:jc w:val="both"/>
        <w:rPr>
          <w:rFonts w:ascii="Palatino Linotype" w:hAnsi="Palatino Linotype"/>
          <w:b/>
          <w:i/>
          <w:color w:val="000000" w:themeColor="text1"/>
          <w:u w:val="single"/>
        </w:rPr>
      </w:pPr>
      <w:r w:rsidRPr="009E67FF">
        <w:rPr>
          <w:rFonts w:ascii="Palatino Linotype" w:hAnsi="Palatino Linotype"/>
          <w:b/>
          <w:i/>
          <w:color w:val="000000" w:themeColor="text1"/>
          <w:u w:val="single"/>
        </w:rPr>
        <w:t xml:space="preserve">II. Elaborar y actualizar el inventario general de los bienes que integran el patrimonio del Organismo; </w:t>
      </w:r>
    </w:p>
    <w:p w14:paraId="196090B8"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III. Proveer a las unidades administrativas los servicios generales que requieran para el desarrollo de sus funciones; </w:t>
      </w:r>
    </w:p>
    <w:p w14:paraId="289CAF6D"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IV. Supervisar el adecuado mantenimiento a las diferentes instalaciones del Organismo; </w:t>
      </w:r>
    </w:p>
    <w:p w14:paraId="1E02A524"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V. Establecer las acciones necesarias para mantener una adecuada imagen de las instalaciones del Organismo, en cuanto a higiene, pintura, etc. </w:t>
      </w:r>
    </w:p>
    <w:p w14:paraId="668626EC"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VI. Programar y supervisar los servicios de limpieza y aseo de las instalaciones propiedad del Organismo; </w:t>
      </w:r>
    </w:p>
    <w:p w14:paraId="43902B90"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VII. Programar y supervisar los servicios de mantenimiento preventivo y correctivo de los bienes muebles e inmuebles propiedad del Organismo; </w:t>
      </w:r>
    </w:p>
    <w:p w14:paraId="0CE40882"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VIII. Establecer roles de trabajo para el personal a su cargo, a fin de cubrir las necesidades del Organismo en cuanto a aseo y mantenimiento; </w:t>
      </w:r>
    </w:p>
    <w:p w14:paraId="23272ADC"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IX. Apoyar en la organización y desarrollo de los diversos eventos y actividades externas del Organismo; </w:t>
      </w:r>
    </w:p>
    <w:p w14:paraId="30A40646" w14:textId="77777777" w:rsidR="000A111E"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u w:val="single"/>
        </w:rPr>
        <w:t>X. Mantener actualizado el inventario general de bienes capitalizables propiedad del Organismo y elaborar las cédulas correspondientes para cada uno, así como operar el Sistema de Control de Bienes</w:t>
      </w:r>
      <w:r w:rsidRPr="009E67FF">
        <w:rPr>
          <w:rFonts w:ascii="Palatino Linotype" w:hAnsi="Palatino Linotype"/>
          <w:i/>
          <w:color w:val="000000" w:themeColor="text1"/>
        </w:rPr>
        <w:t>;</w:t>
      </w:r>
    </w:p>
    <w:p w14:paraId="1F9188CB" w14:textId="77777777" w:rsidR="000A111E" w:rsidRPr="009E67FF" w:rsidRDefault="000A111E" w:rsidP="009E67FF">
      <w:pPr>
        <w:jc w:val="both"/>
        <w:rPr>
          <w:rFonts w:ascii="Palatino Linotype" w:hAnsi="Palatino Linotype"/>
          <w:b/>
          <w:i/>
          <w:color w:val="000000" w:themeColor="text1"/>
        </w:rPr>
      </w:pPr>
      <w:r w:rsidRPr="009E67FF">
        <w:rPr>
          <w:rFonts w:ascii="Palatino Linotype" w:hAnsi="Palatino Linotype"/>
          <w:b/>
          <w:i/>
          <w:color w:val="000000" w:themeColor="text1"/>
        </w:rPr>
        <w:t xml:space="preserve"> XI. Asignación del número de inventario a cada uno de los bienes capitalizables, observando las disposiciones jurídicas, financieras y administrativas emitidas para tales efectos.</w:t>
      </w:r>
    </w:p>
    <w:p w14:paraId="2D3993A9"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 XII. Verificar que todos los bienes muebles e inmuebles capitalizables que adquiera el Organismo y que ingresan al patrimonio, cumplan con las disposiciones jurídicas, financieras y administrativas. </w:t>
      </w:r>
    </w:p>
    <w:p w14:paraId="14E291EA"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lastRenderedPageBreak/>
        <w:t>XIII. Resguardar todos los bienes muebles e inmuebles capitalizables que no sean utilizados y en su caso reasignarlos, así como solicitar informes sobre el aprovechamiento y situación de los bienes a su resguardo;</w:t>
      </w:r>
    </w:p>
    <w:p w14:paraId="5304777A"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XIV. Integrar, instalar y participar en el Comité de Arrendamientos, Adquisiciones de Inmuebles y Enajenaciones y ejecutar los procedimientos de alta, baja y destino final de bienes, según sea el caso.</w:t>
      </w:r>
    </w:p>
    <w:p w14:paraId="6D68695F"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 XV. Integrar, instalar y participar en el Comité de Bienes Muebles e Inmuebles; </w:t>
      </w:r>
    </w:p>
    <w:p w14:paraId="599F4A7C"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XVI. Controlar y mantener actualizados los archivos de la documentación con la que se acredite legalmente la propiedad de los bienes muebles e inmuebles que formen parte del patrimonio del Organismo; </w:t>
      </w:r>
    </w:p>
    <w:p w14:paraId="4EF96351"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XVII. Elaborar la relación de bienes muebles e inmuebles capitalizables que fueron adquiridos por el Organismo e ingresarlos al activo fijo y/o gasto, a efecto de realizar el informe mensual, cuenta pública y conciliación físico contable en coordinación con la Jefatura de Contabilidad; </w:t>
      </w:r>
    </w:p>
    <w:p w14:paraId="50640652"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XVIII. Conciliar con la jefatura de Contabilidad el inventario de bienes muebles con los registros contables; </w:t>
      </w:r>
    </w:p>
    <w:p w14:paraId="28536736"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XIX. Realizar en coordinación con la Contraloría Interna, el inventario de bienes muebles e inmuebles que integran el patrimonio del Organismo; </w:t>
      </w:r>
    </w:p>
    <w:p w14:paraId="22AB39EB"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XX. Realizar los trámites necesarios para llevar a cabo la depuración de los bienes muebles e inmuebles; </w:t>
      </w:r>
    </w:p>
    <w:p w14:paraId="1DD9A1CC"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b/>
          <w:i/>
          <w:color w:val="000000" w:themeColor="text1"/>
        </w:rPr>
        <w:t>XXI. Proceder al registro e incorporación del inventario del Organismo todas aquellas adquisiciones de bienes muebles e inmuebles;</w:t>
      </w:r>
      <w:r w:rsidRPr="009E67FF">
        <w:rPr>
          <w:rFonts w:ascii="Palatino Linotype" w:hAnsi="Palatino Linotype"/>
          <w:i/>
          <w:color w:val="000000" w:themeColor="text1"/>
        </w:rPr>
        <w:t xml:space="preserve"> </w:t>
      </w:r>
    </w:p>
    <w:p w14:paraId="4120D624" w14:textId="77777777" w:rsidR="00783F26" w:rsidRPr="009E67FF" w:rsidRDefault="000A111E" w:rsidP="009E67FF">
      <w:pPr>
        <w:jc w:val="both"/>
        <w:rPr>
          <w:rFonts w:ascii="Palatino Linotype" w:hAnsi="Palatino Linotype"/>
          <w:i/>
          <w:color w:val="000000" w:themeColor="text1"/>
        </w:rPr>
      </w:pPr>
      <w:r w:rsidRPr="009E67FF">
        <w:rPr>
          <w:rFonts w:ascii="Palatino Linotype" w:hAnsi="Palatino Linotype"/>
          <w:i/>
          <w:color w:val="000000" w:themeColor="text1"/>
        </w:rPr>
        <w:t xml:space="preserve">XXII. Dirigir, controlar y evaluar los servicios generales de apoyo en el organismo; </w:t>
      </w:r>
    </w:p>
    <w:p w14:paraId="23C40469" w14:textId="77777777" w:rsidR="000A111E" w:rsidRPr="009E67FF" w:rsidRDefault="00783F26" w:rsidP="009E67FF">
      <w:pPr>
        <w:jc w:val="both"/>
        <w:rPr>
          <w:rFonts w:ascii="Palatino Linotype" w:hAnsi="Palatino Linotype"/>
          <w:i/>
          <w:color w:val="000000" w:themeColor="text1"/>
        </w:rPr>
      </w:pPr>
      <w:r w:rsidRPr="009E67FF">
        <w:rPr>
          <w:rFonts w:ascii="Palatino Linotype" w:eastAsia="Palatino Linotype" w:hAnsi="Palatino Linotype" w:cs="Palatino Linotype"/>
          <w:color w:val="000000" w:themeColor="text1"/>
        </w:rPr>
        <w:t>(…)</w:t>
      </w:r>
    </w:p>
    <w:p w14:paraId="31EA081D" w14:textId="77777777" w:rsidR="00995E77" w:rsidRPr="009E67FF" w:rsidRDefault="00995E77" w:rsidP="009E67FF">
      <w:pPr>
        <w:spacing w:line="360" w:lineRule="auto"/>
        <w:jc w:val="both"/>
        <w:rPr>
          <w:rFonts w:ascii="Palatino Linotype" w:eastAsia="Palatino Linotype" w:hAnsi="Palatino Linotype" w:cs="Palatino Linotype"/>
          <w:color w:val="000000" w:themeColor="text1"/>
        </w:rPr>
      </w:pPr>
    </w:p>
    <w:p w14:paraId="7A45FD73" w14:textId="77777777" w:rsidR="0020381C" w:rsidRPr="009E67FF" w:rsidRDefault="0020381C"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color w:val="000000" w:themeColor="text1"/>
        </w:rPr>
        <w:t xml:space="preserve">Por lo antes descrito se vislumbra que la </w:t>
      </w:r>
      <w:r w:rsidR="00783F26" w:rsidRPr="009E67FF">
        <w:rPr>
          <w:rFonts w:ascii="Palatino Linotype" w:eastAsia="Palatino Linotype" w:hAnsi="Palatino Linotype" w:cs="Palatino Linotype"/>
          <w:color w:val="000000" w:themeColor="text1"/>
        </w:rPr>
        <w:t>Coordinación de Patrimonio y Archivo</w:t>
      </w:r>
      <w:r w:rsidRPr="009E67FF">
        <w:rPr>
          <w:rFonts w:ascii="Palatino Linotype" w:eastAsia="Palatino Linotype" w:hAnsi="Palatino Linotype" w:cs="Palatino Linotype"/>
          <w:color w:val="000000" w:themeColor="text1"/>
        </w:rPr>
        <w:t xml:space="preserve">, tiene como atribución </w:t>
      </w:r>
      <w:r w:rsidR="00783F26" w:rsidRPr="009E67FF">
        <w:rPr>
          <w:rFonts w:ascii="Palatino Linotype" w:eastAsia="Palatino Linotype" w:hAnsi="Palatino Linotype" w:cs="Palatino Linotype"/>
          <w:color w:val="000000" w:themeColor="text1"/>
        </w:rPr>
        <w:t>salvaguardar, controlar, actualizar y mantener los inventarios de los bienes muebles e inmuebles del Organismo.</w:t>
      </w:r>
    </w:p>
    <w:p w14:paraId="6A191877" w14:textId="77777777" w:rsidR="0020381C" w:rsidRPr="009E67FF" w:rsidRDefault="0020381C" w:rsidP="009E67FF">
      <w:pPr>
        <w:spacing w:line="360" w:lineRule="auto"/>
        <w:jc w:val="both"/>
        <w:rPr>
          <w:rFonts w:ascii="Palatino Linotype" w:eastAsia="Palatino Linotype" w:hAnsi="Palatino Linotype" w:cs="Palatino Linotype"/>
          <w:color w:val="000000" w:themeColor="text1"/>
        </w:rPr>
      </w:pPr>
    </w:p>
    <w:p w14:paraId="5FCC7874" w14:textId="77777777" w:rsidR="00C42845" w:rsidRPr="009E67FF" w:rsidRDefault="00C42845"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 xml:space="preserve">En este sentido, se advierte que,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w:t>
      </w:r>
      <w:r w:rsidRPr="009E67FF">
        <w:rPr>
          <w:rFonts w:ascii="Palatino Linotype" w:eastAsia="Palatino Linotype" w:hAnsi="Palatino Linotype" w:cs="Palatino Linotype"/>
          <w:color w:val="000000" w:themeColor="text1"/>
        </w:rPr>
        <w:lastRenderedPageBreak/>
        <w:t xml:space="preserve">administrativa en donde </w:t>
      </w:r>
      <w:r w:rsidRPr="009E67FF">
        <w:rPr>
          <w:rFonts w:ascii="Palatino Linotype" w:eastAsia="Palatino Linotype" w:hAnsi="Palatino Linotype" w:cs="Palatino Linotype"/>
          <w:color w:val="000000" w:themeColor="text1"/>
          <w:u w:val="single"/>
        </w:rPr>
        <w:t>pudiera</w:t>
      </w:r>
      <w:r w:rsidRPr="009E67FF">
        <w:rPr>
          <w:rFonts w:ascii="Palatino Linotype" w:eastAsia="Palatino Linotype" w:hAnsi="Palatino Linotype" w:cs="Palatino Linotype"/>
          <w:color w:val="000000" w:themeColor="text1"/>
        </w:rPr>
        <w:t xml:space="preserve"> obrar lo peticionado, siendo esta </w:t>
      </w:r>
      <w:r w:rsidR="00783F26" w:rsidRPr="009E67FF">
        <w:rPr>
          <w:rFonts w:ascii="Palatino Linotype" w:eastAsia="Palatino Linotype" w:hAnsi="Palatino Linotype" w:cs="Palatino Linotype"/>
          <w:color w:val="000000" w:themeColor="text1"/>
        </w:rPr>
        <w:t xml:space="preserve">la </w:t>
      </w:r>
      <w:r w:rsidR="00783F26" w:rsidRPr="009E67FF">
        <w:rPr>
          <w:rFonts w:ascii="Palatino Linotype" w:eastAsia="Palatino Linotype" w:hAnsi="Palatino Linotype" w:cs="Palatino Linotype"/>
          <w:b/>
          <w:color w:val="000000" w:themeColor="text1"/>
        </w:rPr>
        <w:t>Coordinación de Patrimonio y Archivo</w:t>
      </w:r>
      <w:r w:rsidRPr="009E67FF">
        <w:rPr>
          <w:rFonts w:ascii="Palatino Linotype" w:eastAsia="Palatino Linotype" w:hAnsi="Palatino Linotype" w:cs="Palatino Linotype"/>
          <w:b/>
          <w:color w:val="000000" w:themeColor="text1"/>
        </w:rPr>
        <w:t>.</w:t>
      </w:r>
    </w:p>
    <w:p w14:paraId="4235D135" w14:textId="77777777" w:rsidR="00FA1551" w:rsidRPr="009E67FF" w:rsidRDefault="00FA1551" w:rsidP="009E67F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25A7BAA4" w14:textId="77777777" w:rsidR="00783F26" w:rsidRPr="009E67FF" w:rsidRDefault="00C42845"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 xml:space="preserve">Ahora bien, conviene señalar que el </w:t>
      </w:r>
      <w:r w:rsidRPr="009E67FF">
        <w:rPr>
          <w:rFonts w:ascii="Palatino Linotype" w:eastAsia="Palatino Linotype" w:hAnsi="Palatino Linotype" w:cs="Palatino Linotype"/>
          <w:b/>
          <w:color w:val="000000" w:themeColor="text1"/>
        </w:rPr>
        <w:t>SUJETO OBLIGADO</w:t>
      </w:r>
      <w:r w:rsidRPr="009E67FF">
        <w:rPr>
          <w:rFonts w:ascii="Palatino Linotype" w:eastAsia="Palatino Linotype" w:hAnsi="Palatino Linotype" w:cs="Palatino Linotype"/>
          <w:color w:val="000000" w:themeColor="text1"/>
        </w:rPr>
        <w:t xml:space="preserve">, </w:t>
      </w:r>
      <w:r w:rsidR="00FA1551" w:rsidRPr="009E67FF">
        <w:rPr>
          <w:rFonts w:ascii="Palatino Linotype" w:eastAsia="Palatino Linotype" w:hAnsi="Palatino Linotype" w:cs="Palatino Linotype"/>
          <w:color w:val="000000" w:themeColor="text1"/>
        </w:rPr>
        <w:t xml:space="preserve">mediante informe justificado remitió </w:t>
      </w:r>
      <w:r w:rsidR="00783F26" w:rsidRPr="009E67FF">
        <w:rPr>
          <w:rFonts w:ascii="Palatino Linotype" w:eastAsia="Palatino Linotype" w:hAnsi="Palatino Linotype" w:cs="Palatino Linotype"/>
          <w:color w:val="000000" w:themeColor="text1"/>
        </w:rPr>
        <w:t>una liga electrónica en datos abiertos, que dirige al portal de Información Pública de Oficio Mexiquense IPOMEX, especificando el procedimiento a seguir a fin de acceder y tener a la información requerida, por lo que personal de actuaciones, procedió a ingresar al documento a fin de garantizar el derecho de acceso a la información, tal y como se muestra con la siguiente captura de pantalla:</w:t>
      </w:r>
    </w:p>
    <w:p w14:paraId="2EAFFDFF" w14:textId="77777777" w:rsidR="00783F26" w:rsidRPr="009E67FF" w:rsidRDefault="00783F26" w:rsidP="002A2695">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b/>
          <w:noProof/>
          <w:color w:val="000000" w:themeColor="text1"/>
        </w:rPr>
        <w:drawing>
          <wp:inline distT="0" distB="0" distL="0" distR="0" wp14:anchorId="68872A22" wp14:editId="246842E1">
            <wp:extent cx="5600700" cy="2705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0464" cy="2709816"/>
                    </a:xfrm>
                    <a:prstGeom prst="rect">
                      <a:avLst/>
                    </a:prstGeom>
                  </pic:spPr>
                </pic:pic>
              </a:graphicData>
            </a:graphic>
          </wp:inline>
        </w:drawing>
      </w:r>
    </w:p>
    <w:p w14:paraId="631E726F" w14:textId="77777777" w:rsidR="00884F49" w:rsidRPr="00884F49" w:rsidRDefault="00884F49" w:rsidP="00884F4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30AFE000" w14:textId="77777777" w:rsidR="006C0FDA" w:rsidRPr="009E67FF" w:rsidRDefault="00783F26" w:rsidP="009E67FF">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Cabe precisar que de la consulta</w:t>
      </w:r>
      <w:r w:rsidR="006C0FDA" w:rsidRPr="009E67FF">
        <w:rPr>
          <w:rFonts w:ascii="Palatino Linotype" w:eastAsia="Palatino Linotype" w:hAnsi="Palatino Linotype" w:cs="Palatino Linotype"/>
          <w:color w:val="000000" w:themeColor="text1"/>
        </w:rPr>
        <w:t xml:space="preserve"> realizada se constató que el inventario remitido en respuesta coincide con los bienes reportados en el portal de información Pública de Oficio Mexiquense IPOMEX, del que se advierte la descripción del bien, número de inventario, monto </w:t>
      </w:r>
      <w:r w:rsidR="006C0FDA" w:rsidRPr="009E67FF">
        <w:rPr>
          <w:rFonts w:ascii="Palatino Linotype" w:eastAsia="Palatino Linotype" w:hAnsi="Palatino Linotype" w:cs="Palatino Linotype"/>
          <w:color w:val="000000" w:themeColor="text1"/>
        </w:rPr>
        <w:lastRenderedPageBreak/>
        <w:t xml:space="preserve">unitario del bien, área responsable que posee el bien; así como la fecha de actualización de la información, como se muestra con la captura de pantalla </w:t>
      </w:r>
    </w:p>
    <w:p w14:paraId="66313AF6" w14:textId="77777777" w:rsidR="006C0FDA" w:rsidRPr="009E67FF" w:rsidRDefault="006C0FDA" w:rsidP="009E67FF">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09AFDCD7" w14:textId="77777777" w:rsidR="006C0FDA" w:rsidRPr="009E67FF" w:rsidRDefault="006C0FDA" w:rsidP="009E67FF">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themeColor="text1"/>
        </w:rPr>
      </w:pPr>
      <w:r w:rsidRPr="009E67FF">
        <w:rPr>
          <w:rFonts w:ascii="Palatino Linotype" w:eastAsia="Palatino Linotype" w:hAnsi="Palatino Linotype" w:cs="Palatino Linotype"/>
          <w:noProof/>
          <w:color w:val="000000" w:themeColor="text1"/>
        </w:rPr>
        <w:drawing>
          <wp:inline distT="0" distB="0" distL="0" distR="0" wp14:anchorId="4EDA7420" wp14:editId="2DA5C6EB">
            <wp:extent cx="3562350" cy="248947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9346" cy="2501347"/>
                    </a:xfrm>
                    <a:prstGeom prst="rect">
                      <a:avLst/>
                    </a:prstGeom>
                  </pic:spPr>
                </pic:pic>
              </a:graphicData>
            </a:graphic>
          </wp:inline>
        </w:drawing>
      </w:r>
    </w:p>
    <w:p w14:paraId="3AB7E60B" w14:textId="77777777" w:rsidR="006C0FDA" w:rsidRPr="009E67FF" w:rsidRDefault="006C0FDA" w:rsidP="009E67FF">
      <w:pPr>
        <w:pStyle w:val="Prrafodelista"/>
        <w:numPr>
          <w:ilvl w:val="0"/>
          <w:numId w:val="6"/>
        </w:numPr>
        <w:spacing w:before="240" w:after="240" w:line="360" w:lineRule="auto"/>
        <w:ind w:left="0" w:firstLine="0"/>
        <w:contextualSpacing/>
        <w:jc w:val="both"/>
        <w:rPr>
          <w:rFonts w:ascii="Palatino Linotype" w:eastAsia="MS Mincho" w:hAnsi="Palatino Linotype" w:cs="Arial"/>
          <w:b/>
          <w:bCs/>
          <w:color w:val="000000" w:themeColor="text1"/>
          <w:sz w:val="24"/>
          <w:szCs w:val="24"/>
          <w:lang w:val="es-ES_tradnl" w:eastAsia="es-ES"/>
        </w:rPr>
      </w:pPr>
      <w:r w:rsidRPr="009E67FF">
        <w:rPr>
          <w:rFonts w:ascii="Palatino Linotype" w:hAnsi="Palatino Linotype"/>
          <w:color w:val="000000" w:themeColor="text1"/>
          <w:sz w:val="24"/>
          <w:szCs w:val="24"/>
        </w:rPr>
        <w:t xml:space="preserve">No obstante a lo anterior, es de mencionar que lo relativo a la información solicitada </w:t>
      </w:r>
      <w:r w:rsidRPr="009E67FF">
        <w:rPr>
          <w:rFonts w:ascii="Palatino Linotype" w:hAnsi="Palatino Linotype"/>
          <w:bCs/>
          <w:iCs/>
          <w:color w:val="000000" w:themeColor="text1"/>
          <w:sz w:val="24"/>
          <w:szCs w:val="24"/>
        </w:rPr>
        <w:t>corresponde a una Obligación de Transparencia Común, conforme a lo establecido en la fracción XXXII del artículo 92 de la Ley de Transparencia y Acceso a la Información Pública del Estado de México y Municipios.</w:t>
      </w:r>
    </w:p>
    <w:p w14:paraId="0E96A6C3" w14:textId="77777777" w:rsidR="006C0FDA" w:rsidRPr="009E67FF" w:rsidRDefault="006C0FDA" w:rsidP="009E67FF">
      <w:pPr>
        <w:pStyle w:val="Prrafodelista"/>
        <w:spacing w:before="240" w:after="240"/>
        <w:ind w:left="0"/>
        <w:jc w:val="center"/>
        <w:rPr>
          <w:rFonts w:ascii="Palatino Linotype" w:eastAsia="MS Gothic" w:hAnsi="Palatino Linotype"/>
          <w:b/>
          <w:bCs/>
          <w:i/>
          <w:iCs/>
          <w:color w:val="000000" w:themeColor="text1"/>
          <w:sz w:val="24"/>
          <w:szCs w:val="24"/>
        </w:rPr>
      </w:pPr>
      <w:r w:rsidRPr="009E67FF">
        <w:rPr>
          <w:rFonts w:ascii="Palatino Linotype" w:eastAsia="MS Gothic" w:hAnsi="Palatino Linotype"/>
          <w:b/>
          <w:bCs/>
          <w:i/>
          <w:iCs/>
          <w:color w:val="000000" w:themeColor="text1"/>
          <w:sz w:val="24"/>
          <w:szCs w:val="24"/>
        </w:rPr>
        <w:t>Capítulo II</w:t>
      </w:r>
    </w:p>
    <w:p w14:paraId="448850A5" w14:textId="77777777" w:rsidR="006C0FDA" w:rsidRPr="009E67FF" w:rsidRDefault="006C0FDA" w:rsidP="009E67FF">
      <w:pPr>
        <w:pStyle w:val="Prrafodelista"/>
        <w:spacing w:before="240" w:after="240"/>
        <w:ind w:left="0"/>
        <w:jc w:val="center"/>
        <w:rPr>
          <w:rFonts w:ascii="Palatino Linotype" w:eastAsia="MS Gothic" w:hAnsi="Palatino Linotype"/>
          <w:b/>
          <w:bCs/>
          <w:i/>
          <w:iCs/>
          <w:color w:val="000000" w:themeColor="text1"/>
          <w:sz w:val="24"/>
          <w:szCs w:val="24"/>
        </w:rPr>
      </w:pPr>
      <w:r w:rsidRPr="009E67FF">
        <w:rPr>
          <w:rFonts w:ascii="Palatino Linotype" w:eastAsia="MS Gothic" w:hAnsi="Palatino Linotype"/>
          <w:b/>
          <w:bCs/>
          <w:i/>
          <w:iCs/>
          <w:color w:val="000000" w:themeColor="text1"/>
          <w:sz w:val="24"/>
          <w:szCs w:val="24"/>
        </w:rPr>
        <w:t>De las Obligaciones de Transparencia Comunes</w:t>
      </w:r>
    </w:p>
    <w:p w14:paraId="3C8AA08F" w14:textId="40C3758F" w:rsidR="006C0FDA" w:rsidRPr="009E67FF" w:rsidRDefault="006C0FDA" w:rsidP="009E67FF">
      <w:pPr>
        <w:pStyle w:val="Prrafodelista"/>
        <w:spacing w:before="240" w:after="240"/>
        <w:ind w:left="0"/>
        <w:jc w:val="both"/>
        <w:rPr>
          <w:rFonts w:ascii="Palatino Linotype" w:eastAsia="MS Gothic" w:hAnsi="Palatino Linotype"/>
          <w:i/>
          <w:iCs/>
          <w:color w:val="000000" w:themeColor="text1"/>
          <w:sz w:val="24"/>
          <w:szCs w:val="24"/>
        </w:rPr>
      </w:pPr>
      <w:r w:rsidRPr="009E67FF">
        <w:rPr>
          <w:rFonts w:ascii="Palatino Linotype" w:eastAsia="MS Gothic" w:hAnsi="Palatino Linotype"/>
          <w:b/>
          <w:bCs/>
          <w:i/>
          <w:iCs/>
          <w:color w:val="000000" w:themeColor="text1"/>
          <w:sz w:val="24"/>
          <w:szCs w:val="24"/>
        </w:rPr>
        <w:t>“Artículo 92.</w:t>
      </w:r>
      <w:r w:rsidRPr="009E67FF">
        <w:rPr>
          <w:rFonts w:ascii="Palatino Linotype" w:eastAsia="MS Gothic" w:hAnsi="Palatino Linotype"/>
          <w:i/>
          <w:iCs/>
          <w:color w:val="000000" w:themeColor="text1"/>
          <w:sz w:val="24"/>
          <w:szCs w:val="24"/>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w:t>
      </w:r>
      <w:r w:rsidR="00884F49" w:rsidRPr="009E67FF">
        <w:rPr>
          <w:rFonts w:ascii="Palatino Linotype" w:eastAsia="MS Gothic" w:hAnsi="Palatino Linotype"/>
          <w:i/>
          <w:iCs/>
          <w:color w:val="000000" w:themeColor="text1"/>
          <w:sz w:val="24"/>
          <w:szCs w:val="24"/>
        </w:rPr>
        <w:t>temas,</w:t>
      </w:r>
      <w:r w:rsidRPr="009E67FF">
        <w:rPr>
          <w:rFonts w:ascii="Palatino Linotype" w:eastAsia="MS Gothic" w:hAnsi="Palatino Linotype"/>
          <w:i/>
          <w:iCs/>
          <w:color w:val="000000" w:themeColor="text1"/>
          <w:sz w:val="24"/>
          <w:szCs w:val="24"/>
        </w:rPr>
        <w:t xml:space="preserve"> documentos y políticas que a continuación se señalan:</w:t>
      </w:r>
    </w:p>
    <w:p w14:paraId="2D3E66E4" w14:textId="77777777" w:rsidR="006C0FDA" w:rsidRPr="009E67FF" w:rsidRDefault="006C0FDA" w:rsidP="009E67FF">
      <w:pPr>
        <w:pStyle w:val="Prrafodelista"/>
        <w:spacing w:before="240" w:after="240"/>
        <w:ind w:left="0"/>
        <w:jc w:val="both"/>
        <w:rPr>
          <w:rFonts w:ascii="Palatino Linotype" w:eastAsia="MS Gothic" w:hAnsi="Palatino Linotype"/>
          <w:i/>
          <w:iCs/>
          <w:color w:val="000000" w:themeColor="text1"/>
          <w:sz w:val="24"/>
          <w:szCs w:val="24"/>
        </w:rPr>
      </w:pPr>
      <w:r w:rsidRPr="009E67FF">
        <w:rPr>
          <w:rFonts w:ascii="Palatino Linotype" w:eastAsia="MS Gothic" w:hAnsi="Palatino Linotype"/>
          <w:i/>
          <w:iCs/>
          <w:color w:val="000000" w:themeColor="text1"/>
          <w:sz w:val="24"/>
          <w:szCs w:val="24"/>
        </w:rPr>
        <w:t>(…)</w:t>
      </w:r>
    </w:p>
    <w:p w14:paraId="4DFE039B" w14:textId="77777777" w:rsidR="006C0FDA" w:rsidRPr="009E67FF" w:rsidRDefault="006C0FDA" w:rsidP="009E67FF">
      <w:pPr>
        <w:pStyle w:val="Prrafodelista"/>
        <w:spacing w:before="240" w:after="240"/>
        <w:ind w:left="0"/>
        <w:jc w:val="both"/>
        <w:rPr>
          <w:rFonts w:ascii="Palatino Linotype" w:eastAsia="MS Gothic" w:hAnsi="Palatino Linotype"/>
          <w:b/>
          <w:i/>
          <w:iCs/>
          <w:color w:val="000000" w:themeColor="text1"/>
          <w:sz w:val="24"/>
          <w:szCs w:val="24"/>
        </w:rPr>
      </w:pPr>
      <w:r w:rsidRPr="009E67FF">
        <w:rPr>
          <w:rFonts w:ascii="Palatino Linotype" w:hAnsi="Palatino Linotype"/>
          <w:b/>
          <w:i/>
          <w:iCs/>
          <w:color w:val="000000" w:themeColor="text1"/>
          <w:sz w:val="24"/>
          <w:szCs w:val="24"/>
        </w:rPr>
        <w:lastRenderedPageBreak/>
        <w:t>XXXVIII. El inventario de bienes muebles e inmuebles en posesión y propiedad</w:t>
      </w:r>
    </w:p>
    <w:p w14:paraId="24DD35CA" w14:textId="77777777" w:rsidR="006C0FDA" w:rsidRDefault="006C0FDA" w:rsidP="009E67FF">
      <w:pPr>
        <w:pStyle w:val="Prrafodelista"/>
        <w:spacing w:before="240" w:after="240"/>
        <w:ind w:left="0"/>
        <w:jc w:val="both"/>
        <w:rPr>
          <w:rFonts w:ascii="Palatino Linotype" w:eastAsia="MS Gothic" w:hAnsi="Palatino Linotype"/>
          <w:i/>
          <w:iCs/>
          <w:color w:val="000000" w:themeColor="text1"/>
          <w:sz w:val="24"/>
          <w:szCs w:val="24"/>
        </w:rPr>
      </w:pPr>
      <w:r w:rsidRPr="009E67FF">
        <w:rPr>
          <w:rFonts w:ascii="Palatino Linotype" w:eastAsia="MS Gothic" w:hAnsi="Palatino Linotype"/>
          <w:i/>
          <w:iCs/>
          <w:color w:val="000000" w:themeColor="text1"/>
          <w:sz w:val="24"/>
          <w:szCs w:val="24"/>
        </w:rPr>
        <w:t>(…)”</w:t>
      </w:r>
    </w:p>
    <w:p w14:paraId="415924A6" w14:textId="77777777" w:rsidR="002A2695" w:rsidRPr="009E67FF" w:rsidRDefault="002A2695" w:rsidP="009E67FF">
      <w:pPr>
        <w:pStyle w:val="Prrafodelista"/>
        <w:spacing w:before="240" w:after="240"/>
        <w:ind w:left="0"/>
        <w:jc w:val="both"/>
        <w:rPr>
          <w:rFonts w:ascii="Palatino Linotype" w:eastAsia="MS Gothic" w:hAnsi="Palatino Linotype"/>
          <w:i/>
          <w:iCs/>
          <w:color w:val="000000" w:themeColor="text1"/>
          <w:sz w:val="24"/>
          <w:szCs w:val="24"/>
        </w:rPr>
      </w:pPr>
    </w:p>
    <w:p w14:paraId="5565501C" w14:textId="77777777" w:rsidR="006C0FDA" w:rsidRPr="009E67FF" w:rsidRDefault="006C0FDA" w:rsidP="009E67FF">
      <w:pPr>
        <w:pStyle w:val="Prrafodelista"/>
        <w:numPr>
          <w:ilvl w:val="0"/>
          <w:numId w:val="6"/>
        </w:numPr>
        <w:spacing w:before="240" w:after="240" w:line="360" w:lineRule="auto"/>
        <w:ind w:left="0" w:firstLine="0"/>
        <w:contextualSpacing/>
        <w:jc w:val="both"/>
        <w:rPr>
          <w:rFonts w:ascii="Palatino Linotype" w:eastAsia="MS Gothic" w:hAnsi="Palatino Linotype"/>
          <w:color w:val="000000" w:themeColor="text1"/>
          <w:sz w:val="24"/>
          <w:szCs w:val="24"/>
        </w:rPr>
      </w:pPr>
      <w:r w:rsidRPr="009E67FF">
        <w:rPr>
          <w:rFonts w:ascii="Palatino Linotype" w:eastAsia="MS Gothic" w:hAnsi="Palatino Linotype"/>
          <w:color w:val="000000" w:themeColor="text1"/>
          <w:sz w:val="24"/>
          <w:szCs w:val="24"/>
        </w:rPr>
        <w:t xml:space="preserve">En este sentido, se tiene que si bien, el </w:t>
      </w:r>
      <w:r w:rsidRPr="009E67FF">
        <w:rPr>
          <w:rFonts w:ascii="Palatino Linotype" w:eastAsia="MS Gothic" w:hAnsi="Palatino Linotype"/>
          <w:b/>
          <w:bCs/>
          <w:color w:val="000000" w:themeColor="text1"/>
          <w:sz w:val="24"/>
          <w:szCs w:val="24"/>
        </w:rPr>
        <w:t>SUJETO OBLIGADO</w:t>
      </w:r>
      <w:r w:rsidRPr="009E67FF">
        <w:rPr>
          <w:rFonts w:ascii="Palatino Linotype" w:eastAsia="MS Gothic" w:hAnsi="Palatino Linotype"/>
          <w:color w:val="000000" w:themeColor="text1"/>
          <w:sz w:val="24"/>
          <w:szCs w:val="24"/>
        </w:rPr>
        <w:t xml:space="preserve"> remitió los inventarios de bienes muebles con los que cuenta, esta información coincide con lo publicado en el portal de IPOMEX, por tanto se advierte que ha garantizado el derecho de acceso a la información del particular.</w:t>
      </w:r>
    </w:p>
    <w:p w14:paraId="2ABF3830" w14:textId="77777777" w:rsidR="00C42845" w:rsidRPr="009E67FF" w:rsidRDefault="00C42845" w:rsidP="009E67FF">
      <w:pPr>
        <w:numPr>
          <w:ilvl w:val="0"/>
          <w:numId w:val="6"/>
        </w:numPr>
        <w:spacing w:line="360" w:lineRule="auto"/>
        <w:ind w:left="0" w:firstLine="0"/>
        <w:jc w:val="both"/>
        <w:rPr>
          <w:rFonts w:ascii="Palatino Linotype" w:eastAsia="Calibri" w:hAnsi="Palatino Linotype" w:cs="Tahoma"/>
          <w:bCs/>
          <w:color w:val="000000" w:themeColor="text1"/>
        </w:rPr>
      </w:pPr>
      <w:r w:rsidRPr="009E67FF">
        <w:rPr>
          <w:rFonts w:ascii="Palatino Linotype" w:eastAsia="Calibri" w:hAnsi="Palatino Linotype" w:cs="Arial"/>
          <w:color w:val="000000" w:themeColor="text1"/>
          <w:lang w:val="es-ES"/>
        </w:rPr>
        <w:t xml:space="preserve">Por lo que, </w:t>
      </w:r>
      <w:r w:rsidRPr="009E67FF">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14:paraId="6A38491E" w14:textId="77777777" w:rsidR="00C42845" w:rsidRPr="009E67FF" w:rsidRDefault="00C42845" w:rsidP="009E67FF">
      <w:pPr>
        <w:pStyle w:val="Prrafodelista"/>
        <w:tabs>
          <w:tab w:val="left" w:pos="426"/>
          <w:tab w:val="left" w:pos="567"/>
        </w:tabs>
        <w:ind w:left="0"/>
        <w:jc w:val="both"/>
        <w:rPr>
          <w:rFonts w:ascii="Palatino Linotype" w:hAnsi="Palatino Linotype"/>
          <w:i/>
          <w:color w:val="000000" w:themeColor="text1"/>
          <w:sz w:val="24"/>
          <w:szCs w:val="24"/>
        </w:rPr>
      </w:pPr>
      <w:r w:rsidRPr="009E67FF">
        <w:rPr>
          <w:rFonts w:ascii="Palatino Linotype" w:hAnsi="Palatino Linotype"/>
          <w:i/>
          <w:color w:val="000000" w:themeColor="text1"/>
          <w:sz w:val="24"/>
          <w:szCs w:val="24"/>
        </w:rPr>
        <w:t>“</w:t>
      </w:r>
      <w:r w:rsidRPr="009E67FF">
        <w:rPr>
          <w:rFonts w:ascii="Palatino Linotype" w:hAnsi="Palatino Linotype"/>
          <w:b/>
          <w:i/>
          <w:color w:val="000000" w:themeColor="text1"/>
          <w:sz w:val="24"/>
          <w:szCs w:val="24"/>
        </w:rPr>
        <w:t>Artículo 4. …</w:t>
      </w:r>
    </w:p>
    <w:p w14:paraId="0C59EBE7" w14:textId="77777777" w:rsidR="00C42845" w:rsidRPr="009E67FF" w:rsidRDefault="00C42845" w:rsidP="009E67FF">
      <w:pPr>
        <w:pStyle w:val="Prrafodelista"/>
        <w:tabs>
          <w:tab w:val="left" w:pos="426"/>
          <w:tab w:val="left" w:pos="567"/>
        </w:tabs>
        <w:ind w:left="0"/>
        <w:jc w:val="both"/>
        <w:rPr>
          <w:rFonts w:ascii="Palatino Linotype" w:hAnsi="Palatino Linotype"/>
          <w:i/>
          <w:color w:val="000000" w:themeColor="text1"/>
          <w:sz w:val="24"/>
          <w:szCs w:val="24"/>
        </w:rPr>
      </w:pPr>
      <w:r w:rsidRPr="009E67FF">
        <w:rPr>
          <w:rFonts w:ascii="Palatino Linotype" w:hAnsi="Palatino Linotyp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18FF57" w14:textId="77777777" w:rsidR="00884F49" w:rsidRPr="00884F49" w:rsidRDefault="00884F49" w:rsidP="00884F49">
      <w:pPr>
        <w:spacing w:line="360" w:lineRule="auto"/>
        <w:jc w:val="both"/>
        <w:rPr>
          <w:rFonts w:ascii="Palatino Linotype" w:eastAsia="Calibri" w:hAnsi="Palatino Linotype" w:cs="Tahoma"/>
          <w:bCs/>
          <w:color w:val="000000" w:themeColor="text1"/>
        </w:rPr>
      </w:pPr>
    </w:p>
    <w:p w14:paraId="70BBB4E3" w14:textId="77777777" w:rsidR="00C42845" w:rsidRPr="009E67FF" w:rsidRDefault="00C42845" w:rsidP="009E67FF">
      <w:pPr>
        <w:numPr>
          <w:ilvl w:val="0"/>
          <w:numId w:val="6"/>
        </w:numPr>
        <w:spacing w:line="360" w:lineRule="auto"/>
        <w:ind w:left="0" w:firstLine="0"/>
        <w:jc w:val="both"/>
        <w:rPr>
          <w:rFonts w:ascii="Palatino Linotype" w:eastAsia="Calibri" w:hAnsi="Palatino Linotype" w:cs="Tahoma"/>
          <w:bCs/>
          <w:color w:val="000000" w:themeColor="text1"/>
        </w:rPr>
      </w:pPr>
      <w:r w:rsidRPr="009E67FF">
        <w:rPr>
          <w:rFonts w:ascii="Palatino Linotype" w:eastAsia="Calibri" w:hAnsi="Palatino Linotype" w:cs="Arial"/>
          <w:color w:val="000000" w:themeColor="text1"/>
          <w:lang w:val="es-ES"/>
        </w:rPr>
        <w:t xml:space="preserve">De lo anterior, se desprende </w:t>
      </w:r>
      <w:r w:rsidRPr="009E67FF">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14:paraId="6C175C9A" w14:textId="77777777" w:rsidR="00C42845" w:rsidRPr="009E67FF" w:rsidRDefault="00C42845" w:rsidP="009E67FF">
      <w:pPr>
        <w:spacing w:line="360" w:lineRule="auto"/>
        <w:jc w:val="both"/>
        <w:rPr>
          <w:rFonts w:ascii="Palatino Linotype" w:eastAsia="Calibri" w:hAnsi="Palatino Linotype" w:cs="Tahoma"/>
          <w:bCs/>
          <w:color w:val="000000" w:themeColor="text1"/>
        </w:rPr>
      </w:pPr>
    </w:p>
    <w:p w14:paraId="57486EC3" w14:textId="77777777" w:rsidR="00C42845" w:rsidRPr="009E67FF" w:rsidRDefault="00C42845" w:rsidP="009E67FF">
      <w:pPr>
        <w:numPr>
          <w:ilvl w:val="0"/>
          <w:numId w:val="6"/>
        </w:numPr>
        <w:spacing w:line="360" w:lineRule="auto"/>
        <w:ind w:left="0" w:firstLine="0"/>
        <w:jc w:val="both"/>
        <w:rPr>
          <w:rFonts w:ascii="Palatino Linotype" w:eastAsia="Calibri" w:hAnsi="Palatino Linotype" w:cs="Tahoma"/>
          <w:bCs/>
          <w:color w:val="000000" w:themeColor="text1"/>
        </w:rPr>
      </w:pPr>
      <w:r w:rsidRPr="009E67FF">
        <w:rPr>
          <w:rFonts w:ascii="Palatino Linotype" w:hAnsi="Palatino Linotype"/>
          <w:color w:val="000000" w:themeColor="text1"/>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EA21F2" w14:textId="77777777" w:rsidR="00C42845" w:rsidRPr="009E67FF" w:rsidRDefault="00C42845" w:rsidP="009E67FF">
      <w:pPr>
        <w:pStyle w:val="Prrafodelista"/>
        <w:tabs>
          <w:tab w:val="left" w:pos="1134"/>
        </w:tabs>
        <w:ind w:left="0"/>
        <w:jc w:val="both"/>
        <w:rPr>
          <w:rFonts w:ascii="Palatino Linotype" w:hAnsi="Palatino Linotype"/>
          <w:i/>
          <w:color w:val="000000" w:themeColor="text1"/>
          <w:sz w:val="24"/>
          <w:szCs w:val="24"/>
        </w:rPr>
      </w:pPr>
      <w:r w:rsidRPr="009E67FF">
        <w:rPr>
          <w:rFonts w:ascii="Palatino Linotype" w:hAnsi="Palatino Linotype"/>
          <w:i/>
          <w:color w:val="000000" w:themeColor="text1"/>
          <w:sz w:val="24"/>
          <w:szCs w:val="24"/>
        </w:rPr>
        <w:t>“</w:t>
      </w:r>
      <w:r w:rsidRPr="009E67FF">
        <w:rPr>
          <w:rFonts w:ascii="Palatino Linotype" w:hAnsi="Palatino Linotype"/>
          <w:b/>
          <w:i/>
          <w:color w:val="000000" w:themeColor="text1"/>
          <w:sz w:val="24"/>
          <w:szCs w:val="24"/>
        </w:rPr>
        <w:t>Artículo 12.</w:t>
      </w:r>
      <w:r w:rsidRPr="009E67FF">
        <w:rPr>
          <w:rFonts w:ascii="Palatino Linotype" w:hAnsi="Palatino Linotype"/>
          <w:i/>
          <w:color w:val="000000" w:themeColor="text1"/>
          <w:sz w:val="24"/>
          <w:szCs w:val="24"/>
        </w:rPr>
        <w:t xml:space="preserve"> Quienes generen, recopilen, administren, manejen, procesen, archiven o conserven información pública serán responsables de la misma en los términos de las disposiciones jurídicas aplicables. </w:t>
      </w:r>
    </w:p>
    <w:p w14:paraId="07252732" w14:textId="77777777" w:rsidR="00C42845" w:rsidRPr="009E67FF" w:rsidRDefault="00C42845" w:rsidP="009E67FF">
      <w:pPr>
        <w:pStyle w:val="Prrafodelista"/>
        <w:tabs>
          <w:tab w:val="left" w:pos="1134"/>
        </w:tabs>
        <w:ind w:left="0"/>
        <w:jc w:val="both"/>
        <w:rPr>
          <w:rFonts w:ascii="Palatino Linotype" w:hAnsi="Palatino Linotype"/>
          <w:i/>
          <w:color w:val="000000" w:themeColor="text1"/>
          <w:sz w:val="24"/>
          <w:szCs w:val="24"/>
        </w:rPr>
      </w:pPr>
    </w:p>
    <w:p w14:paraId="375D5A51" w14:textId="77777777" w:rsidR="00C42845" w:rsidRPr="009E67FF" w:rsidRDefault="00C42845" w:rsidP="009E67FF">
      <w:pPr>
        <w:tabs>
          <w:tab w:val="left" w:pos="1134"/>
        </w:tabs>
        <w:jc w:val="both"/>
        <w:rPr>
          <w:rFonts w:ascii="Palatino Linotype" w:hAnsi="Palatino Linotype"/>
          <w:i/>
          <w:color w:val="000000" w:themeColor="text1"/>
        </w:rPr>
      </w:pPr>
      <w:r w:rsidRPr="009E67FF">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5EB543" w14:textId="77777777" w:rsidR="00C42845" w:rsidRPr="009E67FF" w:rsidRDefault="00C42845" w:rsidP="009E67FF">
      <w:pPr>
        <w:spacing w:line="360" w:lineRule="auto"/>
        <w:jc w:val="both"/>
        <w:rPr>
          <w:rFonts w:ascii="Palatino Linotype" w:eastAsia="Calibri" w:hAnsi="Palatino Linotype" w:cs="Tahoma"/>
          <w:bCs/>
          <w:color w:val="000000" w:themeColor="text1"/>
        </w:rPr>
      </w:pPr>
    </w:p>
    <w:p w14:paraId="335C8B08" w14:textId="77777777" w:rsidR="00C42845" w:rsidRPr="009E67FF" w:rsidRDefault="00C42845" w:rsidP="009E67FF">
      <w:pPr>
        <w:numPr>
          <w:ilvl w:val="0"/>
          <w:numId w:val="6"/>
        </w:numPr>
        <w:spacing w:line="360" w:lineRule="auto"/>
        <w:ind w:left="0" w:firstLine="0"/>
        <w:jc w:val="both"/>
        <w:rPr>
          <w:rFonts w:ascii="Palatino Linotype" w:eastAsia="Calibri" w:hAnsi="Palatino Linotype" w:cs="Tahoma"/>
          <w:bCs/>
          <w:color w:val="000000" w:themeColor="text1"/>
        </w:rPr>
      </w:pPr>
      <w:r w:rsidRPr="009E67FF">
        <w:rPr>
          <w:rFonts w:ascii="Palatino Linotype" w:eastAsia="Calibri" w:hAnsi="Palatino Linotype" w:cs="Arial"/>
          <w:color w:val="000000" w:themeColor="text1"/>
          <w:lang w:val="es-ES"/>
        </w:rPr>
        <w:t xml:space="preserve">En síntesis, </w:t>
      </w:r>
      <w:r w:rsidRPr="009E67FF">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004E7486" w14:textId="77777777" w:rsidR="006C0FDA" w:rsidRPr="009E67FF" w:rsidRDefault="006C0FDA" w:rsidP="009E67FF">
      <w:pPr>
        <w:spacing w:line="360" w:lineRule="auto"/>
        <w:jc w:val="both"/>
        <w:rPr>
          <w:rFonts w:ascii="Palatino Linotype" w:eastAsia="Calibri" w:hAnsi="Palatino Linotype" w:cs="Tahoma"/>
          <w:bCs/>
          <w:color w:val="000000" w:themeColor="text1"/>
        </w:rPr>
      </w:pPr>
    </w:p>
    <w:p w14:paraId="5CD8D826" w14:textId="77777777" w:rsidR="00C42845" w:rsidRPr="009E67FF" w:rsidRDefault="00C42845" w:rsidP="009E67FF">
      <w:pPr>
        <w:numPr>
          <w:ilvl w:val="0"/>
          <w:numId w:val="6"/>
        </w:numPr>
        <w:spacing w:line="360" w:lineRule="auto"/>
        <w:ind w:left="0" w:firstLine="0"/>
        <w:jc w:val="both"/>
        <w:rPr>
          <w:rFonts w:ascii="Palatino Linotype" w:eastAsia="Calibri" w:hAnsi="Palatino Linotype" w:cs="Tahoma"/>
          <w:bCs/>
          <w:color w:val="000000" w:themeColor="text1"/>
        </w:rPr>
      </w:pPr>
      <w:r w:rsidRPr="009E67FF">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14:paraId="58E71DDC" w14:textId="77777777" w:rsidR="00C42845" w:rsidRPr="009E67FF" w:rsidRDefault="00C42845" w:rsidP="009E67FF">
      <w:pPr>
        <w:pStyle w:val="Prrafodelista"/>
        <w:tabs>
          <w:tab w:val="left" w:pos="709"/>
          <w:tab w:val="left" w:pos="1985"/>
        </w:tabs>
        <w:ind w:left="0"/>
        <w:jc w:val="both"/>
        <w:rPr>
          <w:rFonts w:ascii="Palatino Linotype" w:hAnsi="Palatino Linotype"/>
          <w:i/>
          <w:color w:val="000000" w:themeColor="text1"/>
          <w:sz w:val="24"/>
          <w:szCs w:val="24"/>
        </w:rPr>
      </w:pPr>
      <w:r w:rsidRPr="009E67FF">
        <w:rPr>
          <w:rFonts w:ascii="Palatino Linotype" w:hAnsi="Palatino Linotype"/>
          <w:b/>
          <w:i/>
          <w:color w:val="000000" w:themeColor="text1"/>
          <w:sz w:val="24"/>
          <w:szCs w:val="24"/>
        </w:rPr>
        <w:t>“No existe obligación de elaborar documentos ad hoc para atender las solicitudes de acceso a la información.</w:t>
      </w:r>
      <w:r w:rsidRPr="009E67FF">
        <w:rPr>
          <w:rFonts w:ascii="Palatino Linotype" w:hAnsi="Palatino Linotype"/>
          <w:i/>
          <w:color w:val="000000" w:themeColor="text1"/>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w:t>
      </w:r>
      <w:r w:rsidRPr="009E67FF">
        <w:rPr>
          <w:rFonts w:ascii="Palatino Linotype" w:hAnsi="Palatino Linotype"/>
          <w:i/>
          <w:color w:val="000000" w:themeColor="text1"/>
          <w:sz w:val="24"/>
          <w:szCs w:val="24"/>
        </w:rPr>
        <w:lastRenderedPageBreak/>
        <w:t xml:space="preserve">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571596A" w14:textId="77777777" w:rsidR="00C42845" w:rsidRPr="009E67FF" w:rsidRDefault="00C42845" w:rsidP="009E67FF">
      <w:pPr>
        <w:pStyle w:val="Prrafodelista"/>
        <w:tabs>
          <w:tab w:val="left" w:pos="709"/>
          <w:tab w:val="left" w:pos="1985"/>
        </w:tabs>
        <w:ind w:left="0"/>
        <w:jc w:val="both"/>
        <w:rPr>
          <w:rFonts w:ascii="Palatino Linotype" w:hAnsi="Palatino Linotype"/>
          <w:i/>
          <w:color w:val="000000" w:themeColor="text1"/>
          <w:sz w:val="24"/>
          <w:szCs w:val="24"/>
        </w:rPr>
      </w:pPr>
    </w:p>
    <w:p w14:paraId="587FFED7" w14:textId="77777777" w:rsidR="00C42845" w:rsidRPr="009E67FF" w:rsidRDefault="00C42845" w:rsidP="009E67FF">
      <w:pPr>
        <w:pStyle w:val="Prrafodelista"/>
        <w:tabs>
          <w:tab w:val="left" w:pos="709"/>
          <w:tab w:val="left" w:pos="1985"/>
        </w:tabs>
        <w:ind w:left="0"/>
        <w:jc w:val="both"/>
        <w:rPr>
          <w:rFonts w:ascii="Palatino Linotype" w:hAnsi="Palatino Linotype"/>
          <w:i/>
          <w:color w:val="000000" w:themeColor="text1"/>
          <w:sz w:val="24"/>
          <w:szCs w:val="24"/>
        </w:rPr>
      </w:pPr>
      <w:r w:rsidRPr="009E67FF">
        <w:rPr>
          <w:rFonts w:ascii="Palatino Linotype" w:hAnsi="Palatino Linotype"/>
          <w:i/>
          <w:color w:val="000000" w:themeColor="text1"/>
          <w:sz w:val="24"/>
          <w:szCs w:val="24"/>
        </w:rPr>
        <w:t xml:space="preserve">Resoluciones: </w:t>
      </w:r>
    </w:p>
    <w:p w14:paraId="416054F3" w14:textId="77777777" w:rsidR="00C42845" w:rsidRPr="009E67FF" w:rsidRDefault="00C42845" w:rsidP="009E67FF">
      <w:pPr>
        <w:pStyle w:val="Prrafodelista"/>
        <w:tabs>
          <w:tab w:val="left" w:pos="709"/>
          <w:tab w:val="left" w:pos="1985"/>
        </w:tabs>
        <w:ind w:left="0"/>
        <w:jc w:val="both"/>
        <w:rPr>
          <w:rFonts w:ascii="Palatino Linotype" w:hAnsi="Palatino Linotype"/>
          <w:i/>
          <w:color w:val="000000" w:themeColor="text1"/>
          <w:sz w:val="24"/>
          <w:szCs w:val="24"/>
        </w:rPr>
      </w:pPr>
      <w:r w:rsidRPr="009E67FF">
        <w:rPr>
          <w:rFonts w:ascii="Palatino Linotype" w:hAnsi="Palatino Linotype"/>
          <w:i/>
          <w:color w:val="000000" w:themeColor="text1"/>
          <w:sz w:val="24"/>
          <w:szCs w:val="24"/>
        </w:rPr>
        <w:sym w:font="Symbol" w:char="F0B7"/>
      </w:r>
      <w:r w:rsidRPr="009E67FF">
        <w:rPr>
          <w:rFonts w:ascii="Palatino Linotype" w:hAnsi="Palatino Linotype"/>
          <w:i/>
          <w:color w:val="000000" w:themeColor="text1"/>
          <w:sz w:val="24"/>
          <w:szCs w:val="24"/>
        </w:rPr>
        <w:t xml:space="preserve"> RRA 0050/16. Instituto Nacional para la Evaluación de la Educación. 13 julio de 2016. Por unanimidad. Comisionado Ponente: Francisco Javier Acuña Llamas. </w:t>
      </w:r>
    </w:p>
    <w:p w14:paraId="27A7B5C3" w14:textId="77777777" w:rsidR="00C42845" w:rsidRPr="009E67FF" w:rsidRDefault="00C42845" w:rsidP="009E67FF">
      <w:pPr>
        <w:pStyle w:val="Prrafodelista"/>
        <w:tabs>
          <w:tab w:val="left" w:pos="709"/>
          <w:tab w:val="left" w:pos="1985"/>
        </w:tabs>
        <w:ind w:left="0"/>
        <w:jc w:val="both"/>
        <w:rPr>
          <w:rFonts w:ascii="Palatino Linotype" w:hAnsi="Palatino Linotype"/>
          <w:i/>
          <w:color w:val="000000" w:themeColor="text1"/>
          <w:sz w:val="24"/>
          <w:szCs w:val="24"/>
        </w:rPr>
      </w:pPr>
      <w:r w:rsidRPr="009E67FF">
        <w:rPr>
          <w:rFonts w:ascii="Palatino Linotype" w:hAnsi="Palatino Linotype"/>
          <w:i/>
          <w:color w:val="000000" w:themeColor="text1"/>
          <w:sz w:val="24"/>
          <w:szCs w:val="24"/>
        </w:rPr>
        <w:sym w:font="Symbol" w:char="F0B7"/>
      </w:r>
      <w:r w:rsidRPr="009E67FF">
        <w:rPr>
          <w:rFonts w:ascii="Palatino Linotype" w:hAnsi="Palatino Linotype"/>
          <w:i/>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14:paraId="67F4B841" w14:textId="77777777" w:rsidR="00C42845" w:rsidRPr="009E67FF" w:rsidRDefault="00C42845" w:rsidP="009E67FF">
      <w:pPr>
        <w:tabs>
          <w:tab w:val="left" w:pos="709"/>
          <w:tab w:val="left" w:pos="1985"/>
        </w:tabs>
        <w:jc w:val="both"/>
        <w:rPr>
          <w:rFonts w:ascii="Palatino Linotype" w:eastAsia="Calibri" w:hAnsi="Palatino Linotype" w:cs="Arial"/>
          <w:color w:val="000000" w:themeColor="text1"/>
          <w:lang w:val="es-ES"/>
        </w:rPr>
      </w:pPr>
      <w:r w:rsidRPr="009E67FF">
        <w:rPr>
          <w:rFonts w:ascii="Palatino Linotype" w:hAnsi="Palatino Linotype"/>
          <w:i/>
          <w:color w:val="000000" w:themeColor="text1"/>
        </w:rPr>
        <w:sym w:font="Symbol" w:char="F0B7"/>
      </w:r>
      <w:r w:rsidRPr="009E67FF">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324D7B38" w14:textId="77777777" w:rsidR="00C42845" w:rsidRPr="009E67FF" w:rsidRDefault="00C42845" w:rsidP="009E67FF">
      <w:pPr>
        <w:spacing w:line="360" w:lineRule="auto"/>
        <w:jc w:val="both"/>
        <w:rPr>
          <w:rFonts w:ascii="Palatino Linotype" w:eastAsia="Calibri" w:hAnsi="Palatino Linotype" w:cs="Tahoma"/>
          <w:bCs/>
          <w:color w:val="000000" w:themeColor="text1"/>
        </w:rPr>
      </w:pPr>
    </w:p>
    <w:p w14:paraId="617CD282" w14:textId="77777777" w:rsidR="00C42845" w:rsidRPr="009E67FF" w:rsidRDefault="00C42845" w:rsidP="009E67FF">
      <w:pPr>
        <w:numPr>
          <w:ilvl w:val="0"/>
          <w:numId w:val="6"/>
        </w:numPr>
        <w:spacing w:line="360" w:lineRule="auto"/>
        <w:ind w:left="0" w:firstLine="0"/>
        <w:jc w:val="both"/>
        <w:rPr>
          <w:rFonts w:ascii="Palatino Linotype" w:eastAsia="Calibri" w:hAnsi="Palatino Linotype" w:cs="Tahoma"/>
          <w:bCs/>
          <w:color w:val="000000" w:themeColor="text1"/>
        </w:rPr>
      </w:pPr>
      <w:r w:rsidRPr="009E67FF">
        <w:rPr>
          <w:rFonts w:ascii="Palatino Linotype" w:eastAsia="Calibri" w:hAnsi="Palatino Linotype" w:cs="Arial"/>
          <w:color w:val="000000" w:themeColor="text1"/>
          <w:lang w:val="es-ES"/>
        </w:rPr>
        <w:t xml:space="preserve">Asimismo, </w:t>
      </w:r>
      <w:r w:rsidRPr="009E67FF">
        <w:rPr>
          <w:rFonts w:ascii="Palatino Linotype" w:hAnsi="Palatino Linotype"/>
          <w:color w:val="000000" w:themeColor="text1"/>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A4A3CA" w14:textId="77777777" w:rsidR="00C42845" w:rsidRPr="009E67FF" w:rsidRDefault="00C42845" w:rsidP="009E67FF">
      <w:pPr>
        <w:pStyle w:val="Prrafodelista"/>
        <w:ind w:left="0"/>
        <w:rPr>
          <w:rFonts w:ascii="Palatino Linotype" w:eastAsia="Palatino Linotype" w:hAnsi="Palatino Linotype" w:cs="Palatino Linotype"/>
          <w:color w:val="000000" w:themeColor="text1"/>
          <w:sz w:val="24"/>
          <w:szCs w:val="24"/>
        </w:rPr>
      </w:pPr>
    </w:p>
    <w:p w14:paraId="232C38B4"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hAnsi="Palatino Linotype" w:cs="Arial"/>
          <w:color w:val="000000" w:themeColor="text1"/>
          <w:lang w:val="es-ES_tradnl"/>
        </w:rPr>
        <w:t>Expuesto</w:t>
      </w:r>
      <w:r w:rsidRPr="009E67FF">
        <w:rPr>
          <w:rFonts w:ascii="Palatino Linotype" w:eastAsia="Calibri" w:hAnsi="Palatino Linotype" w:cs="Arial"/>
          <w:color w:val="000000" w:themeColor="text1"/>
        </w:rPr>
        <w:t xml:space="preserve"> lo anterior, se tiene que </w:t>
      </w:r>
      <w:r w:rsidRPr="009E67FF">
        <w:rPr>
          <w:rFonts w:ascii="Palatino Linotype" w:eastAsia="Calibri" w:hAnsi="Palatino Linotype" w:cs="Arial"/>
          <w:bCs/>
          <w:color w:val="000000" w:themeColor="text1"/>
        </w:rPr>
        <w:t>el</w:t>
      </w:r>
      <w:r w:rsidRPr="009E67FF">
        <w:rPr>
          <w:rFonts w:ascii="Palatino Linotype" w:eastAsia="Calibri" w:hAnsi="Palatino Linotype" w:cs="Arial"/>
          <w:b/>
          <w:color w:val="000000" w:themeColor="text1"/>
        </w:rPr>
        <w:t xml:space="preserve"> </w:t>
      </w:r>
      <w:r w:rsidRPr="009E67FF">
        <w:rPr>
          <w:rFonts w:ascii="Palatino Linotype" w:eastAsia="Calibri" w:hAnsi="Palatino Linotype" w:cs="Arial"/>
          <w:b/>
          <w:bCs/>
          <w:color w:val="000000" w:themeColor="text1"/>
        </w:rPr>
        <w:t>SUJETO OBLIGADO</w:t>
      </w:r>
      <w:r w:rsidRPr="009E67FF">
        <w:rPr>
          <w:rFonts w:ascii="Palatino Linotype" w:eastAsia="Calibri" w:hAnsi="Palatino Linotype" w:cs="Arial"/>
          <w:bCs/>
          <w:color w:val="000000" w:themeColor="text1"/>
        </w:rPr>
        <w:t xml:space="preserve"> modificó la respuesta inicial y aportó información novedosa.</w:t>
      </w:r>
    </w:p>
    <w:p w14:paraId="72880D55" w14:textId="77777777" w:rsidR="003337B1" w:rsidRPr="009E67FF" w:rsidRDefault="003337B1" w:rsidP="009E67FF">
      <w:pPr>
        <w:spacing w:line="360" w:lineRule="auto"/>
        <w:jc w:val="both"/>
        <w:rPr>
          <w:rFonts w:ascii="Palatino Linotype" w:eastAsia="Palatino Linotype" w:hAnsi="Palatino Linotype" w:cs="Palatino Linotype"/>
          <w:color w:val="000000" w:themeColor="text1"/>
        </w:rPr>
      </w:pPr>
    </w:p>
    <w:p w14:paraId="68745BB4"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9E67FF">
        <w:rPr>
          <w:rFonts w:ascii="Palatino Linotype" w:hAnsi="Palatino Linotype" w:cs="Arial"/>
          <w:color w:val="000000" w:themeColor="text1"/>
          <w:lang w:val="es-ES_tradnl"/>
        </w:rPr>
        <w:t xml:space="preserve">En </w:t>
      </w:r>
      <w:r w:rsidRPr="009E67FF">
        <w:rPr>
          <w:rFonts w:ascii="Palatino Linotype" w:eastAsia="Calibri" w:hAnsi="Palatino Linotype" w:cs="Arial"/>
          <w:color w:val="000000" w:themeColor="text1"/>
        </w:rPr>
        <w:t xml:space="preserve">este sentido, </w:t>
      </w:r>
      <w:r w:rsidRPr="009E67FF">
        <w:rPr>
          <w:rFonts w:ascii="Palatino Linotype" w:hAnsi="Palatino Linotype" w:cs="Arial"/>
          <w:bCs/>
          <w:color w:val="000000" w:themeColor="text1"/>
        </w:rPr>
        <w:t xml:space="preserve">es dable sostener que, al haber existido un pronunciamiento por parte del </w:t>
      </w:r>
      <w:r w:rsidRPr="009E67FF">
        <w:rPr>
          <w:rFonts w:ascii="Palatino Linotype" w:hAnsi="Palatino Linotype" w:cs="Arial"/>
          <w:b/>
          <w:bCs/>
          <w:color w:val="000000" w:themeColor="text1"/>
        </w:rPr>
        <w:t>SUJETO OBLIGADO</w:t>
      </w:r>
      <w:r w:rsidRPr="009E67FF">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364F0AB8"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lastRenderedPageBreak/>
        <w:t xml:space="preserve">Así, </w:t>
      </w:r>
      <w:r w:rsidRPr="009E67FF">
        <w:rPr>
          <w:rFonts w:ascii="Palatino Linotype" w:eastAsia="Calibri" w:hAnsi="Palatino Linotype"/>
          <w:color w:val="000000" w:themeColor="text1"/>
        </w:rPr>
        <w:t xml:space="preserve">este Pleno advierte que el </w:t>
      </w:r>
      <w:r w:rsidRPr="009E67FF">
        <w:rPr>
          <w:rFonts w:ascii="Palatino Linotype" w:eastAsia="Calibri" w:hAnsi="Palatino Linotype"/>
          <w:b/>
          <w:color w:val="000000" w:themeColor="text1"/>
        </w:rPr>
        <w:t>SUJETO OBLIGADO</w:t>
      </w:r>
      <w:r w:rsidRPr="009E67FF">
        <w:rPr>
          <w:rFonts w:ascii="Palatino Linotype" w:eastAsia="Calibri" w:hAnsi="Palatino Linotype"/>
          <w:color w:val="000000" w:themeColor="text1"/>
        </w:rPr>
        <w:t xml:space="preserve"> </w:t>
      </w:r>
      <w:r w:rsidRPr="009E67FF">
        <w:rPr>
          <w:rFonts w:ascii="Palatino Linotype" w:eastAsia="Calibri" w:hAnsi="Palatino Linotype"/>
          <w:b/>
          <w:color w:val="000000" w:themeColor="text1"/>
        </w:rPr>
        <w:t xml:space="preserve">modificó </w:t>
      </w:r>
      <w:r w:rsidRPr="009E67FF">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14:paraId="115B1488" w14:textId="77777777" w:rsidR="00C42845" w:rsidRPr="009E67FF" w:rsidRDefault="00C42845" w:rsidP="009E67FF">
      <w:pPr>
        <w:jc w:val="both"/>
        <w:rPr>
          <w:rFonts w:ascii="Palatino Linotype" w:eastAsia="Palatino Linotype" w:hAnsi="Palatino Linotype" w:cs="Palatino Linotype"/>
          <w:b/>
          <w:color w:val="000000" w:themeColor="text1"/>
        </w:rPr>
      </w:pPr>
    </w:p>
    <w:p w14:paraId="6E2F5728"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De </w:t>
      </w:r>
      <w:r w:rsidRPr="009E67FF">
        <w:rPr>
          <w:rFonts w:ascii="Palatino Linotype" w:eastAsia="Calibri" w:hAnsi="Palatino Linotype" w:cs="Arial"/>
          <w:color w:val="000000" w:themeColor="text1"/>
        </w:rPr>
        <w:t xml:space="preserve">bien, </w:t>
      </w:r>
      <w:r w:rsidRPr="009E67FF">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E67FF">
        <w:rPr>
          <w:rFonts w:ascii="Palatino Linotype" w:eastAsia="Calibri" w:hAnsi="Palatino Linotype"/>
          <w:b/>
          <w:color w:val="000000" w:themeColor="text1"/>
        </w:rPr>
        <w:t>SUJETOS OBLIGADOS</w:t>
      </w:r>
      <w:r w:rsidRPr="009E67FF">
        <w:rPr>
          <w:rFonts w:ascii="Palatino Linotype" w:eastAsia="Calibri" w:hAnsi="Palatino Linotype"/>
          <w:color w:val="000000" w:themeColor="text1"/>
        </w:rPr>
        <w:t xml:space="preserve"> o la negativa de entrega de la misma, derivada de la solicitud de información pública.</w:t>
      </w:r>
    </w:p>
    <w:p w14:paraId="292F8AC0" w14:textId="77777777" w:rsidR="00C42845" w:rsidRPr="009E67FF" w:rsidRDefault="00C42845" w:rsidP="009E67FF">
      <w:pPr>
        <w:jc w:val="both"/>
        <w:rPr>
          <w:rFonts w:ascii="Palatino Linotype" w:eastAsia="Palatino Linotype" w:hAnsi="Palatino Linotype" w:cs="Palatino Linotype"/>
          <w:b/>
          <w:color w:val="000000" w:themeColor="text1"/>
        </w:rPr>
      </w:pPr>
    </w:p>
    <w:p w14:paraId="1FEAACE9"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De </w:t>
      </w:r>
      <w:r w:rsidRPr="009E67FF">
        <w:rPr>
          <w:rFonts w:ascii="Palatino Linotype" w:eastAsia="Calibri" w:hAnsi="Palatino Linotype"/>
          <w:color w:val="000000" w:themeColor="text1"/>
        </w:rPr>
        <w:t xml:space="preserve">este modo, cuando el </w:t>
      </w:r>
      <w:r w:rsidRPr="009E67FF">
        <w:rPr>
          <w:rFonts w:ascii="Palatino Linotype" w:eastAsia="Calibri" w:hAnsi="Palatino Linotype"/>
          <w:b/>
          <w:color w:val="000000" w:themeColor="text1"/>
        </w:rPr>
        <w:t xml:space="preserve">SUJETO OBLIGADO, </w:t>
      </w:r>
      <w:r w:rsidRPr="009E67FF">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9E67FF">
        <w:rPr>
          <w:rFonts w:ascii="Palatino Linotype" w:eastAsia="Calibri" w:hAnsi="Palatino Linotype"/>
          <w:i/>
          <w:color w:val="000000" w:themeColor="text1"/>
        </w:rPr>
        <w:t>litis</w:t>
      </w:r>
      <w:r w:rsidRPr="009E67FF">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14:paraId="08F8333A" w14:textId="77777777" w:rsidR="00C42845" w:rsidRPr="009E67FF" w:rsidRDefault="00C42845" w:rsidP="009E67FF">
      <w:pPr>
        <w:jc w:val="both"/>
        <w:rPr>
          <w:rFonts w:ascii="Palatino Linotype" w:eastAsia="Palatino Linotype" w:hAnsi="Palatino Linotype" w:cs="Palatino Linotype"/>
          <w:b/>
          <w:color w:val="000000" w:themeColor="text1"/>
        </w:rPr>
      </w:pPr>
    </w:p>
    <w:p w14:paraId="34D1DD9C"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Sirve </w:t>
      </w:r>
      <w:r w:rsidRPr="009E67FF">
        <w:rPr>
          <w:rFonts w:ascii="Palatino Linotype" w:eastAsia="Calibri" w:hAnsi="Palatino Linotype"/>
          <w:color w:val="000000" w:themeColor="text1"/>
        </w:rPr>
        <w:t>de sustento a lo anterior la siguiente jurisprudencia por contradicción, cuyo rubro, texto y datos de identificación son los siguientes:</w:t>
      </w:r>
    </w:p>
    <w:p w14:paraId="23D7EA22" w14:textId="77777777" w:rsidR="00C42845" w:rsidRPr="009E67FF" w:rsidRDefault="00C42845" w:rsidP="009E67FF">
      <w:pPr>
        <w:jc w:val="both"/>
        <w:rPr>
          <w:rFonts w:ascii="Palatino Linotype" w:eastAsia="Palatino Linotype" w:hAnsi="Palatino Linotype" w:cs="Palatino Linotype"/>
          <w:b/>
          <w:color w:val="000000" w:themeColor="text1"/>
        </w:rPr>
      </w:pPr>
      <w:r w:rsidRPr="009E67FF">
        <w:rPr>
          <w:rFonts w:ascii="Palatino Linotype" w:eastAsia="Calibri" w:hAnsi="Palatino Linotype"/>
          <w:b/>
          <w:i/>
          <w:color w:val="000000" w:themeColor="text1"/>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w:t>
      </w:r>
      <w:r w:rsidRPr="009E67FF">
        <w:rPr>
          <w:rFonts w:ascii="Palatino Linotype" w:eastAsia="Calibri" w:hAnsi="Palatino Linotype"/>
          <w:b/>
          <w:i/>
          <w:color w:val="000000" w:themeColor="text1"/>
        </w:rPr>
        <w:lastRenderedPageBreak/>
        <w:t>OTRO JUICIO DE AMPARO O EL MEDIO ORDINARIO DE DEFENSA QUE PROCEDA.</w:t>
      </w:r>
      <w:r w:rsidRPr="009E67FF">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D3DEFB2" w14:textId="77777777" w:rsidR="00C42845" w:rsidRPr="009E67FF" w:rsidRDefault="00C42845" w:rsidP="009E67FF">
      <w:pPr>
        <w:rPr>
          <w:rFonts w:ascii="Palatino Linotype" w:hAnsi="Palatino Linotype" w:cs="Arial"/>
          <w:color w:val="000000" w:themeColor="text1"/>
          <w:lang w:val="es-ES_tradnl"/>
        </w:rPr>
      </w:pPr>
    </w:p>
    <w:p w14:paraId="3C21553C"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La </w:t>
      </w:r>
      <w:r w:rsidRPr="009E67FF">
        <w:rPr>
          <w:rFonts w:ascii="Palatino Linotype" w:eastAsia="Calibri" w:hAnsi="Palatino Linotype"/>
          <w:color w:val="000000" w:themeColor="text1"/>
        </w:rPr>
        <w:t>anterior jurisprudencia resulta aplicable al presente asunto, en dos aspectos:</w:t>
      </w:r>
    </w:p>
    <w:p w14:paraId="69A97C64" w14:textId="77777777" w:rsidR="00C42845" w:rsidRPr="009E67FF" w:rsidRDefault="00C42845" w:rsidP="009E67FF">
      <w:pPr>
        <w:numPr>
          <w:ilvl w:val="0"/>
          <w:numId w:val="16"/>
        </w:numPr>
        <w:ind w:left="0" w:firstLine="0"/>
        <w:contextualSpacing/>
        <w:jc w:val="both"/>
        <w:rPr>
          <w:rFonts w:ascii="Palatino Linotype" w:eastAsia="Calibri" w:hAnsi="Palatino Linotype"/>
          <w:color w:val="000000" w:themeColor="text1"/>
        </w:rPr>
      </w:pPr>
      <w:r w:rsidRPr="009E67FF">
        <w:rPr>
          <w:rFonts w:ascii="Palatino Linotype" w:eastAsia="Calibri" w:hAnsi="Palatino Linotype"/>
          <w:b/>
          <w:color w:val="000000" w:themeColor="text1"/>
        </w:rPr>
        <w:t>La cesación de los efectos perniciosos del acto de autoridad:</w:t>
      </w:r>
      <w:r w:rsidRPr="009E67FF">
        <w:rPr>
          <w:rFonts w:ascii="Palatino Linotype" w:eastAsia="Calibri" w:hAnsi="Palatino Linotype"/>
          <w:color w:val="000000" w:themeColor="text1"/>
        </w:rPr>
        <w:t xml:space="preserve"> Al respecto, la Ley de Transparencia contempla la figura jurídica del sobreseimiento cuando el </w:t>
      </w:r>
      <w:r w:rsidRPr="009E67FF">
        <w:rPr>
          <w:rFonts w:ascii="Palatino Linotype" w:eastAsia="Calibri" w:hAnsi="Palatino Linotype"/>
          <w:b/>
          <w:color w:val="000000" w:themeColor="text1"/>
        </w:rPr>
        <w:t>SUJETO OBLIGADO</w:t>
      </w:r>
      <w:r w:rsidRPr="009E67FF">
        <w:rPr>
          <w:rFonts w:ascii="Palatino Linotype" w:eastAsia="Calibri" w:hAnsi="Palatino Linotype"/>
          <w:color w:val="000000" w:themeColor="text1"/>
        </w:rPr>
        <w:t xml:space="preserve"> de </w:t>
      </w:r>
      <w:r w:rsidRPr="009E67FF">
        <w:rPr>
          <w:rFonts w:ascii="Palatino Linotype" w:eastAsia="Calibri" w:hAnsi="Palatino Linotype"/>
          <w:i/>
          <w:color w:val="000000" w:themeColor="text1"/>
        </w:rPr>
        <w:t>motu proprio</w:t>
      </w:r>
      <w:r w:rsidRPr="009E67FF">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2615E790" w14:textId="77777777" w:rsidR="00C42845" w:rsidRPr="009E67FF" w:rsidRDefault="00C42845" w:rsidP="009E67FF">
      <w:pPr>
        <w:contextualSpacing/>
        <w:rPr>
          <w:rFonts w:ascii="Palatino Linotype" w:eastAsia="Calibri" w:hAnsi="Palatino Linotype"/>
          <w:color w:val="000000" w:themeColor="text1"/>
        </w:rPr>
      </w:pPr>
    </w:p>
    <w:p w14:paraId="316153FC" w14:textId="77777777" w:rsidR="00C42845" w:rsidRPr="009E67FF" w:rsidRDefault="00C42845" w:rsidP="009E67FF">
      <w:pPr>
        <w:numPr>
          <w:ilvl w:val="0"/>
          <w:numId w:val="16"/>
        </w:numPr>
        <w:ind w:left="0" w:firstLine="0"/>
        <w:contextualSpacing/>
        <w:jc w:val="both"/>
        <w:rPr>
          <w:rFonts w:ascii="Palatino Linotype" w:eastAsia="Calibri" w:hAnsi="Palatino Linotype"/>
          <w:color w:val="000000" w:themeColor="text1"/>
        </w:rPr>
      </w:pPr>
      <w:r w:rsidRPr="009E67FF">
        <w:rPr>
          <w:rFonts w:ascii="Palatino Linotype" w:eastAsia="Calibri" w:hAnsi="Palatino Linotype"/>
          <w:b/>
          <w:color w:val="000000" w:themeColor="text1"/>
        </w:rPr>
        <w:t>El momento procesal para modificar el acto impugnado:</w:t>
      </w:r>
      <w:r w:rsidRPr="009E67FF">
        <w:rPr>
          <w:rFonts w:ascii="Palatino Linotype" w:eastAsia="Calibri" w:hAnsi="Palatino Linotype"/>
          <w:color w:val="000000" w:themeColor="text1"/>
        </w:rPr>
        <w:t xml:space="preserve"> Para que se actualice el sobreseimiento de un recurso de revisión, el </w:t>
      </w:r>
      <w:r w:rsidRPr="009E67FF">
        <w:rPr>
          <w:rFonts w:ascii="Palatino Linotype" w:eastAsia="Calibri" w:hAnsi="Palatino Linotype"/>
          <w:b/>
          <w:color w:val="000000" w:themeColor="text1"/>
        </w:rPr>
        <w:t>SUJETO OBLIGADO</w:t>
      </w:r>
      <w:r w:rsidRPr="009E67FF">
        <w:rPr>
          <w:rFonts w:ascii="Palatino Linotype" w:eastAsia="Calibri" w:hAnsi="Palatino Linotype"/>
          <w:color w:val="000000" w:themeColor="text1"/>
        </w:rPr>
        <w:t xml:space="preserve"> puede entregar o completar la información al momento de rendir su informe de justificación o </w:t>
      </w:r>
      <w:r w:rsidRPr="009E67FF">
        <w:rPr>
          <w:rFonts w:ascii="Palatino Linotype" w:eastAsia="Calibri" w:hAnsi="Palatino Linotype"/>
          <w:b/>
          <w:color w:val="000000" w:themeColor="text1"/>
          <w:u w:val="single"/>
        </w:rPr>
        <w:t>posteriormente</w:t>
      </w:r>
      <w:r w:rsidRPr="009E67FF">
        <w:rPr>
          <w:rFonts w:ascii="Palatino Linotype" w:eastAsia="Calibri" w:hAnsi="Palatino Linotype"/>
          <w:color w:val="000000" w:themeColor="text1"/>
        </w:rPr>
        <w:t xml:space="preserve"> a éste, siempre y cuando el Pleno del Instituto no haya dictado resolución definitiva.</w:t>
      </w:r>
    </w:p>
    <w:p w14:paraId="7DDFA7C3" w14:textId="77777777" w:rsidR="00C42845" w:rsidRPr="009E67FF" w:rsidRDefault="00C42845" w:rsidP="009E67FF">
      <w:pPr>
        <w:jc w:val="both"/>
        <w:rPr>
          <w:rFonts w:ascii="Palatino Linotype" w:eastAsia="Palatino Linotype" w:hAnsi="Palatino Linotype" w:cs="Palatino Linotype"/>
          <w:b/>
          <w:color w:val="000000" w:themeColor="text1"/>
        </w:rPr>
      </w:pPr>
    </w:p>
    <w:p w14:paraId="0833CD0B"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Eduardo </w:t>
      </w:r>
      <w:r w:rsidRPr="009E67FF">
        <w:rPr>
          <w:rFonts w:ascii="Palatino Linotype" w:eastAsia="Calibri" w:hAnsi="Palatino Linotype" w:cs="Arial"/>
          <w:color w:val="000000" w:themeColor="text1"/>
        </w:rPr>
        <w:t xml:space="preserve">Pallares, </w:t>
      </w:r>
      <w:r w:rsidRPr="009E67FF">
        <w:rPr>
          <w:rFonts w:ascii="Palatino Linotype" w:eastAsia="Calibri" w:hAnsi="Palatino Linotype"/>
          <w:color w:val="000000" w:themeColor="text1"/>
        </w:rPr>
        <w:t xml:space="preserve">en su artículo </w:t>
      </w:r>
      <w:r w:rsidRPr="009E67FF">
        <w:rPr>
          <w:rFonts w:ascii="Palatino Linotype" w:eastAsia="Calibri" w:hAnsi="Palatino Linotype"/>
          <w:i/>
          <w:color w:val="000000" w:themeColor="text1"/>
        </w:rPr>
        <w:t>“La caducidad y el sobreseimiento en el amparo”</w:t>
      </w:r>
      <w:r w:rsidRPr="009E67FF">
        <w:rPr>
          <w:rFonts w:ascii="Palatino Linotype" w:eastAsia="Calibri" w:hAnsi="Palatino Linotype"/>
          <w:color w:val="000000" w:themeColor="text1"/>
        </w:rPr>
        <w:t xml:space="preserve">, cita la definición de Aguilera Paz, aduciendo que se </w:t>
      </w:r>
      <w:r w:rsidRPr="009E67FF">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9E67FF">
        <w:rPr>
          <w:rFonts w:ascii="Palatino Linotype" w:eastAsia="Calibri" w:hAnsi="Palatino Linotype"/>
          <w:color w:val="000000" w:themeColor="text1"/>
        </w:rPr>
        <w:t>. Asimismo, señala que existe el sobreseimiento provisional y el definitivo</w:t>
      </w:r>
      <w:r w:rsidRPr="009E67FF">
        <w:rPr>
          <w:rFonts w:ascii="Palatino Linotype" w:eastAsia="Calibri" w:hAnsi="Palatino Linotype"/>
          <w:i/>
          <w:color w:val="000000" w:themeColor="text1"/>
        </w:rPr>
        <w:t xml:space="preserve">: “...el definitivo es una verdadera </w:t>
      </w:r>
      <w:r w:rsidRPr="009E67FF">
        <w:rPr>
          <w:rFonts w:ascii="Palatino Linotype" w:eastAsia="Calibri" w:hAnsi="Palatino Linotype"/>
          <w:i/>
          <w:color w:val="000000" w:themeColor="text1"/>
        </w:rPr>
        <w:lastRenderedPageBreak/>
        <w:t>sentencia que pone fin al juicio, y que una vez dictada, produce cosa juzgada, mientras que el provisorio tiene por efectos suspender la prosecución de la causa...”</w:t>
      </w:r>
    </w:p>
    <w:p w14:paraId="464DD35F" w14:textId="77777777" w:rsidR="00C42845" w:rsidRPr="009E67FF" w:rsidRDefault="00C42845" w:rsidP="009E67FF">
      <w:pPr>
        <w:jc w:val="both"/>
        <w:rPr>
          <w:rFonts w:ascii="Palatino Linotype" w:eastAsia="Palatino Linotype" w:hAnsi="Palatino Linotype" w:cs="Palatino Linotype"/>
          <w:b/>
          <w:color w:val="000000" w:themeColor="text1"/>
        </w:rPr>
      </w:pPr>
    </w:p>
    <w:p w14:paraId="32B2BC14"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Así, </w:t>
      </w:r>
      <w:r w:rsidRPr="009E67FF">
        <w:rPr>
          <w:rFonts w:ascii="Palatino Linotype" w:eastAsia="Calibri" w:hAnsi="Palatino Linotype"/>
          <w:color w:val="000000" w:themeColor="text1"/>
        </w:rPr>
        <w:t xml:space="preserve">para la doctrina el sobreseimiento provoca que un procedimiento se suspenda o se resuelva en definitiva </w:t>
      </w:r>
      <w:r w:rsidRPr="009E67FF">
        <w:rPr>
          <w:rFonts w:ascii="Palatino Linotype" w:eastAsia="Calibri" w:hAnsi="Palatino Linotype"/>
          <w:b/>
          <w:color w:val="000000" w:themeColor="text1"/>
        </w:rPr>
        <w:t>sin que se entre al estudio de los agravios o motivos de inconformidad.</w:t>
      </w:r>
    </w:p>
    <w:p w14:paraId="0DE61992" w14:textId="77777777" w:rsidR="00C42845" w:rsidRPr="009E67FF" w:rsidRDefault="00C42845" w:rsidP="009E67FF">
      <w:pPr>
        <w:pStyle w:val="Prrafodelista"/>
        <w:ind w:left="0"/>
        <w:rPr>
          <w:rFonts w:ascii="Palatino Linotype" w:eastAsia="Calibri" w:hAnsi="Palatino Linotype"/>
          <w:color w:val="000000" w:themeColor="text1"/>
          <w:sz w:val="24"/>
          <w:szCs w:val="24"/>
        </w:rPr>
      </w:pPr>
    </w:p>
    <w:p w14:paraId="4F6FA265"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14:paraId="4601CDE7" w14:textId="77777777" w:rsidR="00C42845" w:rsidRPr="009E67FF" w:rsidRDefault="00C42845" w:rsidP="009E67FF">
      <w:pPr>
        <w:contextualSpacing/>
        <w:jc w:val="both"/>
        <w:rPr>
          <w:rFonts w:ascii="Palatino Linotype" w:eastAsia="Calibri" w:hAnsi="Palatino Linotype"/>
          <w:i/>
          <w:color w:val="000000" w:themeColor="text1"/>
          <w:lang w:val="es-AR"/>
        </w:rPr>
      </w:pPr>
      <w:r w:rsidRPr="009E67FF">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9E67FF">
        <w:rPr>
          <w:rFonts w:ascii="Palatino Linotype" w:eastAsia="Calibri" w:hAnsi="Palatino Linotype"/>
          <w:i/>
          <w:color w:val="000000" w:themeColor="text1"/>
          <w:lang w:val="es-AR"/>
        </w:rPr>
        <w:t xml:space="preserve"> en el juicio de amparo directo </w:t>
      </w:r>
      <w:r w:rsidRPr="009E67FF">
        <w:rPr>
          <w:rFonts w:ascii="Palatino Linotype" w:eastAsia="Calibri" w:hAnsi="Palatino Linotype"/>
          <w:b/>
          <w:i/>
          <w:color w:val="000000" w:themeColor="text1"/>
          <w:lang w:val="es-AR"/>
        </w:rPr>
        <w:t>provoca la terminación de la controversia planteada</w:t>
      </w:r>
      <w:r w:rsidRPr="009E67FF">
        <w:rPr>
          <w:rFonts w:ascii="Palatino Linotype" w:eastAsia="Calibri" w:hAnsi="Palatino Linotype"/>
          <w:i/>
          <w:color w:val="000000" w:themeColor="text1"/>
          <w:lang w:val="es-AR"/>
        </w:rPr>
        <w:t xml:space="preserve"> por el quejoso en la demanda de amparo</w:t>
      </w:r>
      <w:r w:rsidRPr="009E67FF">
        <w:rPr>
          <w:rFonts w:ascii="Palatino Linotype" w:eastAsia="Calibri" w:hAnsi="Palatino Linotype"/>
          <w:b/>
          <w:i/>
          <w:color w:val="000000" w:themeColor="text1"/>
          <w:lang w:val="es-AR"/>
        </w:rPr>
        <w:t>, sin hacer un pronunciamiento de fondo sobre la legalidad o ilegalidad de la sentencia reclamada</w:t>
      </w:r>
      <w:r w:rsidRPr="009E67FF">
        <w:rPr>
          <w:rFonts w:ascii="Palatino Linotype" w:eastAsia="Calibri" w:hAnsi="Palatino Linotype"/>
          <w:i/>
          <w:color w:val="000000" w:themeColor="text1"/>
          <w:lang w:val="es-AR"/>
        </w:rPr>
        <w:t xml:space="preserve">. </w:t>
      </w:r>
      <w:r w:rsidRPr="009E67FF">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E67FF">
        <w:rPr>
          <w:rFonts w:ascii="Palatino Linotype" w:eastAsia="Calibri" w:hAnsi="Palatino Linotype"/>
          <w:i/>
          <w:color w:val="000000" w:themeColor="text1"/>
          <w:lang w:val="es-AR"/>
        </w:rPr>
        <w:t>.</w:t>
      </w:r>
    </w:p>
    <w:p w14:paraId="4E44E7EA" w14:textId="77777777" w:rsidR="00C42845" w:rsidRPr="009E67FF" w:rsidRDefault="00C42845" w:rsidP="009E67FF">
      <w:pPr>
        <w:contextualSpacing/>
        <w:jc w:val="both"/>
        <w:rPr>
          <w:rFonts w:ascii="Palatino Linotype" w:eastAsia="Calibri" w:hAnsi="Palatino Linotype"/>
          <w:i/>
          <w:color w:val="000000" w:themeColor="text1"/>
          <w:lang w:val="es-AR"/>
        </w:rPr>
      </w:pPr>
      <w:r w:rsidRPr="009E67FF">
        <w:rPr>
          <w:rFonts w:ascii="Palatino Linotype" w:eastAsia="Calibri" w:hAnsi="Palatino Linotype"/>
          <w:i/>
          <w:color w:val="000000" w:themeColor="text1"/>
          <w:lang w:val="es-AR"/>
        </w:rPr>
        <w:t>SÉPTIMO TRIBUNAL COLEGIADO EN MATERIA CIVIL DEL PRIMER CIRCUITO.</w:t>
      </w:r>
    </w:p>
    <w:p w14:paraId="4481E369" w14:textId="77777777" w:rsidR="00C42845" w:rsidRPr="009E67FF" w:rsidRDefault="00C42845" w:rsidP="009E67FF">
      <w:pPr>
        <w:contextualSpacing/>
        <w:jc w:val="both"/>
        <w:rPr>
          <w:rFonts w:ascii="Palatino Linotype" w:eastAsia="Calibri" w:hAnsi="Palatino Linotype"/>
          <w:b/>
          <w:i/>
          <w:color w:val="000000" w:themeColor="text1"/>
          <w:lang w:val="es-AR"/>
        </w:rPr>
      </w:pPr>
      <w:r w:rsidRPr="009E67FF">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14:paraId="45FE0019" w14:textId="77777777" w:rsidR="00C42845" w:rsidRPr="009E67FF" w:rsidRDefault="00C42845" w:rsidP="009E67FF">
      <w:pPr>
        <w:jc w:val="both"/>
        <w:rPr>
          <w:rFonts w:ascii="Palatino Linotype" w:eastAsia="Palatino Linotype" w:hAnsi="Palatino Linotype" w:cs="Palatino Linotype"/>
          <w:b/>
          <w:color w:val="000000" w:themeColor="text1"/>
        </w:rPr>
      </w:pPr>
    </w:p>
    <w:p w14:paraId="3C568777"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t xml:space="preserve">Consecuentemente, </w:t>
      </w:r>
      <w:r w:rsidRPr="009E67FF">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E97A58A" w14:textId="77777777" w:rsidR="00C42845" w:rsidRPr="009E67FF" w:rsidRDefault="00C42845" w:rsidP="009E67FF">
      <w:pPr>
        <w:jc w:val="both"/>
        <w:rPr>
          <w:rFonts w:ascii="Palatino Linotype" w:eastAsia="Palatino Linotype" w:hAnsi="Palatino Linotype" w:cs="Palatino Linotype"/>
          <w:b/>
          <w:color w:val="000000" w:themeColor="text1"/>
        </w:rPr>
      </w:pPr>
    </w:p>
    <w:p w14:paraId="7AB679A5"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hAnsi="Palatino Linotype" w:cs="Arial"/>
          <w:color w:val="000000" w:themeColor="text1"/>
          <w:lang w:val="es-ES_tradnl"/>
        </w:rPr>
        <w:lastRenderedPageBreak/>
        <w:t xml:space="preserve">Bajo </w:t>
      </w:r>
      <w:r w:rsidRPr="009E67FF">
        <w:rPr>
          <w:rFonts w:ascii="Palatino Linotype" w:eastAsia="Calibri" w:hAnsi="Palatino Linotype"/>
          <w:color w:val="000000" w:themeColor="text1"/>
          <w:lang w:val="es-CO"/>
        </w:rPr>
        <w:t xml:space="preserve">ese tenor y en términos del artículo 186 fracción I este Pleno determina el </w:t>
      </w:r>
      <w:r w:rsidRPr="009E67FF">
        <w:rPr>
          <w:rFonts w:ascii="Palatino Linotype" w:eastAsia="Calibri" w:hAnsi="Palatino Linotype"/>
          <w:b/>
          <w:color w:val="000000" w:themeColor="text1"/>
          <w:lang w:val="es-CO"/>
        </w:rPr>
        <w:t xml:space="preserve">SOBRESEIMIENTO </w:t>
      </w:r>
      <w:r w:rsidRPr="009E67FF">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14:paraId="456598F7" w14:textId="77777777" w:rsidR="00C42845" w:rsidRPr="009E67FF" w:rsidRDefault="00C42845" w:rsidP="009E67FF">
      <w:pPr>
        <w:jc w:val="both"/>
        <w:rPr>
          <w:rFonts w:ascii="Palatino Linotype" w:eastAsia="Palatino Linotype" w:hAnsi="Palatino Linotype" w:cs="Palatino Linotype"/>
          <w:b/>
          <w:color w:val="000000" w:themeColor="text1"/>
        </w:rPr>
      </w:pPr>
    </w:p>
    <w:p w14:paraId="65AA1677" w14:textId="77777777" w:rsidR="00C42845" w:rsidRPr="009E67FF" w:rsidRDefault="00C42845" w:rsidP="009E67F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color w:val="000000" w:themeColor="text1"/>
        </w:rPr>
        <w:t xml:space="preserve">Por lo anteriormente expuesto y fundado, este </w:t>
      </w:r>
      <w:r w:rsidRPr="009E67FF">
        <w:rPr>
          <w:rFonts w:ascii="Palatino Linotype" w:eastAsia="Palatino Linotype" w:hAnsi="Palatino Linotype" w:cs="Palatino Linotype"/>
          <w:b/>
          <w:color w:val="000000" w:themeColor="text1"/>
        </w:rPr>
        <w:t>ÓRGANO GARANTE</w:t>
      </w:r>
      <w:r w:rsidRPr="009E67FF">
        <w:rPr>
          <w:rFonts w:ascii="Palatino Linotype" w:eastAsia="Palatino Linotype" w:hAnsi="Palatino Linotype" w:cs="Palatino Linotype"/>
          <w:color w:val="000000" w:themeColor="text1"/>
        </w:rPr>
        <w:t xml:space="preserve"> emite los siguientes:</w:t>
      </w:r>
    </w:p>
    <w:p w14:paraId="492CD229" w14:textId="77777777" w:rsidR="00C42845" w:rsidRPr="009E67FF" w:rsidRDefault="00C42845" w:rsidP="009E67FF">
      <w:pPr>
        <w:jc w:val="both"/>
        <w:rPr>
          <w:rFonts w:ascii="Palatino Linotype" w:eastAsia="Palatino Linotype" w:hAnsi="Palatino Linotype" w:cs="Palatino Linotype"/>
          <w:b/>
          <w:color w:val="000000" w:themeColor="text1"/>
        </w:rPr>
      </w:pPr>
    </w:p>
    <w:p w14:paraId="57873D32" w14:textId="77777777" w:rsidR="00C42845" w:rsidRPr="009E67FF" w:rsidRDefault="00C42845" w:rsidP="009E67FF">
      <w:pPr>
        <w:keepNext/>
        <w:keepLines/>
        <w:spacing w:line="360" w:lineRule="auto"/>
        <w:jc w:val="center"/>
        <w:rPr>
          <w:rFonts w:ascii="Palatino Linotype" w:eastAsia="Palatino Linotype" w:hAnsi="Palatino Linotype" w:cs="Palatino Linotype"/>
          <w:b/>
          <w:color w:val="000000" w:themeColor="text1"/>
        </w:rPr>
      </w:pPr>
      <w:r w:rsidRPr="009E67FF">
        <w:rPr>
          <w:rFonts w:ascii="Palatino Linotype" w:eastAsia="Palatino Linotype" w:hAnsi="Palatino Linotype" w:cs="Palatino Linotype"/>
          <w:b/>
          <w:color w:val="000000" w:themeColor="text1"/>
        </w:rPr>
        <w:t>R E S O L U T I V O S</w:t>
      </w:r>
    </w:p>
    <w:p w14:paraId="7A4379E2" w14:textId="77777777" w:rsidR="00C42845" w:rsidRDefault="00C42845" w:rsidP="009E67FF">
      <w:pPr>
        <w:keepNext/>
        <w:keepLines/>
        <w:rPr>
          <w:rFonts w:ascii="Palatino Linotype" w:eastAsia="Palatino Linotype" w:hAnsi="Palatino Linotype" w:cs="Palatino Linotype"/>
          <w:b/>
          <w:color w:val="000000" w:themeColor="text1"/>
        </w:rPr>
      </w:pPr>
    </w:p>
    <w:p w14:paraId="34087F7A" w14:textId="77777777" w:rsidR="00884F49" w:rsidRPr="009E67FF" w:rsidRDefault="00884F49" w:rsidP="009E67FF">
      <w:pPr>
        <w:keepNext/>
        <w:keepLines/>
        <w:rPr>
          <w:rFonts w:ascii="Palatino Linotype" w:eastAsia="Palatino Linotype" w:hAnsi="Palatino Linotype" w:cs="Palatino Linotype"/>
          <w:b/>
          <w:color w:val="000000" w:themeColor="text1"/>
        </w:rPr>
      </w:pPr>
    </w:p>
    <w:p w14:paraId="09A7C153" w14:textId="77777777" w:rsidR="00C42845" w:rsidRPr="009E67FF" w:rsidRDefault="00C42845" w:rsidP="009E67FF">
      <w:pPr>
        <w:spacing w:line="360" w:lineRule="auto"/>
        <w:jc w:val="both"/>
        <w:rPr>
          <w:rFonts w:ascii="Palatino Linotype" w:hAnsi="Palatino Linotype" w:cs="Arial"/>
          <w:b/>
          <w:color w:val="000000" w:themeColor="text1"/>
          <w:lang w:val="es-ES_tradnl"/>
        </w:rPr>
      </w:pPr>
      <w:r w:rsidRPr="009E67FF">
        <w:rPr>
          <w:rFonts w:ascii="Palatino Linotype" w:hAnsi="Palatino Linotype" w:cs="Arial"/>
          <w:b/>
          <w:color w:val="000000" w:themeColor="text1"/>
          <w:lang w:val="es-ES_tradnl"/>
        </w:rPr>
        <w:t xml:space="preserve">PRIMERO. </w:t>
      </w:r>
      <w:r w:rsidRPr="009E67FF">
        <w:rPr>
          <w:rFonts w:ascii="Palatino Linotype" w:hAnsi="Palatino Linotype"/>
          <w:color w:val="000000" w:themeColor="text1"/>
        </w:rPr>
        <w:t xml:space="preserve">Se </w:t>
      </w:r>
      <w:r w:rsidRPr="009E67FF">
        <w:rPr>
          <w:rFonts w:ascii="Palatino Linotype" w:hAnsi="Palatino Linotype"/>
          <w:b/>
          <w:color w:val="000000" w:themeColor="text1"/>
        </w:rPr>
        <w:t>SOBRESEE</w:t>
      </w:r>
      <w:r w:rsidRPr="009E67FF">
        <w:rPr>
          <w:rFonts w:ascii="Palatino Linotype" w:hAnsi="Palatino Linotype"/>
          <w:color w:val="000000" w:themeColor="text1"/>
        </w:rPr>
        <w:t xml:space="preserve"> el recurso de revisión número </w:t>
      </w:r>
      <w:r w:rsidR="006C0FDA" w:rsidRPr="009E67FF">
        <w:rPr>
          <w:rFonts w:ascii="Palatino Linotype" w:hAnsi="Palatino Linotype"/>
          <w:b/>
          <w:color w:val="000000" w:themeColor="text1"/>
        </w:rPr>
        <w:t>12083</w:t>
      </w:r>
      <w:r w:rsidRPr="009E67FF">
        <w:rPr>
          <w:rFonts w:ascii="Palatino Linotype" w:hAnsi="Palatino Linotype"/>
          <w:b/>
          <w:color w:val="000000" w:themeColor="text1"/>
        </w:rPr>
        <w:t xml:space="preserve">/INFOEM/IP/RR/2025 </w:t>
      </w:r>
      <w:r w:rsidRPr="009E67FF">
        <w:rPr>
          <w:rFonts w:ascii="Palatino Linotype" w:hAnsi="Palatino Linotype"/>
          <w:bCs/>
          <w:color w:val="000000" w:themeColor="text1"/>
        </w:rPr>
        <w:t>conforme al artículo 192 fracción III de la Ley de Transparencia y Acceso a la Información Pública del Estado de México y Municipios,</w:t>
      </w:r>
      <w:r w:rsidRPr="009E67FF">
        <w:rPr>
          <w:rFonts w:ascii="Palatino Linotype" w:hAnsi="Palatino Linotype"/>
          <w:color w:val="000000" w:themeColor="text1"/>
        </w:rPr>
        <w:t xml:space="preserve"> porque al </w:t>
      </w:r>
      <w:r w:rsidRPr="009E67FF">
        <w:rPr>
          <w:rFonts w:ascii="Palatino Linotype" w:hAnsi="Palatino Linotype"/>
          <w:b/>
          <w:bCs/>
          <w:color w:val="000000" w:themeColor="text1"/>
        </w:rPr>
        <w:t>modificar la respuesta a través del informe justificado y atender lo solicitado</w:t>
      </w:r>
      <w:r w:rsidRPr="009E67FF">
        <w:rPr>
          <w:rFonts w:ascii="Palatino Linotype" w:hAnsi="Palatino Linotype"/>
          <w:color w:val="000000" w:themeColor="text1"/>
        </w:rPr>
        <w:t xml:space="preserve">, el recurso de revisión quedó sin materia en términos del Considerando </w:t>
      </w:r>
      <w:r w:rsidRPr="009E67FF">
        <w:rPr>
          <w:rFonts w:ascii="Palatino Linotype" w:hAnsi="Palatino Linotype"/>
          <w:b/>
          <w:color w:val="000000" w:themeColor="text1"/>
        </w:rPr>
        <w:t>TERCERO</w:t>
      </w:r>
      <w:r w:rsidRPr="009E67FF">
        <w:rPr>
          <w:rFonts w:ascii="Palatino Linotype" w:hAnsi="Palatino Linotype"/>
          <w:color w:val="000000" w:themeColor="text1"/>
        </w:rPr>
        <w:t xml:space="preserve"> de la presente resolución.</w:t>
      </w:r>
    </w:p>
    <w:p w14:paraId="03B04820" w14:textId="77777777" w:rsidR="00C42845" w:rsidRPr="009E67FF" w:rsidRDefault="00C42845" w:rsidP="009E67FF">
      <w:pPr>
        <w:spacing w:before="240" w:after="240" w:line="360" w:lineRule="auto"/>
        <w:jc w:val="both"/>
        <w:rPr>
          <w:rFonts w:ascii="Palatino Linotype" w:eastAsia="DengXian Light" w:hAnsi="Palatino Linotype"/>
          <w:color w:val="000000" w:themeColor="text1"/>
        </w:rPr>
      </w:pPr>
      <w:r w:rsidRPr="009E67FF">
        <w:rPr>
          <w:rFonts w:ascii="Palatino Linotype" w:hAnsi="Palatino Linotype"/>
          <w:b/>
          <w:color w:val="000000" w:themeColor="text1"/>
        </w:rPr>
        <w:t>SEGUNDO.</w:t>
      </w:r>
      <w:r w:rsidRPr="009E67FF">
        <w:rPr>
          <w:rFonts w:ascii="Palatino Linotype" w:eastAsia="DengXian Light" w:hAnsi="Palatino Linotype"/>
          <w:color w:val="000000" w:themeColor="text1"/>
        </w:rPr>
        <w:t xml:space="preserve"> </w:t>
      </w:r>
      <w:r w:rsidR="00480BEB" w:rsidRPr="006954ED">
        <w:rPr>
          <w:rFonts w:ascii="Palatino Linotype" w:eastAsia="Calibri" w:hAnsi="Palatino Linotype" w:cs="Arial"/>
          <w:b/>
          <w:bCs/>
          <w:color w:val="000000" w:themeColor="text1"/>
        </w:rPr>
        <w:t>Notifíquese</w:t>
      </w:r>
      <w:r w:rsidRPr="006954ED">
        <w:rPr>
          <w:rFonts w:ascii="Palatino Linotype" w:eastAsia="Calibri" w:hAnsi="Palatino Linotype" w:cs="Arial"/>
          <w:b/>
          <w:bCs/>
          <w:color w:val="000000" w:themeColor="text1"/>
        </w:rPr>
        <w:t xml:space="preserve"> </w:t>
      </w:r>
      <w:r w:rsidRPr="006954ED">
        <w:rPr>
          <w:rFonts w:ascii="Palatino Linotype" w:eastAsia="Calibri" w:hAnsi="Palatino Linotype" w:cs="Arial"/>
          <w:bCs/>
          <w:color w:val="000000" w:themeColor="text1"/>
        </w:rPr>
        <w:t>a través</w:t>
      </w:r>
      <w:r w:rsidRPr="009E67FF">
        <w:rPr>
          <w:rFonts w:ascii="Palatino Linotype" w:eastAsia="Calibri" w:hAnsi="Palatino Linotype" w:cs="Arial"/>
          <w:bCs/>
          <w:color w:val="000000" w:themeColor="text1"/>
        </w:rPr>
        <w:t xml:space="preserve"> del Sistema de Acceso a la Información Mexiquense </w:t>
      </w:r>
      <w:r w:rsidRPr="009E67FF">
        <w:rPr>
          <w:rFonts w:ascii="Palatino Linotype" w:eastAsia="Calibri" w:hAnsi="Palatino Linotype" w:cs="Arial"/>
          <w:b/>
          <w:bCs/>
          <w:color w:val="000000" w:themeColor="text1"/>
        </w:rPr>
        <w:t xml:space="preserve">(SAIMEX) </w:t>
      </w:r>
      <w:r w:rsidRPr="009E67FF">
        <w:rPr>
          <w:rFonts w:ascii="Palatino Linotype" w:eastAsia="Calibri" w:hAnsi="Palatino Linotype" w:cs="Arial"/>
          <w:bCs/>
          <w:color w:val="000000" w:themeColor="text1"/>
        </w:rPr>
        <w:t>la presente resolución al Titular de la Unidad de Transparencia del</w:t>
      </w:r>
      <w:r w:rsidRPr="009E67FF">
        <w:rPr>
          <w:rFonts w:ascii="Palatino Linotype" w:eastAsia="Calibri" w:hAnsi="Palatino Linotype" w:cs="Arial"/>
          <w:b/>
          <w:bCs/>
          <w:color w:val="000000" w:themeColor="text1"/>
        </w:rPr>
        <w:t xml:space="preserve"> SUJETO OBLIGADO.</w:t>
      </w:r>
    </w:p>
    <w:p w14:paraId="1CCBA53B" w14:textId="77777777" w:rsidR="00C42845" w:rsidRPr="009E67FF" w:rsidRDefault="00C42845" w:rsidP="009E67FF">
      <w:pPr>
        <w:shd w:val="clear" w:color="auto" w:fill="FFFFFF"/>
        <w:spacing w:before="240" w:line="360" w:lineRule="auto"/>
        <w:jc w:val="both"/>
        <w:rPr>
          <w:rFonts w:ascii="Palatino Linotype" w:eastAsia="Calibri" w:hAnsi="Palatino Linotype" w:cs="Arial"/>
          <w:b/>
          <w:bCs/>
          <w:color w:val="000000" w:themeColor="text1"/>
        </w:rPr>
      </w:pPr>
      <w:r w:rsidRPr="009E67FF">
        <w:rPr>
          <w:rFonts w:ascii="Palatino Linotype" w:hAnsi="Palatino Linotype" w:cs="Arial"/>
          <w:b/>
          <w:bCs/>
          <w:color w:val="000000" w:themeColor="text1"/>
          <w:lang w:val="es-ES_tradnl"/>
        </w:rPr>
        <w:t xml:space="preserve">TERCERO. </w:t>
      </w:r>
      <w:r w:rsidRPr="009E67FF">
        <w:rPr>
          <w:rFonts w:ascii="Palatino Linotype" w:hAnsi="Palatino Linotype"/>
          <w:b/>
          <w:bCs/>
          <w:color w:val="000000" w:themeColor="text1"/>
        </w:rPr>
        <w:t xml:space="preserve">Notifíquese </w:t>
      </w:r>
      <w:r w:rsidRPr="009E67FF">
        <w:rPr>
          <w:rFonts w:ascii="Palatino Linotype" w:hAnsi="Palatino Linotype"/>
          <w:bCs/>
          <w:color w:val="000000" w:themeColor="text1"/>
        </w:rPr>
        <w:t xml:space="preserve">al </w:t>
      </w:r>
      <w:r w:rsidRPr="009E67FF">
        <w:rPr>
          <w:rFonts w:ascii="Palatino Linotype" w:hAnsi="Palatino Linotype"/>
          <w:b/>
          <w:bCs/>
          <w:color w:val="000000" w:themeColor="text1"/>
        </w:rPr>
        <w:t>RECURRENTE</w:t>
      </w:r>
      <w:r w:rsidRPr="009E67FF">
        <w:rPr>
          <w:rFonts w:ascii="Palatino Linotype" w:hAnsi="Palatino Linotype"/>
          <w:color w:val="000000" w:themeColor="text1"/>
        </w:rPr>
        <w:t xml:space="preserve"> la presente resolución </w:t>
      </w:r>
      <w:r w:rsidRPr="009E67FF">
        <w:rPr>
          <w:rFonts w:ascii="Palatino Linotype" w:eastAsia="Calibri" w:hAnsi="Palatino Linotype" w:cs="Arial"/>
          <w:bCs/>
          <w:color w:val="000000" w:themeColor="text1"/>
        </w:rPr>
        <w:t xml:space="preserve">a través del Sistema de Acceso a la Información Mexiquense </w:t>
      </w:r>
      <w:r w:rsidRPr="009E67FF">
        <w:rPr>
          <w:rFonts w:ascii="Palatino Linotype" w:eastAsia="Calibri" w:hAnsi="Palatino Linotype" w:cs="Arial"/>
          <w:b/>
          <w:bCs/>
          <w:color w:val="000000" w:themeColor="text1"/>
        </w:rPr>
        <w:t>(SAIMEX).</w:t>
      </w:r>
    </w:p>
    <w:p w14:paraId="4B8E855A" w14:textId="77777777" w:rsidR="003337B1" w:rsidRPr="009E67FF" w:rsidRDefault="003337B1" w:rsidP="009E67FF">
      <w:pPr>
        <w:shd w:val="clear" w:color="auto" w:fill="FFFFFF"/>
        <w:spacing w:before="240" w:line="360" w:lineRule="auto"/>
        <w:jc w:val="both"/>
        <w:rPr>
          <w:rFonts w:ascii="Palatino Linotype" w:hAnsi="Palatino Linotype" w:cs="Arial"/>
          <w:b/>
          <w:bCs/>
          <w:color w:val="000000" w:themeColor="text1"/>
          <w:lang w:val="es-ES_tradnl"/>
        </w:rPr>
      </w:pPr>
    </w:p>
    <w:p w14:paraId="359E9B06" w14:textId="77777777" w:rsidR="00C42845" w:rsidRDefault="00C42845" w:rsidP="009E67FF">
      <w:pPr>
        <w:spacing w:line="360" w:lineRule="auto"/>
        <w:jc w:val="both"/>
        <w:rPr>
          <w:rFonts w:ascii="Palatino Linotype" w:eastAsia="MS Mincho" w:hAnsi="Palatino Linotype"/>
          <w:color w:val="000000" w:themeColor="text1"/>
        </w:rPr>
      </w:pPr>
      <w:r w:rsidRPr="009E67FF">
        <w:rPr>
          <w:rFonts w:ascii="Palatino Linotype" w:eastAsia="Calibri" w:hAnsi="Palatino Linotype" w:cs="Arial"/>
          <w:b/>
          <w:bCs/>
          <w:color w:val="000000" w:themeColor="text1"/>
          <w:lang w:eastAsia="en-US"/>
        </w:rPr>
        <w:lastRenderedPageBreak/>
        <w:t>CUARTO.</w:t>
      </w:r>
      <w:r w:rsidRPr="009E67FF">
        <w:rPr>
          <w:rFonts w:ascii="Palatino Linotype" w:eastAsia="Calibri" w:hAnsi="Palatino Linotype" w:cs="Arial"/>
          <w:bCs/>
          <w:color w:val="000000" w:themeColor="text1"/>
          <w:lang w:eastAsia="en-US"/>
        </w:rPr>
        <w:t xml:space="preserve"> </w:t>
      </w:r>
      <w:r w:rsidRPr="009E67FF">
        <w:rPr>
          <w:rFonts w:ascii="Palatino Linotype" w:eastAsia="MS Mincho" w:hAnsi="Palatino Linotype"/>
          <w:color w:val="000000" w:themeColor="text1"/>
        </w:rPr>
        <w:t xml:space="preserve">Se hace del conocimiento del </w:t>
      </w:r>
      <w:r w:rsidRPr="009E67FF">
        <w:rPr>
          <w:rFonts w:ascii="Palatino Linotype" w:hAnsi="Palatino Linotype"/>
          <w:b/>
          <w:bCs/>
          <w:color w:val="000000" w:themeColor="text1"/>
        </w:rPr>
        <w:t>RECURRENTE</w:t>
      </w:r>
      <w:r w:rsidRPr="009E67FF">
        <w:rPr>
          <w:rFonts w:ascii="Palatino Linotype" w:hAnsi="Palatino Linotype"/>
          <w:color w:val="000000" w:themeColor="text1"/>
        </w:rPr>
        <w:t xml:space="preserve"> </w:t>
      </w:r>
      <w:r w:rsidRPr="009E67FF">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9E67FF">
        <w:rPr>
          <w:rFonts w:ascii="Palatino Linotype" w:eastAsia="MS Mincho" w:hAnsi="Palatino Linotype"/>
          <w:bCs/>
          <w:color w:val="000000" w:themeColor="text1"/>
        </w:rPr>
        <w:t>vía juicio de amparo</w:t>
      </w:r>
      <w:r w:rsidRPr="009E67FF">
        <w:rPr>
          <w:rFonts w:ascii="Palatino Linotype" w:eastAsia="MS Mincho" w:hAnsi="Palatino Linotype"/>
          <w:color w:val="000000" w:themeColor="text1"/>
        </w:rPr>
        <w:t> en los términos de las leyes aplicables.</w:t>
      </w:r>
    </w:p>
    <w:p w14:paraId="20ADFA0B" w14:textId="0F343A8D" w:rsidR="00C42845" w:rsidRPr="009E67FF" w:rsidRDefault="00884F49" w:rsidP="009E67FF">
      <w:pPr>
        <w:spacing w:before="240" w:after="240" w:line="360" w:lineRule="auto"/>
        <w:jc w:val="both"/>
        <w:rPr>
          <w:rFonts w:ascii="Palatino Linotype" w:eastAsia="Palatino Linotype" w:hAnsi="Palatino Linotype" w:cs="Palatino Linotype"/>
          <w:b/>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D5E28B3" w14:textId="77777777" w:rsidR="00C42845" w:rsidRPr="009E67FF" w:rsidRDefault="00C42845" w:rsidP="009E67FF">
      <w:pPr>
        <w:spacing w:before="240" w:after="240" w:line="360" w:lineRule="auto"/>
        <w:jc w:val="both"/>
        <w:rPr>
          <w:rFonts w:ascii="Palatino Linotype" w:eastAsia="Palatino Linotype" w:hAnsi="Palatino Linotype" w:cs="Palatino Linotype"/>
          <w:color w:val="000000" w:themeColor="text1"/>
        </w:rPr>
      </w:pPr>
    </w:p>
    <w:p w14:paraId="304C376A" w14:textId="77777777" w:rsidR="00C42845" w:rsidRPr="009E67FF" w:rsidRDefault="00C42845" w:rsidP="009E67FF">
      <w:pPr>
        <w:spacing w:line="360" w:lineRule="auto"/>
        <w:rPr>
          <w:rFonts w:ascii="Palatino Linotype" w:eastAsia="Palatino Linotype" w:hAnsi="Palatino Linotype" w:cs="Palatino Linotype"/>
          <w:color w:val="000000" w:themeColor="text1"/>
        </w:rPr>
      </w:pPr>
    </w:p>
    <w:p w14:paraId="76F6B5EC"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71AE0575"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3C145AE8"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73F0446E"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637E1B1B"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77E2D16B"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5388E451"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45ABC760"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6A0C8072"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7CA875B2"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65B81729"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625D7681"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3698214F" w14:textId="77777777" w:rsidR="00C42845" w:rsidRPr="009E67FF" w:rsidRDefault="00C42845" w:rsidP="009E67FF">
      <w:pPr>
        <w:spacing w:line="360" w:lineRule="auto"/>
        <w:jc w:val="both"/>
        <w:rPr>
          <w:rFonts w:ascii="Palatino Linotype" w:eastAsia="Palatino Linotype" w:hAnsi="Palatino Linotype" w:cs="Palatino Linotype"/>
          <w:color w:val="000000" w:themeColor="text1"/>
        </w:rPr>
      </w:pPr>
    </w:p>
    <w:p w14:paraId="0542A380" w14:textId="77777777" w:rsidR="00C42845" w:rsidRPr="009E67FF" w:rsidRDefault="00C42845" w:rsidP="009E67FF">
      <w:pPr>
        <w:spacing w:line="360" w:lineRule="auto"/>
        <w:rPr>
          <w:rFonts w:ascii="Palatino Linotype" w:eastAsia="Palatino Linotype" w:hAnsi="Palatino Linotype" w:cs="Palatino Linotype"/>
          <w:color w:val="000000" w:themeColor="text1"/>
        </w:rPr>
      </w:pPr>
    </w:p>
    <w:sectPr w:rsidR="00C42845" w:rsidRPr="009E67FF" w:rsidSect="002A2695">
      <w:headerReference w:type="default" r:id="rId10"/>
      <w:footerReference w:type="default" r:id="rId11"/>
      <w:headerReference w:type="first" r:id="rId12"/>
      <w:footerReference w:type="first" r:id="rId13"/>
      <w:pgSz w:w="12240" w:h="15840"/>
      <w:pgMar w:top="2410" w:right="616"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01FA7" w14:textId="77777777" w:rsidR="00730AA2" w:rsidRDefault="00730AA2">
      <w:r>
        <w:separator/>
      </w:r>
    </w:p>
  </w:endnote>
  <w:endnote w:type="continuationSeparator" w:id="0">
    <w:p w14:paraId="7AA27A03" w14:textId="77777777" w:rsidR="00730AA2" w:rsidRDefault="0073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6A5D3" w14:textId="77777777" w:rsidR="006C0FDA" w:rsidRPr="002A2695" w:rsidRDefault="006C0FDA">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2A2695">
      <w:rPr>
        <w:rFonts w:ascii="Palatino Linotype" w:eastAsia="Arial" w:hAnsi="Palatino Linotype" w:cs="Arial"/>
        <w:b/>
        <w:color w:val="000000"/>
        <w:sz w:val="20"/>
        <w:szCs w:val="20"/>
      </w:rPr>
      <w:t xml:space="preserve">Página </w:t>
    </w:r>
    <w:r w:rsidRPr="002A2695">
      <w:rPr>
        <w:rFonts w:ascii="Palatino Linotype" w:eastAsia="Arial" w:hAnsi="Palatino Linotype" w:cs="Arial"/>
        <w:b/>
        <w:color w:val="000000"/>
        <w:sz w:val="20"/>
        <w:szCs w:val="20"/>
      </w:rPr>
      <w:fldChar w:fldCharType="begin"/>
    </w:r>
    <w:r w:rsidRPr="002A2695">
      <w:rPr>
        <w:rFonts w:ascii="Palatino Linotype" w:eastAsia="Arial" w:hAnsi="Palatino Linotype" w:cs="Arial"/>
        <w:b/>
        <w:color w:val="000000"/>
        <w:sz w:val="20"/>
        <w:szCs w:val="20"/>
      </w:rPr>
      <w:instrText>PAGE</w:instrText>
    </w:r>
    <w:r w:rsidRPr="002A2695">
      <w:rPr>
        <w:rFonts w:ascii="Palatino Linotype" w:eastAsia="Arial" w:hAnsi="Palatino Linotype" w:cs="Arial"/>
        <w:b/>
        <w:color w:val="000000"/>
        <w:sz w:val="20"/>
        <w:szCs w:val="20"/>
      </w:rPr>
      <w:fldChar w:fldCharType="separate"/>
    </w:r>
    <w:r w:rsidR="002A2695">
      <w:rPr>
        <w:rFonts w:ascii="Palatino Linotype" w:eastAsia="Arial" w:hAnsi="Palatino Linotype" w:cs="Arial"/>
        <w:b/>
        <w:noProof/>
        <w:color w:val="000000"/>
        <w:sz w:val="20"/>
        <w:szCs w:val="20"/>
      </w:rPr>
      <w:t>21</w:t>
    </w:r>
    <w:r w:rsidRPr="002A2695">
      <w:rPr>
        <w:rFonts w:ascii="Palatino Linotype" w:eastAsia="Arial" w:hAnsi="Palatino Linotype" w:cs="Arial"/>
        <w:b/>
        <w:color w:val="000000"/>
        <w:sz w:val="20"/>
        <w:szCs w:val="20"/>
      </w:rPr>
      <w:fldChar w:fldCharType="end"/>
    </w:r>
    <w:r w:rsidRPr="002A2695">
      <w:rPr>
        <w:rFonts w:ascii="Palatino Linotype" w:eastAsia="Arial" w:hAnsi="Palatino Linotype" w:cs="Arial"/>
        <w:color w:val="000000"/>
        <w:sz w:val="20"/>
        <w:szCs w:val="20"/>
      </w:rPr>
      <w:t xml:space="preserve"> de </w:t>
    </w:r>
    <w:r w:rsidRPr="002A2695">
      <w:rPr>
        <w:rFonts w:ascii="Palatino Linotype" w:eastAsia="Arial" w:hAnsi="Palatino Linotype" w:cs="Arial"/>
        <w:b/>
        <w:color w:val="000000"/>
        <w:sz w:val="20"/>
        <w:szCs w:val="20"/>
      </w:rPr>
      <w:fldChar w:fldCharType="begin"/>
    </w:r>
    <w:r w:rsidRPr="002A2695">
      <w:rPr>
        <w:rFonts w:ascii="Palatino Linotype" w:eastAsia="Arial" w:hAnsi="Palatino Linotype" w:cs="Arial"/>
        <w:b/>
        <w:color w:val="000000"/>
        <w:sz w:val="20"/>
        <w:szCs w:val="20"/>
      </w:rPr>
      <w:instrText>NUMPAGES</w:instrText>
    </w:r>
    <w:r w:rsidRPr="002A2695">
      <w:rPr>
        <w:rFonts w:ascii="Palatino Linotype" w:eastAsia="Arial" w:hAnsi="Palatino Linotype" w:cs="Arial"/>
        <w:b/>
        <w:color w:val="000000"/>
        <w:sz w:val="20"/>
        <w:szCs w:val="20"/>
      </w:rPr>
      <w:fldChar w:fldCharType="separate"/>
    </w:r>
    <w:r w:rsidR="002A2695">
      <w:rPr>
        <w:rFonts w:ascii="Palatino Linotype" w:eastAsia="Arial" w:hAnsi="Palatino Linotype" w:cs="Arial"/>
        <w:b/>
        <w:noProof/>
        <w:color w:val="000000"/>
        <w:sz w:val="20"/>
        <w:szCs w:val="20"/>
      </w:rPr>
      <w:t>28</w:t>
    </w:r>
    <w:r w:rsidRPr="002A2695">
      <w:rPr>
        <w:rFonts w:ascii="Palatino Linotype" w:eastAsia="Arial" w:hAnsi="Palatino Linotype" w:cs="Arial"/>
        <w:b/>
        <w:color w:val="000000"/>
        <w:sz w:val="20"/>
        <w:szCs w:val="20"/>
      </w:rPr>
      <w:fldChar w:fldCharType="end"/>
    </w:r>
  </w:p>
  <w:p w14:paraId="14D45962" w14:textId="77777777" w:rsidR="006C0FDA" w:rsidRDefault="006C0FDA">
    <w:pPr>
      <w:pBdr>
        <w:top w:val="nil"/>
        <w:left w:val="nil"/>
        <w:bottom w:val="nil"/>
        <w:right w:val="nil"/>
        <w:between w:val="nil"/>
      </w:pBdr>
      <w:tabs>
        <w:tab w:val="center" w:pos="4252"/>
        <w:tab w:val="right" w:pos="8504"/>
      </w:tabs>
      <w:rPr>
        <w:color w:val="000000"/>
      </w:rPr>
    </w:pPr>
  </w:p>
  <w:p w14:paraId="3175D440" w14:textId="77777777" w:rsidR="006C0FDA" w:rsidRDefault="006C0FD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EB07" w14:textId="77777777" w:rsidR="006C0FDA" w:rsidRPr="002A2695" w:rsidRDefault="006C0FDA">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2A2695">
      <w:rPr>
        <w:rFonts w:ascii="Palatino Linotype" w:eastAsia="Arial" w:hAnsi="Palatino Linotype" w:cs="Arial"/>
        <w:b/>
        <w:color w:val="000000"/>
        <w:sz w:val="20"/>
        <w:szCs w:val="20"/>
      </w:rPr>
      <w:t xml:space="preserve">Página </w:t>
    </w:r>
    <w:r w:rsidRPr="002A2695">
      <w:rPr>
        <w:rFonts w:ascii="Palatino Linotype" w:eastAsia="Arial" w:hAnsi="Palatino Linotype" w:cs="Arial"/>
        <w:b/>
        <w:color w:val="000000"/>
        <w:sz w:val="20"/>
        <w:szCs w:val="20"/>
      </w:rPr>
      <w:fldChar w:fldCharType="begin"/>
    </w:r>
    <w:r w:rsidRPr="002A2695">
      <w:rPr>
        <w:rFonts w:ascii="Palatino Linotype" w:eastAsia="Arial" w:hAnsi="Palatino Linotype" w:cs="Arial"/>
        <w:b/>
        <w:color w:val="000000"/>
        <w:sz w:val="20"/>
        <w:szCs w:val="20"/>
      </w:rPr>
      <w:instrText>PAGE</w:instrText>
    </w:r>
    <w:r w:rsidRPr="002A2695">
      <w:rPr>
        <w:rFonts w:ascii="Palatino Linotype" w:eastAsia="Arial" w:hAnsi="Palatino Linotype" w:cs="Arial"/>
        <w:b/>
        <w:color w:val="000000"/>
        <w:sz w:val="20"/>
        <w:szCs w:val="20"/>
      </w:rPr>
      <w:fldChar w:fldCharType="separate"/>
    </w:r>
    <w:r w:rsidR="002A2695">
      <w:rPr>
        <w:rFonts w:ascii="Palatino Linotype" w:eastAsia="Arial" w:hAnsi="Palatino Linotype" w:cs="Arial"/>
        <w:b/>
        <w:noProof/>
        <w:color w:val="000000"/>
        <w:sz w:val="20"/>
        <w:szCs w:val="20"/>
      </w:rPr>
      <w:t>1</w:t>
    </w:r>
    <w:r w:rsidRPr="002A2695">
      <w:rPr>
        <w:rFonts w:ascii="Palatino Linotype" w:eastAsia="Arial" w:hAnsi="Palatino Linotype" w:cs="Arial"/>
        <w:b/>
        <w:color w:val="000000"/>
        <w:sz w:val="20"/>
        <w:szCs w:val="20"/>
      </w:rPr>
      <w:fldChar w:fldCharType="end"/>
    </w:r>
    <w:r w:rsidRPr="002A2695">
      <w:rPr>
        <w:rFonts w:ascii="Palatino Linotype" w:eastAsia="Arial" w:hAnsi="Palatino Linotype" w:cs="Arial"/>
        <w:color w:val="000000"/>
        <w:sz w:val="20"/>
        <w:szCs w:val="20"/>
      </w:rPr>
      <w:t xml:space="preserve"> de </w:t>
    </w:r>
    <w:r w:rsidRPr="002A2695">
      <w:rPr>
        <w:rFonts w:ascii="Palatino Linotype" w:eastAsia="Arial" w:hAnsi="Palatino Linotype" w:cs="Arial"/>
        <w:b/>
        <w:color w:val="000000"/>
        <w:sz w:val="20"/>
        <w:szCs w:val="20"/>
      </w:rPr>
      <w:fldChar w:fldCharType="begin"/>
    </w:r>
    <w:r w:rsidRPr="002A2695">
      <w:rPr>
        <w:rFonts w:ascii="Palatino Linotype" w:eastAsia="Arial" w:hAnsi="Palatino Linotype" w:cs="Arial"/>
        <w:b/>
        <w:color w:val="000000"/>
        <w:sz w:val="20"/>
        <w:szCs w:val="20"/>
      </w:rPr>
      <w:instrText>NUMPAGES</w:instrText>
    </w:r>
    <w:r w:rsidRPr="002A2695">
      <w:rPr>
        <w:rFonts w:ascii="Palatino Linotype" w:eastAsia="Arial" w:hAnsi="Palatino Linotype" w:cs="Arial"/>
        <w:b/>
        <w:color w:val="000000"/>
        <w:sz w:val="20"/>
        <w:szCs w:val="20"/>
      </w:rPr>
      <w:fldChar w:fldCharType="separate"/>
    </w:r>
    <w:r w:rsidR="002A2695">
      <w:rPr>
        <w:rFonts w:ascii="Palatino Linotype" w:eastAsia="Arial" w:hAnsi="Palatino Linotype" w:cs="Arial"/>
        <w:b/>
        <w:noProof/>
        <w:color w:val="000000"/>
        <w:sz w:val="20"/>
        <w:szCs w:val="20"/>
      </w:rPr>
      <w:t>28</w:t>
    </w:r>
    <w:r w:rsidRPr="002A2695">
      <w:rPr>
        <w:rFonts w:ascii="Palatino Linotype" w:eastAsia="Arial" w:hAnsi="Palatino Linotype" w:cs="Arial"/>
        <w:b/>
        <w:color w:val="000000"/>
        <w:sz w:val="20"/>
        <w:szCs w:val="20"/>
      </w:rPr>
      <w:fldChar w:fldCharType="end"/>
    </w:r>
  </w:p>
  <w:p w14:paraId="2EC84A7A" w14:textId="77777777" w:rsidR="006C0FDA" w:rsidRDefault="006C0FD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349ED" w14:textId="77777777" w:rsidR="00730AA2" w:rsidRDefault="00730AA2">
      <w:r>
        <w:separator/>
      </w:r>
    </w:p>
  </w:footnote>
  <w:footnote w:type="continuationSeparator" w:id="0">
    <w:p w14:paraId="4F54FCAB" w14:textId="77777777" w:rsidR="00730AA2" w:rsidRDefault="00730AA2">
      <w:r>
        <w:continuationSeparator/>
      </w:r>
    </w:p>
  </w:footnote>
  <w:footnote w:id="1">
    <w:p w14:paraId="057DEE60" w14:textId="77777777" w:rsidR="006C0FDA" w:rsidRDefault="006C0FDA"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14:paraId="4B2E7952" w14:textId="77777777" w:rsidR="006C0FDA" w:rsidRDefault="006C0FDA"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14:paraId="50F10B37" w14:textId="77777777" w:rsidR="006C0FDA" w:rsidRDefault="006C0FDA"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14:paraId="4A48214F" w14:textId="77777777" w:rsidR="006C0FDA" w:rsidRDefault="006C0FDA"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12" w:type="dxa"/>
      <w:tblInd w:w="2694" w:type="dxa"/>
      <w:tblLayout w:type="fixed"/>
      <w:tblLook w:val="0400" w:firstRow="0" w:lastRow="0" w:firstColumn="0" w:lastColumn="0" w:noHBand="0" w:noVBand="1"/>
    </w:tblPr>
    <w:tblGrid>
      <w:gridCol w:w="2835"/>
      <w:gridCol w:w="4677"/>
    </w:tblGrid>
    <w:tr w:rsidR="006C0FDA" w14:paraId="152984FE" w14:textId="77777777" w:rsidTr="009E67FF">
      <w:tc>
        <w:tcPr>
          <w:tcW w:w="2835" w:type="dxa"/>
          <w:vAlign w:val="center"/>
        </w:tcPr>
        <w:p w14:paraId="34F1926B" w14:textId="6FB0C215" w:rsidR="006C0FDA" w:rsidRPr="00D2394D" w:rsidRDefault="006C0FDA" w:rsidP="00D2394D">
          <w:pPr>
            <w:jc w:val="right"/>
            <w:rPr>
              <w:rFonts w:ascii="Palatino Linotype" w:eastAsia="Palatino Linotype" w:hAnsi="Palatino Linotype" w:cs="Palatino Linotype"/>
              <w:b/>
              <w:color w:val="000000" w:themeColor="text1"/>
            </w:rPr>
          </w:pPr>
          <w:r w:rsidRPr="00D2394D">
            <w:rPr>
              <w:rFonts w:ascii="Palatino Linotype" w:eastAsia="Palatino Linotype" w:hAnsi="Palatino Linotype" w:cs="Palatino Linotype"/>
              <w:b/>
              <w:color w:val="000000" w:themeColor="text1"/>
            </w:rPr>
            <w:t>Recurso de Revisión:</w:t>
          </w:r>
        </w:p>
      </w:tc>
      <w:tc>
        <w:tcPr>
          <w:tcW w:w="4677" w:type="dxa"/>
          <w:vAlign w:val="center"/>
        </w:tcPr>
        <w:p w14:paraId="328AE2BF" w14:textId="77777777" w:rsidR="006C0FDA" w:rsidRPr="00D2394D" w:rsidRDefault="006C0FDA" w:rsidP="002A2695">
          <w:pPr>
            <w:ind w:left="-115"/>
            <w:rPr>
              <w:rFonts w:ascii="Palatino Linotype" w:eastAsia="Palatino Linotype" w:hAnsi="Palatino Linotype" w:cs="Palatino Linotype"/>
              <w:color w:val="000000" w:themeColor="text1"/>
            </w:rPr>
          </w:pPr>
          <w:r w:rsidRPr="00D2394D">
            <w:rPr>
              <w:rFonts w:ascii="Palatino Linotype" w:eastAsia="Palatino Linotype" w:hAnsi="Palatino Linotype" w:cs="Palatino Linotype"/>
              <w:color w:val="000000" w:themeColor="text1"/>
            </w:rPr>
            <w:t>12083/INFOEM/IP/RR/2025</w:t>
          </w:r>
        </w:p>
      </w:tc>
    </w:tr>
    <w:tr w:rsidR="006C0FDA" w14:paraId="592CE548" w14:textId="77777777" w:rsidTr="009E67FF">
      <w:trPr>
        <w:trHeight w:val="228"/>
      </w:trPr>
      <w:tc>
        <w:tcPr>
          <w:tcW w:w="2835" w:type="dxa"/>
          <w:vAlign w:val="center"/>
        </w:tcPr>
        <w:p w14:paraId="740ABCF4" w14:textId="77777777" w:rsidR="006C0FDA" w:rsidRPr="00D2394D" w:rsidRDefault="006C0FDA" w:rsidP="00D2394D">
          <w:pPr>
            <w:jc w:val="right"/>
            <w:rPr>
              <w:rFonts w:ascii="Palatino Linotype" w:eastAsia="Palatino Linotype" w:hAnsi="Palatino Linotype" w:cs="Palatino Linotype"/>
              <w:b/>
              <w:color w:val="000000" w:themeColor="text1"/>
            </w:rPr>
          </w:pPr>
          <w:r w:rsidRPr="00D2394D">
            <w:rPr>
              <w:rFonts w:ascii="Palatino Linotype" w:eastAsia="Palatino Linotype" w:hAnsi="Palatino Linotype" w:cs="Palatino Linotype"/>
              <w:b/>
              <w:color w:val="000000" w:themeColor="text1"/>
            </w:rPr>
            <w:t>Sujeto Obligado:</w:t>
          </w:r>
        </w:p>
        <w:p w14:paraId="5AFFDBF2" w14:textId="77777777" w:rsidR="009E67FF" w:rsidRPr="00D2394D" w:rsidRDefault="009E67FF" w:rsidP="00D2394D">
          <w:pPr>
            <w:jc w:val="right"/>
            <w:rPr>
              <w:rFonts w:ascii="Palatino Linotype" w:eastAsia="Palatino Linotype" w:hAnsi="Palatino Linotype" w:cs="Palatino Linotype"/>
              <w:b/>
              <w:color w:val="000000" w:themeColor="text1"/>
            </w:rPr>
          </w:pPr>
        </w:p>
        <w:p w14:paraId="24A5B4B3" w14:textId="77777777" w:rsidR="009E67FF" w:rsidRPr="00D2394D" w:rsidRDefault="009E67FF" w:rsidP="00D2394D">
          <w:pPr>
            <w:jc w:val="right"/>
            <w:rPr>
              <w:rFonts w:ascii="Palatino Linotype" w:eastAsia="Palatino Linotype" w:hAnsi="Palatino Linotype" w:cs="Palatino Linotype"/>
              <w:b/>
              <w:color w:val="000000" w:themeColor="text1"/>
            </w:rPr>
          </w:pPr>
        </w:p>
        <w:p w14:paraId="74DFC250" w14:textId="77777777" w:rsidR="009E67FF" w:rsidRPr="00D2394D" w:rsidRDefault="009E67FF" w:rsidP="00D2394D">
          <w:pPr>
            <w:jc w:val="right"/>
            <w:rPr>
              <w:rFonts w:ascii="Palatino Linotype" w:eastAsia="Palatino Linotype" w:hAnsi="Palatino Linotype" w:cs="Palatino Linotype"/>
              <w:b/>
              <w:color w:val="000000" w:themeColor="text1"/>
            </w:rPr>
          </w:pPr>
        </w:p>
      </w:tc>
      <w:tc>
        <w:tcPr>
          <w:tcW w:w="4677" w:type="dxa"/>
          <w:vAlign w:val="center"/>
        </w:tcPr>
        <w:p w14:paraId="472E6030" w14:textId="77777777" w:rsidR="006C0FDA" w:rsidRPr="00D2394D" w:rsidRDefault="006C0FDA" w:rsidP="002A2695">
          <w:pPr>
            <w:ind w:left="-115"/>
            <w:rPr>
              <w:rFonts w:ascii="Palatino Linotype" w:eastAsia="Palatino Linotype" w:hAnsi="Palatino Linotype" w:cs="Palatino Linotype"/>
              <w:color w:val="000000" w:themeColor="text1"/>
            </w:rPr>
          </w:pPr>
          <w:r w:rsidRPr="00D2394D">
            <w:rPr>
              <w:rFonts w:ascii="Palatino Linotype" w:eastAsia="Palatino Linotype" w:hAnsi="Palatino Linotype" w:cs="Palatino Linotype"/>
              <w:color w:val="000000" w:themeColor="text1"/>
            </w:rPr>
            <w:t>Organismo Público Descentralizado para la Prestación de los Servicios de Agua Potable, Alcantarillado y Saneamiento de Teoloyucan</w:t>
          </w:r>
        </w:p>
      </w:tc>
    </w:tr>
    <w:tr w:rsidR="006C0FDA" w14:paraId="63893BC4" w14:textId="77777777" w:rsidTr="009E67FF">
      <w:tc>
        <w:tcPr>
          <w:tcW w:w="2835" w:type="dxa"/>
          <w:vAlign w:val="center"/>
        </w:tcPr>
        <w:p w14:paraId="2A64DED0" w14:textId="77777777" w:rsidR="006C0FDA" w:rsidRPr="00D2394D" w:rsidRDefault="006C0FDA" w:rsidP="00D2394D">
          <w:pPr>
            <w:jc w:val="right"/>
            <w:rPr>
              <w:rFonts w:ascii="Palatino Linotype" w:eastAsia="Palatino Linotype" w:hAnsi="Palatino Linotype" w:cs="Palatino Linotype"/>
              <w:b/>
              <w:color w:val="000000" w:themeColor="text1"/>
            </w:rPr>
          </w:pPr>
          <w:r w:rsidRPr="00D2394D">
            <w:rPr>
              <w:rFonts w:ascii="Palatino Linotype" w:eastAsia="Palatino Linotype" w:hAnsi="Palatino Linotype" w:cs="Palatino Linotype"/>
              <w:b/>
              <w:color w:val="000000" w:themeColor="text1"/>
            </w:rPr>
            <w:t>Comisionada Ponente:</w:t>
          </w:r>
        </w:p>
      </w:tc>
      <w:tc>
        <w:tcPr>
          <w:tcW w:w="4677" w:type="dxa"/>
          <w:vAlign w:val="center"/>
        </w:tcPr>
        <w:p w14:paraId="7AC49B5D" w14:textId="77777777" w:rsidR="006C0FDA" w:rsidRPr="00D2394D" w:rsidRDefault="006C0FDA" w:rsidP="002A2695">
          <w:pPr>
            <w:ind w:left="-115"/>
            <w:rPr>
              <w:rFonts w:ascii="Palatino Linotype" w:eastAsia="Palatino Linotype" w:hAnsi="Palatino Linotype" w:cs="Palatino Linotype"/>
              <w:color w:val="000000" w:themeColor="text1"/>
            </w:rPr>
          </w:pPr>
          <w:r w:rsidRPr="00D2394D">
            <w:rPr>
              <w:rFonts w:ascii="Palatino Linotype" w:eastAsia="Palatino Linotype" w:hAnsi="Palatino Linotype" w:cs="Palatino Linotype"/>
              <w:color w:val="000000" w:themeColor="text1"/>
            </w:rPr>
            <w:t>María del Rosario Mejía Ayala</w:t>
          </w:r>
        </w:p>
      </w:tc>
    </w:tr>
  </w:tbl>
  <w:p w14:paraId="22C6A725" w14:textId="6B128E4C" w:rsidR="006C0FDA" w:rsidRDefault="002A269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48DE08BF" wp14:editId="57741E8D">
          <wp:simplePos x="0" y="0"/>
          <wp:positionH relativeFrom="margin">
            <wp:posOffset>-1038057</wp:posOffset>
          </wp:positionH>
          <wp:positionV relativeFrom="paragraph">
            <wp:posOffset>-1618136</wp:posOffset>
          </wp:positionV>
          <wp:extent cx="7813085" cy="10170000"/>
          <wp:effectExtent l="0" t="0" r="0" b="3175"/>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6C0FDA">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2" w:type="dxa"/>
      <w:tblInd w:w="2694" w:type="dxa"/>
      <w:tblLayout w:type="fixed"/>
      <w:tblLook w:val="0400" w:firstRow="0" w:lastRow="0" w:firstColumn="0" w:lastColumn="0" w:noHBand="0" w:noVBand="1"/>
    </w:tblPr>
    <w:tblGrid>
      <w:gridCol w:w="2835"/>
      <w:gridCol w:w="4677"/>
    </w:tblGrid>
    <w:tr w:rsidR="006C0FDA" w14:paraId="22505458" w14:textId="77777777" w:rsidTr="009E67FF">
      <w:tc>
        <w:tcPr>
          <w:tcW w:w="2835" w:type="dxa"/>
          <w:vAlign w:val="center"/>
        </w:tcPr>
        <w:p w14:paraId="45DB403B" w14:textId="0A8BE7E8" w:rsidR="006C0FDA" w:rsidRPr="009E67FF" w:rsidRDefault="006C0FDA" w:rsidP="002A2695">
          <w:pPr>
            <w:jc w:val="right"/>
            <w:rPr>
              <w:rFonts w:ascii="Palatino Linotype" w:eastAsia="Palatino Linotype" w:hAnsi="Palatino Linotype" w:cs="Palatino Linotype"/>
              <w:b/>
            </w:rPr>
          </w:pPr>
          <w:r w:rsidRPr="009E67FF">
            <w:rPr>
              <w:rFonts w:ascii="Palatino Linotype" w:eastAsia="Palatino Linotype" w:hAnsi="Palatino Linotype" w:cs="Palatino Linotype"/>
              <w:b/>
            </w:rPr>
            <w:t>Recurso de Revisión:</w:t>
          </w:r>
        </w:p>
      </w:tc>
      <w:tc>
        <w:tcPr>
          <w:tcW w:w="4677" w:type="dxa"/>
          <w:vAlign w:val="center"/>
        </w:tcPr>
        <w:p w14:paraId="073BF5C6" w14:textId="77777777" w:rsidR="006C0FDA" w:rsidRPr="009E67FF" w:rsidRDefault="006C0FDA" w:rsidP="002A2695">
          <w:pPr>
            <w:rPr>
              <w:rFonts w:ascii="Palatino Linotype" w:eastAsia="Palatino Linotype" w:hAnsi="Palatino Linotype" w:cs="Palatino Linotype"/>
            </w:rPr>
          </w:pPr>
          <w:r w:rsidRPr="009E67FF">
            <w:rPr>
              <w:rFonts w:ascii="Palatino Linotype" w:eastAsia="Palatino Linotype" w:hAnsi="Palatino Linotype" w:cs="Palatino Linotype"/>
            </w:rPr>
            <w:t xml:space="preserve">012083/INFOEM/IP/RR/2025 </w:t>
          </w:r>
        </w:p>
      </w:tc>
    </w:tr>
    <w:tr w:rsidR="006C0FDA" w14:paraId="0FC9ECFD" w14:textId="77777777" w:rsidTr="009E67FF">
      <w:tc>
        <w:tcPr>
          <w:tcW w:w="2835" w:type="dxa"/>
          <w:vAlign w:val="center"/>
        </w:tcPr>
        <w:p w14:paraId="7EC07C45" w14:textId="77777777" w:rsidR="006C0FDA" w:rsidRPr="009E67FF" w:rsidRDefault="006C0FDA" w:rsidP="009E67FF">
          <w:pPr>
            <w:ind w:left="35" w:hanging="35"/>
            <w:jc w:val="right"/>
            <w:rPr>
              <w:rFonts w:ascii="Palatino Linotype" w:eastAsia="Palatino Linotype" w:hAnsi="Palatino Linotype" w:cs="Palatino Linotype"/>
              <w:b/>
            </w:rPr>
          </w:pPr>
          <w:r w:rsidRPr="009E67FF">
            <w:rPr>
              <w:rFonts w:ascii="Palatino Linotype" w:eastAsia="Palatino Linotype" w:hAnsi="Palatino Linotype" w:cs="Palatino Linotype"/>
              <w:b/>
            </w:rPr>
            <w:t>Recurrente:</w:t>
          </w:r>
        </w:p>
      </w:tc>
      <w:tc>
        <w:tcPr>
          <w:tcW w:w="4677" w:type="dxa"/>
          <w:vAlign w:val="center"/>
        </w:tcPr>
        <w:p w14:paraId="396C6E22" w14:textId="77777777" w:rsidR="006C0FDA" w:rsidRPr="009E67FF" w:rsidRDefault="006C0FDA" w:rsidP="002A2695">
          <w:pPr>
            <w:rPr>
              <w:rFonts w:ascii="Palatino Linotype" w:eastAsia="Palatino Linotype" w:hAnsi="Palatino Linotype" w:cs="Palatino Linotype"/>
            </w:rPr>
          </w:pPr>
          <w:r w:rsidRPr="009E67FF">
            <w:rPr>
              <w:rFonts w:ascii="Palatino Linotype" w:eastAsia="Palatino Linotype" w:hAnsi="Palatino Linotype" w:cs="Palatino Linotype"/>
            </w:rPr>
            <w:t> </w:t>
          </w:r>
        </w:p>
      </w:tc>
    </w:tr>
    <w:tr w:rsidR="006C0FDA" w14:paraId="61FC1988" w14:textId="77777777" w:rsidTr="009E67FF">
      <w:trPr>
        <w:trHeight w:val="228"/>
      </w:trPr>
      <w:tc>
        <w:tcPr>
          <w:tcW w:w="2835" w:type="dxa"/>
          <w:vAlign w:val="center"/>
        </w:tcPr>
        <w:p w14:paraId="707C810F" w14:textId="77777777" w:rsidR="006C0FDA" w:rsidRDefault="006C0FDA" w:rsidP="009E67FF">
          <w:pPr>
            <w:jc w:val="right"/>
            <w:rPr>
              <w:rFonts w:ascii="Palatino Linotype" w:eastAsia="Palatino Linotype" w:hAnsi="Palatino Linotype" w:cs="Palatino Linotype"/>
              <w:b/>
            </w:rPr>
          </w:pPr>
          <w:r w:rsidRPr="009E67FF">
            <w:rPr>
              <w:rFonts w:ascii="Palatino Linotype" w:eastAsia="Palatino Linotype" w:hAnsi="Palatino Linotype" w:cs="Palatino Linotype"/>
              <w:b/>
            </w:rPr>
            <w:t>Sujeto Obligado:</w:t>
          </w:r>
        </w:p>
        <w:p w14:paraId="737019F4" w14:textId="77777777" w:rsidR="009E67FF" w:rsidRDefault="009E67FF" w:rsidP="009E67FF">
          <w:pPr>
            <w:jc w:val="right"/>
            <w:rPr>
              <w:rFonts w:ascii="Palatino Linotype" w:eastAsia="Palatino Linotype" w:hAnsi="Palatino Linotype" w:cs="Palatino Linotype"/>
              <w:b/>
            </w:rPr>
          </w:pPr>
        </w:p>
        <w:p w14:paraId="2EA08912" w14:textId="77777777" w:rsidR="009E67FF" w:rsidRDefault="009E67FF" w:rsidP="009E67FF">
          <w:pPr>
            <w:jc w:val="right"/>
            <w:rPr>
              <w:rFonts w:ascii="Palatino Linotype" w:eastAsia="Palatino Linotype" w:hAnsi="Palatino Linotype" w:cs="Palatino Linotype"/>
              <w:b/>
            </w:rPr>
          </w:pPr>
        </w:p>
        <w:p w14:paraId="50956932" w14:textId="77777777" w:rsidR="009E67FF" w:rsidRPr="009E67FF" w:rsidRDefault="009E67FF" w:rsidP="009E67FF">
          <w:pPr>
            <w:jc w:val="right"/>
            <w:rPr>
              <w:rFonts w:ascii="Palatino Linotype" w:eastAsia="Palatino Linotype" w:hAnsi="Palatino Linotype" w:cs="Palatino Linotype"/>
              <w:b/>
            </w:rPr>
          </w:pPr>
        </w:p>
      </w:tc>
      <w:tc>
        <w:tcPr>
          <w:tcW w:w="4677" w:type="dxa"/>
          <w:vAlign w:val="center"/>
        </w:tcPr>
        <w:p w14:paraId="0EF1815A" w14:textId="77777777" w:rsidR="006C0FDA" w:rsidRPr="009E67FF" w:rsidRDefault="006C0FDA" w:rsidP="002A2695">
          <w:pPr>
            <w:ind w:hanging="35"/>
            <w:rPr>
              <w:rFonts w:ascii="Palatino Linotype" w:eastAsia="Palatino Linotype" w:hAnsi="Palatino Linotype" w:cs="Palatino Linotype"/>
            </w:rPr>
          </w:pPr>
          <w:r w:rsidRPr="009E67FF">
            <w:rPr>
              <w:rFonts w:ascii="Palatino Linotype" w:eastAsia="Palatino Linotype" w:hAnsi="Palatino Linotype" w:cs="Palatino Linotype"/>
              <w:color w:val="000000"/>
            </w:rPr>
            <w:t>Organismo Público Descentralizado para la Prestación de los Servicios de Agua Potable, Alcantarillado y Saneamiento de Teoloyucan</w:t>
          </w:r>
        </w:p>
      </w:tc>
    </w:tr>
    <w:tr w:rsidR="006C0FDA" w14:paraId="35D78EEB" w14:textId="77777777" w:rsidTr="009E67FF">
      <w:tc>
        <w:tcPr>
          <w:tcW w:w="2835" w:type="dxa"/>
          <w:vAlign w:val="center"/>
        </w:tcPr>
        <w:p w14:paraId="1F6C6D52" w14:textId="77777777" w:rsidR="006C0FDA" w:rsidRPr="009E67FF" w:rsidRDefault="006C0FDA" w:rsidP="009E67FF">
          <w:pPr>
            <w:jc w:val="right"/>
            <w:rPr>
              <w:rFonts w:ascii="Palatino Linotype" w:eastAsia="Palatino Linotype" w:hAnsi="Palatino Linotype" w:cs="Palatino Linotype"/>
              <w:b/>
            </w:rPr>
          </w:pPr>
          <w:r w:rsidRPr="009E67FF">
            <w:rPr>
              <w:rFonts w:ascii="Palatino Linotype" w:eastAsia="Palatino Linotype" w:hAnsi="Palatino Linotype" w:cs="Palatino Linotype"/>
              <w:b/>
            </w:rPr>
            <w:t>Comisionada Ponente:</w:t>
          </w:r>
        </w:p>
      </w:tc>
      <w:tc>
        <w:tcPr>
          <w:tcW w:w="4677" w:type="dxa"/>
          <w:vAlign w:val="center"/>
        </w:tcPr>
        <w:p w14:paraId="1DAAA062" w14:textId="77777777" w:rsidR="006C0FDA" w:rsidRPr="009E67FF" w:rsidRDefault="006C0FDA" w:rsidP="002A2695">
          <w:pPr>
            <w:rPr>
              <w:rFonts w:ascii="Palatino Linotype" w:eastAsia="Palatino Linotype" w:hAnsi="Palatino Linotype" w:cs="Palatino Linotype"/>
            </w:rPr>
          </w:pPr>
          <w:r w:rsidRPr="009E67FF">
            <w:rPr>
              <w:rFonts w:ascii="Palatino Linotype" w:eastAsia="Palatino Linotype" w:hAnsi="Palatino Linotype" w:cs="Palatino Linotype"/>
            </w:rPr>
            <w:t>María del Rosario Mejía Ayala</w:t>
          </w:r>
        </w:p>
      </w:tc>
    </w:tr>
  </w:tbl>
  <w:p w14:paraId="29929381" w14:textId="344C58B8" w:rsidR="006C0FDA" w:rsidRDefault="002A2695">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5E56744D" wp14:editId="722C156B">
          <wp:simplePos x="0" y="0"/>
          <wp:positionH relativeFrom="page">
            <wp:align>right</wp:align>
          </wp:positionH>
          <wp:positionV relativeFrom="paragraph">
            <wp:posOffset>-1893522</wp:posOffset>
          </wp:positionV>
          <wp:extent cx="7813085" cy="10170000"/>
          <wp:effectExtent l="0" t="0" r="0" b="3175"/>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823A8"/>
    <w:multiLevelType w:val="multilevel"/>
    <w:tmpl w:val="44CA677E"/>
    <w:lvl w:ilvl="0">
      <w:start w:val="1"/>
      <w:numFmt w:val="decimal"/>
      <w:lvlText w:val="%1."/>
      <w:lvlJc w:val="left"/>
      <w:pPr>
        <w:ind w:left="360"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CC16CC"/>
    <w:multiLevelType w:val="multilevel"/>
    <w:tmpl w:val="32206590"/>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9B522A"/>
    <w:multiLevelType w:val="multilevel"/>
    <w:tmpl w:val="C792B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376A84"/>
    <w:multiLevelType w:val="multilevel"/>
    <w:tmpl w:val="330A62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C40BD6"/>
    <w:multiLevelType w:val="hybridMultilevel"/>
    <w:tmpl w:val="2BAA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E60658"/>
    <w:multiLevelType w:val="multilevel"/>
    <w:tmpl w:val="38848D7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2B0514D4"/>
    <w:multiLevelType w:val="multilevel"/>
    <w:tmpl w:val="8164662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6D2203"/>
    <w:multiLevelType w:val="multilevel"/>
    <w:tmpl w:val="FF3AEB0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3D2B60C3"/>
    <w:multiLevelType w:val="multilevel"/>
    <w:tmpl w:val="E3E670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674F6E"/>
    <w:multiLevelType w:val="multilevel"/>
    <w:tmpl w:val="0D4A476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2CB51BD"/>
    <w:multiLevelType w:val="multilevel"/>
    <w:tmpl w:val="F3A8377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9070BB6"/>
    <w:multiLevelType w:val="multilevel"/>
    <w:tmpl w:val="05308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DE7923"/>
    <w:multiLevelType w:val="multilevel"/>
    <w:tmpl w:val="2F703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FB5190A"/>
    <w:multiLevelType w:val="multilevel"/>
    <w:tmpl w:val="9392D9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9"/>
  </w:num>
  <w:num w:numId="3">
    <w:abstractNumId w:val="20"/>
  </w:num>
  <w:num w:numId="4">
    <w:abstractNumId w:val="18"/>
  </w:num>
  <w:num w:numId="5">
    <w:abstractNumId w:val="5"/>
  </w:num>
  <w:num w:numId="6">
    <w:abstractNumId w:val="2"/>
  </w:num>
  <w:num w:numId="7">
    <w:abstractNumId w:val="17"/>
  </w:num>
  <w:num w:numId="8">
    <w:abstractNumId w:val="15"/>
  </w:num>
  <w:num w:numId="9">
    <w:abstractNumId w:val="8"/>
  </w:num>
  <w:num w:numId="10">
    <w:abstractNumId w:val="4"/>
  </w:num>
  <w:num w:numId="11">
    <w:abstractNumId w:val="13"/>
  </w:num>
  <w:num w:numId="12">
    <w:abstractNumId w:val="12"/>
  </w:num>
  <w:num w:numId="13">
    <w:abstractNumId w:val="16"/>
  </w:num>
  <w:num w:numId="14">
    <w:abstractNumId w:val="1"/>
  </w:num>
  <w:num w:numId="15">
    <w:abstractNumId w:val="0"/>
  </w:num>
  <w:num w:numId="16">
    <w:abstractNumId w:val="9"/>
  </w:num>
  <w:num w:numId="17">
    <w:abstractNumId w:val="11"/>
  </w:num>
  <w:num w:numId="18">
    <w:abstractNumId w:val="10"/>
  </w:num>
  <w:num w:numId="19">
    <w:abstractNumId w:val="14"/>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EF"/>
    <w:rsid w:val="00026496"/>
    <w:rsid w:val="00030A93"/>
    <w:rsid w:val="00036087"/>
    <w:rsid w:val="00041A39"/>
    <w:rsid w:val="000A111E"/>
    <w:rsid w:val="001A5B79"/>
    <w:rsid w:val="001B1E97"/>
    <w:rsid w:val="001C642C"/>
    <w:rsid w:val="001E7E4E"/>
    <w:rsid w:val="0020381C"/>
    <w:rsid w:val="002533B5"/>
    <w:rsid w:val="0028607B"/>
    <w:rsid w:val="00287F42"/>
    <w:rsid w:val="00294238"/>
    <w:rsid w:val="002A2695"/>
    <w:rsid w:val="00305F80"/>
    <w:rsid w:val="00330872"/>
    <w:rsid w:val="003337B1"/>
    <w:rsid w:val="003F736A"/>
    <w:rsid w:val="00480BEB"/>
    <w:rsid w:val="004B5501"/>
    <w:rsid w:val="00537188"/>
    <w:rsid w:val="005D21AC"/>
    <w:rsid w:val="00686C4B"/>
    <w:rsid w:val="006954ED"/>
    <w:rsid w:val="006C0FDA"/>
    <w:rsid w:val="006E61FE"/>
    <w:rsid w:val="006E64BA"/>
    <w:rsid w:val="00713C77"/>
    <w:rsid w:val="00730AA2"/>
    <w:rsid w:val="00771BE1"/>
    <w:rsid w:val="00783F26"/>
    <w:rsid w:val="007F076A"/>
    <w:rsid w:val="00843A89"/>
    <w:rsid w:val="00884F49"/>
    <w:rsid w:val="008B0CBE"/>
    <w:rsid w:val="00951997"/>
    <w:rsid w:val="009634E7"/>
    <w:rsid w:val="00995E77"/>
    <w:rsid w:val="009A15BC"/>
    <w:rsid w:val="009A2380"/>
    <w:rsid w:val="009B0ADB"/>
    <w:rsid w:val="009E3205"/>
    <w:rsid w:val="009E67FF"/>
    <w:rsid w:val="00A22826"/>
    <w:rsid w:val="00A44615"/>
    <w:rsid w:val="00AD428B"/>
    <w:rsid w:val="00AE17A8"/>
    <w:rsid w:val="00AE7F41"/>
    <w:rsid w:val="00B013AD"/>
    <w:rsid w:val="00B60B96"/>
    <w:rsid w:val="00B9421C"/>
    <w:rsid w:val="00BD5E4A"/>
    <w:rsid w:val="00BF7523"/>
    <w:rsid w:val="00C42845"/>
    <w:rsid w:val="00D03165"/>
    <w:rsid w:val="00D03C5C"/>
    <w:rsid w:val="00D2394D"/>
    <w:rsid w:val="00D409C3"/>
    <w:rsid w:val="00D4123A"/>
    <w:rsid w:val="00D539EF"/>
    <w:rsid w:val="00D7274D"/>
    <w:rsid w:val="00D95EBF"/>
    <w:rsid w:val="00DE5356"/>
    <w:rsid w:val="00E02D58"/>
    <w:rsid w:val="00E16E0A"/>
    <w:rsid w:val="00E76587"/>
    <w:rsid w:val="00EA597E"/>
    <w:rsid w:val="00EC2B61"/>
    <w:rsid w:val="00F132C9"/>
    <w:rsid w:val="00F14D88"/>
    <w:rsid w:val="00FA07EE"/>
    <w:rsid w:val="00FA1551"/>
    <w:rsid w:val="00FB39EA"/>
    <w:rsid w:val="00FE7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B9A18"/>
  <w15:docId w15:val="{6E0CFD08-F060-4ADA-8EC2-35CCF3F0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ormaltextrun">
    <w:name w:val="normaltextrun"/>
    <w:basedOn w:val="Fuentedeprrafopredeter"/>
    <w:rsid w:val="00FA1551"/>
  </w:style>
  <w:style w:type="character" w:customStyle="1" w:styleId="eop">
    <w:name w:val="eop"/>
    <w:basedOn w:val="Fuentedeprrafopredeter"/>
    <w:rsid w:val="00FA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62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xaGyvc+Cy5bT4knD79WPGlEA==">CgMxLjAyDmgubG1ydWVoaGJ6enQ1MgloLjN6bnlzaDcyDmguZjY0czdhemhpNW56Mg5oLmtpbmx1bXZpbXR4dzIOaC5qbG53MTdwZG5qdmkyDmgudjBjNzdiNXBubGZzMg5oLnJ0enB3cXNsbjN4YjIOaC5rMDV0Z3F4eWE4NHIyCWguMXQzaDVzZjIJaC40ZDM0b2c4MgloLjJzOGV5bzEyDmguM3VseWJwdW95emw0MgloLjI2aW4xcmcyCGgubG54Yno5MgloLjM1bmt1bjIyDmgudTFyMHF4YjlrdTRzMg5oLmhucGpzN2ZpcXk2bDgAciExSnJuM2prZlFiYjhuVmh2UEZVdEN1Q3l2SG56LWVfU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6968</Words>
  <Characters>38324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2025-12-05T16:14:00Z</cp:lastPrinted>
  <dcterms:created xsi:type="dcterms:W3CDTF">2025-12-01T23:30:00Z</dcterms:created>
  <dcterms:modified xsi:type="dcterms:W3CDTF">2026-01-19T18:48:00Z</dcterms:modified>
</cp:coreProperties>
</file>