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0DC0"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14:paraId="18DB566B"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t>Visto</w:t>
      </w:r>
      <w:r w:rsidRPr="009645AE">
        <w:rPr>
          <w:rFonts w:ascii="Palatino Linotype" w:eastAsia="Palatino Linotype" w:hAnsi="Palatino Linotype" w:cs="Palatino Linotype"/>
        </w:rPr>
        <w:t xml:space="preserve"> el expediente relativo al recurso de revisión </w:t>
      </w:r>
      <w:r w:rsidRPr="009645AE">
        <w:rPr>
          <w:rFonts w:ascii="Palatino Linotype" w:eastAsia="Palatino Linotype" w:hAnsi="Palatino Linotype" w:cs="Palatino Linotype"/>
          <w:b/>
        </w:rPr>
        <w:t>02624/INFOEM/IP/RR/2025</w:t>
      </w:r>
      <w:r w:rsidRPr="009645AE">
        <w:rPr>
          <w:rFonts w:ascii="Palatino Linotype" w:eastAsia="Palatino Linotype" w:hAnsi="Palatino Linotype" w:cs="Palatino Linotype"/>
        </w:rPr>
        <w:t xml:space="preserve">, interpuesto por </w:t>
      </w:r>
      <w:r w:rsidRPr="009645AE">
        <w:rPr>
          <w:rFonts w:ascii="Palatino Linotype" w:eastAsia="Palatino Linotype" w:hAnsi="Palatino Linotype" w:cs="Palatino Linotype"/>
          <w:b/>
        </w:rPr>
        <w:t>un particular que no proporcionó nombre o seudónimo para ser identificado</w:t>
      </w:r>
      <w:r w:rsidRPr="009645AE">
        <w:rPr>
          <w:rFonts w:ascii="Palatino Linotype" w:eastAsia="Palatino Linotype" w:hAnsi="Palatino Linotype" w:cs="Palatino Linotype"/>
        </w:rPr>
        <w:t xml:space="preserve">, al cual en lo sucesivo se le denominará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xml:space="preserve">, en contra de la respuesta a su solicitud de información identificada con número de folio </w:t>
      </w:r>
      <w:r w:rsidRPr="009645AE">
        <w:rPr>
          <w:rFonts w:ascii="Palatino Linotype" w:eastAsia="Palatino Linotype" w:hAnsi="Palatino Linotype" w:cs="Palatino Linotype"/>
          <w:b/>
        </w:rPr>
        <w:t xml:space="preserve">00322/TOLUCA/IP/2025, </w:t>
      </w:r>
      <w:r w:rsidRPr="009645AE">
        <w:rPr>
          <w:rFonts w:ascii="Palatino Linotype" w:eastAsia="Palatino Linotype" w:hAnsi="Palatino Linotype" w:cs="Palatino Linotype"/>
        </w:rPr>
        <w:t xml:space="preserve">proporcionada por parte del </w:t>
      </w:r>
      <w:r w:rsidRPr="009645AE">
        <w:rPr>
          <w:rFonts w:ascii="Palatino Linotype" w:eastAsia="Palatino Linotype" w:hAnsi="Palatino Linotype" w:cs="Palatino Linotype"/>
          <w:b/>
        </w:rPr>
        <w:t>Ayuntamiento de Toluca</w:t>
      </w:r>
      <w:r w:rsidRPr="009645AE">
        <w:rPr>
          <w:rFonts w:ascii="Palatino Linotype" w:eastAsia="Palatino Linotype" w:hAnsi="Palatino Linotype" w:cs="Palatino Linotype"/>
        </w:rPr>
        <w:t xml:space="preserve">, en lo sucesivo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se procede a dictar la presente resolución, con base en los siguientes:</w:t>
      </w:r>
    </w:p>
    <w:p w14:paraId="318F0E47" w14:textId="77777777" w:rsidR="008D19BE" w:rsidRPr="009645AE" w:rsidRDefault="00D027A4">
      <w:pPr>
        <w:spacing w:before="240" w:after="240" w:line="360" w:lineRule="auto"/>
        <w:ind w:right="49"/>
        <w:jc w:val="center"/>
        <w:rPr>
          <w:rFonts w:ascii="Palatino Linotype" w:eastAsia="Palatino Linotype" w:hAnsi="Palatino Linotype" w:cs="Palatino Linotype"/>
          <w:b/>
        </w:rPr>
      </w:pPr>
      <w:r w:rsidRPr="009645AE">
        <w:rPr>
          <w:rFonts w:ascii="Palatino Linotype" w:eastAsia="Palatino Linotype" w:hAnsi="Palatino Linotype" w:cs="Palatino Linotype"/>
          <w:b/>
        </w:rPr>
        <w:t>I. A N T E C E D E N T E S</w:t>
      </w:r>
    </w:p>
    <w:p w14:paraId="5823979A" w14:textId="77777777" w:rsidR="008D19BE" w:rsidRPr="009645AE" w:rsidRDefault="00D027A4">
      <w:pPr>
        <w:tabs>
          <w:tab w:val="left" w:pos="5071"/>
        </w:tabs>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1. Solicitud de acceso a la información.</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 xml:space="preserve">dieciséis de enero de dos mil veinticinco, </w:t>
      </w:r>
      <w:r w:rsidRPr="009645AE">
        <w:rPr>
          <w:rFonts w:ascii="Palatino Linotype" w:eastAsia="Palatino Linotype" w:hAnsi="Palatino Linotype" w:cs="Palatino Linotype"/>
        </w:rPr>
        <w:t xml:space="preserve">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 xml:space="preserve">presentó la solicitud de acceso a la información pública ante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a través del Sistema de Acceso a la Información Mexiquense, en lo subsecuente el </w:t>
      </w:r>
      <w:r w:rsidRPr="009645AE">
        <w:rPr>
          <w:rFonts w:ascii="Palatino Linotype" w:eastAsia="Palatino Linotype" w:hAnsi="Palatino Linotype" w:cs="Palatino Linotype"/>
          <w:b/>
        </w:rPr>
        <w:t>SAIMEX,</w:t>
      </w:r>
      <w:r w:rsidRPr="009645AE">
        <w:rPr>
          <w:rFonts w:ascii="Palatino Linotype" w:eastAsia="Palatino Linotype" w:hAnsi="Palatino Linotype" w:cs="Palatino Linotype"/>
        </w:rPr>
        <w:t xml:space="preserve"> mediante la cual requirió lo siguiente:</w:t>
      </w:r>
    </w:p>
    <w:p w14:paraId="687BD8AB" w14:textId="77777777" w:rsidR="008D19BE" w:rsidRPr="009645AE" w:rsidRDefault="00D027A4">
      <w:pPr>
        <w:spacing w:before="120" w:after="120" w:line="240" w:lineRule="auto"/>
        <w:ind w:left="851" w:right="1128"/>
        <w:jc w:val="both"/>
        <w:rPr>
          <w:rFonts w:ascii="Palatino Linotype" w:eastAsia="Palatino Linotype" w:hAnsi="Palatino Linotype" w:cs="Palatino Linotype"/>
          <w:i/>
        </w:rPr>
      </w:pPr>
      <w:bookmarkStart w:id="0" w:name="_heading=h.30j0zll" w:colFirst="0" w:colLast="0"/>
      <w:bookmarkEnd w:id="0"/>
      <w:r w:rsidRPr="009645AE">
        <w:rPr>
          <w:rFonts w:ascii="Palatino Linotype" w:eastAsia="Palatino Linotype" w:hAnsi="Palatino Linotype" w:cs="Palatino Linotype"/>
          <w:i/>
        </w:rPr>
        <w:t xml:space="preserve"> “Se solicita la instalación de todos los comités que </w:t>
      </w:r>
      <w:proofErr w:type="spellStart"/>
      <w:r w:rsidRPr="009645AE">
        <w:rPr>
          <w:rFonts w:ascii="Palatino Linotype" w:eastAsia="Palatino Linotype" w:hAnsi="Palatino Linotype" w:cs="Palatino Linotype"/>
          <w:i/>
        </w:rPr>
        <w:t>intrega</w:t>
      </w:r>
      <w:proofErr w:type="spellEnd"/>
      <w:r w:rsidRPr="009645AE">
        <w:rPr>
          <w:rFonts w:ascii="Palatino Linotype" w:eastAsia="Palatino Linotype" w:hAnsi="Palatino Linotype" w:cs="Palatino Linotype"/>
          <w:i/>
        </w:rPr>
        <w:t xml:space="preserve"> la administración actual con su acta de instalación.” (sic)</w:t>
      </w:r>
    </w:p>
    <w:p w14:paraId="7233FD46"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Modalidad de Entrega:</w:t>
      </w:r>
      <w:r w:rsidRPr="009645AE">
        <w:rPr>
          <w:rFonts w:ascii="Palatino Linotype" w:eastAsia="Palatino Linotype" w:hAnsi="Palatino Linotype" w:cs="Palatino Linotype"/>
        </w:rPr>
        <w:t xml:space="preserve"> a través del</w:t>
      </w:r>
      <w:r w:rsidRPr="009645AE">
        <w:rPr>
          <w:rFonts w:ascii="Palatino Linotype" w:eastAsia="Palatino Linotype" w:hAnsi="Palatino Linotype" w:cs="Palatino Linotype"/>
          <w:b/>
        </w:rPr>
        <w:t xml:space="preserve"> SAIMEX.</w:t>
      </w:r>
    </w:p>
    <w:p w14:paraId="4F884883" w14:textId="77777777" w:rsidR="008D19BE" w:rsidRPr="009645AE" w:rsidRDefault="00D027A4">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2. Prórroga. </w:t>
      </w:r>
      <w:r w:rsidRPr="009645AE">
        <w:rPr>
          <w:rFonts w:ascii="Palatino Linotype" w:eastAsia="Palatino Linotype" w:hAnsi="Palatino Linotype" w:cs="Palatino Linotype"/>
        </w:rPr>
        <w:t xml:space="preserve">El </w:t>
      </w:r>
      <w:r w:rsidRPr="009645AE">
        <w:rPr>
          <w:rFonts w:ascii="Palatino Linotype" w:eastAsia="Palatino Linotype" w:hAnsi="Palatino Linotype" w:cs="Palatino Linotype"/>
          <w:b/>
        </w:rPr>
        <w:t xml:space="preserve">siete de febrero de dos mil veinticinco, </w:t>
      </w:r>
      <w:r w:rsidRPr="009645AE">
        <w:rPr>
          <w:rFonts w:ascii="Palatino Linotype" w:eastAsia="Palatino Linotype" w:hAnsi="Palatino Linotype" w:cs="Palatino Linotype"/>
        </w:rPr>
        <w:t xml:space="preserve">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notificó a la persona solicitante la prórroga para dar respuesta a la solicitud</w:t>
      </w:r>
      <w:r w:rsidRPr="009645AE">
        <w:rPr>
          <w:rFonts w:ascii="Palatino Linotype" w:eastAsia="Palatino Linotype" w:hAnsi="Palatino Linotype" w:cs="Palatino Linotype"/>
          <w:b/>
        </w:rPr>
        <w:t>,</w:t>
      </w:r>
      <w:r w:rsidRPr="009645AE">
        <w:rPr>
          <w:rFonts w:ascii="Palatino Linotype" w:eastAsia="Palatino Linotype" w:hAnsi="Palatino Linotype" w:cs="Palatino Linotype"/>
        </w:rPr>
        <w:t xml:space="preserve"> medularmente en los siguientes términos:</w:t>
      </w:r>
    </w:p>
    <w:p w14:paraId="3A529A97"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0153E6"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lastRenderedPageBreak/>
        <w:t>Con fundamento en lo señalado en el artículo 163 de la Ley de Transparencia y Acceso a la Información Pública del Estado de México y Municipios, se solicitó prórroga por siete días hábiles más, para dar atención a la solicitud de información registrada con número 0322/TOLUCA/IP/2025, recibida a través del Sistema de Acceso a la Información Mexiquense (SAIMEX), misma que fue procedente, quedando bajo el acuerdo CT/SE/69 /2025., en la Sexagésima Novena Sesión Extraordinaria 2025 del Comité de Transparencia del Municipio de Toluca, Administración 2025- 2027, de fecha 05/02/2025,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(sic)</w:t>
      </w:r>
    </w:p>
    <w:p w14:paraId="63FC4524"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anexó el Acta de la Sexagésima Novena Sesión Extraordinaria 2025 del Comité de Transparencia, celebrada el cinco de febrero de dos mil veinticinco, mediante la cual se aprobó la ampliación del plazo para dar respuesta a la solicitud de información, por un plazo adiciona de siete días hábiles presentada por el Servidor Público Habilitado de la Coordinación General de Comunicación Social.</w:t>
      </w:r>
    </w:p>
    <w:p w14:paraId="5FF564D2"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3. Respuesta. </w:t>
      </w:r>
      <w:r w:rsidRPr="009645AE">
        <w:rPr>
          <w:rFonts w:ascii="Palatino Linotype" w:eastAsia="Palatino Linotype" w:hAnsi="Palatino Linotype" w:cs="Palatino Linotype"/>
        </w:rPr>
        <w:t xml:space="preserve">El </w:t>
      </w:r>
      <w:r w:rsidRPr="009645AE">
        <w:rPr>
          <w:rFonts w:ascii="Palatino Linotype" w:eastAsia="Palatino Linotype" w:hAnsi="Palatino Linotype" w:cs="Palatino Linotype"/>
          <w:b/>
        </w:rPr>
        <w:t>dieciocho de febrero de dos mil veinticinco</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429B7F6" w14:textId="77777777" w:rsidR="008D19BE" w:rsidRPr="009645AE" w:rsidRDefault="00D027A4">
      <w:pPr>
        <w:spacing w:before="240" w:after="240"/>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“…En atención a la solicitud con folio 0322/TOLUCA/IP/2025, me permito adjuntar al presente la respuesta correspondiente. Sin más por el momento, reciba un saludo...” (sic)</w:t>
      </w:r>
    </w:p>
    <w:p w14:paraId="2F8332E2"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adjuntó los siguientes documentos:</w:t>
      </w:r>
    </w:p>
    <w:p w14:paraId="5743CBC3"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 Escrito del dieciocho de febrero de dos mil veinticinco, mediante el cual el titular de la Unidad de Transparencia hizo del conocimiento de la persona solicitante, el pronunciamiento emitido por los servidores públicos habilitados de la Dirección General de Obras Públicas, la Primera Regiduría, la Dirección General de Administración, la Dirección General de Servicios Públicos, la Defensoría Municipal de Derechos Humanos, </w:t>
      </w:r>
      <w:r w:rsidRPr="009645AE">
        <w:rPr>
          <w:rFonts w:ascii="Palatino Linotype" w:eastAsia="Palatino Linotype" w:hAnsi="Palatino Linotype" w:cs="Palatino Linotype"/>
        </w:rPr>
        <w:lastRenderedPageBreak/>
        <w:t>la Dirección General de Seguridad y Protección Ciudadana, la Consejería Jurídica,  la Secretaría Técnica del Consejo Municipal de Seguridad Pública, la Tesorería Municipal, la Dirección General de Desarrollo Económico, la Dirección General de Bienestar Social, la Dirección General de Medio Ambiente, la Dirección General de Gobierno, la Coordinación General de Mejora Regulatoria, la Coordinación General de Comunicación Social, el Instituto Municipal de la Mujer, la Coordinación General de Cultura y Turismo, la Contraloría Municipal, la Secretaría Particular de Presidencia y la Unidad de Asuntos Internos.</w:t>
      </w:r>
    </w:p>
    <w:p w14:paraId="5EECD280"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Instalación del Comité Interno de Mejora Regulatoria de la Dirección General de Obras Públicas, celebrada el nueve de enero de dos mil veinticinco, integra.</w:t>
      </w:r>
    </w:p>
    <w:p w14:paraId="3E547076"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Instalación del Comité Interno de Mejora Regulatoria de la Dirección General de Gobierno, celebrada el trece de enero de dos mil veinticinco, integra.</w:t>
      </w:r>
    </w:p>
    <w:p w14:paraId="486B314A"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Instalación del Comité Interno de Mejora Regulatoria del Instituto Municipal de la Mujer de Toluca, celebrada el trece de enero de dos mil veinticinco, integra.</w:t>
      </w:r>
    </w:p>
    <w:p w14:paraId="534EB63A"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Constitución y Primera Sesión Ordinaria del Comité de Ética del Organismo Público Descentralizado denominado Instituto Municipal de la Mujer de Toluca,  celebrada el dieciséis de enero de dos mil veinticinco, integra.</w:t>
      </w:r>
    </w:p>
    <w:p w14:paraId="0DB1C0D1"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Instalación del Comité Interno de Mejora Regulatoria de la Dirección General de Bienestar, celebrada el trece de enero de dos mil veinticinco, integra.</w:t>
      </w:r>
    </w:p>
    <w:p w14:paraId="773EBB0F"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t>- Acta de Instalación del Comité Interno de Mejora Regulatoria de la Dirección General de Medio Ambiente, celebrada el trece de enero de dos mil veinticinco, integra.</w:t>
      </w:r>
    </w:p>
    <w:p w14:paraId="3C9B23F0" w14:textId="77777777" w:rsidR="008D19BE" w:rsidRPr="009645AE" w:rsidRDefault="008D19BE">
      <w:pPr>
        <w:spacing w:before="240" w:after="240" w:line="360" w:lineRule="auto"/>
        <w:ind w:left="142" w:right="49"/>
        <w:jc w:val="both"/>
        <w:rPr>
          <w:rFonts w:ascii="Palatino Linotype" w:eastAsia="Palatino Linotype" w:hAnsi="Palatino Linotype" w:cs="Palatino Linotype"/>
        </w:rPr>
      </w:pPr>
    </w:p>
    <w:p w14:paraId="26BE80D6" w14:textId="77777777" w:rsidR="008D19BE" w:rsidRPr="009645AE" w:rsidRDefault="008D19BE">
      <w:pPr>
        <w:spacing w:before="240" w:after="240" w:line="360" w:lineRule="auto"/>
        <w:ind w:left="142" w:right="49"/>
        <w:jc w:val="both"/>
        <w:rPr>
          <w:rFonts w:ascii="Palatino Linotype" w:eastAsia="Palatino Linotype" w:hAnsi="Palatino Linotype" w:cs="Palatino Linotype"/>
        </w:rPr>
      </w:pPr>
    </w:p>
    <w:p w14:paraId="756152A1" w14:textId="77777777" w:rsidR="008D19BE" w:rsidRPr="009645AE" w:rsidRDefault="00D027A4">
      <w:pPr>
        <w:spacing w:before="240" w:after="240" w:line="360" w:lineRule="auto"/>
        <w:ind w:left="142" w:right="49"/>
        <w:jc w:val="both"/>
        <w:rPr>
          <w:rFonts w:ascii="Palatino Linotype" w:eastAsia="Palatino Linotype" w:hAnsi="Palatino Linotype" w:cs="Palatino Linotype"/>
        </w:rPr>
      </w:pPr>
      <w:r w:rsidRPr="009645AE">
        <w:rPr>
          <w:rFonts w:ascii="Palatino Linotype" w:eastAsia="Palatino Linotype" w:hAnsi="Palatino Linotype" w:cs="Palatino Linotype"/>
        </w:rPr>
        <w:lastRenderedPageBreak/>
        <w:t>- Acta de Instalación del Comité Interno de Mejora Regulatoria de la Defensoría Municipal de Derechos Humanos de Toluca, celebrada el catorce de enero de dos mil veinticinco, integra.</w:t>
      </w:r>
    </w:p>
    <w:p w14:paraId="31ABCFDE"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4. Interposición del recurso de revisión. </w:t>
      </w:r>
      <w:r w:rsidRPr="009645AE">
        <w:rPr>
          <w:rFonts w:ascii="Palatino Linotype" w:eastAsia="Palatino Linotype" w:hAnsi="Palatino Linotype" w:cs="Palatino Linotype"/>
        </w:rPr>
        <w:t xml:space="preserve">Inconforme con los términos de la respuesta emitida por parte del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siete de marzo de dos mil veinticinco,</w:t>
      </w:r>
      <w:r w:rsidRPr="009645AE">
        <w:rPr>
          <w:rFonts w:ascii="Palatino Linotype" w:eastAsia="Palatino Linotype" w:hAnsi="Palatino Linotype" w:cs="Palatino Linotype"/>
        </w:rPr>
        <w:t xml:space="preserve">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xml:space="preserve"> interpuso el recurso de revisión a través de </w:t>
      </w:r>
      <w:r w:rsidRPr="009645AE">
        <w:rPr>
          <w:rFonts w:ascii="Palatino Linotype" w:eastAsia="Palatino Linotype" w:hAnsi="Palatino Linotype" w:cs="Palatino Linotype"/>
          <w:b/>
        </w:rPr>
        <w:t xml:space="preserve">SAIMEX; </w:t>
      </w:r>
      <w:r w:rsidRPr="009645AE">
        <w:rPr>
          <w:rFonts w:ascii="Palatino Linotype" w:eastAsia="Palatino Linotype" w:hAnsi="Palatino Linotype" w:cs="Palatino Linotype"/>
        </w:rPr>
        <w:t>en donde se manifestó de la siguiente manera:</w:t>
      </w:r>
    </w:p>
    <w:p w14:paraId="27524859" w14:textId="77777777" w:rsidR="008D19BE" w:rsidRPr="009645AE" w:rsidRDefault="00D027A4">
      <w:pPr>
        <w:spacing w:before="240" w:after="240" w:line="360" w:lineRule="auto"/>
        <w:ind w:right="49"/>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Acto impugnado: </w:t>
      </w:r>
    </w:p>
    <w:p w14:paraId="1AAE49DD" w14:textId="77777777" w:rsidR="008D19BE" w:rsidRPr="009645AE" w:rsidRDefault="00D027A4">
      <w:pPr>
        <w:tabs>
          <w:tab w:val="left" w:pos="2745"/>
        </w:tabs>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“contestan fuera de plazo y con información incompleta faltan </w:t>
      </w:r>
      <w:proofErr w:type="spellStart"/>
      <w:r w:rsidRPr="009645AE">
        <w:rPr>
          <w:rFonts w:ascii="Palatino Linotype" w:eastAsia="Palatino Linotype" w:hAnsi="Palatino Linotype" w:cs="Palatino Linotype"/>
          <w:i/>
        </w:rPr>
        <w:t>comiés</w:t>
      </w:r>
      <w:proofErr w:type="spellEnd"/>
      <w:r w:rsidRPr="009645AE">
        <w:rPr>
          <w:rFonts w:ascii="Palatino Linotype" w:eastAsia="Palatino Linotype" w:hAnsi="Palatino Linotype" w:cs="Palatino Linotype"/>
          <w:i/>
        </w:rPr>
        <w:t>” (sic)</w:t>
      </w:r>
    </w:p>
    <w:p w14:paraId="2B545A5C" w14:textId="77777777" w:rsidR="008D19BE" w:rsidRPr="009645AE" w:rsidRDefault="00D027A4">
      <w:pPr>
        <w:spacing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Y, Razones o motivos de inconformidad</w:t>
      </w:r>
      <w:r w:rsidRPr="009645AE">
        <w:rPr>
          <w:rFonts w:ascii="Palatino Linotype" w:eastAsia="Palatino Linotype" w:hAnsi="Palatino Linotype" w:cs="Palatino Linotype"/>
        </w:rPr>
        <w:t>:</w:t>
      </w:r>
    </w:p>
    <w:p w14:paraId="5E1B424D" w14:textId="77777777" w:rsidR="008D19BE" w:rsidRPr="009645AE" w:rsidRDefault="00D027A4">
      <w:pPr>
        <w:tabs>
          <w:tab w:val="left" w:pos="2745"/>
        </w:tabs>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“contestan fuera de plazo y con información incompleta faltan </w:t>
      </w:r>
      <w:proofErr w:type="spellStart"/>
      <w:r w:rsidRPr="009645AE">
        <w:rPr>
          <w:rFonts w:ascii="Palatino Linotype" w:eastAsia="Palatino Linotype" w:hAnsi="Palatino Linotype" w:cs="Palatino Linotype"/>
          <w:i/>
        </w:rPr>
        <w:t>comiés</w:t>
      </w:r>
      <w:proofErr w:type="spellEnd"/>
      <w:r w:rsidRPr="009645AE">
        <w:rPr>
          <w:rFonts w:ascii="Palatino Linotype" w:eastAsia="Palatino Linotype" w:hAnsi="Palatino Linotype" w:cs="Palatino Linotype"/>
          <w:i/>
        </w:rPr>
        <w:t>” (sic)</w:t>
      </w:r>
    </w:p>
    <w:p w14:paraId="56CB7DBB" w14:textId="77777777" w:rsidR="008D19BE" w:rsidRPr="009645AE" w:rsidRDefault="00D027A4">
      <w:pPr>
        <w:spacing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5. Turno. </w:t>
      </w:r>
      <w:r w:rsidRPr="009645A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645AE">
        <w:rPr>
          <w:rFonts w:ascii="Palatino Linotype" w:eastAsia="Palatino Linotype" w:hAnsi="Palatino Linotype" w:cs="Palatino Linotype"/>
          <w:b/>
        </w:rPr>
        <w:t xml:space="preserve">Guadalupe Ramírez Peña, </w:t>
      </w:r>
      <w:r w:rsidRPr="009645AE">
        <w:rPr>
          <w:rFonts w:ascii="Palatino Linotype" w:eastAsia="Palatino Linotype" w:hAnsi="Palatino Linotype" w:cs="Palatino Linotype"/>
        </w:rPr>
        <w:t xml:space="preserve">a efecto de que analizara sobre su admisión o su </w:t>
      </w:r>
      <w:proofErr w:type="spellStart"/>
      <w:r w:rsidRPr="009645AE">
        <w:rPr>
          <w:rFonts w:ascii="Palatino Linotype" w:eastAsia="Palatino Linotype" w:hAnsi="Palatino Linotype" w:cs="Palatino Linotype"/>
        </w:rPr>
        <w:t>desechamiento</w:t>
      </w:r>
      <w:proofErr w:type="spellEnd"/>
      <w:r w:rsidRPr="009645AE">
        <w:rPr>
          <w:rFonts w:ascii="Palatino Linotype" w:eastAsia="Palatino Linotype" w:hAnsi="Palatino Linotype" w:cs="Palatino Linotype"/>
        </w:rPr>
        <w:t>.</w:t>
      </w:r>
    </w:p>
    <w:p w14:paraId="57A34F24"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b/>
        </w:rPr>
        <w:t>6. Admisión del Recurso de revisión.</w:t>
      </w:r>
      <w:r w:rsidRPr="009645AE">
        <w:rPr>
          <w:rFonts w:ascii="Palatino Linotype" w:eastAsia="Palatino Linotype" w:hAnsi="Palatino Linotype" w:cs="Palatino Linotype"/>
        </w:rPr>
        <w:t xml:space="preserve"> El</w:t>
      </w:r>
      <w:r w:rsidRPr="009645AE">
        <w:rPr>
          <w:rFonts w:ascii="Palatino Linotype" w:eastAsia="Palatino Linotype" w:hAnsi="Palatino Linotype" w:cs="Palatino Linotype"/>
          <w:b/>
        </w:rPr>
        <w:t xml:space="preserve"> doce de marzo de dos mil veinticinco, </w:t>
      </w:r>
      <w:r w:rsidRPr="009645A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presentara su informe justificado.</w:t>
      </w:r>
    </w:p>
    <w:p w14:paraId="2F1FFA9C" w14:textId="77777777" w:rsidR="008D19BE" w:rsidRPr="009645AE" w:rsidRDefault="00D027A4">
      <w:pPr>
        <w:spacing w:before="240" w:after="240" w:line="360" w:lineRule="auto"/>
        <w:jc w:val="both"/>
        <w:rPr>
          <w:rFonts w:ascii="Palatino Linotype" w:eastAsia="Palatino Linotype" w:hAnsi="Palatino Linotype" w:cs="Palatino Linotype"/>
        </w:rPr>
      </w:pPr>
      <w:bookmarkStart w:id="1" w:name="_heading=h.2s8eyo1" w:colFirst="0" w:colLast="0"/>
      <w:bookmarkEnd w:id="1"/>
      <w:r w:rsidRPr="009645AE">
        <w:rPr>
          <w:rFonts w:ascii="Palatino Linotype" w:eastAsia="Palatino Linotype" w:hAnsi="Palatino Linotype" w:cs="Palatino Linotype"/>
          <w:b/>
        </w:rPr>
        <w:lastRenderedPageBreak/>
        <w:t>7. Manifestaciones</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veinticuatro de marzo dos mil veinticinco</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remitió, a través de SAIMEX, su informe justificado, mediante el cual ratificó en lo sustancial la respuesta emitida en primera instancia por conducto de la Directora General del Instituto Municipal de la Mujer, la Tesorería Municipal, la Directora de Recursos Materiales, el Director General de Innovación, Planeación y el Director General de Obras Públicas.</w:t>
      </w:r>
    </w:p>
    <w:p w14:paraId="78DE070A"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Una vez analizada la información, el veinticinco de marzo de dos mil veinticinco se hizo del conocimiento de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con la finalidad de que manifestara lo que a su derecho estimara conveniente, sin embargo, fue omisa en ejercer dicha prerrogativa.</w:t>
      </w:r>
    </w:p>
    <w:p w14:paraId="78C0F8B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8. Cierre de instrucción. </w:t>
      </w:r>
      <w:r w:rsidRPr="009645A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9645AE">
        <w:rPr>
          <w:rFonts w:ascii="Palatino Linotype" w:eastAsia="Palatino Linotype" w:hAnsi="Palatino Linotype" w:cs="Palatino Linotype"/>
          <w:b/>
        </w:rPr>
        <w:t>diecinueve de mayo de dos mil veinticinco</w:t>
      </w:r>
      <w:r w:rsidRPr="009645A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E11E4CA"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9</w:t>
      </w:r>
      <w:r w:rsidRPr="009645AE">
        <w:rPr>
          <w:rFonts w:ascii="Palatino Linotype" w:eastAsia="Palatino Linotype" w:hAnsi="Palatino Linotype" w:cs="Palatino Linotype"/>
        </w:rPr>
        <w:t xml:space="preserve">. </w:t>
      </w:r>
      <w:r w:rsidRPr="009645AE">
        <w:rPr>
          <w:rFonts w:ascii="Palatino Linotype" w:eastAsia="Palatino Linotype" w:hAnsi="Palatino Linotype" w:cs="Palatino Linotype"/>
          <w:b/>
        </w:rPr>
        <w:t>Ampliación del término para resolver</w:t>
      </w:r>
      <w:r w:rsidRPr="009645AE">
        <w:rPr>
          <w:rFonts w:ascii="Palatino Linotype" w:eastAsia="Palatino Linotype" w:hAnsi="Palatino Linotype" w:cs="Palatino Linotype"/>
        </w:rPr>
        <w:t xml:space="preserve">. El </w:t>
      </w:r>
      <w:r w:rsidRPr="009645AE">
        <w:rPr>
          <w:rFonts w:ascii="Palatino Linotype" w:eastAsia="Palatino Linotype" w:hAnsi="Palatino Linotype" w:cs="Palatino Linotype"/>
          <w:b/>
        </w:rPr>
        <w:t>diecinueve de mayo de dos mil veinticinco</w:t>
      </w:r>
      <w:r w:rsidRPr="009645AE">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F82D34E"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8F11A79"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9645AE">
        <w:rPr>
          <w:rFonts w:ascii="Palatino Linotype" w:eastAsia="Palatino Linotype" w:hAnsi="Palatino Linotype" w:cs="Palatino Linotype"/>
        </w:rPr>
        <w:lastRenderedPageBreak/>
        <w:t>conforme a los parámetros establecidos por diversos órganos jurisdiccionales federales, aplicables también en procedimientos análogos, como el que nos ocupa.</w:t>
      </w:r>
    </w:p>
    <w:p w14:paraId="64916434"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BE0D56"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126C0A" w14:textId="77777777" w:rsidR="008D19BE" w:rsidRPr="009645AE" w:rsidRDefault="00D027A4">
      <w:pPr>
        <w:spacing w:before="240" w:after="240" w:line="360" w:lineRule="auto"/>
        <w:jc w:val="both"/>
        <w:rPr>
          <w:rFonts w:ascii="Palatino Linotype" w:eastAsia="Palatino Linotype" w:hAnsi="Palatino Linotype" w:cs="Palatino Linotype"/>
          <w:strike/>
        </w:rPr>
      </w:pPr>
      <w:r w:rsidRPr="009645A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3C7A6A1" w14:textId="77777777" w:rsidR="008D19BE" w:rsidRPr="009645AE" w:rsidRDefault="00D027A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D505704" w14:textId="77777777" w:rsidR="008D19BE" w:rsidRPr="009645AE" w:rsidRDefault="00D027A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645AE">
        <w:rPr>
          <w:rFonts w:ascii="Palatino Linotype" w:eastAsia="Palatino Linotype" w:hAnsi="Palatino Linotype" w:cs="Palatino Linotype"/>
        </w:rPr>
        <w:t>Actividad Procesal del interesado. Acciones u omisiones del interesado.</w:t>
      </w:r>
    </w:p>
    <w:p w14:paraId="7E26F6D6" w14:textId="77777777" w:rsidR="008D19BE" w:rsidRPr="009645AE" w:rsidRDefault="00D027A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645AE">
        <w:rPr>
          <w:rFonts w:ascii="Palatino Linotype" w:eastAsia="Palatino Linotype" w:hAnsi="Palatino Linotype" w:cs="Palatino Linotype"/>
        </w:rPr>
        <w:t>Conducta de la Autoridad: Las Acciones u omisiones realizadas en el procedimiento. Así como si la autoridad actuó con la debida diligencia.</w:t>
      </w:r>
    </w:p>
    <w:p w14:paraId="37D86D66" w14:textId="77777777" w:rsidR="008D19BE" w:rsidRPr="009645AE" w:rsidRDefault="00D027A4">
      <w:pPr>
        <w:tabs>
          <w:tab w:val="left" w:pos="567"/>
        </w:tabs>
        <w:spacing w:before="240" w:after="240" w:line="360" w:lineRule="auto"/>
        <w:ind w:left="284"/>
        <w:jc w:val="both"/>
        <w:rPr>
          <w:rFonts w:ascii="Palatino Linotype" w:eastAsia="Palatino Linotype" w:hAnsi="Palatino Linotype" w:cs="Palatino Linotype"/>
        </w:rPr>
      </w:pPr>
      <w:r w:rsidRPr="009645AE">
        <w:rPr>
          <w:rFonts w:ascii="Palatino Linotype" w:eastAsia="Palatino Linotype" w:hAnsi="Palatino Linotype" w:cs="Palatino Linotype"/>
        </w:rPr>
        <w:t>d) La afectación generada en la situación jurídica de la persona involucrada en el proceso: Violación a sus derechos humanos.</w:t>
      </w:r>
    </w:p>
    <w:p w14:paraId="04E9AD10"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9645AE">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13A0EB79"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645A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645AE">
        <w:rPr>
          <w:rFonts w:ascii="Palatino Linotype" w:eastAsia="Palatino Linotype" w:hAnsi="Palatino Linotype" w:cs="Palatino Linotype"/>
        </w:rPr>
        <w:t>, visible en la Gaceta del Seminario Judicial de la Federación con el registro digital 205635.</w:t>
      </w:r>
    </w:p>
    <w:p w14:paraId="1F763E5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41C6EE"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794497" w14:textId="77777777" w:rsidR="008D19BE" w:rsidRPr="009645AE" w:rsidRDefault="00D027A4">
      <w:pPr>
        <w:spacing w:before="120" w:after="120" w:line="240" w:lineRule="auto"/>
        <w:ind w:left="851" w:right="902"/>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 </w:t>
      </w: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PLAZO RAZONABLE PARA RESOLVER. DIMENSIÓN Y EFECTOS DE ESTE CONCEPTO CUANDO SE ADUCE EXCESIVA CARGA DE TRABAJO</w:t>
      </w:r>
      <w:r w:rsidRPr="009645AE">
        <w:rPr>
          <w:rFonts w:ascii="Palatino Linotype" w:eastAsia="Palatino Linotype" w:hAnsi="Palatino Linotype" w:cs="Palatino Linotype"/>
          <w:i/>
        </w:rPr>
        <w:t>.”</w:t>
      </w:r>
      <w:r w:rsidRPr="009645AE">
        <w:rPr>
          <w:rFonts w:ascii="Palatino Linotype" w:eastAsia="Palatino Linotype" w:hAnsi="Palatino Linotype" w:cs="Palatino Linotype"/>
        </w:rPr>
        <w:t xml:space="preserve"> consultable en el Seminario Judicial de la Federación y su gaceta, con el registro digital 2002351.</w:t>
      </w:r>
    </w:p>
    <w:p w14:paraId="6B495488" w14:textId="77777777" w:rsidR="008D19BE" w:rsidRPr="009645AE" w:rsidRDefault="00D027A4">
      <w:pPr>
        <w:spacing w:before="120" w:after="120" w:line="240" w:lineRule="auto"/>
        <w:ind w:left="851" w:right="902"/>
        <w:jc w:val="both"/>
        <w:rPr>
          <w:rFonts w:ascii="Palatino Linotype" w:eastAsia="Palatino Linotype" w:hAnsi="Palatino Linotype" w:cs="Palatino Linotype"/>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PLAZO RAZONABLE PARA RESOLVER. CONCEPTO Y ELEMENTOS QUE LO INTEGRAN A LA LUZ DEL DERECHO INTERNACIONAL DE LOS DERECHOS HUMANOS</w:t>
      </w:r>
      <w:r w:rsidRPr="009645AE">
        <w:rPr>
          <w:rFonts w:ascii="Palatino Linotype" w:eastAsia="Palatino Linotype" w:hAnsi="Palatino Linotype" w:cs="Palatino Linotype"/>
          <w:i/>
        </w:rPr>
        <w:t>.”</w:t>
      </w:r>
      <w:r w:rsidRPr="009645AE">
        <w:rPr>
          <w:rFonts w:ascii="Palatino Linotype" w:eastAsia="Palatino Linotype" w:hAnsi="Palatino Linotype" w:cs="Palatino Linotype"/>
        </w:rPr>
        <w:t xml:space="preserve">, visible en el </w:t>
      </w:r>
      <w:r w:rsidRPr="009645AE">
        <w:rPr>
          <w:rFonts w:ascii="Palatino Linotype" w:eastAsia="Palatino Linotype" w:hAnsi="Palatino Linotype" w:cs="Palatino Linotype"/>
        </w:rPr>
        <w:lastRenderedPageBreak/>
        <w:t>Seminario Judicial de la Federación y su gaceta, con el registro digital 2002350.</w:t>
      </w:r>
    </w:p>
    <w:p w14:paraId="773CD306"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78837D"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1594B6B" w14:textId="77777777" w:rsidR="008D19BE" w:rsidRPr="009645AE" w:rsidRDefault="00D027A4">
      <w:pPr>
        <w:spacing w:after="0" w:line="360" w:lineRule="auto"/>
        <w:ind w:right="49"/>
        <w:jc w:val="center"/>
        <w:rPr>
          <w:rFonts w:ascii="Palatino Linotype" w:eastAsia="Palatino Linotype" w:hAnsi="Palatino Linotype" w:cs="Palatino Linotype"/>
          <w:b/>
        </w:rPr>
      </w:pPr>
      <w:r w:rsidRPr="009645AE">
        <w:rPr>
          <w:rFonts w:ascii="Palatino Linotype" w:eastAsia="Palatino Linotype" w:hAnsi="Palatino Linotype" w:cs="Palatino Linotype"/>
          <w:b/>
        </w:rPr>
        <w:t>II. C O N S I D E R A N D O S</w:t>
      </w:r>
    </w:p>
    <w:p w14:paraId="09AF2F3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Primero. Competencia.</w:t>
      </w:r>
      <w:r w:rsidRPr="009645A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B27D96" w14:textId="77777777" w:rsidR="008D19BE" w:rsidRPr="009645AE" w:rsidRDefault="00D027A4">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9645AE">
        <w:rPr>
          <w:rFonts w:ascii="Palatino Linotype" w:eastAsia="Palatino Linotype" w:hAnsi="Palatino Linotype" w:cs="Palatino Linotype"/>
          <w:b/>
        </w:rPr>
        <w:t>Segundo. Oportunidad y Procedibilidad del Recurso de Revisión</w:t>
      </w:r>
      <w:r w:rsidRPr="009645A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88B6F6"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w:t>
      </w:r>
      <w:r w:rsidRPr="009645AE">
        <w:rPr>
          <w:rFonts w:ascii="Palatino Linotype" w:eastAsia="Palatino Linotype" w:hAnsi="Palatino Linotype" w:cs="Palatino Linotype"/>
        </w:rPr>
        <w:lastRenderedPageBreak/>
        <w:t xml:space="preserve">México y Municipios, toda vez que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remitió la respuesta a la solicitud de información el día </w:t>
      </w:r>
      <w:r w:rsidRPr="009645AE">
        <w:rPr>
          <w:rFonts w:ascii="Palatino Linotype" w:eastAsia="Palatino Linotype" w:hAnsi="Palatino Linotype" w:cs="Palatino Linotype"/>
          <w:b/>
        </w:rPr>
        <w:t xml:space="preserve">dieciocho de febrero de dos mil veinticinco, </w:t>
      </w:r>
      <w:r w:rsidRPr="009645AE">
        <w:rPr>
          <w:rFonts w:ascii="Palatino Linotype" w:eastAsia="Palatino Linotype" w:hAnsi="Palatino Linotype" w:cs="Palatino Linotype"/>
        </w:rPr>
        <w:t xml:space="preserve">mientras que el recurso de revisión interpuesto por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se tuvo por presentado el día</w:t>
      </w:r>
      <w:r w:rsidRPr="009645AE">
        <w:rPr>
          <w:rFonts w:ascii="Palatino Linotype" w:eastAsia="Palatino Linotype" w:hAnsi="Palatino Linotype" w:cs="Palatino Linotype"/>
          <w:b/>
        </w:rPr>
        <w:t xml:space="preserve"> siete de marzo de dos mil veinticinco, </w:t>
      </w:r>
      <w:r w:rsidRPr="009645AE">
        <w:rPr>
          <w:rFonts w:ascii="Palatino Linotype" w:eastAsia="Palatino Linotype" w:hAnsi="Palatino Linotype" w:cs="Palatino Linotype"/>
        </w:rPr>
        <w:t>esto es, al décimo segundo día hábil posterior a aquel en el que tuvo conocimiento de la respuesta impugnada. En este sentido, se concluye que el presente recurso de revisión se encuentra dentro de los márgenes temporales previstos en las disposiciones legales referidas.</w:t>
      </w:r>
    </w:p>
    <w:p w14:paraId="69DFE28B"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Además, por cuanto hace a la procedibilidad del recurso de revisión, es de suma importancia señalar que la parte</w:t>
      </w:r>
      <w:r w:rsidRPr="009645AE">
        <w:rPr>
          <w:rFonts w:ascii="Palatino Linotype" w:eastAsia="Palatino Linotype" w:hAnsi="Palatino Linotype" w:cs="Palatino Linotype"/>
          <w:b/>
        </w:rPr>
        <w:t xml:space="preserve"> Recurrente</w:t>
      </w:r>
      <w:r w:rsidRPr="009645AE">
        <w:rPr>
          <w:rFonts w:ascii="Palatino Linotype" w:eastAsia="Palatino Linotype" w:hAnsi="Palatino Linotype" w:cs="Palatino Linotype"/>
        </w:rPr>
        <w:t xml:space="preserve">, no señaló un </w:t>
      </w:r>
      <w:r w:rsidRPr="009645AE">
        <w:rPr>
          <w:rFonts w:ascii="Palatino Linotype" w:eastAsia="Palatino Linotype" w:hAnsi="Palatino Linotype" w:cs="Palatino Linotype"/>
          <w:b/>
        </w:rPr>
        <w:t>nombre</w:t>
      </w:r>
      <w:r w:rsidRPr="009645AE">
        <w:rPr>
          <w:rFonts w:ascii="Palatino Linotype" w:eastAsia="Palatino Linotype" w:hAnsi="Palatino Linotype" w:cs="Palatino Linotype"/>
        </w:rPr>
        <w:t xml:space="preserve"> o </w:t>
      </w:r>
      <w:r w:rsidRPr="009645AE">
        <w:rPr>
          <w:rFonts w:ascii="Palatino Linotype" w:eastAsia="Palatino Linotype" w:hAnsi="Palatino Linotype" w:cs="Palatino Linotype"/>
          <w:b/>
        </w:rPr>
        <w:t xml:space="preserve">seudónimo </w:t>
      </w:r>
      <w:r w:rsidRPr="009645AE">
        <w:rPr>
          <w:rFonts w:ascii="Palatino Linotype" w:eastAsia="Palatino Linotype" w:hAnsi="Palatino Linotype" w:cs="Palatino Linotype"/>
        </w:rPr>
        <w:t>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D02CCFB"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Las solicitudes anónimas</w:t>
      </w:r>
      <w:r w:rsidRPr="009645AE">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F7E94E4"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9645AE">
        <w:rPr>
          <w:rFonts w:ascii="Palatino Linotype" w:eastAsia="Palatino Linotype" w:hAnsi="Palatino Linotype" w:cs="Palatino Linotype"/>
          <w:b/>
        </w:rPr>
        <w:t xml:space="preserve"> SAIMEX.</w:t>
      </w:r>
    </w:p>
    <w:p w14:paraId="3622FB9F" w14:textId="77777777" w:rsidR="008D19BE" w:rsidRPr="009645AE" w:rsidRDefault="00D027A4">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9645AE">
        <w:rPr>
          <w:rFonts w:ascii="Palatino Linotype" w:eastAsia="Palatino Linotype" w:hAnsi="Palatino Linotype" w:cs="Palatino Linotype"/>
        </w:rPr>
        <w:t xml:space="preserve">Finalmente, se advierte que resulta procedente la interposición del recurso, según lo manifestado por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xml:space="preserve"> en sus motivos de inconformidad, de acuerdo al artículo 179, fracción V del ordenamiento legal citado, que a la letra dice: </w:t>
      </w:r>
    </w:p>
    <w:p w14:paraId="771BC1EC" w14:textId="77777777" w:rsidR="008D19BE" w:rsidRPr="009645AE" w:rsidRDefault="00D027A4">
      <w:pPr>
        <w:tabs>
          <w:tab w:val="left" w:pos="7938"/>
        </w:tabs>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lastRenderedPageBreak/>
        <w:t>“</w:t>
      </w:r>
      <w:r w:rsidRPr="009645AE">
        <w:rPr>
          <w:rFonts w:ascii="Palatino Linotype" w:eastAsia="Palatino Linotype" w:hAnsi="Palatino Linotype" w:cs="Palatino Linotype"/>
          <w:b/>
          <w:i/>
        </w:rPr>
        <w:t>Artículo 179.</w:t>
      </w:r>
      <w:r w:rsidRPr="009645A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EEB7FA7" w14:textId="77777777" w:rsidR="008D19BE" w:rsidRPr="009645AE" w:rsidRDefault="00D027A4">
      <w:pPr>
        <w:tabs>
          <w:tab w:val="left" w:pos="7938"/>
        </w:tabs>
        <w:spacing w:before="120" w:after="120" w:line="240" w:lineRule="auto"/>
        <w:ind w:left="1134" w:right="900"/>
        <w:jc w:val="both"/>
        <w:rPr>
          <w:rFonts w:ascii="Palatino Linotype" w:eastAsia="Palatino Linotype" w:hAnsi="Palatino Linotype" w:cs="Palatino Linotype"/>
          <w:i/>
        </w:rPr>
      </w:pPr>
      <w:r w:rsidRPr="009645AE">
        <w:rPr>
          <w:rFonts w:ascii="Palatino Linotype" w:eastAsia="Palatino Linotype" w:hAnsi="Palatino Linotype" w:cs="Palatino Linotype"/>
          <w:b/>
          <w:i/>
        </w:rPr>
        <w:t>...</w:t>
      </w:r>
    </w:p>
    <w:p w14:paraId="2B8D32DD" w14:textId="77777777" w:rsidR="008D19BE" w:rsidRPr="009645AE" w:rsidRDefault="00D027A4">
      <w:pPr>
        <w:tabs>
          <w:tab w:val="left" w:pos="7938"/>
        </w:tabs>
        <w:spacing w:before="120" w:after="120" w:line="240" w:lineRule="auto"/>
        <w:ind w:left="1134" w:right="900"/>
        <w:jc w:val="both"/>
        <w:rPr>
          <w:rFonts w:ascii="Palatino Linotype" w:eastAsia="Palatino Linotype" w:hAnsi="Palatino Linotype" w:cs="Palatino Linotype"/>
          <w:i/>
        </w:rPr>
      </w:pPr>
      <w:r w:rsidRPr="009645AE">
        <w:rPr>
          <w:rFonts w:ascii="Palatino Linotype" w:eastAsia="Palatino Linotype" w:hAnsi="Palatino Linotype" w:cs="Palatino Linotype"/>
          <w:b/>
          <w:i/>
        </w:rPr>
        <w:t>V.</w:t>
      </w:r>
      <w:r w:rsidRPr="009645AE">
        <w:rPr>
          <w:rFonts w:ascii="Palatino Linotype" w:eastAsia="Palatino Linotype" w:hAnsi="Palatino Linotype" w:cs="Palatino Linotype"/>
          <w:i/>
        </w:rPr>
        <w:t xml:space="preserve"> La entrega de información incompleta;</w:t>
      </w:r>
    </w:p>
    <w:p w14:paraId="62E5123D"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Tercero. Materia de la revisión. </w:t>
      </w:r>
      <w:r w:rsidRPr="009645A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645A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9645AE">
        <w:rPr>
          <w:rFonts w:ascii="Palatino Linotype" w:eastAsia="Palatino Linotype" w:hAnsi="Palatino Linotype" w:cs="Palatino Linotype"/>
        </w:rPr>
        <w:t xml:space="preserve">de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o en su defecto, en caso de ser procedente, ordenar la entrega de información.</w:t>
      </w:r>
    </w:p>
    <w:p w14:paraId="08F992B8" w14:textId="77777777" w:rsidR="008D19BE" w:rsidRPr="009645AE" w:rsidRDefault="00D027A4">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9645AE">
        <w:rPr>
          <w:rFonts w:ascii="Palatino Linotype" w:eastAsia="Palatino Linotype" w:hAnsi="Palatino Linotype" w:cs="Palatino Linotype"/>
          <w:b/>
        </w:rPr>
        <w:t xml:space="preserve">Cuarto. Estudio del asunto. </w:t>
      </w:r>
      <w:r w:rsidRPr="009645A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97E472D"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Artículo 4</w:t>
      </w:r>
      <w:r w:rsidRPr="009645A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C7D7B3D"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645AE">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9645AE">
        <w:rPr>
          <w:rFonts w:ascii="Palatino Linotype" w:eastAsia="Palatino Linotype" w:hAnsi="Palatino Linotype" w:cs="Palatino Linotype"/>
          <w:i/>
        </w:rPr>
        <w:lastRenderedPageBreak/>
        <w:t>por razones de interés público, en los términos de las causas legítimas y estrictamente necesarias previstas por esta Ley.</w:t>
      </w:r>
    </w:p>
    <w:p w14:paraId="64EDB09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645AE">
        <w:rPr>
          <w:rFonts w:ascii="Palatino Linotype" w:eastAsia="Palatino Linotype" w:hAnsi="Palatino Linotype" w:cs="Palatino Linotype"/>
          <w:i/>
        </w:rPr>
        <w:t>.”</w:t>
      </w:r>
    </w:p>
    <w:p w14:paraId="0D9CA478"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D5E3CA0"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12.-</w:t>
      </w:r>
      <w:r w:rsidRPr="009645A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348A656"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645AE">
        <w:rPr>
          <w:rFonts w:ascii="Palatino Linotype" w:eastAsia="Palatino Linotype" w:hAnsi="Palatino Linotype" w:cs="Palatino Linotype"/>
          <w:i/>
        </w:rPr>
        <w:t xml:space="preserve">. </w:t>
      </w:r>
      <w:r w:rsidRPr="009645A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0521ED6A" w14:textId="77777777" w:rsidR="008D19BE" w:rsidRPr="009645AE" w:rsidRDefault="00D027A4">
      <w:pPr>
        <w:spacing w:before="240" w:after="240" w:line="360" w:lineRule="auto"/>
        <w:ind w:right="-93"/>
        <w:jc w:val="both"/>
        <w:rPr>
          <w:rFonts w:ascii="Palatino Linotype" w:eastAsia="Palatino Linotype" w:hAnsi="Palatino Linotype" w:cs="Palatino Linotype"/>
        </w:rPr>
      </w:pPr>
      <w:r w:rsidRPr="009645A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19DA985"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rPr>
        <w:lastRenderedPageBreak/>
        <w:t>Sirve de apoyo a lo anterior, el criterio orientador con clave de control SO/003/2017, emitido por el entonces Instituto Nacional de Transparencia, Acceso a la Información y Protección de Datos Personales, que por rubro y texto, dispone lo siguiente:</w:t>
      </w:r>
      <w:r w:rsidRPr="009645AE">
        <w:rPr>
          <w:rFonts w:ascii="Palatino Linotype" w:eastAsia="Palatino Linotype" w:hAnsi="Palatino Linotype" w:cs="Palatino Linotype"/>
          <w:b/>
        </w:rPr>
        <w:t xml:space="preserve"> </w:t>
      </w:r>
    </w:p>
    <w:p w14:paraId="187CF4AA"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 “</w:t>
      </w:r>
      <w:r w:rsidRPr="009645AE">
        <w:rPr>
          <w:rFonts w:ascii="Palatino Linotype" w:eastAsia="Palatino Linotype" w:hAnsi="Palatino Linotype" w:cs="Palatino Linotype"/>
          <w:b/>
          <w:i/>
        </w:rPr>
        <w:t>No existe obligación de elaborar documentos ad hoc para atender las solicitudes de acceso a la información.</w:t>
      </w:r>
      <w:r w:rsidRPr="009645AE">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CC2CAB8" w14:textId="77777777" w:rsidR="008D19BE" w:rsidRPr="009645AE" w:rsidRDefault="00D027A4">
      <w:pPr>
        <w:spacing w:before="120" w:after="12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E7B339" w14:textId="77777777" w:rsidR="008D19BE" w:rsidRPr="009645AE" w:rsidRDefault="00D027A4">
      <w:pPr>
        <w:spacing w:before="120" w:after="12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D360A4"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 xml:space="preserve">Artículo 3. </w:t>
      </w:r>
      <w:r w:rsidRPr="009645AE">
        <w:rPr>
          <w:rFonts w:ascii="Palatino Linotype" w:eastAsia="Palatino Linotype" w:hAnsi="Palatino Linotype" w:cs="Palatino Linotype"/>
          <w:i/>
        </w:rPr>
        <w:t>Para los efectos de la presente Ley se entenderá por:</w:t>
      </w:r>
    </w:p>
    <w:p w14:paraId="0E2F6E5A"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4CA92AD1"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lastRenderedPageBreak/>
        <w:t>XI. Documento:</w:t>
      </w:r>
      <w:r w:rsidRPr="009645AE">
        <w:rPr>
          <w:rFonts w:ascii="Palatino Linotype" w:eastAsia="Palatino Linotype" w:hAnsi="Palatino Linotype" w:cs="Palatino Linotype"/>
          <w:i/>
        </w:rPr>
        <w:t xml:space="preserve"> Los expedientes, reportes, estudios, actas</w:t>
      </w:r>
      <w:r w:rsidRPr="009645AE">
        <w:rPr>
          <w:rFonts w:ascii="Palatino Linotype" w:eastAsia="Palatino Linotype" w:hAnsi="Palatino Linotype" w:cs="Palatino Linotype"/>
          <w:b/>
          <w:i/>
        </w:rPr>
        <w:t>,</w:t>
      </w:r>
      <w:r w:rsidRPr="009645A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0DC6FA4"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B3A6A4"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rPr>
        <w:t>“</w:t>
      </w:r>
      <w:r w:rsidRPr="009645A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645A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0CC70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En consecuencia el acceso a la información se refiere a que se cumplan cualquiera de los siguientes tres supuestos:</w:t>
      </w:r>
    </w:p>
    <w:p w14:paraId="5B3C55A5"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4AE8FAE"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7CADFE7"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2CFC64A8" w14:textId="77777777" w:rsidR="008D19BE" w:rsidRPr="009645AE" w:rsidRDefault="00D027A4">
      <w:pP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AE3C4C"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C4C2372" w14:textId="77777777" w:rsidR="008D19BE" w:rsidRPr="009645AE" w:rsidRDefault="00D027A4">
      <w:pP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xml:space="preserve"> requirió al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le proporcione, información consistente en lo siguiente:</w:t>
      </w:r>
    </w:p>
    <w:p w14:paraId="6FF8C592"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rPr>
        <w:t>1. Acta de Instalación de todos los Comités que integran la administración actual.</w:t>
      </w:r>
    </w:p>
    <w:p w14:paraId="35C0673A"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respuesta,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por conducto de la Unidad de Trasparencia hizo del conocimiento de la persona solicitante, el pronunciamiento emitido por los servidores </w:t>
      </w:r>
      <w:r w:rsidRPr="009645AE">
        <w:rPr>
          <w:rFonts w:ascii="Palatino Linotype" w:eastAsia="Palatino Linotype" w:hAnsi="Palatino Linotype" w:cs="Palatino Linotype"/>
        </w:rPr>
        <w:lastRenderedPageBreak/>
        <w:t>públicos habilitados de la Dirección General de Obras Públicas, la Primera Regiduría, la Dirección General de Administración, la Dirección General de Servicios Públicos, la Defensoría Municipal de Derechos Humanos, la Dirección General de Seguridad y Protección Ciudadana, la Consejería Jurídica,  la Secretaría Técnica del Consejo Municipal de Seguridad Pública, la Tesorería Municipal, la Dirección General de Desarrollo Económico, la Dirección General de Bienestar Social, la Dirección General de Medio Ambiente, la Dirección General de Gobierno, la Coordinación General de Mejora Regulatoria, la Coordinación General de Comunicación Social, el Instituto Municipal de la Mujer, la Coordinación General de Cultura y Turismo, la Contraloría Municipal, la Secretaría Particular de Presidencia y la Unidad de Asuntos Internos, en los siguientes términos:</w:t>
      </w:r>
    </w:p>
    <w:p w14:paraId="3144F935"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Dirección General de Obras Públicas: </w:t>
      </w:r>
      <w:r w:rsidRPr="009645AE">
        <w:rPr>
          <w:rFonts w:ascii="Palatino Linotype" w:eastAsia="Palatino Linotype" w:hAnsi="Palatino Linotype" w:cs="Palatino Linotype"/>
        </w:rPr>
        <w:t xml:space="preserve">se llevó a cabo la búsqueda exhaustiva y razonable de lo Información, en los archivos que se encuentran bajo su resguardo y custodia, a de lo que se Informa lo siguiente: </w:t>
      </w:r>
    </w:p>
    <w:p w14:paraId="3E1937A0" w14:textId="77777777" w:rsidR="008D19BE" w:rsidRPr="009645AE" w:rsidRDefault="00D027A4">
      <w:pPr>
        <w:spacing w:before="240" w:after="240" w:line="360" w:lineRule="auto"/>
        <w:ind w:left="284" w:right="49"/>
        <w:jc w:val="both"/>
        <w:rPr>
          <w:rFonts w:ascii="Palatino Linotype" w:eastAsia="Palatino Linotype" w:hAnsi="Palatino Linotype" w:cs="Palatino Linotype"/>
          <w:b/>
          <w:u w:val="single"/>
        </w:rPr>
      </w:pPr>
      <w:r w:rsidRPr="009645AE">
        <w:rPr>
          <w:rFonts w:ascii="Palatino Linotype" w:eastAsia="Palatino Linotype" w:hAnsi="Palatino Linotype" w:cs="Palatino Linotype"/>
        </w:rPr>
        <w:t xml:space="preserve">a) </w:t>
      </w:r>
      <w:r w:rsidRPr="009645AE">
        <w:rPr>
          <w:rFonts w:ascii="Palatino Linotype" w:eastAsia="Palatino Linotype" w:hAnsi="Palatino Linotype" w:cs="Palatino Linotype"/>
          <w:b/>
        </w:rPr>
        <w:t>Se ubicó el Acta de Instalación del Comité Interno de Mejora Regulatoria de la Dirección General de Obras Públicos 2025-2027</w:t>
      </w:r>
      <w:r w:rsidRPr="009645AE">
        <w:rPr>
          <w:rFonts w:ascii="Palatino Linotype" w:eastAsia="Palatino Linotype" w:hAnsi="Palatino Linotype" w:cs="Palatino Linotype"/>
        </w:rPr>
        <w:t xml:space="preserve">, mismo que </w:t>
      </w:r>
      <w:r w:rsidRPr="009645AE">
        <w:rPr>
          <w:rFonts w:ascii="Palatino Linotype" w:eastAsia="Palatino Linotype" w:hAnsi="Palatino Linotype" w:cs="Palatino Linotype"/>
          <w:b/>
          <w:u w:val="single"/>
        </w:rPr>
        <w:t xml:space="preserve">se adjunta al presente en formato digital. </w:t>
      </w:r>
    </w:p>
    <w:p w14:paraId="6877D901"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b) Respecto del Comité Interno de Obras Públicas se informa que </w:t>
      </w:r>
      <w:r w:rsidRPr="009645AE">
        <w:rPr>
          <w:rFonts w:ascii="Palatino Linotype" w:eastAsia="Palatino Linotype" w:hAnsi="Palatino Linotype" w:cs="Palatino Linotype"/>
          <w:b/>
          <w:u w:val="single"/>
        </w:rPr>
        <w:t>a la fecha no se ha constituido,</w:t>
      </w:r>
      <w:r w:rsidRPr="009645AE">
        <w:rPr>
          <w:rFonts w:ascii="Palatino Linotype" w:eastAsia="Palatino Linotype" w:hAnsi="Palatino Linotype" w:cs="Palatino Linotype"/>
        </w:rPr>
        <w:t xml:space="preserve"> no obstante, el mismo se constituirá cuando se esté en el supuesto jurídico establecido en el artículo 22 del Reglamento del Libro XII del Código Administrativo del Estado de México.</w:t>
      </w:r>
    </w:p>
    <w:p w14:paraId="58CCDA12"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Primera Regiduría: no preside algún Comité</w:t>
      </w:r>
      <w:r w:rsidRPr="009645AE">
        <w:rPr>
          <w:rFonts w:ascii="Palatino Linotype" w:eastAsia="Palatino Linotype" w:hAnsi="Palatino Linotype" w:cs="Palatino Linotype"/>
        </w:rPr>
        <w:t xml:space="preserve"> de la Administración Pública Municipal de Toluca.</w:t>
      </w:r>
    </w:p>
    <w:p w14:paraId="45D6D528"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lastRenderedPageBreak/>
        <w:t>Dirección General de Administración</w:t>
      </w:r>
      <w:r w:rsidRPr="009645AE">
        <w:rPr>
          <w:rFonts w:ascii="Palatino Linotype" w:eastAsia="Palatino Linotype" w:hAnsi="Palatino Linotype" w:cs="Palatino Linotype"/>
        </w:rPr>
        <w:t xml:space="preserve">: después de haber realizado una búsqueda exhaustiva en sus archivos y los de sus departamentos, </w:t>
      </w:r>
      <w:r w:rsidRPr="009645AE">
        <w:rPr>
          <w:rFonts w:ascii="Palatino Linotype" w:eastAsia="Palatino Linotype" w:hAnsi="Palatino Linotype" w:cs="Palatino Linotype"/>
          <w:b/>
        </w:rPr>
        <w:t>no se localizó la información solicitada.</w:t>
      </w:r>
    </w:p>
    <w:p w14:paraId="5DBC3998"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Dirección General de Servicios Públicos: </w:t>
      </w:r>
      <w:r w:rsidRPr="009645AE">
        <w:rPr>
          <w:rFonts w:ascii="Palatino Linotype" w:eastAsia="Palatino Linotype" w:hAnsi="Palatino Linotype" w:cs="Palatino Linotype"/>
        </w:rPr>
        <w:t xml:space="preserve">con fundamento en el artículo 3.52 del Código Reglamentario del Municipio de Toluca, </w:t>
      </w:r>
      <w:r w:rsidRPr="009645AE">
        <w:rPr>
          <w:rFonts w:ascii="Palatino Linotype" w:eastAsia="Palatino Linotype" w:hAnsi="Palatino Linotype" w:cs="Palatino Linotype"/>
          <w:b/>
        </w:rPr>
        <w:t>no tiene las atribuciones en cuanto a la información solicitada.</w:t>
      </w:r>
    </w:p>
    <w:p w14:paraId="18FA62CC"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Defensoría Municipal de Derechos Humanos: </w:t>
      </w:r>
      <w:r w:rsidRPr="009645AE">
        <w:rPr>
          <w:rFonts w:ascii="Palatino Linotype" w:eastAsia="Palatino Linotype" w:hAnsi="Palatino Linotype" w:cs="Palatino Linotype"/>
        </w:rPr>
        <w:t xml:space="preserve">derivado de la búsqueda exhaustiva realizada en las documentales que se resguardan en los archivos de la Defensoría Municipal, en el periodo comprendido del 1° al 16 de enero de 2025, </w:t>
      </w:r>
      <w:r w:rsidRPr="009645AE">
        <w:rPr>
          <w:rFonts w:ascii="Palatino Linotype" w:eastAsia="Palatino Linotype" w:hAnsi="Palatino Linotype" w:cs="Palatino Linotype"/>
          <w:b/>
        </w:rPr>
        <w:t xml:space="preserve">se localizó </w:t>
      </w:r>
      <w:r w:rsidRPr="009645AE">
        <w:rPr>
          <w:rFonts w:ascii="Palatino Linotype" w:eastAsia="Palatino Linotype" w:hAnsi="Palatino Linotype" w:cs="Palatino Linotype"/>
        </w:rPr>
        <w:t xml:space="preserve">únicamente </w:t>
      </w:r>
      <w:r w:rsidRPr="009645AE">
        <w:rPr>
          <w:rFonts w:ascii="Palatino Linotype" w:eastAsia="Palatino Linotype" w:hAnsi="Palatino Linotype" w:cs="Palatino Linotype"/>
          <w:b/>
        </w:rPr>
        <w:t>el Acta de Instalación del Comité Interno de Mejora Regulatoria de este Organismo;</w:t>
      </w:r>
      <w:r w:rsidRPr="009645AE">
        <w:rPr>
          <w:rFonts w:ascii="Palatino Linotype" w:eastAsia="Palatino Linotype" w:hAnsi="Palatino Linotype" w:cs="Palatino Linotype"/>
        </w:rPr>
        <w:t xml:space="preserve"> la cual adjunta en formato </w:t>
      </w:r>
      <w:proofErr w:type="spellStart"/>
      <w:r w:rsidRPr="009645AE">
        <w:rPr>
          <w:rFonts w:ascii="Palatino Linotype" w:eastAsia="Palatino Linotype" w:hAnsi="Palatino Linotype" w:cs="Palatino Linotype"/>
        </w:rPr>
        <w:t>pdf</w:t>
      </w:r>
      <w:proofErr w:type="spellEnd"/>
      <w:r w:rsidRPr="009645AE">
        <w:rPr>
          <w:rFonts w:ascii="Palatino Linotype" w:eastAsia="Palatino Linotype" w:hAnsi="Palatino Linotype" w:cs="Palatino Linotype"/>
        </w:rPr>
        <w:t>.</w:t>
      </w:r>
    </w:p>
    <w:p w14:paraId="58ACF922"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Dirección General de Seguridad y Protección Ciudadana:</w:t>
      </w:r>
      <w:r w:rsidRPr="009645AE">
        <w:rPr>
          <w:rFonts w:ascii="Palatino Linotype" w:eastAsia="Palatino Linotype" w:hAnsi="Palatino Linotype" w:cs="Palatino Linotype"/>
        </w:rPr>
        <w:t xml:space="preserve"> de conformidad con el artículo 3.31 y 3.38 del Código Reglamentario Municipal, </w:t>
      </w:r>
      <w:r w:rsidRPr="009645AE">
        <w:rPr>
          <w:rFonts w:ascii="Palatino Linotype" w:eastAsia="Palatino Linotype" w:hAnsi="Palatino Linotype" w:cs="Palatino Linotype"/>
          <w:b/>
        </w:rPr>
        <w:t>no tiene atribuciones para generar y/o resguardar la información solicitada</w:t>
      </w:r>
      <w:r w:rsidRPr="009645AE">
        <w:rPr>
          <w:rFonts w:ascii="Palatino Linotype" w:eastAsia="Palatino Linotype" w:hAnsi="Palatino Linotype" w:cs="Palatino Linotype"/>
        </w:rPr>
        <w:t xml:space="preserve">, toda vez que </w:t>
      </w:r>
      <w:r w:rsidRPr="009645AE">
        <w:rPr>
          <w:rFonts w:ascii="Palatino Linotype" w:eastAsia="Palatino Linotype" w:hAnsi="Palatino Linotype" w:cs="Palatino Linotype"/>
          <w:b/>
        </w:rPr>
        <w:t>no forma parte de ningún comité</w:t>
      </w:r>
      <w:r w:rsidRPr="009645AE">
        <w:rPr>
          <w:rFonts w:ascii="Palatino Linotype" w:eastAsia="Palatino Linotype" w:hAnsi="Palatino Linotype" w:cs="Palatino Linotype"/>
        </w:rPr>
        <w:t>, por lo que se ve impedida para remitir la información requerida.</w:t>
      </w:r>
    </w:p>
    <w:p w14:paraId="7EDE830F"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Consejería Jurídica:</w:t>
      </w:r>
      <w:r w:rsidRPr="009645AE">
        <w:rPr>
          <w:rFonts w:ascii="Palatino Linotype" w:eastAsia="Palatino Linotype" w:hAnsi="Palatino Linotype" w:cs="Palatino Linotype"/>
        </w:rPr>
        <w:t xml:space="preserve"> </w:t>
      </w:r>
      <w:r w:rsidRPr="009645AE">
        <w:rPr>
          <w:rFonts w:ascii="Palatino Linotype" w:eastAsia="Palatino Linotype" w:hAnsi="Palatino Linotype" w:cs="Palatino Linotype"/>
          <w:b/>
        </w:rPr>
        <w:t xml:space="preserve">no preside ningún comité de la actual administración </w:t>
      </w:r>
      <w:r w:rsidRPr="009645AE">
        <w:rPr>
          <w:rFonts w:ascii="Palatino Linotype" w:eastAsia="Palatino Linotype" w:hAnsi="Palatino Linotype" w:cs="Palatino Linotype"/>
        </w:rPr>
        <w:t>municipal, razón por la cual resulta imposible proporcionar documento alguno.</w:t>
      </w:r>
    </w:p>
    <w:p w14:paraId="3956E45D"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Secretaría Técnica del Consejo Municipal de Seguridad Pública: </w:t>
      </w:r>
      <w:r w:rsidRPr="009645AE">
        <w:rPr>
          <w:rFonts w:ascii="Palatino Linotype" w:eastAsia="Palatino Linotype" w:hAnsi="Palatino Linotype" w:cs="Palatino Linotype"/>
        </w:rPr>
        <w:t xml:space="preserve">una vez analizada la solicitud y realizado una búsqueda exhaustiva y razonable, </w:t>
      </w:r>
      <w:r w:rsidRPr="009645AE">
        <w:rPr>
          <w:rFonts w:ascii="Palatino Linotype" w:eastAsia="Palatino Linotype" w:hAnsi="Palatino Linotype" w:cs="Palatino Linotype"/>
          <w:b/>
        </w:rPr>
        <w:t>no posee o administra información referente a la integración de comités,</w:t>
      </w:r>
      <w:r w:rsidRPr="009645AE">
        <w:rPr>
          <w:rFonts w:ascii="Palatino Linotype" w:eastAsia="Palatino Linotype" w:hAnsi="Palatino Linotype" w:cs="Palatino Linotype"/>
        </w:rPr>
        <w:t xml:space="preserve"> por lo que no es posible brindar atención a la solicitud de información antes referida.</w:t>
      </w:r>
    </w:p>
    <w:p w14:paraId="55839ED2"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Tesorería Municipal</w:t>
      </w:r>
      <w:r w:rsidRPr="009645AE">
        <w:rPr>
          <w:rFonts w:ascii="Palatino Linotype" w:eastAsia="Palatino Linotype" w:hAnsi="Palatino Linotype" w:cs="Palatino Linotype"/>
        </w:rPr>
        <w:t xml:space="preserve">: no cuenta con la información solicitada, debido a que </w:t>
      </w:r>
      <w:r w:rsidRPr="009645AE">
        <w:rPr>
          <w:rFonts w:ascii="Palatino Linotype" w:eastAsia="Palatino Linotype" w:hAnsi="Palatino Linotype" w:cs="Palatino Linotype"/>
          <w:b/>
        </w:rPr>
        <w:t>no forma parte de sus atribuciones,</w:t>
      </w:r>
      <w:r w:rsidRPr="009645AE">
        <w:rPr>
          <w:rFonts w:ascii="Palatino Linotype" w:eastAsia="Palatino Linotype" w:hAnsi="Palatino Linotype" w:cs="Palatino Linotype"/>
        </w:rPr>
        <w:t xml:space="preserve"> por lo que se deberá de reconducir esta solicitud al área correspondiente.</w:t>
      </w:r>
    </w:p>
    <w:p w14:paraId="3570D2BB"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lastRenderedPageBreak/>
        <w:t>Dirección General de Desarrollo Económico</w:t>
      </w:r>
      <w:r w:rsidRPr="009645AE">
        <w:rPr>
          <w:rFonts w:ascii="Palatino Linotype" w:eastAsia="Palatino Linotype" w:hAnsi="Palatino Linotype" w:cs="Palatino Linotype"/>
        </w:rPr>
        <w:t xml:space="preserve">: con fundamento en lo establecido en el artículo 3.56 del Código Reglamentario Municipal de Toluca vigente, </w:t>
      </w:r>
      <w:r w:rsidRPr="009645AE">
        <w:rPr>
          <w:rFonts w:ascii="Palatino Linotype" w:eastAsia="Palatino Linotype" w:hAnsi="Palatino Linotype" w:cs="Palatino Linotype"/>
          <w:b/>
        </w:rPr>
        <w:t>a la fecha no se cuenta con la información requerida.</w:t>
      </w:r>
    </w:p>
    <w:p w14:paraId="44510DC0"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Dirección General de Bienestar Social: </w:t>
      </w:r>
      <w:r w:rsidRPr="009645AE">
        <w:rPr>
          <w:rFonts w:ascii="Palatino Linotype" w:eastAsia="Palatino Linotype" w:hAnsi="Palatino Linotype" w:cs="Palatino Linotype"/>
        </w:rPr>
        <w:t xml:space="preserve">después de haber realizado una búsqueda minuciosa y exhaustiva en los archivos y en el ámbito de las atribuciones que se confieren en el Código Reglamentario de este Ayuntamiento, </w:t>
      </w:r>
      <w:r w:rsidRPr="009645AE">
        <w:rPr>
          <w:rFonts w:ascii="Palatino Linotype" w:eastAsia="Palatino Linotype" w:hAnsi="Palatino Linotype" w:cs="Palatino Linotype"/>
          <w:b/>
        </w:rPr>
        <w:t>adjunta el Acta de Instalación del Comité Interno de Mejora Regulatoria de la Dirección General de Bienestar 2025-2027.</w:t>
      </w:r>
    </w:p>
    <w:p w14:paraId="748952F7"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Dirección General de Medio Ambiente: </w:t>
      </w:r>
      <w:r w:rsidRPr="009645AE">
        <w:rPr>
          <w:rFonts w:ascii="Palatino Linotype" w:eastAsia="Palatino Linotype" w:hAnsi="Palatino Linotype" w:cs="Palatino Linotype"/>
        </w:rPr>
        <w:t xml:space="preserve">la Dirección Jurídica е Inspección Ambiental tiene a su cargo el Comité Interno de Mejora Regulatoria, у con la finalidad de dar atención a lo requerido, </w:t>
      </w:r>
      <w:r w:rsidRPr="009645AE">
        <w:rPr>
          <w:rFonts w:ascii="Palatino Linotype" w:eastAsia="Palatino Linotype" w:hAnsi="Palatino Linotype" w:cs="Palatino Linotype"/>
          <w:b/>
        </w:rPr>
        <w:t>adjunta en formato digital en archivo PDF el Acta de Instalación para su debida consulta.</w:t>
      </w:r>
    </w:p>
    <w:p w14:paraId="5340D43A"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Dirección General de Gobierno: </w:t>
      </w:r>
      <w:r w:rsidRPr="009645AE">
        <w:rPr>
          <w:rFonts w:ascii="Palatino Linotype" w:eastAsia="Palatino Linotype" w:hAnsi="Palatino Linotype" w:cs="Palatino Linotype"/>
        </w:rPr>
        <w:t xml:space="preserve">únicamente </w:t>
      </w:r>
      <w:r w:rsidRPr="009645AE">
        <w:rPr>
          <w:rFonts w:ascii="Palatino Linotype" w:eastAsia="Palatino Linotype" w:hAnsi="Palatino Linotype" w:cs="Palatino Linotype"/>
          <w:b/>
        </w:rPr>
        <w:t>cuenta con el denominado "Comité Interno de Mejora Regulatoria 2025-2027", cuya Acta de Instalación adjunta</w:t>
      </w:r>
      <w:r w:rsidRPr="009645AE">
        <w:rPr>
          <w:rFonts w:ascii="Palatino Linotype" w:eastAsia="Palatino Linotype" w:hAnsi="Palatino Linotype" w:cs="Palatino Linotype"/>
        </w:rPr>
        <w:t>.</w:t>
      </w:r>
    </w:p>
    <w:p w14:paraId="791A90B4"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Coordinación General de Mejora Regulatoria: la sesión de instalación de la Comisión Municipal de Mejora Regulatoria </w:t>
      </w:r>
      <w:r w:rsidRPr="009645AE">
        <w:rPr>
          <w:rFonts w:ascii="Palatino Linotype" w:eastAsia="Palatino Linotype" w:hAnsi="Palatino Linotype" w:cs="Palatino Linotype"/>
          <w:b/>
          <w:u w:val="single"/>
        </w:rPr>
        <w:t>se programó en este primer trimestre</w:t>
      </w:r>
      <w:r w:rsidRPr="009645AE">
        <w:rPr>
          <w:rFonts w:ascii="Palatino Linotype" w:eastAsia="Palatino Linotype" w:hAnsi="Palatino Linotype" w:cs="Palatino Linotype"/>
          <w:u w:val="single"/>
        </w:rPr>
        <w:t xml:space="preserve">, </w:t>
      </w:r>
      <w:r w:rsidRPr="009645AE">
        <w:rPr>
          <w:rFonts w:ascii="Palatino Linotype" w:eastAsia="Palatino Linotype" w:hAnsi="Palatino Linotype" w:cs="Palatino Linotype"/>
          <w:b/>
          <w:u w:val="single"/>
        </w:rPr>
        <w:t>cumpliendo para el mes de Marzo</w:t>
      </w:r>
      <w:r w:rsidRPr="009645AE">
        <w:rPr>
          <w:rFonts w:ascii="Palatino Linotype" w:eastAsia="Palatino Linotype" w:hAnsi="Palatino Linotype" w:cs="Palatino Linotype"/>
          <w:u w:val="single"/>
        </w:rPr>
        <w:t>,</w:t>
      </w:r>
      <w:r w:rsidRPr="009645AE">
        <w:rPr>
          <w:rFonts w:ascii="Palatino Linotype" w:eastAsia="Palatino Linotype" w:hAnsi="Palatino Linotype" w:cs="Palatino Linotype"/>
        </w:rPr>
        <w:t xml:space="preserve"> dicha Acta de sesión será publicada en el apartado de Mejora Regulatoria en la página oficial del Ayuntamiento de Toluca: </w:t>
      </w:r>
      <w:hyperlink r:id="rId8">
        <w:r w:rsidRPr="009645AE">
          <w:rPr>
            <w:rFonts w:ascii="Palatino Linotype" w:eastAsia="Palatino Linotype" w:hAnsi="Palatino Linotype" w:cs="Palatino Linotype"/>
            <w:u w:val="single"/>
          </w:rPr>
          <w:t>https://www2.toluca.gob.mx/mejoregumun./</w:t>
        </w:r>
      </w:hyperlink>
      <w:r w:rsidRPr="009645AE">
        <w:rPr>
          <w:rFonts w:ascii="Palatino Linotype" w:eastAsia="Palatino Linotype" w:hAnsi="Palatino Linotype" w:cs="Palatino Linotype"/>
        </w:rPr>
        <w:t>, cuya dirección electrónica proporcionó a través de un documento digitalizado.</w:t>
      </w:r>
    </w:p>
    <w:p w14:paraId="0B2E4F37"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Coordinación General de Comunicación Social: </w:t>
      </w:r>
      <w:r w:rsidRPr="009645AE">
        <w:rPr>
          <w:rFonts w:ascii="Palatino Linotype" w:eastAsia="Palatino Linotype" w:hAnsi="Palatino Linotype" w:cs="Palatino Linotype"/>
        </w:rPr>
        <w:t xml:space="preserve">después de una búsqueda exhaustiva dentro de los archivos de la Coordinación, </w:t>
      </w:r>
      <w:r w:rsidRPr="009645AE">
        <w:rPr>
          <w:rFonts w:ascii="Palatino Linotype" w:eastAsia="Palatino Linotype" w:hAnsi="Palatino Linotype" w:cs="Palatino Linotype"/>
          <w:b/>
        </w:rPr>
        <w:t>no se encontró información del evento en mención</w:t>
      </w:r>
      <w:r w:rsidRPr="009645AE">
        <w:rPr>
          <w:rFonts w:ascii="Palatino Linotype" w:eastAsia="Palatino Linotype" w:hAnsi="Palatino Linotype" w:cs="Palatino Linotype"/>
        </w:rPr>
        <w:t>.</w:t>
      </w:r>
    </w:p>
    <w:p w14:paraId="0AA1B458"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lastRenderedPageBreak/>
        <w:t xml:space="preserve">Instituto Municipal de la Mujer de Toluca: </w:t>
      </w:r>
      <w:r w:rsidRPr="009645AE">
        <w:rPr>
          <w:rFonts w:ascii="Palatino Linotype" w:eastAsia="Palatino Linotype" w:hAnsi="Palatino Linotype" w:cs="Palatino Linotype"/>
        </w:rPr>
        <w:t>proporciona el Acta de Instalación del Comité Interno de Mejora Regulatoria y el Acta de Constitución y Primera Sesión Ordinaria del Comité de Ética en formato PDF.</w:t>
      </w:r>
    </w:p>
    <w:p w14:paraId="789052C1"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Coordinación General de Cultura y Turismo: </w:t>
      </w:r>
      <w:r w:rsidRPr="009645AE">
        <w:rPr>
          <w:rFonts w:ascii="Palatino Linotype" w:eastAsia="Palatino Linotype" w:hAnsi="Palatino Linotype" w:cs="Palatino Linotype"/>
        </w:rPr>
        <w:t xml:space="preserve">Informó que integra el Consejo Consultivo Municipal de Turismo Sostenible y Desarrollo Artesanal, con fundamento en el Artículo 1 de la LEY DE TURISMO SOSTENIBLE DESARROLLO ARTESANAL DEL ESTADO DE MÉXICO, sin embargo, </w:t>
      </w:r>
      <w:r w:rsidRPr="009645AE">
        <w:rPr>
          <w:rFonts w:ascii="Palatino Linotype" w:eastAsia="Palatino Linotype" w:hAnsi="Palatino Linotype" w:cs="Palatino Linotype"/>
          <w:b/>
          <w:u w:val="single"/>
        </w:rPr>
        <w:t>a la fecha de la solicitud no ha sido instalado el Comité,</w:t>
      </w:r>
      <w:r w:rsidRPr="009645AE">
        <w:rPr>
          <w:rFonts w:ascii="Palatino Linotype" w:eastAsia="Palatino Linotype" w:hAnsi="Palatino Linotype" w:cs="Palatino Linotype"/>
        </w:rPr>
        <w:t xml:space="preserve"> debido a que este proceso se da dentro de los primeros 3 meses del año corriente.</w:t>
      </w:r>
    </w:p>
    <w:p w14:paraId="53C3BE8F"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Contraloría Municipal: </w:t>
      </w:r>
      <w:r w:rsidRPr="009645AE">
        <w:rPr>
          <w:rFonts w:ascii="Palatino Linotype" w:eastAsia="Palatino Linotype" w:hAnsi="Palatino Linotype" w:cs="Palatino Linotype"/>
        </w:rPr>
        <w:t>conforme al artículo 3.25 del Código Reglamentario Municipal de Toluca</w:t>
      </w:r>
      <w:r w:rsidRPr="009645AE">
        <w:rPr>
          <w:rFonts w:ascii="Palatino Linotype" w:eastAsia="Palatino Linotype" w:hAnsi="Palatino Linotype" w:cs="Palatino Linotype"/>
          <w:b/>
        </w:rPr>
        <w:t>, no genera, procesa o administra la documentación requerida en la solicitud</w:t>
      </w:r>
      <w:r w:rsidRPr="009645AE">
        <w:rPr>
          <w:rFonts w:ascii="Palatino Linotype" w:eastAsia="Palatino Linotype" w:hAnsi="Palatino Linotype" w:cs="Palatino Linotype"/>
        </w:rPr>
        <w:t xml:space="preserve"> de información inicial.</w:t>
      </w:r>
    </w:p>
    <w:p w14:paraId="177244F3"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Secretaría Particular de Presidencia: </w:t>
      </w:r>
      <w:r w:rsidRPr="009645AE">
        <w:rPr>
          <w:rFonts w:ascii="Palatino Linotype" w:eastAsia="Palatino Linotype" w:hAnsi="Palatino Linotype" w:cs="Palatino Linotype"/>
        </w:rPr>
        <w:t xml:space="preserve">derivado de una búsqueda exhaustiva y razonable en los archivos físicos y digitales </w:t>
      </w:r>
      <w:r w:rsidRPr="009645AE">
        <w:rPr>
          <w:rFonts w:ascii="Palatino Linotype" w:eastAsia="Palatino Linotype" w:hAnsi="Palatino Linotype" w:cs="Palatino Linotype"/>
          <w:b/>
        </w:rPr>
        <w:t>no se encontró información alguna acerca de lo solicitado, por no ser de competencia de esta área.</w:t>
      </w:r>
    </w:p>
    <w:p w14:paraId="15CBDF51" w14:textId="77777777" w:rsidR="008D19BE" w:rsidRPr="009645AE" w:rsidRDefault="00D027A4">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Unidad de Asuntos Internos: </w:t>
      </w:r>
      <w:r w:rsidRPr="009645AE">
        <w:rPr>
          <w:rFonts w:ascii="Palatino Linotype" w:eastAsia="Palatino Linotype" w:hAnsi="Palatino Linotype" w:cs="Palatino Linotype"/>
        </w:rPr>
        <w:t xml:space="preserve">tras realizar una búsqueda exhaustiva en los archivos físicos y digitales que obran en la Unidad de Asuntos Internos, </w:t>
      </w:r>
      <w:r w:rsidRPr="009645AE">
        <w:rPr>
          <w:rFonts w:ascii="Palatino Linotype" w:eastAsia="Palatino Linotype" w:hAnsi="Palatino Linotype" w:cs="Palatino Linotype"/>
          <w:b/>
        </w:rPr>
        <w:t>no se encontró registro alguno de Actas de instalación</w:t>
      </w:r>
      <w:r w:rsidRPr="009645AE">
        <w:rPr>
          <w:rFonts w:ascii="Palatino Linotype" w:eastAsia="Palatino Linotype" w:hAnsi="Palatino Linotype" w:cs="Palatino Linotype"/>
        </w:rPr>
        <w:t>.</w:t>
      </w:r>
    </w:p>
    <w:p w14:paraId="4942F360" w14:textId="77777777" w:rsidR="008D19BE" w:rsidRPr="009645AE" w:rsidRDefault="00D027A4">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 Al no estar conforme con los términos de la respuesta proporcionada por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la persona solicitante interpuso el recurso de revisión que se resuelve, mediante el cual alegó, en lo medular, que la información le fue entregada incompleta.</w:t>
      </w:r>
    </w:p>
    <w:p w14:paraId="287F989F" w14:textId="77777777" w:rsidR="008D19BE" w:rsidRPr="009645AE" w:rsidRDefault="00D027A4">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Asimismo, alegó que se dio contestación fuera del plazo, sin embargo, como se advierte en el antecedente 2 de la presente resolución,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notificó a la persona solicitante la ampliación del plazo por siete días adicionales de conformidad con el artículo </w:t>
      </w:r>
      <w:r w:rsidRPr="009645AE">
        <w:rPr>
          <w:rFonts w:ascii="Palatino Linotype" w:eastAsia="Palatino Linotype" w:hAnsi="Palatino Linotype" w:cs="Palatino Linotype"/>
        </w:rPr>
        <w:lastRenderedPageBreak/>
        <w:t>163, párrafo segundo de la Ley de Transparencia y Acceso a la Información Pública del Estado de México y Municipios, para dar respuesta, la cual fue aprobada por el Comité de Transparencia, en la Sexagésima Novena Sesión Extraordinaria 2025, cuya acta fue entregada en el acto.</w:t>
      </w:r>
    </w:p>
    <w:p w14:paraId="420ED112"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Ahora bien, durante el periodo de manifestaciones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ratificó en lo sustancial la respuesta proporcionada en primera instancia, y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4D777A0D"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en contraposición con el motivo de inconformidad alegado por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B922EBE"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218300D"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w:t>
      </w:r>
      <w:r w:rsidRPr="009645AE">
        <w:rPr>
          <w:rFonts w:ascii="Palatino Linotype" w:eastAsia="Palatino Linotype" w:hAnsi="Palatino Linotype" w:cs="Palatino Linotype"/>
        </w:rPr>
        <w:lastRenderedPageBreak/>
        <w:t>162 de la Ley de Transparencia y Acceso a la Información Pública del Estado de México y Municipios.</w:t>
      </w:r>
    </w:p>
    <w:p w14:paraId="64F83478" w14:textId="77777777" w:rsidR="008D19BE" w:rsidRPr="009645AE" w:rsidRDefault="00D027A4">
      <w:pP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101BFF4"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B2DBDBE"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turnó la solicitud de información a la Dirección General de Obras Públicas, la Primera Regiduría, la Dirección General de Administración, la Dirección General de Servicios Públicos, la </w:t>
      </w:r>
      <w:r w:rsidRPr="009645AE">
        <w:rPr>
          <w:rFonts w:ascii="Palatino Linotype" w:eastAsia="Palatino Linotype" w:hAnsi="Palatino Linotype" w:cs="Palatino Linotype"/>
        </w:rPr>
        <w:lastRenderedPageBreak/>
        <w:t>Defensoría Municipal de Derechos Humanos, la Dirección General de Seguridad y Protección Ciudadana, la Consejería Jurídica,  la Secretaría Técnica del Consejo Municipal de Seguridad Pública, la Tesorería Municipal, la Dirección General de Desarrollo Económico, la Dirección General de Bienestar Social, la Dirección General de Medio Ambiente, la Dirección General de Gobierno, la Coordinación General de Mejora Regulatoria, la Coordinación General de Comunicación Social, el Instituto Municipal de la Mujer, la Coordinación General de Cultura y Turismo, la Contraloría Municipal, la Secretaría Particular de Presidencia y la Unidad de Asuntos Internos, como las dependencias facultadas para conocer de la información que es del interés de la persona solicitante.</w:t>
      </w:r>
    </w:p>
    <w:p w14:paraId="04D51485"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Atento a lo anterior, debe decirse que de conformidad con el artículo 5.2 del Código Reglamentario Municipal de Toluca, le corresponde al presidente municipal, a propuesta de los titulares de las dependencias u organizaciones civiles, constituir consejos, comisiones y comités, pudiendo ser permanentes o transitorios, cuya integración y funcionamiento están regulados en el Título Quinto del Código.</w:t>
      </w:r>
    </w:p>
    <w:p w14:paraId="7D80D468"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No obstante, el artículo 5.3 del referido Código, dispone que aquellos órganos colegiados cuya creación se ordene en alguna ley, código o reglamento, ya sea estatal o municipal, se sujetarán a lo dispuesto por la norma que obliga a su creación y su estructura podrá ser diferente a lo estipulado Título Quinto.</w:t>
      </w:r>
    </w:p>
    <w:p w14:paraId="52618C6C"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En este sentido, los órganos colegiados, según dispone el artículo 5.4 del Código Reglamentario, se integran por lo menos con:</w:t>
      </w:r>
    </w:p>
    <w:p w14:paraId="0354E1C8"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t>A</w:t>
      </w:r>
      <w:r w:rsidRPr="009645AE">
        <w:rPr>
          <w:rFonts w:ascii="Palatino Linotype" w:eastAsia="Palatino Linotype" w:hAnsi="Palatino Linotype" w:cs="Palatino Linotype"/>
        </w:rPr>
        <w:t xml:space="preserve">. Una o un Presidente, que será el presidente municipal o quien él designe; </w:t>
      </w:r>
    </w:p>
    <w:p w14:paraId="6A666143"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lastRenderedPageBreak/>
        <w:t>B</w:t>
      </w:r>
      <w:r w:rsidRPr="009645AE">
        <w:rPr>
          <w:rFonts w:ascii="Palatino Linotype" w:eastAsia="Palatino Linotype" w:hAnsi="Palatino Linotype" w:cs="Palatino Linotype"/>
        </w:rPr>
        <w:t xml:space="preserve">. </w:t>
      </w:r>
      <w:r w:rsidRPr="009645AE">
        <w:rPr>
          <w:rFonts w:ascii="Palatino Linotype" w:eastAsia="Palatino Linotype" w:hAnsi="Palatino Linotype" w:cs="Palatino Linotype"/>
          <w:b/>
        </w:rPr>
        <w:t>Una o un Secretario Técnico,</w:t>
      </w:r>
      <w:r w:rsidRPr="009645AE">
        <w:rPr>
          <w:rFonts w:ascii="Palatino Linotype" w:eastAsia="Palatino Linotype" w:hAnsi="Palatino Linotype" w:cs="Palatino Linotype"/>
        </w:rPr>
        <w:t xml:space="preserve"> quien </w:t>
      </w:r>
      <w:r w:rsidRPr="009645AE">
        <w:rPr>
          <w:rFonts w:ascii="Palatino Linotype" w:eastAsia="Palatino Linotype" w:hAnsi="Palatino Linotype" w:cs="Palatino Linotype"/>
          <w:b/>
        </w:rPr>
        <w:t>será la o el titular del área de la administración pública municipal que tenga mayor relación con el objeto del órgano colegiado o a quien designe el Presidente</w:t>
      </w:r>
      <w:r w:rsidRPr="009645AE">
        <w:rPr>
          <w:rFonts w:ascii="Palatino Linotype" w:eastAsia="Palatino Linotype" w:hAnsi="Palatino Linotype" w:cs="Palatino Linotype"/>
        </w:rPr>
        <w:t xml:space="preserve">; y </w:t>
      </w:r>
    </w:p>
    <w:p w14:paraId="74AE3C9A"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t>C.</w:t>
      </w:r>
      <w:r w:rsidRPr="009645AE">
        <w:rPr>
          <w:rFonts w:ascii="Palatino Linotype" w:eastAsia="Palatino Linotype" w:hAnsi="Palatino Linotype" w:cs="Palatino Linotype"/>
        </w:rPr>
        <w:t xml:space="preserve"> Al menos tres Vocales, o los que por la naturaleza del órgano se consideren necesarios, quienes serán servidores públicos en activo propuestos por la dependencia que impulse la creación del órgano.</w:t>
      </w:r>
    </w:p>
    <w:p w14:paraId="5B57DB0D"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Como se advierte, los comités como órganos colegiados, se integran de un presidente, un secretario, y al menos tres vocales, siendo responsabilidades de la persona que funja como secretario técnico, quien será la o el titular del área de la administración pública municipal que tenga mayor relación con el objeto del órgano colegiado o en su defecto, quien designe el Presidente, las de levantar las actas de cada sesión, y conservar y resguardar las actas y el archivo de la documentación generada de las sesiones así como de los informes, recomendaciones, evaluaciones y cualquier otro documento acordado; según dispone el artículo 5.10, fracciones I y IV del Código Reglamentario, a saber:</w:t>
      </w:r>
    </w:p>
    <w:p w14:paraId="547B6C5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Artículo 5.10</w:t>
      </w:r>
      <w:r w:rsidRPr="009645AE">
        <w:rPr>
          <w:rFonts w:ascii="Palatino Linotype" w:eastAsia="Palatino Linotype" w:hAnsi="Palatino Linotype" w:cs="Palatino Linotype"/>
          <w:i/>
        </w:rPr>
        <w:t>. La o el Secretario Técnico tendrá las siguientes funciones:</w:t>
      </w:r>
    </w:p>
    <w:p w14:paraId="1DF85805"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xml:space="preserve">I. </w:t>
      </w:r>
      <w:r w:rsidRPr="009645AE">
        <w:rPr>
          <w:rFonts w:ascii="Palatino Linotype" w:eastAsia="Palatino Linotype" w:hAnsi="Palatino Linotype" w:cs="Palatino Linotype"/>
          <w:i/>
        </w:rPr>
        <w:t>Levantar el acta de cada sesión;</w:t>
      </w:r>
    </w:p>
    <w:p w14:paraId="5B556872"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7694B2D4"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IV</w:t>
      </w:r>
      <w:r w:rsidRPr="009645AE">
        <w:rPr>
          <w:rFonts w:ascii="Palatino Linotype" w:eastAsia="Palatino Linotype" w:hAnsi="Palatino Linotype" w:cs="Palatino Linotype"/>
          <w:i/>
        </w:rPr>
        <w:t>. Conservar y resguardar las actas y el archivo de la documentación generada de las sesiones así como de los informes, recomendaciones, evaluaciones y cualquier otro documento acordado;”</w:t>
      </w:r>
    </w:p>
    <w:p w14:paraId="419D71EA"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El artículo 5.17 del Código Reglamentario dispone que en el municipio se establecerán aquellos órganos colegiados cuya creación se ordene en alguna Ley, Código Reglamento y su estructura y funcionamiento se sujetará a lo dispuesto por el ordenamiento jurídico respectivo y el capítulo tercero del Título Quinto del Código, por lo que, de manera enunciativa, más no limitativa, se instalarán e integrarán los siguientes órganos colegiados:</w:t>
      </w:r>
    </w:p>
    <w:p w14:paraId="5028046F"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lastRenderedPageBreak/>
        <w:t>“Artículo 5.18</w:t>
      </w:r>
      <w:r w:rsidRPr="009645AE">
        <w:rPr>
          <w:rFonts w:ascii="Palatino Linotype" w:eastAsia="Palatino Linotype" w:hAnsi="Palatino Linotype" w:cs="Palatino Linotype"/>
          <w:i/>
        </w:rPr>
        <w:t>. Se integrarán e instalarán, de manera enunciativa, más no limitativa, los siguientes órganos colegiados:</w:t>
      </w:r>
    </w:p>
    <w:p w14:paraId="2A3EFBC7"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Comisión de Planeación para el Desarrollo Municipal; </w:t>
      </w:r>
    </w:p>
    <w:p w14:paraId="4D4DD8E2"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xml:space="preserve"> Comisión Municipal de Mejora Regulatoria;</w:t>
      </w:r>
    </w:p>
    <w:p w14:paraId="3E863CE7"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Consejo Municipal de Protección a la Biodiversidad y Desarrollo Sostenible; </w:t>
      </w:r>
    </w:p>
    <w:p w14:paraId="3EDB4BDA"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IV.</w:t>
      </w:r>
      <w:r w:rsidRPr="009645AE">
        <w:rPr>
          <w:rFonts w:ascii="Palatino Linotype" w:eastAsia="Palatino Linotype" w:hAnsi="Palatino Linotype" w:cs="Palatino Linotype"/>
          <w:i/>
        </w:rPr>
        <w:t xml:space="preserve"> Consejo Municipal para la Protección, Integración y Desarrollo de las Personas con Discapacidad; </w:t>
      </w:r>
    </w:p>
    <w:p w14:paraId="7DF9AD2E"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V</w:t>
      </w:r>
      <w:r w:rsidRPr="009645AE">
        <w:rPr>
          <w:rFonts w:ascii="Palatino Linotype" w:eastAsia="Palatino Linotype" w:hAnsi="Palatino Linotype" w:cs="Palatino Linotype"/>
          <w:i/>
        </w:rPr>
        <w:t xml:space="preserve">. Consejo Municipal Forestal y Vegetal; </w:t>
      </w:r>
    </w:p>
    <w:p w14:paraId="6E75A662"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VI</w:t>
      </w:r>
      <w:r w:rsidRPr="009645AE">
        <w:rPr>
          <w:rFonts w:ascii="Palatino Linotype" w:eastAsia="Palatino Linotype" w:hAnsi="Palatino Linotype" w:cs="Palatino Linotype"/>
          <w:i/>
        </w:rPr>
        <w:t xml:space="preserve">. Consejo Consultivo Municipal de Turismo; </w:t>
      </w:r>
    </w:p>
    <w:p w14:paraId="327CF45D" w14:textId="77777777" w:rsidR="008D19BE" w:rsidRPr="009645AE" w:rsidRDefault="00D027A4">
      <w:pPr>
        <w:spacing w:before="120" w:after="120" w:line="240" w:lineRule="auto"/>
        <w:ind w:left="1134"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 xml:space="preserve">VII. Comité de Adquisiciones y Servicios; </w:t>
      </w:r>
    </w:p>
    <w:p w14:paraId="7EB769E0" w14:textId="77777777" w:rsidR="008D19BE" w:rsidRPr="009645AE" w:rsidRDefault="00D027A4">
      <w:pPr>
        <w:spacing w:before="120" w:after="120" w:line="240" w:lineRule="auto"/>
        <w:ind w:left="1134"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VIII. Comité de Arrendamientos y Adquisiciones de Inmuebles y Enajenaciones del Municipio de Toluca;</w:t>
      </w:r>
    </w:p>
    <w:p w14:paraId="5D65AB43" w14:textId="77777777" w:rsidR="008D19BE" w:rsidRPr="009645AE" w:rsidRDefault="00D027A4">
      <w:pPr>
        <w:spacing w:before="120" w:after="120" w:line="240" w:lineRule="auto"/>
        <w:ind w:left="1134"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 xml:space="preserve">IX. Comité de Transparencia del Municipio de Toluca; </w:t>
      </w:r>
    </w:p>
    <w:p w14:paraId="206810F8"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w:t>
      </w:r>
      <w:r w:rsidRPr="009645AE">
        <w:rPr>
          <w:rFonts w:ascii="Palatino Linotype" w:eastAsia="Palatino Linotype" w:hAnsi="Palatino Linotype" w:cs="Palatino Linotype"/>
          <w:i/>
        </w:rPr>
        <w:t xml:space="preserve"> Consejo Municipal de Protección Civil; </w:t>
      </w:r>
    </w:p>
    <w:p w14:paraId="535FB596"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XI. Comité de Bienes Muebles e Inmuebles;</w:t>
      </w:r>
      <w:r w:rsidRPr="009645AE">
        <w:rPr>
          <w:rFonts w:ascii="Palatino Linotype" w:eastAsia="Palatino Linotype" w:hAnsi="Palatino Linotype" w:cs="Palatino Linotype"/>
          <w:i/>
        </w:rPr>
        <w:t xml:space="preserve"> </w:t>
      </w:r>
    </w:p>
    <w:p w14:paraId="19C61DE0" w14:textId="77777777" w:rsidR="008D19BE" w:rsidRPr="009645AE" w:rsidRDefault="00D027A4">
      <w:pPr>
        <w:spacing w:before="120" w:after="120" w:line="240" w:lineRule="auto"/>
        <w:ind w:left="1134"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 xml:space="preserve">XII. Comité Municipal de Dictámenes de Giro; </w:t>
      </w:r>
    </w:p>
    <w:p w14:paraId="6074E0CE"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XIII</w:t>
      </w:r>
      <w:r w:rsidRPr="009645AE">
        <w:rPr>
          <w:rFonts w:ascii="Palatino Linotype" w:eastAsia="Palatino Linotype" w:hAnsi="Palatino Linotype" w:cs="Palatino Linotype"/>
          <w:i/>
        </w:rPr>
        <w:t xml:space="preserve">. Consejo Municipal de participación Social en la Educación; </w:t>
      </w:r>
    </w:p>
    <w:p w14:paraId="7EE13525"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XIV</w:t>
      </w:r>
      <w:r w:rsidRPr="009645AE">
        <w:rPr>
          <w:rFonts w:ascii="Palatino Linotype" w:eastAsia="Palatino Linotype" w:hAnsi="Palatino Linotype" w:cs="Palatino Linotype"/>
          <w:i/>
        </w:rPr>
        <w:t xml:space="preserve">. Consejo Municipal de Control y Bienestar Animal; </w:t>
      </w:r>
    </w:p>
    <w:p w14:paraId="20C0C561"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XV</w:t>
      </w:r>
      <w:r w:rsidRPr="009645AE">
        <w:rPr>
          <w:rFonts w:ascii="Palatino Linotype" w:eastAsia="Palatino Linotype" w:hAnsi="Palatino Linotype" w:cs="Palatino Linotype"/>
          <w:i/>
        </w:rPr>
        <w:t xml:space="preserve">. Consejo Municipal para el Seguimiento a la Implementación de la Agenda 2030; </w:t>
      </w:r>
    </w:p>
    <w:p w14:paraId="1E60D44F"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XVI</w:t>
      </w:r>
      <w:r w:rsidRPr="009645AE">
        <w:rPr>
          <w:rFonts w:ascii="Palatino Linotype" w:eastAsia="Palatino Linotype" w:hAnsi="Palatino Linotype" w:cs="Palatino Linotype"/>
          <w:i/>
        </w:rPr>
        <w:t xml:space="preserve">. Consejo Municipal para el Desarrollo Rural Sustentable; y </w:t>
      </w:r>
    </w:p>
    <w:p w14:paraId="03BDABC7"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XVII.</w:t>
      </w:r>
      <w:r w:rsidRPr="009645AE">
        <w:rPr>
          <w:rFonts w:ascii="Palatino Linotype" w:eastAsia="Palatino Linotype" w:hAnsi="Palatino Linotype" w:cs="Palatino Linotype"/>
          <w:i/>
        </w:rPr>
        <w:t xml:space="preserve"> Los demás que ordene la legislación vigente.</w:t>
      </w:r>
    </w:p>
    <w:p w14:paraId="1E7392F0"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Cuando la Ley no establezca la estructura del órgano colegiado, ésta será propuesta por el área de interés y aprobada por el presidente municipal, su funcionamiento interno se sujetará a lo dispuesto en su acta de instalación.”</w:t>
      </w:r>
    </w:p>
    <w:p w14:paraId="52D8CA04"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el caso particular, derivado del análisis de la información proporcionada, se concluyó que es insuficiente para tener por satisfecho el Derecho de acceso de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 xml:space="preserve">ya que si bien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hizo entrega del Acta de Constitución y Primera Sesión Ordinaria del Comité de Ética Instituto Municipal de la Mujer de Toluca, cuyo </w:t>
      </w:r>
      <w:r w:rsidRPr="009645AE">
        <w:rPr>
          <w:rFonts w:ascii="Palatino Linotype" w:eastAsia="Palatino Linotype" w:hAnsi="Palatino Linotype" w:cs="Palatino Linotype"/>
        </w:rPr>
        <w:lastRenderedPageBreak/>
        <w:t xml:space="preserve">establecimiento encuentra sustento en los artículos 109, fracción III de la Constitución Política de los Estados Unidos Mexicanos, 168 y 170 de la Ley Orgánica Municipal del Estado de México y Articulo 7 de la Ley de Responsabilidades Administrativas del Estado de México y Municipios, y demás aplicables, así como las Actas de Instalación de los Comités Internos de Mejora Regulatoria, de la Dirección General de Obras Públicas, la Dirección General de Gobierno, la Dirección General de Bienestar, la Dirección General de Medio Ambiente, el Instituto Municipal de la Mujer de Toluca y Defensoría Municipal de Derechos Humanos de Toluca, cuyo establecimiento encuentra sustento en  los artículos 21, fracción IV, 27, párrafo segundo, de la Ley para la Mejora Regulatoria del Estado de México y sus Municipios, 5.107 y 5.108 del Código Reglamentario Municipal de Toluca, documentos que dan cuenta de lo solicitado, esto es de la instalación de comités y el acta de instalación respectiva. </w:t>
      </w:r>
    </w:p>
    <w:p w14:paraId="61CAEA92" w14:textId="77777777" w:rsidR="008D19BE" w:rsidRPr="009645AE" w:rsidRDefault="00D027A4">
      <w:pPr>
        <w:tabs>
          <w:tab w:val="left" w:pos="3544"/>
        </w:tabs>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Asimismo, se informó a través de la Dirección General de Obras Públicas que el Comité Interno de Obra Pública no se había constituido a la fecha de la solicitud; que la Dirección General de Seguridad y Protección Ciudadana no formaba parte de algún Comité; que la Secretaría Técnica del Consejo Municipal de Seguridad Pública, no posee o administra información referente a la integración de comités; que la Tesorería Municipal no cuenta con la información solicitada al no formar parte de sus atribuciones; que la Dirección General de Servicios Públicos no tiene las atribuciones en cuanto a la información solicitada, y que la Coordinación General de Mejora Regulatoria, no contaba con información al programarse la sesión de instalación para el mes de marzo, siendo indispensable reiterar que la solicitud se tuvo por presentada el dieciséis de enero de dos mil veinticinco, y que la información se solicitó respecto de la administración 2025-2027, por lo que lo manifestado por los servidores públicos se constituye en una expresión en sentido negativo, niegan la existencia de información alguna relacionada con lo solicitado en las áreas a su cargo o adicional a la ya proporcionada, en el periodo transcurrido desde el inicio de la presente </w:t>
      </w:r>
      <w:r w:rsidRPr="009645AE">
        <w:rPr>
          <w:rFonts w:ascii="Palatino Linotype" w:eastAsia="Palatino Linotype" w:hAnsi="Palatino Linotype" w:cs="Palatino Linotype"/>
        </w:rPr>
        <w:lastRenderedPageBreak/>
        <w:t>administración pública municipal hasta el día en el que se tuvo por presentada de la solicitud, es decir, del uno al dieciséis de enero de dos mil veinticinco.</w:t>
      </w:r>
    </w:p>
    <w:p w14:paraId="4095CB31"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Argumentos que se traducen en un hecho negativo, por lo que resulta obvio que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no puede tener en sus archivos información que satisfaga el requerimiento de información </w:t>
      </w:r>
      <w:r w:rsidRPr="009645AE">
        <w:rPr>
          <w:rFonts w:ascii="Palatino Linotype" w:eastAsia="Palatino Linotype" w:hAnsi="Palatino Linotype" w:cs="Palatino Linotype"/>
          <w:b/>
        </w:rPr>
        <w:t>en las áreas mencionadas</w:t>
      </w:r>
      <w:r w:rsidRPr="009645AE">
        <w:rPr>
          <w:rFonts w:ascii="Palatino Linotype" w:eastAsia="Palatino Linotype" w:hAnsi="Palatino Linotype" w:cs="Palatino Linotype"/>
        </w:rPr>
        <w:t>, ya que no puede probarse por ser lógica y materialmente imposible, ello aunado a que no es obligatorio que la información se haya generado durante el periodo al que se hace alusión, ya que si bien, la normativa aplicable le confiere la facultad de establecer Comités, no se advirtió que dicha atribución deba ejecutarse en un periodo cierto o determinado, por consiguiente, se considera que el pronunciamiento de los servidores públicos habilitados satisface el requerimiento de información, por lo que compete a las áreas a su cargo.</w:t>
      </w:r>
    </w:p>
    <w:p w14:paraId="4DA0DCB5"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Sin embargo, por lo que se refiere a la Dirección General de Administración, la Dirección General de Desarrollo Económico, la Consejería Jurídica, la Primera Regiduría, y la Coordinación General de Comunicación Social, debe decirse que la respuesta no es clara respecto de las razones por las cuales no cuentan con la información, dado que los servidores públicos habilitados se limitaron a referir que no se localizó o no contaban con la información requerida, o bien, que no presidian algún comité.</w:t>
      </w:r>
    </w:p>
    <w:p w14:paraId="2F3FF7A7"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En este sentido, el pronunciamiento emitido por los servidores públicos habilitados no brinda certeza sobre si la información se generó o no, y por tanto, que la información se hubiese entregado completa, por lo que se estima necesario ordenar una nueva búsqueda exhaustiva y razonable en los archivos de las áreas competentes, con la finalidad de que se haga entrega de las actas de instalación de los comités establecidos del uno al dieciséis de enero de dos mil veinticinco, faltantes.</w:t>
      </w:r>
    </w:p>
    <w:p w14:paraId="440C8AB9"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Para efectos de lo anterior, es preciso reiterar que de conformidad con el artículo 5.18 del Código Reglamentario Municipal de Toluca, el ayuntamiento instalará, </w:t>
      </w:r>
      <w:r w:rsidRPr="009645AE">
        <w:rPr>
          <w:rFonts w:ascii="Palatino Linotype" w:eastAsia="Palatino Linotype" w:hAnsi="Palatino Linotype" w:cs="Palatino Linotype"/>
          <w:b/>
        </w:rPr>
        <w:t xml:space="preserve">de manera </w:t>
      </w:r>
      <w:r w:rsidRPr="009645AE">
        <w:rPr>
          <w:rFonts w:ascii="Palatino Linotype" w:eastAsia="Palatino Linotype" w:hAnsi="Palatino Linotype" w:cs="Palatino Linotype"/>
          <w:b/>
        </w:rPr>
        <w:lastRenderedPageBreak/>
        <w:t>enunciativa, más no limitativa</w:t>
      </w:r>
      <w:r w:rsidRPr="009645AE">
        <w:rPr>
          <w:rFonts w:ascii="Palatino Linotype" w:eastAsia="Palatino Linotype" w:hAnsi="Palatino Linotype" w:cs="Palatino Linotype"/>
        </w:rPr>
        <w:t>, el Comité de Adquisiciones y Servicios, el Comité de Arrendamientos y Adquisiciones de Inmuebles y Enajenaciones del Municipio de Toluca, el Comité de Transparencia del Municipio de Toluca; y el Comité Municipal de Dictámenes de Giro.</w:t>
      </w:r>
    </w:p>
    <w:p w14:paraId="3032B8DE"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este tenor, respecto del </w:t>
      </w:r>
      <w:r w:rsidRPr="009645AE">
        <w:rPr>
          <w:rFonts w:ascii="Palatino Linotype" w:eastAsia="Palatino Linotype" w:hAnsi="Palatino Linotype" w:cs="Palatino Linotype"/>
          <w:b/>
        </w:rPr>
        <w:t>Comité de Adquisiciones y Servicios, y el Comité de Arrendamientos y Adquisiciones de Inmuebles y Enajenaciones</w:t>
      </w:r>
      <w:r w:rsidRPr="009645AE">
        <w:rPr>
          <w:rFonts w:ascii="Palatino Linotype" w:eastAsia="Palatino Linotype" w:hAnsi="Palatino Linotype" w:cs="Palatino Linotype"/>
        </w:rPr>
        <w:t>, definidos en los artículos 22 de la Ley de Contratación Pública del Estado de México y Municipios y 2, fracción XI, del Reglamento de la Ley de Contratación Pública del Estado de México y Municipios; como órganos colegiados con facultades de opinión, que tienen por objeto auxiliar a la Oficialía Mayor, entidades, tribunales administrativos y ayuntamientos, en la preparación y substanciación de los procedimientos de adquisiciones servicios, arrendamientos y enajenaciones, el artículo 3.43, fracción VII del Código Reglamentario Municipal confiere, a la Dirección de Recursos Materiales, adscrita a la Dirección General de Administración, la responsabilidad de llevar a cabo los trámites administrativos respectivos para la integración de dichos Comités, así mismo, deberá integrar los expedientes los temas a tratar por parte de cada Comité. En el caso particular, si bien se pronunció la Dirección General de Administración, no refirió de manera clara si dichos Comités se habían instalado o no a la fecha de presentación de la solicitud.</w:t>
      </w:r>
    </w:p>
    <w:p w14:paraId="24EAF870"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Por lo que se refiere al </w:t>
      </w:r>
      <w:r w:rsidRPr="009645AE">
        <w:rPr>
          <w:rFonts w:ascii="Palatino Linotype" w:eastAsia="Palatino Linotype" w:hAnsi="Palatino Linotype" w:cs="Palatino Linotype"/>
          <w:b/>
        </w:rPr>
        <w:t xml:space="preserve">Comité de Transparencia, </w:t>
      </w:r>
      <w:r w:rsidRPr="009645AE">
        <w:rPr>
          <w:rFonts w:ascii="Palatino Linotype" w:eastAsia="Palatino Linotype" w:hAnsi="Palatino Linotype" w:cs="Palatino Linotype"/>
        </w:rPr>
        <w:t xml:space="preserve">definido en el artículo 3, fracción IV, de la Ley de Transparencia y Acceso a la Información Pública del Estado de México y Municipios, como el cuerpo colegiado que se integra para resolver sobre la información que deberá clasificarse; así como, para atender y resolver los requerimientos de las Unidades de Transparencia y de este Instituto, los artículos 24 fracción I y 45, primer párrafo de la misma Ley, señalan que cada Sujeto Obligado establecerá un Comité de Transparencia, colegiado e integrado por lo menos por tres miembros debiendo de ser siempre un número impar y </w:t>
      </w:r>
      <w:r w:rsidRPr="009645AE">
        <w:rPr>
          <w:rFonts w:ascii="Palatino Linotype" w:eastAsia="Palatino Linotype" w:hAnsi="Palatino Linotype" w:cs="Palatino Linotype"/>
        </w:rPr>
        <w:lastRenderedPageBreak/>
        <w:t>que de conformidad con lo establecido en el artículo 46 de la referida Ley Local, el cual debe registrarse ante este Instituto.</w:t>
      </w:r>
    </w:p>
    <w:p w14:paraId="6549A7B8"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Disposiciones que fueron retomadas en los Lineamientos para la instalación y funcionamiento de los Comités de Transparencia de los Sujetos Obligados, los cuales, además, disponen en sus numerales Noveno y Décimo, que los integrantes del Comité estarán en funciones por el tiempo que duren en su encargo y una vez que éste concluya, serán sustituidos automáticamente por la persona designada en el referido cargo, cuyas modificaciones deben constar en </w:t>
      </w:r>
      <w:r w:rsidRPr="009645AE">
        <w:rPr>
          <w:rFonts w:ascii="Palatino Linotype" w:eastAsia="Palatino Linotype" w:hAnsi="Palatino Linotype" w:cs="Palatino Linotype"/>
          <w:b/>
        </w:rPr>
        <w:t>el acta correspondiente,</w:t>
      </w:r>
      <w:r w:rsidRPr="009645AE">
        <w:rPr>
          <w:rFonts w:ascii="Palatino Linotype" w:eastAsia="Palatino Linotype" w:hAnsi="Palatino Linotype" w:cs="Palatino Linotype"/>
        </w:rPr>
        <w:t xml:space="preserve"> la cual </w:t>
      </w:r>
      <w:r w:rsidRPr="009645AE">
        <w:rPr>
          <w:rFonts w:ascii="Palatino Linotype" w:eastAsia="Palatino Linotype" w:hAnsi="Palatino Linotype" w:cs="Palatino Linotype"/>
          <w:b/>
        </w:rPr>
        <w:t>debe remitirse a este Instituto dentro de los 5 días hábiles posteriores a dicha modificación</w:t>
      </w:r>
      <w:r w:rsidRPr="009645AE">
        <w:rPr>
          <w:rFonts w:ascii="Palatino Linotype" w:eastAsia="Palatino Linotype" w:hAnsi="Palatino Linotype" w:cs="Palatino Linotype"/>
        </w:rPr>
        <w:t>, junto con el nombramiento respectivo. Sin embargo, en el caso particular, la Unidad de Transparencia omitió hacer entrega de la referida acta.</w:t>
      </w:r>
    </w:p>
    <w:p w14:paraId="55B41F2D"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Tocante al </w:t>
      </w:r>
      <w:r w:rsidRPr="009645AE">
        <w:rPr>
          <w:rFonts w:ascii="Palatino Linotype" w:eastAsia="Palatino Linotype" w:hAnsi="Palatino Linotype" w:cs="Palatino Linotype"/>
          <w:b/>
        </w:rPr>
        <w:t>Comité de Bienes Muebles e Inmuebles</w:t>
      </w:r>
      <w:r w:rsidRPr="009645AE">
        <w:rPr>
          <w:rFonts w:ascii="Palatino Linotype" w:eastAsia="Palatino Linotype" w:hAnsi="Palatino Linotype" w:cs="Palatino Linotype"/>
        </w:rPr>
        <w:t>, los artículos 5.47 y 5.48 del Código Reglamentario Municipal, señalan que este se constituirá en sesión de Cabildo con la finalidad de realizar los trabajos de control de los bienes, el cual estará integrado por:</w:t>
      </w:r>
    </w:p>
    <w:p w14:paraId="7A1CD94F" w14:textId="77777777" w:rsidR="008D19BE" w:rsidRPr="009645AE" w:rsidRDefault="00D027A4">
      <w:pPr>
        <w:spacing w:before="240" w:after="24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w:t>
      </w:r>
      <w:r w:rsidRPr="009645AE">
        <w:rPr>
          <w:rFonts w:ascii="Palatino Linotype" w:eastAsia="Palatino Linotype" w:hAnsi="Palatino Linotype" w:cs="Palatino Linotype"/>
        </w:rPr>
        <w:t xml:space="preserve"> El Secretario del Ayuntamiento, quien fungirá como Presidente; </w:t>
      </w:r>
    </w:p>
    <w:p w14:paraId="3FC9B558" w14:textId="77777777" w:rsidR="008D19BE" w:rsidRPr="009645AE" w:rsidRDefault="00D027A4">
      <w:pPr>
        <w:spacing w:before="240" w:after="24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II</w:t>
      </w:r>
      <w:r w:rsidRPr="009645AE">
        <w:rPr>
          <w:rFonts w:ascii="Palatino Linotype" w:eastAsia="Palatino Linotype" w:hAnsi="Palatino Linotype" w:cs="Palatino Linotype"/>
        </w:rPr>
        <w:t xml:space="preserve">. El titular de la Contraloría, quien fungirá como Secretario Ejecutivo; </w:t>
      </w:r>
    </w:p>
    <w:p w14:paraId="383EBE5F" w14:textId="77777777" w:rsidR="008D19BE" w:rsidRPr="009645AE" w:rsidRDefault="00D027A4">
      <w:pPr>
        <w:spacing w:before="240" w:after="24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III</w:t>
      </w:r>
      <w:r w:rsidRPr="009645AE">
        <w:rPr>
          <w:rFonts w:ascii="Palatino Linotype" w:eastAsia="Palatino Linotype" w:hAnsi="Palatino Linotype" w:cs="Palatino Linotype"/>
        </w:rPr>
        <w:t xml:space="preserve">. La o el Segundo Síndico, quien fungirá como vocal; </w:t>
      </w:r>
    </w:p>
    <w:p w14:paraId="5A1A0E56" w14:textId="77777777" w:rsidR="008D19BE" w:rsidRPr="009645AE" w:rsidRDefault="00D027A4">
      <w:pPr>
        <w:spacing w:before="240" w:after="24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IV</w:t>
      </w:r>
      <w:r w:rsidRPr="009645AE">
        <w:rPr>
          <w:rFonts w:ascii="Palatino Linotype" w:eastAsia="Palatino Linotype" w:hAnsi="Palatino Linotype" w:cs="Palatino Linotype"/>
        </w:rPr>
        <w:t xml:space="preserve">. La o el Tesorero Municipal, quien fungirá como vocal; y </w:t>
      </w:r>
    </w:p>
    <w:p w14:paraId="34A4F28D" w14:textId="77777777" w:rsidR="008D19BE" w:rsidRPr="009645AE" w:rsidRDefault="00D027A4">
      <w:pPr>
        <w:spacing w:before="240" w:after="24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V</w:t>
      </w:r>
      <w:r w:rsidRPr="009645AE">
        <w:rPr>
          <w:rFonts w:ascii="Palatino Linotype" w:eastAsia="Palatino Linotype" w:hAnsi="Palatino Linotype" w:cs="Palatino Linotype"/>
        </w:rPr>
        <w:t>. Un representante de la Coordinación Jurídica, con función de vocal, quien será designado por el Consejero Jurídico.</w:t>
      </w:r>
    </w:p>
    <w:p w14:paraId="36F9E7FC"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el caso particular, la solicitud se turnó a la Consejería Jurídica, sin embargo, esta refirió que no presidía ningún Comité, y si bien, forma parte del Comité de Bienes Muebles e Inmuebles, este desempeña funciones de vocal, las cuales se encuentran previstas en el </w:t>
      </w:r>
      <w:r w:rsidRPr="009645AE">
        <w:rPr>
          <w:rFonts w:ascii="Palatino Linotype" w:eastAsia="Palatino Linotype" w:hAnsi="Palatino Linotype" w:cs="Palatino Linotype"/>
        </w:rPr>
        <w:lastRenderedPageBreak/>
        <w:t>artículo 5.11 del Código Reglamentario Municipal, sin que se advierta alguna relacionada con el levantamiento o resguardo de las actas de las sesiones.</w:t>
      </w:r>
    </w:p>
    <w:p w14:paraId="2C458371"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No obstante, cabe decir que el artículo 5.10, fracciones I y IV del referido Código Reglamentario Municipal confiere al Secretario Técnico, entre otras atribuciones, las de levantar el acta de cada sesión; y conservar y resguardar las actas y el archivo de la documentación generada de las sesiones así como de los informes, recomendaciones, evaluaciones y cualquier otro documento acordado, funciones que en el caso del Comité de Bienes Muebles e Inmuebles corresponden al titular de la Contraloría, sin que obre constancia de que la solicitud se hubiera turnado a dicha dependencia para su atención.</w:t>
      </w:r>
    </w:p>
    <w:p w14:paraId="01D0582D"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En lo concerniente al </w:t>
      </w:r>
      <w:r w:rsidRPr="009645AE">
        <w:rPr>
          <w:rFonts w:ascii="Palatino Linotype" w:eastAsia="Palatino Linotype" w:hAnsi="Palatino Linotype" w:cs="Palatino Linotype"/>
          <w:b/>
        </w:rPr>
        <w:t>Comité Municipal de Dictamen de Giro</w:t>
      </w:r>
      <w:r w:rsidRPr="009645AE">
        <w:rPr>
          <w:rFonts w:ascii="Palatino Linotype" w:eastAsia="Palatino Linotype" w:hAnsi="Palatino Linotype" w:cs="Palatino Linotype"/>
        </w:rPr>
        <w:t>, el artículo 5.53 del Código Reglamentario Municipal, dispone que este se integrará de la siguiente forma:</w:t>
      </w:r>
    </w:p>
    <w:p w14:paraId="30D36CD2" w14:textId="77777777" w:rsidR="008D19BE" w:rsidRPr="009645AE" w:rsidRDefault="00D027A4">
      <w:pPr>
        <w:spacing w:before="280" w:after="28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w:t>
      </w:r>
      <w:r w:rsidRPr="009645AE">
        <w:rPr>
          <w:rFonts w:ascii="Palatino Linotype" w:eastAsia="Palatino Linotype" w:hAnsi="Palatino Linotype" w:cs="Palatino Linotype"/>
        </w:rPr>
        <w:t xml:space="preserve"> Una o un Presidente, que será el presidente municipal o a quien este determine; </w:t>
      </w:r>
    </w:p>
    <w:p w14:paraId="3A029027" w14:textId="77777777" w:rsidR="008D19BE" w:rsidRPr="009645AE" w:rsidRDefault="00D027A4">
      <w:pPr>
        <w:spacing w:before="280" w:after="280"/>
        <w:ind w:left="284"/>
        <w:jc w:val="both"/>
        <w:rPr>
          <w:rFonts w:ascii="Palatino Linotype" w:eastAsia="Palatino Linotype" w:hAnsi="Palatino Linotype" w:cs="Palatino Linotype"/>
          <w:b/>
        </w:rPr>
      </w:pPr>
      <w:r w:rsidRPr="009645AE">
        <w:rPr>
          <w:rFonts w:ascii="Palatino Linotype" w:eastAsia="Palatino Linotype" w:hAnsi="Palatino Linotype" w:cs="Palatino Linotype"/>
          <w:b/>
        </w:rPr>
        <w:t>II.</w:t>
      </w:r>
      <w:r w:rsidRPr="009645AE">
        <w:rPr>
          <w:rFonts w:ascii="Palatino Linotype" w:eastAsia="Palatino Linotype" w:hAnsi="Palatino Linotype" w:cs="Palatino Linotype"/>
        </w:rPr>
        <w:t xml:space="preserve"> Una o un </w:t>
      </w:r>
      <w:r w:rsidRPr="009645AE">
        <w:rPr>
          <w:rFonts w:ascii="Palatino Linotype" w:eastAsia="Palatino Linotype" w:hAnsi="Palatino Linotype" w:cs="Palatino Linotype"/>
          <w:b/>
        </w:rPr>
        <w:t>Secretario Técnico</w:t>
      </w:r>
      <w:r w:rsidRPr="009645AE">
        <w:rPr>
          <w:rFonts w:ascii="Palatino Linotype" w:eastAsia="Palatino Linotype" w:hAnsi="Palatino Linotype" w:cs="Palatino Linotype"/>
        </w:rPr>
        <w:t xml:space="preserve">, que será la o el titular de la </w:t>
      </w:r>
      <w:r w:rsidRPr="009645AE">
        <w:rPr>
          <w:rFonts w:ascii="Palatino Linotype" w:eastAsia="Palatino Linotype" w:hAnsi="Palatino Linotype" w:cs="Palatino Linotype"/>
          <w:b/>
        </w:rPr>
        <w:t>Dirección General de Desarrollo Económico;</w:t>
      </w:r>
    </w:p>
    <w:p w14:paraId="0F610D2D" w14:textId="77777777" w:rsidR="008D19BE" w:rsidRPr="009645AE" w:rsidRDefault="00D027A4">
      <w:pPr>
        <w:spacing w:before="280" w:after="280"/>
        <w:ind w:left="284"/>
        <w:jc w:val="both"/>
        <w:rPr>
          <w:rFonts w:ascii="Palatino Linotype" w:eastAsia="Palatino Linotype" w:hAnsi="Palatino Linotype" w:cs="Palatino Linotype"/>
        </w:rPr>
      </w:pPr>
      <w:r w:rsidRPr="009645AE">
        <w:rPr>
          <w:rFonts w:ascii="Palatino Linotype" w:eastAsia="Palatino Linotype" w:hAnsi="Palatino Linotype" w:cs="Palatino Linotype"/>
          <w:b/>
        </w:rPr>
        <w:t>III.</w:t>
      </w:r>
      <w:r w:rsidRPr="009645AE">
        <w:rPr>
          <w:rFonts w:ascii="Palatino Linotype" w:eastAsia="Palatino Linotype" w:hAnsi="Palatino Linotype" w:cs="Palatino Linotype"/>
        </w:rPr>
        <w:t xml:space="preserve"> Seis vocales que serán: </w:t>
      </w:r>
    </w:p>
    <w:p w14:paraId="19432522"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a</w:t>
      </w:r>
      <w:r w:rsidRPr="009645AE">
        <w:rPr>
          <w:rFonts w:ascii="Palatino Linotype" w:eastAsia="Palatino Linotype" w:hAnsi="Palatino Linotype" w:cs="Palatino Linotype"/>
        </w:rPr>
        <w:t xml:space="preserve">. La o el titular de la Dirección General de Desarrollo Urbano, Ordenamiento Territorial y Obras Públicas; </w:t>
      </w:r>
    </w:p>
    <w:p w14:paraId="3FF43C27"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b.</w:t>
      </w:r>
      <w:r w:rsidRPr="009645AE">
        <w:rPr>
          <w:rFonts w:ascii="Palatino Linotype" w:eastAsia="Palatino Linotype" w:hAnsi="Palatino Linotype" w:cs="Palatino Linotype"/>
        </w:rPr>
        <w:t xml:space="preserve"> La o el titular de la Dirección General de Medio Ambiente; </w:t>
      </w:r>
    </w:p>
    <w:p w14:paraId="17B483DB"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c.</w:t>
      </w:r>
      <w:r w:rsidRPr="009645AE">
        <w:rPr>
          <w:rFonts w:ascii="Palatino Linotype" w:eastAsia="Palatino Linotype" w:hAnsi="Palatino Linotype" w:cs="Palatino Linotype"/>
        </w:rPr>
        <w:t xml:space="preserve"> La o el titular de la Coordinación de Protección Civil y Bomberos; </w:t>
      </w:r>
    </w:p>
    <w:p w14:paraId="03331A51"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d.</w:t>
      </w:r>
      <w:r w:rsidRPr="009645AE">
        <w:rPr>
          <w:rFonts w:ascii="Palatino Linotype" w:eastAsia="Palatino Linotype" w:hAnsi="Palatino Linotype" w:cs="Palatino Linotype"/>
        </w:rPr>
        <w:t xml:space="preserve"> Una o un representante de las cámaras empresariales; </w:t>
      </w:r>
    </w:p>
    <w:p w14:paraId="5A8539EA"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e</w:t>
      </w:r>
      <w:r w:rsidRPr="009645AE">
        <w:rPr>
          <w:rFonts w:ascii="Palatino Linotype" w:eastAsia="Palatino Linotype" w:hAnsi="Palatino Linotype" w:cs="Palatino Linotype"/>
        </w:rPr>
        <w:t xml:space="preserve">. Una o un representante del Comité Coordinador Municipal del Sistema Municipal Anticorrupción; y </w:t>
      </w:r>
    </w:p>
    <w:p w14:paraId="440BB175" w14:textId="77777777" w:rsidR="008D19BE" w:rsidRPr="009645AE" w:rsidRDefault="00D027A4">
      <w:pPr>
        <w:spacing w:before="280" w:after="280"/>
        <w:ind w:left="567"/>
        <w:jc w:val="both"/>
        <w:rPr>
          <w:rFonts w:ascii="Palatino Linotype" w:eastAsia="Palatino Linotype" w:hAnsi="Palatino Linotype" w:cs="Palatino Linotype"/>
        </w:rPr>
      </w:pPr>
      <w:r w:rsidRPr="009645AE">
        <w:rPr>
          <w:rFonts w:ascii="Palatino Linotype" w:eastAsia="Palatino Linotype" w:hAnsi="Palatino Linotype" w:cs="Palatino Linotype"/>
          <w:b/>
        </w:rPr>
        <w:t>f.</w:t>
      </w:r>
      <w:r w:rsidRPr="009645AE">
        <w:rPr>
          <w:rFonts w:ascii="Palatino Linotype" w:eastAsia="Palatino Linotype" w:hAnsi="Palatino Linotype" w:cs="Palatino Linotype"/>
        </w:rPr>
        <w:t xml:space="preserve"> Una o un representante de la Contraloría.</w:t>
      </w:r>
    </w:p>
    <w:p w14:paraId="0FA3B21E"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lastRenderedPageBreak/>
        <w:t>Como se advierte, la persona titular de la Dirección General de Desarrollo Económico funge como secretario técnico en el Comité Municipal de Dictamen de Giro, siendo responsable del levantamiento de las actas de las sesiones, y la conservación y resguardo de las mismas, como se puntualizó previamente con fundamento en el artículo 5.10 del Código Reglamentario, y si bien, la solicitud fue turnada a dicha dependencia, esta manifestó que a la fecha de la solicitud no se contaba con la información requerida, sin precisar de manera clara las razones o motivos de dicha circunstancia, pudiendo ser por ejemplo, que el Comité Municipal de Dictamen de Giro no se hubiera constituido hasta el momento de la presentación de la solicitud.</w:t>
      </w:r>
    </w:p>
    <w:p w14:paraId="15F4EFDC"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No obstante, es de señalar que de la consulta realizada por este Organismo Garante en diversas fuentes de información, se advirtió que </w:t>
      </w:r>
      <w:r w:rsidRPr="009645AE">
        <w:rPr>
          <w:rFonts w:ascii="Palatino Linotype" w:eastAsia="Palatino Linotype" w:hAnsi="Palatino Linotype" w:cs="Palatino Linotype"/>
          <w:b/>
          <w:u w:val="single"/>
        </w:rPr>
        <w:t>el Comité Municipal de Dictamen de Giro se instaló el día catorce de enero de dos mil veinticinco</w:t>
      </w:r>
      <w:r w:rsidRPr="009645AE">
        <w:rPr>
          <w:rFonts w:ascii="Palatino Linotype" w:eastAsia="Palatino Linotype" w:hAnsi="Palatino Linotype" w:cs="Palatino Linotype"/>
        </w:rPr>
        <w:t xml:space="preserve">, como se observa en la publicación localizada en cuenta oficial del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en la red social Facebook: </w:t>
      </w:r>
    </w:p>
    <w:p w14:paraId="70A27EEB" w14:textId="77777777" w:rsidR="008D19BE" w:rsidRPr="009645AE" w:rsidRDefault="00D027A4">
      <w:pPr>
        <w:spacing w:before="280" w:after="280" w:line="360" w:lineRule="auto"/>
        <w:jc w:val="center"/>
        <w:rPr>
          <w:rFonts w:ascii="Palatino Linotype" w:eastAsia="Palatino Linotype" w:hAnsi="Palatino Linotype" w:cs="Palatino Linotype"/>
        </w:rPr>
      </w:pPr>
      <w:r w:rsidRPr="009645AE">
        <w:rPr>
          <w:rFonts w:ascii="Palatino Linotype" w:eastAsia="Palatino Linotype" w:hAnsi="Palatino Linotype" w:cs="Palatino Linotype"/>
          <w:noProof/>
        </w:rPr>
        <w:drawing>
          <wp:inline distT="0" distB="0" distL="0" distR="0" wp14:anchorId="1112C58B" wp14:editId="183115E7">
            <wp:extent cx="4680000" cy="2528989"/>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43554"/>
                    <a:stretch>
                      <a:fillRect/>
                    </a:stretch>
                  </pic:blipFill>
                  <pic:spPr>
                    <a:xfrm>
                      <a:off x="0" y="0"/>
                      <a:ext cx="4680000" cy="2528989"/>
                    </a:xfrm>
                    <a:prstGeom prst="rect">
                      <a:avLst/>
                    </a:prstGeom>
                    <a:ln/>
                  </pic:spPr>
                </pic:pic>
              </a:graphicData>
            </a:graphic>
          </wp:inline>
        </w:drawing>
      </w:r>
    </w:p>
    <w:p w14:paraId="24EBFFD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Atento a lo anterior, dado que la solicitud se presentó el día </w:t>
      </w:r>
      <w:r w:rsidRPr="009645AE">
        <w:rPr>
          <w:rFonts w:ascii="Palatino Linotype" w:eastAsia="Palatino Linotype" w:hAnsi="Palatino Linotype" w:cs="Palatino Linotype"/>
          <w:b/>
          <w:u w:val="single"/>
        </w:rPr>
        <w:t>dieciséis de enero de dos mil veinticinco</w:t>
      </w:r>
      <w:r w:rsidRPr="009645AE">
        <w:rPr>
          <w:rFonts w:ascii="Palatino Linotype" w:eastAsia="Palatino Linotype" w:hAnsi="Palatino Linotype" w:cs="Palatino Linotype"/>
          <w:b/>
        </w:rPr>
        <w:t xml:space="preserve">, </w:t>
      </w:r>
      <w:r w:rsidRPr="009645AE">
        <w:rPr>
          <w:rFonts w:ascii="Palatino Linotype" w:eastAsia="Palatino Linotype" w:hAnsi="Palatino Linotype" w:cs="Palatino Linotype"/>
        </w:rPr>
        <w:t xml:space="preserve"> esto es, </w:t>
      </w:r>
      <w:r w:rsidRPr="009645AE">
        <w:rPr>
          <w:rFonts w:ascii="Palatino Linotype" w:eastAsia="Palatino Linotype" w:hAnsi="Palatino Linotype" w:cs="Palatino Linotype"/>
          <w:b/>
        </w:rPr>
        <w:t>dos días después de la instalación del Comité Municipal de Dictamen de Giro</w:t>
      </w:r>
      <w:r w:rsidRPr="009645AE">
        <w:rPr>
          <w:rFonts w:ascii="Palatino Linotype" w:eastAsia="Palatino Linotype" w:hAnsi="Palatino Linotype" w:cs="Palatino Linotype"/>
        </w:rPr>
        <w:t xml:space="preserve">, se colige que el acta de instalación debe existir, al haber sido publicada información </w:t>
      </w:r>
      <w:r w:rsidRPr="009645AE">
        <w:rPr>
          <w:rFonts w:ascii="Palatino Linotype" w:eastAsia="Palatino Linotype" w:hAnsi="Palatino Linotype" w:cs="Palatino Linotype"/>
        </w:rPr>
        <w:lastRenderedPageBreak/>
        <w:t xml:space="preserve">sobre su instalación en la cuenta oficial del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en una red social que es de conocimiento general, constituyendo así un hecho notorio, el cual se sustenta conforme a las siguientes Tesis de la Suprema Corte de Justicia de la Nación, cuyo rubro y texto son del tenor siguiente:</w:t>
      </w:r>
    </w:p>
    <w:p w14:paraId="0CC1FE46" w14:textId="77777777" w:rsidR="008D19BE" w:rsidRPr="009645AE" w:rsidRDefault="00D027A4">
      <w:pPr>
        <w:tabs>
          <w:tab w:val="left" w:pos="7938"/>
        </w:tabs>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“HECHOS NOTORIOS. CONCEPTOS GENERAL Y JURÍDICO. Conforme al artículo 88 del Código Federal de Procedimientos Civiles los tribunales pueden invocar hechos notorios aunque no hayan sido alegados ni probados por las partes.</w:t>
      </w:r>
      <w:r w:rsidRPr="009645AE">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9645AE">
        <w:rPr>
          <w:rFonts w:ascii="Palatino Linotype" w:eastAsia="Palatino Linotype" w:hAnsi="Palatino Linotype" w:cs="Palatino Linotype"/>
          <w:b/>
          <w:i/>
        </w:rPr>
        <w:t>, a las vicisitudes de la vida pública actual o a circunstancias comúnmente conocidas en un determinado lugar</w:t>
      </w:r>
      <w:r w:rsidRPr="009645AE">
        <w:rPr>
          <w:rFonts w:ascii="Palatino Linotype" w:eastAsia="Palatino Linotype" w:hAnsi="Palatino Linotype" w:cs="Palatino Linotype"/>
          <w:i/>
        </w:rPr>
        <w:t xml:space="preserve">, </w:t>
      </w:r>
      <w:r w:rsidRPr="009645AE">
        <w:rPr>
          <w:rFonts w:ascii="Palatino Linotype" w:eastAsia="Palatino Linotype" w:hAnsi="Palatino Linotype" w:cs="Palatino Linotype"/>
          <w:b/>
          <w:i/>
        </w:rPr>
        <w:t>de modo que toda persona de ese medio esté en condiciones de saberlo</w:t>
      </w:r>
      <w:r w:rsidRPr="009645AE">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9645AE">
        <w:rPr>
          <w:rFonts w:ascii="Palatino Linotype" w:eastAsia="Palatino Linotype" w:hAnsi="Palatino Linotype" w:cs="Palatino Linotype"/>
          <w:i/>
          <w:vertAlign w:val="superscript"/>
        </w:rPr>
        <w:footnoteReference w:id="1"/>
      </w:r>
    </w:p>
    <w:p w14:paraId="094474E3"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PÁGINAS WEB O ELECTRÓNICAS. SU CONTENIDO ES UN HECHO NOTORIO Y SUSCEPTIBLE DE SER VALORADO EN UNA DECISIÓN JUDICIAL.</w:t>
      </w:r>
      <w:r w:rsidRPr="009645AE">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w:t>
      </w:r>
      <w:r w:rsidRPr="009645AE">
        <w:rPr>
          <w:rFonts w:ascii="Palatino Linotype" w:eastAsia="Palatino Linotype" w:hAnsi="Palatino Linotype" w:cs="Palatino Linotype"/>
          <w:i/>
        </w:rPr>
        <w:lastRenderedPageBreak/>
        <w:t>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9645AE">
        <w:rPr>
          <w:rFonts w:ascii="Palatino Linotype" w:eastAsia="Palatino Linotype" w:hAnsi="Palatino Linotype" w:cs="Palatino Linotype"/>
          <w:i/>
          <w:vertAlign w:val="superscript"/>
        </w:rPr>
        <w:footnoteReference w:id="2"/>
      </w:r>
    </w:p>
    <w:p w14:paraId="2244D772"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9645AE">
        <w:rPr>
          <w:rFonts w:ascii="Palatino Linotype" w:eastAsia="Palatino Linotype" w:hAnsi="Palatino Linotype" w:cs="Palatino Linotype"/>
          <w:i/>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9645AE">
        <w:rPr>
          <w:rFonts w:ascii="Palatino Linotype" w:eastAsia="Palatino Linotype" w:hAnsi="Palatino Linotype" w:cs="Palatino Linotype"/>
          <w:i/>
          <w:vertAlign w:val="superscript"/>
        </w:rPr>
        <w:footnoteReference w:id="3"/>
      </w:r>
    </w:p>
    <w:p w14:paraId="460A05FB" w14:textId="77777777" w:rsidR="008D19BE" w:rsidRPr="009645AE" w:rsidRDefault="00D027A4">
      <w:pPr>
        <w:tabs>
          <w:tab w:val="left" w:pos="851"/>
        </w:tabs>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xml:space="preserve"> “IMPROCEDENCIA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r w:rsidRPr="009645AE">
        <w:rPr>
          <w:rFonts w:ascii="Palatino Linotype" w:eastAsia="Palatino Linotype" w:hAnsi="Palatino Linotype" w:cs="Palatino Linotype"/>
          <w:i/>
        </w:rPr>
        <w:t xml:space="preserve">La Primera Sala de la Suprema Corte de Justicia de la Nación, en la jurisprudencia 1ª./ J. 163/2005, publicada en el Semanario Judicial de la Federación y su Gaceta, Novena </w:t>
      </w:r>
      <w:proofErr w:type="gramStart"/>
      <w:r w:rsidRPr="009645AE">
        <w:rPr>
          <w:rFonts w:ascii="Palatino Linotype" w:eastAsia="Palatino Linotype" w:hAnsi="Palatino Linotype" w:cs="Palatino Linotype"/>
          <w:i/>
        </w:rPr>
        <w:t>Época,  Tomo</w:t>
      </w:r>
      <w:proofErr w:type="gramEnd"/>
      <w:r w:rsidRPr="009645AE">
        <w:rPr>
          <w:rFonts w:ascii="Palatino Linotype" w:eastAsia="Palatino Linotype" w:hAnsi="Palatino Linotype" w:cs="Palatino Linotype"/>
          <w:i/>
        </w:rPr>
        <w:t xml:space="preserve"> XXIII, enero de 2006, página 319, del rubro: “Improcedencia del juicio de </w:t>
      </w:r>
      <w:r w:rsidRPr="009645AE">
        <w:rPr>
          <w:rFonts w:ascii="Palatino Linotype" w:eastAsia="Palatino Linotype" w:hAnsi="Palatino Linotype" w:cs="Palatino Linotype"/>
          <w:i/>
        </w:rPr>
        <w:lastRenderedPageBreak/>
        <w:t xml:space="preserve">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9645AE">
        <w:rPr>
          <w:rFonts w:ascii="Palatino Linotype" w:eastAsia="Palatino Linotype" w:hAnsi="Palatino Linotype" w:cs="Palatino Linotype"/>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9645AE">
        <w:rPr>
          <w:rFonts w:ascii="Palatino Linotype" w:eastAsia="Palatino Linotype" w:hAnsi="Palatino Linotype" w:cs="Palatino Linotype"/>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r w:rsidRPr="009645AE">
        <w:rPr>
          <w:rFonts w:ascii="Palatino Linotype" w:eastAsia="Palatino Linotype" w:hAnsi="Palatino Linotype" w:cs="Palatino Linotype"/>
          <w:i/>
          <w:vertAlign w:val="superscript"/>
        </w:rPr>
        <w:footnoteReference w:id="4"/>
      </w:r>
    </w:p>
    <w:p w14:paraId="099458A9"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Por consiguiente, es dable ordenar la entrega del acta de instalación del Comité Municipal de Dictamen de Giro, para la administración 2025-2027, en versión pública de ser necesario.</w:t>
      </w:r>
    </w:p>
    <w:p w14:paraId="1B1A0325" w14:textId="77777777" w:rsidR="008D19BE" w:rsidRPr="009645AE" w:rsidRDefault="00D027A4">
      <w:pPr>
        <w:spacing w:before="280" w:after="28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Finalmente, y no menos importante, debe hacerse alusión al contenido de la Ley del Sistema Anticorrupción del Estado de México y Municipios, que en su parte conducente dispone lo siguiente:</w:t>
      </w:r>
    </w:p>
    <w:p w14:paraId="4FF75B50"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61.</w:t>
      </w:r>
      <w:r w:rsidRPr="009645AE">
        <w:rPr>
          <w:rFonts w:ascii="Palatino Linotype" w:eastAsia="Palatino Linotype" w:hAnsi="Palatino Linotype" w:cs="Palatino Linotype"/>
          <w:i/>
        </w:rPr>
        <w:t xml:space="preserve"> El Sistema Municipal Anticorrupción es la instancia de coordinación y coadyuvancia con el Sistema Estatal Anticorrupción, que </w:t>
      </w:r>
      <w:r w:rsidRPr="009645AE">
        <w:rPr>
          <w:rFonts w:ascii="Palatino Linotype" w:eastAsia="Palatino Linotype" w:hAnsi="Palatino Linotype" w:cs="Palatino Linotype"/>
          <w:i/>
        </w:rPr>
        <w:lastRenderedPageBreak/>
        <w:t xml:space="preserve">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5F76E0BB"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62.</w:t>
      </w:r>
      <w:r w:rsidRPr="009645AE">
        <w:rPr>
          <w:rFonts w:ascii="Palatino Linotype" w:eastAsia="Palatino Linotype" w:hAnsi="Palatino Linotype" w:cs="Palatino Linotype"/>
          <w:i/>
        </w:rPr>
        <w:t xml:space="preserve"> El Sistema Municipal Anticorrupción se integrará por: </w:t>
      </w:r>
    </w:p>
    <w:p w14:paraId="6E984983"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Un Comité Coordinador Municipal. </w:t>
      </w:r>
    </w:p>
    <w:p w14:paraId="63490FCA"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Un Comité de Participación Ciudadana</w:t>
      </w:r>
    </w:p>
    <w:p w14:paraId="04EF9320"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63</w:t>
      </w:r>
      <w:r w:rsidRPr="009645AE">
        <w:rPr>
          <w:rFonts w:ascii="Palatino Linotype" w:eastAsia="Palatino Linotype" w:hAnsi="Palatino Linotype" w:cs="Palatino Linotype"/>
          <w:i/>
        </w:rPr>
        <w:t xml:space="preserve">. El Comité Coordinador Municipal se integrará por: </w:t>
      </w:r>
    </w:p>
    <w:p w14:paraId="75EBE4D3"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El titular de la contraloría municipal. </w:t>
      </w:r>
    </w:p>
    <w:p w14:paraId="75B66750"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xml:space="preserve"> El titular de la unidad de transparencia y acceso a la información del municipio. </w:t>
      </w:r>
    </w:p>
    <w:p w14:paraId="71A66138"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Un representante del Comité de Participación Ciudadana Municipal, quien lo presidirá.</w:t>
      </w:r>
    </w:p>
    <w:p w14:paraId="16EC969C" w14:textId="77777777" w:rsidR="008D19BE" w:rsidRPr="009645AE" w:rsidRDefault="00D027A4">
      <w:pPr>
        <w:spacing w:before="120" w:after="120" w:line="240" w:lineRule="auto"/>
        <w:ind w:left="851" w:right="902"/>
        <w:jc w:val="both"/>
        <w:rPr>
          <w:rFonts w:ascii="Palatino Linotype" w:eastAsia="Palatino Linotype" w:hAnsi="Palatino Linotype" w:cs="Palatino Linotype"/>
        </w:rPr>
      </w:pPr>
      <w:r w:rsidRPr="009645AE">
        <w:rPr>
          <w:rFonts w:ascii="Palatino Linotype" w:eastAsia="Palatino Linotype" w:hAnsi="Palatino Linotype" w:cs="Palatino Linotype"/>
        </w:rPr>
        <w:t>...</w:t>
      </w:r>
    </w:p>
    <w:p w14:paraId="0D5A9C7E"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69.</w:t>
      </w:r>
      <w:r w:rsidRPr="009645AE">
        <w:rPr>
          <w:rFonts w:ascii="Palatino Linotype" w:eastAsia="Palatino Linotype" w:hAnsi="Palatino Linotype" w:cs="Palatino Linotype"/>
          <w:i/>
        </w:rPr>
        <w:t xml:space="preserve"> El Comité de Participación Ciudadana Municipal </w:t>
      </w:r>
      <w:r w:rsidRPr="009645AE">
        <w:rPr>
          <w:rFonts w:ascii="Palatino Linotype" w:eastAsia="Palatino Linotype" w:hAnsi="Palatino Linotype" w:cs="Palatino Linotype"/>
          <w:b/>
          <w:i/>
        </w:rPr>
        <w:t>se integrará por tres ciudadanos</w:t>
      </w:r>
      <w:r w:rsidRPr="009645AE">
        <w:rPr>
          <w:rFonts w:ascii="Palatino Linotype" w:eastAsia="Palatino Linotype" w:hAnsi="Palatino Linotype" w:cs="Palatino Linotype"/>
          <w:i/>
        </w:rPr>
        <w:t xml:space="preserve"> que se hayan destacado por su contribución al combate a la corrupción, de notoria buena conducta y honorabilidad manifiesta</w:t>
      </w:r>
      <w:r w:rsidRPr="009645AE">
        <w:rPr>
          <w:rFonts w:ascii="Palatino Linotype" w:eastAsia="Palatino Linotype" w:hAnsi="Palatino Linotype" w:cs="Palatino Linotype"/>
        </w:rPr>
        <w:t>.</w:t>
      </w:r>
    </w:p>
    <w:p w14:paraId="68323BA1" w14:textId="77777777" w:rsidR="008D19BE" w:rsidRPr="009645AE" w:rsidRDefault="00D027A4">
      <w:pPr>
        <w:spacing w:before="120" w:after="120" w:line="240" w:lineRule="auto"/>
        <w:ind w:left="851"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 xml:space="preserve">Artículo 70. </w:t>
      </w:r>
      <w:r w:rsidRPr="009645AE">
        <w:rPr>
          <w:rFonts w:ascii="Palatino Linotype" w:eastAsia="Palatino Linotype" w:hAnsi="Palatino Linotype" w:cs="Palatino Linotype"/>
          <w:i/>
        </w:rPr>
        <w:t>Los integrantes del Comité de Participación Ciudadana Municipal, no podrán ocupar durante el tiempo de su gestión un empleo, cargo o comisión de cualquier naturaleza, en los gobiernos federal, local o municipal, ni cualquier otro empleo que les impida el libre ejercicio de los servicios que prestarán en dicho Comité.</w:t>
      </w:r>
    </w:p>
    <w:p w14:paraId="6A266F9E"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Durarán en su encargo tres años sin posibilidad de reelección, serán renovados de manera escalonada</w:t>
      </w:r>
      <w:r w:rsidRPr="009645AE">
        <w:rPr>
          <w:rFonts w:ascii="Palatino Linotype" w:eastAsia="Palatino Linotype" w:hAnsi="Palatino Linotype" w:cs="Palatino Linotype"/>
          <w:i/>
        </w:rPr>
        <w:t xml:space="preserve"> y solo podrán ser removidos por alguna de las causas establecidas en la normatividad relativa a los actos de particulares vinculados con faltas administrativas graves.”</w:t>
      </w:r>
    </w:p>
    <w:p w14:paraId="5F95025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 los preceptos en cita, se despende que el </w:t>
      </w:r>
      <w:r w:rsidRPr="009645AE">
        <w:rPr>
          <w:rFonts w:ascii="Palatino Linotype" w:eastAsia="Palatino Linotype" w:hAnsi="Palatino Linotype" w:cs="Palatino Linotype"/>
          <w:b/>
        </w:rPr>
        <w:t>Comité Coordinador Municipal</w:t>
      </w:r>
      <w:r w:rsidRPr="009645AE">
        <w:rPr>
          <w:rFonts w:ascii="Palatino Linotype" w:eastAsia="Palatino Linotype" w:hAnsi="Palatino Linotype" w:cs="Palatino Linotype"/>
        </w:rPr>
        <w:t xml:space="preserve"> está integrado por el Titular de la Contraloría Municipal, el Titular de la Unidad de Transparencia y Acceso a la Información Pública y un representante del Comité de Participación Ciudadana, mientras que el </w:t>
      </w:r>
      <w:r w:rsidRPr="009645AE">
        <w:rPr>
          <w:rFonts w:ascii="Palatino Linotype" w:eastAsia="Palatino Linotype" w:hAnsi="Palatino Linotype" w:cs="Palatino Linotype"/>
          <w:b/>
        </w:rPr>
        <w:t>Comité de Participación Ciudadana Municipal</w:t>
      </w:r>
      <w:r w:rsidRPr="009645AE">
        <w:rPr>
          <w:rFonts w:ascii="Palatino Linotype" w:eastAsia="Palatino Linotype" w:hAnsi="Palatino Linotype" w:cs="Palatino Linotype"/>
        </w:rPr>
        <w:t xml:space="preserve"> se integrará por tres ciudadanos con buena conducta y destacados en el ámbito del combate a la corrupción, seleccionados de la sociedad civil, los cuales durarán tres años en el cargo y serán renovados </w:t>
      </w:r>
      <w:r w:rsidRPr="009645AE">
        <w:rPr>
          <w:rFonts w:ascii="Palatino Linotype" w:eastAsia="Palatino Linotype" w:hAnsi="Palatino Linotype" w:cs="Palatino Linotype"/>
        </w:rPr>
        <w:lastRenderedPageBreak/>
        <w:t xml:space="preserve">de manera escalonada, cuya instalación o modificaciones deben constar en el acta respectiva, sin embargo, en el caso particular, no hubo pronunciamiento por parte del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respecto de la constitución de dichos Comités.</w:t>
      </w:r>
    </w:p>
    <w:p w14:paraId="728702A4"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En tal sentido, derivado de los argumentos expuestos a lo largo del presente estudio, tomando como referencia el artículo 1.8, fracción IX, del Código Administrativo del Estado de México, establece que para que un acto administrativo tenga validez, deberá guardar congruencia con lo solicitado; se concluye que la respuesta proporcionada no agotó los principios de congruencia y exhaustividad al no haber proporcionado la totalidad de la información que le fue requerida.</w:t>
      </w:r>
    </w:p>
    <w:p w14:paraId="407D3B46" w14:textId="77777777" w:rsidR="008D19BE" w:rsidRPr="009645AE" w:rsidRDefault="00D027A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Argumento que se robustece con el Criterio orientador con clave de control SO/002/2017, emitido por el entonces Instituto Nacional de Transparencia, Acceso a la Información y Protección de Datos Personales, que señala lo siguiente:</w:t>
      </w:r>
    </w:p>
    <w:p w14:paraId="1F57C346" w14:textId="77777777" w:rsidR="008D19BE" w:rsidRPr="009645AE" w:rsidRDefault="00D027A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 xml:space="preserve">Congruencia y exhaustividad. Sus alcances para garantizar el derecho de acceso a la información. </w:t>
      </w:r>
      <w:r w:rsidRPr="009645AE">
        <w:rPr>
          <w:rFonts w:ascii="Palatino Linotype" w:eastAsia="Palatino Linotype" w:hAnsi="Palatino Linotype" w:cs="Palatino Linotype"/>
          <w:i/>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4EB1BEA" w14:textId="77777777" w:rsidR="008D19BE" w:rsidRPr="009645AE" w:rsidRDefault="00D027A4">
      <w:pPr>
        <w:spacing w:line="360" w:lineRule="auto"/>
        <w:ind w:right="-93"/>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Del citado criterio, se desprende que todo acto administrativo debe apegarse al principio de congruencia, el cual implica que exista concordancia entre el requerimiento formulado y la respuesta entregada; así como al principio de exhaustividad, entendiendo por éste que se pronuncie expresamente sobre cada uno de los puntos requeridos, lo cual en materia de transparencia y acceso a la información pública se traduce en que, las respuestas que emitan </w:t>
      </w:r>
      <w:r w:rsidRPr="009645AE">
        <w:rPr>
          <w:rFonts w:ascii="Palatino Linotype" w:eastAsia="Palatino Linotype" w:hAnsi="Palatino Linotype" w:cs="Palatino Linotype"/>
        </w:rPr>
        <w:lastRenderedPageBreak/>
        <w:t>los sujetos obligados, deben guardar una relación lógica con lo solicitado, analizando y decidiendo –de marea íntegra- sobre todos los puntos requeridos, a fin de satisfacer la solicitud correspondiente.</w:t>
      </w:r>
    </w:p>
    <w:p w14:paraId="4A9A9E6C" w14:textId="77777777" w:rsidR="008D19BE" w:rsidRPr="009645AE" w:rsidRDefault="00D027A4">
      <w:pPr>
        <w:spacing w:line="360" w:lineRule="auto"/>
        <w:ind w:right="-93"/>
        <w:jc w:val="both"/>
        <w:rPr>
          <w:rFonts w:ascii="Palatino Linotype" w:eastAsia="Palatino Linotype" w:hAnsi="Palatino Linotype" w:cs="Palatino Linotype"/>
        </w:rPr>
      </w:pPr>
      <w:r w:rsidRPr="009645AE">
        <w:rPr>
          <w:rFonts w:ascii="Palatino Linotype" w:eastAsia="Palatino Linotype" w:hAnsi="Palatino Linotype" w:cs="Palatino Linotype"/>
        </w:rPr>
        <w:t>Por consiguiente, es procedente ordenar la entrega de las actas de instalación de los comités que se hayan instalado al dieciséis de enero de dos mil veinticinco, respecto de la administración pública municipal 2025-2027, faltantes, en versión pública de ser necesario, de conformidad con el considerando siguiente.</w:t>
      </w:r>
    </w:p>
    <w:p w14:paraId="28BC7AD7"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 lo hasta aquí expuesto, se concluye que los motivos de inconformidad de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 xml:space="preserve">devienen parcialmente fundados, siendo procedente </w:t>
      </w:r>
      <w:r w:rsidRPr="009645AE">
        <w:rPr>
          <w:rFonts w:ascii="Palatino Linotype" w:eastAsia="Palatino Linotype" w:hAnsi="Palatino Linotype" w:cs="Palatino Linotype"/>
          <w:i/>
        </w:rPr>
        <w:t xml:space="preserve">Modificar </w:t>
      </w:r>
      <w:r w:rsidRPr="009645AE">
        <w:rPr>
          <w:rFonts w:ascii="Palatino Linotype" w:eastAsia="Palatino Linotype" w:hAnsi="Palatino Linotype" w:cs="Palatino Linotype"/>
        </w:rPr>
        <w:t xml:space="preserve">la respuesta proporcionada por el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1C14945" w14:textId="77777777" w:rsidR="008D19BE" w:rsidRPr="009645AE" w:rsidRDefault="00D027A4">
      <w:pP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Quinto. Versión Pública. </w:t>
      </w:r>
      <w:r w:rsidRPr="009645AE">
        <w:rPr>
          <w:rFonts w:ascii="Palatino Linotype" w:eastAsia="Palatino Linotype" w:hAnsi="Palatino Linotype" w:cs="Palatino Linotype"/>
        </w:rPr>
        <w:t>Como fue debidamente apuntado,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F24BAA0"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F186ECE"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75FB724"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rPr>
        <w:lastRenderedPageBreak/>
        <w:t>Al respecto, los artículos 3, fracciones IX, XX, XXI, XXXII, XLV; 6, 91, 132, 137, 143, fracción I, de la Ley de Transparencia y Acceso a la Información Pública del Estado de México y Municipios establecen:</w:t>
      </w:r>
    </w:p>
    <w:p w14:paraId="2E01C5E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rPr>
        <w:t> </w:t>
      </w: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Artículo 3.</w:t>
      </w:r>
      <w:r w:rsidRPr="009645AE">
        <w:rPr>
          <w:rFonts w:ascii="Palatino Linotype" w:eastAsia="Palatino Linotype" w:hAnsi="Palatino Linotype" w:cs="Palatino Linotype"/>
          <w:i/>
        </w:rPr>
        <w:t xml:space="preserve"> Para los efectos de la presente Ley se entenderá por:</w:t>
      </w:r>
    </w:p>
    <w:p w14:paraId="1512296E"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74CC13C2"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IX. Datos personales</w:t>
      </w:r>
      <w:r w:rsidRPr="009645AE">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41EFF86"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443D8FDF"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XX. Información clasificada</w:t>
      </w:r>
      <w:r w:rsidRPr="009645AE">
        <w:rPr>
          <w:rFonts w:ascii="Palatino Linotype" w:eastAsia="Palatino Linotype" w:hAnsi="Palatino Linotype" w:cs="Palatino Linotype"/>
          <w:i/>
        </w:rPr>
        <w:t>: Aquella considerada por la presente Ley como reservada o confidencial;</w:t>
      </w:r>
    </w:p>
    <w:p w14:paraId="08C52FD6"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XXI. Información confidencial</w:t>
      </w:r>
      <w:r w:rsidRPr="009645AE">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C8E5B5"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292116BD"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XXXII. Protección de Datos Personales</w:t>
      </w:r>
      <w:r w:rsidRPr="009645AE">
        <w:rPr>
          <w:rFonts w:ascii="Palatino Linotype" w:eastAsia="Palatino Linotype" w:hAnsi="Palatino Linotype" w:cs="Palatino Linotype"/>
          <w:i/>
        </w:rPr>
        <w:t>: Derecho humano que tutela la privacidad de datos personales en poder de los sujetos obligados y sujetos particulares;</w:t>
      </w:r>
    </w:p>
    <w:p w14:paraId="75721D29"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35D59931" w14:textId="77777777" w:rsidR="008D19BE" w:rsidRPr="009645AE" w:rsidRDefault="00D027A4">
      <w:pPr>
        <w:tabs>
          <w:tab w:val="left" w:pos="1276"/>
        </w:tabs>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XLV. Versión pública</w:t>
      </w:r>
      <w:r w:rsidRPr="009645AE">
        <w:rPr>
          <w:rFonts w:ascii="Palatino Linotype" w:eastAsia="Palatino Linotype" w:hAnsi="Palatino Linotype" w:cs="Palatino Linotype"/>
          <w:i/>
        </w:rPr>
        <w:t>: Documento en el que se elimine, suprime o borra la información clasificada como reservada o confidencial para permitir su acceso.</w:t>
      </w:r>
    </w:p>
    <w:p w14:paraId="5E62CAD6"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Artículo 6</w:t>
      </w:r>
      <w:r w:rsidRPr="009645AE">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F0C4C03"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65CCC184"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lastRenderedPageBreak/>
        <w:t>Artículo 91.</w:t>
      </w:r>
      <w:r w:rsidRPr="009645AE">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9645AE">
        <w:rPr>
          <w:rFonts w:ascii="Palatino Linotype" w:eastAsia="Palatino Linotype" w:hAnsi="Palatino Linotype" w:cs="Palatino Linotype"/>
          <w:i/>
        </w:rPr>
        <w:br/>
        <w:t>…</w:t>
      </w:r>
    </w:p>
    <w:p w14:paraId="7B28C82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132.</w:t>
      </w:r>
      <w:r w:rsidRPr="009645AE">
        <w:rPr>
          <w:rFonts w:ascii="Palatino Linotype" w:eastAsia="Palatino Linotype" w:hAnsi="Palatino Linotype" w:cs="Palatino Linotype"/>
          <w:i/>
        </w:rPr>
        <w:t xml:space="preserve"> La clasificación de la información se llevará a cabo en el momento en que:</w:t>
      </w:r>
    </w:p>
    <w:p w14:paraId="66939340"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Se reciba una solicitud de acceso a la información;</w:t>
      </w:r>
    </w:p>
    <w:p w14:paraId="4684EDAB"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xml:space="preserve"> Se determine mediante resolución de autoridad competente; o</w:t>
      </w:r>
    </w:p>
    <w:p w14:paraId="749E96C7"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Se generen versiones públicas para dar cumplimiento a las obligaciones de transparencia previstas en esta Ley.</w:t>
      </w:r>
    </w:p>
    <w:p w14:paraId="030B5273"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w:t>
      </w:r>
    </w:p>
    <w:p w14:paraId="6466A685"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137.</w:t>
      </w:r>
      <w:r w:rsidRPr="009645AE">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0F249E"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Artículo 143.</w:t>
      </w:r>
      <w:r w:rsidRPr="009645AE">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CFCAC3F"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468C77A" w14:textId="77777777" w:rsidR="008D19BE" w:rsidRPr="009645AE" w:rsidRDefault="00D027A4">
      <w:pPr>
        <w:spacing w:before="240" w:after="240" w:line="360" w:lineRule="auto"/>
        <w:ind w:right="50"/>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2B95DF4" w14:textId="77777777" w:rsidR="008D19BE" w:rsidRPr="009645AE" w:rsidRDefault="00D027A4">
      <w:pPr>
        <w:spacing w:before="240" w:after="240" w:line="360" w:lineRule="auto"/>
        <w:ind w:right="50"/>
        <w:jc w:val="both"/>
        <w:rPr>
          <w:rFonts w:ascii="Palatino Linotype" w:eastAsia="Palatino Linotype" w:hAnsi="Palatino Linotype" w:cs="Palatino Linotype"/>
        </w:rPr>
      </w:pPr>
      <w:r w:rsidRPr="009645AE">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5609D1" w14:textId="77777777" w:rsidR="008D19BE" w:rsidRPr="009645AE" w:rsidRDefault="00D027A4">
      <w:pPr>
        <w:spacing w:before="240" w:after="240" w:line="360" w:lineRule="auto"/>
        <w:ind w:right="50"/>
        <w:jc w:val="both"/>
        <w:rPr>
          <w:rFonts w:ascii="Palatino Linotype" w:eastAsia="Palatino Linotype" w:hAnsi="Palatino Linotype" w:cs="Palatino Linotype"/>
        </w:rPr>
      </w:pPr>
      <w:r w:rsidRPr="009645A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BC38F43"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49.</w:t>
      </w:r>
      <w:r w:rsidRPr="009645AE">
        <w:rPr>
          <w:rFonts w:ascii="Palatino Linotype" w:eastAsia="Palatino Linotype" w:hAnsi="Palatino Linotype" w:cs="Palatino Linotype"/>
          <w:i/>
        </w:rPr>
        <w:t xml:space="preserve"> </w:t>
      </w:r>
      <w:r w:rsidRPr="009645AE">
        <w:rPr>
          <w:rFonts w:ascii="Palatino Linotype" w:eastAsia="Palatino Linotype" w:hAnsi="Palatino Linotype" w:cs="Palatino Linotype"/>
          <w:b/>
          <w:i/>
        </w:rPr>
        <w:t>Los Comités de Transparencia</w:t>
      </w:r>
      <w:r w:rsidRPr="009645AE">
        <w:rPr>
          <w:rFonts w:ascii="Palatino Linotype" w:eastAsia="Palatino Linotype" w:hAnsi="Palatino Linotype" w:cs="Palatino Linotype"/>
          <w:i/>
        </w:rPr>
        <w:t xml:space="preserve"> tendrán las siguientes atribuciones:</w:t>
      </w:r>
    </w:p>
    <w:p w14:paraId="585BCC63"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VIII. Aprobar, modificar o revocar la clasificación de la información</w:t>
      </w:r>
      <w:r w:rsidRPr="009645AE">
        <w:rPr>
          <w:rFonts w:ascii="Palatino Linotype" w:eastAsia="Palatino Linotype" w:hAnsi="Palatino Linotype" w:cs="Palatino Linotype"/>
          <w:i/>
        </w:rPr>
        <w:t>…”</w:t>
      </w:r>
    </w:p>
    <w:p w14:paraId="54BCE401"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Artículo 53.</w:t>
      </w:r>
      <w:r w:rsidRPr="009645AE">
        <w:rPr>
          <w:rFonts w:ascii="Palatino Linotype" w:eastAsia="Palatino Linotype" w:hAnsi="Palatino Linotype" w:cs="Palatino Linotype"/>
          <w:i/>
        </w:rPr>
        <w:t xml:space="preserve"> Las </w:t>
      </w:r>
      <w:r w:rsidRPr="009645AE">
        <w:rPr>
          <w:rFonts w:ascii="Palatino Linotype" w:eastAsia="Palatino Linotype" w:hAnsi="Palatino Linotype" w:cs="Palatino Linotype"/>
          <w:b/>
          <w:i/>
        </w:rPr>
        <w:t>Unidades de Transparencia</w:t>
      </w:r>
      <w:r w:rsidRPr="009645AE">
        <w:rPr>
          <w:rFonts w:ascii="Palatino Linotype" w:eastAsia="Palatino Linotype" w:hAnsi="Palatino Linotype" w:cs="Palatino Linotype"/>
          <w:i/>
        </w:rPr>
        <w:t xml:space="preserve"> tendrán las siguientes </w:t>
      </w:r>
      <w:r w:rsidRPr="009645AE">
        <w:rPr>
          <w:rFonts w:ascii="Palatino Linotype" w:eastAsia="Palatino Linotype" w:hAnsi="Palatino Linotype" w:cs="Palatino Linotype"/>
          <w:b/>
          <w:i/>
        </w:rPr>
        <w:t>funciones</w:t>
      </w:r>
      <w:r w:rsidRPr="009645AE">
        <w:rPr>
          <w:rFonts w:ascii="Palatino Linotype" w:eastAsia="Palatino Linotype" w:hAnsi="Palatino Linotype" w:cs="Palatino Linotype"/>
          <w:i/>
        </w:rPr>
        <w:t>:</w:t>
      </w:r>
    </w:p>
    <w:p w14:paraId="6D83E5BC"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X. Presentar ante el Comité, el proyecto de clasificación de información</w:t>
      </w:r>
      <w:r w:rsidRPr="009645AE">
        <w:rPr>
          <w:rFonts w:ascii="Palatino Linotype" w:eastAsia="Palatino Linotype" w:hAnsi="Palatino Linotype" w:cs="Palatino Linotype"/>
          <w:i/>
        </w:rPr>
        <w:t xml:space="preserve">…” </w:t>
      </w:r>
    </w:p>
    <w:p w14:paraId="7811424C"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“Artículo 59.</w:t>
      </w:r>
      <w:r w:rsidRPr="009645AE">
        <w:rPr>
          <w:rFonts w:ascii="Palatino Linotype" w:eastAsia="Palatino Linotype" w:hAnsi="Palatino Linotype" w:cs="Palatino Linotype"/>
          <w:i/>
        </w:rPr>
        <w:t xml:space="preserve"> Los </w:t>
      </w:r>
      <w:r w:rsidRPr="009645AE">
        <w:rPr>
          <w:rFonts w:ascii="Palatino Linotype" w:eastAsia="Palatino Linotype" w:hAnsi="Palatino Linotype" w:cs="Palatino Linotype"/>
          <w:b/>
          <w:i/>
        </w:rPr>
        <w:t>servidores públicos habilitados</w:t>
      </w:r>
      <w:r w:rsidRPr="009645AE">
        <w:rPr>
          <w:rFonts w:ascii="Palatino Linotype" w:eastAsia="Palatino Linotype" w:hAnsi="Palatino Linotype" w:cs="Palatino Linotype"/>
          <w:i/>
        </w:rPr>
        <w:t xml:space="preserve"> tendrán las </w:t>
      </w:r>
      <w:r w:rsidRPr="009645AE">
        <w:rPr>
          <w:rFonts w:ascii="Palatino Linotype" w:eastAsia="Palatino Linotype" w:hAnsi="Palatino Linotype" w:cs="Palatino Linotype"/>
          <w:b/>
          <w:i/>
        </w:rPr>
        <w:t>funciones</w:t>
      </w:r>
      <w:r w:rsidRPr="009645AE">
        <w:rPr>
          <w:rFonts w:ascii="Palatino Linotype" w:eastAsia="Palatino Linotype" w:hAnsi="Palatino Linotype" w:cs="Palatino Linotype"/>
          <w:i/>
        </w:rPr>
        <w:t xml:space="preserve"> siguientes:</w:t>
      </w:r>
    </w:p>
    <w:p w14:paraId="4929581E"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V. Integrar y presentar al responsable de la Unidad de Transparencia la propuesta de clasificación de información</w:t>
      </w:r>
      <w:r w:rsidRPr="009645AE">
        <w:rPr>
          <w:rFonts w:ascii="Palatino Linotype" w:eastAsia="Palatino Linotype" w:hAnsi="Palatino Linotype" w:cs="Palatino Linotype"/>
          <w:i/>
        </w:rPr>
        <w:t>, la cual tendrá los fundamentos y argumentos en que se basa dicha propuesta…”</w:t>
      </w:r>
    </w:p>
    <w:p w14:paraId="52265023"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9645AE">
        <w:rPr>
          <w:rFonts w:ascii="Palatino Linotype" w:eastAsia="Palatino Linotype" w:hAnsi="Palatino Linotype" w:cs="Palatino Linotype"/>
        </w:rPr>
        <w:lastRenderedPageBreak/>
        <w:t>finalmente sea éste último quien apruebe, modifique o revoque la clasificación de la información solicitada.</w:t>
      </w:r>
    </w:p>
    <w:p w14:paraId="22DD355E"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B552B25"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Artículo 149.</w:t>
      </w:r>
      <w:r w:rsidRPr="009645AE">
        <w:rPr>
          <w:rFonts w:ascii="Palatino Linotype" w:eastAsia="Palatino Linotype" w:hAnsi="Palatino Linotype" w:cs="Palatino Linotype"/>
          <w:i/>
        </w:rPr>
        <w:t xml:space="preserve"> El </w:t>
      </w:r>
      <w:r w:rsidRPr="009645AE">
        <w:rPr>
          <w:rFonts w:ascii="Palatino Linotype" w:eastAsia="Palatino Linotype" w:hAnsi="Palatino Linotype" w:cs="Palatino Linotype"/>
          <w:b/>
          <w:i/>
        </w:rPr>
        <w:t>acuerdo que clasifique la información como confidencial</w:t>
      </w:r>
      <w:r w:rsidRPr="009645A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2D64F5AC" w14:textId="77777777" w:rsidR="008D19BE" w:rsidRPr="009645AE" w:rsidRDefault="00D027A4">
      <w:pP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Es decir,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531890D" w14:textId="77777777" w:rsidR="008D19BE" w:rsidRPr="009645AE" w:rsidRDefault="00D027A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9645AE">
        <w:rPr>
          <w:rFonts w:ascii="Palatino Linotype" w:eastAsia="Palatino Linotype" w:hAnsi="Palatino Linotype" w:cs="Palatino Linotype"/>
        </w:rPr>
        <w:t xml:space="preserve">Asimismo, respecto a las formalidades que deberá llevar el acuerdo de clasificación que deberá emitir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86368BA"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xml:space="preserve"> “Quincuagésimo. </w:t>
      </w:r>
      <w:r w:rsidRPr="009645AE">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8B57978" w14:textId="77777777" w:rsidR="008D19BE" w:rsidRPr="009645AE" w:rsidRDefault="00D027A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xml:space="preserve">Quincuagésimo primero. </w:t>
      </w:r>
      <w:r w:rsidRPr="009645AE">
        <w:rPr>
          <w:rFonts w:ascii="Palatino Linotype" w:eastAsia="Palatino Linotype" w:hAnsi="Palatino Linotype" w:cs="Palatino Linotype"/>
          <w:i/>
        </w:rPr>
        <w:t xml:space="preserve">Toda acta del Comité de Transparencia deberá contener: </w:t>
      </w:r>
    </w:p>
    <w:p w14:paraId="3501B887"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El número de sesión y fecha; </w:t>
      </w:r>
    </w:p>
    <w:p w14:paraId="1E10D4E8"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lastRenderedPageBreak/>
        <w:t>II</w:t>
      </w:r>
      <w:r w:rsidRPr="009645AE">
        <w:rPr>
          <w:rFonts w:ascii="Palatino Linotype" w:eastAsia="Palatino Linotype" w:hAnsi="Palatino Linotype" w:cs="Palatino Linotype"/>
          <w:i/>
        </w:rPr>
        <w:t xml:space="preserve">. El nombre del área que solicitó la clasificación de información; </w:t>
      </w:r>
    </w:p>
    <w:p w14:paraId="06C49529"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La fundamentación legal y motivación correspondiente; </w:t>
      </w:r>
    </w:p>
    <w:p w14:paraId="3E9B074F"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IV</w:t>
      </w:r>
      <w:r w:rsidRPr="009645AE">
        <w:rPr>
          <w:rFonts w:ascii="Palatino Linotype" w:eastAsia="Palatino Linotype" w:hAnsi="Palatino Linotype" w:cs="Palatino Linotype"/>
          <w:i/>
        </w:rPr>
        <w:t xml:space="preserve">. La resolución o resoluciones aprobadas; y </w:t>
      </w:r>
    </w:p>
    <w:p w14:paraId="5C742B21"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V</w:t>
      </w:r>
      <w:r w:rsidRPr="009645AE">
        <w:rPr>
          <w:rFonts w:ascii="Palatino Linotype" w:eastAsia="Palatino Linotype" w:hAnsi="Palatino Linotype" w:cs="Palatino Linotype"/>
          <w:i/>
        </w:rPr>
        <w:t xml:space="preserve">. La rúbrica o firma digital de cada integrante del Comité de Transparencia. </w:t>
      </w:r>
    </w:p>
    <w:p w14:paraId="6FA76B20" w14:textId="77777777" w:rsidR="008D19BE" w:rsidRPr="009645AE" w:rsidRDefault="00D027A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4C5982D"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Los motivos y razonamientos que sustenten la confirmación o modificación de la prueba de daño;</w:t>
      </w:r>
    </w:p>
    <w:p w14:paraId="2B6B990B"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Descripción de las partes o secciones reservadas, en caso de clasificación parcial</w:t>
      </w:r>
      <w:r w:rsidRPr="009645AE">
        <w:rPr>
          <w:rFonts w:ascii="Palatino Linotype" w:eastAsia="Palatino Linotype" w:hAnsi="Palatino Linotype" w:cs="Palatino Linotype"/>
          <w:b/>
          <w:i/>
        </w:rPr>
        <w:t xml:space="preserve">; </w:t>
      </w:r>
    </w:p>
    <w:p w14:paraId="59DAF24B"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El periodo por el que mantendrá su clasificación y fecha de expiración; y </w:t>
      </w:r>
    </w:p>
    <w:p w14:paraId="3F8E0309" w14:textId="77777777" w:rsidR="008D19BE" w:rsidRPr="009645AE" w:rsidRDefault="00D027A4">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IV.</w:t>
      </w:r>
      <w:r w:rsidRPr="009645AE">
        <w:rPr>
          <w:rFonts w:ascii="Palatino Linotype" w:eastAsia="Palatino Linotype" w:hAnsi="Palatino Linotype" w:cs="Palatino Linotype"/>
          <w:i/>
        </w:rPr>
        <w:t xml:space="preserve"> El nombre del titular y área encargada de realizar la versión pública del documento, en su caso. </w:t>
      </w:r>
    </w:p>
    <w:p w14:paraId="4617374D" w14:textId="77777777" w:rsidR="008D19BE" w:rsidRPr="009645AE" w:rsidRDefault="00D027A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3B1664F" w14:textId="77777777" w:rsidR="008D19BE" w:rsidRPr="009645AE" w:rsidRDefault="00D027A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47AE964D"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FC8EB42" w14:textId="77777777" w:rsidR="008D19BE" w:rsidRPr="009645AE" w:rsidRDefault="00D027A4">
      <w:pPr>
        <w:spacing w:before="120" w:after="120" w:line="240" w:lineRule="auto"/>
        <w:ind w:left="851" w:right="900"/>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r w:rsidRPr="009645AE">
        <w:rPr>
          <w:rFonts w:ascii="Palatino Linotype" w:eastAsia="Palatino Linotype" w:hAnsi="Palatino Linotype" w:cs="Palatino Linotype"/>
          <w:b/>
          <w:i/>
        </w:rPr>
        <w:t>Quincuagésimo segundo</w:t>
      </w:r>
      <w:r w:rsidRPr="009645AE">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9F5E9F1" w14:textId="77777777" w:rsidR="008D19BE" w:rsidRPr="009645AE" w:rsidRDefault="00D027A4">
      <w:pPr>
        <w:spacing w:before="120" w:after="120" w:line="240" w:lineRule="auto"/>
        <w:ind w:left="851" w:right="900"/>
        <w:jc w:val="both"/>
        <w:rPr>
          <w:rFonts w:ascii="Palatino Linotype" w:eastAsia="Palatino Linotype" w:hAnsi="Palatino Linotype" w:cs="Palatino Linotype"/>
          <w:i/>
        </w:rPr>
      </w:pPr>
      <w:r w:rsidRPr="009645AE">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5A1C8769" w14:textId="77777777" w:rsidR="008D19BE" w:rsidRPr="009645AE" w:rsidRDefault="00D027A4">
      <w:pPr>
        <w:spacing w:before="120" w:after="120" w:line="240" w:lineRule="auto"/>
        <w:ind w:left="1134" w:right="900"/>
        <w:jc w:val="both"/>
        <w:rPr>
          <w:rFonts w:ascii="Palatino Linotype" w:eastAsia="Palatino Linotype" w:hAnsi="Palatino Linotype" w:cs="Palatino Linotype"/>
          <w:i/>
        </w:rPr>
      </w:pPr>
      <w:r w:rsidRPr="009645AE">
        <w:rPr>
          <w:rFonts w:ascii="Palatino Linotype" w:eastAsia="Palatino Linotype" w:hAnsi="Palatino Linotype" w:cs="Palatino Linotype"/>
          <w:b/>
          <w:i/>
        </w:rPr>
        <w:lastRenderedPageBreak/>
        <w:t>I.</w:t>
      </w:r>
      <w:r w:rsidRPr="009645AE">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3839E37" w14:textId="77777777" w:rsidR="008D19BE" w:rsidRPr="009645AE" w:rsidRDefault="00D027A4">
      <w:pPr>
        <w:spacing w:before="120" w:after="120" w:line="240" w:lineRule="auto"/>
        <w:ind w:left="1134" w:right="900"/>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B595A01" w14:textId="77777777" w:rsidR="008D19BE" w:rsidRPr="009645AE" w:rsidRDefault="00D027A4">
      <w:pPr>
        <w:spacing w:before="120" w:after="120" w:line="240" w:lineRule="auto"/>
        <w:ind w:left="1134" w:right="900"/>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Señalar las personas o instancias autorizadas a acceder a la información clasificada.</w:t>
      </w:r>
    </w:p>
    <w:p w14:paraId="6DDEB0C7" w14:textId="77777777" w:rsidR="008D19BE" w:rsidRPr="009645AE" w:rsidRDefault="00D027A4">
      <w:pPr>
        <w:spacing w:before="120" w:after="120" w:line="240" w:lineRule="auto"/>
        <w:ind w:left="851" w:right="900"/>
        <w:jc w:val="both"/>
        <w:rPr>
          <w:rFonts w:ascii="Palatino Linotype" w:eastAsia="Palatino Linotype" w:hAnsi="Palatino Linotype" w:cs="Palatino Linotype"/>
          <w:i/>
        </w:rPr>
      </w:pPr>
      <w:r w:rsidRPr="009645AE">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330A906" w14:textId="77777777" w:rsidR="008D19BE" w:rsidRPr="009645AE" w:rsidRDefault="00D027A4">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rPr>
      </w:pPr>
      <w:r w:rsidRPr="009645AE">
        <w:rPr>
          <w:rFonts w:ascii="Palatino Linotype" w:eastAsia="Palatino Linotype" w:hAnsi="Palatino Linotype" w:cs="Palatino Linotype"/>
          <w:i/>
        </w:rPr>
        <w:t>…</w:t>
      </w:r>
    </w:p>
    <w:p w14:paraId="4CD0FFDB" w14:textId="77777777" w:rsidR="008D19BE" w:rsidRPr="009645AE" w:rsidRDefault="00D027A4">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 xml:space="preserve">Quincuagésimo cuarto. </w:t>
      </w:r>
      <w:r w:rsidRPr="009645AE">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645AE">
        <w:rPr>
          <w:rFonts w:ascii="Palatino Linotype" w:eastAsia="Palatino Linotype" w:hAnsi="Palatino Linotype" w:cs="Palatino Linotype"/>
          <w:b/>
          <w:i/>
        </w:rPr>
        <w:t xml:space="preserve"> </w:t>
      </w:r>
    </w:p>
    <w:p w14:paraId="08F442A3"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 xml:space="preserve">Quincuagésimo quinto. </w:t>
      </w:r>
      <w:r w:rsidRPr="009645AE">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9645AE">
        <w:rPr>
          <w:rFonts w:ascii="Palatino Linotype" w:eastAsia="Palatino Linotype" w:hAnsi="Palatino Linotype" w:cs="Palatino Linotype"/>
          <w:i/>
        </w:rPr>
        <w:t>testado</w:t>
      </w:r>
      <w:proofErr w:type="spellEnd"/>
      <w:r w:rsidRPr="009645AE">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DAD2508" w14:textId="77777777" w:rsidR="008D19BE" w:rsidRPr="009645AE" w:rsidRDefault="00D027A4">
      <w:pPr>
        <w:spacing w:before="120" w:after="120" w:line="240" w:lineRule="auto"/>
        <w:ind w:left="851" w:right="902"/>
        <w:jc w:val="both"/>
        <w:rPr>
          <w:rFonts w:ascii="Palatino Linotype" w:eastAsia="Palatino Linotype" w:hAnsi="Palatino Linotype" w:cs="Palatino Linotype"/>
          <w:b/>
          <w:i/>
        </w:rPr>
      </w:pPr>
      <w:r w:rsidRPr="009645AE">
        <w:rPr>
          <w:rFonts w:ascii="Palatino Linotype" w:eastAsia="Palatino Linotype" w:hAnsi="Palatino Linotype" w:cs="Palatino Linotype"/>
          <w:b/>
          <w:i/>
        </w:rPr>
        <w:t>...</w:t>
      </w:r>
    </w:p>
    <w:p w14:paraId="16727821"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Quincuagésimo séptimo</w:t>
      </w:r>
      <w:r w:rsidRPr="009645AE">
        <w:rPr>
          <w:rFonts w:ascii="Palatino Linotype" w:eastAsia="Palatino Linotype" w:hAnsi="Palatino Linotype" w:cs="Palatino Linotype"/>
          <w:i/>
        </w:rPr>
        <w:t xml:space="preserve">. Se considera, en principio, como información pública y no podrá omitirse de las versiones públicas la siguiente: </w:t>
      </w:r>
    </w:p>
    <w:p w14:paraId="407743C2"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w:t>
      </w:r>
      <w:r w:rsidRPr="009645A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A6F450A"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w:t>
      </w:r>
      <w:r w:rsidRPr="009645AE">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59B8691F" w14:textId="77777777" w:rsidR="008D19BE" w:rsidRPr="009645AE" w:rsidRDefault="00D027A4">
      <w:pPr>
        <w:spacing w:before="120" w:after="120" w:line="240" w:lineRule="auto"/>
        <w:ind w:left="1134"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III</w:t>
      </w:r>
      <w:r w:rsidRPr="009645A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2A5B7F6"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internacionales suscritas por el Estado mexicano.  </w:t>
      </w:r>
    </w:p>
    <w:p w14:paraId="7A8F08D8" w14:textId="77777777" w:rsidR="008D19BE" w:rsidRPr="009645AE" w:rsidRDefault="00D027A4">
      <w:pPr>
        <w:spacing w:before="120" w:after="120" w:line="240" w:lineRule="auto"/>
        <w:ind w:left="851" w:right="902"/>
        <w:jc w:val="both"/>
        <w:rPr>
          <w:rFonts w:ascii="Palatino Linotype" w:eastAsia="Palatino Linotype" w:hAnsi="Palatino Linotype" w:cs="Palatino Linotype"/>
          <w:i/>
        </w:rPr>
      </w:pPr>
      <w:r w:rsidRPr="009645AE">
        <w:rPr>
          <w:rFonts w:ascii="Palatino Linotype" w:eastAsia="Palatino Linotype" w:hAnsi="Palatino Linotype" w:cs="Palatino Linotype"/>
          <w:b/>
          <w:i/>
        </w:rPr>
        <w:t>Quincuagésimo octavo</w:t>
      </w:r>
      <w:r w:rsidRPr="009645AE">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5C533450" w14:textId="77777777" w:rsidR="008D19BE" w:rsidRPr="009645AE" w:rsidRDefault="00D027A4">
      <w:pPr>
        <w:spacing w:after="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rPr>
        <w:t>Por lo anteriormente expuesto y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14:paraId="7F0AC5FD" w14:textId="77777777" w:rsidR="008D19BE" w:rsidRPr="009645AE" w:rsidRDefault="00D027A4">
      <w:pPr>
        <w:spacing w:after="0" w:line="360" w:lineRule="auto"/>
        <w:jc w:val="center"/>
        <w:rPr>
          <w:rFonts w:ascii="Palatino Linotype" w:eastAsia="Palatino Linotype" w:hAnsi="Palatino Linotype" w:cs="Palatino Linotype"/>
          <w:b/>
        </w:rPr>
      </w:pPr>
      <w:r w:rsidRPr="009645AE">
        <w:rPr>
          <w:rFonts w:ascii="Palatino Linotype" w:eastAsia="Palatino Linotype" w:hAnsi="Palatino Linotype" w:cs="Palatino Linotype"/>
          <w:b/>
        </w:rPr>
        <w:t xml:space="preserve">III. R E S U E L V </w:t>
      </w:r>
      <w:proofErr w:type="gramStart"/>
      <w:r w:rsidRPr="009645AE">
        <w:rPr>
          <w:rFonts w:ascii="Palatino Linotype" w:eastAsia="Palatino Linotype" w:hAnsi="Palatino Linotype" w:cs="Palatino Linotype"/>
          <w:b/>
        </w:rPr>
        <w:t>E :</w:t>
      </w:r>
      <w:proofErr w:type="gramEnd"/>
    </w:p>
    <w:p w14:paraId="5B5A6E73" w14:textId="77777777" w:rsidR="008D19BE" w:rsidRPr="009645AE" w:rsidRDefault="00D027A4">
      <w:pPr>
        <w:spacing w:before="240" w:after="240" w:line="360" w:lineRule="auto"/>
        <w:jc w:val="both"/>
        <w:rPr>
          <w:rFonts w:ascii="Palatino Linotype" w:eastAsia="Palatino Linotype" w:hAnsi="Palatino Linotype" w:cs="Palatino Linotype"/>
          <w:b/>
        </w:rPr>
      </w:pPr>
      <w:r w:rsidRPr="009645AE">
        <w:rPr>
          <w:rFonts w:ascii="Palatino Linotype" w:eastAsia="Palatino Linotype" w:hAnsi="Palatino Linotype" w:cs="Palatino Linotype"/>
          <w:b/>
        </w:rPr>
        <w:t xml:space="preserve">Primero. </w:t>
      </w:r>
      <w:r w:rsidRPr="009645AE">
        <w:rPr>
          <w:rFonts w:ascii="Palatino Linotype" w:eastAsia="Palatino Linotype" w:hAnsi="Palatino Linotype" w:cs="Palatino Linotype"/>
        </w:rPr>
        <w:t>Resultan</w:t>
      </w:r>
      <w:r w:rsidRPr="009645AE">
        <w:rPr>
          <w:rFonts w:ascii="Palatino Linotype" w:eastAsia="Palatino Linotype" w:hAnsi="Palatino Linotype" w:cs="Palatino Linotype"/>
          <w:b/>
        </w:rPr>
        <w:t xml:space="preserve"> parcialmente fundados</w:t>
      </w:r>
      <w:r w:rsidRPr="009645AE">
        <w:rPr>
          <w:rFonts w:ascii="Palatino Linotype" w:eastAsia="Palatino Linotype" w:hAnsi="Palatino Linotype" w:cs="Palatino Linotype"/>
        </w:rPr>
        <w:t xml:space="preserve"> los motivos de inconformidad hechos valer por la parte </w:t>
      </w:r>
      <w:r w:rsidRPr="009645AE">
        <w:rPr>
          <w:rFonts w:ascii="Palatino Linotype" w:eastAsia="Palatino Linotype" w:hAnsi="Palatino Linotype" w:cs="Palatino Linotype"/>
          <w:b/>
        </w:rPr>
        <w:t xml:space="preserve">Recurrente </w:t>
      </w:r>
      <w:r w:rsidRPr="009645AE">
        <w:rPr>
          <w:rFonts w:ascii="Palatino Linotype" w:eastAsia="Palatino Linotype" w:hAnsi="Palatino Linotype" w:cs="Palatino Linotype"/>
        </w:rPr>
        <w:t xml:space="preserve">en el Recurso de Revisión </w:t>
      </w:r>
      <w:r w:rsidRPr="009645AE">
        <w:rPr>
          <w:rFonts w:ascii="Palatino Linotype" w:eastAsia="Palatino Linotype" w:hAnsi="Palatino Linotype" w:cs="Palatino Linotype"/>
          <w:b/>
        </w:rPr>
        <w:t>02624/INFOEM/IP/RR/2025</w:t>
      </w:r>
      <w:r w:rsidRPr="009645AE">
        <w:rPr>
          <w:rFonts w:ascii="Palatino Linotype" w:eastAsia="Palatino Linotype" w:hAnsi="Palatino Linotype" w:cs="Palatino Linotype"/>
        </w:rPr>
        <w:t>,</w:t>
      </w:r>
      <w:r w:rsidRPr="009645AE">
        <w:rPr>
          <w:rFonts w:ascii="Palatino Linotype" w:eastAsia="Palatino Linotype" w:hAnsi="Palatino Linotype" w:cs="Palatino Linotype"/>
          <w:b/>
        </w:rPr>
        <w:t xml:space="preserve"> </w:t>
      </w:r>
      <w:r w:rsidRPr="009645AE">
        <w:rPr>
          <w:rFonts w:ascii="Palatino Linotype" w:eastAsia="Palatino Linotype" w:hAnsi="Palatino Linotype" w:cs="Palatino Linotype"/>
        </w:rPr>
        <w:t xml:space="preserve">por lo que, en términos del considerando </w:t>
      </w:r>
      <w:r w:rsidRPr="009645AE">
        <w:rPr>
          <w:rFonts w:ascii="Palatino Linotype" w:eastAsia="Palatino Linotype" w:hAnsi="Palatino Linotype" w:cs="Palatino Linotype"/>
          <w:b/>
        </w:rPr>
        <w:t xml:space="preserve">Cuarto </w:t>
      </w:r>
      <w:r w:rsidRPr="009645AE">
        <w:rPr>
          <w:rFonts w:ascii="Palatino Linotype" w:eastAsia="Palatino Linotype" w:hAnsi="Palatino Linotype" w:cs="Palatino Linotype"/>
        </w:rPr>
        <w:t xml:space="preserve">de esta resolución, se </w:t>
      </w:r>
      <w:r w:rsidRPr="009645AE">
        <w:rPr>
          <w:rFonts w:ascii="Palatino Linotype" w:eastAsia="Palatino Linotype" w:hAnsi="Palatino Linotype" w:cs="Palatino Linotype"/>
          <w:b/>
        </w:rPr>
        <w:t xml:space="preserve">Modifica </w:t>
      </w:r>
      <w:r w:rsidRPr="009645AE">
        <w:rPr>
          <w:rFonts w:ascii="Palatino Linotype" w:eastAsia="Palatino Linotype" w:hAnsi="Palatino Linotype" w:cs="Palatino Linotype"/>
        </w:rPr>
        <w:t xml:space="preserve">la respuesta emitida por </w:t>
      </w:r>
      <w:r w:rsidRPr="009645AE">
        <w:rPr>
          <w:rFonts w:ascii="Palatino Linotype" w:eastAsia="Palatino Linotype" w:hAnsi="Palatino Linotype" w:cs="Palatino Linotype"/>
          <w:b/>
        </w:rPr>
        <w:t>EL Sujeto Obligado</w:t>
      </w:r>
      <w:r w:rsidRPr="009645AE">
        <w:rPr>
          <w:rFonts w:ascii="Palatino Linotype" w:eastAsia="Palatino Linotype" w:hAnsi="Palatino Linotype" w:cs="Palatino Linotype"/>
        </w:rPr>
        <w:t>.</w:t>
      </w:r>
    </w:p>
    <w:p w14:paraId="374C0F37" w14:textId="77777777" w:rsidR="008D19BE" w:rsidRPr="009645AE" w:rsidRDefault="00D027A4">
      <w:pPr>
        <w:spacing w:before="240" w:after="240" w:line="360" w:lineRule="auto"/>
        <w:jc w:val="both"/>
        <w:rPr>
          <w:rFonts w:ascii="Palatino Linotype" w:eastAsia="Palatino Linotype" w:hAnsi="Palatino Linotype" w:cs="Palatino Linotype"/>
        </w:rPr>
      </w:pPr>
      <w:r w:rsidRPr="009645AE">
        <w:rPr>
          <w:rFonts w:ascii="Palatino Linotype" w:eastAsia="Palatino Linotype" w:hAnsi="Palatino Linotype" w:cs="Palatino Linotype"/>
          <w:b/>
        </w:rPr>
        <w:t xml:space="preserve">Segundo. </w:t>
      </w:r>
      <w:r w:rsidRPr="009645AE">
        <w:rPr>
          <w:rFonts w:ascii="Palatino Linotype" w:eastAsia="Palatino Linotype" w:hAnsi="Palatino Linotype" w:cs="Palatino Linotype"/>
        </w:rPr>
        <w:t xml:space="preserve">Se </w:t>
      </w:r>
      <w:r w:rsidRPr="009645AE">
        <w:rPr>
          <w:rFonts w:ascii="Palatino Linotype" w:eastAsia="Palatino Linotype" w:hAnsi="Palatino Linotype" w:cs="Palatino Linotype"/>
          <w:b/>
        </w:rPr>
        <w:t xml:space="preserve">Ordena </w:t>
      </w:r>
      <w:r w:rsidRPr="009645AE">
        <w:rPr>
          <w:rFonts w:ascii="Palatino Linotype" w:eastAsia="Palatino Linotype" w:hAnsi="Palatino Linotype" w:cs="Palatino Linotype"/>
        </w:rPr>
        <w:t xml:space="preserve">al </w:t>
      </w:r>
      <w:r w:rsidRPr="009645AE">
        <w:rPr>
          <w:rFonts w:ascii="Palatino Linotype" w:eastAsia="Palatino Linotype" w:hAnsi="Palatino Linotype" w:cs="Palatino Linotype"/>
          <w:b/>
        </w:rPr>
        <w:t xml:space="preserve">Sujeto Obligado, </w:t>
      </w:r>
      <w:r w:rsidRPr="009645AE">
        <w:rPr>
          <w:rFonts w:ascii="Palatino Linotype" w:eastAsia="Palatino Linotype" w:hAnsi="Palatino Linotype" w:cs="Palatino Linotype"/>
        </w:rPr>
        <w:t xml:space="preserve">en términos de los Considerandos </w:t>
      </w:r>
      <w:r w:rsidRPr="009645AE">
        <w:rPr>
          <w:rFonts w:ascii="Palatino Linotype" w:eastAsia="Palatino Linotype" w:hAnsi="Palatino Linotype" w:cs="Palatino Linotype"/>
          <w:b/>
        </w:rPr>
        <w:t xml:space="preserve">Cuarto </w:t>
      </w:r>
      <w:r w:rsidRPr="009645AE">
        <w:rPr>
          <w:rFonts w:ascii="Palatino Linotype" w:eastAsia="Palatino Linotype" w:hAnsi="Palatino Linotype" w:cs="Palatino Linotype"/>
        </w:rPr>
        <w:t xml:space="preserve">y </w:t>
      </w:r>
      <w:r w:rsidRPr="009645AE">
        <w:rPr>
          <w:rFonts w:ascii="Palatino Linotype" w:eastAsia="Palatino Linotype" w:hAnsi="Palatino Linotype" w:cs="Palatino Linotype"/>
          <w:b/>
        </w:rPr>
        <w:t xml:space="preserve">Quinto </w:t>
      </w:r>
      <w:r w:rsidRPr="009645AE">
        <w:rPr>
          <w:rFonts w:ascii="Palatino Linotype" w:eastAsia="Palatino Linotype" w:hAnsi="Palatino Linotype" w:cs="Palatino Linotype"/>
        </w:rPr>
        <w:t>de esta resolución, haga entrega vía SAIMEX, previa búsqueda exhaustiva y razonable, en versión pública de ser necesario, de lo siguiente:</w:t>
      </w:r>
    </w:p>
    <w:p w14:paraId="7BF077DC" w14:textId="77777777" w:rsidR="008D19BE" w:rsidRPr="009645AE" w:rsidRDefault="00D027A4">
      <w:pPr>
        <w:spacing w:before="240" w:after="240" w:line="360" w:lineRule="auto"/>
        <w:ind w:left="284" w:right="49"/>
        <w:jc w:val="both"/>
        <w:rPr>
          <w:rFonts w:ascii="Palatino Linotype" w:eastAsia="Palatino Linotype" w:hAnsi="Palatino Linotype" w:cs="Palatino Linotype"/>
        </w:rPr>
      </w:pPr>
      <w:r w:rsidRPr="009645AE">
        <w:rPr>
          <w:rFonts w:ascii="Palatino Linotype" w:eastAsia="Palatino Linotype" w:hAnsi="Palatino Linotype" w:cs="Palatino Linotype"/>
        </w:rPr>
        <w:t>1. Actas de instalación de los comités que se hayan instalado al dieciséis de enero de dos mil veinticinco, respecto de la administración pública municipal 2025-2027, faltantes.</w:t>
      </w:r>
    </w:p>
    <w:p w14:paraId="53332CAE" w14:textId="77777777" w:rsidR="008D19BE" w:rsidRPr="009645AE" w:rsidRDefault="00D027A4">
      <w:pPr>
        <w:spacing w:before="120" w:after="120" w:line="240" w:lineRule="auto"/>
        <w:ind w:left="284"/>
        <w:jc w:val="both"/>
        <w:rPr>
          <w:rFonts w:ascii="Palatino Linotype" w:eastAsia="Palatino Linotype" w:hAnsi="Palatino Linotype" w:cs="Palatino Linotype"/>
          <w:i/>
          <w:sz w:val="20"/>
          <w:szCs w:val="20"/>
        </w:rPr>
      </w:pPr>
      <w:bookmarkStart w:id="5" w:name="_heading=h.pzdfzumtitwq" w:colFirst="0" w:colLast="0"/>
      <w:bookmarkEnd w:id="5"/>
      <w:r w:rsidRPr="009645AE">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9645AE">
        <w:rPr>
          <w:rFonts w:ascii="Palatino Linotype" w:eastAsia="Palatino Linotype" w:hAnsi="Palatino Linotype" w:cs="Palatino Linotype"/>
          <w:b/>
          <w:i/>
          <w:sz w:val="20"/>
          <w:szCs w:val="20"/>
        </w:rPr>
        <w:t>Recurrente</w:t>
      </w:r>
      <w:r w:rsidRPr="009645AE">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14:paraId="6D45EF7E" w14:textId="77777777" w:rsidR="008D19BE" w:rsidRPr="009645AE" w:rsidRDefault="00D027A4">
      <w:pPr>
        <w:spacing w:before="240" w:after="240" w:line="360" w:lineRule="auto"/>
        <w:ind w:right="49"/>
        <w:jc w:val="both"/>
        <w:rPr>
          <w:rFonts w:ascii="Palatino Linotype" w:eastAsia="Palatino Linotype" w:hAnsi="Palatino Linotype" w:cs="Palatino Linotype"/>
        </w:rPr>
      </w:pPr>
      <w:r w:rsidRPr="009645AE">
        <w:rPr>
          <w:rFonts w:ascii="Palatino Linotype" w:eastAsia="Palatino Linotype" w:hAnsi="Palatino Linotype" w:cs="Palatino Linotype"/>
          <w:b/>
        </w:rPr>
        <w:lastRenderedPageBreak/>
        <w:t xml:space="preserve">Tercero.  Notifíquese, </w:t>
      </w:r>
      <w:r w:rsidRPr="009645AE">
        <w:rPr>
          <w:rFonts w:ascii="Palatino Linotype" w:eastAsia="Palatino Linotype" w:hAnsi="Palatino Linotype" w:cs="Palatino Linotype"/>
        </w:rPr>
        <w:t>vía</w:t>
      </w:r>
      <w:r w:rsidRPr="009645AE">
        <w:rPr>
          <w:rFonts w:ascii="Palatino Linotype" w:eastAsia="Palatino Linotype" w:hAnsi="Palatino Linotype" w:cs="Palatino Linotype"/>
          <w:b/>
        </w:rPr>
        <w:t xml:space="preserve"> SAIMEX, </w:t>
      </w:r>
      <w:r w:rsidRPr="009645AE">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019E46" w14:textId="77777777" w:rsidR="008D19BE" w:rsidRPr="009645AE" w:rsidRDefault="00D027A4">
      <w:pPr>
        <w:spacing w:before="240" w:after="240" w:line="360" w:lineRule="auto"/>
        <w:jc w:val="both"/>
        <w:rPr>
          <w:rFonts w:ascii="Palatino Linotype" w:eastAsia="Palatino Linotype" w:hAnsi="Palatino Linotype" w:cs="Palatino Linotype"/>
        </w:rPr>
      </w:pPr>
      <w:bookmarkStart w:id="6" w:name="_heading=h.gjdgxs" w:colFirst="0" w:colLast="0"/>
      <w:bookmarkEnd w:id="6"/>
      <w:r w:rsidRPr="009645A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645AE">
        <w:rPr>
          <w:rFonts w:ascii="Palatino Linotype" w:eastAsia="Palatino Linotype" w:hAnsi="Palatino Linotype" w:cs="Palatino Linotype"/>
          <w:b/>
        </w:rPr>
        <w:t>Sujeto Obligado</w:t>
      </w:r>
      <w:r w:rsidRPr="009645AE">
        <w:rPr>
          <w:rFonts w:ascii="Palatino Linotype" w:eastAsia="Palatino Linotype" w:hAnsi="Palatino Linotype" w:cs="Palatino Linotype"/>
        </w:rPr>
        <w:t xml:space="preserve"> de manera fundada y motivada, podrá solicitar una ampliación de plazo para el cumplimiento de la presente resolución.</w:t>
      </w:r>
    </w:p>
    <w:p w14:paraId="6C21B3AD" w14:textId="77777777" w:rsidR="008D19BE" w:rsidRPr="009645AE" w:rsidRDefault="00D027A4">
      <w:pPr>
        <w:spacing w:before="240" w:after="240" w:line="360" w:lineRule="auto"/>
        <w:ind w:right="49"/>
        <w:jc w:val="both"/>
        <w:rPr>
          <w:rFonts w:ascii="Palatino Linotype" w:eastAsia="Palatino Linotype" w:hAnsi="Palatino Linotype" w:cs="Palatino Linotype"/>
        </w:rPr>
      </w:pPr>
      <w:bookmarkStart w:id="7" w:name="_heading=h.ot3qq6vxa08f" w:colFirst="0" w:colLast="0"/>
      <w:bookmarkEnd w:id="7"/>
      <w:r w:rsidRPr="009645AE">
        <w:rPr>
          <w:rFonts w:ascii="Palatino Linotype" w:eastAsia="Palatino Linotype" w:hAnsi="Palatino Linotype" w:cs="Palatino Linotype"/>
          <w:b/>
        </w:rPr>
        <w:t xml:space="preserve">Cuarto.  Notifíquese, </w:t>
      </w:r>
      <w:r w:rsidRPr="009645AE">
        <w:rPr>
          <w:rFonts w:ascii="Palatino Linotype" w:eastAsia="Palatino Linotype" w:hAnsi="Palatino Linotype" w:cs="Palatino Linotype"/>
        </w:rPr>
        <w:t xml:space="preserve">vía </w:t>
      </w:r>
      <w:r w:rsidRPr="009645AE">
        <w:rPr>
          <w:rFonts w:ascii="Palatino Linotype" w:eastAsia="Palatino Linotype" w:hAnsi="Palatino Linotype" w:cs="Palatino Linotype"/>
          <w:b/>
        </w:rPr>
        <w:t>SAIMEX</w:t>
      </w:r>
      <w:r w:rsidRPr="009645AE">
        <w:rPr>
          <w:rFonts w:ascii="Palatino Linotype" w:eastAsia="Palatino Linotype" w:hAnsi="Palatino Linotype" w:cs="Palatino Linotype"/>
        </w:rPr>
        <w:t xml:space="preserve"> a la parte </w:t>
      </w:r>
      <w:r w:rsidRPr="009645AE">
        <w:rPr>
          <w:rFonts w:ascii="Palatino Linotype" w:eastAsia="Palatino Linotype" w:hAnsi="Palatino Linotype" w:cs="Palatino Linotype"/>
          <w:b/>
        </w:rPr>
        <w:t>Recurrente</w:t>
      </w:r>
      <w:r w:rsidRPr="009645A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63F6E24A" w14:textId="77777777" w:rsidR="008D19BE" w:rsidRPr="00625564" w:rsidRDefault="00D027A4">
      <w:pPr>
        <w:spacing w:before="240" w:after="240" w:line="360" w:lineRule="auto"/>
        <w:ind w:right="49"/>
        <w:jc w:val="both"/>
        <w:rPr>
          <w:rFonts w:ascii="Palatino Linotype" w:eastAsia="Palatino Linotype" w:hAnsi="Palatino Linotype" w:cs="Palatino Linotype"/>
        </w:rPr>
      </w:pPr>
      <w:bookmarkStart w:id="8" w:name="_heading=h.bfnjlgk508j0" w:colFirst="0" w:colLast="0"/>
      <w:bookmarkEnd w:id="8"/>
      <w:r w:rsidRPr="009645A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 SESIÓN ORDINARIA CELEBRADA EL VEINTIOCHO DE MAYO DE DOS MIL VEINTICINCO, ANTE EL SECRETARIO TÉCNICO DEL PLENO ALEXIS TAPIA RAMÍREZ.</w:t>
      </w:r>
      <w:r w:rsidRPr="00625564">
        <w:rPr>
          <w:rFonts w:ascii="Palatino Linotype" w:eastAsia="Palatino Linotype" w:hAnsi="Palatino Linotype" w:cs="Palatino Linotype"/>
        </w:rPr>
        <w:t xml:space="preserve"> </w:t>
      </w:r>
    </w:p>
    <w:p w14:paraId="11542733" w14:textId="77777777" w:rsidR="008D19BE" w:rsidRPr="00625564" w:rsidRDefault="008D19BE">
      <w:pPr>
        <w:spacing w:after="0" w:line="360" w:lineRule="auto"/>
        <w:ind w:right="49"/>
        <w:jc w:val="both"/>
        <w:rPr>
          <w:rFonts w:ascii="Palatino Linotype" w:eastAsia="Palatino Linotype" w:hAnsi="Palatino Linotype" w:cs="Palatino Linotype"/>
        </w:rPr>
      </w:pPr>
    </w:p>
    <w:p w14:paraId="64707BBC" w14:textId="77777777" w:rsidR="008D19BE" w:rsidRPr="00625564" w:rsidRDefault="008D19BE">
      <w:pPr>
        <w:spacing w:after="0" w:line="360" w:lineRule="auto"/>
        <w:ind w:right="49"/>
        <w:jc w:val="both"/>
        <w:rPr>
          <w:rFonts w:ascii="Palatino Linotype" w:eastAsia="Palatino Linotype" w:hAnsi="Palatino Linotype" w:cs="Palatino Linotype"/>
        </w:rPr>
      </w:pPr>
    </w:p>
    <w:p w14:paraId="4A47BB94" w14:textId="77777777" w:rsidR="008D19BE" w:rsidRPr="00625564" w:rsidRDefault="008D19BE">
      <w:pPr>
        <w:spacing w:after="0" w:line="360" w:lineRule="auto"/>
        <w:ind w:right="49"/>
        <w:jc w:val="both"/>
        <w:rPr>
          <w:rFonts w:ascii="Palatino Linotype" w:eastAsia="Palatino Linotype" w:hAnsi="Palatino Linotype" w:cs="Palatino Linotype"/>
        </w:rPr>
      </w:pPr>
    </w:p>
    <w:p w14:paraId="3CF40644" w14:textId="77777777" w:rsidR="008D19BE" w:rsidRPr="00625564" w:rsidRDefault="008D19BE">
      <w:pPr>
        <w:spacing w:after="0" w:line="360" w:lineRule="auto"/>
        <w:ind w:right="49"/>
        <w:jc w:val="both"/>
        <w:rPr>
          <w:rFonts w:ascii="Palatino Linotype" w:eastAsia="Palatino Linotype" w:hAnsi="Palatino Linotype" w:cs="Palatino Linotype"/>
        </w:rPr>
      </w:pPr>
    </w:p>
    <w:p w14:paraId="78A12EF3" w14:textId="77777777" w:rsidR="008D19BE" w:rsidRPr="00625564" w:rsidRDefault="008D19BE">
      <w:pPr>
        <w:spacing w:after="0" w:line="360" w:lineRule="auto"/>
        <w:ind w:right="49"/>
        <w:jc w:val="both"/>
        <w:rPr>
          <w:rFonts w:ascii="Palatino Linotype" w:eastAsia="Palatino Linotype" w:hAnsi="Palatino Linotype" w:cs="Palatino Linotype"/>
        </w:rPr>
      </w:pPr>
    </w:p>
    <w:p w14:paraId="5A930EB8" w14:textId="77777777" w:rsidR="008D19BE" w:rsidRPr="00625564" w:rsidRDefault="008D19BE">
      <w:pPr>
        <w:spacing w:after="0" w:line="360" w:lineRule="auto"/>
        <w:ind w:right="49"/>
        <w:jc w:val="both"/>
        <w:rPr>
          <w:rFonts w:ascii="Palatino Linotype" w:eastAsia="Palatino Linotype" w:hAnsi="Palatino Linotype" w:cs="Palatino Linotype"/>
        </w:rPr>
      </w:pPr>
    </w:p>
    <w:p w14:paraId="56A89F28" w14:textId="77777777" w:rsidR="008D19BE" w:rsidRPr="00625564" w:rsidRDefault="008D19BE">
      <w:pPr>
        <w:spacing w:after="0" w:line="360" w:lineRule="auto"/>
        <w:ind w:right="49"/>
        <w:jc w:val="both"/>
        <w:rPr>
          <w:rFonts w:ascii="Palatino Linotype" w:eastAsia="Palatino Linotype" w:hAnsi="Palatino Linotype" w:cs="Palatino Linotype"/>
        </w:rPr>
      </w:pPr>
    </w:p>
    <w:p w14:paraId="1DEE941B" w14:textId="77777777" w:rsidR="008D19BE" w:rsidRPr="00625564" w:rsidRDefault="008D19BE">
      <w:pPr>
        <w:spacing w:after="0" w:line="360" w:lineRule="auto"/>
        <w:ind w:right="49"/>
        <w:jc w:val="both"/>
        <w:rPr>
          <w:rFonts w:ascii="Palatino Linotype" w:eastAsia="Palatino Linotype" w:hAnsi="Palatino Linotype" w:cs="Palatino Linotype"/>
        </w:rPr>
      </w:pPr>
    </w:p>
    <w:p w14:paraId="64B489BA" w14:textId="77777777" w:rsidR="008D19BE" w:rsidRPr="00625564" w:rsidRDefault="008D19BE">
      <w:pPr>
        <w:spacing w:after="0" w:line="360" w:lineRule="auto"/>
        <w:ind w:right="49"/>
        <w:jc w:val="both"/>
        <w:rPr>
          <w:rFonts w:ascii="Palatino Linotype" w:eastAsia="Palatino Linotype" w:hAnsi="Palatino Linotype" w:cs="Palatino Linotype"/>
        </w:rPr>
      </w:pPr>
    </w:p>
    <w:p w14:paraId="7D148E11" w14:textId="77777777" w:rsidR="008D19BE" w:rsidRPr="00625564" w:rsidRDefault="008D19BE">
      <w:pPr>
        <w:spacing w:after="0" w:line="360" w:lineRule="auto"/>
        <w:ind w:right="49"/>
        <w:jc w:val="both"/>
        <w:rPr>
          <w:rFonts w:ascii="Palatino Linotype" w:eastAsia="Palatino Linotype" w:hAnsi="Palatino Linotype" w:cs="Palatino Linotype"/>
        </w:rPr>
      </w:pPr>
    </w:p>
    <w:p w14:paraId="189B18CA" w14:textId="77777777" w:rsidR="008D19BE" w:rsidRPr="00625564" w:rsidRDefault="008D19BE">
      <w:pPr>
        <w:spacing w:after="0" w:line="360" w:lineRule="auto"/>
        <w:ind w:right="49"/>
        <w:jc w:val="both"/>
        <w:rPr>
          <w:rFonts w:ascii="Palatino Linotype" w:eastAsia="Palatino Linotype" w:hAnsi="Palatino Linotype" w:cs="Palatino Linotype"/>
        </w:rPr>
      </w:pPr>
    </w:p>
    <w:sectPr w:rsidR="008D19BE" w:rsidRPr="00625564">
      <w:headerReference w:type="default" r:id="rId10"/>
      <w:footerReference w:type="default" r:id="rId11"/>
      <w:headerReference w:type="first" r:id="rId12"/>
      <w:footerReference w:type="first" r:id="rId13"/>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2FE9B" w14:textId="77777777" w:rsidR="005648C8" w:rsidRDefault="005648C8">
      <w:pPr>
        <w:spacing w:after="0" w:line="240" w:lineRule="auto"/>
      </w:pPr>
      <w:r>
        <w:separator/>
      </w:r>
    </w:p>
  </w:endnote>
  <w:endnote w:type="continuationSeparator" w:id="0">
    <w:p w14:paraId="6C8E1FF4" w14:textId="77777777" w:rsidR="005648C8" w:rsidRDefault="00564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AC91" w14:textId="77777777" w:rsidR="008D19BE" w:rsidRDefault="00D027A4">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5AE">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5A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0CE1F59E" w14:textId="77777777" w:rsidR="008D19BE" w:rsidRDefault="008D19B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310A" w14:textId="77777777" w:rsidR="008D19BE" w:rsidRDefault="00D027A4">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5A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5A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710228CB" w14:textId="77777777" w:rsidR="008D19BE" w:rsidRDefault="008D19B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6059E" w14:textId="77777777" w:rsidR="005648C8" w:rsidRDefault="005648C8">
      <w:pPr>
        <w:spacing w:after="0" w:line="240" w:lineRule="auto"/>
      </w:pPr>
      <w:r>
        <w:separator/>
      </w:r>
    </w:p>
  </w:footnote>
  <w:footnote w:type="continuationSeparator" w:id="0">
    <w:p w14:paraId="6E531EA5" w14:textId="77777777" w:rsidR="005648C8" w:rsidRDefault="005648C8">
      <w:pPr>
        <w:spacing w:after="0" w:line="240" w:lineRule="auto"/>
      </w:pPr>
      <w:r>
        <w:continuationSeparator/>
      </w:r>
    </w:p>
  </w:footnote>
  <w:footnote w:id="1">
    <w:p w14:paraId="4E218370" w14:textId="77777777" w:rsidR="008D19BE" w:rsidRDefault="00D027A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14:paraId="76BC2E95" w14:textId="77777777" w:rsidR="008D19BE" w:rsidRDefault="008D19BE">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p>
  </w:footnote>
  <w:footnote w:id="2">
    <w:p w14:paraId="2C541499" w14:textId="77777777" w:rsidR="008D19BE" w:rsidRDefault="00D027A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XXVI, Noviembre 2013, P. 1373, Registro digital 2004949.</w:t>
      </w:r>
    </w:p>
  </w:footnote>
  <w:footnote w:id="3">
    <w:p w14:paraId="30A6FED6" w14:textId="77777777" w:rsidR="008D19BE" w:rsidRDefault="00D027A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Tribunales Colegiados de Circuito, XXIX, Enero de 2009, P. 2470, Registro digital 168124.</w:t>
      </w:r>
    </w:p>
  </w:footnote>
  <w:footnote w:id="4">
    <w:p w14:paraId="118B15A3" w14:textId="77777777" w:rsidR="008D19BE" w:rsidRDefault="00D027A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Arial" w:eastAsia="Arial" w:hAnsi="Arial" w:cs="Arial"/>
          <w:color w:val="000000"/>
          <w:sz w:val="20"/>
          <w:szCs w:val="20"/>
        </w:rPr>
        <w:t xml:space="preserve"> </w:t>
      </w:r>
      <w:r>
        <w:rPr>
          <w:rFonts w:ascii="Palatino Linotype" w:eastAsia="Palatino Linotype" w:hAnsi="Palatino Linotype" w:cs="Palatino Linotype"/>
          <w:color w:val="000000"/>
          <w:sz w:val="16"/>
          <w:szCs w:val="16"/>
        </w:rPr>
        <w:t xml:space="preserve">Tesis [A.]: I.7o.A.16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7, Junio de 2014, Tomo II, P. 1725,  Registro digital 2004949.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9EC5" w14:textId="77777777" w:rsidR="008D19BE" w:rsidRDefault="00D027A4">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01421A33" wp14:editId="5FF3C4AE">
          <wp:simplePos x="0" y="0"/>
          <wp:positionH relativeFrom="column">
            <wp:posOffset>-717546</wp:posOffset>
          </wp:positionH>
          <wp:positionV relativeFrom="paragraph">
            <wp:posOffset>-250186</wp:posOffset>
          </wp:positionV>
          <wp:extent cx="7809876" cy="1016582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8D19BE" w14:paraId="78C60C69" w14:textId="77777777">
      <w:tc>
        <w:tcPr>
          <w:tcW w:w="2551" w:type="dxa"/>
          <w:vAlign w:val="center"/>
        </w:tcPr>
        <w:p w14:paraId="6F19A2B6"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5841FD5"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02624/INFOEM/IP/RR/2025</w:t>
          </w:r>
        </w:p>
      </w:tc>
    </w:tr>
    <w:tr w:rsidR="008D19BE" w14:paraId="07566FCB" w14:textId="77777777">
      <w:trPr>
        <w:trHeight w:val="217"/>
      </w:trPr>
      <w:tc>
        <w:tcPr>
          <w:tcW w:w="2551" w:type="dxa"/>
          <w:vAlign w:val="center"/>
        </w:tcPr>
        <w:p w14:paraId="60D716C6"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369182DF" w14:textId="77777777" w:rsidR="008D19BE" w:rsidRDefault="00D027A4">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D19BE" w14:paraId="3CBB0D1A" w14:textId="77777777">
      <w:tc>
        <w:tcPr>
          <w:tcW w:w="2551" w:type="dxa"/>
          <w:vAlign w:val="center"/>
        </w:tcPr>
        <w:p w14:paraId="1A0B7CDD"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5C1F404"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EF27B81" w14:textId="77777777" w:rsidR="008D19BE" w:rsidRDefault="008D19B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79C5" w14:textId="77777777" w:rsidR="008D19BE" w:rsidRDefault="00D027A4">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5CD4338" wp14:editId="4E9891E3">
          <wp:simplePos x="0" y="0"/>
          <wp:positionH relativeFrom="column">
            <wp:posOffset>-725801</wp:posOffset>
          </wp:positionH>
          <wp:positionV relativeFrom="paragraph">
            <wp:posOffset>-29837</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529" w:type="dxa"/>
      <w:tblInd w:w="3402" w:type="dxa"/>
      <w:tblLayout w:type="fixed"/>
      <w:tblLook w:val="0400" w:firstRow="0" w:lastRow="0" w:firstColumn="0" w:lastColumn="0" w:noHBand="0" w:noVBand="1"/>
    </w:tblPr>
    <w:tblGrid>
      <w:gridCol w:w="2552"/>
      <w:gridCol w:w="2977"/>
    </w:tblGrid>
    <w:tr w:rsidR="008D19BE" w14:paraId="05165BCD" w14:textId="77777777">
      <w:tc>
        <w:tcPr>
          <w:tcW w:w="2552" w:type="dxa"/>
          <w:vAlign w:val="center"/>
        </w:tcPr>
        <w:p w14:paraId="60463562"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2977" w:type="dxa"/>
          <w:vAlign w:val="center"/>
        </w:tcPr>
        <w:p w14:paraId="007AE100"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02624/INFOEM/IP/RR/2025</w:t>
          </w:r>
        </w:p>
      </w:tc>
    </w:tr>
    <w:tr w:rsidR="008D19BE" w14:paraId="577D5433" w14:textId="77777777">
      <w:tc>
        <w:tcPr>
          <w:tcW w:w="2552" w:type="dxa"/>
          <w:vAlign w:val="center"/>
        </w:tcPr>
        <w:p w14:paraId="45CC6DB0"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2977" w:type="dxa"/>
          <w:vAlign w:val="center"/>
        </w:tcPr>
        <w:p w14:paraId="4E98D056" w14:textId="77777777" w:rsidR="008D19BE" w:rsidRDefault="008D19B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8D19BE" w14:paraId="2D78E846" w14:textId="77777777">
      <w:trPr>
        <w:trHeight w:val="152"/>
      </w:trPr>
      <w:tc>
        <w:tcPr>
          <w:tcW w:w="2552" w:type="dxa"/>
          <w:vAlign w:val="center"/>
        </w:tcPr>
        <w:p w14:paraId="7E140403" w14:textId="77777777" w:rsidR="008D19BE" w:rsidRDefault="00D027A4">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2977" w:type="dxa"/>
        </w:tcPr>
        <w:p w14:paraId="60EADEF9" w14:textId="77777777" w:rsidR="008D19BE" w:rsidRDefault="00D027A4">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D19BE" w14:paraId="7A4CEDF7" w14:textId="77777777">
      <w:tc>
        <w:tcPr>
          <w:tcW w:w="2552" w:type="dxa"/>
          <w:vAlign w:val="center"/>
        </w:tcPr>
        <w:p w14:paraId="12739BE6"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2977" w:type="dxa"/>
          <w:vAlign w:val="center"/>
        </w:tcPr>
        <w:p w14:paraId="7830918E" w14:textId="77777777" w:rsidR="008D19BE" w:rsidRDefault="00D027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45226D2" w14:textId="77777777" w:rsidR="008D19BE" w:rsidRDefault="00D027A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37C1C"/>
    <w:multiLevelType w:val="multilevel"/>
    <w:tmpl w:val="060E982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751CC1"/>
    <w:multiLevelType w:val="multilevel"/>
    <w:tmpl w:val="8A14B4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9BE"/>
    <w:rsid w:val="005648C8"/>
    <w:rsid w:val="00625564"/>
    <w:rsid w:val="006D2FE5"/>
    <w:rsid w:val="008D19BE"/>
    <w:rsid w:val="009645AE"/>
    <w:rsid w:val="00D027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FBFE0"/>
  <w15:docId w15:val="{DE87FF56-0368-4058-9E45-426A56E4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5D09"/>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character" w:customStyle="1" w:styleId="Mencinsinresolver2">
    <w:name w:val="Mención sin resolver2"/>
    <w:basedOn w:val="Fuentedeprrafopredeter"/>
    <w:uiPriority w:val="99"/>
    <w:semiHidden/>
    <w:unhideWhenUsed/>
    <w:rsid w:val="003D0BAB"/>
    <w:rPr>
      <w:color w:val="605E5C"/>
      <w:shd w:val="clear" w:color="auto" w:fill="E1DFDD"/>
    </w:rPr>
  </w:style>
  <w:style w:type="character" w:styleId="Hipervnculovisitado">
    <w:name w:val="FollowedHyperlink"/>
    <w:basedOn w:val="Fuentedeprrafopredeter"/>
    <w:uiPriority w:val="99"/>
    <w:semiHidden/>
    <w:unhideWhenUsed/>
    <w:rsid w:val="00D8488F"/>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104B16"/>
    <w:pPr>
      <w:spacing w:after="0" w:line="240" w:lineRule="auto"/>
    </w:pPr>
    <w:rPr>
      <w:rFonts w:ascii="Arial" w:eastAsia="Times New Roman" w:hAnsi="Arial" w:cs="Arial"/>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104B16"/>
    <w:rPr>
      <w:rFonts w:ascii="Arial" w:eastAsia="Times New Roman" w:hAnsi="Arial" w:cs="Arial"/>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104B16"/>
    <w:rPr>
      <w:vertAlign w:val="superscript"/>
    </w:rPr>
  </w:style>
  <w:style w:type="paragraph" w:styleId="Listaconvietas3">
    <w:name w:val="List Bullet 3"/>
    <w:basedOn w:val="Normal"/>
    <w:uiPriority w:val="99"/>
    <w:unhideWhenUsed/>
    <w:rsid w:val="002B5912"/>
    <w:pPr>
      <w:numPr>
        <w:numId w:val="2"/>
      </w:numPr>
      <w:spacing w:after="0" w:line="240" w:lineRule="auto"/>
      <w:contextualSpacing/>
    </w:pPr>
    <w:rPr>
      <w:rFonts w:ascii="Times New Roman" w:eastAsia="Times New Roman" w:hAnsi="Times New Roman" w:cs="Times New Roman"/>
      <w:sz w:val="24"/>
      <w:szCs w:val="24"/>
    </w:rPr>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2.toluca.gob.mx/mejoregumu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uICaFtz0tUo+Mth0JBSC15DxDw==">CgMxLjAyCWguMzBqMHpsbDIJaC4yczhleW8xMghoLnR5amN3dDIJaC4zem55c2g3MgloLjJldDkycDAyDmgucHpkZnp1bXRpdHdxMghoLmdqZGd4czIOaC5vdDNxcTZ2eGEwOGYyDmguYmZuamxnazUwOGowOAByITFfRW83dWNBSFJzMjg0Rm1FSHZfcS1Rc05JaUJFM21vWg==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12977</Words>
  <Characters>71375</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2025-05-30T17:35:00Z</cp:lastPrinted>
  <dcterms:created xsi:type="dcterms:W3CDTF">2025-06-10T18:44:00Z</dcterms:created>
  <dcterms:modified xsi:type="dcterms:W3CDTF">2025-06-10T18:44:00Z</dcterms:modified>
</cp:coreProperties>
</file>