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8BA40" w14:textId="77777777" w:rsidR="009569D0" w:rsidRPr="00743E58" w:rsidRDefault="00B76053" w:rsidP="00743E58">
      <w:pPr>
        <w:keepNext/>
        <w:keepLines/>
        <w:pBdr>
          <w:top w:val="nil"/>
          <w:left w:val="nil"/>
          <w:bottom w:val="nil"/>
          <w:right w:val="nil"/>
          <w:between w:val="nil"/>
        </w:pBdr>
        <w:spacing w:before="240" w:line="259" w:lineRule="auto"/>
        <w:jc w:val="left"/>
        <w:rPr>
          <w:sz w:val="32"/>
          <w:szCs w:val="32"/>
        </w:rPr>
      </w:pPr>
      <w:r w:rsidRPr="00743E58">
        <w:rPr>
          <w:sz w:val="32"/>
          <w:szCs w:val="32"/>
        </w:rPr>
        <w:t>Contenido</w:t>
      </w:r>
    </w:p>
    <w:sdt>
      <w:sdtPr>
        <w:id w:val="895476025"/>
        <w:docPartObj>
          <w:docPartGallery w:val="Table of Contents"/>
          <w:docPartUnique/>
        </w:docPartObj>
      </w:sdtPr>
      <w:sdtEndPr/>
      <w:sdtContent>
        <w:p w14:paraId="184DE6EB" w14:textId="77777777" w:rsidR="009569D0" w:rsidRPr="00743E58" w:rsidRDefault="00B76053" w:rsidP="00743E58">
          <w:pPr>
            <w:pBdr>
              <w:top w:val="nil"/>
              <w:left w:val="nil"/>
              <w:bottom w:val="nil"/>
              <w:right w:val="nil"/>
              <w:between w:val="nil"/>
            </w:pBdr>
            <w:tabs>
              <w:tab w:val="right" w:pos="9034"/>
            </w:tabs>
            <w:spacing w:after="100"/>
            <w:rPr>
              <w:rFonts w:ascii="Cambria" w:eastAsia="Cambria" w:hAnsi="Cambria" w:cs="Cambria"/>
              <w:sz w:val="24"/>
              <w:szCs w:val="24"/>
            </w:rPr>
          </w:pPr>
          <w:r w:rsidRPr="00743E58">
            <w:fldChar w:fldCharType="begin"/>
          </w:r>
          <w:r w:rsidRPr="00743E58">
            <w:instrText xml:space="preserve"> TOC \h \u \z \t "Heading 1,1,Heading 2,2,Heading 3,3,"</w:instrText>
          </w:r>
          <w:r w:rsidRPr="00743E58">
            <w:fldChar w:fldCharType="separate"/>
          </w:r>
          <w:hyperlink w:anchor="_heading=h.n7dgyv1zlnn5">
            <w:r w:rsidRPr="00743E58">
              <w:t>ANTECEDENTES</w:t>
            </w:r>
            <w:r w:rsidRPr="00743E58">
              <w:tab/>
              <w:t>1</w:t>
            </w:r>
          </w:hyperlink>
        </w:p>
        <w:p w14:paraId="7FA08BA6" w14:textId="77777777" w:rsidR="009569D0" w:rsidRPr="00743E58" w:rsidRDefault="00E8703D" w:rsidP="00743E58">
          <w:pPr>
            <w:pBdr>
              <w:top w:val="nil"/>
              <w:left w:val="nil"/>
              <w:bottom w:val="nil"/>
              <w:right w:val="nil"/>
              <w:between w:val="nil"/>
            </w:pBdr>
            <w:tabs>
              <w:tab w:val="right" w:pos="9034"/>
            </w:tabs>
            <w:spacing w:after="100"/>
            <w:ind w:left="220"/>
            <w:rPr>
              <w:rFonts w:ascii="Cambria" w:eastAsia="Cambria" w:hAnsi="Cambria" w:cs="Cambria"/>
              <w:sz w:val="24"/>
              <w:szCs w:val="24"/>
            </w:rPr>
          </w:pPr>
          <w:hyperlink w:anchor="_heading=h.7f4plkp15h2r">
            <w:r w:rsidR="00B76053" w:rsidRPr="00743E58">
              <w:t>DE LA SOLICITUD DE INFORMACIÓN</w:t>
            </w:r>
            <w:r w:rsidR="00B76053" w:rsidRPr="00743E58">
              <w:tab/>
              <w:t>1</w:t>
            </w:r>
          </w:hyperlink>
        </w:p>
        <w:p w14:paraId="4D1A6E0B"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3lu9r23o0t1j">
            <w:r w:rsidR="00B76053" w:rsidRPr="00743E58">
              <w:t>a) Solicitud de información</w:t>
            </w:r>
            <w:r w:rsidR="00B76053" w:rsidRPr="00743E58">
              <w:tab/>
              <w:t>1</w:t>
            </w:r>
          </w:hyperlink>
        </w:p>
        <w:p w14:paraId="09FC76E3"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s75b376bcqzt">
            <w:r w:rsidR="00B76053" w:rsidRPr="00743E58">
              <w:t>b) Respuesta del Sujeto Obligado</w:t>
            </w:r>
            <w:r w:rsidR="00B76053" w:rsidRPr="00743E58">
              <w:tab/>
              <w:t>2</w:t>
            </w:r>
          </w:hyperlink>
        </w:p>
        <w:p w14:paraId="3569A29B" w14:textId="77777777" w:rsidR="009569D0" w:rsidRPr="00743E58" w:rsidRDefault="00E8703D" w:rsidP="00743E58">
          <w:pPr>
            <w:pBdr>
              <w:top w:val="nil"/>
              <w:left w:val="nil"/>
              <w:bottom w:val="nil"/>
              <w:right w:val="nil"/>
              <w:between w:val="nil"/>
            </w:pBdr>
            <w:tabs>
              <w:tab w:val="right" w:pos="9034"/>
            </w:tabs>
            <w:spacing w:after="100"/>
            <w:ind w:left="220"/>
            <w:rPr>
              <w:rFonts w:ascii="Cambria" w:eastAsia="Cambria" w:hAnsi="Cambria" w:cs="Cambria"/>
              <w:sz w:val="24"/>
              <w:szCs w:val="24"/>
            </w:rPr>
          </w:pPr>
          <w:hyperlink w:anchor="_heading=h.ylu8h1w3ccbc">
            <w:r w:rsidR="00B76053" w:rsidRPr="00743E58">
              <w:t>DEL RECURSO DE REVISIÓN</w:t>
            </w:r>
            <w:r w:rsidR="00B76053" w:rsidRPr="00743E58">
              <w:tab/>
              <w:t>4</w:t>
            </w:r>
          </w:hyperlink>
        </w:p>
        <w:p w14:paraId="308FDA5E"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vr0d7dxmxzej">
            <w:r w:rsidR="00B76053" w:rsidRPr="00743E58">
              <w:t>a) Interposición del Recurso de Revisión</w:t>
            </w:r>
            <w:r w:rsidR="00B76053" w:rsidRPr="00743E58">
              <w:tab/>
              <w:t>4</w:t>
            </w:r>
          </w:hyperlink>
        </w:p>
        <w:p w14:paraId="19B91B9F"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otvruhffyxe">
            <w:r w:rsidR="00B76053" w:rsidRPr="00743E58">
              <w:t>b) Turno del Recurso de Revisión</w:t>
            </w:r>
            <w:r w:rsidR="00B76053" w:rsidRPr="00743E58">
              <w:tab/>
              <w:t>4</w:t>
            </w:r>
          </w:hyperlink>
        </w:p>
        <w:p w14:paraId="6D656392"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7f5t14216zo5">
            <w:r w:rsidR="00B76053" w:rsidRPr="00743E58">
              <w:t>c) Admisión del Recurso de Revisión</w:t>
            </w:r>
            <w:r w:rsidR="00B76053" w:rsidRPr="00743E58">
              <w:tab/>
              <w:t>5</w:t>
            </w:r>
          </w:hyperlink>
        </w:p>
        <w:p w14:paraId="65A9DCCF"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j0u1216jqubj">
            <w:r w:rsidR="00B76053" w:rsidRPr="00743E58">
              <w:t>d) Informe Justificado del Sujeto Obligado</w:t>
            </w:r>
            <w:r w:rsidR="00B76053" w:rsidRPr="00743E58">
              <w:tab/>
              <w:t>5</w:t>
            </w:r>
          </w:hyperlink>
        </w:p>
        <w:p w14:paraId="4088EC4F"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iyn9p2olkcfs">
            <w:r w:rsidR="00B76053" w:rsidRPr="00743E58">
              <w:t>e) Manifestaciones de la Parte Recurrente</w:t>
            </w:r>
            <w:r w:rsidR="00B76053" w:rsidRPr="00743E58">
              <w:tab/>
              <w:t>6</w:t>
            </w:r>
          </w:hyperlink>
        </w:p>
        <w:p w14:paraId="5FDE56E2"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qs9synvynmlu">
            <w:r w:rsidR="00B76053" w:rsidRPr="00743E58">
              <w:t>f) Cierre de instrucción</w:t>
            </w:r>
            <w:r w:rsidR="00B76053" w:rsidRPr="00743E58">
              <w:tab/>
              <w:t>6</w:t>
            </w:r>
          </w:hyperlink>
        </w:p>
        <w:p w14:paraId="6FB8012D" w14:textId="77777777" w:rsidR="009569D0" w:rsidRPr="00743E58" w:rsidRDefault="00E8703D" w:rsidP="00743E58">
          <w:pPr>
            <w:pBdr>
              <w:top w:val="nil"/>
              <w:left w:val="nil"/>
              <w:bottom w:val="nil"/>
              <w:right w:val="nil"/>
              <w:between w:val="nil"/>
            </w:pBdr>
            <w:tabs>
              <w:tab w:val="right" w:pos="9034"/>
            </w:tabs>
            <w:spacing w:after="100"/>
            <w:rPr>
              <w:rFonts w:ascii="Cambria" w:eastAsia="Cambria" w:hAnsi="Cambria" w:cs="Cambria"/>
              <w:sz w:val="24"/>
              <w:szCs w:val="24"/>
            </w:rPr>
          </w:pPr>
          <w:hyperlink w:anchor="_heading=h.ayy4s3p88dxr">
            <w:r w:rsidR="00B76053" w:rsidRPr="00743E58">
              <w:t>CONSIDERANDOS</w:t>
            </w:r>
            <w:r w:rsidR="00B76053" w:rsidRPr="00743E58">
              <w:tab/>
              <w:t>6</w:t>
            </w:r>
          </w:hyperlink>
        </w:p>
        <w:p w14:paraId="01121CD4" w14:textId="77777777" w:rsidR="009569D0" w:rsidRPr="00743E58" w:rsidRDefault="00E8703D" w:rsidP="00743E58">
          <w:pPr>
            <w:pBdr>
              <w:top w:val="nil"/>
              <w:left w:val="nil"/>
              <w:bottom w:val="nil"/>
              <w:right w:val="nil"/>
              <w:between w:val="nil"/>
            </w:pBdr>
            <w:tabs>
              <w:tab w:val="right" w:pos="9034"/>
            </w:tabs>
            <w:spacing w:after="100"/>
            <w:ind w:left="220"/>
            <w:rPr>
              <w:rFonts w:ascii="Cambria" w:eastAsia="Cambria" w:hAnsi="Cambria" w:cs="Cambria"/>
              <w:sz w:val="24"/>
              <w:szCs w:val="24"/>
            </w:rPr>
          </w:pPr>
          <w:hyperlink w:anchor="_heading=h.qn52d3knchb8">
            <w:r w:rsidR="00B76053" w:rsidRPr="00743E58">
              <w:t>PRIMERO. Procedibilidad</w:t>
            </w:r>
            <w:r w:rsidR="00B76053" w:rsidRPr="00743E58">
              <w:tab/>
              <w:t>6</w:t>
            </w:r>
          </w:hyperlink>
        </w:p>
        <w:p w14:paraId="2EE89FB3"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4ir9raq4oc74">
            <w:r w:rsidR="00B76053" w:rsidRPr="00743E58">
              <w:t>a) Competencia del Instituto</w:t>
            </w:r>
            <w:r w:rsidR="00B76053" w:rsidRPr="00743E58">
              <w:tab/>
              <w:t>6</w:t>
            </w:r>
          </w:hyperlink>
        </w:p>
        <w:p w14:paraId="2D434FBA"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4t4fy6642lh5">
            <w:r w:rsidR="00B76053" w:rsidRPr="00743E58">
              <w:t>b) Legitimidad de la parte recurrente</w:t>
            </w:r>
            <w:r w:rsidR="00B76053" w:rsidRPr="00743E58">
              <w:tab/>
              <w:t>7</w:t>
            </w:r>
          </w:hyperlink>
        </w:p>
        <w:p w14:paraId="0A564C4E"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j14q8og1c2u0">
            <w:r w:rsidR="00B76053" w:rsidRPr="00743E58">
              <w:t>c) Plazo para interponer el recurso</w:t>
            </w:r>
            <w:r w:rsidR="00B76053" w:rsidRPr="00743E58">
              <w:tab/>
              <w:t>7</w:t>
            </w:r>
          </w:hyperlink>
        </w:p>
        <w:p w14:paraId="2BBA113C"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cudffxfz8oho">
            <w:r w:rsidR="00B76053" w:rsidRPr="00743E58">
              <w:t>d) Causal de Procedencia</w:t>
            </w:r>
            <w:r w:rsidR="00B76053" w:rsidRPr="00743E58">
              <w:tab/>
              <w:t>7</w:t>
            </w:r>
          </w:hyperlink>
        </w:p>
        <w:p w14:paraId="1C33F22B"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4hojz81cenlt">
            <w:r w:rsidR="00B76053" w:rsidRPr="00743E58">
              <w:t>e) Requisitos formales para la interposición del recurso</w:t>
            </w:r>
            <w:r w:rsidR="00B76053" w:rsidRPr="00743E58">
              <w:tab/>
              <w:t>7</w:t>
            </w:r>
          </w:hyperlink>
        </w:p>
        <w:p w14:paraId="0FDE22C5" w14:textId="77777777" w:rsidR="009569D0" w:rsidRPr="00743E58" w:rsidRDefault="00E8703D" w:rsidP="00743E58">
          <w:pPr>
            <w:pBdr>
              <w:top w:val="nil"/>
              <w:left w:val="nil"/>
              <w:bottom w:val="nil"/>
              <w:right w:val="nil"/>
              <w:between w:val="nil"/>
            </w:pBdr>
            <w:tabs>
              <w:tab w:val="right" w:pos="9034"/>
            </w:tabs>
            <w:spacing w:after="100"/>
            <w:ind w:left="220"/>
            <w:rPr>
              <w:rFonts w:ascii="Cambria" w:eastAsia="Cambria" w:hAnsi="Cambria" w:cs="Cambria"/>
              <w:sz w:val="24"/>
              <w:szCs w:val="24"/>
            </w:rPr>
          </w:pPr>
          <w:hyperlink w:anchor="_heading=h.ccko6ml25pp">
            <w:r w:rsidR="00B76053" w:rsidRPr="00743E58">
              <w:t>SEGUNDO. Estudio de Fondo</w:t>
            </w:r>
            <w:r w:rsidR="00B76053" w:rsidRPr="00743E58">
              <w:tab/>
              <w:t>8</w:t>
            </w:r>
          </w:hyperlink>
        </w:p>
        <w:p w14:paraId="57E891CE"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4t9rkiccqy2d">
            <w:r w:rsidR="00B76053" w:rsidRPr="00743E58">
              <w:t>a) Mandato de transparencia y responsabilidad del Sujeto Obligado</w:t>
            </w:r>
            <w:r w:rsidR="00B76053" w:rsidRPr="00743E58">
              <w:tab/>
              <w:t>8</w:t>
            </w:r>
          </w:hyperlink>
        </w:p>
        <w:p w14:paraId="102E70CE"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k00htdmtrj5k">
            <w:r w:rsidR="00B76053" w:rsidRPr="00743E58">
              <w:t>b) Controversia a resolver</w:t>
            </w:r>
            <w:r w:rsidR="00B76053" w:rsidRPr="00743E58">
              <w:tab/>
              <w:t>10</w:t>
            </w:r>
          </w:hyperlink>
        </w:p>
        <w:p w14:paraId="60AA4C47"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mpfh3atxga74">
            <w:r w:rsidR="00B76053" w:rsidRPr="00743E58">
              <w:t>c) Estudio de la controversia</w:t>
            </w:r>
            <w:r w:rsidR="00B76053" w:rsidRPr="00743E58">
              <w:tab/>
              <w:t>12</w:t>
            </w:r>
          </w:hyperlink>
        </w:p>
        <w:p w14:paraId="003D178A"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y58j4bo4ff3">
            <w:r w:rsidR="00B76053" w:rsidRPr="00743E58">
              <w:t>d) Versión pública</w:t>
            </w:r>
            <w:r w:rsidR="00B76053" w:rsidRPr="00743E58">
              <w:tab/>
              <w:t>24</w:t>
            </w:r>
          </w:hyperlink>
        </w:p>
        <w:p w14:paraId="42BCB125" w14:textId="77777777" w:rsidR="009569D0" w:rsidRPr="00743E58" w:rsidRDefault="00E8703D" w:rsidP="00743E58">
          <w:pPr>
            <w:pBdr>
              <w:top w:val="nil"/>
              <w:left w:val="nil"/>
              <w:bottom w:val="nil"/>
              <w:right w:val="nil"/>
              <w:between w:val="nil"/>
            </w:pBdr>
            <w:tabs>
              <w:tab w:val="right" w:pos="9034"/>
            </w:tabs>
            <w:spacing w:after="100"/>
            <w:ind w:left="440"/>
            <w:rPr>
              <w:rFonts w:ascii="Cambria" w:eastAsia="Cambria" w:hAnsi="Cambria" w:cs="Cambria"/>
              <w:sz w:val="24"/>
              <w:szCs w:val="24"/>
            </w:rPr>
          </w:pPr>
          <w:hyperlink w:anchor="_heading=h.eammi8hg1b3y">
            <w:r w:rsidR="00B76053" w:rsidRPr="00743E58">
              <w:t>e) Conclusión</w:t>
            </w:r>
            <w:r w:rsidR="00B76053" w:rsidRPr="00743E58">
              <w:tab/>
              <w:t>40</w:t>
            </w:r>
          </w:hyperlink>
        </w:p>
        <w:p w14:paraId="5BE4B221" w14:textId="77777777" w:rsidR="009569D0" w:rsidRPr="00743E58" w:rsidRDefault="00E8703D" w:rsidP="00743E58">
          <w:pPr>
            <w:pBdr>
              <w:top w:val="nil"/>
              <w:left w:val="nil"/>
              <w:bottom w:val="nil"/>
              <w:right w:val="nil"/>
              <w:between w:val="nil"/>
            </w:pBdr>
            <w:tabs>
              <w:tab w:val="right" w:pos="9034"/>
            </w:tabs>
            <w:spacing w:after="100"/>
            <w:rPr>
              <w:rFonts w:ascii="Cambria" w:eastAsia="Cambria" w:hAnsi="Cambria" w:cs="Cambria"/>
              <w:sz w:val="24"/>
              <w:szCs w:val="24"/>
            </w:rPr>
          </w:pPr>
          <w:hyperlink w:anchor="_heading=h.3awx1bzc544i">
            <w:r w:rsidR="00B76053" w:rsidRPr="00743E58">
              <w:t>RESUELVE</w:t>
            </w:r>
            <w:r w:rsidR="00B76053" w:rsidRPr="00743E58">
              <w:tab/>
              <w:t>41</w:t>
            </w:r>
          </w:hyperlink>
        </w:p>
        <w:p w14:paraId="6F929478" w14:textId="77777777" w:rsidR="009569D0" w:rsidRPr="00743E58" w:rsidRDefault="00B76053" w:rsidP="00743E58">
          <w:r w:rsidRPr="00743E58">
            <w:fldChar w:fldCharType="end"/>
          </w:r>
        </w:p>
      </w:sdtContent>
    </w:sdt>
    <w:p w14:paraId="6556C2CB" w14:textId="77777777" w:rsidR="009569D0" w:rsidRPr="00743E58" w:rsidRDefault="009569D0" w:rsidP="00743E58">
      <w:pPr>
        <w:pBdr>
          <w:top w:val="nil"/>
          <w:left w:val="nil"/>
          <w:bottom w:val="nil"/>
          <w:right w:val="nil"/>
          <w:between w:val="nil"/>
        </w:pBdr>
        <w:tabs>
          <w:tab w:val="right" w:pos="9034"/>
        </w:tabs>
        <w:spacing w:after="100"/>
        <w:rPr>
          <w:b/>
        </w:rPr>
        <w:sectPr w:rsidR="009569D0" w:rsidRPr="00743E58">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4C7BC1AF" w14:textId="77777777" w:rsidR="009569D0" w:rsidRPr="00743E58" w:rsidRDefault="00B76053" w:rsidP="00743E58">
      <w:pPr>
        <w:rPr>
          <w:b/>
        </w:rPr>
      </w:pPr>
      <w:r w:rsidRPr="00743E58">
        <w:lastRenderedPageBreak/>
        <w:t xml:space="preserve">Resolución del Pleno del Instituto de Transparencia, Acceso a la Información Pública y Protección de Datos Personales del Estado de México y Municipios, con domicilio en Metepec, Estado de México, </w:t>
      </w:r>
      <w:r w:rsidR="007029FC" w:rsidRPr="00743E58">
        <w:t>del</w:t>
      </w:r>
      <w:r w:rsidRPr="00743E58">
        <w:t xml:space="preserve"> </w:t>
      </w:r>
      <w:r w:rsidR="00D478EE" w:rsidRPr="00743E58">
        <w:rPr>
          <w:b/>
        </w:rPr>
        <w:t>dos</w:t>
      </w:r>
      <w:r w:rsidRPr="00743E58">
        <w:rPr>
          <w:b/>
        </w:rPr>
        <w:t xml:space="preserve"> de abril de dos mil veinticinco.</w:t>
      </w:r>
    </w:p>
    <w:p w14:paraId="42C22B8B" w14:textId="77777777" w:rsidR="009569D0" w:rsidRPr="00743E58" w:rsidRDefault="009569D0" w:rsidP="00743E58"/>
    <w:p w14:paraId="2E0D4C96" w14:textId="18AB7C75" w:rsidR="009569D0" w:rsidRPr="00743E58" w:rsidRDefault="00B76053" w:rsidP="00743E58">
      <w:r w:rsidRPr="00743E58">
        <w:rPr>
          <w:b/>
        </w:rPr>
        <w:t xml:space="preserve">VISTO </w:t>
      </w:r>
      <w:r w:rsidRPr="00743E58">
        <w:t xml:space="preserve">el expediente formado con motivo del Recurso de Revisión </w:t>
      </w:r>
      <w:r w:rsidRPr="00743E58">
        <w:rPr>
          <w:b/>
        </w:rPr>
        <w:t xml:space="preserve">02077/INFOEM/IP/RR/2025 </w:t>
      </w:r>
      <w:r w:rsidRPr="00743E58">
        <w:t xml:space="preserve">interpuesto por </w:t>
      </w:r>
      <w:r w:rsidR="003C09C2">
        <w:rPr>
          <w:b/>
        </w:rPr>
        <w:t>XXXX XXXXX XXXX</w:t>
      </w:r>
      <w:r w:rsidRPr="00743E58">
        <w:t xml:space="preserve">, a quien en lo subsecuente se le denominará </w:t>
      </w:r>
      <w:r w:rsidRPr="00743E58">
        <w:rPr>
          <w:b/>
        </w:rPr>
        <w:t>LA PARTE RECURRENTE</w:t>
      </w:r>
      <w:r w:rsidRPr="00743E58">
        <w:t xml:space="preserve">, en contra de la respuesta emitida por el </w:t>
      </w:r>
      <w:r w:rsidRPr="00743E58">
        <w:rPr>
          <w:b/>
        </w:rPr>
        <w:t>Ayuntamiento de Tenancingo</w:t>
      </w:r>
      <w:r w:rsidRPr="00743E58">
        <w:t xml:space="preserve">, en adelante </w:t>
      </w:r>
      <w:r w:rsidRPr="00743E58">
        <w:rPr>
          <w:b/>
        </w:rPr>
        <w:t>EL SUJETO OBLIGADO</w:t>
      </w:r>
      <w:r w:rsidRPr="00743E58">
        <w:t>, se emite la presente Resolución con base en los Antecedentes y Considerandos que se exponen a continuación:</w:t>
      </w:r>
    </w:p>
    <w:p w14:paraId="4F3FEF35" w14:textId="77777777" w:rsidR="009569D0" w:rsidRPr="00743E58" w:rsidRDefault="009569D0" w:rsidP="00743E58"/>
    <w:p w14:paraId="62C8A07D" w14:textId="77777777" w:rsidR="009569D0" w:rsidRPr="00743E58" w:rsidRDefault="00B76053" w:rsidP="00743E58">
      <w:pPr>
        <w:pStyle w:val="Ttulo1"/>
      </w:pPr>
      <w:bookmarkStart w:id="2" w:name="_heading=h.n7dgyv1zlnn5" w:colFirst="0" w:colLast="0"/>
      <w:bookmarkEnd w:id="2"/>
      <w:r w:rsidRPr="00743E58">
        <w:t>ANTECEDENTES</w:t>
      </w:r>
    </w:p>
    <w:p w14:paraId="45C1CC41" w14:textId="77777777" w:rsidR="009569D0" w:rsidRPr="00743E58" w:rsidRDefault="009569D0" w:rsidP="00743E58"/>
    <w:p w14:paraId="36C5A238" w14:textId="77777777" w:rsidR="009569D0" w:rsidRPr="00743E58" w:rsidRDefault="00B76053" w:rsidP="00743E58">
      <w:pPr>
        <w:pStyle w:val="Ttulo2"/>
      </w:pPr>
      <w:bookmarkStart w:id="3" w:name="_heading=h.7f4plkp15h2r" w:colFirst="0" w:colLast="0"/>
      <w:bookmarkEnd w:id="3"/>
      <w:r w:rsidRPr="00743E58">
        <w:t>DE LA SOLICITUD DE INFORMACIÓN</w:t>
      </w:r>
    </w:p>
    <w:p w14:paraId="56ED188E" w14:textId="77777777" w:rsidR="009569D0" w:rsidRPr="00743E58" w:rsidRDefault="00B76053" w:rsidP="00743E58">
      <w:pPr>
        <w:pStyle w:val="Ttulo3"/>
      </w:pPr>
      <w:bookmarkStart w:id="4" w:name="_heading=h.3lu9r23o0t1j" w:colFirst="0" w:colLast="0"/>
      <w:bookmarkEnd w:id="4"/>
      <w:r w:rsidRPr="00743E58">
        <w:t>a) Solicitud de información</w:t>
      </w:r>
    </w:p>
    <w:p w14:paraId="60D3F419" w14:textId="77777777" w:rsidR="009569D0" w:rsidRPr="00743E58" w:rsidRDefault="00B76053" w:rsidP="00743E58">
      <w:pPr>
        <w:pBdr>
          <w:top w:val="nil"/>
          <w:left w:val="nil"/>
          <w:bottom w:val="nil"/>
          <w:right w:val="nil"/>
          <w:between w:val="nil"/>
        </w:pBdr>
        <w:tabs>
          <w:tab w:val="left" w:pos="0"/>
        </w:tabs>
      </w:pPr>
      <w:bookmarkStart w:id="5" w:name="_heading=h.h1x9osvp1dlv" w:colFirst="0" w:colLast="0"/>
      <w:bookmarkEnd w:id="5"/>
      <w:r w:rsidRPr="00743E58">
        <w:t xml:space="preserve">El </w:t>
      </w:r>
      <w:r w:rsidRPr="00743E58">
        <w:rPr>
          <w:b/>
        </w:rPr>
        <w:t>veintinueve de enero de dos mil veinticinco,</w:t>
      </w:r>
      <w:r w:rsidRPr="00743E58">
        <w:t xml:space="preserve"> </w:t>
      </w:r>
      <w:r w:rsidRPr="00743E58">
        <w:rPr>
          <w:b/>
        </w:rPr>
        <w:t>LA PARTE RECURRENTE</w:t>
      </w:r>
      <w:r w:rsidRPr="00743E58">
        <w:t xml:space="preserve"> presentó una solicitud de acceso a la información pública ante el </w:t>
      </w:r>
      <w:r w:rsidRPr="00743E58">
        <w:rPr>
          <w:b/>
        </w:rPr>
        <w:t>SUJETO OBLIGADO</w:t>
      </w:r>
      <w:r w:rsidRPr="00743E58">
        <w:t>, a través del Sistema de Acceso a la Información Mexiquense (SAIMEX). Dicha solicitud quedó registrada con el número de folio</w:t>
      </w:r>
      <w:r w:rsidRPr="00743E58">
        <w:rPr>
          <w:b/>
        </w:rPr>
        <w:t xml:space="preserve"> 00179/TENANCIN/IP/2025 </w:t>
      </w:r>
      <w:r w:rsidRPr="00743E58">
        <w:t>y en ella se requirió la siguiente información:</w:t>
      </w:r>
    </w:p>
    <w:p w14:paraId="3E484E3B" w14:textId="77777777" w:rsidR="009569D0" w:rsidRPr="00743E58" w:rsidRDefault="009569D0" w:rsidP="00743E58">
      <w:pPr>
        <w:tabs>
          <w:tab w:val="left" w:pos="4667"/>
        </w:tabs>
        <w:ind w:right="567"/>
        <w:rPr>
          <w:i/>
        </w:rPr>
      </w:pPr>
    </w:p>
    <w:p w14:paraId="76EDFD87" w14:textId="77777777" w:rsidR="009569D0" w:rsidRPr="00743E58" w:rsidRDefault="00B76053" w:rsidP="00743E58">
      <w:pPr>
        <w:pStyle w:val="Puesto"/>
        <w:ind w:firstLine="0"/>
        <w:rPr>
          <w:color w:val="auto"/>
        </w:rPr>
      </w:pPr>
      <w:bookmarkStart w:id="6" w:name="_heading=h.3znysh7" w:colFirst="0" w:colLast="0"/>
      <w:bookmarkEnd w:id="6"/>
      <w:r w:rsidRPr="00743E58">
        <w:rPr>
          <w:color w:val="auto"/>
        </w:rPr>
        <w:t>“1.- ¿fecha de ingreso de la C. María Guadalupe Bernal Vásquez y que cargo tiene? 2.- ¿es parte de la nomina del personal sindicalizado la C. María Guadalupe Bernal Vásquez? 3.- ¿si es afirmativo con cuántos año de servicio se sindicalizado a la C. María Guadalupe Bernal Vásquez? 4.- ¿se solicita recibo de nómina de la primera quincena de enero del año 2024, recibo de nómina de la segunda quincena de diciembre del año 2024 y primera quincena del mes de enero del año 2025? 5.- se solicita saber todo el personal adscrito a la tesorería municipal a partir del 1 de enero del año 2025.” Sic</w:t>
      </w:r>
    </w:p>
    <w:p w14:paraId="23242AEA" w14:textId="77777777" w:rsidR="009569D0" w:rsidRPr="00743E58" w:rsidRDefault="009569D0" w:rsidP="00743E58"/>
    <w:p w14:paraId="3D8F2B0D" w14:textId="77777777" w:rsidR="009569D0" w:rsidRPr="00743E58" w:rsidRDefault="00B76053" w:rsidP="00743E58">
      <w:pPr>
        <w:tabs>
          <w:tab w:val="left" w:pos="4667"/>
        </w:tabs>
        <w:ind w:right="567"/>
        <w:rPr>
          <w:i/>
        </w:rPr>
      </w:pPr>
      <w:r w:rsidRPr="00743E58">
        <w:rPr>
          <w:b/>
        </w:rPr>
        <w:t>Modalidad de entrega</w:t>
      </w:r>
      <w:r w:rsidRPr="00743E58">
        <w:t>: a través del</w:t>
      </w:r>
      <w:r w:rsidRPr="00743E58">
        <w:rPr>
          <w:i/>
        </w:rPr>
        <w:t xml:space="preserve"> </w:t>
      </w:r>
      <w:r w:rsidRPr="00743E58">
        <w:rPr>
          <w:b/>
          <w:i/>
        </w:rPr>
        <w:t>SAIMEX</w:t>
      </w:r>
      <w:r w:rsidRPr="00743E58">
        <w:rPr>
          <w:i/>
        </w:rPr>
        <w:t>.</w:t>
      </w:r>
    </w:p>
    <w:p w14:paraId="3873559C" w14:textId="77777777" w:rsidR="009569D0" w:rsidRPr="00743E58" w:rsidRDefault="00B76053" w:rsidP="00743E58">
      <w:pPr>
        <w:pStyle w:val="Ttulo3"/>
      </w:pPr>
      <w:bookmarkStart w:id="7" w:name="_heading=h.s75b376bcqzt" w:colFirst="0" w:colLast="0"/>
      <w:bookmarkEnd w:id="7"/>
      <w:r w:rsidRPr="00743E58">
        <w:lastRenderedPageBreak/>
        <w:t>b) Respuesta del Sujeto Obligado</w:t>
      </w:r>
    </w:p>
    <w:p w14:paraId="3BA80AE1" w14:textId="77777777" w:rsidR="009569D0" w:rsidRPr="00743E58" w:rsidRDefault="00B76053" w:rsidP="00743E58">
      <w:pPr>
        <w:pBdr>
          <w:top w:val="nil"/>
          <w:left w:val="nil"/>
          <w:bottom w:val="nil"/>
          <w:right w:val="nil"/>
          <w:between w:val="nil"/>
        </w:pBdr>
      </w:pPr>
      <w:r w:rsidRPr="00743E58">
        <w:t xml:space="preserve">El </w:t>
      </w:r>
      <w:r w:rsidRPr="00743E58">
        <w:rPr>
          <w:b/>
        </w:rPr>
        <w:t xml:space="preserve">veinte de febrero de dos mil veinticinco, </w:t>
      </w:r>
      <w:r w:rsidRPr="00743E58">
        <w:t xml:space="preserve">el Titular de la Unidad de Transparencia del </w:t>
      </w:r>
      <w:r w:rsidRPr="00743E58">
        <w:rPr>
          <w:b/>
        </w:rPr>
        <w:t>SUJETO OBLIGADO</w:t>
      </w:r>
      <w:r w:rsidRPr="00743E58">
        <w:t xml:space="preserve"> notificó a través del </w:t>
      </w:r>
      <w:r w:rsidRPr="00743E58">
        <w:rPr>
          <w:b/>
        </w:rPr>
        <w:t>SAIMEX</w:t>
      </w:r>
      <w:r w:rsidRPr="00743E58">
        <w:t xml:space="preserve"> la siguiente respuesta:</w:t>
      </w:r>
    </w:p>
    <w:p w14:paraId="38B61EF9" w14:textId="77777777" w:rsidR="009569D0" w:rsidRPr="00743E58" w:rsidRDefault="009569D0" w:rsidP="00743E58">
      <w:pPr>
        <w:pStyle w:val="Puesto"/>
        <w:ind w:left="0" w:firstLine="0"/>
        <w:rPr>
          <w:color w:val="auto"/>
        </w:rPr>
      </w:pPr>
    </w:p>
    <w:p w14:paraId="3DCF0A01" w14:textId="77777777" w:rsidR="009569D0" w:rsidRPr="00743E58" w:rsidRDefault="00B76053" w:rsidP="00743E58">
      <w:pPr>
        <w:pStyle w:val="Puesto"/>
        <w:ind w:firstLine="0"/>
        <w:jc w:val="right"/>
        <w:rPr>
          <w:color w:val="auto"/>
        </w:rPr>
      </w:pPr>
      <w:r w:rsidRPr="00743E58">
        <w:rPr>
          <w:color w:val="auto"/>
        </w:rPr>
        <w:t>“Folio de la solicitud: 00179/TENANCIN/IP/2025</w:t>
      </w:r>
    </w:p>
    <w:p w14:paraId="4ABF9025" w14:textId="77777777" w:rsidR="009569D0" w:rsidRPr="00743E58" w:rsidRDefault="009569D0" w:rsidP="00743E58"/>
    <w:p w14:paraId="3209B5BB" w14:textId="77777777" w:rsidR="009569D0" w:rsidRPr="00743E58" w:rsidRDefault="00B76053" w:rsidP="00743E58">
      <w:pPr>
        <w:pStyle w:val="Puesto"/>
        <w:ind w:firstLine="0"/>
        <w:rPr>
          <w:color w:val="auto"/>
        </w:rPr>
      </w:pPr>
      <w:r w:rsidRPr="00743E58">
        <w:rPr>
          <w:color w:val="auto"/>
        </w:rPr>
        <w:t>C. SOLICITANTE DE INFORMACIÓN. PRESENTE. En atención a su solicitud de información recibida a través del Sistema de Acceso a la Información Mexiquense (SAIMEX), identificada con el número 00179/TENANCIN/IP/2025;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w:t>
      </w:r>
      <w:r w:rsidRPr="00743E58">
        <w:rPr>
          <w:b/>
          <w:color w:val="auto"/>
          <w:u w:val="single"/>
        </w:rPr>
        <w:t>, adjunto al presente se servirá encontrar el oficio de respuesta que emite la Directora de Administración y Recursos Humanos del Ayuntamiento de Tenancingo, Estado de México.</w:t>
      </w:r>
      <w:r w:rsidRPr="00743E58">
        <w:rPr>
          <w:color w:val="auto"/>
        </w:rPr>
        <w:t xml:space="preserve"> Sin otro particular, reciba un cordial saludo.</w:t>
      </w:r>
    </w:p>
    <w:p w14:paraId="398D9C0E" w14:textId="77777777" w:rsidR="009569D0" w:rsidRPr="00743E58" w:rsidRDefault="009569D0" w:rsidP="00743E58"/>
    <w:p w14:paraId="08A885C1" w14:textId="77777777" w:rsidR="009569D0" w:rsidRPr="00743E58" w:rsidRDefault="00B76053" w:rsidP="00743E58">
      <w:pPr>
        <w:pStyle w:val="Puesto"/>
        <w:ind w:firstLine="0"/>
        <w:rPr>
          <w:color w:val="auto"/>
        </w:rPr>
      </w:pPr>
      <w:r w:rsidRPr="00743E58">
        <w:rPr>
          <w:color w:val="auto"/>
        </w:rPr>
        <w:lastRenderedPageBreak/>
        <w:t>ATENTAMENTE</w:t>
      </w:r>
    </w:p>
    <w:p w14:paraId="441FE739" w14:textId="77777777" w:rsidR="009569D0" w:rsidRPr="00743E58" w:rsidRDefault="00B76053" w:rsidP="00743E58">
      <w:pPr>
        <w:pStyle w:val="Puesto"/>
        <w:ind w:firstLine="0"/>
        <w:rPr>
          <w:color w:val="auto"/>
        </w:rPr>
      </w:pPr>
      <w:r w:rsidRPr="00743E58">
        <w:rPr>
          <w:color w:val="auto"/>
        </w:rPr>
        <w:t>LIC. KAREN ALONDRA MEJÍA GUARDIAN” (sic)</w:t>
      </w:r>
    </w:p>
    <w:p w14:paraId="16F652B2" w14:textId="77777777" w:rsidR="009569D0" w:rsidRPr="00743E58" w:rsidRDefault="009569D0" w:rsidP="00743E58">
      <w:pPr>
        <w:ind w:right="-28"/>
      </w:pPr>
    </w:p>
    <w:p w14:paraId="02CF3A1B" w14:textId="77777777" w:rsidR="009569D0" w:rsidRPr="00743E58" w:rsidRDefault="00B76053" w:rsidP="00743E58">
      <w:pPr>
        <w:ind w:right="-28"/>
      </w:pPr>
      <w:r w:rsidRPr="00743E58">
        <w:t xml:space="preserve">Asimismo, </w:t>
      </w:r>
      <w:r w:rsidRPr="00743E58">
        <w:rPr>
          <w:b/>
        </w:rPr>
        <w:t xml:space="preserve">EL SUJETO OBLIGADO </w:t>
      </w:r>
      <w:r w:rsidRPr="00743E58">
        <w:t>adjuntó a su respuesta los archivos electrónicos que se describen:</w:t>
      </w:r>
    </w:p>
    <w:p w14:paraId="62F4BD34" w14:textId="77777777" w:rsidR="009569D0" w:rsidRPr="00743E58" w:rsidRDefault="009569D0" w:rsidP="00743E58">
      <w:pPr>
        <w:ind w:right="-28"/>
      </w:pPr>
    </w:p>
    <w:p w14:paraId="620B51DA" w14:textId="77777777" w:rsidR="009569D0" w:rsidRPr="00743E58" w:rsidRDefault="00B76053" w:rsidP="00743E58">
      <w:pPr>
        <w:numPr>
          <w:ilvl w:val="0"/>
          <w:numId w:val="2"/>
        </w:numPr>
        <w:tabs>
          <w:tab w:val="left" w:pos="5550"/>
        </w:tabs>
        <w:ind w:right="-28"/>
        <w:rPr>
          <w:b/>
          <w:i/>
        </w:rPr>
      </w:pPr>
      <w:r w:rsidRPr="00743E58">
        <w:rPr>
          <w:b/>
          <w:i/>
        </w:rPr>
        <w:t>20250220180301357.pdf</w:t>
      </w:r>
    </w:p>
    <w:p w14:paraId="6750007E" w14:textId="77777777" w:rsidR="009569D0" w:rsidRPr="00743E58" w:rsidRDefault="00B76053" w:rsidP="00743E58">
      <w:pPr>
        <w:ind w:left="360"/>
      </w:pPr>
      <w:r w:rsidRPr="00743E58">
        <w:t>Se advierte el número de Oficio MTM058/DAERHOO/00300//2025 de fecha 13 de febrero de 2025, dirigido a la Coordinadora de Transparencia y Acceso a la Información, suscrito por el Coordinador de Recursos Humanos, en el que le informó de manera medular lo siguiente:</w:t>
      </w:r>
    </w:p>
    <w:p w14:paraId="032FDBFC" w14:textId="77777777" w:rsidR="009569D0" w:rsidRPr="00743E58" w:rsidRDefault="009569D0" w:rsidP="00743E58">
      <w:pPr>
        <w:ind w:left="360"/>
      </w:pPr>
    </w:p>
    <w:p w14:paraId="5E170FD6" w14:textId="77777777" w:rsidR="009569D0" w:rsidRPr="00743E58" w:rsidRDefault="00B76053" w:rsidP="00743E58">
      <w:pPr>
        <w:ind w:left="360"/>
        <w:rPr>
          <w:b/>
        </w:rPr>
      </w:pPr>
      <w:r w:rsidRPr="00743E58">
        <w:t>INCISO I) no se encontró información sobre la ”</w:t>
      </w:r>
      <w:r w:rsidRPr="00743E58">
        <w:rPr>
          <w:b/>
        </w:rPr>
        <w:t>C. . María Guadalupe Bernal Vásquez” (Sic).</w:t>
      </w:r>
    </w:p>
    <w:p w14:paraId="35C774EA" w14:textId="77777777" w:rsidR="009569D0" w:rsidRPr="00743E58" w:rsidRDefault="009569D0" w:rsidP="00743E58">
      <w:pPr>
        <w:ind w:left="360"/>
      </w:pPr>
    </w:p>
    <w:p w14:paraId="3FDCFC44" w14:textId="77777777" w:rsidR="009569D0" w:rsidRPr="00743E58" w:rsidRDefault="00B76053" w:rsidP="00743E58">
      <w:pPr>
        <w:ind w:left="360"/>
      </w:pPr>
      <w:r w:rsidRPr="00743E58">
        <w:t>INCISO II) se encuentran 37 personas adscritas a la Tesorería Municipal.</w:t>
      </w:r>
    </w:p>
    <w:p w14:paraId="1BC68C94" w14:textId="77777777" w:rsidR="009569D0" w:rsidRPr="00743E58" w:rsidRDefault="009569D0" w:rsidP="00743E58">
      <w:pPr>
        <w:ind w:left="360"/>
      </w:pPr>
    </w:p>
    <w:p w14:paraId="2B0BD55F" w14:textId="77777777" w:rsidR="009569D0" w:rsidRPr="00743E58" w:rsidRDefault="00B76053" w:rsidP="00743E58">
      <w:pPr>
        <w:numPr>
          <w:ilvl w:val="0"/>
          <w:numId w:val="1"/>
        </w:numPr>
        <w:tabs>
          <w:tab w:val="left" w:pos="5550"/>
        </w:tabs>
        <w:ind w:right="-28"/>
        <w:rPr>
          <w:b/>
          <w:i/>
        </w:rPr>
      </w:pPr>
      <w:r w:rsidRPr="00743E58">
        <w:rPr>
          <w:b/>
          <w:i/>
        </w:rPr>
        <w:t>20250220175128662.pdf</w:t>
      </w:r>
    </w:p>
    <w:p w14:paraId="00055B8E" w14:textId="77777777" w:rsidR="009569D0" w:rsidRPr="00743E58" w:rsidRDefault="00B76053" w:rsidP="00743E58">
      <w:pPr>
        <w:ind w:left="360"/>
        <w:rPr>
          <w:i/>
        </w:rPr>
      </w:pPr>
      <w:r w:rsidRPr="00743E58">
        <w:t>Se advierte el número de Oficio MTM058/DA/000160/2025 de fecha 20 de febrero de 2025, dirigido a la Coordinadora de Transparencia y Acceso a la Información, suscrito por la Directora de Administración en el que le pronunció respecto de requerimientos de información, señalando de manera general que no se localizó información de la persona referida en la solicitud, y que se encuentran 37 personas adscritas a la Tesorería Municipal.</w:t>
      </w:r>
    </w:p>
    <w:p w14:paraId="68961958" w14:textId="77777777" w:rsidR="009569D0" w:rsidRPr="00743E58" w:rsidRDefault="00B76053" w:rsidP="00743E58">
      <w:pPr>
        <w:pStyle w:val="Ttulo2"/>
        <w:jc w:val="left"/>
      </w:pPr>
      <w:bookmarkStart w:id="8" w:name="_heading=h.ylu8h1w3ccbc" w:colFirst="0" w:colLast="0"/>
      <w:bookmarkEnd w:id="8"/>
      <w:r w:rsidRPr="00743E58">
        <w:lastRenderedPageBreak/>
        <w:t>DEL RECURSO DE REVISIÓN</w:t>
      </w:r>
    </w:p>
    <w:p w14:paraId="61573F1A" w14:textId="77777777" w:rsidR="009569D0" w:rsidRPr="00743E58" w:rsidRDefault="00B76053" w:rsidP="00743E58">
      <w:pPr>
        <w:pStyle w:val="Ttulo3"/>
      </w:pPr>
      <w:bookmarkStart w:id="9" w:name="_heading=h.vr0d7dxmxzej" w:colFirst="0" w:colLast="0"/>
      <w:bookmarkEnd w:id="9"/>
      <w:r w:rsidRPr="00743E58">
        <w:t>a) Interposición del Recurso de Revisión</w:t>
      </w:r>
    </w:p>
    <w:p w14:paraId="6B1CB2FE" w14:textId="77777777" w:rsidR="009569D0" w:rsidRPr="00743E58" w:rsidRDefault="00B76053" w:rsidP="00743E58">
      <w:pPr>
        <w:ind w:right="-28"/>
      </w:pPr>
      <w:r w:rsidRPr="00743E58">
        <w:t xml:space="preserve">El </w:t>
      </w:r>
      <w:r w:rsidRPr="00743E58">
        <w:rPr>
          <w:b/>
        </w:rPr>
        <w:t>veintiséis de febrero de dos mil veinticinco,</w:t>
      </w:r>
      <w:r w:rsidRPr="00743E58">
        <w:t xml:space="preserve"> </w:t>
      </w:r>
      <w:r w:rsidRPr="00743E58">
        <w:rPr>
          <w:b/>
        </w:rPr>
        <w:t>LA PARTE RECURRENTE</w:t>
      </w:r>
      <w:r w:rsidRPr="00743E58">
        <w:t xml:space="preserve"> interpuso el recurso de revisión en contra de la respuesta emitida por el </w:t>
      </w:r>
      <w:r w:rsidRPr="00743E58">
        <w:rPr>
          <w:b/>
        </w:rPr>
        <w:t>SUJETO OBLIGADO</w:t>
      </w:r>
      <w:r w:rsidRPr="00743E58">
        <w:t xml:space="preserve">, mismo que fue registrado en el </w:t>
      </w:r>
      <w:r w:rsidRPr="00743E58">
        <w:rPr>
          <w:b/>
        </w:rPr>
        <w:t>SAIMEX</w:t>
      </w:r>
      <w:r w:rsidRPr="00743E58">
        <w:t xml:space="preserve"> con el número de expediente </w:t>
      </w:r>
      <w:r w:rsidRPr="00743E58">
        <w:rPr>
          <w:b/>
        </w:rPr>
        <w:t>02077/INFOEM/IP/RR/2025</w:t>
      </w:r>
      <w:r w:rsidRPr="00743E58">
        <w:t>, y en el cual manifestó lo siguiente:</w:t>
      </w:r>
    </w:p>
    <w:p w14:paraId="470B9F5A" w14:textId="77777777" w:rsidR="009569D0" w:rsidRPr="00743E58" w:rsidRDefault="009569D0" w:rsidP="00743E58">
      <w:pPr>
        <w:tabs>
          <w:tab w:val="left" w:pos="4667"/>
        </w:tabs>
        <w:ind w:right="539"/>
      </w:pPr>
    </w:p>
    <w:p w14:paraId="23ED1AE3" w14:textId="77777777" w:rsidR="009569D0" w:rsidRPr="00743E58" w:rsidRDefault="00B76053" w:rsidP="00743E58">
      <w:pPr>
        <w:tabs>
          <w:tab w:val="left" w:pos="4667"/>
        </w:tabs>
        <w:ind w:left="567" w:right="539"/>
        <w:rPr>
          <w:b/>
        </w:rPr>
      </w:pPr>
      <w:r w:rsidRPr="00743E58">
        <w:rPr>
          <w:b/>
        </w:rPr>
        <w:t>ACTO IMPUGNADO</w:t>
      </w:r>
    </w:p>
    <w:p w14:paraId="5A2D2C1D" w14:textId="77777777" w:rsidR="009569D0" w:rsidRPr="00743E58" w:rsidRDefault="00B76053" w:rsidP="00743E58">
      <w:pPr>
        <w:pStyle w:val="Puesto"/>
        <w:ind w:firstLine="0"/>
        <w:rPr>
          <w:color w:val="auto"/>
        </w:rPr>
      </w:pPr>
      <w:r w:rsidRPr="00743E58">
        <w:rPr>
          <w:color w:val="auto"/>
        </w:rPr>
        <w:t>“no dan respuesta a lo solicitado que esta de manera especifica 1.- ¿fecha de ingreso de la C. María Guadalupe Bernal Vásquez y que cargo tiene? 2.- ¿es parte de la nomina del personal sindicalizado la C. María Guadalupe Bernal Vásquez? 3.- ¿si es afirmativo con cuántos año de servicio se sindicalizado a la C. María Guadalupe Bernal Vásquez? 4.- ¿se solicita recibo de nómina de la primera quincena de enero del año 2024, recibo de nómina de la segunda quincena de diciembre del año 2024 y primera quincena del mes de enero del año 2025? 5.- se solicita saber todo el personal adscrito a la tesorería municipal a partir del 1 de enero del año 2025. por lo que se pide realicen la entrega de informacion solicitada” Sic</w:t>
      </w:r>
    </w:p>
    <w:p w14:paraId="1202307A" w14:textId="77777777" w:rsidR="009569D0" w:rsidRPr="00743E58" w:rsidRDefault="009569D0" w:rsidP="00743E58">
      <w:pPr>
        <w:tabs>
          <w:tab w:val="left" w:pos="4667"/>
        </w:tabs>
        <w:ind w:left="567" w:right="539"/>
        <w:rPr>
          <w:b/>
        </w:rPr>
      </w:pPr>
    </w:p>
    <w:p w14:paraId="790A66EC" w14:textId="77777777" w:rsidR="009569D0" w:rsidRPr="00743E58" w:rsidRDefault="00B76053" w:rsidP="00743E58">
      <w:pPr>
        <w:tabs>
          <w:tab w:val="left" w:pos="4667"/>
        </w:tabs>
        <w:ind w:left="567" w:right="539"/>
        <w:rPr>
          <w:b/>
        </w:rPr>
      </w:pPr>
      <w:r w:rsidRPr="00743E58">
        <w:rPr>
          <w:b/>
        </w:rPr>
        <w:t>RAZONES O MOTIVOS DE LA INCONFORMIDAD</w:t>
      </w:r>
      <w:r w:rsidRPr="00743E58">
        <w:rPr>
          <w:b/>
        </w:rPr>
        <w:tab/>
      </w:r>
    </w:p>
    <w:p w14:paraId="1F1B6B31" w14:textId="77777777" w:rsidR="009569D0" w:rsidRPr="00743E58" w:rsidRDefault="00B76053" w:rsidP="00743E58">
      <w:pPr>
        <w:pStyle w:val="Puesto"/>
        <w:ind w:firstLine="0"/>
        <w:rPr>
          <w:color w:val="auto"/>
        </w:rPr>
      </w:pPr>
      <w:r w:rsidRPr="00743E58">
        <w:rPr>
          <w:color w:val="auto"/>
        </w:rPr>
        <w:t>“existe la negativa de la informacion” Sic</w:t>
      </w:r>
    </w:p>
    <w:p w14:paraId="79EBE939" w14:textId="77777777" w:rsidR="009569D0" w:rsidRPr="00743E58" w:rsidRDefault="009569D0" w:rsidP="00743E58"/>
    <w:p w14:paraId="6A5F3946" w14:textId="77777777" w:rsidR="009569D0" w:rsidRPr="00743E58" w:rsidRDefault="00B76053" w:rsidP="00743E58">
      <w:pPr>
        <w:pStyle w:val="Ttulo3"/>
      </w:pPr>
      <w:bookmarkStart w:id="10" w:name="_heading=h.otvruhffyxe" w:colFirst="0" w:colLast="0"/>
      <w:bookmarkEnd w:id="10"/>
      <w:r w:rsidRPr="00743E58">
        <w:t>b) Turno del Recurso de Revisión</w:t>
      </w:r>
    </w:p>
    <w:p w14:paraId="62251F26" w14:textId="77777777" w:rsidR="009569D0" w:rsidRPr="00743E58" w:rsidRDefault="00B76053" w:rsidP="00743E58">
      <w:r w:rsidRPr="00743E58">
        <w:t>Con fundamento en el artículo 185, fracción I de la Ley de Transparencia y Acceso a la Información Pública del Estado de México y Municipios, el</w:t>
      </w:r>
      <w:r w:rsidRPr="00743E58">
        <w:rPr>
          <w:b/>
        </w:rPr>
        <w:t xml:space="preserve"> veintiséis de febrero de dos mil veinticinco,</w:t>
      </w:r>
      <w:r w:rsidRPr="00743E58">
        <w:t xml:space="preserve"> se turnó el recurso de revisión a través del </w:t>
      </w:r>
      <w:r w:rsidRPr="00743E58">
        <w:rPr>
          <w:b/>
        </w:rPr>
        <w:t>SAIMEX</w:t>
      </w:r>
      <w:r w:rsidRPr="00743E58">
        <w:t xml:space="preserve"> a la </w:t>
      </w:r>
      <w:r w:rsidRPr="00743E58">
        <w:rPr>
          <w:b/>
        </w:rPr>
        <w:t>Comisionada Sharon Cristina Morales Martínez</w:t>
      </w:r>
      <w:r w:rsidRPr="00743E58">
        <w:t xml:space="preserve">, a efecto de decretar su admisión o desechamiento. </w:t>
      </w:r>
    </w:p>
    <w:p w14:paraId="4528E426" w14:textId="77777777" w:rsidR="009569D0" w:rsidRPr="00743E58" w:rsidRDefault="009569D0" w:rsidP="00743E58"/>
    <w:p w14:paraId="4CC55C7F" w14:textId="77777777" w:rsidR="009569D0" w:rsidRPr="00743E58" w:rsidRDefault="00B76053" w:rsidP="00743E58">
      <w:pPr>
        <w:pStyle w:val="Ttulo3"/>
      </w:pPr>
      <w:bookmarkStart w:id="11" w:name="_heading=h.7f5t14216zo5" w:colFirst="0" w:colLast="0"/>
      <w:bookmarkEnd w:id="11"/>
      <w:r w:rsidRPr="00743E58">
        <w:lastRenderedPageBreak/>
        <w:t>c) Admisión del Recurso de Revisión</w:t>
      </w:r>
    </w:p>
    <w:p w14:paraId="4A7A540B" w14:textId="77777777" w:rsidR="009569D0" w:rsidRPr="00743E58" w:rsidRDefault="00B76053" w:rsidP="00743E58">
      <w:r w:rsidRPr="00743E58">
        <w:t xml:space="preserve">El </w:t>
      </w:r>
      <w:r w:rsidRPr="00743E58">
        <w:rPr>
          <w:b/>
        </w:rPr>
        <w:t>cuatro de marzo de dos mil veinticinco,</w:t>
      </w:r>
      <w:r w:rsidRPr="00743E58">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1F71704" w14:textId="77777777" w:rsidR="009569D0" w:rsidRPr="00743E58" w:rsidRDefault="009569D0" w:rsidP="00743E58"/>
    <w:p w14:paraId="0F3AD94F" w14:textId="77777777" w:rsidR="009569D0" w:rsidRPr="00743E58" w:rsidRDefault="00B76053" w:rsidP="00743E58">
      <w:pPr>
        <w:pStyle w:val="Ttulo3"/>
      </w:pPr>
      <w:bookmarkStart w:id="12" w:name="_heading=h.j0u1216jqubj" w:colFirst="0" w:colLast="0"/>
      <w:bookmarkEnd w:id="12"/>
      <w:r w:rsidRPr="00743E58">
        <w:t>d) Informe Justificado del Sujeto Obligado</w:t>
      </w:r>
    </w:p>
    <w:p w14:paraId="5FAF71E8" w14:textId="77777777" w:rsidR="009569D0" w:rsidRPr="00743E58" w:rsidRDefault="00B76053" w:rsidP="00743E58">
      <w:r w:rsidRPr="00743E58">
        <w:t xml:space="preserve">El </w:t>
      </w:r>
      <w:r w:rsidRPr="00743E58">
        <w:rPr>
          <w:b/>
        </w:rPr>
        <w:t>trece de marzo de dos mil veinticinco EL SUJETO OBLIGADO</w:t>
      </w:r>
      <w:r w:rsidRPr="00743E58">
        <w:t xml:space="preserve"> rindió su informe justificado a través del </w:t>
      </w:r>
      <w:r w:rsidRPr="00743E58">
        <w:rPr>
          <w:b/>
        </w:rPr>
        <w:t>SAIMEX</w:t>
      </w:r>
      <w:r w:rsidRPr="00743E58">
        <w:t>, que contienen lo siguiente:</w:t>
      </w:r>
    </w:p>
    <w:p w14:paraId="68B1B2B0" w14:textId="77777777" w:rsidR="009569D0" w:rsidRPr="00743E58" w:rsidRDefault="009569D0" w:rsidP="00743E58"/>
    <w:p w14:paraId="0420E8E0" w14:textId="77777777" w:rsidR="009569D0" w:rsidRPr="00743E58" w:rsidRDefault="00B76053" w:rsidP="00743E58">
      <w:pPr>
        <w:numPr>
          <w:ilvl w:val="0"/>
          <w:numId w:val="1"/>
        </w:numPr>
        <w:rPr>
          <w:b/>
        </w:rPr>
      </w:pPr>
      <w:r w:rsidRPr="00743E58">
        <w:rPr>
          <w:b/>
        </w:rPr>
        <w:t xml:space="preserve">Contestación RR 2077 INFOEM 2025 Administración.pdf </w:t>
      </w:r>
    </w:p>
    <w:p w14:paraId="7D92922B" w14:textId="77777777" w:rsidR="009569D0" w:rsidRPr="00743E58" w:rsidRDefault="00B76053" w:rsidP="00743E58">
      <w:r w:rsidRPr="00743E58">
        <w:t>Archivo constante de cuatro páginas, en las que se contiene:</w:t>
      </w:r>
    </w:p>
    <w:p w14:paraId="7AFE6FAF" w14:textId="77777777" w:rsidR="009569D0" w:rsidRPr="00743E58" w:rsidRDefault="00B76053" w:rsidP="00743E58">
      <w:pPr>
        <w:rPr>
          <w:i/>
        </w:rPr>
      </w:pPr>
      <w:r w:rsidRPr="00743E58">
        <w:t xml:space="preserve">El número de Oficio MTM058/DA/264/2025 de fecha 12 de marzo de 2025, dirigido a la Coordinadora de Transparencia, suscrito por la Directora de Administración en el que le pronunció respecto de los motivos de inconformidad del ahora </w:t>
      </w:r>
      <w:r w:rsidRPr="00743E58">
        <w:rPr>
          <w:b/>
        </w:rPr>
        <w:t xml:space="preserve">RECURRENTE </w:t>
      </w:r>
      <w:r w:rsidRPr="00743E58">
        <w:t>así como ratificó en términos generales la respuesta primigenia.</w:t>
      </w:r>
    </w:p>
    <w:p w14:paraId="0E0F745A" w14:textId="77777777" w:rsidR="009569D0" w:rsidRPr="00743E58" w:rsidRDefault="009569D0" w:rsidP="00743E58">
      <w:pPr>
        <w:ind w:left="567"/>
        <w:rPr>
          <w:b/>
        </w:rPr>
      </w:pPr>
    </w:p>
    <w:p w14:paraId="01EF6A34" w14:textId="77777777" w:rsidR="009569D0" w:rsidRPr="00743E58" w:rsidRDefault="00B76053" w:rsidP="00743E58">
      <w:r w:rsidRPr="00743E58">
        <w:t xml:space="preserve">Esta información fue puesta a la vista de </w:t>
      </w:r>
      <w:r w:rsidRPr="00743E58">
        <w:rPr>
          <w:b/>
        </w:rPr>
        <w:t xml:space="preserve">LA PARTE RECURRENTE </w:t>
      </w:r>
      <w:r w:rsidRPr="00743E58">
        <w:t xml:space="preserve">el </w:t>
      </w:r>
      <w:r w:rsidRPr="00743E58">
        <w:rPr>
          <w:b/>
        </w:rPr>
        <w:t>veinticuatro de marzo de dos mil veinticinco,</w:t>
      </w:r>
      <w:r w:rsidRPr="00743E58">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58CA07A2" w14:textId="77777777" w:rsidR="009569D0" w:rsidRPr="00743E58" w:rsidRDefault="009569D0" w:rsidP="00743E58"/>
    <w:p w14:paraId="5993BB47" w14:textId="77777777" w:rsidR="009569D0" w:rsidRPr="00743E58" w:rsidRDefault="00B76053" w:rsidP="00743E58">
      <w:pPr>
        <w:pStyle w:val="Ttulo3"/>
      </w:pPr>
      <w:bookmarkStart w:id="13" w:name="_heading=h.iyn9p2olkcfs" w:colFirst="0" w:colLast="0"/>
      <w:bookmarkEnd w:id="13"/>
      <w:r w:rsidRPr="00743E58">
        <w:lastRenderedPageBreak/>
        <w:t>e) Manifestaciones de la Parte Recurrente</w:t>
      </w:r>
    </w:p>
    <w:p w14:paraId="13847314" w14:textId="77777777" w:rsidR="009569D0" w:rsidRPr="00743E58" w:rsidRDefault="00B76053" w:rsidP="00743E58">
      <w:r w:rsidRPr="00743E58">
        <w:rPr>
          <w:b/>
        </w:rPr>
        <w:t xml:space="preserve">LA PARTE RECURRENTE </w:t>
      </w:r>
      <w:r w:rsidRPr="00743E58">
        <w:t>no realizó manifestación alguna dentro del término legalmente concedido para tal efecto, ni presentó pruebas o alegatos.</w:t>
      </w:r>
    </w:p>
    <w:p w14:paraId="5B3F8966" w14:textId="77777777" w:rsidR="009569D0" w:rsidRPr="00743E58" w:rsidRDefault="009569D0" w:rsidP="00743E58">
      <w:pPr>
        <w:pStyle w:val="Puesto"/>
        <w:ind w:firstLine="567"/>
        <w:jc w:val="right"/>
        <w:rPr>
          <w:color w:val="auto"/>
        </w:rPr>
      </w:pPr>
    </w:p>
    <w:p w14:paraId="2F8704AB" w14:textId="77777777" w:rsidR="009569D0" w:rsidRPr="00743E58" w:rsidRDefault="00B76053" w:rsidP="00743E58">
      <w:pPr>
        <w:pStyle w:val="Ttulo3"/>
      </w:pPr>
      <w:bookmarkStart w:id="14" w:name="_heading=h.qs9synvynmlu" w:colFirst="0" w:colLast="0"/>
      <w:bookmarkEnd w:id="14"/>
      <w:r w:rsidRPr="00743E58">
        <w:t>f) Cierre de instrucción</w:t>
      </w:r>
    </w:p>
    <w:p w14:paraId="69CADC33" w14:textId="77777777" w:rsidR="009569D0" w:rsidRPr="00743E58" w:rsidRDefault="00B76053" w:rsidP="00743E58">
      <w:r w:rsidRPr="00743E58">
        <w:t xml:space="preserve">Al no existir diligencias pendientes por desahogar, el </w:t>
      </w:r>
      <w:r w:rsidRPr="00743E58">
        <w:rPr>
          <w:b/>
        </w:rPr>
        <w:t>primero de abril de dos mil veinticinco,</w:t>
      </w:r>
      <w:r w:rsidRPr="00743E58">
        <w:t xml:space="preserve"> la </w:t>
      </w:r>
      <w:r w:rsidRPr="00743E58">
        <w:rPr>
          <w:b/>
        </w:rPr>
        <w:t xml:space="preserve">Comisionada Sharon Cristina Morales Martínez </w:t>
      </w:r>
      <w:r w:rsidRPr="00743E58">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66E86B1" w14:textId="77777777" w:rsidR="009569D0" w:rsidRPr="00743E58" w:rsidRDefault="009569D0" w:rsidP="00743E58"/>
    <w:p w14:paraId="7931F8EF" w14:textId="77777777" w:rsidR="009569D0" w:rsidRPr="00743E58" w:rsidRDefault="00B76053" w:rsidP="00743E58">
      <w:pPr>
        <w:pStyle w:val="Ttulo1"/>
      </w:pPr>
      <w:bookmarkStart w:id="15" w:name="_heading=h.ayy4s3p88dxr" w:colFirst="0" w:colLast="0"/>
      <w:bookmarkEnd w:id="15"/>
      <w:r w:rsidRPr="00743E58">
        <w:t>CONSIDERANDOS</w:t>
      </w:r>
    </w:p>
    <w:p w14:paraId="0D27D15A" w14:textId="77777777" w:rsidR="009569D0" w:rsidRPr="00743E58" w:rsidRDefault="009569D0" w:rsidP="00743E58"/>
    <w:p w14:paraId="4B972C28" w14:textId="77777777" w:rsidR="009569D0" w:rsidRPr="00743E58" w:rsidRDefault="00B76053" w:rsidP="00743E58">
      <w:pPr>
        <w:pStyle w:val="Ttulo2"/>
      </w:pPr>
      <w:bookmarkStart w:id="16" w:name="_heading=h.qn52d3knchb8" w:colFirst="0" w:colLast="0"/>
      <w:bookmarkEnd w:id="16"/>
      <w:r w:rsidRPr="00743E58">
        <w:t>PRIMERO. Procedibilidad</w:t>
      </w:r>
    </w:p>
    <w:p w14:paraId="0185D8CC" w14:textId="77777777" w:rsidR="009569D0" w:rsidRPr="00743E58" w:rsidRDefault="00B76053" w:rsidP="00743E58">
      <w:pPr>
        <w:pStyle w:val="Ttulo3"/>
      </w:pPr>
      <w:bookmarkStart w:id="17" w:name="_heading=h.4ir9raq4oc74" w:colFirst="0" w:colLast="0"/>
      <w:bookmarkEnd w:id="17"/>
      <w:r w:rsidRPr="00743E58">
        <w:t>a) Competencia del Instituto</w:t>
      </w:r>
    </w:p>
    <w:p w14:paraId="06DAAA8F" w14:textId="77777777" w:rsidR="009569D0" w:rsidRPr="00743E58" w:rsidRDefault="00B76053" w:rsidP="00743E58">
      <w:r w:rsidRPr="00743E58">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743E58">
        <w:lastRenderedPageBreak/>
        <w:t>Transparencia, Acceso a la Información Pública y Protección de Datos Personales del Estado de México y Municipios.</w:t>
      </w:r>
    </w:p>
    <w:p w14:paraId="0DCDD604" w14:textId="77777777" w:rsidR="009569D0" w:rsidRPr="00743E58" w:rsidRDefault="009569D0" w:rsidP="00743E58"/>
    <w:p w14:paraId="2C9820EC" w14:textId="77777777" w:rsidR="009569D0" w:rsidRPr="00743E58" w:rsidRDefault="00B76053" w:rsidP="00743E58">
      <w:pPr>
        <w:pStyle w:val="Ttulo3"/>
      </w:pPr>
      <w:bookmarkStart w:id="18" w:name="_heading=h.4t4fy6642lh5" w:colFirst="0" w:colLast="0"/>
      <w:bookmarkEnd w:id="18"/>
      <w:r w:rsidRPr="00743E58">
        <w:t>b) Legitimidad de la parte recurrente</w:t>
      </w:r>
    </w:p>
    <w:p w14:paraId="6333C82C" w14:textId="77777777" w:rsidR="009569D0" w:rsidRPr="00743E58" w:rsidRDefault="00B76053" w:rsidP="00743E58">
      <w:r w:rsidRPr="00743E58">
        <w:t>El recurso de revisión fue interpuesto por parte legítima, ya que se presentó por la misma persona que formuló la solicitud de acceso a la Información Pública,</w:t>
      </w:r>
      <w:r w:rsidRPr="00743E58">
        <w:rPr>
          <w:b/>
        </w:rPr>
        <w:t xml:space="preserve"> </w:t>
      </w:r>
      <w:r w:rsidRPr="00743E58">
        <w:t>debido a que los datos de acceso</w:t>
      </w:r>
      <w:r w:rsidRPr="00743E58">
        <w:rPr>
          <w:b/>
        </w:rPr>
        <w:t xml:space="preserve"> SAIMEX</w:t>
      </w:r>
      <w:r w:rsidRPr="00743E58">
        <w:t xml:space="preserve"> son personales e irrepetibles.</w:t>
      </w:r>
    </w:p>
    <w:p w14:paraId="54933EA6" w14:textId="77777777" w:rsidR="009569D0" w:rsidRPr="00743E58" w:rsidRDefault="009569D0" w:rsidP="00743E58"/>
    <w:p w14:paraId="2FD755CD" w14:textId="77777777" w:rsidR="009569D0" w:rsidRPr="00743E58" w:rsidRDefault="00B76053" w:rsidP="00743E58">
      <w:pPr>
        <w:pStyle w:val="Ttulo3"/>
      </w:pPr>
      <w:bookmarkStart w:id="19" w:name="_heading=h.j14q8og1c2u0" w:colFirst="0" w:colLast="0"/>
      <w:bookmarkEnd w:id="19"/>
      <w:r w:rsidRPr="00743E58">
        <w:t>c) Plazo para interponer el recurso</w:t>
      </w:r>
    </w:p>
    <w:p w14:paraId="730357BC" w14:textId="77777777" w:rsidR="009569D0" w:rsidRPr="00743E58" w:rsidRDefault="00B76053" w:rsidP="00743E58">
      <w:r w:rsidRPr="00743E58">
        <w:rPr>
          <w:b/>
        </w:rPr>
        <w:t>EL SUJETO OBLIGADO</w:t>
      </w:r>
      <w:r w:rsidRPr="00743E58">
        <w:t xml:space="preserve"> notificó la respuesta a la solicitud de acceso a la Información Pública el </w:t>
      </w:r>
      <w:r w:rsidRPr="00743E58">
        <w:rPr>
          <w:b/>
        </w:rPr>
        <w:t>veinte de febrero de dos mil veinticinco,</w:t>
      </w:r>
      <w:r w:rsidRPr="00743E58">
        <w:t xml:space="preserve"> y el recurso que nos ocupa se tuvo por presentado el </w:t>
      </w:r>
      <w:r w:rsidRPr="00743E58">
        <w:rPr>
          <w:b/>
        </w:rPr>
        <w:t>veintiséis de febrero de dos mil veinticinco</w:t>
      </w:r>
      <w:r w:rsidRPr="00743E58">
        <w:t>; por lo tanto, éste se encuentra dentro del margen temporal previsto en el artículo 178 de la Ley de Transparencia y Acceso a la Información Pública del Estado de México y Municipios.</w:t>
      </w:r>
    </w:p>
    <w:p w14:paraId="6249C553" w14:textId="77777777" w:rsidR="009569D0" w:rsidRPr="00743E58" w:rsidRDefault="009569D0" w:rsidP="00743E58"/>
    <w:p w14:paraId="4323EF13" w14:textId="77777777" w:rsidR="009569D0" w:rsidRPr="00743E58" w:rsidRDefault="00B76053" w:rsidP="00743E58">
      <w:pPr>
        <w:pStyle w:val="Ttulo3"/>
      </w:pPr>
      <w:bookmarkStart w:id="20" w:name="_heading=h.cudffxfz8oho" w:colFirst="0" w:colLast="0"/>
      <w:bookmarkEnd w:id="20"/>
      <w:r w:rsidRPr="00743E58">
        <w:t>d) Causal de Procedencia</w:t>
      </w:r>
    </w:p>
    <w:p w14:paraId="54977149" w14:textId="77777777" w:rsidR="009569D0" w:rsidRPr="00743E58" w:rsidRDefault="00B76053" w:rsidP="00743E58">
      <w:r w:rsidRPr="00743E58">
        <w:t>Resulta procedente la interposición del recurso de revisión, ya que se actualiza la causal de procedencia señalada en el artículo 179, fracción I de la Ley de Transparencia y Acceso a la Información Pública del Estado de México y Municipios.</w:t>
      </w:r>
    </w:p>
    <w:p w14:paraId="50E1DF00" w14:textId="77777777" w:rsidR="009569D0" w:rsidRPr="00743E58" w:rsidRDefault="009569D0" w:rsidP="00743E58"/>
    <w:p w14:paraId="0434E8E8" w14:textId="77777777" w:rsidR="009569D0" w:rsidRPr="00743E58" w:rsidRDefault="00B76053" w:rsidP="00743E58">
      <w:pPr>
        <w:pStyle w:val="Ttulo3"/>
      </w:pPr>
      <w:bookmarkStart w:id="21" w:name="_heading=h.4hojz81cenlt" w:colFirst="0" w:colLast="0"/>
      <w:bookmarkEnd w:id="21"/>
      <w:r w:rsidRPr="00743E58">
        <w:t>e) Requisitos formales para la interposición del recurso</w:t>
      </w:r>
    </w:p>
    <w:p w14:paraId="7CD7C0F4" w14:textId="77777777" w:rsidR="009569D0" w:rsidRPr="00743E58" w:rsidRDefault="00B76053" w:rsidP="00743E58">
      <w:r w:rsidRPr="00743E58">
        <w:rPr>
          <w:b/>
        </w:rPr>
        <w:t xml:space="preserve">LA PARTE RECURRENTE </w:t>
      </w:r>
      <w:r w:rsidRPr="00743E58">
        <w:t>acreditó todos y cada uno de los elementos formales exigidos por el artículo 180 de la misma normatividad.</w:t>
      </w:r>
    </w:p>
    <w:p w14:paraId="7C124513" w14:textId="77777777" w:rsidR="009569D0" w:rsidRPr="00743E58" w:rsidRDefault="00B76053" w:rsidP="00743E58">
      <w:pPr>
        <w:pStyle w:val="Ttulo2"/>
      </w:pPr>
      <w:bookmarkStart w:id="22" w:name="_heading=h.ccko6ml25pp" w:colFirst="0" w:colLast="0"/>
      <w:bookmarkEnd w:id="22"/>
      <w:r w:rsidRPr="00743E58">
        <w:lastRenderedPageBreak/>
        <w:t>SEGUNDO. Estudio de Fondo</w:t>
      </w:r>
    </w:p>
    <w:p w14:paraId="63F0F498" w14:textId="77777777" w:rsidR="009569D0" w:rsidRPr="00743E58" w:rsidRDefault="00B76053" w:rsidP="00743E58">
      <w:pPr>
        <w:pStyle w:val="Ttulo3"/>
      </w:pPr>
      <w:bookmarkStart w:id="23" w:name="_heading=h.4t9rkiccqy2d" w:colFirst="0" w:colLast="0"/>
      <w:bookmarkEnd w:id="23"/>
      <w:r w:rsidRPr="00743E58">
        <w:t>a) Mandato de transparencia y responsabilidad del Sujeto Obligado</w:t>
      </w:r>
    </w:p>
    <w:p w14:paraId="2DE44D73" w14:textId="77777777" w:rsidR="009569D0" w:rsidRPr="00743E58" w:rsidRDefault="00B76053" w:rsidP="00743E58">
      <w:r w:rsidRPr="00743E58">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A7C13A3" w14:textId="77777777" w:rsidR="009569D0" w:rsidRPr="00743E58" w:rsidRDefault="009569D0" w:rsidP="00743E58"/>
    <w:p w14:paraId="750A2C67" w14:textId="77777777" w:rsidR="009569D0" w:rsidRPr="00743E58" w:rsidRDefault="00B76053" w:rsidP="00743E58">
      <w:pPr>
        <w:spacing w:line="240" w:lineRule="auto"/>
        <w:ind w:left="567" w:right="539"/>
        <w:rPr>
          <w:b/>
          <w:i/>
        </w:rPr>
      </w:pPr>
      <w:r w:rsidRPr="00743E58">
        <w:rPr>
          <w:b/>
          <w:i/>
        </w:rPr>
        <w:t>Constitución Política de los Estados Unidos Mexicanos</w:t>
      </w:r>
    </w:p>
    <w:p w14:paraId="2256639B" w14:textId="77777777" w:rsidR="009569D0" w:rsidRPr="00743E58" w:rsidRDefault="00B76053" w:rsidP="00743E58">
      <w:pPr>
        <w:spacing w:line="240" w:lineRule="auto"/>
        <w:ind w:left="567" w:right="539"/>
        <w:rPr>
          <w:b/>
          <w:i/>
        </w:rPr>
      </w:pPr>
      <w:r w:rsidRPr="00743E58">
        <w:rPr>
          <w:b/>
          <w:i/>
        </w:rPr>
        <w:t>“Artículo 6.</w:t>
      </w:r>
    </w:p>
    <w:p w14:paraId="6737F245" w14:textId="77777777" w:rsidR="009569D0" w:rsidRPr="00743E58" w:rsidRDefault="00B76053" w:rsidP="00743E58">
      <w:pPr>
        <w:spacing w:line="240" w:lineRule="auto"/>
        <w:ind w:left="567" w:right="539"/>
        <w:rPr>
          <w:i/>
        </w:rPr>
      </w:pPr>
      <w:r w:rsidRPr="00743E58">
        <w:rPr>
          <w:i/>
        </w:rPr>
        <w:t>(…)</w:t>
      </w:r>
    </w:p>
    <w:p w14:paraId="68562D69" w14:textId="77777777" w:rsidR="009569D0" w:rsidRPr="00743E58" w:rsidRDefault="00B76053" w:rsidP="00743E58">
      <w:pPr>
        <w:spacing w:line="240" w:lineRule="auto"/>
        <w:ind w:left="567" w:right="539"/>
        <w:rPr>
          <w:i/>
        </w:rPr>
      </w:pPr>
      <w:r w:rsidRPr="00743E58">
        <w:rPr>
          <w:i/>
        </w:rPr>
        <w:t>Para efectos de lo dispuesto en el presente artículo se observará lo siguiente:</w:t>
      </w:r>
    </w:p>
    <w:p w14:paraId="4D190802" w14:textId="77777777" w:rsidR="009569D0" w:rsidRPr="00743E58" w:rsidRDefault="00B76053" w:rsidP="00743E58">
      <w:pPr>
        <w:spacing w:line="240" w:lineRule="auto"/>
        <w:ind w:left="567" w:right="539"/>
        <w:rPr>
          <w:b/>
          <w:i/>
        </w:rPr>
      </w:pPr>
      <w:r w:rsidRPr="00743E58">
        <w:rPr>
          <w:b/>
          <w:i/>
        </w:rPr>
        <w:t>A</w:t>
      </w:r>
      <w:r w:rsidRPr="00743E58">
        <w:rPr>
          <w:i/>
        </w:rPr>
        <w:t xml:space="preserve">. </w:t>
      </w:r>
      <w:r w:rsidRPr="00743E58">
        <w:rPr>
          <w:b/>
          <w:i/>
        </w:rPr>
        <w:t>Para el ejercicio del derecho de acceso a la información</w:t>
      </w:r>
      <w:r w:rsidRPr="00743E58">
        <w:rPr>
          <w:i/>
        </w:rPr>
        <w:t xml:space="preserve">, la Federación y </w:t>
      </w:r>
      <w:r w:rsidRPr="00743E58">
        <w:rPr>
          <w:b/>
          <w:i/>
        </w:rPr>
        <w:t>las entidades federativas, en el ámbito de sus respectivas competencias, se regirán por los siguientes principios y bases:</w:t>
      </w:r>
    </w:p>
    <w:p w14:paraId="54552006" w14:textId="77777777" w:rsidR="009569D0" w:rsidRPr="00743E58" w:rsidRDefault="00B76053" w:rsidP="00743E58">
      <w:pPr>
        <w:spacing w:line="240" w:lineRule="auto"/>
        <w:ind w:left="567" w:right="539"/>
        <w:rPr>
          <w:i/>
        </w:rPr>
      </w:pPr>
      <w:r w:rsidRPr="00743E58">
        <w:rPr>
          <w:b/>
          <w:i/>
        </w:rPr>
        <w:t xml:space="preserve">I. </w:t>
      </w:r>
      <w:r w:rsidRPr="00743E58">
        <w:rPr>
          <w:b/>
          <w:i/>
        </w:rPr>
        <w:tab/>
        <w:t>Toda la información en posesión de cualquier</w:t>
      </w:r>
      <w:r w:rsidRPr="00743E58">
        <w:rPr>
          <w:i/>
        </w:rPr>
        <w:t xml:space="preserve"> </w:t>
      </w:r>
      <w:r w:rsidRPr="00743E58">
        <w:rPr>
          <w:b/>
          <w:i/>
        </w:rPr>
        <w:t>autoridad</w:t>
      </w:r>
      <w:r w:rsidRPr="00743E58">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43E58">
        <w:rPr>
          <w:b/>
          <w:i/>
        </w:rPr>
        <w:t>municipal</w:t>
      </w:r>
      <w:r w:rsidRPr="00743E58">
        <w:rPr>
          <w:i/>
        </w:rPr>
        <w:t xml:space="preserve">, </w:t>
      </w:r>
      <w:r w:rsidRPr="00743E58">
        <w:rPr>
          <w:b/>
          <w:i/>
        </w:rPr>
        <w:t>es pública</w:t>
      </w:r>
      <w:r w:rsidRPr="00743E58">
        <w:rPr>
          <w:i/>
        </w:rPr>
        <w:t xml:space="preserve"> y sólo podrá ser reservada temporalmente por razones de interés público y seguridad nacional, en los términos que fijen las leyes. </w:t>
      </w:r>
      <w:r w:rsidRPr="00743E58">
        <w:rPr>
          <w:b/>
          <w:i/>
        </w:rPr>
        <w:t>En la interpretación de este derecho deberá prevalecer el principio de máxima publicidad. Los sujetos obligados deberán documentar todo acto que derive del ejercicio de sus facultades, competencias o funciones</w:t>
      </w:r>
      <w:r w:rsidRPr="00743E58">
        <w:rPr>
          <w:i/>
        </w:rPr>
        <w:t>, la ley determinará los supuestos específicos bajo los cuales procederá la declaración de inexistencia de la información.”</w:t>
      </w:r>
    </w:p>
    <w:p w14:paraId="60BA6437" w14:textId="77777777" w:rsidR="009569D0" w:rsidRPr="00743E58" w:rsidRDefault="009569D0" w:rsidP="00743E58">
      <w:pPr>
        <w:spacing w:line="240" w:lineRule="auto"/>
        <w:ind w:left="567" w:right="539"/>
        <w:rPr>
          <w:b/>
          <w:i/>
        </w:rPr>
      </w:pPr>
    </w:p>
    <w:p w14:paraId="69A36A3E" w14:textId="77777777" w:rsidR="009569D0" w:rsidRPr="00743E58" w:rsidRDefault="00B76053" w:rsidP="00743E58">
      <w:pPr>
        <w:spacing w:line="240" w:lineRule="auto"/>
        <w:ind w:left="567" w:right="539"/>
        <w:rPr>
          <w:b/>
          <w:i/>
        </w:rPr>
      </w:pPr>
      <w:r w:rsidRPr="00743E58">
        <w:rPr>
          <w:b/>
          <w:i/>
        </w:rPr>
        <w:t>Constitución Política del Estado Libre y Soberano de México</w:t>
      </w:r>
    </w:p>
    <w:p w14:paraId="3D2FCBAD" w14:textId="77777777" w:rsidR="009569D0" w:rsidRPr="00743E58" w:rsidRDefault="00B76053" w:rsidP="00743E58">
      <w:pPr>
        <w:spacing w:line="240" w:lineRule="auto"/>
        <w:ind w:left="567" w:right="539"/>
        <w:rPr>
          <w:i/>
        </w:rPr>
      </w:pPr>
      <w:r w:rsidRPr="00743E58">
        <w:rPr>
          <w:b/>
          <w:i/>
        </w:rPr>
        <w:t>“Artículo 5</w:t>
      </w:r>
      <w:r w:rsidRPr="00743E58">
        <w:rPr>
          <w:i/>
        </w:rPr>
        <w:t xml:space="preserve">.- </w:t>
      </w:r>
    </w:p>
    <w:p w14:paraId="6DA58F0D" w14:textId="77777777" w:rsidR="009569D0" w:rsidRPr="00743E58" w:rsidRDefault="00B76053" w:rsidP="00743E58">
      <w:pPr>
        <w:spacing w:line="240" w:lineRule="auto"/>
        <w:ind w:left="567" w:right="539"/>
        <w:rPr>
          <w:i/>
        </w:rPr>
      </w:pPr>
      <w:r w:rsidRPr="00743E58">
        <w:rPr>
          <w:i/>
        </w:rPr>
        <w:t>(…)</w:t>
      </w:r>
    </w:p>
    <w:p w14:paraId="036DD273" w14:textId="77777777" w:rsidR="009569D0" w:rsidRPr="00743E58" w:rsidRDefault="00B76053" w:rsidP="00743E58">
      <w:pPr>
        <w:spacing w:line="240" w:lineRule="auto"/>
        <w:ind w:left="567" w:right="539"/>
        <w:rPr>
          <w:i/>
        </w:rPr>
      </w:pPr>
      <w:r w:rsidRPr="00743E58">
        <w:rPr>
          <w:b/>
          <w:i/>
        </w:rPr>
        <w:t>El derecho a la información será garantizado por el Estado. La ley establecerá las previsiones que permitan asegurar la protección, el respeto y la difusión de este derecho</w:t>
      </w:r>
      <w:r w:rsidRPr="00743E58">
        <w:rPr>
          <w:i/>
        </w:rPr>
        <w:t>.</w:t>
      </w:r>
    </w:p>
    <w:p w14:paraId="272F2879" w14:textId="77777777" w:rsidR="009569D0" w:rsidRPr="00743E58" w:rsidRDefault="00B76053" w:rsidP="00743E58">
      <w:pPr>
        <w:spacing w:line="240" w:lineRule="auto"/>
        <w:ind w:left="567" w:right="539"/>
        <w:rPr>
          <w:i/>
        </w:rPr>
      </w:pPr>
      <w:r w:rsidRPr="00743E58">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7306141" w14:textId="77777777" w:rsidR="009569D0" w:rsidRPr="00743E58" w:rsidRDefault="00B76053" w:rsidP="00743E58">
      <w:pPr>
        <w:spacing w:line="240" w:lineRule="auto"/>
        <w:ind w:left="567" w:right="539"/>
        <w:rPr>
          <w:i/>
        </w:rPr>
      </w:pPr>
      <w:r w:rsidRPr="00743E58">
        <w:rPr>
          <w:b/>
          <w:i/>
        </w:rPr>
        <w:t>Este derecho se regirá por los principios y bases siguientes</w:t>
      </w:r>
      <w:r w:rsidRPr="00743E58">
        <w:rPr>
          <w:i/>
        </w:rPr>
        <w:t>:</w:t>
      </w:r>
    </w:p>
    <w:p w14:paraId="760FD666" w14:textId="77777777" w:rsidR="009569D0" w:rsidRPr="00743E58" w:rsidRDefault="00B76053" w:rsidP="00743E58">
      <w:pPr>
        <w:spacing w:line="240" w:lineRule="auto"/>
        <w:ind w:left="567" w:right="539"/>
        <w:rPr>
          <w:i/>
        </w:rPr>
      </w:pPr>
      <w:r w:rsidRPr="00743E58">
        <w:rPr>
          <w:b/>
          <w:i/>
        </w:rPr>
        <w:lastRenderedPageBreak/>
        <w:t>I. Toda la información en posesión de cualquier autoridad, entidad, órgano y organismos de los</w:t>
      </w:r>
      <w:r w:rsidRPr="00743E58">
        <w:rPr>
          <w:i/>
        </w:rPr>
        <w:t xml:space="preserve"> Poderes Ejecutivo, Legislativo y Judicial, órganos autónomos, partidos políticos, fideicomisos y fondos públicos estatales y </w:t>
      </w:r>
      <w:r w:rsidRPr="00743E58">
        <w:rPr>
          <w:b/>
          <w:i/>
        </w:rPr>
        <w:t>municipales</w:t>
      </w:r>
      <w:r w:rsidRPr="00743E58">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43E58">
        <w:rPr>
          <w:b/>
          <w:i/>
        </w:rPr>
        <w:t>es pública</w:t>
      </w:r>
      <w:r w:rsidRPr="00743E58">
        <w:rPr>
          <w:i/>
        </w:rPr>
        <w:t xml:space="preserve"> y sólo podrá ser reservada temporalmente por razones previstas en la Constitución Política de los Estados Unidos Mexicanos de interés público y seguridad, en los términos que fijen las leyes. </w:t>
      </w:r>
      <w:r w:rsidRPr="00743E58">
        <w:rPr>
          <w:b/>
          <w:i/>
        </w:rPr>
        <w:t>En la interpretación de este derecho deberá prevalecer el principio de máxima publicidad</w:t>
      </w:r>
      <w:r w:rsidRPr="00743E58">
        <w:rPr>
          <w:i/>
        </w:rPr>
        <w:t xml:space="preserve">. </w:t>
      </w:r>
      <w:r w:rsidRPr="00743E58">
        <w:rPr>
          <w:b/>
          <w:i/>
        </w:rPr>
        <w:t>Los sujetos obligados deberán documentar todo acto que derive del ejercicio de sus facultades, competencias o funciones</w:t>
      </w:r>
      <w:r w:rsidRPr="00743E58">
        <w:rPr>
          <w:i/>
        </w:rPr>
        <w:t>, la ley determinará los supuestos específicos bajo los cuales procederá la declaración de inexistencia de la información.”</w:t>
      </w:r>
    </w:p>
    <w:p w14:paraId="58A0F473" w14:textId="77777777" w:rsidR="009569D0" w:rsidRPr="00743E58" w:rsidRDefault="009569D0" w:rsidP="00743E58">
      <w:pPr>
        <w:rPr>
          <w:b/>
          <w:i/>
        </w:rPr>
      </w:pPr>
    </w:p>
    <w:p w14:paraId="31CEC11C" w14:textId="77777777" w:rsidR="009569D0" w:rsidRPr="00743E58" w:rsidRDefault="00B76053" w:rsidP="00743E58">
      <w:pPr>
        <w:rPr>
          <w:i/>
        </w:rPr>
      </w:pPr>
      <w:r w:rsidRPr="00743E58">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43E58">
        <w:rPr>
          <w:i/>
        </w:rPr>
        <w:t>por los principios de simplicidad, rapidez, gratuidad del procedimiento, auxilio y orientación a los particulares.</w:t>
      </w:r>
    </w:p>
    <w:p w14:paraId="63D32723" w14:textId="77777777" w:rsidR="009569D0" w:rsidRPr="00743E58" w:rsidRDefault="009569D0" w:rsidP="00743E58">
      <w:pPr>
        <w:rPr>
          <w:i/>
        </w:rPr>
      </w:pPr>
    </w:p>
    <w:p w14:paraId="36914CFF" w14:textId="77777777" w:rsidR="009569D0" w:rsidRPr="00743E58" w:rsidRDefault="00B76053" w:rsidP="00743E58">
      <w:pPr>
        <w:rPr>
          <w:i/>
        </w:rPr>
      </w:pPr>
      <w:r w:rsidRPr="00743E58">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F439FF6" w14:textId="77777777" w:rsidR="009569D0" w:rsidRPr="00743E58" w:rsidRDefault="009569D0" w:rsidP="00743E58"/>
    <w:p w14:paraId="605C8B97" w14:textId="77777777" w:rsidR="009569D0" w:rsidRPr="00743E58" w:rsidRDefault="00B76053" w:rsidP="00743E58">
      <w:r w:rsidRPr="00743E58">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963F6FF" w14:textId="77777777" w:rsidR="009569D0" w:rsidRPr="00743E58" w:rsidRDefault="009569D0" w:rsidP="00743E58"/>
    <w:p w14:paraId="6B0777FD" w14:textId="77777777" w:rsidR="009569D0" w:rsidRPr="00743E58" w:rsidRDefault="00B76053" w:rsidP="00743E58">
      <w:r w:rsidRPr="00743E58">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8931F92" w14:textId="77777777" w:rsidR="009569D0" w:rsidRPr="00743E58" w:rsidRDefault="009569D0" w:rsidP="00743E58"/>
    <w:p w14:paraId="5F2EE4DA" w14:textId="77777777" w:rsidR="009569D0" w:rsidRPr="00743E58" w:rsidRDefault="00B76053" w:rsidP="00743E58">
      <w:r w:rsidRPr="00743E58">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50E5D9B" w14:textId="77777777" w:rsidR="009569D0" w:rsidRPr="00743E58" w:rsidRDefault="009569D0" w:rsidP="00743E58"/>
    <w:p w14:paraId="3329D80E" w14:textId="77777777" w:rsidR="009569D0" w:rsidRPr="00743E58" w:rsidRDefault="00B76053" w:rsidP="00743E58">
      <w:pPr>
        <w:pStyle w:val="Ttulo3"/>
      </w:pPr>
      <w:bookmarkStart w:id="24" w:name="_heading=h.k00htdmtrj5k" w:colFirst="0" w:colLast="0"/>
      <w:bookmarkEnd w:id="24"/>
      <w:r w:rsidRPr="00743E58">
        <w:t>b) Controversia a resolver</w:t>
      </w:r>
    </w:p>
    <w:p w14:paraId="67525545" w14:textId="77777777" w:rsidR="009569D0" w:rsidRPr="00743E58" w:rsidRDefault="00B76053" w:rsidP="00743E58">
      <w:r w:rsidRPr="00743E58">
        <w:t xml:space="preserve">Con el objeto de ilustrar la controversia planteada, resulta conveniente precisar que, una vez realizado el estudio de las constancias que integran el expediente en que se actúa, se desprende que </w:t>
      </w:r>
      <w:r w:rsidRPr="00743E58">
        <w:rPr>
          <w:b/>
        </w:rPr>
        <w:t>LA PARTE RECURRENTE</w:t>
      </w:r>
      <w:r w:rsidRPr="00743E58">
        <w:t xml:space="preserve"> solicitó lo siguiente:</w:t>
      </w:r>
    </w:p>
    <w:p w14:paraId="5C9E1D25" w14:textId="77777777" w:rsidR="009569D0" w:rsidRPr="00743E58" w:rsidRDefault="009569D0" w:rsidP="00743E58"/>
    <w:p w14:paraId="38D0EF8E" w14:textId="77777777" w:rsidR="009569D0" w:rsidRPr="00743E58" w:rsidRDefault="00B76053" w:rsidP="00743E58">
      <w:pPr>
        <w:tabs>
          <w:tab w:val="left" w:pos="4962"/>
        </w:tabs>
      </w:pPr>
      <w:r w:rsidRPr="00743E58">
        <w:t xml:space="preserve">1.- ¿Fecha de ingreso de la C. María Guadalupe Bernal Vásquez y qué cargo tiene? </w:t>
      </w:r>
    </w:p>
    <w:p w14:paraId="4282EFA1" w14:textId="77777777" w:rsidR="009569D0" w:rsidRPr="00743E58" w:rsidRDefault="00B76053" w:rsidP="00743E58">
      <w:pPr>
        <w:tabs>
          <w:tab w:val="left" w:pos="4962"/>
        </w:tabs>
      </w:pPr>
      <w:r w:rsidRPr="00743E58">
        <w:t xml:space="preserve">2.- ¿Es parte de la nómina del personal sindicalizado la C. María Guadalupe Bernal Vásquez? </w:t>
      </w:r>
    </w:p>
    <w:p w14:paraId="342FD38C" w14:textId="77777777" w:rsidR="009569D0" w:rsidRPr="00743E58" w:rsidRDefault="00B76053" w:rsidP="00743E58">
      <w:pPr>
        <w:tabs>
          <w:tab w:val="left" w:pos="4962"/>
        </w:tabs>
      </w:pPr>
      <w:r w:rsidRPr="00743E58">
        <w:t xml:space="preserve">3.- ¿Si es afirmativo con cuántos años de servicio se ha sindicalizado a la C. María Guadalupe Bernal Vásquez? </w:t>
      </w:r>
    </w:p>
    <w:p w14:paraId="29D37675" w14:textId="77777777" w:rsidR="009569D0" w:rsidRPr="00743E58" w:rsidRDefault="00B76053" w:rsidP="00743E58">
      <w:pPr>
        <w:tabs>
          <w:tab w:val="left" w:pos="4962"/>
        </w:tabs>
      </w:pPr>
      <w:r w:rsidRPr="00743E58">
        <w:lastRenderedPageBreak/>
        <w:t xml:space="preserve">4.- ¿Se solicita recibo de nómina de la primera quincena de enero del año 2024, recibo de nómina de la segunda quincena de diciembre del año 2024 y primera quincena del mes de enero del año 2025? </w:t>
      </w:r>
    </w:p>
    <w:p w14:paraId="30741CC1" w14:textId="77777777" w:rsidR="009569D0" w:rsidRPr="00743E58" w:rsidRDefault="00B76053" w:rsidP="00743E58">
      <w:pPr>
        <w:tabs>
          <w:tab w:val="left" w:pos="4962"/>
        </w:tabs>
      </w:pPr>
      <w:r w:rsidRPr="00743E58">
        <w:t>5.- Se solicita saber todo el personal adscrito a la tesorería municipal a partir del 1 de enero del año 2025.</w:t>
      </w:r>
    </w:p>
    <w:p w14:paraId="717FDF11" w14:textId="77777777" w:rsidR="009569D0" w:rsidRPr="00743E58" w:rsidRDefault="009569D0" w:rsidP="00743E58">
      <w:pPr>
        <w:tabs>
          <w:tab w:val="left" w:pos="4962"/>
        </w:tabs>
      </w:pPr>
    </w:p>
    <w:p w14:paraId="519D8FE7" w14:textId="77777777" w:rsidR="009569D0" w:rsidRPr="00743E58" w:rsidRDefault="00B76053" w:rsidP="00743E58">
      <w:r w:rsidRPr="00743E58">
        <w:t xml:space="preserve">En respuesta, </w:t>
      </w:r>
      <w:r w:rsidRPr="00743E58">
        <w:rPr>
          <w:b/>
        </w:rPr>
        <w:t>EL SUJETO OBLIGADO</w:t>
      </w:r>
      <w:r w:rsidRPr="00743E58">
        <w:t xml:space="preserve"> se pronunció a través del Coordinador de Recursos Humanos, informando de manera medular que, no se encontró información sobre la ”</w:t>
      </w:r>
      <w:r w:rsidRPr="00743E58">
        <w:rPr>
          <w:b/>
        </w:rPr>
        <w:t xml:space="preserve">C. . María Guadalupe Bernal Vásquez” </w:t>
      </w:r>
      <w:r w:rsidRPr="00743E58">
        <w:t>y que se encuentran 37 personas adscritas a la Tesorería Municipal.</w:t>
      </w:r>
    </w:p>
    <w:p w14:paraId="24A66D28" w14:textId="77777777" w:rsidR="009569D0" w:rsidRPr="00743E58" w:rsidRDefault="009569D0" w:rsidP="00743E58">
      <w:pPr>
        <w:ind w:right="-28"/>
      </w:pPr>
    </w:p>
    <w:p w14:paraId="1FB66203" w14:textId="77777777" w:rsidR="009569D0" w:rsidRPr="00743E58" w:rsidRDefault="00B76053" w:rsidP="00743E58">
      <w:pPr>
        <w:tabs>
          <w:tab w:val="left" w:pos="4962"/>
        </w:tabs>
      </w:pPr>
      <w:r w:rsidRPr="00743E58">
        <w:t xml:space="preserve">Ahora bien, en la interposición del presente recurso </w:t>
      </w:r>
      <w:r w:rsidRPr="00743E58">
        <w:rPr>
          <w:b/>
        </w:rPr>
        <w:t>LA PARTE RECURRENTE</w:t>
      </w:r>
      <w:r w:rsidRPr="00743E58">
        <w:t xml:space="preserve"> se inconformó manifestando la negativa a la entrega de la información.</w:t>
      </w:r>
    </w:p>
    <w:p w14:paraId="32DAD5B2" w14:textId="77777777" w:rsidR="009569D0" w:rsidRPr="00743E58" w:rsidRDefault="009569D0" w:rsidP="00743E58"/>
    <w:p w14:paraId="1044E7E2" w14:textId="77777777" w:rsidR="009569D0" w:rsidRPr="00743E58" w:rsidRDefault="00B76053" w:rsidP="00743E58">
      <w:pPr>
        <w:tabs>
          <w:tab w:val="left" w:pos="4962"/>
        </w:tabs>
      </w:pPr>
      <w:r w:rsidRPr="00743E58">
        <w:t xml:space="preserve">Abierta la etapa de instrucción, </w:t>
      </w:r>
      <w:r w:rsidRPr="00743E58">
        <w:rPr>
          <w:b/>
        </w:rPr>
        <w:t>EL SUJETO OBLIGADO</w:t>
      </w:r>
      <w:r w:rsidRPr="00743E58">
        <w:t xml:space="preserve"> rindió su Informe Justificado, ratificando de manera general la respuesta primigenia. Por otro lado, </w:t>
      </w:r>
      <w:r w:rsidRPr="00743E58">
        <w:rPr>
          <w:b/>
        </w:rPr>
        <w:t>LA PARTE</w:t>
      </w:r>
      <w:r w:rsidRPr="00743E58">
        <w:t xml:space="preserve"> </w:t>
      </w:r>
      <w:r w:rsidRPr="00743E58">
        <w:rPr>
          <w:b/>
        </w:rPr>
        <w:t xml:space="preserve">RECURRENTE </w:t>
      </w:r>
      <w:r w:rsidRPr="00743E58">
        <w:t xml:space="preserve">no realizó manifestación alguna. </w:t>
      </w:r>
    </w:p>
    <w:p w14:paraId="3E8070E4" w14:textId="77777777" w:rsidR="009569D0" w:rsidRPr="00743E58" w:rsidRDefault="009569D0" w:rsidP="00743E58"/>
    <w:p w14:paraId="60779F9C" w14:textId="77777777" w:rsidR="009569D0" w:rsidRPr="00743E58" w:rsidRDefault="00B76053" w:rsidP="00743E58">
      <w:r w:rsidRPr="00743E58">
        <w:t xml:space="preserve">Bajo las premisas anteriores, se concluye que la controversia a dilucidar en el presente medio de impugnación será verificar si la información proporcionada en respuesta e informe justificado por </w:t>
      </w:r>
      <w:r w:rsidRPr="00743E58">
        <w:rPr>
          <w:b/>
        </w:rPr>
        <w:t xml:space="preserve">EL SUJETO OBLIGADO </w:t>
      </w:r>
      <w:r w:rsidRPr="00743E58">
        <w:t xml:space="preserve">es adecuada y suficiente para tener por satisfecho el derecho de acceso a la información pública de </w:t>
      </w:r>
      <w:r w:rsidRPr="00743E58">
        <w:rPr>
          <w:b/>
        </w:rPr>
        <w:t>LA PARTE RECURRENTE</w:t>
      </w:r>
      <w:r w:rsidRPr="00743E58">
        <w:t>, o en su caso, ordenar la entrega de la información que corresponda.</w:t>
      </w:r>
    </w:p>
    <w:p w14:paraId="68331A22" w14:textId="77777777" w:rsidR="009569D0" w:rsidRPr="00743E58" w:rsidRDefault="00B76053" w:rsidP="00743E58">
      <w:pPr>
        <w:pStyle w:val="Ttulo3"/>
      </w:pPr>
      <w:bookmarkStart w:id="25" w:name="_heading=h.mpfh3atxga74" w:colFirst="0" w:colLast="0"/>
      <w:bookmarkEnd w:id="25"/>
      <w:r w:rsidRPr="00743E58">
        <w:lastRenderedPageBreak/>
        <w:t>c) Estudio de la controversia</w:t>
      </w:r>
    </w:p>
    <w:p w14:paraId="0B7E6ADD" w14:textId="77777777" w:rsidR="009569D0" w:rsidRPr="00743E58" w:rsidRDefault="00B76053" w:rsidP="00743E58">
      <w:pPr>
        <w:spacing w:before="240" w:after="240"/>
        <w:ind w:right="-312"/>
      </w:pPr>
      <w:r w:rsidRPr="00743E58">
        <w:t xml:space="preserve">Primeramente es necesario señalar que este Instituto analizó la literalidad el contenido de la solicitud de acceso a la información planteada por </w:t>
      </w:r>
      <w:r w:rsidRPr="00743E58">
        <w:rPr>
          <w:b/>
        </w:rPr>
        <w:t xml:space="preserve">LA PARTE RECURRENTE, </w:t>
      </w:r>
      <w:r w:rsidRPr="00743E58">
        <w:t>encontrándose como hallazgo que en la forma en cómo la realiza es a través de un cuestionamientos a diversas interrogantes que son de su interés, razón por la cual este Órgano Garante considera pertinente, en primer lugar, establecer las diferencias entre el derecho de petición y el derecho de acceso a la información, basado en lo siguiente:</w:t>
      </w:r>
    </w:p>
    <w:p w14:paraId="0BD651F7" w14:textId="77777777" w:rsidR="009569D0" w:rsidRPr="00743E58" w:rsidRDefault="00B76053" w:rsidP="00743E58">
      <w:pPr>
        <w:spacing w:before="240" w:after="360"/>
        <w:ind w:right="-312"/>
        <w:rPr>
          <w:i/>
        </w:rPr>
      </w:pPr>
      <w:r w:rsidRPr="00743E58">
        <w:t>El Maestro Ignacio Burgoa Orihuela refiere que el derecho de petición “…</w:t>
      </w:r>
      <w:r w:rsidRPr="00743E58">
        <w:rPr>
          <w:i/>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743E58">
        <w:rPr>
          <w:i/>
          <w:vertAlign w:val="superscript"/>
        </w:rPr>
        <w:t xml:space="preserve"> </w:t>
      </w:r>
      <w:r w:rsidRPr="00743E58">
        <w:rPr>
          <w:i/>
          <w:vertAlign w:val="superscript"/>
        </w:rPr>
        <w:footnoteReference w:id="1"/>
      </w:r>
      <w:r w:rsidRPr="00743E58">
        <w:rPr>
          <w:i/>
        </w:rPr>
        <w:t xml:space="preserve">“, </w:t>
      </w:r>
      <w:r w:rsidRPr="00743E58">
        <w:t>mientras que</w:t>
      </w:r>
      <w:r w:rsidRPr="00743E58">
        <w:rPr>
          <w:i/>
        </w:rPr>
        <w:t xml:space="preserve"> </w:t>
      </w:r>
      <w:r w:rsidRPr="00743E58">
        <w:t xml:space="preserve">David Cienfuegos Salgado, lo concibe como </w:t>
      </w:r>
      <w:r w:rsidRPr="00743E58">
        <w:rPr>
          <w:i/>
        </w:rPr>
        <w:t>“el derecho de toda persona a ser escuchado por quienes ejercen el poder público.</w:t>
      </w:r>
      <w:r w:rsidRPr="00743E58">
        <w:rPr>
          <w:i/>
          <w:vertAlign w:val="superscript"/>
        </w:rPr>
        <w:t xml:space="preserve"> </w:t>
      </w:r>
      <w:r w:rsidRPr="00743E58">
        <w:rPr>
          <w:i/>
          <w:vertAlign w:val="superscript"/>
        </w:rPr>
        <w:footnoteReference w:id="2"/>
      </w:r>
      <w:r w:rsidRPr="00743E58">
        <w:rPr>
          <w:i/>
        </w:rPr>
        <w:t xml:space="preserve">” </w:t>
      </w:r>
    </w:p>
    <w:p w14:paraId="3813349E" w14:textId="77777777" w:rsidR="009569D0" w:rsidRPr="00743E58" w:rsidRDefault="00B76053" w:rsidP="00743E58">
      <w:pPr>
        <w:spacing w:before="240" w:after="360"/>
        <w:ind w:right="-312"/>
        <w:rPr>
          <w:i/>
        </w:rPr>
      </w:pPr>
      <w:r w:rsidRPr="00743E58">
        <w:t xml:space="preserve">Para diferenciar el derecho de petición al derecho de acceso a la información, resulta conducente señalar que José Guadalupe Robles, conceptualiza el derecho a la información como </w:t>
      </w:r>
      <w:r w:rsidRPr="00743E58">
        <w:rPr>
          <w:i/>
        </w:rPr>
        <w:t xml:space="preserve">“un derecho fundamental tanto de carácter individual como colectivo, cuyas limitaciones deben estar establecida en la ley, así como una garantía de que la información sea transmitida con claridad y objetividad, por cuanto a </w:t>
      </w:r>
      <w:r w:rsidRPr="00743E58">
        <w:rPr>
          <w:i/>
        </w:rPr>
        <w:lastRenderedPageBreak/>
        <w:t>que es un bien jurídico que coadyuva al desarrollo de las personas y a la formación de opinión pública de calidad para poder participar y luego influir en la vida pública.</w:t>
      </w:r>
      <w:r w:rsidRPr="00743E58">
        <w:rPr>
          <w:i/>
          <w:vertAlign w:val="superscript"/>
        </w:rPr>
        <w:t xml:space="preserve"> </w:t>
      </w:r>
      <w:r w:rsidRPr="00743E58">
        <w:rPr>
          <w:i/>
          <w:vertAlign w:val="superscript"/>
        </w:rPr>
        <w:footnoteReference w:id="3"/>
      </w:r>
      <w:r w:rsidRPr="00743E58">
        <w:rPr>
          <w:i/>
        </w:rPr>
        <w:t>“</w:t>
      </w:r>
    </w:p>
    <w:p w14:paraId="53D65A9A" w14:textId="77777777" w:rsidR="009569D0" w:rsidRPr="00743E58" w:rsidRDefault="00B76053" w:rsidP="00743E58">
      <w:pPr>
        <w:spacing w:before="240" w:after="360"/>
        <w:ind w:right="-312"/>
        <w:rPr>
          <w:i/>
        </w:rPr>
      </w:pPr>
      <w:r w:rsidRPr="00743E58">
        <w:t xml:space="preserve">Además, el derecho a la información constituye una prerrogativa de acceder a documentación en poder de los </w:t>
      </w:r>
      <w:r w:rsidRPr="00743E58">
        <w:rPr>
          <w:u w:val="single"/>
        </w:rPr>
        <w:t>Sujetos Obligados</w:t>
      </w:r>
      <w:r w:rsidRPr="00743E58">
        <w:t xml:space="preserve">, no así a realizar cuestionamientos, o manifestaciones subjetivas. </w:t>
      </w:r>
    </w:p>
    <w:p w14:paraId="615EB18A" w14:textId="77777777" w:rsidR="009569D0" w:rsidRPr="00743E58" w:rsidRDefault="00B76053" w:rsidP="00743E58">
      <w:pPr>
        <w:spacing w:before="240" w:after="360"/>
        <w:ind w:right="-312"/>
        <w:rPr>
          <w:i/>
        </w:rPr>
      </w:pPr>
      <w:r w:rsidRPr="00743E58">
        <w:t>Sirve de apoyo a lo anterior la definición de derecho a la información de Ernesto Villanueva Villanueva que dice: “</w:t>
      </w:r>
      <w:r w:rsidRPr="00743E58">
        <w:rPr>
          <w:i/>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743E58">
        <w:rPr>
          <w:i/>
          <w:vertAlign w:val="superscript"/>
        </w:rPr>
        <w:footnoteReference w:id="4"/>
      </w:r>
      <w:r w:rsidRPr="00743E58">
        <w:rPr>
          <w:i/>
        </w:rPr>
        <w:t xml:space="preserve"> </w:t>
      </w:r>
    </w:p>
    <w:p w14:paraId="08CDF50B" w14:textId="77777777" w:rsidR="009569D0" w:rsidRPr="00743E58" w:rsidRDefault="00B76053" w:rsidP="00743E58">
      <w:pPr>
        <w:spacing w:before="240" w:after="240"/>
        <w:ind w:right="-312"/>
      </w:pPr>
      <w:r w:rsidRPr="00743E58">
        <w:t xml:space="preserve">Por lo que, </w:t>
      </w:r>
      <w:r w:rsidRPr="00743E58">
        <w:rPr>
          <w:b/>
        </w:rPr>
        <w:t>la entrega de una razón o un razonamiento por parte del Sujeto Obligado no es algo que la ley establezca como atribución, derecho, o facultad</w:t>
      </w:r>
      <w:r w:rsidRPr="00743E58">
        <w:t xml:space="preserve">; </w:t>
      </w:r>
      <w:r w:rsidRPr="00743E58">
        <w:rPr>
          <w:b/>
        </w:rPr>
        <w:t>pues ello implicaría un juicio de valor referente a un cuestionamiento realizado</w:t>
      </w:r>
      <w:r w:rsidRPr="00743E58">
        <w:t>, los cuales, al constituir interrogantes, inquietudes y manifestaciones se satisfacen vía derecho de petición.</w:t>
      </w:r>
    </w:p>
    <w:p w14:paraId="603E6EC7" w14:textId="77777777" w:rsidR="009569D0" w:rsidRPr="00743E58" w:rsidRDefault="00B76053" w:rsidP="00743E58">
      <w:pPr>
        <w:spacing w:before="240" w:after="240"/>
      </w:pPr>
      <w:r w:rsidRPr="00743E58">
        <w:t xml:space="preserve">Al respecto es importante aclarar que, cuando los particulares no 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consten en documentos, ya sea generados o que se encuentre en posesión de las autoridades, por tal motivo, privilegiando el principio de máxima publicidad, se deberá proceder a la entrega del soporte documental en </w:t>
      </w:r>
      <w:r w:rsidRPr="00743E58">
        <w:lastRenderedPageBreak/>
        <w:t>donde conste la información que brinde respuesta a la solicitud, así el particular podrá buscar conforme a su interés.</w:t>
      </w:r>
    </w:p>
    <w:p w14:paraId="562CA295" w14:textId="77777777" w:rsidR="009569D0" w:rsidRPr="00743E58" w:rsidRDefault="00B76053" w:rsidP="00743E58">
      <w:pPr>
        <w:pBdr>
          <w:top w:val="nil"/>
          <w:left w:val="nil"/>
          <w:bottom w:val="nil"/>
          <w:right w:val="nil"/>
          <w:between w:val="nil"/>
        </w:pBdr>
      </w:pPr>
      <w:r w:rsidRPr="00743E58">
        <w:t xml:space="preserve">Sirve de sustento a lo anterior, el Criterio </w:t>
      </w:r>
      <w:r w:rsidRPr="00743E58">
        <w:rPr>
          <w:b/>
        </w:rPr>
        <w:t>028-10</w:t>
      </w:r>
      <w:r w:rsidRPr="00743E58">
        <w:t xml:space="preserve"> emitido por el Pleno del entonces llamado Instituto Federal de Acceso a la Información y Protección de Datos, y entonces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el particular lleve a cabo una solicitud de información sin identificar de forma precisa la documentación, </w:t>
      </w:r>
      <w:r w:rsidRPr="00743E58">
        <w:rPr>
          <w:b/>
        </w:rPr>
        <w:t xml:space="preserve">EL SUJETO OBLIGADO </w:t>
      </w:r>
      <w:r w:rsidRPr="00743E58">
        <w:t>deberá hacer entrega del mismo al solicitante mismo que a continuación se cita:</w:t>
      </w:r>
    </w:p>
    <w:p w14:paraId="09660340" w14:textId="77777777" w:rsidR="009569D0" w:rsidRPr="00743E58" w:rsidRDefault="009569D0" w:rsidP="00743E58">
      <w:pPr>
        <w:pBdr>
          <w:top w:val="nil"/>
          <w:left w:val="nil"/>
          <w:bottom w:val="nil"/>
          <w:right w:val="nil"/>
          <w:between w:val="nil"/>
        </w:pBdr>
      </w:pPr>
    </w:p>
    <w:p w14:paraId="29976EEA" w14:textId="77777777" w:rsidR="009569D0" w:rsidRPr="00743E58" w:rsidRDefault="00B76053" w:rsidP="00743E58">
      <w:pPr>
        <w:pStyle w:val="Puesto"/>
        <w:ind w:firstLine="0"/>
        <w:rPr>
          <w:b/>
          <w:i w:val="0"/>
          <w:color w:val="auto"/>
        </w:rPr>
      </w:pPr>
      <w:r w:rsidRPr="00743E58">
        <w:rPr>
          <w:color w:val="auto"/>
        </w:rPr>
        <w:t>“</w:t>
      </w:r>
      <w:r w:rsidRPr="00743E58">
        <w:rPr>
          <w:b/>
          <w:color w:val="auto"/>
        </w:rPr>
        <w:t xml:space="preserve">CUANDO EN UNA SOLICITUD DE INFORMACIÓN NO SE IDENTIFIQUE UN DOCUMENTO EN ESPECÍFICO, SI ÉSTA TIENE UNA EXPRESIÓN DOCUMENTAL, EL SUJETO OBLIGADO DEBERÁ ENTREGAR AL PARTICULAR EL DOCUMENTO EN ESPECÍFICO. </w:t>
      </w:r>
    </w:p>
    <w:p w14:paraId="3186D77B" w14:textId="77777777" w:rsidR="009569D0" w:rsidRPr="00743E58" w:rsidRDefault="00B76053" w:rsidP="00743E58">
      <w:pPr>
        <w:pStyle w:val="Puesto"/>
        <w:ind w:firstLine="0"/>
        <w:rPr>
          <w:color w:val="auto"/>
        </w:rPr>
      </w:pPr>
      <w:r w:rsidRPr="00743E58">
        <w:rPr>
          <w:color w:val="auto"/>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1D0566AC" w14:textId="77777777" w:rsidR="009569D0" w:rsidRPr="00743E58" w:rsidRDefault="009569D0" w:rsidP="00743E58"/>
    <w:p w14:paraId="734097EB" w14:textId="77777777" w:rsidR="009569D0" w:rsidRPr="00743E58" w:rsidRDefault="00B76053" w:rsidP="00743E58">
      <w:pPr>
        <w:pBdr>
          <w:top w:val="nil"/>
          <w:left w:val="nil"/>
          <w:bottom w:val="nil"/>
          <w:right w:val="nil"/>
          <w:between w:val="nil"/>
        </w:pBdr>
        <w:spacing w:before="240" w:after="240"/>
      </w:pPr>
      <w:r w:rsidRPr="00743E58">
        <w:t xml:space="preserve">Así como el Criterio 16/17, emitido por el entonces Instituto Nacional de Transparencia, Acceso a la Información y Protección de Datos Personales, INAI, que establece lo siguiente: </w:t>
      </w:r>
    </w:p>
    <w:p w14:paraId="1010FE7F" w14:textId="77777777" w:rsidR="009569D0" w:rsidRPr="00743E58" w:rsidRDefault="00B76053" w:rsidP="00743E58">
      <w:pPr>
        <w:pStyle w:val="Puesto"/>
        <w:ind w:firstLine="0"/>
        <w:rPr>
          <w:color w:val="auto"/>
        </w:rPr>
      </w:pPr>
      <w:r w:rsidRPr="00743E58">
        <w:rPr>
          <w:color w:val="auto"/>
        </w:rPr>
        <w:t xml:space="preserve"> “</w:t>
      </w:r>
      <w:r w:rsidRPr="00743E58">
        <w:rPr>
          <w:b/>
          <w:color w:val="auto"/>
        </w:rPr>
        <w:t xml:space="preserve">Expresión documental. </w:t>
      </w:r>
      <w:r w:rsidRPr="00743E58">
        <w:rPr>
          <w:color w:val="auto"/>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770005CE" w14:textId="77777777" w:rsidR="009569D0" w:rsidRPr="00743E58" w:rsidRDefault="009569D0" w:rsidP="00743E58"/>
    <w:p w14:paraId="56EBAE77" w14:textId="77777777" w:rsidR="009569D0" w:rsidRPr="00743E58" w:rsidRDefault="00B76053" w:rsidP="00743E58">
      <w:r w:rsidRPr="00743E58">
        <w:t xml:space="preserve">En el entendido que, el derecho de acceso a la información consiste en que la </w:t>
      </w:r>
      <w:r w:rsidRPr="00743E58">
        <w:rPr>
          <w:b/>
          <w:u w:val="single"/>
        </w:rPr>
        <w:t>información solicitada conste en un soporte documental</w:t>
      </w:r>
      <w:r w:rsidRPr="00743E58">
        <w:t xml:space="preserve"> en cualquiera de sus formas, a saber: expedientes, reportes, estudios, actas</w:t>
      </w:r>
      <w:r w:rsidRPr="00743E58">
        <w:rPr>
          <w:b/>
        </w:rPr>
        <w:t>,</w:t>
      </w:r>
      <w:r w:rsidRPr="00743E58">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2A90E42C" w14:textId="77777777" w:rsidR="009569D0" w:rsidRPr="00743E58" w:rsidRDefault="009569D0" w:rsidP="00743E58">
      <w:pPr>
        <w:rPr>
          <w:i/>
        </w:rPr>
      </w:pPr>
    </w:p>
    <w:p w14:paraId="138E36C4" w14:textId="77777777" w:rsidR="009569D0" w:rsidRPr="00743E58" w:rsidRDefault="00B76053" w:rsidP="00743E58">
      <w:pPr>
        <w:pStyle w:val="Puesto"/>
        <w:ind w:firstLine="0"/>
        <w:rPr>
          <w:b/>
          <w:color w:val="auto"/>
        </w:rPr>
      </w:pPr>
      <w:r w:rsidRPr="00743E58">
        <w:rPr>
          <w:color w:val="auto"/>
        </w:rPr>
        <w:t>“</w:t>
      </w:r>
      <w:r w:rsidRPr="00743E58">
        <w:rPr>
          <w:b/>
          <w:color w:val="auto"/>
        </w:rPr>
        <w:t>Artículo 3. Para los efectos de la presente Ley se entenderá por:</w:t>
      </w:r>
    </w:p>
    <w:p w14:paraId="51D7BB51" w14:textId="77777777" w:rsidR="009569D0" w:rsidRPr="00743E58" w:rsidRDefault="00B76053" w:rsidP="00743E58">
      <w:pPr>
        <w:pStyle w:val="Puesto"/>
        <w:ind w:firstLine="0"/>
        <w:rPr>
          <w:b/>
          <w:color w:val="auto"/>
        </w:rPr>
      </w:pPr>
      <w:r w:rsidRPr="00743E58">
        <w:rPr>
          <w:b/>
          <w:color w:val="auto"/>
        </w:rPr>
        <w:t>…</w:t>
      </w:r>
    </w:p>
    <w:p w14:paraId="5C3A0284" w14:textId="77777777" w:rsidR="009569D0" w:rsidRPr="00743E58" w:rsidRDefault="00B76053" w:rsidP="00743E58">
      <w:pPr>
        <w:pStyle w:val="Puesto"/>
        <w:ind w:firstLine="0"/>
        <w:rPr>
          <w:color w:val="auto"/>
        </w:rPr>
      </w:pPr>
      <w:r w:rsidRPr="00743E58">
        <w:rPr>
          <w:b/>
          <w:color w:val="auto"/>
        </w:rPr>
        <w:t>XI. Documento:</w:t>
      </w:r>
      <w:r w:rsidRPr="00743E58">
        <w:rPr>
          <w:color w:val="auto"/>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87F77F7" w14:textId="77777777" w:rsidR="009569D0" w:rsidRPr="00743E58" w:rsidRDefault="009569D0" w:rsidP="00743E58">
      <w:pPr>
        <w:ind w:left="1134" w:right="901"/>
      </w:pPr>
    </w:p>
    <w:p w14:paraId="0D2A1BCB" w14:textId="77777777" w:rsidR="009569D0" w:rsidRPr="00743E58" w:rsidRDefault="00B76053" w:rsidP="00743E58">
      <w:r w:rsidRPr="00743E58">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3790527" w14:textId="77777777" w:rsidR="009569D0" w:rsidRPr="00743E58" w:rsidRDefault="009569D0" w:rsidP="00743E58">
      <w:pPr>
        <w:ind w:left="851" w:right="850"/>
      </w:pPr>
    </w:p>
    <w:p w14:paraId="74C76ACD" w14:textId="77777777" w:rsidR="009569D0" w:rsidRPr="00743E58" w:rsidRDefault="00B76053" w:rsidP="00743E58">
      <w:pPr>
        <w:pStyle w:val="Puesto"/>
        <w:ind w:firstLine="0"/>
        <w:rPr>
          <w:b/>
          <w:color w:val="auto"/>
        </w:rPr>
      </w:pPr>
      <w:r w:rsidRPr="00743E58">
        <w:rPr>
          <w:color w:val="auto"/>
        </w:rPr>
        <w:t>“</w:t>
      </w:r>
      <w:r w:rsidRPr="00743E58">
        <w:rPr>
          <w:b/>
          <w:color w:val="auto"/>
        </w:rPr>
        <w:t>CRITERIO 0002-11</w:t>
      </w:r>
    </w:p>
    <w:p w14:paraId="21593F2C" w14:textId="77777777" w:rsidR="009569D0" w:rsidRPr="00743E58" w:rsidRDefault="00B76053" w:rsidP="00743E58">
      <w:pPr>
        <w:pStyle w:val="Puesto"/>
        <w:ind w:firstLine="0"/>
        <w:rPr>
          <w:color w:val="auto"/>
        </w:rPr>
      </w:pPr>
      <w:r w:rsidRPr="00743E58">
        <w:rPr>
          <w:b/>
          <w:color w:val="auto"/>
        </w:rPr>
        <w:t xml:space="preserve">INFORMACIÓN PÚBLICA, CONCEPTO DE, EN MATERIA DE TRANSPARENCIA. INTERPRETACIÓN SISTEMÁTICA DE LOS ARTÍCULOS </w:t>
      </w:r>
      <w:bookmarkStart w:id="26" w:name="_GoBack"/>
      <w:bookmarkEnd w:id="26"/>
      <w:r w:rsidRPr="00743E58">
        <w:rPr>
          <w:b/>
          <w:color w:val="auto"/>
        </w:rPr>
        <w:t>2°, FRACCIÓN V, XV, Y XVI, 3°, 4°, 11 Y 41</w:t>
      </w:r>
      <w:r w:rsidRPr="00743E58">
        <w:rPr>
          <w:color w:val="auto"/>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7D948D5" w14:textId="77777777" w:rsidR="009569D0" w:rsidRPr="00743E58" w:rsidRDefault="00B76053" w:rsidP="00743E58">
      <w:pPr>
        <w:pStyle w:val="Puesto"/>
        <w:ind w:firstLine="0"/>
        <w:rPr>
          <w:color w:val="auto"/>
        </w:rPr>
      </w:pPr>
      <w:r w:rsidRPr="00743E58">
        <w:rPr>
          <w:color w:val="auto"/>
        </w:rPr>
        <w:t>En consecuencia el acceso a la información se refiere a que se cumplan cualquiera de los siguientes tres supuestos:</w:t>
      </w:r>
    </w:p>
    <w:p w14:paraId="65CC0904" w14:textId="77777777" w:rsidR="009569D0" w:rsidRPr="00743E58" w:rsidRDefault="00B76053" w:rsidP="00743E58">
      <w:pPr>
        <w:pStyle w:val="Puesto"/>
        <w:ind w:firstLine="0"/>
        <w:rPr>
          <w:color w:val="auto"/>
        </w:rPr>
      </w:pPr>
      <w:r w:rsidRPr="00743E58">
        <w:rPr>
          <w:color w:val="auto"/>
        </w:rPr>
        <w:t>1) Que se trate de información registrada en cualquier soporte documental, que en ejercicio de las atribuciones conferidas, sea generada por los Sujetos Obligados;</w:t>
      </w:r>
    </w:p>
    <w:p w14:paraId="5F82BF2F" w14:textId="77777777" w:rsidR="009569D0" w:rsidRPr="00743E58" w:rsidRDefault="00B76053" w:rsidP="00743E58">
      <w:pPr>
        <w:pStyle w:val="Puesto"/>
        <w:ind w:firstLine="0"/>
        <w:rPr>
          <w:color w:val="auto"/>
        </w:rPr>
      </w:pPr>
      <w:r w:rsidRPr="00743E58">
        <w:rPr>
          <w:color w:val="auto"/>
        </w:rPr>
        <w:t>2) Que se trate de información registrada en cualquier soporte documental, que en ejercicio de las atribuciones conferidas, sea administrada por los Sujetos Obligados, y</w:t>
      </w:r>
    </w:p>
    <w:p w14:paraId="35ED5B05" w14:textId="77777777" w:rsidR="009569D0" w:rsidRPr="00743E58" w:rsidRDefault="00B76053" w:rsidP="00743E58">
      <w:pPr>
        <w:pStyle w:val="Puesto"/>
        <w:ind w:firstLine="0"/>
        <w:rPr>
          <w:color w:val="auto"/>
        </w:rPr>
      </w:pPr>
      <w:r w:rsidRPr="00743E58">
        <w:rPr>
          <w:color w:val="auto"/>
        </w:rPr>
        <w:t>3) Que se trate de información registrada en cualquier soporte documental, que en ejercicio de las atribuciones conferidas, se encuentre en posesión de los Sujetos Obligados.” (Sic)</w:t>
      </w:r>
    </w:p>
    <w:p w14:paraId="6DC9ACB3" w14:textId="77777777" w:rsidR="009569D0" w:rsidRPr="00743E58" w:rsidRDefault="009569D0" w:rsidP="00743E58"/>
    <w:p w14:paraId="6CF33FB8" w14:textId="77777777" w:rsidR="009569D0" w:rsidRPr="00743E58" w:rsidRDefault="00B76053" w:rsidP="00743E58">
      <w:r w:rsidRPr="00743E58">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743E58">
        <w:rPr>
          <w:b/>
        </w:rPr>
        <w:t>EL SUJETO OBLIGADO</w:t>
      </w:r>
      <w:r w:rsidRPr="00743E58">
        <w:t xml:space="preserve"> la generó o porque como parte del ejercicio de sus funciones la recibió y por consiguiente, la administra y posee. </w:t>
      </w:r>
    </w:p>
    <w:p w14:paraId="4AE056E0" w14:textId="77777777" w:rsidR="009569D0" w:rsidRPr="00743E58" w:rsidRDefault="009569D0" w:rsidP="00743E58"/>
    <w:p w14:paraId="1B71B1E9" w14:textId="77777777" w:rsidR="009569D0" w:rsidRPr="00743E58" w:rsidRDefault="00B76053" w:rsidP="00743E58">
      <w:r w:rsidRPr="00743E58">
        <w:lastRenderedPageBreak/>
        <w:t xml:space="preserve">Robustece lo anterior, el Criterio 03/17 emitido por el entonces Instituto Nacional de Transparencia, Acceso a la Información y Protección de Datos Personales, el cual establece lo siguiente: </w:t>
      </w:r>
    </w:p>
    <w:p w14:paraId="73C2E5A6" w14:textId="77777777" w:rsidR="009569D0" w:rsidRPr="00743E58" w:rsidRDefault="009569D0" w:rsidP="00743E58"/>
    <w:p w14:paraId="16F0FF61" w14:textId="77777777" w:rsidR="009569D0" w:rsidRPr="00743E58" w:rsidRDefault="00B76053" w:rsidP="00743E58">
      <w:pPr>
        <w:pStyle w:val="Puesto"/>
        <w:ind w:firstLine="0"/>
        <w:rPr>
          <w:color w:val="auto"/>
        </w:rPr>
      </w:pPr>
      <w:r w:rsidRPr="00743E58">
        <w:rPr>
          <w:color w:val="auto"/>
        </w:rPr>
        <w:t>“</w:t>
      </w:r>
      <w:r w:rsidRPr="00743E58">
        <w:rPr>
          <w:b/>
          <w:color w:val="auto"/>
        </w:rPr>
        <w:t xml:space="preserve">No existe obligación de elaborar documentos ad hoc para atender las solicitudes de acceso a la información. </w:t>
      </w:r>
      <w:r w:rsidRPr="00743E58">
        <w:rPr>
          <w:color w:val="auto"/>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3681D945" w14:textId="77777777" w:rsidR="009569D0" w:rsidRPr="00743E58" w:rsidRDefault="009569D0" w:rsidP="00743E58"/>
    <w:p w14:paraId="2E790C47" w14:textId="77777777" w:rsidR="009569D0" w:rsidRPr="00743E58" w:rsidRDefault="00B76053" w:rsidP="00743E58">
      <w:pPr>
        <w:pBdr>
          <w:top w:val="nil"/>
          <w:left w:val="nil"/>
          <w:bottom w:val="nil"/>
          <w:right w:val="nil"/>
          <w:between w:val="nil"/>
        </w:pBdr>
      </w:pPr>
      <w:r w:rsidRPr="00743E58">
        <w:t xml:space="preserve">Reiterando que, cuando los planteamientos que formulen los particulares se pueda colmar con la entrega de documentos que los </w:t>
      </w:r>
      <w:r w:rsidRPr="00743E58">
        <w:rPr>
          <w:b/>
        </w:rPr>
        <w:t>Sujetos Obligados</w:t>
      </w:r>
      <w:r w:rsidRPr="00743E58">
        <w:t xml:space="preserve"> generen, posean o administren en ejercicio de sus atribuciones, se está en presencia del derecho fundamental de acceso a la información, previsto en el artículo 6, Apartado A, fracción IV de la Constitución Política de los Estados Unidos Mexicanos, el cual deberá garantizarse ordenando la entrega de tales documentales, siempre y cuando éstas sean de acceso público.</w:t>
      </w:r>
    </w:p>
    <w:p w14:paraId="74D8BBF5" w14:textId="77777777" w:rsidR="009569D0" w:rsidRPr="00743E58" w:rsidRDefault="00B76053" w:rsidP="00743E58">
      <w:pPr>
        <w:spacing w:before="240" w:after="240"/>
        <w:ind w:right="49"/>
      </w:pPr>
      <w:r w:rsidRPr="00743E58">
        <w:t>Una vez establecido lo anterior, es necesario iniciar señalando que quien se pronunció fue la persona titular de la Coordinación de Recursos Humanos así como la Dirección de Administración, del ente recurrido, quien de conformidad con el Bando Municipal t el Manual de Organización cuenta con las siguientes atribuciones:</w:t>
      </w:r>
    </w:p>
    <w:p w14:paraId="39AFA0BD" w14:textId="77777777" w:rsidR="009569D0" w:rsidRPr="00743E58" w:rsidRDefault="00B76053" w:rsidP="00743E58">
      <w:pPr>
        <w:pStyle w:val="Puesto"/>
        <w:ind w:right="1106" w:firstLine="0"/>
        <w:rPr>
          <w:color w:val="auto"/>
        </w:rPr>
      </w:pPr>
      <w:r w:rsidRPr="00743E58">
        <w:rPr>
          <w:color w:val="auto"/>
        </w:rPr>
        <w:t>“</w:t>
      </w:r>
    </w:p>
    <w:p w14:paraId="21B63A85" w14:textId="77777777" w:rsidR="009569D0" w:rsidRPr="00743E58" w:rsidRDefault="00B76053" w:rsidP="00743E58">
      <w:pPr>
        <w:ind w:left="567" w:right="1106"/>
        <w:rPr>
          <w:i/>
        </w:rPr>
      </w:pPr>
      <w:r w:rsidRPr="00743E58">
        <w:rPr>
          <w:i/>
        </w:rPr>
        <w:t xml:space="preserve">13.Dirección de Administración: </w:t>
      </w:r>
    </w:p>
    <w:p w14:paraId="66EFBB35" w14:textId="77777777" w:rsidR="009569D0" w:rsidRPr="00743E58" w:rsidRDefault="00B76053" w:rsidP="00743E58">
      <w:pPr>
        <w:ind w:left="567" w:right="1106"/>
        <w:rPr>
          <w:i/>
        </w:rPr>
      </w:pPr>
      <w:r w:rsidRPr="00743E58">
        <w:rPr>
          <w:i/>
        </w:rPr>
        <w:t>13.1 Coordinación de Recursos Humanos;</w:t>
      </w:r>
    </w:p>
    <w:p w14:paraId="15EDD79E" w14:textId="77777777" w:rsidR="009569D0" w:rsidRPr="00743E58" w:rsidRDefault="009569D0" w:rsidP="00743E58">
      <w:pPr>
        <w:ind w:left="567" w:right="1106"/>
        <w:rPr>
          <w:i/>
        </w:rPr>
      </w:pPr>
    </w:p>
    <w:p w14:paraId="6075896F" w14:textId="77777777" w:rsidR="009569D0" w:rsidRPr="00743E58" w:rsidRDefault="00B76053" w:rsidP="00743E58">
      <w:pPr>
        <w:ind w:left="567" w:right="1106"/>
        <w:jc w:val="center"/>
        <w:rPr>
          <w:b/>
          <w:i/>
        </w:rPr>
      </w:pPr>
      <w:r w:rsidRPr="00743E58">
        <w:rPr>
          <w:b/>
          <w:i/>
        </w:rPr>
        <w:t>Dirección de Administración</w:t>
      </w:r>
    </w:p>
    <w:p w14:paraId="18265AA4" w14:textId="77777777" w:rsidR="009569D0" w:rsidRPr="00743E58" w:rsidRDefault="00B76053" w:rsidP="00743E58">
      <w:pPr>
        <w:ind w:left="567" w:right="1106"/>
        <w:rPr>
          <w:i/>
        </w:rPr>
      </w:pPr>
      <w:r w:rsidRPr="00743E58">
        <w:rPr>
          <w:i/>
        </w:rPr>
        <w:t xml:space="preserve">Objetivo: Diseñar, establecer, aplicar, actualizar y difundir las políticas y lineamientos para la contratación, control y pago de remuneraciones al personal, adquisición de bienes, contratación de servicios, asignación y uso de los bienes y servicios y la prestación de los servicios generales al gobierno municipal de Tenancingo, a fin de lograr la optimización de los recursos humanos y materiales. </w:t>
      </w:r>
    </w:p>
    <w:p w14:paraId="12700DF6" w14:textId="77777777" w:rsidR="009569D0" w:rsidRPr="00743E58" w:rsidRDefault="00B76053" w:rsidP="00743E58">
      <w:pPr>
        <w:ind w:left="567" w:right="1106"/>
        <w:rPr>
          <w:i/>
        </w:rPr>
      </w:pPr>
      <w:r w:rsidRPr="00743E58">
        <w:rPr>
          <w:i/>
        </w:rPr>
        <w:t xml:space="preserve">Funciones: </w:t>
      </w:r>
    </w:p>
    <w:p w14:paraId="6FD45BAC" w14:textId="77777777" w:rsidR="009569D0" w:rsidRPr="00743E58" w:rsidRDefault="00B76053" w:rsidP="00743E58">
      <w:pPr>
        <w:ind w:left="567" w:right="1106"/>
        <w:rPr>
          <w:i/>
        </w:rPr>
      </w:pPr>
      <w:r w:rsidRPr="00743E58">
        <w:rPr>
          <w:i/>
        </w:rPr>
        <w:t xml:space="preserve">1. Definir y aplicar los mecanismos que regulan los procesos de reclutamiento, selección, contratación, inducción y control de las personas que pretendan ingresar a laborar en la administración pública municipal de Tenancingo; </w:t>
      </w:r>
    </w:p>
    <w:p w14:paraId="40CDD65C" w14:textId="77777777" w:rsidR="009569D0" w:rsidRPr="00743E58" w:rsidRDefault="00B76053" w:rsidP="00743E58">
      <w:pPr>
        <w:ind w:left="567" w:right="1106"/>
        <w:rPr>
          <w:i/>
        </w:rPr>
      </w:pPr>
      <w:r w:rsidRPr="00743E58">
        <w:rPr>
          <w:i/>
        </w:rPr>
        <w:t xml:space="preserve">2. Integrar, sistematizar y actualizar la plantilla del personal, de acuerdo con los niveles salariales y los puestos autorizados; </w:t>
      </w:r>
    </w:p>
    <w:p w14:paraId="33A57172" w14:textId="77777777" w:rsidR="009569D0" w:rsidRPr="00743E58" w:rsidRDefault="00B76053" w:rsidP="00743E58">
      <w:pPr>
        <w:ind w:left="567" w:right="1106"/>
        <w:rPr>
          <w:i/>
        </w:rPr>
      </w:pPr>
      <w:r w:rsidRPr="00743E58">
        <w:rPr>
          <w:i/>
        </w:rPr>
        <w:t xml:space="preserve">3. Recibir, documentar, integrar y aprobar los movimientos administrativos del personal que labora en la administración pública municipal; </w:t>
      </w:r>
    </w:p>
    <w:p w14:paraId="6CFDFD13" w14:textId="77777777" w:rsidR="009569D0" w:rsidRPr="00743E58" w:rsidRDefault="00B76053" w:rsidP="00743E58">
      <w:pPr>
        <w:ind w:left="567" w:right="1106"/>
        <w:rPr>
          <w:i/>
        </w:rPr>
      </w:pPr>
      <w:r w:rsidRPr="00743E58">
        <w:rPr>
          <w:i/>
        </w:rPr>
        <w:t>4. Elaborar la nómina para el pago al personal que labora en la administración pública municipal, apegándose al presupuesto y normatividad aplicable en la materia;</w:t>
      </w:r>
    </w:p>
    <w:p w14:paraId="66E2B9DC" w14:textId="77777777" w:rsidR="009569D0" w:rsidRPr="00743E58" w:rsidRDefault="00B76053" w:rsidP="00743E58">
      <w:pPr>
        <w:ind w:left="567" w:right="1106"/>
        <w:rPr>
          <w:b/>
          <w:i/>
          <w:u w:val="single"/>
        </w:rPr>
      </w:pPr>
      <w:r w:rsidRPr="00743E58">
        <w:rPr>
          <w:b/>
          <w:i/>
          <w:u w:val="single"/>
        </w:rPr>
        <w:t xml:space="preserve">5. Generar, autorizar y controlar el uso de las listas de raya del personal que labora en la administración pública municipal y los contratos temporales de las y los servidoras(es) públicas(os) de nuevo ingreso para remitirlos a las unidades administrativas para su resguardo; </w:t>
      </w:r>
    </w:p>
    <w:p w14:paraId="230125C9" w14:textId="77777777" w:rsidR="009569D0" w:rsidRPr="00743E58" w:rsidRDefault="00B76053" w:rsidP="00743E58">
      <w:pPr>
        <w:ind w:left="567" w:right="1106"/>
        <w:rPr>
          <w:i/>
        </w:rPr>
      </w:pPr>
      <w:r w:rsidRPr="00743E58">
        <w:rPr>
          <w:i/>
        </w:rPr>
        <w:t>6. Diseñar y realizar programas de capacitación y autorizar convenios ante instituciones, para la impartición de cursos a las y los servidoras(es) públicas(os);</w:t>
      </w:r>
    </w:p>
    <w:p w14:paraId="7E1342F8" w14:textId="77777777" w:rsidR="009569D0" w:rsidRPr="00743E58" w:rsidRDefault="009569D0" w:rsidP="00743E58">
      <w:pPr>
        <w:ind w:left="567" w:right="1106"/>
        <w:rPr>
          <w:i/>
        </w:rPr>
      </w:pPr>
    </w:p>
    <w:p w14:paraId="43FD11B7" w14:textId="77777777" w:rsidR="009569D0" w:rsidRPr="00743E58" w:rsidRDefault="00B76053" w:rsidP="00743E58">
      <w:pPr>
        <w:ind w:left="567" w:right="1106"/>
        <w:jc w:val="center"/>
        <w:rPr>
          <w:b/>
          <w:i/>
        </w:rPr>
      </w:pPr>
      <w:r w:rsidRPr="00743E58">
        <w:rPr>
          <w:b/>
          <w:i/>
        </w:rPr>
        <w:t>Subdirección de Recursos Humanos</w:t>
      </w:r>
    </w:p>
    <w:p w14:paraId="5E9D696D" w14:textId="77777777" w:rsidR="009569D0" w:rsidRPr="00743E58" w:rsidRDefault="00B76053" w:rsidP="00743E58">
      <w:pPr>
        <w:ind w:left="567" w:right="1106"/>
        <w:rPr>
          <w:i/>
        </w:rPr>
      </w:pPr>
      <w:bookmarkStart w:id="27" w:name="_heading=h.9sjz5ipz0csf" w:colFirst="0" w:colLast="0"/>
      <w:bookmarkEnd w:id="27"/>
      <w:r w:rsidRPr="00743E58">
        <w:rPr>
          <w:i/>
        </w:rPr>
        <w:lastRenderedPageBreak/>
        <w:t xml:space="preserve">Objetivo: Planear, organizar y supervisar que se apliquen correctamente las políticas, procedimientos y disposiciones jurídico-laborales, para el aprovechamiento óptimo, eficiente y racional de los recursos humanos; así como, mejorar y actualizar permanentemente los sistemas de administración y desarrollo del personal. </w:t>
      </w:r>
    </w:p>
    <w:p w14:paraId="57E27388" w14:textId="77777777" w:rsidR="009569D0" w:rsidRPr="00743E58" w:rsidRDefault="00B76053" w:rsidP="00743E58">
      <w:pPr>
        <w:ind w:left="567" w:right="1106"/>
        <w:rPr>
          <w:i/>
        </w:rPr>
      </w:pPr>
      <w:r w:rsidRPr="00743E58">
        <w:rPr>
          <w:i/>
        </w:rPr>
        <w:t xml:space="preserve">Funciones: </w:t>
      </w:r>
    </w:p>
    <w:p w14:paraId="257708B1" w14:textId="77777777" w:rsidR="009569D0" w:rsidRPr="00743E58" w:rsidRDefault="00B76053" w:rsidP="00743E58">
      <w:pPr>
        <w:ind w:left="567" w:right="1106"/>
        <w:rPr>
          <w:i/>
        </w:rPr>
      </w:pPr>
      <w:r w:rsidRPr="00743E58">
        <w:rPr>
          <w:i/>
        </w:rPr>
        <w:t xml:space="preserve">1. Elaborar mecanismos de control para la selección, contratación, inducción, rotación y promoción del personal al servicio del Ayuntamiento; </w:t>
      </w:r>
    </w:p>
    <w:p w14:paraId="6295316F" w14:textId="77777777" w:rsidR="009569D0" w:rsidRPr="00743E58" w:rsidRDefault="00B76053" w:rsidP="00743E58">
      <w:pPr>
        <w:ind w:left="567" w:right="1106"/>
        <w:rPr>
          <w:i/>
        </w:rPr>
      </w:pPr>
      <w:r w:rsidRPr="00743E58">
        <w:rPr>
          <w:i/>
        </w:rPr>
        <w:t xml:space="preserve">2. Analizar y vigilar que se cumplan las disposiciones en materia de trabajo, seguridad e higiene, así como las demás normas vigentes en la institución, respecto de los derechos y obligaciones del personal; </w:t>
      </w:r>
    </w:p>
    <w:p w14:paraId="109665F0" w14:textId="77777777" w:rsidR="009569D0" w:rsidRPr="00743E58" w:rsidRDefault="00B76053" w:rsidP="00743E58">
      <w:pPr>
        <w:ind w:left="567" w:right="1106"/>
        <w:rPr>
          <w:i/>
        </w:rPr>
      </w:pPr>
      <w:r w:rsidRPr="00743E58">
        <w:rPr>
          <w:i/>
        </w:rPr>
        <w:t xml:space="preserve">3. Aplicar las disposiciones legales laborales que rigen al personal del Ayuntamiento; </w:t>
      </w:r>
    </w:p>
    <w:p w14:paraId="74D17044" w14:textId="77777777" w:rsidR="009569D0" w:rsidRPr="00743E58" w:rsidRDefault="00B76053" w:rsidP="00743E58">
      <w:pPr>
        <w:ind w:left="567" w:right="1106"/>
        <w:rPr>
          <w:i/>
        </w:rPr>
      </w:pPr>
      <w:r w:rsidRPr="00743E58">
        <w:rPr>
          <w:i/>
        </w:rPr>
        <w:t xml:space="preserve">4. Registrar las altas, bajas, cambios de categoría y adscripción, permisos y licencias por incapacidad, entre otras, del personal, y su correcta aplicación en el archivo de expedientes; </w:t>
      </w:r>
    </w:p>
    <w:p w14:paraId="21CCD6DE" w14:textId="77777777" w:rsidR="009569D0" w:rsidRPr="00743E58" w:rsidRDefault="00B76053" w:rsidP="00743E58">
      <w:pPr>
        <w:ind w:left="567" w:right="1106"/>
        <w:rPr>
          <w:i/>
        </w:rPr>
      </w:pPr>
      <w:r w:rsidRPr="00743E58">
        <w:rPr>
          <w:i/>
        </w:rPr>
        <w:t>5. Elaborar y distribuir oportunamente la nómina para el pago al personal que labora en el Ayuntamiento, apegándose al presupuesto autorizado y descontar la percepción económica correspondiente cuando exista orden de autoridad competente;</w:t>
      </w:r>
      <w:r w:rsidRPr="00743E58">
        <w:t>”</w:t>
      </w:r>
    </w:p>
    <w:p w14:paraId="4A5BC75B" w14:textId="77777777" w:rsidR="009569D0" w:rsidRPr="00743E58" w:rsidRDefault="009569D0" w:rsidP="00743E58">
      <w:pPr>
        <w:pStyle w:val="Puesto"/>
        <w:rPr>
          <w:color w:val="auto"/>
        </w:rPr>
      </w:pPr>
    </w:p>
    <w:p w14:paraId="3DFBDD8D" w14:textId="77777777" w:rsidR="009569D0" w:rsidRPr="00743E58" w:rsidRDefault="00B76053" w:rsidP="00743E58">
      <w:pPr>
        <w:pStyle w:val="Puesto"/>
        <w:rPr>
          <w:color w:val="auto"/>
        </w:rPr>
      </w:pPr>
      <w:r w:rsidRPr="00743E58">
        <w:rPr>
          <w:color w:val="auto"/>
        </w:rPr>
        <w:t>(Énfasis añadido)</w:t>
      </w:r>
    </w:p>
    <w:p w14:paraId="026F4EDB" w14:textId="77777777" w:rsidR="009569D0" w:rsidRPr="00743E58" w:rsidRDefault="009569D0" w:rsidP="00743E58"/>
    <w:p w14:paraId="0330D8DE" w14:textId="77777777" w:rsidR="009569D0" w:rsidRPr="00743E58" w:rsidRDefault="00B76053" w:rsidP="00743E58">
      <w:pPr>
        <w:ind w:right="49"/>
      </w:pPr>
      <w:r w:rsidRPr="00743E58">
        <w:t xml:space="preserve">De tal suerte que como se desprende de lo anteriormente citado, la </w:t>
      </w:r>
      <w:r w:rsidRPr="00743E58">
        <w:rPr>
          <w:b/>
        </w:rPr>
        <w:t xml:space="preserve">Dirección de Administración </w:t>
      </w:r>
      <w:r w:rsidRPr="00743E58">
        <w:t xml:space="preserve">es la encargada y responsable de diseñar, establecer, aplicar, actualizar y difundir las políticas y lineamientos para la contratación, control y pago de remuneraciones al personal, adquisición de bienes, contratación de servicios, asignación y uso de los bienes y servicios y la prestación de los servicios generales al gobierno municipal de Tenancingo, a fin de lograr la optimización de los recursos humanos y materiales; así como la de Recursos Humanos, le corresponde planear, organizar y supervisar que se apliquen correctamente las </w:t>
      </w:r>
      <w:r w:rsidRPr="00743E58">
        <w:lastRenderedPageBreak/>
        <w:t>políticas, procedimientos y disposiciones jurídico-laborales, para el aprovechamiento óptimo, eficiente y racional de los recursos humanos; así como, mejorar y actualizar permanentemente los sistemas de administración y desarrollo del personal;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3FC5DB3" w14:textId="77777777" w:rsidR="009569D0" w:rsidRPr="00743E58" w:rsidRDefault="009569D0" w:rsidP="00743E58"/>
    <w:p w14:paraId="03A3441D" w14:textId="77777777" w:rsidR="009569D0" w:rsidRPr="00743E58" w:rsidRDefault="00B76053" w:rsidP="00743E58">
      <w:pPr>
        <w:pStyle w:val="Puesto"/>
        <w:ind w:firstLine="0"/>
        <w:rPr>
          <w:color w:val="auto"/>
        </w:rPr>
      </w:pPr>
      <w:r w:rsidRPr="00743E58">
        <w:rPr>
          <w:b/>
          <w:color w:val="auto"/>
        </w:rPr>
        <w:t>XXXIX.</w:t>
      </w:r>
      <w:r w:rsidRPr="00743E58">
        <w:rPr>
          <w:color w:val="auto"/>
        </w:rPr>
        <w:t xml:space="preserve">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978BF34" w14:textId="77777777" w:rsidR="009569D0" w:rsidRPr="00743E58" w:rsidRDefault="009569D0" w:rsidP="00743E58"/>
    <w:p w14:paraId="184BF02A" w14:textId="77777777" w:rsidR="009569D0" w:rsidRPr="00743E58" w:rsidRDefault="00B76053" w:rsidP="00743E58">
      <w:r w:rsidRPr="00743E58">
        <w:t>En este orden de ideas, se advierte que efectivamente la Unidad de Transparencia cumplió con lo expresado en el artículo 162 de la Ley de Transparencia y Acceso a la Información Pública del Estado de México y Municipios, el cual menciona lo siguiente:</w:t>
      </w:r>
    </w:p>
    <w:p w14:paraId="34492D46" w14:textId="77777777" w:rsidR="009569D0" w:rsidRPr="00743E58" w:rsidRDefault="009569D0" w:rsidP="00743E58"/>
    <w:p w14:paraId="765AA67D" w14:textId="77777777" w:rsidR="009569D0" w:rsidRPr="00743E58" w:rsidRDefault="00B76053" w:rsidP="00743E58">
      <w:pPr>
        <w:pStyle w:val="Puesto"/>
        <w:ind w:firstLine="0"/>
        <w:rPr>
          <w:color w:val="auto"/>
        </w:rPr>
      </w:pPr>
      <w:r w:rsidRPr="00743E58">
        <w:rPr>
          <w:color w:val="auto"/>
        </w:rPr>
        <w:t xml:space="preserve">“Artículo 162. Las unidades de transparencia deberán garantizar que las solicitudes </w:t>
      </w:r>
      <w:r w:rsidRPr="00743E58">
        <w:rPr>
          <w:b/>
          <w:color w:val="auto"/>
        </w:rPr>
        <w:t xml:space="preserve">se turnen a todas las Áreas competentes </w:t>
      </w:r>
      <w:r w:rsidRPr="00743E58">
        <w:rPr>
          <w:color w:val="auto"/>
        </w:rPr>
        <w:t>que cuenten con la información o deban tenerla de acuerdo a sus facultades, competencias y funciones, con el objeto de que realicen una búsqueda exhaustiva y razonable de la información solicitada.”</w:t>
      </w:r>
    </w:p>
    <w:p w14:paraId="0EB1F99E" w14:textId="77777777" w:rsidR="009569D0" w:rsidRPr="00743E58" w:rsidRDefault="009569D0" w:rsidP="00743E58">
      <w:pPr>
        <w:pBdr>
          <w:top w:val="nil"/>
          <w:left w:val="nil"/>
          <w:bottom w:val="nil"/>
          <w:right w:val="nil"/>
          <w:between w:val="nil"/>
        </w:pBdr>
        <w:ind w:right="49"/>
      </w:pPr>
    </w:p>
    <w:p w14:paraId="5CC1E95B" w14:textId="77777777" w:rsidR="009569D0" w:rsidRPr="00743E58" w:rsidRDefault="00B76053" w:rsidP="00743E58">
      <w:pPr>
        <w:pBdr>
          <w:top w:val="nil"/>
          <w:left w:val="nil"/>
          <w:bottom w:val="nil"/>
          <w:right w:val="nil"/>
          <w:between w:val="nil"/>
        </w:pBdr>
        <w:ind w:right="49"/>
      </w:pPr>
      <w:r w:rsidRPr="00743E58">
        <w:t xml:space="preserve">En virtud de lo anterior, se tiene que, </w:t>
      </w:r>
      <w:r w:rsidRPr="00743E58">
        <w:rPr>
          <w:b/>
          <w:u w:val="single"/>
        </w:rPr>
        <w:t>el procedimiento de búsqueda de la información se realizó conforme lo estipula la Ley de Transparencia Local. </w:t>
      </w:r>
    </w:p>
    <w:p w14:paraId="1622226D" w14:textId="77777777" w:rsidR="009569D0" w:rsidRPr="00743E58" w:rsidRDefault="009569D0" w:rsidP="00743E58"/>
    <w:p w14:paraId="368F6552" w14:textId="77777777" w:rsidR="009569D0" w:rsidRPr="00743E58" w:rsidRDefault="00B76053" w:rsidP="00743E58">
      <w:r w:rsidRPr="00743E58">
        <w:lastRenderedPageBreak/>
        <w:t xml:space="preserve">Continuando en esta línea de estudio, se procede a analizar la respuesta proporcionada a fin de verificar si la información entregada por </w:t>
      </w:r>
      <w:r w:rsidRPr="00743E58">
        <w:rPr>
          <w:b/>
        </w:rPr>
        <w:t>EL SUJETO OBLIGADO</w:t>
      </w:r>
      <w:r w:rsidRPr="00743E58">
        <w:t xml:space="preserve"> colmó el derecho de acceso a la información pública del particular.</w:t>
      </w:r>
    </w:p>
    <w:p w14:paraId="362EDDB2" w14:textId="77777777" w:rsidR="009569D0" w:rsidRPr="00743E58" w:rsidRDefault="009569D0" w:rsidP="00743E58">
      <w:pPr>
        <w:ind w:right="-93"/>
      </w:pPr>
    </w:p>
    <w:p w14:paraId="3EFBC683" w14:textId="77777777" w:rsidR="009569D0" w:rsidRPr="00743E58" w:rsidRDefault="00B76053" w:rsidP="00743E58">
      <w:pPr>
        <w:ind w:right="-93"/>
      </w:pPr>
      <w:r w:rsidRPr="00743E58">
        <w:t xml:space="preserve">Bajo ese contexto, es de recordar que, respecto de la petición de la persona referida en la solicitud de información en estudio, </w:t>
      </w:r>
      <w:r w:rsidRPr="00743E58">
        <w:rPr>
          <w:b/>
        </w:rPr>
        <w:t xml:space="preserve">EL SUJETO OBLIGADO </w:t>
      </w:r>
      <w:r w:rsidRPr="00743E58">
        <w:t>manifestó que no se encontró información.</w:t>
      </w:r>
    </w:p>
    <w:p w14:paraId="5BFB690E" w14:textId="77777777" w:rsidR="009569D0" w:rsidRPr="00743E58" w:rsidRDefault="009569D0" w:rsidP="00743E58">
      <w:pPr>
        <w:ind w:right="-93"/>
      </w:pPr>
    </w:p>
    <w:p w14:paraId="56FA1347" w14:textId="77777777" w:rsidR="009569D0" w:rsidRPr="00743E58" w:rsidRDefault="00B76053" w:rsidP="00743E58">
      <w:pPr>
        <w:ind w:right="-93"/>
      </w:pPr>
      <w:r w:rsidRPr="00743E58">
        <w:t xml:space="preserve">Aunado a lo anterior, en aras de allegarse de elementos para garantizar el derecho de acceso a la información este Órgano Garante realizó una consulta en el portal de Ipomex del </w:t>
      </w:r>
      <w:r w:rsidRPr="00743E58">
        <w:rPr>
          <w:b/>
        </w:rPr>
        <w:t>SUJETO OBLIGADO</w:t>
      </w:r>
      <w:r w:rsidRPr="00743E58">
        <w:t xml:space="preserve">  localizando lo siguiente:</w:t>
      </w:r>
    </w:p>
    <w:p w14:paraId="52C278C9" w14:textId="77777777" w:rsidR="009569D0" w:rsidRPr="00743E58" w:rsidRDefault="009569D0" w:rsidP="00743E58">
      <w:pPr>
        <w:ind w:right="-93"/>
      </w:pPr>
    </w:p>
    <w:p w14:paraId="09A0A9BD" w14:textId="77777777" w:rsidR="009569D0" w:rsidRPr="00743E58" w:rsidRDefault="00B76053" w:rsidP="00743E58">
      <w:pPr>
        <w:ind w:right="-93"/>
        <w:jc w:val="center"/>
      </w:pPr>
      <w:r w:rsidRPr="00743E58">
        <w:rPr>
          <w:noProof/>
        </w:rPr>
        <w:drawing>
          <wp:inline distT="0" distB="0" distL="0" distR="0" wp14:anchorId="7E934AC1" wp14:editId="73A7BC08">
            <wp:extent cx="5285770" cy="3381271"/>
            <wp:effectExtent l="0" t="0" r="0" b="0"/>
            <wp:docPr id="19767020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302151" cy="3391750"/>
                    </a:xfrm>
                    <a:prstGeom prst="rect">
                      <a:avLst/>
                    </a:prstGeom>
                    <a:ln/>
                  </pic:spPr>
                </pic:pic>
              </a:graphicData>
            </a:graphic>
          </wp:inline>
        </w:drawing>
      </w:r>
    </w:p>
    <w:p w14:paraId="739C6EA8" w14:textId="77777777" w:rsidR="009569D0" w:rsidRPr="00743E58" w:rsidRDefault="009569D0" w:rsidP="00743E58">
      <w:pPr>
        <w:ind w:right="-93"/>
      </w:pPr>
    </w:p>
    <w:p w14:paraId="534E094F" w14:textId="77777777" w:rsidR="009569D0" w:rsidRPr="00743E58" w:rsidRDefault="00B76053" w:rsidP="00743E58">
      <w:pPr>
        <w:ind w:right="-93"/>
      </w:pPr>
      <w:r w:rsidRPr="00743E58">
        <w:lastRenderedPageBreak/>
        <w:t xml:space="preserve">Es así, que, de los datos publicados en la página electrónica oficial del </w:t>
      </w:r>
      <w:r w:rsidRPr="00743E58">
        <w:rPr>
          <w:b/>
        </w:rPr>
        <w:t>SUJETO OBLIGADO</w:t>
      </w:r>
      <w:r w:rsidRPr="00743E58">
        <w:t xml:space="preserve">, es un hecho notorio, y se infiere que la persona referida en la solicitud de información, es servidora pública del ente recurrido, siendo aplicable por analogía en nuestra materia, la Tesis Aislada con número de registro 168124 de la Novena Época del Segundo Tribunal Colegiado del Vigésimo Circuito, publicadas en la página 2470 del Tomo XXIX de enero de 2009 del Semanario Judicial de la Federación y su Gaceta, que es del tenor literal siguiente: </w:t>
      </w:r>
    </w:p>
    <w:p w14:paraId="73C7F34A" w14:textId="77777777" w:rsidR="009569D0" w:rsidRPr="00743E58" w:rsidRDefault="009569D0" w:rsidP="00743E58">
      <w:pPr>
        <w:ind w:right="-93"/>
      </w:pPr>
    </w:p>
    <w:p w14:paraId="58CD44AF" w14:textId="77777777" w:rsidR="009569D0" w:rsidRPr="00743E58" w:rsidRDefault="00B76053" w:rsidP="00743E58">
      <w:pPr>
        <w:ind w:right="-93"/>
        <w:rPr>
          <w:i/>
        </w:rPr>
      </w:pPr>
      <w:r w:rsidRPr="00743E58">
        <w:rPr>
          <w:b/>
          <w:i/>
        </w:rPr>
        <w:t>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w:t>
      </w:r>
      <w:r w:rsidRPr="00743E58">
        <w:rPr>
          <w:i/>
        </w:rPr>
        <w:t xml:space="preserve"> Los datos que aparecen en las páginas electrónicas oficiales que los órganos de gobierno utilizan para poner a disposición del público, entre otros servicios, la descripción de sus plazas, el directorio de sus empleados o el estado que guardan sus expedientes, constituyen Tesis: XX.2o. J/24 Semanario Judicial de la Federación y su Gaceta Novena Época 168124 75 de 163 Tribunales Colegiados de Circuito Tomo XXIX, Enero de 2009 Pag.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w:t>
      </w:r>
    </w:p>
    <w:p w14:paraId="55D0CF81" w14:textId="77777777" w:rsidR="009569D0" w:rsidRPr="00743E58" w:rsidRDefault="009569D0" w:rsidP="00743E58">
      <w:pPr>
        <w:ind w:right="-93"/>
        <w:rPr>
          <w:i/>
        </w:rPr>
      </w:pPr>
    </w:p>
    <w:p w14:paraId="46B57136" w14:textId="77777777" w:rsidR="009569D0" w:rsidRPr="00743E58" w:rsidRDefault="00B76053" w:rsidP="00743E58">
      <w:pPr>
        <w:widowControl w:val="0"/>
        <w:spacing w:before="240" w:after="240"/>
      </w:pPr>
      <w:r w:rsidRPr="00743E58">
        <w:lastRenderedPageBreak/>
        <w:t>Ahora bien, y en relación a la materia de la solicitud, se aborda el contenido de de los artículos 5, 45, y 48, fracción I de la Ley del Trabajo de los Servidores Públicos del Estado de México y Municipios, que disponen lo siguiente:</w:t>
      </w:r>
    </w:p>
    <w:p w14:paraId="39C50D4B" w14:textId="77777777" w:rsidR="009569D0" w:rsidRPr="00743E58" w:rsidRDefault="00B76053" w:rsidP="00743E58">
      <w:pPr>
        <w:pBdr>
          <w:top w:val="nil"/>
          <w:left w:val="nil"/>
          <w:bottom w:val="nil"/>
          <w:right w:val="nil"/>
          <w:between w:val="nil"/>
        </w:pBdr>
        <w:ind w:left="851" w:right="899"/>
        <w:rPr>
          <w:b/>
          <w:i/>
        </w:rPr>
      </w:pPr>
      <w:r w:rsidRPr="00743E58">
        <w:rPr>
          <w:i/>
        </w:rPr>
        <w:t>“</w:t>
      </w:r>
      <w:r w:rsidRPr="00743E58">
        <w:rPr>
          <w:b/>
          <w:i/>
        </w:rPr>
        <w:t>ARTÍCULO 5.-</w:t>
      </w:r>
      <w:r w:rsidRPr="00743E58">
        <w:rPr>
          <w:i/>
        </w:rPr>
        <w:t xml:space="preserve"> La relación de trabajo entre las instituciones públicas y sus servidores públicos </w:t>
      </w:r>
      <w:r w:rsidRPr="00743E58">
        <w:rPr>
          <w:b/>
          <w:i/>
        </w:rPr>
        <w:t>se entiende establecida mediante nombramiento, formato único de movimiento de personal, contrato o por cualquier otro acto que tenga como consecuencia la prestación personal subordinada del servicio y la percepción de un sueldo.</w:t>
      </w:r>
    </w:p>
    <w:p w14:paraId="579BC691" w14:textId="77777777" w:rsidR="009569D0" w:rsidRPr="00743E58" w:rsidRDefault="00B76053" w:rsidP="00743E58">
      <w:pPr>
        <w:pBdr>
          <w:top w:val="nil"/>
          <w:left w:val="nil"/>
          <w:bottom w:val="nil"/>
          <w:right w:val="nil"/>
          <w:between w:val="nil"/>
        </w:pBdr>
        <w:ind w:left="851" w:right="899"/>
        <w:rPr>
          <w:i/>
        </w:rPr>
      </w:pPr>
      <w:r w:rsidRPr="00743E58">
        <w:rPr>
          <w:b/>
          <w:i/>
        </w:rPr>
        <w:t>…</w:t>
      </w:r>
    </w:p>
    <w:p w14:paraId="0E1D9E17" w14:textId="77777777" w:rsidR="009569D0" w:rsidRPr="00743E58" w:rsidRDefault="00B76053" w:rsidP="00743E58">
      <w:pPr>
        <w:pBdr>
          <w:top w:val="nil"/>
          <w:left w:val="nil"/>
          <w:bottom w:val="nil"/>
          <w:right w:val="nil"/>
          <w:between w:val="nil"/>
        </w:pBdr>
        <w:ind w:left="851" w:right="899"/>
        <w:rPr>
          <w:i/>
        </w:rPr>
      </w:pPr>
      <w:r w:rsidRPr="00743E58">
        <w:rPr>
          <w:b/>
          <w:i/>
        </w:rPr>
        <w:t>ARTÍCULO 45.-Los servidores públicos prestarán sus servicios mediante nombramiento, contrato o formato único de Movimientos de Personal</w:t>
      </w:r>
      <w:r w:rsidRPr="00743E58">
        <w:rPr>
          <w:i/>
        </w:rPr>
        <w:t xml:space="preserve"> expedidos por quien estuviere facultado legalmente para extenderlo.</w:t>
      </w:r>
    </w:p>
    <w:p w14:paraId="2146A409" w14:textId="77777777" w:rsidR="009569D0" w:rsidRPr="00743E58" w:rsidRDefault="00B76053" w:rsidP="00743E58">
      <w:pPr>
        <w:pBdr>
          <w:top w:val="nil"/>
          <w:left w:val="nil"/>
          <w:bottom w:val="nil"/>
          <w:right w:val="nil"/>
          <w:between w:val="nil"/>
        </w:pBdr>
        <w:ind w:left="851" w:right="899"/>
        <w:rPr>
          <w:b/>
          <w:i/>
        </w:rPr>
      </w:pPr>
      <w:r w:rsidRPr="00743E58">
        <w:rPr>
          <w:b/>
          <w:i/>
        </w:rPr>
        <w:t>…</w:t>
      </w:r>
    </w:p>
    <w:p w14:paraId="2E0FB248" w14:textId="77777777" w:rsidR="009569D0" w:rsidRPr="00743E58" w:rsidRDefault="00B76053" w:rsidP="00743E58">
      <w:pPr>
        <w:pBdr>
          <w:top w:val="nil"/>
          <w:left w:val="nil"/>
          <w:bottom w:val="nil"/>
          <w:right w:val="nil"/>
          <w:between w:val="nil"/>
        </w:pBdr>
        <w:ind w:left="851" w:right="899"/>
        <w:rPr>
          <w:i/>
        </w:rPr>
      </w:pPr>
      <w:r w:rsidRPr="00743E58">
        <w:rPr>
          <w:b/>
          <w:i/>
        </w:rPr>
        <w:t>ARTÍCULO 48. Para iniciar la prestación de los servicios se requiere:</w:t>
      </w:r>
      <w:r w:rsidRPr="00743E58">
        <w:rPr>
          <w:i/>
        </w:rPr>
        <w:t xml:space="preserve"> </w:t>
      </w:r>
    </w:p>
    <w:p w14:paraId="2B3732CC" w14:textId="77777777" w:rsidR="009569D0" w:rsidRPr="00743E58" w:rsidRDefault="00B76053" w:rsidP="00743E58">
      <w:pPr>
        <w:pBdr>
          <w:top w:val="nil"/>
          <w:left w:val="nil"/>
          <w:bottom w:val="nil"/>
          <w:right w:val="nil"/>
          <w:between w:val="nil"/>
        </w:pBdr>
        <w:ind w:left="1134" w:right="899"/>
        <w:rPr>
          <w:i/>
        </w:rPr>
      </w:pPr>
      <w:r w:rsidRPr="00743E58">
        <w:rPr>
          <w:b/>
          <w:i/>
        </w:rPr>
        <w:t>I. Tener conferido el nombramiento, contrato respectivo o formato único de Movimientos de Personal;</w:t>
      </w:r>
      <w:r w:rsidRPr="00743E58">
        <w:rPr>
          <w:i/>
        </w:rPr>
        <w:t xml:space="preserve"> </w:t>
      </w:r>
    </w:p>
    <w:p w14:paraId="7FA49040" w14:textId="77777777" w:rsidR="009569D0" w:rsidRPr="00743E58" w:rsidRDefault="00B76053" w:rsidP="00743E58">
      <w:pPr>
        <w:pBdr>
          <w:top w:val="nil"/>
          <w:left w:val="nil"/>
          <w:bottom w:val="nil"/>
          <w:right w:val="nil"/>
          <w:between w:val="nil"/>
        </w:pBdr>
        <w:ind w:left="851" w:right="899"/>
        <w:rPr>
          <w:i/>
        </w:rPr>
      </w:pPr>
      <w:r w:rsidRPr="00743E58">
        <w:rPr>
          <w:i/>
        </w:rPr>
        <w:t>…”</w:t>
      </w:r>
    </w:p>
    <w:p w14:paraId="673EE6C7" w14:textId="77777777" w:rsidR="009569D0" w:rsidRPr="00743E58" w:rsidRDefault="00B76053" w:rsidP="00743E58">
      <w:pPr>
        <w:widowControl w:val="0"/>
        <w:spacing w:before="240" w:after="240"/>
      </w:pPr>
      <w:r w:rsidRPr="00743E58">
        <w:t xml:space="preserve">De lo anterior, podemos advertir que </w:t>
      </w:r>
      <w:r w:rsidRPr="00743E58">
        <w:rPr>
          <w:b/>
        </w:rPr>
        <w:t>las relaciones de trabajo entre los servidores públicos del Estado y sus municipios</w:t>
      </w:r>
      <w:r w:rsidRPr="00743E58">
        <w:t xml:space="preserve"> se encuentran reguladas por la Ley del Trabajo de los Servidores Públicos del Estado y Municipios, la cual indica expresamente que las mismas </w:t>
      </w:r>
      <w:r w:rsidRPr="00743E58">
        <w:rPr>
          <w:b/>
          <w:u w:val="single"/>
        </w:rPr>
        <w:t>se entenderán establecidas mediante el nombramiento, formato único de movimientos de personal, contrato o cualquiera que tenga como consecuencia la prestación personal subordinada del servicio y la percepción de un sueldo</w:t>
      </w:r>
      <w:r w:rsidRPr="00743E58">
        <w:t xml:space="preserve">; de manera que, todos los servidores públicos prestan necesariamente sus servicios a través de cualquiera de dichos documentos, ya que son requisitos para configurar la relación laboral entre estos y las instituciones públicas, debiendo </w:t>
      </w:r>
      <w:r w:rsidRPr="00743E58">
        <w:lastRenderedPageBreak/>
        <w:t xml:space="preserve">ser expedidos por quien tenga facultades para ello. </w:t>
      </w:r>
    </w:p>
    <w:p w14:paraId="73284020" w14:textId="77777777" w:rsidR="009569D0" w:rsidRPr="00743E58" w:rsidRDefault="00B76053" w:rsidP="00743E58">
      <w:pPr>
        <w:spacing w:before="240" w:after="240"/>
        <w:ind w:right="49"/>
      </w:pPr>
      <w:r w:rsidRPr="00743E58">
        <w:t>Mientras que el artículo 98, fracción XVII de la Ley de Trabajo Ley del Trabajo de los Servidores Públicos del Estado y Municipios, dispone que las instituciones públicas -entendidas como cada uno de los poderes públicos del Estado, los municipios y los tribunales administrativos; así como los organismos descentralizados, fideicomisos de carácter estatal y municipal, y los órganos autónomos que sus leyes de creación así lo determinen-, tienen, entre otras obligaciones, la de integrar los expedientes de los servidores públicos bajo su adscripción, como se lee en seguida:</w:t>
      </w:r>
    </w:p>
    <w:p w14:paraId="6A30F1AD" w14:textId="77777777" w:rsidR="009569D0" w:rsidRPr="00743E58" w:rsidRDefault="00B76053" w:rsidP="00743E58">
      <w:pPr>
        <w:spacing w:before="120" w:after="120"/>
        <w:ind w:left="851" w:right="900"/>
        <w:rPr>
          <w:i/>
        </w:rPr>
      </w:pPr>
      <w:r w:rsidRPr="00743E58">
        <w:rPr>
          <w:b/>
          <w:i/>
        </w:rPr>
        <w:t>“ARTÍCULO 98.</w:t>
      </w:r>
      <w:r w:rsidRPr="00743E58">
        <w:rPr>
          <w:i/>
        </w:rPr>
        <w:t xml:space="preserve"> Son obligaciones de las instituciones públicas:</w:t>
      </w:r>
    </w:p>
    <w:p w14:paraId="72B462F8" w14:textId="77777777" w:rsidR="009569D0" w:rsidRPr="00743E58" w:rsidRDefault="00B76053" w:rsidP="00743E58">
      <w:pPr>
        <w:spacing w:before="120" w:after="120"/>
        <w:ind w:left="1134" w:right="900"/>
        <w:rPr>
          <w:i/>
        </w:rPr>
      </w:pPr>
      <w:r w:rsidRPr="00743E58">
        <w:rPr>
          <w:i/>
        </w:rPr>
        <w:t>…</w:t>
      </w:r>
    </w:p>
    <w:p w14:paraId="0D45BE3B" w14:textId="77777777" w:rsidR="009569D0" w:rsidRPr="00743E58" w:rsidRDefault="00B76053" w:rsidP="00743E58">
      <w:pPr>
        <w:spacing w:before="120" w:after="120"/>
        <w:ind w:left="1134" w:right="900"/>
      </w:pPr>
      <w:r w:rsidRPr="00743E58">
        <w:rPr>
          <w:b/>
          <w:i/>
        </w:rPr>
        <w:t>XVII. Integrar los expedientes de los servidores público</w:t>
      </w:r>
      <w:r w:rsidRPr="00743E58">
        <w:rPr>
          <w:i/>
        </w:rPr>
        <w:t xml:space="preserve">s y proporcionar las constancias que éstos soliciten para el trámite de los asuntos de su interés en los términos que señalen los ordenamientos respectivos…” </w:t>
      </w:r>
    </w:p>
    <w:p w14:paraId="479F93E8" w14:textId="77777777" w:rsidR="009569D0" w:rsidRPr="00743E58" w:rsidRDefault="00B76053" w:rsidP="00743E58">
      <w:pPr>
        <w:widowControl w:val="0"/>
        <w:spacing w:before="240" w:after="240"/>
      </w:pPr>
      <w:r w:rsidRPr="00743E58">
        <w:t xml:space="preserve">Atento a lo anterior, es claro que el </w:t>
      </w:r>
      <w:r w:rsidRPr="00743E58">
        <w:rPr>
          <w:b/>
        </w:rPr>
        <w:t>Sujeto Obligado</w:t>
      </w:r>
      <w:r w:rsidRPr="00743E58">
        <w:t xml:space="preserve"> cuenta con atribuciones para atender de manera favorable la solicitud de información, dado que se encuentra obligado a integrar los expedientes de los servidores públicos a su cargo, los cuales deben contener el documento mediante el cual se configura la relación laboral entre estos y aquel.</w:t>
      </w:r>
    </w:p>
    <w:p w14:paraId="4FFA0725" w14:textId="77777777" w:rsidR="009569D0" w:rsidRPr="00743E58" w:rsidRDefault="00BD37E1" w:rsidP="00743E58">
      <w:pPr>
        <w:ind w:right="-93"/>
      </w:pPr>
      <w:r w:rsidRPr="00743E58">
        <w:t xml:space="preserve">De igual manera se </w:t>
      </w:r>
      <w:r w:rsidR="00B76053" w:rsidRPr="00743E58">
        <w:t xml:space="preserve">estima conveniente referir el artículo 127 de la </w:t>
      </w:r>
      <w:r w:rsidR="00B76053" w:rsidRPr="00743E58">
        <w:rPr>
          <w:b/>
        </w:rPr>
        <w:t>Constitución Política de los Estados Unidos Mexicanos</w:t>
      </w:r>
      <w:r w:rsidR="00B76053" w:rsidRPr="00743E58">
        <w:t xml:space="preserve"> que establece:</w:t>
      </w:r>
    </w:p>
    <w:p w14:paraId="45F0E471" w14:textId="77777777" w:rsidR="009569D0" w:rsidRPr="00743E58" w:rsidRDefault="009569D0" w:rsidP="00743E58">
      <w:pPr>
        <w:ind w:right="-93"/>
      </w:pPr>
    </w:p>
    <w:p w14:paraId="4578A043" w14:textId="77777777" w:rsidR="009569D0" w:rsidRPr="00743E58" w:rsidRDefault="00B76053" w:rsidP="00743E58">
      <w:pPr>
        <w:ind w:right="-93"/>
        <w:rPr>
          <w:i/>
        </w:rPr>
      </w:pPr>
      <w:r w:rsidRPr="00743E58">
        <w:rPr>
          <w:b/>
          <w:i/>
        </w:rPr>
        <w:t>Artículo 127.</w:t>
      </w:r>
      <w:r w:rsidRPr="00743E58">
        <w:rPr>
          <w:i/>
        </w:rPr>
        <w:t xml:space="preserve"> Los servidores públicos de la Federación, de los Estados, del Distrito Federal </w:t>
      </w:r>
      <w:r w:rsidRPr="00743E58">
        <w:rPr>
          <w:b/>
          <w:i/>
        </w:rPr>
        <w:t>y de los Municipios</w:t>
      </w:r>
      <w:r w:rsidRPr="00743E58">
        <w:rPr>
          <w:i/>
        </w:rPr>
        <w:t xml:space="preserve">, de sus entidades y dependencias, así como de sus administraciones paraestatales y paramunicipales, fideicomisos públicos, instituciones y organismos autónomos, y cualquier otro ente </w:t>
      </w:r>
      <w:r w:rsidRPr="00743E58">
        <w:rPr>
          <w:i/>
        </w:rPr>
        <w:lastRenderedPageBreak/>
        <w:t>público, recibirán una remuneración adecuada e irrenunciable por el desempeño de su función, empleo, cargo o comisión, que deberá ser proporcional a sus responsabilidades.</w:t>
      </w:r>
    </w:p>
    <w:p w14:paraId="3FA902AE" w14:textId="77777777" w:rsidR="009569D0" w:rsidRPr="00743E58" w:rsidRDefault="00B76053" w:rsidP="00743E58">
      <w:pPr>
        <w:ind w:right="-93"/>
        <w:rPr>
          <w:i/>
        </w:rPr>
      </w:pPr>
      <w:r w:rsidRPr="00743E58">
        <w:rPr>
          <w:i/>
        </w:rPr>
        <w:t xml:space="preserve">Dicha remuneración será determinada anual y equitativamente </w:t>
      </w:r>
      <w:r w:rsidRPr="00743E58">
        <w:rPr>
          <w:b/>
          <w:i/>
          <w:u w:val="single"/>
        </w:rPr>
        <w:t>en los presupuestos de egresos</w:t>
      </w:r>
      <w:r w:rsidRPr="00743E58">
        <w:rPr>
          <w:i/>
        </w:rPr>
        <w:t xml:space="preserve"> correspondientes, bajo las siguientes bases:</w:t>
      </w:r>
    </w:p>
    <w:p w14:paraId="51D8ACF8" w14:textId="77777777" w:rsidR="009569D0" w:rsidRPr="00743E58" w:rsidRDefault="00B76053" w:rsidP="00743E58">
      <w:pPr>
        <w:ind w:right="-93"/>
        <w:rPr>
          <w:b/>
          <w:i/>
        </w:rPr>
      </w:pPr>
      <w:r w:rsidRPr="00743E58">
        <w:rPr>
          <w:b/>
          <w:i/>
        </w:rPr>
        <w:t>I.</w:t>
      </w:r>
      <w:r w:rsidRPr="00743E58">
        <w:rPr>
          <w:i/>
        </w:rPr>
        <w:t xml:space="preserve"> </w:t>
      </w:r>
      <w:r w:rsidRPr="00743E58">
        <w:rPr>
          <w:i/>
        </w:rPr>
        <w:tab/>
      </w:r>
      <w:r w:rsidRPr="00743E58">
        <w:rPr>
          <w:b/>
          <w:i/>
        </w:rPr>
        <w:t xml:space="preserve">Se considera remuneración o retribución toda percepción en efectivo o en especie, incluyendo dietas, </w:t>
      </w:r>
      <w:r w:rsidRPr="00743E58">
        <w:rPr>
          <w:b/>
          <w:i/>
          <w:u w:val="single"/>
        </w:rPr>
        <w:t>aguinaldos</w:t>
      </w:r>
      <w:r w:rsidRPr="00743E58">
        <w:rPr>
          <w:b/>
          <w:i/>
        </w:rPr>
        <w:t>, gratificaciones, premios, recompensas, bonos, estímulos, comisiones, compensaciones y cualquier otra, con excepción de los apoyos y los gastos sujetos a comprobación que sean propios del desarrollo del trabajo y los gastos de viaje en actividades oficiales.</w:t>
      </w:r>
    </w:p>
    <w:p w14:paraId="0070852F" w14:textId="77777777" w:rsidR="009569D0" w:rsidRPr="00743E58" w:rsidRDefault="00B76053" w:rsidP="00743E58">
      <w:pPr>
        <w:ind w:right="-93"/>
        <w:rPr>
          <w:i/>
        </w:rPr>
      </w:pPr>
      <w:r w:rsidRPr="00743E58">
        <w:rPr>
          <w:b/>
          <w:i/>
        </w:rPr>
        <w:t>(…)</w:t>
      </w:r>
    </w:p>
    <w:p w14:paraId="77B1FC71" w14:textId="77777777" w:rsidR="009569D0" w:rsidRPr="00743E58" w:rsidRDefault="00B76053" w:rsidP="00743E58">
      <w:pPr>
        <w:ind w:right="-93"/>
        <w:rPr>
          <w:b/>
          <w:i/>
        </w:rPr>
      </w:pPr>
      <w:r w:rsidRPr="00743E58">
        <w:rPr>
          <w:b/>
          <w:i/>
        </w:rPr>
        <w:t>V.</w:t>
      </w:r>
      <w:r w:rsidRPr="00743E58">
        <w:rPr>
          <w:i/>
        </w:rPr>
        <w:t xml:space="preserve"> </w:t>
      </w:r>
      <w:r w:rsidRPr="00743E58">
        <w:rPr>
          <w:i/>
        </w:rPr>
        <w:tab/>
      </w:r>
      <w:r w:rsidRPr="00743E58">
        <w:rPr>
          <w:b/>
          <w:i/>
        </w:rPr>
        <w:t>Las remuneraciones y sus tabuladores serán públicos, y deberán especificar y diferenciar la totalidad de sus elementos fijos y variables tanto en efectivo como en especie.</w:t>
      </w:r>
    </w:p>
    <w:p w14:paraId="022E66E1" w14:textId="77777777" w:rsidR="009569D0" w:rsidRPr="00743E58" w:rsidRDefault="00B76053" w:rsidP="00743E58">
      <w:pPr>
        <w:ind w:right="-93"/>
        <w:rPr>
          <w:i/>
        </w:rPr>
      </w:pPr>
      <w:r w:rsidRPr="00743E58">
        <w:rPr>
          <w:i/>
        </w:rPr>
        <w:t>(…)</w:t>
      </w:r>
    </w:p>
    <w:p w14:paraId="492D6D13" w14:textId="77777777" w:rsidR="009569D0" w:rsidRPr="00743E58" w:rsidRDefault="009569D0" w:rsidP="00743E58">
      <w:pPr>
        <w:ind w:right="-93"/>
        <w:rPr>
          <w:i/>
        </w:rPr>
      </w:pPr>
    </w:p>
    <w:p w14:paraId="6EBE599A" w14:textId="77777777" w:rsidR="009569D0" w:rsidRPr="00743E58" w:rsidRDefault="00B76053" w:rsidP="00743E58">
      <w:pPr>
        <w:ind w:right="-93"/>
      </w:pPr>
      <w:r w:rsidRPr="00743E58">
        <w:t xml:space="preserve">Aunado a ello el artículo 804 fracción II de la </w:t>
      </w:r>
      <w:r w:rsidRPr="00743E58">
        <w:rPr>
          <w:b/>
        </w:rPr>
        <w:t>Ley Federal de Trabajo</w:t>
      </w:r>
      <w:r w:rsidRPr="00743E58">
        <w:t>, refiere la obligación que tiene el patrón de conservar y exhibir en juicio entre otros documentos la nómina o recibos de pagos de salarios.</w:t>
      </w:r>
    </w:p>
    <w:p w14:paraId="178068C7" w14:textId="77777777" w:rsidR="009569D0" w:rsidRPr="00743E58" w:rsidRDefault="009569D0" w:rsidP="00743E58">
      <w:pPr>
        <w:ind w:right="-93"/>
      </w:pPr>
    </w:p>
    <w:p w14:paraId="34404946" w14:textId="77777777" w:rsidR="009569D0" w:rsidRPr="00743E58" w:rsidRDefault="00B76053" w:rsidP="00743E58">
      <w:pPr>
        <w:ind w:right="-93"/>
        <w:rPr>
          <w:i/>
        </w:rPr>
      </w:pPr>
      <w:r w:rsidRPr="00743E58">
        <w:rPr>
          <w:b/>
          <w:i/>
        </w:rPr>
        <w:t>Artículo 804.-</w:t>
      </w:r>
      <w:r w:rsidRPr="00743E58">
        <w:rPr>
          <w:i/>
        </w:rPr>
        <w:t xml:space="preserve"> El patrón tiene obligación de conservar y exhibir en juicio los documentos que a continuación se precisan:</w:t>
      </w:r>
    </w:p>
    <w:p w14:paraId="2147D800" w14:textId="77777777" w:rsidR="009569D0" w:rsidRPr="00743E58" w:rsidRDefault="00B76053" w:rsidP="00743E58">
      <w:pPr>
        <w:ind w:right="-93"/>
        <w:rPr>
          <w:i/>
        </w:rPr>
      </w:pPr>
      <w:r w:rsidRPr="00743E58">
        <w:rPr>
          <w:i/>
        </w:rPr>
        <w:t>(…)</w:t>
      </w:r>
    </w:p>
    <w:p w14:paraId="5C363C1C" w14:textId="77777777" w:rsidR="009569D0" w:rsidRPr="00743E58" w:rsidRDefault="00B76053" w:rsidP="00743E58">
      <w:pPr>
        <w:ind w:right="-93"/>
        <w:rPr>
          <w:i/>
        </w:rPr>
      </w:pPr>
      <w:r w:rsidRPr="00743E58">
        <w:rPr>
          <w:b/>
          <w:i/>
          <w:u w:val="single"/>
        </w:rPr>
        <w:t>Listas de raya</w:t>
      </w:r>
      <w:r w:rsidRPr="00743E58">
        <w:rPr>
          <w:b/>
          <w:i/>
        </w:rPr>
        <w:t xml:space="preserve"> o nómina de personal, cuando se lleven en el centro de trabajo; </w:t>
      </w:r>
      <w:r w:rsidRPr="00743E58">
        <w:rPr>
          <w:b/>
          <w:i/>
          <w:u w:val="single"/>
        </w:rPr>
        <w:t>o recibos de pagos de salarios</w:t>
      </w:r>
      <w:r w:rsidRPr="00743E58">
        <w:rPr>
          <w:i/>
        </w:rPr>
        <w:t>;”</w:t>
      </w:r>
    </w:p>
    <w:p w14:paraId="27ACDC49" w14:textId="77777777" w:rsidR="009569D0" w:rsidRPr="00743E58" w:rsidRDefault="009569D0" w:rsidP="00743E58">
      <w:pPr>
        <w:ind w:right="-93"/>
      </w:pPr>
    </w:p>
    <w:p w14:paraId="2D8B9564" w14:textId="77777777" w:rsidR="009569D0" w:rsidRPr="00743E58" w:rsidRDefault="00B76053" w:rsidP="00743E58">
      <w:pPr>
        <w:ind w:right="-93"/>
      </w:pPr>
      <w:r w:rsidRPr="00743E58">
        <w:t xml:space="preserve">En el mismo sentido, el penúltimo párrafo del artículo 125 de la </w:t>
      </w:r>
      <w:r w:rsidRPr="00743E58">
        <w:rPr>
          <w:b/>
        </w:rPr>
        <w:t>Constitución Política del Estado Libre y Soberano de México</w:t>
      </w:r>
      <w:r w:rsidRPr="00743E58">
        <w:t xml:space="preserve">, señala que el presupuesto deberá incluir los tabuladores </w:t>
      </w:r>
      <w:r w:rsidRPr="00743E58">
        <w:lastRenderedPageBreak/>
        <w:t>desglosados de las remuneraciones que perciban los servidores públicos municipales, sujetándose a lo dispuesto por el artículo 147 de la Constitución local.</w:t>
      </w:r>
    </w:p>
    <w:p w14:paraId="5EEEF1FF" w14:textId="77777777" w:rsidR="00BD37E1" w:rsidRPr="00743E58" w:rsidRDefault="00BD37E1" w:rsidP="00743E58">
      <w:pPr>
        <w:ind w:right="-93"/>
      </w:pPr>
    </w:p>
    <w:p w14:paraId="0FC6A738" w14:textId="77777777" w:rsidR="009569D0" w:rsidRPr="00743E58" w:rsidRDefault="00B76053" w:rsidP="00743E58">
      <w:pPr>
        <w:ind w:right="-93"/>
      </w:pPr>
      <w:r w:rsidRPr="00743E58">
        <w:t xml:space="preserve">Por su parte, el artículo 147 de la </w:t>
      </w:r>
      <w:r w:rsidRPr="00743E58">
        <w:rPr>
          <w:b/>
        </w:rPr>
        <w:t>Constitución Política del Estado Libre y Soberano de México</w:t>
      </w:r>
      <w:r w:rsidRPr="00743E58">
        <w:t xml:space="preserve"> dispone en lo relativo a las remuneraciones de los servidores públicos estatales y municipales lo siguiente:</w:t>
      </w:r>
    </w:p>
    <w:p w14:paraId="5309D22E" w14:textId="77777777" w:rsidR="009569D0" w:rsidRPr="00743E58" w:rsidRDefault="009569D0" w:rsidP="00743E58">
      <w:pPr>
        <w:ind w:right="-93"/>
      </w:pPr>
    </w:p>
    <w:p w14:paraId="3AD10973" w14:textId="77777777" w:rsidR="009569D0" w:rsidRPr="00743E58" w:rsidRDefault="00B76053" w:rsidP="00743E58">
      <w:pPr>
        <w:ind w:right="-93"/>
        <w:rPr>
          <w:i/>
        </w:rPr>
      </w:pPr>
      <w:r w:rsidRPr="00743E58">
        <w:rPr>
          <w:b/>
          <w:i/>
        </w:rPr>
        <w:t>Artículo 147</w:t>
      </w:r>
      <w:r w:rsidRPr="00743E58">
        <w:rPr>
          <w:i/>
        </w:rPr>
        <w:t xml:space="preserve">.- El Gobernador, los diputados, los magistrados de los Tribunales Superior de Justicia y de lo Contencioso Administrativo, los miembros del Consejo de la Judicatura, los trabajadores al servicio del Estado, los integrantes y servidores de los organismos autónomos, así como </w:t>
      </w:r>
      <w:r w:rsidRPr="00743E58">
        <w:rPr>
          <w:b/>
          <w:i/>
          <w:u w:val="single"/>
        </w:rPr>
        <w:t>los miembros de los ayuntamientos</w:t>
      </w:r>
      <w:r w:rsidRPr="00743E58">
        <w:rPr>
          <w:i/>
        </w:rPr>
        <w:t xml:space="preserve"> </w:t>
      </w:r>
      <w:r w:rsidRPr="00743E58">
        <w:rPr>
          <w:b/>
          <w:i/>
          <w:u w:val="single"/>
        </w:rPr>
        <w:t>y demás servidores públicos municipales recibirán una retribución adecuada e irrenunciable</w:t>
      </w:r>
      <w:r w:rsidRPr="00743E58">
        <w:rPr>
          <w:i/>
        </w:rPr>
        <w:t xml:space="preserve"> por el desempeño de su empleo, cargo o comisión, que será determinada </w:t>
      </w:r>
      <w:r w:rsidRPr="00743E58">
        <w:rPr>
          <w:b/>
          <w:i/>
          <w:u w:val="single"/>
        </w:rPr>
        <w:t>en el presupuesto de egresos</w:t>
      </w:r>
      <w:r w:rsidRPr="00743E58">
        <w:rPr>
          <w:i/>
        </w:rPr>
        <w:t xml:space="preserve"> que corresponda. </w:t>
      </w:r>
      <w:r w:rsidRPr="00743E58">
        <w:rPr>
          <w:b/>
          <w:i/>
        </w:rPr>
        <w:t>Las remuneraciones</w:t>
      </w:r>
      <w:r w:rsidRPr="00743E58">
        <w:rPr>
          <w:i/>
        </w:rPr>
        <w:t xml:space="preserve">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r w:rsidRPr="00743E58">
        <w:rPr>
          <w:b/>
          <w:i/>
        </w:rPr>
        <w:t>La remuneración será determinada anual y equitativamente</w:t>
      </w:r>
      <w:r w:rsidRPr="00743E58">
        <w:rPr>
          <w:i/>
        </w:rPr>
        <w:t xml:space="preserve"> en el Presupuesto de Egresos correspondiente bajo las bases siguientes: </w:t>
      </w:r>
    </w:p>
    <w:p w14:paraId="00645959" w14:textId="77777777" w:rsidR="009569D0" w:rsidRPr="00743E58" w:rsidRDefault="00B76053" w:rsidP="00743E58">
      <w:pPr>
        <w:ind w:right="-93"/>
        <w:rPr>
          <w:i/>
        </w:rPr>
      </w:pPr>
      <w:r w:rsidRPr="00743E58">
        <w:rPr>
          <w:i/>
        </w:rPr>
        <w:t xml:space="preserve">Se considera remuneración o retribución toda percepción en efectivo o en especie, con excepción de los apoyos y los gastos sujetos a comprobación que sean propios del desarrollo del trabajo y los gastos de viaje en actividades oficiales; </w:t>
      </w:r>
    </w:p>
    <w:p w14:paraId="24C45345" w14:textId="77777777" w:rsidR="009569D0" w:rsidRPr="00743E58" w:rsidRDefault="00B76053" w:rsidP="00743E58">
      <w:pPr>
        <w:ind w:right="-93"/>
        <w:rPr>
          <w:i/>
        </w:rPr>
      </w:pPr>
      <w:r w:rsidRPr="00743E58">
        <w:rPr>
          <w:i/>
        </w:rPr>
        <w:t>(…)</w:t>
      </w:r>
    </w:p>
    <w:p w14:paraId="1ABB50CB" w14:textId="77777777" w:rsidR="009569D0" w:rsidRPr="00743E58" w:rsidRDefault="00B76053" w:rsidP="00743E58">
      <w:pPr>
        <w:ind w:right="-93"/>
        <w:rPr>
          <w:i/>
        </w:rPr>
      </w:pPr>
      <w:r w:rsidRPr="00743E58">
        <w:rPr>
          <w:i/>
        </w:rPr>
        <w:t xml:space="preserve">V. Las remuneraciones y sus tabuladores </w:t>
      </w:r>
      <w:r w:rsidRPr="00743E58">
        <w:rPr>
          <w:b/>
          <w:i/>
        </w:rPr>
        <w:t>serán públicos</w:t>
      </w:r>
      <w:r w:rsidRPr="00743E58">
        <w:rPr>
          <w:i/>
        </w:rPr>
        <w:t>, y deberán especificar y diferenciar la totalidad de sus elementos fijos y variables tanto en efectivo como en especie.</w:t>
      </w:r>
    </w:p>
    <w:p w14:paraId="1F172BA1" w14:textId="77777777" w:rsidR="009569D0" w:rsidRPr="00743E58" w:rsidRDefault="009569D0" w:rsidP="00743E58">
      <w:pPr>
        <w:ind w:right="-93"/>
      </w:pPr>
    </w:p>
    <w:p w14:paraId="56F17596" w14:textId="77777777" w:rsidR="009569D0" w:rsidRPr="00743E58" w:rsidRDefault="00B76053" w:rsidP="00743E58">
      <w:pPr>
        <w:ind w:right="-93"/>
      </w:pPr>
      <w:r w:rsidRPr="00743E58">
        <w:lastRenderedPageBreak/>
        <w:t xml:space="preserve">Al respecto, el artículo 3, fracción XXXII del </w:t>
      </w:r>
      <w:r w:rsidRPr="00743E58">
        <w:rPr>
          <w:b/>
        </w:rPr>
        <w:t xml:space="preserve">Código Financiero del Estado de México y Municipios </w:t>
      </w:r>
      <w:r w:rsidRPr="00743E58">
        <w:t>establece lo siguiente:</w:t>
      </w:r>
    </w:p>
    <w:p w14:paraId="0838DAE1" w14:textId="77777777" w:rsidR="009569D0" w:rsidRPr="00743E58" w:rsidRDefault="009569D0" w:rsidP="00743E58">
      <w:pPr>
        <w:ind w:right="-93"/>
      </w:pPr>
    </w:p>
    <w:p w14:paraId="0831A5FC" w14:textId="77777777" w:rsidR="009569D0" w:rsidRPr="00743E58" w:rsidRDefault="00B76053" w:rsidP="00743E58">
      <w:pPr>
        <w:ind w:right="-93"/>
        <w:rPr>
          <w:i/>
        </w:rPr>
      </w:pPr>
      <w:r w:rsidRPr="00743E58">
        <w:rPr>
          <w:b/>
          <w:i/>
        </w:rPr>
        <w:t>Artículo 3.-</w:t>
      </w:r>
      <w:r w:rsidRPr="00743E58">
        <w:rPr>
          <w:i/>
        </w:rPr>
        <w:t xml:space="preserve"> Para efectos de este Código, Ley de Ingresos del Estado y del Presupuesto de Egresos se entenderá por:</w:t>
      </w:r>
    </w:p>
    <w:p w14:paraId="73B96985" w14:textId="77777777" w:rsidR="009569D0" w:rsidRPr="00743E58" w:rsidRDefault="00B76053" w:rsidP="00743E58">
      <w:pPr>
        <w:ind w:right="-93"/>
        <w:rPr>
          <w:i/>
        </w:rPr>
      </w:pPr>
      <w:r w:rsidRPr="00743E58">
        <w:rPr>
          <w:i/>
        </w:rPr>
        <w:t>(…)</w:t>
      </w:r>
    </w:p>
    <w:p w14:paraId="2B11FD44" w14:textId="77777777" w:rsidR="009569D0" w:rsidRPr="00743E58" w:rsidRDefault="00B76053" w:rsidP="00743E58">
      <w:pPr>
        <w:ind w:right="-93"/>
        <w:rPr>
          <w:b/>
          <w:i/>
        </w:rPr>
      </w:pPr>
      <w:r w:rsidRPr="00743E58">
        <w:rPr>
          <w:b/>
          <w:i/>
        </w:rPr>
        <w:t xml:space="preserve">XXXII. Remuneración: A los pagos hechos por concepto de sueldo, compensaciones, gratificaciones, habitación, primas, comisiones, prestaciones en especie y </w:t>
      </w:r>
      <w:r w:rsidRPr="00743E58">
        <w:rPr>
          <w:b/>
          <w:i/>
          <w:u w:val="single"/>
        </w:rPr>
        <w:t>cualquier otra percepción o prestación que se entregue al servidor público por su trabajo</w:t>
      </w:r>
      <w:r w:rsidRPr="00743E58">
        <w:rPr>
          <w:b/>
          <w:i/>
        </w:rPr>
        <w:t>. Esta definición no será aplicable para los efectos del Impuesto sobre Erogaciones por Remuneraciones al Trabajo Personal;</w:t>
      </w:r>
    </w:p>
    <w:p w14:paraId="6C2DED8C" w14:textId="77777777" w:rsidR="009569D0" w:rsidRPr="00743E58" w:rsidRDefault="00B76053" w:rsidP="00743E58">
      <w:pPr>
        <w:ind w:right="-93"/>
        <w:rPr>
          <w:b/>
          <w:i/>
        </w:rPr>
      </w:pPr>
      <w:r w:rsidRPr="00743E58">
        <w:rPr>
          <w:b/>
          <w:i/>
        </w:rPr>
        <w:t>(…)</w:t>
      </w:r>
    </w:p>
    <w:p w14:paraId="38FEF784" w14:textId="77777777" w:rsidR="009569D0" w:rsidRPr="00743E58" w:rsidRDefault="009569D0" w:rsidP="00743E58">
      <w:pPr>
        <w:ind w:right="-93"/>
      </w:pPr>
    </w:p>
    <w:p w14:paraId="286A4CE9" w14:textId="77777777" w:rsidR="009569D0" w:rsidRPr="00743E58" w:rsidRDefault="00B76053" w:rsidP="00743E58">
      <w:pPr>
        <w:ind w:right="-93"/>
      </w:pPr>
      <w:r w:rsidRPr="00743E58">
        <w:t>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entre las que se encuentra el aguinaldo; remuneraciones que según el texto constitucional serán públicas.</w:t>
      </w:r>
    </w:p>
    <w:p w14:paraId="111544D7" w14:textId="77777777" w:rsidR="009569D0" w:rsidRPr="00743E58" w:rsidRDefault="009569D0" w:rsidP="00743E58">
      <w:pPr>
        <w:ind w:right="-93"/>
      </w:pPr>
    </w:p>
    <w:p w14:paraId="77FE9670" w14:textId="77777777" w:rsidR="009569D0" w:rsidRPr="00743E58" w:rsidRDefault="00B76053" w:rsidP="00743E58">
      <w:pPr>
        <w:ind w:right="-93"/>
      </w:pPr>
      <w:r w:rsidRPr="00743E58">
        <w:t xml:space="preserve">Así mismo, la </w:t>
      </w:r>
      <w:r w:rsidRPr="00743E58">
        <w:rPr>
          <w:b/>
        </w:rPr>
        <w:t>Ley del Trabajo de los Servidores Públicos del Estado y Municipios</w:t>
      </w:r>
      <w:r w:rsidRPr="00743E58">
        <w:t>, en su artículo 220-K fracciones II y IV y último párrafo, establecen lo siguiente:</w:t>
      </w:r>
    </w:p>
    <w:p w14:paraId="7CDE3893" w14:textId="77777777" w:rsidR="009569D0" w:rsidRPr="00743E58" w:rsidRDefault="009569D0" w:rsidP="00743E58">
      <w:pPr>
        <w:ind w:right="-93"/>
      </w:pPr>
    </w:p>
    <w:p w14:paraId="742D6333" w14:textId="77777777" w:rsidR="009569D0" w:rsidRPr="00743E58" w:rsidRDefault="00B76053" w:rsidP="00743E58">
      <w:pPr>
        <w:ind w:right="-93"/>
        <w:rPr>
          <w:i/>
        </w:rPr>
      </w:pPr>
      <w:r w:rsidRPr="00743E58">
        <w:rPr>
          <w:b/>
          <w:i/>
        </w:rPr>
        <w:t>ARTÍCULO 220 K.-</w:t>
      </w:r>
      <w:r w:rsidRPr="00743E58">
        <w:rPr>
          <w:i/>
        </w:rPr>
        <w:t xml:space="preserve"> La institución o dependencia pública tiene la obligación de conservar y exhibir en el proceso los documentos que a continuación se precisan:</w:t>
      </w:r>
    </w:p>
    <w:p w14:paraId="0C4388DA" w14:textId="77777777" w:rsidR="009569D0" w:rsidRPr="00743E58" w:rsidRDefault="00B76053" w:rsidP="00743E58">
      <w:pPr>
        <w:ind w:right="-93"/>
        <w:rPr>
          <w:i/>
        </w:rPr>
      </w:pPr>
      <w:r w:rsidRPr="00743E58">
        <w:rPr>
          <w:b/>
          <w:i/>
        </w:rPr>
        <w:lastRenderedPageBreak/>
        <w:t>II.</w:t>
      </w:r>
      <w:r w:rsidRPr="00743E58">
        <w:rPr>
          <w:i/>
        </w:rPr>
        <w:t xml:space="preserve"> </w:t>
      </w:r>
      <w:r w:rsidRPr="00743E58">
        <w:rPr>
          <w:b/>
          <w:i/>
        </w:rPr>
        <w:t>Recibos de pagos de salarios</w:t>
      </w:r>
      <w:r w:rsidRPr="00743E58">
        <w:rPr>
          <w:i/>
        </w:rPr>
        <w:t xml:space="preserve"> o las constancias documentales del pago de salario cuando sea por depósito o mediante información electrónica;</w:t>
      </w:r>
    </w:p>
    <w:p w14:paraId="15E5C746" w14:textId="77777777" w:rsidR="009569D0" w:rsidRPr="00743E58" w:rsidRDefault="00B76053" w:rsidP="00743E58">
      <w:pPr>
        <w:ind w:right="-93"/>
        <w:rPr>
          <w:b/>
          <w:i/>
        </w:rPr>
      </w:pPr>
      <w:r w:rsidRPr="00743E58">
        <w:rPr>
          <w:b/>
          <w:i/>
        </w:rPr>
        <w:t>(…)</w:t>
      </w:r>
    </w:p>
    <w:p w14:paraId="2B1A8520" w14:textId="77777777" w:rsidR="009569D0" w:rsidRPr="00743E58" w:rsidRDefault="00B76053" w:rsidP="00743E58">
      <w:pPr>
        <w:ind w:right="-93"/>
        <w:rPr>
          <w:b/>
          <w:i/>
        </w:rPr>
      </w:pPr>
      <w:r w:rsidRPr="00743E58">
        <w:rPr>
          <w:b/>
          <w:i/>
        </w:rPr>
        <w:t>IV.</w:t>
      </w:r>
      <w:r w:rsidRPr="00743E58">
        <w:rPr>
          <w:i/>
        </w:rPr>
        <w:t xml:space="preserve"> </w:t>
      </w:r>
      <w:r w:rsidRPr="00743E58">
        <w:rPr>
          <w:b/>
          <w:i/>
        </w:rPr>
        <w:t xml:space="preserve">Recibos o las constancias de depósito o del medio de información magnética o electrónica que sean utilizadas para el pago de salarios, prima vacacional, </w:t>
      </w:r>
      <w:r w:rsidRPr="00743E58">
        <w:rPr>
          <w:b/>
          <w:i/>
          <w:u w:val="single"/>
        </w:rPr>
        <w:t>aguinaldo</w:t>
      </w:r>
      <w:r w:rsidRPr="00743E58">
        <w:rPr>
          <w:b/>
          <w:i/>
        </w:rPr>
        <w:t xml:space="preserve"> y demás prestaciones establecidas en la presente ley; y</w:t>
      </w:r>
    </w:p>
    <w:p w14:paraId="3371D50C" w14:textId="77777777" w:rsidR="009569D0" w:rsidRPr="00743E58" w:rsidRDefault="00B76053" w:rsidP="00743E58">
      <w:pPr>
        <w:ind w:right="-93"/>
        <w:rPr>
          <w:i/>
        </w:rPr>
      </w:pPr>
      <w:r w:rsidRPr="00743E58">
        <w:rPr>
          <w:b/>
          <w:i/>
        </w:rPr>
        <w:t>Los documentos señalados en la fracción I de este artículo, deberán conservarse mientras dure la relación laboral y hasta un año después;</w:t>
      </w:r>
      <w:r w:rsidRPr="00743E58">
        <w:rPr>
          <w:i/>
        </w:rPr>
        <w:t xml:space="preserve"> los señalados por las fracciones II, III, IV durante el último año y un año después de que se extinga la relación laboral, y los mencionados en la fracción V, conforme lo señalen las leyes que los rijan.</w:t>
      </w:r>
    </w:p>
    <w:p w14:paraId="3106FE95" w14:textId="77777777" w:rsidR="009569D0" w:rsidRPr="00743E58" w:rsidRDefault="00B76053" w:rsidP="00743E58">
      <w:pPr>
        <w:ind w:right="-93"/>
        <w:rPr>
          <w:i/>
        </w:rPr>
      </w:pPr>
      <w:r w:rsidRPr="00743E58">
        <w:rPr>
          <w:b/>
          <w:i/>
        </w:rPr>
        <w:t>Los documentos y constancias aquí señalados, la institución o dependencia</w:t>
      </w:r>
      <w:r w:rsidRPr="00743E58">
        <w:rPr>
          <w:b/>
          <w:i/>
          <w:u w:val="single"/>
        </w:rPr>
        <w:t xml:space="preserve"> podrá conservarlos por medio de los sistemas de digitalización o de información magnética o electrónica o cualquier medio descubierto por la ciencia y las constancias expedidas por el encargado del área de personal de éstas</w:t>
      </w:r>
      <w:r w:rsidRPr="00743E58">
        <w:rPr>
          <w:i/>
        </w:rPr>
        <w:t>, harán prueba plena.</w:t>
      </w:r>
    </w:p>
    <w:p w14:paraId="74617012" w14:textId="77777777" w:rsidR="00BD37E1" w:rsidRPr="00743E58" w:rsidRDefault="00BD37E1" w:rsidP="00743E58">
      <w:pPr>
        <w:ind w:right="-93"/>
        <w:rPr>
          <w:i/>
        </w:rPr>
      </w:pPr>
    </w:p>
    <w:p w14:paraId="5915497D" w14:textId="77777777" w:rsidR="009569D0" w:rsidRPr="00743E58" w:rsidRDefault="00B76053" w:rsidP="00743E58">
      <w:pPr>
        <w:ind w:right="-93"/>
        <w:rPr>
          <w:i/>
        </w:rPr>
      </w:pPr>
      <w:r w:rsidRPr="00743E58">
        <w:rPr>
          <w:i/>
        </w:rPr>
        <w:t>El incumplimiento por lo dispuesto por este artículo, establecerá la presunción de ser ciertos los hechos que el actor exprese en su demanda, en relación con tales documentos, salvo prueba en contrario.</w:t>
      </w:r>
    </w:p>
    <w:p w14:paraId="20B1306E" w14:textId="77777777" w:rsidR="009569D0" w:rsidRPr="00743E58" w:rsidRDefault="009569D0" w:rsidP="00743E58">
      <w:pPr>
        <w:ind w:right="-93"/>
      </w:pPr>
    </w:p>
    <w:p w14:paraId="489BB4A4" w14:textId="77777777" w:rsidR="009569D0" w:rsidRPr="00743E58" w:rsidRDefault="00B76053" w:rsidP="00743E58">
      <w:pPr>
        <w:ind w:right="-93"/>
      </w:pPr>
      <w:r w:rsidRPr="00743E58">
        <w:t xml:space="preserve">De lo anterior, se advierte que toda institución pública o dependencia pública del Estado de México debe conservar las constancias de pago </w:t>
      </w:r>
      <w:r w:rsidRPr="00743E58">
        <w:rPr>
          <w:u w:val="single"/>
        </w:rPr>
        <w:t>de salarios</w:t>
      </w:r>
      <w:r w:rsidRPr="00743E58">
        <w:t xml:space="preserve">, prima vacacional, </w:t>
      </w:r>
      <w:r w:rsidRPr="00743E58">
        <w:rPr>
          <w:u w:val="single"/>
        </w:rPr>
        <w:t xml:space="preserve">aguinaldo </w:t>
      </w:r>
      <w:r w:rsidRPr="00743E58">
        <w:t>y demás prestaciones legales de acuerdo con la forma en que se haya realizado el pago; así como, los recibos de pago por honorarios;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186DD8C3" w14:textId="77777777" w:rsidR="009569D0" w:rsidRPr="00743E58" w:rsidRDefault="009569D0" w:rsidP="00743E58">
      <w:pPr>
        <w:ind w:right="-93"/>
      </w:pPr>
    </w:p>
    <w:p w14:paraId="49217ADE" w14:textId="77777777" w:rsidR="009569D0" w:rsidRPr="00743E58" w:rsidRDefault="00B76053" w:rsidP="00743E58">
      <w:pPr>
        <w:ind w:right="-93"/>
        <w:rPr>
          <w:i/>
        </w:rPr>
      </w:pPr>
      <w:r w:rsidRPr="00743E58">
        <w:lastRenderedPageBreak/>
        <w:t xml:space="preserve">Además, la </w:t>
      </w:r>
      <w:r w:rsidRPr="00743E58">
        <w:rPr>
          <w:b/>
        </w:rPr>
        <w:t>Ley Orgánica Municipal del Estado de México</w:t>
      </w:r>
      <w:r w:rsidRPr="00743E58">
        <w:t xml:space="preserve"> en el artículo 31 fracción XIX establece como atribución de los Ayuntamientos aprobar su </w:t>
      </w:r>
      <w:r w:rsidRPr="00743E58">
        <w:rPr>
          <w:b/>
          <w:u w:val="single"/>
        </w:rPr>
        <w:t>Presupuesto de Egresos</w:t>
      </w:r>
      <w:r w:rsidRPr="00743E58">
        <w:t>, y al hacerlo deberán señalar “</w:t>
      </w:r>
      <w:r w:rsidRPr="00743E58">
        <w:rPr>
          <w:b/>
          <w:i/>
          <w:u w:val="single"/>
        </w:rPr>
        <w:t>la remuneración</w:t>
      </w:r>
      <w:r w:rsidRPr="00743E58">
        <w:rPr>
          <w:i/>
        </w:rPr>
        <w:t xml:space="preserve"> de todo tipo que corresponda a un empleo, cargo o comisión de cualquier naturaleza, determinada conforme a principios de racionalidad, austeridad, disciplina financiera, equidad, legalidad, igualdad y transparencia, sujetándose a lo dispuesto por el Código Financiero y demás disposiciones legales aplicables</w:t>
      </w:r>
      <w:r w:rsidRPr="00743E58">
        <w:t>“ y además “</w:t>
      </w:r>
      <w:r w:rsidRPr="00743E58">
        <w:rPr>
          <w:i/>
        </w:rPr>
        <w:t xml:space="preserve">las remuneraciones de todo tipo del Presidente Municipal, Síndicos, Regidores y servidores públicos en general, incluyendo mandos medios y superiores de la administración municipal, </w:t>
      </w:r>
      <w:r w:rsidRPr="00743E58">
        <w:rPr>
          <w:b/>
          <w:i/>
        </w:rPr>
        <w:t>serán determinadas anualmente en el presupuesto de egresos</w:t>
      </w:r>
      <w:r w:rsidRPr="00743E58">
        <w:rPr>
          <w:i/>
        </w:rPr>
        <w:t xml:space="preserve"> correspondiente y se sujetarán a los lineamientos legales establecidos para todos los servidores públicos municipales</w:t>
      </w:r>
      <w:r w:rsidRPr="00743E58">
        <w:t>”.</w:t>
      </w:r>
      <w:r w:rsidRPr="00743E58">
        <w:rPr>
          <w:i/>
        </w:rPr>
        <w:t>(…)</w:t>
      </w:r>
    </w:p>
    <w:p w14:paraId="2473822C" w14:textId="77777777" w:rsidR="009569D0" w:rsidRPr="00743E58" w:rsidRDefault="00B76053" w:rsidP="00743E58">
      <w:pPr>
        <w:ind w:right="-93"/>
      </w:pPr>
      <w:r w:rsidRPr="00743E58">
        <w:t>Del ordenamiento legal citado se desprende que las remuneraciones se encuentran contenidas tanto en el presupuesto de egresos como en el informe trimestral que se envía al Órgano Superior de Fiscalización, y que dichas facultades son conferidas a la Tesorería Municipal.</w:t>
      </w:r>
    </w:p>
    <w:p w14:paraId="7E559E8F" w14:textId="77777777" w:rsidR="00BD37E1" w:rsidRPr="00743E58" w:rsidRDefault="00BD37E1" w:rsidP="00743E58">
      <w:pPr>
        <w:spacing w:before="240" w:after="240"/>
        <w:rPr>
          <w:sz w:val="24"/>
          <w:szCs w:val="24"/>
        </w:rPr>
      </w:pPr>
      <w:r w:rsidRPr="00743E58">
        <w:rPr>
          <w:sz w:val="24"/>
          <w:szCs w:val="24"/>
        </w:rPr>
        <w:t>Por otro lado, de conformidad con los Lineamientos para la integración, presentación y envío de los informes trimestrales municipales, del ejercicio 2024 y los Instructivos de llenado correspondientes, mismos que se encuentran disponibles en su sitio de internet</w:t>
      </w:r>
      <w:r w:rsidRPr="00743E58">
        <w:rPr>
          <w:sz w:val="24"/>
          <w:szCs w:val="24"/>
          <w:vertAlign w:val="superscript"/>
        </w:rPr>
        <w:footnoteReference w:id="5"/>
      </w:r>
      <w:r w:rsidRPr="00743E58">
        <w:rPr>
          <w:sz w:val="24"/>
          <w:szCs w:val="24"/>
        </w:rPr>
        <w:t>.</w:t>
      </w:r>
    </w:p>
    <w:p w14:paraId="35B0C637" w14:textId="77777777" w:rsidR="00BD37E1" w:rsidRPr="00743E58" w:rsidRDefault="00BD37E1" w:rsidP="00743E58">
      <w:pPr>
        <w:spacing w:before="240" w:after="240"/>
        <w:rPr>
          <w:sz w:val="24"/>
          <w:szCs w:val="24"/>
        </w:rPr>
      </w:pPr>
      <w:r w:rsidRPr="00743E58">
        <w:rPr>
          <w:sz w:val="24"/>
          <w:szCs w:val="24"/>
        </w:rPr>
        <w:t>De manera que la información que generan los entes fiscalizables de carácter municipal con motivo de la nómina, se encuentra contenida en el Módulo 4 Información administrativa, Submódulo Nómina (Plataforma Digital), como se muestra a continuación:</w:t>
      </w:r>
    </w:p>
    <w:p w14:paraId="59B105F8" w14:textId="77777777" w:rsidR="00BD37E1" w:rsidRPr="00743E58" w:rsidRDefault="00BD37E1" w:rsidP="00743E58">
      <w:pPr>
        <w:spacing w:before="240"/>
        <w:ind w:right="49"/>
        <w:jc w:val="center"/>
        <w:rPr>
          <w:sz w:val="24"/>
          <w:szCs w:val="24"/>
        </w:rPr>
      </w:pPr>
      <w:r w:rsidRPr="00743E58">
        <w:rPr>
          <w:noProof/>
          <w:sz w:val="24"/>
          <w:szCs w:val="24"/>
        </w:rPr>
        <w:lastRenderedPageBreak/>
        <w:drawing>
          <wp:inline distT="0" distB="0" distL="0" distR="0" wp14:anchorId="04E56ABB" wp14:editId="703C4A18">
            <wp:extent cx="5611495" cy="2705100"/>
            <wp:effectExtent l="0" t="0" r="8255" b="0"/>
            <wp:docPr id="2140131832"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2"/>
                    <a:srcRect b="24051"/>
                    <a:stretch>
                      <a:fillRect/>
                    </a:stretch>
                  </pic:blipFill>
                  <pic:spPr>
                    <a:xfrm>
                      <a:off x="0" y="0"/>
                      <a:ext cx="5618656" cy="2708552"/>
                    </a:xfrm>
                    <a:prstGeom prst="rect">
                      <a:avLst/>
                    </a:prstGeom>
                    <a:ln/>
                  </pic:spPr>
                </pic:pic>
              </a:graphicData>
            </a:graphic>
          </wp:inline>
        </w:drawing>
      </w:r>
      <w:r w:rsidRPr="00743E58">
        <w:rPr>
          <w:noProof/>
        </w:rPr>
        <mc:AlternateContent>
          <mc:Choice Requires="wps">
            <w:drawing>
              <wp:anchor distT="0" distB="0" distL="114300" distR="114300" simplePos="0" relativeHeight="251659264" behindDoc="0" locked="0" layoutInCell="1" hidden="0" allowOverlap="1" wp14:anchorId="53F36378" wp14:editId="3B3BCA09">
                <wp:simplePos x="0" y="0"/>
                <wp:positionH relativeFrom="column">
                  <wp:posOffset>787400</wp:posOffset>
                </wp:positionH>
                <wp:positionV relativeFrom="paragraph">
                  <wp:posOffset>4914900</wp:posOffset>
                </wp:positionV>
                <wp:extent cx="4811268" cy="455544"/>
                <wp:effectExtent l="0" t="0" r="0" b="0"/>
                <wp:wrapNone/>
                <wp:docPr id="2140131829" name="Rectángulo 2140131829"/>
                <wp:cNvGraphicFramePr/>
                <a:graphic xmlns:a="http://schemas.openxmlformats.org/drawingml/2006/main">
                  <a:graphicData uri="http://schemas.microsoft.com/office/word/2010/wordprocessingShape">
                    <wps:wsp>
                      <wps:cNvSpPr/>
                      <wps:spPr>
                        <a:xfrm>
                          <a:off x="2959416" y="3571278"/>
                          <a:ext cx="4773168" cy="417444"/>
                        </a:xfrm>
                        <a:prstGeom prst="rect">
                          <a:avLst/>
                        </a:prstGeom>
                        <a:noFill/>
                        <a:ln w="38100" cap="flat" cmpd="sng">
                          <a:solidFill>
                            <a:srgbClr val="C00000"/>
                          </a:solidFill>
                          <a:prstDash val="solid"/>
                          <a:miter lim="800000"/>
                          <a:headEnd type="none" w="sm" len="sm"/>
                          <a:tailEnd type="none" w="sm" len="sm"/>
                        </a:ln>
                      </wps:spPr>
                      <wps:txbx>
                        <w:txbxContent>
                          <w:p w14:paraId="631FA87D" w14:textId="77777777" w:rsidR="00BD37E1" w:rsidRDefault="00BD37E1" w:rsidP="00BD37E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D835CB7" id="Rectángulo 2140131829" o:spid="_x0000_s1026" style="position:absolute;left:0;text-align:left;margin-left:62pt;margin-top:387pt;width:378.85pt;height:3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" filled="f" strokecolor="#c00000" strokeweight="3pt">
                <v:stroke startarrowwidth="narrow" startarrowlength="short" endarrowwidth="narrow" endarrowlength="short"/>
                <v:textbox inset="2.53958mm,2.53958mm,2.53958mm,2.53958mm">
                  <w:txbxContent>
                    <w:p w:rsidR="00BD37E1" w:rsidRDefault="00BD37E1" w:rsidP="00BD37E1">
                      <w:pPr>
                        <w:spacing w:line="240" w:lineRule="auto"/>
                        <w:textDirection w:val="btLr"/>
                      </w:pPr>
                    </w:p>
                  </w:txbxContent>
                </v:textbox>
              </v:rect>
            </w:pict>
          </mc:Fallback>
        </mc:AlternateContent>
      </w:r>
    </w:p>
    <w:p w14:paraId="773EDAB3" w14:textId="77777777" w:rsidR="00BD37E1" w:rsidRPr="00743E58" w:rsidRDefault="00BD37E1" w:rsidP="00743E58">
      <w:pPr>
        <w:spacing w:before="240"/>
        <w:ind w:right="49"/>
        <w:rPr>
          <w:sz w:val="24"/>
          <w:szCs w:val="24"/>
        </w:rPr>
      </w:pPr>
      <w:r w:rsidRPr="00743E58">
        <w:rPr>
          <w:sz w:val="24"/>
          <w:szCs w:val="24"/>
        </w:rPr>
        <w:t>La finalidad de la conciliación de nómina consiste en presentar el concentrado mensual, de manera quincenal, de las cifras derivadas de todas las erogaciones realizadas por concepto de remuneraciones al trabajo, registradas en la nómina; las cuales deben de coincidir con las contenidas en los registros contables, por concepto de remuneraciones al trabajo personal.</w:t>
      </w:r>
    </w:p>
    <w:p w14:paraId="4158FC8A" w14:textId="77777777" w:rsidR="00BD37E1" w:rsidRPr="00743E58" w:rsidRDefault="00BD37E1" w:rsidP="00743E58">
      <w:pPr>
        <w:spacing w:before="240"/>
        <w:ind w:right="49"/>
        <w:rPr>
          <w:sz w:val="24"/>
          <w:szCs w:val="24"/>
        </w:rPr>
      </w:pPr>
      <w:r w:rsidRPr="00743E58">
        <w:rPr>
          <w:sz w:val="24"/>
          <w:szCs w:val="24"/>
        </w:rPr>
        <w:t>La conciliación de nómina debe presentarse a través de los formatos XLSX y TXT, siendo el primero el siguiente:</w:t>
      </w:r>
    </w:p>
    <w:p w14:paraId="0DDD0930" w14:textId="77777777" w:rsidR="00BD37E1" w:rsidRPr="00743E58" w:rsidRDefault="00BD37E1" w:rsidP="00743E58">
      <w:pPr>
        <w:spacing w:before="240"/>
        <w:ind w:right="49"/>
        <w:rPr>
          <w:sz w:val="24"/>
          <w:szCs w:val="24"/>
        </w:rPr>
      </w:pPr>
      <w:r w:rsidRPr="00743E58">
        <w:rPr>
          <w:noProof/>
          <w:sz w:val="24"/>
          <w:szCs w:val="24"/>
        </w:rPr>
        <w:lastRenderedPageBreak/>
        <w:drawing>
          <wp:inline distT="0" distB="0" distL="0" distR="0" wp14:anchorId="7FC29422" wp14:editId="66B9C686">
            <wp:extent cx="5611495" cy="4600575"/>
            <wp:effectExtent l="0" t="0" r="8255" b="9525"/>
            <wp:docPr id="21401318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b="20862"/>
                    <a:stretch>
                      <a:fillRect/>
                    </a:stretch>
                  </pic:blipFill>
                  <pic:spPr>
                    <a:xfrm>
                      <a:off x="0" y="0"/>
                      <a:ext cx="5620664" cy="4608092"/>
                    </a:xfrm>
                    <a:prstGeom prst="rect">
                      <a:avLst/>
                    </a:prstGeom>
                    <a:ln/>
                  </pic:spPr>
                </pic:pic>
              </a:graphicData>
            </a:graphic>
          </wp:inline>
        </w:drawing>
      </w:r>
    </w:p>
    <w:p w14:paraId="73B61BC0" w14:textId="77777777" w:rsidR="00BD37E1" w:rsidRPr="00743E58" w:rsidRDefault="00BD37E1" w:rsidP="00743E58">
      <w:pPr>
        <w:spacing w:before="240"/>
        <w:ind w:right="49"/>
        <w:rPr>
          <w:sz w:val="24"/>
          <w:szCs w:val="24"/>
        </w:rPr>
      </w:pPr>
      <w:r w:rsidRPr="00743E58">
        <w:rPr>
          <w:noProof/>
          <w:sz w:val="24"/>
          <w:szCs w:val="24"/>
        </w:rPr>
        <w:drawing>
          <wp:inline distT="0" distB="0" distL="0" distR="0" wp14:anchorId="0001EB5C" wp14:editId="64AED261">
            <wp:extent cx="5612130" cy="1350501"/>
            <wp:effectExtent l="0" t="0" r="0" b="0"/>
            <wp:docPr id="21401318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t="79868"/>
                    <a:stretch>
                      <a:fillRect/>
                    </a:stretch>
                  </pic:blipFill>
                  <pic:spPr>
                    <a:xfrm>
                      <a:off x="0" y="0"/>
                      <a:ext cx="5612130" cy="1350501"/>
                    </a:xfrm>
                    <a:prstGeom prst="rect">
                      <a:avLst/>
                    </a:prstGeom>
                    <a:ln/>
                  </pic:spPr>
                </pic:pic>
              </a:graphicData>
            </a:graphic>
          </wp:inline>
        </w:drawing>
      </w:r>
    </w:p>
    <w:p w14:paraId="2C538020" w14:textId="77777777" w:rsidR="00BD37E1" w:rsidRPr="00743E58" w:rsidRDefault="00BD37E1" w:rsidP="00743E58">
      <w:pPr>
        <w:spacing w:before="240"/>
        <w:ind w:right="49"/>
        <w:rPr>
          <w:sz w:val="24"/>
          <w:szCs w:val="24"/>
        </w:rPr>
      </w:pPr>
      <w:r w:rsidRPr="00743E58">
        <w:rPr>
          <w:sz w:val="24"/>
          <w:szCs w:val="24"/>
        </w:rPr>
        <w:t>Para el llenado de dicho formato se deben observar las siguientes consideraciones:</w:t>
      </w:r>
    </w:p>
    <w:p w14:paraId="1A670A58" w14:textId="77777777" w:rsidR="00BD37E1" w:rsidRPr="00743E58" w:rsidRDefault="00BD37E1" w:rsidP="00743E58">
      <w:pPr>
        <w:spacing w:before="240"/>
        <w:ind w:right="49"/>
        <w:rPr>
          <w:sz w:val="24"/>
          <w:szCs w:val="24"/>
        </w:rPr>
      </w:pPr>
      <w:r w:rsidRPr="00743E58">
        <w:rPr>
          <w:noProof/>
          <w:sz w:val="24"/>
          <w:szCs w:val="24"/>
        </w:rPr>
        <w:lastRenderedPageBreak/>
        <w:drawing>
          <wp:inline distT="0" distB="0" distL="0" distR="0" wp14:anchorId="21C9C8A8" wp14:editId="55238835">
            <wp:extent cx="5612130" cy="1139190"/>
            <wp:effectExtent l="0" t="0" r="0" b="0"/>
            <wp:docPr id="214013183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4"/>
                    <a:srcRect/>
                    <a:stretch>
                      <a:fillRect/>
                    </a:stretch>
                  </pic:blipFill>
                  <pic:spPr>
                    <a:xfrm>
                      <a:off x="0" y="0"/>
                      <a:ext cx="5612130" cy="1139190"/>
                    </a:xfrm>
                    <a:prstGeom prst="rect">
                      <a:avLst/>
                    </a:prstGeom>
                    <a:ln/>
                  </pic:spPr>
                </pic:pic>
              </a:graphicData>
            </a:graphic>
          </wp:inline>
        </w:drawing>
      </w:r>
    </w:p>
    <w:p w14:paraId="7E0486B7" w14:textId="77777777" w:rsidR="00BD37E1" w:rsidRPr="00743E58" w:rsidRDefault="00BD37E1" w:rsidP="00743E58">
      <w:pPr>
        <w:spacing w:before="240"/>
        <w:ind w:right="49"/>
        <w:rPr>
          <w:sz w:val="24"/>
          <w:szCs w:val="24"/>
        </w:rPr>
      </w:pPr>
      <w:r w:rsidRPr="00743E58">
        <w:rPr>
          <w:noProof/>
          <w:sz w:val="24"/>
          <w:szCs w:val="24"/>
        </w:rPr>
        <w:drawing>
          <wp:inline distT="0" distB="0" distL="0" distR="0" wp14:anchorId="4F2D356A" wp14:editId="14670D62">
            <wp:extent cx="5612130" cy="3479483"/>
            <wp:effectExtent l="0" t="0" r="0" b="0"/>
            <wp:docPr id="214013183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5"/>
                    <a:srcRect b="51914"/>
                    <a:stretch>
                      <a:fillRect/>
                    </a:stretch>
                  </pic:blipFill>
                  <pic:spPr>
                    <a:xfrm>
                      <a:off x="0" y="0"/>
                      <a:ext cx="5612130" cy="3479483"/>
                    </a:xfrm>
                    <a:prstGeom prst="rect">
                      <a:avLst/>
                    </a:prstGeom>
                    <a:ln/>
                  </pic:spPr>
                </pic:pic>
              </a:graphicData>
            </a:graphic>
          </wp:inline>
        </w:drawing>
      </w:r>
    </w:p>
    <w:p w14:paraId="0EB115E4" w14:textId="77777777" w:rsidR="00BD37E1" w:rsidRPr="00743E58" w:rsidRDefault="00BD37E1" w:rsidP="00743E58">
      <w:pPr>
        <w:spacing w:before="240"/>
        <w:ind w:right="49"/>
        <w:rPr>
          <w:sz w:val="24"/>
          <w:szCs w:val="24"/>
        </w:rPr>
      </w:pPr>
      <w:r w:rsidRPr="00743E58">
        <w:rPr>
          <w:noProof/>
          <w:sz w:val="24"/>
          <w:szCs w:val="24"/>
        </w:rPr>
        <w:lastRenderedPageBreak/>
        <mc:AlternateContent>
          <mc:Choice Requires="wps">
            <w:drawing>
              <wp:anchor distT="0" distB="0" distL="114300" distR="114300" simplePos="0" relativeHeight="251660288" behindDoc="0" locked="0" layoutInCell="1" allowOverlap="1" wp14:anchorId="50793554" wp14:editId="54FFB15B">
                <wp:simplePos x="0" y="0"/>
                <wp:positionH relativeFrom="column">
                  <wp:posOffset>1270</wp:posOffset>
                </wp:positionH>
                <wp:positionV relativeFrom="paragraph">
                  <wp:posOffset>-39370</wp:posOffset>
                </wp:positionV>
                <wp:extent cx="5667375" cy="304800"/>
                <wp:effectExtent l="57150" t="38100" r="85725" b="95250"/>
                <wp:wrapNone/>
                <wp:docPr id="1" name="Rectángulo 1"/>
                <wp:cNvGraphicFramePr/>
                <a:graphic xmlns:a="http://schemas.openxmlformats.org/drawingml/2006/main">
                  <a:graphicData uri="http://schemas.microsoft.com/office/word/2010/wordprocessingShape">
                    <wps:wsp>
                      <wps:cNvSpPr/>
                      <wps:spPr>
                        <a:xfrm>
                          <a:off x="0" y="0"/>
                          <a:ext cx="5667375" cy="304800"/>
                        </a:xfrm>
                        <a:prstGeom prst="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0DB3342" id="Rectángulo 1" o:spid="_x0000_s1026" style="position:absolute;margin-left:.1pt;margin-top:-3.1pt;width:446.25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" filled="f" strokecolor="red" strokeweight="3pt">
                <v:shadow on="t" color="black" opacity="22937f" origin=",.5" offset="0,.63889mm"/>
              </v:rect>
            </w:pict>
          </mc:Fallback>
        </mc:AlternateContent>
      </w:r>
      <w:r w:rsidRPr="00743E58">
        <w:rPr>
          <w:noProof/>
          <w:sz w:val="24"/>
          <w:szCs w:val="24"/>
        </w:rPr>
        <w:drawing>
          <wp:inline distT="0" distB="0" distL="0" distR="0" wp14:anchorId="7043C1BA" wp14:editId="726BFC52">
            <wp:extent cx="5612130" cy="3687544"/>
            <wp:effectExtent l="0" t="0" r="0" b="0"/>
            <wp:docPr id="214013183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5"/>
                    <a:srcRect t="48910" b="127"/>
                    <a:stretch>
                      <a:fillRect/>
                    </a:stretch>
                  </pic:blipFill>
                  <pic:spPr>
                    <a:xfrm>
                      <a:off x="0" y="0"/>
                      <a:ext cx="5612130" cy="3687544"/>
                    </a:xfrm>
                    <a:prstGeom prst="rect">
                      <a:avLst/>
                    </a:prstGeom>
                    <a:ln/>
                  </pic:spPr>
                </pic:pic>
              </a:graphicData>
            </a:graphic>
          </wp:inline>
        </w:drawing>
      </w:r>
      <w:r w:rsidRPr="00743E58">
        <w:rPr>
          <w:noProof/>
          <w:sz w:val="24"/>
          <w:szCs w:val="24"/>
        </w:rPr>
        <w:drawing>
          <wp:inline distT="0" distB="0" distL="0" distR="0" wp14:anchorId="33BBCA74" wp14:editId="465296F0">
            <wp:extent cx="5612130" cy="1405255"/>
            <wp:effectExtent l="0" t="0" r="0" b="0"/>
            <wp:docPr id="214013183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5612130" cy="1405255"/>
                    </a:xfrm>
                    <a:prstGeom prst="rect">
                      <a:avLst/>
                    </a:prstGeom>
                    <a:ln/>
                  </pic:spPr>
                </pic:pic>
              </a:graphicData>
            </a:graphic>
          </wp:inline>
        </w:drawing>
      </w:r>
    </w:p>
    <w:p w14:paraId="3AA18599" w14:textId="77777777" w:rsidR="009569D0" w:rsidRPr="00743E58" w:rsidRDefault="00B76053" w:rsidP="00743E58">
      <w:pPr>
        <w:ind w:right="-93"/>
      </w:pPr>
      <w:r w:rsidRPr="00743E58">
        <w:t>En este orden de ideas, deberá hacerse una búsqueda exhaustiva y razonable en las áreas competentes para generar, administrar y/o poseer la información solicitada.</w:t>
      </w:r>
    </w:p>
    <w:p w14:paraId="618F1A25" w14:textId="77777777" w:rsidR="009569D0" w:rsidRPr="00743E58" w:rsidRDefault="009569D0" w:rsidP="00743E58">
      <w:pPr>
        <w:ind w:right="-93"/>
      </w:pPr>
    </w:p>
    <w:p w14:paraId="49EAD5EE" w14:textId="77777777" w:rsidR="009569D0" w:rsidRPr="00743E58" w:rsidRDefault="00B76053" w:rsidP="00743E58">
      <w:pPr>
        <w:pBdr>
          <w:top w:val="nil"/>
          <w:left w:val="nil"/>
          <w:bottom w:val="nil"/>
          <w:right w:val="nil"/>
          <w:between w:val="nil"/>
        </w:pBdr>
        <w:ind w:right="191"/>
      </w:pPr>
      <w:r w:rsidRPr="00743E58">
        <w:t xml:space="preserve">Ahora bien, por lo que concierne al requerimiento marcado al numeral 5 relativo a saber </w:t>
      </w:r>
      <w:r w:rsidRPr="00743E58">
        <w:rPr>
          <w:i/>
        </w:rPr>
        <w:t>todo el personal adscrito a la tesorería municipal a partir del 1 de enero del año 2025</w:t>
      </w:r>
      <w:r w:rsidRPr="00743E58">
        <w:t xml:space="preserve">, se tiene que </w:t>
      </w:r>
      <w:r w:rsidRPr="00743E58">
        <w:rPr>
          <w:b/>
        </w:rPr>
        <w:t xml:space="preserve">EL SUJETO OBLIGADO </w:t>
      </w:r>
      <w:r w:rsidRPr="00743E58">
        <w:t>manifestó que se encuentran 37 personas adscritas a la Tesorería Municipal.</w:t>
      </w:r>
    </w:p>
    <w:p w14:paraId="511DF928" w14:textId="77777777" w:rsidR="009569D0" w:rsidRPr="00743E58" w:rsidRDefault="009569D0" w:rsidP="00743E58">
      <w:pPr>
        <w:pBdr>
          <w:top w:val="nil"/>
          <w:left w:val="nil"/>
          <w:bottom w:val="nil"/>
          <w:right w:val="nil"/>
          <w:between w:val="nil"/>
        </w:pBdr>
        <w:ind w:right="191"/>
      </w:pPr>
    </w:p>
    <w:p w14:paraId="05EC4A61" w14:textId="77777777" w:rsidR="009569D0" w:rsidRPr="00743E58" w:rsidRDefault="00B76053" w:rsidP="00743E58">
      <w:pPr>
        <w:pBdr>
          <w:top w:val="nil"/>
          <w:left w:val="nil"/>
          <w:bottom w:val="nil"/>
          <w:right w:val="nil"/>
          <w:between w:val="nil"/>
        </w:pBdr>
        <w:ind w:right="191"/>
      </w:pPr>
      <w:r w:rsidRPr="00743E58">
        <w:t>Pronunciamiento que, a consideración de este Órgano Garante, no colma lo solicitado, en el entendido de que, de la lectura del requerimiento en estudio, se infiere que se solicita conocer el nombre de los servidores públicos que se encuentran adscritos a la Tesorería Municipal, y no solamente dato estadístico.</w:t>
      </w:r>
    </w:p>
    <w:p w14:paraId="54EE0C5B" w14:textId="77777777" w:rsidR="009569D0" w:rsidRPr="00743E58" w:rsidRDefault="00B76053" w:rsidP="00743E58">
      <w:pPr>
        <w:spacing w:before="280" w:after="280"/>
        <w:rPr>
          <w:b/>
        </w:rPr>
      </w:pPr>
      <w:r w:rsidRPr="00743E58">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Pr="00743E58">
        <w:rPr>
          <w:b/>
        </w:rPr>
        <w:t xml:space="preserve">EL SUJETO OBLIGADO </w:t>
      </w:r>
      <w:r w:rsidRPr="00743E58">
        <w:t xml:space="preserve">no atendió el derecho accionado por el particular, en razón de lo anteriormente expuesto, por lo que, y a fin de restituir al ahora </w:t>
      </w:r>
      <w:r w:rsidRPr="00743E58">
        <w:rPr>
          <w:b/>
        </w:rPr>
        <w:t xml:space="preserve">RECURRENTE </w:t>
      </w:r>
      <w:r w:rsidRPr="00743E58">
        <w:t xml:space="preserve">cualquier posible afectación al derecho de acceso a la información pública, se determina que los motivos de inconformidad son fundados, y se determina dable ordenar la entrega de la información materia de estudio de la presente resolución, de ser procedente en </w:t>
      </w:r>
      <w:r w:rsidRPr="00743E58">
        <w:rPr>
          <w:b/>
        </w:rPr>
        <w:t>versión pública.</w:t>
      </w:r>
    </w:p>
    <w:p w14:paraId="4B5CE3D6" w14:textId="77777777" w:rsidR="009569D0" w:rsidRPr="00743E58" w:rsidRDefault="009569D0" w:rsidP="00743E58">
      <w:pPr>
        <w:spacing w:before="280" w:after="280"/>
        <w:rPr>
          <w:b/>
        </w:rPr>
      </w:pPr>
    </w:p>
    <w:p w14:paraId="459D6E58" w14:textId="77777777" w:rsidR="009569D0" w:rsidRPr="00743E58" w:rsidRDefault="00B76053" w:rsidP="00743E58">
      <w:pPr>
        <w:spacing w:before="280" w:after="280"/>
      </w:pPr>
      <w:r w:rsidRPr="00743E58">
        <w:t>Asimismo, se menciona que, para el caso de que derivado de la búsqueda que se ordena no se llegara a localizar información de los recibos de los cuales se ordena su entrega, bastará con que así se haga del conocimiento de la persona solicitante para tener por satisfecho del derecho de acceso, de conformidad con lo previsto en el artículo 19, párrafo segundo de la Ley de Transparencia y Acceso a la Información Pública del Estado de México y Municipios, a saber:</w:t>
      </w:r>
    </w:p>
    <w:p w14:paraId="439F0B7F" w14:textId="77777777" w:rsidR="009569D0" w:rsidRPr="00743E58" w:rsidRDefault="00B76053" w:rsidP="00743E58">
      <w:pPr>
        <w:pStyle w:val="Puesto"/>
        <w:ind w:firstLine="0"/>
        <w:rPr>
          <w:b/>
          <w:color w:val="auto"/>
        </w:rPr>
      </w:pPr>
      <w:r w:rsidRPr="00743E58">
        <w:rPr>
          <w:color w:val="auto"/>
        </w:rPr>
        <w:t>“</w:t>
      </w:r>
      <w:r w:rsidRPr="00743E58">
        <w:rPr>
          <w:b/>
          <w:color w:val="auto"/>
        </w:rPr>
        <w:t>Artículo 19…</w:t>
      </w:r>
    </w:p>
    <w:p w14:paraId="4788E5B2" w14:textId="77777777" w:rsidR="009569D0" w:rsidRPr="00743E58" w:rsidRDefault="00B76053" w:rsidP="00743E58">
      <w:pPr>
        <w:pStyle w:val="Puesto"/>
        <w:ind w:firstLine="0"/>
        <w:rPr>
          <w:b/>
          <w:color w:val="auto"/>
        </w:rPr>
      </w:pPr>
      <w:r w:rsidRPr="00743E58">
        <w:rPr>
          <w:b/>
          <w:color w:val="auto"/>
        </w:rPr>
        <w:t>En los casos en que ciertas facultades, competencias o funciones no se hayan ejercido, se debe motivar la respuesta en función de las causas que motiven tal circunstancia.”</w:t>
      </w:r>
    </w:p>
    <w:p w14:paraId="69E0C058" w14:textId="77777777" w:rsidR="009569D0" w:rsidRPr="00743E58" w:rsidRDefault="009569D0" w:rsidP="00743E58"/>
    <w:p w14:paraId="6E3FD246" w14:textId="77777777" w:rsidR="009569D0" w:rsidRPr="00743E58" w:rsidRDefault="00B76053" w:rsidP="00743E58">
      <w:pPr>
        <w:pStyle w:val="Ttulo3"/>
      </w:pPr>
      <w:bookmarkStart w:id="28" w:name="_heading=h.y58j4bo4ff3" w:colFirst="0" w:colLast="0"/>
      <w:bookmarkEnd w:id="28"/>
      <w:r w:rsidRPr="00743E58">
        <w:lastRenderedPageBreak/>
        <w:t>d) Versión pública</w:t>
      </w:r>
    </w:p>
    <w:p w14:paraId="2172AD42" w14:textId="77777777" w:rsidR="009569D0" w:rsidRPr="00743E58" w:rsidRDefault="00B76053" w:rsidP="00743E58">
      <w:r w:rsidRPr="00743E58">
        <w:t xml:space="preserve">Para el caso de que el o los documentos de los cuales se ordena su entrega contengan datos personales susceptibles de ser testados, deberán ser entregados en </w:t>
      </w:r>
      <w:r w:rsidRPr="00743E58">
        <w:rPr>
          <w:b/>
        </w:rPr>
        <w:t>versión pública</w:t>
      </w:r>
      <w:r w:rsidRPr="00743E58">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76D911F" w14:textId="77777777" w:rsidR="009569D0" w:rsidRPr="00743E58" w:rsidRDefault="009569D0" w:rsidP="00743E58"/>
    <w:p w14:paraId="51652B6D" w14:textId="77777777" w:rsidR="009569D0" w:rsidRPr="00743E58" w:rsidRDefault="00B76053" w:rsidP="00743E58">
      <w:r w:rsidRPr="00743E58">
        <w:t>A este respecto, los artículos 3, fracciones IX, XX, XXI y XLV; 51 y 52 de la Ley de Transparencia y Acceso a la Información Pública del Estado de México y Municipios establecen:</w:t>
      </w:r>
    </w:p>
    <w:p w14:paraId="313FD448" w14:textId="77777777" w:rsidR="009569D0" w:rsidRPr="00743E58" w:rsidRDefault="009569D0" w:rsidP="00743E58"/>
    <w:p w14:paraId="78BFA645" w14:textId="77777777" w:rsidR="009569D0" w:rsidRPr="00743E58" w:rsidRDefault="00B76053" w:rsidP="00743E58">
      <w:pPr>
        <w:spacing w:line="240" w:lineRule="auto"/>
        <w:ind w:left="567" w:right="567"/>
        <w:rPr>
          <w:i/>
        </w:rPr>
      </w:pPr>
      <w:r w:rsidRPr="00743E58">
        <w:rPr>
          <w:b/>
          <w:i/>
        </w:rPr>
        <w:t xml:space="preserve">“Artículo 3. </w:t>
      </w:r>
      <w:r w:rsidRPr="00743E58">
        <w:rPr>
          <w:i/>
        </w:rPr>
        <w:t xml:space="preserve">Para los efectos de la presente Ley se entenderá por: </w:t>
      </w:r>
    </w:p>
    <w:p w14:paraId="6B5A9648" w14:textId="77777777" w:rsidR="009569D0" w:rsidRPr="00743E58" w:rsidRDefault="00B76053" w:rsidP="00743E58">
      <w:pPr>
        <w:spacing w:line="240" w:lineRule="auto"/>
        <w:ind w:left="567" w:right="567"/>
        <w:rPr>
          <w:i/>
        </w:rPr>
      </w:pPr>
      <w:r w:rsidRPr="00743E58">
        <w:rPr>
          <w:b/>
          <w:i/>
        </w:rPr>
        <w:t>IX.</w:t>
      </w:r>
      <w:r w:rsidRPr="00743E58">
        <w:rPr>
          <w:i/>
        </w:rPr>
        <w:t xml:space="preserve"> </w:t>
      </w:r>
      <w:r w:rsidRPr="00743E58">
        <w:rPr>
          <w:b/>
          <w:i/>
        </w:rPr>
        <w:t xml:space="preserve">Datos personales: </w:t>
      </w:r>
      <w:r w:rsidRPr="00743E58">
        <w:rPr>
          <w:i/>
        </w:rPr>
        <w:t xml:space="preserve">La información concerniente a una persona, identificada o identificable según lo dispuesto por la Ley de Protección de Datos Personales del Estado de México; </w:t>
      </w:r>
    </w:p>
    <w:p w14:paraId="0D4433AF" w14:textId="77777777" w:rsidR="009569D0" w:rsidRPr="00743E58" w:rsidRDefault="009569D0" w:rsidP="00743E58"/>
    <w:p w14:paraId="0C7F66DE" w14:textId="77777777" w:rsidR="009569D0" w:rsidRPr="00743E58" w:rsidRDefault="00B76053" w:rsidP="00743E58">
      <w:pPr>
        <w:spacing w:line="240" w:lineRule="auto"/>
        <w:ind w:left="567" w:right="567"/>
        <w:rPr>
          <w:i/>
        </w:rPr>
      </w:pPr>
      <w:r w:rsidRPr="00743E58">
        <w:rPr>
          <w:b/>
          <w:i/>
        </w:rPr>
        <w:t>XX.</w:t>
      </w:r>
      <w:r w:rsidRPr="00743E58">
        <w:rPr>
          <w:i/>
        </w:rPr>
        <w:t xml:space="preserve"> </w:t>
      </w:r>
      <w:r w:rsidRPr="00743E58">
        <w:rPr>
          <w:b/>
          <w:i/>
        </w:rPr>
        <w:t>Información clasificada:</w:t>
      </w:r>
      <w:r w:rsidRPr="00743E58">
        <w:rPr>
          <w:i/>
        </w:rPr>
        <w:t xml:space="preserve"> Aquella considerada por la presente Ley como reservada o confidencial; </w:t>
      </w:r>
    </w:p>
    <w:p w14:paraId="0E99FF29" w14:textId="77777777" w:rsidR="009569D0" w:rsidRPr="00743E58" w:rsidRDefault="009569D0" w:rsidP="00743E58"/>
    <w:p w14:paraId="44DE7753" w14:textId="77777777" w:rsidR="009569D0" w:rsidRPr="00743E58" w:rsidRDefault="00B76053" w:rsidP="00743E58">
      <w:pPr>
        <w:spacing w:line="240" w:lineRule="auto"/>
        <w:ind w:left="567" w:right="567"/>
        <w:rPr>
          <w:i/>
        </w:rPr>
      </w:pPr>
      <w:r w:rsidRPr="00743E58">
        <w:rPr>
          <w:b/>
          <w:i/>
        </w:rPr>
        <w:t>XXI.</w:t>
      </w:r>
      <w:r w:rsidRPr="00743E58">
        <w:rPr>
          <w:i/>
        </w:rPr>
        <w:t xml:space="preserve"> </w:t>
      </w:r>
      <w:r w:rsidRPr="00743E58">
        <w:rPr>
          <w:b/>
          <w:i/>
        </w:rPr>
        <w:t>Información confidencial</w:t>
      </w:r>
      <w:r w:rsidRPr="00743E58">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594842B" w14:textId="77777777" w:rsidR="009569D0" w:rsidRPr="00743E58" w:rsidRDefault="009569D0" w:rsidP="00743E58"/>
    <w:p w14:paraId="4D9F375E" w14:textId="77777777" w:rsidR="009569D0" w:rsidRPr="00743E58" w:rsidRDefault="00B76053" w:rsidP="00743E58">
      <w:pPr>
        <w:spacing w:line="240" w:lineRule="auto"/>
        <w:ind w:left="567" w:right="567"/>
        <w:rPr>
          <w:i/>
        </w:rPr>
      </w:pPr>
      <w:r w:rsidRPr="00743E58">
        <w:rPr>
          <w:b/>
          <w:i/>
        </w:rPr>
        <w:lastRenderedPageBreak/>
        <w:t>XLV. Versión pública:</w:t>
      </w:r>
      <w:r w:rsidRPr="00743E58">
        <w:rPr>
          <w:i/>
        </w:rPr>
        <w:t xml:space="preserve"> Documento en el que se elimine, suprime o borra la información clasificada como reservada o confidencial para permitir su acceso. </w:t>
      </w:r>
    </w:p>
    <w:p w14:paraId="701BF181" w14:textId="77777777" w:rsidR="009569D0" w:rsidRPr="00743E58" w:rsidRDefault="009569D0" w:rsidP="00743E58"/>
    <w:p w14:paraId="7B0CD254" w14:textId="77777777" w:rsidR="009569D0" w:rsidRPr="00743E58" w:rsidRDefault="00B76053" w:rsidP="00743E58">
      <w:pPr>
        <w:spacing w:line="240" w:lineRule="auto"/>
        <w:ind w:left="567" w:right="567"/>
        <w:rPr>
          <w:i/>
        </w:rPr>
      </w:pPr>
      <w:r w:rsidRPr="00743E58">
        <w:rPr>
          <w:b/>
          <w:i/>
        </w:rPr>
        <w:t>Artículo 51.</w:t>
      </w:r>
      <w:r w:rsidRPr="00743E58">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43E58">
        <w:rPr>
          <w:b/>
          <w:i/>
        </w:rPr>
        <w:t xml:space="preserve">y tendrá la responsabilidad de verificar en cada caso que la misma no sea confidencial o reservada. </w:t>
      </w:r>
      <w:r w:rsidRPr="00743E58">
        <w:rPr>
          <w:i/>
        </w:rPr>
        <w:t>Dicha Unidad contará con las facultades internas necesarias para gestionar la atención a las solicitudes de información en los términos de la Ley General y la presente Ley.</w:t>
      </w:r>
    </w:p>
    <w:p w14:paraId="35EDD315" w14:textId="77777777" w:rsidR="009569D0" w:rsidRPr="00743E58" w:rsidRDefault="009569D0" w:rsidP="00743E58"/>
    <w:p w14:paraId="7FC79C20" w14:textId="77777777" w:rsidR="009569D0" w:rsidRPr="00743E58" w:rsidRDefault="00B76053" w:rsidP="00743E58">
      <w:pPr>
        <w:spacing w:line="240" w:lineRule="auto"/>
        <w:ind w:left="567" w:right="567"/>
        <w:rPr>
          <w:i/>
        </w:rPr>
      </w:pPr>
      <w:r w:rsidRPr="00743E58">
        <w:rPr>
          <w:b/>
          <w:i/>
        </w:rPr>
        <w:t>Artículo 52.</w:t>
      </w:r>
      <w:r w:rsidRPr="00743E58">
        <w:rPr>
          <w:i/>
        </w:rPr>
        <w:t xml:space="preserve"> Las solicitudes de acceso a la información y las respuestas que se les dé, incluyendo, en su caso, </w:t>
      </w:r>
      <w:r w:rsidRPr="00743E58">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743E58">
        <w:rPr>
          <w:i/>
        </w:rPr>
        <w:t xml:space="preserve">, siempre y cuando la resolución de referencia se someta a un proceso de disociación, es decir, no haga identificable al titular de tales datos personales.” </w:t>
      </w:r>
      <w:r w:rsidRPr="00743E58">
        <w:t>(Énfasis añadido)</w:t>
      </w:r>
    </w:p>
    <w:p w14:paraId="27BD6D1D" w14:textId="77777777" w:rsidR="009569D0" w:rsidRPr="00743E58" w:rsidRDefault="009569D0" w:rsidP="00743E58"/>
    <w:p w14:paraId="290FC42F" w14:textId="77777777" w:rsidR="009569D0" w:rsidRPr="00743E58" w:rsidRDefault="00B76053" w:rsidP="00743E58">
      <w:r w:rsidRPr="00743E5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CE5FFF6" w14:textId="77777777" w:rsidR="009569D0" w:rsidRPr="00743E58" w:rsidRDefault="009569D0" w:rsidP="00743E58"/>
    <w:p w14:paraId="7E9965BE" w14:textId="77777777" w:rsidR="009569D0" w:rsidRPr="00743E58" w:rsidRDefault="00B76053" w:rsidP="00743E58">
      <w:pPr>
        <w:spacing w:line="240" w:lineRule="auto"/>
        <w:ind w:left="567" w:right="567"/>
        <w:rPr>
          <w:i/>
        </w:rPr>
      </w:pPr>
      <w:r w:rsidRPr="00743E58">
        <w:rPr>
          <w:b/>
          <w:i/>
        </w:rPr>
        <w:t>“Artículo 22.</w:t>
      </w:r>
      <w:r w:rsidRPr="00743E58">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5DE12102" w14:textId="77777777" w:rsidR="009569D0" w:rsidRPr="00743E58" w:rsidRDefault="009569D0" w:rsidP="00743E58"/>
    <w:p w14:paraId="20BC34A7" w14:textId="77777777" w:rsidR="009569D0" w:rsidRPr="00743E58" w:rsidRDefault="00B76053" w:rsidP="00743E58">
      <w:pPr>
        <w:spacing w:line="240" w:lineRule="auto"/>
        <w:ind w:left="567" w:right="567"/>
        <w:rPr>
          <w:i/>
        </w:rPr>
      </w:pPr>
      <w:r w:rsidRPr="00743E58">
        <w:rPr>
          <w:b/>
          <w:i/>
        </w:rPr>
        <w:lastRenderedPageBreak/>
        <w:t>Artículo 38.</w:t>
      </w:r>
      <w:r w:rsidRPr="00743E58">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43E58">
        <w:rPr>
          <w:b/>
          <w:i/>
        </w:rPr>
        <w:t>”</w:t>
      </w:r>
      <w:r w:rsidRPr="00743E58">
        <w:rPr>
          <w:i/>
        </w:rPr>
        <w:t xml:space="preserve"> </w:t>
      </w:r>
    </w:p>
    <w:p w14:paraId="6F3CA5DC" w14:textId="77777777" w:rsidR="009569D0" w:rsidRPr="00743E58" w:rsidRDefault="009569D0" w:rsidP="00743E58">
      <w:pPr>
        <w:rPr>
          <w:i/>
        </w:rPr>
      </w:pPr>
    </w:p>
    <w:p w14:paraId="04B3D5CC" w14:textId="77777777" w:rsidR="009569D0" w:rsidRPr="00743E58" w:rsidRDefault="00B76053" w:rsidP="00743E58">
      <w:r w:rsidRPr="00743E58">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21DA3BE" w14:textId="77777777" w:rsidR="009569D0" w:rsidRPr="00743E58" w:rsidRDefault="009569D0" w:rsidP="00743E58"/>
    <w:p w14:paraId="461F5F14" w14:textId="77777777" w:rsidR="009569D0" w:rsidRPr="00743E58" w:rsidRDefault="00B76053" w:rsidP="00743E58">
      <w:r w:rsidRPr="00743E58">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743E58">
        <w:rPr>
          <w:b/>
        </w:rPr>
        <w:t>EL SUJETO OBLIGADO,</w:t>
      </w:r>
      <w:r w:rsidRPr="00743E58">
        <w:t xml:space="preserve"> por lo que, todo dato personal susceptible de clasificación debe ser protegido.</w:t>
      </w:r>
    </w:p>
    <w:p w14:paraId="3C8F5ECE" w14:textId="77777777" w:rsidR="009569D0" w:rsidRPr="00743E58" w:rsidRDefault="009569D0" w:rsidP="00743E58"/>
    <w:p w14:paraId="6334DBD3" w14:textId="77777777" w:rsidR="009569D0" w:rsidRPr="00743E58" w:rsidRDefault="00B76053" w:rsidP="00743E58">
      <w:r w:rsidRPr="00743E58">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DE2296E" w14:textId="77777777" w:rsidR="009569D0" w:rsidRPr="00743E58" w:rsidRDefault="009569D0" w:rsidP="00743E58"/>
    <w:p w14:paraId="685C63DC" w14:textId="77777777" w:rsidR="009569D0" w:rsidRPr="00743E58" w:rsidRDefault="00B76053" w:rsidP="00743E58">
      <w:r w:rsidRPr="00743E58">
        <w:t xml:space="preserve">Asimismo, es importante señalar que dicha clasificación se tiene que efectuar mediante la forma y formalidades que la ley de la materia impone; es decir, mediante acuerdo </w:t>
      </w:r>
      <w:r w:rsidRPr="00743E58">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B6FD559" w14:textId="77777777" w:rsidR="009569D0" w:rsidRPr="00743E58" w:rsidRDefault="009569D0" w:rsidP="00743E58"/>
    <w:p w14:paraId="4C589CC9" w14:textId="77777777" w:rsidR="009569D0" w:rsidRPr="00743E58" w:rsidRDefault="00B76053" w:rsidP="00743E58">
      <w:pPr>
        <w:spacing w:line="240" w:lineRule="auto"/>
        <w:ind w:left="567" w:right="567"/>
        <w:jc w:val="center"/>
        <w:rPr>
          <w:b/>
          <w:i/>
        </w:rPr>
      </w:pPr>
      <w:r w:rsidRPr="00743E58">
        <w:rPr>
          <w:b/>
          <w:i/>
        </w:rPr>
        <w:t>Ley de Transparencia y Acceso a la Información Pública del Estado de México y Municipios</w:t>
      </w:r>
    </w:p>
    <w:p w14:paraId="7E83A29B" w14:textId="77777777" w:rsidR="009569D0" w:rsidRPr="00743E58" w:rsidRDefault="009569D0" w:rsidP="00743E58"/>
    <w:p w14:paraId="1B02217A" w14:textId="77777777" w:rsidR="009569D0" w:rsidRPr="00743E58" w:rsidRDefault="00B76053" w:rsidP="00743E58">
      <w:pPr>
        <w:spacing w:line="240" w:lineRule="auto"/>
        <w:ind w:left="567" w:right="567"/>
        <w:rPr>
          <w:i/>
        </w:rPr>
      </w:pPr>
      <w:r w:rsidRPr="00743E58">
        <w:rPr>
          <w:b/>
          <w:i/>
        </w:rPr>
        <w:t xml:space="preserve">“Artículo 49. </w:t>
      </w:r>
      <w:r w:rsidRPr="00743E58">
        <w:rPr>
          <w:i/>
        </w:rPr>
        <w:t>Los Comités de Transparencia tendrán las siguientes atribuciones:</w:t>
      </w:r>
    </w:p>
    <w:p w14:paraId="3BCB00E4" w14:textId="77777777" w:rsidR="009569D0" w:rsidRPr="00743E58" w:rsidRDefault="00B76053" w:rsidP="00743E58">
      <w:pPr>
        <w:spacing w:line="240" w:lineRule="auto"/>
        <w:ind w:left="567" w:right="567"/>
        <w:rPr>
          <w:i/>
        </w:rPr>
      </w:pPr>
      <w:r w:rsidRPr="00743E58">
        <w:rPr>
          <w:b/>
          <w:i/>
        </w:rPr>
        <w:t>VIII.</w:t>
      </w:r>
      <w:r w:rsidRPr="00743E58">
        <w:rPr>
          <w:i/>
        </w:rPr>
        <w:t xml:space="preserve"> Aprobar, modificar o revocar la clasificación de la información;</w:t>
      </w:r>
    </w:p>
    <w:p w14:paraId="75EDEDD0" w14:textId="77777777" w:rsidR="009569D0" w:rsidRPr="00743E58" w:rsidRDefault="009569D0" w:rsidP="00743E58"/>
    <w:p w14:paraId="43C92D3D" w14:textId="77777777" w:rsidR="009569D0" w:rsidRPr="00743E58" w:rsidRDefault="00B76053" w:rsidP="00743E58">
      <w:pPr>
        <w:spacing w:line="240" w:lineRule="auto"/>
        <w:ind w:left="567" w:right="567"/>
        <w:rPr>
          <w:i/>
        </w:rPr>
      </w:pPr>
      <w:r w:rsidRPr="00743E58">
        <w:rPr>
          <w:b/>
          <w:i/>
        </w:rPr>
        <w:t>Artículo 132.</w:t>
      </w:r>
      <w:r w:rsidRPr="00743E58">
        <w:rPr>
          <w:i/>
        </w:rPr>
        <w:t xml:space="preserve"> La clasificación de la información se llevará a cabo en el momento en que:</w:t>
      </w:r>
    </w:p>
    <w:p w14:paraId="17D94D90" w14:textId="77777777" w:rsidR="009569D0" w:rsidRPr="00743E58" w:rsidRDefault="00B76053" w:rsidP="00743E58">
      <w:pPr>
        <w:spacing w:line="240" w:lineRule="auto"/>
        <w:ind w:left="567" w:right="567"/>
        <w:rPr>
          <w:i/>
        </w:rPr>
      </w:pPr>
      <w:r w:rsidRPr="00743E58">
        <w:rPr>
          <w:b/>
          <w:i/>
        </w:rPr>
        <w:t>I.</w:t>
      </w:r>
      <w:r w:rsidRPr="00743E58">
        <w:rPr>
          <w:i/>
        </w:rPr>
        <w:t xml:space="preserve"> Se reciba una solicitud de acceso a la información;</w:t>
      </w:r>
    </w:p>
    <w:p w14:paraId="06813CF9" w14:textId="77777777" w:rsidR="009569D0" w:rsidRPr="00743E58" w:rsidRDefault="00B76053" w:rsidP="00743E58">
      <w:pPr>
        <w:spacing w:line="240" w:lineRule="auto"/>
        <w:ind w:left="567" w:right="567"/>
        <w:rPr>
          <w:i/>
        </w:rPr>
      </w:pPr>
      <w:r w:rsidRPr="00743E58">
        <w:rPr>
          <w:b/>
          <w:i/>
        </w:rPr>
        <w:t>II.</w:t>
      </w:r>
      <w:r w:rsidRPr="00743E58">
        <w:rPr>
          <w:i/>
        </w:rPr>
        <w:t xml:space="preserve"> Se determine mediante resolución de autoridad competente; o</w:t>
      </w:r>
    </w:p>
    <w:p w14:paraId="270CBDA7" w14:textId="77777777" w:rsidR="009569D0" w:rsidRPr="00743E58" w:rsidRDefault="00B76053" w:rsidP="00743E58">
      <w:pPr>
        <w:spacing w:line="240" w:lineRule="auto"/>
        <w:ind w:left="567" w:right="567"/>
        <w:rPr>
          <w:b/>
          <w:i/>
        </w:rPr>
      </w:pPr>
      <w:r w:rsidRPr="00743E58">
        <w:rPr>
          <w:b/>
          <w:i/>
        </w:rPr>
        <w:t>III.</w:t>
      </w:r>
      <w:r w:rsidRPr="00743E58">
        <w:rPr>
          <w:i/>
        </w:rPr>
        <w:t xml:space="preserve"> Se generen versiones públicas para dar cumplimiento a las obligaciones de transparencia previstas en esta Ley.</w:t>
      </w:r>
      <w:r w:rsidRPr="00743E58">
        <w:rPr>
          <w:b/>
          <w:i/>
        </w:rPr>
        <w:t>”</w:t>
      </w:r>
    </w:p>
    <w:p w14:paraId="2ED4750E" w14:textId="77777777" w:rsidR="009569D0" w:rsidRPr="00743E58" w:rsidRDefault="009569D0" w:rsidP="00743E58"/>
    <w:p w14:paraId="279B5535" w14:textId="77777777" w:rsidR="009569D0" w:rsidRPr="00743E58" w:rsidRDefault="00B76053" w:rsidP="00743E58">
      <w:pPr>
        <w:spacing w:line="240" w:lineRule="auto"/>
        <w:ind w:left="567" w:right="567"/>
        <w:rPr>
          <w:i/>
        </w:rPr>
      </w:pPr>
      <w:r w:rsidRPr="00743E58">
        <w:rPr>
          <w:b/>
          <w:i/>
        </w:rPr>
        <w:t>“Segundo. -</w:t>
      </w:r>
      <w:r w:rsidRPr="00743E58">
        <w:rPr>
          <w:i/>
        </w:rPr>
        <w:t xml:space="preserve"> Para efectos de los presentes Lineamientos Generales, se entenderá por:</w:t>
      </w:r>
    </w:p>
    <w:p w14:paraId="0D2091CC" w14:textId="77777777" w:rsidR="009569D0" w:rsidRPr="00743E58" w:rsidRDefault="00B76053" w:rsidP="00743E58">
      <w:pPr>
        <w:spacing w:line="240" w:lineRule="auto"/>
        <w:ind w:left="567" w:right="567"/>
        <w:rPr>
          <w:i/>
        </w:rPr>
      </w:pPr>
      <w:r w:rsidRPr="00743E58">
        <w:rPr>
          <w:b/>
          <w:i/>
        </w:rPr>
        <w:t>XVIII.</w:t>
      </w:r>
      <w:r w:rsidRPr="00743E58">
        <w:rPr>
          <w:i/>
        </w:rPr>
        <w:t xml:space="preserve">  </w:t>
      </w:r>
      <w:r w:rsidRPr="00743E58">
        <w:rPr>
          <w:b/>
          <w:i/>
        </w:rPr>
        <w:t>Versión pública:</w:t>
      </w:r>
      <w:r w:rsidRPr="00743E58">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585F3C9" w14:textId="77777777" w:rsidR="009569D0" w:rsidRPr="00743E58" w:rsidRDefault="009569D0" w:rsidP="00743E58">
      <w:pPr>
        <w:spacing w:line="240" w:lineRule="auto"/>
        <w:ind w:left="567" w:right="567"/>
        <w:rPr>
          <w:i/>
        </w:rPr>
      </w:pPr>
    </w:p>
    <w:p w14:paraId="6EE63418" w14:textId="77777777" w:rsidR="009569D0" w:rsidRPr="00743E58" w:rsidRDefault="00B76053" w:rsidP="00743E58">
      <w:pPr>
        <w:spacing w:line="240" w:lineRule="auto"/>
        <w:ind w:left="567" w:right="567"/>
        <w:rPr>
          <w:b/>
          <w:i/>
        </w:rPr>
      </w:pPr>
      <w:r w:rsidRPr="00743E58">
        <w:rPr>
          <w:b/>
          <w:i/>
        </w:rPr>
        <w:t>Lineamientos Generales en materia de Clasificación y Desclasificación de la Información</w:t>
      </w:r>
    </w:p>
    <w:p w14:paraId="106960E7" w14:textId="77777777" w:rsidR="009569D0" w:rsidRPr="00743E58" w:rsidRDefault="009569D0" w:rsidP="00743E58">
      <w:pPr>
        <w:spacing w:line="240" w:lineRule="auto"/>
        <w:ind w:left="567" w:right="567"/>
        <w:rPr>
          <w:i/>
        </w:rPr>
      </w:pPr>
    </w:p>
    <w:p w14:paraId="35B72BDA" w14:textId="77777777" w:rsidR="009569D0" w:rsidRPr="00743E58" w:rsidRDefault="00B76053" w:rsidP="00743E58">
      <w:pPr>
        <w:spacing w:line="240" w:lineRule="auto"/>
        <w:ind w:left="567" w:right="567"/>
        <w:rPr>
          <w:i/>
        </w:rPr>
      </w:pPr>
      <w:r w:rsidRPr="00743E58">
        <w:rPr>
          <w:b/>
          <w:i/>
        </w:rPr>
        <w:t>Cuarto.</w:t>
      </w:r>
      <w:r w:rsidRPr="00743E58">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F1A0AEF" w14:textId="77777777" w:rsidR="009569D0" w:rsidRPr="00743E58" w:rsidRDefault="00B76053" w:rsidP="00743E58">
      <w:pPr>
        <w:spacing w:line="240" w:lineRule="auto"/>
        <w:ind w:left="567" w:right="567"/>
        <w:rPr>
          <w:i/>
        </w:rPr>
      </w:pPr>
      <w:r w:rsidRPr="00743E58">
        <w:rPr>
          <w:i/>
        </w:rPr>
        <w:lastRenderedPageBreak/>
        <w:t>Los sujetos obligados deberán aplicar, de manera estricta, las excepciones al derecho de acceso a la información y sólo podrán invocarlas cuando acrediten su procedencia.</w:t>
      </w:r>
    </w:p>
    <w:p w14:paraId="35224A44" w14:textId="77777777" w:rsidR="009569D0" w:rsidRPr="00743E58" w:rsidRDefault="009569D0" w:rsidP="00743E58"/>
    <w:p w14:paraId="7F87EB91" w14:textId="77777777" w:rsidR="009569D0" w:rsidRPr="00743E58" w:rsidRDefault="00B76053" w:rsidP="00743E58">
      <w:pPr>
        <w:spacing w:line="240" w:lineRule="auto"/>
        <w:ind w:left="567" w:right="567"/>
        <w:rPr>
          <w:i/>
        </w:rPr>
      </w:pPr>
      <w:r w:rsidRPr="00743E58">
        <w:rPr>
          <w:b/>
          <w:i/>
        </w:rPr>
        <w:t>Quinto.</w:t>
      </w:r>
      <w:r w:rsidRPr="00743E58">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C6503DA" w14:textId="77777777" w:rsidR="009569D0" w:rsidRPr="00743E58" w:rsidRDefault="009569D0" w:rsidP="00743E58"/>
    <w:p w14:paraId="6A518481" w14:textId="77777777" w:rsidR="009569D0" w:rsidRPr="00743E58" w:rsidRDefault="00B76053" w:rsidP="00743E58">
      <w:pPr>
        <w:spacing w:line="240" w:lineRule="auto"/>
        <w:ind w:left="567" w:right="567"/>
        <w:rPr>
          <w:i/>
        </w:rPr>
      </w:pPr>
      <w:r w:rsidRPr="00743E58">
        <w:rPr>
          <w:b/>
          <w:i/>
        </w:rPr>
        <w:t>Sexto.</w:t>
      </w:r>
      <w:r w:rsidRPr="00743E58">
        <w:rPr>
          <w:i/>
        </w:rPr>
        <w:t xml:space="preserve"> Se deroga.</w:t>
      </w:r>
    </w:p>
    <w:p w14:paraId="54553F8C" w14:textId="77777777" w:rsidR="009569D0" w:rsidRPr="00743E58" w:rsidRDefault="009569D0" w:rsidP="00743E58"/>
    <w:p w14:paraId="6573D345" w14:textId="77777777" w:rsidR="009569D0" w:rsidRPr="00743E58" w:rsidRDefault="00B76053" w:rsidP="00743E58">
      <w:pPr>
        <w:spacing w:line="240" w:lineRule="auto"/>
        <w:ind w:left="567" w:right="567"/>
        <w:rPr>
          <w:i/>
        </w:rPr>
      </w:pPr>
      <w:r w:rsidRPr="00743E58">
        <w:rPr>
          <w:b/>
          <w:i/>
        </w:rPr>
        <w:t>Séptimo.</w:t>
      </w:r>
      <w:r w:rsidRPr="00743E58">
        <w:rPr>
          <w:i/>
        </w:rPr>
        <w:t xml:space="preserve"> La clasificación de la información se llevará a cabo en el momento en que:</w:t>
      </w:r>
    </w:p>
    <w:p w14:paraId="277CF01C" w14:textId="77777777" w:rsidR="009569D0" w:rsidRPr="00743E58" w:rsidRDefault="00B76053" w:rsidP="00743E58">
      <w:pPr>
        <w:spacing w:line="240" w:lineRule="auto"/>
        <w:ind w:left="567" w:right="567"/>
        <w:rPr>
          <w:i/>
        </w:rPr>
      </w:pPr>
      <w:r w:rsidRPr="00743E58">
        <w:rPr>
          <w:b/>
          <w:i/>
        </w:rPr>
        <w:t>I.</w:t>
      </w:r>
      <w:r w:rsidRPr="00743E58">
        <w:rPr>
          <w:i/>
        </w:rPr>
        <w:t xml:space="preserve">        Se reciba una solicitud de acceso a la información;</w:t>
      </w:r>
    </w:p>
    <w:p w14:paraId="7F14272D" w14:textId="77777777" w:rsidR="009569D0" w:rsidRPr="00743E58" w:rsidRDefault="00B76053" w:rsidP="00743E58">
      <w:pPr>
        <w:spacing w:line="240" w:lineRule="auto"/>
        <w:ind w:left="567" w:right="567"/>
        <w:rPr>
          <w:i/>
        </w:rPr>
      </w:pPr>
      <w:r w:rsidRPr="00743E58">
        <w:rPr>
          <w:b/>
          <w:i/>
        </w:rPr>
        <w:t>II.</w:t>
      </w:r>
      <w:r w:rsidRPr="00743E58">
        <w:rPr>
          <w:i/>
        </w:rPr>
        <w:t xml:space="preserve">       Se determine mediante resolución del Comité de Transparencia, el órgano garante competente, o en cumplimiento a una sentencia del Poder Judicial; o</w:t>
      </w:r>
    </w:p>
    <w:p w14:paraId="432FF4B7" w14:textId="77777777" w:rsidR="009569D0" w:rsidRPr="00743E58" w:rsidRDefault="00B76053" w:rsidP="00743E58">
      <w:pPr>
        <w:spacing w:line="240" w:lineRule="auto"/>
        <w:ind w:left="567" w:right="567"/>
        <w:rPr>
          <w:i/>
        </w:rPr>
      </w:pPr>
      <w:r w:rsidRPr="00743E58">
        <w:rPr>
          <w:b/>
          <w:i/>
        </w:rPr>
        <w:t>III.</w:t>
      </w:r>
      <w:r w:rsidRPr="00743E58">
        <w:rPr>
          <w:i/>
        </w:rPr>
        <w:t xml:space="preserve">      Se generen versiones públicas para dar cumplimiento a las obligaciones de transparencia previstas en la Ley General, la Ley Federal y las correspondientes de las entidades federativas.</w:t>
      </w:r>
    </w:p>
    <w:p w14:paraId="21CBE4A1" w14:textId="77777777" w:rsidR="009569D0" w:rsidRPr="00743E58" w:rsidRDefault="00B76053" w:rsidP="00743E58">
      <w:pPr>
        <w:spacing w:line="240" w:lineRule="auto"/>
        <w:ind w:left="567" w:right="567"/>
        <w:rPr>
          <w:i/>
        </w:rPr>
      </w:pPr>
      <w:r w:rsidRPr="00743E58">
        <w:rPr>
          <w:i/>
        </w:rPr>
        <w:t xml:space="preserve">Los titulares de las áreas deberán revisar la información requerida al momento de la recepción de una solicitud de acceso, para verificar, conforme a su naturaleza, si encuadra en una causal de reserva o de confidencialidad. </w:t>
      </w:r>
    </w:p>
    <w:p w14:paraId="260EA74B" w14:textId="77777777" w:rsidR="009569D0" w:rsidRPr="00743E58" w:rsidRDefault="009569D0" w:rsidP="00743E58"/>
    <w:p w14:paraId="1B34A192" w14:textId="77777777" w:rsidR="009569D0" w:rsidRPr="00743E58" w:rsidRDefault="00B76053" w:rsidP="00743E58">
      <w:pPr>
        <w:spacing w:line="240" w:lineRule="auto"/>
        <w:ind w:left="567" w:right="567"/>
        <w:rPr>
          <w:i/>
        </w:rPr>
      </w:pPr>
      <w:r w:rsidRPr="00743E58">
        <w:rPr>
          <w:b/>
          <w:i/>
        </w:rPr>
        <w:t>Octavo.</w:t>
      </w:r>
      <w:r w:rsidRPr="00743E58">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D270FCA" w14:textId="77777777" w:rsidR="009569D0" w:rsidRPr="00743E58" w:rsidRDefault="00B76053" w:rsidP="00743E58">
      <w:pPr>
        <w:spacing w:line="240" w:lineRule="auto"/>
        <w:ind w:left="567" w:right="567"/>
        <w:rPr>
          <w:i/>
        </w:rPr>
      </w:pPr>
      <w:r w:rsidRPr="00743E58">
        <w:rPr>
          <w:i/>
        </w:rPr>
        <w:t>Para motivar la clasificación se deberán señalar las razones o circunstancias especiales que lo llevaron a concluir que el caso particular se ajusta al supuesto previsto por la norma legal invocada como fundamento.</w:t>
      </w:r>
    </w:p>
    <w:p w14:paraId="6E95A999" w14:textId="77777777" w:rsidR="009569D0" w:rsidRPr="00743E58" w:rsidRDefault="00B76053" w:rsidP="00743E58">
      <w:pPr>
        <w:spacing w:line="240" w:lineRule="auto"/>
        <w:ind w:left="567" w:right="567"/>
        <w:rPr>
          <w:i/>
        </w:rPr>
      </w:pPr>
      <w:r w:rsidRPr="00743E58">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E983E07" w14:textId="77777777" w:rsidR="009569D0" w:rsidRPr="00743E58" w:rsidRDefault="009569D0" w:rsidP="00743E58"/>
    <w:p w14:paraId="31907EAA" w14:textId="77777777" w:rsidR="009569D0" w:rsidRPr="00743E58" w:rsidRDefault="00B76053" w:rsidP="00743E58">
      <w:pPr>
        <w:spacing w:line="240" w:lineRule="auto"/>
        <w:ind w:left="567" w:right="567"/>
        <w:rPr>
          <w:i/>
        </w:rPr>
      </w:pPr>
      <w:r w:rsidRPr="00743E58">
        <w:rPr>
          <w:b/>
          <w:i/>
        </w:rPr>
        <w:lastRenderedPageBreak/>
        <w:t>Noveno.</w:t>
      </w:r>
      <w:r w:rsidRPr="00743E58">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F581DCC" w14:textId="77777777" w:rsidR="009569D0" w:rsidRPr="00743E58" w:rsidRDefault="009569D0" w:rsidP="00743E58"/>
    <w:p w14:paraId="427BCD03" w14:textId="77777777" w:rsidR="009569D0" w:rsidRPr="00743E58" w:rsidRDefault="00B76053" w:rsidP="00743E58">
      <w:pPr>
        <w:spacing w:line="240" w:lineRule="auto"/>
        <w:ind w:left="567" w:right="567"/>
        <w:rPr>
          <w:i/>
        </w:rPr>
      </w:pPr>
      <w:r w:rsidRPr="00743E58">
        <w:rPr>
          <w:b/>
          <w:i/>
        </w:rPr>
        <w:t>Décimo.</w:t>
      </w:r>
      <w:r w:rsidRPr="00743E58">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274C4E2" w14:textId="77777777" w:rsidR="009569D0" w:rsidRPr="00743E58" w:rsidRDefault="00B76053" w:rsidP="00743E58">
      <w:pPr>
        <w:spacing w:line="240" w:lineRule="auto"/>
        <w:ind w:left="567" w:right="567"/>
        <w:rPr>
          <w:i/>
        </w:rPr>
      </w:pPr>
      <w:r w:rsidRPr="00743E58">
        <w:rPr>
          <w:i/>
        </w:rPr>
        <w:t>En ausencia de los titulares de las áreas, la información será clasificada o desclasificada por la persona que lo supla, en términos de la normativa que rija la actuación del sujeto obligado.</w:t>
      </w:r>
    </w:p>
    <w:p w14:paraId="74B1CEF1" w14:textId="77777777" w:rsidR="009569D0" w:rsidRPr="00743E58" w:rsidRDefault="00B76053" w:rsidP="00743E58">
      <w:pPr>
        <w:spacing w:line="240" w:lineRule="auto"/>
        <w:ind w:left="567" w:right="567"/>
        <w:rPr>
          <w:b/>
          <w:i/>
        </w:rPr>
      </w:pPr>
      <w:r w:rsidRPr="00743E58">
        <w:rPr>
          <w:b/>
          <w:i/>
        </w:rPr>
        <w:t>Décimo primero.</w:t>
      </w:r>
      <w:r w:rsidRPr="00743E58">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43E58">
        <w:rPr>
          <w:b/>
          <w:i/>
        </w:rPr>
        <w:t>”</w:t>
      </w:r>
    </w:p>
    <w:p w14:paraId="645CE045" w14:textId="77777777" w:rsidR="009569D0" w:rsidRPr="00743E58" w:rsidRDefault="009569D0" w:rsidP="00743E58"/>
    <w:p w14:paraId="5A14A67C" w14:textId="77777777" w:rsidR="009569D0" w:rsidRPr="00743E58" w:rsidRDefault="00B76053" w:rsidP="00743E58">
      <w:r w:rsidRPr="00743E58">
        <w:t xml:space="preserve">Consecuentemente, se destaca que la versión pública que elabore </w:t>
      </w:r>
      <w:r w:rsidRPr="00743E58">
        <w:rPr>
          <w:b/>
        </w:rPr>
        <w:t>EL SUJETO OBLIGADO</w:t>
      </w:r>
      <w:r w:rsidRPr="00743E58">
        <w:t xml:space="preserve"> debe cumplir con las formalidades exigidas en la Ley, por lo que para tal efecto emitirá el </w:t>
      </w:r>
      <w:r w:rsidRPr="00743E58">
        <w:rPr>
          <w:b/>
        </w:rPr>
        <w:t>Acuerdo del Comité de Transparencia</w:t>
      </w:r>
      <w:r w:rsidRPr="00743E5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543C0B5" w14:textId="77777777" w:rsidR="009569D0" w:rsidRPr="00743E58" w:rsidRDefault="009569D0" w:rsidP="00743E58"/>
    <w:p w14:paraId="7344BB8A" w14:textId="77777777" w:rsidR="009569D0" w:rsidRPr="00743E58" w:rsidRDefault="00B76053" w:rsidP="00743E58">
      <w:r w:rsidRPr="00743E58">
        <w:lastRenderedPageBreak/>
        <w:t>Es importante señalar que, para el caso en concreto, se deben tomar en consideración los siguientes criterios respecto a la información que debe ser, o no, clasificada como confidencial:</w:t>
      </w:r>
    </w:p>
    <w:p w14:paraId="2EDB8A88" w14:textId="77777777" w:rsidR="009569D0" w:rsidRPr="00743E58" w:rsidRDefault="009569D0" w:rsidP="00743E58"/>
    <w:p w14:paraId="375E3E60" w14:textId="77777777" w:rsidR="009569D0" w:rsidRPr="00743E58" w:rsidRDefault="00B76053" w:rsidP="00743E58">
      <w:pPr>
        <w:ind w:right="-28"/>
      </w:pPr>
      <w:r w:rsidRPr="00743E58">
        <w:t xml:space="preserve">En relación con el </w:t>
      </w:r>
      <w:r w:rsidRPr="00743E58">
        <w:rPr>
          <w:b/>
          <w:i/>
        </w:rPr>
        <w:t>número de empleado de servidores públicos o su equivalente</w:t>
      </w:r>
      <w:r w:rsidRPr="00743E58">
        <w:t>, con independencia del nombre que reciba, constituye un instrumento de control interno que permite a las dependencias y entidades identificar a sus trabajadores y a estos les facilita la realización de gestiones en su carácter de empleado. 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358BC0D7" w14:textId="77777777" w:rsidR="009569D0" w:rsidRPr="00743E58" w:rsidRDefault="009569D0" w:rsidP="00743E58">
      <w:pPr>
        <w:ind w:right="-28"/>
      </w:pPr>
    </w:p>
    <w:p w14:paraId="4D71DB63" w14:textId="77777777" w:rsidR="009569D0" w:rsidRPr="00743E58" w:rsidRDefault="00B76053" w:rsidP="00743E58">
      <w:pPr>
        <w:ind w:right="-28"/>
      </w:pPr>
      <w:r w:rsidRPr="00743E58">
        <w:t xml:space="preserve">Lo anterior, se </w:t>
      </w:r>
      <w:r w:rsidRPr="00743E58">
        <w:rPr>
          <w:b/>
        </w:rPr>
        <w:t xml:space="preserve">robustece con el Criterio 03/14, </w:t>
      </w:r>
      <w:r w:rsidRPr="00743E58">
        <w:t>emitido por el Pleno del entonces Instituto Federal de Acceso a la Información y Protección de Datos, que establece lo siguiente:</w:t>
      </w:r>
    </w:p>
    <w:p w14:paraId="23FA324B" w14:textId="77777777" w:rsidR="009569D0" w:rsidRPr="00743E58" w:rsidRDefault="009569D0" w:rsidP="00743E58"/>
    <w:p w14:paraId="50682C1B" w14:textId="77777777" w:rsidR="009569D0" w:rsidRPr="00743E58" w:rsidRDefault="00B76053" w:rsidP="00743E58">
      <w:pPr>
        <w:pStyle w:val="Puesto"/>
        <w:ind w:firstLine="567"/>
        <w:rPr>
          <w:color w:val="auto"/>
        </w:rPr>
      </w:pPr>
      <w:bookmarkStart w:id="29" w:name="_heading=h.2bn6wsx" w:colFirst="0" w:colLast="0"/>
      <w:bookmarkEnd w:id="29"/>
      <w:r w:rsidRPr="00743E58">
        <w:rPr>
          <w:color w:val="auto"/>
        </w:rPr>
        <w:t>“</w:t>
      </w:r>
      <w:r w:rsidRPr="00743E58">
        <w:rPr>
          <w:b/>
          <w:color w:val="auto"/>
        </w:rPr>
        <w:t xml:space="preserve">Número de empleado, o su equivalente, si se integra con datos personales del trabajador o permite acceder a éstos sin necesidad de una contraseña, constituye información confidencial. </w:t>
      </w:r>
      <w:r w:rsidRPr="00743E58">
        <w:rPr>
          <w:color w:val="auto"/>
        </w:rPr>
        <w:t>El número de empleado, con independencia del nombre que reciba, constituye un instrumento de control interno que permite a las dependencias y entidades identificar a sus trabajadores, y a éstos les facilita la realización de gestiones en su carácter de empleado</w:t>
      </w:r>
      <w:r w:rsidRPr="00743E58">
        <w:rPr>
          <w:color w:val="auto"/>
          <w:u w:val="single"/>
        </w:rPr>
        <w:t xml:space="preserve">. </w:t>
      </w:r>
      <w:r w:rsidRPr="00743E58">
        <w:rPr>
          <w:b/>
          <w:color w:val="auto"/>
        </w:rPr>
        <w:t>En este sentido, cuando el número de empleado, o su equivalente, se integra con datos personales de los trabajadores; o funciona como una clave de acceso que no requiere adicionalmente de una contraseña para ingresar a sistemas o bases en las que obran datos personales</w:t>
      </w:r>
      <w:r w:rsidRPr="00743E58">
        <w:rPr>
          <w:color w:val="auto"/>
        </w:rPr>
        <w:t>,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4770DEE0" w14:textId="77777777" w:rsidR="009569D0" w:rsidRPr="00743E58" w:rsidRDefault="009569D0" w:rsidP="00743E58">
      <w:pPr>
        <w:ind w:left="567" w:right="618"/>
        <w:rPr>
          <w:i/>
        </w:rPr>
      </w:pPr>
    </w:p>
    <w:p w14:paraId="502313C3" w14:textId="77777777" w:rsidR="009569D0" w:rsidRPr="00743E58" w:rsidRDefault="00B76053" w:rsidP="00743E58">
      <w:pPr>
        <w:ind w:right="-28"/>
      </w:pPr>
      <w:r w:rsidRPr="00743E58">
        <w:t xml:space="preserve">Conforme a lo anterior, se advierte que solamente procederá la clasificación del número de empleado, cuando se integre con datos personales de los servidores públicos o funcione como clave de acceso que no requiera una contraseña para ingresar a sistemas o bases de datos. </w:t>
      </w:r>
    </w:p>
    <w:p w14:paraId="6CB9F841" w14:textId="77777777" w:rsidR="009569D0" w:rsidRPr="00743E58" w:rsidRDefault="009569D0" w:rsidP="00743E58">
      <w:pPr>
        <w:ind w:right="-28"/>
      </w:pPr>
    </w:p>
    <w:p w14:paraId="3575BC57" w14:textId="77777777" w:rsidR="009569D0" w:rsidRPr="00743E58" w:rsidRDefault="00B76053" w:rsidP="00743E58">
      <w:pPr>
        <w:ind w:right="-28"/>
      </w:pPr>
      <w:r w:rsidRPr="00743E58">
        <w:t>En este sentido, cuando el número de empleado, o su equivalente, se integra con datos personales de los trabajadores; o funciona como una clave de acceso que no requiere adicionalmente de una contraseña para ingresar a sistemas o bases en las que obran datos personales, debe de clasificarse como información confidencial.</w:t>
      </w:r>
    </w:p>
    <w:p w14:paraId="00C730A6" w14:textId="77777777" w:rsidR="009569D0" w:rsidRPr="00743E58" w:rsidRDefault="009569D0" w:rsidP="00743E58">
      <w:pPr>
        <w:ind w:right="-28"/>
      </w:pPr>
    </w:p>
    <w:p w14:paraId="74A1F804" w14:textId="77777777" w:rsidR="009569D0" w:rsidRPr="00743E58" w:rsidRDefault="00B76053" w:rsidP="00743E58">
      <w:pPr>
        <w:ind w:right="-28"/>
      </w:pPr>
      <w:r w:rsidRPr="00743E58">
        <w:t xml:space="preserve">Por cuanto hace al </w:t>
      </w:r>
      <w:r w:rsidRPr="00743E58">
        <w:rPr>
          <w:b/>
          <w:i/>
        </w:rPr>
        <w:t>Registro Federal de Contribuyentes</w:t>
      </w:r>
      <w:r w:rsidRPr="00743E58">
        <w:rPr>
          <w:i/>
        </w:rPr>
        <w:t xml:space="preserve"> </w:t>
      </w:r>
      <w:r w:rsidRPr="00743E58">
        <w:rPr>
          <w:b/>
          <w:i/>
        </w:rPr>
        <w:t>de las personas físicas</w:t>
      </w:r>
      <w:r w:rsidRPr="00743E58">
        <w:t>,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04B495A3" w14:textId="77777777" w:rsidR="009569D0" w:rsidRPr="00743E58" w:rsidRDefault="009569D0" w:rsidP="00743E58"/>
    <w:p w14:paraId="1EDD47B0" w14:textId="77777777" w:rsidR="009569D0" w:rsidRPr="00743E58" w:rsidRDefault="00B76053" w:rsidP="00743E58">
      <w:pPr>
        <w:ind w:right="-28"/>
        <w:rPr>
          <w:b/>
        </w:rPr>
      </w:pPr>
      <w:r w:rsidRPr="00743E58">
        <w:t>Al respecto, es aplicable el Criterio 19/17 de la Segunda Época, emitido por el entonces Instituto Nacional de Transparencia, Acceso a la Información y Protección de Datos Personales, que dice:</w:t>
      </w:r>
      <w:r w:rsidRPr="00743E58">
        <w:rPr>
          <w:b/>
        </w:rPr>
        <w:t xml:space="preserve"> </w:t>
      </w:r>
    </w:p>
    <w:p w14:paraId="2A13EAA1" w14:textId="77777777" w:rsidR="009569D0" w:rsidRPr="00743E58" w:rsidRDefault="009569D0" w:rsidP="00743E58">
      <w:pPr>
        <w:rPr>
          <w:b/>
        </w:rPr>
      </w:pPr>
    </w:p>
    <w:p w14:paraId="591CE519" w14:textId="77777777" w:rsidR="009569D0" w:rsidRPr="00743E58" w:rsidRDefault="00B76053" w:rsidP="00743E58">
      <w:pPr>
        <w:pStyle w:val="Puesto"/>
        <w:ind w:firstLine="567"/>
        <w:rPr>
          <w:color w:val="auto"/>
        </w:rPr>
      </w:pPr>
      <w:r w:rsidRPr="00743E58">
        <w:rPr>
          <w:color w:val="auto"/>
        </w:rPr>
        <w:t>“</w:t>
      </w:r>
      <w:r w:rsidRPr="00743E58">
        <w:rPr>
          <w:b/>
          <w:color w:val="auto"/>
        </w:rPr>
        <w:t>Registro Federal de Contribuyentes (RFC) de personas físicas.</w:t>
      </w:r>
      <w:r w:rsidRPr="00743E58">
        <w:rPr>
          <w:color w:val="auto"/>
        </w:rPr>
        <w:t xml:space="preserve"> El RFC es una clave de carácter fiscal, única e irrepetible, que permite identificar al titular, su edad y fecha de nacimiento, por lo que es un dato personal de carácter confidencial.” (Sic)</w:t>
      </w:r>
    </w:p>
    <w:p w14:paraId="448DDC47" w14:textId="77777777" w:rsidR="009569D0" w:rsidRPr="00743E58" w:rsidRDefault="00B76053" w:rsidP="00743E58">
      <w:pPr>
        <w:pStyle w:val="Puesto"/>
        <w:ind w:firstLine="567"/>
        <w:rPr>
          <w:color w:val="auto"/>
        </w:rPr>
      </w:pPr>
      <w:r w:rsidRPr="00743E58">
        <w:rPr>
          <w:color w:val="auto"/>
        </w:rPr>
        <w:t>(Énfasis añadido)</w:t>
      </w:r>
    </w:p>
    <w:p w14:paraId="114874B9" w14:textId="77777777" w:rsidR="009569D0" w:rsidRPr="00743E58" w:rsidRDefault="009569D0" w:rsidP="00743E58">
      <w:pPr>
        <w:ind w:left="851" w:right="902"/>
      </w:pPr>
    </w:p>
    <w:p w14:paraId="23B2AA63" w14:textId="77777777" w:rsidR="009569D0" w:rsidRPr="00743E58" w:rsidRDefault="00B76053" w:rsidP="00743E58">
      <w:pPr>
        <w:ind w:right="-312"/>
      </w:pPr>
      <w:r w:rsidRPr="00743E58">
        <w:lastRenderedPageBreak/>
        <w:t>De lo anterior, se desprende que el Registro Federal de Contribuyentes se vincula al nombre de su titular, permitiendo identificar la edad de la persona y fecha de nacimiento,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14:paraId="183F4EE4" w14:textId="77777777" w:rsidR="009569D0" w:rsidRPr="00743E58" w:rsidRDefault="009569D0" w:rsidP="00743E58"/>
    <w:p w14:paraId="4FC239C6" w14:textId="77777777" w:rsidR="009569D0" w:rsidRPr="00743E58" w:rsidRDefault="00B76053" w:rsidP="00743E58">
      <w:pPr>
        <w:ind w:right="-312"/>
      </w:pPr>
      <w:r w:rsidRPr="00743E58">
        <w:t xml:space="preserve">El </w:t>
      </w:r>
      <w:r w:rsidRPr="00743E58">
        <w:rPr>
          <w:b/>
          <w:i/>
        </w:rPr>
        <w:t>Número de seguridad social del Instituto de Seguridad Social del Estado de México y Municipios</w:t>
      </w:r>
      <w:r w:rsidRPr="00743E58">
        <w:rPr>
          <w:b/>
        </w:rPr>
        <w:t xml:space="preserve">, </w:t>
      </w:r>
      <w:r w:rsidRPr="00743E58">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692F3C91" w14:textId="77777777" w:rsidR="009569D0" w:rsidRPr="00743E58" w:rsidRDefault="009569D0" w:rsidP="00743E58"/>
    <w:p w14:paraId="54336622" w14:textId="77777777" w:rsidR="009569D0" w:rsidRPr="00743E58" w:rsidRDefault="00B76053" w:rsidP="00743E58">
      <w:pPr>
        <w:ind w:right="-312"/>
      </w:pPr>
      <w:r w:rsidRPr="00743E58">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52E20FED" w14:textId="77777777" w:rsidR="009569D0" w:rsidRPr="00743E58" w:rsidRDefault="009569D0" w:rsidP="00743E58"/>
    <w:p w14:paraId="4589CE50" w14:textId="77777777" w:rsidR="009569D0" w:rsidRPr="00743E58" w:rsidRDefault="00B76053" w:rsidP="00743E58">
      <w:pPr>
        <w:ind w:right="-312"/>
      </w:pPr>
      <w:r w:rsidRPr="00743E58">
        <w:lastRenderedPageBreak/>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52BCBD63" w14:textId="77777777" w:rsidR="009569D0" w:rsidRPr="00743E58" w:rsidRDefault="009569D0" w:rsidP="00743E58"/>
    <w:p w14:paraId="2DBA4F24" w14:textId="77777777" w:rsidR="009569D0" w:rsidRPr="00743E58" w:rsidRDefault="00B76053" w:rsidP="00743E58">
      <w:pPr>
        <w:ind w:right="-312"/>
      </w:pPr>
      <w:r w:rsidRPr="00743E58">
        <w:t>Por cuanto hace a la Clave de cualquier tipo de seguridad social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F7AD930" w14:textId="77777777" w:rsidR="009569D0" w:rsidRPr="00743E58" w:rsidRDefault="009569D0" w:rsidP="00743E58"/>
    <w:p w14:paraId="06EB00B9" w14:textId="77777777" w:rsidR="009569D0" w:rsidRPr="00743E58" w:rsidRDefault="00B76053" w:rsidP="00743E58">
      <w:pPr>
        <w:ind w:right="-312"/>
      </w:pPr>
      <w:r w:rsidRPr="00743E58">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00877D79" w14:textId="77777777" w:rsidR="009569D0" w:rsidRPr="00743E58" w:rsidRDefault="009569D0" w:rsidP="00743E58"/>
    <w:p w14:paraId="68E52A46" w14:textId="77777777" w:rsidR="009569D0" w:rsidRPr="00743E58" w:rsidRDefault="00B76053" w:rsidP="00743E58">
      <w:pPr>
        <w:ind w:right="-312"/>
      </w:pPr>
      <w:r w:rsidRPr="00743E58">
        <w:t xml:space="preserve">Por cuanto hace a la </w:t>
      </w:r>
      <w:r w:rsidRPr="00743E58">
        <w:rPr>
          <w:b/>
          <w:i/>
        </w:rPr>
        <w:t>Clave Única de Registro de Población</w:t>
      </w:r>
      <w:r w:rsidRPr="00743E58">
        <w:rPr>
          <w:b/>
        </w:rPr>
        <w:t xml:space="preserve">, </w:t>
      </w:r>
      <w:r w:rsidRPr="00743E58">
        <w:t xml:space="preserve">constituye un dato personal, ya que tiene como finalidad registrar a cada una de las personas que integran la población del país, con </w:t>
      </w:r>
      <w:r w:rsidRPr="00743E58">
        <w:lastRenderedPageBreak/>
        <w:t>los datos que permitan certificar y acreditar fehacientemente su identidad, la cual servirá para identificarla de manera individual.</w:t>
      </w:r>
    </w:p>
    <w:p w14:paraId="3A93BCC9" w14:textId="77777777" w:rsidR="009569D0" w:rsidRPr="00743E58" w:rsidRDefault="009569D0" w:rsidP="00743E58"/>
    <w:p w14:paraId="50BE4BE7" w14:textId="77777777" w:rsidR="009569D0" w:rsidRPr="00743E58" w:rsidRDefault="00B76053" w:rsidP="00743E58">
      <w:pPr>
        <w:ind w:right="-312"/>
      </w:pPr>
      <w:r w:rsidRPr="00743E58">
        <w:t>Lo anterior, tiene sustento en los artículos 86 y 91 de la Ley General de Población, la cual señala lo siguiente:</w:t>
      </w:r>
    </w:p>
    <w:p w14:paraId="2F72B170" w14:textId="77777777" w:rsidR="009569D0" w:rsidRPr="00743E58" w:rsidRDefault="009569D0" w:rsidP="00743E58"/>
    <w:p w14:paraId="5E0DEB54" w14:textId="77777777" w:rsidR="009569D0" w:rsidRPr="00743E58" w:rsidRDefault="00B76053" w:rsidP="00743E58">
      <w:pPr>
        <w:pStyle w:val="Puesto"/>
        <w:ind w:firstLine="567"/>
        <w:rPr>
          <w:color w:val="auto"/>
        </w:rPr>
      </w:pPr>
      <w:r w:rsidRPr="00743E58">
        <w:rPr>
          <w:color w:val="auto"/>
        </w:rPr>
        <w:t>“</w:t>
      </w:r>
      <w:r w:rsidRPr="00743E58">
        <w:rPr>
          <w:b/>
          <w:color w:val="auto"/>
        </w:rPr>
        <w:t xml:space="preserve">Artículo 86. </w:t>
      </w:r>
      <w:r w:rsidRPr="00743E58">
        <w:rPr>
          <w:color w:val="auto"/>
        </w:rPr>
        <w:t>El Registro Nacional de Población tiene como finalidad registrar a cada una de las personas que integran la población del país, con los datos que permitan certificar y acreditar fehacientemente su identidad.</w:t>
      </w:r>
    </w:p>
    <w:p w14:paraId="5709E6F5" w14:textId="77777777" w:rsidR="009569D0" w:rsidRPr="00743E58" w:rsidRDefault="00B76053" w:rsidP="00743E58">
      <w:pPr>
        <w:pStyle w:val="Puesto"/>
        <w:ind w:firstLine="567"/>
        <w:rPr>
          <w:color w:val="auto"/>
        </w:rPr>
      </w:pPr>
      <w:r w:rsidRPr="00743E58">
        <w:rPr>
          <w:b/>
          <w:color w:val="auto"/>
        </w:rPr>
        <w:t>Artículo 91. Al incorporar a una persona en el Registro Nacional de Población</w:t>
      </w:r>
      <w:r w:rsidRPr="00743E58">
        <w:rPr>
          <w:color w:val="auto"/>
        </w:rPr>
        <w:t xml:space="preserve">, se le asignará una clave </w:t>
      </w:r>
      <w:r w:rsidRPr="00743E58">
        <w:rPr>
          <w:b/>
          <w:color w:val="auto"/>
        </w:rPr>
        <w:t>que se denominará Clave Única de Registro de Población</w:t>
      </w:r>
      <w:r w:rsidRPr="00743E58">
        <w:rPr>
          <w:color w:val="auto"/>
        </w:rPr>
        <w:t xml:space="preserve">. </w:t>
      </w:r>
      <w:r w:rsidRPr="00743E58">
        <w:rPr>
          <w:b/>
          <w:color w:val="auto"/>
        </w:rPr>
        <w:t>Esta servirá para</w:t>
      </w:r>
      <w:r w:rsidRPr="00743E58">
        <w:rPr>
          <w:color w:val="auto"/>
        </w:rPr>
        <w:t xml:space="preserve"> registrarla e </w:t>
      </w:r>
      <w:r w:rsidRPr="00743E58">
        <w:rPr>
          <w:b/>
          <w:color w:val="auto"/>
        </w:rPr>
        <w:t>identificarla en forma individual</w:t>
      </w:r>
      <w:r w:rsidRPr="00743E58">
        <w:rPr>
          <w:color w:val="auto"/>
        </w:rPr>
        <w:t xml:space="preserve">.” </w:t>
      </w:r>
    </w:p>
    <w:p w14:paraId="31EE1EFE" w14:textId="77777777" w:rsidR="009569D0" w:rsidRPr="00743E58" w:rsidRDefault="00B76053" w:rsidP="00743E58">
      <w:pPr>
        <w:pStyle w:val="Puesto"/>
        <w:ind w:firstLine="567"/>
        <w:rPr>
          <w:color w:val="auto"/>
        </w:rPr>
      </w:pPr>
      <w:r w:rsidRPr="00743E58">
        <w:rPr>
          <w:color w:val="auto"/>
        </w:rPr>
        <w:t>(Énfasis añadido)</w:t>
      </w:r>
    </w:p>
    <w:p w14:paraId="1727D5E2" w14:textId="77777777" w:rsidR="009569D0" w:rsidRPr="00743E58" w:rsidRDefault="009569D0" w:rsidP="00743E58"/>
    <w:p w14:paraId="6E45103F" w14:textId="77777777" w:rsidR="009569D0" w:rsidRPr="00743E58" w:rsidRDefault="00B76053" w:rsidP="00743E58">
      <w:pPr>
        <w:ind w:right="-312"/>
      </w:pPr>
      <w:r w:rsidRPr="00743E58">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6A8D3639" w14:textId="77777777" w:rsidR="009569D0" w:rsidRPr="00743E58" w:rsidRDefault="009569D0" w:rsidP="00743E58"/>
    <w:p w14:paraId="466613EE" w14:textId="77777777" w:rsidR="009569D0" w:rsidRPr="00743E58" w:rsidRDefault="00B76053" w:rsidP="00743E58">
      <w:pPr>
        <w:ind w:right="-312"/>
      </w:pPr>
      <w:r w:rsidRPr="00743E58">
        <w:t>Al respecto, el entonces Instituto Nacional de Transparencia, Acceso a la Información y Protección de Datos Personales (INAI), a través del Criterio 18/17 de la Segunda Época, señala literalmente lo siguiente:</w:t>
      </w:r>
    </w:p>
    <w:p w14:paraId="55176887" w14:textId="77777777" w:rsidR="009569D0" w:rsidRPr="00743E58" w:rsidRDefault="009569D0" w:rsidP="00743E58">
      <w:pPr>
        <w:ind w:right="-312"/>
      </w:pPr>
    </w:p>
    <w:p w14:paraId="7E11DF6D" w14:textId="77777777" w:rsidR="009569D0" w:rsidRPr="00743E58" w:rsidRDefault="00B76053" w:rsidP="00743E58">
      <w:pPr>
        <w:pStyle w:val="Puesto"/>
        <w:ind w:firstLine="567"/>
        <w:rPr>
          <w:color w:val="auto"/>
        </w:rPr>
      </w:pPr>
      <w:r w:rsidRPr="00743E58">
        <w:rPr>
          <w:color w:val="auto"/>
        </w:rPr>
        <w:t>“</w:t>
      </w:r>
      <w:r w:rsidRPr="00743E58">
        <w:rPr>
          <w:b/>
          <w:color w:val="auto"/>
        </w:rPr>
        <w:t>Clave Única de Registro de Población (CURP).</w:t>
      </w:r>
      <w:r w:rsidRPr="00743E58">
        <w:rPr>
          <w:color w:val="auto"/>
        </w:rPr>
        <w:t xml:space="preserve"> La Clave Única de Registro de Población se integra por datos personales que sólo conciernen al particular titular de la </w:t>
      </w:r>
      <w:r w:rsidRPr="00743E58">
        <w:rPr>
          <w:color w:val="auto"/>
        </w:rPr>
        <w:lastRenderedPageBreak/>
        <w:t>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0EB55761" w14:textId="77777777" w:rsidR="009569D0" w:rsidRPr="00743E58" w:rsidRDefault="00B76053" w:rsidP="00743E58">
      <w:pPr>
        <w:pStyle w:val="Puesto"/>
        <w:ind w:firstLine="567"/>
        <w:rPr>
          <w:color w:val="auto"/>
        </w:rPr>
      </w:pPr>
      <w:r w:rsidRPr="00743E58">
        <w:rPr>
          <w:color w:val="auto"/>
        </w:rPr>
        <w:t>(Énfasis añadido)</w:t>
      </w:r>
    </w:p>
    <w:p w14:paraId="5DE5E49A" w14:textId="77777777" w:rsidR="009569D0" w:rsidRPr="00743E58" w:rsidRDefault="009569D0" w:rsidP="00743E58">
      <w:pPr>
        <w:ind w:left="851" w:right="902"/>
      </w:pPr>
    </w:p>
    <w:p w14:paraId="577FC2E8" w14:textId="77777777" w:rsidR="009569D0" w:rsidRPr="00743E58" w:rsidRDefault="00B76053" w:rsidP="00743E58">
      <w:pPr>
        <w:ind w:right="-312"/>
      </w:pPr>
      <w:r w:rsidRPr="00743E58">
        <w:t>De lo anterior, se desprende que la Clave Única de Registro de Población, se encuentra vinculada al nombre y apellidos de la persona, permitiendo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B652BC0" w14:textId="77777777" w:rsidR="00F71649" w:rsidRPr="00743E58" w:rsidRDefault="00F71649" w:rsidP="00743E58">
      <w:pPr>
        <w:ind w:right="-312"/>
      </w:pPr>
    </w:p>
    <w:p w14:paraId="534C4D0D" w14:textId="77777777" w:rsidR="00F71649" w:rsidRPr="00743E58" w:rsidRDefault="00F71649" w:rsidP="00743E58">
      <w:pPr>
        <w:ind w:right="-312"/>
      </w:pPr>
      <w:r w:rsidRPr="00743E58">
        <w:t xml:space="preserve">Respecto de los </w:t>
      </w:r>
      <w:r w:rsidRPr="00743E58">
        <w:rPr>
          <w:b/>
        </w:rPr>
        <w:t>préstamos o descuentos</w:t>
      </w:r>
      <w:r w:rsidRPr="00743E58">
        <w:t xml:space="preserve"> </w:t>
      </w:r>
      <w:r w:rsidRPr="00743E58">
        <w:rPr>
          <w:b/>
        </w:rPr>
        <w:t>de carácter personal</w:t>
      </w:r>
      <w:r w:rsidRPr="00743E58">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3134BF92" w14:textId="77777777" w:rsidR="00F71649" w:rsidRPr="00743E58" w:rsidRDefault="00F71649" w:rsidP="00743E58"/>
    <w:p w14:paraId="4FA60154" w14:textId="77777777" w:rsidR="00F71649" w:rsidRPr="00743E58" w:rsidRDefault="00F71649" w:rsidP="00743E58">
      <w:pPr>
        <w:ind w:right="-312"/>
      </w:pPr>
      <w:r w:rsidRPr="00743E58">
        <w:t>Por su parte, el artículo 84 de la Ley del Trabajo de los Servidores Públicos del Estado y Municipios, señala:</w:t>
      </w:r>
    </w:p>
    <w:p w14:paraId="2E8DE3AF" w14:textId="77777777" w:rsidR="00F71649" w:rsidRPr="00743E58" w:rsidRDefault="00F71649" w:rsidP="00743E58"/>
    <w:p w14:paraId="14648732" w14:textId="77777777" w:rsidR="00F71649" w:rsidRPr="00743E58" w:rsidRDefault="00F71649" w:rsidP="00743E58">
      <w:pPr>
        <w:pStyle w:val="Puesto"/>
        <w:ind w:firstLine="567"/>
        <w:rPr>
          <w:color w:val="auto"/>
        </w:rPr>
      </w:pPr>
      <w:r w:rsidRPr="00743E58">
        <w:rPr>
          <w:color w:val="auto"/>
        </w:rPr>
        <w:t>“</w:t>
      </w:r>
      <w:r w:rsidRPr="00743E58">
        <w:rPr>
          <w:b/>
          <w:color w:val="auto"/>
        </w:rPr>
        <w:t>ARTICULO 84. Sólo podrán hacerse retenciones, descuentos o deducciones al sueldo de los servidores públicos por concepto de:</w:t>
      </w:r>
    </w:p>
    <w:p w14:paraId="6FA33BBD" w14:textId="77777777" w:rsidR="00F71649" w:rsidRPr="00743E58" w:rsidRDefault="00F71649" w:rsidP="00743E58">
      <w:pPr>
        <w:pStyle w:val="Puesto"/>
        <w:ind w:firstLine="567"/>
        <w:rPr>
          <w:color w:val="auto"/>
        </w:rPr>
      </w:pPr>
      <w:r w:rsidRPr="00743E58">
        <w:rPr>
          <w:color w:val="auto"/>
        </w:rPr>
        <w:t>I. Gravámenes fiscales relacionados con el sueldo;</w:t>
      </w:r>
    </w:p>
    <w:p w14:paraId="6437B2CD" w14:textId="77777777" w:rsidR="00F71649" w:rsidRPr="00743E58" w:rsidRDefault="00F71649" w:rsidP="00743E58">
      <w:pPr>
        <w:pStyle w:val="Puesto"/>
        <w:ind w:firstLine="567"/>
        <w:rPr>
          <w:color w:val="auto"/>
        </w:rPr>
      </w:pPr>
      <w:r w:rsidRPr="00743E58">
        <w:rPr>
          <w:b/>
          <w:color w:val="auto"/>
        </w:rPr>
        <w:t>II. Deudas contraídas con las instituciones públicas o dependencias</w:t>
      </w:r>
      <w:r w:rsidRPr="00743E58">
        <w:rPr>
          <w:color w:val="auto"/>
        </w:rPr>
        <w:t xml:space="preserve"> por concepto de anticipos de sueldo, pagos hechos con exceso, errores o pérdidas debidamente comprobados;</w:t>
      </w:r>
    </w:p>
    <w:p w14:paraId="47D3471A" w14:textId="77777777" w:rsidR="00F71649" w:rsidRPr="00743E58" w:rsidRDefault="00F71649" w:rsidP="00743E58">
      <w:pPr>
        <w:pStyle w:val="Puesto"/>
        <w:ind w:firstLine="567"/>
        <w:rPr>
          <w:color w:val="auto"/>
        </w:rPr>
      </w:pPr>
      <w:r w:rsidRPr="00743E58">
        <w:rPr>
          <w:b/>
          <w:color w:val="auto"/>
        </w:rPr>
        <w:t>III.</w:t>
      </w:r>
      <w:r w:rsidRPr="00743E58">
        <w:rPr>
          <w:color w:val="auto"/>
        </w:rPr>
        <w:t xml:space="preserve"> </w:t>
      </w:r>
      <w:r w:rsidRPr="00743E58">
        <w:rPr>
          <w:b/>
          <w:color w:val="auto"/>
        </w:rPr>
        <w:t>Cuotas sindicales</w:t>
      </w:r>
      <w:r w:rsidRPr="00743E58">
        <w:rPr>
          <w:color w:val="auto"/>
        </w:rPr>
        <w:t>;</w:t>
      </w:r>
    </w:p>
    <w:p w14:paraId="0F5B881D" w14:textId="77777777" w:rsidR="00F71649" w:rsidRPr="00743E58" w:rsidRDefault="00F71649" w:rsidP="00743E58">
      <w:pPr>
        <w:pStyle w:val="Puesto"/>
        <w:ind w:firstLine="567"/>
        <w:rPr>
          <w:color w:val="auto"/>
        </w:rPr>
      </w:pPr>
      <w:r w:rsidRPr="00743E58">
        <w:rPr>
          <w:color w:val="auto"/>
        </w:rPr>
        <w:lastRenderedPageBreak/>
        <w:t>IV. Cuotas de aportación a fondos para la constitución de cooperativas y de cajas de ahorro, siempre que el servidor público hubiese manifestado previamente, de manera expresa, su conformidad;</w:t>
      </w:r>
    </w:p>
    <w:p w14:paraId="458187F1" w14:textId="77777777" w:rsidR="00F71649" w:rsidRPr="00743E58" w:rsidRDefault="00F71649" w:rsidP="00743E58">
      <w:pPr>
        <w:pStyle w:val="Puesto"/>
        <w:ind w:firstLine="567"/>
        <w:rPr>
          <w:b/>
          <w:color w:val="auto"/>
        </w:rPr>
      </w:pPr>
      <w:r w:rsidRPr="00743E58">
        <w:rPr>
          <w:color w:val="auto"/>
        </w:rPr>
        <w:t>V. Descuentos ordenados por el Instituto de Seguridad Social del Estado de México y Municipios, con motivo de cuotas y obligaciones contraídas con éste por los servidores públicos;</w:t>
      </w:r>
    </w:p>
    <w:p w14:paraId="1549065D" w14:textId="77777777" w:rsidR="00F71649" w:rsidRPr="00743E58" w:rsidRDefault="00F71649" w:rsidP="00743E58">
      <w:pPr>
        <w:pStyle w:val="Puesto"/>
        <w:ind w:firstLine="567"/>
        <w:rPr>
          <w:color w:val="auto"/>
        </w:rPr>
      </w:pPr>
      <w:r w:rsidRPr="00743E58">
        <w:rPr>
          <w:b/>
          <w:color w:val="auto"/>
        </w:rPr>
        <w:t>VI.</w:t>
      </w:r>
      <w:r w:rsidRPr="00743E58">
        <w:rPr>
          <w:color w:val="auto"/>
        </w:rPr>
        <w:t xml:space="preserve"> </w:t>
      </w:r>
      <w:r w:rsidRPr="00743E58">
        <w:rPr>
          <w:b/>
          <w:color w:val="auto"/>
        </w:rPr>
        <w:t>Obligaciones a cargo del servidor público</w:t>
      </w:r>
      <w:r w:rsidRPr="00743E58">
        <w:rPr>
          <w:color w:val="auto"/>
        </w:rPr>
        <w:t xml:space="preserve"> con las que haya consentido, derivadas de la adquisición o del uso de habitaciones consideradas como de interés social;</w:t>
      </w:r>
    </w:p>
    <w:p w14:paraId="2D85E126" w14:textId="77777777" w:rsidR="00F71649" w:rsidRPr="00743E58" w:rsidRDefault="00F71649" w:rsidP="00743E58">
      <w:pPr>
        <w:pStyle w:val="Puesto"/>
        <w:ind w:firstLine="567"/>
        <w:rPr>
          <w:color w:val="auto"/>
        </w:rPr>
      </w:pPr>
      <w:r w:rsidRPr="00743E58">
        <w:rPr>
          <w:color w:val="auto"/>
        </w:rPr>
        <w:t>VII. Faltas de puntualidad o de asistencia injustificadas;</w:t>
      </w:r>
    </w:p>
    <w:p w14:paraId="041B2D99" w14:textId="77777777" w:rsidR="00F71649" w:rsidRPr="00743E58" w:rsidRDefault="00F71649" w:rsidP="00743E58">
      <w:pPr>
        <w:pStyle w:val="Puesto"/>
        <w:ind w:firstLine="567"/>
        <w:rPr>
          <w:b/>
          <w:color w:val="auto"/>
        </w:rPr>
      </w:pPr>
      <w:r w:rsidRPr="00743E58">
        <w:rPr>
          <w:b/>
          <w:color w:val="auto"/>
        </w:rPr>
        <w:t>VIII.</w:t>
      </w:r>
      <w:r w:rsidRPr="00743E58">
        <w:rPr>
          <w:color w:val="auto"/>
        </w:rPr>
        <w:t xml:space="preserve"> </w:t>
      </w:r>
      <w:r w:rsidRPr="00743E58">
        <w:rPr>
          <w:b/>
          <w:color w:val="auto"/>
        </w:rPr>
        <w:t>Pensiones alimenticias ordenadas por la autoridad judicial; o</w:t>
      </w:r>
    </w:p>
    <w:p w14:paraId="21B1024D" w14:textId="77777777" w:rsidR="00F71649" w:rsidRPr="00743E58" w:rsidRDefault="00F71649" w:rsidP="00743E58">
      <w:pPr>
        <w:pStyle w:val="Puesto"/>
        <w:ind w:firstLine="567"/>
        <w:rPr>
          <w:b/>
          <w:color w:val="auto"/>
        </w:rPr>
      </w:pPr>
      <w:r w:rsidRPr="00743E58">
        <w:rPr>
          <w:b/>
          <w:color w:val="auto"/>
        </w:rPr>
        <w:t>IX. Cualquier otro convenido con instituciones de servicios y aceptado por el servidor público.</w:t>
      </w:r>
    </w:p>
    <w:p w14:paraId="1EB214E6" w14:textId="77777777" w:rsidR="00F71649" w:rsidRPr="00743E58" w:rsidRDefault="00F71649" w:rsidP="00743E58">
      <w:pPr>
        <w:pStyle w:val="Puesto"/>
        <w:ind w:firstLine="567"/>
        <w:rPr>
          <w:color w:val="auto"/>
        </w:rPr>
      </w:pPr>
      <w:r w:rsidRPr="00743E58">
        <w:rPr>
          <w:color w:val="auto"/>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30D875A0" w14:textId="77777777" w:rsidR="00F71649" w:rsidRPr="00743E58" w:rsidRDefault="00F71649" w:rsidP="00743E58">
      <w:pPr>
        <w:pStyle w:val="Puesto"/>
        <w:ind w:firstLine="567"/>
        <w:rPr>
          <w:color w:val="auto"/>
        </w:rPr>
      </w:pPr>
      <w:r w:rsidRPr="00743E58">
        <w:rPr>
          <w:color w:val="auto"/>
        </w:rPr>
        <w:t>(Énfasis añadido)</w:t>
      </w:r>
    </w:p>
    <w:p w14:paraId="7B254C32" w14:textId="77777777" w:rsidR="00F71649" w:rsidRPr="00743E58" w:rsidRDefault="00F71649" w:rsidP="00743E58">
      <w:pPr>
        <w:ind w:left="851" w:right="902"/>
      </w:pPr>
    </w:p>
    <w:p w14:paraId="60E90888" w14:textId="77777777" w:rsidR="00F71649" w:rsidRPr="00743E58" w:rsidRDefault="00F71649" w:rsidP="00743E58">
      <w:pPr>
        <w:ind w:right="-312"/>
      </w:pPr>
      <w:r w:rsidRPr="00743E58">
        <w:t xml:space="preserve">Derivado de lo anterior, la ley establece claramente cuáles son esos descuentos o gravámenes que directamente se relacionan con las obligaciones adquiridas como servidores públicos y aquéllos que </w:t>
      </w:r>
      <w:r w:rsidRPr="00743E58">
        <w:rPr>
          <w:b/>
        </w:rPr>
        <w:t>únicamente inciden en su vida privada</w:t>
      </w:r>
      <w:r w:rsidRPr="00743E58">
        <w:t>. De este modo, descuentos por pensiones alimenticias o créditos adquiridos con instituciones privadas o públicas pero que fueron contraídas en forma individual, son información que debe clasificarse como confidencial.</w:t>
      </w:r>
    </w:p>
    <w:p w14:paraId="66F938AC" w14:textId="77777777" w:rsidR="00F71649" w:rsidRPr="00743E58" w:rsidRDefault="00F71649" w:rsidP="00743E58"/>
    <w:p w14:paraId="02001493" w14:textId="77777777" w:rsidR="00F71649" w:rsidRPr="00743E58" w:rsidRDefault="00F71649" w:rsidP="00743E58">
      <w:pPr>
        <w:ind w:right="-312"/>
      </w:pPr>
      <w:r w:rsidRPr="00743E58">
        <w:t xml:space="preserve">La </w:t>
      </w:r>
      <w:r w:rsidRPr="00743E58">
        <w:rPr>
          <w:b/>
          <w:i/>
        </w:rPr>
        <w:t>cuenta bancaria de servidores públicos</w:t>
      </w:r>
      <w:r w:rsidRPr="00743E58">
        <w:t xml:space="preserve">, 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w:t>
      </w:r>
      <w:r w:rsidRPr="00743E58">
        <w:lastRenderedPageBreak/>
        <w:t>corresponden a información que se encuentra relacionada con el patrimonio de la persona titular de la cuenta.</w:t>
      </w:r>
    </w:p>
    <w:p w14:paraId="58220911" w14:textId="77777777" w:rsidR="00F71649" w:rsidRPr="00743E58" w:rsidRDefault="00F71649" w:rsidP="00743E58">
      <w:r w:rsidRPr="00743E58">
        <w:t> </w:t>
      </w:r>
    </w:p>
    <w:p w14:paraId="2CC2BDD3" w14:textId="77777777" w:rsidR="00F71649" w:rsidRPr="00743E58" w:rsidRDefault="00F71649" w:rsidP="00743E58">
      <w:pPr>
        <w:ind w:right="-312"/>
      </w:pPr>
      <w:r w:rsidRPr="00743E58">
        <w:t>A mayor abundamiento, resulta necesario traer a colación el Criterio SO/010/2017, emitido por el entonces Instituto Nacional de Transparencia, Acceso a la Información y Protección de Datos Personales, mismo que establece lo siguiente:</w:t>
      </w:r>
    </w:p>
    <w:p w14:paraId="45F920AB" w14:textId="77777777" w:rsidR="00F71649" w:rsidRPr="00743E58" w:rsidRDefault="00F71649" w:rsidP="00743E58"/>
    <w:p w14:paraId="016711DF" w14:textId="77777777" w:rsidR="00F71649" w:rsidRPr="00743E58" w:rsidRDefault="00F71649" w:rsidP="00743E58">
      <w:pPr>
        <w:pStyle w:val="Puesto"/>
        <w:ind w:firstLine="567"/>
        <w:rPr>
          <w:color w:val="auto"/>
        </w:rPr>
      </w:pPr>
      <w:r w:rsidRPr="00743E58">
        <w:rPr>
          <w:color w:val="auto"/>
        </w:rPr>
        <w:t>“</w:t>
      </w:r>
      <w:r w:rsidRPr="00743E58">
        <w:rPr>
          <w:b/>
          <w:color w:val="auto"/>
        </w:rPr>
        <w:t>Cuentas bancarias y/o CLABE interbancaria de personas físicas y morales privadas.</w:t>
      </w:r>
      <w:r w:rsidRPr="00743E58">
        <w:rPr>
          <w:color w:val="auto"/>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A255201" w14:textId="77777777" w:rsidR="00F71649" w:rsidRPr="00743E58" w:rsidRDefault="00F71649" w:rsidP="00743E58"/>
    <w:p w14:paraId="34C7E0D5" w14:textId="77777777" w:rsidR="00F71649" w:rsidRPr="00743E58" w:rsidRDefault="00F71649" w:rsidP="00743E58">
      <w:pPr>
        <w:ind w:right="-312"/>
      </w:pPr>
      <w:r w:rsidRPr="00743E58">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730922F8" w14:textId="77777777" w:rsidR="00F71649" w:rsidRPr="00743E58" w:rsidRDefault="00F71649" w:rsidP="00743E58">
      <w:r w:rsidRPr="00743E58">
        <w:t xml:space="preserve"> </w:t>
      </w:r>
    </w:p>
    <w:p w14:paraId="408F6AE5" w14:textId="77777777" w:rsidR="00F71649" w:rsidRPr="00743E58" w:rsidRDefault="00F71649" w:rsidP="00743E58">
      <w:pPr>
        <w:ind w:right="-312"/>
      </w:pPr>
      <w:r w:rsidRPr="00743E58">
        <w:t xml:space="preserve">El </w:t>
      </w:r>
      <w:r w:rsidRPr="00743E58">
        <w:rPr>
          <w:b/>
          <w:i/>
        </w:rPr>
        <w:t>Nombre de institución bancaria utilizada por el servidor público</w:t>
      </w:r>
      <w:r w:rsidRPr="00743E58">
        <w:t xml:space="preserve">, 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w:t>
      </w:r>
      <w:r w:rsidRPr="00743E58">
        <w:lastRenderedPageBreak/>
        <w:t>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5904B51F" w14:textId="77777777" w:rsidR="00F71649" w:rsidRPr="00743E58" w:rsidRDefault="00F71649" w:rsidP="00743E58"/>
    <w:p w14:paraId="24A54F9D" w14:textId="77777777" w:rsidR="00F71649" w:rsidRPr="00743E58" w:rsidRDefault="00F71649" w:rsidP="00743E58">
      <w:pPr>
        <w:ind w:right="-312"/>
      </w:pPr>
      <w:r w:rsidRPr="00743E58">
        <w:t xml:space="preserve">En ese orden de ideas, en el portal de la Comisión Nacional para la Protección y Defensa de los Usuarios de Servicios Financieros (consultado el cinco de julio de dos mil veintitrés) en </w:t>
      </w:r>
      <w:hyperlink r:id="rId17">
        <w:r w:rsidRPr="00743E58">
          <w:t>https://www.condusef.gob.mx/Revista/index.php/usuario-inteligente/condusef-responde/777-la-condusef-te-puede-ayudar</w:t>
        </w:r>
      </w:hyperlink>
      <w:r w:rsidRPr="00743E58">
        <w:t>), se establece que los bancos son instituciones financieras; conforme a lo anterior, se puede advertir que las instituciones bancarias, son personas morales.</w:t>
      </w:r>
    </w:p>
    <w:p w14:paraId="74EBFC58" w14:textId="77777777" w:rsidR="00F71649" w:rsidRPr="00743E58" w:rsidRDefault="00F71649" w:rsidP="00743E58"/>
    <w:p w14:paraId="1C3CB2A8" w14:textId="77777777" w:rsidR="00F71649" w:rsidRPr="00743E58" w:rsidRDefault="00F71649" w:rsidP="00743E58">
      <w:pPr>
        <w:ind w:right="-312"/>
      </w:pPr>
      <w:r w:rsidRPr="00743E58">
        <w:t xml:space="preserve">Por lo tanto, se considera que la denominación o razón social de una persona moral, es pública, pues dichos datos se encuentran inscritos en el Registro Público del Comercio; lo anterior, se robustece con el hecho de que existe el Sistema de Registro de Prestadores de Servicios Financieros (consultado el cinco de julio de dos mil veintitrés, a las trece horas, en la liga </w:t>
      </w:r>
      <w:hyperlink r:id="rId18">
        <w:r w:rsidRPr="00743E58">
          <w:rPr>
            <w:u w:val="single"/>
          </w:rPr>
          <w:t>https://webapps.condusef.gob.mx/SIPRES/jsp/pub/index.jsp</w:t>
        </w:r>
      </w:hyperlink>
      <w:r w:rsidRPr="00743E58">
        <w:t xml:space="preserve">  que es un registro de carácter público, cuyo objetivo principal, consiste en proporcionar información corporativa y general de las instituciones financieras; además, que permite conocer al público general, información de dichos entes, se muestra un ejemplo a continuación: </w:t>
      </w:r>
    </w:p>
    <w:p w14:paraId="5F9EA614" w14:textId="77777777" w:rsidR="00F71649" w:rsidRPr="00743E58" w:rsidRDefault="00F71649" w:rsidP="00743E58"/>
    <w:p w14:paraId="64563F4E" w14:textId="77777777" w:rsidR="00F71649" w:rsidRPr="00743E58" w:rsidRDefault="00F71649" w:rsidP="00743E58">
      <w:pPr>
        <w:jc w:val="center"/>
      </w:pPr>
      <w:r w:rsidRPr="00743E58">
        <w:rPr>
          <w:noProof/>
        </w:rPr>
        <w:lastRenderedPageBreak/>
        <w:drawing>
          <wp:inline distT="0" distB="0" distL="0" distR="0" wp14:anchorId="69754403" wp14:editId="52BF043A">
            <wp:extent cx="5295900" cy="1295400"/>
            <wp:effectExtent l="0" t="0" r="0" b="0"/>
            <wp:docPr id="326021686" name="image2.png" descr="Imagen que contiene 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Escala de tiempo&#10;&#10;Descripción generada automáticamente"/>
                    <pic:cNvPicPr preferRelativeResize="0"/>
                  </pic:nvPicPr>
                  <pic:blipFill>
                    <a:blip r:embed="rId19"/>
                    <a:srcRect t="1" b="52956"/>
                    <a:stretch>
                      <a:fillRect/>
                    </a:stretch>
                  </pic:blipFill>
                  <pic:spPr>
                    <a:xfrm>
                      <a:off x="0" y="0"/>
                      <a:ext cx="5295900" cy="1295400"/>
                    </a:xfrm>
                    <a:prstGeom prst="rect">
                      <a:avLst/>
                    </a:prstGeom>
                    <a:ln/>
                  </pic:spPr>
                </pic:pic>
              </a:graphicData>
            </a:graphic>
          </wp:inline>
        </w:drawing>
      </w:r>
    </w:p>
    <w:p w14:paraId="5BC77EB5" w14:textId="77777777" w:rsidR="00F71649" w:rsidRPr="00743E58" w:rsidRDefault="00F71649" w:rsidP="00743E58"/>
    <w:p w14:paraId="0F54CAC3" w14:textId="77777777" w:rsidR="00F71649" w:rsidRPr="00743E58" w:rsidRDefault="00F71649" w:rsidP="00743E58">
      <w:pPr>
        <w:ind w:right="-312"/>
      </w:pPr>
      <w:r w:rsidRPr="00743E58">
        <w:t>Conforme a lo anterior, se logra vislumbrar que el nombre de las instituciones bancarias es de naturaleza pública.</w:t>
      </w:r>
    </w:p>
    <w:p w14:paraId="42F3489F" w14:textId="77777777" w:rsidR="00F71649" w:rsidRPr="00743E58" w:rsidRDefault="00F71649" w:rsidP="00743E58"/>
    <w:p w14:paraId="0A35D4EE" w14:textId="77777777" w:rsidR="00F71649" w:rsidRPr="00743E58" w:rsidRDefault="00F71649" w:rsidP="00743E58">
      <w:pPr>
        <w:ind w:right="-312"/>
      </w:pPr>
      <w:r w:rsidRPr="00743E58">
        <w:t xml:space="preserve">Por otra parte, las </w:t>
      </w:r>
      <w:r w:rsidRPr="00743E58">
        <w:rPr>
          <w:b/>
        </w:rPr>
        <w:t xml:space="preserve">Cadenas Originales </w:t>
      </w:r>
      <w:r w:rsidRPr="00743E58">
        <w:t xml:space="preserve">y </w:t>
      </w:r>
      <w:r w:rsidRPr="00743E58">
        <w:rPr>
          <w:b/>
        </w:rPr>
        <w:t>Sellos</w:t>
      </w:r>
      <w:r w:rsidRPr="00743E58">
        <w:t xml:space="preserve"> </w:t>
      </w:r>
      <w:r w:rsidRPr="00743E58">
        <w:rPr>
          <w:b/>
        </w:rPr>
        <w:t>Digitales</w:t>
      </w:r>
      <w:r w:rsidRPr="00743E58">
        <w:t xml:space="preserve"> forman parte del certificado de sello digital, los cuales son documentos electrónicos que de conformidad con el artículo 17-G y 29 del Código Fiscal de la Federación le permiten a la autoridad hacendaria federal garantizar una </w:t>
      </w:r>
      <w:r w:rsidRPr="00743E58">
        <w:rPr>
          <w:b/>
        </w:rPr>
        <w:t xml:space="preserve">vinculación </w:t>
      </w:r>
      <w:r w:rsidRPr="00743E58">
        <w:t xml:space="preserve">entre la </w:t>
      </w:r>
      <w:r w:rsidRPr="00743E58">
        <w:rPr>
          <w:b/>
        </w:rPr>
        <w:t>identidad de un sujeto o entidad</w:t>
      </w:r>
      <w:r w:rsidRPr="00743E58">
        <w:t xml:space="preserve"> con su clave pública, lo que hace identificable a una persona o entidad, además de que dichos certificados tienen como finalidad o propósito específico firmar digitalmente las facturas electrónicas </w:t>
      </w:r>
      <w:r w:rsidRPr="00743E58">
        <w:rPr>
          <w:b/>
        </w:rPr>
        <w:t>para acreditar la autoría de los comprobantes fiscales digitales</w:t>
      </w:r>
      <w:r w:rsidRPr="00743E58">
        <w:t>. En ese tenor se transcriben los artículos señalados con antelación para mejor ilustración:</w:t>
      </w:r>
    </w:p>
    <w:p w14:paraId="4E3667C8" w14:textId="77777777" w:rsidR="00F71649" w:rsidRPr="00743E58" w:rsidRDefault="00F71649" w:rsidP="00743E58"/>
    <w:p w14:paraId="18383BC6" w14:textId="77777777" w:rsidR="00F71649" w:rsidRPr="00743E58" w:rsidRDefault="00F71649" w:rsidP="00743E58">
      <w:pPr>
        <w:pStyle w:val="Puesto"/>
        <w:ind w:firstLine="567"/>
        <w:rPr>
          <w:color w:val="auto"/>
        </w:rPr>
      </w:pPr>
      <w:r w:rsidRPr="00743E58">
        <w:rPr>
          <w:b/>
          <w:color w:val="auto"/>
        </w:rPr>
        <w:t xml:space="preserve">Artículo 17-G.- </w:t>
      </w:r>
      <w:r w:rsidRPr="00743E58">
        <w:rPr>
          <w:color w:val="auto"/>
        </w:rPr>
        <w:t xml:space="preserve">Los certificados que emita el Servicio de Administración Tributaria para ser considerados válidos deberán contener los datos siguientes: </w:t>
      </w:r>
    </w:p>
    <w:p w14:paraId="4059E5C9" w14:textId="77777777" w:rsidR="00F71649" w:rsidRPr="00743E58" w:rsidRDefault="00F71649" w:rsidP="00743E58">
      <w:pPr>
        <w:pStyle w:val="Puesto"/>
        <w:ind w:firstLine="567"/>
        <w:rPr>
          <w:color w:val="auto"/>
        </w:rPr>
      </w:pPr>
    </w:p>
    <w:p w14:paraId="53D1151A" w14:textId="77777777" w:rsidR="00F71649" w:rsidRPr="00743E58" w:rsidRDefault="00F71649" w:rsidP="00743E58">
      <w:pPr>
        <w:pStyle w:val="Puesto"/>
        <w:ind w:firstLine="567"/>
        <w:rPr>
          <w:color w:val="auto"/>
        </w:rPr>
      </w:pPr>
      <w:r w:rsidRPr="00743E58">
        <w:rPr>
          <w:color w:val="auto"/>
        </w:rPr>
        <w:t>I. La mención de que se expiden como tales. Tratándose de certificados de sellos digitales, se deberán especificar las limitantes que tengan para su uso.</w:t>
      </w:r>
    </w:p>
    <w:p w14:paraId="1723726B" w14:textId="77777777" w:rsidR="00F71649" w:rsidRPr="00743E58" w:rsidRDefault="00F71649" w:rsidP="00743E58">
      <w:pPr>
        <w:pStyle w:val="Puesto"/>
        <w:ind w:firstLine="567"/>
        <w:rPr>
          <w:color w:val="auto"/>
        </w:rPr>
      </w:pPr>
    </w:p>
    <w:p w14:paraId="45E942E5" w14:textId="77777777" w:rsidR="00F71649" w:rsidRPr="00743E58" w:rsidRDefault="00F71649" w:rsidP="00743E58">
      <w:pPr>
        <w:pStyle w:val="Puesto"/>
        <w:ind w:firstLine="567"/>
        <w:rPr>
          <w:color w:val="auto"/>
        </w:rPr>
      </w:pPr>
      <w:r w:rsidRPr="00743E58">
        <w:rPr>
          <w:b/>
          <w:color w:val="auto"/>
        </w:rPr>
        <w:t>Artículo 29.</w:t>
      </w:r>
      <w:r w:rsidRPr="00743E58">
        <w:rPr>
          <w:color w:val="auto"/>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w:t>
      </w:r>
      <w:r w:rsidRPr="00743E58">
        <w:rPr>
          <w:color w:val="auto"/>
        </w:rPr>
        <w:lastRenderedPageBreak/>
        <w:t>temporal, reciban servicios o aquéllas a las que les hubieren retenido contribuciones deberán solicitar el comprobante fiscal digital por Internet respectivo.</w:t>
      </w:r>
    </w:p>
    <w:p w14:paraId="20B824BC" w14:textId="77777777" w:rsidR="00F71649" w:rsidRPr="00743E58" w:rsidRDefault="00F71649" w:rsidP="00743E58">
      <w:pPr>
        <w:tabs>
          <w:tab w:val="left" w:pos="8222"/>
        </w:tabs>
        <w:spacing w:line="240" w:lineRule="auto"/>
        <w:ind w:left="851" w:right="822"/>
        <w:rPr>
          <w:i/>
        </w:rPr>
      </w:pPr>
    </w:p>
    <w:p w14:paraId="5365F618" w14:textId="77777777" w:rsidR="00F71649" w:rsidRPr="00743E58" w:rsidRDefault="00F71649" w:rsidP="00743E58">
      <w:pPr>
        <w:pStyle w:val="Puesto"/>
        <w:ind w:firstLine="567"/>
        <w:rPr>
          <w:color w:val="auto"/>
        </w:rPr>
      </w:pPr>
      <w:r w:rsidRPr="00743E58">
        <w:rPr>
          <w:color w:val="auto"/>
        </w:rPr>
        <w:t>Los contribuyentes a que se refiere el párrafo anterior deberán cumplir con las obligaciones siguientes:</w:t>
      </w:r>
    </w:p>
    <w:p w14:paraId="099EE099" w14:textId="77777777" w:rsidR="00F71649" w:rsidRPr="00743E58" w:rsidRDefault="00F71649" w:rsidP="00743E58">
      <w:pPr>
        <w:pStyle w:val="Puesto"/>
        <w:ind w:firstLine="567"/>
        <w:rPr>
          <w:color w:val="auto"/>
        </w:rPr>
      </w:pPr>
    </w:p>
    <w:p w14:paraId="2F1AF3F2" w14:textId="77777777" w:rsidR="00F71649" w:rsidRPr="00743E58" w:rsidRDefault="00F71649" w:rsidP="00743E58">
      <w:pPr>
        <w:pStyle w:val="Puesto"/>
        <w:ind w:firstLine="567"/>
        <w:rPr>
          <w:color w:val="auto"/>
        </w:rPr>
      </w:pPr>
      <w:r w:rsidRPr="00743E58">
        <w:rPr>
          <w:color w:val="auto"/>
        </w:rPr>
        <w:t>(…)</w:t>
      </w:r>
    </w:p>
    <w:p w14:paraId="380D64C1" w14:textId="77777777" w:rsidR="00F71649" w:rsidRPr="00743E58" w:rsidRDefault="00F71649" w:rsidP="00743E58">
      <w:pPr>
        <w:pStyle w:val="Puesto"/>
        <w:ind w:firstLine="567"/>
        <w:rPr>
          <w:color w:val="auto"/>
        </w:rPr>
      </w:pPr>
      <w:r w:rsidRPr="00743E58">
        <w:rPr>
          <w:color w:val="auto"/>
        </w:rPr>
        <w:t>II. Tramitar ante el Servicio de Administración Tributaria el certificado para el uso de los sellos digitales.</w:t>
      </w:r>
    </w:p>
    <w:p w14:paraId="74DF11C8" w14:textId="77777777" w:rsidR="00F71649" w:rsidRPr="00743E58" w:rsidRDefault="00F71649" w:rsidP="00743E58">
      <w:pPr>
        <w:pStyle w:val="Puesto"/>
        <w:ind w:firstLine="567"/>
        <w:rPr>
          <w:color w:val="auto"/>
        </w:rPr>
      </w:pPr>
    </w:p>
    <w:p w14:paraId="2CBA2569" w14:textId="77777777" w:rsidR="00F71649" w:rsidRPr="00743E58" w:rsidRDefault="00F71649" w:rsidP="00743E58">
      <w:pPr>
        <w:pStyle w:val="Puesto"/>
        <w:ind w:firstLine="567"/>
        <w:rPr>
          <w:color w:val="auto"/>
        </w:rPr>
      </w:pPr>
      <w:r w:rsidRPr="00743E58">
        <w:rPr>
          <w:color w:val="auto"/>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7C39FB71" w14:textId="77777777" w:rsidR="00F71649" w:rsidRPr="00743E58" w:rsidRDefault="00F71649" w:rsidP="00743E58">
      <w:pPr>
        <w:pStyle w:val="Puesto"/>
        <w:ind w:firstLine="567"/>
        <w:rPr>
          <w:color w:val="auto"/>
        </w:rPr>
      </w:pPr>
    </w:p>
    <w:p w14:paraId="57701722" w14:textId="77777777" w:rsidR="00F71649" w:rsidRPr="00743E58" w:rsidRDefault="00F71649" w:rsidP="00743E58">
      <w:pPr>
        <w:ind w:right="-312"/>
      </w:pPr>
      <w:r w:rsidRPr="00743E58">
        <w:t xml:space="preserve">En conclusión, las </w:t>
      </w:r>
      <w:r w:rsidRPr="00743E58">
        <w:rPr>
          <w:b/>
        </w:rPr>
        <w:t xml:space="preserve">Cadenas Originales </w:t>
      </w:r>
      <w:r w:rsidRPr="00743E58">
        <w:t xml:space="preserve">y </w:t>
      </w:r>
      <w:r w:rsidRPr="00743E58">
        <w:rPr>
          <w:b/>
        </w:rPr>
        <w:t>Sellos</w:t>
      </w:r>
      <w:r w:rsidRPr="00743E58">
        <w:t xml:space="preserve"> </w:t>
      </w:r>
      <w:r w:rsidRPr="00743E58">
        <w:rPr>
          <w:b/>
        </w:rPr>
        <w:t>Digitales</w:t>
      </w:r>
      <w:r w:rsidRPr="00743E58">
        <w:t xml:space="preserve"> cuando de la secuencia de números y letras, no se advierta un Registro Federal de </w:t>
      </w:r>
      <w:r w:rsidRPr="00743E58">
        <w:rPr>
          <w:b/>
        </w:rPr>
        <w:t xml:space="preserve">Contribuyentes o una Clave Única de Registro de Población, que pueda hacer </w:t>
      </w:r>
      <w:r w:rsidRPr="00743E58">
        <w:t xml:space="preserve">identificable al titular del dato personal, no puede tenerse como dato personal y, en consecuencia,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estas serán susceptibles de clasificarse. </w:t>
      </w:r>
    </w:p>
    <w:p w14:paraId="02346193" w14:textId="77777777" w:rsidR="00F71649" w:rsidRPr="00743E58" w:rsidRDefault="00F71649" w:rsidP="00743E58"/>
    <w:p w14:paraId="2E8FFF4C" w14:textId="77777777" w:rsidR="00F71649" w:rsidRPr="00743E58" w:rsidRDefault="00F71649" w:rsidP="00743E58">
      <w:pPr>
        <w:ind w:right="-312"/>
      </w:pPr>
      <w:r w:rsidRPr="00743E58">
        <w:t xml:space="preserve">Por lo que hace a los </w:t>
      </w:r>
      <w:r w:rsidRPr="00743E58">
        <w:rPr>
          <w:b/>
        </w:rPr>
        <w:t>Códigos Bidimensionales</w:t>
      </w:r>
      <w:r w:rsidRPr="00743E58">
        <w:t xml:space="preserve"> y los denominados </w:t>
      </w:r>
      <w:r w:rsidRPr="00743E58">
        <w:rPr>
          <w:b/>
        </w:rPr>
        <w:t>Códigos QR</w:t>
      </w:r>
      <w:r w:rsidRPr="00743E58">
        <w:t xml:space="preserve">, se trata de barras en dos dimensiones que al igual a los códigos de barras o códigos unidimensionales, son utilizados para almacenar diversos tipos datos de manera codificada, los cuales a través de </w:t>
      </w:r>
      <w:r w:rsidRPr="00743E58">
        <w:lastRenderedPageBreak/>
        <w:t xml:space="preserve">lectores que pueden ser obtenidos por cualquier persona, pueden obtener los referidos datos, los cuales pueden corresponder a datos personales como </w:t>
      </w:r>
      <w:r w:rsidRPr="00743E58">
        <w:rPr>
          <w:b/>
        </w:rPr>
        <w:t>Registro Federal de Contribuyentes</w:t>
      </w:r>
      <w:r w:rsidRPr="00743E58">
        <w:t xml:space="preserve"> (RFC) y la </w:t>
      </w:r>
      <w:r w:rsidRPr="00743E58">
        <w:rPr>
          <w:b/>
        </w:rPr>
        <w:t>Clave Única de Registro de Población</w:t>
      </w:r>
      <w:r w:rsidRPr="00743E58">
        <w:t xml:space="preserve"> (CURP).</w:t>
      </w:r>
    </w:p>
    <w:p w14:paraId="6541D79B" w14:textId="77777777" w:rsidR="00F71649" w:rsidRPr="00743E58" w:rsidRDefault="00F71649" w:rsidP="00743E58"/>
    <w:p w14:paraId="29F953B7" w14:textId="77777777" w:rsidR="00F71649" w:rsidRPr="00743E58" w:rsidRDefault="00F71649" w:rsidP="00743E58">
      <w:pPr>
        <w:ind w:right="-312"/>
      </w:pPr>
      <w:r w:rsidRPr="00743E58">
        <w:t xml:space="preserve">Sobre las </w:t>
      </w:r>
      <w:r w:rsidRPr="00743E58">
        <w:rPr>
          <w:b/>
          <w:i/>
        </w:rPr>
        <w:t>deducciones por Ley</w:t>
      </w:r>
      <w:r w:rsidRPr="00743E58">
        <w:t>, el artículo 84 de la Ley del Trabajo de los Servidores Públicos del Estado de México y Municipios, establece que a los trabajadores gubernamentales se les podrán aplicar diversos descuentos o deducciones, entre las cuales, se encuentran los gravámenes fiscales relacionados con el sueldo (ISR o ISPT), descuentos ordenados por el Instituto de Seguridad Social del Estado de México y Municipios, con motivo de las cuotas para acceder a los servicios de salud y descuentos por faltas de puntualidad o de asistencias justificadas.</w:t>
      </w:r>
    </w:p>
    <w:p w14:paraId="5D0D575D" w14:textId="77777777" w:rsidR="00F71649" w:rsidRPr="00743E58" w:rsidRDefault="00F71649" w:rsidP="00743E58"/>
    <w:p w14:paraId="63DD7A5A" w14:textId="77777777" w:rsidR="00F71649" w:rsidRPr="00743E58" w:rsidRDefault="00F71649" w:rsidP="00743E58">
      <w:pPr>
        <w:ind w:right="-312"/>
      </w:pPr>
      <w:r w:rsidRPr="00743E58">
        <w:t>Conforme a lo anterior dichas deducciones, suelen ser obligatorias y dan cuenta, de que el Sujeto Obligado cumple con sus responsabilidades como patrón, relacionadas con la retención de parte del ingreso de sus trabajadores, para cubrir las deducciones genéricas y obligatorias.</w:t>
      </w:r>
    </w:p>
    <w:p w14:paraId="42ABBA4B" w14:textId="77777777" w:rsidR="00F71649" w:rsidRPr="00743E58" w:rsidRDefault="00F71649" w:rsidP="00743E58"/>
    <w:p w14:paraId="5116A2CA" w14:textId="77777777" w:rsidR="00F71649" w:rsidRPr="00743E58" w:rsidRDefault="00F71649" w:rsidP="00743E58">
      <w:pPr>
        <w:ind w:right="-312"/>
      </w:pPr>
      <w:r w:rsidRPr="00743E58">
        <w:t>Como se logra observar, dichas deducciones, son las renciones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 Servidores Públicos del Estado de México y Municipios (descuentos por faltas o inasistencias).</w:t>
      </w:r>
    </w:p>
    <w:p w14:paraId="6C700D86" w14:textId="77777777" w:rsidR="00F71649" w:rsidRPr="00743E58" w:rsidRDefault="00F71649" w:rsidP="00743E58"/>
    <w:p w14:paraId="21C3CE55" w14:textId="77777777" w:rsidR="00F71649" w:rsidRPr="00743E58" w:rsidRDefault="00F71649" w:rsidP="00743E58">
      <w:pPr>
        <w:ind w:right="-312"/>
      </w:pPr>
      <w:r w:rsidRPr="00743E58">
        <w:t xml:space="preserve">Por tal circunstancia y toda vez, que las deducciones por Ley, son de carácter obligatorio y ayuda a rendir cuentas, de que </w:t>
      </w:r>
      <w:r w:rsidRPr="00743E58">
        <w:rPr>
          <w:b/>
        </w:rPr>
        <w:t>EL SUJETO OBLIGADO</w:t>
      </w:r>
      <w:r w:rsidRPr="00743E58">
        <w:t xml:space="preserve"> cumple con sus funciones de patrón, al retener determinado monto del sueldo de los servidores públicos, es que se considera que son de naturaleza pública y, por lo tanto, no procede la clasificación, en términos del artículo 143, </w:t>
      </w:r>
      <w:r w:rsidRPr="00743E58">
        <w:lastRenderedPageBreak/>
        <w:t>fracción I, de la Ley de Transparencia y Acceso a la Información Pública del Estado de México y Municipios.</w:t>
      </w:r>
    </w:p>
    <w:p w14:paraId="6FCF6812" w14:textId="77777777" w:rsidR="009569D0" w:rsidRPr="00743E58" w:rsidRDefault="009569D0" w:rsidP="00743E58"/>
    <w:p w14:paraId="02D8688A" w14:textId="77777777" w:rsidR="009569D0" w:rsidRPr="00743E58" w:rsidRDefault="00B76053" w:rsidP="00743E58">
      <w:pPr>
        <w:pStyle w:val="Ttulo3"/>
      </w:pPr>
      <w:bookmarkStart w:id="30" w:name="_heading=h.eammi8hg1b3y" w:colFirst="0" w:colLast="0"/>
      <w:bookmarkEnd w:id="30"/>
      <w:r w:rsidRPr="00743E58">
        <w:t>e) Conclusión</w:t>
      </w:r>
    </w:p>
    <w:p w14:paraId="432F1C1F" w14:textId="77777777" w:rsidR="009569D0" w:rsidRPr="00743E58" w:rsidRDefault="00B76053" w:rsidP="00743E58">
      <w:pPr>
        <w:widowControl w:val="0"/>
        <w:tabs>
          <w:tab w:val="left" w:pos="1701"/>
          <w:tab w:val="left" w:pos="1843"/>
        </w:tabs>
      </w:pPr>
      <w:r w:rsidRPr="00743E58">
        <w:t xml:space="preserve">En conclusión y con base en lo anteriormente expuesto, este Instituto estima que las razones o motivos de inconformidad hechos valer por </w:t>
      </w:r>
      <w:r w:rsidRPr="00743E58">
        <w:rPr>
          <w:b/>
        </w:rPr>
        <w:t xml:space="preserve">LA PARTE RECURRENTE </w:t>
      </w:r>
      <w:r w:rsidRPr="00743E58">
        <w:t xml:space="preserve">devienen </w:t>
      </w:r>
      <w:r w:rsidRPr="00743E58">
        <w:rPr>
          <w:b/>
        </w:rPr>
        <w:t>fundadas</w:t>
      </w:r>
      <w:r w:rsidRPr="00743E58">
        <w:t xml:space="preserve"> y suficientes para </w:t>
      </w:r>
      <w:r w:rsidRPr="00743E58">
        <w:rPr>
          <w:b/>
        </w:rPr>
        <w:t xml:space="preserve">MODIFICAR </w:t>
      </w:r>
      <w:r w:rsidRPr="00743E58">
        <w:t xml:space="preserve">la respuesta del </w:t>
      </w:r>
      <w:r w:rsidRPr="00743E58">
        <w:rPr>
          <w:b/>
        </w:rPr>
        <w:t>SUJETO OBLIGADO</w:t>
      </w:r>
      <w:r w:rsidRPr="00743E58">
        <w:t xml:space="preserve"> y ordenarle haga entrega de la información descrita en el presente Considerando.</w:t>
      </w:r>
    </w:p>
    <w:p w14:paraId="0156AEA1" w14:textId="77777777" w:rsidR="009569D0" w:rsidRPr="00743E58" w:rsidRDefault="009569D0" w:rsidP="00743E58">
      <w:pPr>
        <w:widowControl w:val="0"/>
        <w:tabs>
          <w:tab w:val="left" w:pos="1701"/>
          <w:tab w:val="left" w:pos="1843"/>
        </w:tabs>
      </w:pPr>
    </w:p>
    <w:p w14:paraId="7576070A" w14:textId="77777777" w:rsidR="009569D0" w:rsidRPr="00743E58" w:rsidRDefault="00B76053" w:rsidP="00743E58">
      <w:pPr>
        <w:ind w:right="-93"/>
      </w:pPr>
      <w:bookmarkStart w:id="31" w:name="_heading=h.3as4poj" w:colFirst="0" w:colLast="0"/>
      <w:bookmarkEnd w:id="31"/>
      <w:r w:rsidRPr="00743E58">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BF8FF72" w14:textId="77777777" w:rsidR="009569D0" w:rsidRPr="00743E58" w:rsidRDefault="009569D0" w:rsidP="00743E58"/>
    <w:p w14:paraId="2A6CA4B0" w14:textId="77777777" w:rsidR="009569D0" w:rsidRPr="00743E58" w:rsidRDefault="00B76053" w:rsidP="00743E58">
      <w:pPr>
        <w:pStyle w:val="Ttulo1"/>
      </w:pPr>
      <w:bookmarkStart w:id="32" w:name="_heading=h.3awx1bzc544i" w:colFirst="0" w:colLast="0"/>
      <w:bookmarkEnd w:id="32"/>
      <w:r w:rsidRPr="00743E58">
        <w:t>RESUELVE</w:t>
      </w:r>
    </w:p>
    <w:p w14:paraId="24F6B979" w14:textId="77777777" w:rsidR="009569D0" w:rsidRPr="00743E58" w:rsidRDefault="009569D0" w:rsidP="00743E58">
      <w:pPr>
        <w:ind w:right="113"/>
        <w:rPr>
          <w:b/>
        </w:rPr>
      </w:pPr>
    </w:p>
    <w:p w14:paraId="28362004" w14:textId="77777777" w:rsidR="009569D0" w:rsidRPr="00743E58" w:rsidRDefault="00B76053" w:rsidP="00743E58">
      <w:pPr>
        <w:widowControl w:val="0"/>
      </w:pPr>
      <w:r w:rsidRPr="00743E58">
        <w:rPr>
          <w:b/>
        </w:rPr>
        <w:t>PRIMERO.</w:t>
      </w:r>
      <w:r w:rsidRPr="00743E58">
        <w:t xml:space="preserve"> Se </w:t>
      </w:r>
      <w:r w:rsidRPr="00743E58">
        <w:rPr>
          <w:b/>
        </w:rPr>
        <w:t xml:space="preserve">MODIFICA </w:t>
      </w:r>
      <w:r w:rsidRPr="00743E58">
        <w:t xml:space="preserve">la respuesta entregada por el </w:t>
      </w:r>
      <w:r w:rsidRPr="00743E58">
        <w:rPr>
          <w:b/>
        </w:rPr>
        <w:t>SUJETO OBLIGADO</w:t>
      </w:r>
      <w:r w:rsidRPr="00743E58">
        <w:t xml:space="preserve"> en la solicitud de información </w:t>
      </w:r>
      <w:r w:rsidRPr="00743E58">
        <w:rPr>
          <w:b/>
        </w:rPr>
        <w:t>00179/TENANCIN/IP/2025</w:t>
      </w:r>
      <w:r w:rsidRPr="00743E58">
        <w:t xml:space="preserve">, por resultar </w:t>
      </w:r>
      <w:r w:rsidRPr="00743E58">
        <w:rPr>
          <w:b/>
        </w:rPr>
        <w:t>FUNDADAS</w:t>
      </w:r>
      <w:r w:rsidRPr="00743E58">
        <w:t xml:space="preserve"> las razones o motivos de inconformidad hechos valer por </w:t>
      </w:r>
      <w:r w:rsidRPr="00743E58">
        <w:rPr>
          <w:b/>
        </w:rPr>
        <w:t>LA PARTE RECURRENTE</w:t>
      </w:r>
      <w:r w:rsidRPr="00743E58">
        <w:t xml:space="preserve"> en el Recurso de Revisión </w:t>
      </w:r>
      <w:r w:rsidRPr="00743E58">
        <w:rPr>
          <w:b/>
        </w:rPr>
        <w:t xml:space="preserve">02077/INFOEM/IP/RR/2025, </w:t>
      </w:r>
      <w:r w:rsidRPr="00743E58">
        <w:t xml:space="preserve">en términos del considerando </w:t>
      </w:r>
      <w:r w:rsidRPr="00743E58">
        <w:rPr>
          <w:b/>
        </w:rPr>
        <w:t>SEGUNDO</w:t>
      </w:r>
      <w:r w:rsidRPr="00743E58">
        <w:t xml:space="preserve"> de la presente Resolución.</w:t>
      </w:r>
    </w:p>
    <w:p w14:paraId="3F76F0C0" w14:textId="77777777" w:rsidR="009569D0" w:rsidRPr="00743E58" w:rsidRDefault="009569D0" w:rsidP="00743E58">
      <w:pPr>
        <w:widowControl w:val="0"/>
      </w:pPr>
    </w:p>
    <w:p w14:paraId="50FED189" w14:textId="77777777" w:rsidR="009569D0" w:rsidRPr="00743E58" w:rsidRDefault="00B76053" w:rsidP="00743E58">
      <w:pPr>
        <w:ind w:right="-93"/>
      </w:pPr>
      <w:bookmarkStart w:id="33" w:name="_heading=h.abeuyk6llggi" w:colFirst="0" w:colLast="0"/>
      <w:bookmarkEnd w:id="33"/>
      <w:r w:rsidRPr="00743E58">
        <w:rPr>
          <w:b/>
        </w:rPr>
        <w:t>SEGUNDO.</w:t>
      </w:r>
      <w:r w:rsidRPr="00743E58">
        <w:t xml:space="preserve"> Se </w:t>
      </w:r>
      <w:r w:rsidRPr="00743E58">
        <w:rPr>
          <w:b/>
        </w:rPr>
        <w:t xml:space="preserve">ORDENA </w:t>
      </w:r>
      <w:r w:rsidRPr="00743E58">
        <w:t xml:space="preserve">al </w:t>
      </w:r>
      <w:r w:rsidRPr="00743E58">
        <w:rPr>
          <w:b/>
        </w:rPr>
        <w:t>SUJETO OBLIGADO</w:t>
      </w:r>
      <w:r w:rsidRPr="00743E58">
        <w:t xml:space="preserve">, a efecto de que, entregue a través del </w:t>
      </w:r>
      <w:r w:rsidRPr="00743E58">
        <w:rPr>
          <w:b/>
        </w:rPr>
        <w:t>SAIMEX</w:t>
      </w:r>
      <w:r w:rsidRPr="00743E58">
        <w:t xml:space="preserve">, de ser procedente en </w:t>
      </w:r>
      <w:r w:rsidRPr="00743E58">
        <w:rPr>
          <w:b/>
        </w:rPr>
        <w:t xml:space="preserve">versión pública, </w:t>
      </w:r>
      <w:r w:rsidRPr="00743E58">
        <w:t>el documento en donde conste</w:t>
      </w:r>
      <w:r w:rsidRPr="00743E58">
        <w:rPr>
          <w:b/>
        </w:rPr>
        <w:t xml:space="preserve"> </w:t>
      </w:r>
      <w:r w:rsidRPr="00743E58">
        <w:t>lo siguiente:</w:t>
      </w:r>
    </w:p>
    <w:p w14:paraId="5AB9622A" w14:textId="77777777" w:rsidR="009569D0" w:rsidRPr="00743E58" w:rsidRDefault="009569D0" w:rsidP="00743E58">
      <w:pPr>
        <w:pBdr>
          <w:top w:val="nil"/>
          <w:left w:val="nil"/>
          <w:bottom w:val="nil"/>
          <w:right w:val="nil"/>
          <w:between w:val="nil"/>
        </w:pBdr>
        <w:tabs>
          <w:tab w:val="left" w:pos="4962"/>
        </w:tabs>
        <w:spacing w:line="240" w:lineRule="auto"/>
        <w:ind w:left="567" w:right="680"/>
        <w:rPr>
          <w:i/>
        </w:rPr>
      </w:pPr>
    </w:p>
    <w:p w14:paraId="14F7C698" w14:textId="77777777" w:rsidR="009569D0" w:rsidRPr="00743E58" w:rsidRDefault="00B76053" w:rsidP="00743E58">
      <w:pPr>
        <w:numPr>
          <w:ilvl w:val="0"/>
          <w:numId w:val="3"/>
        </w:numPr>
        <w:pBdr>
          <w:top w:val="nil"/>
          <w:left w:val="nil"/>
          <w:bottom w:val="nil"/>
          <w:right w:val="nil"/>
          <w:between w:val="nil"/>
        </w:pBdr>
        <w:tabs>
          <w:tab w:val="left" w:pos="4962"/>
        </w:tabs>
        <w:spacing w:line="240" w:lineRule="auto"/>
        <w:ind w:left="1080" w:right="680"/>
        <w:rPr>
          <w:i/>
        </w:rPr>
      </w:pPr>
      <w:bookmarkStart w:id="34" w:name="_heading=h.p2r3ue6ieccx" w:colFirst="0" w:colLast="0"/>
      <w:bookmarkEnd w:id="34"/>
      <w:r w:rsidRPr="00743E58">
        <w:rPr>
          <w:i/>
        </w:rPr>
        <w:lastRenderedPageBreak/>
        <w:t>Fecha de ingreso, cargo, categoría</w:t>
      </w:r>
      <w:r w:rsidR="008003C5" w:rsidRPr="00743E58">
        <w:rPr>
          <w:i/>
        </w:rPr>
        <w:t xml:space="preserve"> (sindicalizado u otro)</w:t>
      </w:r>
      <w:r w:rsidRPr="00743E58">
        <w:rPr>
          <w:i/>
        </w:rPr>
        <w:t>, años de servicio</w:t>
      </w:r>
      <w:r w:rsidR="00F71649" w:rsidRPr="00743E58">
        <w:rPr>
          <w:i/>
        </w:rPr>
        <w:t xml:space="preserve"> como sindicalizada</w:t>
      </w:r>
      <w:r w:rsidRPr="00743E58">
        <w:rPr>
          <w:i/>
        </w:rPr>
        <w:t>, recibos de nómina de la primera quincena de enero del año 2024, segunda quincena de diciembre del año 2024 y primera quincena del mes de enero del año 2025 de la servidora pública referida en la solicitud de información.</w:t>
      </w:r>
    </w:p>
    <w:p w14:paraId="008A66D3" w14:textId="77777777" w:rsidR="009569D0" w:rsidRPr="00743E58" w:rsidRDefault="009569D0" w:rsidP="00743E58">
      <w:pPr>
        <w:pBdr>
          <w:top w:val="nil"/>
          <w:left w:val="nil"/>
          <w:bottom w:val="nil"/>
          <w:right w:val="nil"/>
          <w:between w:val="nil"/>
        </w:pBdr>
        <w:tabs>
          <w:tab w:val="left" w:pos="4962"/>
        </w:tabs>
        <w:spacing w:line="240" w:lineRule="auto"/>
        <w:ind w:left="360" w:right="680"/>
        <w:rPr>
          <w:i/>
        </w:rPr>
      </w:pPr>
    </w:p>
    <w:p w14:paraId="58976991" w14:textId="77777777" w:rsidR="009569D0" w:rsidRPr="00743E58" w:rsidRDefault="00B76053" w:rsidP="00743E58">
      <w:pPr>
        <w:numPr>
          <w:ilvl w:val="0"/>
          <w:numId w:val="3"/>
        </w:numPr>
        <w:pBdr>
          <w:top w:val="nil"/>
          <w:left w:val="nil"/>
          <w:bottom w:val="nil"/>
          <w:right w:val="nil"/>
          <w:between w:val="nil"/>
        </w:pBdr>
        <w:tabs>
          <w:tab w:val="left" w:pos="4962"/>
        </w:tabs>
        <w:spacing w:line="240" w:lineRule="auto"/>
        <w:ind w:left="1080" w:right="680"/>
        <w:rPr>
          <w:i/>
        </w:rPr>
      </w:pPr>
      <w:r w:rsidRPr="00743E58">
        <w:rPr>
          <w:i/>
        </w:rPr>
        <w:t>El nombre de los 37 servidores públicos adscritos a Tesorería referidos en respuesta.</w:t>
      </w:r>
    </w:p>
    <w:p w14:paraId="43B9D35E" w14:textId="77777777" w:rsidR="009569D0" w:rsidRPr="00743E58" w:rsidRDefault="009569D0" w:rsidP="00743E58">
      <w:pPr>
        <w:pBdr>
          <w:top w:val="nil"/>
          <w:left w:val="nil"/>
          <w:bottom w:val="nil"/>
          <w:right w:val="nil"/>
          <w:between w:val="nil"/>
        </w:pBdr>
        <w:tabs>
          <w:tab w:val="left" w:pos="4962"/>
        </w:tabs>
        <w:spacing w:line="240" w:lineRule="auto"/>
        <w:ind w:left="567" w:right="680"/>
        <w:rPr>
          <w:i/>
        </w:rPr>
      </w:pPr>
    </w:p>
    <w:p w14:paraId="4AEE8D79" w14:textId="77777777" w:rsidR="009569D0" w:rsidRPr="00743E58" w:rsidRDefault="00B76053" w:rsidP="00743E58">
      <w:r w:rsidRPr="00743E58">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CB62A02" w14:textId="77777777" w:rsidR="009569D0" w:rsidRPr="00743E58" w:rsidRDefault="009569D0" w:rsidP="00743E58"/>
    <w:p w14:paraId="33765A68" w14:textId="77777777" w:rsidR="009569D0" w:rsidRPr="00743E58" w:rsidRDefault="00B76053" w:rsidP="00743E58">
      <w:pPr>
        <w:rPr>
          <w:b/>
        </w:rPr>
      </w:pPr>
      <w:r w:rsidRPr="00743E58">
        <w:t xml:space="preserve">En el supuesto que la información que se ordena en el numeral </w:t>
      </w:r>
      <w:r w:rsidRPr="00743E58">
        <w:rPr>
          <w:b/>
        </w:rPr>
        <w:t xml:space="preserve">1 </w:t>
      </w:r>
      <w:r w:rsidRPr="00743E58">
        <w:t xml:space="preserve">referente a los recibos de nómina de los cuales se ordena su entrega, no obre en los archivos del </w:t>
      </w:r>
      <w:r w:rsidRPr="00743E58">
        <w:rPr>
          <w:b/>
        </w:rPr>
        <w:t>SUJETO OBLIGADO</w:t>
      </w:r>
      <w:r w:rsidRPr="00743E58">
        <w:t xml:space="preserve"> por no haberse generado bastará con que así lo haga del conocimiento de </w:t>
      </w:r>
      <w:r w:rsidRPr="00743E58">
        <w:rPr>
          <w:b/>
        </w:rPr>
        <w:t>LA PARTE RECURRENTE.</w:t>
      </w:r>
    </w:p>
    <w:p w14:paraId="5E770CCA" w14:textId="77777777" w:rsidR="009569D0" w:rsidRPr="00743E58" w:rsidRDefault="009569D0" w:rsidP="00743E58">
      <w:pPr>
        <w:pBdr>
          <w:top w:val="nil"/>
          <w:left w:val="nil"/>
          <w:bottom w:val="nil"/>
          <w:right w:val="nil"/>
          <w:between w:val="nil"/>
        </w:pBdr>
        <w:tabs>
          <w:tab w:val="left" w:pos="4962"/>
        </w:tabs>
        <w:spacing w:line="240" w:lineRule="auto"/>
        <w:ind w:left="567" w:right="680"/>
        <w:rPr>
          <w:i/>
        </w:rPr>
      </w:pPr>
    </w:p>
    <w:p w14:paraId="18328664" w14:textId="77777777" w:rsidR="009569D0" w:rsidRPr="00743E58" w:rsidRDefault="00B76053" w:rsidP="00743E58">
      <w:bookmarkStart w:id="35" w:name="_heading=h.49x2ik5" w:colFirst="0" w:colLast="0"/>
      <w:bookmarkEnd w:id="35"/>
      <w:r w:rsidRPr="00743E58">
        <w:rPr>
          <w:b/>
        </w:rPr>
        <w:t>TERCERO.</w:t>
      </w:r>
      <w:r w:rsidRPr="00743E58">
        <w:t xml:space="preserve"> </w:t>
      </w:r>
      <w:r w:rsidRPr="00743E58">
        <w:rPr>
          <w:b/>
        </w:rPr>
        <w:t xml:space="preserve">Notifíquese </w:t>
      </w:r>
      <w:r w:rsidRPr="00743E58">
        <w:t>vía Sistema de Acceso a la Información Mexiquense (</w:t>
      </w:r>
      <w:r w:rsidRPr="00743E58">
        <w:rPr>
          <w:b/>
        </w:rPr>
        <w:t>SAIMEX)</w:t>
      </w:r>
      <w:r w:rsidRPr="00743E58">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5A581B" w14:textId="77777777" w:rsidR="009569D0" w:rsidRPr="00743E58" w:rsidRDefault="009569D0" w:rsidP="00743E58"/>
    <w:p w14:paraId="55F30356" w14:textId="77777777" w:rsidR="009569D0" w:rsidRPr="00743E58" w:rsidRDefault="00B76053" w:rsidP="00743E58">
      <w:r w:rsidRPr="00743E58">
        <w:rPr>
          <w:b/>
        </w:rPr>
        <w:lastRenderedPageBreak/>
        <w:t>CUARTO.</w:t>
      </w:r>
      <w:r w:rsidRPr="00743E58">
        <w:t xml:space="preserve"> Notifíquese a </w:t>
      </w:r>
      <w:r w:rsidRPr="00743E58">
        <w:rPr>
          <w:b/>
        </w:rPr>
        <w:t>LA PARTE RECURRENTE</w:t>
      </w:r>
      <w:r w:rsidRPr="00743E58">
        <w:t xml:space="preserve"> la presente resolución vía Sistema de Acceso a la Información Mexiquense (SAIMEX).</w:t>
      </w:r>
    </w:p>
    <w:p w14:paraId="66D3D9EC" w14:textId="77777777" w:rsidR="009569D0" w:rsidRPr="00743E58" w:rsidRDefault="009569D0" w:rsidP="00743E58"/>
    <w:p w14:paraId="685C3136" w14:textId="77777777" w:rsidR="009569D0" w:rsidRPr="00743E58" w:rsidRDefault="00B76053" w:rsidP="00743E58">
      <w:r w:rsidRPr="00743E58">
        <w:rPr>
          <w:b/>
        </w:rPr>
        <w:t>QUINTO</w:t>
      </w:r>
      <w:r w:rsidRPr="00743E58">
        <w:t xml:space="preserve">. Hágase del conocimiento a </w:t>
      </w:r>
      <w:r w:rsidRPr="00743E58">
        <w:rPr>
          <w:b/>
        </w:rPr>
        <w:t>LA PARTE RECURRENTE</w:t>
      </w:r>
      <w:r w:rsidRPr="00743E5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3D8D5D6" w14:textId="77777777" w:rsidR="009569D0" w:rsidRPr="00743E58" w:rsidRDefault="009569D0" w:rsidP="00743E58"/>
    <w:p w14:paraId="209037D4" w14:textId="77777777" w:rsidR="009569D0" w:rsidRPr="00743E58" w:rsidRDefault="00B76053" w:rsidP="00743E58">
      <w:r w:rsidRPr="00743E58">
        <w:rPr>
          <w:b/>
        </w:rPr>
        <w:t>SEXTO.</w:t>
      </w:r>
      <w:r w:rsidRPr="00743E58">
        <w:t xml:space="preserve"> De conformidad con el artículo 198 de la Ley de Transparencia y Acceso a la Información Pública del Estado de México y Municipios, el </w:t>
      </w:r>
      <w:r w:rsidRPr="00743E58">
        <w:rPr>
          <w:b/>
        </w:rPr>
        <w:t>SUJETO OBLIGADO</w:t>
      </w:r>
      <w:r w:rsidRPr="00743E58">
        <w:t xml:space="preserve"> podrá solicitar una ampliación de plazo de manera fundada y motivada, para el cumplimiento de la presente resolución.</w:t>
      </w:r>
    </w:p>
    <w:p w14:paraId="57BA859F" w14:textId="77777777" w:rsidR="009569D0" w:rsidRPr="00743E58" w:rsidRDefault="009569D0" w:rsidP="00743E58"/>
    <w:p w14:paraId="29A51B26" w14:textId="77777777" w:rsidR="009569D0" w:rsidRPr="00743E58" w:rsidRDefault="00B76053" w:rsidP="00743E58">
      <w:pPr>
        <w:spacing w:before="240"/>
      </w:pPr>
      <w:r w:rsidRPr="00743E58">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D478EE" w:rsidRPr="00743E58">
        <w:t>SEGUNDA</w:t>
      </w:r>
      <w:r w:rsidRPr="00743E58">
        <w:t xml:space="preserve"> SESIÓN ORDINARIA, CELEBRADA EL </w:t>
      </w:r>
      <w:r w:rsidR="00D478EE" w:rsidRPr="00743E58">
        <w:t>DOS</w:t>
      </w:r>
      <w:r w:rsidRPr="00743E58">
        <w:t xml:space="preserve"> DE ABRIL DE DOS MIL </w:t>
      </w:r>
      <w:r w:rsidR="00743E58">
        <w:t>VEINTICINCO</w:t>
      </w:r>
      <w:r w:rsidRPr="00743E58">
        <w:t>, ANTE EL SECRETARIO TÉCNICO DEL PLENO, ALEXIS TAPIA RAMÍREZ.</w:t>
      </w:r>
    </w:p>
    <w:p w14:paraId="3E0F5A58" w14:textId="77777777" w:rsidR="009569D0" w:rsidRPr="00743E58" w:rsidRDefault="00B76053" w:rsidP="00743E58">
      <w:pPr>
        <w:ind w:right="-93"/>
      </w:pPr>
      <w:r w:rsidRPr="00743E58">
        <w:t>SCMM/AGZ/DEMF/PAG</w:t>
      </w:r>
    </w:p>
    <w:p w14:paraId="6E09BE21" w14:textId="77777777" w:rsidR="009569D0" w:rsidRPr="00743E58" w:rsidRDefault="009569D0" w:rsidP="00743E58">
      <w:pPr>
        <w:ind w:right="-93"/>
      </w:pPr>
    </w:p>
    <w:p w14:paraId="06CFE1DE" w14:textId="77777777" w:rsidR="009569D0" w:rsidRPr="00743E58" w:rsidRDefault="009569D0" w:rsidP="00743E58">
      <w:pPr>
        <w:ind w:right="-93"/>
      </w:pPr>
    </w:p>
    <w:p w14:paraId="7018A816" w14:textId="77777777" w:rsidR="009569D0" w:rsidRPr="00743E58" w:rsidRDefault="009569D0" w:rsidP="00743E58">
      <w:pPr>
        <w:ind w:right="-93"/>
      </w:pPr>
    </w:p>
    <w:p w14:paraId="7CF534CC" w14:textId="77777777" w:rsidR="009569D0" w:rsidRPr="00743E58" w:rsidRDefault="009569D0" w:rsidP="00743E58">
      <w:pPr>
        <w:ind w:right="-93"/>
      </w:pPr>
    </w:p>
    <w:p w14:paraId="65F76A05" w14:textId="77777777" w:rsidR="009569D0" w:rsidRPr="00743E58" w:rsidRDefault="009569D0" w:rsidP="00743E58">
      <w:pPr>
        <w:ind w:right="-93"/>
      </w:pPr>
    </w:p>
    <w:p w14:paraId="5FAB4204" w14:textId="77777777" w:rsidR="009569D0" w:rsidRPr="00743E58" w:rsidRDefault="009569D0" w:rsidP="00743E58">
      <w:pPr>
        <w:ind w:right="-93"/>
      </w:pPr>
    </w:p>
    <w:p w14:paraId="48108B7D" w14:textId="77777777" w:rsidR="009569D0" w:rsidRPr="00743E58" w:rsidRDefault="009569D0" w:rsidP="00743E58">
      <w:pPr>
        <w:ind w:right="-93"/>
      </w:pPr>
    </w:p>
    <w:p w14:paraId="3DC413CD" w14:textId="77777777" w:rsidR="009569D0" w:rsidRPr="00743E58" w:rsidRDefault="009569D0" w:rsidP="00743E58">
      <w:pPr>
        <w:ind w:right="-93"/>
      </w:pPr>
    </w:p>
    <w:p w14:paraId="26386DB3" w14:textId="77777777" w:rsidR="009569D0" w:rsidRPr="00743E58" w:rsidRDefault="009569D0" w:rsidP="00743E58">
      <w:pPr>
        <w:tabs>
          <w:tab w:val="center" w:pos="4568"/>
        </w:tabs>
        <w:ind w:right="-93"/>
      </w:pPr>
    </w:p>
    <w:p w14:paraId="5DD537C7" w14:textId="77777777" w:rsidR="009569D0" w:rsidRPr="00743E58" w:rsidRDefault="009569D0" w:rsidP="00743E58">
      <w:pPr>
        <w:tabs>
          <w:tab w:val="center" w:pos="4568"/>
        </w:tabs>
        <w:ind w:right="-93"/>
      </w:pPr>
    </w:p>
    <w:p w14:paraId="57C9BFA2" w14:textId="77777777" w:rsidR="009569D0" w:rsidRPr="00743E58" w:rsidRDefault="009569D0" w:rsidP="00743E58">
      <w:pPr>
        <w:tabs>
          <w:tab w:val="center" w:pos="4568"/>
        </w:tabs>
        <w:ind w:right="-93"/>
      </w:pPr>
    </w:p>
    <w:p w14:paraId="71C98ABB" w14:textId="77777777" w:rsidR="009569D0" w:rsidRPr="00743E58" w:rsidRDefault="009569D0" w:rsidP="00743E58">
      <w:pPr>
        <w:tabs>
          <w:tab w:val="center" w:pos="4568"/>
        </w:tabs>
        <w:ind w:right="-93"/>
      </w:pPr>
    </w:p>
    <w:p w14:paraId="5BDC22D1" w14:textId="77777777" w:rsidR="009569D0" w:rsidRPr="00743E58" w:rsidRDefault="009569D0" w:rsidP="00743E58">
      <w:pPr>
        <w:tabs>
          <w:tab w:val="center" w:pos="4568"/>
        </w:tabs>
        <w:ind w:right="-93"/>
      </w:pPr>
    </w:p>
    <w:p w14:paraId="27308192" w14:textId="77777777" w:rsidR="009569D0" w:rsidRPr="00743E58" w:rsidRDefault="009569D0" w:rsidP="00743E58">
      <w:pPr>
        <w:tabs>
          <w:tab w:val="center" w:pos="4568"/>
        </w:tabs>
        <w:ind w:right="-93"/>
      </w:pPr>
    </w:p>
    <w:p w14:paraId="0AE7891F" w14:textId="77777777" w:rsidR="009569D0" w:rsidRPr="00743E58" w:rsidRDefault="009569D0" w:rsidP="00743E58">
      <w:pPr>
        <w:tabs>
          <w:tab w:val="center" w:pos="4568"/>
        </w:tabs>
        <w:ind w:right="-93"/>
      </w:pPr>
    </w:p>
    <w:p w14:paraId="6F841DE2" w14:textId="77777777" w:rsidR="009569D0" w:rsidRPr="00743E58" w:rsidRDefault="009569D0" w:rsidP="00743E58">
      <w:pPr>
        <w:tabs>
          <w:tab w:val="center" w:pos="4568"/>
        </w:tabs>
        <w:ind w:right="-93"/>
      </w:pPr>
    </w:p>
    <w:p w14:paraId="3A7B6D13" w14:textId="77777777" w:rsidR="009569D0" w:rsidRPr="00743E58" w:rsidRDefault="009569D0" w:rsidP="00743E58">
      <w:pPr>
        <w:tabs>
          <w:tab w:val="center" w:pos="4568"/>
        </w:tabs>
        <w:ind w:right="-93"/>
      </w:pPr>
    </w:p>
    <w:p w14:paraId="2C14430D" w14:textId="77777777" w:rsidR="009569D0" w:rsidRPr="00743E58" w:rsidRDefault="009569D0" w:rsidP="00743E58">
      <w:pPr>
        <w:tabs>
          <w:tab w:val="center" w:pos="4568"/>
        </w:tabs>
        <w:ind w:right="-93"/>
      </w:pPr>
    </w:p>
    <w:p w14:paraId="205D18B3" w14:textId="77777777" w:rsidR="009569D0" w:rsidRPr="00743E58" w:rsidRDefault="009569D0" w:rsidP="00743E58">
      <w:pPr>
        <w:tabs>
          <w:tab w:val="center" w:pos="4568"/>
        </w:tabs>
        <w:ind w:right="-93"/>
      </w:pPr>
    </w:p>
    <w:p w14:paraId="2E894FBD" w14:textId="77777777" w:rsidR="009569D0" w:rsidRPr="00743E58" w:rsidRDefault="009569D0" w:rsidP="00743E58">
      <w:pPr>
        <w:tabs>
          <w:tab w:val="center" w:pos="4568"/>
        </w:tabs>
        <w:ind w:right="-93"/>
      </w:pPr>
    </w:p>
    <w:p w14:paraId="64C4CECA" w14:textId="77777777" w:rsidR="009569D0" w:rsidRPr="00743E58" w:rsidRDefault="009569D0" w:rsidP="00743E58">
      <w:pPr>
        <w:tabs>
          <w:tab w:val="center" w:pos="4568"/>
        </w:tabs>
        <w:ind w:right="-93"/>
      </w:pPr>
    </w:p>
    <w:p w14:paraId="6D3E0002" w14:textId="77777777" w:rsidR="009569D0" w:rsidRPr="00743E58" w:rsidRDefault="009569D0" w:rsidP="00743E58"/>
    <w:sectPr w:rsidR="009569D0" w:rsidRPr="00743E58">
      <w:footerReference w:type="default" r:id="rId20"/>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36A1B" w14:textId="77777777" w:rsidR="00E8703D" w:rsidRDefault="00E8703D">
      <w:pPr>
        <w:spacing w:line="240" w:lineRule="auto"/>
      </w:pPr>
      <w:r>
        <w:separator/>
      </w:r>
    </w:p>
  </w:endnote>
  <w:endnote w:type="continuationSeparator" w:id="0">
    <w:p w14:paraId="1CBB8CF1" w14:textId="77777777" w:rsidR="00E8703D" w:rsidRDefault="00E87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6E5D0" w14:textId="77777777" w:rsidR="009569D0" w:rsidRDefault="009569D0">
    <w:pPr>
      <w:tabs>
        <w:tab w:val="center" w:pos="4550"/>
        <w:tab w:val="left" w:pos="5818"/>
      </w:tabs>
      <w:ind w:right="260"/>
      <w:jc w:val="right"/>
      <w:rPr>
        <w:color w:val="071320"/>
        <w:sz w:val="24"/>
        <w:szCs w:val="24"/>
      </w:rPr>
    </w:pPr>
  </w:p>
  <w:p w14:paraId="0F2B5760" w14:textId="77777777" w:rsidR="009569D0" w:rsidRDefault="009569D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D6AA5" w14:textId="77777777" w:rsidR="009569D0" w:rsidRDefault="00B7605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3C09C2">
      <w:rPr>
        <w:noProof/>
        <w:color w:val="0A1D30"/>
        <w:sz w:val="24"/>
        <w:szCs w:val="24"/>
      </w:rPr>
      <w:t>54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3C09C2">
      <w:rPr>
        <w:noProof/>
        <w:color w:val="0A1D30"/>
        <w:sz w:val="24"/>
        <w:szCs w:val="24"/>
      </w:rPr>
      <w:t>58</w:t>
    </w:r>
    <w:r>
      <w:rPr>
        <w:color w:val="0A1D30"/>
        <w:sz w:val="24"/>
        <w:szCs w:val="24"/>
      </w:rPr>
      <w:fldChar w:fldCharType="end"/>
    </w:r>
  </w:p>
  <w:p w14:paraId="43F12524" w14:textId="77777777" w:rsidR="009569D0" w:rsidRDefault="009569D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4A768" w14:textId="77777777" w:rsidR="00E8703D" w:rsidRDefault="00E8703D">
      <w:pPr>
        <w:spacing w:line="240" w:lineRule="auto"/>
      </w:pPr>
      <w:r>
        <w:separator/>
      </w:r>
    </w:p>
  </w:footnote>
  <w:footnote w:type="continuationSeparator" w:id="0">
    <w:p w14:paraId="4EB620BF" w14:textId="77777777" w:rsidR="00E8703D" w:rsidRDefault="00E8703D">
      <w:pPr>
        <w:spacing w:line="240" w:lineRule="auto"/>
      </w:pPr>
      <w:r>
        <w:continuationSeparator/>
      </w:r>
    </w:p>
  </w:footnote>
  <w:footnote w:id="1">
    <w:p w14:paraId="70968870" w14:textId="77777777" w:rsidR="009569D0" w:rsidRDefault="00B76053">
      <w:pPr>
        <w:rPr>
          <w:sz w:val="16"/>
          <w:szCs w:val="16"/>
        </w:rPr>
      </w:pPr>
      <w:r>
        <w:rPr>
          <w:vertAlign w:val="superscript"/>
        </w:rPr>
        <w:footnoteRef/>
      </w:r>
      <w:r>
        <w:rPr>
          <w:sz w:val="16"/>
          <w:szCs w:val="16"/>
        </w:rPr>
        <w:t xml:space="preserve"> BURGOA ORIHUELA Ignacio. </w:t>
      </w:r>
      <w:r>
        <w:rPr>
          <w:i/>
          <w:sz w:val="16"/>
          <w:szCs w:val="16"/>
        </w:rPr>
        <w:t>Diccionario De Derecho Constitucional, Garantías y Amparo</w:t>
      </w:r>
      <w:r>
        <w:rPr>
          <w:sz w:val="16"/>
          <w:szCs w:val="16"/>
        </w:rPr>
        <w:t>. Ed. Porrúa, S.A., México. 1992. p. 115.</w:t>
      </w:r>
    </w:p>
  </w:footnote>
  <w:footnote w:id="2">
    <w:p w14:paraId="59FD280C" w14:textId="77777777" w:rsidR="009569D0" w:rsidRDefault="00B76053">
      <w:pPr>
        <w:pBdr>
          <w:top w:val="nil"/>
          <w:left w:val="nil"/>
          <w:bottom w:val="nil"/>
          <w:right w:val="nil"/>
          <w:between w:val="nil"/>
        </w:pBdr>
        <w:rPr>
          <w:i/>
          <w:color w:val="000000"/>
          <w:sz w:val="16"/>
          <w:szCs w:val="16"/>
        </w:rPr>
      </w:pPr>
      <w:r>
        <w:rPr>
          <w:vertAlign w:val="superscript"/>
        </w:rPr>
        <w:footnoteRef/>
      </w:r>
      <w:r>
        <w:rPr>
          <w:color w:val="000000"/>
          <w:sz w:val="16"/>
          <w:szCs w:val="16"/>
        </w:rPr>
        <w:t xml:space="preserve"> CIENFUEGOS SALGADO David. </w:t>
      </w:r>
      <w:r>
        <w:rPr>
          <w:i/>
          <w:color w:val="000000"/>
          <w:sz w:val="16"/>
          <w:szCs w:val="16"/>
        </w:rPr>
        <w:t xml:space="preserve">El Derecho de Petición en México. </w:t>
      </w:r>
      <w:r>
        <w:rPr>
          <w:color w:val="000000"/>
          <w:sz w:val="16"/>
          <w:szCs w:val="16"/>
        </w:rPr>
        <w:t>Ed. Instituto de Investigaciones Jurídica UNAM. México 2004. p. 31</w:t>
      </w:r>
    </w:p>
  </w:footnote>
  <w:footnote w:id="3">
    <w:p w14:paraId="5FF63BD5" w14:textId="77777777" w:rsidR="009569D0" w:rsidRDefault="00B76053">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ROBLES HERNÁNDEZ José Guadalupe. </w:t>
      </w:r>
      <w:r>
        <w:rPr>
          <w:i/>
          <w:color w:val="000000"/>
          <w:sz w:val="16"/>
          <w:szCs w:val="16"/>
        </w:rPr>
        <w:t xml:space="preserve">Derecho de la Información y Comunicación Pública. </w:t>
      </w:r>
      <w:r>
        <w:rPr>
          <w:color w:val="000000"/>
          <w:sz w:val="16"/>
          <w:szCs w:val="16"/>
        </w:rPr>
        <w:t>Ed. Universidad de Occidente. México. 2004, p. 72.</w:t>
      </w:r>
    </w:p>
  </w:footnote>
  <w:footnote w:id="4">
    <w:p w14:paraId="046254AA" w14:textId="77777777" w:rsidR="009569D0" w:rsidRDefault="00B76053">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000000"/>
          <w:sz w:val="16"/>
          <w:szCs w:val="16"/>
        </w:rPr>
        <w:t>VILLANUEVA VILLANUEVA Ernesto. Derecho de la Información, Ed. Porrúa. S.A., México. 2006. p. 270.</w:t>
      </w:r>
    </w:p>
  </w:footnote>
  <w:footnote w:id="5">
    <w:p w14:paraId="4B56C204" w14:textId="77777777" w:rsidR="00BD37E1" w:rsidRDefault="00BD37E1" w:rsidP="00BD37E1">
      <w:pPr>
        <w:pBdr>
          <w:top w:val="nil"/>
          <w:left w:val="nil"/>
          <w:bottom w:val="nil"/>
          <w:right w:val="nil"/>
          <w:between w:val="nil"/>
        </w:pBdr>
        <w:rPr>
          <w:color w:val="000000"/>
          <w:sz w:val="16"/>
          <w:szCs w:val="16"/>
        </w:rPr>
      </w:pPr>
      <w:r>
        <w:rPr>
          <w:vertAlign w:val="superscript"/>
        </w:rPr>
        <w:footnoteRef/>
      </w:r>
      <w:hyperlink r:id="rId1">
        <w:r>
          <w:rPr>
            <w:color w:val="0563C1"/>
            <w:sz w:val="16"/>
            <w:szCs w:val="16"/>
            <w:u w:val="single"/>
          </w:rPr>
          <w:t>https://www.osfem.gob.mx/assets/conocenos/marco_normativo/acuerdos/2024/acuerdo_04_anexodos.pdf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F7974" w14:textId="77777777" w:rsidR="009569D0" w:rsidRDefault="009569D0">
    <w:pPr>
      <w:widowControl w:val="0"/>
      <w:pBdr>
        <w:top w:val="nil"/>
        <w:left w:val="nil"/>
        <w:bottom w:val="nil"/>
        <w:right w:val="nil"/>
        <w:between w:val="nil"/>
      </w:pBdr>
      <w:spacing w:line="276" w:lineRule="auto"/>
      <w:jc w:val="left"/>
      <w:rPr>
        <w:color w:val="000000"/>
        <w:sz w:val="16"/>
        <w:szCs w:val="16"/>
      </w:rPr>
    </w:pPr>
  </w:p>
  <w:tbl>
    <w:tblPr>
      <w:tblStyle w:val="a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569D0" w14:paraId="79359DD6" w14:textId="77777777">
      <w:trPr>
        <w:trHeight w:val="144"/>
        <w:jc w:val="right"/>
      </w:trPr>
      <w:tc>
        <w:tcPr>
          <w:tcW w:w="2727" w:type="dxa"/>
        </w:tcPr>
        <w:p w14:paraId="63D314F4" w14:textId="77777777" w:rsidR="009569D0" w:rsidRDefault="00B76053">
          <w:pPr>
            <w:tabs>
              <w:tab w:val="right" w:pos="8838"/>
            </w:tabs>
            <w:ind w:left="-74" w:right="-105"/>
            <w:rPr>
              <w:b/>
            </w:rPr>
          </w:pPr>
          <w:r>
            <w:rPr>
              <w:b/>
            </w:rPr>
            <w:t>Recurso de Revisión:</w:t>
          </w:r>
        </w:p>
      </w:tc>
      <w:tc>
        <w:tcPr>
          <w:tcW w:w="3402" w:type="dxa"/>
        </w:tcPr>
        <w:p w14:paraId="33D7CF39" w14:textId="77777777" w:rsidR="009569D0" w:rsidRDefault="00B76053">
          <w:pPr>
            <w:tabs>
              <w:tab w:val="right" w:pos="8838"/>
            </w:tabs>
            <w:ind w:left="-74" w:right="-105"/>
          </w:pPr>
          <w:r>
            <w:t>02077/INFOEM/IP/RR/2025</w:t>
          </w:r>
        </w:p>
      </w:tc>
    </w:tr>
    <w:tr w:rsidR="009569D0" w14:paraId="2012A21C" w14:textId="77777777">
      <w:trPr>
        <w:trHeight w:val="283"/>
        <w:jc w:val="right"/>
      </w:trPr>
      <w:tc>
        <w:tcPr>
          <w:tcW w:w="2727" w:type="dxa"/>
        </w:tcPr>
        <w:p w14:paraId="18F51CAC" w14:textId="77777777" w:rsidR="009569D0" w:rsidRDefault="00B76053">
          <w:pPr>
            <w:tabs>
              <w:tab w:val="right" w:pos="8838"/>
            </w:tabs>
            <w:ind w:left="-74" w:right="-105"/>
            <w:rPr>
              <w:b/>
            </w:rPr>
          </w:pPr>
          <w:r>
            <w:rPr>
              <w:b/>
            </w:rPr>
            <w:t>Sujeto Obligado:</w:t>
          </w:r>
        </w:p>
      </w:tc>
      <w:tc>
        <w:tcPr>
          <w:tcW w:w="3402" w:type="dxa"/>
        </w:tcPr>
        <w:p w14:paraId="0E59A4C4" w14:textId="77777777" w:rsidR="009569D0" w:rsidRDefault="00B76053">
          <w:pPr>
            <w:tabs>
              <w:tab w:val="left" w:pos="2834"/>
              <w:tab w:val="right" w:pos="8838"/>
            </w:tabs>
            <w:ind w:left="-108" w:right="-105"/>
          </w:pPr>
          <w:r>
            <w:t>Ayuntamiento de Tenancingo</w:t>
          </w:r>
        </w:p>
      </w:tc>
    </w:tr>
    <w:tr w:rsidR="009569D0" w14:paraId="48FD50A1" w14:textId="77777777">
      <w:trPr>
        <w:trHeight w:val="283"/>
        <w:jc w:val="right"/>
      </w:trPr>
      <w:tc>
        <w:tcPr>
          <w:tcW w:w="2727" w:type="dxa"/>
        </w:tcPr>
        <w:p w14:paraId="05E1DAC7" w14:textId="77777777" w:rsidR="009569D0" w:rsidRDefault="00B76053">
          <w:pPr>
            <w:tabs>
              <w:tab w:val="right" w:pos="8838"/>
            </w:tabs>
            <w:ind w:left="-74" w:right="-105"/>
            <w:rPr>
              <w:b/>
            </w:rPr>
          </w:pPr>
          <w:r>
            <w:rPr>
              <w:b/>
            </w:rPr>
            <w:t>Comisionada Ponente:</w:t>
          </w:r>
        </w:p>
      </w:tc>
      <w:tc>
        <w:tcPr>
          <w:tcW w:w="3402" w:type="dxa"/>
        </w:tcPr>
        <w:p w14:paraId="4492A629" w14:textId="77777777" w:rsidR="009569D0" w:rsidRDefault="00B76053">
          <w:pPr>
            <w:tabs>
              <w:tab w:val="right" w:pos="8838"/>
            </w:tabs>
            <w:ind w:left="-108" w:right="-105"/>
          </w:pPr>
          <w:r>
            <w:t>Sharon Cristina Morales Martínez</w:t>
          </w:r>
        </w:p>
      </w:tc>
    </w:tr>
  </w:tbl>
  <w:p w14:paraId="390B133F" w14:textId="77777777" w:rsidR="009569D0" w:rsidRDefault="00B76053">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7ADB2212" wp14:editId="43B705A0">
          <wp:simplePos x="0" y="0"/>
          <wp:positionH relativeFrom="margin">
            <wp:posOffset>-995039</wp:posOffset>
          </wp:positionH>
          <wp:positionV relativeFrom="margin">
            <wp:posOffset>-1782440</wp:posOffset>
          </wp:positionV>
          <wp:extent cx="8426450" cy="10972800"/>
          <wp:effectExtent l="0" t="0" r="0" b="0"/>
          <wp:wrapNone/>
          <wp:docPr id="19767020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B4EA3" w14:textId="77777777" w:rsidR="009569D0" w:rsidRDefault="009569D0">
    <w:pPr>
      <w:widowControl w:val="0"/>
      <w:pBdr>
        <w:top w:val="nil"/>
        <w:left w:val="nil"/>
        <w:bottom w:val="nil"/>
        <w:right w:val="nil"/>
        <w:between w:val="nil"/>
      </w:pBdr>
      <w:spacing w:line="276" w:lineRule="auto"/>
      <w:jc w:val="left"/>
      <w:rPr>
        <w:color w:val="000000"/>
        <w:sz w:val="14"/>
        <w:szCs w:val="14"/>
      </w:rPr>
    </w:pPr>
  </w:p>
  <w:tbl>
    <w:tblPr>
      <w:tblStyle w:val="ab"/>
      <w:tblW w:w="6660" w:type="dxa"/>
      <w:tblInd w:w="2552" w:type="dxa"/>
      <w:tblLayout w:type="fixed"/>
      <w:tblLook w:val="0400" w:firstRow="0" w:lastRow="0" w:firstColumn="0" w:lastColumn="0" w:noHBand="0" w:noVBand="1"/>
    </w:tblPr>
    <w:tblGrid>
      <w:gridCol w:w="283"/>
      <w:gridCol w:w="6377"/>
    </w:tblGrid>
    <w:tr w:rsidR="009569D0" w14:paraId="6415935E" w14:textId="77777777">
      <w:trPr>
        <w:trHeight w:val="1435"/>
      </w:trPr>
      <w:tc>
        <w:tcPr>
          <w:tcW w:w="283" w:type="dxa"/>
          <w:shd w:val="clear" w:color="auto" w:fill="auto"/>
        </w:tcPr>
        <w:p w14:paraId="3A949CD4" w14:textId="77777777" w:rsidR="009569D0" w:rsidRDefault="009569D0">
          <w:pPr>
            <w:tabs>
              <w:tab w:val="right" w:pos="4273"/>
            </w:tabs>
            <w:rPr>
              <w:rFonts w:ascii="Garamond" w:eastAsia="Garamond" w:hAnsi="Garamond" w:cs="Garamond"/>
            </w:rPr>
          </w:pPr>
        </w:p>
      </w:tc>
      <w:tc>
        <w:tcPr>
          <w:tcW w:w="6377" w:type="dxa"/>
          <w:shd w:val="clear" w:color="auto" w:fill="auto"/>
        </w:tcPr>
        <w:p w14:paraId="72515425" w14:textId="77777777" w:rsidR="009569D0" w:rsidRDefault="009569D0">
          <w:pPr>
            <w:widowControl w:val="0"/>
            <w:pBdr>
              <w:top w:val="nil"/>
              <w:left w:val="nil"/>
              <w:bottom w:val="nil"/>
              <w:right w:val="nil"/>
              <w:between w:val="nil"/>
            </w:pBdr>
            <w:spacing w:line="276" w:lineRule="auto"/>
            <w:jc w:val="left"/>
            <w:rPr>
              <w:rFonts w:ascii="Garamond" w:eastAsia="Garamond" w:hAnsi="Garamond" w:cs="Garamond"/>
            </w:rPr>
          </w:pPr>
        </w:p>
        <w:tbl>
          <w:tblPr>
            <w:tblStyle w:val="ac"/>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9569D0" w14:paraId="0D25AE08" w14:textId="77777777">
            <w:trPr>
              <w:trHeight w:val="144"/>
            </w:trPr>
            <w:tc>
              <w:tcPr>
                <w:tcW w:w="2581" w:type="dxa"/>
              </w:tcPr>
              <w:p w14:paraId="3515F532" w14:textId="77777777" w:rsidR="009569D0" w:rsidRDefault="00B76053">
                <w:pPr>
                  <w:tabs>
                    <w:tab w:val="right" w:pos="8838"/>
                  </w:tabs>
                  <w:ind w:left="-74" w:right="-108"/>
                  <w:rPr>
                    <w:b/>
                  </w:rPr>
                </w:pPr>
                <w:bookmarkStart w:id="0" w:name="_heading=h.2p2csry" w:colFirst="0" w:colLast="0"/>
                <w:bookmarkEnd w:id="0"/>
                <w:r>
                  <w:rPr>
                    <w:b/>
                  </w:rPr>
                  <w:t>Recurso de Revisión:</w:t>
                </w:r>
              </w:p>
            </w:tc>
            <w:tc>
              <w:tcPr>
                <w:tcW w:w="3548" w:type="dxa"/>
              </w:tcPr>
              <w:p w14:paraId="266C4C6B" w14:textId="77777777" w:rsidR="009569D0" w:rsidRDefault="00B76053">
                <w:pPr>
                  <w:tabs>
                    <w:tab w:val="left" w:pos="3122"/>
                    <w:tab w:val="right" w:pos="8838"/>
                  </w:tabs>
                  <w:ind w:left="-105" w:right="-108"/>
                </w:pPr>
                <w:r>
                  <w:t>02077/INFOEM/IP/RR/2025</w:t>
                </w:r>
              </w:p>
            </w:tc>
            <w:tc>
              <w:tcPr>
                <w:tcW w:w="3402" w:type="dxa"/>
              </w:tcPr>
              <w:p w14:paraId="23BC62C4" w14:textId="77777777" w:rsidR="009569D0" w:rsidRDefault="009569D0">
                <w:pPr>
                  <w:tabs>
                    <w:tab w:val="right" w:pos="8838"/>
                  </w:tabs>
                  <w:ind w:left="-74" w:right="-108"/>
                </w:pPr>
              </w:p>
            </w:tc>
          </w:tr>
          <w:tr w:rsidR="009569D0" w14:paraId="38A24F57" w14:textId="77777777">
            <w:trPr>
              <w:trHeight w:val="144"/>
            </w:trPr>
            <w:tc>
              <w:tcPr>
                <w:tcW w:w="2581" w:type="dxa"/>
              </w:tcPr>
              <w:p w14:paraId="79921E8D" w14:textId="77777777" w:rsidR="009569D0" w:rsidRDefault="00B76053">
                <w:pPr>
                  <w:tabs>
                    <w:tab w:val="right" w:pos="8838"/>
                  </w:tabs>
                  <w:ind w:left="-74" w:right="-108"/>
                  <w:rPr>
                    <w:b/>
                  </w:rPr>
                </w:pPr>
                <w:bookmarkStart w:id="1" w:name="_heading=h.147n2zr" w:colFirst="0" w:colLast="0"/>
                <w:bookmarkEnd w:id="1"/>
                <w:r>
                  <w:rPr>
                    <w:b/>
                  </w:rPr>
                  <w:t>Recurrente:</w:t>
                </w:r>
              </w:p>
            </w:tc>
            <w:tc>
              <w:tcPr>
                <w:tcW w:w="3548" w:type="dxa"/>
              </w:tcPr>
              <w:p w14:paraId="75AB0985" w14:textId="5E885CBC" w:rsidR="009569D0" w:rsidRDefault="003C09C2">
                <w:pPr>
                  <w:tabs>
                    <w:tab w:val="left" w:pos="3122"/>
                    <w:tab w:val="right" w:pos="8838"/>
                  </w:tabs>
                  <w:ind w:left="-105" w:right="-108"/>
                </w:pPr>
                <w:r>
                  <w:t>XXXX XXXXX XXXX</w:t>
                </w:r>
              </w:p>
            </w:tc>
            <w:tc>
              <w:tcPr>
                <w:tcW w:w="3402" w:type="dxa"/>
              </w:tcPr>
              <w:p w14:paraId="3D992EB9" w14:textId="77777777" w:rsidR="009569D0" w:rsidRDefault="009569D0">
                <w:pPr>
                  <w:tabs>
                    <w:tab w:val="left" w:pos="3122"/>
                    <w:tab w:val="right" w:pos="8838"/>
                  </w:tabs>
                  <w:ind w:left="-105" w:right="-108"/>
                </w:pPr>
              </w:p>
            </w:tc>
          </w:tr>
          <w:tr w:rsidR="009569D0" w14:paraId="1C7C707E" w14:textId="77777777">
            <w:trPr>
              <w:trHeight w:val="283"/>
            </w:trPr>
            <w:tc>
              <w:tcPr>
                <w:tcW w:w="2581" w:type="dxa"/>
              </w:tcPr>
              <w:p w14:paraId="45CA982B" w14:textId="77777777" w:rsidR="009569D0" w:rsidRDefault="00B76053">
                <w:pPr>
                  <w:tabs>
                    <w:tab w:val="right" w:pos="8838"/>
                  </w:tabs>
                  <w:ind w:left="-74" w:right="-108"/>
                  <w:rPr>
                    <w:b/>
                  </w:rPr>
                </w:pPr>
                <w:r>
                  <w:rPr>
                    <w:b/>
                  </w:rPr>
                  <w:t>Sujeto Obligado:</w:t>
                </w:r>
              </w:p>
            </w:tc>
            <w:tc>
              <w:tcPr>
                <w:tcW w:w="3548" w:type="dxa"/>
              </w:tcPr>
              <w:p w14:paraId="083C821D" w14:textId="77777777" w:rsidR="009569D0" w:rsidRDefault="00B76053">
                <w:pPr>
                  <w:tabs>
                    <w:tab w:val="left" w:pos="2834"/>
                    <w:tab w:val="right" w:pos="8838"/>
                  </w:tabs>
                  <w:ind w:left="-108" w:right="-108"/>
                </w:pPr>
                <w:r>
                  <w:t>Ayuntamiento de Tenancingo</w:t>
                </w:r>
              </w:p>
            </w:tc>
            <w:tc>
              <w:tcPr>
                <w:tcW w:w="3402" w:type="dxa"/>
              </w:tcPr>
              <w:p w14:paraId="145859DF" w14:textId="77777777" w:rsidR="009569D0" w:rsidRDefault="009569D0">
                <w:pPr>
                  <w:tabs>
                    <w:tab w:val="left" w:pos="2834"/>
                    <w:tab w:val="right" w:pos="8838"/>
                  </w:tabs>
                  <w:ind w:left="-108" w:right="-108"/>
                </w:pPr>
              </w:p>
            </w:tc>
          </w:tr>
          <w:tr w:rsidR="009569D0" w14:paraId="51671BEF" w14:textId="77777777">
            <w:trPr>
              <w:trHeight w:val="283"/>
            </w:trPr>
            <w:tc>
              <w:tcPr>
                <w:tcW w:w="2581" w:type="dxa"/>
              </w:tcPr>
              <w:p w14:paraId="6CF45941" w14:textId="77777777" w:rsidR="009569D0" w:rsidRDefault="00B76053">
                <w:pPr>
                  <w:tabs>
                    <w:tab w:val="right" w:pos="8838"/>
                  </w:tabs>
                  <w:ind w:left="-74" w:right="-108"/>
                  <w:rPr>
                    <w:b/>
                  </w:rPr>
                </w:pPr>
                <w:r>
                  <w:rPr>
                    <w:b/>
                  </w:rPr>
                  <w:t>Comisionada Ponente:</w:t>
                </w:r>
              </w:p>
            </w:tc>
            <w:tc>
              <w:tcPr>
                <w:tcW w:w="3548" w:type="dxa"/>
              </w:tcPr>
              <w:p w14:paraId="7510F764" w14:textId="77777777" w:rsidR="009569D0" w:rsidRDefault="00B76053">
                <w:pPr>
                  <w:tabs>
                    <w:tab w:val="right" w:pos="8838"/>
                  </w:tabs>
                  <w:ind w:left="-108" w:right="-108"/>
                </w:pPr>
                <w:r>
                  <w:t>Sharon Cristina Morales Martínez</w:t>
                </w:r>
              </w:p>
            </w:tc>
            <w:tc>
              <w:tcPr>
                <w:tcW w:w="3402" w:type="dxa"/>
              </w:tcPr>
              <w:p w14:paraId="26EF9D02" w14:textId="77777777" w:rsidR="009569D0" w:rsidRDefault="009569D0">
                <w:pPr>
                  <w:tabs>
                    <w:tab w:val="right" w:pos="8838"/>
                  </w:tabs>
                  <w:ind w:left="-108" w:right="-108"/>
                </w:pPr>
              </w:p>
            </w:tc>
          </w:tr>
        </w:tbl>
        <w:p w14:paraId="7BA7813A" w14:textId="77777777" w:rsidR="009569D0" w:rsidRDefault="009569D0">
          <w:pPr>
            <w:tabs>
              <w:tab w:val="right" w:pos="8838"/>
            </w:tabs>
            <w:ind w:left="-28"/>
            <w:rPr>
              <w:rFonts w:ascii="Arial" w:eastAsia="Arial" w:hAnsi="Arial" w:cs="Arial"/>
              <w:b/>
            </w:rPr>
          </w:pPr>
        </w:p>
      </w:tc>
    </w:tr>
  </w:tbl>
  <w:p w14:paraId="2AC35C62" w14:textId="77777777" w:rsidR="009569D0" w:rsidRDefault="00E8703D">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5F5F9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C1D4D"/>
    <w:multiLevelType w:val="multilevel"/>
    <w:tmpl w:val="AECEB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3B654F"/>
    <w:multiLevelType w:val="multilevel"/>
    <w:tmpl w:val="A4E20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3A5B98"/>
    <w:multiLevelType w:val="multilevel"/>
    <w:tmpl w:val="37EEF9E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D0"/>
    <w:rsid w:val="00055174"/>
    <w:rsid w:val="001D3B68"/>
    <w:rsid w:val="00277EED"/>
    <w:rsid w:val="0037208E"/>
    <w:rsid w:val="003C09C2"/>
    <w:rsid w:val="00430181"/>
    <w:rsid w:val="00540AEC"/>
    <w:rsid w:val="00601A6E"/>
    <w:rsid w:val="007029FC"/>
    <w:rsid w:val="00743E58"/>
    <w:rsid w:val="007D585B"/>
    <w:rsid w:val="008003C5"/>
    <w:rsid w:val="0082748C"/>
    <w:rsid w:val="009569D0"/>
    <w:rsid w:val="00A35D8B"/>
    <w:rsid w:val="00B76053"/>
    <w:rsid w:val="00BB2AC9"/>
    <w:rsid w:val="00BD37E1"/>
    <w:rsid w:val="00D478EE"/>
    <w:rsid w:val="00E8703D"/>
    <w:rsid w:val="00F716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758A1B"/>
  <w15:docId w15:val="{4A54C5E3-4F81-497E-9253-0EC1C3FF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rPr>
      <w:color w:val="595959"/>
      <w:sz w:val="28"/>
      <w:szCs w:val="28"/>
    </w:rPr>
  </w:style>
  <w:style w:type="table" w:customStyle="1" w:styleId="a">
    <w:basedOn w:val="TableNormal2"/>
    <w:pPr>
      <w:spacing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pPr>
      <w:spacing w:line="240" w:lineRule="auto"/>
    </w:pPr>
    <w:tblPr>
      <w:tblStyleRowBandSize w:val="1"/>
      <w:tblStyleColBandSize w:val="1"/>
      <w:tblCellMar>
        <w:left w:w="108"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31FF4"/>
    <w:pPr>
      <w:ind w:left="720"/>
      <w:contextualSpacing/>
    </w:pPr>
  </w:style>
  <w:style w:type="paragraph" w:styleId="Encabezado">
    <w:name w:val="header"/>
    <w:basedOn w:val="Normal"/>
    <w:link w:val="EncabezadoCar"/>
    <w:uiPriority w:val="99"/>
    <w:unhideWhenUsed/>
    <w:rsid w:val="00EC50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C5064"/>
  </w:style>
  <w:style w:type="paragraph" w:styleId="Piedepgina">
    <w:name w:val="footer"/>
    <w:basedOn w:val="Normal"/>
    <w:link w:val="PiedepginaCar"/>
    <w:uiPriority w:val="99"/>
    <w:unhideWhenUsed/>
    <w:rsid w:val="00EC50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C5064"/>
  </w:style>
  <w:style w:type="character" w:customStyle="1" w:styleId="PuestoCar">
    <w:name w:val="Puesto Car"/>
    <w:aliases w:val="Cita textual Car"/>
    <w:basedOn w:val="Fuentedeprrafopredeter"/>
    <w:link w:val="Puesto"/>
    <w:uiPriority w:val="10"/>
    <w:rsid w:val="008C2020"/>
    <w:rPr>
      <w:i/>
      <w:color w:val="000000"/>
    </w:rPr>
  </w:style>
  <w:style w:type="paragraph" w:styleId="Sinespaciado">
    <w:name w:val="No Spacing"/>
    <w:aliases w:val="Francesa,INAI"/>
    <w:link w:val="SinespaciadoCar"/>
    <w:uiPriority w:val="1"/>
    <w:qFormat/>
    <w:rsid w:val="001B4DC0"/>
    <w:pPr>
      <w:spacing w:line="240" w:lineRule="auto"/>
      <w:jc w:val="left"/>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B4DC0"/>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B4DC0"/>
  </w:style>
  <w:style w:type="character" w:styleId="Hipervnculo">
    <w:name w:val="Hyperlink"/>
    <w:aliases w:val="Hipervínculo1,Hipervínculo11,Hipervínculo12,Hipervínculo13,Hipervínculo14,Hipervínculo15"/>
    <w:basedOn w:val="Fuentedeprrafopredeter"/>
    <w:uiPriority w:val="99"/>
    <w:unhideWhenUsed/>
    <w:qFormat/>
    <w:rsid w:val="008C4EC4"/>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4EC4"/>
    <w:pPr>
      <w:spacing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4EC4"/>
    <w:rPr>
      <w:rFonts w:eastAsia="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C4EC4"/>
    <w:rPr>
      <w:vertAlign w:val="superscript"/>
    </w:rPr>
  </w:style>
  <w:style w:type="table" w:styleId="Tablaconcuadrcula">
    <w:name w:val="Table Grid"/>
    <w:basedOn w:val="Tablanormal"/>
    <w:uiPriority w:val="39"/>
    <w:rsid w:val="003A2A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805C5"/>
    <w:rPr>
      <w:color w:val="800080" w:themeColor="followedHyperlink"/>
      <w:u w:val="single"/>
    </w:rPr>
  </w:style>
  <w:style w:type="paragraph" w:styleId="TtulodeTDC">
    <w:name w:val="TOC Heading"/>
    <w:basedOn w:val="Ttulo1"/>
    <w:next w:val="Normal"/>
    <w:uiPriority w:val="39"/>
    <w:unhideWhenUsed/>
    <w:qFormat/>
    <w:rsid w:val="00C57FA0"/>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57FA0"/>
    <w:pPr>
      <w:spacing w:after="100"/>
    </w:pPr>
  </w:style>
  <w:style w:type="paragraph" w:styleId="TDC2">
    <w:name w:val="toc 2"/>
    <w:basedOn w:val="Normal"/>
    <w:next w:val="Normal"/>
    <w:autoRedefine/>
    <w:uiPriority w:val="39"/>
    <w:unhideWhenUsed/>
    <w:rsid w:val="00C57FA0"/>
    <w:pPr>
      <w:spacing w:after="100"/>
      <w:ind w:left="220"/>
    </w:pPr>
  </w:style>
  <w:style w:type="paragraph" w:styleId="TDC3">
    <w:name w:val="toc 3"/>
    <w:basedOn w:val="Normal"/>
    <w:next w:val="Normal"/>
    <w:autoRedefine/>
    <w:uiPriority w:val="39"/>
    <w:unhideWhenUsed/>
    <w:rsid w:val="00C57FA0"/>
    <w:pPr>
      <w:spacing w:after="100"/>
      <w:ind w:left="440"/>
    </w:p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pPr>
      <w:spacing w:line="240" w:lineRule="auto"/>
    </w:pPr>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line="240" w:lineRule="auto"/>
    </w:pPr>
    <w:tblPr>
      <w:tblStyleRowBandSize w:val="1"/>
      <w:tblStyleColBandSize w:val="1"/>
      <w:tblCellMar>
        <w:left w:w="108" w:type="dxa"/>
        <w:right w:w="108" w:type="dxa"/>
      </w:tblCellMar>
    </w:tblPr>
  </w:style>
  <w:style w:type="paragraph" w:customStyle="1" w:styleId="font5">
    <w:name w:val="font5"/>
    <w:basedOn w:val="Normal"/>
    <w:rsid w:val="006B34E5"/>
    <w:pPr>
      <w:spacing w:before="100" w:beforeAutospacing="1" w:after="100" w:afterAutospacing="1" w:line="240" w:lineRule="auto"/>
      <w:jc w:val="left"/>
    </w:pPr>
    <w:rPr>
      <w:rFonts w:eastAsia="Times New Roman" w:cs="Times New Roman"/>
      <w:b/>
      <w:bCs/>
      <w:i/>
      <w:iCs/>
      <w:color w:val="000000"/>
      <w:sz w:val="20"/>
      <w:szCs w:val="20"/>
    </w:rPr>
  </w:style>
  <w:style w:type="paragraph" w:customStyle="1" w:styleId="font6">
    <w:name w:val="font6"/>
    <w:basedOn w:val="Normal"/>
    <w:rsid w:val="006B34E5"/>
    <w:pPr>
      <w:spacing w:before="100" w:beforeAutospacing="1" w:after="100" w:afterAutospacing="1" w:line="240" w:lineRule="auto"/>
      <w:jc w:val="left"/>
    </w:pPr>
    <w:rPr>
      <w:rFonts w:eastAsia="Times New Roman" w:cs="Times New Roman"/>
      <w:i/>
      <w:iCs/>
      <w:color w:val="000000"/>
      <w:sz w:val="20"/>
      <w:szCs w:val="20"/>
    </w:rPr>
  </w:style>
  <w:style w:type="paragraph" w:customStyle="1" w:styleId="xl65">
    <w:name w:val="xl65"/>
    <w:basedOn w:val="Normal"/>
    <w:rsid w:val="006B34E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0"/>
      <w:szCs w:val="20"/>
    </w:rPr>
  </w:style>
  <w:style w:type="paragraph" w:customStyle="1" w:styleId="xl67">
    <w:name w:val="xl67"/>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ingdings" w:eastAsia="Times New Roman" w:hAnsi="Wingdings" w:cs="Times New Roman"/>
      <w:sz w:val="20"/>
      <w:szCs w:val="20"/>
    </w:rPr>
  </w:style>
  <w:style w:type="paragraph" w:customStyle="1" w:styleId="xl69">
    <w:name w:val="xl69"/>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0"/>
      <w:szCs w:val="20"/>
    </w:rPr>
  </w:style>
  <w:style w:type="paragraph" w:customStyle="1" w:styleId="xl70">
    <w:name w:val="xl70"/>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1">
    <w:name w:val="xl71"/>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Wingdings" w:eastAsia="Times New Roman" w:hAnsi="Wingdings" w:cs="Times New Roman"/>
      <w:sz w:val="20"/>
      <w:szCs w:val="20"/>
    </w:rPr>
  </w:style>
  <w:style w:type="paragraph" w:customStyle="1" w:styleId="xl73">
    <w:name w:val="xl73"/>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74">
    <w:name w:val="xl74"/>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character" w:customStyle="1" w:styleId="selectable-text">
    <w:name w:val="selectable-text"/>
    <w:basedOn w:val="Fuentedeprrafopredeter"/>
    <w:rsid w:val="0029304C"/>
  </w:style>
  <w:style w:type="character" w:customStyle="1" w:styleId="apple-converted-space">
    <w:name w:val="apple-converted-space"/>
    <w:basedOn w:val="Fuentedeprrafopredeter"/>
    <w:rsid w:val="00264134"/>
  </w:style>
  <w:style w:type="character" w:customStyle="1" w:styleId="il">
    <w:name w:val="il"/>
    <w:basedOn w:val="Fuentedeprrafopredeter"/>
    <w:rsid w:val="00264134"/>
    <w:rPr>
      <w:rFonts w:cs="Times New Roman"/>
    </w:rPr>
  </w:style>
  <w:style w:type="paragraph" w:styleId="NormalWeb">
    <w:name w:val="Normal (Web)"/>
    <w:basedOn w:val="Normal"/>
    <w:uiPriority w:val="99"/>
    <w:semiHidden/>
    <w:unhideWhenUsed/>
    <w:rsid w:val="008F292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DB6EA7"/>
    <w:rPr>
      <w:color w:val="605E5C"/>
      <w:shd w:val="clear" w:color="auto" w:fill="E1DFDD"/>
    </w:rPr>
  </w:style>
  <w:style w:type="table" w:customStyle="1" w:styleId="a7">
    <w:basedOn w:val="TableNormal1"/>
    <w:pPr>
      <w:spacing w:line="240" w:lineRule="auto"/>
    </w:pPr>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3B69C7"/>
    <w:rPr>
      <w:i/>
      <w:iCs/>
      <w:color w:val="404040" w:themeColor="text1" w:themeTint="BF"/>
    </w:rPr>
  </w:style>
  <w:style w:type="table" w:customStyle="1" w:styleId="aa">
    <w:basedOn w:val="TableNormal0"/>
    <w:pPr>
      <w:spacing w:line="240" w:lineRule="auto"/>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s://webapps.condusef.gob.mx/SIPRES/jsp/pub/index.js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condusef.gob.mx/Revista/index.php/usuario-inteligente/condusef-responde/777-la-condusef-te-puede-ayudar"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sfem.gob.mx/assets/conocenos/marco_normativo/acuerdos/2024/acuerdo_04_anexod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tsgoSZq0eC6UewUn9B0Z7RneQ==">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58</Pages>
  <Words>14660</Words>
  <Characters>80633</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32</cp:revision>
  <cp:lastPrinted>2025-04-03T18:14:00Z</cp:lastPrinted>
  <dcterms:created xsi:type="dcterms:W3CDTF">2025-03-31T23:07:00Z</dcterms:created>
  <dcterms:modified xsi:type="dcterms:W3CDTF">2025-04-29T00:51:00Z</dcterms:modified>
</cp:coreProperties>
</file>